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F552B">
      <w:pPr>
        <w:rPr>
          <w:highlight w:val="none"/>
        </w:rPr>
      </w:pPr>
    </w:p>
    <w:p w14:paraId="70A0C8EB">
      <w:pPr>
        <w:jc w:val="both"/>
        <w:rPr>
          <w:rFonts w:hint="eastAsia" w:eastAsia="宋体"/>
          <w:sz w:val="44"/>
          <w:szCs w:val="40"/>
          <w:highlight w:val="none"/>
          <w:lang w:eastAsia="zh-CN"/>
        </w:rPr>
      </w:pPr>
    </w:p>
    <w:p w14:paraId="64B64674">
      <w:pPr>
        <w:jc w:val="center"/>
        <w:rPr>
          <w:rFonts w:hint="eastAsia" w:ascii="宋体" w:hAnsi="宋体" w:eastAsia="宋体" w:cs="宋体"/>
          <w:sz w:val="56"/>
          <w:szCs w:val="52"/>
          <w:highlight w:val="none"/>
          <w:lang w:eastAsia="zh-CN"/>
        </w:rPr>
      </w:pPr>
      <w:r>
        <w:rPr>
          <w:rFonts w:hint="eastAsia" w:ascii="宋体" w:hAnsi="宋体" w:eastAsia="宋体" w:cs="宋体"/>
          <w:sz w:val="56"/>
          <w:szCs w:val="52"/>
          <w:highlight w:val="none"/>
          <w:lang w:eastAsia="zh-CN"/>
        </w:rPr>
        <w:t>2025年舟山交警司法鉴定服务项目</w:t>
      </w:r>
    </w:p>
    <w:p w14:paraId="77E1BAD2">
      <w:pPr>
        <w:rPr>
          <w:highlight w:val="none"/>
        </w:rPr>
      </w:pPr>
    </w:p>
    <w:p w14:paraId="70100151">
      <w:pPr>
        <w:pStyle w:val="13"/>
        <w:snapToGrid w:val="0"/>
        <w:spacing w:before="120" w:after="120" w:line="360" w:lineRule="auto"/>
        <w:jc w:val="center"/>
        <w:rPr>
          <w:rFonts w:hint="eastAsia" w:hAnsi="宋体" w:eastAsia="宋体" w:cs="宋体"/>
          <w:bCs/>
          <w:sz w:val="72"/>
          <w:szCs w:val="72"/>
          <w:highlight w:val="none"/>
          <w:lang w:val="en-US" w:eastAsia="zh-CN"/>
        </w:rPr>
      </w:pPr>
    </w:p>
    <w:p w14:paraId="69291F2A">
      <w:pPr>
        <w:pStyle w:val="13"/>
        <w:snapToGrid w:val="0"/>
        <w:spacing w:before="120" w:after="120" w:line="360" w:lineRule="auto"/>
        <w:jc w:val="center"/>
        <w:rPr>
          <w:rFonts w:hAnsi="宋体" w:eastAsia="宋体" w:cs="宋体"/>
          <w:b/>
          <w:sz w:val="72"/>
          <w:szCs w:val="72"/>
          <w:highlight w:val="none"/>
        </w:rPr>
      </w:pPr>
      <w:r>
        <w:rPr>
          <w:rFonts w:hint="eastAsia" w:hAnsi="宋体" w:eastAsia="宋体" w:cs="宋体"/>
          <w:bCs/>
          <w:sz w:val="72"/>
          <w:szCs w:val="72"/>
          <w:highlight w:val="none"/>
          <w:lang w:val="en-US" w:eastAsia="zh-CN"/>
        </w:rPr>
        <w:t>磋商</w:t>
      </w:r>
      <w:r>
        <w:rPr>
          <w:rFonts w:hint="eastAsia" w:hAnsi="宋体" w:eastAsia="宋体" w:cs="宋体"/>
          <w:bCs/>
          <w:sz w:val="72"/>
          <w:szCs w:val="72"/>
          <w:highlight w:val="none"/>
        </w:rPr>
        <w:t>文件</w:t>
      </w:r>
    </w:p>
    <w:p w14:paraId="03CAEA87">
      <w:pPr>
        <w:pStyle w:val="13"/>
        <w:snapToGrid w:val="0"/>
        <w:spacing w:before="120" w:after="120" w:line="360" w:lineRule="auto"/>
        <w:rPr>
          <w:rFonts w:hAnsi="宋体" w:eastAsia="宋体" w:cs="宋体"/>
          <w:b/>
          <w:sz w:val="24"/>
          <w:szCs w:val="24"/>
          <w:highlight w:val="none"/>
        </w:rPr>
      </w:pPr>
    </w:p>
    <w:p w14:paraId="73B703B6">
      <w:pPr>
        <w:pStyle w:val="13"/>
        <w:snapToGrid w:val="0"/>
        <w:spacing w:before="120" w:after="120" w:line="360" w:lineRule="auto"/>
        <w:rPr>
          <w:rFonts w:hAnsi="宋体" w:eastAsia="宋体" w:cs="宋体"/>
          <w:b/>
          <w:sz w:val="24"/>
          <w:szCs w:val="24"/>
          <w:highlight w:val="none"/>
        </w:rPr>
      </w:pPr>
    </w:p>
    <w:p w14:paraId="17FD0A0F">
      <w:pPr>
        <w:bidi w:val="0"/>
        <w:rPr>
          <w:highlight w:val="none"/>
        </w:rPr>
      </w:pPr>
    </w:p>
    <w:p w14:paraId="5FA67F4F">
      <w:pPr>
        <w:pStyle w:val="10"/>
        <w:ind w:left="0" w:leftChars="0" w:firstLine="0" w:firstLineChars="0"/>
        <w:rPr>
          <w:highlight w:val="none"/>
        </w:rPr>
      </w:pPr>
    </w:p>
    <w:p w14:paraId="15307FE7">
      <w:pPr>
        <w:rPr>
          <w:highlight w:val="none"/>
        </w:rPr>
      </w:pPr>
    </w:p>
    <w:p w14:paraId="732CFBA1">
      <w:pPr>
        <w:pStyle w:val="10"/>
        <w:rPr>
          <w:highlight w:val="none"/>
        </w:rPr>
      </w:pPr>
    </w:p>
    <w:p w14:paraId="46B24833">
      <w:pPr>
        <w:pStyle w:val="74"/>
        <w:widowControl w:val="0"/>
        <w:spacing w:line="720" w:lineRule="auto"/>
        <w:ind w:left="0" w:leftChars="0" w:firstLine="1898" w:firstLineChars="678"/>
        <w:rPr>
          <w:rFonts w:ascii="宋体" w:hAnsi="宋体" w:cs="宋体"/>
          <w:sz w:val="28"/>
          <w:szCs w:val="28"/>
          <w:highlight w:val="none"/>
        </w:rPr>
      </w:pPr>
      <w:r>
        <w:rPr>
          <w:rFonts w:hint="eastAsia" w:ascii="宋体" w:hAnsi="宋体" w:cs="宋体"/>
          <w:sz w:val="28"/>
          <w:szCs w:val="28"/>
          <w:highlight w:val="none"/>
        </w:rPr>
        <w:t>项目编号：0773-2541GNZSFWCS0712</w:t>
      </w:r>
    </w:p>
    <w:p w14:paraId="73CF8885">
      <w:pPr>
        <w:spacing w:line="720" w:lineRule="auto"/>
        <w:ind w:left="0" w:leftChars="0" w:firstLine="1898" w:firstLineChars="678"/>
        <w:rPr>
          <w:rFonts w:hint="eastAsia" w:ascii="宋体" w:hAnsi="宋体" w:cs="宋体"/>
          <w:sz w:val="28"/>
          <w:szCs w:val="28"/>
          <w:highlight w:val="none"/>
        </w:rPr>
      </w:pPr>
      <w:r>
        <w:rPr>
          <w:rFonts w:hint="eastAsia" w:ascii="宋体" w:hAnsi="宋体" w:cs="宋体"/>
          <w:sz w:val="28"/>
          <w:szCs w:val="28"/>
          <w:highlight w:val="none"/>
        </w:rPr>
        <w:t>项目名称：2025年舟山交警司法鉴定服务项目</w:t>
      </w:r>
    </w:p>
    <w:p w14:paraId="3D70F603">
      <w:pPr>
        <w:spacing w:line="720" w:lineRule="auto"/>
        <w:ind w:left="0" w:leftChars="0" w:firstLine="1898" w:firstLineChars="678"/>
        <w:rPr>
          <w:rFonts w:ascii="宋体" w:hAnsi="宋体" w:cs="宋体"/>
          <w:sz w:val="28"/>
          <w:szCs w:val="28"/>
          <w:highlight w:val="none"/>
        </w:rPr>
      </w:pPr>
      <w:r>
        <w:rPr>
          <w:rFonts w:hint="eastAsia" w:ascii="宋体" w:hAnsi="宋体" w:cs="宋体"/>
          <w:sz w:val="28"/>
          <w:szCs w:val="28"/>
          <w:highlight w:val="none"/>
        </w:rPr>
        <w:t>采 购 人：舟山市公安局交通警察支队</w:t>
      </w:r>
      <w:r>
        <w:rPr>
          <w:rFonts w:hint="eastAsia" w:ascii="宋体" w:hAnsi="宋体" w:cs="宋体"/>
          <w:sz w:val="28"/>
          <w:szCs w:val="28"/>
          <w:highlight w:val="none"/>
          <w:lang w:val="en-US" w:eastAsia="zh-CN"/>
        </w:rPr>
        <w:t>（</w:t>
      </w:r>
      <w:r>
        <w:rPr>
          <w:rFonts w:hint="eastAsia" w:ascii="宋体" w:hAnsi="宋体" w:cs="宋体"/>
          <w:sz w:val="28"/>
          <w:szCs w:val="28"/>
          <w:highlight w:val="none"/>
        </w:rPr>
        <w:t>盖章）</w:t>
      </w:r>
    </w:p>
    <w:p w14:paraId="42F35381">
      <w:pPr>
        <w:spacing w:line="720" w:lineRule="auto"/>
        <w:ind w:left="0" w:leftChars="0" w:firstLine="1898" w:firstLineChars="678"/>
        <w:rPr>
          <w:rFonts w:ascii="宋体" w:hAnsi="宋体" w:cs="宋体"/>
          <w:sz w:val="28"/>
          <w:szCs w:val="28"/>
          <w:highlight w:val="none"/>
        </w:rPr>
      </w:pPr>
      <w:r>
        <w:rPr>
          <w:rFonts w:hint="eastAsia" w:ascii="宋体" w:hAnsi="宋体" w:cs="宋体"/>
          <w:sz w:val="28"/>
          <w:szCs w:val="28"/>
          <w:highlight w:val="none"/>
        </w:rPr>
        <w:t>代理机构：中金招标有限责任公司（盖章）</w:t>
      </w:r>
    </w:p>
    <w:p w14:paraId="4E2D6508">
      <w:pPr>
        <w:pStyle w:val="13"/>
        <w:spacing w:before="120" w:after="120" w:line="360" w:lineRule="auto"/>
        <w:ind w:left="0" w:leftChars="0" w:firstLine="1898" w:firstLineChars="678"/>
        <w:rPr>
          <w:rFonts w:hAnsi="宋体" w:eastAsia="宋体" w:cs="宋体"/>
          <w:sz w:val="24"/>
          <w:szCs w:val="24"/>
          <w:highlight w:val="none"/>
        </w:rPr>
      </w:pPr>
      <w:r>
        <w:rPr>
          <w:rFonts w:hint="eastAsia" w:hAnsi="宋体" w:eastAsia="宋体" w:cs="宋体"/>
          <w:bCs/>
          <w:sz w:val="28"/>
          <w:szCs w:val="28"/>
          <w:highlight w:val="none"/>
        </w:rPr>
        <w:t>日    期：二〇二</w:t>
      </w:r>
      <w:r>
        <w:rPr>
          <w:rFonts w:hint="eastAsia" w:hAnsi="宋体" w:eastAsia="宋体" w:cs="宋体"/>
          <w:bCs/>
          <w:sz w:val="28"/>
          <w:szCs w:val="28"/>
          <w:highlight w:val="none"/>
          <w:lang w:val="en-US" w:eastAsia="zh-CN"/>
        </w:rPr>
        <w:t>五</w:t>
      </w:r>
      <w:r>
        <w:rPr>
          <w:rFonts w:hint="eastAsia" w:hAnsi="宋体" w:eastAsia="宋体" w:cs="宋体"/>
          <w:bCs/>
          <w:sz w:val="28"/>
          <w:szCs w:val="28"/>
          <w:highlight w:val="none"/>
        </w:rPr>
        <w:t>年</w:t>
      </w:r>
      <w:r>
        <w:rPr>
          <w:rFonts w:hint="eastAsia" w:hAnsi="宋体" w:eastAsia="宋体" w:cs="宋体"/>
          <w:bCs/>
          <w:sz w:val="28"/>
          <w:szCs w:val="28"/>
          <w:highlight w:val="none"/>
          <w:lang w:val="en-US" w:eastAsia="zh-CN"/>
        </w:rPr>
        <w:t>四</w:t>
      </w:r>
      <w:r>
        <w:rPr>
          <w:rFonts w:hint="eastAsia" w:hAnsi="宋体" w:eastAsia="宋体" w:cs="宋体"/>
          <w:bCs/>
          <w:sz w:val="28"/>
          <w:szCs w:val="28"/>
          <w:highlight w:val="none"/>
        </w:rPr>
        <w:t>月</w:t>
      </w:r>
    </w:p>
    <w:p w14:paraId="1F2C7120">
      <w:pPr>
        <w:pStyle w:val="13"/>
        <w:spacing w:before="120" w:after="120" w:line="600" w:lineRule="auto"/>
        <w:jc w:val="both"/>
        <w:rPr>
          <w:rFonts w:hAnsi="宋体" w:eastAsia="宋体" w:cs="宋体"/>
          <w:sz w:val="36"/>
          <w:szCs w:val="36"/>
          <w:highlight w:val="none"/>
        </w:rPr>
        <w:sectPr>
          <w:headerReference r:id="rId4" w:type="first"/>
          <w:headerReference r:id="rId3" w:type="default"/>
          <w:pgSz w:w="11906" w:h="16838"/>
          <w:pgMar w:top="1531" w:right="992" w:bottom="737" w:left="992" w:header="851" w:footer="584" w:gutter="0"/>
          <w:pgBorders>
            <w:top w:val="none" w:sz="0" w:space="0"/>
            <w:left w:val="none" w:sz="0" w:space="0"/>
            <w:bottom w:val="none" w:sz="0" w:space="0"/>
            <w:right w:val="none" w:sz="0" w:space="0"/>
          </w:pgBorders>
          <w:pgNumType w:fmt="decimal"/>
          <w:cols w:space="720" w:num="1"/>
          <w:titlePg/>
          <w:docGrid w:type="lines" w:linePitch="312" w:charSpace="0"/>
        </w:sectPr>
      </w:pPr>
    </w:p>
    <w:p w14:paraId="6190E482">
      <w:pPr>
        <w:pStyle w:val="13"/>
        <w:spacing w:before="120" w:after="120" w:line="600" w:lineRule="auto"/>
        <w:jc w:val="center"/>
        <w:rPr>
          <w:highlight w:val="none"/>
        </w:rPr>
      </w:pPr>
      <w:r>
        <w:rPr>
          <w:rFonts w:hint="eastAsia" w:hAnsi="宋体" w:eastAsia="宋体" w:cs="宋体"/>
          <w:sz w:val="36"/>
          <w:szCs w:val="36"/>
          <w:highlight w:val="none"/>
        </w:rPr>
        <w:t>目    录</w:t>
      </w:r>
    </w:p>
    <w:p w14:paraId="2C880128">
      <w:pPr>
        <w:spacing w:before="120" w:line="552" w:lineRule="auto"/>
        <w:ind w:firstLine="840" w:firstLineChars="300"/>
        <w:outlineLvl w:val="9"/>
        <w:rPr>
          <w:rFonts w:ascii="宋体" w:hAnsi="宋体" w:cs="宋体"/>
          <w:sz w:val="28"/>
          <w:szCs w:val="28"/>
          <w:highlight w:val="none"/>
        </w:rPr>
      </w:pPr>
      <w:r>
        <w:rPr>
          <w:rFonts w:hint="eastAsia" w:ascii="宋体" w:hAnsi="宋体" w:cs="宋体"/>
          <w:sz w:val="28"/>
          <w:szCs w:val="28"/>
          <w:highlight w:val="none"/>
        </w:rPr>
        <w:t>第一章  竞争性磋商公告</w:t>
      </w:r>
    </w:p>
    <w:p w14:paraId="355E27B2">
      <w:pPr>
        <w:spacing w:before="120" w:line="552" w:lineRule="auto"/>
        <w:ind w:firstLine="840" w:firstLineChars="300"/>
        <w:rPr>
          <w:rFonts w:ascii="宋体" w:hAnsi="宋体" w:cs="宋体"/>
          <w:sz w:val="28"/>
          <w:szCs w:val="28"/>
          <w:highlight w:val="none"/>
        </w:rPr>
      </w:pPr>
      <w:r>
        <w:rPr>
          <w:rFonts w:hint="eastAsia" w:ascii="宋体" w:hAnsi="宋体" w:cs="宋体"/>
          <w:sz w:val="28"/>
          <w:szCs w:val="28"/>
          <w:highlight w:val="none"/>
        </w:rPr>
        <w:t>第二章  采购需求</w:t>
      </w:r>
    </w:p>
    <w:p w14:paraId="044A3188">
      <w:pPr>
        <w:spacing w:before="120" w:line="552" w:lineRule="auto"/>
        <w:ind w:firstLine="840" w:firstLineChars="300"/>
        <w:rPr>
          <w:rFonts w:ascii="宋体" w:hAnsi="宋体" w:cs="宋体"/>
          <w:sz w:val="28"/>
          <w:szCs w:val="28"/>
          <w:highlight w:val="none"/>
        </w:rPr>
      </w:pPr>
      <w:r>
        <w:rPr>
          <w:rFonts w:hint="eastAsia" w:ascii="宋体" w:hAnsi="宋体" w:cs="宋体"/>
          <w:sz w:val="28"/>
          <w:szCs w:val="28"/>
          <w:highlight w:val="none"/>
        </w:rPr>
        <w:t>第三章  响应人须知</w:t>
      </w:r>
    </w:p>
    <w:p w14:paraId="03049E82">
      <w:pPr>
        <w:spacing w:before="120" w:line="552" w:lineRule="auto"/>
        <w:ind w:firstLine="1960" w:firstLineChars="700"/>
        <w:rPr>
          <w:rFonts w:ascii="宋体" w:hAnsi="宋体" w:cs="宋体"/>
          <w:sz w:val="28"/>
          <w:szCs w:val="28"/>
          <w:highlight w:val="none"/>
        </w:rPr>
      </w:pPr>
      <w:r>
        <w:rPr>
          <w:rFonts w:hint="eastAsia" w:ascii="宋体" w:hAnsi="宋体" w:cs="宋体"/>
          <w:sz w:val="28"/>
          <w:szCs w:val="28"/>
          <w:highlight w:val="none"/>
        </w:rPr>
        <w:t xml:space="preserve">前附表 </w:t>
      </w:r>
    </w:p>
    <w:p w14:paraId="665967B9">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一、总 则</w:t>
      </w:r>
    </w:p>
    <w:p w14:paraId="4741AD5E">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二、</w:t>
      </w:r>
      <w:r>
        <w:rPr>
          <w:rFonts w:hint="eastAsia" w:ascii="宋体" w:hAnsi="宋体" w:cs="宋体"/>
          <w:sz w:val="28"/>
          <w:szCs w:val="28"/>
          <w:highlight w:val="none"/>
          <w:lang w:val="en-US" w:eastAsia="zh-CN"/>
        </w:rPr>
        <w:t>磋商</w:t>
      </w:r>
      <w:r>
        <w:rPr>
          <w:rFonts w:hint="eastAsia" w:ascii="宋体" w:hAnsi="宋体" w:cs="宋体"/>
          <w:sz w:val="28"/>
          <w:szCs w:val="28"/>
          <w:highlight w:val="none"/>
        </w:rPr>
        <w:t>文件</w:t>
      </w:r>
    </w:p>
    <w:p w14:paraId="331A53AC">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三、</w:t>
      </w:r>
      <w:r>
        <w:rPr>
          <w:rFonts w:hint="eastAsia" w:ascii="宋体" w:hAnsi="宋体" w:cs="宋体"/>
          <w:sz w:val="28"/>
          <w:szCs w:val="28"/>
          <w:highlight w:val="none"/>
          <w:lang w:val="en-US" w:eastAsia="zh-CN"/>
        </w:rPr>
        <w:t>响应</w:t>
      </w:r>
      <w:r>
        <w:rPr>
          <w:rFonts w:hint="eastAsia" w:ascii="宋体" w:hAnsi="宋体" w:cs="宋体"/>
          <w:sz w:val="28"/>
          <w:szCs w:val="28"/>
          <w:highlight w:val="none"/>
        </w:rPr>
        <w:t>文件的编制</w:t>
      </w:r>
    </w:p>
    <w:p w14:paraId="30E946A9">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四、开标</w:t>
      </w:r>
    </w:p>
    <w:p w14:paraId="5AF6A310">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五、评标</w:t>
      </w:r>
    </w:p>
    <w:p w14:paraId="3A8E38D1">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六、废标</w:t>
      </w:r>
    </w:p>
    <w:p w14:paraId="56C4EC96">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七、定标</w:t>
      </w:r>
    </w:p>
    <w:p w14:paraId="19CA8406">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八、合同授予</w:t>
      </w:r>
    </w:p>
    <w:p w14:paraId="1593D825">
      <w:pPr>
        <w:spacing w:before="120" w:line="552" w:lineRule="auto"/>
        <w:ind w:firstLine="840" w:firstLineChars="300"/>
        <w:rPr>
          <w:rFonts w:ascii="宋体" w:hAnsi="宋体" w:cs="宋体"/>
          <w:sz w:val="28"/>
          <w:szCs w:val="28"/>
          <w:highlight w:val="none"/>
        </w:rPr>
      </w:pPr>
      <w:r>
        <w:rPr>
          <w:rFonts w:hint="eastAsia" w:ascii="宋体" w:hAnsi="宋体" w:cs="宋体"/>
          <w:sz w:val="28"/>
          <w:szCs w:val="28"/>
          <w:highlight w:val="none"/>
        </w:rPr>
        <w:t>第四章  评标办法及标准</w:t>
      </w:r>
    </w:p>
    <w:p w14:paraId="7E8E2901">
      <w:pPr>
        <w:spacing w:before="120" w:line="552" w:lineRule="auto"/>
        <w:ind w:firstLine="840" w:firstLineChars="300"/>
        <w:rPr>
          <w:rFonts w:ascii="宋体" w:hAnsi="宋体" w:cs="宋体"/>
          <w:sz w:val="28"/>
          <w:szCs w:val="28"/>
          <w:highlight w:val="none"/>
        </w:rPr>
      </w:pPr>
      <w:r>
        <w:rPr>
          <w:rFonts w:hint="eastAsia" w:ascii="宋体" w:hAnsi="宋体" w:cs="宋体"/>
          <w:sz w:val="28"/>
          <w:szCs w:val="28"/>
          <w:highlight w:val="none"/>
        </w:rPr>
        <w:t>第五章  合同主要条款</w:t>
      </w:r>
    </w:p>
    <w:p w14:paraId="37C20624">
      <w:pPr>
        <w:spacing w:before="120" w:line="552" w:lineRule="auto"/>
        <w:ind w:firstLine="840" w:firstLineChars="300"/>
        <w:rPr>
          <w:rFonts w:ascii="宋体" w:hAnsi="宋体" w:cs="宋体"/>
          <w:sz w:val="24"/>
          <w:szCs w:val="24"/>
          <w:highlight w:val="none"/>
        </w:rPr>
      </w:pPr>
      <w:r>
        <w:rPr>
          <w:rFonts w:hint="eastAsia" w:ascii="宋体" w:hAnsi="宋体" w:cs="宋体"/>
          <w:sz w:val="28"/>
          <w:szCs w:val="28"/>
          <w:highlight w:val="none"/>
        </w:rPr>
        <w:t xml:space="preserve">第六章  </w:t>
      </w:r>
      <w:r>
        <w:rPr>
          <w:rFonts w:hint="eastAsia" w:ascii="宋体" w:hAnsi="宋体" w:cs="宋体"/>
          <w:sz w:val="28"/>
          <w:szCs w:val="28"/>
          <w:highlight w:val="none"/>
          <w:lang w:val="en-US" w:eastAsia="zh-CN"/>
        </w:rPr>
        <w:t>响应</w:t>
      </w:r>
      <w:r>
        <w:rPr>
          <w:rFonts w:hint="eastAsia" w:ascii="宋体" w:hAnsi="宋体" w:cs="宋体"/>
          <w:sz w:val="28"/>
          <w:szCs w:val="28"/>
          <w:highlight w:val="none"/>
        </w:rPr>
        <w:t>文件组成</w:t>
      </w:r>
    </w:p>
    <w:p w14:paraId="388E260E">
      <w:pPr>
        <w:rPr>
          <w:rFonts w:hint="eastAsia" w:ascii="宋体" w:hAnsi="宋体" w:cs="宋体"/>
          <w:b/>
          <w:sz w:val="28"/>
          <w:szCs w:val="28"/>
          <w:highlight w:val="none"/>
        </w:rPr>
      </w:pPr>
      <w:bookmarkStart w:id="0" w:name="OLE_LINK1"/>
      <w:r>
        <w:rPr>
          <w:rFonts w:hint="eastAsia" w:ascii="宋体" w:hAnsi="宋体" w:cs="宋体"/>
          <w:b/>
          <w:sz w:val="28"/>
          <w:szCs w:val="28"/>
          <w:highlight w:val="none"/>
        </w:rPr>
        <w:br w:type="page"/>
      </w:r>
    </w:p>
    <w:p w14:paraId="40530743">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ascii="宋体" w:hAnsi="宋体" w:cs="宋体"/>
          <w:b/>
          <w:sz w:val="28"/>
          <w:szCs w:val="28"/>
          <w:highlight w:val="none"/>
        </w:rPr>
      </w:pPr>
      <w:r>
        <w:rPr>
          <w:rFonts w:hint="eastAsia" w:ascii="宋体" w:hAnsi="宋体" w:cs="宋体"/>
          <w:b/>
          <w:sz w:val="28"/>
          <w:szCs w:val="28"/>
          <w:highlight w:val="none"/>
        </w:rPr>
        <w:t xml:space="preserve">第一章 </w:t>
      </w:r>
      <w:bookmarkStart w:id="1" w:name="OLE_LINK3"/>
      <w:r>
        <w:rPr>
          <w:rFonts w:hint="eastAsia" w:ascii="宋体" w:hAnsi="宋体" w:cs="宋体"/>
          <w:b/>
          <w:sz w:val="28"/>
          <w:szCs w:val="28"/>
          <w:highlight w:val="none"/>
        </w:rPr>
        <w:t xml:space="preserve"> </w:t>
      </w:r>
      <w:bookmarkStart w:id="2" w:name="OLE_LINK2"/>
      <w:bookmarkStart w:id="3" w:name="OLE_LINK4"/>
      <w:r>
        <w:rPr>
          <w:rFonts w:hint="eastAsia" w:ascii="宋体" w:hAnsi="宋体" w:cs="宋体"/>
          <w:b/>
          <w:sz w:val="28"/>
          <w:szCs w:val="28"/>
          <w:highlight w:val="none"/>
        </w:rPr>
        <w:t>竞争性磋商公告</w:t>
      </w:r>
    </w:p>
    <w:bookmarkEnd w:id="0"/>
    <w:bookmarkEnd w:id="1"/>
    <w:bookmarkEnd w:id="2"/>
    <w:bookmarkEnd w:id="3"/>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8"/>
      </w:tblGrid>
      <w:tr w14:paraId="282D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4B42B6A">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 xml:space="preserve">项目概况    </w:t>
            </w:r>
          </w:p>
          <w:p w14:paraId="229B6867">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firstLineChars="200"/>
              <w:textAlignment w:val="auto"/>
              <w:rPr>
                <w:rFonts w:hint="eastAsia" w:ascii="宋体" w:hAnsi="宋体" w:eastAsia="宋体" w:cs="宋体"/>
                <w:b/>
                <w:sz w:val="21"/>
                <w:szCs w:val="21"/>
                <w:highlight w:val="none"/>
                <w:vertAlign w:val="baseline"/>
              </w:rPr>
            </w:pPr>
            <w:r>
              <w:rPr>
                <w:rFonts w:hint="eastAsia" w:ascii="宋体" w:hAnsi="宋体" w:eastAsia="宋体" w:cs="宋体"/>
                <w:i w:val="0"/>
                <w:iCs w:val="0"/>
                <w:caps w:val="0"/>
                <w:color w:val="000000"/>
                <w:spacing w:val="0"/>
                <w:sz w:val="21"/>
                <w:szCs w:val="21"/>
                <w:highlight w:val="none"/>
              </w:rPr>
              <w:t>2025年舟山交警司法鉴定服务项目采购项目的潜在供应商应在浙江政府采购网http://zfcg.czt.zj.gov.cn/（用“政采云”注册账号、密码登录系统后获取采购文件）获取（下载）采购文件，并于2025年04月</w:t>
            </w:r>
            <w:r>
              <w:rPr>
                <w:rFonts w:hint="eastAsia" w:cs="宋体"/>
                <w:i w:val="0"/>
                <w:iCs w:val="0"/>
                <w:caps w:val="0"/>
                <w:color w:val="000000"/>
                <w:spacing w:val="0"/>
                <w:sz w:val="21"/>
                <w:szCs w:val="21"/>
                <w:highlight w:val="none"/>
                <w:lang w:val="en-US" w:eastAsia="zh-CN"/>
              </w:rPr>
              <w:t>25</w:t>
            </w:r>
            <w:r>
              <w:rPr>
                <w:rFonts w:hint="eastAsia" w:ascii="宋体" w:hAnsi="宋体" w:eastAsia="宋体" w:cs="宋体"/>
                <w:i w:val="0"/>
                <w:iCs w:val="0"/>
                <w:caps w:val="0"/>
                <w:color w:val="000000"/>
                <w:spacing w:val="0"/>
                <w:sz w:val="21"/>
                <w:szCs w:val="21"/>
                <w:highlight w:val="none"/>
              </w:rPr>
              <w:t xml:space="preserve">日 09:00（北京时间）前提交（上传）响应文件。  </w:t>
            </w:r>
          </w:p>
        </w:tc>
      </w:tr>
    </w:tbl>
    <w:p w14:paraId="6D252C0E">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b/>
          <w:bCs/>
          <w:i w:val="0"/>
          <w:iCs w:val="0"/>
          <w:caps w:val="0"/>
          <w:color w:val="000000"/>
          <w:spacing w:val="0"/>
          <w:sz w:val="21"/>
          <w:szCs w:val="21"/>
          <w:highlight w:val="none"/>
        </w:rPr>
      </w:pPr>
    </w:p>
    <w:p w14:paraId="2F1F0076">
      <w:pPr>
        <w:pStyle w:val="23"/>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一、项目基本情况</w:t>
      </w:r>
    </w:p>
    <w:p w14:paraId="1FD1E96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项目编号：0773-2541GNZSFWCS0712      </w:t>
      </w:r>
    </w:p>
    <w:p w14:paraId="31E639B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项目名称：2025年舟山交警司法鉴定服务项目      </w:t>
      </w:r>
    </w:p>
    <w:p w14:paraId="4586780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采购方式：竞争性磋商      </w:t>
      </w:r>
    </w:p>
    <w:p w14:paraId="19EEB47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预算金额（元）：800000      </w:t>
      </w:r>
    </w:p>
    <w:p w14:paraId="4F48817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最高限价（元）：/      </w:t>
      </w:r>
    </w:p>
    <w:p w14:paraId="665BF905">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采购需求：        </w:t>
      </w:r>
    </w:p>
    <w:p w14:paraId="5C42D73C">
      <w:pPr>
        <w:pStyle w:val="2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数量：</w:t>
      </w:r>
      <w:r>
        <w:rPr>
          <w:rFonts w:hint="eastAsia" w:ascii="宋体" w:hAnsi="宋体" w:eastAsia="宋体" w:cs="宋体"/>
          <w:b w:val="0"/>
          <w:bCs w:val="0"/>
          <w:i w:val="0"/>
          <w:iCs w:val="0"/>
          <w:caps w:val="0"/>
          <w:color w:val="000000"/>
          <w:spacing w:val="0"/>
          <w:sz w:val="21"/>
          <w:szCs w:val="21"/>
          <w:shd w:val="clear" w:fill="F7F7F7"/>
        </w:rPr>
        <w:t>1</w:t>
      </w:r>
      <w:r>
        <w:rPr>
          <w:rFonts w:hint="eastAsia" w:ascii="宋体" w:hAnsi="宋体" w:eastAsia="宋体" w:cs="宋体"/>
          <w:i w:val="0"/>
          <w:iCs w:val="0"/>
          <w:caps w:val="0"/>
          <w:color w:val="000000"/>
          <w:spacing w:val="0"/>
          <w:sz w:val="21"/>
          <w:szCs w:val="21"/>
          <w:shd w:val="clear" w:fill="F7F7F7"/>
        </w:rPr>
        <w:t>          </w:t>
      </w:r>
    </w:p>
    <w:p w14:paraId="4CB1CF23">
      <w:pPr>
        <w:pStyle w:val="2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预算金额（元）：</w:t>
      </w:r>
      <w:r>
        <w:rPr>
          <w:rFonts w:hint="eastAsia" w:ascii="宋体" w:hAnsi="宋体" w:eastAsia="宋体" w:cs="宋体"/>
          <w:b w:val="0"/>
          <w:bCs w:val="0"/>
          <w:i w:val="0"/>
          <w:iCs w:val="0"/>
          <w:caps w:val="0"/>
          <w:color w:val="000000"/>
          <w:spacing w:val="0"/>
          <w:sz w:val="21"/>
          <w:szCs w:val="21"/>
          <w:shd w:val="clear" w:fill="F7F7F7"/>
        </w:rPr>
        <w:t>800000</w:t>
      </w:r>
      <w:r>
        <w:rPr>
          <w:rFonts w:hint="eastAsia" w:ascii="宋体" w:hAnsi="宋体" w:eastAsia="宋体" w:cs="宋体"/>
          <w:i w:val="0"/>
          <w:iCs w:val="0"/>
          <w:caps w:val="0"/>
          <w:color w:val="000000"/>
          <w:spacing w:val="0"/>
          <w:sz w:val="21"/>
          <w:szCs w:val="21"/>
          <w:shd w:val="clear" w:fill="F7F7F7"/>
        </w:rPr>
        <w:t>          </w:t>
      </w:r>
    </w:p>
    <w:p w14:paraId="18680947">
      <w:pPr>
        <w:pStyle w:val="2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单位：</w:t>
      </w:r>
      <w:r>
        <w:rPr>
          <w:rFonts w:hint="eastAsia" w:ascii="宋体" w:hAnsi="宋体" w:eastAsia="宋体" w:cs="宋体"/>
          <w:b w:val="0"/>
          <w:bCs w:val="0"/>
          <w:i w:val="0"/>
          <w:iCs w:val="0"/>
          <w:caps w:val="0"/>
          <w:color w:val="000000"/>
          <w:spacing w:val="0"/>
          <w:sz w:val="21"/>
          <w:szCs w:val="21"/>
          <w:shd w:val="clear" w:fill="F7F7F7"/>
        </w:rPr>
        <w:t>项</w:t>
      </w:r>
      <w:r>
        <w:rPr>
          <w:rFonts w:hint="eastAsia" w:ascii="宋体" w:hAnsi="宋体" w:eastAsia="宋体" w:cs="宋体"/>
          <w:i w:val="0"/>
          <w:iCs w:val="0"/>
          <w:caps w:val="0"/>
          <w:color w:val="000000"/>
          <w:spacing w:val="0"/>
          <w:sz w:val="21"/>
          <w:szCs w:val="21"/>
          <w:shd w:val="clear" w:fill="F7F7F7"/>
        </w:rPr>
        <w:t>          </w:t>
      </w:r>
    </w:p>
    <w:p w14:paraId="325ED07A">
      <w:pPr>
        <w:pStyle w:val="2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简要规格描述：</w:t>
      </w:r>
      <w:r>
        <w:rPr>
          <w:rFonts w:hint="eastAsia" w:ascii="宋体" w:hAnsi="宋体" w:eastAsia="宋体" w:cs="宋体"/>
          <w:b w:val="0"/>
          <w:bCs w:val="0"/>
          <w:i w:val="0"/>
          <w:iCs w:val="0"/>
          <w:caps w:val="0"/>
          <w:color w:val="000000"/>
          <w:spacing w:val="0"/>
          <w:sz w:val="21"/>
          <w:szCs w:val="21"/>
          <w:shd w:val="clear" w:fill="F7F7F7"/>
        </w:rPr>
        <w:t>详见磋商文件 </w:t>
      </w:r>
      <w:r>
        <w:rPr>
          <w:rFonts w:hint="eastAsia" w:ascii="宋体" w:hAnsi="宋体" w:eastAsia="宋体" w:cs="宋体"/>
          <w:i w:val="0"/>
          <w:iCs w:val="0"/>
          <w:caps w:val="0"/>
          <w:color w:val="000000"/>
          <w:spacing w:val="0"/>
          <w:sz w:val="21"/>
          <w:szCs w:val="21"/>
          <w:shd w:val="clear" w:fill="F7F7F7"/>
        </w:rPr>
        <w:t>          </w:t>
      </w:r>
    </w:p>
    <w:p w14:paraId="286B8F05">
      <w:pPr>
        <w:pStyle w:val="2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备注：          </w:t>
      </w:r>
    </w:p>
    <w:p w14:paraId="29867E5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合同履约期限：标项 1，自合同签订之日起1年      </w:t>
      </w:r>
    </w:p>
    <w:p w14:paraId="2F4D650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本项目（否）接受联合体投标。      </w:t>
      </w:r>
    </w:p>
    <w:p w14:paraId="364D24E4">
      <w:pPr>
        <w:pStyle w:val="23"/>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二、申请人的资格要求：</w:t>
      </w:r>
    </w:p>
    <w:p w14:paraId="1AE04BB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满足《中华人民共和国政府采购法》第二十二条规定；未被“信用中国”（www.creditchina.gov.cn)、中国政府采购网（www.ccgp.gov.cn）列入失信被执行人、重大税收违法失信主体、政府采购严重违法失信行为记录名单。      </w:t>
      </w:r>
    </w:p>
    <w:p w14:paraId="4BA858E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2.落实政府采购政策需满足的资格要求：标项1：供应商为中小企业       </w:t>
      </w:r>
    </w:p>
    <w:p w14:paraId="32181A8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本项目的特定资格要求：【标项1】具备机动车车辆技术鉴定能力，具备物证类鉴定（痕迹鉴定.机动车痕迹鉴定）资质，资质中必须包含：021101车辆安全技术状况鉴定、021103交通事故痕迹鉴定、021104车辆速度鉴定、021105交通事故痕迹物证综合鉴定四项子分类。      </w:t>
      </w:r>
    </w:p>
    <w:p w14:paraId="711DFCD7">
      <w:pPr>
        <w:pStyle w:val="23"/>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三、获取（下载）采购文件</w:t>
      </w:r>
    </w:p>
    <w:p w14:paraId="618072F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时间：/至2025年04月</w:t>
      </w:r>
      <w:r>
        <w:rPr>
          <w:rFonts w:hint="eastAsia" w:cs="宋体"/>
          <w:i w:val="0"/>
          <w:iCs w:val="0"/>
          <w:caps w:val="0"/>
          <w:color w:val="000000"/>
          <w:spacing w:val="0"/>
          <w:sz w:val="21"/>
          <w:szCs w:val="21"/>
          <w:lang w:val="en-US" w:eastAsia="zh-CN"/>
        </w:rPr>
        <w:t>25</w:t>
      </w:r>
      <w:r>
        <w:rPr>
          <w:rFonts w:hint="eastAsia" w:ascii="宋体" w:hAnsi="宋体" w:eastAsia="宋体" w:cs="宋体"/>
          <w:i w:val="0"/>
          <w:iCs w:val="0"/>
          <w:caps w:val="0"/>
          <w:color w:val="000000"/>
          <w:spacing w:val="0"/>
          <w:sz w:val="21"/>
          <w:szCs w:val="21"/>
        </w:rPr>
        <w:t>日，每天上午00:00至12:00，下午12:00至23:59（北京时间，线上获取法定节假日均可，线下获取文件法定节假日除外）      </w:t>
      </w:r>
    </w:p>
    <w:p w14:paraId="0B620F6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地点（网址）：浙江政府采购网http://zfcg.czt.zj.gov.cn/（用“政采云”注册账号、密码登录系统后获取采购文件）      </w:t>
      </w:r>
    </w:p>
    <w:p w14:paraId="6CA74E6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      </w:t>
      </w:r>
    </w:p>
    <w:p w14:paraId="5E0FD5E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售价（元）：0      </w:t>
      </w:r>
    </w:p>
    <w:p w14:paraId="2B75A2F1">
      <w:pPr>
        <w:pStyle w:val="23"/>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四、响应文件提交（上传）</w:t>
      </w:r>
    </w:p>
    <w:p w14:paraId="13CB722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截止时间：2025年04月25日 09:00（北京时间）</w:t>
      </w:r>
    </w:p>
    <w:p w14:paraId="6E5C5CF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点（网址）：①本项目不要求供应商授权代表参加现场开标、开启投标文件活动。②投标人将加密的电子版投标文件于投标截止时间前上传到政采云系统中。③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梅洁；联系方式：13388440851）。       </w:t>
      </w:r>
    </w:p>
    <w:p w14:paraId="051FA7E3">
      <w:pPr>
        <w:pStyle w:val="23"/>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五、响应文件开启</w:t>
      </w:r>
    </w:p>
    <w:p w14:paraId="1B85498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开启时间：2025年04月25日 09:00（北京时间）</w:t>
      </w:r>
    </w:p>
    <w:p w14:paraId="78CD719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地点（网址）：舟山市定海区海天大道998号中金招标四楼开标室      </w:t>
      </w:r>
    </w:p>
    <w:p w14:paraId="306A73A5">
      <w:pPr>
        <w:pStyle w:val="23"/>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六、公告期限</w:t>
      </w:r>
    </w:p>
    <w:p w14:paraId="35B709B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自本公告发布之日起3个工作日。      </w:t>
      </w:r>
    </w:p>
    <w:p w14:paraId="689C3298">
      <w:pPr>
        <w:pStyle w:val="23"/>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七、其他补充事宜</w:t>
      </w:r>
    </w:p>
    <w:p w14:paraId="1F5B903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7CD6C52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7855952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2163F5D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      </w:t>
      </w:r>
    </w:p>
    <w:p w14:paraId="285B59D2">
      <w:pPr>
        <w:pStyle w:val="23"/>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八、凡对本次招标提出询问、质疑、投诉，请按以下方式联系</w:t>
      </w:r>
    </w:p>
    <w:p w14:paraId="641BD18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1.采购人信息        </w:t>
      </w:r>
    </w:p>
    <w:p w14:paraId="0C21889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称：舟山市公安局交通警察支队        </w:t>
      </w:r>
    </w:p>
    <w:p w14:paraId="1B9E95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址：舟山市定海区临城街道海天大道399号        </w:t>
      </w:r>
    </w:p>
    <w:p w14:paraId="0481FB1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        </w:t>
      </w:r>
    </w:p>
    <w:p w14:paraId="260F880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项目联系人（询问）：卢斌        </w:t>
      </w:r>
    </w:p>
    <w:p w14:paraId="3578A37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项目联系方式（询问）：0580-2087731        </w:t>
      </w:r>
    </w:p>
    <w:p w14:paraId="3A8E5E5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质疑联系人：黄思波        </w:t>
      </w:r>
    </w:p>
    <w:p w14:paraId="54FFAEF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质疑联系方式：13957212968        </w:t>
      </w:r>
    </w:p>
    <w:p w14:paraId="3094FFC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0"/>
          <w:sz w:val="21"/>
          <w:szCs w:val="21"/>
        </w:rPr>
      </w:pPr>
    </w:p>
    <w:p w14:paraId="5DC3398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2.采购代理机构信息        </w:t>
      </w:r>
    </w:p>
    <w:p w14:paraId="26C9941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称：中金招标有限责任公司        </w:t>
      </w:r>
    </w:p>
    <w:p w14:paraId="12D4170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址：舟山市定海区海天大道998号四楼        </w:t>
      </w:r>
    </w:p>
    <w:p w14:paraId="7F19DCD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        </w:t>
      </w:r>
    </w:p>
    <w:p w14:paraId="5D8381D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项目联系人（询问）：梅洁        </w:t>
      </w:r>
    </w:p>
    <w:p w14:paraId="53BD34F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项目联系方式（询问）：13388440851        </w:t>
      </w:r>
    </w:p>
    <w:p w14:paraId="2D72C51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质疑联系人：蔡真鹏        </w:t>
      </w:r>
    </w:p>
    <w:p w14:paraId="5BCEC05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质疑联系方式：19106800108        </w:t>
      </w:r>
    </w:p>
    <w:p w14:paraId="1894E5E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0"/>
          <w:sz w:val="21"/>
          <w:szCs w:val="21"/>
        </w:rPr>
      </w:pPr>
    </w:p>
    <w:p w14:paraId="16D1A88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w:t>
      </w:r>
      <w:r>
        <w:rPr>
          <w:rStyle w:val="36"/>
          <w:rFonts w:hint="eastAsia" w:ascii="宋体" w:hAnsi="宋体" w:eastAsia="宋体" w:cs="宋体"/>
          <w:i w:val="0"/>
          <w:iCs w:val="0"/>
          <w:caps w:val="0"/>
          <w:color w:val="000000"/>
          <w:spacing w:val="0"/>
          <w:sz w:val="21"/>
          <w:szCs w:val="21"/>
        </w:rPr>
        <w:t>同级政府采购监督管理部门</w:t>
      </w:r>
    </w:p>
    <w:p w14:paraId="3E0FABC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称：舟山市财政局政府采购监管处</w:t>
      </w:r>
    </w:p>
    <w:p w14:paraId="4348E67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址：舟山市财政局</w:t>
      </w:r>
    </w:p>
    <w:p w14:paraId="6159153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真：0580-2282591</w:t>
      </w:r>
    </w:p>
    <w:p w14:paraId="3E95C4F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联 系 人：王女士</w:t>
      </w:r>
    </w:p>
    <w:p w14:paraId="3B37341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监督投诉电话：0580-2282591</w:t>
      </w:r>
      <w:r>
        <w:rPr>
          <w:rFonts w:hint="eastAsia" w:ascii="宋体" w:hAnsi="宋体" w:eastAsia="宋体" w:cs="宋体"/>
          <w:i w:val="0"/>
          <w:iCs w:val="0"/>
          <w:caps w:val="0"/>
          <w:color w:val="000000"/>
          <w:spacing w:val="0"/>
          <w:kern w:val="0"/>
          <w:sz w:val="21"/>
          <w:szCs w:val="21"/>
          <w:lang w:val="en-US" w:eastAsia="zh-CN" w:bidi="ar"/>
        </w:rPr>
        <w:t>     </w:t>
      </w:r>
    </w:p>
    <w:p w14:paraId="116DDB26">
      <w:pPr>
        <w:pStyle w:val="23"/>
        <w:keepNext w:val="0"/>
        <w:keepLines w:val="0"/>
        <w:pageBreakBefore w:val="0"/>
        <w:widowControl/>
        <w:suppressLineNumbers w:val="0"/>
        <w:kinsoku/>
        <w:wordWrap/>
        <w:overflowPunct/>
        <w:topLinePunct w:val="0"/>
        <w:autoSpaceDE/>
        <w:autoSpaceDN/>
        <w:bidi w:val="0"/>
        <w:adjustRightInd/>
        <w:snapToGrid/>
        <w:spacing w:before="600" w:beforeAutospacing="0" w:after="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若对项目采购电子交易系统操作有疑问，可登录政采云（https://www.zcygov.cn/），点击右侧咨询小采，获取采小蜜智能服务管家帮助，或拨打政采云服务热线95763获取热线服务帮助。</w:t>
      </w:r>
    </w:p>
    <w:p w14:paraId="0C04AC7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CA问题联系电话（人工）：汇信CA 400-888-4636；天谷CA 400-087-8198。</w:t>
      </w:r>
    </w:p>
    <w:p w14:paraId="5B5FC65E">
      <w:pPr>
        <w:pageBreakBefore w:val="0"/>
        <w:kinsoku/>
        <w:wordWrap/>
        <w:overflowPunct/>
        <w:topLinePunct w:val="0"/>
        <w:bidi w:val="0"/>
        <w:spacing w:line="360" w:lineRule="auto"/>
        <w:jc w:val="center"/>
        <w:outlineLvl w:val="0"/>
        <w:rPr>
          <w:rFonts w:ascii="宋体" w:hAnsi="宋体" w:cs="宋体"/>
          <w:b/>
          <w:szCs w:val="21"/>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第二章 采购需求</w:t>
      </w:r>
      <w:bookmarkStart w:id="4" w:name="_Toc6305"/>
      <w:bookmarkStart w:id="5" w:name="_Toc263083258"/>
      <w:bookmarkStart w:id="6" w:name="_Toc15530"/>
      <w:bookmarkStart w:id="7" w:name="_Toc517442217"/>
      <w:bookmarkStart w:id="8" w:name="_Toc37423705"/>
    </w:p>
    <w:bookmarkEnd w:id="4"/>
    <w:bookmarkEnd w:id="5"/>
    <w:bookmarkEnd w:id="6"/>
    <w:bookmarkEnd w:id="7"/>
    <w:bookmarkEnd w:id="8"/>
    <w:p w14:paraId="7B882B17">
      <w:pPr>
        <w:keepNext w:val="0"/>
        <w:keepLines w:val="0"/>
        <w:pageBreakBefore w:val="0"/>
        <w:kinsoku/>
        <w:wordWrap/>
        <w:overflowPunct/>
        <w:topLinePunct w:val="0"/>
        <w:autoSpaceDE/>
        <w:autoSpaceDN/>
        <w:bidi w:val="0"/>
        <w:spacing w:line="360" w:lineRule="auto"/>
        <w:outlineLvl w:val="1"/>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rPr>
        <w:t>一、</w:t>
      </w:r>
      <w:bookmarkStart w:id="9" w:name="_Toc42261953"/>
      <w:r>
        <w:rPr>
          <w:rFonts w:hint="eastAsia" w:ascii="宋体" w:hAnsi="宋体" w:eastAsia="宋体" w:cs="宋体"/>
          <w:b/>
          <w:sz w:val="21"/>
          <w:szCs w:val="21"/>
          <w:highlight w:val="none"/>
          <w:lang w:val="en-US" w:eastAsia="zh-CN"/>
        </w:rPr>
        <w:t>项目概况</w:t>
      </w:r>
    </w:p>
    <w:p w14:paraId="31DEC581">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1.1项目名称：2025年舟山交警司法鉴定服务项目</w:t>
      </w:r>
      <w:r>
        <w:rPr>
          <w:rFonts w:hint="eastAsia" w:ascii="宋体" w:hAnsi="宋体" w:cs="宋体"/>
          <w:b w:val="0"/>
          <w:bCs/>
          <w:sz w:val="21"/>
          <w:szCs w:val="21"/>
          <w:highlight w:val="none"/>
          <w:lang w:val="en-US" w:eastAsia="zh-CN"/>
        </w:rPr>
        <w:t>。</w:t>
      </w:r>
    </w:p>
    <w:p w14:paraId="64F91087">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1.2</w:t>
      </w:r>
      <w:r>
        <w:rPr>
          <w:rFonts w:hint="eastAsia" w:ascii="宋体" w:hAnsi="宋体" w:eastAsia="宋体" w:cs="宋体"/>
          <w:b w:val="0"/>
          <w:bCs/>
          <w:sz w:val="21"/>
          <w:szCs w:val="21"/>
          <w:highlight w:val="none"/>
        </w:rPr>
        <w:t>主要功能或者目标：视频车速鉴定、车辆性能检测、车辆属性检测、车辆改装类鉴定、基于痕迹的车速鉴定、是否接触鉴定、碰撞痕迹鉴定、事故成因鉴定、状态鉴定、车辆轨迹鉴定等</w:t>
      </w:r>
      <w:r>
        <w:rPr>
          <w:rFonts w:hint="eastAsia" w:ascii="宋体" w:hAnsi="宋体" w:cs="宋体"/>
          <w:b w:val="0"/>
          <w:bCs/>
          <w:sz w:val="21"/>
          <w:szCs w:val="21"/>
          <w:highlight w:val="none"/>
          <w:lang w:eastAsia="zh-CN"/>
        </w:rPr>
        <w:t>。</w:t>
      </w:r>
    </w:p>
    <w:p w14:paraId="798E9FF3">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1.3</w:t>
      </w:r>
      <w:r>
        <w:rPr>
          <w:rFonts w:hint="eastAsia" w:ascii="宋体" w:hAnsi="宋体" w:eastAsia="宋体" w:cs="宋体"/>
          <w:b w:val="0"/>
          <w:bCs/>
          <w:sz w:val="21"/>
          <w:szCs w:val="21"/>
          <w:highlight w:val="none"/>
        </w:rPr>
        <w:t>质量、服务、安全要求：要求检测机构出具相应报告；要求检测机构具有相应资质；要求送审样本保存安全完整</w:t>
      </w:r>
      <w:r>
        <w:rPr>
          <w:rFonts w:hint="eastAsia" w:ascii="宋体" w:hAnsi="宋体" w:cs="宋体"/>
          <w:b w:val="0"/>
          <w:bCs/>
          <w:sz w:val="21"/>
          <w:szCs w:val="21"/>
          <w:highlight w:val="none"/>
          <w:lang w:eastAsia="zh-CN"/>
        </w:rPr>
        <w:t>。</w:t>
      </w:r>
    </w:p>
    <w:p w14:paraId="7756667A">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1.4</w:t>
      </w:r>
      <w:r>
        <w:rPr>
          <w:rFonts w:hint="eastAsia" w:ascii="宋体" w:hAnsi="宋体" w:eastAsia="宋体" w:cs="宋体"/>
          <w:b w:val="0"/>
          <w:bCs/>
          <w:sz w:val="21"/>
          <w:szCs w:val="21"/>
          <w:highlight w:val="none"/>
        </w:rPr>
        <w:t>服务期限</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rPr>
        <w:t>自合同签订之日起1年</w:t>
      </w:r>
      <w:r>
        <w:rPr>
          <w:rFonts w:hint="eastAsia" w:ascii="宋体" w:hAnsi="宋体" w:cs="宋体"/>
          <w:b w:val="0"/>
          <w:bCs/>
          <w:sz w:val="21"/>
          <w:szCs w:val="21"/>
          <w:highlight w:val="none"/>
          <w:lang w:eastAsia="zh-CN"/>
        </w:rPr>
        <w:t>。</w:t>
      </w:r>
    </w:p>
    <w:p w14:paraId="440586E6">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1.5服务地点：</w:t>
      </w:r>
      <w:r>
        <w:rPr>
          <w:rFonts w:hint="eastAsia" w:ascii="宋体" w:hAnsi="宋体" w:eastAsia="宋体" w:cs="宋体"/>
          <w:sz w:val="21"/>
          <w:szCs w:val="21"/>
          <w:highlight w:val="none"/>
        </w:rPr>
        <w:t>采购人指定地点</w:t>
      </w:r>
      <w:r>
        <w:rPr>
          <w:rFonts w:hint="eastAsia" w:ascii="宋体" w:hAnsi="宋体" w:cs="宋体"/>
          <w:sz w:val="21"/>
          <w:szCs w:val="21"/>
          <w:highlight w:val="none"/>
          <w:lang w:eastAsia="zh-CN"/>
        </w:rPr>
        <w:t>。</w:t>
      </w:r>
    </w:p>
    <w:p w14:paraId="79476BCC">
      <w:pPr>
        <w:keepNext w:val="0"/>
        <w:keepLines w:val="0"/>
        <w:pageBreakBefore w:val="0"/>
        <w:kinsoku/>
        <w:wordWrap/>
        <w:overflowPunct/>
        <w:topLinePunct w:val="0"/>
        <w:autoSpaceDE/>
        <w:autoSpaceDN/>
        <w:bidi w:val="0"/>
        <w:spacing w:line="360" w:lineRule="auto"/>
        <w:ind w:firstLine="420" w:firstLineChars="200"/>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1.6预算说明：本项目预算金额80万分三个单位组成，其中舟山市公安局交通警察支队75万元，舟山市公安局普陀山分局交警大队</w:t>
      </w:r>
      <w:r>
        <w:rPr>
          <w:rFonts w:hint="eastAsia" w:ascii="宋体" w:hAnsi="宋体" w:cs="宋体"/>
          <w:b w:val="0"/>
          <w:bCs/>
          <w:sz w:val="21"/>
          <w:szCs w:val="21"/>
          <w:highlight w:val="none"/>
          <w:lang w:val="en-US" w:eastAsia="zh-CN"/>
        </w:rPr>
        <w:t>3</w:t>
      </w:r>
      <w:r>
        <w:rPr>
          <w:rFonts w:hint="eastAsia" w:ascii="宋体" w:hAnsi="宋体" w:eastAsia="宋体" w:cs="宋体"/>
          <w:b w:val="0"/>
          <w:bCs/>
          <w:sz w:val="21"/>
          <w:szCs w:val="21"/>
          <w:highlight w:val="none"/>
          <w:lang w:val="en-US" w:eastAsia="zh-CN"/>
        </w:rPr>
        <w:t>万元，舟山市公安局高速公路交通警察支队</w:t>
      </w:r>
      <w:r>
        <w:rPr>
          <w:rFonts w:hint="eastAsia" w:ascii="宋体" w:hAnsi="宋体" w:cs="宋体"/>
          <w:b w:val="0"/>
          <w:bCs/>
          <w:sz w:val="21"/>
          <w:szCs w:val="21"/>
          <w:highlight w:val="none"/>
          <w:lang w:val="en-US" w:eastAsia="zh-CN"/>
        </w:rPr>
        <w:t>2</w:t>
      </w:r>
      <w:r>
        <w:rPr>
          <w:rFonts w:hint="eastAsia" w:ascii="宋体" w:hAnsi="宋体" w:eastAsia="宋体" w:cs="宋体"/>
          <w:b w:val="0"/>
          <w:bCs/>
          <w:sz w:val="21"/>
          <w:szCs w:val="21"/>
          <w:highlight w:val="none"/>
          <w:lang w:val="en-US" w:eastAsia="zh-CN"/>
        </w:rPr>
        <w:t>万元</w:t>
      </w:r>
      <w:r>
        <w:rPr>
          <w:rFonts w:hint="eastAsia" w:ascii="宋体" w:hAnsi="宋体" w:cs="宋体"/>
          <w:b w:val="0"/>
          <w:bCs/>
          <w:sz w:val="21"/>
          <w:szCs w:val="21"/>
          <w:highlight w:val="none"/>
          <w:lang w:val="en-US" w:eastAsia="zh-CN"/>
        </w:rPr>
        <w:t>。</w:t>
      </w:r>
    </w:p>
    <w:p w14:paraId="3EBB9EBB">
      <w:pPr>
        <w:keepNext w:val="0"/>
        <w:keepLines w:val="0"/>
        <w:pageBreakBefore w:val="0"/>
        <w:kinsoku/>
        <w:wordWrap/>
        <w:overflowPunct/>
        <w:topLinePunct w:val="0"/>
        <w:autoSpaceDE/>
        <w:autoSpaceDN/>
        <w:bidi w:val="0"/>
        <w:spacing w:line="360" w:lineRule="auto"/>
        <w:ind w:firstLine="420" w:firstLineChars="200"/>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1.7本项目为统招分签项目，中标人与舟山市公安局交通警察支队、舟山市公安局普陀山分局交警大队、舟山市公安局高速公路交通警察支队分别签订</w:t>
      </w:r>
      <w:r>
        <w:rPr>
          <w:rFonts w:hint="eastAsia" w:ascii="宋体" w:hAnsi="宋体" w:cs="宋体"/>
          <w:b w:val="0"/>
          <w:bCs/>
          <w:sz w:val="21"/>
          <w:szCs w:val="21"/>
          <w:highlight w:val="none"/>
          <w:lang w:val="en-US" w:eastAsia="zh-CN"/>
        </w:rPr>
        <w:t>。</w:t>
      </w:r>
    </w:p>
    <w:p w14:paraId="0ACE6B24">
      <w:pPr>
        <w:keepNext w:val="0"/>
        <w:keepLines w:val="0"/>
        <w:pageBreakBefore w:val="0"/>
        <w:kinsoku/>
        <w:wordWrap/>
        <w:overflowPunct/>
        <w:topLinePunct w:val="0"/>
        <w:autoSpaceDE/>
        <w:autoSpaceDN/>
        <w:bidi w:val="0"/>
        <w:spacing w:line="360" w:lineRule="auto"/>
        <w:outlineLvl w:val="1"/>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二、项目内容</w:t>
      </w:r>
    </w:p>
    <w:p w14:paraId="5FB9DFDE">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交通警察支队事故车辆车检鉴定服务，投标人必须按照相关国家、行业标准开展车辆安全性能、车辆性能与事故成因关系、车辆类型、车速等鉴定工作。</w:t>
      </w:r>
    </w:p>
    <w:p w14:paraId="76233FE2">
      <w:pPr>
        <w:pageBreakBefore w:val="0"/>
        <w:tabs>
          <w:tab w:val="left" w:pos="360"/>
        </w:tabs>
        <w:kinsoku/>
        <w:wordWrap/>
        <w:overflowPunct/>
        <w:topLinePunct w:val="0"/>
        <w:bidi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道路交通事故车辆及违法需鉴定的车辆，具体检测内容如下。</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8"/>
        <w:gridCol w:w="2509"/>
        <w:gridCol w:w="1482"/>
        <w:gridCol w:w="1449"/>
        <w:gridCol w:w="1966"/>
      </w:tblGrid>
      <w:tr w14:paraId="15DD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346" w:type="pct"/>
            <w:vAlign w:val="center"/>
          </w:tcPr>
          <w:p w14:paraId="5EAFB21C">
            <w:pPr>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鉴定类目</w:t>
            </w:r>
          </w:p>
        </w:tc>
        <w:tc>
          <w:tcPr>
            <w:tcW w:w="1238" w:type="pct"/>
            <w:vAlign w:val="center"/>
          </w:tcPr>
          <w:p w14:paraId="63F6BDEB">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鉴定项目名称</w:t>
            </w:r>
          </w:p>
        </w:tc>
        <w:tc>
          <w:tcPr>
            <w:tcW w:w="731" w:type="pct"/>
            <w:shd w:val="clear" w:color="auto" w:fill="auto"/>
            <w:vAlign w:val="center"/>
          </w:tcPr>
          <w:p w14:paraId="12A1CDBC">
            <w:pPr>
              <w:pageBreakBefore w:val="0"/>
              <w:kinsoku/>
              <w:wordWrap/>
              <w:overflowPunct/>
              <w:topLinePunct w:val="0"/>
              <w:bidi w:val="0"/>
              <w:spacing w:line="360"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计量单位</w:t>
            </w:r>
          </w:p>
        </w:tc>
        <w:tc>
          <w:tcPr>
            <w:tcW w:w="715" w:type="pct"/>
            <w:shd w:val="clear" w:color="auto" w:fill="auto"/>
            <w:vAlign w:val="center"/>
          </w:tcPr>
          <w:p w14:paraId="3CEFCA74">
            <w:pPr>
              <w:pageBreakBefore w:val="0"/>
              <w:kinsoku/>
              <w:wordWrap/>
              <w:overflowPunct/>
              <w:topLinePunct w:val="0"/>
              <w:bidi w:val="0"/>
              <w:spacing w:line="360"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数量</w:t>
            </w:r>
          </w:p>
        </w:tc>
        <w:tc>
          <w:tcPr>
            <w:tcW w:w="967" w:type="pct"/>
            <w:vAlign w:val="center"/>
          </w:tcPr>
          <w:p w14:paraId="06324B8F">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最高限价（元/次）</w:t>
            </w:r>
          </w:p>
        </w:tc>
      </w:tr>
      <w:tr w14:paraId="2532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46" w:type="pct"/>
            <w:vMerge w:val="restart"/>
            <w:vAlign w:val="center"/>
          </w:tcPr>
          <w:p w14:paraId="3C2431E7">
            <w:pPr>
              <w:jc w:val="center"/>
              <w:rPr>
                <w:rFonts w:hint="eastAsia" w:ascii="宋体" w:hAnsi="宋体" w:eastAsia="宋体" w:cs="宋体"/>
                <w:sz w:val="21"/>
                <w:szCs w:val="21"/>
                <w:highlight w:val="none"/>
                <w:vertAlign w:val="baseline"/>
              </w:rPr>
            </w:pPr>
            <w:r>
              <w:rPr>
                <w:rFonts w:hint="eastAsia" w:ascii="宋体" w:hAnsi="宋体" w:eastAsia="宋体" w:cs="宋体"/>
                <w:kern w:val="0"/>
                <w:sz w:val="21"/>
                <w:szCs w:val="21"/>
                <w:highlight w:val="none"/>
                <w:lang w:val="en"/>
              </w:rPr>
              <w:t>车辆安全技术状况鉴定</w:t>
            </w:r>
          </w:p>
        </w:tc>
        <w:tc>
          <w:tcPr>
            <w:tcW w:w="1238" w:type="pct"/>
            <w:vAlign w:val="center"/>
          </w:tcPr>
          <w:p w14:paraId="6FD58F15">
            <w:pPr>
              <w:jc w:val="center"/>
              <w:rPr>
                <w:rFonts w:hint="eastAsia" w:ascii="宋体" w:hAnsi="宋体" w:eastAsia="宋体" w:cs="宋体"/>
                <w:kern w:val="0"/>
                <w:sz w:val="21"/>
                <w:szCs w:val="21"/>
                <w:highlight w:val="none"/>
                <w:lang w:val="en"/>
              </w:rPr>
            </w:pPr>
            <w:r>
              <w:rPr>
                <w:rFonts w:hint="eastAsia" w:ascii="宋体" w:hAnsi="宋体" w:eastAsia="宋体" w:cs="宋体"/>
                <w:sz w:val="21"/>
                <w:szCs w:val="21"/>
                <w:highlight w:val="none"/>
              </w:rPr>
              <w:t>车辆性能检测</w:t>
            </w:r>
          </w:p>
        </w:tc>
        <w:tc>
          <w:tcPr>
            <w:tcW w:w="731" w:type="pct"/>
            <w:shd w:val="clear" w:color="auto" w:fill="auto"/>
            <w:vAlign w:val="center"/>
          </w:tcPr>
          <w:p w14:paraId="6DBE335D">
            <w:pPr>
              <w:pageBreakBefore w:val="0"/>
              <w:kinsoku/>
              <w:wordWrap/>
              <w:overflowPunct/>
              <w:topLinePunct w:val="0"/>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辆</w:t>
            </w:r>
          </w:p>
        </w:tc>
        <w:tc>
          <w:tcPr>
            <w:tcW w:w="715" w:type="pct"/>
            <w:shd w:val="clear" w:color="auto" w:fill="auto"/>
            <w:vAlign w:val="center"/>
          </w:tcPr>
          <w:p w14:paraId="035BB258">
            <w:pPr>
              <w:pageBreakBefore w:val="0"/>
              <w:kinsoku/>
              <w:wordWrap/>
              <w:overflowPunct/>
              <w:topLinePunct w:val="0"/>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c>
          <w:tcPr>
            <w:tcW w:w="967" w:type="pct"/>
            <w:vAlign w:val="top"/>
          </w:tcPr>
          <w:p w14:paraId="428873D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450</w:t>
            </w:r>
          </w:p>
        </w:tc>
      </w:tr>
      <w:tr w14:paraId="1BEB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pct"/>
            <w:vMerge w:val="continue"/>
            <w:vAlign w:val="center"/>
          </w:tcPr>
          <w:p w14:paraId="7841AB36">
            <w:pPr>
              <w:jc w:val="center"/>
              <w:rPr>
                <w:rFonts w:hint="eastAsia" w:ascii="宋体" w:hAnsi="宋体" w:eastAsia="宋体" w:cs="宋体"/>
                <w:sz w:val="21"/>
                <w:szCs w:val="21"/>
                <w:highlight w:val="none"/>
                <w:vertAlign w:val="baseline"/>
              </w:rPr>
            </w:pPr>
          </w:p>
        </w:tc>
        <w:tc>
          <w:tcPr>
            <w:tcW w:w="1238" w:type="pct"/>
            <w:vAlign w:val="center"/>
          </w:tcPr>
          <w:p w14:paraId="070AD5EA">
            <w:pPr>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rPr>
              <w:t>车辆属性检测</w:t>
            </w:r>
          </w:p>
        </w:tc>
        <w:tc>
          <w:tcPr>
            <w:tcW w:w="731" w:type="pct"/>
            <w:shd w:val="clear" w:color="auto" w:fill="auto"/>
            <w:vAlign w:val="center"/>
          </w:tcPr>
          <w:p w14:paraId="73674989">
            <w:pPr>
              <w:pageBreakBefore w:val="0"/>
              <w:kinsoku/>
              <w:wordWrap/>
              <w:overflowPunct/>
              <w:topLinePunct w:val="0"/>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辆</w:t>
            </w:r>
          </w:p>
        </w:tc>
        <w:tc>
          <w:tcPr>
            <w:tcW w:w="715" w:type="pct"/>
            <w:shd w:val="clear" w:color="auto" w:fill="auto"/>
            <w:vAlign w:val="center"/>
          </w:tcPr>
          <w:p w14:paraId="68A838F0">
            <w:pPr>
              <w:pageBreakBefore w:val="0"/>
              <w:kinsoku/>
              <w:wordWrap/>
              <w:overflowPunct/>
              <w:topLinePunct w:val="0"/>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c>
          <w:tcPr>
            <w:tcW w:w="967" w:type="pct"/>
            <w:vAlign w:val="top"/>
          </w:tcPr>
          <w:p w14:paraId="2C4E855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500</w:t>
            </w:r>
          </w:p>
        </w:tc>
      </w:tr>
      <w:tr w14:paraId="5966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pct"/>
            <w:vMerge w:val="continue"/>
            <w:vAlign w:val="center"/>
          </w:tcPr>
          <w:p w14:paraId="306658D4">
            <w:pPr>
              <w:jc w:val="center"/>
              <w:rPr>
                <w:rFonts w:hint="eastAsia" w:ascii="宋体" w:hAnsi="宋体" w:eastAsia="宋体" w:cs="宋体"/>
                <w:sz w:val="21"/>
                <w:szCs w:val="21"/>
                <w:highlight w:val="none"/>
                <w:vertAlign w:val="baseline"/>
              </w:rPr>
            </w:pPr>
          </w:p>
        </w:tc>
        <w:tc>
          <w:tcPr>
            <w:tcW w:w="1238" w:type="pct"/>
            <w:vAlign w:val="center"/>
          </w:tcPr>
          <w:p w14:paraId="2EEDB426">
            <w:pPr>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rPr>
              <w:t>车辆改装类鉴定</w:t>
            </w:r>
          </w:p>
        </w:tc>
        <w:tc>
          <w:tcPr>
            <w:tcW w:w="731" w:type="pct"/>
            <w:shd w:val="clear" w:color="auto" w:fill="auto"/>
            <w:vAlign w:val="center"/>
          </w:tcPr>
          <w:p w14:paraId="3AFE553A">
            <w:pPr>
              <w:pageBreakBefore w:val="0"/>
              <w:kinsoku/>
              <w:wordWrap/>
              <w:overflowPunct/>
              <w:topLinePunct w:val="0"/>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辆</w:t>
            </w:r>
          </w:p>
        </w:tc>
        <w:tc>
          <w:tcPr>
            <w:tcW w:w="715" w:type="pct"/>
            <w:shd w:val="clear" w:color="auto" w:fill="auto"/>
            <w:vAlign w:val="center"/>
          </w:tcPr>
          <w:p w14:paraId="09B6236C">
            <w:pPr>
              <w:pageBreakBefore w:val="0"/>
              <w:kinsoku/>
              <w:wordWrap/>
              <w:overflowPunct/>
              <w:topLinePunct w:val="0"/>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c>
          <w:tcPr>
            <w:tcW w:w="967" w:type="pct"/>
            <w:vAlign w:val="top"/>
          </w:tcPr>
          <w:p w14:paraId="7FFACF4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800</w:t>
            </w:r>
          </w:p>
        </w:tc>
      </w:tr>
      <w:tr w14:paraId="7A55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pct"/>
            <w:vMerge w:val="restart"/>
            <w:vAlign w:val="center"/>
          </w:tcPr>
          <w:p w14:paraId="5611118E">
            <w:pPr>
              <w:jc w:val="center"/>
              <w:rPr>
                <w:rFonts w:hint="eastAsia" w:ascii="宋体" w:hAnsi="宋体" w:eastAsia="宋体" w:cs="宋体"/>
                <w:sz w:val="21"/>
                <w:szCs w:val="21"/>
                <w:highlight w:val="none"/>
                <w:vertAlign w:val="baseline"/>
              </w:rPr>
            </w:pPr>
            <w:r>
              <w:rPr>
                <w:rFonts w:hint="eastAsia" w:ascii="宋体" w:hAnsi="宋体" w:eastAsia="宋体" w:cs="宋体"/>
                <w:kern w:val="0"/>
                <w:sz w:val="21"/>
                <w:szCs w:val="21"/>
                <w:highlight w:val="none"/>
                <w:lang w:val="en"/>
              </w:rPr>
              <w:t>交通事故痕迹鉴定</w:t>
            </w:r>
          </w:p>
        </w:tc>
        <w:tc>
          <w:tcPr>
            <w:tcW w:w="1238" w:type="pct"/>
            <w:vAlign w:val="center"/>
          </w:tcPr>
          <w:p w14:paraId="7C2FF4CB">
            <w:pPr>
              <w:jc w:val="center"/>
              <w:rPr>
                <w:rFonts w:hint="eastAsia" w:ascii="宋体" w:hAnsi="宋体" w:eastAsia="宋体" w:cs="宋体"/>
                <w:kern w:val="0"/>
                <w:sz w:val="21"/>
                <w:szCs w:val="21"/>
                <w:highlight w:val="none"/>
                <w:lang w:val="en"/>
              </w:rPr>
            </w:pPr>
            <w:r>
              <w:rPr>
                <w:rFonts w:hint="eastAsia" w:ascii="宋体" w:hAnsi="宋体" w:eastAsia="宋体" w:cs="宋体"/>
                <w:sz w:val="21"/>
                <w:szCs w:val="21"/>
                <w:highlight w:val="none"/>
              </w:rPr>
              <w:t>碰撞痕迹鉴定</w:t>
            </w:r>
          </w:p>
        </w:tc>
        <w:tc>
          <w:tcPr>
            <w:tcW w:w="731" w:type="pct"/>
            <w:shd w:val="clear" w:color="auto" w:fill="auto"/>
            <w:vAlign w:val="center"/>
          </w:tcPr>
          <w:p w14:paraId="3B254645">
            <w:pPr>
              <w:pageBreakBefore w:val="0"/>
              <w:kinsoku/>
              <w:wordWrap/>
              <w:overflowPunct/>
              <w:topLinePunct w:val="0"/>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辆</w:t>
            </w:r>
          </w:p>
        </w:tc>
        <w:tc>
          <w:tcPr>
            <w:tcW w:w="715" w:type="pct"/>
            <w:shd w:val="clear" w:color="auto" w:fill="auto"/>
            <w:vAlign w:val="center"/>
          </w:tcPr>
          <w:p w14:paraId="2861D08E">
            <w:pPr>
              <w:pageBreakBefore w:val="0"/>
              <w:kinsoku/>
              <w:wordWrap/>
              <w:overflowPunct/>
              <w:topLinePunct w:val="0"/>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c>
          <w:tcPr>
            <w:tcW w:w="967" w:type="pct"/>
            <w:vAlign w:val="top"/>
          </w:tcPr>
          <w:p w14:paraId="306DC58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2500</w:t>
            </w:r>
          </w:p>
        </w:tc>
      </w:tr>
      <w:tr w14:paraId="0FEC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pct"/>
            <w:vMerge w:val="continue"/>
            <w:vAlign w:val="center"/>
          </w:tcPr>
          <w:p w14:paraId="41962331">
            <w:pPr>
              <w:jc w:val="center"/>
              <w:rPr>
                <w:rFonts w:hint="eastAsia" w:ascii="宋体" w:hAnsi="宋体" w:eastAsia="宋体" w:cs="宋体"/>
                <w:sz w:val="21"/>
                <w:szCs w:val="21"/>
                <w:highlight w:val="none"/>
                <w:vertAlign w:val="baseline"/>
              </w:rPr>
            </w:pPr>
          </w:p>
        </w:tc>
        <w:tc>
          <w:tcPr>
            <w:tcW w:w="1238" w:type="pct"/>
            <w:vAlign w:val="center"/>
          </w:tcPr>
          <w:p w14:paraId="00FBCDD0">
            <w:pPr>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rPr>
              <w:t>是否接触鉴定</w:t>
            </w:r>
          </w:p>
        </w:tc>
        <w:tc>
          <w:tcPr>
            <w:tcW w:w="731" w:type="pct"/>
            <w:shd w:val="clear" w:color="auto" w:fill="auto"/>
            <w:vAlign w:val="center"/>
          </w:tcPr>
          <w:p w14:paraId="01F2D172">
            <w:pPr>
              <w:pageBreakBefore w:val="0"/>
              <w:kinsoku/>
              <w:wordWrap/>
              <w:overflowPunct/>
              <w:topLinePunct w:val="0"/>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辆</w:t>
            </w:r>
          </w:p>
        </w:tc>
        <w:tc>
          <w:tcPr>
            <w:tcW w:w="715" w:type="pct"/>
            <w:shd w:val="clear" w:color="auto" w:fill="auto"/>
            <w:vAlign w:val="center"/>
          </w:tcPr>
          <w:p w14:paraId="33D6EB17">
            <w:pPr>
              <w:pageBreakBefore w:val="0"/>
              <w:kinsoku/>
              <w:wordWrap/>
              <w:overflowPunct/>
              <w:topLinePunct w:val="0"/>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c>
          <w:tcPr>
            <w:tcW w:w="967" w:type="pct"/>
            <w:vAlign w:val="top"/>
          </w:tcPr>
          <w:p w14:paraId="42CE725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2200</w:t>
            </w:r>
          </w:p>
        </w:tc>
      </w:tr>
      <w:tr w14:paraId="13CE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pct"/>
            <w:vMerge w:val="restart"/>
            <w:vAlign w:val="center"/>
          </w:tcPr>
          <w:p w14:paraId="72744A78">
            <w:pPr>
              <w:jc w:val="center"/>
              <w:rPr>
                <w:rFonts w:hint="eastAsia" w:ascii="宋体" w:hAnsi="宋体" w:eastAsia="宋体" w:cs="宋体"/>
                <w:sz w:val="21"/>
                <w:szCs w:val="21"/>
                <w:highlight w:val="none"/>
                <w:vertAlign w:val="baseline"/>
              </w:rPr>
            </w:pPr>
            <w:r>
              <w:rPr>
                <w:rFonts w:hint="eastAsia" w:ascii="宋体" w:hAnsi="宋体" w:eastAsia="宋体" w:cs="宋体"/>
                <w:kern w:val="0"/>
                <w:sz w:val="21"/>
                <w:szCs w:val="21"/>
                <w:highlight w:val="none"/>
                <w:lang w:val="en"/>
              </w:rPr>
              <w:t>车辆速度鉴定</w:t>
            </w:r>
          </w:p>
        </w:tc>
        <w:tc>
          <w:tcPr>
            <w:tcW w:w="1238" w:type="pct"/>
            <w:vAlign w:val="center"/>
          </w:tcPr>
          <w:p w14:paraId="0232D3BA">
            <w:pPr>
              <w:jc w:val="center"/>
              <w:rPr>
                <w:rFonts w:hint="eastAsia" w:ascii="宋体" w:hAnsi="宋体" w:eastAsia="宋体" w:cs="宋体"/>
                <w:kern w:val="0"/>
                <w:sz w:val="21"/>
                <w:szCs w:val="21"/>
                <w:highlight w:val="none"/>
                <w:lang w:val="en"/>
              </w:rPr>
            </w:pPr>
            <w:r>
              <w:rPr>
                <w:rFonts w:hint="eastAsia" w:ascii="宋体" w:hAnsi="宋体" w:eastAsia="宋体" w:cs="宋体"/>
                <w:sz w:val="21"/>
                <w:szCs w:val="21"/>
                <w:highlight w:val="none"/>
              </w:rPr>
              <w:t>视频车速鉴定</w:t>
            </w:r>
          </w:p>
        </w:tc>
        <w:tc>
          <w:tcPr>
            <w:tcW w:w="731" w:type="pct"/>
            <w:shd w:val="clear" w:color="auto" w:fill="auto"/>
            <w:vAlign w:val="center"/>
          </w:tcPr>
          <w:p w14:paraId="5DCCC0B6">
            <w:pPr>
              <w:pageBreakBefore w:val="0"/>
              <w:kinsoku/>
              <w:wordWrap/>
              <w:overflowPunct/>
              <w:topLinePunct w:val="0"/>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辆</w:t>
            </w:r>
          </w:p>
        </w:tc>
        <w:tc>
          <w:tcPr>
            <w:tcW w:w="715" w:type="pct"/>
            <w:shd w:val="clear" w:color="auto" w:fill="auto"/>
            <w:vAlign w:val="center"/>
          </w:tcPr>
          <w:p w14:paraId="189253D2">
            <w:pPr>
              <w:pageBreakBefore w:val="0"/>
              <w:kinsoku/>
              <w:wordWrap/>
              <w:overflowPunct/>
              <w:topLinePunct w:val="0"/>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c>
          <w:tcPr>
            <w:tcW w:w="967" w:type="pct"/>
            <w:vAlign w:val="top"/>
          </w:tcPr>
          <w:p w14:paraId="61253F2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2500</w:t>
            </w:r>
          </w:p>
        </w:tc>
      </w:tr>
      <w:tr w14:paraId="3638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pct"/>
            <w:vMerge w:val="continue"/>
            <w:vAlign w:val="center"/>
          </w:tcPr>
          <w:p w14:paraId="0A36E89E">
            <w:pPr>
              <w:jc w:val="center"/>
              <w:rPr>
                <w:rFonts w:hint="eastAsia" w:ascii="宋体" w:hAnsi="宋体" w:eastAsia="宋体" w:cs="宋体"/>
                <w:sz w:val="21"/>
                <w:szCs w:val="21"/>
                <w:highlight w:val="none"/>
                <w:vertAlign w:val="baseline"/>
              </w:rPr>
            </w:pPr>
          </w:p>
        </w:tc>
        <w:tc>
          <w:tcPr>
            <w:tcW w:w="1238" w:type="pct"/>
            <w:vAlign w:val="center"/>
          </w:tcPr>
          <w:p w14:paraId="75E1679E">
            <w:pPr>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rPr>
              <w:t>基于痕迹的车速鉴定</w:t>
            </w:r>
          </w:p>
        </w:tc>
        <w:tc>
          <w:tcPr>
            <w:tcW w:w="731" w:type="pct"/>
            <w:shd w:val="clear" w:color="auto" w:fill="auto"/>
            <w:vAlign w:val="center"/>
          </w:tcPr>
          <w:p w14:paraId="20A2F116">
            <w:pPr>
              <w:pageBreakBefore w:val="0"/>
              <w:kinsoku/>
              <w:wordWrap/>
              <w:overflowPunct/>
              <w:topLinePunct w:val="0"/>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辆</w:t>
            </w:r>
          </w:p>
        </w:tc>
        <w:tc>
          <w:tcPr>
            <w:tcW w:w="715" w:type="pct"/>
            <w:shd w:val="clear" w:color="auto" w:fill="auto"/>
            <w:vAlign w:val="center"/>
          </w:tcPr>
          <w:p w14:paraId="3BA2DBC5">
            <w:pPr>
              <w:pageBreakBefore w:val="0"/>
              <w:kinsoku/>
              <w:wordWrap/>
              <w:overflowPunct/>
              <w:topLinePunct w:val="0"/>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c>
          <w:tcPr>
            <w:tcW w:w="967" w:type="pct"/>
            <w:vAlign w:val="top"/>
          </w:tcPr>
          <w:p w14:paraId="0DDABE9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4500</w:t>
            </w:r>
          </w:p>
        </w:tc>
      </w:tr>
      <w:tr w14:paraId="5CCC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pct"/>
            <w:vMerge w:val="restart"/>
            <w:vAlign w:val="center"/>
          </w:tcPr>
          <w:p w14:paraId="45C6C95F">
            <w:pPr>
              <w:jc w:val="center"/>
              <w:rPr>
                <w:rFonts w:hint="eastAsia" w:ascii="宋体" w:hAnsi="宋体" w:eastAsia="宋体" w:cs="宋体"/>
                <w:sz w:val="21"/>
                <w:szCs w:val="21"/>
                <w:highlight w:val="none"/>
                <w:vertAlign w:val="baseline"/>
              </w:rPr>
            </w:pPr>
            <w:r>
              <w:rPr>
                <w:rFonts w:hint="eastAsia" w:ascii="宋体" w:hAnsi="宋体" w:eastAsia="宋体" w:cs="宋体"/>
                <w:kern w:val="0"/>
                <w:sz w:val="21"/>
                <w:szCs w:val="21"/>
                <w:highlight w:val="none"/>
                <w:lang w:val="en"/>
              </w:rPr>
              <w:t>交通事故痕迹物证综合鉴定</w:t>
            </w:r>
          </w:p>
        </w:tc>
        <w:tc>
          <w:tcPr>
            <w:tcW w:w="1238" w:type="pct"/>
            <w:vAlign w:val="center"/>
          </w:tcPr>
          <w:p w14:paraId="2448CD8D">
            <w:pPr>
              <w:jc w:val="center"/>
              <w:rPr>
                <w:rFonts w:hint="eastAsia" w:ascii="宋体" w:hAnsi="宋体" w:eastAsia="宋体" w:cs="宋体"/>
                <w:kern w:val="0"/>
                <w:sz w:val="21"/>
                <w:szCs w:val="21"/>
                <w:highlight w:val="none"/>
                <w:lang w:val="en"/>
              </w:rPr>
            </w:pPr>
            <w:r>
              <w:rPr>
                <w:rFonts w:hint="eastAsia" w:ascii="宋体" w:hAnsi="宋体" w:eastAsia="宋体" w:cs="宋体"/>
                <w:sz w:val="21"/>
                <w:szCs w:val="21"/>
                <w:highlight w:val="none"/>
              </w:rPr>
              <w:t>事故成因鉴定</w:t>
            </w:r>
          </w:p>
        </w:tc>
        <w:tc>
          <w:tcPr>
            <w:tcW w:w="731" w:type="pct"/>
            <w:shd w:val="clear" w:color="auto" w:fill="auto"/>
            <w:vAlign w:val="center"/>
          </w:tcPr>
          <w:p w14:paraId="36CDE31C">
            <w:pPr>
              <w:pageBreakBefore w:val="0"/>
              <w:kinsoku/>
              <w:wordWrap/>
              <w:overflowPunct/>
              <w:topLinePunct w:val="0"/>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辆</w:t>
            </w:r>
          </w:p>
        </w:tc>
        <w:tc>
          <w:tcPr>
            <w:tcW w:w="715" w:type="pct"/>
            <w:shd w:val="clear" w:color="auto" w:fill="auto"/>
            <w:vAlign w:val="center"/>
          </w:tcPr>
          <w:p w14:paraId="7AB847A8">
            <w:pPr>
              <w:pageBreakBefore w:val="0"/>
              <w:kinsoku/>
              <w:wordWrap/>
              <w:overflowPunct/>
              <w:topLinePunct w:val="0"/>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c>
          <w:tcPr>
            <w:tcW w:w="967" w:type="pct"/>
            <w:vAlign w:val="top"/>
          </w:tcPr>
          <w:p w14:paraId="01E1C6D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5000</w:t>
            </w:r>
          </w:p>
        </w:tc>
      </w:tr>
      <w:tr w14:paraId="4183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pct"/>
            <w:vMerge w:val="continue"/>
            <w:vAlign w:val="center"/>
          </w:tcPr>
          <w:p w14:paraId="5C70DE9A">
            <w:pPr>
              <w:jc w:val="center"/>
              <w:rPr>
                <w:rFonts w:hint="eastAsia" w:ascii="宋体" w:hAnsi="宋体" w:eastAsia="宋体" w:cs="宋体"/>
                <w:sz w:val="21"/>
                <w:szCs w:val="21"/>
                <w:highlight w:val="none"/>
                <w:vertAlign w:val="baseline"/>
              </w:rPr>
            </w:pPr>
          </w:p>
        </w:tc>
        <w:tc>
          <w:tcPr>
            <w:tcW w:w="1238" w:type="pct"/>
            <w:vAlign w:val="center"/>
          </w:tcPr>
          <w:p w14:paraId="7EB5E2CC">
            <w:pPr>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lang w:val="en-US" w:eastAsia="zh-CN"/>
              </w:rPr>
              <w:t>状态鉴定</w:t>
            </w:r>
          </w:p>
        </w:tc>
        <w:tc>
          <w:tcPr>
            <w:tcW w:w="731" w:type="pct"/>
            <w:shd w:val="clear" w:color="auto" w:fill="auto"/>
            <w:vAlign w:val="center"/>
          </w:tcPr>
          <w:p w14:paraId="6D5BA450">
            <w:pPr>
              <w:pageBreakBefore w:val="0"/>
              <w:kinsoku/>
              <w:wordWrap/>
              <w:overflowPunct/>
              <w:topLinePunct w:val="0"/>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辆</w:t>
            </w:r>
          </w:p>
        </w:tc>
        <w:tc>
          <w:tcPr>
            <w:tcW w:w="715" w:type="pct"/>
            <w:shd w:val="clear" w:color="auto" w:fill="auto"/>
            <w:vAlign w:val="center"/>
          </w:tcPr>
          <w:p w14:paraId="2D0B4ECA">
            <w:pPr>
              <w:pageBreakBefore w:val="0"/>
              <w:kinsoku/>
              <w:wordWrap/>
              <w:overflowPunct/>
              <w:topLinePunct w:val="0"/>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w:t>
            </w:r>
          </w:p>
        </w:tc>
        <w:tc>
          <w:tcPr>
            <w:tcW w:w="967" w:type="pct"/>
            <w:vAlign w:val="top"/>
          </w:tcPr>
          <w:p w14:paraId="47DCD450">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2800</w:t>
            </w:r>
          </w:p>
        </w:tc>
      </w:tr>
      <w:tr w14:paraId="7127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pct"/>
            <w:vMerge w:val="continue"/>
            <w:vAlign w:val="center"/>
          </w:tcPr>
          <w:p w14:paraId="126321F5">
            <w:pPr>
              <w:jc w:val="center"/>
              <w:rPr>
                <w:rFonts w:hint="eastAsia" w:ascii="宋体" w:hAnsi="宋体" w:eastAsia="宋体" w:cs="宋体"/>
                <w:sz w:val="21"/>
                <w:szCs w:val="21"/>
                <w:highlight w:val="none"/>
                <w:vertAlign w:val="baseline"/>
              </w:rPr>
            </w:pPr>
          </w:p>
        </w:tc>
        <w:tc>
          <w:tcPr>
            <w:tcW w:w="1238" w:type="pct"/>
            <w:vAlign w:val="center"/>
          </w:tcPr>
          <w:p w14:paraId="012D9B64">
            <w:pPr>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rPr>
              <w:t>车辆轨迹鉴定</w:t>
            </w:r>
          </w:p>
        </w:tc>
        <w:tc>
          <w:tcPr>
            <w:tcW w:w="731" w:type="pct"/>
            <w:shd w:val="clear" w:color="auto" w:fill="auto"/>
            <w:vAlign w:val="center"/>
          </w:tcPr>
          <w:p w14:paraId="6073CFC2">
            <w:pPr>
              <w:pageBreakBefore w:val="0"/>
              <w:kinsoku/>
              <w:wordWrap/>
              <w:overflowPunct/>
              <w:topLinePunct w:val="0"/>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辆</w:t>
            </w:r>
          </w:p>
        </w:tc>
        <w:tc>
          <w:tcPr>
            <w:tcW w:w="715" w:type="pct"/>
            <w:shd w:val="clear" w:color="auto" w:fill="auto"/>
            <w:vAlign w:val="center"/>
          </w:tcPr>
          <w:p w14:paraId="0457D8E2">
            <w:pPr>
              <w:pageBreakBefore w:val="0"/>
              <w:kinsoku/>
              <w:wordWrap/>
              <w:overflowPunct/>
              <w:topLinePunct w:val="0"/>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c>
          <w:tcPr>
            <w:tcW w:w="967" w:type="pct"/>
            <w:vAlign w:val="top"/>
          </w:tcPr>
          <w:p w14:paraId="2A05F0D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5000</w:t>
            </w:r>
          </w:p>
        </w:tc>
      </w:tr>
      <w:tr w14:paraId="060A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14:paraId="2FF238AE">
            <w:pPr>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1、汽车类包括汽车及汽车列车、轮式专用机械车、挂车、特型机动车和上道路行驶拖拉机。</w:t>
            </w:r>
          </w:p>
          <w:p w14:paraId="4A3294DF">
            <w:pPr>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2、摩托车类包括摩托车、二轮燃油车辆、三轮燃油车辆、二轮电动车、三轮电动车。</w:t>
            </w:r>
          </w:p>
          <w:p w14:paraId="28DE48BF">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3、四小车车辆类型鉴定包括二轮燃油车辆、三轮燃油车辆、二轮电动车、三轮电动车</w:t>
            </w:r>
            <w:r>
              <w:rPr>
                <w:rFonts w:hint="eastAsia" w:ascii="宋体" w:hAnsi="宋体" w:eastAsia="宋体" w:cs="宋体"/>
                <w:sz w:val="21"/>
                <w:szCs w:val="21"/>
                <w:highlight w:val="none"/>
                <w:lang w:eastAsia="zh-CN"/>
              </w:rPr>
              <w:t>。</w:t>
            </w:r>
          </w:p>
        </w:tc>
      </w:tr>
    </w:tbl>
    <w:p w14:paraId="1B68E7CD">
      <w:pPr>
        <w:pStyle w:val="2"/>
        <w:pageBreakBefore w:val="0"/>
        <w:kinsoku/>
        <w:wordWrap/>
        <w:overflowPunct/>
        <w:topLinePunct w:val="0"/>
        <w:bidi w:val="0"/>
        <w:spacing w:line="360" w:lineRule="auto"/>
        <w:ind w:firstLine="632" w:firstLineChars="300"/>
        <w:rPr>
          <w:rFonts w:hint="eastAsia" w:ascii="宋体" w:hAnsi="宋体" w:eastAsia="宋体" w:cs="宋体"/>
          <w:sz w:val="21"/>
          <w:szCs w:val="21"/>
          <w:highlight w:val="none"/>
        </w:rPr>
      </w:pPr>
      <w:r>
        <w:rPr>
          <w:rFonts w:hint="eastAsia" w:ascii="宋体" w:hAnsi="宋体" w:eastAsia="宋体" w:cs="宋体"/>
          <w:b/>
          <w:bCs/>
          <w:sz w:val="21"/>
          <w:szCs w:val="21"/>
          <w:highlight w:val="none"/>
        </w:rPr>
        <w:t>注：鉴定单位业务范围内必须包含所鉴定项目内容。</w:t>
      </w:r>
      <w:r>
        <w:rPr>
          <w:rFonts w:hint="eastAsia" w:ascii="宋体" w:hAnsi="宋体" w:eastAsia="宋体" w:cs="宋体"/>
          <w:b/>
          <w:sz w:val="21"/>
          <w:szCs w:val="21"/>
          <w:highlight w:val="none"/>
        </w:rPr>
        <w:t>结算时按实际数量计算。</w:t>
      </w:r>
    </w:p>
    <w:p w14:paraId="75AB93EC">
      <w:pPr>
        <w:pageBreakBefore w:val="0"/>
        <w:tabs>
          <w:tab w:val="left" w:pos="360"/>
        </w:tabs>
        <w:kinsoku/>
        <w:wordWrap/>
        <w:overflowPunct/>
        <w:topLinePunct w:val="0"/>
        <w:bidi w:val="0"/>
        <w:spacing w:line="360" w:lineRule="auto"/>
        <w:ind w:firstLine="527" w:firstLineChars="25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2、总体要求</w:t>
      </w:r>
    </w:p>
    <w:p w14:paraId="7EEA344E">
      <w:pPr>
        <w:pageBreakBefore w:val="0"/>
        <w:tabs>
          <w:tab w:val="left" w:pos="360"/>
        </w:tabs>
        <w:kinsoku/>
        <w:wordWrap/>
        <w:overflowPunct/>
        <w:topLinePunct w:val="0"/>
        <w:bidi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2.1</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须对招标范围内的全部内容进行投标。</w:t>
      </w:r>
    </w:p>
    <w:p w14:paraId="09052351">
      <w:pPr>
        <w:pageBreakBefore w:val="0"/>
        <w:tabs>
          <w:tab w:val="left" w:pos="360"/>
        </w:tabs>
        <w:kinsoku/>
        <w:wordWrap/>
        <w:overflowPunct/>
        <w:topLinePunct w:val="0"/>
        <w:bidi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必须按照相关国家、行业标准开展鉴定工作，检验鉴定过程必须遵循合法、公平、公开原则。</w:t>
      </w:r>
    </w:p>
    <w:p w14:paraId="4756E2FB">
      <w:pPr>
        <w:pageBreakBefore w:val="0"/>
        <w:tabs>
          <w:tab w:val="left" w:pos="360"/>
        </w:tabs>
        <w:kinsoku/>
        <w:wordWrap/>
        <w:overflowPunct/>
        <w:topLinePunct w:val="0"/>
        <w:bidi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2.3接到委托后</w:t>
      </w:r>
      <w:r>
        <w:rPr>
          <w:rFonts w:hint="eastAsia" w:ascii="宋体" w:hAnsi="宋体" w:cs="宋体"/>
          <w:sz w:val="21"/>
          <w:szCs w:val="21"/>
          <w:highlight w:val="none"/>
          <w:lang w:val="en-US" w:eastAsia="zh-CN"/>
        </w:rPr>
        <w:t>的中标人应在响应时效内按</w:t>
      </w:r>
      <w:r>
        <w:rPr>
          <w:rFonts w:hint="eastAsia" w:ascii="宋体" w:hAnsi="宋体" w:eastAsia="宋体" w:cs="宋体"/>
          <w:sz w:val="21"/>
          <w:szCs w:val="21"/>
          <w:highlight w:val="none"/>
        </w:rPr>
        <w:t>采购人要求时间到场，并在国家法律法规及上级有关文件规定时间内出具检验鉴定报告</w:t>
      </w:r>
      <w:r>
        <w:rPr>
          <w:rFonts w:hint="eastAsia" w:ascii="宋体" w:hAnsi="宋体" w:cs="宋体"/>
          <w:sz w:val="21"/>
          <w:szCs w:val="21"/>
          <w:highlight w:val="none"/>
          <w:lang w:eastAsia="zh-CN"/>
        </w:rPr>
        <w:t>。</w:t>
      </w:r>
      <w:r>
        <w:rPr>
          <w:rFonts w:hint="eastAsia" w:ascii="宋体" w:hAnsi="宋体" w:eastAsia="宋体" w:cs="宋体"/>
          <w:b w:val="0"/>
          <w:bCs w:val="0"/>
          <w:color w:val="auto"/>
          <w:sz w:val="21"/>
          <w:szCs w:val="21"/>
          <w:highlight w:val="none"/>
          <w:lang w:val="en-US" w:eastAsia="zh-CN"/>
        </w:rPr>
        <w:t>原则上</w:t>
      </w:r>
      <w:r>
        <w:rPr>
          <w:rFonts w:hint="eastAsia" w:ascii="宋体" w:hAnsi="宋体" w:cs="宋体"/>
          <w:b w:val="0"/>
          <w:bCs w:val="0"/>
          <w:color w:val="auto"/>
          <w:sz w:val="21"/>
          <w:szCs w:val="21"/>
          <w:highlight w:val="none"/>
          <w:lang w:val="en-US" w:eastAsia="zh-CN"/>
        </w:rPr>
        <w:t>常规</w:t>
      </w:r>
      <w:r>
        <w:rPr>
          <w:rFonts w:hint="eastAsia" w:ascii="宋体" w:hAnsi="宋体" w:eastAsia="宋体" w:cs="宋体"/>
          <w:b w:val="0"/>
          <w:bCs w:val="0"/>
          <w:color w:val="auto"/>
          <w:sz w:val="21"/>
          <w:szCs w:val="21"/>
          <w:highlight w:val="none"/>
          <w:lang w:val="en-US" w:eastAsia="zh-CN"/>
        </w:rPr>
        <w:t>委托</w:t>
      </w:r>
      <w:r>
        <w:rPr>
          <w:rFonts w:hint="eastAsia" w:ascii="宋体" w:hAnsi="宋体" w:cs="宋体"/>
          <w:b w:val="0"/>
          <w:bCs w:val="0"/>
          <w:color w:val="auto"/>
          <w:sz w:val="21"/>
          <w:szCs w:val="21"/>
          <w:highlight w:val="none"/>
          <w:lang w:val="en-US" w:eastAsia="zh-CN"/>
        </w:rPr>
        <w:t>鉴定在72小时内</w:t>
      </w:r>
      <w:r>
        <w:rPr>
          <w:rFonts w:hint="eastAsia" w:ascii="宋体" w:hAnsi="宋体" w:eastAsia="宋体" w:cs="宋体"/>
          <w:b w:val="0"/>
          <w:bCs w:val="0"/>
          <w:color w:val="auto"/>
          <w:sz w:val="21"/>
          <w:szCs w:val="21"/>
          <w:highlight w:val="none"/>
          <w:lang w:val="en-US" w:eastAsia="zh-CN"/>
        </w:rPr>
        <w:t>完成检材搜集，</w:t>
      </w:r>
      <w:r>
        <w:rPr>
          <w:rFonts w:hint="eastAsia" w:ascii="宋体" w:hAnsi="宋体" w:cs="宋体"/>
          <w:b w:val="0"/>
          <w:bCs w:val="0"/>
          <w:color w:val="auto"/>
          <w:sz w:val="21"/>
          <w:szCs w:val="21"/>
          <w:highlight w:val="none"/>
          <w:lang w:val="en-US" w:eastAsia="zh-CN"/>
        </w:rPr>
        <w:t>7个工作日内</w:t>
      </w:r>
      <w:r>
        <w:rPr>
          <w:rFonts w:hint="eastAsia" w:ascii="宋体" w:hAnsi="宋体" w:eastAsia="宋体" w:cs="宋体"/>
          <w:b w:val="0"/>
          <w:bCs w:val="0"/>
          <w:color w:val="auto"/>
          <w:sz w:val="21"/>
          <w:szCs w:val="21"/>
          <w:highlight w:val="none"/>
          <w:lang w:val="en-US" w:eastAsia="zh-CN"/>
        </w:rPr>
        <w:t>出具</w:t>
      </w:r>
      <w:r>
        <w:rPr>
          <w:rFonts w:hint="eastAsia" w:ascii="宋体" w:hAnsi="宋体" w:eastAsia="宋体" w:cs="宋体"/>
          <w:sz w:val="21"/>
          <w:szCs w:val="21"/>
          <w:highlight w:val="none"/>
        </w:rPr>
        <w:t>检验</w:t>
      </w:r>
      <w:r>
        <w:rPr>
          <w:rFonts w:hint="eastAsia" w:ascii="宋体" w:hAnsi="宋体" w:eastAsia="宋体" w:cs="宋体"/>
          <w:b w:val="0"/>
          <w:bCs w:val="0"/>
          <w:color w:val="auto"/>
          <w:sz w:val="21"/>
          <w:szCs w:val="21"/>
          <w:highlight w:val="none"/>
          <w:lang w:val="en-US" w:eastAsia="zh-CN"/>
        </w:rPr>
        <w:t>鉴定报告</w:t>
      </w:r>
      <w:r>
        <w:rPr>
          <w:rFonts w:hint="eastAsia" w:ascii="宋体" w:hAnsi="宋体" w:cs="宋体"/>
          <w:b w:val="0"/>
          <w:bCs w:val="0"/>
          <w:color w:val="auto"/>
          <w:sz w:val="21"/>
          <w:szCs w:val="21"/>
          <w:highlight w:val="none"/>
          <w:lang w:val="en-US" w:eastAsia="zh-CN"/>
        </w:rPr>
        <w:t>。</w:t>
      </w:r>
      <w:r>
        <w:rPr>
          <w:rFonts w:hint="eastAsia" w:ascii="宋体" w:hAnsi="宋体" w:eastAsia="宋体" w:cs="宋体"/>
          <w:sz w:val="21"/>
          <w:szCs w:val="21"/>
          <w:highlight w:val="none"/>
        </w:rPr>
        <w:t>如遇</w:t>
      </w:r>
      <w:r>
        <w:rPr>
          <w:rFonts w:hint="eastAsia" w:ascii="宋体" w:hAnsi="宋体" w:cs="宋体"/>
          <w:sz w:val="21"/>
          <w:szCs w:val="21"/>
          <w:highlight w:val="none"/>
          <w:lang w:val="en-US" w:eastAsia="zh-CN"/>
        </w:rPr>
        <w:t>紧急情况，</w:t>
      </w:r>
      <w:r>
        <w:rPr>
          <w:rFonts w:hint="eastAsia" w:ascii="宋体" w:hAnsi="宋体" w:eastAsia="宋体" w:cs="宋体"/>
          <w:b w:val="0"/>
          <w:bCs w:val="0"/>
          <w:color w:val="auto"/>
          <w:sz w:val="21"/>
          <w:szCs w:val="21"/>
          <w:highlight w:val="none"/>
          <w:lang w:val="en-US" w:eastAsia="zh-CN"/>
        </w:rPr>
        <w:t>投标人应无条件满足应急检验鉴定工作的要求，紧急案件24</w:t>
      </w:r>
      <w:r>
        <w:rPr>
          <w:rFonts w:hint="eastAsia" w:ascii="宋体" w:hAnsi="宋体" w:cs="宋体"/>
          <w:b w:val="0"/>
          <w:bCs w:val="0"/>
          <w:color w:val="auto"/>
          <w:sz w:val="21"/>
          <w:szCs w:val="21"/>
          <w:highlight w:val="none"/>
          <w:lang w:val="en-US" w:eastAsia="zh-CN"/>
        </w:rPr>
        <w:t>小时</w:t>
      </w:r>
      <w:r>
        <w:rPr>
          <w:rFonts w:hint="eastAsia" w:ascii="宋体" w:hAnsi="宋体" w:eastAsia="宋体" w:cs="宋体"/>
          <w:b w:val="0"/>
          <w:bCs w:val="0"/>
          <w:color w:val="auto"/>
          <w:sz w:val="21"/>
          <w:szCs w:val="21"/>
          <w:highlight w:val="none"/>
          <w:lang w:val="en-US" w:eastAsia="zh-CN"/>
        </w:rPr>
        <w:t>之内完成检材搜集，</w:t>
      </w:r>
      <w:r>
        <w:rPr>
          <w:rFonts w:hint="eastAsia" w:ascii="宋体" w:hAnsi="宋体" w:cs="宋体"/>
          <w:b w:val="0"/>
          <w:bCs w:val="0"/>
          <w:color w:val="auto"/>
          <w:sz w:val="21"/>
          <w:szCs w:val="21"/>
          <w:highlight w:val="none"/>
          <w:lang w:val="en-US" w:eastAsia="zh-CN"/>
        </w:rPr>
        <w:t>72</w:t>
      </w:r>
      <w:r>
        <w:rPr>
          <w:rFonts w:hint="eastAsia" w:ascii="宋体" w:hAnsi="宋体" w:eastAsia="宋体" w:cs="宋体"/>
          <w:b w:val="0"/>
          <w:bCs w:val="0"/>
          <w:color w:val="auto"/>
          <w:sz w:val="21"/>
          <w:szCs w:val="21"/>
          <w:highlight w:val="none"/>
          <w:lang w:val="en-US" w:eastAsia="zh-CN"/>
        </w:rPr>
        <w:t>小时之内出具检验鉴定结论</w:t>
      </w:r>
      <w:r>
        <w:rPr>
          <w:rFonts w:hint="eastAsia" w:ascii="宋体" w:hAnsi="宋体" w:cs="宋体"/>
          <w:b w:val="0"/>
          <w:bCs w:val="0"/>
          <w:color w:val="auto"/>
          <w:sz w:val="21"/>
          <w:szCs w:val="21"/>
          <w:highlight w:val="none"/>
          <w:lang w:val="en-US" w:eastAsia="zh-CN"/>
        </w:rPr>
        <w:t>。</w:t>
      </w:r>
    </w:p>
    <w:p w14:paraId="6B9DC435">
      <w:pPr>
        <w:pageBreakBefore w:val="0"/>
        <w:tabs>
          <w:tab w:val="left" w:pos="360"/>
        </w:tabs>
        <w:kinsoku/>
        <w:wordWrap/>
        <w:overflowPunct/>
        <w:topLinePunct w:val="0"/>
        <w:bidi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本次招标确定</w:t>
      </w:r>
      <w:r>
        <w:rPr>
          <w:rFonts w:hint="eastAsia" w:ascii="宋体" w:hAnsi="宋体" w:eastAsia="宋体" w:cs="宋体"/>
          <w:sz w:val="21"/>
          <w:szCs w:val="21"/>
          <w:highlight w:val="none"/>
          <w:u w:val="single"/>
        </w:rPr>
        <w:t>1</w:t>
      </w:r>
      <w:r>
        <w:rPr>
          <w:rFonts w:hint="eastAsia" w:ascii="宋体" w:hAnsi="宋体" w:eastAsia="宋体" w:cs="宋体"/>
          <w:sz w:val="21"/>
          <w:szCs w:val="21"/>
          <w:highlight w:val="none"/>
        </w:rPr>
        <w:t>家</w:t>
      </w:r>
      <w:r>
        <w:rPr>
          <w:rFonts w:hint="eastAsia" w:ascii="宋体" w:hAnsi="宋体" w:eastAsia="宋体" w:cs="宋体"/>
          <w:sz w:val="21"/>
          <w:szCs w:val="21"/>
          <w:highlight w:val="none"/>
          <w:lang w:eastAsia="zh-CN"/>
        </w:rPr>
        <w:t>成交人</w:t>
      </w:r>
      <w:r>
        <w:rPr>
          <w:rFonts w:hint="eastAsia" w:ascii="宋体" w:hAnsi="宋体" w:eastAsia="宋体" w:cs="宋体"/>
          <w:sz w:val="21"/>
          <w:szCs w:val="21"/>
          <w:highlight w:val="none"/>
        </w:rPr>
        <w:t>进行交通事故车辆技术检验鉴定工作。</w:t>
      </w:r>
    </w:p>
    <w:p w14:paraId="3A2F0F39">
      <w:pPr>
        <w:pageBreakBefore w:val="0"/>
        <w:tabs>
          <w:tab w:val="left" w:pos="360"/>
        </w:tabs>
        <w:kinsoku/>
        <w:wordWrap/>
        <w:overflowPunct/>
        <w:topLinePunct w:val="0"/>
        <w:bidi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项目负责人须</w:t>
      </w:r>
      <w:r>
        <w:rPr>
          <w:rFonts w:hint="eastAsia" w:ascii="宋体" w:hAnsi="宋体" w:cs="宋体"/>
          <w:sz w:val="21"/>
          <w:szCs w:val="21"/>
          <w:highlight w:val="none"/>
          <w:lang w:val="en-US" w:eastAsia="zh-CN"/>
        </w:rPr>
        <w:t>具备</w:t>
      </w:r>
      <w:r>
        <w:rPr>
          <w:rFonts w:hint="eastAsia" w:cs="宋体"/>
          <w:b w:val="0"/>
          <w:bCs w:val="0"/>
          <w:i w:val="0"/>
          <w:iCs w:val="0"/>
          <w:caps w:val="0"/>
          <w:color w:val="auto"/>
          <w:spacing w:val="0"/>
          <w:sz w:val="21"/>
          <w:szCs w:val="21"/>
          <w:highlight w:val="none"/>
          <w:lang w:val="en-US" w:eastAsia="zh-CN"/>
        </w:rPr>
        <w:t>物证类</w:t>
      </w:r>
      <w:r>
        <w:rPr>
          <w:rFonts w:hint="eastAsia" w:ascii="宋体" w:hAnsi="宋体" w:eastAsia="宋体" w:cs="宋体"/>
          <w:b w:val="0"/>
          <w:bCs w:val="0"/>
          <w:i w:val="0"/>
          <w:iCs w:val="0"/>
          <w:caps w:val="0"/>
          <w:color w:val="auto"/>
          <w:spacing w:val="0"/>
          <w:sz w:val="21"/>
          <w:szCs w:val="21"/>
          <w:highlight w:val="none"/>
        </w:rPr>
        <w:t>鉴定（交通事故痕迹物证鉴定）</w:t>
      </w:r>
      <w:r>
        <w:rPr>
          <w:rFonts w:hint="eastAsia" w:ascii="宋体" w:hAnsi="宋体" w:eastAsia="宋体" w:cs="宋体"/>
          <w:b w:val="0"/>
          <w:bCs w:val="0"/>
          <w:i w:val="0"/>
          <w:iCs w:val="0"/>
          <w:caps w:val="0"/>
          <w:color w:val="auto"/>
          <w:spacing w:val="0"/>
          <w:sz w:val="21"/>
          <w:szCs w:val="21"/>
          <w:highlight w:val="none"/>
          <w:lang w:eastAsia="zh-CN"/>
        </w:rPr>
        <w:t>的</w:t>
      </w:r>
      <w:r>
        <w:rPr>
          <w:rFonts w:hint="eastAsia" w:ascii="宋体" w:hAnsi="宋体" w:eastAsia="宋体" w:cs="宋体"/>
          <w:b w:val="0"/>
          <w:bCs w:val="0"/>
          <w:i w:val="0"/>
          <w:iCs w:val="0"/>
          <w:caps w:val="0"/>
          <w:color w:val="auto"/>
          <w:spacing w:val="0"/>
          <w:sz w:val="21"/>
          <w:szCs w:val="21"/>
          <w:highlight w:val="none"/>
          <w:lang w:val="en-US" w:eastAsia="zh-CN"/>
        </w:rPr>
        <w:t>鉴定能力</w:t>
      </w:r>
      <w:r>
        <w:rPr>
          <w:rFonts w:hint="eastAsia" w:ascii="宋体" w:hAnsi="宋体" w:eastAsia="宋体" w:cs="宋体"/>
          <w:sz w:val="21"/>
          <w:szCs w:val="21"/>
          <w:highlight w:val="none"/>
        </w:rPr>
        <w:t>，项目人员组</w:t>
      </w:r>
      <w:r>
        <w:rPr>
          <w:rFonts w:hint="eastAsia" w:ascii="宋体" w:hAnsi="宋体" w:cs="宋体"/>
          <w:sz w:val="21"/>
          <w:szCs w:val="21"/>
          <w:highlight w:val="none"/>
          <w:lang w:val="en-US" w:eastAsia="zh-CN"/>
        </w:rPr>
        <w:t>成员也需</w:t>
      </w:r>
      <w:r>
        <w:rPr>
          <w:rFonts w:hint="eastAsia" w:ascii="宋体" w:hAnsi="宋体" w:eastAsia="宋体" w:cs="宋体"/>
          <w:sz w:val="21"/>
          <w:szCs w:val="21"/>
          <w:highlight w:val="none"/>
        </w:rPr>
        <w:t>持有</w:t>
      </w:r>
      <w:r>
        <w:rPr>
          <w:rFonts w:hint="eastAsia" w:cs="宋体"/>
          <w:b w:val="0"/>
          <w:bCs w:val="0"/>
          <w:i w:val="0"/>
          <w:iCs w:val="0"/>
          <w:caps w:val="0"/>
          <w:color w:val="auto"/>
          <w:spacing w:val="0"/>
          <w:sz w:val="21"/>
          <w:szCs w:val="21"/>
          <w:highlight w:val="none"/>
          <w:lang w:val="en-US" w:eastAsia="zh-CN"/>
        </w:rPr>
        <w:t>物证类</w:t>
      </w:r>
      <w:r>
        <w:rPr>
          <w:rFonts w:hint="eastAsia" w:ascii="宋体" w:hAnsi="宋体" w:eastAsia="宋体" w:cs="宋体"/>
          <w:b w:val="0"/>
          <w:bCs w:val="0"/>
          <w:i w:val="0"/>
          <w:iCs w:val="0"/>
          <w:caps w:val="0"/>
          <w:color w:val="auto"/>
          <w:spacing w:val="0"/>
          <w:sz w:val="21"/>
          <w:szCs w:val="21"/>
          <w:highlight w:val="none"/>
        </w:rPr>
        <w:t>鉴定（交通事故痕迹物证鉴定）</w:t>
      </w:r>
      <w:r>
        <w:rPr>
          <w:rFonts w:hint="eastAsia" w:ascii="宋体" w:hAnsi="宋体" w:cs="宋体"/>
          <w:b w:val="0"/>
          <w:bCs w:val="0"/>
          <w:i w:val="0"/>
          <w:iCs w:val="0"/>
          <w:caps w:val="0"/>
          <w:color w:val="auto"/>
          <w:spacing w:val="0"/>
          <w:sz w:val="21"/>
          <w:szCs w:val="21"/>
          <w:highlight w:val="none"/>
          <w:lang w:val="en-US" w:eastAsia="zh-CN"/>
        </w:rPr>
        <w:t>证书</w:t>
      </w:r>
      <w:r>
        <w:rPr>
          <w:rFonts w:hint="eastAsia" w:ascii="宋体" w:hAnsi="宋体" w:eastAsia="宋体" w:cs="宋体"/>
          <w:sz w:val="21"/>
          <w:szCs w:val="21"/>
          <w:highlight w:val="none"/>
        </w:rPr>
        <w:t>，人数不得少于4人，并直接参与检验、鉴定工作。</w:t>
      </w:r>
    </w:p>
    <w:p w14:paraId="5A7555B3">
      <w:pPr>
        <w:pageBreakBefore w:val="0"/>
        <w:tabs>
          <w:tab w:val="left" w:pos="360"/>
        </w:tabs>
        <w:kinsoku/>
        <w:wordWrap/>
        <w:overflowPunct/>
        <w:topLinePunct w:val="0"/>
        <w:bidi w:val="0"/>
        <w:spacing w:line="360" w:lineRule="auto"/>
        <w:ind w:firstLine="525" w:firstLineChars="2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投标人应具有固定、独立的检验鉴定场所；实验室、样品室（物证室）、档案室、办公室、接案室、资料室等功能区域划分科学、设置合理，符合工作要求；对于现场工作以及涉及生物检材/样本、危险性检材/样本的区域和人员，</w:t>
      </w:r>
      <w:r>
        <w:rPr>
          <w:rFonts w:hint="eastAsia" w:ascii="宋体" w:hAnsi="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lang w:eastAsia="zh-CN"/>
        </w:rPr>
        <w:t>应能够提供适当的防护措施。</w:t>
      </w:r>
    </w:p>
    <w:p w14:paraId="6E6C641C">
      <w:pPr>
        <w:pageBreakBefore w:val="0"/>
        <w:tabs>
          <w:tab w:val="left" w:pos="360"/>
        </w:tabs>
        <w:kinsoku/>
        <w:wordWrap/>
        <w:overflowPunct/>
        <w:topLinePunct w:val="0"/>
        <w:bidi w:val="0"/>
        <w:spacing w:line="360" w:lineRule="auto"/>
        <w:ind w:firstLine="525" w:firstLineChars="2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7投标人</w:t>
      </w:r>
      <w:r>
        <w:rPr>
          <w:rFonts w:hint="eastAsia" w:ascii="宋体" w:hAnsi="宋体" w:cs="宋体"/>
          <w:b w:val="0"/>
          <w:bCs w:val="0"/>
          <w:color w:val="auto"/>
          <w:sz w:val="21"/>
          <w:szCs w:val="21"/>
          <w:highlight w:val="none"/>
          <w:lang w:val="en-US" w:eastAsia="zh-CN"/>
        </w:rPr>
        <w:t>应</w:t>
      </w:r>
      <w:r>
        <w:rPr>
          <w:rFonts w:hint="eastAsia" w:ascii="宋体" w:hAnsi="宋体" w:eastAsia="宋体" w:cs="宋体"/>
          <w:b w:val="0"/>
          <w:bCs w:val="0"/>
          <w:color w:val="auto"/>
          <w:sz w:val="21"/>
          <w:szCs w:val="21"/>
          <w:highlight w:val="none"/>
        </w:rPr>
        <w:t>配备用</w:t>
      </w:r>
      <w:r>
        <w:rPr>
          <w:rFonts w:hint="eastAsia" w:ascii="宋体" w:hAnsi="宋体" w:eastAsia="宋体" w:cs="宋体"/>
          <w:b w:val="0"/>
          <w:bCs w:val="0"/>
          <w:color w:val="auto"/>
          <w:sz w:val="21"/>
          <w:szCs w:val="21"/>
          <w:highlight w:val="none"/>
          <w:lang w:val="en-US" w:eastAsia="zh-CN"/>
        </w:rPr>
        <w:t>于</w:t>
      </w:r>
      <w:r>
        <w:rPr>
          <w:rFonts w:hint="eastAsia" w:ascii="宋体" w:hAnsi="宋体" w:eastAsia="宋体" w:cs="宋体"/>
          <w:b w:val="0"/>
          <w:bCs w:val="0"/>
          <w:color w:val="auto"/>
          <w:sz w:val="21"/>
          <w:szCs w:val="21"/>
          <w:highlight w:val="none"/>
        </w:rPr>
        <w:t>勘验的交通工具</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并</w:t>
      </w:r>
      <w:r>
        <w:rPr>
          <w:rFonts w:hint="eastAsia" w:ascii="宋体" w:hAnsi="宋体" w:eastAsia="宋体" w:cs="宋体"/>
          <w:b w:val="0"/>
          <w:bCs w:val="0"/>
          <w:color w:val="auto"/>
          <w:sz w:val="21"/>
          <w:szCs w:val="21"/>
          <w:highlight w:val="none"/>
        </w:rPr>
        <w:t>配备有满足相关标准要求的用于勘验和提取取证，以及进行事故车辆安全技术检验的仪器和装备。</w:t>
      </w:r>
    </w:p>
    <w:p w14:paraId="513BCAD0">
      <w:pPr>
        <w:pageBreakBefore w:val="0"/>
        <w:tabs>
          <w:tab w:val="left" w:pos="360"/>
        </w:tabs>
        <w:kinsoku/>
        <w:wordWrap/>
        <w:overflowPunct/>
        <w:topLinePunct w:val="0"/>
        <w:bidi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应提供符合本技术要求和国家标准、行业标准的优质服务。</w:t>
      </w:r>
    </w:p>
    <w:p w14:paraId="5281D931">
      <w:pPr>
        <w:pStyle w:val="2"/>
        <w:pageBreakBefore w:val="0"/>
        <w:kinsoku/>
        <w:wordWrap/>
        <w:overflowPunct/>
        <w:topLinePunct w:val="0"/>
        <w:bidi w:val="0"/>
        <w:spacing w:line="36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投标人</w:t>
      </w:r>
      <w:r>
        <w:rPr>
          <w:rFonts w:hint="eastAsia" w:ascii="宋体" w:hAnsi="宋体" w:eastAsia="宋体" w:cs="宋体"/>
          <w:b w:val="0"/>
          <w:bCs w:val="0"/>
          <w:sz w:val="21"/>
          <w:szCs w:val="21"/>
          <w:highlight w:val="none"/>
        </w:rPr>
        <w:t>提供的服务应标明所执行的质量标准，若同一标准已颁发新标准，则按最新标准执行。若同时有几个标准（国际标准、国家标准、行业标准、企业标准等），则按最高层次的标准执行。</w:t>
      </w:r>
    </w:p>
    <w:p w14:paraId="4A33E1D6">
      <w:pPr>
        <w:pageBreakBefore w:val="0"/>
        <w:kinsoku/>
        <w:wordWrap/>
        <w:overflowPunct/>
        <w:topLinePunct w:val="0"/>
        <w:bidi w:val="0"/>
        <w:adjustRightInd w:val="0"/>
        <w:snapToGrid w:val="0"/>
        <w:spacing w:line="360" w:lineRule="auto"/>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三</w:t>
      </w:r>
      <w:r>
        <w:rPr>
          <w:rFonts w:hint="eastAsia" w:ascii="宋体" w:hAnsi="宋体" w:eastAsia="宋体" w:cs="宋体"/>
          <w:b/>
          <w:sz w:val="21"/>
          <w:szCs w:val="21"/>
          <w:highlight w:val="none"/>
        </w:rPr>
        <w:t>、服务条款要求</w:t>
      </w:r>
    </w:p>
    <w:p w14:paraId="1DD9A7C1">
      <w:pPr>
        <w:pageBreakBefore w:val="0"/>
        <w:tabs>
          <w:tab w:val="left" w:pos="360"/>
        </w:tabs>
        <w:kinsoku/>
        <w:wordWrap/>
        <w:overflowPunct/>
        <w:topLinePunct w:val="0"/>
        <w:bidi w:val="0"/>
        <w:spacing w:line="360" w:lineRule="auto"/>
        <w:ind w:firstLine="525" w:firstLineChars="250"/>
        <w:rPr>
          <w:rFonts w:hint="eastAsia" w:ascii="宋体" w:hAnsi="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成交人</w:t>
      </w:r>
      <w:r>
        <w:rPr>
          <w:rFonts w:hint="eastAsia" w:ascii="宋体" w:hAnsi="宋体" w:eastAsia="宋体" w:cs="宋体"/>
          <w:sz w:val="21"/>
          <w:szCs w:val="21"/>
          <w:highlight w:val="none"/>
        </w:rPr>
        <w:t>在接到采购人的委托书后，应按委托要求时间派技术人员准时到达指定地点，并按照委托项目对事故车辆进行检验，及时将检验鉴定书送达采购人</w:t>
      </w:r>
      <w:r>
        <w:rPr>
          <w:rFonts w:hint="eastAsia" w:ascii="宋体" w:hAnsi="宋体" w:cs="宋体"/>
          <w:sz w:val="21"/>
          <w:szCs w:val="21"/>
          <w:highlight w:val="none"/>
          <w:lang w:eastAsia="zh-CN"/>
        </w:rPr>
        <w:t>。</w:t>
      </w:r>
    </w:p>
    <w:p w14:paraId="5974E9EA">
      <w:pPr>
        <w:pageBreakBefore w:val="0"/>
        <w:tabs>
          <w:tab w:val="left" w:pos="360"/>
        </w:tabs>
        <w:kinsoku/>
        <w:wordWrap/>
        <w:overflowPunct/>
        <w:topLinePunct w:val="0"/>
        <w:bidi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2、交通事故车辆技术检验鉴定工作应严格按照国家标准进行。</w:t>
      </w:r>
    </w:p>
    <w:p w14:paraId="7D165726">
      <w:pPr>
        <w:pageBreakBefore w:val="0"/>
        <w:tabs>
          <w:tab w:val="left" w:pos="360"/>
        </w:tabs>
        <w:kinsoku/>
        <w:wordWrap/>
        <w:overflowPunct/>
        <w:topLinePunct w:val="0"/>
        <w:bidi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3、保密要求：</w:t>
      </w:r>
      <w:r>
        <w:rPr>
          <w:rFonts w:hint="eastAsia" w:ascii="宋体" w:hAnsi="宋体" w:eastAsia="宋体" w:cs="宋体"/>
          <w:sz w:val="21"/>
          <w:szCs w:val="21"/>
          <w:highlight w:val="none"/>
          <w:lang w:eastAsia="zh-CN"/>
        </w:rPr>
        <w:t>成交人</w:t>
      </w:r>
      <w:r>
        <w:rPr>
          <w:rFonts w:hint="eastAsia" w:ascii="宋体" w:hAnsi="宋体" w:eastAsia="宋体" w:cs="宋体"/>
          <w:sz w:val="21"/>
          <w:szCs w:val="21"/>
          <w:highlight w:val="none"/>
        </w:rPr>
        <w:t>需将勘查资料及检验、鉴定报告妥善保存</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并</w:t>
      </w:r>
      <w:r>
        <w:rPr>
          <w:rFonts w:hint="eastAsia" w:ascii="宋体" w:hAnsi="宋体" w:eastAsia="宋体" w:cs="宋体"/>
          <w:sz w:val="21"/>
          <w:szCs w:val="21"/>
          <w:highlight w:val="none"/>
        </w:rPr>
        <w:t>严格遵守《数据安全法》及相关数据安全管理规定，在上岗前签订具有法律效力的保密协议，对事故信息实行全程加密处理，包括但不限于存储加密、传输加密和访问控制，确保数据全生命周期安全</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未经采购人书面同意，不得以任何方式向第三方转让、泄露关于交通事故的相关资料。</w:t>
      </w:r>
    </w:p>
    <w:p w14:paraId="3D8E1D06">
      <w:pPr>
        <w:pageBreakBefore w:val="0"/>
        <w:tabs>
          <w:tab w:val="left" w:pos="360"/>
        </w:tabs>
        <w:kinsoku/>
        <w:wordWrap/>
        <w:overflowPunct/>
        <w:topLinePunct w:val="0"/>
        <w:bidi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4、由检验鉴定小组2名（或以上）技术人员共同检验鉴定</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包括需到现场鉴定情况</w:t>
      </w:r>
      <w:r>
        <w:rPr>
          <w:rFonts w:hint="eastAsia" w:ascii="宋体" w:hAnsi="宋体" w:cs="宋体"/>
          <w:b/>
          <w:bCs/>
          <w:sz w:val="21"/>
          <w:szCs w:val="21"/>
          <w:highlight w:val="none"/>
          <w:lang w:eastAsia="zh-CN"/>
        </w:rPr>
        <w:t>）</w:t>
      </w:r>
      <w:r>
        <w:rPr>
          <w:rFonts w:hint="eastAsia" w:ascii="宋体" w:hAnsi="宋体" w:eastAsia="宋体" w:cs="宋体"/>
          <w:sz w:val="21"/>
          <w:szCs w:val="21"/>
          <w:highlight w:val="none"/>
        </w:rPr>
        <w:t>，并统一按规定的文字格式规范制作并注明签发日期，检验鉴定书根据实际需求出具相应份数（电脑打印），由检验鉴定该车的两名（或以上）专业技术人员共同签名并注明技术职称，并加盖检验鉴定单位印章，并附鉴定机构和人员资质。</w:t>
      </w:r>
    </w:p>
    <w:p w14:paraId="1E5EE3D6">
      <w:pPr>
        <w:pageBreakBefore w:val="0"/>
        <w:tabs>
          <w:tab w:val="left" w:pos="360"/>
        </w:tabs>
        <w:kinsoku/>
        <w:wordWrap/>
        <w:overflowPunct/>
        <w:topLinePunct w:val="0"/>
        <w:bidi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5、对关键零部件做检验鉴定时，应同时按事故痕迹的拍照规范进行拍照固定并附照片进行文字说明，与检验鉴定书一并交采购人。</w:t>
      </w:r>
    </w:p>
    <w:p w14:paraId="26305DBD">
      <w:pPr>
        <w:keepLines w:val="0"/>
        <w:pageBreakBefore w:val="0"/>
        <w:widowControl w:val="0"/>
        <w:tabs>
          <w:tab w:val="left" w:pos="360"/>
        </w:tabs>
        <w:kinsoku/>
        <w:wordWrap/>
        <w:overflowPunct/>
        <w:topLinePunct w:val="0"/>
        <w:autoSpaceDE/>
        <w:autoSpaceDN/>
        <w:bidi w:val="0"/>
        <w:spacing w:line="360" w:lineRule="auto"/>
        <w:ind w:firstLine="525" w:firstLineChars="2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鉴定报告应当符合《司法鉴定程序通则》关于法律文书格式的规范要求，采用标准化文书格式，包含完整的要素信息。鉴定结论应当表述准确、逻辑严密、用词规范，不得使用模棱两可或可能产生歧义的表述，确保鉴定意见具有唯一性和确定性。</w:t>
      </w:r>
    </w:p>
    <w:p w14:paraId="2F8A1B8E">
      <w:pPr>
        <w:keepLines w:val="0"/>
        <w:pageBreakBefore w:val="0"/>
        <w:widowControl w:val="0"/>
        <w:tabs>
          <w:tab w:val="left" w:pos="360"/>
        </w:tabs>
        <w:kinsoku/>
        <w:wordWrap/>
        <w:overflowPunct/>
        <w:topLinePunct w:val="0"/>
        <w:autoSpaceDE/>
        <w:autoSpaceDN/>
        <w:bidi w:val="0"/>
        <w:spacing w:line="360" w:lineRule="auto"/>
        <w:ind w:firstLine="525" w:firstLineChars="250"/>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成交人</w:t>
      </w:r>
      <w:r>
        <w:rPr>
          <w:rFonts w:hint="eastAsia" w:ascii="宋体" w:hAnsi="宋体" w:eastAsia="宋体" w:cs="宋体"/>
          <w:sz w:val="21"/>
          <w:szCs w:val="21"/>
          <w:highlight w:val="none"/>
        </w:rPr>
        <w:t>应当建立7×24小时应急响应机制，配备专职应急联络人员，确保在法定节假日、夜间（1</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：00-8：</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）等非工作时段仍能保持通讯畅通，并在接到紧急鉴定需求后2小时内作出响应，4小时内启动鉴定程序。应急联络人员信息（包括固定电话、移动电话、电子邮箱）应当提前备案并及时更新。</w:t>
      </w:r>
      <w:r>
        <w:rPr>
          <w:rFonts w:hint="eastAsia" w:ascii="宋体" w:hAnsi="宋体" w:cs="宋体"/>
          <w:sz w:val="21"/>
          <w:szCs w:val="21"/>
          <w:highlight w:val="none"/>
          <w:lang w:val="en-US" w:eastAsia="zh-CN"/>
        </w:rPr>
        <w:t>对于紧急项目，成交人需出具初步的鉴定报告以供采购人工作的进行。</w:t>
      </w:r>
    </w:p>
    <w:p w14:paraId="462F51EB">
      <w:pPr>
        <w:keepLines w:val="0"/>
        <w:pageBreakBefore w:val="0"/>
        <w:widowControl w:val="0"/>
        <w:tabs>
          <w:tab w:val="left" w:pos="360"/>
        </w:tabs>
        <w:kinsoku/>
        <w:wordWrap/>
        <w:overflowPunct/>
        <w:topLinePunct w:val="0"/>
        <w:autoSpaceDE/>
        <w:autoSpaceDN/>
        <w:bidi w:val="0"/>
        <w:spacing w:line="360" w:lineRule="auto"/>
        <w:ind w:firstLine="525" w:firstLineChars="25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、因工作需要，采购人临时向</w:t>
      </w:r>
      <w:r>
        <w:rPr>
          <w:rFonts w:hint="eastAsia" w:ascii="宋体" w:hAnsi="宋体" w:eastAsia="宋体" w:cs="宋体"/>
          <w:sz w:val="21"/>
          <w:szCs w:val="21"/>
          <w:highlight w:val="none"/>
          <w:lang w:eastAsia="zh-CN"/>
        </w:rPr>
        <w:t>成交人</w:t>
      </w:r>
      <w:r>
        <w:rPr>
          <w:rFonts w:hint="eastAsia" w:ascii="宋体" w:hAnsi="宋体" w:eastAsia="宋体" w:cs="宋体"/>
          <w:sz w:val="21"/>
          <w:szCs w:val="21"/>
          <w:highlight w:val="none"/>
        </w:rPr>
        <w:t>提出服务的要求，应全力配合，按照采购人提出标准及要求完成，不得无故拖延。</w:t>
      </w:r>
    </w:p>
    <w:p w14:paraId="434AA1BE">
      <w:pPr>
        <w:keepLines w:val="0"/>
        <w:pageBreakBefore w:val="0"/>
        <w:widowControl w:val="0"/>
        <w:tabs>
          <w:tab w:val="left" w:pos="360"/>
        </w:tabs>
        <w:kinsoku/>
        <w:wordWrap/>
        <w:overflowPunct/>
        <w:topLinePunct w:val="0"/>
        <w:autoSpaceDE/>
        <w:autoSpaceDN/>
        <w:bidi w:val="0"/>
        <w:spacing w:line="360" w:lineRule="auto"/>
        <w:ind w:firstLine="525" w:firstLineChars="25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成交人</w:t>
      </w:r>
      <w:r>
        <w:rPr>
          <w:rFonts w:hint="eastAsia" w:ascii="宋体" w:hAnsi="宋体" w:eastAsia="宋体" w:cs="宋体"/>
          <w:sz w:val="21"/>
          <w:szCs w:val="21"/>
          <w:highlight w:val="none"/>
        </w:rPr>
        <w:t>必须对员工发生的事故责任以及员工计生、身份、健康等承担责任；同时对员工</w:t>
      </w:r>
      <w:r>
        <w:rPr>
          <w:rFonts w:hint="eastAsia" w:ascii="宋体" w:hAnsi="宋体" w:eastAsia="宋体" w:cs="宋体"/>
          <w:sz w:val="21"/>
          <w:szCs w:val="21"/>
          <w:highlight w:val="none"/>
          <w:lang w:val="en-US" w:eastAsia="zh-CN"/>
        </w:rPr>
        <w:t>因</w:t>
      </w:r>
      <w:r>
        <w:rPr>
          <w:rFonts w:hint="eastAsia" w:ascii="宋体" w:hAnsi="宋体" w:eastAsia="宋体" w:cs="宋体"/>
          <w:sz w:val="21"/>
          <w:szCs w:val="21"/>
          <w:highlight w:val="none"/>
        </w:rPr>
        <w:t>作业期间做出不良行为</w:t>
      </w:r>
      <w:r>
        <w:rPr>
          <w:rFonts w:hint="eastAsia" w:ascii="宋体" w:hAnsi="宋体" w:eastAsia="宋体" w:cs="宋体"/>
          <w:sz w:val="21"/>
          <w:szCs w:val="21"/>
          <w:highlight w:val="none"/>
          <w:lang w:val="en-US" w:eastAsia="zh-CN"/>
        </w:rPr>
        <w:t>而</w:t>
      </w:r>
      <w:r>
        <w:rPr>
          <w:rFonts w:hint="eastAsia" w:ascii="宋体" w:hAnsi="宋体" w:eastAsia="宋体" w:cs="宋体"/>
          <w:sz w:val="21"/>
          <w:szCs w:val="21"/>
          <w:highlight w:val="none"/>
        </w:rPr>
        <w:t>给</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造成影响承担责任。</w:t>
      </w:r>
    </w:p>
    <w:p w14:paraId="12436A86">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成交人</w:t>
      </w:r>
      <w:r>
        <w:rPr>
          <w:rFonts w:hint="eastAsia" w:ascii="宋体" w:hAnsi="宋体" w:eastAsia="宋体" w:cs="宋体"/>
          <w:sz w:val="21"/>
          <w:szCs w:val="21"/>
          <w:highlight w:val="none"/>
        </w:rPr>
        <w:t>员工发生被媒体曝光或影响采购人公众形象或违反采购人规章制度</w:t>
      </w:r>
      <w:r>
        <w:rPr>
          <w:rFonts w:hint="eastAsia" w:ascii="宋体" w:hAnsi="宋体" w:cs="宋体"/>
          <w:sz w:val="21"/>
          <w:szCs w:val="21"/>
          <w:highlight w:val="none"/>
          <w:lang w:val="en-US" w:eastAsia="zh-CN"/>
        </w:rPr>
        <w:t>的</w:t>
      </w:r>
      <w:r>
        <w:rPr>
          <w:rFonts w:hint="eastAsia" w:ascii="宋体" w:hAnsi="宋体" w:eastAsia="宋体" w:cs="宋体"/>
          <w:sz w:val="21"/>
          <w:szCs w:val="21"/>
          <w:highlight w:val="none"/>
        </w:rPr>
        <w:t>不良影响，而由此产生的损失及</w:t>
      </w:r>
      <w:r>
        <w:rPr>
          <w:rFonts w:hint="eastAsia" w:ascii="宋体" w:hAnsi="宋体" w:eastAsia="宋体" w:cs="宋体"/>
          <w:sz w:val="21"/>
          <w:szCs w:val="21"/>
          <w:highlight w:val="none"/>
          <w:lang w:val="en-US" w:eastAsia="zh-CN"/>
        </w:rPr>
        <w:t>为</w:t>
      </w:r>
      <w:r>
        <w:rPr>
          <w:rFonts w:hint="eastAsia" w:ascii="宋体" w:hAnsi="宋体" w:eastAsia="宋体" w:cs="宋体"/>
          <w:sz w:val="21"/>
          <w:szCs w:val="21"/>
          <w:highlight w:val="none"/>
        </w:rPr>
        <w:t>消除影响产生的费用，由</w:t>
      </w:r>
      <w:r>
        <w:rPr>
          <w:rFonts w:hint="eastAsia" w:ascii="宋体" w:hAnsi="宋体" w:eastAsia="宋体" w:cs="宋体"/>
          <w:sz w:val="21"/>
          <w:szCs w:val="21"/>
          <w:highlight w:val="none"/>
          <w:lang w:eastAsia="zh-CN"/>
        </w:rPr>
        <w:t>成交人</w:t>
      </w:r>
      <w:r>
        <w:rPr>
          <w:rFonts w:hint="eastAsia" w:ascii="宋体" w:hAnsi="宋体" w:eastAsia="宋体" w:cs="宋体"/>
          <w:sz w:val="21"/>
          <w:szCs w:val="21"/>
          <w:highlight w:val="none"/>
        </w:rPr>
        <w:t>全部承担；采购人根据事件的轻重，将保留扣除</w:t>
      </w:r>
      <w:r>
        <w:rPr>
          <w:rFonts w:hint="eastAsia" w:ascii="宋体" w:hAnsi="宋体" w:eastAsia="宋体" w:cs="宋体"/>
          <w:sz w:val="21"/>
          <w:szCs w:val="21"/>
          <w:highlight w:val="none"/>
          <w:lang w:eastAsia="zh-CN"/>
        </w:rPr>
        <w:t>成交人</w:t>
      </w:r>
      <w:r>
        <w:rPr>
          <w:rFonts w:hint="eastAsia" w:ascii="宋体" w:hAnsi="宋体" w:eastAsia="宋体" w:cs="宋体"/>
          <w:sz w:val="21"/>
          <w:szCs w:val="21"/>
          <w:highlight w:val="none"/>
        </w:rPr>
        <w:t>的当</w:t>
      </w:r>
      <w:r>
        <w:rPr>
          <w:rFonts w:hint="eastAsia" w:ascii="宋体" w:hAnsi="宋体" w:cs="宋体"/>
          <w:sz w:val="21"/>
          <w:szCs w:val="21"/>
          <w:highlight w:val="none"/>
          <w:lang w:val="en-US" w:eastAsia="zh-CN"/>
        </w:rPr>
        <w:t>季度</w:t>
      </w:r>
      <w:r>
        <w:rPr>
          <w:rFonts w:hint="eastAsia" w:ascii="宋体" w:hAnsi="宋体" w:eastAsia="宋体" w:cs="宋体"/>
          <w:sz w:val="21"/>
          <w:szCs w:val="21"/>
          <w:highlight w:val="none"/>
        </w:rPr>
        <w:t>合同款10%</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30%的权利，单</w:t>
      </w:r>
      <w:r>
        <w:rPr>
          <w:rFonts w:hint="eastAsia" w:ascii="宋体" w:hAnsi="宋体" w:cs="宋体"/>
          <w:sz w:val="21"/>
          <w:szCs w:val="21"/>
          <w:highlight w:val="none"/>
          <w:lang w:val="en-US" w:eastAsia="zh-CN"/>
        </w:rPr>
        <w:t>季度</w:t>
      </w:r>
      <w:r>
        <w:rPr>
          <w:rFonts w:hint="eastAsia" w:ascii="宋体" w:hAnsi="宋体" w:eastAsia="宋体" w:cs="宋体"/>
          <w:sz w:val="21"/>
          <w:szCs w:val="21"/>
          <w:highlight w:val="none"/>
        </w:rPr>
        <w:t>合同款以委托书时间为准。</w:t>
      </w:r>
    </w:p>
    <w:p w14:paraId="709DCA53">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期间，因</w:t>
      </w:r>
      <w:r>
        <w:rPr>
          <w:rFonts w:hint="eastAsia" w:ascii="宋体" w:hAnsi="宋体" w:eastAsia="宋体" w:cs="宋体"/>
          <w:sz w:val="21"/>
          <w:szCs w:val="21"/>
          <w:highlight w:val="none"/>
          <w:lang w:eastAsia="zh-CN"/>
        </w:rPr>
        <w:t>成交人</w:t>
      </w:r>
      <w:r>
        <w:rPr>
          <w:rFonts w:hint="eastAsia" w:ascii="宋体" w:hAnsi="宋体" w:eastAsia="宋体" w:cs="宋体"/>
          <w:sz w:val="21"/>
          <w:szCs w:val="21"/>
          <w:highlight w:val="none"/>
        </w:rPr>
        <w:t>原因导致作业区域内的其他有关车辆、设施、设备损坏、由此引起的责任和损失由</w:t>
      </w:r>
      <w:r>
        <w:rPr>
          <w:rFonts w:hint="eastAsia" w:ascii="宋体" w:hAnsi="宋体" w:eastAsia="宋体" w:cs="宋体"/>
          <w:sz w:val="21"/>
          <w:szCs w:val="21"/>
          <w:highlight w:val="none"/>
          <w:lang w:eastAsia="zh-CN"/>
        </w:rPr>
        <w:t>成交人</w:t>
      </w:r>
      <w:r>
        <w:rPr>
          <w:rFonts w:hint="eastAsia" w:ascii="宋体" w:hAnsi="宋体" w:eastAsia="宋体" w:cs="宋体"/>
          <w:sz w:val="21"/>
          <w:szCs w:val="21"/>
          <w:highlight w:val="none"/>
        </w:rPr>
        <w:t>承担。</w:t>
      </w:r>
    </w:p>
    <w:p w14:paraId="30F3E076">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、公司的办公各类设施及费用、人员食宿、安全等均由</w:t>
      </w:r>
      <w:r>
        <w:rPr>
          <w:rFonts w:hint="eastAsia" w:ascii="宋体" w:hAnsi="宋体" w:eastAsia="宋体" w:cs="宋体"/>
          <w:sz w:val="21"/>
          <w:szCs w:val="21"/>
          <w:highlight w:val="none"/>
          <w:lang w:eastAsia="zh-CN"/>
        </w:rPr>
        <w:t>成交人</w:t>
      </w:r>
      <w:r>
        <w:rPr>
          <w:rFonts w:hint="eastAsia" w:ascii="宋体" w:hAnsi="宋体" w:eastAsia="宋体" w:cs="宋体"/>
          <w:sz w:val="21"/>
          <w:szCs w:val="21"/>
          <w:highlight w:val="none"/>
        </w:rPr>
        <w:t>自行负责解决。</w:t>
      </w:r>
    </w:p>
    <w:p w14:paraId="58A161C0">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成交人</w:t>
      </w:r>
      <w:r>
        <w:rPr>
          <w:rFonts w:hint="eastAsia" w:ascii="宋体" w:hAnsi="宋体" w:eastAsia="宋体" w:cs="宋体"/>
          <w:sz w:val="21"/>
          <w:szCs w:val="21"/>
          <w:highlight w:val="none"/>
        </w:rPr>
        <w:t>须按政府各部门有关规定为</w:t>
      </w:r>
      <w:r>
        <w:rPr>
          <w:rFonts w:hint="eastAsia" w:ascii="宋体" w:hAnsi="宋体" w:eastAsia="宋体" w:cs="宋体"/>
          <w:sz w:val="21"/>
          <w:szCs w:val="21"/>
          <w:highlight w:val="none"/>
          <w:lang w:eastAsia="zh-CN"/>
        </w:rPr>
        <w:t>成交人</w:t>
      </w:r>
      <w:r>
        <w:rPr>
          <w:rFonts w:hint="eastAsia" w:ascii="宋体" w:hAnsi="宋体" w:eastAsia="宋体" w:cs="宋体"/>
          <w:sz w:val="21"/>
          <w:szCs w:val="21"/>
          <w:highlight w:val="none"/>
        </w:rPr>
        <w:t>的每位员工交纳各种社会保险及相关费用。</w:t>
      </w:r>
    </w:p>
    <w:p w14:paraId="0AD645C6">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、在</w:t>
      </w:r>
      <w:r>
        <w:rPr>
          <w:rFonts w:hint="eastAsia" w:ascii="宋体" w:hAnsi="宋体" w:cs="宋体"/>
          <w:sz w:val="21"/>
          <w:szCs w:val="21"/>
          <w:highlight w:val="none"/>
          <w:lang w:eastAsia="zh-CN"/>
        </w:rPr>
        <w:t>服务</w:t>
      </w:r>
      <w:r>
        <w:rPr>
          <w:rFonts w:hint="eastAsia" w:ascii="宋体" w:hAnsi="宋体" w:eastAsia="宋体" w:cs="宋体"/>
          <w:sz w:val="21"/>
          <w:szCs w:val="21"/>
          <w:highlight w:val="none"/>
        </w:rPr>
        <w:t>期限内，</w:t>
      </w:r>
      <w:r>
        <w:rPr>
          <w:rFonts w:hint="eastAsia" w:ascii="宋体" w:hAnsi="宋体" w:eastAsia="宋体" w:cs="宋体"/>
          <w:sz w:val="21"/>
          <w:szCs w:val="21"/>
          <w:highlight w:val="none"/>
          <w:lang w:eastAsia="zh-CN"/>
        </w:rPr>
        <w:t>成交人</w:t>
      </w:r>
      <w:r>
        <w:rPr>
          <w:rFonts w:hint="eastAsia" w:ascii="宋体" w:hAnsi="宋体" w:eastAsia="宋体" w:cs="宋体"/>
          <w:sz w:val="21"/>
          <w:szCs w:val="21"/>
          <w:highlight w:val="none"/>
        </w:rPr>
        <w:t>所有人员的安全事故由</w:t>
      </w:r>
      <w:r>
        <w:rPr>
          <w:rFonts w:hint="eastAsia" w:ascii="宋体" w:hAnsi="宋体" w:eastAsia="宋体" w:cs="宋体"/>
          <w:sz w:val="21"/>
          <w:szCs w:val="21"/>
          <w:highlight w:val="none"/>
          <w:lang w:eastAsia="zh-CN"/>
        </w:rPr>
        <w:t>成交人</w:t>
      </w:r>
      <w:r>
        <w:rPr>
          <w:rFonts w:hint="eastAsia" w:ascii="宋体" w:hAnsi="宋体" w:eastAsia="宋体" w:cs="宋体"/>
          <w:sz w:val="21"/>
          <w:szCs w:val="21"/>
          <w:highlight w:val="none"/>
        </w:rPr>
        <w:t>自行全权负责，采购人不承担任何责任。</w:t>
      </w:r>
    </w:p>
    <w:p w14:paraId="0F0E38FF">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、项目负责人作为本项目的联系人不得变更，必须随时听从采购人指派、组织协调鉴定小组工作。</w:t>
      </w:r>
    </w:p>
    <w:p w14:paraId="6A9284A3">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16、对于业务档案的保存根据《浙江省司法鉴定机构档案管理办法》的相关要求进行保存。</w:t>
      </w:r>
    </w:p>
    <w:p w14:paraId="22A6EBB6">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525" w:firstLineChars="25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17、对于无法受理的鉴定事项，因及时将无法鉴定的原因（如检材不全、视频模糊等情况）及时反馈给采购人</w:t>
      </w:r>
      <w:r>
        <w:rPr>
          <w:rFonts w:hint="eastAsia" w:ascii="宋体" w:hAnsi="宋体" w:cs="宋体"/>
          <w:sz w:val="21"/>
          <w:szCs w:val="21"/>
          <w:highlight w:val="none"/>
          <w:lang w:val="en-US" w:eastAsia="zh-CN"/>
        </w:rPr>
        <w:t>，以便采购人后续工作的开展。</w:t>
      </w:r>
    </w:p>
    <w:p w14:paraId="76D5693A">
      <w:pPr>
        <w:keepLines w:val="0"/>
        <w:pageBreakBefore w:val="0"/>
        <w:widowControl w:val="0"/>
        <w:tabs>
          <w:tab w:val="left" w:pos="360"/>
        </w:tabs>
        <w:kinsoku/>
        <w:wordWrap/>
        <w:overflowPunct/>
        <w:topLinePunct w:val="0"/>
        <w:autoSpaceDE/>
        <w:autoSpaceDN/>
        <w:bidi w:val="0"/>
        <w:spacing w:line="360" w:lineRule="auto"/>
        <w:textAlignment w:val="auto"/>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四、投标报价</w:t>
      </w:r>
    </w:p>
    <w:p w14:paraId="14E7DE3A">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1、本次报价在所有各项鉴定项目</w:t>
      </w:r>
      <w:r>
        <w:rPr>
          <w:rFonts w:hint="eastAsia" w:ascii="宋体" w:hAnsi="宋体" w:cs="宋体"/>
          <w:sz w:val="21"/>
          <w:szCs w:val="21"/>
          <w:highlight w:val="none"/>
          <w:lang w:eastAsia="zh-CN"/>
        </w:rPr>
        <w:t>最高限价</w:t>
      </w:r>
      <w:r>
        <w:rPr>
          <w:rFonts w:hint="eastAsia" w:ascii="宋体" w:hAnsi="宋体" w:eastAsia="宋体" w:cs="宋体"/>
          <w:sz w:val="21"/>
          <w:szCs w:val="21"/>
          <w:highlight w:val="none"/>
        </w:rPr>
        <w:t>的基础上报一个统一的折扣率，</w:t>
      </w:r>
      <w:r>
        <w:rPr>
          <w:rFonts w:hint="eastAsia" w:ascii="宋体" w:hAnsi="宋体" w:eastAsia="宋体" w:cs="宋体"/>
          <w:color w:val="000000"/>
          <w:sz w:val="21"/>
          <w:szCs w:val="21"/>
          <w:highlight w:val="none"/>
        </w:rPr>
        <w:t>折扣率须取整数。</w:t>
      </w:r>
    </w:p>
    <w:p w14:paraId="1538E87B">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2、该项鉴定</w:t>
      </w:r>
      <w:r>
        <w:rPr>
          <w:rFonts w:hint="eastAsia" w:ascii="宋体" w:hAnsi="宋体" w:cs="宋体"/>
          <w:sz w:val="21"/>
          <w:szCs w:val="21"/>
          <w:highlight w:val="none"/>
          <w:lang w:eastAsia="zh-CN"/>
        </w:rPr>
        <w:t>最高限价</w:t>
      </w:r>
      <w:r>
        <w:rPr>
          <w:rFonts w:hint="eastAsia" w:ascii="宋体" w:hAnsi="宋体" w:eastAsia="宋体" w:cs="宋体"/>
          <w:sz w:val="21"/>
          <w:szCs w:val="21"/>
          <w:highlight w:val="none"/>
        </w:rPr>
        <w:t>乘以折扣率为该项目鉴定最终鉴定费用单价。</w:t>
      </w:r>
    </w:p>
    <w:p w14:paraId="7DFFF44D">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最终鉴定费用单价为固定综合单价。单价必须包括提供鉴定服务所需的一切人员的符合国家规定的工资、福利、各种加班费、误餐费、各种社会保险、食宿与交通、设备及工具、器材、服装、安全、维修、管理费用、税费、利润、完成合同所需的一切本身和不可或缺的所有工作开支、政策性文件规定及合同包含的所有风险、责任等各项全部费用并承担一切风险责任。在服务期内单价不得调整。</w:t>
      </w:r>
    </w:p>
    <w:p w14:paraId="4DEE6CAF">
      <w:pPr>
        <w:keepLines w:val="0"/>
        <w:pageBreakBefore w:val="0"/>
        <w:widowControl w:val="0"/>
        <w:tabs>
          <w:tab w:val="left" w:pos="360"/>
        </w:tabs>
        <w:kinsoku/>
        <w:wordWrap/>
        <w:overflowPunct/>
        <w:topLinePunct w:val="0"/>
        <w:autoSpaceDE/>
        <w:autoSpaceDN/>
        <w:bidi w:val="0"/>
        <w:spacing w:line="360"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注：由于</w:t>
      </w:r>
      <w:r>
        <w:rPr>
          <w:rFonts w:hint="eastAsia" w:ascii="宋体" w:hAnsi="宋体" w:cs="宋体"/>
          <w:b/>
          <w:bCs/>
          <w:sz w:val="21"/>
          <w:szCs w:val="21"/>
          <w:highlight w:val="none"/>
          <w:lang w:val="en-US" w:eastAsia="zh-CN"/>
        </w:rPr>
        <w:t>需要</w:t>
      </w:r>
      <w:r>
        <w:rPr>
          <w:rFonts w:hint="eastAsia" w:ascii="宋体" w:hAnsi="宋体" w:eastAsia="宋体" w:cs="宋体"/>
          <w:b/>
          <w:bCs/>
          <w:sz w:val="21"/>
          <w:szCs w:val="21"/>
          <w:highlight w:val="none"/>
        </w:rPr>
        <w:t>鉴定事项发生的不可预测性，采购人无法预计也无法保证</w:t>
      </w:r>
      <w:r>
        <w:rPr>
          <w:rFonts w:hint="eastAsia" w:ascii="宋体" w:hAnsi="宋体" w:eastAsia="宋体" w:cs="宋体"/>
          <w:b/>
          <w:bCs/>
          <w:sz w:val="21"/>
          <w:szCs w:val="21"/>
          <w:highlight w:val="none"/>
          <w:lang w:eastAsia="zh-CN"/>
        </w:rPr>
        <w:t>成交人</w:t>
      </w:r>
      <w:r>
        <w:rPr>
          <w:rFonts w:hint="eastAsia" w:ascii="宋体" w:hAnsi="宋体" w:eastAsia="宋体" w:cs="宋体"/>
          <w:b/>
          <w:bCs/>
          <w:sz w:val="21"/>
          <w:szCs w:val="21"/>
          <w:highlight w:val="none"/>
        </w:rPr>
        <w:t>取得具体业务的数量及金额，投标</w:t>
      </w:r>
      <w:r>
        <w:rPr>
          <w:rFonts w:hint="eastAsia" w:ascii="宋体" w:hAnsi="宋体" w:eastAsia="宋体" w:cs="宋体"/>
          <w:b/>
          <w:bCs/>
          <w:sz w:val="21"/>
          <w:szCs w:val="21"/>
          <w:highlight w:val="none"/>
          <w:lang w:val="en-US" w:eastAsia="zh-CN"/>
        </w:rPr>
        <w:t>人</w:t>
      </w:r>
      <w:r>
        <w:rPr>
          <w:rFonts w:hint="eastAsia" w:ascii="宋体" w:hAnsi="宋体" w:eastAsia="宋体" w:cs="宋体"/>
          <w:b/>
          <w:bCs/>
          <w:sz w:val="21"/>
          <w:szCs w:val="21"/>
          <w:highlight w:val="none"/>
        </w:rPr>
        <w:t>应仔细</w:t>
      </w:r>
      <w:r>
        <w:rPr>
          <w:rFonts w:hint="eastAsia" w:ascii="宋体" w:hAnsi="宋体" w:eastAsia="宋体" w:cs="宋体"/>
          <w:b/>
          <w:bCs/>
          <w:sz w:val="21"/>
          <w:szCs w:val="21"/>
          <w:highlight w:val="none"/>
          <w:lang w:val="en-US" w:eastAsia="zh-CN"/>
        </w:rPr>
        <w:t>阅读</w:t>
      </w:r>
      <w:r>
        <w:rPr>
          <w:rFonts w:hint="eastAsia" w:ascii="宋体" w:hAnsi="宋体" w:eastAsia="宋体" w:cs="宋体"/>
          <w:b/>
          <w:bCs/>
          <w:sz w:val="21"/>
          <w:szCs w:val="21"/>
          <w:highlight w:val="none"/>
        </w:rPr>
        <w:t>以上报价内容，在报价时作充分考虑。</w:t>
      </w:r>
    </w:p>
    <w:p w14:paraId="7D32DC76">
      <w:pPr>
        <w:keepLines w:val="0"/>
        <w:pageBreakBefore w:val="0"/>
        <w:widowControl w:val="0"/>
        <w:tabs>
          <w:tab w:val="left" w:pos="360"/>
        </w:tabs>
        <w:kinsoku/>
        <w:wordWrap/>
        <w:overflowPunct/>
        <w:topLinePunct w:val="0"/>
        <w:autoSpaceDE/>
        <w:autoSpaceDN/>
        <w:bidi w:val="0"/>
        <w:spacing w:line="360" w:lineRule="auto"/>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五、商务条款</w:t>
      </w:r>
    </w:p>
    <w:p w14:paraId="23A96765">
      <w:pPr>
        <w:keepLines w:val="0"/>
        <w:pageBreakBefore w:val="0"/>
        <w:widowControl w:val="0"/>
        <w:tabs>
          <w:tab w:val="left" w:pos="360"/>
        </w:tabs>
        <w:kinsoku/>
        <w:wordWrap/>
        <w:overflowPunct/>
        <w:topLinePunct w:val="0"/>
        <w:autoSpaceDE/>
        <w:autoSpaceDN/>
        <w:bidi w:val="0"/>
        <w:spacing w:line="360" w:lineRule="auto"/>
        <w:ind w:firstLine="525" w:firstLineChars="250"/>
        <w:textAlignment w:val="auto"/>
        <w:rPr>
          <w:rFonts w:hint="default" w:ascii="宋体" w:hAnsi="宋体" w:eastAsia="宋体" w:cs="宋体"/>
          <w:sz w:val="21"/>
          <w:szCs w:val="21"/>
          <w:highlight w:val="none"/>
          <w:lang w:val="en-US" w:eastAsia="zh-CN"/>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舟山市公安局交通警察支队一</w:t>
      </w:r>
      <w:r>
        <w:rPr>
          <w:rFonts w:hint="eastAsia" w:ascii="宋体" w:hAnsi="宋体" w:cs="宋体"/>
          <w:b w:val="0"/>
          <w:bCs w:val="0"/>
          <w:sz w:val="21"/>
          <w:szCs w:val="21"/>
          <w:highlight w:val="none"/>
          <w:lang w:val="en-US" w:eastAsia="zh-CN"/>
        </w:rPr>
        <w:t>年度</w:t>
      </w:r>
      <w:r>
        <w:rPr>
          <w:rFonts w:hint="eastAsia" w:ascii="宋体" w:hAnsi="宋体" w:eastAsia="宋体" w:cs="宋体"/>
          <w:b w:val="0"/>
          <w:bCs w:val="0"/>
          <w:sz w:val="21"/>
          <w:szCs w:val="21"/>
          <w:highlight w:val="none"/>
          <w:lang w:val="en-US" w:eastAsia="zh-CN"/>
        </w:rPr>
        <w:t>内司法鉴定费用不超过75万元，</w:t>
      </w:r>
      <w:r>
        <w:rPr>
          <w:rFonts w:hint="eastAsia" w:ascii="宋体" w:hAnsi="宋体" w:eastAsia="宋体" w:cs="宋体"/>
          <w:sz w:val="21"/>
          <w:szCs w:val="21"/>
          <w:highlight w:val="none"/>
          <w:lang w:val="en-US" w:eastAsia="zh-CN"/>
        </w:rPr>
        <w:t>成交人</w:t>
      </w:r>
      <w:r>
        <w:rPr>
          <w:rFonts w:hint="eastAsia" w:ascii="宋体" w:hAnsi="宋体" w:eastAsia="宋体" w:cs="宋体"/>
          <w:sz w:val="21"/>
          <w:szCs w:val="21"/>
          <w:highlight w:val="none"/>
        </w:rPr>
        <w:t>按实际提供事故检验鉴定次数开具正式发票，检验鉴定费每一季度</w:t>
      </w:r>
      <w:r>
        <w:rPr>
          <w:rFonts w:hint="eastAsia" w:ascii="宋体" w:hAnsi="宋体" w:cs="宋体"/>
          <w:sz w:val="21"/>
          <w:szCs w:val="21"/>
          <w:highlight w:val="none"/>
          <w:lang w:val="en-US" w:eastAsia="zh-CN"/>
        </w:rPr>
        <w:t>根据实际鉴定的数量</w:t>
      </w:r>
      <w:r>
        <w:rPr>
          <w:rFonts w:hint="eastAsia" w:ascii="宋体" w:hAnsi="宋体" w:cs="宋体"/>
          <w:b/>
          <w:bCs/>
          <w:sz w:val="21"/>
          <w:szCs w:val="21"/>
          <w:highlight w:val="none"/>
          <w:lang w:val="en-US" w:eastAsia="zh-CN"/>
        </w:rPr>
        <w:t>（以已出具鉴定报告的数量为准）</w:t>
      </w:r>
      <w:r>
        <w:rPr>
          <w:rFonts w:hint="eastAsia" w:ascii="宋体" w:hAnsi="宋体" w:cs="宋体"/>
          <w:sz w:val="21"/>
          <w:szCs w:val="21"/>
          <w:highlight w:val="none"/>
          <w:lang w:val="en-US" w:eastAsia="zh-CN"/>
        </w:rPr>
        <w:t>及考核结果</w:t>
      </w:r>
      <w:r>
        <w:rPr>
          <w:rFonts w:hint="eastAsia" w:ascii="宋体" w:hAnsi="宋体" w:eastAsia="宋体" w:cs="宋体"/>
          <w:sz w:val="21"/>
          <w:szCs w:val="21"/>
          <w:highlight w:val="none"/>
        </w:rPr>
        <w:t>进行一次结算</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如当年度鉴定费用不足75万，按实结算。</w:t>
      </w:r>
    </w:p>
    <w:p w14:paraId="3843480E">
      <w:pPr>
        <w:keepLines w:val="0"/>
        <w:pageBreakBefore w:val="0"/>
        <w:widowControl w:val="0"/>
        <w:tabs>
          <w:tab w:val="left" w:pos="360"/>
        </w:tabs>
        <w:kinsoku/>
        <w:wordWrap/>
        <w:overflowPunct/>
        <w:topLinePunct w:val="0"/>
        <w:autoSpaceDE/>
        <w:autoSpaceDN/>
        <w:bidi w:val="0"/>
        <w:spacing w:line="360" w:lineRule="auto"/>
        <w:ind w:firstLine="525" w:firstLineChars="250"/>
        <w:textAlignment w:val="auto"/>
        <w:rPr>
          <w:rFonts w:hint="default" w:ascii="宋体" w:hAnsi="宋体" w:eastAsia="宋体" w:cs="宋体"/>
          <w:b/>
          <w:bCs/>
          <w:sz w:val="21"/>
          <w:szCs w:val="21"/>
          <w:highlight w:val="none"/>
          <w:lang w:val="en-US"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成交人</w:t>
      </w:r>
      <w:r>
        <w:rPr>
          <w:rFonts w:hint="eastAsia" w:ascii="宋体" w:hAnsi="宋体" w:eastAsia="宋体" w:cs="宋体"/>
          <w:sz w:val="21"/>
          <w:szCs w:val="21"/>
          <w:highlight w:val="none"/>
        </w:rPr>
        <w:t>须在每季度的次月15日前向采购人提供：①采购人检验鉴定委托书（各大队出具）、②</w:t>
      </w:r>
      <w:r>
        <w:rPr>
          <w:rFonts w:hint="eastAsia" w:ascii="宋体" w:hAnsi="宋体" w:eastAsia="宋体" w:cs="宋体"/>
          <w:sz w:val="21"/>
          <w:szCs w:val="21"/>
          <w:highlight w:val="none"/>
          <w:lang w:eastAsia="zh-CN"/>
        </w:rPr>
        <w:t>成交人</w:t>
      </w:r>
      <w:r>
        <w:rPr>
          <w:rFonts w:hint="eastAsia" w:ascii="宋体" w:hAnsi="宋体" w:eastAsia="宋体" w:cs="宋体"/>
          <w:sz w:val="21"/>
          <w:szCs w:val="21"/>
          <w:highlight w:val="none"/>
        </w:rPr>
        <w:t>开具的正式发票。</w:t>
      </w:r>
    </w:p>
    <w:p w14:paraId="7F63932E">
      <w:pPr>
        <w:pageBreakBefore w:val="0"/>
        <w:kinsoku/>
        <w:wordWrap/>
        <w:overflowPunct/>
        <w:topLinePunct w:val="0"/>
        <w:bidi w:val="0"/>
        <w:spacing w:line="360" w:lineRule="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六</w:t>
      </w:r>
      <w:r>
        <w:rPr>
          <w:rFonts w:hint="eastAsia" w:ascii="宋体" w:hAnsi="宋体" w:eastAsia="宋体" w:cs="宋体"/>
          <w:b/>
          <w:bCs/>
          <w:sz w:val="21"/>
          <w:szCs w:val="21"/>
          <w:highlight w:val="none"/>
        </w:rPr>
        <w:t>、其他说明</w:t>
      </w:r>
    </w:p>
    <w:p w14:paraId="22D3B12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1、在服务期限内，若</w:t>
      </w:r>
      <w:r>
        <w:rPr>
          <w:rFonts w:hint="eastAsia" w:ascii="宋体" w:hAnsi="宋体" w:eastAsia="宋体" w:cs="宋体"/>
          <w:sz w:val="21"/>
          <w:szCs w:val="21"/>
          <w:highlight w:val="none"/>
          <w:lang w:eastAsia="zh-CN"/>
        </w:rPr>
        <w:t>成交人</w:t>
      </w:r>
      <w:r>
        <w:rPr>
          <w:rFonts w:hint="eastAsia" w:ascii="宋体" w:hAnsi="宋体" w:eastAsia="宋体" w:cs="宋体"/>
          <w:sz w:val="21"/>
          <w:szCs w:val="21"/>
          <w:highlight w:val="none"/>
        </w:rPr>
        <w:t>出具的鉴定报告未被当地法院采信，采购人有权委托其他鉴定机构进行重新鉴定，相关费用由</w:t>
      </w:r>
      <w:r>
        <w:rPr>
          <w:rFonts w:hint="eastAsia" w:ascii="宋体" w:hAnsi="宋体" w:eastAsia="宋体" w:cs="宋体"/>
          <w:sz w:val="21"/>
          <w:szCs w:val="21"/>
          <w:highlight w:val="none"/>
          <w:lang w:eastAsia="zh-CN"/>
        </w:rPr>
        <w:t>成交人</w:t>
      </w:r>
      <w:r>
        <w:rPr>
          <w:rFonts w:hint="eastAsia" w:ascii="宋体" w:hAnsi="宋体" w:eastAsia="宋体" w:cs="宋体"/>
          <w:sz w:val="21"/>
          <w:szCs w:val="21"/>
          <w:highlight w:val="none"/>
        </w:rPr>
        <w:t>承担。</w:t>
      </w:r>
    </w:p>
    <w:p w14:paraId="0006EFF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2、在服务期限内，若</w:t>
      </w:r>
      <w:r>
        <w:rPr>
          <w:rFonts w:hint="eastAsia" w:ascii="宋体" w:hAnsi="宋体" w:eastAsia="宋体" w:cs="宋体"/>
          <w:sz w:val="21"/>
          <w:szCs w:val="21"/>
          <w:highlight w:val="none"/>
          <w:lang w:eastAsia="zh-CN"/>
        </w:rPr>
        <w:t>成交人</w:t>
      </w:r>
      <w:r>
        <w:rPr>
          <w:rFonts w:hint="eastAsia" w:ascii="宋体" w:hAnsi="宋体" w:eastAsia="宋体" w:cs="宋体"/>
          <w:sz w:val="21"/>
          <w:szCs w:val="21"/>
          <w:highlight w:val="none"/>
        </w:rPr>
        <w:t>出具的鉴定报告未被当地法院采信或鉴定结果对案件的评判方向出现指引性错误，且此类情形累计达到</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起，</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rPr>
        <w:t>有权终止合同，并停止支付服务经费。若因此对</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rPr>
        <w:t>造成损失，</w:t>
      </w:r>
      <w:r>
        <w:rPr>
          <w:rFonts w:hint="eastAsia" w:ascii="宋体" w:hAnsi="宋体" w:eastAsia="宋体" w:cs="宋体"/>
          <w:sz w:val="21"/>
          <w:szCs w:val="21"/>
          <w:highlight w:val="none"/>
          <w:lang w:eastAsia="zh-CN"/>
        </w:rPr>
        <w:t>成交人</w:t>
      </w:r>
      <w:r>
        <w:rPr>
          <w:rFonts w:hint="eastAsia" w:ascii="宋体" w:hAnsi="宋体" w:eastAsia="宋体" w:cs="宋体"/>
          <w:sz w:val="21"/>
          <w:szCs w:val="21"/>
          <w:highlight w:val="none"/>
        </w:rPr>
        <w:t>应赔偿损失，并承担相关法律责任。</w:t>
      </w:r>
    </w:p>
    <w:p w14:paraId="77BE4963">
      <w:pPr>
        <w:pStyle w:val="10"/>
        <w:pageBreakBefore w:val="0"/>
        <w:kinsoku/>
        <w:wordWrap/>
        <w:overflowPunct/>
        <w:topLinePunct w:val="0"/>
        <w:bidi w:val="0"/>
        <w:spacing w:line="360" w:lineRule="auto"/>
        <w:rPr>
          <w:rFonts w:hint="eastAsia"/>
          <w:highlight w:val="none"/>
        </w:rPr>
      </w:pPr>
    </w:p>
    <w:bookmarkEnd w:id="9"/>
    <w:p w14:paraId="36750728">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outlineLvl w:val="9"/>
        <w:rPr>
          <w:rFonts w:hint="eastAsia" w:ascii="宋体" w:hAnsi="宋体" w:cs="宋体"/>
          <w:b/>
          <w:sz w:val="28"/>
          <w:szCs w:val="28"/>
          <w:highlight w:val="none"/>
        </w:rPr>
      </w:pPr>
      <w:r>
        <w:rPr>
          <w:rFonts w:hint="eastAsia" w:ascii="宋体" w:hAnsi="宋体" w:cs="宋体"/>
          <w:b/>
          <w:sz w:val="28"/>
          <w:szCs w:val="28"/>
          <w:highlight w:val="none"/>
        </w:rPr>
        <w:br w:type="page"/>
      </w:r>
    </w:p>
    <w:p w14:paraId="10D59E80">
      <w:pPr>
        <w:pageBreakBefore w:val="0"/>
        <w:kinsoku/>
        <w:wordWrap/>
        <w:overflowPunct/>
        <w:topLinePunct w:val="0"/>
        <w:bidi w:val="0"/>
        <w:spacing w:line="360" w:lineRule="auto"/>
        <w:jc w:val="center"/>
        <w:outlineLvl w:val="0"/>
        <w:rPr>
          <w:rFonts w:ascii="宋体" w:hAnsi="宋体" w:cs="宋体"/>
          <w:b/>
          <w:sz w:val="28"/>
          <w:szCs w:val="28"/>
          <w:highlight w:val="none"/>
        </w:rPr>
      </w:pPr>
      <w:r>
        <w:rPr>
          <w:rFonts w:hint="eastAsia" w:ascii="宋体" w:hAnsi="宋体" w:cs="宋体"/>
          <w:b/>
          <w:sz w:val="28"/>
          <w:szCs w:val="28"/>
          <w:highlight w:val="none"/>
        </w:rPr>
        <w:t>第三章  响应人须知</w:t>
      </w:r>
    </w:p>
    <w:p w14:paraId="75C8C203">
      <w:pPr>
        <w:pageBreakBefore w:val="0"/>
        <w:kinsoku/>
        <w:wordWrap/>
        <w:overflowPunct/>
        <w:topLinePunct w:val="0"/>
        <w:bidi w:val="0"/>
        <w:snapToGrid w:val="0"/>
        <w:spacing w:line="360" w:lineRule="auto"/>
        <w:jc w:val="center"/>
        <w:outlineLvl w:val="1"/>
        <w:rPr>
          <w:rFonts w:hint="eastAsia" w:ascii="宋体" w:hAnsi="宋体" w:eastAsia="宋体" w:cs="宋体"/>
          <w:sz w:val="21"/>
          <w:szCs w:val="21"/>
          <w:highlight w:val="none"/>
        </w:rPr>
      </w:pPr>
      <w:r>
        <w:rPr>
          <w:rFonts w:hint="eastAsia" w:ascii="宋体" w:hAnsi="宋体" w:eastAsia="宋体" w:cs="宋体"/>
          <w:b/>
          <w:sz w:val="21"/>
          <w:szCs w:val="21"/>
          <w:highlight w:val="none"/>
        </w:rPr>
        <w:t>前附表</w:t>
      </w:r>
    </w:p>
    <w:tbl>
      <w:tblPr>
        <w:tblStyle w:val="28"/>
        <w:tblW w:w="10081"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7"/>
        <w:gridCol w:w="1582"/>
        <w:gridCol w:w="7852"/>
      </w:tblGrid>
      <w:tr w14:paraId="5D41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56EC24C6">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9413" w:type="dxa"/>
            <w:gridSpan w:val="2"/>
            <w:shd w:val="clear" w:color="auto" w:fill="E0E0E0"/>
            <w:vAlign w:val="center"/>
          </w:tcPr>
          <w:p w14:paraId="404EB813">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内容说明及要求</w:t>
            </w:r>
          </w:p>
        </w:tc>
      </w:tr>
      <w:tr w14:paraId="4EC4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5EB0C848">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1</w:t>
            </w:r>
          </w:p>
        </w:tc>
        <w:tc>
          <w:tcPr>
            <w:tcW w:w="1568" w:type="dxa"/>
            <w:shd w:val="clear" w:color="auto" w:fill="E0E0E0"/>
            <w:vAlign w:val="center"/>
          </w:tcPr>
          <w:p w14:paraId="63447ECB">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项目名称</w:t>
            </w:r>
          </w:p>
        </w:tc>
        <w:tc>
          <w:tcPr>
            <w:tcW w:w="7831" w:type="dxa"/>
            <w:shd w:val="clear" w:color="auto" w:fill="FFFFFF"/>
            <w:vAlign w:val="center"/>
          </w:tcPr>
          <w:p w14:paraId="56AA3C99">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ighlight w:val="none"/>
                <w:lang w:val="en-US" w:eastAsia="zh-CN"/>
              </w:rPr>
              <w:t>2025年舟山交警司法鉴定服务项目</w:t>
            </w:r>
          </w:p>
        </w:tc>
      </w:tr>
      <w:tr w14:paraId="6094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74D6FF25">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2</w:t>
            </w:r>
          </w:p>
        </w:tc>
        <w:tc>
          <w:tcPr>
            <w:tcW w:w="1568" w:type="dxa"/>
            <w:shd w:val="clear" w:color="auto" w:fill="E0E0E0"/>
            <w:vAlign w:val="center"/>
          </w:tcPr>
          <w:p w14:paraId="5AA2F86A">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采购人名称</w:t>
            </w:r>
          </w:p>
        </w:tc>
        <w:tc>
          <w:tcPr>
            <w:tcW w:w="7831" w:type="dxa"/>
            <w:shd w:val="clear" w:color="auto" w:fill="FFFFFF"/>
            <w:vAlign w:val="center"/>
          </w:tcPr>
          <w:p w14:paraId="5F591FD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舟山市公安局交通警察支队</w:t>
            </w:r>
            <w:r>
              <w:rPr>
                <w:rFonts w:hint="eastAsia" w:hAnsi="宋体" w:eastAsia="宋体" w:cs="宋体"/>
                <w:sz w:val="21"/>
                <w:szCs w:val="21"/>
                <w:highlight w:val="none"/>
                <w:lang w:val="en-US" w:eastAsia="zh-CN"/>
              </w:rPr>
              <w:t>、舟山市公安局高速公路交通警察支队、</w:t>
            </w:r>
            <w:r>
              <w:rPr>
                <w:rFonts w:hint="eastAsia" w:ascii="宋体" w:hAnsi="宋体" w:eastAsia="宋体" w:cs="宋体"/>
                <w:b w:val="0"/>
                <w:bCs/>
                <w:sz w:val="21"/>
                <w:szCs w:val="21"/>
                <w:highlight w:val="none"/>
                <w:lang w:val="en-US" w:eastAsia="zh-CN"/>
              </w:rPr>
              <w:t>舟山市公安局普陀山分局交警大队</w:t>
            </w:r>
          </w:p>
        </w:tc>
      </w:tr>
      <w:tr w14:paraId="2309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746F8B39">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3</w:t>
            </w:r>
          </w:p>
        </w:tc>
        <w:tc>
          <w:tcPr>
            <w:tcW w:w="1568" w:type="dxa"/>
            <w:shd w:val="clear" w:color="auto" w:fill="E0E0E0"/>
            <w:vAlign w:val="center"/>
          </w:tcPr>
          <w:p w14:paraId="34E1D652">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采购内容</w:t>
            </w:r>
          </w:p>
        </w:tc>
        <w:tc>
          <w:tcPr>
            <w:tcW w:w="7831" w:type="dxa"/>
            <w:shd w:val="clear" w:color="auto" w:fill="FFFFFF"/>
            <w:vAlign w:val="center"/>
          </w:tcPr>
          <w:p w14:paraId="0B53BEC3">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bCs/>
                <w:color w:val="auto"/>
                <w:sz w:val="21"/>
                <w:szCs w:val="21"/>
                <w:highlight w:val="none"/>
              </w:rPr>
            </w:pPr>
            <w:r>
              <w:rPr>
                <w:rFonts w:hint="eastAsia" w:ascii="宋体"/>
                <w:highlight w:val="none"/>
                <w:lang w:val="en-US" w:eastAsia="zh-CN"/>
              </w:rPr>
              <w:t>司法鉴定服务</w:t>
            </w:r>
          </w:p>
        </w:tc>
      </w:tr>
      <w:tr w14:paraId="1D1B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47CBD2A0">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4</w:t>
            </w:r>
          </w:p>
        </w:tc>
        <w:tc>
          <w:tcPr>
            <w:tcW w:w="1568" w:type="dxa"/>
            <w:shd w:val="clear" w:color="auto" w:fill="E0E0E0"/>
            <w:vAlign w:val="center"/>
          </w:tcPr>
          <w:p w14:paraId="241AA3F3">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预算金额</w:t>
            </w:r>
          </w:p>
        </w:tc>
        <w:tc>
          <w:tcPr>
            <w:tcW w:w="7831" w:type="dxa"/>
            <w:shd w:val="clear" w:color="auto" w:fill="FFFFFF"/>
            <w:vAlign w:val="center"/>
          </w:tcPr>
          <w:p w14:paraId="13FC5A48">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default" w:ascii="宋体" w:hAnsi="宋体" w:eastAsia="宋体" w:cs="宋体"/>
                <w:color w:val="auto"/>
                <w:sz w:val="21"/>
                <w:szCs w:val="21"/>
                <w:highlight w:val="none"/>
                <w:lang w:val="en-US" w:eastAsia="zh-CN"/>
              </w:rPr>
            </w:pPr>
            <w:r>
              <w:rPr>
                <w:rFonts w:hint="eastAsia" w:ascii="宋体" w:hAnsi="宋体" w:cs="宋体"/>
                <w:i w:val="0"/>
                <w:iCs w:val="0"/>
                <w:caps w:val="0"/>
                <w:color w:val="auto"/>
                <w:spacing w:val="0"/>
                <w:sz w:val="21"/>
                <w:szCs w:val="21"/>
                <w:highlight w:val="none"/>
                <w:lang w:val="en-US" w:eastAsia="zh-CN"/>
              </w:rPr>
              <w:t>80万元（</w:t>
            </w:r>
            <w:r>
              <w:rPr>
                <w:rFonts w:hint="eastAsia" w:ascii="宋体" w:hAnsi="宋体" w:eastAsia="宋体" w:cs="宋体"/>
                <w:color w:val="auto"/>
                <w:sz w:val="21"/>
                <w:szCs w:val="21"/>
                <w:highlight w:val="none"/>
                <w:lang w:val="en-US" w:eastAsia="zh-CN"/>
              </w:rPr>
              <w:t>舟山市公安局交通警察支队75万元，</w:t>
            </w:r>
            <w:r>
              <w:rPr>
                <w:rFonts w:hint="eastAsia" w:ascii="宋体" w:hAnsi="宋体" w:eastAsia="宋体" w:cs="宋体"/>
                <w:b w:val="0"/>
                <w:bCs/>
                <w:sz w:val="21"/>
                <w:szCs w:val="21"/>
                <w:highlight w:val="none"/>
                <w:lang w:val="en-US" w:eastAsia="zh-CN"/>
              </w:rPr>
              <w:t>舟山市公安局普陀山分局交警大队</w:t>
            </w:r>
            <w:r>
              <w:rPr>
                <w:rFonts w:hint="eastAsia" w:ascii="宋体" w:hAnsi="宋体" w:cs="宋体"/>
                <w:b w:val="0"/>
                <w:bCs/>
                <w:sz w:val="21"/>
                <w:szCs w:val="21"/>
                <w:highlight w:val="none"/>
                <w:lang w:val="en-US" w:eastAsia="zh-CN"/>
              </w:rPr>
              <w:t>3</w:t>
            </w:r>
            <w:r>
              <w:rPr>
                <w:rFonts w:hint="eastAsia" w:ascii="宋体" w:hAnsi="宋体" w:eastAsia="宋体" w:cs="宋体"/>
                <w:b w:val="0"/>
                <w:bCs/>
                <w:sz w:val="21"/>
                <w:szCs w:val="21"/>
                <w:highlight w:val="none"/>
                <w:lang w:val="en-US" w:eastAsia="zh-CN"/>
              </w:rPr>
              <w:t>万元，舟山市公安局高速公路交通警察支队</w:t>
            </w:r>
            <w:r>
              <w:rPr>
                <w:rFonts w:hint="eastAsia" w:ascii="宋体" w:hAnsi="宋体" w:cs="宋体"/>
                <w:b w:val="0"/>
                <w:bCs/>
                <w:sz w:val="21"/>
                <w:szCs w:val="21"/>
                <w:highlight w:val="none"/>
                <w:lang w:val="en-US" w:eastAsia="zh-CN"/>
              </w:rPr>
              <w:t>2</w:t>
            </w:r>
            <w:r>
              <w:rPr>
                <w:rFonts w:hint="eastAsia" w:ascii="宋体" w:hAnsi="宋体" w:eastAsia="宋体" w:cs="宋体"/>
                <w:b w:val="0"/>
                <w:bCs/>
                <w:sz w:val="21"/>
                <w:szCs w:val="21"/>
                <w:highlight w:val="none"/>
                <w:lang w:val="en-US" w:eastAsia="zh-CN"/>
              </w:rPr>
              <w:t>万元</w:t>
            </w:r>
            <w:r>
              <w:rPr>
                <w:rFonts w:hint="eastAsia" w:ascii="宋体" w:hAnsi="宋体" w:cs="宋体"/>
                <w:i w:val="0"/>
                <w:iCs w:val="0"/>
                <w:caps w:val="0"/>
                <w:color w:val="auto"/>
                <w:spacing w:val="0"/>
                <w:sz w:val="21"/>
                <w:szCs w:val="21"/>
                <w:highlight w:val="none"/>
                <w:lang w:val="en-US" w:eastAsia="zh-CN"/>
              </w:rPr>
              <w:t>）</w:t>
            </w:r>
          </w:p>
        </w:tc>
      </w:tr>
      <w:tr w14:paraId="0BE0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387FF0CF">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5</w:t>
            </w:r>
          </w:p>
        </w:tc>
        <w:tc>
          <w:tcPr>
            <w:tcW w:w="1568" w:type="dxa"/>
            <w:shd w:val="clear" w:color="auto" w:fill="E0E0E0"/>
            <w:vAlign w:val="center"/>
          </w:tcPr>
          <w:p w14:paraId="7695AF0E">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服务期限</w:t>
            </w:r>
          </w:p>
        </w:tc>
        <w:tc>
          <w:tcPr>
            <w:tcW w:w="7831" w:type="dxa"/>
            <w:shd w:val="clear" w:color="auto" w:fill="FFFFFF"/>
            <w:vAlign w:val="center"/>
          </w:tcPr>
          <w:p w14:paraId="7FFF27B5">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bCs/>
                <w:color w:val="000000"/>
                <w:sz w:val="21"/>
                <w:szCs w:val="21"/>
                <w:highlight w:val="none"/>
                <w:lang w:val="en-US" w:eastAsia="zh-CN"/>
              </w:rPr>
              <w:t>详见采购需求</w:t>
            </w:r>
          </w:p>
        </w:tc>
      </w:tr>
      <w:tr w14:paraId="0254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08D34D22">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6</w:t>
            </w:r>
          </w:p>
        </w:tc>
        <w:tc>
          <w:tcPr>
            <w:tcW w:w="1568" w:type="dxa"/>
            <w:shd w:val="clear" w:color="auto" w:fill="E0E0E0"/>
            <w:vAlign w:val="center"/>
          </w:tcPr>
          <w:p w14:paraId="3B58F903">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投标有效期</w:t>
            </w:r>
          </w:p>
        </w:tc>
        <w:tc>
          <w:tcPr>
            <w:tcW w:w="7831" w:type="dxa"/>
            <w:shd w:val="clear" w:color="auto" w:fill="FFFFFF"/>
            <w:vAlign w:val="center"/>
          </w:tcPr>
          <w:p w14:paraId="64D35046">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90日</w:t>
            </w:r>
            <w:r>
              <w:rPr>
                <w:rFonts w:hint="eastAsia" w:ascii="宋体" w:hAnsi="宋体" w:eastAsia="宋体" w:cs="宋体"/>
                <w:sz w:val="21"/>
                <w:szCs w:val="21"/>
                <w:highlight w:val="none"/>
              </w:rPr>
              <w:t>历天。（从投标截止之日算起）</w:t>
            </w:r>
          </w:p>
        </w:tc>
      </w:tr>
      <w:tr w14:paraId="030D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2" w:hRule="atLeast"/>
          <w:tblCellSpacing w:w="7" w:type="dxa"/>
          <w:jc w:val="center"/>
        </w:trPr>
        <w:tc>
          <w:tcPr>
            <w:tcW w:w="626" w:type="dxa"/>
            <w:shd w:val="clear" w:color="auto" w:fill="E0E0E0"/>
            <w:vAlign w:val="center"/>
          </w:tcPr>
          <w:p w14:paraId="7C83FFEE">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7</w:t>
            </w:r>
          </w:p>
        </w:tc>
        <w:tc>
          <w:tcPr>
            <w:tcW w:w="1568" w:type="dxa"/>
            <w:shd w:val="clear" w:color="auto" w:fill="E0E0E0"/>
            <w:vAlign w:val="center"/>
          </w:tcPr>
          <w:p w14:paraId="1A051B88">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评标办法</w:t>
            </w:r>
          </w:p>
        </w:tc>
        <w:tc>
          <w:tcPr>
            <w:tcW w:w="7831" w:type="dxa"/>
            <w:shd w:val="clear" w:color="auto" w:fill="FFFFFF"/>
            <w:vAlign w:val="center"/>
          </w:tcPr>
          <w:p w14:paraId="68074F29">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综合评分法</w:t>
            </w:r>
          </w:p>
        </w:tc>
      </w:tr>
      <w:tr w14:paraId="1742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2CE88469">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8</w:t>
            </w:r>
          </w:p>
        </w:tc>
        <w:tc>
          <w:tcPr>
            <w:tcW w:w="1568" w:type="dxa"/>
            <w:shd w:val="clear" w:color="auto" w:fill="E0E0E0"/>
            <w:vAlign w:val="center"/>
          </w:tcPr>
          <w:p w14:paraId="1BA98478">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付款方式</w:t>
            </w:r>
          </w:p>
        </w:tc>
        <w:tc>
          <w:tcPr>
            <w:tcW w:w="7831" w:type="dxa"/>
            <w:shd w:val="clear" w:color="auto" w:fill="FFFFFF"/>
            <w:vAlign w:val="center"/>
          </w:tcPr>
          <w:p w14:paraId="45088D5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详见采购需求</w:t>
            </w:r>
          </w:p>
        </w:tc>
      </w:tr>
      <w:tr w14:paraId="7D63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4" w:hRule="atLeast"/>
          <w:tblCellSpacing w:w="7" w:type="dxa"/>
          <w:jc w:val="center"/>
        </w:trPr>
        <w:tc>
          <w:tcPr>
            <w:tcW w:w="626" w:type="dxa"/>
            <w:shd w:val="clear" w:color="auto" w:fill="E0E0E0"/>
            <w:vAlign w:val="center"/>
          </w:tcPr>
          <w:p w14:paraId="17775A4D">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9</w:t>
            </w:r>
          </w:p>
        </w:tc>
        <w:tc>
          <w:tcPr>
            <w:tcW w:w="1568" w:type="dxa"/>
            <w:shd w:val="clear" w:color="auto" w:fill="E0E0E0"/>
            <w:vAlign w:val="center"/>
          </w:tcPr>
          <w:p w14:paraId="62FA8ED3">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磋商报价</w:t>
            </w:r>
          </w:p>
          <w:p w14:paraId="0F4E3819">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与相关费用</w:t>
            </w:r>
          </w:p>
        </w:tc>
        <w:tc>
          <w:tcPr>
            <w:tcW w:w="7831" w:type="dxa"/>
            <w:shd w:val="clear" w:color="auto" w:fill="FFFFFF"/>
            <w:vAlign w:val="center"/>
          </w:tcPr>
          <w:p w14:paraId="47009A05">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人所投报的</w:t>
            </w:r>
            <w:r>
              <w:rPr>
                <w:rFonts w:hint="eastAsia" w:ascii="宋体" w:hAnsi="宋体" w:eastAsia="宋体" w:cs="宋体"/>
                <w:sz w:val="21"/>
                <w:szCs w:val="21"/>
                <w:highlight w:val="none"/>
              </w:rPr>
              <w:t>磋商</w:t>
            </w:r>
            <w:r>
              <w:rPr>
                <w:rFonts w:hint="eastAsia" w:ascii="宋体" w:hAnsi="宋体" w:eastAsia="宋体" w:cs="宋体"/>
                <w:sz w:val="21"/>
                <w:szCs w:val="21"/>
                <w:highlight w:val="none"/>
                <w:lang w:val="zh-CN"/>
              </w:rPr>
              <w:t>报价为</w:t>
            </w: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人所能承受的整个项目的一次性最终最低合同总价，包括完成本项目工作内容所需的一切费用。合同总价不得超过本项目对应的</w:t>
            </w:r>
            <w:r>
              <w:rPr>
                <w:rFonts w:hint="eastAsia" w:ascii="宋体" w:hAnsi="宋体" w:eastAsia="宋体" w:cs="宋体"/>
                <w:sz w:val="21"/>
                <w:szCs w:val="21"/>
                <w:highlight w:val="none"/>
                <w:lang w:val="en-US" w:eastAsia="zh-CN"/>
              </w:rPr>
              <w:t>预算金额</w:t>
            </w:r>
            <w:r>
              <w:rPr>
                <w:rFonts w:hint="eastAsia" w:ascii="宋体" w:hAnsi="宋体" w:eastAsia="宋体" w:cs="宋体"/>
                <w:sz w:val="21"/>
                <w:szCs w:val="21"/>
                <w:highlight w:val="none"/>
                <w:lang w:val="zh-CN"/>
              </w:rPr>
              <w:t>。</w:t>
            </w:r>
          </w:p>
          <w:p w14:paraId="18F2E253">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zh-CN"/>
              </w:rPr>
              <w:t>、按国家规定由</w:t>
            </w:r>
            <w:r>
              <w:rPr>
                <w:rFonts w:hint="eastAsia" w:ascii="宋体" w:hAnsi="宋体" w:eastAsia="宋体" w:cs="宋体"/>
                <w:sz w:val="21"/>
                <w:szCs w:val="21"/>
                <w:highlight w:val="none"/>
              </w:rPr>
              <w:t>成交</w:t>
            </w:r>
            <w:r>
              <w:rPr>
                <w:rFonts w:hint="eastAsia" w:ascii="宋体" w:hAnsi="宋体" w:eastAsia="宋体" w:cs="宋体"/>
                <w:sz w:val="21"/>
                <w:szCs w:val="21"/>
                <w:highlight w:val="none"/>
                <w:lang w:val="zh-CN"/>
              </w:rPr>
              <w:t>人缴纳的各种税收已包含在投标总价内，由</w:t>
            </w:r>
            <w:r>
              <w:rPr>
                <w:rFonts w:hint="eastAsia" w:ascii="宋体" w:hAnsi="宋体" w:eastAsia="宋体" w:cs="宋体"/>
                <w:sz w:val="21"/>
                <w:szCs w:val="21"/>
                <w:highlight w:val="none"/>
              </w:rPr>
              <w:t>成交</w:t>
            </w:r>
            <w:r>
              <w:rPr>
                <w:rFonts w:hint="eastAsia" w:ascii="宋体" w:hAnsi="宋体" w:eastAsia="宋体" w:cs="宋体"/>
                <w:sz w:val="21"/>
                <w:szCs w:val="21"/>
                <w:highlight w:val="none"/>
                <w:lang w:val="zh-CN"/>
              </w:rPr>
              <w:t>人向税务机关缴纳相关费用。</w:t>
            </w:r>
          </w:p>
          <w:p w14:paraId="5D18C067">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3、响应</w:t>
            </w:r>
            <w:r>
              <w:rPr>
                <w:rFonts w:hint="eastAsia" w:ascii="宋体" w:hAnsi="宋体" w:eastAsia="宋体" w:cs="宋体"/>
                <w:sz w:val="21"/>
                <w:szCs w:val="21"/>
                <w:highlight w:val="none"/>
                <w:lang w:val="zh-CN"/>
              </w:rPr>
              <w:t>人应承担其参加本</w:t>
            </w:r>
            <w:r>
              <w:rPr>
                <w:rFonts w:hint="eastAsia" w:ascii="宋体" w:hAnsi="宋体" w:eastAsia="宋体" w:cs="宋体"/>
                <w:sz w:val="21"/>
                <w:szCs w:val="21"/>
                <w:highlight w:val="none"/>
              </w:rPr>
              <w:t>磋商</w:t>
            </w:r>
            <w:r>
              <w:rPr>
                <w:rFonts w:hint="eastAsia" w:ascii="宋体" w:hAnsi="宋体" w:eastAsia="宋体" w:cs="宋体"/>
                <w:sz w:val="21"/>
                <w:szCs w:val="21"/>
                <w:highlight w:val="none"/>
                <w:lang w:val="zh-CN"/>
              </w:rPr>
              <w:t>活动自身所发生的费用。</w:t>
            </w:r>
          </w:p>
          <w:p w14:paraId="2D85E8CA">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4、成交</w:t>
            </w:r>
            <w:r>
              <w:rPr>
                <w:rFonts w:hint="eastAsia" w:ascii="宋体" w:hAnsi="宋体" w:eastAsia="宋体" w:cs="宋体"/>
                <w:sz w:val="21"/>
                <w:szCs w:val="21"/>
                <w:highlight w:val="none"/>
                <w:lang w:val="zh-CN"/>
              </w:rPr>
              <w:t>人须缴纳招标代理服务费，招标代理服务收费标准金额为：</w:t>
            </w:r>
            <w:r>
              <w:rPr>
                <w:rFonts w:hint="eastAsia" w:ascii="宋体" w:hAnsi="宋体" w:eastAsia="宋体" w:cs="宋体"/>
                <w:sz w:val="21"/>
                <w:szCs w:val="21"/>
                <w:highlight w:val="none"/>
                <w:lang w:val="en-US" w:eastAsia="zh-CN"/>
              </w:rPr>
              <w:t>一次性收费人民币玖仟</w:t>
            </w:r>
            <w:r>
              <w:rPr>
                <w:rFonts w:hint="eastAsia" w:ascii="宋体" w:hAnsi="宋体" w:cs="宋体"/>
                <w:sz w:val="21"/>
                <w:szCs w:val="21"/>
                <w:highlight w:val="none"/>
                <w:lang w:val="en-US" w:eastAsia="zh-CN"/>
              </w:rPr>
              <w:t>陆佰</w:t>
            </w:r>
            <w:r>
              <w:rPr>
                <w:rFonts w:hint="eastAsia" w:ascii="宋体" w:hAnsi="宋体" w:eastAsia="宋体" w:cs="宋体"/>
                <w:sz w:val="21"/>
                <w:szCs w:val="21"/>
                <w:highlight w:val="none"/>
                <w:lang w:val="en-US" w:eastAsia="zh-CN"/>
              </w:rPr>
              <w:t>元整（¥</w:t>
            </w:r>
            <w:r>
              <w:rPr>
                <w:rFonts w:hint="eastAsia" w:ascii="宋体" w:hAnsi="宋体" w:cs="宋体"/>
                <w:sz w:val="21"/>
                <w:szCs w:val="21"/>
                <w:highlight w:val="none"/>
                <w:lang w:val="en-US" w:eastAsia="zh-CN"/>
              </w:rPr>
              <w:t>9600</w:t>
            </w:r>
            <w:r>
              <w:rPr>
                <w:rFonts w:hint="eastAsia" w:ascii="宋体" w:hAnsi="宋体" w:eastAsia="宋体" w:cs="宋体"/>
                <w:sz w:val="21"/>
                <w:szCs w:val="21"/>
                <w:highlight w:val="none"/>
                <w:lang w:val="en-US" w:eastAsia="zh-CN"/>
              </w:rPr>
              <w:t>.00）</w:t>
            </w:r>
            <w:r>
              <w:rPr>
                <w:rFonts w:hint="eastAsia" w:ascii="宋体" w:hAnsi="宋体" w:eastAsia="宋体" w:cs="宋体"/>
                <w:sz w:val="21"/>
                <w:szCs w:val="21"/>
                <w:highlight w:val="none"/>
                <w:lang w:val="zh-CN"/>
              </w:rPr>
              <w:t>。支付方式及时间为：</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lang w:val="zh-CN"/>
              </w:rPr>
              <w:t>通知书发出</w:t>
            </w:r>
            <w:r>
              <w:rPr>
                <w:rFonts w:hint="eastAsia" w:ascii="宋体" w:hAnsi="宋体" w:eastAsia="宋体" w:cs="宋体"/>
                <w:sz w:val="21"/>
                <w:szCs w:val="21"/>
                <w:highlight w:val="none"/>
                <w:lang w:val="en-US" w:eastAsia="zh-CN"/>
              </w:rPr>
              <w:t>时</w:t>
            </w:r>
            <w:r>
              <w:rPr>
                <w:rFonts w:hint="eastAsia" w:ascii="宋体" w:hAnsi="宋体" w:eastAsia="宋体" w:cs="宋体"/>
                <w:sz w:val="21"/>
                <w:szCs w:val="21"/>
                <w:highlight w:val="none"/>
                <w:lang w:val="zh-CN"/>
              </w:rPr>
              <w:t>一次性支付给招标代理机构。</w:t>
            </w:r>
          </w:p>
          <w:p w14:paraId="7677BE3C">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收款单位名称：中金招标有限责任公司舟山分公司</w:t>
            </w:r>
          </w:p>
          <w:p w14:paraId="4D7B7958">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开户银行：中国建设银行股份有限公司舟山新城支行</w:t>
            </w:r>
          </w:p>
          <w:p w14:paraId="73A962A1">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银行账号：3300 1706 2550 5300 3969</w:t>
            </w:r>
          </w:p>
          <w:p w14:paraId="05226EEB">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5、中标、成交人放弃中标、成交资格导致重新采购的，承担支付代理费和专家评审费等费用在内的赔偿责任。</w:t>
            </w:r>
          </w:p>
        </w:tc>
      </w:tr>
      <w:tr w14:paraId="7671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0AE26D45">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10</w:t>
            </w:r>
          </w:p>
        </w:tc>
        <w:tc>
          <w:tcPr>
            <w:tcW w:w="1568" w:type="dxa"/>
            <w:shd w:val="clear" w:color="auto" w:fill="E0E0E0"/>
            <w:vAlign w:val="center"/>
          </w:tcPr>
          <w:p w14:paraId="7880C215">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响应文件的组成</w:t>
            </w:r>
          </w:p>
        </w:tc>
        <w:tc>
          <w:tcPr>
            <w:tcW w:w="7831" w:type="dxa"/>
            <w:shd w:val="clear" w:color="auto" w:fill="FFFFFF"/>
            <w:vAlign w:val="center"/>
          </w:tcPr>
          <w:p w14:paraId="0520F084">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本项目实行网上投标。</w:t>
            </w:r>
          </w:p>
          <w:p w14:paraId="1E697328">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响应人应准备电子投标文件、以介质存储的数据电文形式的备份投标文件：</w:t>
            </w:r>
          </w:p>
          <w:p w14:paraId="406F4531">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（1）电子投标文件，按政采云供应商项目采购-电子招投标操作指南及本</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文件要求制作，加密并递交。</w:t>
            </w:r>
          </w:p>
          <w:p w14:paraId="62C4C0E9">
            <w:pPr>
              <w:pStyle w:val="2"/>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b/>
                <w:bCs/>
                <w:sz w:val="21"/>
                <w:szCs w:val="21"/>
                <w:highlight w:val="none"/>
              </w:rPr>
              <w:t>（2）以介质存储的数据电文形式的备份投标文件，按政采云供应商项目采购-电子招投标操作指南中制作的电子投标文件，以DVD光盘或U盘形式提供。数量为1份。</w:t>
            </w:r>
          </w:p>
        </w:tc>
      </w:tr>
      <w:tr w14:paraId="2F3B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20698F54">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11</w:t>
            </w:r>
          </w:p>
        </w:tc>
        <w:tc>
          <w:tcPr>
            <w:tcW w:w="1568" w:type="dxa"/>
            <w:shd w:val="clear" w:color="auto" w:fill="E0E0E0"/>
            <w:vAlign w:val="center"/>
          </w:tcPr>
          <w:p w14:paraId="5917B233">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开标地点</w:t>
            </w:r>
          </w:p>
        </w:tc>
        <w:tc>
          <w:tcPr>
            <w:tcW w:w="7831" w:type="dxa"/>
            <w:shd w:val="clear" w:color="auto" w:fill="FFFFFF"/>
            <w:vAlign w:val="center"/>
          </w:tcPr>
          <w:p w14:paraId="4A827C7A">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舟山市定海区海天大道998号中金招标四楼</w:t>
            </w:r>
            <w:r>
              <w:rPr>
                <w:rFonts w:hint="eastAsia" w:ascii="宋体" w:hAnsi="宋体" w:cs="宋体"/>
                <w:sz w:val="21"/>
                <w:szCs w:val="21"/>
                <w:highlight w:val="none"/>
                <w:lang w:val="en-US" w:eastAsia="zh-CN"/>
              </w:rPr>
              <w:t>开标室</w:t>
            </w:r>
          </w:p>
        </w:tc>
      </w:tr>
      <w:tr w14:paraId="6B3A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33DD3423">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12</w:t>
            </w:r>
          </w:p>
        </w:tc>
        <w:tc>
          <w:tcPr>
            <w:tcW w:w="1568" w:type="dxa"/>
            <w:shd w:val="clear" w:color="auto" w:fill="E0E0E0"/>
            <w:vAlign w:val="center"/>
          </w:tcPr>
          <w:p w14:paraId="77C41F86">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投标文件的递交</w:t>
            </w:r>
          </w:p>
        </w:tc>
        <w:tc>
          <w:tcPr>
            <w:tcW w:w="7831" w:type="dxa"/>
            <w:shd w:val="clear" w:color="auto" w:fill="FFFFFF"/>
            <w:vAlign w:val="center"/>
          </w:tcPr>
          <w:p w14:paraId="6F262EA8">
            <w:pPr>
              <w:keepNext w:val="0"/>
              <w:keepLines w:val="0"/>
              <w:pageBreakBefore w:val="0"/>
              <w:widowControl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2BE9C498">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w:t>
            </w:r>
            <w:r>
              <w:rPr>
                <w:rFonts w:hint="eastAsia" w:ascii="宋体" w:hAnsi="宋体" w:eastAsia="宋体" w:cs="宋体"/>
                <w:sz w:val="21"/>
                <w:szCs w:val="21"/>
                <w:highlight w:val="none"/>
                <w:lang w:val="en-US" w:eastAsia="zh-CN"/>
              </w:rPr>
              <w:t>梅洁</w:t>
            </w:r>
            <w:r>
              <w:rPr>
                <w:rFonts w:hint="eastAsia" w:ascii="宋体" w:hAnsi="宋体" w:eastAsia="宋体" w:cs="宋体"/>
                <w:sz w:val="21"/>
                <w:szCs w:val="21"/>
                <w:highlight w:val="none"/>
              </w:rPr>
              <w:t>；联系方式：</w:t>
            </w:r>
            <w:r>
              <w:rPr>
                <w:rFonts w:hint="eastAsia" w:ascii="宋体" w:hAnsi="宋体" w:eastAsia="宋体" w:cs="宋体"/>
                <w:sz w:val="21"/>
                <w:szCs w:val="21"/>
                <w:highlight w:val="none"/>
                <w:lang w:val="en-US" w:eastAsia="zh-CN"/>
              </w:rPr>
              <w:t>13388440851</w:t>
            </w:r>
            <w:r>
              <w:rPr>
                <w:rFonts w:hint="eastAsia" w:ascii="宋体" w:hAnsi="宋体" w:eastAsia="宋体" w:cs="宋体"/>
                <w:sz w:val="21"/>
                <w:szCs w:val="21"/>
                <w:highlight w:val="none"/>
              </w:rPr>
              <w:t>。投标人递交备份投标文件时，如出现下列情况之一的，将被拒收：</w:t>
            </w:r>
          </w:p>
          <w:p w14:paraId="296ECE4B">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1、未按规定密封或标记的投标文件；</w:t>
            </w:r>
          </w:p>
          <w:p w14:paraId="0CEB490D">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2、由于包装不妥，在送交途中严重破损或失散的；</w:t>
            </w:r>
          </w:p>
          <w:p w14:paraId="33B7F8F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3、超过投标截止时间送达的；</w:t>
            </w:r>
          </w:p>
          <w:p w14:paraId="6996C5DF">
            <w:pPr>
              <w:keepNext w:val="0"/>
              <w:keepLines w:val="0"/>
              <w:pageBreakBefore w:val="0"/>
              <w:widowControl w:val="0"/>
              <w:kinsoku/>
              <w:wordWrap/>
              <w:overflowPunct/>
              <w:topLinePunct w:val="0"/>
              <w:autoSpaceDE w:val="0"/>
              <w:autoSpaceDN w:val="0"/>
              <w:bidi w:val="0"/>
              <w:snapToGrid w:val="0"/>
              <w:spacing w:line="360" w:lineRule="auto"/>
              <w:ind w:firstLine="420" w:firstLineChars="20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4、仅提供备份投标文件的。</w:t>
            </w:r>
          </w:p>
          <w:p w14:paraId="44CEBBE4">
            <w:pPr>
              <w:keepNext w:val="0"/>
              <w:keepLines w:val="0"/>
              <w:pageBreakBefore w:val="0"/>
              <w:suppressLineNumbers w:val="0"/>
              <w:kinsoku/>
              <w:wordWrap/>
              <w:overflowPunct/>
              <w:topLinePunct w:val="0"/>
              <w:bidi w:val="0"/>
              <w:spacing w:before="0" w:beforeAutospacing="0" w:after="0" w:afterAutospacing="0" w:line="360" w:lineRule="auto"/>
              <w:ind w:left="0" w:right="0" w:firstLine="420" w:firstLineChars="200"/>
              <w:rPr>
                <w:rFonts w:hint="eastAsia" w:ascii="宋体" w:hAnsi="宋体" w:eastAsia="宋体" w:cs="宋体"/>
                <w:b/>
                <w:kern w:val="0"/>
                <w:sz w:val="21"/>
                <w:szCs w:val="21"/>
                <w:highlight w:val="none"/>
              </w:rPr>
            </w:pPr>
            <w:r>
              <w:rPr>
                <w:rFonts w:hint="eastAsia" w:ascii="宋体" w:hAnsi="宋体" w:eastAsia="宋体" w:cs="宋体"/>
                <w:sz w:val="21"/>
                <w:szCs w:val="21"/>
                <w:highlight w:val="none"/>
              </w:rPr>
              <w:t>当发生解密失败或未按时解密的，投标人提供了备份投标文件的，以备份投标文件为依据，否则视为投标文件撤回。投标文件已按时解密的，备份投标文件自动失效。</w:t>
            </w:r>
          </w:p>
        </w:tc>
      </w:tr>
      <w:tr w14:paraId="3CFE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1" w:hRule="atLeast"/>
          <w:tblCellSpacing w:w="7" w:type="dxa"/>
          <w:jc w:val="center"/>
        </w:trPr>
        <w:tc>
          <w:tcPr>
            <w:tcW w:w="626" w:type="dxa"/>
            <w:shd w:val="clear" w:color="auto" w:fill="E0E0E0"/>
            <w:vAlign w:val="center"/>
          </w:tcPr>
          <w:p w14:paraId="386AC01E">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13</w:t>
            </w:r>
          </w:p>
        </w:tc>
        <w:tc>
          <w:tcPr>
            <w:tcW w:w="1568" w:type="dxa"/>
            <w:shd w:val="clear" w:color="auto" w:fill="E0E0E0"/>
            <w:vAlign w:val="center"/>
          </w:tcPr>
          <w:p w14:paraId="6F429B05">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投标文件提交截止时间及开标时间</w:t>
            </w:r>
          </w:p>
        </w:tc>
        <w:tc>
          <w:tcPr>
            <w:tcW w:w="7831" w:type="dxa"/>
            <w:shd w:val="clear" w:color="auto" w:fill="FFFFFF"/>
            <w:vAlign w:val="center"/>
          </w:tcPr>
          <w:p w14:paraId="2E4519E4">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2025年04月25日 09:00（北京时间）</w:t>
            </w:r>
          </w:p>
        </w:tc>
      </w:tr>
      <w:tr w14:paraId="2D18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626" w:type="dxa"/>
            <w:vMerge w:val="restart"/>
            <w:shd w:val="clear" w:color="auto" w:fill="E0E0E0"/>
            <w:vAlign w:val="center"/>
          </w:tcPr>
          <w:p w14:paraId="74FBB263">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lang w:val="en-US"/>
              </w:rPr>
            </w:pPr>
            <w:r>
              <w:rPr>
                <w:rFonts w:hint="eastAsia" w:ascii="宋体" w:hAnsi="宋体" w:eastAsia="宋体" w:cs="宋体"/>
                <w:b/>
                <w:sz w:val="21"/>
                <w:szCs w:val="21"/>
                <w:highlight w:val="none"/>
                <w:lang w:val="en-US" w:eastAsia="zh-CN"/>
              </w:rPr>
              <w:t>14</w:t>
            </w:r>
          </w:p>
        </w:tc>
        <w:tc>
          <w:tcPr>
            <w:tcW w:w="1568" w:type="dxa"/>
            <w:vMerge w:val="restart"/>
            <w:shd w:val="clear" w:color="auto" w:fill="E0E0E0"/>
            <w:vAlign w:val="center"/>
          </w:tcPr>
          <w:p w14:paraId="3D074B7D">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中小企业</w:t>
            </w:r>
          </w:p>
          <w:p w14:paraId="2BDC860B">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扶持政策</w:t>
            </w:r>
          </w:p>
        </w:tc>
        <w:tc>
          <w:tcPr>
            <w:tcW w:w="7831" w:type="dxa"/>
            <w:shd w:val="clear" w:color="auto" w:fill="FFFFFF"/>
            <w:vAlign w:val="center"/>
          </w:tcPr>
          <w:p w14:paraId="72330567">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Cs/>
                <w:kern w:val="0"/>
                <w:sz w:val="21"/>
                <w:szCs w:val="21"/>
                <w:highlight w:val="none"/>
              </w:rPr>
            </w:pPr>
            <w:r>
              <w:rPr>
                <w:rFonts w:hint="eastAsia" w:ascii="宋体" w:hAnsi="宋体" w:eastAsia="宋体" w:cs="宋体"/>
                <w:b/>
                <w:kern w:val="0"/>
                <w:sz w:val="21"/>
                <w:szCs w:val="21"/>
                <w:highlight w:val="none"/>
              </w:rPr>
              <w:t>本项目专门面向中小企业采购。</w:t>
            </w:r>
          </w:p>
        </w:tc>
      </w:tr>
      <w:tr w14:paraId="0715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626" w:type="dxa"/>
            <w:vMerge w:val="continue"/>
            <w:shd w:val="clear" w:color="auto" w:fill="E0E0E0"/>
            <w:vAlign w:val="center"/>
          </w:tcPr>
          <w:p w14:paraId="71E4F9ED">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p>
        </w:tc>
        <w:tc>
          <w:tcPr>
            <w:tcW w:w="1568" w:type="dxa"/>
            <w:vMerge w:val="continue"/>
            <w:shd w:val="clear" w:color="auto" w:fill="E0E0E0"/>
            <w:vAlign w:val="center"/>
          </w:tcPr>
          <w:p w14:paraId="6DB53FA6">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kern w:val="0"/>
                <w:sz w:val="21"/>
                <w:szCs w:val="21"/>
                <w:highlight w:val="none"/>
              </w:rPr>
            </w:pPr>
          </w:p>
        </w:tc>
        <w:tc>
          <w:tcPr>
            <w:tcW w:w="7831" w:type="dxa"/>
            <w:shd w:val="clear" w:color="auto" w:fill="FFFFFF"/>
            <w:vAlign w:val="center"/>
          </w:tcPr>
          <w:p w14:paraId="06340250">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rPr>
              <w:t>本项目不接受联合体投标。</w:t>
            </w:r>
          </w:p>
        </w:tc>
      </w:tr>
      <w:tr w14:paraId="0589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626" w:type="dxa"/>
            <w:vMerge w:val="continue"/>
            <w:shd w:val="clear" w:color="auto" w:fill="E0E0E0"/>
            <w:vAlign w:val="center"/>
          </w:tcPr>
          <w:p w14:paraId="7BD09597">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p>
        </w:tc>
        <w:tc>
          <w:tcPr>
            <w:tcW w:w="1568" w:type="dxa"/>
            <w:vMerge w:val="continue"/>
            <w:shd w:val="clear" w:color="auto" w:fill="E0E0E0"/>
            <w:vAlign w:val="center"/>
          </w:tcPr>
          <w:p w14:paraId="4DC52A9F">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kern w:val="0"/>
                <w:sz w:val="21"/>
                <w:szCs w:val="21"/>
                <w:highlight w:val="none"/>
              </w:rPr>
            </w:pPr>
          </w:p>
        </w:tc>
        <w:tc>
          <w:tcPr>
            <w:tcW w:w="7831" w:type="dxa"/>
            <w:shd w:val="clear" w:color="auto" w:fill="FFFFFF"/>
            <w:vAlign w:val="center"/>
          </w:tcPr>
          <w:p w14:paraId="6B4C5277">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rPr>
              <w:t>本项目不允许转包，分包。</w:t>
            </w:r>
          </w:p>
        </w:tc>
      </w:tr>
      <w:tr w14:paraId="7C96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626" w:type="dxa"/>
            <w:vMerge w:val="continue"/>
            <w:shd w:val="clear" w:color="auto" w:fill="E0E0E0"/>
            <w:vAlign w:val="center"/>
          </w:tcPr>
          <w:p w14:paraId="21DF49EC">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p>
        </w:tc>
        <w:tc>
          <w:tcPr>
            <w:tcW w:w="1568" w:type="dxa"/>
            <w:vMerge w:val="continue"/>
            <w:shd w:val="clear" w:color="auto" w:fill="E0E0E0"/>
            <w:vAlign w:val="center"/>
          </w:tcPr>
          <w:p w14:paraId="0C02EB00">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kern w:val="0"/>
                <w:sz w:val="21"/>
                <w:szCs w:val="21"/>
                <w:highlight w:val="none"/>
              </w:rPr>
            </w:pPr>
          </w:p>
        </w:tc>
        <w:tc>
          <w:tcPr>
            <w:tcW w:w="7831" w:type="dxa"/>
            <w:shd w:val="clear" w:color="auto" w:fill="FFFFFF"/>
            <w:vAlign w:val="center"/>
          </w:tcPr>
          <w:p w14:paraId="39EAC752">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bCs w:val="0"/>
                <w:kern w:val="0"/>
                <w:sz w:val="21"/>
                <w:szCs w:val="21"/>
                <w:highlight w:val="none"/>
                <w:lang w:eastAsia="zh-CN"/>
              </w:rPr>
            </w:pPr>
            <w:r>
              <w:rPr>
                <w:rFonts w:hint="eastAsia" w:ascii="宋体" w:hAnsi="宋体" w:eastAsia="宋体" w:cs="宋体"/>
                <w:b/>
                <w:bCs w:val="0"/>
                <w:kern w:val="0"/>
                <w:sz w:val="21"/>
                <w:szCs w:val="21"/>
                <w:highlight w:val="none"/>
              </w:rPr>
              <w:t>本项目采购标的对应的中小企业划分标准所属行业：</w:t>
            </w:r>
            <w:r>
              <w:rPr>
                <w:rFonts w:hint="eastAsia" w:ascii="宋体" w:hAnsi="宋体" w:eastAsia="宋体" w:cs="宋体"/>
                <w:b/>
                <w:bCs w:val="0"/>
                <w:kern w:val="0"/>
                <w:sz w:val="21"/>
                <w:szCs w:val="21"/>
                <w:highlight w:val="none"/>
                <w:lang w:val="en-US" w:eastAsia="zh-CN"/>
              </w:rPr>
              <w:t>其他未列明行业</w:t>
            </w:r>
            <w:r>
              <w:rPr>
                <w:rFonts w:hint="eastAsia" w:ascii="宋体" w:hAnsi="宋体" w:eastAsia="宋体" w:cs="宋体"/>
                <w:b/>
                <w:bCs w:val="0"/>
                <w:kern w:val="0"/>
                <w:sz w:val="21"/>
                <w:szCs w:val="21"/>
                <w:highlight w:val="none"/>
                <w:lang w:eastAsia="zh-CN"/>
              </w:rPr>
              <w:t>。</w:t>
            </w:r>
          </w:p>
        </w:tc>
      </w:tr>
      <w:tr w14:paraId="64C0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626" w:type="dxa"/>
            <w:vMerge w:val="continue"/>
            <w:shd w:val="clear" w:color="auto" w:fill="E0E0E0"/>
            <w:vAlign w:val="center"/>
          </w:tcPr>
          <w:p w14:paraId="0D0B2BF2">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p>
        </w:tc>
        <w:tc>
          <w:tcPr>
            <w:tcW w:w="1568" w:type="dxa"/>
            <w:vMerge w:val="continue"/>
            <w:shd w:val="clear" w:color="auto" w:fill="E0E0E0"/>
            <w:vAlign w:val="center"/>
          </w:tcPr>
          <w:p w14:paraId="6208C41C">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kern w:val="0"/>
                <w:sz w:val="21"/>
                <w:szCs w:val="21"/>
                <w:highlight w:val="none"/>
              </w:rPr>
            </w:pPr>
          </w:p>
        </w:tc>
        <w:tc>
          <w:tcPr>
            <w:tcW w:w="7831" w:type="dxa"/>
            <w:shd w:val="clear" w:color="auto" w:fill="FFFFFF"/>
            <w:vAlign w:val="center"/>
          </w:tcPr>
          <w:p w14:paraId="30CE2EC1">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rPr>
              <w:t>本项目为</w:t>
            </w:r>
            <w:r>
              <w:rPr>
                <w:rFonts w:hint="eastAsia" w:ascii="宋体" w:hAnsi="宋体" w:eastAsia="宋体" w:cs="宋体"/>
                <w:b/>
                <w:bCs w:val="0"/>
                <w:kern w:val="0"/>
                <w:sz w:val="21"/>
                <w:szCs w:val="21"/>
                <w:highlight w:val="none"/>
                <w:lang w:val="en-US" w:eastAsia="zh-CN"/>
              </w:rPr>
              <w:t>服务</w:t>
            </w:r>
            <w:r>
              <w:rPr>
                <w:rFonts w:hint="eastAsia" w:ascii="宋体" w:hAnsi="宋体" w:eastAsia="宋体" w:cs="宋体"/>
                <w:b/>
                <w:bCs w:val="0"/>
                <w:kern w:val="0"/>
                <w:sz w:val="21"/>
                <w:szCs w:val="21"/>
                <w:highlight w:val="none"/>
              </w:rPr>
              <w:t>类采购项目。</w:t>
            </w:r>
          </w:p>
        </w:tc>
      </w:tr>
      <w:tr w14:paraId="329D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626" w:type="dxa"/>
            <w:vMerge w:val="continue"/>
            <w:shd w:val="clear" w:color="auto" w:fill="E0E0E0"/>
            <w:vAlign w:val="center"/>
          </w:tcPr>
          <w:p w14:paraId="753D12B3">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1"/>
                <w:szCs w:val="21"/>
                <w:highlight w:val="none"/>
              </w:rPr>
            </w:pPr>
          </w:p>
        </w:tc>
        <w:tc>
          <w:tcPr>
            <w:tcW w:w="1568" w:type="dxa"/>
            <w:vMerge w:val="continue"/>
            <w:shd w:val="clear" w:color="auto" w:fill="E0E0E0"/>
            <w:vAlign w:val="center"/>
          </w:tcPr>
          <w:p w14:paraId="5B7448BA">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kern w:val="0"/>
                <w:sz w:val="21"/>
                <w:szCs w:val="21"/>
                <w:highlight w:val="none"/>
              </w:rPr>
            </w:pPr>
          </w:p>
        </w:tc>
        <w:tc>
          <w:tcPr>
            <w:tcW w:w="7831" w:type="dxa"/>
            <w:shd w:val="clear" w:color="auto" w:fill="FFFFFF"/>
            <w:vAlign w:val="center"/>
          </w:tcPr>
          <w:p w14:paraId="3684DC24">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根据《政府采购促进中小企业发展管理办法》（财库[2020]46号）规定：</w:t>
            </w:r>
          </w:p>
          <w:p w14:paraId="4DA5373E">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5214B87B">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符合中小企业划分标准的个体工商户，在政府采购活动中视同中小企业。</w:t>
            </w:r>
          </w:p>
          <w:p w14:paraId="3C32C771">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2、在政府采购活动中，供应商提供的货物、工程或者服务符合下列情形的，享受本办法规定的中小企业扶持政策：</w:t>
            </w:r>
          </w:p>
          <w:p w14:paraId="014FD4C9">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（1）在货物采购项目中，货物由中小企业制造，即货物由中小企业生产且使用该中小企业商号或者注册商标； </w:t>
            </w:r>
          </w:p>
          <w:p w14:paraId="3C5387E2">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（2）在工程采购项目中，工程由中小企业承建，即工程施工单位为中小企业； </w:t>
            </w:r>
          </w:p>
          <w:p w14:paraId="4BB4AF9A">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（3）在服务采购项目中，服务由中小企业承接，即提供服务的人员为中小企业依照《中华人民共和国劳动合同法》订立劳动合同的从业人员。 </w:t>
            </w:r>
          </w:p>
          <w:p w14:paraId="31672FCC">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在货物采购项目中，供应商提供的货物既有中小企业制造货物，也有大型企业制造货物的，不享受本办法规定的中小企业扶持政策。</w:t>
            </w:r>
          </w:p>
          <w:p w14:paraId="5AF06BE5">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3、在政府采购活动中，监狱企业、残疾人福利性单位视同小型、微型企业，享受本办法规定的中小企业扶持政策；监狱企业、残疾人福利性单位属于小型、微型企业的，不重复享受政策。</w:t>
            </w:r>
          </w:p>
          <w:p w14:paraId="1A0A0804">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本项目中小企业扶持政策：</w:t>
            </w:r>
          </w:p>
          <w:p w14:paraId="6A258F43">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本项目专门面向中小企业采购，供应商应为中小企业（监狱企业、残疾人福利性单位视同小型、微型企业）：</w:t>
            </w:r>
          </w:p>
          <w:p w14:paraId="54F99DF7">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（1）中小企业须提供《中小企业声明函》，附在资格证明文件内，否则不享受预留份额政策；</w:t>
            </w:r>
          </w:p>
          <w:p w14:paraId="235F91C1">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（2）监狱企业须提供由省级以上监狱管理局、戒毒管理局（含新疆生产建设兵团）出具的属于监狱企业的证明文件，附在资格证明文件内，否则不享受预留份额政策；</w:t>
            </w:r>
          </w:p>
          <w:p w14:paraId="28B1DD0C">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（3）残疾人福利性单位须提供《残疾人福利性单位声明函》，附在资格证明文件内，否则不享受预留份额政策。</w:t>
            </w:r>
          </w:p>
        </w:tc>
      </w:tr>
    </w:tbl>
    <w:p w14:paraId="07335DB6">
      <w:pPr>
        <w:pageBreakBefore w:val="0"/>
        <w:kinsoku/>
        <w:wordWrap/>
        <w:overflowPunct/>
        <w:topLinePunct w:val="0"/>
        <w:bidi w:val="0"/>
        <w:snapToGrid w:val="0"/>
        <w:spacing w:line="360" w:lineRule="auto"/>
        <w:rPr>
          <w:rFonts w:hint="eastAsia" w:ascii="宋体" w:hAnsi="宋体" w:eastAsia="宋体" w:cs="宋体"/>
          <w:b/>
          <w:sz w:val="21"/>
          <w:szCs w:val="21"/>
          <w:highlight w:val="none"/>
        </w:rPr>
      </w:pPr>
    </w:p>
    <w:p w14:paraId="5BC69744">
      <w:pPr>
        <w:pageBreakBefore w:val="0"/>
        <w:kinsoku/>
        <w:wordWrap/>
        <w:overflowPunct/>
        <w:topLinePunct w:val="0"/>
        <w:bidi w:val="0"/>
        <w:snapToGrid w:val="0"/>
        <w:spacing w:line="360" w:lineRule="auto"/>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一、总  则</w:t>
      </w:r>
    </w:p>
    <w:p w14:paraId="234F0ABE">
      <w:pPr>
        <w:pStyle w:val="13"/>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（一）适用范围</w:t>
      </w:r>
    </w:p>
    <w:p w14:paraId="38F46B53">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本磋商文件适用于本次项目的评标、定标、验收、合同履约、付款等（法律、法规另有规定的，从其规定）。</w:t>
      </w:r>
    </w:p>
    <w:p w14:paraId="2398192D">
      <w:pPr>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（二）定义</w:t>
      </w:r>
    </w:p>
    <w:p w14:paraId="614866E6">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1、“采购人”系指组织本次采购的单位：</w:t>
      </w:r>
      <w:r>
        <w:rPr>
          <w:rFonts w:hint="eastAsia" w:ascii="宋体" w:hAnsi="宋体" w:eastAsia="宋体" w:cs="宋体"/>
          <w:sz w:val="21"/>
          <w:szCs w:val="21"/>
          <w:highlight w:val="none"/>
          <w:lang w:val="en-US" w:eastAsia="zh-CN"/>
        </w:rPr>
        <w:t>舟山市公安局交通警察支队</w:t>
      </w:r>
      <w:r>
        <w:rPr>
          <w:rFonts w:hint="eastAsia" w:hAnsi="宋体" w:eastAsia="宋体" w:cs="宋体"/>
          <w:sz w:val="21"/>
          <w:szCs w:val="21"/>
          <w:highlight w:val="none"/>
          <w:lang w:val="en-US" w:eastAsia="zh-CN"/>
        </w:rPr>
        <w:t>、舟山市公安局高速公路交通警察支队、</w:t>
      </w:r>
      <w:r>
        <w:rPr>
          <w:rFonts w:hint="eastAsia" w:ascii="宋体" w:hAnsi="宋体" w:eastAsia="宋体" w:cs="宋体"/>
          <w:b w:val="0"/>
          <w:bCs/>
          <w:sz w:val="21"/>
          <w:szCs w:val="21"/>
          <w:highlight w:val="none"/>
          <w:lang w:val="en-US" w:eastAsia="zh-CN"/>
        </w:rPr>
        <w:t>舟山市公安局普陀山分局交警大队</w:t>
      </w:r>
      <w:r>
        <w:rPr>
          <w:rFonts w:hint="eastAsia" w:ascii="宋体" w:hAnsi="宋体" w:eastAsia="宋体" w:cs="宋体"/>
          <w:sz w:val="21"/>
          <w:szCs w:val="21"/>
          <w:highlight w:val="none"/>
        </w:rPr>
        <w:t>。</w:t>
      </w:r>
    </w:p>
    <w:p w14:paraId="6A4BF1FC">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2、“招标代理机构”系指中金招标有限责任公司。</w:t>
      </w:r>
    </w:p>
    <w:p w14:paraId="767343A3">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3、“响应人”系指向招标代理机构提交响应文件的供应商。</w:t>
      </w:r>
    </w:p>
    <w:p w14:paraId="0ACF7D2C">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4、“成交人”系指经磋商小组评定，且审查通过，并经公示无异议的合格响应人。</w:t>
      </w:r>
    </w:p>
    <w:p w14:paraId="6930FA6E">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5、“响应人代表”系指全权代表响应人参加本次磋商活动并签署响应文件的人，如果响应人代表不是响应人的法定代表人，须提供《法定代表人授权函》。</w:t>
      </w:r>
    </w:p>
    <w:p w14:paraId="07BF20F6">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6、“产品”系指按磋商文件规定，须向采购人提供的一切产品、保险、税金、备品备件、工具、手册及其它有关技术资料和材料。</w:t>
      </w:r>
    </w:p>
    <w:p w14:paraId="6C83F352">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7、“服务”系指磋商文件规定响应人须承担的</w:t>
      </w:r>
      <w:r>
        <w:rPr>
          <w:rFonts w:hint="eastAsia" w:ascii="宋体" w:hAnsi="宋体" w:eastAsia="宋体" w:cs="宋体"/>
          <w:sz w:val="21"/>
          <w:szCs w:val="21"/>
          <w:highlight w:val="none"/>
          <w:lang w:val="en-US" w:eastAsia="zh-CN"/>
        </w:rPr>
        <w:t>检测</w:t>
      </w:r>
      <w:r>
        <w:rPr>
          <w:rFonts w:hint="eastAsia" w:ascii="宋体" w:hAnsi="宋体" w:eastAsia="宋体" w:cs="宋体"/>
          <w:sz w:val="21"/>
          <w:szCs w:val="21"/>
          <w:highlight w:val="none"/>
        </w:rPr>
        <w:t>、技术协助、校准、培训以及其他类似的义务。</w:t>
      </w:r>
    </w:p>
    <w:p w14:paraId="5E8309B9">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8、“项目”系指响应人按磋商文件规定向采购人提供的产品和服务。</w:t>
      </w:r>
    </w:p>
    <w:p w14:paraId="2D9BA1DA">
      <w:pPr>
        <w:pStyle w:val="13"/>
        <w:pageBreakBefore w:val="0"/>
        <w:kinsoku/>
        <w:wordWrap/>
        <w:overflowPunct/>
        <w:topLinePunct w:val="0"/>
        <w:bidi w:val="0"/>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9、“书面形式”包括信函、传真、快递、电报等。</w:t>
      </w:r>
    </w:p>
    <w:p w14:paraId="5446B455">
      <w:pPr>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（三）采购方式</w:t>
      </w:r>
    </w:p>
    <w:p w14:paraId="1D2AA2C4">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本次采用竞争性磋商方式进行。</w:t>
      </w:r>
    </w:p>
    <w:p w14:paraId="287A80FC">
      <w:pPr>
        <w:pStyle w:val="13"/>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rPr>
        <w:t>（四）</w:t>
      </w:r>
      <w:r>
        <w:rPr>
          <w:rFonts w:hint="eastAsia" w:ascii="宋体" w:hAnsi="宋体" w:eastAsia="宋体" w:cs="宋体"/>
          <w:b/>
          <w:sz w:val="21"/>
          <w:szCs w:val="21"/>
          <w:highlight w:val="none"/>
          <w:lang w:val="en-US" w:eastAsia="zh-CN"/>
        </w:rPr>
        <w:t>预算金额</w:t>
      </w:r>
    </w:p>
    <w:p w14:paraId="4D8879B6">
      <w:pPr>
        <w:pageBreakBefore w:val="0"/>
        <w:kinsoku/>
        <w:wordWrap/>
        <w:overflowPunct/>
        <w:topLinePunct w:val="0"/>
        <w:bidi w:val="0"/>
        <w:snapToGrid w:val="0"/>
        <w:spacing w:line="360" w:lineRule="auto"/>
        <w:ind w:firstLine="422" w:firstLineChars="200"/>
        <w:outlineLvl w:val="9"/>
        <w:rPr>
          <w:rFonts w:hint="eastAsia" w:ascii="宋体" w:hAnsi="宋体" w:cs="宋体"/>
          <w:b/>
          <w:sz w:val="21"/>
          <w:szCs w:val="21"/>
          <w:highlight w:val="none"/>
          <w:lang w:val="en-US" w:eastAsia="zh-CN"/>
        </w:rPr>
      </w:pPr>
      <w:r>
        <w:rPr>
          <w:rFonts w:hint="eastAsia" w:ascii="宋体" w:hAnsi="宋体" w:cs="宋体"/>
          <w:b/>
          <w:sz w:val="21"/>
          <w:szCs w:val="21"/>
          <w:highlight w:val="none"/>
          <w:lang w:val="en-US" w:eastAsia="zh-CN"/>
        </w:rPr>
        <w:t>80万元</w:t>
      </w:r>
    </w:p>
    <w:p w14:paraId="51DF89B5">
      <w:pPr>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（五）联合体投标</w:t>
      </w:r>
    </w:p>
    <w:p w14:paraId="64F83788">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不接受联合体投标。</w:t>
      </w:r>
    </w:p>
    <w:p w14:paraId="5F2CB256">
      <w:pPr>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rPr>
        <w:t>（六）转包</w:t>
      </w:r>
      <w:r>
        <w:rPr>
          <w:rFonts w:hint="eastAsia" w:ascii="宋体" w:hAnsi="宋体" w:eastAsia="宋体" w:cs="宋体"/>
          <w:b/>
          <w:sz w:val="21"/>
          <w:szCs w:val="21"/>
          <w:highlight w:val="none"/>
          <w:lang w:val="en-US" w:eastAsia="zh-CN"/>
        </w:rPr>
        <w:t>与分包</w:t>
      </w:r>
    </w:p>
    <w:p w14:paraId="610C2FFB">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本项目不允许转包。</w:t>
      </w:r>
    </w:p>
    <w:p w14:paraId="38364076">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本项目不允许分包。</w:t>
      </w:r>
    </w:p>
    <w:p w14:paraId="51677521">
      <w:pPr>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（七）磋商相关费用</w:t>
      </w:r>
    </w:p>
    <w:p w14:paraId="61382B61">
      <w:pPr>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不论竞争性磋商结果如何，响应人均应自行承担所有与磋商响应有关的全部费用。</w:t>
      </w:r>
    </w:p>
    <w:p w14:paraId="3EA63954">
      <w:pPr>
        <w:pStyle w:val="13"/>
        <w:pageBreakBefore w:val="0"/>
        <w:kinsoku/>
        <w:wordWrap/>
        <w:overflowPunct/>
        <w:topLinePunct w:val="0"/>
        <w:bidi w:val="0"/>
        <w:snapToGrid w:val="0"/>
        <w:spacing w:line="360" w:lineRule="auto"/>
        <w:ind w:firstLine="422" w:firstLineChars="200"/>
        <w:outlineLvl w:val="9"/>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（八）答疑与澄清</w:t>
      </w:r>
    </w:p>
    <w:p w14:paraId="5BD8B2D4">
      <w:pPr>
        <w:pStyle w:val="13"/>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响应人如认为磋商文件表述不清晰、存在歧视性、排他性或者其他违法内容的，应当于202</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年</w:t>
      </w:r>
      <w:r>
        <w:rPr>
          <w:rFonts w:hint="eastAsia" w:hAnsi="宋体" w:eastAsia="宋体" w:cs="宋体"/>
          <w:kern w:val="0"/>
          <w:sz w:val="21"/>
          <w:szCs w:val="21"/>
          <w:highlight w:val="none"/>
          <w:lang w:val="en-US" w:eastAsia="zh-CN"/>
        </w:rPr>
        <w:t>04</w:t>
      </w:r>
      <w:r>
        <w:rPr>
          <w:rFonts w:hint="eastAsia" w:ascii="宋体" w:hAnsi="宋体" w:eastAsia="宋体" w:cs="宋体"/>
          <w:kern w:val="0"/>
          <w:sz w:val="21"/>
          <w:szCs w:val="21"/>
          <w:highlight w:val="none"/>
        </w:rPr>
        <w:t>月</w:t>
      </w:r>
      <w:r>
        <w:rPr>
          <w:rFonts w:hint="eastAsia" w:hAnsi="宋体" w:eastAsia="宋体" w:cs="宋体"/>
          <w:kern w:val="0"/>
          <w:sz w:val="21"/>
          <w:szCs w:val="21"/>
          <w:highlight w:val="none"/>
          <w:lang w:val="en-US" w:eastAsia="zh-CN"/>
        </w:rPr>
        <w:t>24</w:t>
      </w:r>
      <w:bookmarkStart w:id="12" w:name="_GoBack"/>
      <w:bookmarkEnd w:id="12"/>
      <w:r>
        <w:rPr>
          <w:rFonts w:hint="eastAsia" w:ascii="宋体" w:hAnsi="宋体" w:eastAsia="宋体" w:cs="宋体"/>
          <w:kern w:val="0"/>
          <w:sz w:val="21"/>
          <w:szCs w:val="21"/>
          <w:highlight w:val="none"/>
        </w:rPr>
        <w:t>日17：00前，以书面形式要求采购人作出书面解释、澄清或者向采购人提出一次性书面质疑；采购人将组织答疑；答疑内容是磋商文件的组成部份，并将以书面形式送达所有已依法获取采购文件的响应人。</w:t>
      </w:r>
    </w:p>
    <w:p w14:paraId="6B8684BC">
      <w:pPr>
        <w:pStyle w:val="13"/>
        <w:pageBreakBefore w:val="0"/>
        <w:kinsoku/>
        <w:wordWrap/>
        <w:overflowPunct/>
        <w:topLinePunct w:val="0"/>
        <w:bidi w:val="0"/>
        <w:snapToGrid w:val="0"/>
        <w:spacing w:line="360" w:lineRule="auto"/>
        <w:ind w:firstLine="420" w:firstLineChars="200"/>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1、根据《中华人民共和国政府采购法实施条例》第五十三条：政府采购法第五十二条规定的供应商应知其权益受到损害之日，是指：</w:t>
      </w:r>
    </w:p>
    <w:p w14:paraId="3D93BFBF">
      <w:pPr>
        <w:pStyle w:val="13"/>
        <w:pageBreakBefore w:val="0"/>
        <w:kinsoku/>
        <w:wordWrap/>
        <w:overflowPunct/>
        <w:topLinePunct w:val="0"/>
        <w:bidi w:val="0"/>
        <w:snapToGrid w:val="0"/>
        <w:spacing w:line="360" w:lineRule="auto"/>
        <w:ind w:firstLine="420" w:firstLineChars="200"/>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①对可以质疑的采购文件提出质疑的，为收到采购文件之日或者采购文件公告期限届满之日；</w:t>
      </w:r>
    </w:p>
    <w:p w14:paraId="30B3A0C0">
      <w:pPr>
        <w:pStyle w:val="13"/>
        <w:pageBreakBefore w:val="0"/>
        <w:kinsoku/>
        <w:wordWrap/>
        <w:overflowPunct/>
        <w:topLinePunct w:val="0"/>
        <w:bidi w:val="0"/>
        <w:snapToGrid w:val="0"/>
        <w:spacing w:line="360" w:lineRule="auto"/>
        <w:ind w:firstLine="420" w:firstLineChars="200"/>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②对采购过程提出质疑的，为各采购程序环节结束之日；</w:t>
      </w:r>
    </w:p>
    <w:p w14:paraId="5AF4F461">
      <w:pPr>
        <w:pStyle w:val="13"/>
        <w:pageBreakBefore w:val="0"/>
        <w:kinsoku/>
        <w:wordWrap/>
        <w:overflowPunct/>
        <w:topLinePunct w:val="0"/>
        <w:bidi w:val="0"/>
        <w:snapToGrid w:val="0"/>
        <w:spacing w:line="360" w:lineRule="auto"/>
        <w:ind w:firstLine="420" w:firstLineChars="200"/>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③对中标或者成交结果提出质疑的，为中标或者成交结果公告期限届满之日。</w:t>
      </w:r>
    </w:p>
    <w:p w14:paraId="2776D37F">
      <w:pPr>
        <w:pStyle w:val="13"/>
        <w:pageBreakBefore w:val="0"/>
        <w:kinsoku/>
        <w:wordWrap/>
        <w:overflowPunct/>
        <w:topLinePunct w:val="0"/>
        <w:bidi w:val="0"/>
        <w:snapToGrid w:val="0"/>
        <w:spacing w:line="360" w:lineRule="auto"/>
        <w:ind w:firstLine="420" w:firstLineChars="200"/>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2、质疑书应包括下列主要内容：</w:t>
      </w:r>
    </w:p>
    <w:p w14:paraId="6B41615F">
      <w:pPr>
        <w:pStyle w:val="13"/>
        <w:pageBreakBefore w:val="0"/>
        <w:kinsoku/>
        <w:wordWrap/>
        <w:overflowPunct/>
        <w:topLinePunct w:val="0"/>
        <w:bidi w:val="0"/>
        <w:snapToGrid w:val="0"/>
        <w:spacing w:line="360" w:lineRule="auto"/>
        <w:ind w:firstLine="420" w:firstLineChars="200"/>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①质疑人的名称、地址、邮政编码、联系人、联系电话，以及被质疑人名称及联系方式；</w:t>
      </w:r>
    </w:p>
    <w:p w14:paraId="64A0A0AD">
      <w:pPr>
        <w:pStyle w:val="13"/>
        <w:pageBreakBefore w:val="0"/>
        <w:kinsoku/>
        <w:wordWrap/>
        <w:overflowPunct/>
        <w:topLinePunct w:val="0"/>
        <w:bidi w:val="0"/>
        <w:snapToGrid w:val="0"/>
        <w:spacing w:line="360" w:lineRule="auto"/>
        <w:ind w:firstLine="420" w:firstLineChars="200"/>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②被质疑采购项目名称、编号及采购内容；</w:t>
      </w:r>
    </w:p>
    <w:p w14:paraId="5A569104">
      <w:pPr>
        <w:pStyle w:val="13"/>
        <w:pageBreakBefore w:val="0"/>
        <w:kinsoku/>
        <w:wordWrap/>
        <w:overflowPunct/>
        <w:topLinePunct w:val="0"/>
        <w:bidi w:val="0"/>
        <w:snapToGrid w:val="0"/>
        <w:spacing w:line="360" w:lineRule="auto"/>
        <w:ind w:firstLine="420" w:firstLineChars="200"/>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③具体的质疑事项及事实依据；</w:t>
      </w:r>
    </w:p>
    <w:p w14:paraId="7986E8AF">
      <w:pPr>
        <w:pStyle w:val="13"/>
        <w:pageBreakBefore w:val="0"/>
        <w:kinsoku/>
        <w:wordWrap/>
        <w:overflowPunct/>
        <w:topLinePunct w:val="0"/>
        <w:bidi w:val="0"/>
        <w:snapToGrid w:val="0"/>
        <w:spacing w:line="360" w:lineRule="auto"/>
        <w:ind w:firstLine="420" w:firstLineChars="200"/>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④认为自己合法权益受到损害或可能受到损害的相关证据材料；</w:t>
      </w:r>
    </w:p>
    <w:p w14:paraId="336A0B95">
      <w:pPr>
        <w:pStyle w:val="13"/>
        <w:pageBreakBefore w:val="0"/>
        <w:kinsoku/>
        <w:wordWrap/>
        <w:overflowPunct/>
        <w:topLinePunct w:val="0"/>
        <w:bidi w:val="0"/>
        <w:snapToGrid w:val="0"/>
        <w:spacing w:line="360" w:lineRule="auto"/>
        <w:ind w:firstLine="420" w:firstLineChars="200"/>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⑤提出质疑的日期。</w:t>
      </w:r>
    </w:p>
    <w:p w14:paraId="5A06DDCE">
      <w:pPr>
        <w:pStyle w:val="13"/>
        <w:pageBreakBefore w:val="0"/>
        <w:kinsoku/>
        <w:wordWrap/>
        <w:overflowPunct/>
        <w:topLinePunct w:val="0"/>
        <w:bidi w:val="0"/>
        <w:snapToGrid w:val="0"/>
        <w:spacing w:line="360" w:lineRule="auto"/>
        <w:ind w:firstLine="420" w:firstLineChars="200"/>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采购人或者招标代理机构应当在3个工作日内对供应商依法提出的询问作出答复。采购人或者招标代理机构应当在7个工作日内对供应商依法提出的质疑作出答复。供应商提出的询问或者质疑超出采购人对招标代理机构委托授权范围的，招标代理机构应当告知供应商向采购人提出。政府采购评审专家应当配合采购人或者招标代理机构答复供应商的询问和质疑。</w:t>
      </w:r>
    </w:p>
    <w:p w14:paraId="153A81D5">
      <w:pPr>
        <w:pStyle w:val="13"/>
        <w:pageBreakBefore w:val="0"/>
        <w:kinsoku/>
        <w:wordWrap/>
        <w:overflowPunct/>
        <w:topLinePunct w:val="0"/>
        <w:bidi w:val="0"/>
        <w:snapToGrid w:val="0"/>
        <w:spacing w:line="360" w:lineRule="auto"/>
        <w:ind w:firstLine="420" w:firstLineChars="200"/>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4、质疑供应商对采购人、招标代理机构的答复不满意或者采购人、招标代理机构未在规定的时间内作出答复的，可以在答复期满后</w:t>
      </w:r>
      <w:r>
        <w:rPr>
          <w:rFonts w:hint="eastAsia" w:ascii="宋体" w:hAnsi="宋体" w:eastAsia="宋体" w:cs="宋体"/>
          <w:kern w:val="0"/>
          <w:sz w:val="21"/>
          <w:szCs w:val="21"/>
          <w:highlight w:val="none"/>
          <w:lang w:val="en-US" w:eastAsia="zh-CN"/>
        </w:rPr>
        <w:t>15</w:t>
      </w:r>
      <w:r>
        <w:rPr>
          <w:rFonts w:hint="eastAsia" w:ascii="宋体" w:hAnsi="宋体" w:eastAsia="宋体" w:cs="宋体"/>
          <w:kern w:val="0"/>
          <w:sz w:val="21"/>
          <w:szCs w:val="21"/>
          <w:highlight w:val="none"/>
        </w:rPr>
        <w:t>个工作日内向同级政府采购监督管理部门投诉。</w:t>
      </w:r>
    </w:p>
    <w:p w14:paraId="00FB33F3">
      <w:pPr>
        <w:pStyle w:val="13"/>
        <w:pageBreakBefore w:val="0"/>
        <w:kinsoku/>
        <w:wordWrap/>
        <w:overflowPunct/>
        <w:topLinePunct w:val="0"/>
        <w:bidi w:val="0"/>
        <w:snapToGrid w:val="0"/>
        <w:spacing w:line="360" w:lineRule="auto"/>
        <w:ind w:firstLine="420" w:firstLineChars="200"/>
        <w:outlineLvl w:val="9"/>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41217703">
      <w:pPr>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（九）信用记录：</w:t>
      </w:r>
    </w:p>
    <w:p w14:paraId="1410AFDB">
      <w:pPr>
        <w:pageBreakBefore w:val="0"/>
        <w:kinsoku/>
        <w:wordWrap/>
        <w:overflowPunct/>
        <w:topLinePunct w:val="0"/>
        <w:bidi w:val="0"/>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根据财库[2016]125号《关于在政府采购活动中查询及使用信用记录有关问题的通知》要求，招标代理机构会对供应商信用记录进行查询并甄别。</w:t>
      </w:r>
    </w:p>
    <w:p w14:paraId="6964CB09">
      <w:pPr>
        <w:pageBreakBefore w:val="0"/>
        <w:kinsoku/>
        <w:wordWrap/>
        <w:overflowPunct/>
        <w:topLinePunct w:val="0"/>
        <w:bidi w:val="0"/>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1、信用信息查询的截止时点：投标截止时间前查询；</w:t>
      </w:r>
    </w:p>
    <w:p w14:paraId="7CEAE487">
      <w:pPr>
        <w:pageBreakBefore w:val="0"/>
        <w:kinsoku/>
        <w:wordWrap/>
        <w:overflowPunct/>
        <w:topLinePunct w:val="0"/>
        <w:bidi w:val="0"/>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2、查询渠道：</w:t>
      </w:r>
    </w:p>
    <w:p w14:paraId="3A2162D9">
      <w:pPr>
        <w:pageBreakBefore w:val="0"/>
        <w:kinsoku/>
        <w:wordWrap/>
        <w:overflowPunct/>
        <w:topLinePunct w:val="0"/>
        <w:bidi w:val="0"/>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信用中国（www.creditchina.gov.cn）；</w:t>
      </w:r>
    </w:p>
    <w:p w14:paraId="09B2B811">
      <w:pPr>
        <w:pageBreakBefore w:val="0"/>
        <w:kinsoku/>
        <w:wordWrap/>
        <w:overflowPunct/>
        <w:topLinePunct w:val="0"/>
        <w:bidi w:val="0"/>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中国政府采购网（www.ccgp.gov.cn）；</w:t>
      </w:r>
    </w:p>
    <w:p w14:paraId="40D121B0">
      <w:pPr>
        <w:pageBreakBefore w:val="0"/>
        <w:kinsoku/>
        <w:wordWrap/>
        <w:overflowPunct/>
        <w:topLinePunct w:val="0"/>
        <w:bidi w:val="0"/>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3、信用信息查询记录和证据留存具体方式：招标代理机构经办人和监督人员将查询网页打印、签字与其他采购文件一并保存；</w:t>
      </w:r>
    </w:p>
    <w:p w14:paraId="50BDA4CC">
      <w:pPr>
        <w:pageBreakBefore w:val="0"/>
        <w:kinsoku/>
        <w:wordWrap/>
        <w:overflowPunct/>
        <w:topLinePunct w:val="0"/>
        <w:bidi w:val="0"/>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4、信用信息的使用规则：响应人存在不良信用记录的，其投标将被作为无效响应被拒绝。</w:t>
      </w:r>
    </w:p>
    <w:p w14:paraId="1AEC453F">
      <w:pPr>
        <w:pageBreakBefore w:val="0"/>
        <w:kinsoku/>
        <w:wordWrap/>
        <w:overflowPunct/>
        <w:topLinePunct w:val="0"/>
        <w:bidi w:val="0"/>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不良信用记录指：被列入失信被执行人、重大税收违法案件当事人名单、政府采购严重违法失信行为记录名单。</w:t>
      </w:r>
    </w:p>
    <w:p w14:paraId="73236103">
      <w:pPr>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（十）信贷政策</w:t>
      </w:r>
    </w:p>
    <w:p w14:paraId="3A9A8268">
      <w:pPr>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4213"/>
        <w:gridCol w:w="2352"/>
        <w:gridCol w:w="2028"/>
      </w:tblGrid>
      <w:tr w14:paraId="474F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00" w:type="pct"/>
            <w:gridSpan w:val="4"/>
            <w:noWrap w:val="0"/>
            <w:vAlign w:val="center"/>
          </w:tcPr>
          <w:p w14:paraId="06E0C0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舟山市政府采购信用融资合作银行</w:t>
            </w:r>
          </w:p>
        </w:tc>
      </w:tr>
      <w:tr w14:paraId="62B1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2" w:type="pct"/>
            <w:noWrap w:val="0"/>
            <w:vAlign w:val="center"/>
          </w:tcPr>
          <w:p w14:paraId="4878BE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银行名称</w:t>
            </w:r>
          </w:p>
        </w:tc>
        <w:tc>
          <w:tcPr>
            <w:tcW w:w="2078" w:type="pct"/>
            <w:noWrap w:val="0"/>
            <w:vAlign w:val="center"/>
          </w:tcPr>
          <w:p w14:paraId="22B88B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各银行介绍的</w:t>
            </w:r>
            <w:r>
              <w:rPr>
                <w:rFonts w:hint="eastAsia" w:ascii="宋体" w:hAnsi="宋体" w:eastAsia="宋体" w:cs="宋体"/>
                <w:color w:val="000000"/>
                <w:sz w:val="21"/>
                <w:szCs w:val="21"/>
                <w:highlight w:val="none"/>
              </w:rPr>
              <w:t>产品特点</w:t>
            </w:r>
          </w:p>
        </w:tc>
        <w:tc>
          <w:tcPr>
            <w:tcW w:w="1160" w:type="pct"/>
            <w:noWrap w:val="0"/>
            <w:vAlign w:val="center"/>
          </w:tcPr>
          <w:p w14:paraId="773983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经办人</w:t>
            </w:r>
          </w:p>
        </w:tc>
        <w:tc>
          <w:tcPr>
            <w:tcW w:w="998" w:type="pct"/>
            <w:noWrap w:val="0"/>
            <w:vAlign w:val="center"/>
          </w:tcPr>
          <w:p w14:paraId="3A65C0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联系方式</w:t>
            </w:r>
          </w:p>
        </w:tc>
      </w:tr>
      <w:tr w14:paraId="516F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pct"/>
            <w:noWrap w:val="0"/>
            <w:vAlign w:val="center"/>
          </w:tcPr>
          <w:p w14:paraId="34D223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中国工商银行股份有限公司舟山分行</w:t>
            </w:r>
          </w:p>
        </w:tc>
        <w:tc>
          <w:tcPr>
            <w:tcW w:w="2078" w:type="pct"/>
            <w:noWrap w:val="0"/>
            <w:vAlign w:val="center"/>
          </w:tcPr>
          <w:p w14:paraId="071EB506">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融资额度高，融资金额最高可至订单金额70%，线上申请，随借随还。</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融资利率低，最低可至当期LPR利率。</w:t>
            </w:r>
          </w:p>
          <w:p w14:paraId="523E1D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担保方式灵活，以政府采购合同进行融资，无需另外抵押。</w:t>
            </w:r>
          </w:p>
        </w:tc>
        <w:tc>
          <w:tcPr>
            <w:tcW w:w="1160" w:type="pct"/>
            <w:noWrap w:val="0"/>
            <w:vAlign w:val="center"/>
          </w:tcPr>
          <w:p w14:paraId="48E65B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柳超颖</w:t>
            </w:r>
          </w:p>
        </w:tc>
        <w:tc>
          <w:tcPr>
            <w:tcW w:w="998" w:type="pct"/>
            <w:noWrap w:val="0"/>
            <w:vAlign w:val="center"/>
          </w:tcPr>
          <w:p w14:paraId="278B8C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0580-2166242, </w:t>
            </w:r>
            <w:r>
              <w:rPr>
                <w:rFonts w:hint="eastAsia" w:ascii="宋体" w:hAnsi="宋体" w:eastAsia="宋体" w:cs="宋体"/>
                <w:color w:val="000000"/>
                <w:sz w:val="21"/>
                <w:szCs w:val="21"/>
                <w:highlight w:val="none"/>
              </w:rPr>
              <w:t>15858076468</w:t>
            </w:r>
          </w:p>
        </w:tc>
      </w:tr>
      <w:tr w14:paraId="4BFA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2" w:type="pct"/>
            <w:noWrap w:val="0"/>
            <w:vAlign w:val="center"/>
          </w:tcPr>
          <w:p w14:paraId="4FC0F6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中国建设银行股份有限公司舟山分行</w:t>
            </w:r>
          </w:p>
        </w:tc>
        <w:tc>
          <w:tcPr>
            <w:tcW w:w="2078" w:type="pct"/>
            <w:noWrap w:val="0"/>
            <w:vAlign w:val="center"/>
          </w:tcPr>
          <w:p w14:paraId="4E325075">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快速便捷：全流程线上操作，通过浙江省政府采购网数据审核信用额度，建行供应链平台快速放款。</w:t>
            </w:r>
          </w:p>
          <w:p w14:paraId="38B7257E">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申请额度高：单笔融资额度最高可达政府采购合同金额的90%，单户额度最高可达3000万。</w:t>
            </w:r>
          </w:p>
          <w:p w14:paraId="1B583F9D">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无需额外抵押：以浙江省政府采购网备案公示的政府采购合同进行融资，无需额外抵押担保。</w:t>
            </w:r>
          </w:p>
          <w:p w14:paraId="13D06DCC">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利率优惠：给予流动资金贷款最优惠利率。</w:t>
            </w:r>
          </w:p>
        </w:tc>
        <w:tc>
          <w:tcPr>
            <w:tcW w:w="1160" w:type="pct"/>
            <w:noWrap w:val="0"/>
            <w:vAlign w:val="center"/>
          </w:tcPr>
          <w:p w14:paraId="7CDD4B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普陀片区：蔡妮妮</w:t>
            </w:r>
          </w:p>
          <w:p w14:paraId="07E35C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定海片区：杨莹</w:t>
            </w:r>
          </w:p>
          <w:p w14:paraId="1B9C9D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自贸区片区：</w:t>
            </w:r>
            <w:r>
              <w:rPr>
                <w:rFonts w:hint="eastAsia" w:ascii="宋体" w:hAnsi="宋体" w:eastAsia="宋体" w:cs="宋体"/>
                <w:color w:val="000000"/>
                <w:sz w:val="21"/>
                <w:szCs w:val="21"/>
                <w:highlight w:val="none"/>
                <w:lang w:eastAsia="zh-CN"/>
              </w:rPr>
              <w:t>方晓</w:t>
            </w:r>
          </w:p>
        </w:tc>
        <w:tc>
          <w:tcPr>
            <w:tcW w:w="998" w:type="pct"/>
            <w:noWrap w:val="0"/>
            <w:vAlign w:val="center"/>
          </w:tcPr>
          <w:p w14:paraId="5576A3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普陀片区：13957201791</w:t>
            </w:r>
          </w:p>
          <w:p w14:paraId="089C93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定海片区：13655803997</w:t>
            </w:r>
          </w:p>
          <w:p w14:paraId="619E47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自贸区片区：</w:t>
            </w:r>
            <w:r>
              <w:rPr>
                <w:rFonts w:hint="eastAsia" w:ascii="宋体" w:hAnsi="宋体" w:eastAsia="宋体" w:cs="宋体"/>
                <w:color w:val="000000"/>
                <w:sz w:val="21"/>
                <w:szCs w:val="21"/>
                <w:highlight w:val="none"/>
                <w:lang w:val="en-US" w:eastAsia="zh-CN"/>
              </w:rPr>
              <w:t>13587086324</w:t>
            </w:r>
          </w:p>
        </w:tc>
      </w:tr>
      <w:tr w14:paraId="3C99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pct"/>
            <w:noWrap w:val="0"/>
            <w:vAlign w:val="center"/>
          </w:tcPr>
          <w:p w14:paraId="76778D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杭州银行股份有限公司舟山市分行</w:t>
            </w:r>
          </w:p>
        </w:tc>
        <w:tc>
          <w:tcPr>
            <w:tcW w:w="2078" w:type="pct"/>
            <w:noWrap w:val="0"/>
            <w:vAlign w:val="center"/>
          </w:tcPr>
          <w:p w14:paraId="49FD9E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160" w:type="pct"/>
            <w:noWrap w:val="0"/>
            <w:vAlign w:val="center"/>
          </w:tcPr>
          <w:p w14:paraId="68F0D5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方经理</w:t>
            </w:r>
          </w:p>
        </w:tc>
        <w:tc>
          <w:tcPr>
            <w:tcW w:w="998" w:type="pct"/>
            <w:noWrap w:val="0"/>
            <w:vAlign w:val="center"/>
          </w:tcPr>
          <w:p w14:paraId="0AACAA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0580-2185201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18205800451</w:t>
            </w:r>
          </w:p>
        </w:tc>
      </w:tr>
      <w:tr w14:paraId="72F0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pct"/>
            <w:noWrap w:val="0"/>
            <w:vAlign w:val="center"/>
          </w:tcPr>
          <w:p w14:paraId="7450F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招商银行股份有限公司浙江自贸试验区舟山分行</w:t>
            </w:r>
          </w:p>
        </w:tc>
        <w:tc>
          <w:tcPr>
            <w:tcW w:w="2078" w:type="pct"/>
            <w:noWrap w:val="0"/>
            <w:vAlign w:val="center"/>
          </w:tcPr>
          <w:p w14:paraId="0C19BD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160" w:type="pct"/>
            <w:noWrap w:val="0"/>
            <w:vAlign w:val="center"/>
          </w:tcPr>
          <w:p w14:paraId="577F15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李玲</w:t>
            </w:r>
          </w:p>
        </w:tc>
        <w:tc>
          <w:tcPr>
            <w:tcW w:w="998" w:type="pct"/>
            <w:noWrap w:val="0"/>
            <w:vAlign w:val="center"/>
          </w:tcPr>
          <w:p w14:paraId="701C99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0580-2061710</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13957227971</w:t>
            </w:r>
          </w:p>
        </w:tc>
      </w:tr>
      <w:tr w14:paraId="3246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62" w:type="pct"/>
            <w:noWrap w:val="0"/>
            <w:vAlign w:val="center"/>
          </w:tcPr>
          <w:p w14:paraId="5CF02D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温州银行股份有限公司舟山市分行</w:t>
            </w:r>
          </w:p>
        </w:tc>
        <w:tc>
          <w:tcPr>
            <w:tcW w:w="2078" w:type="pct"/>
            <w:noWrap w:val="0"/>
            <w:vAlign w:val="center"/>
          </w:tcPr>
          <w:p w14:paraId="245656A0">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单</w:t>
            </w:r>
            <w:r>
              <w:rPr>
                <w:rFonts w:hint="eastAsia" w:ascii="宋体" w:hAnsi="宋体" w:eastAsia="宋体" w:cs="宋体"/>
                <w:color w:val="000000"/>
                <w:sz w:val="21"/>
                <w:szCs w:val="21"/>
                <w:highlight w:val="none"/>
              </w:rPr>
              <w:t>户授信敞口最高不超过1000万元，且最高额度核定一般不超过借款人（含实际控制人控制的其他经营实体）最近13个月合计有效中标合同金额的70%</w:t>
            </w:r>
            <w:r>
              <w:rPr>
                <w:rFonts w:hint="eastAsia" w:ascii="宋体" w:hAnsi="宋体" w:eastAsia="宋体" w:cs="宋体"/>
                <w:color w:val="000000"/>
                <w:sz w:val="21"/>
                <w:szCs w:val="21"/>
                <w:highlight w:val="none"/>
                <w:lang w:eastAsia="zh-CN"/>
              </w:rPr>
              <w:t>。</w:t>
            </w:r>
          </w:p>
          <w:p w14:paraId="3B5E95E8">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单笔借款额度最高不超过1000万元，单笔业务授信额度不超过“政采云平台”提供的中标通知书承载的中标金额或本次申请授信提供的采购合同金额的80%，且用信金额不超过采购合同未付金额的80%</w:t>
            </w:r>
            <w:r>
              <w:rPr>
                <w:rFonts w:hint="eastAsia" w:ascii="宋体" w:hAnsi="宋体" w:eastAsia="宋体" w:cs="宋体"/>
                <w:color w:val="000000"/>
                <w:sz w:val="21"/>
                <w:szCs w:val="21"/>
                <w:highlight w:val="none"/>
                <w:lang w:eastAsia="zh-CN"/>
              </w:rPr>
              <w:t>。</w:t>
            </w:r>
          </w:p>
          <w:p w14:paraId="7345A9BC">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借款人中标采购人自行采购项目并向我行发起授信申请的，单笔业务授信敞口不超500万元，且不超过借款人中标通知书承载的中标金额或本次申请授信提供的采购合同的80%。</w:t>
            </w:r>
          </w:p>
          <w:p w14:paraId="78BC621A">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符合我行采购人资质的，且负债率不超75%，配合应收账款质押登记确认的，并可出具确认函，单笔借款额度可按不超过采购合同的90%办理。</w:t>
            </w:r>
          </w:p>
        </w:tc>
        <w:tc>
          <w:tcPr>
            <w:tcW w:w="1160" w:type="pct"/>
            <w:noWrap w:val="0"/>
            <w:vAlign w:val="center"/>
          </w:tcPr>
          <w:p w14:paraId="517513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郑贤栋</w:t>
            </w:r>
          </w:p>
        </w:tc>
        <w:tc>
          <w:tcPr>
            <w:tcW w:w="998" w:type="pct"/>
            <w:noWrap w:val="0"/>
            <w:vAlign w:val="center"/>
          </w:tcPr>
          <w:p w14:paraId="53F6C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058—8866086</w:t>
            </w:r>
          </w:p>
        </w:tc>
      </w:tr>
      <w:tr w14:paraId="69F1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pct"/>
            <w:noWrap w:val="0"/>
            <w:vAlign w:val="center"/>
          </w:tcPr>
          <w:p w14:paraId="3CDCFA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交通银行股份有限公司舟山分行</w:t>
            </w:r>
          </w:p>
        </w:tc>
        <w:tc>
          <w:tcPr>
            <w:tcW w:w="2078" w:type="pct"/>
            <w:noWrap w:val="0"/>
            <w:vAlign w:val="center"/>
          </w:tcPr>
          <w:p w14:paraId="18F4F5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1160" w:type="pct"/>
            <w:noWrap w:val="0"/>
            <w:vAlign w:val="center"/>
          </w:tcPr>
          <w:p w14:paraId="47C042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赵争艳</w:t>
            </w:r>
          </w:p>
        </w:tc>
        <w:tc>
          <w:tcPr>
            <w:tcW w:w="998" w:type="pct"/>
            <w:noWrap w:val="0"/>
            <w:vAlign w:val="center"/>
          </w:tcPr>
          <w:p w14:paraId="0AD057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0580-2260728</w:t>
            </w:r>
          </w:p>
          <w:p w14:paraId="45034C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13758007280</w:t>
            </w:r>
          </w:p>
        </w:tc>
      </w:tr>
      <w:tr w14:paraId="379F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62" w:type="pct"/>
            <w:noWrap w:val="0"/>
            <w:vAlign w:val="center"/>
          </w:tcPr>
          <w:p w14:paraId="1A6D1B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中信银行股份有限公司舟山分行</w:t>
            </w:r>
          </w:p>
        </w:tc>
        <w:tc>
          <w:tcPr>
            <w:tcW w:w="2078" w:type="pct"/>
            <w:noWrap w:val="0"/>
            <w:vAlign w:val="center"/>
          </w:tcPr>
          <w:p w14:paraId="2C2D10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160" w:type="pct"/>
            <w:noWrap w:val="0"/>
            <w:vAlign w:val="center"/>
          </w:tcPr>
          <w:p w14:paraId="1F3936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rPr>
              <w:t>黄丽</w:t>
            </w:r>
          </w:p>
        </w:tc>
        <w:tc>
          <w:tcPr>
            <w:tcW w:w="998" w:type="pct"/>
            <w:noWrap w:val="0"/>
            <w:vAlign w:val="center"/>
          </w:tcPr>
          <w:p w14:paraId="4A136C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rPr>
              <w:t>13905808032</w:t>
            </w:r>
          </w:p>
        </w:tc>
      </w:tr>
      <w:tr w14:paraId="4B82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62" w:type="pct"/>
            <w:noWrap w:val="0"/>
            <w:vAlign w:val="center"/>
          </w:tcPr>
          <w:p w14:paraId="32504F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泰隆银行舟山市分行</w:t>
            </w:r>
          </w:p>
        </w:tc>
        <w:tc>
          <w:tcPr>
            <w:tcW w:w="2078" w:type="pct"/>
            <w:noWrap w:val="0"/>
            <w:vAlign w:val="center"/>
          </w:tcPr>
          <w:p w14:paraId="05F9A3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160" w:type="pct"/>
            <w:noWrap w:val="0"/>
            <w:vAlign w:val="center"/>
          </w:tcPr>
          <w:p w14:paraId="3C76F7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胡亢宇</w:t>
            </w:r>
          </w:p>
        </w:tc>
        <w:tc>
          <w:tcPr>
            <w:tcW w:w="998" w:type="pct"/>
            <w:noWrap w:val="0"/>
            <w:vAlign w:val="center"/>
          </w:tcPr>
          <w:p w14:paraId="1462D4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17605868703</w:t>
            </w:r>
          </w:p>
        </w:tc>
      </w:tr>
      <w:tr w14:paraId="353F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62" w:type="pct"/>
            <w:noWrap w:val="0"/>
            <w:vAlign w:val="center"/>
          </w:tcPr>
          <w:p w14:paraId="122B07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中国农业银行股份有限公司舟山分行</w:t>
            </w:r>
          </w:p>
        </w:tc>
        <w:tc>
          <w:tcPr>
            <w:tcW w:w="2078" w:type="pct"/>
            <w:noWrap w:val="0"/>
            <w:vAlign w:val="center"/>
          </w:tcPr>
          <w:p w14:paraId="73F64F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160" w:type="pct"/>
            <w:noWrap w:val="0"/>
            <w:vAlign w:val="center"/>
          </w:tcPr>
          <w:p w14:paraId="71E57C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苏华瞻</w:t>
            </w:r>
          </w:p>
        </w:tc>
        <w:tc>
          <w:tcPr>
            <w:tcW w:w="998" w:type="pct"/>
            <w:noWrap w:val="0"/>
            <w:vAlign w:val="center"/>
          </w:tcPr>
          <w:p w14:paraId="346A24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13967228926</w:t>
            </w:r>
          </w:p>
        </w:tc>
      </w:tr>
      <w:tr w14:paraId="7E78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62" w:type="pct"/>
            <w:noWrap w:val="0"/>
            <w:vAlign w:val="center"/>
          </w:tcPr>
          <w:p w14:paraId="0BB340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中国邮政储蓄银行股份有限公司舟山市分行</w:t>
            </w:r>
          </w:p>
        </w:tc>
        <w:tc>
          <w:tcPr>
            <w:tcW w:w="2078" w:type="pct"/>
            <w:noWrap w:val="0"/>
            <w:vAlign w:val="center"/>
          </w:tcPr>
          <w:p w14:paraId="49690269">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符合我行基本准入，</w:t>
            </w:r>
            <w:r>
              <w:rPr>
                <w:rFonts w:hint="eastAsia" w:ascii="宋体" w:hAnsi="宋体" w:eastAsia="宋体" w:cs="宋体"/>
                <w:color w:val="000000"/>
                <w:sz w:val="21"/>
                <w:szCs w:val="21"/>
                <w:highlight w:val="none"/>
                <w:lang w:val="en-US" w:eastAsia="zh-CN"/>
              </w:rPr>
              <w:t>授信额度使用期最高为2年</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单户授信最高为500万</w:t>
            </w:r>
            <w:r>
              <w:rPr>
                <w:rFonts w:hint="eastAsia" w:ascii="宋体" w:hAnsi="宋体" w:eastAsia="宋体" w:cs="宋体"/>
                <w:color w:val="000000"/>
                <w:sz w:val="21"/>
                <w:szCs w:val="21"/>
                <w:highlight w:val="none"/>
              </w:rPr>
              <w:t>，担保方式享受信用贷款执行，利率最低可至当期LPR ，</w:t>
            </w:r>
            <w:r>
              <w:rPr>
                <w:rFonts w:hint="eastAsia" w:ascii="宋体" w:hAnsi="宋体" w:eastAsia="宋体" w:cs="宋体"/>
                <w:color w:val="000000"/>
                <w:sz w:val="21"/>
                <w:szCs w:val="21"/>
                <w:highlight w:val="none"/>
                <w:lang w:val="en-US" w:eastAsia="zh-CN"/>
              </w:rPr>
              <w:t>有无还本续贷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12月份线上产品可以自主自贷。</w:t>
            </w:r>
          </w:p>
        </w:tc>
        <w:tc>
          <w:tcPr>
            <w:tcW w:w="1160" w:type="pct"/>
            <w:noWrap w:val="0"/>
            <w:vAlign w:val="center"/>
          </w:tcPr>
          <w:p w14:paraId="2C8E62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蒋志燕</w:t>
            </w:r>
          </w:p>
        </w:tc>
        <w:tc>
          <w:tcPr>
            <w:tcW w:w="998" w:type="pct"/>
            <w:noWrap w:val="0"/>
            <w:vAlign w:val="center"/>
          </w:tcPr>
          <w:p w14:paraId="24E544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13732527321</w:t>
            </w:r>
          </w:p>
        </w:tc>
      </w:tr>
    </w:tbl>
    <w:p w14:paraId="663700C7">
      <w:pPr>
        <w:pageBreakBefore w:val="0"/>
        <w:kinsoku/>
        <w:wordWrap/>
        <w:overflowPunct/>
        <w:topLinePunct w:val="0"/>
        <w:bidi w:val="0"/>
        <w:spacing w:line="360" w:lineRule="auto"/>
        <w:ind w:firstLine="420" w:firstLineChars="200"/>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2、一般步骤</w:t>
      </w:r>
    </w:p>
    <w:p w14:paraId="578BDE87">
      <w:pPr>
        <w:pageBreakBefore w:val="0"/>
        <w:kinsoku/>
        <w:wordWrap/>
        <w:overflowPunct/>
        <w:topLinePunct w:val="0"/>
        <w:bidi w:val="0"/>
        <w:spacing w:line="360" w:lineRule="auto"/>
        <w:ind w:firstLine="420" w:firstLineChars="200"/>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（1）供应商先与银行对接，办理融资前期手续；</w:t>
      </w:r>
    </w:p>
    <w:p w14:paraId="4B8AF95F">
      <w:pPr>
        <w:pageBreakBefore w:val="0"/>
        <w:kinsoku/>
        <w:wordWrap/>
        <w:overflowPunct/>
        <w:topLinePunct w:val="0"/>
        <w:bidi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（2）供应商中标后，凭中标通知书等材料，向相关合作银行发出融资申请；</w:t>
      </w:r>
    </w:p>
    <w:p w14:paraId="6220DCC6">
      <w:pPr>
        <w:pageBreakBefore w:val="0"/>
        <w:kinsoku/>
        <w:wordWrap/>
        <w:overflowPunct/>
        <w:topLinePunct w:val="0"/>
        <w:bidi w:val="0"/>
        <w:spacing w:line="360" w:lineRule="auto"/>
        <w:ind w:firstLine="420" w:firstLineChars="200"/>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（3）银行、供应商线下办理审批、放贷事宜。</w:t>
      </w:r>
    </w:p>
    <w:p w14:paraId="72597985">
      <w:pPr>
        <w:pageBreakBefore w:val="0"/>
        <w:kinsoku/>
        <w:wordWrap/>
        <w:overflowPunct/>
        <w:topLinePunct w:val="0"/>
        <w:bidi w:val="0"/>
        <w:spacing w:line="360" w:lineRule="auto"/>
        <w:ind w:firstLine="420" w:firstLineChars="200"/>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3、注意事项</w:t>
      </w:r>
    </w:p>
    <w:p w14:paraId="24551D5D">
      <w:pPr>
        <w:pageBreakBefore w:val="0"/>
        <w:kinsoku/>
        <w:wordWrap/>
        <w:overflowPunct/>
        <w:topLinePunct w:val="0"/>
        <w:bidi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需确保政府采购合同的收款账户与融资银行开户账户一致。</w:t>
      </w:r>
    </w:p>
    <w:p w14:paraId="1C96E199">
      <w:pPr>
        <w:pageBreakBefore w:val="0"/>
        <w:kinsoku/>
        <w:wordWrap/>
        <w:overflowPunct/>
        <w:topLinePunct w:val="0"/>
        <w:bidi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（2）用于政府采购信用融资的政府采购合同，应当包含如下条款：“第</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条：政府采购合同贷款</w:t>
      </w:r>
    </w:p>
    <w:p w14:paraId="011FF35C">
      <w:pPr>
        <w:pageBreakBefore w:val="0"/>
        <w:kinsoku/>
        <w:wordWrap/>
        <w:overflowPunct/>
        <w:topLinePunct w:val="0"/>
        <w:bidi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本合同同时用于乙方向 </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银行（金融机构）申请政府采购信用贷款。</w:t>
      </w:r>
    </w:p>
    <w:p w14:paraId="6783963C">
      <w:pPr>
        <w:pageBreakBefore w:val="0"/>
        <w:kinsoku/>
        <w:wordWrap/>
        <w:overflowPunct/>
        <w:topLinePunct w:val="0"/>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bCs/>
          <w:sz w:val="21"/>
          <w:szCs w:val="21"/>
          <w:highlight w:val="none"/>
        </w:rPr>
        <w:t>本合同一经签订，原则上不得更改乙方收款账户信息。确须更改的，乙方应取得原合同收款账户开户银行书面同意，否则修改后的合同不予备案，采购资金不予支付。”</w:t>
      </w:r>
    </w:p>
    <w:p w14:paraId="0A55FF1F">
      <w:pPr>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（十一）中金招标有限责任公司拥有本磋商文件最终解释权。</w:t>
      </w:r>
    </w:p>
    <w:p w14:paraId="1550244D">
      <w:pPr>
        <w:pageBreakBefore w:val="0"/>
        <w:kinsoku/>
        <w:wordWrap/>
        <w:overflowPunct/>
        <w:topLinePunct w:val="0"/>
        <w:bidi w:val="0"/>
        <w:snapToGrid w:val="0"/>
        <w:spacing w:line="360" w:lineRule="auto"/>
        <w:jc w:val="center"/>
        <w:rPr>
          <w:rFonts w:hint="eastAsia" w:ascii="宋体" w:hAnsi="宋体" w:eastAsia="宋体" w:cs="宋体"/>
          <w:b/>
          <w:sz w:val="21"/>
          <w:szCs w:val="21"/>
          <w:highlight w:val="none"/>
        </w:rPr>
      </w:pPr>
    </w:p>
    <w:p w14:paraId="7F173654">
      <w:pPr>
        <w:pageBreakBefore w:val="0"/>
        <w:kinsoku/>
        <w:wordWrap/>
        <w:overflowPunct/>
        <w:topLinePunct w:val="0"/>
        <w:bidi w:val="0"/>
        <w:snapToGrid w:val="0"/>
        <w:spacing w:line="360" w:lineRule="auto"/>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二、磋商文件</w:t>
      </w:r>
    </w:p>
    <w:p w14:paraId="76F8C2D2">
      <w:pPr>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（一）磋商文件的构成</w:t>
      </w:r>
    </w:p>
    <w:p w14:paraId="64855A29">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第一章  竞争性磋商公告</w:t>
      </w:r>
    </w:p>
    <w:p w14:paraId="2804E721">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第二章  采购需求</w:t>
      </w:r>
    </w:p>
    <w:p w14:paraId="00E3455C">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第三章  响应人须知</w:t>
      </w:r>
    </w:p>
    <w:p w14:paraId="358DD50E">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第四章  评标办法及标准</w:t>
      </w:r>
    </w:p>
    <w:p w14:paraId="710E4C58">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第五章  合同主要条款</w:t>
      </w:r>
    </w:p>
    <w:p w14:paraId="22D24E87">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第六章  响应文件组成</w:t>
      </w:r>
    </w:p>
    <w:p w14:paraId="7E69C0E0">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其他有关补充文件</w:t>
      </w:r>
    </w:p>
    <w:p w14:paraId="434FFF54">
      <w:pPr>
        <w:pStyle w:val="7"/>
        <w:pageBreakBefore w:val="0"/>
        <w:widowControl w:val="0"/>
        <w:kinsoku/>
        <w:wordWrap/>
        <w:overflowPunct/>
        <w:topLinePunct w:val="0"/>
        <w:bidi w:val="0"/>
        <w:snapToGrid w:val="0"/>
        <w:spacing w:after="0" w:afterLines="0" w:line="360" w:lineRule="auto"/>
        <w:ind w:left="0" w:firstLine="422" w:firstLineChars="200"/>
        <w:jc w:val="both"/>
        <w:outlineLvl w:val="9"/>
        <w:rPr>
          <w:rFonts w:hint="eastAsia" w:ascii="宋体" w:hAnsi="宋体" w:eastAsia="宋体" w:cs="宋体"/>
          <w:b/>
          <w:kern w:val="2"/>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b/>
          <w:kern w:val="2"/>
          <w:sz w:val="21"/>
          <w:szCs w:val="21"/>
          <w:highlight w:val="none"/>
        </w:rPr>
        <w:t xml:space="preserve">二）磋商文件的澄清与修改 </w:t>
      </w:r>
    </w:p>
    <w:p w14:paraId="725322EE">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响应人应认真阅读本磋商文件，发现其中有误或有要求不合理的，响应人必须在投标截止前5天内以书面形式要求采购人澄清。响应人对已发出的磋商文件进行必要澄清、答复、修改或补充的，应当在磋商文件要求提交响应文件截止时间5天前，在相关的采购信息发布媒体上发布更正公告，并通知所有已购买磋商文件的潜在响应人。</w:t>
      </w:r>
    </w:p>
    <w:p w14:paraId="6EC9ED10">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2、采购人以书面形式答复响应人要求澄清的问题，并将不包含问题来源的答复书面通知所有购买磋商文件的潜在响应人；除书面答复以外的其他澄清方式及澄清内容均无效。</w:t>
      </w:r>
    </w:p>
    <w:p w14:paraId="36CEF7A6">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磋商文件的答复、澄清、修改、补充通知实质上改变采购需求相关内容，且自磋商文件的答复、澄清、修改、补充通知发出之日起至投标截止时间止不足5天的，采购人可视情况推迟投标截止时间和开标时间，按规定在相关的采购信息发布媒体上发布变更公告，并将变更后的时间通知所有已购买磋商文件的潜在响应人。</w:t>
      </w:r>
    </w:p>
    <w:p w14:paraId="3827C87E">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4、磋商文件澄清、答复、修改、补充的内容为磋商文件的组成部分。当磋商文件与磋商文件的答复、澄清、修改、补充通知就同一内容的表述不一致时，以最后发出的书面文件为准。</w:t>
      </w:r>
    </w:p>
    <w:p w14:paraId="00BEEDAC">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5、磋商文件的澄清、答复、修改或补充都应该通过本招标代理机构以法定形式发布，采购人非通过本招标代理机构的，不得擅自澄清、答复、修改或补充磋商文件。</w:t>
      </w:r>
    </w:p>
    <w:p w14:paraId="5EC7C3ED">
      <w:pPr>
        <w:pStyle w:val="13"/>
        <w:pageBreakBefore w:val="0"/>
        <w:kinsoku/>
        <w:wordWrap/>
        <w:overflowPunct/>
        <w:topLinePunct w:val="0"/>
        <w:bidi w:val="0"/>
        <w:snapToGrid w:val="0"/>
        <w:spacing w:line="360" w:lineRule="auto"/>
        <w:ind w:firstLine="415" w:firstLineChars="198"/>
        <w:rPr>
          <w:rFonts w:hint="eastAsia" w:ascii="宋体" w:hAnsi="宋体" w:eastAsia="宋体" w:cs="宋体"/>
          <w:sz w:val="21"/>
          <w:szCs w:val="21"/>
          <w:highlight w:val="none"/>
        </w:rPr>
      </w:pPr>
    </w:p>
    <w:p w14:paraId="51C78BF7">
      <w:pPr>
        <w:pageBreakBefore w:val="0"/>
        <w:kinsoku/>
        <w:wordWrap/>
        <w:overflowPunct/>
        <w:topLinePunct w:val="0"/>
        <w:bidi w:val="0"/>
        <w:snapToGrid w:val="0"/>
        <w:spacing w:line="360" w:lineRule="auto"/>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三、响应文件的编制</w:t>
      </w:r>
    </w:p>
    <w:p w14:paraId="55D30278">
      <w:pPr>
        <w:pageBreakBefore w:val="0"/>
        <w:kinsoku/>
        <w:wordWrap/>
        <w:overflowPunct/>
        <w:topLinePunct w:val="0"/>
        <w:bidi w:val="0"/>
        <w:snapToGrid w:val="0"/>
        <w:spacing w:line="360" w:lineRule="auto"/>
        <w:ind w:firstLine="422" w:firstLineChars="200"/>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（一）响应文件的形式和效力</w:t>
      </w:r>
    </w:p>
    <w:p w14:paraId="44219AD9">
      <w:pPr>
        <w:pageBreakBefore w:val="0"/>
        <w:kinsoku/>
        <w:wordWrap/>
        <w:overflowPunct/>
        <w:topLinePunct w:val="0"/>
        <w:bidi w:val="0"/>
        <w:adjustRightInd w:val="0"/>
        <w:snapToGrid w:val="0"/>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响应文件分为电子投标文件以及备份投标文件，备份投标文件为以介质存储的数据电文形式的投标文件。</w:t>
      </w:r>
    </w:p>
    <w:p w14:paraId="5CB3926D">
      <w:pPr>
        <w:pageBreakBefore w:val="0"/>
        <w:kinsoku/>
        <w:wordWrap/>
        <w:overflowPunct/>
        <w:topLinePunct w:val="0"/>
        <w:bidi w:val="0"/>
        <w:adjustRightInd w:val="0"/>
        <w:snapToGrid w:val="0"/>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1、电子投标文件，按“政采云供应商项目采购-电子招投标操作指南”及本采购文件要求制作、加密并递交。</w:t>
      </w:r>
    </w:p>
    <w:p w14:paraId="4D0C9F8A">
      <w:pPr>
        <w:pageBreakBefore w:val="0"/>
        <w:kinsoku/>
        <w:wordWrap/>
        <w:overflowPunct/>
        <w:topLinePunct w:val="0"/>
        <w:bidi w:val="0"/>
        <w:adjustRightInd w:val="0"/>
        <w:snapToGrid w:val="0"/>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2、以介质存储的数据电文形式的备份投标文件，按政采云供应商项目采购-电子招投标操作指南中制作的电子投标文件。</w:t>
      </w:r>
    </w:p>
    <w:p w14:paraId="0075F296">
      <w:pPr>
        <w:pageBreakBefore w:val="0"/>
        <w:kinsoku/>
        <w:wordWrap/>
        <w:overflowPunct/>
        <w:topLinePunct w:val="0"/>
        <w:bidi w:val="0"/>
        <w:adjustRightInd w:val="0"/>
        <w:snapToGrid w:val="0"/>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投标文件的启用，按先后顺位分别为电子投标文件、以介质存储的数据电文形式的备份投标文件。在下一顺位的投标文件启用时，前一顺位的投标文件自动失效。</w:t>
      </w:r>
    </w:p>
    <w:p w14:paraId="1EDCB661">
      <w:pPr>
        <w:pageBreakBefore w:val="0"/>
        <w:kinsoku/>
        <w:wordWrap/>
        <w:overflowPunct/>
        <w:topLinePunct w:val="0"/>
        <w:bidi w:val="0"/>
        <w:snapToGrid w:val="0"/>
        <w:spacing w:line="360" w:lineRule="auto"/>
        <w:ind w:firstLine="422" w:firstLineChars="200"/>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（二）响应文件的组成</w:t>
      </w:r>
    </w:p>
    <w:p w14:paraId="45E6DBB8">
      <w:pPr>
        <w:pageBreakBefore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响应文件由磋商报价文件、资格证明文件、商务文件、技术文件组成。</w:t>
      </w:r>
      <w:r>
        <w:rPr>
          <w:rFonts w:hint="eastAsia" w:ascii="宋体" w:hAnsi="宋体" w:eastAsia="宋体" w:cs="宋体"/>
          <w:color w:val="000000"/>
          <w:sz w:val="21"/>
          <w:szCs w:val="21"/>
          <w:highlight w:val="none"/>
        </w:rPr>
        <w:t>电子投标文件中所须加盖公章部分均采用CA签章。（具体要求详见第六章 响应文件组成）</w:t>
      </w:r>
    </w:p>
    <w:p w14:paraId="78CC87D2">
      <w:pPr>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（三）响应文件的语言及计量</w:t>
      </w:r>
    </w:p>
    <w:p w14:paraId="7C0DEAA6">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1、响应文件以及响应人与招标代理机构就有关投标事宜的所有来往函电，均应以中文汉语书写。除签名、盖章、专用名称、特殊证明材料等情形外，以中文汉语以外的文字表述的响应文件视同未提供。</w:t>
      </w:r>
    </w:p>
    <w:p w14:paraId="1A08234F">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2、投标计量单位，应采用中华人民共和国法定计量单位（货币单位：人民币元），否则视同未响应。</w:t>
      </w:r>
    </w:p>
    <w:p w14:paraId="08D870B2">
      <w:pPr>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（四）磋商报价与相关费用</w:t>
      </w:r>
    </w:p>
    <w:p w14:paraId="573EB388">
      <w:pPr>
        <w:pStyle w:val="13"/>
        <w:pageBreakBefore w:val="0"/>
        <w:kinsoku/>
        <w:wordWrap/>
        <w:overflowPunct/>
        <w:topLinePunct w:val="0"/>
        <w:bidi w:val="0"/>
        <w:snapToGrid w:val="0"/>
        <w:spacing w:line="360" w:lineRule="auto"/>
        <w:ind w:firstLine="420" w:firstLineChars="20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详见《响应人须知前附表》</w:t>
      </w:r>
    </w:p>
    <w:p w14:paraId="2B34CDFD">
      <w:pPr>
        <w:pStyle w:val="13"/>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（五）响应文件的有效期</w:t>
      </w:r>
    </w:p>
    <w:p w14:paraId="4A871B1F">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1、自投标截止日起90天响应文件应保持有效。有效期不足的响应文件将被拒绝。</w:t>
      </w:r>
    </w:p>
    <w:p w14:paraId="6D3604E5">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2、在特殊情况下，采购人可与响应人协商延长响应文件的有效期，这种要求和答复均以书面形式进行。</w:t>
      </w:r>
    </w:p>
    <w:p w14:paraId="4A75F9C7">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3、成交人的响应文件自开标之日起至合同履行完毕止均应保持有效。</w:t>
      </w:r>
    </w:p>
    <w:p w14:paraId="612CFB64">
      <w:pPr>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（六）响应文件的签署和编制</w:t>
      </w:r>
    </w:p>
    <w:p w14:paraId="3FB77C9A">
      <w:pPr>
        <w:pageBreakBefore w:val="0"/>
        <w:kinsoku/>
        <w:wordWrap/>
        <w:overflowPunct/>
        <w:topLinePunct w:val="0"/>
        <w:bidi w:val="0"/>
        <w:adjustRightInd w:val="0"/>
        <w:snapToGrid w:val="0"/>
        <w:spacing w:line="360" w:lineRule="auto"/>
        <w:ind w:firstLine="422" w:firstLineChars="200"/>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1、电子投标文件部分：</w:t>
      </w:r>
    </w:p>
    <w:p w14:paraId="15D24257">
      <w:pPr>
        <w:pageBreakBefore w:val="0"/>
        <w:kinsoku/>
        <w:wordWrap/>
        <w:overflowPunct/>
        <w:topLinePunct w:val="0"/>
        <w:bidi w:val="0"/>
        <w:adjustRightInd w:val="0"/>
        <w:snapToGrid w:val="0"/>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投标人应根据“政采云供应商项目采购-电子招投标操作指南”及本采购文件规定的格式和顺序编制电子投标文件并进行关联定位。</w:t>
      </w:r>
    </w:p>
    <w:p w14:paraId="2F92430A">
      <w:pPr>
        <w:pageBreakBefore w:val="0"/>
        <w:kinsoku/>
        <w:wordWrap/>
        <w:overflowPunct/>
        <w:topLinePunct w:val="0"/>
        <w:bidi w:val="0"/>
        <w:adjustRightInd w:val="0"/>
        <w:snapToGrid w:val="0"/>
        <w:spacing w:line="360" w:lineRule="auto"/>
        <w:ind w:firstLine="422" w:firstLineChars="200"/>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2、以介质存储的数据电文形式的备份投标文件部分：</w:t>
      </w:r>
    </w:p>
    <w:p w14:paraId="5827DE17">
      <w:pPr>
        <w:pageBreakBefore w:val="0"/>
        <w:kinsoku/>
        <w:wordWrap/>
        <w:overflowPunct/>
        <w:topLinePunct w:val="0"/>
        <w:bidi w:val="0"/>
        <w:adjustRightInd w:val="0"/>
        <w:snapToGrid w:val="0"/>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备份电子投标文件，以DVD光盘、U盘形式存储。</w:t>
      </w:r>
    </w:p>
    <w:p w14:paraId="47E6CA68">
      <w:pPr>
        <w:pageBreakBefore w:val="0"/>
        <w:kinsoku/>
        <w:wordWrap/>
        <w:overflowPunct/>
        <w:topLinePunct w:val="0"/>
        <w:bidi w:val="0"/>
        <w:snapToGrid w:val="0"/>
        <w:spacing w:line="360" w:lineRule="auto"/>
        <w:ind w:firstLine="422" w:firstLineChars="200"/>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（七）备份投标文件的修改和撤回</w:t>
      </w:r>
    </w:p>
    <w:p w14:paraId="5E374B1C">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响应人在投标截止时间之前，可以对已提交的响应文件进行修改或撤回，并书面形式（响应人代表签字）通知招标代理机构；投标截止时间后，响应人不得撤回、修改响应文件。修改后重新递交的响应文件应当按本磋商文件的要求密封和签字。</w:t>
      </w:r>
    </w:p>
    <w:p w14:paraId="4D4D1154">
      <w:pPr>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（八）响应无效的情形</w:t>
      </w:r>
    </w:p>
    <w:p w14:paraId="5C6B9A8D">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实质上没有响应磋商文件要求的投标将被视为无效投标。响应人不得通过修正或撤消不合要求的偏离或保留从而使其投标成为实质上响应的投标。经磋商小组认定属于响应人笔误所造成的差错，应当允许其在评标结束之前进行修改或者补正（可以是复印件、传真件等）。修改或者补正响应文件必须以书面形式进行，并应在中标结果公告之前查核原件。限期内不补正或经补正后仍不符合磋商文件要求的，应认定其投标无效。投标人修改、补正响应文件后，不影响磋商小组对其响应文件所作的评价和评分结果。</w:t>
      </w:r>
    </w:p>
    <w:p w14:paraId="19A88D09">
      <w:pPr>
        <w:pStyle w:val="13"/>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1、在符合性审查和商务评审时，如发现下列情形之一的，响应文件将被视为无效响应：</w:t>
      </w:r>
    </w:p>
    <w:p w14:paraId="0EBC0DE3">
      <w:pPr>
        <w:pageBreakBefore w:val="0"/>
        <w:kinsoku/>
        <w:wordWrap/>
        <w:overflowPunct/>
        <w:topLinePunct w:val="0"/>
        <w:bidi w:val="0"/>
        <w:snapToGrid w:val="0"/>
        <w:spacing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1.1电子投标文件解密失败的，且未在规定时间内提交有效备份投标文件的；</w:t>
      </w:r>
    </w:p>
    <w:p w14:paraId="680402BB">
      <w:pPr>
        <w:pStyle w:val="13"/>
        <w:pageBreakBefore w:val="0"/>
        <w:kinsoku/>
        <w:wordWrap/>
        <w:overflowPunct/>
        <w:topLinePunct w:val="0"/>
        <w:bidi w:val="0"/>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1.2未按磋商文件要求密封、签字、盖章的；</w:t>
      </w:r>
    </w:p>
    <w:p w14:paraId="484EC31D">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1.3资格证明文件不全的，或者不符合磋商文件标明的资格要求的；</w:t>
      </w:r>
    </w:p>
    <w:p w14:paraId="55E87D31">
      <w:pPr>
        <w:pStyle w:val="13"/>
        <w:pageBreakBefore w:val="0"/>
        <w:kinsoku/>
        <w:wordWrap/>
        <w:overflowPunct/>
        <w:topLinePunct w:val="0"/>
        <w:bidi w:val="0"/>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1.4响应文件组成不全的；</w:t>
      </w:r>
    </w:p>
    <w:p w14:paraId="3DFD14FD">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1.5响应文件的实质性内容未使用中文表述、意思表述不明确、前后矛盾或者使用计量单位不符合磋商文件要求的；（经磋商小组认定允许其当场更正的笔误除外）</w:t>
      </w:r>
    </w:p>
    <w:p w14:paraId="1E9EB4EC">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1.6响应文件的关键内容字迹模糊、无法辨认的，或者响应文件中经修正的内容字迹模糊难以</w:t>
      </w:r>
      <w:r>
        <w:rPr>
          <w:rFonts w:hint="eastAsia" w:ascii="宋体" w:hAnsi="宋体" w:eastAsia="宋体" w:cs="宋体"/>
          <w:sz w:val="21"/>
          <w:szCs w:val="21"/>
          <w:highlight w:val="none"/>
          <w:lang w:eastAsia="zh-CN"/>
        </w:rPr>
        <w:t>辨</w:t>
      </w:r>
      <w:r>
        <w:rPr>
          <w:rFonts w:hint="eastAsia" w:ascii="宋体" w:hAnsi="宋体" w:eastAsia="宋体" w:cs="宋体"/>
          <w:sz w:val="21"/>
          <w:szCs w:val="21"/>
          <w:highlight w:val="none"/>
        </w:rPr>
        <w:t>认或者修改处未按规定签名盖章的；</w:t>
      </w:r>
    </w:p>
    <w:p w14:paraId="443711CD">
      <w:pPr>
        <w:pStyle w:val="13"/>
        <w:pageBreakBefore w:val="0"/>
        <w:kinsoku/>
        <w:wordWrap/>
        <w:overflowPunct/>
        <w:topLinePunct w:val="0"/>
        <w:bidi w:val="0"/>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1.7实质性条款不能满足磋商文件要求的；</w:t>
      </w:r>
    </w:p>
    <w:p w14:paraId="2852EB22">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1.8不响应磋商文件要求或者响应文件有采购人不能接受的附加条件的；</w:t>
      </w:r>
    </w:p>
    <w:p w14:paraId="64EB2771">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1.9 响应文件没有按磋商文件要求提供有标“▲”的条款的资料和材料的；</w:t>
      </w:r>
    </w:p>
    <w:p w14:paraId="6722C883">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1.10响应文件资格证明、商务、技术部分中出现磋商报价信息的。</w:t>
      </w:r>
    </w:p>
    <w:p w14:paraId="7F35166A">
      <w:pPr>
        <w:pStyle w:val="13"/>
        <w:pageBreakBefore w:val="0"/>
        <w:kinsoku/>
        <w:wordWrap/>
        <w:overflowPunct/>
        <w:topLinePunct w:val="0"/>
        <w:bidi w:val="0"/>
        <w:snapToGrid w:val="0"/>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2、在不影响公平竞争的前提下，采购文件中参与同一标段(包)的供应商存在以下情形之一且无法合理解释的，其投标(响应)文件无效：</w:t>
      </w:r>
    </w:p>
    <w:p w14:paraId="2ACB644B">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2.1不同供应商的电子投标(响应)文件上传计算机的网卡MAC地址或硬盘序列号等硬件信息相同的；</w:t>
      </w:r>
    </w:p>
    <w:p w14:paraId="3E091D29">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2.2上传的电子投标(响应)文件若出现使用本项目其他投标(响应)供应商的数字证书加密的，或者加盖本项目其他投标(响应)供应商的电子印章的；</w:t>
      </w:r>
    </w:p>
    <w:p w14:paraId="08BB14A2">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2.3不同供应商的投标(响应)文件的内容存在3处(含)以上错误一致的；</w:t>
      </w:r>
    </w:p>
    <w:p w14:paraId="1DABE377">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2.4不同供应商联系人为同一人或不同联系人的联系电话一致的。</w:t>
      </w:r>
    </w:p>
    <w:p w14:paraId="30BFC637">
      <w:pPr>
        <w:pStyle w:val="13"/>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highlight w:val="none"/>
        </w:rPr>
      </w:pPr>
      <w:r>
        <w:rPr>
          <w:rFonts w:hint="eastAsia" w:hAnsi="宋体" w:eastAsia="宋体" w:cs="宋体"/>
          <w:b/>
          <w:sz w:val="21"/>
          <w:szCs w:val="21"/>
          <w:highlight w:val="none"/>
          <w:lang w:val="en-US" w:eastAsia="zh-CN"/>
        </w:rPr>
        <w:t>3</w:t>
      </w:r>
      <w:r>
        <w:rPr>
          <w:rFonts w:hint="eastAsia" w:ascii="宋体" w:hAnsi="宋体" w:eastAsia="宋体" w:cs="宋体"/>
          <w:b/>
          <w:sz w:val="21"/>
          <w:szCs w:val="21"/>
          <w:highlight w:val="none"/>
        </w:rPr>
        <w:t>、在技术评审时，如发现下列情形之一的，响应文件将被视为无效响应标：</w:t>
      </w:r>
    </w:p>
    <w:p w14:paraId="10868EE2">
      <w:pPr>
        <w:pStyle w:val="13"/>
        <w:pageBreakBefore w:val="0"/>
        <w:kinsoku/>
        <w:wordWrap/>
        <w:overflowPunct/>
        <w:topLinePunct w:val="0"/>
        <w:bidi w:val="0"/>
        <w:snapToGrid w:val="0"/>
        <w:spacing w:line="360" w:lineRule="auto"/>
        <w:ind w:firstLine="420" w:firstLineChars="200"/>
        <w:outlineLvl w:val="9"/>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3</w:t>
      </w:r>
      <w:r>
        <w:rPr>
          <w:rFonts w:hint="eastAsia" w:ascii="宋体" w:hAnsi="宋体" w:eastAsia="宋体" w:cs="宋体"/>
          <w:sz w:val="21"/>
          <w:szCs w:val="21"/>
          <w:highlight w:val="none"/>
        </w:rPr>
        <w:t>.1响应文件标明的响应或偏离与事实不符或虚假响应的；</w:t>
      </w:r>
    </w:p>
    <w:p w14:paraId="037A0C1D">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3</w:t>
      </w:r>
      <w:r>
        <w:rPr>
          <w:rFonts w:hint="eastAsia" w:ascii="宋体" w:hAnsi="宋体" w:eastAsia="宋体" w:cs="宋体"/>
          <w:sz w:val="21"/>
          <w:szCs w:val="21"/>
          <w:highlight w:val="none"/>
        </w:rPr>
        <w:t>.2明显不符合磋商文件中标“▲”的技术指标、主要功能项目发生实质性偏离的；</w:t>
      </w:r>
    </w:p>
    <w:p w14:paraId="31D95CC5">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3</w:t>
      </w:r>
      <w:r>
        <w:rPr>
          <w:rFonts w:hint="eastAsia" w:ascii="宋体" w:hAnsi="宋体" w:eastAsia="宋体" w:cs="宋体"/>
          <w:sz w:val="21"/>
          <w:szCs w:val="21"/>
          <w:highlight w:val="none"/>
        </w:rPr>
        <w:t>.3响应技术方案不明确，存在一个或一个以上备选（替代）响应的；</w:t>
      </w:r>
    </w:p>
    <w:p w14:paraId="5065D315">
      <w:pPr>
        <w:pStyle w:val="13"/>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highlight w:val="none"/>
        </w:rPr>
      </w:pPr>
      <w:r>
        <w:rPr>
          <w:rFonts w:hint="eastAsia" w:hAnsi="宋体" w:eastAsia="宋体" w:cs="宋体"/>
          <w:b/>
          <w:sz w:val="21"/>
          <w:szCs w:val="21"/>
          <w:highlight w:val="none"/>
          <w:lang w:val="en-US" w:eastAsia="zh-CN"/>
        </w:rPr>
        <w:t>4</w:t>
      </w:r>
      <w:r>
        <w:rPr>
          <w:rFonts w:hint="eastAsia" w:ascii="宋体" w:hAnsi="宋体" w:eastAsia="宋体" w:cs="宋体"/>
          <w:b/>
          <w:sz w:val="21"/>
          <w:szCs w:val="21"/>
          <w:highlight w:val="none"/>
        </w:rPr>
        <w:t>、在磋商报价文件评审时，如发现下列情形之一的，投标文件将被视为无效响应：</w:t>
      </w:r>
    </w:p>
    <w:p w14:paraId="111A64BA">
      <w:pPr>
        <w:pStyle w:val="13"/>
        <w:pageBreakBefore w:val="0"/>
        <w:tabs>
          <w:tab w:val="left" w:pos="1680"/>
        </w:tabs>
        <w:kinsoku/>
        <w:wordWrap/>
        <w:overflowPunct/>
        <w:topLinePunct w:val="0"/>
        <w:bidi w:val="0"/>
        <w:snapToGrid w:val="0"/>
        <w:spacing w:line="360" w:lineRule="auto"/>
        <w:ind w:firstLine="422" w:firstLineChars="200"/>
        <w:rPr>
          <w:rFonts w:hint="eastAsia" w:ascii="宋体" w:hAnsi="宋体" w:eastAsia="宋体" w:cs="宋体"/>
          <w:b/>
          <w:sz w:val="21"/>
          <w:szCs w:val="21"/>
          <w:highlight w:val="none"/>
        </w:rPr>
      </w:pPr>
      <w:r>
        <w:rPr>
          <w:rFonts w:hint="eastAsia" w:hAnsi="宋体" w:eastAsia="宋体" w:cs="宋体"/>
          <w:b/>
          <w:sz w:val="21"/>
          <w:szCs w:val="21"/>
          <w:highlight w:val="none"/>
          <w:lang w:val="en-US" w:eastAsia="zh-CN"/>
        </w:rPr>
        <w:t>4</w:t>
      </w:r>
      <w:r>
        <w:rPr>
          <w:rFonts w:hint="eastAsia" w:ascii="宋体" w:hAnsi="宋体" w:eastAsia="宋体" w:cs="宋体"/>
          <w:b/>
          <w:sz w:val="21"/>
          <w:szCs w:val="21"/>
          <w:highlight w:val="none"/>
        </w:rPr>
        <w:t>.1超过项目的</w:t>
      </w:r>
      <w:r>
        <w:rPr>
          <w:rFonts w:hint="eastAsia" w:ascii="宋体" w:hAnsi="宋体" w:eastAsia="宋体" w:cs="宋体"/>
          <w:b/>
          <w:sz w:val="21"/>
          <w:szCs w:val="21"/>
          <w:highlight w:val="none"/>
          <w:lang w:val="en-US" w:eastAsia="zh-CN"/>
        </w:rPr>
        <w:t>预算金额</w:t>
      </w:r>
      <w:r>
        <w:rPr>
          <w:rFonts w:hint="eastAsia" w:hAnsi="宋体" w:eastAsia="宋体" w:cs="宋体"/>
          <w:b/>
          <w:sz w:val="21"/>
          <w:szCs w:val="21"/>
          <w:highlight w:val="none"/>
          <w:lang w:val="en-US" w:eastAsia="zh-CN"/>
        </w:rPr>
        <w:t>或最高限价</w:t>
      </w:r>
      <w:r>
        <w:rPr>
          <w:rFonts w:hint="eastAsia" w:ascii="宋体" w:hAnsi="宋体" w:eastAsia="宋体" w:cs="宋体"/>
          <w:b/>
          <w:sz w:val="21"/>
          <w:szCs w:val="21"/>
          <w:highlight w:val="none"/>
        </w:rPr>
        <w:t>的；</w:t>
      </w:r>
    </w:p>
    <w:p w14:paraId="4718C7A0">
      <w:pPr>
        <w:pStyle w:val="13"/>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highlight w:val="none"/>
        </w:rPr>
      </w:pPr>
      <w:r>
        <w:rPr>
          <w:rFonts w:hint="eastAsia" w:hAnsi="宋体" w:eastAsia="宋体" w:cs="宋体"/>
          <w:b/>
          <w:sz w:val="21"/>
          <w:szCs w:val="21"/>
          <w:highlight w:val="none"/>
          <w:lang w:val="en-US" w:eastAsia="zh-CN"/>
        </w:rPr>
        <w:t>4</w:t>
      </w:r>
      <w:r>
        <w:rPr>
          <w:rFonts w:hint="eastAsia" w:ascii="宋体" w:hAnsi="宋体" w:eastAsia="宋体" w:cs="宋体"/>
          <w:b/>
          <w:sz w:val="21"/>
          <w:szCs w:val="21"/>
          <w:highlight w:val="none"/>
        </w:rPr>
        <w:t>.2有选择或有条件的报价的；</w:t>
      </w:r>
    </w:p>
    <w:p w14:paraId="0896F5A2">
      <w:pPr>
        <w:pStyle w:val="13"/>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highlight w:val="none"/>
        </w:rPr>
      </w:pPr>
      <w:r>
        <w:rPr>
          <w:rFonts w:hint="eastAsia" w:hAnsi="宋体" w:eastAsia="宋体" w:cs="宋体"/>
          <w:b/>
          <w:sz w:val="21"/>
          <w:szCs w:val="21"/>
          <w:highlight w:val="none"/>
          <w:lang w:val="en-US" w:eastAsia="zh-CN"/>
        </w:rPr>
        <w:t>4</w:t>
      </w:r>
      <w:r>
        <w:rPr>
          <w:rFonts w:hint="eastAsia" w:ascii="宋体" w:hAnsi="宋体" w:eastAsia="宋体" w:cs="宋体"/>
          <w:b/>
          <w:sz w:val="21"/>
          <w:szCs w:val="21"/>
          <w:highlight w:val="none"/>
        </w:rPr>
        <w:t>.3 报价文件中缺失报价的。</w:t>
      </w:r>
    </w:p>
    <w:p w14:paraId="34BE8948">
      <w:pPr>
        <w:pageBreakBefore w:val="0"/>
        <w:kinsoku/>
        <w:wordWrap/>
        <w:overflowPunct/>
        <w:topLinePunct w:val="0"/>
        <w:bidi w:val="0"/>
        <w:snapToGrid w:val="0"/>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（九）出现以下情形，导致电子交易平台无法正常运行，或者无法保证电子交易的公平、公正和安全时，中止电子交易活动：</w:t>
      </w:r>
    </w:p>
    <w:p w14:paraId="7D168047">
      <w:pPr>
        <w:pageBreakBefore w:val="0"/>
        <w:kinsoku/>
        <w:wordWrap/>
        <w:overflowPunct/>
        <w:topLinePunct w:val="0"/>
        <w:bidi w:val="0"/>
        <w:snapToGrid w:val="0"/>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1、电子交易平台发生故障而无法登录访问的；</w:t>
      </w:r>
    </w:p>
    <w:p w14:paraId="6FD69AA9">
      <w:pPr>
        <w:pageBreakBefore w:val="0"/>
        <w:kinsoku/>
        <w:wordWrap/>
        <w:overflowPunct/>
        <w:topLinePunct w:val="0"/>
        <w:bidi w:val="0"/>
        <w:snapToGrid w:val="0"/>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2、电子交易平台应用或数据库出现错误，不能进行正常操作的；</w:t>
      </w:r>
    </w:p>
    <w:p w14:paraId="6D77B3A7">
      <w:pPr>
        <w:pageBreakBefore w:val="0"/>
        <w:kinsoku/>
        <w:wordWrap/>
        <w:overflowPunct/>
        <w:topLinePunct w:val="0"/>
        <w:bidi w:val="0"/>
        <w:snapToGrid w:val="0"/>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3、电子交易平台发现严重安全漏洞，有潜在泄密危险的；</w:t>
      </w:r>
    </w:p>
    <w:p w14:paraId="0C946DAF">
      <w:pPr>
        <w:pageBreakBefore w:val="0"/>
        <w:kinsoku/>
        <w:wordWrap/>
        <w:overflowPunct/>
        <w:topLinePunct w:val="0"/>
        <w:bidi w:val="0"/>
        <w:snapToGrid w:val="0"/>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4、病毒发作导致不能进行正常操作的；</w:t>
      </w:r>
    </w:p>
    <w:p w14:paraId="3AA0E30E">
      <w:pPr>
        <w:pageBreakBefore w:val="0"/>
        <w:kinsoku/>
        <w:wordWrap/>
        <w:overflowPunct/>
        <w:topLinePunct w:val="0"/>
        <w:bidi w:val="0"/>
        <w:snapToGrid w:val="0"/>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5、其他无法保证电子交易的公平、公正和安全的情况。</w:t>
      </w:r>
    </w:p>
    <w:p w14:paraId="6487F6F1">
      <w:pPr>
        <w:pageBreakBefore w:val="0"/>
        <w:kinsoku/>
        <w:wordWrap/>
        <w:overflowPunct/>
        <w:topLinePunct w:val="0"/>
        <w:bidi w:val="0"/>
        <w:snapToGrid w:val="0"/>
        <w:spacing w:line="360" w:lineRule="auto"/>
        <w:ind w:firstLine="420" w:firstLineChars="200"/>
        <w:rPr>
          <w:rFonts w:hint="eastAsia" w:ascii="宋体" w:hAnsi="宋体" w:eastAsia="宋体" w:cs="宋体"/>
          <w:bCs/>
          <w:color w:val="00B050"/>
          <w:sz w:val="21"/>
          <w:szCs w:val="21"/>
          <w:highlight w:val="none"/>
        </w:rPr>
      </w:pPr>
      <w:r>
        <w:rPr>
          <w:rFonts w:hint="eastAsia" w:ascii="宋体" w:hAnsi="宋体" w:eastAsia="宋体" w:cs="宋体"/>
          <w:bCs/>
          <w:color w:val="000000"/>
          <w:sz w:val="21"/>
          <w:szCs w:val="21"/>
          <w:highlight w:val="none"/>
        </w:rPr>
        <w:t>出现前款规定情形，不影响采购公平、公正性的，招标代理机构可以待上述情形消除后继续组织电子交易活动，也可以决定某些环节以纸质形式进行；影响或可能影响采购公平、公正性的，重新采购。</w:t>
      </w:r>
    </w:p>
    <w:p w14:paraId="5140027D">
      <w:pPr>
        <w:pageBreakBefore w:val="0"/>
        <w:kinsoku/>
        <w:wordWrap/>
        <w:overflowPunct/>
        <w:topLinePunct w:val="0"/>
        <w:bidi w:val="0"/>
        <w:snapToGrid w:val="0"/>
        <w:spacing w:line="360" w:lineRule="auto"/>
        <w:jc w:val="center"/>
        <w:rPr>
          <w:rFonts w:hint="eastAsia" w:ascii="宋体" w:hAnsi="宋体" w:eastAsia="宋体" w:cs="宋体"/>
          <w:b/>
          <w:sz w:val="21"/>
          <w:szCs w:val="21"/>
          <w:highlight w:val="none"/>
        </w:rPr>
      </w:pPr>
    </w:p>
    <w:p w14:paraId="760C213D">
      <w:pPr>
        <w:pageBreakBefore w:val="0"/>
        <w:kinsoku/>
        <w:wordWrap/>
        <w:overflowPunct/>
        <w:topLinePunct w:val="0"/>
        <w:bidi w:val="0"/>
        <w:snapToGrid w:val="0"/>
        <w:spacing w:line="360" w:lineRule="auto"/>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四、开标</w:t>
      </w:r>
    </w:p>
    <w:p w14:paraId="22A961B5">
      <w:pPr>
        <w:pStyle w:val="13"/>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（一）开标准备</w:t>
      </w:r>
    </w:p>
    <w:p w14:paraId="7BAD5617">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招标代理机构将在规定的时间和地点进行开标。本项目不要求响应人授权代表参加现场开标、开启响应文件活动。</w:t>
      </w:r>
    </w:p>
    <w:p w14:paraId="71F5C23B">
      <w:pPr>
        <w:pStyle w:val="13"/>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（二）开标程序</w:t>
      </w:r>
    </w:p>
    <w:p w14:paraId="163ED133">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1、开标会由招标代理机构相关工作人员主持，主持人宣布开标会议开始。</w:t>
      </w:r>
    </w:p>
    <w:p w14:paraId="44F3ADB0">
      <w:pPr>
        <w:pStyle w:val="13"/>
        <w:pageBreakBefore w:val="0"/>
        <w:kinsoku/>
        <w:wordWrap/>
        <w:overflowPunct/>
        <w:topLinePunct w:val="0"/>
        <w:bidi w:val="0"/>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2、介绍参加开标会的人员名单。</w:t>
      </w:r>
    </w:p>
    <w:p w14:paraId="2CE4112E">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3、宣布开标纪律和有关事项，告知应当回避的情形，提请有关人员回避。</w:t>
      </w:r>
    </w:p>
    <w:p w14:paraId="5820339D">
      <w:pPr>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4、电子招投标开标及评审程序</w:t>
      </w:r>
    </w:p>
    <w:p w14:paraId="5E9EFEE0">
      <w:pPr>
        <w:pageBreakBefore w:val="0"/>
        <w:kinsoku/>
        <w:wordWrap/>
        <w:overflowPunct/>
        <w:topLinePunct w:val="0"/>
        <w:bidi w:val="0"/>
        <w:spacing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4.1投标截止时间后，投标人登录政采云平台，用“项目采购-开标评标”功能对电子投标文件进行在线解密。</w:t>
      </w:r>
    </w:p>
    <w:p w14:paraId="7E56A7F2">
      <w:pPr>
        <w:pageBreakBefore w:val="0"/>
        <w:kinsoku/>
        <w:wordWrap/>
        <w:overflowPunct/>
        <w:topLinePunct w:val="0"/>
        <w:bidi w:val="0"/>
        <w:spacing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4.2磋商小组对资格进行评审；</w:t>
      </w:r>
    </w:p>
    <w:p w14:paraId="02D48FB2">
      <w:pPr>
        <w:pageBreakBefore w:val="0"/>
        <w:kinsoku/>
        <w:wordWrap/>
        <w:overflowPunct/>
        <w:topLinePunct w:val="0"/>
        <w:bidi w:val="0"/>
        <w:spacing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4.3公布资格评审结果；</w:t>
      </w:r>
    </w:p>
    <w:p w14:paraId="68470E71">
      <w:pPr>
        <w:pageBreakBefore w:val="0"/>
        <w:kinsoku/>
        <w:wordWrap/>
        <w:overflowPunct/>
        <w:topLinePunct w:val="0"/>
        <w:bidi w:val="0"/>
        <w:spacing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4.4磋商小组就价格、服务等认为需要磋商的内容分别与各响应人进行磋商。</w:t>
      </w:r>
    </w:p>
    <w:p w14:paraId="4C133F32">
      <w:pPr>
        <w:pageBreakBefore w:val="0"/>
        <w:kinsoku/>
        <w:wordWrap/>
        <w:overflowPunct/>
        <w:topLinePunct w:val="0"/>
        <w:bidi w:val="0"/>
        <w:spacing w:line="360" w:lineRule="auto"/>
        <w:ind w:firstLine="422" w:firstLineChars="200"/>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4.5磋商小组对商务技术响应文件进行评审；</w:t>
      </w:r>
    </w:p>
    <w:p w14:paraId="0802835B">
      <w:pPr>
        <w:pageBreakBefore w:val="0"/>
        <w:kinsoku/>
        <w:wordWrap/>
        <w:overflowPunct/>
        <w:topLinePunct w:val="0"/>
        <w:bidi w:val="0"/>
        <w:spacing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4.6各响应人在规定时间内于系统上提交最终报价，最终报价不得超过自身的初次报价。</w:t>
      </w:r>
    </w:p>
    <w:p w14:paraId="55E019B9">
      <w:pPr>
        <w:pageBreakBefore w:val="0"/>
        <w:kinsoku/>
        <w:wordWrap/>
        <w:overflowPunct/>
        <w:topLinePunct w:val="0"/>
        <w:bidi w:val="0"/>
        <w:spacing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4.7公布商务技术评审结果；</w:t>
      </w:r>
    </w:p>
    <w:p w14:paraId="6A255624">
      <w:pPr>
        <w:pageBreakBefore w:val="0"/>
        <w:kinsoku/>
        <w:wordWrap/>
        <w:overflowPunct/>
        <w:topLinePunct w:val="0"/>
        <w:bidi w:val="0"/>
        <w:spacing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4.8公布报价开标情况；</w:t>
      </w:r>
    </w:p>
    <w:p w14:paraId="207BFEF8">
      <w:pPr>
        <w:pageBreakBefore w:val="0"/>
        <w:kinsoku/>
        <w:wordWrap/>
        <w:overflowPunct/>
        <w:topLinePunct w:val="0"/>
        <w:bidi w:val="0"/>
        <w:spacing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4.9磋商小组对报价情况进行评审；</w:t>
      </w:r>
    </w:p>
    <w:p w14:paraId="042E99DB">
      <w:pPr>
        <w:pageBreakBefore w:val="0"/>
        <w:kinsoku/>
        <w:wordWrap/>
        <w:overflowPunct/>
        <w:topLinePunct w:val="0"/>
        <w:bidi w:val="0"/>
        <w:spacing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4.10公布评审结果。</w:t>
      </w:r>
    </w:p>
    <w:p w14:paraId="1FEF289A">
      <w:pPr>
        <w:pageBreakBefore w:val="0"/>
        <w:kinsoku/>
        <w:wordWrap/>
        <w:overflowPunct/>
        <w:topLinePunct w:val="0"/>
        <w:bidi w:val="0"/>
        <w:spacing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特别说明：政采云公司如对电子化开标及评审程序有调整的，按调整后的程序操作。</w:t>
      </w:r>
    </w:p>
    <w:p w14:paraId="6491E13D">
      <w:pPr>
        <w:pageBreakBefore w:val="0"/>
        <w:kinsoku/>
        <w:wordWrap/>
        <w:overflowPunct/>
        <w:topLinePunct w:val="0"/>
        <w:bidi w:val="0"/>
        <w:spacing w:line="360" w:lineRule="auto"/>
        <w:ind w:firstLine="422" w:firstLineChars="200"/>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5、如遇电子招投标系统故障的，启用备份投标文件</w:t>
      </w:r>
    </w:p>
    <w:p w14:paraId="719BA2AB">
      <w:pPr>
        <w:pageBreakBefore w:val="0"/>
        <w:kinsoku/>
        <w:wordWrap/>
        <w:overflowPunct/>
        <w:topLinePunct w:val="0"/>
        <w:bidi w:val="0"/>
        <w:snapToGrid w:val="0"/>
        <w:spacing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6、本项目原则上采用政采云电子招投标开标及评审程序，但若响应人在规定时间内无法解密或解密失败，招标代理机构将开启未能在规定时间内解密的响应人递交的备份投标文件。</w:t>
      </w:r>
    </w:p>
    <w:p w14:paraId="24AF4310">
      <w:pPr>
        <w:pageBreakBefore w:val="0"/>
        <w:kinsoku/>
        <w:wordWrap/>
        <w:overflowPunct/>
        <w:topLinePunct w:val="0"/>
        <w:bidi w:val="0"/>
        <w:snapToGrid w:val="0"/>
        <w:spacing w:line="360" w:lineRule="auto"/>
        <w:ind w:firstLine="422" w:firstLineChars="200"/>
        <w:jc w:val="center"/>
        <w:rPr>
          <w:rFonts w:hint="eastAsia" w:ascii="宋体" w:hAnsi="宋体" w:eastAsia="宋体" w:cs="宋体"/>
          <w:b/>
          <w:sz w:val="21"/>
          <w:szCs w:val="21"/>
          <w:highlight w:val="none"/>
        </w:rPr>
      </w:pPr>
    </w:p>
    <w:p w14:paraId="53AD6A1D">
      <w:pPr>
        <w:pageBreakBefore w:val="0"/>
        <w:kinsoku/>
        <w:wordWrap/>
        <w:overflowPunct/>
        <w:topLinePunct w:val="0"/>
        <w:bidi w:val="0"/>
        <w:snapToGrid w:val="0"/>
        <w:spacing w:line="360" w:lineRule="auto"/>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五、评标</w:t>
      </w:r>
    </w:p>
    <w:p w14:paraId="10BDA5DC">
      <w:pPr>
        <w:pStyle w:val="13"/>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（一）组建磋商小组</w:t>
      </w:r>
    </w:p>
    <w:p w14:paraId="0D40B26E">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磋商小组由采购人代表和评审专家共 3 人以上单数组成，其中评审专家人数不得少于磋商小组成员总数的 2/3。</w:t>
      </w:r>
    </w:p>
    <w:p w14:paraId="3D997AA3">
      <w:pPr>
        <w:pStyle w:val="13"/>
        <w:pageBreakBefore w:val="0"/>
        <w:kinsoku/>
        <w:wordWrap/>
        <w:overflowPunct/>
        <w:topLinePunct w:val="0"/>
        <w:bidi w:val="0"/>
        <w:snapToGrid w:val="0"/>
        <w:spacing w:line="360" w:lineRule="auto"/>
        <w:ind w:firstLine="422" w:firstLineChars="200"/>
        <w:outlineLvl w:val="9"/>
        <w:rPr>
          <w:rFonts w:hint="eastAsia" w:ascii="宋体" w:hAnsi="宋体" w:eastAsia="宋体" w:cs="宋体"/>
          <w:sz w:val="21"/>
          <w:szCs w:val="21"/>
          <w:highlight w:val="none"/>
        </w:rPr>
      </w:pPr>
      <w:r>
        <w:rPr>
          <w:rFonts w:hint="eastAsia" w:ascii="宋体" w:hAnsi="宋体" w:eastAsia="宋体" w:cs="宋体"/>
          <w:b/>
          <w:sz w:val="21"/>
          <w:szCs w:val="21"/>
          <w:highlight w:val="none"/>
        </w:rPr>
        <w:t>（二）评标程序</w:t>
      </w:r>
    </w:p>
    <w:p w14:paraId="5C612219">
      <w:pPr>
        <w:pStyle w:val="13"/>
        <w:pageBreakBefore w:val="0"/>
        <w:kinsoku/>
        <w:wordWrap/>
        <w:overflowPunct/>
        <w:topLinePunct w:val="0"/>
        <w:bidi w:val="0"/>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1、资格审查</w:t>
      </w:r>
    </w:p>
    <w:p w14:paraId="036F9175">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磋商小组对响应人的资格进行审查。</w:t>
      </w:r>
    </w:p>
    <w:p w14:paraId="5D39C593">
      <w:pPr>
        <w:pStyle w:val="13"/>
        <w:pageBreakBefore w:val="0"/>
        <w:kinsoku/>
        <w:wordWrap/>
        <w:overflowPunct/>
        <w:topLinePunct w:val="0"/>
        <w:bidi w:val="0"/>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2、实质审查与比较</w:t>
      </w:r>
    </w:p>
    <w:p w14:paraId="5468CF37">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2.1磋商小组审查响应文件的实质性内容是否符合磋商文件的实质性要求。</w:t>
      </w:r>
    </w:p>
    <w:p w14:paraId="5C5CBD1A">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2.2磋商小组将根据响应人的响应文件进行审查、核对，如有疑问，将对响应人进行询标，响应人要向磋商小组澄清有关问题，并最终以书面形式进行答复。</w:t>
      </w:r>
    </w:p>
    <w:p w14:paraId="32D5BE40">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2.3响应人代表未到场或者拒绝澄清或者澄清的内容改变了响应文件的实质性内容的，磋商小组有权对该响应文件作出不利于响应人的评判。</w:t>
      </w:r>
    </w:p>
    <w:p w14:paraId="7430588E">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2.4各响应人的商务技术得分由指定专人进行计算复核。</w:t>
      </w:r>
    </w:p>
    <w:p w14:paraId="5EF12DD3">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2.5各响应人报价得分根据评分标准计算。</w:t>
      </w:r>
    </w:p>
    <w:p w14:paraId="5531A695">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2.6磋商小组完成评标后，对各部分得分汇总，得出本项目最终得分，磋商小组按评标原则推荐成交候选人同时起草评审报告。</w:t>
      </w:r>
    </w:p>
    <w:p w14:paraId="4678723C">
      <w:pPr>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（三）澄清问题的形式</w:t>
      </w:r>
    </w:p>
    <w:p w14:paraId="3770420F">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对响应文件中含义不明确、同类问题表述不一致或者有明显文字和计算错误的内容，磋商小组可要求响应人作出必要的澄清、说明或者纠正。响应人的澄清、说明或者补正应当采用书面形式，由其全权代表签字或盖章确认，并不得超出响应文件的范围或者改变响应文件的实质性内容。</w:t>
      </w:r>
    </w:p>
    <w:p w14:paraId="7824AA7B">
      <w:pPr>
        <w:pageBreakBefore w:val="0"/>
        <w:kinsoku/>
        <w:wordWrap/>
        <w:overflowPunct/>
        <w:topLinePunct w:val="0"/>
        <w:bidi w:val="0"/>
        <w:spacing w:line="360" w:lineRule="auto"/>
        <w:ind w:firstLine="422" w:firstLineChars="200"/>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（四）报价错误修正</w:t>
      </w:r>
    </w:p>
    <w:p w14:paraId="4B8D0AF8">
      <w:pPr>
        <w:pageBreakBefore w:val="0"/>
        <w:kinsoku/>
        <w:wordWrap/>
        <w:overflowPunct/>
        <w:topLinePunct w:val="0"/>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评标委员会对确定响应文件为实质上响应磋商文件要求的，磋商文件报价出现前后不一致的，按照下列规定修正：</w:t>
      </w:r>
    </w:p>
    <w:p w14:paraId="1E3EA27D">
      <w:pPr>
        <w:pageBreakBefore w:val="0"/>
        <w:kinsoku/>
        <w:wordWrap/>
        <w:overflowPunct/>
        <w:topLinePunct w:val="0"/>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color w:val="000000"/>
          <w:sz w:val="21"/>
          <w:szCs w:val="21"/>
          <w:highlight w:val="none"/>
          <w:shd w:val="clear" w:color="auto" w:fill="FFFFFF"/>
        </w:rPr>
        <w:t>响应文件开标一览表（报价表）内容与响应文件中相应内容不一致的，以开标一览表（报价表）为准；</w:t>
      </w:r>
    </w:p>
    <w:p w14:paraId="697826EF">
      <w:pPr>
        <w:pageBreakBefore w:val="0"/>
        <w:kinsoku/>
        <w:wordWrap/>
        <w:overflowPunct/>
        <w:topLinePunct w:val="0"/>
        <w:bidi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color w:val="000000"/>
          <w:sz w:val="21"/>
          <w:szCs w:val="21"/>
          <w:highlight w:val="none"/>
          <w:shd w:val="clear" w:color="auto" w:fill="FFFFFF"/>
        </w:rPr>
        <w:t>2、大写金额和小写金额不一致的，以大写金额为准；</w:t>
      </w:r>
    </w:p>
    <w:p w14:paraId="6CB48454">
      <w:pPr>
        <w:pageBreakBefore w:val="0"/>
        <w:kinsoku/>
        <w:wordWrap/>
        <w:overflowPunct/>
        <w:topLinePunct w:val="0"/>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shd w:val="clear" w:color="auto" w:fill="FFFFFF"/>
        </w:rPr>
        <w:t>3、单价金额小数点或者百分比有明显错位的，以开标一览表的总价为准，并修改单价；</w:t>
      </w:r>
    </w:p>
    <w:p w14:paraId="07343037">
      <w:pPr>
        <w:pageBreakBefore w:val="0"/>
        <w:kinsoku/>
        <w:wordWrap/>
        <w:overflowPunct/>
        <w:topLinePunct w:val="0"/>
        <w:bidi w:val="0"/>
        <w:spacing w:line="360" w:lineRule="auto"/>
        <w:ind w:firstLine="420" w:firstLineChars="20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4、总价金额与按单价汇总金额不一致的，以单价金额计算结果为准。</w:t>
      </w:r>
    </w:p>
    <w:p w14:paraId="7A2BF9FB">
      <w:pPr>
        <w:pageBreakBefore w:val="0"/>
        <w:kinsoku/>
        <w:wordWrap/>
        <w:overflowPunct/>
        <w:topLinePunct w:val="0"/>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shd w:val="clear" w:color="auto" w:fill="FFFFFF"/>
        </w:rPr>
        <w:t>5、</w:t>
      </w:r>
      <w:r>
        <w:rPr>
          <w:rFonts w:hint="eastAsia" w:ascii="宋体" w:hAnsi="宋体" w:eastAsia="宋体" w:cs="宋体"/>
          <w:sz w:val="21"/>
          <w:szCs w:val="21"/>
          <w:highlight w:val="none"/>
        </w:rPr>
        <w:t>电子交易平台客户端里开标一览表录入的信息与投标文件不一致的，以投标文件为准；</w:t>
      </w:r>
    </w:p>
    <w:p w14:paraId="0B712AB2">
      <w:pPr>
        <w:pStyle w:val="13"/>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同时出现两种以上不一致的，按上述顺序修正；按上述修正错误的原则及方法调整或修正响应文件的磋商报价，响应人同意并签字确认后，调整后的磋商报价对响应人具有约束作用。如果响应人不接受修正后的报价，则其投标将作为无效投标处理。</w:t>
      </w:r>
    </w:p>
    <w:p w14:paraId="6BC1C34E">
      <w:pPr>
        <w:pStyle w:val="13"/>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（五）评标原则和评标办法</w:t>
      </w:r>
    </w:p>
    <w:p w14:paraId="52AA5DCA">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1、磋商小组必须公平、公正、客观，不带任何倾向性和启发性；不得向外界透露任何与评标有关的内容；任何单位和个人不得干扰、影响评标的正常进行；磋商小组及有关工作人员不得私下与响应人接触。</w:t>
      </w:r>
    </w:p>
    <w:p w14:paraId="271B4172">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2、评标办法。本项目评标办法是</w:t>
      </w:r>
      <w:r>
        <w:rPr>
          <w:rFonts w:hint="eastAsia" w:ascii="宋体" w:hAnsi="宋体" w:eastAsia="宋体" w:cs="宋体"/>
          <w:sz w:val="21"/>
          <w:szCs w:val="21"/>
          <w:highlight w:val="none"/>
          <w:u w:val="single"/>
        </w:rPr>
        <w:t>综合评分法</w:t>
      </w:r>
      <w:r>
        <w:rPr>
          <w:rFonts w:hint="eastAsia" w:ascii="宋体" w:hAnsi="宋体" w:eastAsia="宋体" w:cs="宋体"/>
          <w:sz w:val="21"/>
          <w:szCs w:val="21"/>
          <w:highlight w:val="none"/>
        </w:rPr>
        <w:t>，具体评标内容及评分标准等详见《第四章：评标办法及评分标准》。</w:t>
      </w:r>
    </w:p>
    <w:p w14:paraId="79ACBF53">
      <w:pPr>
        <w:pStyle w:val="13"/>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（六）磋商过程的监控</w:t>
      </w:r>
    </w:p>
    <w:p w14:paraId="3791E1CB">
      <w:pPr>
        <w:pStyle w:val="13"/>
        <w:pageBreakBefore w:val="0"/>
        <w:kinsoku/>
        <w:wordWrap/>
        <w:overflowPunct/>
        <w:topLinePunct w:val="0"/>
        <w:bidi w:val="0"/>
        <w:snapToGrid w:val="0"/>
        <w:spacing w:line="360" w:lineRule="auto"/>
        <w:ind w:firstLine="420" w:firstLineChars="200"/>
        <w:rPr>
          <w:rFonts w:hint="eastAsia" w:ascii="宋体" w:hAnsi="宋体" w:eastAsia="宋体" w:cs="宋体"/>
          <w:b/>
          <w:sz w:val="21"/>
          <w:szCs w:val="21"/>
          <w:highlight w:val="none"/>
        </w:rPr>
      </w:pPr>
      <w:r>
        <w:rPr>
          <w:rFonts w:hint="eastAsia" w:ascii="宋体" w:hAnsi="宋体" w:eastAsia="宋体" w:cs="宋体"/>
          <w:sz w:val="21"/>
          <w:szCs w:val="21"/>
          <w:highlight w:val="none"/>
        </w:rPr>
        <w:t>本项目磋商过程实行全程录音、录像监控，响应人在磋商过程中所进行的试图影响评标结果的不公正活动，可能导致其响应被拒绝。</w:t>
      </w:r>
    </w:p>
    <w:p w14:paraId="2DBBA9B9">
      <w:pPr>
        <w:pageBreakBefore w:val="0"/>
        <w:kinsoku/>
        <w:wordWrap/>
        <w:overflowPunct/>
        <w:topLinePunct w:val="0"/>
        <w:bidi w:val="0"/>
        <w:snapToGrid w:val="0"/>
        <w:spacing w:line="360" w:lineRule="auto"/>
        <w:jc w:val="center"/>
        <w:rPr>
          <w:rFonts w:hint="eastAsia" w:ascii="宋体" w:hAnsi="宋体" w:eastAsia="宋体" w:cs="宋体"/>
          <w:b/>
          <w:sz w:val="21"/>
          <w:szCs w:val="21"/>
          <w:highlight w:val="none"/>
        </w:rPr>
      </w:pPr>
    </w:p>
    <w:p w14:paraId="7FF185FF">
      <w:pPr>
        <w:pageBreakBefore w:val="0"/>
        <w:kinsoku/>
        <w:wordWrap/>
        <w:overflowPunct/>
        <w:topLinePunct w:val="0"/>
        <w:bidi w:val="0"/>
        <w:snapToGrid w:val="0"/>
        <w:spacing w:line="360" w:lineRule="auto"/>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六、废标</w:t>
      </w:r>
    </w:p>
    <w:p w14:paraId="0226EA76">
      <w:pPr>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根据《财政部关于政府采购竞争性磋商管理暂行办法有关问题的补充通知》：</w:t>
      </w:r>
    </w:p>
    <w:p w14:paraId="60EFC3CB">
      <w:pPr>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用竞争性磋商采购政府购买服务项目（含政府和社会资本合作项目），在采购过程中符合要求的供应商（社会资本）只有2家的，竞争性磋商采购活动可以继续进行。采购过程中符合要求的供应商（社会资本）只有1家的，采购人（项目实施机构）或者招标代理机构应当终止竞争性磋商采购活动，发布项目终止公告并说明原因，重新开展采购活动。</w:t>
      </w:r>
    </w:p>
    <w:p w14:paraId="0D2E5AFC">
      <w:pPr>
        <w:pageBreakBefore w:val="0"/>
        <w:kinsoku/>
        <w:wordWrap/>
        <w:overflowPunct/>
        <w:topLinePunct w:val="0"/>
        <w:bidi w:val="0"/>
        <w:snapToGrid w:val="0"/>
        <w:spacing w:line="360" w:lineRule="auto"/>
        <w:rPr>
          <w:rFonts w:hint="eastAsia" w:ascii="宋体" w:hAnsi="宋体" w:eastAsia="宋体" w:cs="宋体"/>
          <w:b/>
          <w:sz w:val="21"/>
          <w:szCs w:val="21"/>
          <w:highlight w:val="none"/>
        </w:rPr>
      </w:pPr>
    </w:p>
    <w:p w14:paraId="1E52811E">
      <w:pPr>
        <w:pageBreakBefore w:val="0"/>
        <w:kinsoku/>
        <w:wordWrap/>
        <w:overflowPunct/>
        <w:topLinePunct w:val="0"/>
        <w:bidi w:val="0"/>
        <w:snapToGrid w:val="0"/>
        <w:spacing w:line="360" w:lineRule="auto"/>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七、定标</w:t>
      </w:r>
    </w:p>
    <w:p w14:paraId="040A66F3">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（一）确定成交人。本项目由采购人事先授权磋商小组确定成交候选人3名。推荐第一名成交候选人为成交人，经采购人确认后，确定项目成交人，同时发布采购结果公告，发出成交通知书。</w:t>
      </w:r>
    </w:p>
    <w:p w14:paraId="6549D211">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1、招标代理机构在评标结束后在2个工作日内将评审报告交采购人确认。</w:t>
      </w:r>
    </w:p>
    <w:p w14:paraId="49F886CA">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2、采购人应当自收到评审报告之日起5个工作日内在评审报告推荐的中标或者成交候选人中按顺序确定中标或者成交供应商。</w:t>
      </w:r>
    </w:p>
    <w:p w14:paraId="1EF4392F">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采购人或者招标代理机构应当自成交人确定之日起2个工作日内，在省级以上财政部门指定的媒体上公告中标结果，采购文件应当随中标结果同时公告。在公告中标结果的同时，采购人或者招标代理机构应当向成交人发出成交通知书。</w:t>
      </w:r>
    </w:p>
    <w:p w14:paraId="03D67DE2">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eastAsia="zh-CN"/>
        </w:rPr>
        <w:t>（</w:t>
      </w:r>
      <w:r>
        <w:rPr>
          <w:rFonts w:hint="eastAsia" w:hAnsi="宋体" w:eastAsia="宋体" w:cs="宋体"/>
          <w:sz w:val="21"/>
          <w:szCs w:val="21"/>
          <w:highlight w:val="none"/>
          <w:lang w:val="en-US" w:eastAsia="zh-CN"/>
        </w:rPr>
        <w:t>二</w:t>
      </w:r>
      <w:r>
        <w:rPr>
          <w:rFonts w:hint="eastAsia" w:hAnsi="宋体" w:eastAsia="宋体" w:cs="宋体"/>
          <w:sz w:val="21"/>
          <w:szCs w:val="21"/>
          <w:highlight w:val="none"/>
          <w:lang w:eastAsia="zh-CN"/>
        </w:rPr>
        <w:t>）</w:t>
      </w:r>
      <w:r>
        <w:rPr>
          <w:rFonts w:hint="eastAsia" w:ascii="宋体" w:hAnsi="宋体" w:eastAsia="宋体" w:cs="宋体"/>
          <w:sz w:val="21"/>
          <w:szCs w:val="21"/>
          <w:highlight w:val="none"/>
        </w:rPr>
        <w:t>合同签订前，供应商须提供在投标（响应）文件中涉及客观分评审内容的检测报告、认证证书等资料给采购代理机构进行原件核对，无法提供或提供的资料与投标文件不符的，采购人可拒绝签订合同。采购人可以按照评审报告推荐的中标或者成交候选人名单排序，确定下一候选人为中标或者成交供应商，也可以重新开展政府采购活动。</w:t>
      </w:r>
    </w:p>
    <w:p w14:paraId="596AB062">
      <w:pPr>
        <w:pStyle w:val="13"/>
        <w:pageBreakBefore w:val="0"/>
        <w:kinsoku/>
        <w:wordWrap/>
        <w:overflowPunct/>
        <w:topLinePunct w:val="0"/>
        <w:bidi w:val="0"/>
        <w:snapToGrid w:val="0"/>
        <w:spacing w:line="360" w:lineRule="auto"/>
        <w:ind w:firstLine="420" w:firstLineChars="200"/>
        <w:rPr>
          <w:rFonts w:hint="eastAsia" w:ascii="宋体" w:hAnsi="宋体" w:eastAsia="宋体" w:cs="宋体"/>
          <w:b/>
          <w:sz w:val="21"/>
          <w:szCs w:val="21"/>
          <w:highlight w:val="none"/>
        </w:rPr>
      </w:pPr>
      <w:r>
        <w:rPr>
          <w:rFonts w:hint="eastAsia" w:ascii="宋体" w:hAnsi="宋体" w:eastAsia="宋体" w:cs="宋体"/>
          <w:sz w:val="21"/>
          <w:szCs w:val="21"/>
          <w:highlight w:val="none"/>
        </w:rPr>
        <w:t>（</w:t>
      </w:r>
      <w:r>
        <w:rPr>
          <w:rFonts w:hint="eastAsia" w:hAnsi="宋体" w:eastAsia="宋体" w:cs="宋体"/>
          <w:sz w:val="21"/>
          <w:szCs w:val="21"/>
          <w:highlight w:val="none"/>
          <w:lang w:val="en-US" w:eastAsia="zh-CN"/>
        </w:rPr>
        <w:t>三</w:t>
      </w:r>
      <w:r>
        <w:rPr>
          <w:rFonts w:hint="eastAsia" w:ascii="宋体" w:hAnsi="宋体" w:eastAsia="宋体" w:cs="宋体"/>
          <w:sz w:val="21"/>
          <w:szCs w:val="21"/>
          <w:highlight w:val="none"/>
        </w:rPr>
        <w:t>）成交人因自身原因放弃中标或因不可抗力不能履行合同的；经质疑，招标代理机构审查确认因成交人在本次采购活动中存在违法违规行为或其他原因使质疑成立的，如发生上述两种情况的，采购人可以与排位在成交人之后第一位的成交候选人签订采购合同，以此类推。</w:t>
      </w:r>
    </w:p>
    <w:p w14:paraId="54775B4B">
      <w:pPr>
        <w:pageBreakBefore w:val="0"/>
        <w:kinsoku/>
        <w:wordWrap/>
        <w:overflowPunct/>
        <w:topLinePunct w:val="0"/>
        <w:bidi w:val="0"/>
        <w:snapToGrid w:val="0"/>
        <w:spacing w:line="360" w:lineRule="auto"/>
        <w:jc w:val="center"/>
        <w:outlineLvl w:val="9"/>
        <w:rPr>
          <w:rFonts w:hint="eastAsia" w:ascii="宋体" w:hAnsi="宋体" w:eastAsia="宋体" w:cs="宋体"/>
          <w:b/>
          <w:sz w:val="21"/>
          <w:szCs w:val="21"/>
          <w:highlight w:val="none"/>
        </w:rPr>
      </w:pPr>
    </w:p>
    <w:p w14:paraId="3E932C0F">
      <w:pPr>
        <w:pageBreakBefore w:val="0"/>
        <w:kinsoku/>
        <w:wordWrap/>
        <w:overflowPunct/>
        <w:topLinePunct w:val="0"/>
        <w:bidi w:val="0"/>
        <w:snapToGrid w:val="0"/>
        <w:spacing w:line="360" w:lineRule="auto"/>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八、合同授予</w:t>
      </w:r>
    </w:p>
    <w:p w14:paraId="5457D0B4">
      <w:pPr>
        <w:pStyle w:val="13"/>
        <w:pageBreakBefore w:val="0"/>
        <w:kinsoku/>
        <w:wordWrap/>
        <w:overflowPunct/>
        <w:topLinePunct w:val="0"/>
        <w:bidi w:val="0"/>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（一）签订合同</w:t>
      </w:r>
    </w:p>
    <w:p w14:paraId="4FBD0FA5">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1、成交人应自成交通知书发出之日起30日内与采购人签</w:t>
      </w:r>
      <w:r>
        <w:rPr>
          <w:rFonts w:hint="eastAsia" w:ascii="宋体" w:hAnsi="宋体" w:eastAsia="宋体" w:cs="宋体"/>
          <w:sz w:val="21"/>
          <w:szCs w:val="21"/>
          <w:highlight w:val="none"/>
          <w:lang w:eastAsia="zh-CN"/>
        </w:rPr>
        <w:t>订</w:t>
      </w:r>
      <w:r>
        <w:rPr>
          <w:rFonts w:hint="eastAsia" w:ascii="宋体" w:hAnsi="宋体" w:eastAsia="宋体" w:cs="宋体"/>
          <w:sz w:val="21"/>
          <w:szCs w:val="21"/>
          <w:highlight w:val="none"/>
        </w:rPr>
        <w:t>合同。同时，招标代理机构对合同内容进行审查，如发现与采购结果和响应承诺内容不一致的，应予以纠正。</w:t>
      </w:r>
    </w:p>
    <w:p w14:paraId="1FAACDC4">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2、成交人拖延、拒签合同的，将被取消中标资格。</w:t>
      </w:r>
    </w:p>
    <w:p w14:paraId="0158C7AF">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3、成交人和采购人签订合同，按合同约定执行。</w:t>
      </w:r>
    </w:p>
    <w:p w14:paraId="0AF37477">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4、中标或者成交供应商拒绝与采购人签订合同的，采购人可以按照评审报告推荐的中标或者成交候选人名单排序，确定下一候选人为中标或者成交供应商，也可以重新开展政府采购活动。</w:t>
      </w:r>
    </w:p>
    <w:p w14:paraId="4B1005CE">
      <w:pPr>
        <w:pStyle w:val="1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（二）合同公告：采购人应当自政府采购合同签订之日起2个工作日内，将政府采购合同在省级以上人民政府财政部门指定的媒体上公告，但政府采购合同中涉及国家秘密、商业秘密的内容除外。</w:t>
      </w:r>
    </w:p>
    <w:p w14:paraId="654CC18C">
      <w:pPr>
        <w:pStyle w:val="13"/>
        <w:keepNext w:val="0"/>
        <w:keepLines w:val="0"/>
        <w:pageBreakBefore w:val="0"/>
        <w:kinsoku/>
        <w:wordWrap/>
        <w:overflowPunct/>
        <w:topLinePunct w:val="0"/>
        <w:bidi w:val="0"/>
        <w:snapToGrid w:val="0"/>
        <w:spacing w:before="120" w:after="120" w:line="360" w:lineRule="auto"/>
        <w:jc w:val="center"/>
        <w:textAlignment w:val="auto"/>
        <w:outlineLvl w:val="0"/>
        <w:rPr>
          <w:rFonts w:hint="eastAsia" w:ascii="宋体" w:hAnsi="宋体" w:eastAsia="宋体" w:cs="宋体"/>
          <w:b/>
          <w:sz w:val="21"/>
          <w:szCs w:val="21"/>
          <w:highlight w:val="none"/>
        </w:rPr>
      </w:pPr>
      <w:r>
        <w:rPr>
          <w:rFonts w:hint="eastAsia" w:hAnsi="宋体" w:eastAsia="宋体" w:cs="宋体"/>
          <w:b/>
          <w:sz w:val="28"/>
          <w:szCs w:val="28"/>
          <w:highlight w:val="none"/>
        </w:rPr>
        <w:br w:type="page"/>
      </w:r>
      <w:r>
        <w:rPr>
          <w:rFonts w:hint="eastAsia" w:ascii="宋体" w:hAnsi="宋体" w:eastAsia="宋体" w:cs="宋体"/>
          <w:b/>
          <w:sz w:val="28"/>
          <w:szCs w:val="28"/>
          <w:highlight w:val="none"/>
        </w:rPr>
        <w:t>第四章  评标办法及标准</w:t>
      </w:r>
    </w:p>
    <w:p w14:paraId="4732A1B4">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为公正、公平、科学地选择成交人，根据《中华人民共和国政府采购法》等有关法律法规的规定，并结合本项目的实际，制定本办法，本办法适用本项目的评标。</w:t>
      </w:r>
    </w:p>
    <w:p w14:paraId="0AF992D4">
      <w:pPr>
        <w:keepNext w:val="0"/>
        <w:keepLines w:val="0"/>
        <w:pageBreakBefore w:val="0"/>
        <w:kinsoku/>
        <w:wordWrap/>
        <w:overflowPunct/>
        <w:topLinePunct w:val="0"/>
        <w:autoSpaceDE w:val="0"/>
        <w:autoSpaceDN w:val="0"/>
        <w:bidi w:val="0"/>
        <w:adjustRightInd w:val="0"/>
        <w:spacing w:line="360" w:lineRule="auto"/>
        <w:textAlignment w:val="auto"/>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一、资格审查</w:t>
      </w:r>
    </w:p>
    <w:p w14:paraId="1B299F8D">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1、由</w:t>
      </w:r>
      <w:r>
        <w:rPr>
          <w:rFonts w:hint="eastAsia" w:ascii="宋体" w:hAnsi="宋体" w:eastAsia="宋体" w:cs="宋体"/>
          <w:sz w:val="21"/>
          <w:szCs w:val="21"/>
          <w:highlight w:val="none"/>
        </w:rPr>
        <w:t>磋商小组</w:t>
      </w:r>
      <w:r>
        <w:rPr>
          <w:rFonts w:hint="eastAsia" w:ascii="宋体" w:hAnsi="宋体" w:eastAsia="宋体" w:cs="宋体"/>
          <w:sz w:val="21"/>
          <w:szCs w:val="21"/>
          <w:highlight w:val="none"/>
          <w:lang w:val="zh-CN"/>
        </w:rPr>
        <w:t>对</w:t>
      </w: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人的资格进行审查。</w:t>
      </w:r>
    </w:p>
    <w:p w14:paraId="3179AF41">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2、按以下内容审核</w:t>
      </w: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文件是否符合</w:t>
      </w:r>
      <w:r>
        <w:rPr>
          <w:rFonts w:hint="eastAsia" w:ascii="宋体" w:hAnsi="宋体" w:eastAsia="宋体" w:cs="宋体"/>
          <w:sz w:val="21"/>
          <w:szCs w:val="21"/>
          <w:highlight w:val="none"/>
        </w:rPr>
        <w:t>磋商</w:t>
      </w:r>
      <w:r>
        <w:rPr>
          <w:rFonts w:hint="eastAsia" w:ascii="宋体" w:hAnsi="宋体" w:eastAsia="宋体" w:cs="宋体"/>
          <w:sz w:val="21"/>
          <w:szCs w:val="21"/>
          <w:highlight w:val="none"/>
          <w:lang w:val="zh-CN"/>
        </w:rPr>
        <w:t>文件的资格文件要求。</w:t>
      </w:r>
    </w:p>
    <w:tbl>
      <w:tblPr>
        <w:tblStyle w:val="28"/>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6675"/>
        <w:gridCol w:w="2004"/>
      </w:tblGrid>
      <w:tr w14:paraId="07AC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196" w:type="dxa"/>
            <w:vAlign w:val="center"/>
          </w:tcPr>
          <w:p w14:paraId="5ACF78B7">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6675" w:type="dxa"/>
            <w:tcBorders>
              <w:tl2br w:val="single" w:color="auto" w:sz="4" w:space="0"/>
            </w:tcBorders>
          </w:tcPr>
          <w:p w14:paraId="156D27D1">
            <w:pPr>
              <w:keepNext w:val="0"/>
              <w:keepLines w:val="0"/>
              <w:pageBreakBefore w:val="0"/>
              <w:suppressLineNumbers w:val="0"/>
              <w:kinsoku/>
              <w:wordWrap/>
              <w:overflowPunct/>
              <w:topLinePunct w:val="0"/>
              <w:bidi w:val="0"/>
              <w:spacing w:before="0" w:beforeAutospacing="0" w:after="0" w:afterAutospacing="0" w:line="360" w:lineRule="auto"/>
              <w:ind w:left="0" w:right="0"/>
              <w:jc w:val="righ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响应人</w:t>
            </w:r>
          </w:p>
          <w:p w14:paraId="0C215E08">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内容</w:t>
            </w:r>
          </w:p>
        </w:tc>
        <w:tc>
          <w:tcPr>
            <w:tcW w:w="2004" w:type="dxa"/>
            <w:vAlign w:val="center"/>
          </w:tcPr>
          <w:p w14:paraId="3AD86F91">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审核标准</w:t>
            </w:r>
          </w:p>
        </w:tc>
      </w:tr>
      <w:tr w14:paraId="1BAB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196" w:type="dxa"/>
            <w:vAlign w:val="center"/>
          </w:tcPr>
          <w:p w14:paraId="0C0E5B54">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p>
        </w:tc>
        <w:tc>
          <w:tcPr>
            <w:tcW w:w="6675" w:type="dxa"/>
            <w:vAlign w:val="center"/>
          </w:tcPr>
          <w:p w14:paraId="6D3B20D6">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享受中小企业预留份额政策相关证明文件</w:t>
            </w:r>
          </w:p>
        </w:tc>
        <w:tc>
          <w:tcPr>
            <w:tcW w:w="2004" w:type="dxa"/>
            <w:vAlign w:val="center"/>
          </w:tcPr>
          <w:p w14:paraId="5C55B588">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rPr>
            </w:pPr>
          </w:p>
        </w:tc>
      </w:tr>
      <w:tr w14:paraId="79C6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196" w:type="dxa"/>
            <w:vAlign w:val="center"/>
          </w:tcPr>
          <w:p w14:paraId="2E8B4748">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p>
        </w:tc>
        <w:tc>
          <w:tcPr>
            <w:tcW w:w="6675" w:type="dxa"/>
            <w:vAlign w:val="center"/>
          </w:tcPr>
          <w:p w14:paraId="38D6636B">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人</w:t>
            </w:r>
            <w:r>
              <w:rPr>
                <w:rFonts w:hint="eastAsia" w:ascii="宋体" w:hAnsi="宋体" w:eastAsia="宋体" w:cs="宋体"/>
                <w:sz w:val="21"/>
                <w:szCs w:val="21"/>
                <w:highlight w:val="none"/>
                <w:lang w:val="en-US" w:eastAsia="zh-CN"/>
              </w:rPr>
              <w:t>具有独立承担民事责任的能力证明资料</w:t>
            </w:r>
          </w:p>
        </w:tc>
        <w:tc>
          <w:tcPr>
            <w:tcW w:w="2004" w:type="dxa"/>
            <w:vAlign w:val="center"/>
          </w:tcPr>
          <w:p w14:paraId="6A959AAF">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rPr>
            </w:pPr>
          </w:p>
        </w:tc>
      </w:tr>
      <w:tr w14:paraId="1FE3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196" w:type="dxa"/>
            <w:vAlign w:val="center"/>
          </w:tcPr>
          <w:p w14:paraId="5B248F14">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6675" w:type="dxa"/>
            <w:vAlign w:val="center"/>
          </w:tcPr>
          <w:p w14:paraId="2788234B">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人法定代表人身份证复印件</w:t>
            </w:r>
          </w:p>
        </w:tc>
        <w:tc>
          <w:tcPr>
            <w:tcW w:w="2004" w:type="dxa"/>
            <w:vAlign w:val="center"/>
          </w:tcPr>
          <w:p w14:paraId="37DB51C2">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rPr>
            </w:pPr>
          </w:p>
        </w:tc>
      </w:tr>
      <w:tr w14:paraId="37CE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96" w:type="dxa"/>
            <w:vAlign w:val="center"/>
          </w:tcPr>
          <w:p w14:paraId="38BD7E39">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6675" w:type="dxa"/>
            <w:vAlign w:val="center"/>
          </w:tcPr>
          <w:p w14:paraId="17FCA125">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投标函</w:t>
            </w:r>
          </w:p>
        </w:tc>
        <w:tc>
          <w:tcPr>
            <w:tcW w:w="2004" w:type="dxa"/>
            <w:vAlign w:val="center"/>
          </w:tcPr>
          <w:p w14:paraId="18BFBD1E">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rPr>
            </w:pPr>
          </w:p>
        </w:tc>
      </w:tr>
      <w:tr w14:paraId="3018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196" w:type="dxa"/>
            <w:vAlign w:val="center"/>
          </w:tcPr>
          <w:p w14:paraId="06243B08">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6675" w:type="dxa"/>
            <w:vAlign w:val="center"/>
          </w:tcPr>
          <w:p w14:paraId="117F3313">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法定代表人授权函，非法定代表人参加</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时提供</w:t>
            </w:r>
          </w:p>
        </w:tc>
        <w:tc>
          <w:tcPr>
            <w:tcW w:w="2004" w:type="dxa"/>
            <w:vAlign w:val="center"/>
          </w:tcPr>
          <w:p w14:paraId="323EA7B4">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rPr>
            </w:pPr>
          </w:p>
        </w:tc>
      </w:tr>
      <w:tr w14:paraId="3AFD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196" w:type="dxa"/>
            <w:vAlign w:val="center"/>
          </w:tcPr>
          <w:p w14:paraId="44616286">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p>
        </w:tc>
        <w:tc>
          <w:tcPr>
            <w:tcW w:w="6675" w:type="dxa"/>
            <w:vAlign w:val="center"/>
          </w:tcPr>
          <w:p w14:paraId="4D2B424F">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人代表身份证复印件，非法定代表人参加</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时提供</w:t>
            </w:r>
          </w:p>
        </w:tc>
        <w:tc>
          <w:tcPr>
            <w:tcW w:w="2004" w:type="dxa"/>
            <w:vAlign w:val="center"/>
          </w:tcPr>
          <w:p w14:paraId="647A3626">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rPr>
            </w:pPr>
          </w:p>
        </w:tc>
      </w:tr>
      <w:tr w14:paraId="3866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196" w:type="dxa"/>
            <w:vAlign w:val="center"/>
          </w:tcPr>
          <w:p w14:paraId="040D7523">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675" w:type="dxa"/>
            <w:vAlign w:val="center"/>
          </w:tcPr>
          <w:p w14:paraId="0AE38EE2">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具备物证类鉴定（痕迹鉴定.机动车痕迹鉴定）资质，资质中必须包含：021101车辆安全技术状况鉴定、021103交通事故痕迹鉴定、021104车辆速度鉴定、021105交通事故痕迹物证综合鉴定四项子分类。</w:t>
            </w:r>
          </w:p>
        </w:tc>
        <w:tc>
          <w:tcPr>
            <w:tcW w:w="2004" w:type="dxa"/>
            <w:vAlign w:val="center"/>
          </w:tcPr>
          <w:p w14:paraId="0E1B2491">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14:paraId="7266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7871" w:type="dxa"/>
            <w:gridSpan w:val="2"/>
          </w:tcPr>
          <w:p w14:paraId="008DAC73">
            <w:pPr>
              <w:pStyle w:val="1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结   论</w:t>
            </w:r>
          </w:p>
        </w:tc>
        <w:tc>
          <w:tcPr>
            <w:tcW w:w="2004" w:type="dxa"/>
            <w:vAlign w:val="center"/>
          </w:tcPr>
          <w:p w14:paraId="52D58D59">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1"/>
                <w:szCs w:val="21"/>
                <w:highlight w:val="none"/>
              </w:rPr>
            </w:pPr>
          </w:p>
        </w:tc>
      </w:tr>
    </w:tbl>
    <w:p w14:paraId="1C5D39A1">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注：1、表中只需填写“√”或“×”；</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2、在结论栏中填写“合格”或“不合格”。</w:t>
      </w:r>
    </w:p>
    <w:p w14:paraId="2E3E108F">
      <w:pPr>
        <w:keepNext w:val="0"/>
        <w:keepLines w:val="0"/>
        <w:pageBreakBefore w:val="0"/>
        <w:kinsoku/>
        <w:wordWrap/>
        <w:overflowPunct/>
        <w:topLinePunct w:val="0"/>
        <w:autoSpaceDE w:val="0"/>
        <w:autoSpaceDN w:val="0"/>
        <w:bidi w:val="0"/>
        <w:adjustRightInd w:val="0"/>
        <w:spacing w:line="360" w:lineRule="auto"/>
        <w:textAlignment w:val="auto"/>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二、成交候选人的选取</w:t>
      </w:r>
    </w:p>
    <w:p w14:paraId="302A81C7">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sz w:val="21"/>
          <w:szCs w:val="21"/>
          <w:highlight w:val="none"/>
          <w:lang w:val="zh-CN"/>
        </w:rPr>
      </w:pPr>
      <w:r>
        <w:rPr>
          <w:rFonts w:hint="eastAsia" w:ascii="宋体" w:hAnsi="宋体" w:eastAsia="宋体" w:cs="宋体"/>
          <w:sz w:val="21"/>
          <w:szCs w:val="21"/>
          <w:highlight w:val="none"/>
        </w:rPr>
        <w:t>将综合评估分从高到低排序，得出响应人名次,按照综合评估分名次推荐成交候选人3名。综合评估分相同时，按磋商报价由低到高顺序排列，综合评估分且磋商报价相同的，抽签决定排序（弃权视为自动放弃中标资格）。</w:t>
      </w:r>
    </w:p>
    <w:p w14:paraId="5D86D55F">
      <w:pPr>
        <w:keepNext w:val="0"/>
        <w:keepLines w:val="0"/>
        <w:pageBreakBefore w:val="0"/>
        <w:kinsoku/>
        <w:wordWrap/>
        <w:overflowPunct/>
        <w:topLinePunct w:val="0"/>
        <w:bidi w:val="0"/>
        <w:spacing w:line="360" w:lineRule="auto"/>
        <w:textAlignment w:val="auto"/>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三、成交人选取依据</w:t>
      </w:r>
    </w:p>
    <w:p w14:paraId="32F6DF33">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磋商小组根据综合评估分得分排序，推荐第一名成交候选人为成交人，经采购人确认后，确定项目成交人，同时发布采购结果公告，发出成交通知书。 </w:t>
      </w:r>
    </w:p>
    <w:p w14:paraId="3698BE07">
      <w:pPr>
        <w:keepNext w:val="0"/>
        <w:keepLines w:val="0"/>
        <w:pageBreakBefore w:val="0"/>
        <w:kinsoku/>
        <w:wordWrap/>
        <w:overflowPunct/>
        <w:topLinePunct w:val="0"/>
        <w:bidi w:val="0"/>
        <w:spacing w:line="360" w:lineRule="auto"/>
        <w:textAlignment w:val="auto"/>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四、综合评估分计分方法</w:t>
      </w:r>
    </w:p>
    <w:p w14:paraId="5A22811E">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满足</w:t>
      </w:r>
      <w:r>
        <w:rPr>
          <w:rFonts w:hint="eastAsia" w:ascii="宋体" w:hAnsi="宋体" w:eastAsia="宋体" w:cs="宋体"/>
          <w:sz w:val="21"/>
          <w:szCs w:val="21"/>
          <w:highlight w:val="none"/>
        </w:rPr>
        <w:t>磋商</w:t>
      </w:r>
      <w:r>
        <w:rPr>
          <w:rFonts w:hint="eastAsia" w:ascii="宋体" w:hAnsi="宋体" w:eastAsia="宋体" w:cs="宋体"/>
          <w:sz w:val="21"/>
          <w:szCs w:val="21"/>
          <w:highlight w:val="none"/>
          <w:lang w:val="zh-CN"/>
        </w:rPr>
        <w:t>文件要求且</w:t>
      </w:r>
      <w:r>
        <w:rPr>
          <w:rFonts w:hint="eastAsia" w:ascii="宋体" w:hAnsi="宋体" w:eastAsia="宋体" w:cs="宋体"/>
          <w:sz w:val="21"/>
          <w:szCs w:val="21"/>
          <w:highlight w:val="none"/>
        </w:rPr>
        <w:t>最后报价最低的供应商的价格为磋商基准价</w:t>
      </w:r>
      <w:r>
        <w:rPr>
          <w:rFonts w:hint="eastAsia" w:ascii="宋体" w:hAnsi="宋体" w:eastAsia="宋体" w:cs="宋体"/>
          <w:sz w:val="21"/>
          <w:szCs w:val="21"/>
          <w:highlight w:val="none"/>
          <w:lang w:val="zh-CN"/>
        </w:rPr>
        <w:t>，其价格分为满分。其他</w:t>
      </w:r>
      <w:r>
        <w:rPr>
          <w:rFonts w:hint="eastAsia" w:ascii="宋体" w:hAnsi="宋体" w:eastAsia="宋体" w:cs="宋体"/>
          <w:sz w:val="21"/>
          <w:szCs w:val="21"/>
          <w:highlight w:val="none"/>
        </w:rPr>
        <w:t>供应商</w:t>
      </w:r>
      <w:r>
        <w:rPr>
          <w:rFonts w:hint="eastAsia" w:ascii="宋体" w:hAnsi="宋体" w:eastAsia="宋体" w:cs="宋体"/>
          <w:sz w:val="21"/>
          <w:szCs w:val="21"/>
          <w:highlight w:val="none"/>
          <w:lang w:val="zh-CN"/>
        </w:rPr>
        <w:t>的价格分</w:t>
      </w:r>
      <w:r>
        <w:rPr>
          <w:rFonts w:hint="eastAsia" w:ascii="宋体" w:hAnsi="宋体" w:eastAsia="宋体" w:cs="宋体"/>
          <w:sz w:val="21"/>
          <w:szCs w:val="21"/>
          <w:highlight w:val="none"/>
        </w:rPr>
        <w:t>统一按照下</w:t>
      </w:r>
      <w:r>
        <w:rPr>
          <w:rFonts w:hint="eastAsia" w:ascii="宋体" w:hAnsi="宋体" w:eastAsia="宋体" w:cs="宋体"/>
          <w:sz w:val="21"/>
          <w:szCs w:val="21"/>
          <w:highlight w:val="none"/>
          <w:lang w:val="zh-CN"/>
        </w:rPr>
        <w:t>列公式计算：</w:t>
      </w:r>
      <w:r>
        <w:rPr>
          <w:rFonts w:hint="eastAsia" w:ascii="宋体" w:hAnsi="宋体" w:eastAsia="宋体" w:cs="宋体"/>
          <w:sz w:val="21"/>
          <w:szCs w:val="21"/>
          <w:highlight w:val="none"/>
        </w:rPr>
        <w:t>磋商</w:t>
      </w:r>
      <w:r>
        <w:rPr>
          <w:rFonts w:hint="eastAsia" w:ascii="宋体" w:hAnsi="宋体" w:eastAsia="宋体" w:cs="宋体"/>
          <w:sz w:val="21"/>
          <w:szCs w:val="21"/>
          <w:highlight w:val="none"/>
          <w:lang w:val="zh-CN"/>
        </w:rPr>
        <w:t>报价得分＝（</w:t>
      </w:r>
      <w:r>
        <w:rPr>
          <w:rFonts w:hint="eastAsia" w:ascii="宋体" w:hAnsi="宋体" w:eastAsia="宋体" w:cs="宋体"/>
          <w:sz w:val="21"/>
          <w:szCs w:val="21"/>
          <w:highlight w:val="none"/>
        </w:rPr>
        <w:t>磋商</w:t>
      </w:r>
      <w:r>
        <w:rPr>
          <w:rFonts w:hint="eastAsia" w:ascii="宋体" w:hAnsi="宋体" w:eastAsia="宋体" w:cs="宋体"/>
          <w:sz w:val="21"/>
          <w:szCs w:val="21"/>
          <w:highlight w:val="none"/>
          <w:lang w:val="zh-CN"/>
        </w:rPr>
        <w:t>基准价/</w:t>
      </w:r>
      <w:r>
        <w:rPr>
          <w:rFonts w:hint="eastAsia" w:ascii="宋体" w:hAnsi="宋体" w:eastAsia="宋体" w:cs="宋体"/>
          <w:sz w:val="21"/>
          <w:szCs w:val="21"/>
          <w:highlight w:val="none"/>
          <w:lang w:val="en-US" w:eastAsia="zh-CN"/>
        </w:rPr>
        <w:t>最后</w:t>
      </w:r>
      <w:r>
        <w:rPr>
          <w:rFonts w:hint="eastAsia" w:ascii="宋体" w:hAnsi="宋体" w:eastAsia="宋体" w:cs="宋体"/>
          <w:sz w:val="21"/>
          <w:szCs w:val="21"/>
          <w:highlight w:val="none"/>
        </w:rPr>
        <w:t>磋商</w:t>
      </w:r>
      <w:r>
        <w:rPr>
          <w:rFonts w:hint="eastAsia" w:ascii="宋体" w:hAnsi="宋体" w:eastAsia="宋体" w:cs="宋体"/>
          <w:sz w:val="21"/>
          <w:szCs w:val="21"/>
          <w:highlight w:val="none"/>
          <w:lang w:val="zh-CN"/>
        </w:rPr>
        <w:t>报价）×价格权重×100。</w:t>
      </w:r>
    </w:p>
    <w:p w14:paraId="2FBDF38F">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val="en-US" w:eastAsia="zh-CN"/>
        </w:rPr>
        <w:t>相关法律法规</w:t>
      </w:r>
      <w:r>
        <w:rPr>
          <w:rFonts w:hint="eastAsia" w:ascii="宋体" w:hAnsi="宋体" w:eastAsia="宋体" w:cs="宋体"/>
          <w:sz w:val="21"/>
          <w:szCs w:val="21"/>
          <w:highlight w:val="none"/>
        </w:rPr>
        <w:t>：磋商小组认为响应人的报价明显低于其他通过符合性审查响应人的报价，有可能影响产品质量或者不能诚信履约的，应当要求其在评标现场合理的时间内提供书面说明，必要时提交相关证明材料；响应人不能证明其报价合理性的，磋商小组应当将其作为无效投标处理。</w:t>
      </w:r>
    </w:p>
    <w:p w14:paraId="6106BB7C">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在评分时，各响应人磋商报价得分保留小数点后二位，第三位四舍五入。评审专家打分准确到小数点后一位，综合评估分=商务技术部分得分＋投标报价得分，商务技术部分得分为所有评委评分的算术平均值，得分保留小数点后二位。</w:t>
      </w:r>
    </w:p>
    <w:p w14:paraId="01C8AB81">
      <w:pPr>
        <w:keepNext w:val="0"/>
        <w:keepLines w:val="0"/>
        <w:pageBreakBefore w:val="0"/>
        <w:kinsoku/>
        <w:wordWrap/>
        <w:overflowPunct/>
        <w:topLinePunct w:val="0"/>
        <w:autoSpaceDE w:val="0"/>
        <w:autoSpaceDN w:val="0"/>
        <w:bidi w:val="0"/>
        <w:adjustRightInd w:val="0"/>
        <w:spacing w:line="360" w:lineRule="auto"/>
        <w:textAlignment w:val="auto"/>
        <w:outlineLvl w:val="1"/>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rPr>
        <w:t>五、</w:t>
      </w:r>
      <w:r>
        <w:rPr>
          <w:rFonts w:hint="eastAsia" w:ascii="宋体" w:hAnsi="宋体" w:eastAsia="宋体" w:cs="宋体"/>
          <w:b/>
          <w:sz w:val="21"/>
          <w:szCs w:val="21"/>
          <w:highlight w:val="none"/>
          <w:lang w:val="zh-CN"/>
        </w:rPr>
        <w:t>评分表</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4"/>
        <w:gridCol w:w="2534"/>
        <w:gridCol w:w="2534"/>
        <w:gridCol w:w="2534"/>
      </w:tblGrid>
      <w:tr w14:paraId="0751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pct"/>
            <w:vAlign w:val="center"/>
          </w:tcPr>
          <w:p w14:paraId="288F092F">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评标指标</w:t>
            </w:r>
          </w:p>
        </w:tc>
        <w:tc>
          <w:tcPr>
            <w:tcW w:w="500" w:type="pct"/>
            <w:vAlign w:val="center"/>
          </w:tcPr>
          <w:p w14:paraId="53A4846F">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磋商报价</w:t>
            </w:r>
          </w:p>
        </w:tc>
        <w:tc>
          <w:tcPr>
            <w:tcW w:w="500" w:type="pct"/>
            <w:vAlign w:val="center"/>
          </w:tcPr>
          <w:p w14:paraId="4A1F3604">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商务技术部分</w:t>
            </w:r>
          </w:p>
        </w:tc>
        <w:tc>
          <w:tcPr>
            <w:tcW w:w="500" w:type="pct"/>
            <w:vAlign w:val="center"/>
          </w:tcPr>
          <w:p w14:paraId="0812AE2C">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r>
      <w:tr w14:paraId="6406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pct"/>
            <w:vAlign w:val="center"/>
          </w:tcPr>
          <w:p w14:paraId="3ADCFB01">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500" w:type="pct"/>
            <w:vAlign w:val="center"/>
          </w:tcPr>
          <w:p w14:paraId="7C874E7E">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500" w:type="pct"/>
            <w:vAlign w:val="center"/>
          </w:tcPr>
          <w:p w14:paraId="6BCB1094">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w:t>
            </w:r>
          </w:p>
        </w:tc>
        <w:tc>
          <w:tcPr>
            <w:tcW w:w="500" w:type="pct"/>
            <w:vAlign w:val="center"/>
          </w:tcPr>
          <w:p w14:paraId="0D01CBBA">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100</w:t>
            </w:r>
          </w:p>
        </w:tc>
      </w:tr>
    </w:tbl>
    <w:p w14:paraId="5B43DA22">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sz w:val="21"/>
          <w:szCs w:val="21"/>
          <w:highlight w:val="none"/>
          <w:lang w:val="en-US"/>
        </w:rPr>
      </w:pPr>
      <w:r>
        <w:rPr>
          <w:rFonts w:hint="eastAsia" w:ascii="宋体" w:hAnsi="宋体" w:eastAsia="宋体" w:cs="宋体"/>
          <w:b/>
          <w:bCs/>
          <w:sz w:val="21"/>
          <w:szCs w:val="21"/>
          <w:highlight w:val="none"/>
          <w:lang w:val="en-US" w:eastAsia="zh-CN"/>
        </w:rPr>
        <w:t>2</w:t>
      </w:r>
      <w:r>
        <w:rPr>
          <w:rFonts w:hint="eastAsia" w:ascii="宋体" w:hAnsi="宋体" w:cs="宋体"/>
          <w:b/>
          <w:bCs/>
          <w:sz w:val="21"/>
          <w:szCs w:val="21"/>
          <w:highlight w:val="none"/>
          <w:lang w:val="en-US" w:eastAsia="zh-CN"/>
        </w:rPr>
        <w:t>0</w:t>
      </w:r>
      <w:r>
        <w:rPr>
          <w:rFonts w:hint="eastAsia" w:ascii="宋体" w:hAnsi="宋体" w:eastAsia="宋体" w:cs="宋体"/>
          <w:b/>
          <w:bCs/>
          <w:sz w:val="21"/>
          <w:szCs w:val="21"/>
          <w:highlight w:val="none"/>
          <w:lang w:val="en-US" w:eastAsia="zh-CN"/>
        </w:rPr>
        <w:t>25年舟山交警司法鉴定服务项目的商务技术评分表</w:t>
      </w:r>
    </w:p>
    <w:tbl>
      <w:tblPr>
        <w:tblStyle w:val="2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9"/>
        <w:gridCol w:w="835"/>
        <w:gridCol w:w="722"/>
        <w:gridCol w:w="7460"/>
        <w:gridCol w:w="618"/>
      </w:tblGrid>
      <w:tr w14:paraId="1553D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132D4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bCs/>
                <w:spacing w:val="4"/>
                <w:sz w:val="21"/>
                <w:szCs w:val="21"/>
                <w:highlight w:val="none"/>
                <w:lang w:val="en-US" w:eastAsia="zh-CN"/>
              </w:rPr>
            </w:pPr>
            <w:r>
              <w:rPr>
                <w:rFonts w:hint="eastAsia" w:ascii="宋体" w:hAnsi="宋体" w:eastAsia="宋体" w:cs="宋体"/>
                <w:b/>
                <w:bCs/>
                <w:spacing w:val="4"/>
                <w:sz w:val="21"/>
                <w:szCs w:val="21"/>
                <w:highlight w:val="none"/>
                <w:lang w:val="en-US" w:eastAsia="zh-CN"/>
              </w:rPr>
              <w:t>序号</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0F954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bCs/>
                <w:spacing w:val="4"/>
                <w:sz w:val="21"/>
                <w:szCs w:val="21"/>
                <w:highlight w:val="none"/>
              </w:rPr>
            </w:pPr>
            <w:r>
              <w:rPr>
                <w:rFonts w:hint="eastAsia" w:ascii="宋体" w:hAnsi="宋体" w:eastAsia="宋体" w:cs="宋体"/>
                <w:b/>
                <w:bCs/>
                <w:spacing w:val="4"/>
                <w:sz w:val="21"/>
                <w:szCs w:val="21"/>
                <w:highlight w:val="none"/>
              </w:rPr>
              <w:t>评审项目</w:t>
            </w:r>
          </w:p>
        </w:tc>
        <w:tc>
          <w:tcPr>
            <w:tcW w:w="356" w:type="pct"/>
            <w:tcBorders>
              <w:top w:val="single" w:color="auto" w:sz="4" w:space="0"/>
              <w:left w:val="nil"/>
              <w:bottom w:val="single" w:color="auto" w:sz="4" w:space="0"/>
              <w:right w:val="single" w:color="auto" w:sz="4" w:space="0"/>
            </w:tcBorders>
            <w:shd w:val="clear" w:color="auto" w:fill="auto"/>
            <w:noWrap w:val="0"/>
            <w:vAlign w:val="center"/>
          </w:tcPr>
          <w:p w14:paraId="6006D4B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bCs/>
                <w:spacing w:val="4"/>
                <w:sz w:val="21"/>
                <w:szCs w:val="21"/>
                <w:highlight w:val="none"/>
              </w:rPr>
            </w:pPr>
            <w:r>
              <w:rPr>
                <w:rFonts w:hint="eastAsia" w:ascii="宋体" w:hAnsi="宋体" w:eastAsia="宋体" w:cs="宋体"/>
                <w:b/>
                <w:bCs/>
                <w:spacing w:val="4"/>
                <w:sz w:val="21"/>
                <w:szCs w:val="21"/>
                <w:highlight w:val="none"/>
              </w:rPr>
              <w:t>评分类别</w:t>
            </w:r>
          </w:p>
        </w:tc>
        <w:tc>
          <w:tcPr>
            <w:tcW w:w="3679" w:type="pct"/>
            <w:tcBorders>
              <w:top w:val="single" w:color="auto" w:sz="4" w:space="0"/>
              <w:left w:val="nil"/>
              <w:bottom w:val="single" w:color="auto" w:sz="4" w:space="0"/>
              <w:right w:val="single" w:color="auto" w:sz="4" w:space="0"/>
            </w:tcBorders>
            <w:shd w:val="clear" w:color="auto" w:fill="FFFFFF"/>
            <w:noWrap w:val="0"/>
            <w:vAlign w:val="center"/>
          </w:tcPr>
          <w:p w14:paraId="4F7A770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b/>
                <w:bCs/>
                <w:spacing w:val="4"/>
                <w:sz w:val="21"/>
                <w:szCs w:val="21"/>
                <w:highlight w:val="none"/>
              </w:rPr>
              <w:t>评分标准</w:t>
            </w:r>
          </w:p>
        </w:tc>
        <w:tc>
          <w:tcPr>
            <w:tcW w:w="305" w:type="pct"/>
            <w:tcBorders>
              <w:top w:val="single" w:color="auto" w:sz="4" w:space="0"/>
              <w:left w:val="nil"/>
              <w:bottom w:val="single" w:color="auto" w:sz="4" w:space="0"/>
              <w:right w:val="single" w:color="auto" w:sz="4" w:space="0"/>
            </w:tcBorders>
            <w:shd w:val="clear" w:color="auto" w:fill="FFFFFF"/>
            <w:noWrap w:val="0"/>
            <w:vAlign w:val="center"/>
          </w:tcPr>
          <w:p w14:paraId="1F5B309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bCs/>
                <w:spacing w:val="4"/>
                <w:sz w:val="21"/>
                <w:szCs w:val="21"/>
                <w:highlight w:val="none"/>
              </w:rPr>
            </w:pPr>
            <w:r>
              <w:rPr>
                <w:rFonts w:hint="eastAsia" w:ascii="宋体" w:hAnsi="宋体" w:eastAsia="宋体" w:cs="宋体"/>
                <w:b/>
                <w:bCs/>
                <w:spacing w:val="4"/>
                <w:sz w:val="21"/>
                <w:szCs w:val="21"/>
                <w:highlight w:val="none"/>
              </w:rPr>
              <w:t>分值</w:t>
            </w:r>
          </w:p>
        </w:tc>
      </w:tr>
      <w:tr w14:paraId="63565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 w:type="pct"/>
            <w:tcBorders>
              <w:top w:val="single" w:color="auto" w:sz="4" w:space="0"/>
              <w:left w:val="single" w:color="auto" w:sz="4" w:space="0"/>
              <w:right w:val="single" w:color="auto" w:sz="4" w:space="0"/>
            </w:tcBorders>
            <w:shd w:val="clear" w:color="auto" w:fill="auto"/>
            <w:noWrap w:val="0"/>
            <w:vAlign w:val="center"/>
          </w:tcPr>
          <w:p w14:paraId="6B68BB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412" w:type="pct"/>
            <w:tcBorders>
              <w:top w:val="single" w:color="auto" w:sz="4" w:space="0"/>
              <w:left w:val="single" w:color="auto" w:sz="4" w:space="0"/>
              <w:right w:val="single" w:color="auto" w:sz="4" w:space="0"/>
            </w:tcBorders>
            <w:shd w:val="clear" w:color="auto" w:fill="auto"/>
            <w:noWrap w:val="0"/>
            <w:vAlign w:val="center"/>
          </w:tcPr>
          <w:p w14:paraId="69206E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投标人实力</w:t>
            </w:r>
          </w:p>
        </w:tc>
        <w:tc>
          <w:tcPr>
            <w:tcW w:w="356" w:type="pct"/>
            <w:tcBorders>
              <w:top w:val="single" w:color="auto" w:sz="4" w:space="0"/>
              <w:left w:val="nil"/>
              <w:right w:val="single" w:color="auto" w:sz="4" w:space="0"/>
            </w:tcBorders>
            <w:shd w:val="clear" w:color="auto" w:fill="auto"/>
            <w:noWrap w:val="0"/>
            <w:vAlign w:val="center"/>
          </w:tcPr>
          <w:p w14:paraId="1CEF72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客观</w:t>
            </w:r>
          </w:p>
        </w:tc>
        <w:tc>
          <w:tcPr>
            <w:tcW w:w="3679" w:type="pct"/>
            <w:tcBorders>
              <w:top w:val="single" w:color="auto" w:sz="4" w:space="0"/>
              <w:left w:val="nil"/>
              <w:bottom w:val="single" w:color="auto" w:sz="4" w:space="0"/>
              <w:right w:val="single" w:color="auto" w:sz="4" w:space="0"/>
            </w:tcBorders>
            <w:shd w:val="clear" w:color="auto" w:fill="FFFFFF"/>
            <w:noWrap w:val="0"/>
            <w:vAlign w:val="center"/>
          </w:tcPr>
          <w:p w14:paraId="12C5A5B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投标人具有有效的ISO9001质量管理体系认证证书</w:t>
            </w:r>
            <w:r>
              <w:rPr>
                <w:rFonts w:hint="eastAsia" w:ascii="宋体" w:hAnsi="宋体" w:cs="宋体"/>
                <w:b w:val="0"/>
                <w:bCs/>
                <w:color w:val="auto"/>
                <w:sz w:val="21"/>
                <w:szCs w:val="21"/>
                <w:highlight w:val="none"/>
                <w:lang w:val="en-US" w:eastAsia="zh-CN"/>
              </w:rPr>
              <w:t>（认证范围交通事故痕迹鉴定类相关）</w:t>
            </w:r>
            <w:r>
              <w:rPr>
                <w:rFonts w:hint="eastAsia" w:ascii="宋体" w:hAnsi="宋体" w:eastAsia="宋体" w:cs="宋体"/>
                <w:b w:val="0"/>
                <w:bCs/>
                <w:color w:val="auto"/>
                <w:sz w:val="21"/>
                <w:szCs w:val="21"/>
                <w:highlight w:val="none"/>
                <w:lang w:val="en-US" w:eastAsia="zh-CN"/>
              </w:rPr>
              <w:t>，得1分。</w:t>
            </w:r>
          </w:p>
          <w:p w14:paraId="5CB8F99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注：提供相关证书扫描件或复印件并加盖投标人公章。</w:t>
            </w:r>
          </w:p>
        </w:tc>
        <w:tc>
          <w:tcPr>
            <w:tcW w:w="305" w:type="pct"/>
            <w:tcBorders>
              <w:top w:val="single" w:color="auto" w:sz="4" w:space="0"/>
              <w:left w:val="nil"/>
              <w:right w:val="single" w:color="auto" w:sz="4" w:space="0"/>
            </w:tcBorders>
            <w:shd w:val="clear" w:color="auto" w:fill="FFFFFF"/>
            <w:noWrap w:val="0"/>
            <w:vAlign w:val="center"/>
          </w:tcPr>
          <w:p w14:paraId="751BAEF3">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3AA8F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799F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8BB2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业绩情况</w:t>
            </w:r>
          </w:p>
        </w:tc>
        <w:tc>
          <w:tcPr>
            <w:tcW w:w="356" w:type="pct"/>
            <w:tcBorders>
              <w:top w:val="single" w:color="auto" w:sz="4" w:space="0"/>
              <w:left w:val="nil"/>
              <w:bottom w:val="single" w:color="auto" w:sz="4" w:space="0"/>
              <w:right w:val="single" w:color="auto" w:sz="4" w:space="0"/>
            </w:tcBorders>
            <w:shd w:val="clear" w:color="auto" w:fill="auto"/>
            <w:noWrap w:val="0"/>
            <w:vAlign w:val="center"/>
          </w:tcPr>
          <w:p w14:paraId="74E6F6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3679" w:type="pct"/>
            <w:tcBorders>
              <w:top w:val="single" w:color="auto" w:sz="4" w:space="0"/>
              <w:left w:val="nil"/>
              <w:bottom w:val="single" w:color="auto" w:sz="4" w:space="0"/>
              <w:right w:val="single" w:color="auto" w:sz="4" w:space="0"/>
            </w:tcBorders>
            <w:shd w:val="clear" w:color="auto" w:fill="FFFFFF"/>
            <w:noWrap w:val="0"/>
            <w:vAlign w:val="center"/>
          </w:tcPr>
          <w:p w14:paraId="72BBBC1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投标人自202</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年1月1日以来（以合同签订时间为准）承接过交通事故痕迹物证鉴定</w:t>
            </w:r>
            <w:r>
              <w:rPr>
                <w:rFonts w:hint="eastAsia" w:ascii="宋体" w:hAnsi="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en-US" w:eastAsia="zh-CN"/>
              </w:rPr>
              <w:t>同类项目</w:t>
            </w:r>
            <w:r>
              <w:rPr>
                <w:rFonts w:hint="eastAsia" w:ascii="宋体" w:hAnsi="宋体" w:cs="宋体"/>
                <w:b w:val="0"/>
                <w:bCs/>
                <w:color w:val="auto"/>
                <w:sz w:val="21"/>
                <w:szCs w:val="21"/>
                <w:highlight w:val="none"/>
                <w:lang w:val="en-US" w:eastAsia="zh-CN"/>
              </w:rPr>
              <w:t>且获得业主好评的</w:t>
            </w: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每提供一份有效业绩证明材料得0.2分，最高得1分。</w:t>
            </w:r>
          </w:p>
          <w:p w14:paraId="1FEF9E5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注：</w:t>
            </w:r>
            <w:r>
              <w:rPr>
                <w:rFonts w:hint="eastAsia" w:ascii="宋体" w:hAnsi="宋体" w:eastAsia="宋体" w:cs="宋体"/>
                <w:b/>
                <w:bCs/>
                <w:sz w:val="21"/>
                <w:szCs w:val="21"/>
                <w:highlight w:val="none"/>
                <w:lang w:val="en-US" w:eastAsia="zh-CN"/>
              </w:rPr>
              <w:t>提供相关合同复印件、业主评价表并加盖投标人公章，否则不得分。</w:t>
            </w:r>
          </w:p>
        </w:tc>
        <w:tc>
          <w:tcPr>
            <w:tcW w:w="305" w:type="pct"/>
            <w:tcBorders>
              <w:top w:val="single" w:color="auto" w:sz="4" w:space="0"/>
              <w:left w:val="nil"/>
              <w:bottom w:val="single" w:color="auto" w:sz="4" w:space="0"/>
              <w:right w:val="single" w:color="auto" w:sz="4" w:space="0"/>
            </w:tcBorders>
            <w:shd w:val="clear" w:color="auto" w:fill="FFFFFF"/>
            <w:noWrap w:val="0"/>
            <w:vAlign w:val="center"/>
          </w:tcPr>
          <w:p w14:paraId="5DEFDC9E">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013A8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AFE5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CD87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w:t>
            </w:r>
          </w:p>
        </w:tc>
        <w:tc>
          <w:tcPr>
            <w:tcW w:w="356" w:type="pct"/>
            <w:tcBorders>
              <w:top w:val="single" w:color="auto" w:sz="4" w:space="0"/>
              <w:left w:val="nil"/>
              <w:bottom w:val="single" w:color="auto" w:sz="4" w:space="0"/>
              <w:right w:val="single" w:color="auto" w:sz="4" w:space="0"/>
            </w:tcBorders>
            <w:shd w:val="clear" w:color="auto" w:fill="auto"/>
            <w:noWrap w:val="0"/>
            <w:vAlign w:val="center"/>
          </w:tcPr>
          <w:p w14:paraId="003002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客观</w:t>
            </w:r>
          </w:p>
        </w:tc>
        <w:tc>
          <w:tcPr>
            <w:tcW w:w="3679" w:type="pct"/>
            <w:tcBorders>
              <w:top w:val="single" w:color="auto" w:sz="4" w:space="0"/>
              <w:left w:val="nil"/>
              <w:bottom w:val="single" w:color="auto" w:sz="4" w:space="0"/>
              <w:right w:val="single" w:color="auto" w:sz="4" w:space="0"/>
            </w:tcBorders>
            <w:shd w:val="clear" w:color="auto" w:fill="FFFFFF"/>
            <w:noWrap w:val="0"/>
            <w:vAlign w:val="center"/>
          </w:tcPr>
          <w:p w14:paraId="442CA27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bCs/>
                <w:sz w:val="21"/>
                <w:szCs w:val="21"/>
                <w:highlight w:val="none"/>
                <w:lang w:val="en-US" w:eastAsia="zh-CN"/>
              </w:rPr>
            </w:pPr>
            <w:r>
              <w:rPr>
                <w:rFonts w:hint="eastAsia" w:ascii="宋体" w:hAnsi="宋体" w:eastAsia="宋体" w:cs="宋体"/>
                <w:bCs/>
                <w:sz w:val="21"/>
                <w:szCs w:val="21"/>
                <w:highlight w:val="none"/>
                <w:lang w:val="en-US" w:eastAsia="zh-CN"/>
              </w:rPr>
              <w:t>根据投标人拟派的项目负责人（有且仅有1名）</w:t>
            </w:r>
            <w:r>
              <w:rPr>
                <w:rFonts w:hint="eastAsia" w:ascii="宋体" w:hAnsi="宋体" w:cs="宋体"/>
                <w:bCs/>
                <w:sz w:val="21"/>
                <w:szCs w:val="21"/>
                <w:highlight w:val="none"/>
                <w:lang w:val="en-US" w:eastAsia="zh-CN"/>
              </w:rPr>
              <w:t>：</w:t>
            </w:r>
          </w:p>
          <w:p w14:paraId="79FAB7B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cs="宋体"/>
                <w:bCs/>
                <w:sz w:val="21"/>
                <w:szCs w:val="21"/>
                <w:highlight w:val="none"/>
                <w:lang w:val="en-US" w:eastAsia="zh-CN"/>
              </w:rPr>
            </w:pPr>
            <w:r>
              <w:rPr>
                <w:rFonts w:hint="eastAsia" w:ascii="宋体" w:hAnsi="宋体" w:eastAsia="宋体" w:cs="宋体"/>
                <w:bCs/>
                <w:kern w:val="2"/>
                <w:sz w:val="21"/>
                <w:szCs w:val="21"/>
                <w:highlight w:val="none"/>
                <w:lang w:val="en-US" w:eastAsia="zh-CN" w:bidi="ar-SA"/>
              </w:rPr>
              <w:t>1、</w:t>
            </w:r>
            <w:r>
              <w:rPr>
                <w:rFonts w:hint="eastAsia" w:ascii="宋体" w:hAnsi="宋体" w:eastAsia="宋体" w:cs="宋体"/>
                <w:bCs/>
                <w:sz w:val="21"/>
                <w:szCs w:val="21"/>
                <w:highlight w:val="none"/>
                <w:lang w:val="en-US" w:eastAsia="zh-CN"/>
              </w:rPr>
              <w:t>具有</w:t>
            </w:r>
            <w:r>
              <w:rPr>
                <w:rFonts w:hint="eastAsia" w:ascii="宋体" w:hAnsi="宋体" w:cs="宋体"/>
                <w:bCs/>
                <w:sz w:val="21"/>
                <w:szCs w:val="21"/>
                <w:highlight w:val="none"/>
                <w:lang w:val="en-US" w:eastAsia="zh-CN"/>
              </w:rPr>
              <w:t>机动车检测维修类专业高级工程师或高级司法鉴定人（物证类）及以上</w:t>
            </w:r>
            <w:r>
              <w:rPr>
                <w:rFonts w:hint="eastAsia" w:ascii="宋体" w:hAnsi="宋体" w:eastAsia="宋体" w:cs="宋体"/>
                <w:bCs/>
                <w:sz w:val="21"/>
                <w:szCs w:val="21"/>
                <w:highlight w:val="none"/>
                <w:lang w:val="en-US" w:eastAsia="zh-CN"/>
              </w:rPr>
              <w:t>职称得</w:t>
            </w: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lang w:val="en-US" w:eastAsia="zh-CN"/>
              </w:rPr>
              <w:t>分</w:t>
            </w:r>
            <w:r>
              <w:rPr>
                <w:rFonts w:hint="eastAsia" w:ascii="宋体" w:hAnsi="宋体" w:cs="宋体"/>
                <w:bCs/>
                <w:sz w:val="21"/>
                <w:szCs w:val="21"/>
                <w:highlight w:val="none"/>
                <w:lang w:val="en-US" w:eastAsia="zh-CN"/>
              </w:rPr>
              <w:t>；</w:t>
            </w:r>
          </w:p>
          <w:p w14:paraId="07D5C5F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cs="宋体"/>
                <w:bCs/>
                <w:sz w:val="21"/>
                <w:szCs w:val="21"/>
                <w:highlight w:val="none"/>
                <w:lang w:val="en-US" w:eastAsia="zh-CN"/>
              </w:rPr>
            </w:pPr>
            <w:r>
              <w:rPr>
                <w:rFonts w:hint="default" w:ascii="宋体" w:hAnsi="宋体" w:eastAsia="宋体" w:cs="宋体"/>
                <w:bCs/>
                <w:kern w:val="2"/>
                <w:sz w:val="21"/>
                <w:szCs w:val="21"/>
                <w:highlight w:val="none"/>
                <w:lang w:val="en-US" w:eastAsia="zh-CN" w:bidi="ar-SA"/>
              </w:rPr>
              <w:t>2、</w:t>
            </w:r>
            <w:r>
              <w:rPr>
                <w:rFonts w:hint="eastAsia" w:ascii="宋体" w:hAnsi="宋体" w:eastAsia="宋体" w:cs="宋体"/>
                <w:bCs/>
                <w:sz w:val="21"/>
                <w:szCs w:val="21"/>
                <w:highlight w:val="none"/>
                <w:lang w:val="en-US" w:eastAsia="zh-CN"/>
              </w:rPr>
              <w:t>具有</w:t>
            </w:r>
            <w:r>
              <w:rPr>
                <w:rFonts w:hint="eastAsia" w:ascii="宋体" w:hAnsi="宋体" w:cs="宋体"/>
                <w:bCs/>
                <w:sz w:val="21"/>
                <w:szCs w:val="21"/>
                <w:highlight w:val="none"/>
                <w:lang w:val="en-US" w:eastAsia="zh-CN"/>
              </w:rPr>
              <w:t>机动车检测维修类专业工程师或中级司法鉴定人（物证类）</w:t>
            </w:r>
            <w:r>
              <w:rPr>
                <w:rFonts w:hint="eastAsia" w:ascii="宋体" w:hAnsi="宋体" w:eastAsia="宋体" w:cs="宋体"/>
                <w:bCs/>
                <w:sz w:val="21"/>
                <w:szCs w:val="21"/>
                <w:highlight w:val="none"/>
                <w:lang w:val="en-US" w:eastAsia="zh-CN"/>
              </w:rPr>
              <w:t>职称得</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lang w:val="en-US" w:eastAsia="zh-CN"/>
              </w:rPr>
              <w:t>分</w:t>
            </w:r>
            <w:r>
              <w:rPr>
                <w:rFonts w:hint="eastAsia" w:ascii="宋体" w:hAnsi="宋体" w:cs="宋体"/>
                <w:bCs/>
                <w:sz w:val="21"/>
                <w:szCs w:val="21"/>
                <w:highlight w:val="none"/>
                <w:lang w:val="en-US" w:eastAsia="zh-CN"/>
              </w:rPr>
              <w:t>；</w:t>
            </w:r>
          </w:p>
          <w:p w14:paraId="3A5B175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lang w:val="en-US" w:eastAsia="zh-CN"/>
              </w:rPr>
              <w:t>具有</w:t>
            </w:r>
            <w:r>
              <w:rPr>
                <w:rFonts w:hint="eastAsia" w:ascii="宋体" w:hAnsi="宋体" w:cs="宋体"/>
                <w:bCs/>
                <w:sz w:val="21"/>
                <w:szCs w:val="21"/>
                <w:highlight w:val="none"/>
                <w:lang w:val="en-US" w:eastAsia="zh-CN"/>
              </w:rPr>
              <w:t>机动车检测维修类专业助理工程师或初级司法鉴定人（物证类）职称得1分；</w:t>
            </w:r>
          </w:p>
          <w:p w14:paraId="3CA905A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4、其余不得分。本项最高得3分。</w:t>
            </w:r>
          </w:p>
          <w:p w14:paraId="0C76ED3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val="0"/>
                <w:sz w:val="21"/>
                <w:szCs w:val="21"/>
                <w:highlight w:val="none"/>
                <w:lang w:val="en-US" w:eastAsia="zh-CN"/>
              </w:rPr>
              <w:t>注：提供项目负责人相关职称证书及投标人为其缴纳的近三个月中任意一个月的社保证明或在省级法网（省级法院网）中司法鉴定机构人员备案截图并加盖投标人公章，且项目负责人必须满足采购需求要求，否则不得分。</w:t>
            </w:r>
          </w:p>
        </w:tc>
        <w:tc>
          <w:tcPr>
            <w:tcW w:w="305" w:type="pct"/>
            <w:tcBorders>
              <w:top w:val="single" w:color="auto" w:sz="4" w:space="0"/>
              <w:left w:val="nil"/>
              <w:bottom w:val="single" w:color="auto" w:sz="4" w:space="0"/>
              <w:right w:val="single" w:color="auto" w:sz="4" w:space="0"/>
            </w:tcBorders>
            <w:shd w:val="clear" w:color="auto" w:fill="FFFFFF"/>
            <w:noWrap w:val="0"/>
            <w:vAlign w:val="center"/>
          </w:tcPr>
          <w:p w14:paraId="64015B26">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365F7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5A7C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9F88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项目实施人员</w:t>
            </w:r>
          </w:p>
        </w:tc>
        <w:tc>
          <w:tcPr>
            <w:tcW w:w="356" w:type="pct"/>
            <w:tcBorders>
              <w:top w:val="single" w:color="auto" w:sz="4" w:space="0"/>
              <w:left w:val="nil"/>
              <w:bottom w:val="single" w:color="auto" w:sz="4" w:space="0"/>
              <w:right w:val="single" w:color="auto" w:sz="4" w:space="0"/>
            </w:tcBorders>
            <w:shd w:val="clear" w:color="auto" w:fill="auto"/>
            <w:noWrap w:val="0"/>
            <w:vAlign w:val="center"/>
          </w:tcPr>
          <w:p w14:paraId="0ADE0E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客观</w:t>
            </w:r>
          </w:p>
        </w:tc>
        <w:tc>
          <w:tcPr>
            <w:tcW w:w="3679" w:type="pct"/>
            <w:tcBorders>
              <w:top w:val="single" w:color="auto" w:sz="4" w:space="0"/>
              <w:left w:val="nil"/>
              <w:bottom w:val="single" w:color="auto" w:sz="4" w:space="0"/>
              <w:right w:val="single" w:color="auto" w:sz="4" w:space="0"/>
            </w:tcBorders>
            <w:shd w:val="clear" w:color="auto" w:fill="FFFFFF"/>
            <w:noWrap w:val="0"/>
            <w:vAlign w:val="center"/>
          </w:tcPr>
          <w:p w14:paraId="576CD8D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根据投标人针对本项目配备的项目实施人员：</w:t>
            </w:r>
          </w:p>
          <w:p w14:paraId="4754766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cs="宋体"/>
                <w:bCs/>
                <w:sz w:val="21"/>
                <w:szCs w:val="21"/>
                <w:highlight w:val="none"/>
                <w:lang w:val="en-US" w:eastAsia="zh-CN"/>
              </w:rPr>
            </w:pPr>
            <w:r>
              <w:rPr>
                <w:rFonts w:hint="eastAsia" w:ascii="宋体" w:hAnsi="宋体" w:eastAsia="宋体" w:cs="宋体"/>
                <w:bCs/>
                <w:kern w:val="2"/>
                <w:sz w:val="21"/>
                <w:szCs w:val="21"/>
                <w:highlight w:val="none"/>
                <w:lang w:val="en-US" w:eastAsia="zh-CN" w:bidi="ar-SA"/>
              </w:rPr>
              <w:t>1、</w:t>
            </w:r>
            <w:r>
              <w:rPr>
                <w:rFonts w:hint="eastAsia" w:ascii="宋体" w:hAnsi="宋体" w:eastAsia="宋体" w:cs="宋体"/>
                <w:bCs/>
                <w:sz w:val="21"/>
                <w:szCs w:val="21"/>
                <w:highlight w:val="none"/>
                <w:lang w:val="en-US" w:eastAsia="zh-CN"/>
              </w:rPr>
              <w:t>每提供1名具有</w:t>
            </w:r>
            <w:r>
              <w:rPr>
                <w:rFonts w:hint="eastAsia" w:ascii="宋体" w:hAnsi="宋体" w:cs="宋体"/>
                <w:bCs/>
                <w:sz w:val="21"/>
                <w:szCs w:val="21"/>
                <w:highlight w:val="none"/>
                <w:lang w:val="en-US" w:eastAsia="zh-CN"/>
              </w:rPr>
              <w:t>机动车检测维修类</w:t>
            </w:r>
            <w:r>
              <w:rPr>
                <w:rFonts w:hint="eastAsia" w:ascii="宋体" w:hAnsi="宋体" w:eastAsia="宋体" w:cs="宋体"/>
                <w:bCs/>
                <w:sz w:val="21"/>
                <w:szCs w:val="21"/>
                <w:highlight w:val="none"/>
                <w:lang w:val="en-US" w:eastAsia="zh-CN"/>
              </w:rPr>
              <w:t>工程师</w:t>
            </w:r>
            <w:r>
              <w:rPr>
                <w:rFonts w:hint="eastAsia" w:ascii="宋体" w:hAnsi="宋体" w:cs="宋体"/>
                <w:bCs/>
                <w:sz w:val="21"/>
                <w:szCs w:val="21"/>
                <w:highlight w:val="none"/>
                <w:lang w:val="en-US" w:eastAsia="zh-CN"/>
              </w:rPr>
              <w:t>或中级司法鉴定人（物证类）</w:t>
            </w:r>
            <w:r>
              <w:rPr>
                <w:rFonts w:hint="eastAsia" w:ascii="宋体" w:hAnsi="宋体" w:eastAsia="宋体" w:cs="宋体"/>
                <w:bCs/>
                <w:sz w:val="21"/>
                <w:szCs w:val="21"/>
                <w:highlight w:val="none"/>
                <w:lang w:val="en-US" w:eastAsia="zh-CN"/>
              </w:rPr>
              <w:t>及以上职称得2分</w:t>
            </w:r>
            <w:r>
              <w:rPr>
                <w:rFonts w:hint="eastAsia" w:ascii="宋体" w:hAnsi="宋体" w:cs="宋体"/>
                <w:bCs/>
                <w:sz w:val="21"/>
                <w:szCs w:val="21"/>
                <w:highlight w:val="none"/>
                <w:lang w:val="en-US" w:eastAsia="zh-CN"/>
              </w:rPr>
              <w:t>；</w:t>
            </w:r>
          </w:p>
          <w:p w14:paraId="2DC4C93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cs="宋体"/>
                <w:bCs/>
                <w:sz w:val="21"/>
                <w:szCs w:val="21"/>
                <w:highlight w:val="none"/>
                <w:lang w:val="en-US" w:eastAsia="zh-CN"/>
              </w:rPr>
            </w:pPr>
            <w:r>
              <w:rPr>
                <w:rFonts w:hint="default" w:ascii="宋体" w:hAnsi="宋体" w:eastAsia="宋体" w:cs="宋体"/>
                <w:bCs/>
                <w:kern w:val="2"/>
                <w:sz w:val="21"/>
                <w:szCs w:val="21"/>
                <w:highlight w:val="none"/>
                <w:lang w:val="en-US" w:eastAsia="zh-CN" w:bidi="ar-SA"/>
              </w:rPr>
              <w:t>2、</w:t>
            </w:r>
            <w:r>
              <w:rPr>
                <w:rFonts w:hint="eastAsia" w:ascii="宋体" w:hAnsi="宋体" w:eastAsia="宋体" w:cs="宋体"/>
                <w:bCs/>
                <w:sz w:val="21"/>
                <w:szCs w:val="21"/>
                <w:highlight w:val="none"/>
                <w:lang w:val="en-US" w:eastAsia="zh-CN"/>
              </w:rPr>
              <w:t>每提供1名具有</w:t>
            </w:r>
            <w:r>
              <w:rPr>
                <w:rFonts w:hint="eastAsia" w:ascii="宋体" w:hAnsi="宋体" w:cs="宋体"/>
                <w:bCs/>
                <w:sz w:val="21"/>
                <w:szCs w:val="21"/>
                <w:highlight w:val="none"/>
                <w:lang w:val="en-US" w:eastAsia="zh-CN"/>
              </w:rPr>
              <w:t>机动车检测维修类</w:t>
            </w:r>
            <w:r>
              <w:rPr>
                <w:rFonts w:hint="eastAsia" w:ascii="宋体" w:hAnsi="宋体" w:eastAsia="宋体" w:cs="宋体"/>
                <w:bCs/>
                <w:sz w:val="21"/>
                <w:szCs w:val="21"/>
                <w:highlight w:val="none"/>
                <w:lang w:val="en-US" w:eastAsia="zh-CN"/>
              </w:rPr>
              <w:t>助理工程师</w:t>
            </w:r>
            <w:r>
              <w:rPr>
                <w:rFonts w:hint="eastAsia" w:ascii="宋体" w:hAnsi="宋体" w:cs="宋体"/>
                <w:bCs/>
                <w:sz w:val="21"/>
                <w:szCs w:val="21"/>
                <w:highlight w:val="none"/>
                <w:lang w:val="en-US" w:eastAsia="zh-CN"/>
              </w:rPr>
              <w:t>或初级司法鉴定人（物证类）</w:t>
            </w:r>
            <w:r>
              <w:rPr>
                <w:rFonts w:hint="eastAsia" w:ascii="宋体" w:hAnsi="宋体" w:eastAsia="宋体" w:cs="宋体"/>
                <w:bCs/>
                <w:sz w:val="21"/>
                <w:szCs w:val="21"/>
                <w:highlight w:val="none"/>
                <w:lang w:val="en-US" w:eastAsia="zh-CN"/>
              </w:rPr>
              <w:t>职称得1分</w:t>
            </w:r>
            <w:r>
              <w:rPr>
                <w:rFonts w:hint="eastAsia" w:ascii="宋体" w:hAnsi="宋体" w:cs="宋体"/>
                <w:bCs/>
                <w:sz w:val="21"/>
                <w:szCs w:val="21"/>
                <w:highlight w:val="none"/>
                <w:lang w:val="en-US" w:eastAsia="zh-CN"/>
              </w:rPr>
              <w:t>；</w:t>
            </w:r>
          </w:p>
          <w:p w14:paraId="22081A0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lang w:val="en-US" w:eastAsia="zh-CN"/>
              </w:rPr>
              <w:t>其余不得分。本项最高得8分。</w:t>
            </w:r>
          </w:p>
          <w:p w14:paraId="472FA90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val="0"/>
                <w:sz w:val="21"/>
                <w:szCs w:val="21"/>
                <w:highlight w:val="none"/>
                <w:lang w:val="en-US" w:eastAsia="zh-CN"/>
              </w:rPr>
              <w:t>注：提供人员的相关职称证书及投标人为其缴纳的近三个月中任意一个月的社保证明或在省级法网（省级法院网）中司法鉴定机构人员备案截图并加盖投标人公章，且项目实施人员必须满足采购需求要求，否则不得分。</w:t>
            </w:r>
          </w:p>
        </w:tc>
        <w:tc>
          <w:tcPr>
            <w:tcW w:w="305" w:type="pct"/>
            <w:tcBorders>
              <w:top w:val="single" w:color="auto" w:sz="4" w:space="0"/>
              <w:left w:val="nil"/>
              <w:bottom w:val="single" w:color="auto" w:sz="4" w:space="0"/>
              <w:right w:val="single" w:color="auto" w:sz="4" w:space="0"/>
            </w:tcBorders>
            <w:shd w:val="clear" w:color="auto" w:fill="FFFFFF"/>
            <w:noWrap w:val="0"/>
            <w:vAlign w:val="center"/>
          </w:tcPr>
          <w:p w14:paraId="597A1E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8</w:t>
            </w:r>
          </w:p>
        </w:tc>
      </w:tr>
      <w:tr w14:paraId="63885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111E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D4B5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拟投入仪器、设备</w:t>
            </w:r>
          </w:p>
        </w:tc>
        <w:tc>
          <w:tcPr>
            <w:tcW w:w="356" w:type="pct"/>
            <w:tcBorders>
              <w:top w:val="single" w:color="auto" w:sz="4" w:space="0"/>
              <w:left w:val="nil"/>
              <w:bottom w:val="single" w:color="auto" w:sz="4" w:space="0"/>
              <w:right w:val="single" w:color="auto" w:sz="4" w:space="0"/>
            </w:tcBorders>
            <w:shd w:val="clear" w:color="auto" w:fill="auto"/>
            <w:noWrap w:val="0"/>
            <w:vAlign w:val="center"/>
          </w:tcPr>
          <w:p w14:paraId="3E34FE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客观</w:t>
            </w:r>
          </w:p>
        </w:tc>
        <w:tc>
          <w:tcPr>
            <w:tcW w:w="3679" w:type="pct"/>
            <w:tcBorders>
              <w:top w:val="single" w:color="auto" w:sz="4" w:space="0"/>
              <w:left w:val="nil"/>
              <w:bottom w:val="single" w:color="auto" w:sz="4" w:space="0"/>
              <w:right w:val="single" w:color="auto" w:sz="4" w:space="0"/>
            </w:tcBorders>
            <w:shd w:val="clear" w:color="auto" w:fill="FFFFFF"/>
            <w:noWrap w:val="0"/>
            <w:vAlign w:val="center"/>
          </w:tcPr>
          <w:p w14:paraId="0EDFE60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根据投标人</w:t>
            </w:r>
            <w:r>
              <w:rPr>
                <w:rFonts w:hint="eastAsia" w:ascii="宋体" w:hAnsi="宋体" w:cs="宋体"/>
                <w:b w:val="0"/>
                <w:bCs w:val="0"/>
                <w:color w:val="auto"/>
                <w:sz w:val="21"/>
                <w:szCs w:val="21"/>
                <w:highlight w:val="none"/>
                <w:lang w:val="en-US" w:eastAsia="zh-CN"/>
              </w:rPr>
              <w:t>承诺为</w:t>
            </w:r>
            <w:r>
              <w:rPr>
                <w:rFonts w:hint="eastAsia" w:ascii="宋体" w:hAnsi="宋体" w:eastAsia="宋体" w:cs="宋体"/>
                <w:b w:val="0"/>
                <w:bCs w:val="0"/>
                <w:color w:val="auto"/>
                <w:sz w:val="21"/>
                <w:szCs w:val="21"/>
                <w:highlight w:val="none"/>
                <w:lang w:val="en-US" w:eastAsia="zh-CN"/>
              </w:rPr>
              <w:t>本项目鉴定需求提供的检测设备进行评分：</w:t>
            </w:r>
          </w:p>
          <w:p w14:paraId="358881D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车辆制动性能检测仪、车辆转向系统检测仪、交通事故痕迹物证勘查箱、‌汽车VDR</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车辆数据取证工具</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、比较显微镜</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每提供一个得1分，本项最高得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4570ACC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color w:val="auto"/>
                <w:highlight w:val="none"/>
                <w:lang w:val="en-US" w:eastAsia="zh-CN"/>
              </w:rPr>
            </w:pPr>
            <w:r>
              <w:rPr>
                <w:rFonts w:hint="eastAsia" w:ascii="宋体" w:hAnsi="宋体" w:eastAsia="宋体" w:cs="宋体"/>
                <w:b/>
                <w:bCs/>
                <w:color w:val="auto"/>
                <w:sz w:val="21"/>
                <w:szCs w:val="21"/>
                <w:highlight w:val="none"/>
              </w:rPr>
              <w:t>注：在中标后7个工作日内合同签订前：中标人提供正规购置发票及设备图片（如为租赁的提供租赁合同及设备图片，租赁期限须满足本项目服务期限）扫描件，提供的证明材料须反映出设备的类型及所有权，否则视为虚假应标，取消中标资格</w:t>
            </w:r>
            <w:r>
              <w:rPr>
                <w:rFonts w:hint="eastAsia" w:ascii="宋体" w:hAnsi="宋体" w:cs="宋体"/>
                <w:b/>
                <w:bCs/>
                <w:color w:val="auto"/>
                <w:sz w:val="21"/>
                <w:szCs w:val="21"/>
                <w:highlight w:val="none"/>
                <w:lang w:eastAsia="zh-CN"/>
              </w:rPr>
              <w:t>。</w:t>
            </w:r>
          </w:p>
        </w:tc>
        <w:tc>
          <w:tcPr>
            <w:tcW w:w="305" w:type="pct"/>
            <w:tcBorders>
              <w:top w:val="single" w:color="auto" w:sz="4" w:space="0"/>
              <w:left w:val="nil"/>
              <w:bottom w:val="single" w:color="auto" w:sz="4" w:space="0"/>
              <w:right w:val="single" w:color="auto" w:sz="4" w:space="0"/>
            </w:tcBorders>
            <w:shd w:val="clear" w:color="auto" w:fill="FFFFFF"/>
            <w:noWrap w:val="0"/>
            <w:vAlign w:val="center"/>
          </w:tcPr>
          <w:p w14:paraId="228D6F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12406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70C0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680B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en-US" w:eastAsia="zh-CN"/>
              </w:rPr>
              <w:t>时间</w:t>
            </w:r>
          </w:p>
        </w:tc>
        <w:tc>
          <w:tcPr>
            <w:tcW w:w="356" w:type="pct"/>
            <w:tcBorders>
              <w:top w:val="single" w:color="auto" w:sz="4" w:space="0"/>
              <w:left w:val="nil"/>
              <w:bottom w:val="single" w:color="auto" w:sz="4" w:space="0"/>
              <w:right w:val="single" w:color="auto" w:sz="4" w:space="0"/>
            </w:tcBorders>
            <w:shd w:val="clear" w:color="auto" w:fill="auto"/>
            <w:noWrap w:val="0"/>
            <w:vAlign w:val="center"/>
          </w:tcPr>
          <w:p w14:paraId="61C7A5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客观</w:t>
            </w:r>
          </w:p>
        </w:tc>
        <w:tc>
          <w:tcPr>
            <w:tcW w:w="3679" w:type="pct"/>
            <w:tcBorders>
              <w:top w:val="single" w:color="auto" w:sz="4" w:space="0"/>
              <w:left w:val="nil"/>
              <w:bottom w:val="single" w:color="auto" w:sz="4" w:space="0"/>
              <w:right w:val="single" w:color="auto" w:sz="4" w:space="0"/>
            </w:tcBorders>
            <w:shd w:val="clear" w:color="auto" w:fill="FFFFFF"/>
            <w:noWrap w:val="0"/>
            <w:vAlign w:val="center"/>
          </w:tcPr>
          <w:p w14:paraId="4E5FFFF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zh-CN" w:eastAsia="zh-CN"/>
              </w:rPr>
              <w:t>根据</w:t>
            </w:r>
            <w:r>
              <w:rPr>
                <w:rFonts w:hint="eastAsia" w:ascii="宋体" w:hAnsi="宋体" w:eastAsia="宋体" w:cs="宋体"/>
                <w:b w:val="0"/>
                <w:bCs/>
                <w:sz w:val="21"/>
                <w:szCs w:val="21"/>
                <w:highlight w:val="none"/>
                <w:lang w:val="en-US" w:eastAsia="zh-CN"/>
              </w:rPr>
              <w:t>投标人受采购人委托鉴定</w:t>
            </w:r>
            <w:r>
              <w:rPr>
                <w:rFonts w:hint="eastAsia" w:ascii="宋体" w:hAnsi="宋体" w:eastAsia="宋体" w:cs="宋体"/>
                <w:b w:val="0"/>
                <w:bCs/>
                <w:sz w:val="21"/>
                <w:szCs w:val="21"/>
                <w:highlight w:val="none"/>
                <w:lang w:val="zh-CN" w:eastAsia="zh-CN"/>
              </w:rPr>
              <w:t>的响应时间、</w:t>
            </w:r>
            <w:r>
              <w:rPr>
                <w:rFonts w:hint="eastAsia" w:ascii="宋体" w:hAnsi="宋体" w:cs="宋体"/>
                <w:b w:val="0"/>
                <w:bCs/>
                <w:sz w:val="21"/>
                <w:szCs w:val="21"/>
                <w:highlight w:val="none"/>
                <w:lang w:val="en-US" w:eastAsia="zh-CN"/>
              </w:rPr>
              <w:t>检材收集完成的时间、鉴定报告出具的时间进行评分：</w:t>
            </w:r>
          </w:p>
          <w:p w14:paraId="22A4DEC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bCs/>
                <w:sz w:val="21"/>
                <w:szCs w:val="21"/>
                <w:highlight w:val="none"/>
                <w:lang w:val="en-US" w:eastAsia="zh-CN"/>
              </w:rPr>
            </w:pPr>
            <w:r>
              <w:rPr>
                <w:rFonts w:hint="eastAsia" w:ascii="宋体" w:hAnsi="宋体" w:cs="宋体"/>
                <w:b w:val="0"/>
                <w:bCs/>
                <w:sz w:val="21"/>
                <w:szCs w:val="21"/>
                <w:highlight w:val="none"/>
                <w:lang w:val="en-US" w:eastAsia="zh-CN"/>
              </w:rPr>
              <w:t>一、</w:t>
            </w:r>
            <w:r>
              <w:rPr>
                <w:rFonts w:hint="eastAsia" w:ascii="宋体" w:hAnsi="宋体" w:eastAsia="宋体" w:cs="宋体"/>
                <w:b w:val="0"/>
                <w:bCs/>
                <w:sz w:val="21"/>
                <w:szCs w:val="21"/>
                <w:highlight w:val="none"/>
                <w:lang w:val="en-US" w:eastAsia="zh-CN"/>
              </w:rPr>
              <w:t>委托鉴定</w:t>
            </w:r>
            <w:r>
              <w:rPr>
                <w:rFonts w:hint="eastAsia" w:ascii="宋体" w:hAnsi="宋体" w:eastAsia="宋体" w:cs="宋体"/>
                <w:b w:val="0"/>
                <w:bCs/>
                <w:sz w:val="21"/>
                <w:szCs w:val="21"/>
                <w:highlight w:val="none"/>
                <w:lang w:val="zh-CN" w:eastAsia="zh-CN"/>
              </w:rPr>
              <w:t>的响应</w:t>
            </w:r>
            <w:r>
              <w:rPr>
                <w:rFonts w:hint="eastAsia" w:ascii="宋体" w:hAnsi="宋体" w:cs="宋体"/>
                <w:b w:val="0"/>
                <w:bCs/>
                <w:sz w:val="21"/>
                <w:szCs w:val="21"/>
                <w:highlight w:val="none"/>
                <w:lang w:val="en-US" w:eastAsia="zh-CN"/>
              </w:rPr>
              <w:t>时效：</w:t>
            </w:r>
          </w:p>
          <w:p w14:paraId="04DE341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1、承诺1个工作日内受理鉴定委托得2分；</w:t>
            </w:r>
            <w:r>
              <w:rPr>
                <w:rFonts w:hint="eastAsia" w:ascii="宋体" w:hAnsi="宋体" w:cs="宋体"/>
                <w:bCs/>
                <w:sz w:val="21"/>
                <w:szCs w:val="21"/>
                <w:highlight w:val="none"/>
                <w:lang w:val="en-US" w:eastAsia="zh-CN"/>
              </w:rPr>
              <w:br w:type="textWrapping"/>
            </w:r>
            <w:r>
              <w:rPr>
                <w:rFonts w:hint="eastAsia" w:ascii="宋体" w:hAnsi="宋体" w:cs="宋体"/>
                <w:bCs/>
                <w:sz w:val="21"/>
                <w:szCs w:val="21"/>
                <w:highlight w:val="none"/>
                <w:lang w:val="en-US" w:eastAsia="zh-CN"/>
              </w:rPr>
              <w:t>2、承诺2个工作日内受理鉴定委托得1分；</w:t>
            </w:r>
            <w:r>
              <w:rPr>
                <w:rFonts w:hint="eastAsia" w:ascii="宋体" w:hAnsi="宋体" w:cs="宋体"/>
                <w:bCs/>
                <w:sz w:val="21"/>
                <w:szCs w:val="21"/>
                <w:highlight w:val="none"/>
                <w:lang w:val="en-US" w:eastAsia="zh-CN"/>
              </w:rPr>
              <w:br w:type="textWrapping"/>
            </w:r>
            <w:r>
              <w:rPr>
                <w:rFonts w:hint="eastAsia" w:ascii="宋体" w:hAnsi="宋体" w:cs="宋体"/>
                <w:bCs/>
                <w:sz w:val="21"/>
                <w:szCs w:val="21"/>
                <w:highlight w:val="none"/>
                <w:lang w:val="en-US" w:eastAsia="zh-CN"/>
              </w:rPr>
              <w:t>3、承诺3个工作日内受理鉴定委托得0.5分；</w:t>
            </w:r>
            <w:r>
              <w:rPr>
                <w:rFonts w:hint="eastAsia" w:ascii="宋体" w:hAnsi="宋体" w:cs="宋体"/>
                <w:bCs/>
                <w:sz w:val="21"/>
                <w:szCs w:val="21"/>
                <w:highlight w:val="none"/>
                <w:lang w:val="en-US" w:eastAsia="zh-CN"/>
              </w:rPr>
              <w:br w:type="textWrapping"/>
            </w:r>
            <w:r>
              <w:rPr>
                <w:rFonts w:hint="eastAsia" w:ascii="宋体" w:hAnsi="宋体" w:cs="宋体"/>
                <w:bCs/>
                <w:sz w:val="21"/>
                <w:szCs w:val="21"/>
                <w:highlight w:val="none"/>
                <w:lang w:val="en-US" w:eastAsia="zh-CN"/>
              </w:rPr>
              <w:t>4、其他不得分。</w:t>
            </w:r>
            <w:r>
              <w:rPr>
                <w:rFonts w:hint="eastAsia" w:ascii="宋体" w:hAnsi="宋体" w:cs="宋体"/>
                <w:bCs/>
                <w:sz w:val="21"/>
                <w:szCs w:val="21"/>
                <w:highlight w:val="none"/>
                <w:lang w:val="en-US" w:eastAsia="zh-CN"/>
              </w:rPr>
              <w:br w:type="textWrapping"/>
            </w:r>
            <w:r>
              <w:rPr>
                <w:rFonts w:hint="eastAsia" w:ascii="宋体" w:hAnsi="宋体" w:cs="宋体"/>
                <w:bCs/>
                <w:sz w:val="21"/>
                <w:szCs w:val="21"/>
                <w:highlight w:val="none"/>
                <w:lang w:val="en-US" w:eastAsia="zh-CN"/>
              </w:rPr>
              <w:t>二、</w:t>
            </w:r>
            <w:r>
              <w:rPr>
                <w:rFonts w:hint="eastAsia" w:ascii="宋体" w:hAnsi="宋体" w:cs="宋体"/>
                <w:b w:val="0"/>
                <w:bCs/>
                <w:sz w:val="21"/>
                <w:szCs w:val="21"/>
                <w:highlight w:val="none"/>
                <w:lang w:val="en-US" w:eastAsia="zh-CN"/>
              </w:rPr>
              <w:t>检材收集完成的时效：</w:t>
            </w:r>
            <w:r>
              <w:rPr>
                <w:rFonts w:hint="eastAsia" w:ascii="宋体" w:hAnsi="宋体" w:cs="宋体"/>
                <w:b w:val="0"/>
                <w:bCs/>
                <w:sz w:val="21"/>
                <w:szCs w:val="21"/>
                <w:highlight w:val="none"/>
                <w:lang w:val="en-US" w:eastAsia="zh-CN"/>
              </w:rPr>
              <w:br w:type="textWrapping"/>
            </w:r>
            <w:r>
              <w:rPr>
                <w:rFonts w:hint="eastAsia" w:ascii="宋体" w:hAnsi="宋体" w:cs="宋体"/>
                <w:b w:val="0"/>
                <w:bCs/>
                <w:sz w:val="21"/>
                <w:szCs w:val="21"/>
                <w:highlight w:val="none"/>
                <w:lang w:val="en-US" w:eastAsia="zh-CN"/>
              </w:rPr>
              <w:t>1、承诺</w:t>
            </w:r>
            <w:r>
              <w:rPr>
                <w:rFonts w:hint="eastAsia" w:ascii="宋体" w:hAnsi="宋体" w:cs="宋体"/>
                <w:bCs/>
                <w:sz w:val="21"/>
                <w:szCs w:val="21"/>
                <w:highlight w:val="none"/>
                <w:lang w:val="en-US" w:eastAsia="zh-CN"/>
              </w:rPr>
              <w:t>受理委托后1个工作日内完成检材收集得2分；</w:t>
            </w:r>
            <w:r>
              <w:rPr>
                <w:rFonts w:hint="eastAsia" w:ascii="宋体" w:hAnsi="宋体" w:cs="宋体"/>
                <w:bCs/>
                <w:sz w:val="21"/>
                <w:szCs w:val="21"/>
                <w:highlight w:val="none"/>
                <w:lang w:val="en-US" w:eastAsia="zh-CN"/>
              </w:rPr>
              <w:br w:type="textWrapping"/>
            </w:r>
            <w:r>
              <w:rPr>
                <w:rFonts w:hint="eastAsia" w:ascii="宋体" w:hAnsi="宋体" w:cs="宋体"/>
                <w:bCs/>
                <w:sz w:val="21"/>
                <w:szCs w:val="21"/>
                <w:highlight w:val="none"/>
                <w:lang w:val="en-US" w:eastAsia="zh-CN"/>
              </w:rPr>
              <w:t>2、</w:t>
            </w:r>
            <w:r>
              <w:rPr>
                <w:rFonts w:hint="eastAsia" w:ascii="宋体" w:hAnsi="宋体" w:cs="宋体"/>
                <w:b w:val="0"/>
                <w:bCs/>
                <w:sz w:val="21"/>
                <w:szCs w:val="21"/>
                <w:highlight w:val="none"/>
                <w:lang w:val="en-US" w:eastAsia="zh-CN"/>
              </w:rPr>
              <w:t>承诺</w:t>
            </w:r>
            <w:r>
              <w:rPr>
                <w:rFonts w:hint="eastAsia" w:ascii="宋体" w:hAnsi="宋体" w:cs="宋体"/>
                <w:bCs/>
                <w:sz w:val="21"/>
                <w:szCs w:val="21"/>
                <w:highlight w:val="none"/>
                <w:lang w:val="en-US" w:eastAsia="zh-CN"/>
              </w:rPr>
              <w:t>受理委托后2个工作日内完成检材收集得1分；</w:t>
            </w:r>
            <w:r>
              <w:rPr>
                <w:rFonts w:hint="eastAsia" w:ascii="宋体" w:hAnsi="宋体" w:cs="宋体"/>
                <w:bCs/>
                <w:sz w:val="21"/>
                <w:szCs w:val="21"/>
                <w:highlight w:val="none"/>
                <w:lang w:val="en-US" w:eastAsia="zh-CN"/>
              </w:rPr>
              <w:br w:type="textWrapping"/>
            </w:r>
            <w:r>
              <w:rPr>
                <w:rFonts w:hint="eastAsia" w:ascii="宋体" w:hAnsi="宋体" w:cs="宋体"/>
                <w:bCs/>
                <w:sz w:val="21"/>
                <w:szCs w:val="21"/>
                <w:highlight w:val="none"/>
                <w:lang w:val="en-US" w:eastAsia="zh-CN"/>
              </w:rPr>
              <w:t>3、其他不得分。</w:t>
            </w:r>
            <w:r>
              <w:rPr>
                <w:rFonts w:hint="eastAsia" w:ascii="宋体" w:hAnsi="宋体" w:eastAsia="宋体" w:cs="宋体"/>
                <w:bCs/>
                <w:sz w:val="21"/>
                <w:szCs w:val="21"/>
                <w:highlight w:val="none"/>
                <w:lang w:val="zh-CN" w:eastAsia="zh-CN"/>
              </w:rPr>
              <w:br w:type="textWrapping"/>
            </w:r>
            <w:r>
              <w:rPr>
                <w:rFonts w:hint="eastAsia" w:ascii="宋体" w:hAnsi="宋体" w:cs="宋体"/>
                <w:bCs/>
                <w:sz w:val="21"/>
                <w:szCs w:val="21"/>
                <w:highlight w:val="none"/>
                <w:lang w:val="en-US" w:eastAsia="zh-CN"/>
              </w:rPr>
              <w:t>三、鉴定报告出具</w:t>
            </w:r>
            <w:r>
              <w:rPr>
                <w:rFonts w:hint="eastAsia" w:ascii="宋体" w:hAnsi="宋体" w:cs="宋体"/>
                <w:b w:val="0"/>
                <w:bCs/>
                <w:sz w:val="21"/>
                <w:szCs w:val="21"/>
                <w:highlight w:val="none"/>
                <w:lang w:val="en-US" w:eastAsia="zh-CN"/>
              </w:rPr>
              <w:t>时效：</w:t>
            </w:r>
            <w:r>
              <w:rPr>
                <w:rFonts w:hint="eastAsia" w:ascii="宋体" w:hAnsi="宋体" w:cs="宋体"/>
                <w:b w:val="0"/>
                <w:bCs/>
                <w:sz w:val="21"/>
                <w:szCs w:val="21"/>
                <w:highlight w:val="none"/>
                <w:lang w:val="en-US" w:eastAsia="zh-CN"/>
              </w:rPr>
              <w:br w:type="textWrapping"/>
            </w:r>
            <w:r>
              <w:rPr>
                <w:rFonts w:hint="eastAsia" w:ascii="宋体" w:hAnsi="宋体" w:cs="宋体"/>
                <w:b w:val="0"/>
                <w:bCs/>
                <w:sz w:val="21"/>
                <w:szCs w:val="21"/>
                <w:highlight w:val="none"/>
                <w:lang w:val="en-US" w:eastAsia="zh-CN"/>
              </w:rPr>
              <w:t>1、承诺</w:t>
            </w:r>
            <w:r>
              <w:rPr>
                <w:rFonts w:hint="eastAsia" w:ascii="宋体" w:hAnsi="宋体" w:cs="宋体"/>
                <w:bCs/>
                <w:sz w:val="21"/>
                <w:szCs w:val="21"/>
                <w:highlight w:val="none"/>
                <w:lang w:val="en-US" w:eastAsia="zh-CN"/>
              </w:rPr>
              <w:t>受理委托后4个工作日内出具鉴定报告得3分；</w:t>
            </w:r>
            <w:r>
              <w:rPr>
                <w:rFonts w:hint="eastAsia" w:ascii="宋体" w:hAnsi="宋体" w:cs="宋体"/>
                <w:bCs/>
                <w:sz w:val="21"/>
                <w:szCs w:val="21"/>
                <w:highlight w:val="none"/>
                <w:lang w:val="en-US" w:eastAsia="zh-CN"/>
              </w:rPr>
              <w:br w:type="textWrapping"/>
            </w:r>
            <w:r>
              <w:rPr>
                <w:rFonts w:hint="eastAsia" w:ascii="宋体" w:hAnsi="宋体" w:cs="宋体"/>
                <w:bCs/>
                <w:sz w:val="21"/>
                <w:szCs w:val="21"/>
                <w:highlight w:val="none"/>
                <w:lang w:val="en-US" w:eastAsia="zh-CN"/>
              </w:rPr>
              <w:t>2、</w:t>
            </w:r>
            <w:r>
              <w:rPr>
                <w:rFonts w:hint="eastAsia" w:ascii="宋体" w:hAnsi="宋体" w:cs="宋体"/>
                <w:b w:val="0"/>
                <w:bCs/>
                <w:sz w:val="21"/>
                <w:szCs w:val="21"/>
                <w:highlight w:val="none"/>
                <w:lang w:val="en-US" w:eastAsia="zh-CN"/>
              </w:rPr>
              <w:t>承诺</w:t>
            </w:r>
            <w:r>
              <w:rPr>
                <w:rFonts w:hint="eastAsia" w:ascii="宋体" w:hAnsi="宋体" w:cs="宋体"/>
                <w:bCs/>
                <w:sz w:val="21"/>
                <w:szCs w:val="21"/>
                <w:highlight w:val="none"/>
                <w:lang w:val="en-US" w:eastAsia="zh-CN"/>
              </w:rPr>
              <w:t>受理委托后5个工作日内完成检材收集得2分；</w:t>
            </w:r>
            <w:r>
              <w:rPr>
                <w:rFonts w:hint="eastAsia" w:ascii="宋体" w:hAnsi="宋体" w:cs="宋体"/>
                <w:bCs/>
                <w:sz w:val="21"/>
                <w:szCs w:val="21"/>
                <w:highlight w:val="none"/>
                <w:lang w:val="en-US" w:eastAsia="zh-CN"/>
              </w:rPr>
              <w:br w:type="textWrapping"/>
            </w:r>
            <w:r>
              <w:rPr>
                <w:rFonts w:hint="eastAsia" w:ascii="宋体" w:hAnsi="宋体" w:cs="宋体"/>
                <w:bCs/>
                <w:sz w:val="21"/>
                <w:szCs w:val="21"/>
                <w:highlight w:val="none"/>
                <w:lang w:val="en-US" w:eastAsia="zh-CN"/>
              </w:rPr>
              <w:t>3、</w:t>
            </w:r>
            <w:r>
              <w:rPr>
                <w:rFonts w:hint="eastAsia" w:ascii="宋体" w:hAnsi="宋体" w:cs="宋体"/>
                <w:b w:val="0"/>
                <w:bCs/>
                <w:sz w:val="21"/>
                <w:szCs w:val="21"/>
                <w:highlight w:val="none"/>
                <w:lang w:val="en-US" w:eastAsia="zh-CN"/>
              </w:rPr>
              <w:t>承诺</w:t>
            </w:r>
            <w:r>
              <w:rPr>
                <w:rFonts w:hint="eastAsia" w:ascii="宋体" w:hAnsi="宋体" w:cs="宋体"/>
                <w:bCs/>
                <w:sz w:val="21"/>
                <w:szCs w:val="21"/>
                <w:highlight w:val="none"/>
                <w:lang w:val="en-US" w:eastAsia="zh-CN"/>
              </w:rPr>
              <w:t>受理委托后6个工作日内完成检材收集得1分；</w:t>
            </w:r>
            <w:r>
              <w:rPr>
                <w:rFonts w:hint="eastAsia" w:ascii="宋体" w:hAnsi="宋体" w:cs="宋体"/>
                <w:bCs/>
                <w:sz w:val="21"/>
                <w:szCs w:val="21"/>
                <w:highlight w:val="none"/>
                <w:lang w:val="en-US" w:eastAsia="zh-CN"/>
              </w:rPr>
              <w:br w:type="textWrapping"/>
            </w:r>
            <w:r>
              <w:rPr>
                <w:rFonts w:hint="eastAsia" w:ascii="宋体" w:hAnsi="宋体" w:cs="宋体"/>
                <w:bCs/>
                <w:sz w:val="21"/>
                <w:szCs w:val="21"/>
                <w:highlight w:val="none"/>
                <w:lang w:val="en-US" w:eastAsia="zh-CN"/>
              </w:rPr>
              <w:t>4、其他不得分。</w:t>
            </w:r>
          </w:p>
          <w:p w14:paraId="2652425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1"/>
                <w:szCs w:val="21"/>
                <w:highlight w:val="none"/>
              </w:rPr>
            </w:pPr>
            <w:r>
              <w:rPr>
                <w:rFonts w:hint="eastAsia" w:ascii="宋体" w:hAnsi="宋体" w:eastAsia="宋体" w:cs="宋体"/>
                <w:b/>
                <w:bCs w:val="0"/>
                <w:sz w:val="21"/>
                <w:szCs w:val="21"/>
                <w:highlight w:val="none"/>
                <w:lang w:val="en-US" w:eastAsia="zh-CN"/>
              </w:rPr>
              <w:t>注：</w:t>
            </w:r>
            <w:r>
              <w:rPr>
                <w:rFonts w:hint="eastAsia" w:ascii="宋体" w:hAnsi="宋体" w:eastAsia="宋体" w:cs="宋体"/>
                <w:b/>
                <w:bCs w:val="0"/>
                <w:sz w:val="21"/>
                <w:szCs w:val="21"/>
                <w:highlight w:val="none"/>
                <w:lang w:val="zh-CN" w:eastAsia="zh-CN"/>
              </w:rPr>
              <w:t>提供响应能力相关佐证材料</w:t>
            </w:r>
            <w:r>
              <w:rPr>
                <w:rFonts w:hint="eastAsia" w:ascii="宋体" w:hAnsi="宋体" w:eastAsia="宋体" w:cs="宋体"/>
                <w:b/>
                <w:bCs w:val="0"/>
                <w:sz w:val="21"/>
                <w:szCs w:val="21"/>
                <w:highlight w:val="none"/>
                <w:lang w:val="en-US" w:eastAsia="zh-CN"/>
              </w:rPr>
              <w:t>或承诺函</w:t>
            </w:r>
            <w:r>
              <w:rPr>
                <w:rFonts w:hint="eastAsia" w:ascii="宋体" w:hAnsi="宋体" w:eastAsia="宋体" w:cs="宋体"/>
                <w:b/>
                <w:bCs w:val="0"/>
                <w:sz w:val="21"/>
                <w:szCs w:val="21"/>
                <w:highlight w:val="none"/>
                <w:lang w:val="zh-CN" w:eastAsia="zh-CN"/>
              </w:rPr>
              <w:t>，否则不得分。</w:t>
            </w:r>
          </w:p>
        </w:tc>
        <w:tc>
          <w:tcPr>
            <w:tcW w:w="305" w:type="pct"/>
            <w:tcBorders>
              <w:top w:val="single" w:color="auto" w:sz="4" w:space="0"/>
              <w:left w:val="nil"/>
              <w:bottom w:val="single" w:color="auto" w:sz="4" w:space="0"/>
              <w:right w:val="single" w:color="auto" w:sz="4" w:space="0"/>
            </w:tcBorders>
            <w:shd w:val="clear" w:color="auto" w:fill="FFFFFF"/>
            <w:noWrap w:val="0"/>
            <w:vAlign w:val="center"/>
          </w:tcPr>
          <w:p w14:paraId="390AB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7</w:t>
            </w:r>
          </w:p>
        </w:tc>
      </w:tr>
      <w:tr w14:paraId="437D3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5FF1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D042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保证措施</w:t>
            </w:r>
          </w:p>
        </w:tc>
        <w:tc>
          <w:tcPr>
            <w:tcW w:w="356" w:type="pct"/>
            <w:tcBorders>
              <w:top w:val="single" w:color="auto" w:sz="4" w:space="0"/>
              <w:left w:val="nil"/>
              <w:bottom w:val="single" w:color="auto" w:sz="4" w:space="0"/>
              <w:right w:val="single" w:color="auto" w:sz="4" w:space="0"/>
            </w:tcBorders>
            <w:shd w:val="clear" w:color="auto" w:fill="auto"/>
            <w:noWrap w:val="0"/>
            <w:vAlign w:val="center"/>
          </w:tcPr>
          <w:p w14:paraId="305961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主观</w:t>
            </w:r>
          </w:p>
        </w:tc>
        <w:tc>
          <w:tcPr>
            <w:tcW w:w="3679" w:type="pct"/>
            <w:tcBorders>
              <w:top w:val="single" w:color="auto" w:sz="4" w:space="0"/>
              <w:left w:val="nil"/>
              <w:bottom w:val="single" w:color="auto" w:sz="4" w:space="0"/>
              <w:right w:val="single" w:color="auto" w:sz="4" w:space="0"/>
            </w:tcBorders>
            <w:shd w:val="clear" w:color="auto" w:fill="FFFFFF"/>
            <w:noWrap w:val="0"/>
            <w:vAlign w:val="center"/>
          </w:tcPr>
          <w:p w14:paraId="68DE6CE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根据投标人响应时间及响应能力的保障措施进行综合评分：</w:t>
            </w:r>
          </w:p>
          <w:p w14:paraId="520CE6E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1、响应保障措施科学全面、合理性强、可实施性强得</w:t>
            </w:r>
            <w:r>
              <w:rPr>
                <w:rFonts w:hint="eastAsia" w:ascii="宋体" w:hAnsi="宋体" w:cs="宋体"/>
                <w:b w:val="0"/>
                <w:bCs/>
                <w:sz w:val="21"/>
                <w:szCs w:val="21"/>
                <w:highlight w:val="none"/>
                <w:lang w:val="en-US" w:eastAsia="zh-CN"/>
              </w:rPr>
              <w:t>6</w:t>
            </w:r>
            <w:r>
              <w:rPr>
                <w:rFonts w:hint="eastAsia" w:ascii="宋体" w:hAnsi="宋体" w:eastAsia="宋体" w:cs="宋体"/>
                <w:b w:val="0"/>
                <w:bCs/>
                <w:sz w:val="21"/>
                <w:szCs w:val="21"/>
                <w:highlight w:val="none"/>
                <w:lang w:val="en-US" w:eastAsia="zh-CN"/>
              </w:rPr>
              <w:t>分；</w:t>
            </w:r>
          </w:p>
          <w:p w14:paraId="627433A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2、响应保障措施较全面、合理性较强、可实施性较强得</w:t>
            </w:r>
            <w:r>
              <w:rPr>
                <w:rFonts w:hint="eastAsia" w:ascii="宋体" w:hAnsi="宋体" w:cs="宋体"/>
                <w:b w:val="0"/>
                <w:bCs/>
                <w:sz w:val="21"/>
                <w:szCs w:val="21"/>
                <w:highlight w:val="none"/>
                <w:lang w:val="en-US" w:eastAsia="zh-CN"/>
              </w:rPr>
              <w:t>4</w:t>
            </w:r>
            <w:r>
              <w:rPr>
                <w:rFonts w:hint="eastAsia" w:ascii="宋体" w:hAnsi="宋体" w:eastAsia="宋体" w:cs="宋体"/>
                <w:b w:val="0"/>
                <w:bCs/>
                <w:sz w:val="21"/>
                <w:szCs w:val="21"/>
                <w:highlight w:val="none"/>
                <w:lang w:val="en-US" w:eastAsia="zh-CN"/>
              </w:rPr>
              <w:t>分；</w:t>
            </w:r>
          </w:p>
          <w:p w14:paraId="5844FFC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3、响应保障措施</w:t>
            </w:r>
            <w:r>
              <w:rPr>
                <w:rFonts w:hint="eastAsia" w:ascii="宋体" w:hAnsi="宋体" w:eastAsia="宋体" w:cs="宋体"/>
                <w:b w:val="0"/>
                <w:bCs/>
                <w:sz w:val="21"/>
                <w:szCs w:val="21"/>
                <w:highlight w:val="none"/>
                <w:lang w:val="zh-CN" w:eastAsia="zh-CN"/>
              </w:rPr>
              <w:t>有瑕疵</w:t>
            </w:r>
            <w:r>
              <w:rPr>
                <w:rFonts w:hint="eastAsia" w:ascii="宋体" w:hAnsi="宋体" w:eastAsia="宋体" w:cs="宋体"/>
                <w:b w:val="0"/>
                <w:bCs/>
                <w:sz w:val="21"/>
                <w:szCs w:val="21"/>
                <w:highlight w:val="none"/>
                <w:lang w:val="en-US" w:eastAsia="zh-CN"/>
              </w:rPr>
              <w:t>、合理性一般、可实施性弱得</w:t>
            </w:r>
            <w:r>
              <w:rPr>
                <w:rFonts w:hint="eastAsia" w:ascii="宋体" w:hAnsi="宋体" w:cs="宋体"/>
                <w:b w:val="0"/>
                <w:bCs/>
                <w:sz w:val="21"/>
                <w:szCs w:val="21"/>
                <w:highlight w:val="none"/>
                <w:lang w:val="en-US" w:eastAsia="zh-CN"/>
              </w:rPr>
              <w:t>2</w:t>
            </w:r>
            <w:r>
              <w:rPr>
                <w:rFonts w:hint="eastAsia" w:ascii="宋体" w:hAnsi="宋体" w:eastAsia="宋体" w:cs="宋体"/>
                <w:b w:val="0"/>
                <w:bCs/>
                <w:sz w:val="21"/>
                <w:szCs w:val="21"/>
                <w:highlight w:val="none"/>
                <w:lang w:val="en-US" w:eastAsia="zh-CN"/>
              </w:rPr>
              <w:t>分；</w:t>
            </w:r>
          </w:p>
          <w:p w14:paraId="21E284F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1"/>
                <w:szCs w:val="21"/>
                <w:highlight w:val="none"/>
              </w:rPr>
            </w:pPr>
            <w:r>
              <w:rPr>
                <w:rFonts w:hint="eastAsia" w:ascii="宋体" w:hAnsi="宋体" w:eastAsia="宋体" w:cs="宋体"/>
                <w:b w:val="0"/>
                <w:bCs/>
                <w:sz w:val="21"/>
                <w:szCs w:val="21"/>
                <w:highlight w:val="none"/>
                <w:lang w:val="en-US" w:eastAsia="zh-CN"/>
              </w:rPr>
              <w:t>4、未提供本项不得分。</w:t>
            </w:r>
          </w:p>
        </w:tc>
        <w:tc>
          <w:tcPr>
            <w:tcW w:w="305" w:type="pct"/>
            <w:tcBorders>
              <w:top w:val="single" w:color="auto" w:sz="4" w:space="0"/>
              <w:left w:val="nil"/>
              <w:bottom w:val="single" w:color="auto" w:sz="4" w:space="0"/>
              <w:right w:val="single" w:color="auto" w:sz="4" w:space="0"/>
            </w:tcBorders>
            <w:shd w:val="clear" w:color="auto" w:fill="FFFFFF"/>
            <w:noWrap w:val="0"/>
            <w:vAlign w:val="center"/>
          </w:tcPr>
          <w:p w14:paraId="45B504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6</w:t>
            </w:r>
          </w:p>
        </w:tc>
      </w:tr>
      <w:tr w14:paraId="32836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11DD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C2DA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服务实施方案</w:t>
            </w:r>
          </w:p>
        </w:tc>
        <w:tc>
          <w:tcPr>
            <w:tcW w:w="356" w:type="pct"/>
            <w:tcBorders>
              <w:top w:val="single" w:color="auto" w:sz="4" w:space="0"/>
              <w:left w:val="nil"/>
              <w:bottom w:val="single" w:color="auto" w:sz="4" w:space="0"/>
              <w:right w:val="single" w:color="auto" w:sz="4" w:space="0"/>
            </w:tcBorders>
            <w:shd w:val="clear" w:color="auto" w:fill="auto"/>
            <w:noWrap w:val="0"/>
            <w:vAlign w:val="center"/>
          </w:tcPr>
          <w:p w14:paraId="20F305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主观</w:t>
            </w:r>
          </w:p>
        </w:tc>
        <w:tc>
          <w:tcPr>
            <w:tcW w:w="3679" w:type="pct"/>
            <w:tcBorders>
              <w:top w:val="single" w:color="auto" w:sz="4" w:space="0"/>
              <w:left w:val="nil"/>
              <w:bottom w:val="single" w:color="auto" w:sz="4" w:space="0"/>
              <w:right w:val="single" w:color="auto" w:sz="4" w:space="0"/>
            </w:tcBorders>
            <w:shd w:val="clear" w:color="auto" w:fill="FFFFFF"/>
            <w:noWrap w:val="0"/>
            <w:vAlign w:val="center"/>
          </w:tcPr>
          <w:p w14:paraId="212CA26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根据投标人针对本项目提供的服务实施方案（①操作流程②内部分配制度③管理措施）进行综合评分：</w:t>
            </w:r>
          </w:p>
          <w:p w14:paraId="72D0CD7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1、方案针对性强、可操作性强、合理可行、计划安排得当的得</w:t>
            </w:r>
            <w:r>
              <w:rPr>
                <w:rFonts w:hint="eastAsia" w:ascii="宋体" w:hAnsi="宋体" w:cs="宋体"/>
                <w:b w:val="0"/>
                <w:bCs/>
                <w:sz w:val="21"/>
                <w:szCs w:val="21"/>
                <w:highlight w:val="none"/>
                <w:lang w:val="en-US" w:eastAsia="zh-CN"/>
              </w:rPr>
              <w:t>3</w:t>
            </w:r>
            <w:r>
              <w:rPr>
                <w:rFonts w:hint="eastAsia" w:ascii="宋体" w:hAnsi="宋体" w:eastAsia="宋体" w:cs="宋体"/>
                <w:b w:val="0"/>
                <w:bCs/>
                <w:sz w:val="21"/>
                <w:szCs w:val="21"/>
                <w:highlight w:val="none"/>
                <w:lang w:val="en-US" w:eastAsia="zh-CN"/>
              </w:rPr>
              <w:t>分；</w:t>
            </w:r>
          </w:p>
          <w:p w14:paraId="238A81B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2、方案针对性较强、可操作性较好、合理可行、计划安排得当的得</w:t>
            </w:r>
            <w:r>
              <w:rPr>
                <w:rFonts w:hint="eastAsia" w:ascii="宋体" w:hAnsi="宋体" w:cs="宋体"/>
                <w:b w:val="0"/>
                <w:bCs/>
                <w:sz w:val="21"/>
                <w:szCs w:val="21"/>
                <w:highlight w:val="none"/>
                <w:lang w:val="en-US" w:eastAsia="zh-CN"/>
              </w:rPr>
              <w:t>2</w:t>
            </w:r>
            <w:r>
              <w:rPr>
                <w:rFonts w:hint="eastAsia" w:ascii="宋体" w:hAnsi="宋体" w:eastAsia="宋体" w:cs="宋体"/>
                <w:b w:val="0"/>
                <w:bCs/>
                <w:sz w:val="21"/>
                <w:szCs w:val="21"/>
                <w:highlight w:val="none"/>
                <w:lang w:val="en-US" w:eastAsia="zh-CN"/>
              </w:rPr>
              <w:t>分；</w:t>
            </w:r>
          </w:p>
          <w:p w14:paraId="134CA362">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3、方案针对性一般、可行性一般、计较可操作性尚可的得</w:t>
            </w:r>
            <w:r>
              <w:rPr>
                <w:rFonts w:hint="eastAsia" w:ascii="宋体" w:hAnsi="宋体" w:cs="宋体"/>
                <w:b w:val="0"/>
                <w:bCs/>
                <w:sz w:val="21"/>
                <w:szCs w:val="21"/>
                <w:highlight w:val="none"/>
                <w:lang w:val="en-US" w:eastAsia="zh-CN"/>
              </w:rPr>
              <w:t>1</w:t>
            </w:r>
            <w:r>
              <w:rPr>
                <w:rFonts w:hint="eastAsia" w:ascii="宋体" w:hAnsi="宋体" w:eastAsia="宋体" w:cs="宋体"/>
                <w:b w:val="0"/>
                <w:bCs/>
                <w:sz w:val="21"/>
                <w:szCs w:val="21"/>
                <w:highlight w:val="none"/>
                <w:lang w:val="en-US" w:eastAsia="zh-CN"/>
              </w:rPr>
              <w:t>分；</w:t>
            </w:r>
          </w:p>
          <w:p w14:paraId="636466D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4、方案不够完善、欠缺合理性、计划欠佳</w:t>
            </w:r>
            <w:r>
              <w:rPr>
                <w:rFonts w:hint="eastAsia" w:ascii="宋体" w:hAnsi="宋体" w:cs="宋体"/>
                <w:b w:val="0"/>
                <w:bCs/>
                <w:sz w:val="21"/>
                <w:szCs w:val="21"/>
                <w:highlight w:val="none"/>
                <w:lang w:val="en-US" w:eastAsia="zh-CN"/>
              </w:rPr>
              <w:t>或</w:t>
            </w:r>
            <w:r>
              <w:rPr>
                <w:rFonts w:hint="eastAsia" w:ascii="宋体" w:hAnsi="宋体" w:eastAsia="宋体" w:cs="宋体"/>
                <w:b w:val="0"/>
                <w:bCs/>
                <w:sz w:val="21"/>
                <w:szCs w:val="21"/>
                <w:highlight w:val="none"/>
                <w:lang w:val="en-US" w:eastAsia="zh-CN"/>
              </w:rPr>
              <w:t>未提供不得分。</w:t>
            </w:r>
          </w:p>
          <w:p w14:paraId="7974694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val="0"/>
                <w:sz w:val="21"/>
                <w:szCs w:val="21"/>
                <w:highlight w:val="none"/>
                <w:lang w:val="en-US" w:eastAsia="zh-CN"/>
              </w:rPr>
              <w:t>以上①—③项内容为专门针对本项目编制，每一小项最高得</w:t>
            </w:r>
            <w:r>
              <w:rPr>
                <w:rFonts w:hint="eastAsia" w:ascii="宋体" w:hAnsi="宋体" w:cs="宋体"/>
                <w:b/>
                <w:bCs w:val="0"/>
                <w:sz w:val="21"/>
                <w:szCs w:val="21"/>
                <w:highlight w:val="none"/>
                <w:lang w:val="en-US" w:eastAsia="zh-CN"/>
              </w:rPr>
              <w:t>3</w:t>
            </w:r>
            <w:r>
              <w:rPr>
                <w:rFonts w:hint="eastAsia" w:ascii="宋体" w:hAnsi="宋体" w:eastAsia="宋体" w:cs="宋体"/>
                <w:b/>
                <w:bCs w:val="0"/>
                <w:sz w:val="21"/>
                <w:szCs w:val="21"/>
                <w:highlight w:val="none"/>
                <w:lang w:val="en-US" w:eastAsia="zh-CN"/>
              </w:rPr>
              <w:t>分，总分</w:t>
            </w:r>
            <w:r>
              <w:rPr>
                <w:rFonts w:hint="eastAsia" w:ascii="宋体" w:hAnsi="宋体" w:cs="宋体"/>
                <w:b/>
                <w:bCs w:val="0"/>
                <w:sz w:val="21"/>
                <w:szCs w:val="21"/>
                <w:highlight w:val="none"/>
                <w:lang w:val="en-US" w:eastAsia="zh-CN"/>
              </w:rPr>
              <w:t>9</w:t>
            </w:r>
            <w:r>
              <w:rPr>
                <w:rFonts w:hint="eastAsia" w:ascii="宋体" w:hAnsi="宋体" w:eastAsia="宋体" w:cs="宋体"/>
                <w:b/>
                <w:bCs w:val="0"/>
                <w:sz w:val="21"/>
                <w:szCs w:val="21"/>
                <w:highlight w:val="none"/>
                <w:lang w:val="en-US" w:eastAsia="zh-CN"/>
              </w:rPr>
              <w:t>分。</w:t>
            </w:r>
          </w:p>
        </w:tc>
        <w:tc>
          <w:tcPr>
            <w:tcW w:w="305" w:type="pct"/>
            <w:tcBorders>
              <w:top w:val="single" w:color="auto" w:sz="4" w:space="0"/>
              <w:left w:val="nil"/>
              <w:bottom w:val="single" w:color="auto" w:sz="4" w:space="0"/>
              <w:right w:val="single" w:color="auto" w:sz="4" w:space="0"/>
            </w:tcBorders>
            <w:shd w:val="clear" w:color="auto" w:fill="FFFFFF"/>
            <w:noWrap w:val="0"/>
            <w:vAlign w:val="center"/>
          </w:tcPr>
          <w:p w14:paraId="3EDC1D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9</w:t>
            </w:r>
          </w:p>
        </w:tc>
      </w:tr>
      <w:tr w14:paraId="293B2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DD87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BED3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鉴定的程序和步骤</w:t>
            </w:r>
          </w:p>
        </w:tc>
        <w:tc>
          <w:tcPr>
            <w:tcW w:w="356" w:type="pct"/>
            <w:tcBorders>
              <w:top w:val="single" w:color="auto" w:sz="4" w:space="0"/>
              <w:left w:val="nil"/>
              <w:right w:val="single" w:color="auto" w:sz="4" w:space="0"/>
            </w:tcBorders>
            <w:shd w:val="clear" w:color="auto" w:fill="auto"/>
            <w:noWrap w:val="0"/>
            <w:vAlign w:val="center"/>
          </w:tcPr>
          <w:p w14:paraId="4199A7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主观</w:t>
            </w:r>
          </w:p>
        </w:tc>
        <w:tc>
          <w:tcPr>
            <w:tcW w:w="3679" w:type="pct"/>
            <w:tcBorders>
              <w:top w:val="single" w:color="auto" w:sz="4" w:space="0"/>
              <w:left w:val="nil"/>
              <w:right w:val="single" w:color="auto" w:sz="4" w:space="0"/>
            </w:tcBorders>
            <w:shd w:val="clear" w:color="auto" w:fill="FFFFFF"/>
            <w:noWrap w:val="0"/>
            <w:vAlign w:val="center"/>
          </w:tcPr>
          <w:p w14:paraId="65F49FC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根据投标人针对项目实施鉴定的（①工作程序②实施步骤③详细情况）进行综合评分：</w:t>
            </w:r>
          </w:p>
          <w:p w14:paraId="33F04F0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1、实施鉴定的工作程序清晰、步骤合理且详细的得</w:t>
            </w:r>
            <w:r>
              <w:rPr>
                <w:rFonts w:hint="eastAsia" w:ascii="宋体" w:hAnsi="宋体" w:cs="宋体"/>
                <w:b w:val="0"/>
                <w:bCs/>
                <w:sz w:val="21"/>
                <w:szCs w:val="21"/>
                <w:highlight w:val="none"/>
                <w:lang w:val="en-US" w:eastAsia="zh-CN"/>
              </w:rPr>
              <w:t>3</w:t>
            </w:r>
            <w:r>
              <w:rPr>
                <w:rFonts w:hint="eastAsia" w:ascii="宋体" w:hAnsi="宋体" w:eastAsia="宋体" w:cs="宋体"/>
                <w:b w:val="0"/>
                <w:bCs/>
                <w:sz w:val="21"/>
                <w:szCs w:val="21"/>
                <w:highlight w:val="none"/>
                <w:lang w:val="en-US" w:eastAsia="zh-CN"/>
              </w:rPr>
              <w:t>分；</w:t>
            </w:r>
          </w:p>
          <w:p w14:paraId="6E849B2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2、实施鉴定的工作程序较清晰、步骤较合理且内容明确的得</w:t>
            </w:r>
            <w:r>
              <w:rPr>
                <w:rFonts w:hint="eastAsia" w:ascii="宋体" w:hAnsi="宋体" w:cs="宋体"/>
                <w:b w:val="0"/>
                <w:bCs/>
                <w:sz w:val="21"/>
                <w:szCs w:val="21"/>
                <w:highlight w:val="none"/>
                <w:lang w:val="en-US" w:eastAsia="zh-CN"/>
              </w:rPr>
              <w:t>2</w:t>
            </w:r>
            <w:r>
              <w:rPr>
                <w:rFonts w:hint="eastAsia" w:ascii="宋体" w:hAnsi="宋体" w:eastAsia="宋体" w:cs="宋体"/>
                <w:b w:val="0"/>
                <w:bCs/>
                <w:sz w:val="21"/>
                <w:szCs w:val="21"/>
                <w:highlight w:val="none"/>
                <w:lang w:val="en-US" w:eastAsia="zh-CN"/>
              </w:rPr>
              <w:t>分；</w:t>
            </w:r>
          </w:p>
          <w:p w14:paraId="74572F7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3、实施鉴定的工作程序一般、步骤相对合理、内容略有欠缺的得</w:t>
            </w:r>
            <w:r>
              <w:rPr>
                <w:rFonts w:hint="eastAsia" w:ascii="宋体" w:hAnsi="宋体" w:cs="宋体"/>
                <w:b w:val="0"/>
                <w:bCs/>
                <w:sz w:val="21"/>
                <w:szCs w:val="21"/>
                <w:highlight w:val="none"/>
                <w:lang w:val="en-US" w:eastAsia="zh-CN"/>
              </w:rPr>
              <w:t>1</w:t>
            </w:r>
            <w:r>
              <w:rPr>
                <w:rFonts w:hint="eastAsia" w:ascii="宋体" w:hAnsi="宋体" w:eastAsia="宋体" w:cs="宋体"/>
                <w:b w:val="0"/>
                <w:bCs/>
                <w:sz w:val="21"/>
                <w:szCs w:val="21"/>
                <w:highlight w:val="none"/>
                <w:lang w:val="en-US" w:eastAsia="zh-CN"/>
              </w:rPr>
              <w:t>分；</w:t>
            </w:r>
          </w:p>
          <w:p w14:paraId="5426627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4、实施鉴定得工作程序欠佳、步骤一般且内容不够完善</w:t>
            </w:r>
            <w:r>
              <w:rPr>
                <w:rFonts w:hint="eastAsia" w:ascii="宋体" w:hAnsi="宋体" w:cs="宋体"/>
                <w:b w:val="0"/>
                <w:bCs/>
                <w:sz w:val="21"/>
                <w:szCs w:val="21"/>
                <w:highlight w:val="none"/>
                <w:lang w:val="en-US" w:eastAsia="zh-CN"/>
              </w:rPr>
              <w:t>或</w:t>
            </w:r>
            <w:r>
              <w:rPr>
                <w:rFonts w:hint="eastAsia" w:ascii="宋体" w:hAnsi="宋体" w:eastAsia="宋体" w:cs="宋体"/>
                <w:b w:val="0"/>
                <w:bCs/>
                <w:sz w:val="21"/>
                <w:szCs w:val="21"/>
                <w:highlight w:val="none"/>
                <w:lang w:val="en-US" w:eastAsia="zh-CN"/>
              </w:rPr>
              <w:t>未提供不得分。</w:t>
            </w:r>
          </w:p>
          <w:p w14:paraId="5EAAF92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
                <w:bCs w:val="0"/>
                <w:sz w:val="21"/>
                <w:szCs w:val="21"/>
                <w:highlight w:val="none"/>
                <w:lang w:val="en-US" w:eastAsia="zh-CN"/>
              </w:rPr>
              <w:t>以上①—③项内容为专门针对本项目编制，每一小项最高得</w:t>
            </w:r>
            <w:r>
              <w:rPr>
                <w:rFonts w:hint="eastAsia" w:ascii="宋体" w:hAnsi="宋体" w:cs="宋体"/>
                <w:b/>
                <w:bCs w:val="0"/>
                <w:sz w:val="21"/>
                <w:szCs w:val="21"/>
                <w:highlight w:val="none"/>
                <w:lang w:val="en-US" w:eastAsia="zh-CN"/>
              </w:rPr>
              <w:t>3</w:t>
            </w:r>
            <w:r>
              <w:rPr>
                <w:rFonts w:hint="eastAsia" w:ascii="宋体" w:hAnsi="宋体" w:eastAsia="宋体" w:cs="宋体"/>
                <w:b/>
                <w:bCs w:val="0"/>
                <w:sz w:val="21"/>
                <w:szCs w:val="21"/>
                <w:highlight w:val="none"/>
                <w:lang w:val="en-US" w:eastAsia="zh-CN"/>
              </w:rPr>
              <w:t>分，总分</w:t>
            </w:r>
            <w:r>
              <w:rPr>
                <w:rFonts w:hint="eastAsia" w:ascii="宋体" w:hAnsi="宋体" w:cs="宋体"/>
                <w:b/>
                <w:bCs w:val="0"/>
                <w:sz w:val="21"/>
                <w:szCs w:val="21"/>
                <w:highlight w:val="none"/>
                <w:lang w:val="en-US" w:eastAsia="zh-CN"/>
              </w:rPr>
              <w:t>9</w:t>
            </w:r>
            <w:r>
              <w:rPr>
                <w:rFonts w:hint="eastAsia" w:ascii="宋体" w:hAnsi="宋体" w:eastAsia="宋体" w:cs="宋体"/>
                <w:b/>
                <w:bCs w:val="0"/>
                <w:sz w:val="21"/>
                <w:szCs w:val="21"/>
                <w:highlight w:val="none"/>
                <w:lang w:val="en-US" w:eastAsia="zh-CN"/>
              </w:rPr>
              <w:t>分。</w:t>
            </w:r>
          </w:p>
        </w:tc>
        <w:tc>
          <w:tcPr>
            <w:tcW w:w="305" w:type="pct"/>
            <w:tcBorders>
              <w:top w:val="single" w:color="auto" w:sz="4" w:space="0"/>
              <w:left w:val="nil"/>
              <w:bottom w:val="single" w:color="auto" w:sz="4" w:space="0"/>
              <w:right w:val="single" w:color="auto" w:sz="4" w:space="0"/>
            </w:tcBorders>
            <w:shd w:val="clear" w:color="auto" w:fill="FFFFFF"/>
            <w:noWrap w:val="0"/>
            <w:vAlign w:val="center"/>
          </w:tcPr>
          <w:p w14:paraId="6A7C9E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9</w:t>
            </w:r>
          </w:p>
        </w:tc>
      </w:tr>
      <w:tr w14:paraId="2E30F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B3E5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C6E5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沟通对接方案</w:t>
            </w:r>
          </w:p>
        </w:tc>
        <w:tc>
          <w:tcPr>
            <w:tcW w:w="356" w:type="pct"/>
            <w:tcBorders>
              <w:top w:val="single" w:color="auto" w:sz="4" w:space="0"/>
              <w:left w:val="nil"/>
              <w:right w:val="single" w:color="auto" w:sz="4" w:space="0"/>
            </w:tcBorders>
            <w:shd w:val="clear" w:color="auto" w:fill="auto"/>
            <w:noWrap w:val="0"/>
            <w:vAlign w:val="center"/>
          </w:tcPr>
          <w:p w14:paraId="5A598B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主观</w:t>
            </w:r>
          </w:p>
        </w:tc>
        <w:tc>
          <w:tcPr>
            <w:tcW w:w="3679" w:type="pct"/>
            <w:tcBorders>
              <w:top w:val="single" w:color="auto" w:sz="4" w:space="0"/>
              <w:left w:val="nil"/>
              <w:right w:val="single" w:color="auto" w:sz="4" w:space="0"/>
            </w:tcBorders>
            <w:shd w:val="clear" w:color="auto" w:fill="FFFFFF"/>
            <w:noWrap w:val="0"/>
            <w:vAlign w:val="center"/>
          </w:tcPr>
          <w:p w14:paraId="5F24B97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根据投标人对项目的沟通对接方案（①与采购人的沟通对接方案②鉴定结果的后续跟进③采购人在服务过程中提出要求的响应）进行综合评分：</w:t>
            </w:r>
          </w:p>
          <w:p w14:paraId="6729AFC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1、有专人与采购人沟通，方案详细合理完善，能及时有效响应的得</w:t>
            </w:r>
            <w:r>
              <w:rPr>
                <w:rFonts w:hint="eastAsia" w:ascii="宋体" w:hAnsi="宋体" w:cs="宋体"/>
                <w:b w:val="0"/>
                <w:bCs/>
                <w:sz w:val="21"/>
                <w:szCs w:val="21"/>
                <w:highlight w:val="none"/>
                <w:lang w:val="en-US" w:eastAsia="zh-CN"/>
              </w:rPr>
              <w:t>3</w:t>
            </w:r>
            <w:r>
              <w:rPr>
                <w:rFonts w:hint="eastAsia" w:ascii="宋体" w:hAnsi="宋体" w:eastAsia="宋体" w:cs="宋体"/>
                <w:b w:val="0"/>
                <w:bCs/>
                <w:sz w:val="21"/>
                <w:szCs w:val="21"/>
                <w:highlight w:val="none"/>
                <w:lang w:val="en-US" w:eastAsia="zh-CN"/>
              </w:rPr>
              <w:t>分；</w:t>
            </w:r>
          </w:p>
          <w:p w14:paraId="09C3CF1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2、沟通对接方案较好、方案较合理完善，能及时响应的得</w:t>
            </w:r>
            <w:r>
              <w:rPr>
                <w:rFonts w:hint="eastAsia" w:ascii="宋体" w:hAnsi="宋体" w:cs="宋体"/>
                <w:b w:val="0"/>
                <w:bCs/>
                <w:sz w:val="21"/>
                <w:szCs w:val="21"/>
                <w:highlight w:val="none"/>
                <w:lang w:val="en-US" w:eastAsia="zh-CN"/>
              </w:rPr>
              <w:t>2</w:t>
            </w:r>
            <w:r>
              <w:rPr>
                <w:rFonts w:hint="eastAsia" w:ascii="宋体" w:hAnsi="宋体" w:eastAsia="宋体" w:cs="宋体"/>
                <w:b w:val="0"/>
                <w:bCs/>
                <w:sz w:val="21"/>
                <w:szCs w:val="21"/>
                <w:highlight w:val="none"/>
                <w:lang w:val="en-US" w:eastAsia="zh-CN"/>
              </w:rPr>
              <w:t>分；</w:t>
            </w:r>
          </w:p>
          <w:p w14:paraId="0D11C15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3、沟通对接方案一般、方案尚可，响应基本满足的得</w:t>
            </w:r>
            <w:r>
              <w:rPr>
                <w:rFonts w:hint="eastAsia" w:ascii="宋体" w:hAnsi="宋体" w:cs="宋体"/>
                <w:b w:val="0"/>
                <w:bCs/>
                <w:sz w:val="21"/>
                <w:szCs w:val="21"/>
                <w:highlight w:val="none"/>
                <w:lang w:val="en-US" w:eastAsia="zh-CN"/>
              </w:rPr>
              <w:t>1</w:t>
            </w:r>
            <w:r>
              <w:rPr>
                <w:rFonts w:hint="eastAsia" w:ascii="宋体" w:hAnsi="宋体" w:eastAsia="宋体" w:cs="宋体"/>
                <w:b w:val="0"/>
                <w:bCs/>
                <w:sz w:val="21"/>
                <w:szCs w:val="21"/>
                <w:highlight w:val="none"/>
                <w:lang w:val="en-US" w:eastAsia="zh-CN"/>
              </w:rPr>
              <w:t>分；</w:t>
            </w:r>
          </w:p>
          <w:p w14:paraId="05D60F2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4、沟通对接方案有所欠缺</w:t>
            </w:r>
            <w:r>
              <w:rPr>
                <w:rFonts w:hint="eastAsia" w:ascii="宋体" w:hAnsi="宋体" w:cs="宋体"/>
                <w:b w:val="0"/>
                <w:bCs/>
                <w:sz w:val="21"/>
                <w:szCs w:val="21"/>
                <w:highlight w:val="none"/>
                <w:lang w:val="en-US" w:eastAsia="zh-CN"/>
              </w:rPr>
              <w:t>或</w:t>
            </w:r>
            <w:r>
              <w:rPr>
                <w:rFonts w:hint="eastAsia" w:ascii="宋体" w:hAnsi="宋体" w:eastAsia="宋体" w:cs="宋体"/>
                <w:b w:val="0"/>
                <w:bCs/>
                <w:sz w:val="21"/>
                <w:szCs w:val="21"/>
                <w:highlight w:val="none"/>
                <w:lang w:val="en-US" w:eastAsia="zh-CN"/>
              </w:rPr>
              <w:t>未提供不得分。</w:t>
            </w:r>
          </w:p>
          <w:p w14:paraId="501030C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
                <w:bCs w:val="0"/>
                <w:sz w:val="21"/>
                <w:szCs w:val="21"/>
                <w:highlight w:val="none"/>
                <w:lang w:val="en-US" w:eastAsia="zh-CN"/>
              </w:rPr>
              <w:t>以上①—③项内容为专门针对本项目编制，每一小项最高得</w:t>
            </w:r>
            <w:r>
              <w:rPr>
                <w:rFonts w:hint="eastAsia" w:ascii="宋体" w:hAnsi="宋体" w:cs="宋体"/>
                <w:b/>
                <w:bCs w:val="0"/>
                <w:sz w:val="21"/>
                <w:szCs w:val="21"/>
                <w:highlight w:val="none"/>
                <w:lang w:val="en-US" w:eastAsia="zh-CN"/>
              </w:rPr>
              <w:t>3</w:t>
            </w:r>
            <w:r>
              <w:rPr>
                <w:rFonts w:hint="eastAsia" w:ascii="宋体" w:hAnsi="宋体" w:eastAsia="宋体" w:cs="宋体"/>
                <w:b/>
                <w:bCs w:val="0"/>
                <w:sz w:val="21"/>
                <w:szCs w:val="21"/>
                <w:highlight w:val="none"/>
                <w:lang w:val="en-US" w:eastAsia="zh-CN"/>
              </w:rPr>
              <w:t>分，总分</w:t>
            </w:r>
            <w:r>
              <w:rPr>
                <w:rFonts w:hint="eastAsia" w:ascii="宋体" w:hAnsi="宋体" w:cs="宋体"/>
                <w:b/>
                <w:bCs w:val="0"/>
                <w:sz w:val="21"/>
                <w:szCs w:val="21"/>
                <w:highlight w:val="none"/>
                <w:lang w:val="en-US" w:eastAsia="zh-CN"/>
              </w:rPr>
              <w:t>9</w:t>
            </w:r>
            <w:r>
              <w:rPr>
                <w:rFonts w:hint="eastAsia" w:ascii="宋体" w:hAnsi="宋体" w:eastAsia="宋体" w:cs="宋体"/>
                <w:b/>
                <w:bCs w:val="0"/>
                <w:sz w:val="21"/>
                <w:szCs w:val="21"/>
                <w:highlight w:val="none"/>
                <w:lang w:val="en-US" w:eastAsia="zh-CN"/>
              </w:rPr>
              <w:t>分。</w:t>
            </w:r>
          </w:p>
        </w:tc>
        <w:tc>
          <w:tcPr>
            <w:tcW w:w="305" w:type="pct"/>
            <w:tcBorders>
              <w:top w:val="single" w:color="auto" w:sz="4" w:space="0"/>
              <w:left w:val="nil"/>
              <w:bottom w:val="single" w:color="auto" w:sz="4" w:space="0"/>
              <w:right w:val="single" w:color="auto" w:sz="4" w:space="0"/>
            </w:tcBorders>
            <w:shd w:val="clear" w:color="auto" w:fill="FFFFFF"/>
            <w:noWrap w:val="0"/>
            <w:vAlign w:val="center"/>
          </w:tcPr>
          <w:p w14:paraId="2D763A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9</w:t>
            </w:r>
          </w:p>
        </w:tc>
      </w:tr>
      <w:tr w14:paraId="3331F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 w:type="pct"/>
            <w:vMerge w:val="restart"/>
            <w:tcBorders>
              <w:top w:val="single" w:color="auto" w:sz="4" w:space="0"/>
              <w:left w:val="single" w:color="auto" w:sz="4" w:space="0"/>
              <w:right w:val="single" w:color="auto" w:sz="4" w:space="0"/>
            </w:tcBorders>
            <w:shd w:val="clear" w:color="auto" w:fill="auto"/>
            <w:noWrap w:val="0"/>
            <w:vAlign w:val="center"/>
          </w:tcPr>
          <w:p w14:paraId="1A35FA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412" w:type="pct"/>
            <w:vMerge w:val="restart"/>
            <w:tcBorders>
              <w:top w:val="single" w:color="auto" w:sz="4" w:space="0"/>
              <w:left w:val="single" w:color="auto" w:sz="4" w:space="0"/>
              <w:right w:val="single" w:color="auto" w:sz="4" w:space="0"/>
            </w:tcBorders>
            <w:shd w:val="clear" w:color="auto" w:fill="auto"/>
            <w:noWrap w:val="0"/>
            <w:vAlign w:val="center"/>
          </w:tcPr>
          <w:p w14:paraId="21FABF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bidi="ar"/>
              </w:rPr>
              <w:t>重点、难点、解决方法及措施</w:t>
            </w:r>
          </w:p>
        </w:tc>
        <w:tc>
          <w:tcPr>
            <w:tcW w:w="356" w:type="pct"/>
            <w:vMerge w:val="restart"/>
            <w:tcBorders>
              <w:top w:val="single" w:color="auto" w:sz="4" w:space="0"/>
              <w:left w:val="nil"/>
              <w:right w:val="single" w:color="auto" w:sz="4" w:space="0"/>
            </w:tcBorders>
            <w:shd w:val="clear" w:color="auto" w:fill="auto"/>
            <w:noWrap w:val="0"/>
            <w:vAlign w:val="center"/>
          </w:tcPr>
          <w:p w14:paraId="4BF93C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主观</w:t>
            </w:r>
          </w:p>
        </w:tc>
        <w:tc>
          <w:tcPr>
            <w:tcW w:w="3679" w:type="pct"/>
            <w:tcBorders>
              <w:top w:val="single" w:color="auto" w:sz="4" w:space="0"/>
              <w:left w:val="nil"/>
              <w:right w:val="single" w:color="auto" w:sz="4" w:space="0"/>
            </w:tcBorders>
            <w:shd w:val="clear" w:color="auto" w:fill="FFFFFF"/>
            <w:noWrap w:val="0"/>
            <w:vAlign w:val="center"/>
          </w:tcPr>
          <w:p w14:paraId="7BC0AF0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根据投标人对本项目交通事故车辆鉴定服务业务开展的重点、难点分析进行综合评分：</w:t>
            </w:r>
          </w:p>
          <w:p w14:paraId="368B09C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1、难点重点的预测剖析精准、全面、详尽的得</w:t>
            </w:r>
            <w:r>
              <w:rPr>
                <w:rFonts w:hint="eastAsia" w:ascii="宋体" w:hAnsi="宋体" w:cs="宋体"/>
                <w:b w:val="0"/>
                <w:bCs/>
                <w:sz w:val="21"/>
                <w:szCs w:val="21"/>
                <w:highlight w:val="none"/>
                <w:lang w:val="en-US" w:eastAsia="zh-CN"/>
              </w:rPr>
              <w:t>5</w:t>
            </w:r>
            <w:r>
              <w:rPr>
                <w:rFonts w:hint="eastAsia" w:ascii="宋体" w:hAnsi="宋体" w:eastAsia="宋体" w:cs="宋体"/>
                <w:b w:val="0"/>
                <w:bCs/>
                <w:sz w:val="21"/>
                <w:szCs w:val="21"/>
                <w:highlight w:val="none"/>
                <w:lang w:val="en-US" w:eastAsia="zh-CN"/>
              </w:rPr>
              <w:t>分；</w:t>
            </w:r>
          </w:p>
          <w:p w14:paraId="2CB8AD1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2、重难点的剖析在细节上较好的得</w:t>
            </w:r>
            <w:r>
              <w:rPr>
                <w:rFonts w:hint="eastAsia" w:ascii="宋体" w:hAnsi="宋体" w:cs="宋体"/>
                <w:b w:val="0"/>
                <w:bCs/>
                <w:sz w:val="21"/>
                <w:szCs w:val="21"/>
                <w:highlight w:val="none"/>
                <w:lang w:val="en-US" w:eastAsia="zh-CN"/>
              </w:rPr>
              <w:t>3</w:t>
            </w:r>
            <w:r>
              <w:rPr>
                <w:rFonts w:hint="eastAsia" w:ascii="宋体" w:hAnsi="宋体" w:eastAsia="宋体" w:cs="宋体"/>
                <w:b w:val="0"/>
                <w:bCs/>
                <w:sz w:val="21"/>
                <w:szCs w:val="21"/>
                <w:highlight w:val="none"/>
                <w:lang w:val="en-US" w:eastAsia="zh-CN"/>
              </w:rPr>
              <w:t>分；</w:t>
            </w:r>
          </w:p>
          <w:p w14:paraId="4FA80A4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3、重难点剖析片面、专业性欠佳的得1分；</w:t>
            </w:r>
          </w:p>
          <w:p w14:paraId="1C51226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 w:val="0"/>
                <w:bCs/>
                <w:sz w:val="21"/>
                <w:szCs w:val="21"/>
                <w:highlight w:val="none"/>
                <w:lang w:val="en-US" w:eastAsia="zh-CN"/>
              </w:rPr>
              <w:t>4、未提供不得分。</w:t>
            </w:r>
          </w:p>
        </w:tc>
        <w:tc>
          <w:tcPr>
            <w:tcW w:w="305" w:type="pct"/>
            <w:tcBorders>
              <w:top w:val="single" w:color="auto" w:sz="4" w:space="0"/>
              <w:left w:val="nil"/>
              <w:bottom w:val="single" w:color="auto" w:sz="4" w:space="0"/>
              <w:right w:val="single" w:color="auto" w:sz="4" w:space="0"/>
            </w:tcBorders>
            <w:shd w:val="clear" w:color="auto" w:fill="FFFFFF"/>
            <w:noWrap w:val="0"/>
            <w:vAlign w:val="center"/>
          </w:tcPr>
          <w:p w14:paraId="33D26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r>
      <w:tr w14:paraId="60F53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 w:type="pct"/>
            <w:vMerge w:val="continue"/>
            <w:tcBorders>
              <w:left w:val="single" w:color="auto" w:sz="4" w:space="0"/>
              <w:bottom w:val="single" w:color="auto" w:sz="4" w:space="0"/>
              <w:right w:val="single" w:color="auto" w:sz="4" w:space="0"/>
            </w:tcBorders>
            <w:shd w:val="clear" w:color="auto" w:fill="auto"/>
            <w:noWrap w:val="0"/>
            <w:vAlign w:val="center"/>
          </w:tcPr>
          <w:p w14:paraId="7CD207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highlight w:val="none"/>
              </w:rPr>
            </w:pPr>
          </w:p>
        </w:tc>
        <w:tc>
          <w:tcPr>
            <w:tcW w:w="412" w:type="pct"/>
            <w:vMerge w:val="continue"/>
            <w:tcBorders>
              <w:left w:val="single" w:color="auto" w:sz="4" w:space="0"/>
              <w:bottom w:val="single" w:color="auto" w:sz="4" w:space="0"/>
              <w:right w:val="single" w:color="auto" w:sz="4" w:space="0"/>
            </w:tcBorders>
            <w:shd w:val="clear" w:color="auto" w:fill="auto"/>
            <w:noWrap w:val="0"/>
            <w:vAlign w:val="center"/>
          </w:tcPr>
          <w:p w14:paraId="34ED09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highlight w:val="none"/>
              </w:rPr>
            </w:pPr>
          </w:p>
        </w:tc>
        <w:tc>
          <w:tcPr>
            <w:tcW w:w="356" w:type="pct"/>
            <w:vMerge w:val="continue"/>
            <w:tcBorders>
              <w:left w:val="nil"/>
              <w:right w:val="single" w:color="auto" w:sz="4" w:space="0"/>
            </w:tcBorders>
            <w:shd w:val="clear" w:color="auto" w:fill="auto"/>
            <w:noWrap w:val="0"/>
            <w:vAlign w:val="center"/>
          </w:tcPr>
          <w:p w14:paraId="7289BF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highlight w:val="none"/>
              </w:rPr>
            </w:pPr>
          </w:p>
        </w:tc>
        <w:tc>
          <w:tcPr>
            <w:tcW w:w="3679" w:type="pct"/>
            <w:tcBorders>
              <w:top w:val="single" w:color="auto" w:sz="4" w:space="0"/>
              <w:left w:val="nil"/>
              <w:right w:val="single" w:color="auto" w:sz="4" w:space="0"/>
            </w:tcBorders>
            <w:shd w:val="clear" w:color="auto" w:fill="FFFFFF"/>
            <w:noWrap w:val="0"/>
            <w:vAlign w:val="center"/>
          </w:tcPr>
          <w:p w14:paraId="39D66E0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根据投标人针对重难点提出的解决方法及措施进行综合评分：</w:t>
            </w:r>
          </w:p>
          <w:p w14:paraId="5ADAC9A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1、提出的解决措施合理、有效可行的</w:t>
            </w:r>
            <w:r>
              <w:rPr>
                <w:rFonts w:hint="eastAsia" w:ascii="宋体" w:hAnsi="宋体" w:cs="宋体"/>
                <w:b w:val="0"/>
                <w:bCs/>
                <w:sz w:val="21"/>
                <w:szCs w:val="21"/>
                <w:highlight w:val="none"/>
                <w:lang w:val="en-US" w:eastAsia="zh-CN"/>
              </w:rPr>
              <w:t>5</w:t>
            </w:r>
            <w:r>
              <w:rPr>
                <w:rFonts w:hint="eastAsia" w:ascii="宋体" w:hAnsi="宋体" w:eastAsia="宋体" w:cs="宋体"/>
                <w:b w:val="0"/>
                <w:bCs/>
                <w:sz w:val="21"/>
                <w:szCs w:val="21"/>
                <w:highlight w:val="none"/>
                <w:lang w:val="en-US" w:eastAsia="zh-CN"/>
              </w:rPr>
              <w:t>分；</w:t>
            </w:r>
          </w:p>
          <w:p w14:paraId="010130C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2、提出的解决措施在细节上较合理可行的得</w:t>
            </w:r>
            <w:r>
              <w:rPr>
                <w:rFonts w:hint="eastAsia" w:ascii="宋体" w:hAnsi="宋体" w:cs="宋体"/>
                <w:b w:val="0"/>
                <w:bCs/>
                <w:sz w:val="21"/>
                <w:szCs w:val="21"/>
                <w:highlight w:val="none"/>
                <w:lang w:val="en-US" w:eastAsia="zh-CN"/>
              </w:rPr>
              <w:t>3</w:t>
            </w:r>
            <w:r>
              <w:rPr>
                <w:rFonts w:hint="eastAsia" w:ascii="宋体" w:hAnsi="宋体" w:eastAsia="宋体" w:cs="宋体"/>
                <w:b w:val="0"/>
                <w:bCs/>
                <w:sz w:val="21"/>
                <w:szCs w:val="21"/>
                <w:highlight w:val="none"/>
                <w:lang w:val="en-US" w:eastAsia="zh-CN"/>
              </w:rPr>
              <w:t>分；</w:t>
            </w:r>
          </w:p>
          <w:p w14:paraId="6496050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3、提出的解决措施针对性和可行性一般的得1分；</w:t>
            </w:r>
          </w:p>
          <w:p w14:paraId="18775FB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val="0"/>
                <w:bCs/>
                <w:sz w:val="21"/>
                <w:szCs w:val="21"/>
                <w:highlight w:val="none"/>
                <w:lang w:val="en-US" w:eastAsia="zh-CN"/>
              </w:rPr>
              <w:t>4、未提供不得分。</w:t>
            </w:r>
          </w:p>
        </w:tc>
        <w:tc>
          <w:tcPr>
            <w:tcW w:w="305" w:type="pct"/>
            <w:tcBorders>
              <w:top w:val="single" w:color="auto" w:sz="4" w:space="0"/>
              <w:left w:val="nil"/>
              <w:bottom w:val="single" w:color="auto" w:sz="4" w:space="0"/>
              <w:right w:val="single" w:color="auto" w:sz="4" w:space="0"/>
            </w:tcBorders>
            <w:shd w:val="clear" w:color="auto" w:fill="FFFFFF"/>
            <w:noWrap w:val="0"/>
            <w:vAlign w:val="center"/>
          </w:tcPr>
          <w:p w14:paraId="2B1856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r>
      <w:tr w14:paraId="0E2FF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6514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D0AF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监督检查体系</w:t>
            </w:r>
          </w:p>
        </w:tc>
        <w:tc>
          <w:tcPr>
            <w:tcW w:w="356" w:type="pct"/>
            <w:tcBorders>
              <w:top w:val="single" w:color="auto" w:sz="4" w:space="0"/>
              <w:left w:val="nil"/>
              <w:right w:val="single" w:color="auto" w:sz="4" w:space="0"/>
            </w:tcBorders>
            <w:shd w:val="clear" w:color="auto" w:fill="auto"/>
            <w:noWrap w:val="0"/>
            <w:vAlign w:val="center"/>
          </w:tcPr>
          <w:p w14:paraId="4517A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主观</w:t>
            </w:r>
          </w:p>
        </w:tc>
        <w:tc>
          <w:tcPr>
            <w:tcW w:w="3679" w:type="pct"/>
            <w:tcBorders>
              <w:top w:val="single" w:color="auto" w:sz="4" w:space="0"/>
              <w:left w:val="nil"/>
              <w:right w:val="single" w:color="auto" w:sz="4" w:space="0"/>
            </w:tcBorders>
            <w:shd w:val="clear" w:color="auto" w:fill="FFFFFF"/>
            <w:noWrap w:val="0"/>
            <w:vAlign w:val="center"/>
          </w:tcPr>
          <w:p w14:paraId="29D1B7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根据投标人针对本项目提供的监督检查（或自查内控）体系进行综合评分：</w:t>
            </w:r>
          </w:p>
          <w:p w14:paraId="488158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1、监督检查（或自查内控）体系完善，对所出具的鉴定报告结果的权威性、真实性、合理性有效的监督检查（或自查内控）方法及保障措施的得</w:t>
            </w:r>
            <w:r>
              <w:rPr>
                <w:rFonts w:hint="eastAsia" w:ascii="宋体" w:hAnsi="宋体" w:cs="宋体"/>
                <w:bCs/>
                <w:kern w:val="2"/>
                <w:sz w:val="21"/>
                <w:szCs w:val="21"/>
                <w:highlight w:val="none"/>
                <w:lang w:val="en-US" w:eastAsia="zh-CN" w:bidi="ar-SA"/>
              </w:rPr>
              <w:t>6</w:t>
            </w:r>
            <w:r>
              <w:rPr>
                <w:rFonts w:hint="eastAsia" w:ascii="宋体" w:hAnsi="宋体" w:eastAsia="宋体" w:cs="宋体"/>
                <w:bCs/>
                <w:kern w:val="2"/>
                <w:sz w:val="21"/>
                <w:szCs w:val="21"/>
                <w:highlight w:val="none"/>
                <w:lang w:val="en-US" w:eastAsia="zh-CN" w:bidi="ar-SA"/>
              </w:rPr>
              <w:t>分；</w:t>
            </w:r>
          </w:p>
          <w:p w14:paraId="696211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2、监督检查（或自查内控）体系较好的得</w:t>
            </w:r>
            <w:r>
              <w:rPr>
                <w:rFonts w:hint="eastAsia" w:ascii="宋体" w:hAnsi="宋体" w:cs="宋体"/>
                <w:bCs/>
                <w:kern w:val="2"/>
                <w:sz w:val="21"/>
                <w:szCs w:val="21"/>
                <w:highlight w:val="none"/>
                <w:lang w:val="en-US" w:eastAsia="zh-CN" w:bidi="ar-SA"/>
              </w:rPr>
              <w:t>4</w:t>
            </w:r>
            <w:r>
              <w:rPr>
                <w:rFonts w:hint="eastAsia" w:ascii="宋体" w:hAnsi="宋体" w:eastAsia="宋体" w:cs="宋体"/>
                <w:bCs/>
                <w:kern w:val="2"/>
                <w:sz w:val="21"/>
                <w:szCs w:val="21"/>
                <w:highlight w:val="none"/>
                <w:lang w:val="en-US" w:eastAsia="zh-CN" w:bidi="ar-SA"/>
              </w:rPr>
              <w:t>分；</w:t>
            </w:r>
          </w:p>
          <w:p w14:paraId="489517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3、监督检查（或自查内控）体系一般的得</w:t>
            </w:r>
            <w:r>
              <w:rPr>
                <w:rFonts w:hint="eastAsia" w:ascii="宋体" w:hAnsi="宋体" w:cs="宋体"/>
                <w:bCs/>
                <w:kern w:val="2"/>
                <w:sz w:val="21"/>
                <w:szCs w:val="21"/>
                <w:highlight w:val="none"/>
                <w:lang w:val="en-US" w:eastAsia="zh-CN" w:bidi="ar-SA"/>
              </w:rPr>
              <w:t>2</w:t>
            </w:r>
            <w:r>
              <w:rPr>
                <w:rFonts w:hint="eastAsia" w:ascii="宋体" w:hAnsi="宋体" w:eastAsia="宋体" w:cs="宋体"/>
                <w:bCs/>
                <w:kern w:val="2"/>
                <w:sz w:val="21"/>
                <w:szCs w:val="21"/>
                <w:highlight w:val="none"/>
                <w:lang w:val="en-US" w:eastAsia="zh-CN" w:bidi="ar-SA"/>
              </w:rPr>
              <w:t>分</w:t>
            </w:r>
            <w:r>
              <w:rPr>
                <w:rFonts w:hint="eastAsia" w:ascii="宋体" w:hAnsi="宋体" w:cs="宋体"/>
                <w:bCs/>
                <w:kern w:val="2"/>
                <w:sz w:val="21"/>
                <w:szCs w:val="21"/>
                <w:highlight w:val="none"/>
                <w:lang w:val="en-US" w:eastAsia="zh-CN" w:bidi="ar-SA"/>
              </w:rPr>
              <w:t>；</w:t>
            </w:r>
          </w:p>
          <w:p w14:paraId="2C69E6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bCs/>
                <w:kern w:val="2"/>
                <w:sz w:val="21"/>
                <w:szCs w:val="21"/>
                <w:highlight w:val="none"/>
                <w:lang w:val="en-US" w:eastAsia="zh-CN" w:bidi="ar-SA"/>
              </w:rPr>
              <w:t>4、</w:t>
            </w:r>
            <w:r>
              <w:rPr>
                <w:rFonts w:hint="eastAsia" w:ascii="宋体" w:hAnsi="宋体" w:eastAsia="宋体" w:cs="宋体"/>
                <w:bCs/>
                <w:kern w:val="2"/>
                <w:sz w:val="21"/>
                <w:szCs w:val="21"/>
                <w:highlight w:val="none"/>
                <w:lang w:val="en-US" w:eastAsia="zh-CN" w:bidi="ar-SA"/>
              </w:rPr>
              <w:t>监督检查（或自查内控）体系不完善、监督检查方法及保障措施欠佳</w:t>
            </w:r>
            <w:r>
              <w:rPr>
                <w:rFonts w:hint="eastAsia" w:ascii="宋体" w:hAnsi="宋体" w:cs="宋体"/>
                <w:bCs/>
                <w:kern w:val="2"/>
                <w:sz w:val="21"/>
                <w:szCs w:val="21"/>
                <w:highlight w:val="none"/>
                <w:lang w:val="en-US" w:eastAsia="zh-CN" w:bidi="ar-SA"/>
              </w:rPr>
              <w:t>或</w:t>
            </w:r>
            <w:r>
              <w:rPr>
                <w:rFonts w:hint="eastAsia" w:ascii="宋体" w:hAnsi="宋体" w:eastAsia="宋体" w:cs="宋体"/>
                <w:bCs/>
                <w:kern w:val="2"/>
                <w:sz w:val="21"/>
                <w:szCs w:val="21"/>
                <w:highlight w:val="none"/>
                <w:lang w:val="en-US" w:eastAsia="zh-CN" w:bidi="ar-SA"/>
              </w:rPr>
              <w:t>未提供不得分。</w:t>
            </w:r>
          </w:p>
        </w:tc>
        <w:tc>
          <w:tcPr>
            <w:tcW w:w="305" w:type="pct"/>
            <w:tcBorders>
              <w:top w:val="single" w:color="auto" w:sz="4" w:space="0"/>
              <w:left w:val="nil"/>
              <w:bottom w:val="single" w:color="auto" w:sz="4" w:space="0"/>
              <w:right w:val="single" w:color="auto" w:sz="4" w:space="0"/>
            </w:tcBorders>
            <w:shd w:val="clear" w:color="auto" w:fill="FFFFFF"/>
            <w:noWrap w:val="0"/>
            <w:vAlign w:val="center"/>
          </w:tcPr>
          <w:p w14:paraId="4F90E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p>
        </w:tc>
      </w:tr>
      <w:tr w14:paraId="5FF12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33DF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38CE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应急预案</w:t>
            </w:r>
          </w:p>
        </w:tc>
        <w:tc>
          <w:tcPr>
            <w:tcW w:w="356" w:type="pct"/>
            <w:tcBorders>
              <w:top w:val="single" w:color="auto" w:sz="4" w:space="0"/>
              <w:left w:val="nil"/>
              <w:bottom w:val="single" w:color="auto" w:sz="4" w:space="0"/>
              <w:right w:val="single" w:color="auto" w:sz="4" w:space="0"/>
            </w:tcBorders>
            <w:shd w:val="clear" w:color="auto" w:fill="auto"/>
            <w:noWrap w:val="0"/>
            <w:vAlign w:val="center"/>
          </w:tcPr>
          <w:p w14:paraId="0EE0BB2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主观</w:t>
            </w:r>
          </w:p>
        </w:tc>
        <w:tc>
          <w:tcPr>
            <w:tcW w:w="3679" w:type="pct"/>
            <w:tcBorders>
              <w:top w:val="single" w:color="auto" w:sz="4" w:space="0"/>
              <w:left w:val="nil"/>
              <w:bottom w:val="single" w:color="auto" w:sz="4" w:space="0"/>
              <w:right w:val="single" w:color="auto" w:sz="4" w:space="0"/>
            </w:tcBorders>
            <w:shd w:val="clear" w:color="auto" w:fill="FFFFFF"/>
            <w:noWrap w:val="0"/>
            <w:vAlign w:val="center"/>
          </w:tcPr>
          <w:p w14:paraId="6F55C6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根据投标人提供的以往工作经验并结合本项目实际情况，提供在服务过程中可能出现的突发事件分析，并提供相应的解决措施进行综合评分：</w:t>
            </w:r>
          </w:p>
          <w:p w14:paraId="2A658418">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突发事件分析预测剖析精准、全面，解决措施有效可行的得8分；</w:t>
            </w:r>
          </w:p>
          <w:p w14:paraId="56D25525">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突发事件分析及解决措施较完善、可行性较好的得6分；</w:t>
            </w:r>
          </w:p>
          <w:p w14:paraId="5C0A539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2、突发事件分析及解决措施一般的得4分；</w:t>
            </w:r>
          </w:p>
          <w:p w14:paraId="54B1C5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4、突发事件分析不完善及解决措施尚可的得2分</w:t>
            </w:r>
            <w:r>
              <w:rPr>
                <w:rFonts w:hint="eastAsia" w:ascii="宋体" w:hAnsi="宋体" w:cs="宋体"/>
                <w:bCs/>
                <w:kern w:val="2"/>
                <w:sz w:val="21"/>
                <w:szCs w:val="21"/>
                <w:highlight w:val="none"/>
                <w:lang w:val="en-US" w:eastAsia="zh-CN" w:bidi="ar-SA"/>
              </w:rPr>
              <w:t>；</w:t>
            </w:r>
          </w:p>
          <w:p w14:paraId="4BDBF6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snapToGrid w:val="0"/>
                <w:kern w:val="0"/>
                <w:sz w:val="21"/>
                <w:szCs w:val="21"/>
                <w:highlight w:val="none"/>
                <w:lang w:val="en-US" w:eastAsia="zh-CN" w:bidi="ar-SA"/>
              </w:rPr>
            </w:pPr>
            <w:r>
              <w:rPr>
                <w:rFonts w:hint="eastAsia" w:ascii="宋体" w:hAnsi="宋体" w:cs="宋体"/>
                <w:bCs/>
                <w:kern w:val="2"/>
                <w:sz w:val="21"/>
                <w:szCs w:val="21"/>
                <w:highlight w:val="none"/>
                <w:lang w:val="en-US" w:eastAsia="zh-CN" w:bidi="ar-SA"/>
              </w:rPr>
              <w:t>5、</w:t>
            </w:r>
            <w:r>
              <w:rPr>
                <w:rFonts w:hint="eastAsia" w:ascii="宋体" w:hAnsi="宋体" w:eastAsia="宋体" w:cs="宋体"/>
                <w:bCs/>
                <w:kern w:val="2"/>
                <w:sz w:val="21"/>
                <w:szCs w:val="21"/>
                <w:highlight w:val="none"/>
                <w:lang w:val="en-US" w:eastAsia="zh-CN" w:bidi="ar-SA"/>
              </w:rPr>
              <w:t>未提供不得分。</w:t>
            </w:r>
          </w:p>
        </w:tc>
        <w:tc>
          <w:tcPr>
            <w:tcW w:w="305" w:type="pct"/>
            <w:tcBorders>
              <w:top w:val="single" w:color="auto" w:sz="4" w:space="0"/>
              <w:left w:val="nil"/>
              <w:bottom w:val="single" w:color="auto" w:sz="4" w:space="0"/>
              <w:right w:val="single" w:color="auto" w:sz="4" w:space="0"/>
            </w:tcBorders>
            <w:shd w:val="clear" w:color="auto" w:fill="FFFFFF"/>
            <w:noWrap w:val="0"/>
            <w:vAlign w:val="center"/>
          </w:tcPr>
          <w:p w14:paraId="2D4CF2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r>
      <w:tr w14:paraId="0AC2E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DFF610">
            <w:pPr>
              <w:pStyle w:val="10"/>
              <w:keepNext w:val="0"/>
              <w:keepLines w:val="0"/>
              <w:pageBreakBefore w:val="0"/>
              <w:kinsoku/>
              <w:wordWrap/>
              <w:overflowPunct/>
              <w:topLinePunct w:val="0"/>
              <w:autoSpaceDE/>
              <w:autoSpaceDN/>
              <w:bidi w:val="0"/>
              <w:adjustRightInd/>
              <w:snapToGrid w:val="0"/>
              <w:spacing w:after="0" w:line="360" w:lineRule="auto"/>
              <w:ind w:left="0" w:leftChars="0"/>
              <w:jc w:val="center"/>
              <w:textAlignment w:val="auto"/>
              <w:outlineLvl w:val="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14</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52A6E9">
            <w:pPr>
              <w:pStyle w:val="10"/>
              <w:keepNext w:val="0"/>
              <w:keepLines w:val="0"/>
              <w:pageBreakBefore w:val="0"/>
              <w:kinsoku/>
              <w:wordWrap/>
              <w:overflowPunct/>
              <w:topLinePunct w:val="0"/>
              <w:autoSpaceDE/>
              <w:autoSpaceDN/>
              <w:bidi w:val="0"/>
              <w:adjustRightInd/>
              <w:snapToGrid w:val="0"/>
              <w:spacing w:after="0" w:line="360" w:lineRule="auto"/>
              <w:ind w:left="0" w:leftChars="0"/>
              <w:jc w:val="center"/>
              <w:textAlignment w:val="auto"/>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安全保密措施</w:t>
            </w:r>
          </w:p>
        </w:tc>
        <w:tc>
          <w:tcPr>
            <w:tcW w:w="356" w:type="pct"/>
            <w:tcBorders>
              <w:top w:val="single" w:color="auto" w:sz="4" w:space="0"/>
              <w:left w:val="nil"/>
              <w:bottom w:val="single" w:color="auto" w:sz="4" w:space="0"/>
              <w:right w:val="single" w:color="auto" w:sz="4" w:space="0"/>
            </w:tcBorders>
            <w:shd w:val="clear" w:color="auto" w:fill="auto"/>
            <w:noWrap w:val="0"/>
            <w:vAlign w:val="center"/>
          </w:tcPr>
          <w:p w14:paraId="6E971D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主观</w:t>
            </w:r>
          </w:p>
        </w:tc>
        <w:tc>
          <w:tcPr>
            <w:tcW w:w="3679" w:type="pct"/>
            <w:tcBorders>
              <w:top w:val="single" w:color="auto" w:sz="4" w:space="0"/>
              <w:left w:val="nil"/>
              <w:bottom w:val="single" w:color="auto" w:sz="4" w:space="0"/>
              <w:right w:val="single" w:color="auto" w:sz="4" w:space="0"/>
            </w:tcBorders>
            <w:shd w:val="clear" w:color="auto" w:fill="FFFFFF"/>
            <w:noWrap w:val="0"/>
            <w:vAlign w:val="center"/>
          </w:tcPr>
          <w:p w14:paraId="4E1086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投标人针对本项目的</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安全保密措施</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及档案留存的年限、管理方式</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进行综合评分：</w:t>
            </w:r>
          </w:p>
          <w:p w14:paraId="77DF84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具有完整的保密措施及条例，有效防止泄密，</w:t>
            </w:r>
            <w:r>
              <w:rPr>
                <w:rFonts w:hint="eastAsia" w:ascii="宋体" w:hAnsi="宋体" w:eastAsia="宋体" w:cs="宋体"/>
                <w:color w:val="000000" w:themeColor="text1"/>
                <w:sz w:val="21"/>
                <w:szCs w:val="21"/>
                <w:highlight w:val="none"/>
                <w:lang w:val="en-US" w:eastAsia="zh-CN"/>
                <w14:textFill>
                  <w14:solidFill>
                    <w14:schemeClr w14:val="tx1"/>
                  </w14:solidFill>
                </w14:textFill>
              </w:rPr>
              <w:t>完全满足项目实施需求的得</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p w14:paraId="083A543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2、保密措施内容较清晰完善、防范员工泄密的有一定措施，</w:t>
            </w:r>
            <w:r>
              <w:rPr>
                <w:rFonts w:hint="eastAsia" w:ascii="宋体" w:hAnsi="宋体" w:cs="宋体"/>
                <w:color w:val="000000" w:themeColor="text1"/>
                <w:sz w:val="21"/>
                <w:szCs w:val="21"/>
                <w:highlight w:val="none"/>
                <w:lang w:val="en-US" w:eastAsia="zh-CN"/>
                <w14:textFill>
                  <w14:solidFill>
                    <w14:schemeClr w14:val="tx1"/>
                  </w14:solidFill>
                </w14:textFill>
              </w:rPr>
              <w:t>具有较为完整的保密措施及条例，</w:t>
            </w:r>
            <w:r>
              <w:rPr>
                <w:rFonts w:hint="eastAsia" w:ascii="宋体" w:hAnsi="宋体" w:eastAsia="宋体" w:cs="宋体"/>
                <w:color w:val="000000" w:themeColor="text1"/>
                <w:sz w:val="21"/>
                <w:szCs w:val="21"/>
                <w:highlight w:val="none"/>
                <w:lang w:val="en-US" w:eastAsia="zh-CN"/>
                <w14:textFill>
                  <w14:solidFill>
                    <w14:schemeClr w14:val="tx1"/>
                  </w14:solidFill>
                </w14:textFill>
              </w:rPr>
              <w:t>基本满足项目实施需求的得</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p w14:paraId="1333D4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3、保密措施内容</w:t>
            </w:r>
            <w:r>
              <w:rPr>
                <w:rFonts w:hint="eastAsia" w:ascii="宋体" w:hAnsi="宋体" w:cs="宋体"/>
                <w:strike w:val="0"/>
                <w:dstrike w:val="0"/>
                <w:color w:val="000000" w:themeColor="text1"/>
                <w:sz w:val="21"/>
                <w:szCs w:val="21"/>
                <w:highlight w:val="none"/>
                <w:lang w:val="en-US" w:eastAsia="zh-CN"/>
                <w14:textFill>
                  <w14:solidFill>
                    <w14:schemeClr w14:val="tx1"/>
                  </w14:solidFill>
                </w14:textFill>
              </w:rPr>
              <w:t>较为普通</w:t>
            </w: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、防范员工泄密的措施</w:t>
            </w:r>
            <w:r>
              <w:rPr>
                <w:rFonts w:hint="eastAsia" w:ascii="宋体" w:hAnsi="宋体" w:cs="宋体"/>
                <w:strike w:val="0"/>
                <w:dstrike w:val="0"/>
                <w:color w:val="000000" w:themeColor="text1"/>
                <w:sz w:val="21"/>
                <w:szCs w:val="21"/>
                <w:highlight w:val="none"/>
                <w:lang w:val="en-US" w:eastAsia="zh-CN"/>
                <w14:textFill>
                  <w14:solidFill>
                    <w14:schemeClr w14:val="tx1"/>
                  </w14:solidFill>
                </w14:textFill>
              </w:rPr>
              <w:t>尚可</w:t>
            </w: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、公司保密</w:t>
            </w:r>
            <w:r>
              <w:rPr>
                <w:rFonts w:hint="eastAsia" w:ascii="宋体" w:hAnsi="宋体" w:cs="宋体"/>
                <w:strike w:val="0"/>
                <w:dstrike w:val="0"/>
                <w:color w:val="000000" w:themeColor="text1"/>
                <w:sz w:val="21"/>
                <w:szCs w:val="21"/>
                <w:highlight w:val="none"/>
                <w:lang w:val="en-US" w:eastAsia="zh-CN"/>
                <w14:textFill>
                  <w14:solidFill>
                    <w14:schemeClr w14:val="tx1"/>
                  </w14:solidFill>
                </w14:textFill>
              </w:rPr>
              <w:t>制度</w:t>
            </w: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尚可得</w:t>
            </w:r>
            <w:r>
              <w:rPr>
                <w:rFonts w:hint="eastAsia" w:ascii="宋体" w:hAnsi="宋体" w:cs="宋体"/>
                <w:strike w:val="0"/>
                <w:dstrike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分</w:t>
            </w:r>
            <w:r>
              <w:rPr>
                <w:rFonts w:hint="eastAsia" w:ascii="宋体" w:hAnsi="宋体" w:cs="宋体"/>
                <w:strike w:val="0"/>
                <w:dstrike w:val="0"/>
                <w:color w:val="000000" w:themeColor="text1"/>
                <w:sz w:val="21"/>
                <w:szCs w:val="21"/>
                <w:highlight w:val="none"/>
                <w:lang w:val="en-US" w:eastAsia="zh-CN"/>
                <w14:textFill>
                  <w14:solidFill>
                    <w14:schemeClr w14:val="tx1"/>
                  </w14:solidFill>
                </w14:textFill>
              </w:rPr>
              <w:t>；</w:t>
            </w:r>
          </w:p>
          <w:p w14:paraId="112E59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strike w:val="0"/>
                <w:dstrike w:val="0"/>
                <w:color w:val="000000" w:themeColor="text1"/>
                <w:sz w:val="21"/>
                <w:szCs w:val="21"/>
                <w:highlight w:val="none"/>
                <w:lang w:val="en-US" w:eastAsia="zh-CN"/>
                <w14:textFill>
                  <w14:solidFill>
                    <w14:schemeClr w14:val="tx1"/>
                  </w14:solidFill>
                </w14:textFill>
              </w:rPr>
              <w:t>4、保密措施较差，可能导致泄密的或</w:t>
            </w: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未提供不得分。</w:t>
            </w:r>
          </w:p>
        </w:tc>
        <w:tc>
          <w:tcPr>
            <w:tcW w:w="305" w:type="pct"/>
            <w:tcBorders>
              <w:top w:val="single" w:color="auto" w:sz="4" w:space="0"/>
              <w:left w:val="nil"/>
              <w:bottom w:val="single" w:color="auto" w:sz="4" w:space="0"/>
              <w:right w:val="single" w:color="auto" w:sz="4" w:space="0"/>
            </w:tcBorders>
            <w:shd w:val="clear" w:color="auto" w:fill="FFFFFF"/>
            <w:noWrap w:val="0"/>
            <w:vAlign w:val="center"/>
          </w:tcPr>
          <w:p w14:paraId="135CE342">
            <w:pPr>
              <w:pStyle w:val="10"/>
              <w:keepNext w:val="0"/>
              <w:keepLines w:val="0"/>
              <w:pageBreakBefore w:val="0"/>
              <w:kinsoku/>
              <w:wordWrap/>
              <w:overflowPunct/>
              <w:topLinePunct w:val="0"/>
              <w:autoSpaceDE/>
              <w:autoSpaceDN/>
              <w:bidi w:val="0"/>
              <w:adjustRightInd/>
              <w:snapToGrid w:val="0"/>
              <w:spacing w:after="0" w:line="360" w:lineRule="auto"/>
              <w:ind w:left="0" w:leftChars="0"/>
              <w:jc w:val="center"/>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8</w:t>
            </w:r>
          </w:p>
        </w:tc>
      </w:tr>
      <w:tr w14:paraId="37D86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694"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72FEFB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合计</w:t>
            </w:r>
          </w:p>
        </w:tc>
        <w:tc>
          <w:tcPr>
            <w:tcW w:w="305" w:type="pct"/>
            <w:tcBorders>
              <w:top w:val="single" w:color="auto" w:sz="4" w:space="0"/>
              <w:left w:val="nil"/>
              <w:bottom w:val="single" w:color="auto" w:sz="4" w:space="0"/>
              <w:right w:val="single" w:color="auto" w:sz="4" w:space="0"/>
            </w:tcBorders>
            <w:shd w:val="clear" w:color="auto" w:fill="FFFFFF"/>
            <w:noWrap w:val="0"/>
            <w:vAlign w:val="center"/>
          </w:tcPr>
          <w:p w14:paraId="3879C1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90</w:t>
            </w:r>
          </w:p>
        </w:tc>
      </w:tr>
    </w:tbl>
    <w:p w14:paraId="4D6EE034">
      <w:pPr>
        <w:pageBreakBefore w:val="0"/>
        <w:kinsoku/>
        <w:wordWrap/>
        <w:overflowPunct/>
        <w:topLinePunct w:val="0"/>
        <w:bidi w:val="0"/>
        <w:spacing w:line="360" w:lineRule="auto"/>
        <w:rPr>
          <w:rFonts w:hint="eastAsia" w:ascii="宋体" w:hAnsi="宋体" w:cs="宋体"/>
          <w:b/>
          <w:sz w:val="28"/>
          <w:szCs w:val="28"/>
          <w:highlight w:val="none"/>
        </w:rPr>
      </w:pPr>
      <w:r>
        <w:rPr>
          <w:rFonts w:hint="eastAsia" w:ascii="宋体" w:hAnsi="宋体" w:cs="宋体"/>
          <w:b/>
          <w:sz w:val="28"/>
          <w:szCs w:val="28"/>
          <w:highlight w:val="none"/>
        </w:rPr>
        <w:br w:type="page"/>
      </w:r>
    </w:p>
    <w:p w14:paraId="6E3D18DE">
      <w:pPr>
        <w:pageBreakBefore w:val="0"/>
        <w:kinsoku/>
        <w:wordWrap/>
        <w:overflowPunct/>
        <w:topLinePunct w:val="0"/>
        <w:bidi w:val="0"/>
        <w:spacing w:line="360" w:lineRule="auto"/>
        <w:jc w:val="center"/>
        <w:outlineLvl w:val="0"/>
        <w:rPr>
          <w:rFonts w:ascii="宋体" w:hAnsi="宋体" w:cs="宋体"/>
          <w:b/>
          <w:sz w:val="28"/>
          <w:szCs w:val="28"/>
          <w:highlight w:val="none"/>
        </w:rPr>
      </w:pPr>
      <w:r>
        <w:rPr>
          <w:rFonts w:hint="eastAsia" w:ascii="宋体" w:hAnsi="宋体" w:cs="宋体"/>
          <w:b/>
          <w:sz w:val="28"/>
          <w:szCs w:val="28"/>
          <w:highlight w:val="none"/>
        </w:rPr>
        <w:t>第五章  合同主要条款</w:t>
      </w:r>
    </w:p>
    <w:p w14:paraId="49AD7942">
      <w:pPr>
        <w:pageBreakBefore w:val="0"/>
        <w:kinsoku/>
        <w:wordWrap/>
        <w:overflowPunct/>
        <w:topLinePunct w:val="0"/>
        <w:bidi w:val="0"/>
        <w:snapToGrid w:val="0"/>
        <w:spacing w:before="156" w:beforeLines="50" w:after="156" w:afterLines="50" w:line="360" w:lineRule="auto"/>
        <w:jc w:val="center"/>
        <w:outlineLvl w:val="9"/>
        <w:rPr>
          <w:sz w:val="28"/>
          <w:szCs w:val="28"/>
          <w:highlight w:val="none"/>
        </w:rPr>
      </w:pPr>
      <w:r>
        <w:rPr>
          <w:rFonts w:hint="eastAsia" w:ascii="宋体" w:hAnsi="宋体" w:cs="宋体"/>
          <w:b/>
          <w:sz w:val="28"/>
          <w:szCs w:val="28"/>
          <w:highlight w:val="none"/>
        </w:rPr>
        <w:t>（具体条款以甲方</w:t>
      </w:r>
      <w:r>
        <w:rPr>
          <w:rFonts w:hint="eastAsia" w:ascii="宋体" w:hAnsi="宋体" w:cs="宋体"/>
          <w:b/>
          <w:sz w:val="28"/>
          <w:szCs w:val="28"/>
          <w:highlight w:val="none"/>
          <w:lang w:val="en-US" w:eastAsia="zh-CN"/>
        </w:rPr>
        <w:t>为主</w:t>
      </w:r>
      <w:r>
        <w:rPr>
          <w:rFonts w:hint="eastAsia" w:ascii="宋体" w:hAnsi="宋体" w:cs="宋体"/>
          <w:b/>
          <w:sz w:val="28"/>
          <w:szCs w:val="28"/>
          <w:highlight w:val="none"/>
        </w:rPr>
        <w:t>协商确定）</w:t>
      </w:r>
    </w:p>
    <w:p w14:paraId="774D28AE">
      <w:pPr>
        <w:pageBreakBefore w:val="0"/>
        <w:kinsoku/>
        <w:wordWrap/>
        <w:overflowPunct/>
        <w:topLinePunct w:val="0"/>
        <w:bidi w:val="0"/>
        <w:spacing w:line="360" w:lineRule="auto"/>
        <w:jc w:val="center"/>
        <w:rPr>
          <w:rFonts w:ascii="宋体" w:hAnsi="宋体" w:cs="宋体"/>
          <w:sz w:val="44"/>
          <w:highlight w:val="none"/>
        </w:rPr>
      </w:pPr>
    </w:p>
    <w:p w14:paraId="3B7A4832">
      <w:pPr>
        <w:pageBreakBefore w:val="0"/>
        <w:kinsoku/>
        <w:wordWrap/>
        <w:overflowPunct/>
        <w:topLinePunct w:val="0"/>
        <w:bidi w:val="0"/>
        <w:spacing w:line="360" w:lineRule="auto"/>
        <w:jc w:val="center"/>
        <w:rPr>
          <w:rFonts w:ascii="宋体" w:hAnsi="宋体" w:cs="宋体"/>
          <w:sz w:val="44"/>
          <w:highlight w:val="none"/>
        </w:rPr>
      </w:pPr>
    </w:p>
    <w:p w14:paraId="63F02980">
      <w:pPr>
        <w:pageBreakBefore w:val="0"/>
        <w:kinsoku/>
        <w:wordWrap/>
        <w:overflowPunct/>
        <w:topLinePunct w:val="0"/>
        <w:bidi w:val="0"/>
        <w:spacing w:line="360" w:lineRule="auto"/>
        <w:jc w:val="center"/>
        <w:rPr>
          <w:rFonts w:ascii="宋体" w:hAnsi="宋体" w:cs="宋体"/>
          <w:sz w:val="44"/>
          <w:highlight w:val="none"/>
        </w:rPr>
      </w:pPr>
    </w:p>
    <w:p w14:paraId="6C400B6D">
      <w:pPr>
        <w:pageBreakBefore w:val="0"/>
        <w:kinsoku/>
        <w:wordWrap/>
        <w:overflowPunct/>
        <w:topLinePunct w:val="0"/>
        <w:bidi w:val="0"/>
        <w:spacing w:line="360" w:lineRule="auto"/>
        <w:jc w:val="center"/>
        <w:rPr>
          <w:rFonts w:ascii="宋体" w:hAnsi="宋体" w:cs="宋体"/>
          <w:sz w:val="44"/>
          <w:highlight w:val="none"/>
        </w:rPr>
      </w:pPr>
      <w:r>
        <w:rPr>
          <w:rFonts w:hint="eastAsia" w:ascii="宋体" w:hAnsi="宋体" w:cs="宋体"/>
          <w:sz w:val="44"/>
          <w:highlight w:val="none"/>
        </w:rPr>
        <w:t>项目合同</w:t>
      </w:r>
    </w:p>
    <w:p w14:paraId="28B6CC34">
      <w:pPr>
        <w:pageBreakBefore w:val="0"/>
        <w:kinsoku/>
        <w:wordWrap/>
        <w:overflowPunct/>
        <w:topLinePunct w:val="0"/>
        <w:bidi w:val="0"/>
        <w:spacing w:line="360" w:lineRule="auto"/>
        <w:jc w:val="center"/>
        <w:rPr>
          <w:rFonts w:ascii="宋体" w:hAnsi="宋体" w:cs="宋体"/>
          <w:sz w:val="30"/>
          <w:szCs w:val="30"/>
          <w:highlight w:val="none"/>
        </w:rPr>
      </w:pPr>
    </w:p>
    <w:p w14:paraId="7311FA99">
      <w:pPr>
        <w:pageBreakBefore w:val="0"/>
        <w:kinsoku/>
        <w:wordWrap/>
        <w:overflowPunct/>
        <w:topLinePunct w:val="0"/>
        <w:bidi w:val="0"/>
        <w:spacing w:line="360" w:lineRule="auto"/>
        <w:ind w:firstLine="1026" w:firstLineChars="342"/>
        <w:rPr>
          <w:rFonts w:ascii="宋体" w:hAnsi="宋体" w:cs="宋体"/>
          <w:sz w:val="30"/>
          <w:szCs w:val="30"/>
          <w:highlight w:val="none"/>
        </w:rPr>
      </w:pPr>
      <w:r>
        <w:rPr>
          <w:rFonts w:hint="eastAsia" w:ascii="宋体" w:hAnsi="宋体" w:cs="宋体"/>
          <w:sz w:val="30"/>
          <w:szCs w:val="30"/>
          <w:highlight w:val="none"/>
        </w:rPr>
        <w:t>项目名称：</w:t>
      </w:r>
      <w:r>
        <w:rPr>
          <w:rFonts w:hint="eastAsia" w:ascii="宋体" w:hAnsi="宋体" w:cs="宋体"/>
          <w:sz w:val="30"/>
          <w:szCs w:val="30"/>
          <w:highlight w:val="none"/>
          <w:u w:val="single"/>
        </w:rPr>
        <w:t xml:space="preserve">                                        </w:t>
      </w:r>
    </w:p>
    <w:p w14:paraId="5583FA2D">
      <w:pPr>
        <w:pageBreakBefore w:val="0"/>
        <w:kinsoku/>
        <w:wordWrap/>
        <w:overflowPunct/>
        <w:topLinePunct w:val="0"/>
        <w:bidi w:val="0"/>
        <w:spacing w:line="360" w:lineRule="auto"/>
        <w:ind w:firstLine="354" w:firstLineChars="118"/>
        <w:rPr>
          <w:rFonts w:ascii="宋体" w:hAnsi="宋体" w:cs="宋体"/>
          <w:sz w:val="30"/>
          <w:szCs w:val="30"/>
          <w:highlight w:val="none"/>
        </w:rPr>
      </w:pPr>
    </w:p>
    <w:p w14:paraId="3B7293BD">
      <w:pPr>
        <w:pageBreakBefore w:val="0"/>
        <w:kinsoku/>
        <w:wordWrap/>
        <w:overflowPunct/>
        <w:topLinePunct w:val="0"/>
        <w:bidi w:val="0"/>
        <w:spacing w:line="360" w:lineRule="auto"/>
        <w:ind w:firstLine="1026" w:firstLineChars="342"/>
        <w:rPr>
          <w:rFonts w:ascii="宋体" w:hAnsi="宋体" w:cs="宋体"/>
          <w:sz w:val="30"/>
          <w:szCs w:val="30"/>
          <w:highlight w:val="none"/>
          <w:u w:val="single"/>
        </w:rPr>
      </w:pPr>
      <w:r>
        <w:rPr>
          <w:rFonts w:hint="eastAsia" w:ascii="宋体" w:hAnsi="宋体" w:cs="宋体"/>
          <w:sz w:val="30"/>
          <w:szCs w:val="30"/>
          <w:highlight w:val="none"/>
        </w:rPr>
        <w:t>项目编号：</w:t>
      </w:r>
      <w:r>
        <w:rPr>
          <w:rFonts w:hint="eastAsia" w:ascii="宋体" w:hAnsi="宋体" w:cs="宋体"/>
          <w:sz w:val="30"/>
          <w:szCs w:val="30"/>
          <w:highlight w:val="none"/>
          <w:u w:val="single"/>
        </w:rPr>
        <w:t xml:space="preserve">                                        </w:t>
      </w:r>
    </w:p>
    <w:p w14:paraId="26981580">
      <w:pPr>
        <w:pageBreakBefore w:val="0"/>
        <w:kinsoku/>
        <w:wordWrap/>
        <w:overflowPunct/>
        <w:topLinePunct w:val="0"/>
        <w:bidi w:val="0"/>
        <w:spacing w:line="360" w:lineRule="auto"/>
        <w:rPr>
          <w:rFonts w:ascii="宋体" w:hAnsi="宋体" w:cs="宋体"/>
          <w:sz w:val="28"/>
          <w:szCs w:val="28"/>
          <w:highlight w:val="none"/>
        </w:rPr>
      </w:pPr>
    </w:p>
    <w:p w14:paraId="0EF5C05D">
      <w:pPr>
        <w:pageBreakBefore w:val="0"/>
        <w:kinsoku/>
        <w:wordWrap/>
        <w:overflowPunct/>
        <w:topLinePunct w:val="0"/>
        <w:bidi w:val="0"/>
        <w:spacing w:line="360" w:lineRule="auto"/>
        <w:rPr>
          <w:rFonts w:ascii="宋体" w:hAnsi="宋体" w:cs="宋体"/>
          <w:sz w:val="30"/>
          <w:szCs w:val="30"/>
          <w:highlight w:val="none"/>
        </w:rPr>
      </w:pPr>
    </w:p>
    <w:p w14:paraId="4B4F67E9">
      <w:pPr>
        <w:pageBreakBefore w:val="0"/>
        <w:kinsoku/>
        <w:wordWrap/>
        <w:overflowPunct/>
        <w:topLinePunct w:val="0"/>
        <w:bidi w:val="0"/>
        <w:spacing w:line="360" w:lineRule="auto"/>
        <w:rPr>
          <w:rFonts w:ascii="宋体" w:hAnsi="宋体" w:cs="宋体"/>
          <w:sz w:val="30"/>
          <w:szCs w:val="30"/>
          <w:highlight w:val="none"/>
        </w:rPr>
      </w:pPr>
    </w:p>
    <w:p w14:paraId="38DEF557">
      <w:pPr>
        <w:pageBreakBefore w:val="0"/>
        <w:kinsoku/>
        <w:wordWrap/>
        <w:overflowPunct/>
        <w:topLinePunct w:val="0"/>
        <w:bidi w:val="0"/>
        <w:spacing w:line="360" w:lineRule="auto"/>
        <w:rPr>
          <w:rFonts w:ascii="宋体" w:hAnsi="宋体" w:cs="宋体"/>
          <w:sz w:val="30"/>
          <w:szCs w:val="30"/>
          <w:highlight w:val="none"/>
        </w:rPr>
      </w:pPr>
    </w:p>
    <w:p w14:paraId="70B19F2C">
      <w:pPr>
        <w:pageBreakBefore w:val="0"/>
        <w:kinsoku/>
        <w:wordWrap/>
        <w:overflowPunct/>
        <w:topLinePunct w:val="0"/>
        <w:bidi w:val="0"/>
        <w:spacing w:line="360" w:lineRule="auto"/>
        <w:rPr>
          <w:rFonts w:ascii="宋体" w:hAnsi="宋体" w:cs="宋体"/>
          <w:sz w:val="30"/>
          <w:szCs w:val="30"/>
          <w:highlight w:val="none"/>
        </w:rPr>
      </w:pPr>
    </w:p>
    <w:p w14:paraId="1EE7A3DC">
      <w:pPr>
        <w:pageBreakBefore w:val="0"/>
        <w:kinsoku/>
        <w:wordWrap/>
        <w:overflowPunct/>
        <w:topLinePunct w:val="0"/>
        <w:bidi w:val="0"/>
        <w:spacing w:line="360" w:lineRule="auto"/>
        <w:ind w:firstLine="1026" w:firstLineChars="342"/>
        <w:rPr>
          <w:rFonts w:ascii="宋体" w:hAnsi="宋体" w:cs="宋体"/>
          <w:sz w:val="30"/>
          <w:szCs w:val="30"/>
          <w:highlight w:val="none"/>
        </w:rPr>
      </w:pPr>
      <w:r>
        <w:rPr>
          <w:rFonts w:hint="eastAsia" w:ascii="宋体" w:hAnsi="宋体" w:cs="宋体"/>
          <w:sz w:val="30"/>
          <w:szCs w:val="30"/>
          <w:highlight w:val="none"/>
        </w:rPr>
        <w:t>采购人（甲方）：</w:t>
      </w:r>
      <w:r>
        <w:rPr>
          <w:rFonts w:hint="eastAsia" w:ascii="宋体" w:hAnsi="宋体" w:cs="宋体"/>
          <w:sz w:val="36"/>
          <w:szCs w:val="36"/>
          <w:highlight w:val="none"/>
          <w:u w:val="single"/>
        </w:rPr>
        <w:t xml:space="preserve">                             </w:t>
      </w:r>
    </w:p>
    <w:p w14:paraId="1B485794">
      <w:pPr>
        <w:pageBreakBefore w:val="0"/>
        <w:kinsoku/>
        <w:wordWrap/>
        <w:overflowPunct/>
        <w:topLinePunct w:val="0"/>
        <w:bidi w:val="0"/>
        <w:spacing w:line="360" w:lineRule="auto"/>
        <w:ind w:firstLine="1026" w:firstLineChars="342"/>
        <w:rPr>
          <w:rFonts w:ascii="宋体" w:hAnsi="宋体" w:cs="宋体"/>
          <w:sz w:val="30"/>
          <w:szCs w:val="30"/>
          <w:highlight w:val="none"/>
        </w:rPr>
      </w:pPr>
      <w:r>
        <w:rPr>
          <w:rFonts w:hint="eastAsia" w:ascii="宋体" w:hAnsi="宋体" w:cs="宋体"/>
          <w:sz w:val="30"/>
          <w:szCs w:val="30"/>
          <w:highlight w:val="none"/>
        </w:rPr>
        <w:t>中标人（乙方）：</w:t>
      </w:r>
      <w:r>
        <w:rPr>
          <w:rFonts w:hint="eastAsia" w:ascii="宋体" w:hAnsi="宋体" w:cs="宋体"/>
          <w:sz w:val="36"/>
          <w:szCs w:val="36"/>
          <w:highlight w:val="none"/>
          <w:u w:val="single"/>
        </w:rPr>
        <w:t xml:space="preserve">                             </w:t>
      </w:r>
    </w:p>
    <w:p w14:paraId="734BAC6C">
      <w:pPr>
        <w:pageBreakBefore w:val="0"/>
        <w:kinsoku/>
        <w:wordWrap/>
        <w:overflowPunct/>
        <w:topLinePunct w:val="0"/>
        <w:bidi w:val="0"/>
        <w:spacing w:line="360" w:lineRule="auto"/>
        <w:ind w:firstLine="1026" w:firstLineChars="342"/>
        <w:rPr>
          <w:rFonts w:ascii="宋体" w:hAnsi="宋体" w:cs="宋体"/>
          <w:sz w:val="30"/>
          <w:szCs w:val="30"/>
          <w:highlight w:val="none"/>
        </w:rPr>
      </w:pPr>
      <w:r>
        <w:rPr>
          <w:rFonts w:hint="eastAsia" w:ascii="宋体" w:hAnsi="宋体" w:cs="宋体"/>
          <w:sz w:val="30"/>
          <w:szCs w:val="30"/>
          <w:highlight w:val="none"/>
        </w:rPr>
        <w:t>合同</w:t>
      </w:r>
      <w:r>
        <w:rPr>
          <w:rFonts w:hint="eastAsia" w:ascii="宋体" w:hAnsi="宋体" w:cs="宋体"/>
          <w:sz w:val="30"/>
          <w:szCs w:val="30"/>
          <w:highlight w:val="none"/>
          <w:lang w:val="en-US" w:eastAsia="zh-CN"/>
        </w:rPr>
        <w:t>签订</w:t>
      </w:r>
      <w:r>
        <w:rPr>
          <w:rFonts w:hint="eastAsia" w:ascii="宋体" w:hAnsi="宋体" w:cs="宋体"/>
          <w:sz w:val="30"/>
          <w:szCs w:val="30"/>
          <w:highlight w:val="none"/>
        </w:rPr>
        <w:t>日：</w:t>
      </w:r>
      <w:r>
        <w:rPr>
          <w:rFonts w:hint="eastAsia" w:ascii="宋体" w:hAnsi="宋体" w:cs="宋体"/>
          <w:sz w:val="30"/>
          <w:szCs w:val="30"/>
          <w:highlight w:val="none"/>
          <w:u w:val="single"/>
        </w:rPr>
        <w:t xml:space="preserve"> 20  年   月   日                      </w:t>
      </w:r>
    </w:p>
    <w:p w14:paraId="7027D29C">
      <w:pPr>
        <w:pageBreakBefore w:val="0"/>
        <w:kinsoku/>
        <w:wordWrap/>
        <w:overflowPunct/>
        <w:topLinePunct w:val="0"/>
        <w:bidi w:val="0"/>
        <w:spacing w:line="360" w:lineRule="auto"/>
        <w:ind w:firstLine="1026" w:firstLineChars="342"/>
        <w:rPr>
          <w:rFonts w:ascii="宋体" w:hAnsi="宋体" w:cs="宋体"/>
          <w:sz w:val="30"/>
          <w:szCs w:val="30"/>
          <w:highlight w:val="none"/>
        </w:rPr>
      </w:pPr>
      <w:r>
        <w:rPr>
          <w:rFonts w:hint="eastAsia" w:ascii="宋体" w:hAnsi="宋体" w:cs="宋体"/>
          <w:sz w:val="30"/>
          <w:szCs w:val="30"/>
          <w:highlight w:val="none"/>
        </w:rPr>
        <w:t>合同</w:t>
      </w:r>
      <w:r>
        <w:rPr>
          <w:rFonts w:hint="eastAsia" w:ascii="宋体" w:hAnsi="宋体" w:cs="宋体"/>
          <w:sz w:val="30"/>
          <w:szCs w:val="30"/>
          <w:highlight w:val="none"/>
          <w:lang w:val="en-US" w:eastAsia="zh-CN"/>
        </w:rPr>
        <w:t>签订</w:t>
      </w:r>
      <w:r>
        <w:rPr>
          <w:rFonts w:hint="eastAsia" w:ascii="宋体" w:hAnsi="宋体" w:cs="宋体"/>
          <w:sz w:val="30"/>
          <w:szCs w:val="30"/>
          <w:highlight w:val="none"/>
        </w:rPr>
        <w:t>地点：</w:t>
      </w:r>
      <w:r>
        <w:rPr>
          <w:rFonts w:hint="eastAsia" w:ascii="宋体" w:hAnsi="宋体" w:cs="宋体"/>
          <w:sz w:val="30"/>
          <w:szCs w:val="30"/>
          <w:highlight w:val="none"/>
          <w:u w:val="single"/>
        </w:rPr>
        <w:t>舟山市</w:t>
      </w:r>
      <w:r>
        <w:rPr>
          <w:rFonts w:hint="eastAsia" w:ascii="宋体" w:hAnsi="宋体" w:cs="宋体"/>
          <w:sz w:val="36"/>
          <w:szCs w:val="36"/>
          <w:highlight w:val="none"/>
          <w:u w:val="single"/>
        </w:rPr>
        <w:t xml:space="preserve">                     </w:t>
      </w:r>
    </w:p>
    <w:p w14:paraId="55581C6E">
      <w:pPr>
        <w:pageBreakBefore w:val="0"/>
        <w:kinsoku/>
        <w:wordWrap/>
        <w:overflowPunct/>
        <w:topLinePunct w:val="0"/>
        <w:bidi w:val="0"/>
        <w:snapToGrid w:val="0"/>
        <w:spacing w:line="360" w:lineRule="auto"/>
        <w:rPr>
          <w:rFonts w:ascii="宋体" w:hAnsi="宋体" w:cs="宋体"/>
          <w:szCs w:val="21"/>
          <w:highlight w:val="none"/>
        </w:rPr>
      </w:pPr>
    </w:p>
    <w:p w14:paraId="3B12CD64">
      <w:pPr>
        <w:pageBreakBefore w:val="0"/>
        <w:kinsoku/>
        <w:wordWrap/>
        <w:overflowPunct/>
        <w:topLinePunct w:val="0"/>
        <w:bidi w:val="0"/>
        <w:snapToGrid w:val="0"/>
        <w:spacing w:line="360" w:lineRule="auto"/>
        <w:rPr>
          <w:rFonts w:ascii="宋体" w:hAnsi="宋体" w:cs="宋体"/>
          <w:szCs w:val="21"/>
          <w:highlight w:val="none"/>
        </w:rPr>
      </w:pPr>
    </w:p>
    <w:p w14:paraId="4A2E0B2C">
      <w:pPr>
        <w:pageBreakBefore w:val="0"/>
        <w:kinsoku/>
        <w:wordWrap/>
        <w:overflowPunct/>
        <w:topLinePunct w:val="0"/>
        <w:bidi w:val="0"/>
        <w:snapToGrid w:val="0"/>
        <w:spacing w:line="360" w:lineRule="auto"/>
        <w:rPr>
          <w:rFonts w:ascii="宋体" w:hAnsi="宋体" w:cs="宋体"/>
          <w:szCs w:val="21"/>
          <w:highlight w:val="none"/>
        </w:rPr>
      </w:pPr>
    </w:p>
    <w:p w14:paraId="08419A54">
      <w:pPr>
        <w:pageBreakBefore w:val="0"/>
        <w:kinsoku/>
        <w:wordWrap/>
        <w:overflowPunct/>
        <w:topLinePunct w:val="0"/>
        <w:bidi w:val="0"/>
        <w:spacing w:line="360" w:lineRule="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br w:type="page"/>
      </w:r>
    </w:p>
    <w:p w14:paraId="13DAA282">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
          <w:kern w:val="0"/>
          <w:sz w:val="21"/>
          <w:szCs w:val="21"/>
          <w:highlight w:val="none"/>
          <w:lang w:val="en-US" w:eastAsia="zh-CN"/>
        </w:rPr>
      </w:pPr>
      <w:r>
        <w:rPr>
          <w:rFonts w:hint="eastAsia" w:ascii="宋体" w:hAnsi="宋体" w:eastAsia="宋体" w:cs="宋体"/>
          <w:b/>
          <w:kern w:val="0"/>
          <w:sz w:val="21"/>
          <w:szCs w:val="21"/>
          <w:highlight w:val="none"/>
        </w:rPr>
        <w:t>甲方(采购</w:t>
      </w:r>
      <w:r>
        <w:rPr>
          <w:rFonts w:hint="eastAsia" w:ascii="宋体" w:hAnsi="宋体" w:cs="宋体"/>
          <w:b/>
          <w:kern w:val="0"/>
          <w:sz w:val="21"/>
          <w:szCs w:val="21"/>
          <w:highlight w:val="none"/>
          <w:lang w:val="en-US" w:eastAsia="zh-CN"/>
        </w:rPr>
        <w:t>人</w:t>
      </w:r>
      <w:r>
        <w:rPr>
          <w:rFonts w:hint="eastAsia" w:ascii="宋体" w:hAnsi="宋体" w:eastAsia="宋体" w:cs="宋体"/>
          <w:b/>
          <w:kern w:val="0"/>
          <w:sz w:val="21"/>
          <w:szCs w:val="21"/>
          <w:highlight w:val="none"/>
        </w:rPr>
        <w:t>)：</w:t>
      </w:r>
      <w:r>
        <w:rPr>
          <w:rFonts w:hint="eastAsia" w:ascii="宋体" w:hAnsi="宋体" w:eastAsia="宋体" w:cs="宋体"/>
          <w:kern w:val="0"/>
          <w:sz w:val="21"/>
          <w:szCs w:val="21"/>
          <w:highlight w:val="none"/>
          <w:u w:val="single"/>
          <w:lang w:val="en-US" w:eastAsia="zh-CN"/>
        </w:rPr>
        <w:t xml:space="preserve">                     </w:t>
      </w:r>
    </w:p>
    <w:p w14:paraId="794D4E3F">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kern w:val="0"/>
          <w:sz w:val="21"/>
          <w:szCs w:val="21"/>
          <w:highlight w:val="none"/>
        </w:rPr>
      </w:pPr>
    </w:p>
    <w:p w14:paraId="38933336">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u w:val="single"/>
        </w:rPr>
      </w:pPr>
      <w:r>
        <w:rPr>
          <w:rFonts w:hint="eastAsia" w:ascii="宋体" w:hAnsi="宋体" w:eastAsia="宋体" w:cs="宋体"/>
          <w:b/>
          <w:kern w:val="0"/>
          <w:sz w:val="21"/>
          <w:szCs w:val="21"/>
          <w:highlight w:val="none"/>
        </w:rPr>
        <w:t>乙方(中标</w:t>
      </w:r>
      <w:r>
        <w:rPr>
          <w:rFonts w:hint="eastAsia" w:ascii="宋体" w:hAnsi="宋体" w:eastAsia="宋体" w:cs="宋体"/>
          <w:b/>
          <w:kern w:val="0"/>
          <w:sz w:val="21"/>
          <w:szCs w:val="21"/>
          <w:highlight w:val="none"/>
          <w:lang w:val="en-US" w:eastAsia="zh-CN"/>
        </w:rPr>
        <w:t>人</w:t>
      </w:r>
      <w:r>
        <w:rPr>
          <w:rFonts w:hint="eastAsia" w:ascii="宋体" w:hAnsi="宋体" w:eastAsia="宋体" w:cs="宋体"/>
          <w:b/>
          <w:kern w:val="0"/>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386CAB1D">
      <w:pPr>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kern w:val="0"/>
          <w:sz w:val="21"/>
          <w:szCs w:val="21"/>
          <w:highlight w:val="none"/>
          <w:u w:val="single"/>
          <w:lang w:val="en-US" w:eastAsia="zh-CN"/>
        </w:rPr>
      </w:pPr>
    </w:p>
    <w:p w14:paraId="2795AFD6">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u w:val="single"/>
          <w:lang w:val="en-US" w:eastAsia="zh-CN"/>
        </w:rPr>
        <w:t>甲、乙双方根据 2025年舟山交警司法鉴定服务项目（项目编号: 0773-2541GNZSFWCS0712）竞争性磋商的结果，按照平等、自愿、公平和诚实信用的原则签署本合同，以兹共同遵守、全面履行。</w:t>
      </w:r>
    </w:p>
    <w:p w14:paraId="4900CE38">
      <w:pPr>
        <w:keepNext w:val="0"/>
        <w:keepLines w:val="0"/>
        <w:pageBreakBefore w:val="0"/>
        <w:widowControl w:val="0"/>
        <w:kinsoku/>
        <w:wordWrap/>
        <w:overflowPunct/>
        <w:topLinePunct w:val="0"/>
        <w:autoSpaceDE/>
        <w:autoSpaceDN/>
        <w:bidi w:val="0"/>
        <w:adjustRightInd/>
        <w:spacing w:line="360" w:lineRule="auto"/>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一、服务内容</w:t>
      </w:r>
    </w:p>
    <w:p w14:paraId="597C7B99">
      <w:pPr>
        <w:keepNext w:val="0"/>
        <w:keepLines w:val="0"/>
        <w:pageBreakBefore w:val="0"/>
        <w:kinsoku/>
        <w:wordWrap/>
        <w:overflowPunct/>
        <w:topLinePunct w:val="0"/>
        <w:autoSpaceDE/>
        <w:autoSpaceDN/>
        <w:bidi w:val="0"/>
        <w:adjustRightInd/>
        <w:spacing w:line="360" w:lineRule="auto"/>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2025年舟山交警司法鉴定服务项目舟山</w:t>
      </w:r>
      <w:r>
        <w:rPr>
          <w:rFonts w:hint="eastAsia" w:ascii="宋体" w:hAnsi="宋体" w:eastAsia="宋体" w:cs="宋体"/>
          <w:sz w:val="21"/>
          <w:szCs w:val="21"/>
          <w:highlight w:val="none"/>
        </w:rPr>
        <w:t>市道路交通事故车辆鉴定服务，主要服务内容包括：</w:t>
      </w:r>
      <w:r>
        <w:rPr>
          <w:rFonts w:hint="eastAsia" w:ascii="宋体" w:hAnsi="宋体" w:eastAsia="宋体" w:cs="宋体"/>
          <w:sz w:val="21"/>
          <w:szCs w:val="21"/>
          <w:highlight w:val="none"/>
          <w:u w:val="single"/>
        </w:rPr>
        <w:t>视频车速鉴定、车辆性能检测、车辆属性检测、车辆改装类鉴定、基于痕迹的车速鉴定、是否接触鉴定、碰撞痕迹鉴定、事故成因鉴定、状态鉴定、车辆轨迹鉴定等</w:t>
      </w:r>
      <w:r>
        <w:rPr>
          <w:rFonts w:hint="eastAsia" w:ascii="宋体" w:hAnsi="宋体" w:eastAsia="宋体" w:cs="宋体"/>
          <w:sz w:val="21"/>
          <w:szCs w:val="21"/>
          <w:highlight w:val="none"/>
        </w:rPr>
        <w:t>。</w:t>
      </w:r>
    </w:p>
    <w:p w14:paraId="5EBE2131">
      <w:pPr>
        <w:keepNext w:val="0"/>
        <w:keepLines w:val="0"/>
        <w:pageBreakBefore w:val="0"/>
        <w:kinsoku/>
        <w:wordWrap/>
        <w:overflowPunct/>
        <w:topLinePunct w:val="0"/>
        <w:autoSpaceDE/>
        <w:autoSpaceDN/>
        <w:bidi w:val="0"/>
        <w:adjustRightInd/>
        <w:spacing w:line="360" w:lineRule="auto"/>
        <w:ind w:firstLine="514" w:firstLineChars="245"/>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w:t>
      </w: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none"/>
          <w:lang w:val="en-US" w:eastAsia="zh-CN"/>
        </w:rPr>
        <w:t>联系电话：</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w:t>
      </w:r>
    </w:p>
    <w:p w14:paraId="7524E4DE">
      <w:pPr>
        <w:keepNext w:val="0"/>
        <w:keepLines w:val="0"/>
        <w:pageBreakBefore w:val="0"/>
        <w:tabs>
          <w:tab w:val="left" w:pos="360"/>
        </w:tabs>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2、服务期限为</w:t>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rPr>
        <w:t>年，即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4C06E2B2">
      <w:pPr>
        <w:keepNext w:val="0"/>
        <w:keepLines w:val="0"/>
        <w:pageBreakBefore w:val="0"/>
        <w:widowControl w:val="0"/>
        <w:kinsoku/>
        <w:wordWrap/>
        <w:overflowPunct/>
        <w:topLinePunct w:val="0"/>
        <w:autoSpaceDE/>
        <w:autoSpaceDN/>
        <w:bidi w:val="0"/>
        <w:adjustRightInd/>
        <w:spacing w:line="360" w:lineRule="auto"/>
        <w:textAlignment w:val="auto"/>
        <w:outlineLvl w:val="1"/>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二、合同</w:t>
      </w:r>
      <w:r>
        <w:rPr>
          <w:rFonts w:hint="eastAsia" w:ascii="宋体" w:hAnsi="宋体" w:eastAsia="宋体" w:cs="宋体"/>
          <w:b/>
          <w:bCs/>
          <w:sz w:val="21"/>
          <w:szCs w:val="21"/>
          <w:highlight w:val="none"/>
          <w:lang w:val="en-US" w:eastAsia="zh-CN"/>
        </w:rPr>
        <w:t>价格</w:t>
      </w:r>
    </w:p>
    <w:p w14:paraId="1CFF92DB">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1、本合同项下的各项检测、鉴定服务的结算单价如下：</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4570"/>
        <w:gridCol w:w="1564"/>
        <w:gridCol w:w="1716"/>
        <w:gridCol w:w="1450"/>
      </w:tblGrid>
      <w:tr w14:paraId="517D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12" w:type="pct"/>
            <w:vAlign w:val="center"/>
          </w:tcPr>
          <w:p w14:paraId="19F01FFB">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253" w:type="pct"/>
            <w:vAlign w:val="center"/>
          </w:tcPr>
          <w:p w14:paraId="5B225139">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鉴定项目名称</w:t>
            </w:r>
          </w:p>
        </w:tc>
        <w:tc>
          <w:tcPr>
            <w:tcW w:w="771" w:type="pct"/>
            <w:vAlign w:val="center"/>
          </w:tcPr>
          <w:p w14:paraId="6E30D871">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计量单位</w:t>
            </w:r>
          </w:p>
        </w:tc>
        <w:tc>
          <w:tcPr>
            <w:tcW w:w="846" w:type="pct"/>
            <w:vAlign w:val="center"/>
          </w:tcPr>
          <w:p w14:paraId="7ACA1833">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结算单价（元）</w:t>
            </w:r>
          </w:p>
        </w:tc>
        <w:tc>
          <w:tcPr>
            <w:tcW w:w="715" w:type="pct"/>
            <w:vAlign w:val="center"/>
          </w:tcPr>
          <w:p w14:paraId="496959BC">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Cs/>
                <w:sz w:val="21"/>
                <w:szCs w:val="21"/>
                <w:highlight w:val="none"/>
                <w:u w:val="single"/>
              </w:rPr>
            </w:pPr>
            <w:r>
              <w:rPr>
                <w:rFonts w:hint="eastAsia" w:ascii="宋体" w:hAnsi="宋体" w:eastAsia="宋体" w:cs="宋体"/>
                <w:sz w:val="21"/>
                <w:szCs w:val="21"/>
                <w:highlight w:val="none"/>
              </w:rPr>
              <w:t>备注</w:t>
            </w:r>
          </w:p>
        </w:tc>
      </w:tr>
      <w:tr w14:paraId="01EE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12" w:type="pct"/>
          </w:tcPr>
          <w:p w14:paraId="01993B8A">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253" w:type="pct"/>
            <w:vAlign w:val="center"/>
          </w:tcPr>
          <w:p w14:paraId="19220D4E">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p>
        </w:tc>
        <w:tc>
          <w:tcPr>
            <w:tcW w:w="771" w:type="pct"/>
            <w:vAlign w:val="center"/>
          </w:tcPr>
          <w:p w14:paraId="2325FE1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p>
        </w:tc>
        <w:tc>
          <w:tcPr>
            <w:tcW w:w="846" w:type="pct"/>
          </w:tcPr>
          <w:p w14:paraId="1A2C3755">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1"/>
                <w:szCs w:val="21"/>
                <w:highlight w:val="none"/>
              </w:rPr>
            </w:pPr>
          </w:p>
        </w:tc>
        <w:tc>
          <w:tcPr>
            <w:tcW w:w="715" w:type="pct"/>
          </w:tcPr>
          <w:p w14:paraId="7F4C9C04">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1"/>
                <w:szCs w:val="21"/>
                <w:highlight w:val="none"/>
              </w:rPr>
            </w:pPr>
          </w:p>
        </w:tc>
      </w:tr>
      <w:tr w14:paraId="206B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12" w:type="pct"/>
          </w:tcPr>
          <w:p w14:paraId="691EC80A">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253" w:type="pct"/>
            <w:vAlign w:val="center"/>
          </w:tcPr>
          <w:p w14:paraId="07AB01B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p>
        </w:tc>
        <w:tc>
          <w:tcPr>
            <w:tcW w:w="771" w:type="pct"/>
            <w:vAlign w:val="center"/>
          </w:tcPr>
          <w:p w14:paraId="7893678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p>
        </w:tc>
        <w:tc>
          <w:tcPr>
            <w:tcW w:w="846" w:type="pct"/>
          </w:tcPr>
          <w:p w14:paraId="6B86A497">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1"/>
                <w:szCs w:val="21"/>
                <w:highlight w:val="none"/>
              </w:rPr>
            </w:pPr>
          </w:p>
        </w:tc>
        <w:tc>
          <w:tcPr>
            <w:tcW w:w="715" w:type="pct"/>
          </w:tcPr>
          <w:p w14:paraId="6AA4B5AD">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1"/>
                <w:szCs w:val="21"/>
                <w:highlight w:val="none"/>
              </w:rPr>
            </w:pPr>
          </w:p>
        </w:tc>
      </w:tr>
      <w:tr w14:paraId="0DF3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12" w:type="pct"/>
          </w:tcPr>
          <w:p w14:paraId="2B307FE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253" w:type="pct"/>
            <w:vAlign w:val="center"/>
          </w:tcPr>
          <w:p w14:paraId="45FF394D">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p>
        </w:tc>
        <w:tc>
          <w:tcPr>
            <w:tcW w:w="771" w:type="pct"/>
            <w:vAlign w:val="center"/>
          </w:tcPr>
          <w:p w14:paraId="03F0F37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p>
        </w:tc>
        <w:tc>
          <w:tcPr>
            <w:tcW w:w="846" w:type="pct"/>
          </w:tcPr>
          <w:p w14:paraId="1CC6F57F">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1"/>
                <w:szCs w:val="21"/>
                <w:highlight w:val="none"/>
              </w:rPr>
            </w:pPr>
          </w:p>
        </w:tc>
        <w:tc>
          <w:tcPr>
            <w:tcW w:w="715" w:type="pct"/>
          </w:tcPr>
          <w:p w14:paraId="54B00F71">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1"/>
                <w:szCs w:val="21"/>
                <w:highlight w:val="none"/>
              </w:rPr>
            </w:pPr>
          </w:p>
        </w:tc>
      </w:tr>
      <w:tr w14:paraId="33F8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12" w:type="pct"/>
          </w:tcPr>
          <w:p w14:paraId="2D837DC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2253" w:type="pct"/>
            <w:vAlign w:val="center"/>
          </w:tcPr>
          <w:p w14:paraId="48A53126">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p>
        </w:tc>
        <w:tc>
          <w:tcPr>
            <w:tcW w:w="771" w:type="pct"/>
            <w:vAlign w:val="center"/>
          </w:tcPr>
          <w:p w14:paraId="638B02A3">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p>
        </w:tc>
        <w:tc>
          <w:tcPr>
            <w:tcW w:w="846" w:type="pct"/>
          </w:tcPr>
          <w:p w14:paraId="0D65362C">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1"/>
                <w:szCs w:val="21"/>
                <w:highlight w:val="none"/>
              </w:rPr>
            </w:pPr>
          </w:p>
        </w:tc>
        <w:tc>
          <w:tcPr>
            <w:tcW w:w="715" w:type="pct"/>
          </w:tcPr>
          <w:p w14:paraId="3B9557A4">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1"/>
                <w:szCs w:val="21"/>
                <w:highlight w:val="none"/>
              </w:rPr>
            </w:pPr>
          </w:p>
        </w:tc>
      </w:tr>
    </w:tbl>
    <w:p w14:paraId="64978BA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甲方不支付除按中标结算单价结算应付鉴定服务费之外的其他任何费用。</w:t>
      </w:r>
    </w:p>
    <w:p w14:paraId="1B02ADC4">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b/>
          <w:bCs/>
          <w:sz w:val="21"/>
          <w:szCs w:val="21"/>
          <w:highlight w:val="none"/>
          <w:lang w:val="en-US" w:eastAsia="zh-CN"/>
        </w:rPr>
      </w:pPr>
      <w:r>
        <w:rPr>
          <w:rFonts w:hint="default" w:ascii="宋体" w:hAnsi="宋体" w:eastAsia="宋体" w:cs="宋体"/>
          <w:b w:val="0"/>
          <w:bCs w:val="0"/>
          <w:kern w:val="2"/>
          <w:sz w:val="21"/>
          <w:szCs w:val="21"/>
          <w:highlight w:val="none"/>
          <w:lang w:val="en-US" w:eastAsia="zh-CN" w:bidi="ar-SA"/>
        </w:rPr>
        <w:t>2、</w:t>
      </w:r>
      <w:r>
        <w:rPr>
          <w:rFonts w:hint="eastAsia" w:ascii="宋体" w:hAnsi="宋体" w:eastAsia="宋体" w:cs="宋体"/>
          <w:sz w:val="21"/>
          <w:szCs w:val="21"/>
          <w:highlight w:val="none"/>
        </w:rPr>
        <w:t>由于交通事故等的不可预测性，甲方不保证乙方取得具体业务的数量及服务金额。</w:t>
      </w:r>
    </w:p>
    <w:p w14:paraId="20296B69">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kern w:val="2"/>
          <w:sz w:val="21"/>
          <w:szCs w:val="21"/>
          <w:highlight w:val="none"/>
          <w:lang w:val="en-US" w:eastAsia="zh-CN" w:bidi="ar-SA"/>
        </w:rPr>
        <w:t>3、</w:t>
      </w:r>
      <w:r>
        <w:rPr>
          <w:rFonts w:hint="eastAsia" w:ascii="宋体" w:hAnsi="宋体" w:eastAsia="宋体" w:cs="宋体"/>
          <w:b w:val="0"/>
          <w:bCs w:val="0"/>
          <w:sz w:val="21"/>
          <w:szCs w:val="21"/>
          <w:highlight w:val="none"/>
          <w:lang w:val="en-US" w:eastAsia="zh-CN"/>
        </w:rPr>
        <w:t>舟山市公安局交通警察支队一</w:t>
      </w:r>
      <w:r>
        <w:rPr>
          <w:rFonts w:hint="eastAsia" w:ascii="宋体" w:hAnsi="宋体" w:cs="宋体"/>
          <w:b w:val="0"/>
          <w:bCs w:val="0"/>
          <w:sz w:val="21"/>
          <w:szCs w:val="21"/>
          <w:highlight w:val="none"/>
          <w:lang w:val="en-US" w:eastAsia="zh-CN"/>
        </w:rPr>
        <w:t>年度</w:t>
      </w:r>
      <w:r>
        <w:rPr>
          <w:rFonts w:hint="eastAsia" w:ascii="宋体" w:hAnsi="宋体" w:eastAsia="宋体" w:cs="宋体"/>
          <w:b w:val="0"/>
          <w:bCs w:val="0"/>
          <w:sz w:val="21"/>
          <w:szCs w:val="21"/>
          <w:highlight w:val="none"/>
          <w:lang w:val="en-US" w:eastAsia="zh-CN"/>
        </w:rPr>
        <w:t>内司法鉴定费用不超过75万元，</w:t>
      </w:r>
      <w:r>
        <w:rPr>
          <w:rFonts w:hint="eastAsia" w:ascii="宋体" w:hAnsi="宋体" w:eastAsia="宋体" w:cs="宋体"/>
          <w:sz w:val="21"/>
          <w:szCs w:val="21"/>
          <w:highlight w:val="none"/>
          <w:lang w:val="en-US" w:eastAsia="zh-CN"/>
        </w:rPr>
        <w:t>成交人</w:t>
      </w:r>
      <w:r>
        <w:rPr>
          <w:rFonts w:hint="eastAsia" w:ascii="宋体" w:hAnsi="宋体" w:eastAsia="宋体" w:cs="宋体"/>
          <w:sz w:val="21"/>
          <w:szCs w:val="21"/>
          <w:highlight w:val="none"/>
        </w:rPr>
        <w:t>按实际提供事故检验鉴定次数开具正式发票，检验鉴定费每一季度进行一次结算</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如当年度鉴定费用不足75万，按实结算。</w:t>
      </w:r>
    </w:p>
    <w:p w14:paraId="6DAC6FDC">
      <w:pPr>
        <w:keepNext w:val="0"/>
        <w:keepLines w:val="0"/>
        <w:pageBreakBefore w:val="0"/>
        <w:kinsoku/>
        <w:wordWrap/>
        <w:overflowPunct/>
        <w:topLinePunct w:val="0"/>
        <w:autoSpaceDE/>
        <w:autoSpaceDN/>
        <w:bidi w:val="0"/>
        <w:adjustRightInd/>
        <w:spacing w:line="360" w:lineRule="auto"/>
        <w:outlineLvl w:val="1"/>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三、总体服务要求</w:t>
      </w:r>
    </w:p>
    <w:p w14:paraId="7F9AA497">
      <w:pPr>
        <w:pageBreakBefore w:val="0"/>
        <w:tabs>
          <w:tab w:val="left" w:pos="360"/>
        </w:tabs>
        <w:kinsoku/>
        <w:wordWrap/>
        <w:overflowPunct/>
        <w:topLinePunct w:val="0"/>
        <w:bidi w:val="0"/>
        <w:spacing w:line="360" w:lineRule="auto"/>
        <w:ind w:firstLine="525" w:firstLineChars="250"/>
        <w:rPr>
          <w:rFonts w:hint="eastAsia" w:ascii="宋体" w:hAnsi="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eastAsia="zh-CN"/>
        </w:rPr>
        <w:t>乙方</w:t>
      </w:r>
      <w:r>
        <w:rPr>
          <w:rFonts w:hint="eastAsia" w:ascii="宋体" w:hAnsi="宋体" w:eastAsia="宋体" w:cs="宋体"/>
          <w:sz w:val="21"/>
          <w:szCs w:val="21"/>
          <w:highlight w:val="none"/>
        </w:rPr>
        <w:t>在接到</w:t>
      </w:r>
      <w:r>
        <w:rPr>
          <w:rFonts w:hint="eastAsia" w:ascii="宋体" w:hAnsi="宋体" w:cs="宋体"/>
          <w:sz w:val="21"/>
          <w:szCs w:val="21"/>
          <w:highlight w:val="none"/>
          <w:lang w:eastAsia="zh-CN"/>
        </w:rPr>
        <w:t>甲方</w:t>
      </w:r>
      <w:r>
        <w:rPr>
          <w:rFonts w:hint="eastAsia" w:ascii="宋体" w:hAnsi="宋体" w:eastAsia="宋体" w:cs="宋体"/>
          <w:sz w:val="21"/>
          <w:szCs w:val="21"/>
          <w:highlight w:val="none"/>
        </w:rPr>
        <w:t>的委托书后，应按委托要求时间派技术人员准时到达指定地点，并按照委托项目对事故车辆进行检验，及时将检验鉴定书送达</w:t>
      </w:r>
      <w:r>
        <w:rPr>
          <w:rFonts w:hint="eastAsia" w:ascii="宋体" w:hAnsi="宋体" w:cs="宋体"/>
          <w:sz w:val="21"/>
          <w:szCs w:val="21"/>
          <w:highlight w:val="none"/>
          <w:lang w:eastAsia="zh-CN"/>
        </w:rPr>
        <w:t>甲方。</w:t>
      </w:r>
    </w:p>
    <w:p w14:paraId="35AB1AAE">
      <w:pPr>
        <w:pageBreakBefore w:val="0"/>
        <w:tabs>
          <w:tab w:val="left" w:pos="360"/>
        </w:tabs>
        <w:kinsoku/>
        <w:wordWrap/>
        <w:overflowPunct/>
        <w:topLinePunct w:val="0"/>
        <w:bidi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2、交通事故车辆技术检验鉴定工作应严格按照国家标准进行。</w:t>
      </w:r>
    </w:p>
    <w:p w14:paraId="022CAAD5">
      <w:pPr>
        <w:pageBreakBefore w:val="0"/>
        <w:tabs>
          <w:tab w:val="left" w:pos="360"/>
        </w:tabs>
        <w:kinsoku/>
        <w:wordWrap/>
        <w:overflowPunct/>
        <w:topLinePunct w:val="0"/>
        <w:bidi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3、保密要求：</w:t>
      </w:r>
      <w:r>
        <w:rPr>
          <w:rFonts w:hint="eastAsia" w:ascii="宋体" w:hAnsi="宋体" w:cs="宋体"/>
          <w:sz w:val="21"/>
          <w:szCs w:val="21"/>
          <w:highlight w:val="none"/>
          <w:lang w:eastAsia="zh-CN"/>
        </w:rPr>
        <w:t>乙方</w:t>
      </w:r>
      <w:r>
        <w:rPr>
          <w:rFonts w:hint="eastAsia" w:ascii="宋体" w:hAnsi="宋体" w:eastAsia="宋体" w:cs="宋体"/>
          <w:sz w:val="21"/>
          <w:szCs w:val="21"/>
          <w:highlight w:val="none"/>
        </w:rPr>
        <w:t>需将勘查资料及检验、鉴定报告妥善保存</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并</w:t>
      </w:r>
      <w:r>
        <w:rPr>
          <w:rFonts w:hint="eastAsia" w:ascii="宋体" w:hAnsi="宋体" w:eastAsia="宋体" w:cs="宋体"/>
          <w:sz w:val="21"/>
          <w:szCs w:val="21"/>
          <w:highlight w:val="none"/>
        </w:rPr>
        <w:t>严格遵守《数据安全法》及相关数据安全管理规定，在上岗前签订具有法律效力的保密协议，对事故信息实行全程加密处理，包括但不限于存储加密、传输加密和访问控制，确保数据全生命周期安全</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未经</w:t>
      </w:r>
      <w:r>
        <w:rPr>
          <w:rFonts w:hint="eastAsia" w:ascii="宋体" w:hAnsi="宋体" w:cs="宋体"/>
          <w:sz w:val="21"/>
          <w:szCs w:val="21"/>
          <w:highlight w:val="none"/>
          <w:lang w:eastAsia="zh-CN"/>
        </w:rPr>
        <w:t>甲方</w:t>
      </w:r>
      <w:r>
        <w:rPr>
          <w:rFonts w:hint="eastAsia" w:ascii="宋体" w:hAnsi="宋体" w:eastAsia="宋体" w:cs="宋体"/>
          <w:sz w:val="21"/>
          <w:szCs w:val="21"/>
          <w:highlight w:val="none"/>
        </w:rPr>
        <w:t>书面同意，不得以任何方式向第三方转让、泄露关于交通事故的相关资料。</w:t>
      </w:r>
    </w:p>
    <w:p w14:paraId="7A1AC712">
      <w:pPr>
        <w:pageBreakBefore w:val="0"/>
        <w:tabs>
          <w:tab w:val="left" w:pos="360"/>
        </w:tabs>
        <w:kinsoku/>
        <w:wordWrap/>
        <w:overflowPunct/>
        <w:topLinePunct w:val="0"/>
        <w:bidi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4、由检验鉴定小组2名（或以上）技术人员共同检验鉴定</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包括需到现场鉴定情况</w:t>
      </w:r>
      <w:r>
        <w:rPr>
          <w:rFonts w:hint="eastAsia" w:ascii="宋体" w:hAnsi="宋体" w:cs="宋体"/>
          <w:b/>
          <w:bCs/>
          <w:sz w:val="21"/>
          <w:szCs w:val="21"/>
          <w:highlight w:val="none"/>
          <w:lang w:eastAsia="zh-CN"/>
        </w:rPr>
        <w:t>）</w:t>
      </w:r>
      <w:r>
        <w:rPr>
          <w:rFonts w:hint="eastAsia" w:ascii="宋体" w:hAnsi="宋体" w:eastAsia="宋体" w:cs="宋体"/>
          <w:sz w:val="21"/>
          <w:szCs w:val="21"/>
          <w:highlight w:val="none"/>
        </w:rPr>
        <w:t>，并统一按规定的文字格式规范制作并注明签发日期，检验鉴定书根据实际需求出具相应份数（电脑打印），由检验鉴定该车的两名（或以上）专业技术人员共同签名并注明技术职称，并加盖检验鉴定单位印章，并附鉴定机构和人员资质。</w:t>
      </w:r>
    </w:p>
    <w:p w14:paraId="12C16151">
      <w:pPr>
        <w:pageBreakBefore w:val="0"/>
        <w:tabs>
          <w:tab w:val="left" w:pos="360"/>
        </w:tabs>
        <w:kinsoku/>
        <w:wordWrap/>
        <w:overflowPunct/>
        <w:topLinePunct w:val="0"/>
        <w:bidi w:val="0"/>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5、对关键零部件做检验鉴定时，应同时按事故痕迹的拍照规范进行拍照固定并附照片进行文字说明，与检验鉴定书一并交</w:t>
      </w:r>
      <w:r>
        <w:rPr>
          <w:rFonts w:hint="eastAsia" w:ascii="宋体" w:hAnsi="宋体" w:cs="宋体"/>
          <w:sz w:val="21"/>
          <w:szCs w:val="21"/>
          <w:highlight w:val="none"/>
          <w:lang w:eastAsia="zh-CN"/>
        </w:rPr>
        <w:t>甲方</w:t>
      </w:r>
      <w:r>
        <w:rPr>
          <w:rFonts w:hint="eastAsia" w:ascii="宋体" w:hAnsi="宋体" w:eastAsia="宋体" w:cs="宋体"/>
          <w:sz w:val="21"/>
          <w:szCs w:val="21"/>
          <w:highlight w:val="none"/>
        </w:rPr>
        <w:t>。</w:t>
      </w:r>
    </w:p>
    <w:p w14:paraId="143CD224">
      <w:pPr>
        <w:keepLines w:val="0"/>
        <w:pageBreakBefore w:val="0"/>
        <w:widowControl w:val="0"/>
        <w:tabs>
          <w:tab w:val="left" w:pos="360"/>
        </w:tabs>
        <w:kinsoku/>
        <w:wordWrap/>
        <w:overflowPunct/>
        <w:topLinePunct w:val="0"/>
        <w:autoSpaceDE/>
        <w:autoSpaceDN/>
        <w:bidi w:val="0"/>
        <w:spacing w:line="360" w:lineRule="auto"/>
        <w:ind w:firstLine="525" w:firstLineChars="2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鉴定报告应当符合《司法鉴定程序通则》关于法律文书格式的规范要求，采用标准化文书格式，包含完整的要素信息。鉴定结论应当表述准确、逻辑严密、用词规范，不得使用模棱两可或可能产生歧义的表述，确保鉴定意见具有唯一性和确定性。</w:t>
      </w:r>
    </w:p>
    <w:p w14:paraId="22623DBC">
      <w:pPr>
        <w:keepLines w:val="0"/>
        <w:pageBreakBefore w:val="0"/>
        <w:widowControl w:val="0"/>
        <w:tabs>
          <w:tab w:val="left" w:pos="360"/>
        </w:tabs>
        <w:kinsoku/>
        <w:wordWrap/>
        <w:overflowPunct/>
        <w:topLinePunct w:val="0"/>
        <w:autoSpaceDE/>
        <w:autoSpaceDN/>
        <w:bidi w:val="0"/>
        <w:spacing w:line="360" w:lineRule="auto"/>
        <w:ind w:firstLine="525" w:firstLineChars="250"/>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乙方</w:t>
      </w:r>
      <w:r>
        <w:rPr>
          <w:rFonts w:hint="eastAsia" w:ascii="宋体" w:hAnsi="宋体" w:eastAsia="宋体" w:cs="宋体"/>
          <w:sz w:val="21"/>
          <w:szCs w:val="21"/>
          <w:highlight w:val="none"/>
        </w:rPr>
        <w:t>应当建立7×24小时应急响应机制，配备专职应急联络人员，确保在法定节假日、夜间（1</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：00-8：</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）等非工作时段仍能保持通讯畅通，并在接到紧急鉴定需求后2小时内作出响应，4小时内启动鉴定程序。应急联络人员信息（包括固定电话、移动电话、电子邮箱）应当提前备案并及时更新。</w:t>
      </w:r>
      <w:r>
        <w:rPr>
          <w:rFonts w:hint="eastAsia" w:ascii="宋体" w:hAnsi="宋体" w:cs="宋体"/>
          <w:sz w:val="21"/>
          <w:szCs w:val="21"/>
          <w:highlight w:val="none"/>
          <w:lang w:val="en-US" w:eastAsia="zh-CN"/>
        </w:rPr>
        <w:t>对于紧急项目，乙方需出具初步的鉴定报告以供甲方工作的进行。</w:t>
      </w:r>
    </w:p>
    <w:p w14:paraId="49A2DEA8">
      <w:pPr>
        <w:keepLines w:val="0"/>
        <w:pageBreakBefore w:val="0"/>
        <w:widowControl w:val="0"/>
        <w:tabs>
          <w:tab w:val="left" w:pos="360"/>
        </w:tabs>
        <w:kinsoku/>
        <w:wordWrap/>
        <w:overflowPunct/>
        <w:topLinePunct w:val="0"/>
        <w:autoSpaceDE/>
        <w:autoSpaceDN/>
        <w:bidi w:val="0"/>
        <w:spacing w:line="360" w:lineRule="auto"/>
        <w:ind w:firstLine="525" w:firstLineChars="25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、因工作需要，</w:t>
      </w:r>
      <w:r>
        <w:rPr>
          <w:rFonts w:hint="eastAsia" w:ascii="宋体" w:hAnsi="宋体" w:cs="宋体"/>
          <w:sz w:val="21"/>
          <w:szCs w:val="21"/>
          <w:highlight w:val="none"/>
          <w:lang w:eastAsia="zh-CN"/>
        </w:rPr>
        <w:t>甲方</w:t>
      </w:r>
      <w:r>
        <w:rPr>
          <w:rFonts w:hint="eastAsia" w:ascii="宋体" w:hAnsi="宋体" w:eastAsia="宋体" w:cs="宋体"/>
          <w:sz w:val="21"/>
          <w:szCs w:val="21"/>
          <w:highlight w:val="none"/>
        </w:rPr>
        <w:t>临时向</w:t>
      </w:r>
      <w:r>
        <w:rPr>
          <w:rFonts w:hint="eastAsia" w:ascii="宋体" w:hAnsi="宋体" w:cs="宋体"/>
          <w:sz w:val="21"/>
          <w:szCs w:val="21"/>
          <w:highlight w:val="none"/>
          <w:lang w:eastAsia="zh-CN"/>
        </w:rPr>
        <w:t>乙方</w:t>
      </w:r>
      <w:r>
        <w:rPr>
          <w:rFonts w:hint="eastAsia" w:ascii="宋体" w:hAnsi="宋体" w:eastAsia="宋体" w:cs="宋体"/>
          <w:sz w:val="21"/>
          <w:szCs w:val="21"/>
          <w:highlight w:val="none"/>
        </w:rPr>
        <w:t>提出服务的要求，应全力配合，按照</w:t>
      </w:r>
      <w:r>
        <w:rPr>
          <w:rFonts w:hint="eastAsia" w:ascii="宋体" w:hAnsi="宋体" w:cs="宋体"/>
          <w:sz w:val="21"/>
          <w:szCs w:val="21"/>
          <w:highlight w:val="none"/>
          <w:lang w:eastAsia="zh-CN"/>
        </w:rPr>
        <w:t>甲方</w:t>
      </w:r>
      <w:r>
        <w:rPr>
          <w:rFonts w:hint="eastAsia" w:ascii="宋体" w:hAnsi="宋体" w:eastAsia="宋体" w:cs="宋体"/>
          <w:sz w:val="21"/>
          <w:szCs w:val="21"/>
          <w:highlight w:val="none"/>
        </w:rPr>
        <w:t>提出标准及要求完成，不得无故拖延。</w:t>
      </w:r>
    </w:p>
    <w:p w14:paraId="5D1392EC">
      <w:pPr>
        <w:keepLines w:val="0"/>
        <w:pageBreakBefore w:val="0"/>
        <w:widowControl w:val="0"/>
        <w:tabs>
          <w:tab w:val="left" w:pos="360"/>
        </w:tabs>
        <w:kinsoku/>
        <w:wordWrap/>
        <w:overflowPunct/>
        <w:topLinePunct w:val="0"/>
        <w:autoSpaceDE/>
        <w:autoSpaceDN/>
        <w:bidi w:val="0"/>
        <w:spacing w:line="360" w:lineRule="auto"/>
        <w:ind w:firstLine="525" w:firstLineChars="25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乙方</w:t>
      </w:r>
      <w:r>
        <w:rPr>
          <w:rFonts w:hint="eastAsia" w:ascii="宋体" w:hAnsi="宋体" w:eastAsia="宋体" w:cs="宋体"/>
          <w:sz w:val="21"/>
          <w:szCs w:val="21"/>
          <w:highlight w:val="none"/>
        </w:rPr>
        <w:t>必须对员工发生的事故责任以及员工计生、身份、健康等承担责任；同时对员工</w:t>
      </w:r>
      <w:r>
        <w:rPr>
          <w:rFonts w:hint="eastAsia" w:ascii="宋体" w:hAnsi="宋体" w:eastAsia="宋体" w:cs="宋体"/>
          <w:sz w:val="21"/>
          <w:szCs w:val="21"/>
          <w:highlight w:val="none"/>
          <w:lang w:val="en-US" w:eastAsia="zh-CN"/>
        </w:rPr>
        <w:t>因</w:t>
      </w:r>
      <w:r>
        <w:rPr>
          <w:rFonts w:hint="eastAsia" w:ascii="宋体" w:hAnsi="宋体" w:eastAsia="宋体" w:cs="宋体"/>
          <w:sz w:val="21"/>
          <w:szCs w:val="21"/>
          <w:highlight w:val="none"/>
        </w:rPr>
        <w:t>作业期间做出不良行为</w:t>
      </w:r>
      <w:r>
        <w:rPr>
          <w:rFonts w:hint="eastAsia" w:ascii="宋体" w:hAnsi="宋体" w:eastAsia="宋体" w:cs="宋体"/>
          <w:sz w:val="21"/>
          <w:szCs w:val="21"/>
          <w:highlight w:val="none"/>
          <w:lang w:val="en-US" w:eastAsia="zh-CN"/>
        </w:rPr>
        <w:t>而</w:t>
      </w:r>
      <w:r>
        <w:rPr>
          <w:rFonts w:hint="eastAsia" w:ascii="宋体" w:hAnsi="宋体" w:eastAsia="宋体" w:cs="宋体"/>
          <w:sz w:val="21"/>
          <w:szCs w:val="21"/>
          <w:highlight w:val="none"/>
        </w:rPr>
        <w:t>给</w:t>
      </w:r>
      <w:r>
        <w:rPr>
          <w:rFonts w:hint="eastAsia" w:ascii="宋体" w:hAnsi="宋体" w:cs="宋体"/>
          <w:sz w:val="21"/>
          <w:szCs w:val="21"/>
          <w:highlight w:val="none"/>
          <w:lang w:val="en-US" w:eastAsia="zh-CN"/>
        </w:rPr>
        <w:t>甲方</w:t>
      </w:r>
      <w:r>
        <w:rPr>
          <w:rFonts w:hint="eastAsia" w:ascii="宋体" w:hAnsi="宋体" w:eastAsia="宋体" w:cs="宋体"/>
          <w:sz w:val="21"/>
          <w:szCs w:val="21"/>
          <w:highlight w:val="none"/>
        </w:rPr>
        <w:t>造成影响承担责任。</w:t>
      </w:r>
    </w:p>
    <w:p w14:paraId="5B7881A1">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期间，因</w:t>
      </w:r>
      <w:r>
        <w:rPr>
          <w:rFonts w:hint="eastAsia" w:ascii="宋体" w:hAnsi="宋体" w:cs="宋体"/>
          <w:sz w:val="21"/>
          <w:szCs w:val="21"/>
          <w:highlight w:val="none"/>
          <w:lang w:eastAsia="zh-CN"/>
        </w:rPr>
        <w:t>乙方</w:t>
      </w:r>
      <w:r>
        <w:rPr>
          <w:rFonts w:hint="eastAsia" w:ascii="宋体" w:hAnsi="宋体" w:eastAsia="宋体" w:cs="宋体"/>
          <w:sz w:val="21"/>
          <w:szCs w:val="21"/>
          <w:highlight w:val="none"/>
        </w:rPr>
        <w:t>原因导致作业区域内的其他有关车辆、设施、设备损坏、由此引起的责任和损失由</w:t>
      </w:r>
      <w:r>
        <w:rPr>
          <w:rFonts w:hint="eastAsia" w:ascii="宋体" w:hAnsi="宋体" w:cs="宋体"/>
          <w:sz w:val="21"/>
          <w:szCs w:val="21"/>
          <w:highlight w:val="none"/>
          <w:lang w:eastAsia="zh-CN"/>
        </w:rPr>
        <w:t>乙方</w:t>
      </w:r>
      <w:r>
        <w:rPr>
          <w:rFonts w:hint="eastAsia" w:ascii="宋体" w:hAnsi="宋体" w:eastAsia="宋体" w:cs="宋体"/>
          <w:sz w:val="21"/>
          <w:szCs w:val="21"/>
          <w:highlight w:val="none"/>
        </w:rPr>
        <w:t>承担。</w:t>
      </w:r>
    </w:p>
    <w:p w14:paraId="2C11189D">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、办公各类设施及费用、人员食宿、安全等均由</w:t>
      </w:r>
      <w:r>
        <w:rPr>
          <w:rFonts w:hint="eastAsia" w:ascii="宋体" w:hAnsi="宋体" w:cs="宋体"/>
          <w:sz w:val="21"/>
          <w:szCs w:val="21"/>
          <w:highlight w:val="none"/>
          <w:lang w:eastAsia="zh-CN"/>
        </w:rPr>
        <w:t>乙方</w:t>
      </w:r>
      <w:r>
        <w:rPr>
          <w:rFonts w:hint="eastAsia" w:ascii="宋体" w:hAnsi="宋体" w:eastAsia="宋体" w:cs="宋体"/>
          <w:sz w:val="21"/>
          <w:szCs w:val="21"/>
          <w:highlight w:val="none"/>
        </w:rPr>
        <w:t>自行负责解决。</w:t>
      </w:r>
    </w:p>
    <w:p w14:paraId="2E22E4CD">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乙方</w:t>
      </w:r>
      <w:r>
        <w:rPr>
          <w:rFonts w:hint="eastAsia" w:ascii="宋体" w:hAnsi="宋体" w:eastAsia="宋体" w:cs="宋体"/>
          <w:sz w:val="21"/>
          <w:szCs w:val="21"/>
          <w:highlight w:val="none"/>
        </w:rPr>
        <w:t>须按政府各部门有关规定为</w:t>
      </w:r>
      <w:r>
        <w:rPr>
          <w:rFonts w:hint="eastAsia" w:ascii="宋体" w:hAnsi="宋体" w:cs="宋体"/>
          <w:sz w:val="21"/>
          <w:szCs w:val="21"/>
          <w:highlight w:val="none"/>
          <w:lang w:eastAsia="zh-CN"/>
        </w:rPr>
        <w:t>乙方</w:t>
      </w:r>
      <w:r>
        <w:rPr>
          <w:rFonts w:hint="eastAsia" w:ascii="宋体" w:hAnsi="宋体" w:eastAsia="宋体" w:cs="宋体"/>
          <w:sz w:val="21"/>
          <w:szCs w:val="21"/>
          <w:highlight w:val="none"/>
        </w:rPr>
        <w:t>的每位员工交纳各种社会保险及相关费用。</w:t>
      </w:r>
    </w:p>
    <w:p w14:paraId="57A37010">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、在</w:t>
      </w:r>
      <w:r>
        <w:rPr>
          <w:rFonts w:hint="eastAsia" w:ascii="宋体" w:hAnsi="宋体" w:cs="宋体"/>
          <w:sz w:val="21"/>
          <w:szCs w:val="21"/>
          <w:highlight w:val="none"/>
          <w:lang w:eastAsia="zh-CN"/>
        </w:rPr>
        <w:t>服务</w:t>
      </w:r>
      <w:r>
        <w:rPr>
          <w:rFonts w:hint="eastAsia" w:ascii="宋体" w:hAnsi="宋体" w:eastAsia="宋体" w:cs="宋体"/>
          <w:sz w:val="21"/>
          <w:szCs w:val="21"/>
          <w:highlight w:val="none"/>
        </w:rPr>
        <w:t>期限内，</w:t>
      </w:r>
      <w:r>
        <w:rPr>
          <w:rFonts w:hint="eastAsia" w:ascii="宋体" w:hAnsi="宋体" w:cs="宋体"/>
          <w:sz w:val="21"/>
          <w:szCs w:val="21"/>
          <w:highlight w:val="none"/>
          <w:lang w:eastAsia="zh-CN"/>
        </w:rPr>
        <w:t>乙方</w:t>
      </w:r>
      <w:r>
        <w:rPr>
          <w:rFonts w:hint="eastAsia" w:ascii="宋体" w:hAnsi="宋体" w:eastAsia="宋体" w:cs="宋体"/>
          <w:sz w:val="21"/>
          <w:szCs w:val="21"/>
          <w:highlight w:val="none"/>
        </w:rPr>
        <w:t>所有人员的安全事故由</w:t>
      </w:r>
      <w:r>
        <w:rPr>
          <w:rFonts w:hint="eastAsia" w:ascii="宋体" w:hAnsi="宋体" w:cs="宋体"/>
          <w:sz w:val="21"/>
          <w:szCs w:val="21"/>
          <w:highlight w:val="none"/>
          <w:lang w:eastAsia="zh-CN"/>
        </w:rPr>
        <w:t>乙方</w:t>
      </w:r>
      <w:r>
        <w:rPr>
          <w:rFonts w:hint="eastAsia" w:ascii="宋体" w:hAnsi="宋体" w:eastAsia="宋体" w:cs="宋体"/>
          <w:sz w:val="21"/>
          <w:szCs w:val="21"/>
          <w:highlight w:val="none"/>
        </w:rPr>
        <w:t>自行全权负责，</w:t>
      </w:r>
      <w:r>
        <w:rPr>
          <w:rFonts w:hint="eastAsia" w:ascii="宋体" w:hAnsi="宋体" w:cs="宋体"/>
          <w:sz w:val="21"/>
          <w:szCs w:val="21"/>
          <w:highlight w:val="none"/>
          <w:lang w:eastAsia="zh-CN"/>
        </w:rPr>
        <w:t>甲方</w:t>
      </w:r>
      <w:r>
        <w:rPr>
          <w:rFonts w:hint="eastAsia" w:ascii="宋体" w:hAnsi="宋体" w:eastAsia="宋体" w:cs="宋体"/>
          <w:sz w:val="21"/>
          <w:szCs w:val="21"/>
          <w:highlight w:val="none"/>
        </w:rPr>
        <w:t>不承担任何责任。</w:t>
      </w:r>
    </w:p>
    <w:p w14:paraId="0BC04787">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、项目负责人作为本项目的联系人不得变更，必须随时听从</w:t>
      </w:r>
      <w:r>
        <w:rPr>
          <w:rFonts w:hint="eastAsia" w:ascii="宋体" w:hAnsi="宋体" w:cs="宋体"/>
          <w:sz w:val="21"/>
          <w:szCs w:val="21"/>
          <w:highlight w:val="none"/>
          <w:lang w:eastAsia="zh-CN"/>
        </w:rPr>
        <w:t>甲方</w:t>
      </w:r>
      <w:r>
        <w:rPr>
          <w:rFonts w:hint="eastAsia" w:ascii="宋体" w:hAnsi="宋体" w:eastAsia="宋体" w:cs="宋体"/>
          <w:sz w:val="21"/>
          <w:szCs w:val="21"/>
          <w:highlight w:val="none"/>
        </w:rPr>
        <w:t>指派、组织协调鉴定小组工作。</w:t>
      </w:r>
    </w:p>
    <w:p w14:paraId="383FA8EF">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、对于业务档案的保存根据《浙江省司法鉴定机构档案管理办法》的相关要求进行保存。</w:t>
      </w:r>
    </w:p>
    <w:p w14:paraId="1C720E99">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、对于无法受理的鉴定事项，因及时将无法鉴定的原因（如检材不全、视频模糊等情况）及时反馈给</w:t>
      </w:r>
      <w:r>
        <w:rPr>
          <w:rFonts w:hint="eastAsia" w:ascii="宋体" w:hAnsi="宋体" w:cs="宋体"/>
          <w:sz w:val="21"/>
          <w:szCs w:val="21"/>
          <w:highlight w:val="none"/>
          <w:lang w:val="en-US" w:eastAsia="zh-CN"/>
        </w:rPr>
        <w:t>甲方，以便甲方后续工作的开展。</w:t>
      </w:r>
    </w:p>
    <w:p w14:paraId="40DB0955">
      <w:pPr>
        <w:keepNext w:val="0"/>
        <w:keepLines w:val="0"/>
        <w:pageBreakBefore w:val="0"/>
        <w:kinsoku/>
        <w:wordWrap/>
        <w:overflowPunct/>
        <w:topLinePunct w:val="0"/>
        <w:autoSpaceDE/>
        <w:autoSpaceDN/>
        <w:bidi w:val="0"/>
        <w:adjustRightInd/>
        <w:spacing w:line="360" w:lineRule="auto"/>
        <w:outlineLvl w:val="1"/>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rPr>
        <w:t>、付款方式</w:t>
      </w:r>
    </w:p>
    <w:p w14:paraId="24F97A93">
      <w:pPr>
        <w:keepNext w:val="0"/>
        <w:keepLines w:val="0"/>
        <w:pageBreakBefore w:val="0"/>
        <w:kinsoku/>
        <w:wordWrap/>
        <w:overflowPunct/>
        <w:topLinePunct w:val="0"/>
        <w:autoSpaceDE/>
        <w:autoSpaceDN/>
        <w:bidi w:val="0"/>
        <w:adjustRightInd/>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1、付款方式：按实际提供事故检验鉴定次数开具正式发票，检验鉴定费每一季度</w:t>
      </w:r>
      <w:r>
        <w:rPr>
          <w:rFonts w:hint="eastAsia" w:ascii="宋体" w:hAnsi="宋体" w:cs="宋体"/>
          <w:sz w:val="21"/>
          <w:szCs w:val="21"/>
          <w:highlight w:val="none"/>
          <w:lang w:val="en-US" w:eastAsia="zh-CN"/>
        </w:rPr>
        <w:t>根据</w:t>
      </w:r>
      <w:r>
        <w:rPr>
          <w:rFonts w:hint="eastAsia" w:ascii="宋体" w:hAnsi="宋体" w:eastAsia="宋体" w:cs="宋体"/>
          <w:sz w:val="21"/>
          <w:szCs w:val="21"/>
          <w:highlight w:val="none"/>
        </w:rPr>
        <w:t>实际鉴定的数量</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以已出具鉴定报告的数量为准</w:t>
      </w:r>
      <w:r>
        <w:rPr>
          <w:rFonts w:hint="eastAsia" w:ascii="宋体" w:hAnsi="宋体" w:cs="宋体"/>
          <w:b/>
          <w:bCs/>
          <w:sz w:val="21"/>
          <w:szCs w:val="21"/>
          <w:highlight w:val="none"/>
          <w:lang w:eastAsia="zh-CN"/>
        </w:rPr>
        <w:t>）</w:t>
      </w:r>
      <w:r>
        <w:rPr>
          <w:rFonts w:hint="eastAsia" w:ascii="宋体" w:hAnsi="宋体" w:eastAsia="宋体" w:cs="宋体"/>
          <w:sz w:val="21"/>
          <w:szCs w:val="21"/>
          <w:highlight w:val="none"/>
        </w:rPr>
        <w:t>及考核结果进行一次结算进行一次结算。</w:t>
      </w:r>
      <w:r>
        <w:rPr>
          <w:rFonts w:hint="eastAsia" w:ascii="宋体" w:hAnsi="宋体" w:eastAsia="宋体" w:cs="宋体"/>
          <w:sz w:val="21"/>
          <w:szCs w:val="21"/>
          <w:highlight w:val="none"/>
          <w:lang w:val="en-US" w:eastAsia="zh-CN"/>
        </w:rPr>
        <w:t>支付前乙方应向甲方出具详细的结算清单。</w:t>
      </w:r>
    </w:p>
    <w:p w14:paraId="7EBEBEEB">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乙方</w:t>
      </w:r>
      <w:r>
        <w:rPr>
          <w:rFonts w:hint="eastAsia" w:ascii="宋体" w:hAnsi="宋体" w:eastAsia="宋体" w:cs="宋体"/>
          <w:sz w:val="21"/>
          <w:szCs w:val="21"/>
          <w:highlight w:val="none"/>
        </w:rPr>
        <w:t>须在每季度的次月15日前向</w:t>
      </w:r>
      <w:r>
        <w:rPr>
          <w:rFonts w:hint="eastAsia" w:ascii="宋体" w:hAnsi="宋体" w:eastAsia="宋体" w:cs="宋体"/>
          <w:sz w:val="21"/>
          <w:szCs w:val="21"/>
          <w:highlight w:val="none"/>
          <w:lang w:val="en-US" w:eastAsia="zh-CN"/>
        </w:rPr>
        <w:t>甲方</w:t>
      </w:r>
      <w:r>
        <w:rPr>
          <w:rFonts w:hint="eastAsia" w:ascii="宋体" w:hAnsi="宋体" w:eastAsia="宋体" w:cs="宋体"/>
          <w:sz w:val="21"/>
          <w:szCs w:val="21"/>
          <w:highlight w:val="none"/>
        </w:rPr>
        <w:t>提供：①</w:t>
      </w:r>
      <w:r>
        <w:rPr>
          <w:rFonts w:hint="eastAsia" w:ascii="宋体" w:hAnsi="宋体" w:eastAsia="宋体" w:cs="宋体"/>
          <w:sz w:val="21"/>
          <w:szCs w:val="21"/>
          <w:highlight w:val="none"/>
          <w:lang w:val="en-US" w:eastAsia="zh-CN"/>
        </w:rPr>
        <w:t>甲方</w:t>
      </w:r>
      <w:r>
        <w:rPr>
          <w:rFonts w:hint="eastAsia" w:ascii="宋体" w:hAnsi="宋体" w:eastAsia="宋体" w:cs="宋体"/>
          <w:sz w:val="21"/>
          <w:szCs w:val="21"/>
          <w:highlight w:val="none"/>
        </w:rPr>
        <w:t>检验鉴定委托书（各大队出具）、②</w:t>
      </w:r>
      <w:r>
        <w:rPr>
          <w:rFonts w:hint="eastAsia" w:ascii="宋体" w:hAnsi="宋体" w:eastAsia="宋体" w:cs="宋体"/>
          <w:sz w:val="21"/>
          <w:szCs w:val="21"/>
          <w:highlight w:val="none"/>
          <w:lang w:val="en-US" w:eastAsia="zh-CN"/>
        </w:rPr>
        <w:t>乙方</w:t>
      </w:r>
      <w:r>
        <w:rPr>
          <w:rFonts w:hint="eastAsia" w:ascii="宋体" w:hAnsi="宋体" w:eastAsia="宋体" w:cs="宋体"/>
          <w:sz w:val="21"/>
          <w:szCs w:val="21"/>
          <w:highlight w:val="none"/>
        </w:rPr>
        <w:t>开具的正式发票。</w:t>
      </w:r>
    </w:p>
    <w:p w14:paraId="6E8A7AEF">
      <w:pPr>
        <w:keepNext w:val="0"/>
        <w:keepLines w:val="0"/>
        <w:pageBreakBefore w:val="0"/>
        <w:kinsoku/>
        <w:wordWrap/>
        <w:overflowPunct/>
        <w:topLinePunct w:val="0"/>
        <w:autoSpaceDE/>
        <w:autoSpaceDN/>
        <w:bidi w:val="0"/>
        <w:adjustRightInd/>
        <w:spacing w:line="360" w:lineRule="auto"/>
        <w:outlineLvl w:val="1"/>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五</w:t>
      </w:r>
      <w:r>
        <w:rPr>
          <w:rFonts w:hint="eastAsia" w:ascii="宋体" w:hAnsi="宋体" w:eastAsia="宋体" w:cs="宋体"/>
          <w:b/>
          <w:bCs/>
          <w:sz w:val="21"/>
          <w:szCs w:val="21"/>
          <w:highlight w:val="none"/>
        </w:rPr>
        <w:t>、甲方责任条款</w:t>
      </w:r>
    </w:p>
    <w:p w14:paraId="451A9FF8">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1、甲方应向乙方出具每项案件的鉴定聘请委托。</w:t>
      </w:r>
    </w:p>
    <w:p w14:paraId="4270BCB4">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2、甲方保留对未按合同履行义务的乙方索赔及追责的权利。</w:t>
      </w:r>
    </w:p>
    <w:p w14:paraId="0A100235">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3、甲方依据本合同支付乙方相关费用。</w:t>
      </w:r>
    </w:p>
    <w:p w14:paraId="7965CD8D">
      <w:pPr>
        <w:keepNext w:val="0"/>
        <w:keepLines w:val="0"/>
        <w:pageBreakBefore w:val="0"/>
        <w:kinsoku/>
        <w:wordWrap/>
        <w:overflowPunct/>
        <w:topLinePunct w:val="0"/>
        <w:autoSpaceDE/>
        <w:autoSpaceDN/>
        <w:bidi w:val="0"/>
        <w:adjustRightInd/>
        <w:spacing w:line="360" w:lineRule="auto"/>
        <w:outlineLvl w:val="1"/>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六</w:t>
      </w:r>
      <w:r>
        <w:rPr>
          <w:rFonts w:hint="eastAsia" w:ascii="宋体" w:hAnsi="宋体" w:eastAsia="宋体" w:cs="宋体"/>
          <w:b/>
          <w:bCs/>
          <w:sz w:val="21"/>
          <w:szCs w:val="21"/>
          <w:highlight w:val="none"/>
        </w:rPr>
        <w:t>、乙方责任条款</w:t>
      </w:r>
    </w:p>
    <w:p w14:paraId="4D98017C">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1、乙方应按照相关法律法规对每宗委托案件进行鉴定工作，并对出具鉴定报告的有效性承担法律责任。</w:t>
      </w:r>
    </w:p>
    <w:p w14:paraId="40DECF10">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2、乙方应在每宗委托鉴定案件所规定的时限内出具鉴定报告，逾期无法完成将承担由此引起的一切责任，包括但不限于给甲方造成的一切经济损失。</w:t>
      </w:r>
    </w:p>
    <w:p w14:paraId="3C19277C">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3、乙方应遵守鉴定案件信息保密规定，不得向无关人员透露与鉴定案件有关的一切信息，未经甲方同意不得接受任何新闻媒体的访问，一经发现，严肃处理相关责任人。</w:t>
      </w:r>
    </w:p>
    <w:p w14:paraId="1620789E">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4、乙方应对甲方提供的检材进行妥善保管，保管的要求及期限严格按照国家相关规定执行。</w:t>
      </w:r>
    </w:p>
    <w:p w14:paraId="2E2B91C7">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5、乙方向甲方收取的报酬，是其关于本合同的唯一报酬，乙方及其工作人员不得另外向当事人收取任何检验鉴定服务费用。</w:t>
      </w:r>
    </w:p>
    <w:p w14:paraId="7FD2E9DE">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6、乙方在经营资质改变、发生诉讼或仲裁、被相应机关查处、资产发生重大变化以及出现其他足以影响甲方与其签订委托合同情形时，应在事件发生后的五个工作日内向甲方书面报告。</w:t>
      </w:r>
    </w:p>
    <w:p w14:paraId="47949940">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7、服务期限内，因乙方原因导致出具的鉴定报告引起复议及败诉的，相关责任由</w:t>
      </w:r>
      <w:r>
        <w:rPr>
          <w:rFonts w:hint="eastAsia" w:ascii="宋体" w:hAnsi="宋体" w:eastAsia="宋体" w:cs="宋体"/>
          <w:sz w:val="21"/>
          <w:szCs w:val="21"/>
          <w:highlight w:val="none"/>
          <w:lang w:val="en-US" w:eastAsia="zh-CN"/>
        </w:rPr>
        <w:t>乙方</w:t>
      </w:r>
      <w:r>
        <w:rPr>
          <w:rFonts w:hint="eastAsia" w:ascii="宋体" w:hAnsi="宋体" w:eastAsia="宋体" w:cs="宋体"/>
          <w:sz w:val="21"/>
          <w:szCs w:val="21"/>
          <w:highlight w:val="none"/>
        </w:rPr>
        <w:t>承担。</w:t>
      </w:r>
    </w:p>
    <w:p w14:paraId="259F59D9">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8、遇到突发事件或自然灾害，必须服从甲方指挥与安排。协助甲方调查、处理有关投诉，并根据甲方要求及时处理。</w:t>
      </w:r>
    </w:p>
    <w:p w14:paraId="54AF8CF0">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9、未经甲方同意，乙方无权在工作区域内私自进行检验鉴定服务，否则，甲方有权依照法律法规和甲方相关的规定责令乙方限期改正，并接受甲方处罚。</w:t>
      </w:r>
    </w:p>
    <w:p w14:paraId="7282166F">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10、未经甲方同意，乙方不得以任何形式转让</w:t>
      </w:r>
      <w:r>
        <w:rPr>
          <w:rFonts w:hint="eastAsia" w:ascii="宋体" w:hAnsi="宋体" w:cs="宋体"/>
          <w:sz w:val="21"/>
          <w:szCs w:val="21"/>
          <w:highlight w:val="none"/>
          <w:lang w:val="en-US" w:eastAsia="zh-CN"/>
        </w:rPr>
        <w:t>或</w:t>
      </w:r>
      <w:r>
        <w:rPr>
          <w:rFonts w:hint="eastAsia" w:ascii="宋体" w:hAnsi="宋体" w:eastAsia="宋体" w:cs="宋体"/>
          <w:sz w:val="21"/>
          <w:szCs w:val="21"/>
          <w:highlight w:val="none"/>
        </w:rPr>
        <w:t>抵押</w:t>
      </w:r>
      <w:r>
        <w:rPr>
          <w:rFonts w:hint="eastAsia" w:ascii="宋体" w:hAnsi="宋体" w:cs="宋体"/>
          <w:sz w:val="21"/>
          <w:szCs w:val="21"/>
          <w:highlight w:val="none"/>
          <w:lang w:eastAsia="zh-CN"/>
        </w:rPr>
        <w:t>服务</w:t>
      </w:r>
      <w:r>
        <w:rPr>
          <w:rFonts w:hint="eastAsia" w:ascii="宋体" w:hAnsi="宋体" w:eastAsia="宋体" w:cs="宋体"/>
          <w:sz w:val="21"/>
          <w:szCs w:val="21"/>
          <w:highlight w:val="none"/>
        </w:rPr>
        <w:t>合同内容，</w:t>
      </w:r>
      <w:r>
        <w:rPr>
          <w:rFonts w:hint="eastAsia" w:ascii="宋体" w:hAnsi="宋体" w:cs="宋体"/>
          <w:sz w:val="21"/>
          <w:szCs w:val="21"/>
          <w:highlight w:val="none"/>
          <w:lang w:val="en-US" w:eastAsia="zh-CN"/>
        </w:rPr>
        <w:t>乙方只能在甲方认可的</w:t>
      </w:r>
      <w:r>
        <w:rPr>
          <w:rFonts w:hint="eastAsia" w:ascii="宋体" w:hAnsi="宋体" w:eastAsia="宋体" w:cs="宋体"/>
          <w:sz w:val="21"/>
          <w:szCs w:val="21"/>
          <w:highlight w:val="none"/>
        </w:rPr>
        <w:t>作业区域内从事检验鉴定服务工作；否则甲方有权单方面终止合同，并保留追究乙方责任的权利。在</w:t>
      </w:r>
      <w:r>
        <w:rPr>
          <w:rFonts w:hint="eastAsia" w:ascii="宋体" w:hAnsi="宋体" w:cs="宋体"/>
          <w:sz w:val="21"/>
          <w:szCs w:val="21"/>
          <w:highlight w:val="none"/>
          <w:lang w:eastAsia="zh-CN"/>
        </w:rPr>
        <w:t>服务</w:t>
      </w:r>
      <w:r>
        <w:rPr>
          <w:rFonts w:hint="eastAsia" w:ascii="宋体" w:hAnsi="宋体" w:eastAsia="宋体" w:cs="宋体"/>
          <w:sz w:val="21"/>
          <w:szCs w:val="21"/>
          <w:highlight w:val="none"/>
        </w:rPr>
        <w:t>期间，乙方</w:t>
      </w:r>
      <w:r>
        <w:rPr>
          <w:rFonts w:hint="eastAsia" w:ascii="宋体" w:hAnsi="宋体" w:cs="宋体"/>
          <w:sz w:val="21"/>
          <w:szCs w:val="21"/>
          <w:highlight w:val="none"/>
          <w:lang w:val="en-US" w:eastAsia="zh-CN"/>
        </w:rPr>
        <w:t>如有</w:t>
      </w:r>
      <w:r>
        <w:rPr>
          <w:rFonts w:hint="eastAsia" w:ascii="宋体" w:hAnsi="宋体" w:eastAsia="宋体" w:cs="宋体"/>
          <w:sz w:val="21"/>
          <w:szCs w:val="21"/>
          <w:highlight w:val="none"/>
        </w:rPr>
        <w:t>任何重大变动或</w:t>
      </w:r>
      <w:r>
        <w:rPr>
          <w:rFonts w:hint="eastAsia" w:ascii="宋体" w:hAnsi="宋体" w:cs="宋体"/>
          <w:sz w:val="21"/>
          <w:szCs w:val="21"/>
          <w:highlight w:val="none"/>
          <w:lang w:val="en-US" w:eastAsia="zh-CN"/>
        </w:rPr>
        <w:t>涉及</w:t>
      </w:r>
      <w:r>
        <w:rPr>
          <w:rFonts w:hint="eastAsia" w:ascii="宋体" w:hAnsi="宋体" w:eastAsia="宋体" w:cs="宋体"/>
          <w:sz w:val="21"/>
          <w:szCs w:val="21"/>
          <w:highlight w:val="none"/>
        </w:rPr>
        <w:t>法律事宜</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必须及时</w:t>
      </w:r>
      <w:r>
        <w:rPr>
          <w:rFonts w:hint="eastAsia" w:ascii="宋体" w:hAnsi="宋体" w:eastAsia="宋体" w:cs="宋体"/>
          <w:sz w:val="21"/>
          <w:szCs w:val="21"/>
          <w:highlight w:val="none"/>
        </w:rPr>
        <w:t>通知甲方。</w:t>
      </w:r>
    </w:p>
    <w:p w14:paraId="0CC8B39E">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11、乙方必须信守</w:t>
      </w:r>
      <w:r>
        <w:rPr>
          <w:rFonts w:hint="eastAsia" w:ascii="宋体" w:hAnsi="宋体" w:cs="宋体"/>
          <w:sz w:val="21"/>
          <w:szCs w:val="21"/>
          <w:highlight w:val="none"/>
          <w:lang w:eastAsia="zh-CN"/>
        </w:rPr>
        <w:t>服务</w:t>
      </w:r>
      <w:r>
        <w:rPr>
          <w:rFonts w:hint="eastAsia" w:ascii="宋体" w:hAnsi="宋体" w:eastAsia="宋体" w:cs="宋体"/>
          <w:sz w:val="21"/>
          <w:szCs w:val="21"/>
          <w:highlight w:val="none"/>
        </w:rPr>
        <w:t>承诺，</w:t>
      </w:r>
      <w:r>
        <w:rPr>
          <w:rFonts w:hint="eastAsia" w:ascii="宋体" w:hAnsi="宋体" w:cs="宋体"/>
          <w:sz w:val="21"/>
          <w:szCs w:val="21"/>
          <w:highlight w:val="none"/>
          <w:lang w:val="en-US" w:eastAsia="zh-CN"/>
        </w:rPr>
        <w:t>配备</w:t>
      </w:r>
      <w:r>
        <w:rPr>
          <w:rFonts w:hint="eastAsia" w:ascii="宋体" w:hAnsi="宋体" w:eastAsia="宋体" w:cs="宋体"/>
          <w:sz w:val="21"/>
          <w:szCs w:val="21"/>
          <w:highlight w:val="none"/>
        </w:rPr>
        <w:t>相应的固定服务人员，挂牌上岗并建立健全的管理制度。</w:t>
      </w:r>
    </w:p>
    <w:p w14:paraId="67DA5AF2">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12、在</w:t>
      </w:r>
      <w:r>
        <w:rPr>
          <w:rFonts w:hint="eastAsia" w:ascii="宋体" w:hAnsi="宋体" w:cs="宋体"/>
          <w:sz w:val="21"/>
          <w:szCs w:val="21"/>
          <w:highlight w:val="none"/>
          <w:lang w:eastAsia="zh-CN"/>
        </w:rPr>
        <w:t>服务</w:t>
      </w:r>
      <w:r>
        <w:rPr>
          <w:rFonts w:hint="eastAsia" w:ascii="宋体" w:hAnsi="宋体" w:eastAsia="宋体" w:cs="宋体"/>
          <w:sz w:val="21"/>
          <w:szCs w:val="21"/>
          <w:highlight w:val="none"/>
        </w:rPr>
        <w:t>作业期间的各项服务，其工作时间应满足甲方的工作要求，包括星期天及</w:t>
      </w:r>
      <w:r>
        <w:rPr>
          <w:rFonts w:hint="eastAsia" w:ascii="宋体" w:hAnsi="宋体" w:cs="宋体"/>
          <w:sz w:val="21"/>
          <w:szCs w:val="21"/>
          <w:highlight w:val="none"/>
          <w:lang w:val="en-US" w:eastAsia="zh-CN"/>
        </w:rPr>
        <w:t>公众</w:t>
      </w:r>
      <w:r>
        <w:rPr>
          <w:rFonts w:hint="eastAsia" w:ascii="宋体" w:hAnsi="宋体" w:eastAsia="宋体" w:cs="宋体"/>
          <w:sz w:val="21"/>
          <w:szCs w:val="21"/>
          <w:highlight w:val="none"/>
        </w:rPr>
        <w:t>假期，无论乙方有任何理由，均不得拖延、停止服务工作。甲方任何应提供方便或提高服务质量时，可要求乙方调整工作时间直至全天二十四小时工作。</w:t>
      </w:r>
    </w:p>
    <w:p w14:paraId="42177B92">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13、因工作需要，甲方临时向乙方提出服务的要求，乙方应全力配合，按照甲方提出标准及要求完成，不得无故拖延。</w:t>
      </w:r>
    </w:p>
    <w:p w14:paraId="4966755B">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14、乙方必须对员工发生的事故责任以及员工计生、身份、健康等承担责任；同时对员工在作业期间做出不良行为给甲方造成影响承担责任。</w:t>
      </w:r>
    </w:p>
    <w:p w14:paraId="38399FC8">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15、乙方员工发生被媒体曝光或影响甲方公众形象或违反采购人规章制度造成不良影响，而由此产生的损失及消除影响产生的费用，由乙方全部承担；甲方根据事件的轻重，将保留</w:t>
      </w:r>
      <w:r>
        <w:rPr>
          <w:rFonts w:hint="eastAsia" w:ascii="宋体" w:hAnsi="宋体" w:cs="宋体"/>
          <w:sz w:val="21"/>
          <w:szCs w:val="21"/>
          <w:highlight w:val="none"/>
          <w:lang w:val="en-US" w:eastAsia="zh-CN"/>
        </w:rPr>
        <w:t>部分合同款</w:t>
      </w:r>
      <w:r>
        <w:rPr>
          <w:rFonts w:hint="eastAsia" w:ascii="宋体" w:hAnsi="宋体" w:eastAsia="宋体" w:cs="宋体"/>
          <w:sz w:val="21"/>
          <w:szCs w:val="21"/>
          <w:highlight w:val="none"/>
        </w:rPr>
        <w:t>的权利，情节严重的，甲方还可以要求乙方赔偿损失或另处罚款。</w:t>
      </w:r>
    </w:p>
    <w:p w14:paraId="643131F7">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16、乙方须按政府各部门有关规定为乙方的每位员工交纳各种社会保险及相关费用。在</w:t>
      </w:r>
      <w:r>
        <w:rPr>
          <w:rFonts w:hint="eastAsia" w:ascii="宋体" w:hAnsi="宋体" w:cs="宋体"/>
          <w:sz w:val="21"/>
          <w:szCs w:val="21"/>
          <w:highlight w:val="none"/>
          <w:lang w:eastAsia="zh-CN"/>
        </w:rPr>
        <w:t>服务</w:t>
      </w:r>
      <w:r>
        <w:rPr>
          <w:rFonts w:hint="eastAsia" w:ascii="宋体" w:hAnsi="宋体" w:eastAsia="宋体" w:cs="宋体"/>
          <w:sz w:val="21"/>
          <w:szCs w:val="21"/>
          <w:highlight w:val="none"/>
        </w:rPr>
        <w:t>期限内，乙方所有人员的安全事故由乙方自行全权负责，甲方不承担任何责任。</w:t>
      </w:r>
    </w:p>
    <w:p w14:paraId="27479F24">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17、项目负责人作为本项目的联系人不得</w:t>
      </w:r>
      <w:r>
        <w:rPr>
          <w:rFonts w:hint="eastAsia" w:ascii="宋体" w:hAnsi="宋体" w:cs="宋体"/>
          <w:sz w:val="21"/>
          <w:szCs w:val="21"/>
          <w:highlight w:val="none"/>
          <w:lang w:val="en-US" w:eastAsia="zh-CN"/>
        </w:rPr>
        <w:t>随意</w:t>
      </w:r>
      <w:r>
        <w:rPr>
          <w:rFonts w:hint="eastAsia" w:ascii="宋体" w:hAnsi="宋体" w:eastAsia="宋体" w:cs="宋体"/>
          <w:sz w:val="21"/>
          <w:szCs w:val="21"/>
          <w:highlight w:val="none"/>
        </w:rPr>
        <w:t>变更，必须随时</w:t>
      </w:r>
      <w:r>
        <w:rPr>
          <w:rFonts w:hint="eastAsia" w:ascii="宋体" w:hAnsi="宋体" w:cs="宋体"/>
          <w:sz w:val="21"/>
          <w:szCs w:val="21"/>
          <w:highlight w:val="none"/>
          <w:lang w:val="en-US" w:eastAsia="zh-CN"/>
        </w:rPr>
        <w:t>响应甲方的指令</w:t>
      </w:r>
      <w:r>
        <w:rPr>
          <w:rFonts w:hint="eastAsia" w:ascii="宋体" w:hAnsi="宋体" w:eastAsia="宋体" w:cs="宋体"/>
          <w:sz w:val="21"/>
          <w:szCs w:val="21"/>
          <w:highlight w:val="none"/>
        </w:rPr>
        <w:t>、组织协调鉴定小组工作</w:t>
      </w:r>
      <w:r>
        <w:rPr>
          <w:rFonts w:hint="eastAsia" w:ascii="宋体" w:hAnsi="宋体" w:eastAsia="宋体" w:cs="宋体"/>
          <w:sz w:val="21"/>
          <w:szCs w:val="21"/>
          <w:highlight w:val="none"/>
          <w:lang w:eastAsia="zh-CN"/>
        </w:rPr>
        <w:t>。</w:t>
      </w:r>
    </w:p>
    <w:p w14:paraId="3B24FE12">
      <w:pPr>
        <w:keepNext w:val="0"/>
        <w:keepLines w:val="0"/>
        <w:pageBreakBefore w:val="0"/>
        <w:kinsoku/>
        <w:wordWrap/>
        <w:overflowPunct/>
        <w:topLinePunct w:val="0"/>
        <w:autoSpaceDE/>
        <w:autoSpaceDN/>
        <w:bidi w:val="0"/>
        <w:adjustRightInd/>
        <w:spacing w:line="360" w:lineRule="auto"/>
        <w:outlineLvl w:val="1"/>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七</w:t>
      </w:r>
      <w:r>
        <w:rPr>
          <w:rFonts w:hint="eastAsia" w:ascii="宋体" w:hAnsi="宋体" w:eastAsia="宋体" w:cs="宋体"/>
          <w:b/>
          <w:bCs/>
          <w:sz w:val="21"/>
          <w:szCs w:val="21"/>
          <w:highlight w:val="none"/>
        </w:rPr>
        <w:t>、违约</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合同的终止及赔偿条款</w:t>
      </w:r>
    </w:p>
    <w:p w14:paraId="1C744FF6">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、乙方出现以下情形时，甲方有权解除本委托合同，</w:t>
      </w:r>
      <w:r>
        <w:rPr>
          <w:rFonts w:hint="eastAsia" w:ascii="宋体" w:hAnsi="宋体" w:cs="宋体"/>
          <w:sz w:val="21"/>
          <w:szCs w:val="21"/>
          <w:highlight w:val="none"/>
          <w:lang w:val="en-US" w:eastAsia="zh-CN"/>
        </w:rPr>
        <w:t>并</w:t>
      </w:r>
      <w:r>
        <w:rPr>
          <w:rFonts w:hint="eastAsia" w:ascii="宋体" w:hAnsi="宋体" w:eastAsia="宋体" w:cs="宋体"/>
          <w:sz w:val="21"/>
          <w:szCs w:val="21"/>
          <w:highlight w:val="none"/>
        </w:rPr>
        <w:t>有权要求乙方承担违约责任</w:t>
      </w:r>
      <w:r>
        <w:rPr>
          <w:rFonts w:hint="eastAsia" w:ascii="宋体" w:hAnsi="宋体" w:cs="宋体"/>
          <w:sz w:val="21"/>
          <w:szCs w:val="21"/>
          <w:highlight w:val="none"/>
          <w:lang w:eastAsia="zh-CN"/>
        </w:rPr>
        <w:t>：</w:t>
      </w:r>
    </w:p>
    <w:p w14:paraId="4D48B978">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（1）乙方及其工作人员收受涉案人员财物；</w:t>
      </w:r>
    </w:p>
    <w:p w14:paraId="49D3CE5D">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（2）乙方违反有关法律规定及行业准则；</w:t>
      </w:r>
    </w:p>
    <w:p w14:paraId="7C9E4DD6">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（3）乙方不提供真实、客观的鉴证资料，或有意隐瞒真实</w:t>
      </w:r>
      <w:r>
        <w:rPr>
          <w:rFonts w:hint="eastAsia" w:ascii="宋体" w:hAnsi="宋体" w:cs="宋体"/>
          <w:sz w:val="21"/>
          <w:szCs w:val="21"/>
          <w:highlight w:val="none"/>
          <w:lang w:val="en-US" w:eastAsia="zh-CN"/>
        </w:rPr>
        <w:t>情况</w:t>
      </w:r>
      <w:r>
        <w:rPr>
          <w:rFonts w:hint="eastAsia" w:ascii="宋体" w:hAnsi="宋体" w:eastAsia="宋体" w:cs="宋体"/>
          <w:sz w:val="21"/>
          <w:szCs w:val="21"/>
          <w:highlight w:val="none"/>
        </w:rPr>
        <w:t>、提供虚假鉴定结果，出具</w:t>
      </w:r>
      <w:r>
        <w:rPr>
          <w:rFonts w:hint="eastAsia" w:ascii="宋体" w:hAnsi="宋体" w:cs="宋体"/>
          <w:sz w:val="21"/>
          <w:szCs w:val="21"/>
          <w:highlight w:val="none"/>
          <w:lang w:val="en-US" w:eastAsia="zh-CN"/>
        </w:rPr>
        <w:t>含有</w:t>
      </w:r>
      <w:r>
        <w:rPr>
          <w:rFonts w:hint="eastAsia" w:ascii="宋体" w:hAnsi="宋体" w:eastAsia="宋体" w:cs="宋体"/>
          <w:sz w:val="21"/>
          <w:szCs w:val="21"/>
          <w:highlight w:val="none"/>
        </w:rPr>
        <w:t>虚假记载、误导性陈述或重大遗漏的鉴定意见书；</w:t>
      </w:r>
    </w:p>
    <w:p w14:paraId="669819AF">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（4）乙方有其他严重违约行为。</w:t>
      </w:r>
    </w:p>
    <w:p w14:paraId="3225EBB5">
      <w:pPr>
        <w:keepNext w:val="0"/>
        <w:keepLines w:val="0"/>
        <w:pageBreakBefore w:val="0"/>
        <w:kinsoku/>
        <w:wordWrap/>
        <w:overflowPunct/>
        <w:topLinePunct w:val="0"/>
        <w:autoSpaceDE/>
        <w:autoSpaceDN/>
        <w:bidi w:val="0"/>
        <w:adjustRightInd/>
        <w:snapToGrid w:val="0"/>
        <w:spacing w:line="360" w:lineRule="auto"/>
        <w:ind w:left="420" w:leftChars="200" w:firstLine="0" w:firstLineChars="0"/>
        <w:textAlignment w:val="bottom"/>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在服务期限内，</w:t>
      </w:r>
      <w:r>
        <w:rPr>
          <w:rFonts w:hint="eastAsia" w:ascii="宋体" w:hAnsi="宋体" w:cs="宋体"/>
          <w:sz w:val="21"/>
          <w:szCs w:val="21"/>
          <w:highlight w:val="none"/>
          <w:lang w:val="en-US" w:eastAsia="zh-CN"/>
        </w:rPr>
        <w:t>因乙方原因导致泄密。</w:t>
      </w:r>
      <w:r>
        <w:rPr>
          <w:rFonts w:hint="eastAsia" w:ascii="宋体" w:hAnsi="宋体" w:cs="宋体"/>
          <w:sz w:val="21"/>
          <w:szCs w:val="21"/>
          <w:highlight w:val="none"/>
          <w:lang w:val="en-US" w:eastAsia="zh-CN"/>
        </w:rPr>
        <w:br w:type="textWrapping"/>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乙方员工发生被媒体曝光或影响甲方公众形象或违反</w:t>
      </w:r>
      <w:r>
        <w:rPr>
          <w:rFonts w:hint="eastAsia" w:ascii="宋体" w:hAnsi="宋体" w:cs="宋体"/>
          <w:sz w:val="21"/>
          <w:szCs w:val="21"/>
          <w:highlight w:val="none"/>
          <w:lang w:val="en-US" w:eastAsia="zh-CN"/>
        </w:rPr>
        <w:t>甲方</w:t>
      </w:r>
      <w:r>
        <w:rPr>
          <w:rFonts w:hint="eastAsia" w:ascii="宋体" w:hAnsi="宋体" w:eastAsia="宋体" w:cs="宋体"/>
          <w:sz w:val="21"/>
          <w:szCs w:val="21"/>
          <w:highlight w:val="none"/>
        </w:rPr>
        <w:t>规章制度造成不良影响</w:t>
      </w:r>
    </w:p>
    <w:p w14:paraId="1C914B37">
      <w:pPr>
        <w:pStyle w:val="2"/>
        <w:ind w:firstLine="420" w:firstLineChars="200"/>
        <w:rPr>
          <w:rFonts w:hint="default" w:eastAsia="宋体"/>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连续2季度考核不合格的</w:t>
      </w:r>
    </w:p>
    <w:p w14:paraId="61B28D4F">
      <w:pPr>
        <w:keepNext w:val="0"/>
        <w:keepLines w:val="0"/>
        <w:pageBreakBefore w:val="0"/>
        <w:kinsoku/>
        <w:wordWrap/>
        <w:overflowPunct/>
        <w:topLinePunct w:val="0"/>
        <w:autoSpaceDE/>
        <w:autoSpaceDN/>
        <w:bidi w:val="0"/>
        <w:adjustRightInd/>
        <w:snapToGrid w:val="0"/>
        <w:spacing w:line="360" w:lineRule="auto"/>
        <w:ind w:firstLine="420"/>
        <w:textAlignment w:val="bottom"/>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、如重新鉴定推翻乙方的鉴定结论，重新鉴定费用由乙方承担。引起诉讼的，乙方承担所有</w:t>
      </w:r>
      <w:r>
        <w:rPr>
          <w:rFonts w:hint="eastAsia" w:ascii="宋体" w:hAnsi="宋体" w:cs="宋体"/>
          <w:sz w:val="21"/>
          <w:szCs w:val="21"/>
          <w:highlight w:val="none"/>
          <w:lang w:val="en-US" w:eastAsia="zh-CN"/>
        </w:rPr>
        <w:t>相关</w:t>
      </w:r>
      <w:r>
        <w:rPr>
          <w:rFonts w:hint="eastAsia" w:ascii="宋体" w:hAnsi="宋体" w:eastAsia="宋体" w:cs="宋体"/>
          <w:sz w:val="21"/>
          <w:szCs w:val="21"/>
          <w:highlight w:val="none"/>
        </w:rPr>
        <w:t>费用</w:t>
      </w:r>
      <w:r>
        <w:rPr>
          <w:rFonts w:hint="eastAsia" w:ascii="宋体" w:hAnsi="宋体" w:eastAsia="宋体" w:cs="宋体"/>
          <w:sz w:val="21"/>
          <w:szCs w:val="21"/>
          <w:highlight w:val="none"/>
          <w:lang w:eastAsia="zh-CN"/>
        </w:rPr>
        <w:t>。</w:t>
      </w:r>
    </w:p>
    <w:p w14:paraId="6A33FA4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、在服务期限内，若</w:t>
      </w:r>
      <w:r>
        <w:rPr>
          <w:rFonts w:hint="eastAsia" w:ascii="宋体" w:hAnsi="宋体" w:cs="宋体"/>
          <w:sz w:val="21"/>
          <w:szCs w:val="21"/>
          <w:highlight w:val="none"/>
          <w:lang w:val="en-US" w:eastAsia="zh-CN"/>
        </w:rPr>
        <w:t>乙方</w:t>
      </w:r>
      <w:r>
        <w:rPr>
          <w:rFonts w:hint="eastAsia" w:ascii="宋体" w:hAnsi="宋体" w:eastAsia="宋体" w:cs="宋体"/>
          <w:sz w:val="21"/>
          <w:szCs w:val="21"/>
          <w:highlight w:val="none"/>
        </w:rPr>
        <w:t>出具的鉴定报告未被当地法院采信，</w:t>
      </w:r>
      <w:r>
        <w:rPr>
          <w:rFonts w:hint="eastAsia" w:ascii="宋体" w:hAnsi="宋体" w:cs="宋体"/>
          <w:sz w:val="21"/>
          <w:szCs w:val="21"/>
          <w:highlight w:val="none"/>
          <w:lang w:val="en-US" w:eastAsia="zh-CN"/>
        </w:rPr>
        <w:t>甲方</w:t>
      </w:r>
      <w:r>
        <w:rPr>
          <w:rFonts w:hint="eastAsia" w:ascii="宋体" w:hAnsi="宋体" w:eastAsia="宋体" w:cs="宋体"/>
          <w:sz w:val="21"/>
          <w:szCs w:val="21"/>
          <w:highlight w:val="none"/>
        </w:rPr>
        <w:t>有权委托其他鉴定机构进行重新鉴定，</w:t>
      </w:r>
      <w:r>
        <w:rPr>
          <w:rFonts w:hint="eastAsia" w:ascii="宋体" w:hAnsi="宋体" w:cs="宋体"/>
          <w:sz w:val="21"/>
          <w:szCs w:val="21"/>
          <w:highlight w:val="none"/>
          <w:lang w:val="en-US" w:eastAsia="zh-CN"/>
        </w:rPr>
        <w:t>相关</w:t>
      </w:r>
      <w:r>
        <w:rPr>
          <w:rFonts w:hint="eastAsia" w:ascii="宋体" w:hAnsi="宋体" w:eastAsia="宋体" w:cs="宋体"/>
          <w:sz w:val="21"/>
          <w:szCs w:val="21"/>
          <w:highlight w:val="none"/>
        </w:rPr>
        <w:t>费用由</w:t>
      </w:r>
      <w:r>
        <w:rPr>
          <w:rFonts w:hint="eastAsia" w:ascii="宋体" w:hAnsi="宋体" w:cs="宋体"/>
          <w:sz w:val="21"/>
          <w:szCs w:val="21"/>
          <w:highlight w:val="none"/>
          <w:lang w:val="en-US" w:eastAsia="zh-CN"/>
        </w:rPr>
        <w:t>乙方</w:t>
      </w:r>
      <w:r>
        <w:rPr>
          <w:rFonts w:hint="eastAsia" w:ascii="宋体" w:hAnsi="宋体" w:eastAsia="宋体" w:cs="宋体"/>
          <w:sz w:val="21"/>
          <w:szCs w:val="21"/>
          <w:highlight w:val="none"/>
        </w:rPr>
        <w:t>承担</w:t>
      </w:r>
      <w:r>
        <w:rPr>
          <w:rFonts w:hint="eastAsia" w:ascii="宋体" w:hAnsi="宋体" w:cs="宋体"/>
          <w:sz w:val="21"/>
          <w:szCs w:val="21"/>
          <w:highlight w:val="none"/>
          <w:lang w:eastAsia="zh-CN"/>
        </w:rPr>
        <w:t>。</w:t>
      </w:r>
    </w:p>
    <w:p w14:paraId="3441C03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、在服务期限内，若</w:t>
      </w:r>
      <w:r>
        <w:rPr>
          <w:rFonts w:hint="eastAsia" w:ascii="宋体" w:hAnsi="宋体" w:cs="宋体"/>
          <w:sz w:val="21"/>
          <w:szCs w:val="21"/>
          <w:highlight w:val="none"/>
          <w:lang w:val="en-US" w:eastAsia="zh-CN"/>
        </w:rPr>
        <w:t>乙方</w:t>
      </w:r>
      <w:r>
        <w:rPr>
          <w:rFonts w:hint="eastAsia" w:ascii="宋体" w:hAnsi="宋体" w:eastAsia="宋体" w:cs="宋体"/>
          <w:sz w:val="21"/>
          <w:szCs w:val="21"/>
          <w:highlight w:val="none"/>
        </w:rPr>
        <w:t>出具的鉴定报告未被当地法院采信或鉴定结果对案件的评判方向出现指引性错误，且此类情形累计达到</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起，甲方有权终止合同，并停止支付服务经费。若因此对甲方造成损失，乙方应赔偿损失，并承担相关法律责任。</w:t>
      </w:r>
    </w:p>
    <w:p w14:paraId="1AC242D7">
      <w:pPr>
        <w:keepNext w:val="0"/>
        <w:keepLines w:val="0"/>
        <w:pageBreakBefore w:val="0"/>
        <w:widowControl w:val="0"/>
        <w:kinsoku/>
        <w:wordWrap/>
        <w:overflowPunct/>
        <w:topLinePunct w:val="0"/>
        <w:autoSpaceDE/>
        <w:autoSpaceDN/>
        <w:bidi w:val="0"/>
        <w:adjustRightInd/>
        <w:spacing w:line="360" w:lineRule="auto"/>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七</w:t>
      </w:r>
      <w:r>
        <w:rPr>
          <w:rFonts w:hint="eastAsia" w:ascii="宋体" w:hAnsi="宋体" w:eastAsia="宋体" w:cs="宋体"/>
          <w:b/>
          <w:bCs/>
          <w:sz w:val="21"/>
          <w:szCs w:val="21"/>
          <w:highlight w:val="none"/>
        </w:rPr>
        <w:t>、不可抗力事件处理</w:t>
      </w:r>
    </w:p>
    <w:p w14:paraId="0368398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在合同有效期内，任何一方因不可抗力事件导致不能履行合同，则合同履行期可延长，其延长期与不可抗力影响期相同。</w:t>
      </w:r>
    </w:p>
    <w:p w14:paraId="7B5FE5E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不可抗力事件发生后，应立即通知对方，并寄送有关权威机构出具的证明。</w:t>
      </w:r>
    </w:p>
    <w:p w14:paraId="6E4E528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不可抗力事件延续120天以上，双方应通过友好协商，确定是否继续履行合同。</w:t>
      </w:r>
    </w:p>
    <w:p w14:paraId="53673F9E">
      <w:pPr>
        <w:keepNext w:val="0"/>
        <w:keepLines w:val="0"/>
        <w:pageBreakBefore w:val="0"/>
        <w:widowControl w:val="0"/>
        <w:kinsoku/>
        <w:wordWrap/>
        <w:overflowPunct/>
        <w:topLinePunct w:val="0"/>
        <w:autoSpaceDE/>
        <w:autoSpaceDN/>
        <w:bidi w:val="0"/>
        <w:adjustRightInd/>
        <w:spacing w:line="360" w:lineRule="auto"/>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八</w:t>
      </w:r>
      <w:r>
        <w:rPr>
          <w:rFonts w:hint="eastAsia" w:ascii="宋体" w:hAnsi="宋体" w:eastAsia="宋体" w:cs="宋体"/>
          <w:b/>
          <w:bCs/>
          <w:sz w:val="21"/>
          <w:szCs w:val="21"/>
          <w:highlight w:val="none"/>
        </w:rPr>
        <w:t>、争议解决方法</w:t>
      </w:r>
    </w:p>
    <w:p w14:paraId="5C76813C">
      <w:pPr>
        <w:pageBreakBefore w:val="0"/>
        <w:kinsoku/>
        <w:wordWrap/>
        <w:overflowPunct/>
        <w:topLinePunct w:val="0"/>
        <w:bidi w:val="0"/>
        <w:spacing w:line="360" w:lineRule="auto"/>
        <w:ind w:firstLine="420" w:firstLineChars="200"/>
        <w:rPr>
          <w:rFonts w:ascii="宋体" w:hAnsi="宋体" w:cs="宋体"/>
          <w:szCs w:val="21"/>
          <w:highlight w:val="none"/>
        </w:rPr>
      </w:pPr>
      <w:r>
        <w:rPr>
          <w:rFonts w:hint="eastAsia" w:ascii="宋体" w:hAnsi="宋体" w:cs="宋体"/>
          <w:szCs w:val="21"/>
          <w:highlight w:val="none"/>
        </w:rPr>
        <w:t>1、甲乙双方应通过友好协商，解决在执行本合同中所发生的或与本合同有关的一切争端，如果协商得不到解决，任何一方均可按《中华人民共和国民法典》规定提交诉讼，诉讼应在甲方所在地进行。</w:t>
      </w:r>
    </w:p>
    <w:p w14:paraId="06E4DBAF">
      <w:pPr>
        <w:pageBreakBefore w:val="0"/>
        <w:kinsoku/>
        <w:wordWrap/>
        <w:overflowPunct/>
        <w:topLinePunct w:val="0"/>
        <w:bidi w:val="0"/>
        <w:spacing w:line="360" w:lineRule="auto"/>
        <w:ind w:firstLine="420" w:firstLineChars="200"/>
        <w:rPr>
          <w:rFonts w:ascii="宋体" w:hAnsi="宋体" w:cs="宋体"/>
          <w:szCs w:val="21"/>
          <w:highlight w:val="none"/>
        </w:rPr>
      </w:pPr>
      <w:r>
        <w:rPr>
          <w:rFonts w:hint="eastAsia" w:ascii="宋体" w:hAnsi="宋体" w:cs="宋体"/>
          <w:szCs w:val="21"/>
          <w:highlight w:val="none"/>
        </w:rPr>
        <w:t>2、诉讼费应由败诉方负担。</w:t>
      </w:r>
    </w:p>
    <w:p w14:paraId="1F660774">
      <w:pPr>
        <w:keepNext w:val="0"/>
        <w:keepLines w:val="0"/>
        <w:pageBreakBefore w:val="0"/>
        <w:kinsoku/>
        <w:wordWrap/>
        <w:overflowPunct/>
        <w:topLinePunct w:val="0"/>
        <w:autoSpaceDE/>
        <w:autoSpaceDN/>
        <w:bidi w:val="0"/>
        <w:adjustRightInd/>
        <w:spacing w:line="360" w:lineRule="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九</w:t>
      </w:r>
      <w:r>
        <w:rPr>
          <w:rFonts w:hint="eastAsia" w:ascii="宋体" w:hAnsi="宋体" w:eastAsia="宋体" w:cs="宋体"/>
          <w:b/>
          <w:bCs/>
          <w:sz w:val="21"/>
          <w:szCs w:val="21"/>
          <w:highlight w:val="none"/>
        </w:rPr>
        <w:t>、合同生效及其他</w:t>
      </w:r>
    </w:p>
    <w:p w14:paraId="4ED41F00">
      <w:pPr>
        <w:pageBreakBefore w:val="0"/>
        <w:kinsoku/>
        <w:wordWrap/>
        <w:overflowPunct/>
        <w:topLinePunct w:val="0"/>
        <w:bidi w:val="0"/>
        <w:spacing w:line="360" w:lineRule="auto"/>
        <w:ind w:firstLine="420" w:firstLineChars="200"/>
        <w:rPr>
          <w:rFonts w:ascii="宋体" w:hAnsi="宋体" w:cs="宋体"/>
          <w:szCs w:val="21"/>
          <w:highlight w:val="none"/>
        </w:rPr>
      </w:pPr>
      <w:r>
        <w:rPr>
          <w:rFonts w:hint="eastAsia" w:ascii="宋体" w:hAnsi="宋体" w:cs="宋体"/>
          <w:szCs w:val="21"/>
          <w:highlight w:val="none"/>
        </w:rPr>
        <w:t>1、合同经双方法定代表人或授权委托代理人签字并加盖单位公章后生效。</w:t>
      </w:r>
    </w:p>
    <w:p w14:paraId="4E2F52DA">
      <w:pPr>
        <w:pageBreakBefore w:val="0"/>
        <w:kinsoku/>
        <w:wordWrap/>
        <w:overflowPunct/>
        <w:topLinePunct w:val="0"/>
        <w:bidi w:val="0"/>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eastAsia="宋体" w:cs="宋体"/>
          <w:sz w:val="21"/>
          <w:szCs w:val="21"/>
          <w:highlight w:val="none"/>
        </w:rPr>
        <w:t>合同执行中涉及采购资金和采购内容修改或补充的，签书面补充协议方可作为主合同不可分割的一部分。</w:t>
      </w:r>
    </w:p>
    <w:p w14:paraId="1E69477E">
      <w:pPr>
        <w:keepNext w:val="0"/>
        <w:keepLines w:val="0"/>
        <w:pageBreakBefore w:val="0"/>
        <w:widowControl w:val="0"/>
        <w:kinsoku/>
        <w:wordWrap/>
        <w:overflowPunct/>
        <w:topLinePunct w:val="0"/>
        <w:autoSpaceDE/>
        <w:autoSpaceDN/>
        <w:bidi w:val="0"/>
        <w:adjustRightInd/>
        <w:snapToGrid w:val="0"/>
        <w:spacing w:line="360" w:lineRule="auto"/>
        <w:ind w:firstLine="411" w:firstLineChars="196"/>
        <w:textAlignment w:val="auto"/>
        <w:rPr>
          <w:rFonts w:ascii="宋体" w:hAnsi="宋体" w:cs="宋体"/>
          <w:szCs w:val="21"/>
          <w:highlight w:val="none"/>
        </w:rPr>
      </w:pPr>
      <w:r>
        <w:rPr>
          <w:rFonts w:hint="eastAsia" w:ascii="宋体" w:hAnsi="宋体" w:cs="宋体"/>
          <w:szCs w:val="21"/>
          <w:highlight w:val="none"/>
        </w:rPr>
        <w:t>3、本合同未尽事宜，遵照《中华人民共和国民法典》有关条文执行。</w:t>
      </w:r>
      <w:r>
        <w:rPr>
          <w:rFonts w:hint="eastAsia" w:ascii="宋体" w:hAnsi="宋体" w:eastAsia="宋体" w:cs="宋体"/>
          <w:sz w:val="21"/>
          <w:szCs w:val="21"/>
          <w:highlight w:val="none"/>
        </w:rPr>
        <w:t>经合同双方共同协商，可以做出补充规定，补充规定与本合同同具法律效力。</w:t>
      </w:r>
    </w:p>
    <w:p w14:paraId="30AEC5F7">
      <w:pPr>
        <w:pageBreakBefore w:val="0"/>
        <w:kinsoku/>
        <w:wordWrap/>
        <w:overflowPunct/>
        <w:topLinePunct w:val="0"/>
        <w:bidi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4、本合同正本一式</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份，具有同等法律效力，甲乙双方各执</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份，采购代理机构执</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份。</w:t>
      </w:r>
    </w:p>
    <w:p w14:paraId="03CA81B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十</w:t>
      </w:r>
      <w:r>
        <w:rPr>
          <w:rFonts w:hint="eastAsia" w:ascii="宋体" w:hAnsi="宋体" w:eastAsia="宋体" w:cs="宋体"/>
          <w:b/>
          <w:sz w:val="21"/>
          <w:szCs w:val="21"/>
          <w:highlight w:val="none"/>
        </w:rPr>
        <w:t>、中小企业预留合同</w:t>
      </w:r>
    </w:p>
    <w:p w14:paraId="1220B24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本采购合同为中小企业预留合同。</w:t>
      </w:r>
    </w:p>
    <w:p w14:paraId="221A6C9B">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1"/>
          <w:szCs w:val="21"/>
          <w:highlight w:val="none"/>
        </w:rPr>
      </w:pPr>
    </w:p>
    <w:p w14:paraId="727EDA1A">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1"/>
          <w:szCs w:val="21"/>
          <w:highlight w:val="none"/>
        </w:rPr>
      </w:pPr>
    </w:p>
    <w:p w14:paraId="21FAD2E7">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1"/>
          <w:szCs w:val="21"/>
          <w:highlight w:val="none"/>
        </w:rPr>
      </w:pPr>
    </w:p>
    <w:p w14:paraId="61420EA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甲方：（盖章）                                 乙方：（盖章） </w:t>
      </w:r>
    </w:p>
    <w:p w14:paraId="4E4371E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地址：                                         地址： </w:t>
      </w:r>
    </w:p>
    <w:p w14:paraId="5182024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法定代表人或授权签字代表：（签字）             法定代表人或授权签字代表：（签字）</w:t>
      </w:r>
    </w:p>
    <w:p w14:paraId="19B3BE07">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签订日期：   年  月  日                        签订日期：   年  月  日</w:t>
      </w:r>
    </w:p>
    <w:p w14:paraId="4FFEB16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甲方收款银行：                                 乙方收款银行：</w:t>
      </w:r>
    </w:p>
    <w:p w14:paraId="31F2E84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甲方收款开户账号：                             乙方收款开户账号：</w:t>
      </w:r>
    </w:p>
    <w:p w14:paraId="5522AA7A">
      <w:pPr>
        <w:keepNext w:val="0"/>
        <w:keepLines w:val="0"/>
        <w:pageBreakBefore w:val="0"/>
        <w:kinsoku/>
        <w:wordWrap/>
        <w:overflowPunct/>
        <w:topLinePunct w:val="0"/>
        <w:autoSpaceDE/>
        <w:autoSpaceDN/>
        <w:bidi w:val="0"/>
        <w:adjustRightInd/>
        <w:spacing w:line="360" w:lineRule="auto"/>
        <w:contextualSpacing/>
        <w:textAlignment w:val="auto"/>
        <w:rPr>
          <w:rFonts w:hint="eastAsia" w:ascii="宋体" w:hAnsi="宋体" w:eastAsia="宋体" w:cs="宋体"/>
          <w:sz w:val="21"/>
          <w:szCs w:val="21"/>
          <w:highlight w:val="none"/>
        </w:rPr>
      </w:pPr>
    </w:p>
    <w:p w14:paraId="0597E8F9">
      <w:pPr>
        <w:keepNext w:val="0"/>
        <w:keepLines w:val="0"/>
        <w:pageBreakBefore w:val="0"/>
        <w:kinsoku/>
        <w:wordWrap/>
        <w:overflowPunct/>
        <w:topLinePunct w:val="0"/>
        <w:autoSpaceDE/>
        <w:autoSpaceDN/>
        <w:bidi w:val="0"/>
        <w:adjustRightInd/>
        <w:spacing w:line="360" w:lineRule="auto"/>
        <w:ind w:firstLine="420" w:firstLineChars="200"/>
        <w:contextualSpacing/>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鉴证方：（盖章）</w:t>
      </w:r>
    </w:p>
    <w:p w14:paraId="01DAD4F5">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highlight w:val="none"/>
        </w:rPr>
      </w:pPr>
    </w:p>
    <w:p w14:paraId="091F4BB2">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highlight w:val="none"/>
        </w:rPr>
      </w:pPr>
    </w:p>
    <w:p w14:paraId="2B7D2379">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highlight w:val="none"/>
        </w:rPr>
      </w:pPr>
    </w:p>
    <w:p w14:paraId="3E9DF772">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注意事项：</w:t>
      </w:r>
    </w:p>
    <w:p w14:paraId="45877060">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1、用于政府采购信用融资的政府采购合同：</w:t>
      </w:r>
    </w:p>
    <w:p w14:paraId="3F117C4F">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（1）应当包含如下条款：</w:t>
      </w:r>
    </w:p>
    <w:p w14:paraId="7DC80797">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条：政府采购合同贷款</w:t>
      </w:r>
    </w:p>
    <w:p w14:paraId="46BA41EC">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本合同同时用于乙方向</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银行（金融机构）申请政府采购信用贷款。</w:t>
      </w:r>
    </w:p>
    <w:p w14:paraId="134D71CB">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本合同一经签订，原则上不得更改乙方收款账户信息。确须更改的，乙方应取得原合同收款账户开户银行书面同意，否则修改后的合同不予备案，采购资金不予支付。”</w:t>
      </w:r>
    </w:p>
    <w:p w14:paraId="586AE18C">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需确保政府采购合同的收款账户与融资银行开户账户一致。</w:t>
      </w:r>
    </w:p>
    <w:p w14:paraId="59A3936C">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Calibri" w:hAnsi="Calibri"/>
          <w:b/>
          <w:sz w:val="28"/>
          <w:szCs w:val="28"/>
          <w:highlight w:val="none"/>
        </w:rPr>
      </w:pPr>
      <w:r>
        <w:rPr>
          <w:rFonts w:hint="eastAsia"/>
          <w:b/>
          <w:sz w:val="28"/>
          <w:szCs w:val="28"/>
          <w:highlight w:val="none"/>
        </w:rPr>
        <w:t>附件：</w:t>
      </w:r>
    </w:p>
    <w:p w14:paraId="10E87A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考核方案</w:t>
      </w:r>
    </w:p>
    <w:p w14:paraId="4780D067">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为确保检验鉴定机构在时效性、质量和服务方面达到高标准要求，特制定本考核方案。</w:t>
      </w:r>
    </w:p>
    <w:p w14:paraId="70385237">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一、考核内容与评分标准</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2113"/>
        <w:gridCol w:w="5182"/>
        <w:gridCol w:w="1268"/>
      </w:tblGrid>
      <w:tr w14:paraId="643B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vAlign w:val="center"/>
          </w:tcPr>
          <w:p w14:paraId="08124A4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考核项目</w:t>
            </w:r>
          </w:p>
        </w:tc>
        <w:tc>
          <w:tcPr>
            <w:tcW w:w="1042" w:type="pct"/>
            <w:vAlign w:val="center"/>
          </w:tcPr>
          <w:p w14:paraId="7873EE0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考核指标</w:t>
            </w:r>
          </w:p>
        </w:tc>
        <w:tc>
          <w:tcPr>
            <w:tcW w:w="2555" w:type="pct"/>
            <w:vAlign w:val="center"/>
          </w:tcPr>
          <w:p w14:paraId="4E17CB3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评分细则</w:t>
            </w:r>
          </w:p>
        </w:tc>
        <w:tc>
          <w:tcPr>
            <w:tcW w:w="625" w:type="pct"/>
            <w:vAlign w:val="center"/>
          </w:tcPr>
          <w:p w14:paraId="446599F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分值</w:t>
            </w:r>
          </w:p>
        </w:tc>
      </w:tr>
      <w:tr w14:paraId="32BF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vMerge w:val="restart"/>
            <w:vAlign w:val="center"/>
          </w:tcPr>
          <w:p w14:paraId="721D1D8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时效性</w:t>
            </w:r>
          </w:p>
        </w:tc>
        <w:tc>
          <w:tcPr>
            <w:tcW w:w="1042" w:type="pct"/>
            <w:vMerge w:val="restart"/>
            <w:vAlign w:val="center"/>
          </w:tcPr>
          <w:p w14:paraId="17A5D2D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按时完成率</w:t>
            </w:r>
          </w:p>
        </w:tc>
        <w:tc>
          <w:tcPr>
            <w:tcW w:w="2555" w:type="pct"/>
            <w:vAlign w:val="center"/>
          </w:tcPr>
          <w:p w14:paraId="510364A3">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未按约定时间受理委托，每发生一次扣10分。</w:t>
            </w:r>
          </w:p>
        </w:tc>
        <w:tc>
          <w:tcPr>
            <w:tcW w:w="625" w:type="pct"/>
            <w:vMerge w:val="restart"/>
            <w:vAlign w:val="center"/>
          </w:tcPr>
          <w:p w14:paraId="74F6795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100分</w:t>
            </w:r>
          </w:p>
        </w:tc>
      </w:tr>
      <w:tr w14:paraId="7C49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vMerge w:val="continue"/>
            <w:vAlign w:val="center"/>
          </w:tcPr>
          <w:p w14:paraId="7E0DA36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rPr>
            </w:pPr>
          </w:p>
        </w:tc>
        <w:tc>
          <w:tcPr>
            <w:tcW w:w="1042" w:type="pct"/>
            <w:vMerge w:val="continue"/>
            <w:vAlign w:val="center"/>
          </w:tcPr>
          <w:p w14:paraId="6FE10FA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rPr>
            </w:pPr>
          </w:p>
        </w:tc>
        <w:tc>
          <w:tcPr>
            <w:tcW w:w="2555" w:type="pct"/>
            <w:vAlign w:val="center"/>
          </w:tcPr>
          <w:p w14:paraId="61E31622">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未按约定时间收集检材，每发生一次扣10分。</w:t>
            </w:r>
          </w:p>
        </w:tc>
        <w:tc>
          <w:tcPr>
            <w:tcW w:w="625" w:type="pct"/>
            <w:vMerge w:val="continue"/>
            <w:vAlign w:val="center"/>
          </w:tcPr>
          <w:p w14:paraId="65762A7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p>
        </w:tc>
      </w:tr>
      <w:tr w14:paraId="02EA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vMerge w:val="continue"/>
            <w:vAlign w:val="center"/>
          </w:tcPr>
          <w:p w14:paraId="6486CB9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rPr>
            </w:pPr>
          </w:p>
        </w:tc>
        <w:tc>
          <w:tcPr>
            <w:tcW w:w="1042" w:type="pct"/>
            <w:vMerge w:val="continue"/>
            <w:vAlign w:val="center"/>
          </w:tcPr>
          <w:p w14:paraId="0C52339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rPr>
            </w:pPr>
          </w:p>
        </w:tc>
        <w:tc>
          <w:tcPr>
            <w:tcW w:w="2555" w:type="pct"/>
            <w:vAlign w:val="center"/>
          </w:tcPr>
          <w:p w14:paraId="21593682">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未按约定时间完成鉴定结果的出具，每发生一次扣10分。</w:t>
            </w:r>
          </w:p>
        </w:tc>
        <w:tc>
          <w:tcPr>
            <w:tcW w:w="625" w:type="pct"/>
            <w:vMerge w:val="continue"/>
            <w:vAlign w:val="center"/>
          </w:tcPr>
          <w:p w14:paraId="2E75EC4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p>
        </w:tc>
      </w:tr>
      <w:tr w14:paraId="68E6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vMerge w:val="restart"/>
            <w:vAlign w:val="center"/>
          </w:tcPr>
          <w:p w14:paraId="305166FF">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质量</w:t>
            </w:r>
          </w:p>
        </w:tc>
        <w:tc>
          <w:tcPr>
            <w:tcW w:w="1042" w:type="pct"/>
            <w:vAlign w:val="center"/>
          </w:tcPr>
          <w:p w14:paraId="29A413D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报告完整性</w:t>
            </w:r>
          </w:p>
        </w:tc>
        <w:tc>
          <w:tcPr>
            <w:tcW w:w="2555" w:type="pct"/>
            <w:vAlign w:val="center"/>
          </w:tcPr>
          <w:p w14:paraId="7B7FDAA8">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缺漏关键内容（如检验方法、数据）</w:t>
            </w:r>
          </w:p>
        </w:tc>
        <w:tc>
          <w:tcPr>
            <w:tcW w:w="625" w:type="pct"/>
            <w:vMerge w:val="continue"/>
            <w:vAlign w:val="center"/>
          </w:tcPr>
          <w:p w14:paraId="336C1C1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rPr>
            </w:pPr>
          </w:p>
        </w:tc>
      </w:tr>
      <w:tr w14:paraId="3AA7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vMerge w:val="continue"/>
            <w:vAlign w:val="center"/>
          </w:tcPr>
          <w:p w14:paraId="772C757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rPr>
            </w:pPr>
          </w:p>
        </w:tc>
        <w:tc>
          <w:tcPr>
            <w:tcW w:w="1042" w:type="pct"/>
            <w:vAlign w:val="center"/>
          </w:tcPr>
          <w:p w14:paraId="545C10B4">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数据准确性</w:t>
            </w:r>
          </w:p>
        </w:tc>
        <w:tc>
          <w:tcPr>
            <w:tcW w:w="2555" w:type="pct"/>
            <w:vAlign w:val="center"/>
          </w:tcPr>
          <w:p w14:paraId="658B87EF">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数据错误或结论不科学每处</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导致案件复议</w:t>
            </w:r>
          </w:p>
        </w:tc>
        <w:tc>
          <w:tcPr>
            <w:tcW w:w="625" w:type="pct"/>
            <w:vMerge w:val="continue"/>
            <w:vAlign w:val="center"/>
          </w:tcPr>
          <w:p w14:paraId="565D6D1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rPr>
            </w:pPr>
          </w:p>
        </w:tc>
      </w:tr>
      <w:tr w14:paraId="320D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vMerge w:val="continue"/>
            <w:vAlign w:val="center"/>
          </w:tcPr>
          <w:p w14:paraId="113C971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rPr>
            </w:pPr>
          </w:p>
        </w:tc>
        <w:tc>
          <w:tcPr>
            <w:tcW w:w="1042" w:type="pct"/>
            <w:vAlign w:val="center"/>
          </w:tcPr>
          <w:p w14:paraId="2E6019B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rPr>
              <w:t>合规性</w:t>
            </w:r>
          </w:p>
        </w:tc>
        <w:tc>
          <w:tcPr>
            <w:tcW w:w="2555" w:type="pct"/>
            <w:vAlign w:val="center"/>
          </w:tcPr>
          <w:p w14:paraId="6976A7A7">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明显</w:t>
            </w:r>
            <w:r>
              <w:rPr>
                <w:rFonts w:hint="eastAsia" w:ascii="宋体" w:hAnsi="宋体" w:eastAsia="宋体" w:cs="宋体"/>
                <w:sz w:val="21"/>
                <w:szCs w:val="21"/>
                <w:highlight w:val="none"/>
                <w:vertAlign w:val="baseline"/>
              </w:rPr>
              <w:t>不符合法律法规或行业标准</w:t>
            </w:r>
          </w:p>
        </w:tc>
        <w:tc>
          <w:tcPr>
            <w:tcW w:w="625" w:type="pct"/>
            <w:vMerge w:val="continue"/>
            <w:vAlign w:val="center"/>
          </w:tcPr>
          <w:p w14:paraId="2A2491D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rPr>
            </w:pPr>
          </w:p>
        </w:tc>
      </w:tr>
      <w:tr w14:paraId="1289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vMerge w:val="restart"/>
            <w:vAlign w:val="center"/>
          </w:tcPr>
          <w:p w14:paraId="736228A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服务</w:t>
            </w:r>
          </w:p>
        </w:tc>
        <w:tc>
          <w:tcPr>
            <w:tcW w:w="1042" w:type="pct"/>
            <w:shd w:val="clear" w:color="auto" w:fill="auto"/>
            <w:vAlign w:val="center"/>
          </w:tcPr>
          <w:p w14:paraId="7F7F29D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rPr>
              <w:t>对接专人落实</w:t>
            </w:r>
          </w:p>
        </w:tc>
        <w:tc>
          <w:tcPr>
            <w:tcW w:w="2555" w:type="pct"/>
            <w:shd w:val="clear" w:color="auto" w:fill="auto"/>
            <w:vAlign w:val="center"/>
          </w:tcPr>
          <w:p w14:paraId="6AFFAD72">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rPr>
              <w:t>未指定专人对接</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更换未报备</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lang w:val="en-US" w:eastAsia="zh-CN"/>
              </w:rPr>
              <w:t>每发生一次扣5分。</w:t>
            </w:r>
          </w:p>
        </w:tc>
        <w:tc>
          <w:tcPr>
            <w:tcW w:w="625" w:type="pct"/>
            <w:vMerge w:val="continue"/>
            <w:vAlign w:val="center"/>
          </w:tcPr>
          <w:p w14:paraId="4FFB622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rPr>
            </w:pPr>
          </w:p>
        </w:tc>
      </w:tr>
      <w:tr w14:paraId="42E5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5" w:type="pct"/>
            <w:vMerge w:val="continue"/>
            <w:vAlign w:val="center"/>
          </w:tcPr>
          <w:p w14:paraId="72A9836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rPr>
            </w:pPr>
          </w:p>
        </w:tc>
        <w:tc>
          <w:tcPr>
            <w:tcW w:w="1042" w:type="pct"/>
            <w:vAlign w:val="center"/>
          </w:tcPr>
          <w:p w14:paraId="51A549D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鉴定人员</w:t>
            </w:r>
          </w:p>
        </w:tc>
        <w:tc>
          <w:tcPr>
            <w:tcW w:w="2555" w:type="pct"/>
            <w:vAlign w:val="center"/>
          </w:tcPr>
          <w:p w14:paraId="1A8F8ABA">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rPr>
              <w:t>检验鉴定小组</w:t>
            </w:r>
            <w:r>
              <w:rPr>
                <w:rFonts w:hint="eastAsia" w:ascii="宋体" w:hAnsi="宋体" w:eastAsia="宋体" w:cs="宋体"/>
                <w:sz w:val="21"/>
                <w:szCs w:val="21"/>
                <w:highlight w:val="none"/>
                <w:lang w:val="en-US" w:eastAsia="zh-CN"/>
              </w:rPr>
              <w:t>未按规定派遣</w:t>
            </w:r>
            <w:r>
              <w:rPr>
                <w:rFonts w:hint="eastAsia" w:ascii="宋体" w:hAnsi="宋体" w:eastAsia="宋体" w:cs="宋体"/>
                <w:sz w:val="21"/>
                <w:szCs w:val="21"/>
                <w:highlight w:val="none"/>
              </w:rPr>
              <w:t>2名技术人员</w:t>
            </w:r>
            <w:r>
              <w:rPr>
                <w:rFonts w:hint="eastAsia" w:ascii="宋体" w:hAnsi="宋体" w:eastAsia="宋体" w:cs="宋体"/>
                <w:sz w:val="21"/>
                <w:szCs w:val="21"/>
                <w:highlight w:val="none"/>
                <w:lang w:val="en-US" w:eastAsia="zh-CN"/>
              </w:rPr>
              <w:t>进行的，</w:t>
            </w:r>
            <w:r>
              <w:rPr>
                <w:rFonts w:hint="eastAsia" w:ascii="宋体" w:hAnsi="宋体" w:eastAsia="宋体" w:cs="宋体"/>
                <w:sz w:val="21"/>
                <w:szCs w:val="21"/>
                <w:highlight w:val="none"/>
                <w:vertAlign w:val="baseline"/>
                <w:lang w:val="en-US" w:eastAsia="zh-CN"/>
              </w:rPr>
              <w:t>每发生一次扣10分</w:t>
            </w:r>
          </w:p>
        </w:tc>
        <w:tc>
          <w:tcPr>
            <w:tcW w:w="625" w:type="pct"/>
            <w:vMerge w:val="continue"/>
            <w:vAlign w:val="center"/>
          </w:tcPr>
          <w:p w14:paraId="2F8E3E0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rPr>
            </w:pPr>
          </w:p>
        </w:tc>
      </w:tr>
      <w:tr w14:paraId="04C4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75" w:type="pct"/>
            <w:vMerge w:val="continue"/>
            <w:vAlign w:val="center"/>
          </w:tcPr>
          <w:p w14:paraId="0A3015A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rPr>
            </w:pPr>
          </w:p>
        </w:tc>
        <w:tc>
          <w:tcPr>
            <w:tcW w:w="1042" w:type="pct"/>
            <w:vAlign w:val="center"/>
          </w:tcPr>
          <w:p w14:paraId="00B5193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反馈及时性</w:t>
            </w:r>
          </w:p>
        </w:tc>
        <w:tc>
          <w:tcPr>
            <w:tcW w:w="2555" w:type="pct"/>
            <w:vAlign w:val="center"/>
          </w:tcPr>
          <w:p w14:paraId="2EE082A2">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对于无法正常鉴定的项目未及时反馈的，每发生一次扣10分。</w:t>
            </w:r>
          </w:p>
        </w:tc>
        <w:tc>
          <w:tcPr>
            <w:tcW w:w="625" w:type="pct"/>
            <w:vMerge w:val="continue"/>
            <w:vAlign w:val="center"/>
          </w:tcPr>
          <w:p w14:paraId="06B89CC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p>
        </w:tc>
      </w:tr>
    </w:tbl>
    <w:p w14:paraId="54AE597A">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综合评分与结果应用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1121"/>
        <w:gridCol w:w="7064"/>
      </w:tblGrid>
      <w:tr w14:paraId="4183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14:paraId="7AE74CD8">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总分范围</w:t>
            </w:r>
          </w:p>
        </w:tc>
        <w:tc>
          <w:tcPr>
            <w:tcW w:w="553" w:type="pct"/>
            <w:vAlign w:val="center"/>
          </w:tcPr>
          <w:p w14:paraId="7AD2C52F">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评级</w:t>
            </w:r>
          </w:p>
        </w:tc>
        <w:tc>
          <w:tcPr>
            <w:tcW w:w="3483" w:type="pct"/>
            <w:vAlign w:val="center"/>
          </w:tcPr>
          <w:p w14:paraId="0A3570F1">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奖惩措施</w:t>
            </w:r>
          </w:p>
        </w:tc>
      </w:tr>
      <w:tr w14:paraId="0151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14:paraId="509CAF4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≥90分</w:t>
            </w:r>
          </w:p>
        </w:tc>
        <w:tc>
          <w:tcPr>
            <w:tcW w:w="553" w:type="pct"/>
            <w:vAlign w:val="center"/>
          </w:tcPr>
          <w:p w14:paraId="0420F20D">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优秀</w:t>
            </w:r>
          </w:p>
        </w:tc>
        <w:tc>
          <w:tcPr>
            <w:tcW w:w="3483" w:type="pct"/>
            <w:vAlign w:val="center"/>
          </w:tcPr>
          <w:p w14:paraId="5A3A90DD">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全额结算服务款</w:t>
            </w:r>
          </w:p>
        </w:tc>
      </w:tr>
      <w:tr w14:paraId="76E7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14:paraId="40FE6285">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70-89分</w:t>
            </w:r>
          </w:p>
        </w:tc>
        <w:tc>
          <w:tcPr>
            <w:tcW w:w="553" w:type="pct"/>
            <w:vAlign w:val="center"/>
          </w:tcPr>
          <w:p w14:paraId="353C144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良好</w:t>
            </w:r>
          </w:p>
        </w:tc>
        <w:tc>
          <w:tcPr>
            <w:tcW w:w="3483" w:type="pct"/>
            <w:vAlign w:val="center"/>
          </w:tcPr>
          <w:p w14:paraId="54D9EA70">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扣除当季服务款10%，书面整改要求</w:t>
            </w:r>
          </w:p>
        </w:tc>
      </w:tr>
      <w:tr w14:paraId="7C78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14:paraId="7B04FCC4">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＜70分</w:t>
            </w:r>
          </w:p>
        </w:tc>
        <w:tc>
          <w:tcPr>
            <w:tcW w:w="553" w:type="pct"/>
            <w:vAlign w:val="center"/>
          </w:tcPr>
          <w:p w14:paraId="45B52117">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不合格</w:t>
            </w:r>
          </w:p>
        </w:tc>
        <w:tc>
          <w:tcPr>
            <w:tcW w:w="3483" w:type="pct"/>
            <w:vAlign w:val="center"/>
          </w:tcPr>
          <w:p w14:paraId="03ABBD9B">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扣除当季服务款30%，暂停服务并整改</w:t>
            </w:r>
          </w:p>
        </w:tc>
      </w:tr>
    </w:tbl>
    <w:p w14:paraId="00445D1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br w:type="page"/>
      </w:r>
    </w:p>
    <w:p w14:paraId="6891A935">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Fonts w:hint="eastAsia" w:ascii="宋体" w:hAnsi="宋体" w:cs="宋体"/>
          <w:b/>
          <w:sz w:val="28"/>
          <w:szCs w:val="28"/>
          <w:highlight w:val="none"/>
        </w:rPr>
      </w:pPr>
      <w:r>
        <w:rPr>
          <w:rFonts w:hint="eastAsia" w:ascii="宋体" w:hAnsi="宋体" w:cs="宋体"/>
          <w:b/>
          <w:sz w:val="28"/>
          <w:szCs w:val="28"/>
          <w:highlight w:val="none"/>
        </w:rPr>
        <w:t xml:space="preserve">第六章  </w:t>
      </w:r>
      <w:r>
        <w:rPr>
          <w:rFonts w:hint="eastAsia" w:ascii="宋体" w:hAnsi="宋体" w:cs="宋体"/>
          <w:b/>
          <w:sz w:val="28"/>
          <w:szCs w:val="28"/>
          <w:highlight w:val="none"/>
          <w:lang w:val="en-US" w:eastAsia="zh-CN"/>
        </w:rPr>
        <w:t>响应</w:t>
      </w:r>
      <w:r>
        <w:rPr>
          <w:rFonts w:hint="eastAsia" w:ascii="宋体" w:hAnsi="宋体" w:cs="宋体"/>
          <w:b/>
          <w:sz w:val="28"/>
          <w:szCs w:val="28"/>
          <w:highlight w:val="none"/>
        </w:rPr>
        <w:t>文件组成</w:t>
      </w:r>
    </w:p>
    <w:p w14:paraId="25A95F3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sz w:val="21"/>
          <w:szCs w:val="21"/>
          <w:highlight w:val="none"/>
        </w:rPr>
      </w:pPr>
      <w:r>
        <w:rPr>
          <w:rFonts w:hint="eastAsia" w:ascii="宋体" w:hAnsi="宋体" w:cs="宋体"/>
          <w:b/>
          <w:sz w:val="21"/>
          <w:szCs w:val="21"/>
          <w:highlight w:val="none"/>
        </w:rPr>
        <w:t>响应文件由磋商报价文件、资格证明文件、</w:t>
      </w:r>
      <w:r>
        <w:rPr>
          <w:rFonts w:hint="eastAsia" w:ascii="宋体" w:hAnsi="宋体" w:eastAsia="宋体" w:cs="宋体"/>
          <w:b/>
          <w:sz w:val="21"/>
          <w:szCs w:val="21"/>
          <w:highlight w:val="none"/>
        </w:rPr>
        <w:t>商务文件、技术文件组成。响应文件中涉及的有关内容均须提供合法有效的证明材料复印件。（复印件未加盖公章作无效处理，特别注明的除外，有▲标识的条款为必须提交的资料）</w:t>
      </w:r>
    </w:p>
    <w:p w14:paraId="75879560">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b/>
          <w:szCs w:val="21"/>
          <w:highlight w:val="none"/>
        </w:rPr>
      </w:pPr>
      <w:r>
        <w:rPr>
          <w:rFonts w:hint="eastAsia" w:ascii="宋体" w:hAnsi="宋体" w:eastAsia="宋体" w:cs="宋体"/>
          <w:b/>
          <w:szCs w:val="21"/>
          <w:highlight w:val="none"/>
        </w:rPr>
        <w:t>▲1、磋商报价文件部分</w:t>
      </w:r>
    </w:p>
    <w:p w14:paraId="35D44CB1">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rPr>
        <w:t>（磋商报价信息不得出现在资格证明、商务、技术文件中，否则将导致投标无效。）</w:t>
      </w:r>
    </w:p>
    <w:p w14:paraId="18C2464A">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rPr>
        <w:t>1.1开标一览表；（格式一）</w:t>
      </w:r>
    </w:p>
    <w:p w14:paraId="52EE104E">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b/>
          <w:szCs w:val="21"/>
          <w:highlight w:val="none"/>
          <w:lang w:eastAsia="zh-CN"/>
        </w:rPr>
      </w:pPr>
      <w:r>
        <w:rPr>
          <w:rFonts w:hint="eastAsia" w:ascii="宋体" w:hAnsi="宋体" w:eastAsia="宋体" w:cs="宋体"/>
          <w:b/>
          <w:szCs w:val="21"/>
          <w:highlight w:val="none"/>
        </w:rPr>
        <w:t>▲2、</w:t>
      </w:r>
      <w:r>
        <w:rPr>
          <w:rFonts w:hint="eastAsia" w:ascii="宋体" w:hAnsi="宋体" w:eastAsia="宋体" w:cs="宋体"/>
          <w:b/>
          <w:color w:val="auto"/>
          <w:szCs w:val="21"/>
          <w:highlight w:val="none"/>
        </w:rPr>
        <w:t>资格证明文件部分</w:t>
      </w:r>
    </w:p>
    <w:p w14:paraId="34376FB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2.1</w:t>
      </w:r>
      <w:r>
        <w:rPr>
          <w:rFonts w:hint="eastAsia" w:ascii="宋体" w:hAnsi="宋体" w:eastAsia="宋体" w:cs="宋体"/>
          <w:b w:val="0"/>
          <w:bCs/>
          <w:szCs w:val="21"/>
          <w:highlight w:val="none"/>
        </w:rPr>
        <w:t>享受</w:t>
      </w:r>
      <w:r>
        <w:rPr>
          <w:rFonts w:hint="eastAsia" w:ascii="宋体" w:hAnsi="宋体" w:eastAsia="宋体" w:cs="宋体"/>
          <w:b w:val="0"/>
          <w:bCs/>
          <w:szCs w:val="21"/>
          <w:highlight w:val="none"/>
          <w:lang w:val="en-US" w:eastAsia="zh-CN"/>
        </w:rPr>
        <w:t>中小企业预留份额</w:t>
      </w:r>
      <w:r>
        <w:rPr>
          <w:rFonts w:hint="eastAsia" w:ascii="宋体" w:hAnsi="宋体" w:eastAsia="宋体" w:cs="宋体"/>
          <w:b w:val="0"/>
          <w:bCs/>
          <w:szCs w:val="21"/>
          <w:highlight w:val="none"/>
        </w:rPr>
        <w:t>政策相关证明文件</w:t>
      </w:r>
      <w:r>
        <w:rPr>
          <w:rFonts w:hint="eastAsia" w:ascii="宋体" w:hAnsi="宋体" w:eastAsia="宋体" w:cs="宋体"/>
          <w:b w:val="0"/>
          <w:bCs/>
          <w:sz w:val="21"/>
          <w:szCs w:val="21"/>
          <w:highlight w:val="none"/>
        </w:rPr>
        <w:t>（符合以下三个子项中的任意一项要求即可）</w:t>
      </w:r>
      <w:r>
        <w:rPr>
          <w:rFonts w:hint="eastAsia" w:ascii="宋体" w:hAnsi="宋体" w:eastAsia="宋体" w:cs="宋体"/>
          <w:b w:val="0"/>
          <w:bCs/>
          <w:sz w:val="21"/>
          <w:szCs w:val="21"/>
          <w:highlight w:val="none"/>
          <w:lang w:eastAsia="zh-CN"/>
        </w:rPr>
        <w:t>；</w:t>
      </w:r>
    </w:p>
    <w:p w14:paraId="6949AE4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2.1</w:t>
      </w:r>
      <w:r>
        <w:rPr>
          <w:rFonts w:hint="eastAsia" w:ascii="宋体" w:hAnsi="宋体" w:eastAsia="宋体" w:cs="宋体"/>
          <w:b w:val="0"/>
          <w:bCs/>
          <w:sz w:val="21"/>
          <w:szCs w:val="21"/>
          <w:highlight w:val="none"/>
        </w:rPr>
        <w:t>.1小微企业：《中小企业声明函》</w:t>
      </w:r>
      <w:r>
        <w:rPr>
          <w:rFonts w:hint="eastAsia" w:ascii="宋体" w:hAnsi="宋体" w:cs="宋体"/>
          <w:b w:val="0"/>
          <w:bCs/>
          <w:sz w:val="21"/>
          <w:szCs w:val="21"/>
          <w:highlight w:val="none"/>
          <w:lang w:eastAsia="zh-CN"/>
        </w:rPr>
        <w:t>；</w:t>
      </w:r>
      <w:r>
        <w:rPr>
          <w:rFonts w:hint="eastAsia" w:ascii="宋体" w:hAnsi="宋体" w:eastAsia="宋体" w:cs="宋体"/>
          <w:b w:val="0"/>
          <w:bCs/>
          <w:sz w:val="21"/>
          <w:szCs w:val="21"/>
          <w:highlight w:val="none"/>
        </w:rPr>
        <w:t>（格式</w:t>
      </w:r>
      <w:r>
        <w:rPr>
          <w:rFonts w:hint="eastAsia" w:ascii="宋体" w:hAnsi="宋体" w:cs="宋体"/>
          <w:b w:val="0"/>
          <w:bCs/>
          <w:sz w:val="21"/>
          <w:szCs w:val="21"/>
          <w:highlight w:val="none"/>
          <w:lang w:val="en-US" w:eastAsia="zh-CN"/>
        </w:rPr>
        <w:t>二</w:t>
      </w:r>
      <w:r>
        <w:rPr>
          <w:rFonts w:hint="eastAsia" w:ascii="宋体" w:hAnsi="宋体" w:eastAsia="宋体" w:cs="宋体"/>
          <w:b w:val="0"/>
          <w:bCs/>
          <w:sz w:val="21"/>
          <w:szCs w:val="21"/>
          <w:highlight w:val="none"/>
        </w:rPr>
        <w:t>）</w:t>
      </w:r>
    </w:p>
    <w:p w14:paraId="17BC484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2.1</w:t>
      </w:r>
      <w:r>
        <w:rPr>
          <w:rFonts w:hint="eastAsia" w:ascii="宋体" w:hAnsi="宋体" w:eastAsia="宋体" w:cs="宋体"/>
          <w:b w:val="0"/>
          <w:bCs/>
          <w:sz w:val="21"/>
          <w:szCs w:val="21"/>
          <w:highlight w:val="none"/>
        </w:rPr>
        <w:t>.2监狱企业：由省级以上监狱管理局、戒毒管理局（含新疆生产建设兵团）出具的属于监狱企业的证明文件</w:t>
      </w:r>
      <w:r>
        <w:rPr>
          <w:rFonts w:hint="eastAsia" w:ascii="宋体" w:hAnsi="宋体" w:cs="宋体"/>
          <w:b w:val="0"/>
          <w:bCs/>
          <w:sz w:val="21"/>
          <w:szCs w:val="21"/>
          <w:highlight w:val="none"/>
          <w:lang w:eastAsia="zh-CN"/>
        </w:rPr>
        <w:t>；</w:t>
      </w:r>
    </w:p>
    <w:p w14:paraId="438F29A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2.1</w:t>
      </w:r>
      <w:r>
        <w:rPr>
          <w:rFonts w:hint="eastAsia" w:ascii="宋体" w:hAnsi="宋体" w:eastAsia="宋体" w:cs="宋体"/>
          <w:b w:val="0"/>
          <w:bCs/>
          <w:sz w:val="21"/>
          <w:szCs w:val="21"/>
          <w:highlight w:val="none"/>
        </w:rPr>
        <w:t>.3残疾人福利性单位：《残疾人福利性单位声明函》</w:t>
      </w:r>
      <w:r>
        <w:rPr>
          <w:rFonts w:hint="eastAsia" w:ascii="宋体" w:hAnsi="宋体" w:cs="宋体"/>
          <w:b w:val="0"/>
          <w:bCs/>
          <w:sz w:val="21"/>
          <w:szCs w:val="21"/>
          <w:highlight w:val="none"/>
          <w:lang w:eastAsia="zh-CN"/>
        </w:rPr>
        <w:t>；</w:t>
      </w:r>
      <w:r>
        <w:rPr>
          <w:rFonts w:hint="eastAsia" w:ascii="宋体" w:hAnsi="宋体" w:eastAsia="宋体" w:cs="宋体"/>
          <w:b w:val="0"/>
          <w:bCs/>
          <w:sz w:val="21"/>
          <w:szCs w:val="21"/>
          <w:highlight w:val="none"/>
        </w:rPr>
        <w:t>（格式</w:t>
      </w:r>
      <w:r>
        <w:rPr>
          <w:rFonts w:hint="eastAsia" w:ascii="宋体" w:hAnsi="宋体" w:cs="宋体"/>
          <w:b w:val="0"/>
          <w:bCs/>
          <w:sz w:val="21"/>
          <w:szCs w:val="21"/>
          <w:highlight w:val="none"/>
          <w:lang w:val="en-US" w:eastAsia="zh-CN"/>
        </w:rPr>
        <w:t>三</w:t>
      </w:r>
      <w:r>
        <w:rPr>
          <w:rFonts w:hint="eastAsia" w:ascii="宋体" w:hAnsi="宋体" w:eastAsia="宋体" w:cs="宋体"/>
          <w:b w:val="0"/>
          <w:bCs/>
          <w:sz w:val="21"/>
          <w:szCs w:val="21"/>
          <w:highlight w:val="none"/>
        </w:rPr>
        <w:t>）</w:t>
      </w:r>
    </w:p>
    <w:p w14:paraId="7FD86AD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rPr>
        <w:t>2.</w:t>
      </w:r>
      <w:r>
        <w:rPr>
          <w:rFonts w:hint="eastAsia" w:ascii="宋体" w:hAnsi="宋体" w:eastAsia="宋体" w:cs="宋体"/>
          <w:b w:val="0"/>
          <w:bCs/>
          <w:sz w:val="21"/>
          <w:szCs w:val="21"/>
          <w:highlight w:val="none"/>
          <w:lang w:val="en-US" w:eastAsia="zh-CN"/>
        </w:rPr>
        <w:t>2响应</w:t>
      </w:r>
      <w:r>
        <w:rPr>
          <w:rFonts w:hint="eastAsia" w:ascii="宋体" w:hAnsi="宋体" w:eastAsia="宋体" w:cs="宋体"/>
          <w:b w:val="0"/>
          <w:bCs/>
          <w:sz w:val="21"/>
          <w:szCs w:val="21"/>
          <w:highlight w:val="none"/>
        </w:rPr>
        <w:t>人</w:t>
      </w:r>
      <w:r>
        <w:rPr>
          <w:rFonts w:hint="eastAsia" w:ascii="宋体" w:hAnsi="宋体" w:eastAsia="宋体" w:cs="宋体"/>
          <w:b w:val="0"/>
          <w:bCs/>
          <w:sz w:val="21"/>
          <w:szCs w:val="21"/>
          <w:highlight w:val="none"/>
          <w:lang w:val="en-US" w:eastAsia="zh-CN"/>
        </w:rPr>
        <w:t>具有独立承担民事责任的能力证明资料</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投标人须在投标文件中出具符合以下情况的证明材料复印件（五选一）</w:t>
      </w:r>
    </w:p>
    <w:p w14:paraId="6C8AA1C6">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a)如供应商是企业（包括合伙企业），提供在工商部门注册的有效“企业法人营业执照”或“营业执照”；</w:t>
      </w:r>
    </w:p>
    <w:p w14:paraId="1E4AFE09">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b)如供应商是事业单位，提供有效的“事业单位法人证书”；</w:t>
      </w:r>
    </w:p>
    <w:p w14:paraId="6D6CAF67">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c)如供应商是非企业专业服务机构的，提供执业许可证等证明文件；</w:t>
      </w:r>
    </w:p>
    <w:p w14:paraId="687A343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d)如供应商是个体工商户，提供有效的“个体工商户营业执照”；</w:t>
      </w:r>
    </w:p>
    <w:p w14:paraId="58518A80">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e)如供应商是自然人，提供有效的自然人身份证明（居民身份证正反面或公安机关出具的临时居民身份证正反面或港澳台胞证或证照）。</w:t>
      </w:r>
    </w:p>
    <w:p w14:paraId="1F5E526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w:t>
      </w:r>
      <w:r>
        <w:rPr>
          <w:rFonts w:hint="eastAsia" w:ascii="宋体" w:hAnsi="宋体" w:eastAsia="宋体" w:cs="宋体"/>
          <w:b w:val="0"/>
          <w:bCs/>
          <w:sz w:val="21"/>
          <w:szCs w:val="21"/>
          <w:highlight w:val="none"/>
          <w:lang w:val="en-US" w:eastAsia="zh-CN"/>
        </w:rPr>
        <w:t>3响应</w:t>
      </w:r>
      <w:r>
        <w:rPr>
          <w:rFonts w:hint="eastAsia" w:ascii="宋体" w:hAnsi="宋体" w:eastAsia="宋体" w:cs="宋体"/>
          <w:b w:val="0"/>
          <w:bCs/>
          <w:sz w:val="21"/>
          <w:szCs w:val="21"/>
          <w:highlight w:val="none"/>
        </w:rPr>
        <w:t>人法定代表人身份证复印件；</w:t>
      </w:r>
    </w:p>
    <w:p w14:paraId="3760739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2.</w:t>
      </w:r>
      <w:r>
        <w:rPr>
          <w:rFonts w:hint="eastAsia" w:ascii="宋体" w:hAnsi="宋体" w:eastAsia="宋体" w:cs="宋体"/>
          <w:b w:val="0"/>
          <w:bCs/>
          <w:sz w:val="21"/>
          <w:szCs w:val="21"/>
          <w:highlight w:val="none"/>
          <w:lang w:val="en-US" w:eastAsia="zh-CN"/>
        </w:rPr>
        <w:t>4</w:t>
      </w:r>
      <w:r>
        <w:rPr>
          <w:rFonts w:hint="eastAsia" w:ascii="宋体" w:hAnsi="宋体" w:eastAsia="宋体" w:cs="宋体"/>
          <w:b w:val="0"/>
          <w:bCs/>
          <w:sz w:val="21"/>
          <w:szCs w:val="21"/>
          <w:highlight w:val="none"/>
        </w:rPr>
        <w:t>投标函；</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格式</w:t>
      </w:r>
      <w:r>
        <w:rPr>
          <w:rFonts w:hint="eastAsia" w:ascii="宋体" w:hAnsi="宋体" w:cs="宋体"/>
          <w:b w:val="0"/>
          <w:bCs/>
          <w:sz w:val="21"/>
          <w:szCs w:val="21"/>
          <w:highlight w:val="none"/>
          <w:lang w:val="en-US" w:eastAsia="zh-CN"/>
        </w:rPr>
        <w:t>四</w:t>
      </w:r>
      <w:r>
        <w:rPr>
          <w:rFonts w:hint="eastAsia" w:ascii="宋体" w:hAnsi="宋体" w:eastAsia="宋体" w:cs="宋体"/>
          <w:b w:val="0"/>
          <w:bCs/>
          <w:sz w:val="21"/>
          <w:szCs w:val="21"/>
          <w:highlight w:val="none"/>
          <w:lang w:eastAsia="zh-CN"/>
        </w:rPr>
        <w:t>）</w:t>
      </w:r>
    </w:p>
    <w:p w14:paraId="62FE868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w:t>
      </w:r>
      <w:r>
        <w:rPr>
          <w:rFonts w:hint="eastAsia" w:ascii="宋体" w:hAnsi="宋体" w:eastAsia="宋体" w:cs="宋体"/>
          <w:b w:val="0"/>
          <w:bCs/>
          <w:sz w:val="21"/>
          <w:szCs w:val="21"/>
          <w:highlight w:val="none"/>
          <w:lang w:val="en-US" w:eastAsia="zh-CN"/>
        </w:rPr>
        <w:t>5</w:t>
      </w:r>
      <w:r>
        <w:rPr>
          <w:rFonts w:hint="eastAsia" w:ascii="宋体" w:hAnsi="宋体" w:eastAsia="宋体" w:cs="宋体"/>
          <w:b w:val="0"/>
          <w:bCs/>
          <w:sz w:val="21"/>
          <w:szCs w:val="21"/>
          <w:highlight w:val="none"/>
        </w:rPr>
        <w:t>法定代表人授权函，非法定代表人参加</w:t>
      </w:r>
      <w:r>
        <w:rPr>
          <w:rFonts w:hint="eastAsia" w:ascii="宋体" w:hAnsi="宋体" w:eastAsia="宋体" w:cs="宋体"/>
          <w:b w:val="0"/>
          <w:bCs/>
          <w:sz w:val="21"/>
          <w:szCs w:val="21"/>
          <w:highlight w:val="none"/>
          <w:lang w:val="en-US" w:eastAsia="zh-CN"/>
        </w:rPr>
        <w:t>磋商</w:t>
      </w:r>
      <w:r>
        <w:rPr>
          <w:rFonts w:hint="eastAsia" w:ascii="宋体" w:hAnsi="宋体" w:eastAsia="宋体" w:cs="宋体"/>
          <w:b w:val="0"/>
          <w:bCs/>
          <w:sz w:val="21"/>
          <w:szCs w:val="21"/>
          <w:highlight w:val="none"/>
        </w:rPr>
        <w:t>时提供；</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格式</w:t>
      </w:r>
      <w:r>
        <w:rPr>
          <w:rFonts w:hint="eastAsia" w:ascii="宋体" w:hAnsi="宋体" w:cs="宋体"/>
          <w:b w:val="0"/>
          <w:bCs/>
          <w:sz w:val="21"/>
          <w:szCs w:val="21"/>
          <w:highlight w:val="none"/>
          <w:lang w:val="en-US" w:eastAsia="zh-CN"/>
        </w:rPr>
        <w:t>五</w:t>
      </w:r>
      <w:r>
        <w:rPr>
          <w:rFonts w:hint="eastAsia" w:ascii="宋体" w:hAnsi="宋体" w:eastAsia="宋体" w:cs="宋体"/>
          <w:b w:val="0"/>
          <w:bCs/>
          <w:sz w:val="21"/>
          <w:szCs w:val="21"/>
          <w:highlight w:val="none"/>
          <w:lang w:eastAsia="zh-CN"/>
        </w:rPr>
        <w:t>）</w:t>
      </w:r>
    </w:p>
    <w:p w14:paraId="0D38A84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2.</w:t>
      </w:r>
      <w:r>
        <w:rPr>
          <w:rFonts w:hint="eastAsia" w:ascii="宋体" w:hAnsi="宋体" w:eastAsia="宋体" w:cs="宋体"/>
          <w:b w:val="0"/>
          <w:bCs/>
          <w:sz w:val="21"/>
          <w:szCs w:val="21"/>
          <w:highlight w:val="none"/>
          <w:lang w:val="en-US" w:eastAsia="zh-CN"/>
        </w:rPr>
        <w:t>6响应</w:t>
      </w:r>
      <w:r>
        <w:rPr>
          <w:rFonts w:hint="eastAsia" w:ascii="宋体" w:hAnsi="宋体" w:eastAsia="宋体" w:cs="宋体"/>
          <w:b w:val="0"/>
          <w:bCs/>
          <w:sz w:val="21"/>
          <w:szCs w:val="21"/>
          <w:highlight w:val="none"/>
        </w:rPr>
        <w:t>人代表身份证复印件，非法定代表人参加</w:t>
      </w:r>
      <w:r>
        <w:rPr>
          <w:rFonts w:hint="eastAsia" w:ascii="宋体" w:hAnsi="宋体" w:eastAsia="宋体" w:cs="宋体"/>
          <w:b w:val="0"/>
          <w:bCs/>
          <w:sz w:val="21"/>
          <w:szCs w:val="21"/>
          <w:highlight w:val="none"/>
          <w:lang w:val="en-US" w:eastAsia="zh-CN"/>
        </w:rPr>
        <w:t>磋商</w:t>
      </w:r>
      <w:r>
        <w:rPr>
          <w:rFonts w:hint="eastAsia" w:ascii="宋体" w:hAnsi="宋体" w:eastAsia="宋体" w:cs="宋体"/>
          <w:b w:val="0"/>
          <w:bCs/>
          <w:sz w:val="21"/>
          <w:szCs w:val="21"/>
          <w:highlight w:val="none"/>
        </w:rPr>
        <w:t>时提供</w:t>
      </w:r>
      <w:r>
        <w:rPr>
          <w:rFonts w:hint="eastAsia" w:ascii="宋体" w:hAnsi="宋体" w:eastAsia="宋体" w:cs="宋体"/>
          <w:b w:val="0"/>
          <w:bCs/>
          <w:sz w:val="21"/>
          <w:szCs w:val="21"/>
          <w:highlight w:val="none"/>
          <w:lang w:eastAsia="zh-CN"/>
        </w:rPr>
        <w:t>；</w:t>
      </w:r>
    </w:p>
    <w:p w14:paraId="741419C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2.7响应</w:t>
      </w:r>
      <w:r>
        <w:rPr>
          <w:rFonts w:hint="eastAsia" w:ascii="宋体" w:hAnsi="宋体" w:eastAsia="宋体" w:cs="宋体"/>
          <w:b w:val="0"/>
          <w:bCs/>
          <w:sz w:val="21"/>
          <w:szCs w:val="21"/>
          <w:highlight w:val="none"/>
        </w:rPr>
        <w:t>人</w:t>
      </w:r>
      <w:r>
        <w:rPr>
          <w:rFonts w:hint="eastAsia" w:ascii="宋体" w:hAnsi="宋体" w:eastAsia="宋体" w:cs="宋体"/>
          <w:b w:val="0"/>
          <w:bCs/>
          <w:sz w:val="21"/>
          <w:szCs w:val="21"/>
          <w:highlight w:val="none"/>
          <w:lang w:val="en-US" w:eastAsia="zh-CN"/>
        </w:rPr>
        <w:t>特定资质：具备物证类鉴定（痕迹鉴定.机动车痕迹鉴定）资质，资质中必须包含：021101车辆安全技术状况鉴定、021103交通事故痕迹鉴定、021104车辆速度鉴定、021105交通事故痕迹物证综合鉴定四项子分类。</w:t>
      </w:r>
    </w:p>
    <w:p w14:paraId="303AEF78">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b/>
          <w:szCs w:val="21"/>
          <w:highlight w:val="none"/>
        </w:rPr>
      </w:pPr>
      <w:r>
        <w:rPr>
          <w:rFonts w:hint="eastAsia" w:ascii="宋体" w:hAnsi="宋体" w:eastAsia="宋体" w:cs="宋体"/>
          <w:b/>
          <w:szCs w:val="21"/>
          <w:highlight w:val="none"/>
        </w:rPr>
        <w:t>3、商务技术文件部分</w:t>
      </w:r>
    </w:p>
    <w:p w14:paraId="0C203FB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szCs w:val="21"/>
          <w:highlight w:val="none"/>
        </w:rPr>
      </w:pPr>
      <w:r>
        <w:rPr>
          <w:rFonts w:hint="eastAsia" w:ascii="宋体" w:hAnsi="宋体" w:eastAsia="宋体" w:cs="宋体"/>
          <w:szCs w:val="21"/>
          <w:highlight w:val="none"/>
        </w:rPr>
        <w:t>3.1评分标准页码索引；</w:t>
      </w:r>
    </w:p>
    <w:p w14:paraId="246ADFC7">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cs="宋体"/>
          <w:szCs w:val="21"/>
          <w:highlight w:val="none"/>
          <w:lang w:val="en-US" w:eastAsia="zh-CN"/>
        </w:rPr>
        <w:t>2</w:t>
      </w:r>
      <w:r>
        <w:rPr>
          <w:rFonts w:hint="eastAsia" w:ascii="宋体" w:hAnsi="宋体" w:eastAsia="宋体" w:cs="宋体"/>
          <w:szCs w:val="21"/>
          <w:highlight w:val="none"/>
        </w:rPr>
        <w:t>按评分标准依序提供相关材料、方案；（格式</w:t>
      </w:r>
      <w:r>
        <w:rPr>
          <w:rFonts w:hint="eastAsia" w:ascii="宋体" w:hAnsi="宋体" w:cs="宋体"/>
          <w:szCs w:val="21"/>
          <w:highlight w:val="none"/>
          <w:lang w:val="en-US" w:eastAsia="zh-CN"/>
        </w:rPr>
        <w:t>六</w:t>
      </w:r>
      <w:r>
        <w:rPr>
          <w:rFonts w:hint="eastAsia" w:ascii="宋体" w:hAnsi="宋体" w:eastAsia="宋体" w:cs="宋体"/>
          <w:szCs w:val="21"/>
          <w:highlight w:val="none"/>
        </w:rPr>
        <w:t>-</w:t>
      </w:r>
      <w:r>
        <w:rPr>
          <w:rFonts w:hint="eastAsia" w:ascii="宋体" w:hAnsi="宋体" w:cs="宋体"/>
          <w:szCs w:val="21"/>
          <w:highlight w:val="none"/>
          <w:lang w:val="en-US" w:eastAsia="zh-CN"/>
        </w:rPr>
        <w:t>九</w:t>
      </w:r>
      <w:r>
        <w:rPr>
          <w:rFonts w:hint="eastAsia" w:ascii="宋体" w:hAnsi="宋体" w:eastAsia="宋体" w:cs="宋体"/>
          <w:szCs w:val="21"/>
          <w:highlight w:val="none"/>
        </w:rPr>
        <w:t>）</w:t>
      </w:r>
    </w:p>
    <w:p w14:paraId="398E1ECF">
      <w:pPr>
        <w:keepNext w:val="0"/>
        <w:keepLines w:val="0"/>
        <w:pageBreakBefore w:val="0"/>
        <w:widowControl w:val="0"/>
        <w:kinsoku/>
        <w:wordWrap/>
        <w:overflowPunct/>
        <w:topLinePunct w:val="0"/>
        <w:autoSpaceDE/>
        <w:autoSpaceDN/>
        <w:bidi w:val="0"/>
        <w:adjustRightInd/>
        <w:snapToGrid w:val="0"/>
        <w:spacing w:line="360" w:lineRule="auto"/>
        <w:ind w:firstLine="415" w:firstLineChars="198"/>
        <w:jc w:val="both"/>
        <w:textAlignment w:val="auto"/>
        <w:rPr>
          <w:rFonts w:ascii="宋体" w:hAnsi="宋体" w:cs="宋体"/>
          <w:b/>
          <w:sz w:val="28"/>
          <w:szCs w:val="28"/>
          <w:highlight w:val="none"/>
        </w:rPr>
      </w:pPr>
      <w:r>
        <w:rPr>
          <w:rFonts w:hint="eastAsia" w:ascii="宋体" w:hAnsi="宋体" w:eastAsia="宋体" w:cs="宋体"/>
          <w:szCs w:val="21"/>
          <w:highlight w:val="none"/>
        </w:rPr>
        <w:t>3.</w:t>
      </w:r>
      <w:r>
        <w:rPr>
          <w:rFonts w:hint="eastAsia" w:ascii="宋体" w:hAnsi="宋体" w:cs="宋体"/>
          <w:szCs w:val="21"/>
          <w:highlight w:val="none"/>
          <w:lang w:val="en-US" w:eastAsia="zh-CN"/>
        </w:rPr>
        <w:t>3</w:t>
      </w:r>
      <w:r>
        <w:rPr>
          <w:rFonts w:hint="eastAsia" w:ascii="宋体" w:hAnsi="宋体" w:eastAsia="宋体" w:cs="宋体"/>
          <w:szCs w:val="21"/>
          <w:highlight w:val="none"/>
        </w:rPr>
        <w:t>本</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rPr>
        <w:t>文件要求提供的和投标人认为需要提供的其它说明和资料/文件。</w:t>
      </w:r>
      <w:r>
        <w:rPr>
          <w:rFonts w:hint="eastAsia" w:ascii="宋体" w:hAnsi="宋体" w:eastAsia="宋体" w:cs="宋体"/>
          <w:b/>
          <w:bCs/>
          <w:szCs w:val="21"/>
          <w:highlight w:val="none"/>
        </w:rPr>
        <w:br w:type="page"/>
      </w:r>
    </w:p>
    <w:p w14:paraId="6444213A">
      <w:pPr>
        <w:pageBreakBefore w:val="0"/>
        <w:kinsoku/>
        <w:wordWrap/>
        <w:overflowPunct/>
        <w:topLinePunct w:val="0"/>
        <w:bidi w:val="0"/>
        <w:snapToGrid w:val="0"/>
        <w:spacing w:before="50" w:after="50" w:line="360" w:lineRule="auto"/>
        <w:jc w:val="center"/>
        <w:outlineLvl w:val="1"/>
        <w:rPr>
          <w:rFonts w:hint="default" w:ascii="宋体" w:hAnsi="宋体" w:eastAsia="宋体" w:cs="宋体"/>
          <w:b/>
          <w:spacing w:val="20"/>
          <w:sz w:val="28"/>
          <w:szCs w:val="28"/>
          <w:highlight w:val="none"/>
          <w:lang w:val="en-US" w:eastAsia="zh-CN"/>
        </w:rPr>
      </w:pPr>
      <w:r>
        <w:rPr>
          <w:rFonts w:hint="eastAsia" w:ascii="宋体" w:hAnsi="宋体" w:cs="宋体"/>
          <w:b/>
          <w:spacing w:val="20"/>
          <w:sz w:val="28"/>
          <w:szCs w:val="28"/>
          <w:highlight w:val="none"/>
          <w:lang w:val="en-US" w:eastAsia="zh-CN"/>
        </w:rPr>
        <w:t>响应文件格式</w:t>
      </w:r>
    </w:p>
    <w:p w14:paraId="4D8B9CDA">
      <w:pPr>
        <w:pageBreakBefore w:val="0"/>
        <w:kinsoku/>
        <w:wordWrap/>
        <w:overflowPunct/>
        <w:topLinePunct w:val="0"/>
        <w:bidi w:val="0"/>
        <w:snapToGrid w:val="0"/>
        <w:spacing w:before="50" w:after="50" w:line="360" w:lineRule="auto"/>
        <w:outlineLvl w:val="9"/>
        <w:rPr>
          <w:rFonts w:hint="eastAsia" w:ascii="宋体" w:hAnsi="宋体" w:cs="宋体"/>
          <w:b/>
          <w:spacing w:val="20"/>
          <w:sz w:val="21"/>
          <w:szCs w:val="21"/>
          <w:highlight w:val="none"/>
        </w:rPr>
      </w:pPr>
    </w:p>
    <w:p w14:paraId="6FCD9484">
      <w:pPr>
        <w:pageBreakBefore w:val="0"/>
        <w:kinsoku/>
        <w:wordWrap/>
        <w:overflowPunct/>
        <w:topLinePunct w:val="0"/>
        <w:bidi w:val="0"/>
        <w:snapToGrid w:val="0"/>
        <w:spacing w:before="50" w:after="50" w:line="360" w:lineRule="auto"/>
        <w:outlineLvl w:val="2"/>
        <w:rPr>
          <w:rFonts w:ascii="宋体" w:hAnsi="宋体" w:cs="宋体"/>
          <w:b/>
          <w:spacing w:val="20"/>
          <w:sz w:val="21"/>
          <w:szCs w:val="21"/>
          <w:highlight w:val="none"/>
        </w:rPr>
      </w:pPr>
      <w:r>
        <w:rPr>
          <w:rFonts w:hint="eastAsia" w:ascii="宋体" w:hAnsi="宋体" w:cs="宋体"/>
          <w:b/>
          <w:spacing w:val="20"/>
          <w:sz w:val="21"/>
          <w:szCs w:val="21"/>
          <w:highlight w:val="none"/>
        </w:rPr>
        <w:t>格式一、开标一览表</w:t>
      </w:r>
    </w:p>
    <w:tbl>
      <w:tblPr>
        <w:tblStyle w:val="28"/>
        <w:tblW w:w="50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82"/>
        <w:gridCol w:w="8268"/>
      </w:tblGrid>
      <w:tr w14:paraId="2A0A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45" w:type="pct"/>
            <w:vAlign w:val="center"/>
          </w:tcPr>
          <w:p w14:paraId="194F3A47">
            <w:pPr>
              <w:keepNext w:val="0"/>
              <w:keepLines w:val="0"/>
              <w:pageBreakBefore w:val="0"/>
              <w:suppressLineNumbers w:val="0"/>
              <w:kinsoku/>
              <w:wordWrap/>
              <w:overflowPunct/>
              <w:topLinePunct w:val="0"/>
              <w:bidi w:val="0"/>
              <w:spacing w:before="240" w:beforeAutospacing="0" w:after="24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项目名称</w:t>
            </w:r>
          </w:p>
        </w:tc>
        <w:tc>
          <w:tcPr>
            <w:tcW w:w="4154" w:type="pct"/>
            <w:vAlign w:val="center"/>
          </w:tcPr>
          <w:p w14:paraId="330247A7">
            <w:pPr>
              <w:keepNext w:val="0"/>
              <w:keepLines w:val="0"/>
              <w:pageBreakBefore w:val="0"/>
              <w:suppressLineNumbers w:val="0"/>
              <w:kinsoku/>
              <w:wordWrap/>
              <w:overflowPunct/>
              <w:topLinePunct w:val="0"/>
              <w:bidi w:val="0"/>
              <w:spacing w:before="240" w:beforeAutospacing="0" w:after="240" w:afterAutospacing="0" w:line="360" w:lineRule="auto"/>
              <w:ind w:left="0" w:right="0"/>
              <w:jc w:val="center"/>
              <w:rPr>
                <w:rFonts w:hint="eastAsia" w:ascii="宋体" w:hAnsi="宋体" w:eastAsia="宋体" w:cs="宋体"/>
                <w:b/>
                <w:sz w:val="21"/>
                <w:szCs w:val="21"/>
                <w:highlight w:val="none"/>
                <w:lang w:eastAsia="zh-CN"/>
              </w:rPr>
            </w:pPr>
            <w:r>
              <w:rPr>
                <w:rFonts w:hint="eastAsia" w:ascii="宋体" w:hAnsi="宋体" w:eastAsia="宋体" w:cs="宋体"/>
                <w:b w:val="0"/>
                <w:bCs/>
                <w:sz w:val="21"/>
                <w:szCs w:val="21"/>
                <w:highlight w:val="none"/>
                <w:lang w:eastAsia="zh-CN"/>
              </w:rPr>
              <w:t>2025年舟山交警司法鉴定服务项目</w:t>
            </w:r>
          </w:p>
        </w:tc>
      </w:tr>
      <w:tr w14:paraId="620A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45" w:type="pct"/>
            <w:vAlign w:val="center"/>
          </w:tcPr>
          <w:p w14:paraId="48124A49">
            <w:pPr>
              <w:keepNext w:val="0"/>
              <w:keepLines w:val="0"/>
              <w:pageBreakBefore w:val="0"/>
              <w:suppressLineNumbers w:val="0"/>
              <w:kinsoku/>
              <w:wordWrap/>
              <w:overflowPunct/>
              <w:topLinePunct w:val="0"/>
              <w:bidi w:val="0"/>
              <w:spacing w:before="240" w:beforeAutospacing="0" w:after="24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投标内容</w:t>
            </w:r>
          </w:p>
        </w:tc>
        <w:tc>
          <w:tcPr>
            <w:tcW w:w="4154" w:type="pct"/>
            <w:vAlign w:val="center"/>
          </w:tcPr>
          <w:p w14:paraId="49B9E7B0">
            <w:pPr>
              <w:keepNext w:val="0"/>
              <w:keepLines w:val="0"/>
              <w:pageBreakBefore w:val="0"/>
              <w:suppressLineNumbers w:val="0"/>
              <w:kinsoku/>
              <w:wordWrap/>
              <w:overflowPunct/>
              <w:topLinePunct w:val="0"/>
              <w:bidi w:val="0"/>
              <w:spacing w:before="240" w:beforeAutospacing="0" w:after="240" w:afterAutospacing="0" w:line="360" w:lineRule="auto"/>
              <w:ind w:left="0" w:right="0"/>
              <w:jc w:val="center"/>
              <w:rPr>
                <w:rFonts w:hint="default" w:ascii="宋体" w:hAnsi="宋体" w:cs="宋体"/>
                <w:sz w:val="21"/>
                <w:szCs w:val="21"/>
                <w:highlight w:val="none"/>
                <w:lang w:val="en-US"/>
              </w:rPr>
            </w:pPr>
            <w:r>
              <w:rPr>
                <w:rFonts w:hint="eastAsia" w:ascii="宋体" w:hAnsi="宋体" w:eastAsia="宋体" w:cs="宋体"/>
                <w:b w:val="0"/>
                <w:bCs/>
                <w:sz w:val="21"/>
                <w:szCs w:val="21"/>
                <w:highlight w:val="none"/>
                <w:lang w:eastAsia="zh-CN"/>
              </w:rPr>
              <w:t>司法鉴定服务</w:t>
            </w:r>
          </w:p>
        </w:tc>
      </w:tr>
      <w:tr w14:paraId="3794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845" w:type="pct"/>
            <w:vAlign w:val="center"/>
          </w:tcPr>
          <w:p w14:paraId="1ECF74E8">
            <w:pPr>
              <w:keepNext w:val="0"/>
              <w:keepLines w:val="0"/>
              <w:pageBreakBefore w:val="0"/>
              <w:kinsoku/>
              <w:wordWrap/>
              <w:overflowPunct/>
              <w:topLinePunct w:val="0"/>
              <w:bidi w:val="0"/>
              <w:spacing w:before="240" w:after="240" w:line="360" w:lineRule="auto"/>
              <w:jc w:val="center"/>
              <w:rPr>
                <w:rFonts w:hint="default" w:ascii="宋体" w:hAnsi="宋体" w:cs="宋体"/>
                <w:sz w:val="21"/>
                <w:szCs w:val="21"/>
                <w:highlight w:val="none"/>
              </w:rPr>
            </w:pPr>
            <w:r>
              <w:rPr>
                <w:rFonts w:hint="eastAsia" w:ascii="宋体" w:hAnsi="宋体" w:cs="宋体"/>
                <w:sz w:val="21"/>
                <w:szCs w:val="21"/>
                <w:highlight w:val="none"/>
                <w:lang w:val="en-US" w:eastAsia="zh-CN"/>
              </w:rPr>
              <w:t>折扣率</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p>
        </w:tc>
        <w:tc>
          <w:tcPr>
            <w:tcW w:w="4154" w:type="pct"/>
            <w:vAlign w:val="center"/>
          </w:tcPr>
          <w:p w14:paraId="2313A872">
            <w:pPr>
              <w:keepNext w:val="0"/>
              <w:keepLines w:val="0"/>
              <w:pageBreakBefore w:val="0"/>
              <w:kinsoku/>
              <w:wordWrap/>
              <w:overflowPunct/>
              <w:topLinePunct w:val="0"/>
              <w:bidi w:val="0"/>
              <w:spacing w:before="240" w:after="240" w:line="360" w:lineRule="auto"/>
              <w:jc w:val="center"/>
              <w:rPr>
                <w:rFonts w:hint="eastAsia" w:ascii="宋体" w:hAnsi="宋体" w:cs="宋体"/>
                <w:sz w:val="21"/>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w:t>
            </w:r>
          </w:p>
        </w:tc>
      </w:tr>
    </w:tbl>
    <w:p w14:paraId="3A7D7C1D">
      <w:pPr>
        <w:pageBreakBefore w:val="0"/>
        <w:kinsoku/>
        <w:wordWrap/>
        <w:overflowPunct/>
        <w:topLinePunct w:val="0"/>
        <w:bidi w:val="0"/>
        <w:spacing w:line="360" w:lineRule="auto"/>
        <w:ind w:firstLine="514" w:firstLineChars="245"/>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p>
    <w:p w14:paraId="55A9CD71">
      <w:pPr>
        <w:pageBreakBefore w:val="0"/>
        <w:kinsoku/>
        <w:wordWrap/>
        <w:overflowPunct/>
        <w:topLinePunct w:val="0"/>
        <w:bidi w:val="0"/>
        <w:spacing w:line="360" w:lineRule="auto"/>
        <w:ind w:firstLine="514" w:firstLineChars="245"/>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说明：</w:t>
      </w:r>
    </w:p>
    <w:p w14:paraId="7F700F09">
      <w:pPr>
        <w:pageBreakBefore w:val="0"/>
        <w:kinsoku/>
        <w:wordWrap/>
        <w:overflowPunct/>
        <w:topLinePunct w:val="0"/>
        <w:bidi w:val="0"/>
        <w:spacing w:line="360" w:lineRule="auto"/>
        <w:ind w:firstLine="517" w:firstLineChars="245"/>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1、报价是指供应商在各项鉴定项目</w:t>
      </w:r>
      <w:r>
        <w:rPr>
          <w:rFonts w:hint="eastAsia" w:ascii="宋体" w:hAnsi="宋体" w:cs="宋体"/>
          <w:b/>
          <w:bCs/>
          <w:sz w:val="21"/>
          <w:szCs w:val="21"/>
          <w:highlight w:val="none"/>
          <w:lang w:val="en-US" w:eastAsia="zh-CN"/>
        </w:rPr>
        <w:t>最高限价</w:t>
      </w:r>
      <w:r>
        <w:rPr>
          <w:rFonts w:hint="eastAsia" w:ascii="宋体" w:hAnsi="宋体" w:eastAsia="宋体" w:cs="宋体"/>
          <w:b/>
          <w:bCs/>
          <w:sz w:val="21"/>
          <w:szCs w:val="21"/>
          <w:highlight w:val="none"/>
        </w:rPr>
        <w:t>的基础上进行综合折扣率报价,所有的鉴定项目只报一个折扣率（整数）（例如：按预算价下浮20%的，其填写折扣率为80%）,否则按无效标处理。</w:t>
      </w:r>
    </w:p>
    <w:p w14:paraId="5808B0B2">
      <w:pPr>
        <w:pageBreakBefore w:val="0"/>
        <w:kinsoku/>
        <w:wordWrap/>
        <w:overflowPunct/>
        <w:topLinePunct w:val="0"/>
        <w:bidi w:val="0"/>
        <w:spacing w:line="360" w:lineRule="auto"/>
        <w:ind w:firstLine="514" w:firstLineChars="245"/>
        <w:rPr>
          <w:rFonts w:hint="eastAsia" w:ascii="宋体" w:hAnsi="宋体" w:eastAsia="宋体" w:cs="宋体"/>
          <w:bCs/>
          <w:sz w:val="21"/>
          <w:szCs w:val="21"/>
          <w:highlight w:val="none"/>
        </w:rPr>
      </w:pPr>
      <w:r>
        <w:rPr>
          <w:rFonts w:hint="eastAsia" w:ascii="宋体" w:hAnsi="宋体" w:eastAsia="宋体" w:cs="宋体"/>
          <w:bCs/>
          <w:sz w:val="21"/>
          <w:szCs w:val="21"/>
          <w:highlight w:val="none"/>
        </w:rPr>
        <w:t>2、各项鉴定项目的鉴定费用单价：该项鉴定</w:t>
      </w:r>
      <w:r>
        <w:rPr>
          <w:rFonts w:hint="eastAsia" w:ascii="宋体" w:hAnsi="宋体" w:cs="宋体"/>
          <w:bCs/>
          <w:sz w:val="21"/>
          <w:szCs w:val="21"/>
          <w:highlight w:val="none"/>
          <w:lang w:eastAsia="zh-CN"/>
        </w:rPr>
        <w:t>最高限价</w:t>
      </w:r>
      <w:r>
        <w:rPr>
          <w:rFonts w:hint="eastAsia" w:ascii="宋体" w:hAnsi="宋体" w:eastAsia="宋体" w:cs="宋体"/>
          <w:bCs/>
          <w:sz w:val="21"/>
          <w:szCs w:val="21"/>
          <w:highlight w:val="none"/>
        </w:rPr>
        <w:t>乘以折扣率为该项目鉴定最终鉴定费用单价。</w:t>
      </w:r>
    </w:p>
    <w:p w14:paraId="2C35B8EB">
      <w:pPr>
        <w:pageBreakBefore w:val="0"/>
        <w:kinsoku/>
        <w:wordWrap/>
        <w:overflowPunct/>
        <w:topLinePunct w:val="0"/>
        <w:bidi w:val="0"/>
        <w:spacing w:line="360" w:lineRule="auto"/>
        <w:ind w:firstLine="514" w:firstLineChars="245"/>
        <w:rPr>
          <w:rFonts w:hint="eastAsia" w:ascii="宋体" w:hAnsi="宋体" w:eastAsia="宋体" w:cs="宋体"/>
          <w:bCs/>
          <w:sz w:val="21"/>
          <w:szCs w:val="21"/>
          <w:highlight w:val="none"/>
        </w:rPr>
      </w:pPr>
      <w:r>
        <w:rPr>
          <w:rFonts w:hint="eastAsia" w:ascii="宋体" w:hAnsi="宋体" w:eastAsia="宋体" w:cs="宋体"/>
          <w:bCs/>
          <w:sz w:val="21"/>
          <w:szCs w:val="21"/>
          <w:highlight w:val="none"/>
        </w:rPr>
        <w:t>3、最终鉴定费用单价为固定综合单价。单价必须包括提供鉴定服务所需的一切人员的符合国家规定的工资、福利、各种加班费、误餐费、各种社会保险、食宿与交通、设备及工具、器材、服装、安全、维修、管理费用、税费、利润、完成合同所需的一切本身和不可或缺的所有工作开支、政策性文件规定及合同包含的所有风险、责任等各项全部费用并承担一切风险责任。在服务期内单价不得调整。</w:t>
      </w:r>
    </w:p>
    <w:p w14:paraId="77D84FA7">
      <w:pPr>
        <w:pageBreakBefore w:val="0"/>
        <w:kinsoku/>
        <w:wordWrap/>
        <w:overflowPunct/>
        <w:topLinePunct w:val="0"/>
        <w:bidi w:val="0"/>
        <w:spacing w:line="360" w:lineRule="auto"/>
        <w:ind w:firstLine="371" w:firstLineChars="177"/>
        <w:rPr>
          <w:rFonts w:ascii="宋体" w:hAnsi="宋体" w:cs="宋体"/>
          <w:sz w:val="21"/>
          <w:szCs w:val="21"/>
          <w:highlight w:val="none"/>
        </w:rPr>
      </w:pPr>
    </w:p>
    <w:p w14:paraId="3F1A626E">
      <w:pPr>
        <w:pageBreakBefore w:val="0"/>
        <w:kinsoku/>
        <w:wordWrap/>
        <w:overflowPunct/>
        <w:topLinePunct w:val="0"/>
        <w:bidi w:val="0"/>
        <w:spacing w:line="360" w:lineRule="auto"/>
        <w:rPr>
          <w:rFonts w:ascii="宋体" w:hAnsi="宋体" w:cs="宋体"/>
          <w:sz w:val="21"/>
          <w:szCs w:val="21"/>
          <w:highlight w:val="none"/>
        </w:rPr>
      </w:pPr>
    </w:p>
    <w:p w14:paraId="1EC5FB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响应人名称：</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（加盖公章）  </w:t>
      </w:r>
    </w:p>
    <w:p w14:paraId="43A1CE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响应人代表：</w:t>
      </w:r>
      <w:r>
        <w:rPr>
          <w:rFonts w:hint="eastAsia" w:ascii="宋体" w:hAnsi="宋体" w:cs="宋体"/>
          <w:sz w:val="21"/>
          <w:szCs w:val="21"/>
          <w:highlight w:val="none"/>
          <w:u w:val="single"/>
        </w:rPr>
        <w:t xml:space="preserve">                </w:t>
      </w:r>
      <w:r>
        <w:rPr>
          <w:rFonts w:hint="eastAsia" w:ascii="宋体" w:hAnsi="宋体" w:cs="宋体"/>
          <w:sz w:val="21"/>
          <w:szCs w:val="21"/>
          <w:highlight w:val="none"/>
        </w:rPr>
        <w:t>（签字）</w:t>
      </w:r>
    </w:p>
    <w:p w14:paraId="177B61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日期：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14:paraId="53CADFBB">
      <w:pPr>
        <w:pageBreakBefore w:val="0"/>
        <w:kinsoku/>
        <w:wordWrap/>
        <w:overflowPunct/>
        <w:topLinePunct w:val="0"/>
        <w:bidi w:val="0"/>
        <w:snapToGrid w:val="0"/>
        <w:spacing w:before="50" w:after="50" w:line="360" w:lineRule="auto"/>
        <w:rPr>
          <w:rFonts w:ascii="宋体" w:hAnsi="宋体" w:cs="宋体"/>
          <w:b/>
          <w:spacing w:val="20"/>
          <w:szCs w:val="21"/>
          <w:highlight w:val="none"/>
        </w:rPr>
      </w:pPr>
    </w:p>
    <w:p w14:paraId="3D435089">
      <w:pPr>
        <w:pageBreakBefore w:val="0"/>
        <w:kinsoku/>
        <w:wordWrap/>
        <w:overflowPunct/>
        <w:topLinePunct w:val="0"/>
        <w:bidi w:val="0"/>
        <w:snapToGrid w:val="0"/>
        <w:spacing w:before="50" w:after="50" w:line="360" w:lineRule="auto"/>
        <w:rPr>
          <w:rFonts w:ascii="宋体" w:hAnsi="宋体" w:cs="宋体"/>
          <w:b/>
          <w:spacing w:val="20"/>
          <w:szCs w:val="21"/>
          <w:highlight w:val="none"/>
        </w:rPr>
      </w:pPr>
    </w:p>
    <w:p w14:paraId="6563C191">
      <w:pPr>
        <w:pageBreakBefore w:val="0"/>
        <w:kinsoku/>
        <w:wordWrap/>
        <w:overflowPunct/>
        <w:topLinePunct w:val="0"/>
        <w:bidi w:val="0"/>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534286DE">
      <w:pPr>
        <w:keepNext w:val="0"/>
        <w:keepLines w:val="0"/>
        <w:pageBreakBefore w:val="0"/>
        <w:widowControl w:val="0"/>
        <w:kinsoku/>
        <w:wordWrap/>
        <w:overflowPunct/>
        <w:topLinePunct w:val="0"/>
        <w:autoSpaceDE/>
        <w:autoSpaceDN/>
        <w:bidi w:val="0"/>
        <w:adjustRightInd/>
        <w:snapToGrid/>
        <w:spacing w:line="348" w:lineRule="auto"/>
        <w:textAlignment w:val="auto"/>
        <w:outlineLvl w:val="2"/>
        <w:rPr>
          <w:rFonts w:hint="eastAsia" w:ascii="宋体" w:hAnsi="宋体" w:eastAsia="宋体" w:cs="宋体"/>
          <w:b/>
          <w:color w:val="000000"/>
          <w:kern w:val="0"/>
          <w:sz w:val="21"/>
          <w:szCs w:val="21"/>
          <w:highlight w:val="none"/>
          <w:lang w:bidi="ar"/>
        </w:rPr>
      </w:pPr>
      <w:r>
        <w:rPr>
          <w:rFonts w:hint="eastAsia" w:ascii="宋体" w:hAnsi="宋体" w:eastAsia="宋体" w:cs="宋体"/>
          <w:b/>
          <w:sz w:val="21"/>
          <w:szCs w:val="21"/>
          <w:highlight w:val="none"/>
        </w:rPr>
        <w:t>格式</w:t>
      </w:r>
      <w:r>
        <w:rPr>
          <w:rFonts w:hint="eastAsia" w:ascii="宋体" w:hAnsi="宋体" w:cs="宋体"/>
          <w:b/>
          <w:sz w:val="21"/>
          <w:szCs w:val="21"/>
          <w:highlight w:val="none"/>
          <w:lang w:val="en-US" w:eastAsia="zh-CN"/>
        </w:rPr>
        <w:t>二</w:t>
      </w:r>
      <w:r>
        <w:rPr>
          <w:rFonts w:hint="eastAsia" w:ascii="宋体" w:hAnsi="宋体" w:eastAsia="宋体" w:cs="宋体"/>
          <w:b/>
          <w:sz w:val="21"/>
          <w:szCs w:val="21"/>
          <w:highlight w:val="none"/>
        </w:rPr>
        <w:t>、中小企业声明函</w:t>
      </w:r>
    </w:p>
    <w:p w14:paraId="15948D53">
      <w:pPr>
        <w:keepNext w:val="0"/>
        <w:keepLines w:val="0"/>
        <w:pageBreakBefore w:val="0"/>
        <w:widowControl/>
        <w:kinsoku/>
        <w:wordWrap/>
        <w:overflowPunct/>
        <w:topLinePunct w:val="0"/>
        <w:autoSpaceDE/>
        <w:autoSpaceDN/>
        <w:bidi w:val="0"/>
        <w:adjustRightInd/>
        <w:spacing w:line="348" w:lineRule="auto"/>
        <w:jc w:val="center"/>
        <w:textAlignment w:val="auto"/>
        <w:rPr>
          <w:rFonts w:hint="eastAsia" w:ascii="宋体" w:hAnsi="宋体" w:eastAsia="宋体" w:cs="宋体"/>
          <w:sz w:val="21"/>
          <w:szCs w:val="21"/>
          <w:highlight w:val="none"/>
        </w:rPr>
      </w:pPr>
      <w:r>
        <w:rPr>
          <w:rFonts w:hint="eastAsia" w:ascii="宋体" w:hAnsi="宋体" w:eastAsia="宋体" w:cs="宋体"/>
          <w:b/>
          <w:color w:val="000000"/>
          <w:kern w:val="0"/>
          <w:sz w:val="21"/>
          <w:szCs w:val="21"/>
          <w:highlight w:val="none"/>
          <w:lang w:bidi="ar"/>
        </w:rPr>
        <w:t>中小企业声明函（</w:t>
      </w:r>
      <w:r>
        <w:rPr>
          <w:rFonts w:hint="eastAsia" w:ascii="宋体" w:hAnsi="宋体" w:eastAsia="宋体" w:cs="宋体"/>
          <w:b/>
          <w:color w:val="000000"/>
          <w:kern w:val="0"/>
          <w:sz w:val="21"/>
          <w:szCs w:val="21"/>
          <w:highlight w:val="none"/>
          <w:lang w:val="en-US" w:eastAsia="zh-CN" w:bidi="ar"/>
        </w:rPr>
        <w:t>服务</w:t>
      </w:r>
      <w:r>
        <w:rPr>
          <w:rFonts w:hint="eastAsia" w:ascii="宋体" w:hAnsi="宋体" w:eastAsia="宋体" w:cs="宋体"/>
          <w:b/>
          <w:color w:val="000000"/>
          <w:kern w:val="0"/>
          <w:sz w:val="21"/>
          <w:szCs w:val="21"/>
          <w:highlight w:val="none"/>
          <w:lang w:bidi="ar"/>
        </w:rPr>
        <w:t>）</w:t>
      </w:r>
    </w:p>
    <w:p w14:paraId="1EFDFFBC">
      <w:pPr>
        <w:keepNext w:val="0"/>
        <w:keepLines w:val="0"/>
        <w:pageBreakBefore w:val="0"/>
        <w:widowControl/>
        <w:kinsoku/>
        <w:wordWrap/>
        <w:overflowPunct/>
        <w:topLinePunct w:val="0"/>
        <w:autoSpaceDE/>
        <w:autoSpaceDN/>
        <w:bidi w:val="0"/>
        <w:adjustRightInd/>
        <w:spacing w:line="348" w:lineRule="auto"/>
        <w:ind w:firstLine="601"/>
        <w:jc w:val="both"/>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本公司郑重声明，根据《政府采购促进中小企业发展管理办法》（财库﹝2020﹞46号）的规定，本公司（联合体）参加</w:t>
      </w:r>
      <w:r>
        <w:rPr>
          <w:rFonts w:hint="eastAsia" w:ascii="宋体" w:hAnsi="宋体" w:eastAsia="宋体" w:cs="宋体"/>
          <w:spacing w:val="6"/>
          <w:sz w:val="21"/>
          <w:szCs w:val="21"/>
          <w:highlight w:val="none"/>
          <w:u w:val="single"/>
        </w:rPr>
        <w:t>（单位名称）</w:t>
      </w:r>
      <w:r>
        <w:rPr>
          <w:rFonts w:hint="eastAsia" w:ascii="宋体" w:hAnsi="宋体" w:eastAsia="宋体" w:cs="宋体"/>
          <w:spacing w:val="6"/>
          <w:sz w:val="21"/>
          <w:szCs w:val="21"/>
          <w:highlight w:val="none"/>
        </w:rPr>
        <w:t>的</w:t>
      </w:r>
      <w:r>
        <w:rPr>
          <w:rFonts w:hint="eastAsia" w:ascii="宋体" w:hAnsi="宋体" w:eastAsia="宋体" w:cs="宋体"/>
          <w:spacing w:val="6"/>
          <w:sz w:val="21"/>
          <w:szCs w:val="21"/>
          <w:highlight w:val="none"/>
          <w:u w:val="single"/>
        </w:rPr>
        <w:t>（项目名称）</w:t>
      </w:r>
      <w:r>
        <w:rPr>
          <w:rFonts w:hint="eastAsia" w:ascii="宋体" w:hAnsi="宋体" w:eastAsia="宋体" w:cs="宋体"/>
          <w:spacing w:val="6"/>
          <w:sz w:val="21"/>
          <w:szCs w:val="21"/>
          <w:highlight w:val="none"/>
        </w:rPr>
        <w:t>采购活动，</w:t>
      </w:r>
      <w:r>
        <w:rPr>
          <w:rFonts w:hint="eastAsia" w:ascii="宋体" w:hAnsi="宋体" w:eastAsia="宋体" w:cs="宋体"/>
          <w:spacing w:val="6"/>
          <w:sz w:val="21"/>
          <w:szCs w:val="21"/>
          <w:highlight w:val="none"/>
          <w:lang w:val="en-US" w:eastAsia="zh-CN"/>
        </w:rPr>
        <w:t>服务</w:t>
      </w:r>
      <w:r>
        <w:rPr>
          <w:rFonts w:hint="eastAsia" w:ascii="宋体" w:hAnsi="宋体" w:eastAsia="宋体" w:cs="宋体"/>
          <w:spacing w:val="6"/>
          <w:sz w:val="21"/>
          <w:szCs w:val="21"/>
          <w:highlight w:val="none"/>
        </w:rPr>
        <w:t>全部由符合政策要求的中小企业</w:t>
      </w:r>
      <w:r>
        <w:rPr>
          <w:rFonts w:hint="eastAsia" w:ascii="宋体" w:hAnsi="宋体" w:eastAsia="宋体" w:cs="宋体"/>
          <w:spacing w:val="6"/>
          <w:sz w:val="21"/>
          <w:szCs w:val="21"/>
          <w:highlight w:val="none"/>
          <w:lang w:val="en-US" w:eastAsia="zh-CN"/>
        </w:rPr>
        <w:t>承接</w:t>
      </w:r>
      <w:r>
        <w:rPr>
          <w:rFonts w:hint="eastAsia" w:ascii="宋体" w:hAnsi="宋体" w:eastAsia="宋体" w:cs="宋体"/>
          <w:spacing w:val="6"/>
          <w:sz w:val="21"/>
          <w:szCs w:val="21"/>
          <w:highlight w:val="none"/>
        </w:rPr>
        <w:t>。相关企业（含联合体中的中小企业、签订分包意向协议的中小企业）的具体情况如下：</w:t>
      </w:r>
    </w:p>
    <w:p w14:paraId="6FA08380">
      <w:pPr>
        <w:keepNext w:val="0"/>
        <w:keepLines w:val="0"/>
        <w:pageBreakBefore w:val="0"/>
        <w:kinsoku/>
        <w:wordWrap/>
        <w:overflowPunct/>
        <w:topLinePunct w:val="0"/>
        <w:autoSpaceDE/>
        <w:autoSpaceDN/>
        <w:bidi w:val="0"/>
        <w:adjustRightInd/>
        <w:spacing w:line="348" w:lineRule="auto"/>
        <w:ind w:firstLine="444" w:firstLineChars="200"/>
        <w:jc w:val="both"/>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w:t>
      </w:r>
      <w:r>
        <w:rPr>
          <w:rFonts w:hint="eastAsia" w:ascii="宋体" w:hAnsi="宋体" w:eastAsia="宋体" w:cs="宋体"/>
          <w:spacing w:val="6"/>
          <w:sz w:val="21"/>
          <w:szCs w:val="21"/>
          <w:highlight w:val="none"/>
          <w:u w:val="single"/>
        </w:rPr>
        <w:t>（标的名称）</w:t>
      </w:r>
      <w:r>
        <w:rPr>
          <w:rFonts w:hint="eastAsia" w:ascii="宋体" w:hAnsi="宋体" w:eastAsia="宋体" w:cs="宋体"/>
          <w:spacing w:val="6"/>
          <w:sz w:val="21"/>
          <w:szCs w:val="21"/>
          <w:highlight w:val="none"/>
        </w:rPr>
        <w:t>，属于</w:t>
      </w:r>
      <w:r>
        <w:rPr>
          <w:rFonts w:hint="eastAsia" w:ascii="宋体" w:hAnsi="宋体" w:eastAsia="宋体" w:cs="宋体"/>
          <w:spacing w:val="6"/>
          <w:sz w:val="21"/>
          <w:szCs w:val="21"/>
          <w:highlight w:val="none"/>
          <w:u w:val="single"/>
        </w:rPr>
        <w:t>（采购文件中明确的所属行业）行业</w:t>
      </w:r>
      <w:r>
        <w:rPr>
          <w:rFonts w:hint="eastAsia" w:ascii="宋体" w:hAnsi="宋体" w:eastAsia="宋体" w:cs="宋体"/>
          <w:spacing w:val="6"/>
          <w:sz w:val="21"/>
          <w:szCs w:val="21"/>
          <w:highlight w:val="none"/>
        </w:rPr>
        <w:t>；</w:t>
      </w:r>
      <w:r>
        <w:rPr>
          <w:rFonts w:hint="eastAsia" w:ascii="宋体" w:hAnsi="宋体" w:eastAsia="宋体" w:cs="宋体"/>
          <w:spacing w:val="6"/>
          <w:sz w:val="21"/>
          <w:szCs w:val="21"/>
          <w:highlight w:val="none"/>
          <w:lang w:val="en-US" w:eastAsia="zh-CN"/>
        </w:rPr>
        <w:t>承建（承接）企业</w:t>
      </w:r>
      <w:r>
        <w:rPr>
          <w:rFonts w:hint="eastAsia" w:ascii="宋体" w:hAnsi="宋体" w:eastAsia="宋体" w:cs="宋体"/>
          <w:spacing w:val="6"/>
          <w:sz w:val="21"/>
          <w:szCs w:val="21"/>
          <w:highlight w:val="none"/>
        </w:rPr>
        <w:t>为</w:t>
      </w:r>
      <w:r>
        <w:rPr>
          <w:rFonts w:hint="eastAsia" w:ascii="宋体" w:hAnsi="宋体" w:eastAsia="宋体" w:cs="宋体"/>
          <w:spacing w:val="6"/>
          <w:sz w:val="21"/>
          <w:szCs w:val="21"/>
          <w:highlight w:val="none"/>
          <w:u w:val="single"/>
        </w:rPr>
        <w:t>（企业名称）</w:t>
      </w:r>
      <w:r>
        <w:rPr>
          <w:rFonts w:hint="eastAsia" w:ascii="宋体" w:hAnsi="宋体" w:eastAsia="宋体" w:cs="宋体"/>
          <w:spacing w:val="6"/>
          <w:sz w:val="21"/>
          <w:szCs w:val="21"/>
          <w:highlight w:val="none"/>
        </w:rPr>
        <w:t>，从业人员</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人，营业收入为</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万元，资产总额为</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万元，属于</w:t>
      </w:r>
      <w:r>
        <w:rPr>
          <w:rFonts w:hint="eastAsia" w:ascii="宋体" w:hAnsi="宋体" w:eastAsia="宋体" w:cs="宋体"/>
          <w:spacing w:val="6"/>
          <w:sz w:val="21"/>
          <w:szCs w:val="21"/>
          <w:highlight w:val="none"/>
          <w:u w:val="single"/>
        </w:rPr>
        <w:t>（中型企业、小型企业、微型企业）</w:t>
      </w:r>
      <w:r>
        <w:rPr>
          <w:rFonts w:hint="eastAsia" w:ascii="宋体" w:hAnsi="宋体" w:eastAsia="宋体" w:cs="宋体"/>
          <w:spacing w:val="6"/>
          <w:sz w:val="21"/>
          <w:szCs w:val="21"/>
          <w:highlight w:val="none"/>
        </w:rPr>
        <w:t>；</w:t>
      </w:r>
    </w:p>
    <w:p w14:paraId="079E460E">
      <w:pPr>
        <w:keepNext w:val="0"/>
        <w:keepLines w:val="0"/>
        <w:pageBreakBefore w:val="0"/>
        <w:kinsoku/>
        <w:wordWrap/>
        <w:overflowPunct/>
        <w:topLinePunct w:val="0"/>
        <w:autoSpaceDE/>
        <w:autoSpaceDN/>
        <w:bidi w:val="0"/>
        <w:adjustRightInd/>
        <w:spacing w:line="348" w:lineRule="auto"/>
        <w:ind w:firstLine="444" w:firstLineChars="200"/>
        <w:jc w:val="both"/>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w:t>
      </w:r>
      <w:r>
        <w:rPr>
          <w:rFonts w:hint="eastAsia" w:ascii="宋体" w:hAnsi="宋体" w:eastAsia="宋体" w:cs="宋体"/>
          <w:spacing w:val="6"/>
          <w:sz w:val="21"/>
          <w:szCs w:val="21"/>
          <w:highlight w:val="none"/>
          <w:u w:val="single"/>
        </w:rPr>
        <w:t>（标的名称）</w:t>
      </w:r>
      <w:r>
        <w:rPr>
          <w:rFonts w:hint="eastAsia" w:ascii="宋体" w:hAnsi="宋体" w:eastAsia="宋体" w:cs="宋体"/>
          <w:spacing w:val="6"/>
          <w:sz w:val="21"/>
          <w:szCs w:val="21"/>
          <w:highlight w:val="none"/>
        </w:rPr>
        <w:t>，属于</w:t>
      </w:r>
      <w:r>
        <w:rPr>
          <w:rFonts w:hint="eastAsia" w:ascii="宋体" w:hAnsi="宋体" w:eastAsia="宋体" w:cs="宋体"/>
          <w:spacing w:val="6"/>
          <w:sz w:val="21"/>
          <w:szCs w:val="21"/>
          <w:highlight w:val="none"/>
          <w:u w:val="single"/>
        </w:rPr>
        <w:t>（采购文件中明确的所属行业）行业</w:t>
      </w:r>
      <w:r>
        <w:rPr>
          <w:rFonts w:hint="eastAsia" w:ascii="宋体" w:hAnsi="宋体" w:eastAsia="宋体" w:cs="宋体"/>
          <w:spacing w:val="6"/>
          <w:sz w:val="21"/>
          <w:szCs w:val="21"/>
          <w:highlight w:val="none"/>
        </w:rPr>
        <w:t>；</w:t>
      </w:r>
      <w:r>
        <w:rPr>
          <w:rFonts w:hint="eastAsia" w:ascii="宋体" w:hAnsi="宋体" w:eastAsia="宋体" w:cs="宋体"/>
          <w:spacing w:val="6"/>
          <w:sz w:val="21"/>
          <w:szCs w:val="21"/>
          <w:highlight w:val="none"/>
          <w:lang w:val="en-US" w:eastAsia="zh-CN"/>
        </w:rPr>
        <w:t>承建（承接）企业</w:t>
      </w:r>
      <w:r>
        <w:rPr>
          <w:rFonts w:hint="eastAsia" w:ascii="宋体" w:hAnsi="宋体" w:eastAsia="宋体" w:cs="宋体"/>
          <w:spacing w:val="6"/>
          <w:sz w:val="21"/>
          <w:szCs w:val="21"/>
          <w:highlight w:val="none"/>
        </w:rPr>
        <w:t>为</w:t>
      </w:r>
      <w:r>
        <w:rPr>
          <w:rFonts w:hint="eastAsia" w:ascii="宋体" w:hAnsi="宋体" w:eastAsia="宋体" w:cs="宋体"/>
          <w:spacing w:val="6"/>
          <w:sz w:val="21"/>
          <w:szCs w:val="21"/>
          <w:highlight w:val="none"/>
          <w:u w:val="single"/>
        </w:rPr>
        <w:t>（企业名称）</w:t>
      </w:r>
      <w:r>
        <w:rPr>
          <w:rFonts w:hint="eastAsia" w:ascii="宋体" w:hAnsi="宋体" w:eastAsia="宋体" w:cs="宋体"/>
          <w:spacing w:val="6"/>
          <w:sz w:val="21"/>
          <w:szCs w:val="21"/>
          <w:highlight w:val="none"/>
        </w:rPr>
        <w:t>，从业人员</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人，营业收入为</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万元，资产总额为</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万元，属于</w:t>
      </w:r>
      <w:r>
        <w:rPr>
          <w:rFonts w:hint="eastAsia" w:ascii="宋体" w:hAnsi="宋体" w:eastAsia="宋体" w:cs="宋体"/>
          <w:spacing w:val="6"/>
          <w:sz w:val="21"/>
          <w:szCs w:val="21"/>
          <w:highlight w:val="none"/>
          <w:u w:val="single"/>
        </w:rPr>
        <w:t>（中型企业、小型 企业、微型企业）</w:t>
      </w:r>
      <w:r>
        <w:rPr>
          <w:rFonts w:hint="eastAsia" w:ascii="宋体" w:hAnsi="宋体" w:eastAsia="宋体" w:cs="宋体"/>
          <w:spacing w:val="6"/>
          <w:sz w:val="21"/>
          <w:szCs w:val="21"/>
          <w:highlight w:val="none"/>
        </w:rPr>
        <w:t xml:space="preserve">； </w:t>
      </w:r>
    </w:p>
    <w:p w14:paraId="79E9B48A">
      <w:pPr>
        <w:keepNext w:val="0"/>
        <w:keepLines w:val="0"/>
        <w:pageBreakBefore w:val="0"/>
        <w:kinsoku/>
        <w:wordWrap/>
        <w:overflowPunct/>
        <w:topLinePunct w:val="0"/>
        <w:autoSpaceDE/>
        <w:autoSpaceDN/>
        <w:bidi w:val="0"/>
        <w:adjustRightInd/>
        <w:spacing w:line="348" w:lineRule="auto"/>
        <w:ind w:firstLine="444" w:firstLineChars="200"/>
        <w:jc w:val="both"/>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w:t>
      </w:r>
    </w:p>
    <w:p w14:paraId="0985F4EB">
      <w:pPr>
        <w:keepNext w:val="0"/>
        <w:keepLines w:val="0"/>
        <w:pageBreakBefore w:val="0"/>
        <w:kinsoku/>
        <w:wordWrap/>
        <w:overflowPunct/>
        <w:topLinePunct w:val="0"/>
        <w:autoSpaceDE/>
        <w:autoSpaceDN/>
        <w:bidi w:val="0"/>
        <w:adjustRightInd/>
        <w:spacing w:line="348" w:lineRule="auto"/>
        <w:ind w:firstLine="444" w:firstLineChars="200"/>
        <w:jc w:val="both"/>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以上企业，不属于大企业的分支机构，不存在控股股东为大企业的情形，也不存在与大企业的负责人为同一人的情形。</w:t>
      </w:r>
    </w:p>
    <w:p w14:paraId="6013EBAB">
      <w:pPr>
        <w:keepNext w:val="0"/>
        <w:keepLines w:val="0"/>
        <w:pageBreakBefore w:val="0"/>
        <w:kinsoku/>
        <w:wordWrap/>
        <w:overflowPunct/>
        <w:topLinePunct w:val="0"/>
        <w:autoSpaceDE/>
        <w:autoSpaceDN/>
        <w:bidi w:val="0"/>
        <w:adjustRightInd/>
        <w:spacing w:line="348" w:lineRule="auto"/>
        <w:ind w:firstLine="444" w:firstLineChars="200"/>
        <w:jc w:val="both"/>
        <w:textAlignment w:val="auto"/>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rPr>
        <w:t xml:space="preserve">本企业对上述声明内容的真实性负责。如有虚假，将依法承担相应责任。 </w:t>
      </w:r>
      <w:r>
        <w:rPr>
          <w:rFonts w:hint="eastAsia" w:ascii="宋体" w:hAnsi="宋体" w:eastAsia="宋体" w:cs="宋体"/>
          <w:spacing w:val="6"/>
          <w:sz w:val="21"/>
          <w:szCs w:val="21"/>
          <w:highlight w:val="none"/>
          <w:lang w:val="en-US" w:eastAsia="zh-CN"/>
        </w:rPr>
        <w:t xml:space="preserve">   </w:t>
      </w:r>
    </w:p>
    <w:p w14:paraId="79A019E1">
      <w:pPr>
        <w:keepNext w:val="0"/>
        <w:keepLines w:val="0"/>
        <w:pageBreakBefore w:val="0"/>
        <w:kinsoku/>
        <w:wordWrap/>
        <w:overflowPunct/>
        <w:topLinePunct w:val="0"/>
        <w:autoSpaceDE/>
        <w:autoSpaceDN/>
        <w:bidi w:val="0"/>
        <w:adjustRightInd/>
        <w:spacing w:line="348" w:lineRule="auto"/>
        <w:ind w:firstLine="444" w:firstLineChars="200"/>
        <w:jc w:val="center"/>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企业名称（盖章）：</w:t>
      </w:r>
    </w:p>
    <w:p w14:paraId="67DD5F40">
      <w:pPr>
        <w:keepNext w:val="0"/>
        <w:keepLines w:val="0"/>
        <w:pageBreakBefore w:val="0"/>
        <w:kinsoku/>
        <w:wordWrap/>
        <w:overflowPunct/>
        <w:topLinePunct w:val="0"/>
        <w:autoSpaceDE/>
        <w:autoSpaceDN/>
        <w:bidi w:val="0"/>
        <w:adjustRightInd/>
        <w:spacing w:line="348" w:lineRule="auto"/>
        <w:ind w:firstLine="4218" w:firstLineChars="1900"/>
        <w:jc w:val="both"/>
        <w:textAlignment w:val="auto"/>
        <w:rPr>
          <w:rFonts w:hint="eastAsia" w:ascii="宋体" w:hAnsi="宋体" w:eastAsia="宋体" w:cs="宋体"/>
          <w:b/>
          <w:spacing w:val="20"/>
          <w:sz w:val="21"/>
          <w:szCs w:val="21"/>
          <w:highlight w:val="none"/>
        </w:rPr>
      </w:pPr>
      <w:r>
        <w:rPr>
          <w:rFonts w:hint="eastAsia" w:ascii="宋体" w:hAnsi="宋体" w:eastAsia="宋体" w:cs="宋体"/>
          <w:spacing w:val="6"/>
          <w:sz w:val="21"/>
          <w:szCs w:val="21"/>
          <w:highlight w:val="none"/>
        </w:rPr>
        <w:t>日 期：</w:t>
      </w:r>
    </w:p>
    <w:p w14:paraId="605FF01E">
      <w:pPr>
        <w:keepNext w:val="0"/>
        <w:keepLines w:val="0"/>
        <w:pageBreakBefore w:val="0"/>
        <w:kinsoku/>
        <w:wordWrap/>
        <w:overflowPunct/>
        <w:topLinePunct w:val="0"/>
        <w:autoSpaceDE/>
        <w:autoSpaceDN/>
        <w:bidi w:val="0"/>
        <w:adjustRightInd/>
        <w:snapToGrid w:val="0"/>
        <w:spacing w:line="348" w:lineRule="auto"/>
        <w:ind w:firstLine="502" w:firstLineChars="200"/>
        <w:textAlignment w:val="auto"/>
        <w:rPr>
          <w:rFonts w:hint="eastAsia" w:ascii="宋体" w:hAnsi="宋体" w:eastAsia="宋体" w:cs="宋体"/>
          <w:b/>
          <w:spacing w:val="20"/>
          <w:sz w:val="21"/>
          <w:szCs w:val="21"/>
          <w:highlight w:val="none"/>
        </w:rPr>
      </w:pPr>
      <w:r>
        <w:rPr>
          <w:rFonts w:hint="eastAsia" w:ascii="宋体" w:hAnsi="宋体" w:eastAsia="宋体" w:cs="宋体"/>
          <w:b/>
          <w:spacing w:val="20"/>
          <w:sz w:val="21"/>
          <w:szCs w:val="21"/>
          <w:highlight w:val="none"/>
        </w:rPr>
        <w:t>注：1.从业人员、营业收入、资产总额填报上一年度数据，无上一年度数据的新成立企业可不填报。</w:t>
      </w:r>
    </w:p>
    <w:p w14:paraId="1752D40E">
      <w:pPr>
        <w:keepNext w:val="0"/>
        <w:keepLines w:val="0"/>
        <w:pageBreakBefore w:val="0"/>
        <w:kinsoku/>
        <w:wordWrap/>
        <w:overflowPunct/>
        <w:topLinePunct w:val="0"/>
        <w:autoSpaceDE/>
        <w:autoSpaceDN/>
        <w:bidi w:val="0"/>
        <w:adjustRightInd/>
        <w:snapToGrid w:val="0"/>
        <w:spacing w:line="348" w:lineRule="auto"/>
        <w:ind w:firstLine="502" w:firstLineChars="200"/>
        <w:textAlignment w:val="auto"/>
        <w:rPr>
          <w:rFonts w:hint="eastAsia" w:ascii="宋体" w:hAnsi="宋体" w:eastAsia="宋体" w:cs="宋体"/>
          <w:b/>
          <w:spacing w:val="20"/>
          <w:sz w:val="21"/>
          <w:szCs w:val="21"/>
          <w:highlight w:val="none"/>
        </w:rPr>
      </w:pPr>
      <w:r>
        <w:rPr>
          <w:rFonts w:hint="eastAsia" w:ascii="宋体" w:hAnsi="宋体" w:eastAsia="宋体" w:cs="宋体"/>
          <w:b/>
          <w:spacing w:val="20"/>
          <w:sz w:val="21"/>
          <w:szCs w:val="21"/>
          <w:highlight w:val="none"/>
        </w:rPr>
        <w:t>2.符合中小企业划分标准的个体工商户，在政府采购活动中视同中小企业。</w:t>
      </w:r>
    </w:p>
    <w:p w14:paraId="7C2B5F2B">
      <w:pPr>
        <w:keepNext w:val="0"/>
        <w:keepLines w:val="0"/>
        <w:pageBreakBefore w:val="0"/>
        <w:kinsoku/>
        <w:wordWrap/>
        <w:overflowPunct/>
        <w:topLinePunct w:val="0"/>
        <w:autoSpaceDE/>
        <w:autoSpaceDN/>
        <w:bidi w:val="0"/>
        <w:adjustRightInd/>
        <w:snapToGrid w:val="0"/>
        <w:spacing w:line="348" w:lineRule="auto"/>
        <w:ind w:firstLine="502" w:firstLineChars="200"/>
        <w:textAlignment w:val="auto"/>
        <w:rPr>
          <w:rFonts w:hint="eastAsia" w:ascii="宋体" w:hAnsi="宋体" w:eastAsia="宋体" w:cs="宋体"/>
          <w:b/>
          <w:spacing w:val="20"/>
          <w:sz w:val="21"/>
          <w:szCs w:val="21"/>
          <w:highlight w:val="none"/>
        </w:rPr>
      </w:pPr>
      <w:r>
        <w:rPr>
          <w:rFonts w:hint="eastAsia" w:ascii="宋体" w:hAnsi="宋体" w:eastAsia="宋体" w:cs="宋体"/>
          <w:b/>
          <w:spacing w:val="20"/>
          <w:sz w:val="21"/>
          <w:szCs w:val="21"/>
          <w:highlight w:val="none"/>
        </w:rPr>
        <w:t>3.符合财政部 司法部关于政府采购支持监狱企业发展有关问题的通知（财库〔2014〕68 号）的监狱企业、符合财政部 民政部 中国残疾人联合会关于促进残疾人就业政府采购政策的通知（财库〔2017〕141 号）的残疾人福利性单位，在政府采购活动中，视同小型、微型企业，享受《政府采购促进中小企业发展管理办法》（财库[2020]46号）规定的中小企业扶持政策。监狱企业、残疾人福利性单位属于小型、微型企业的，不重复享受政策。</w:t>
      </w:r>
    </w:p>
    <w:p w14:paraId="1D73162C">
      <w:pPr>
        <w:keepNext w:val="0"/>
        <w:keepLines w:val="0"/>
        <w:pageBreakBefore w:val="0"/>
        <w:kinsoku/>
        <w:wordWrap/>
        <w:overflowPunct/>
        <w:topLinePunct w:val="0"/>
        <w:autoSpaceDE/>
        <w:autoSpaceDN/>
        <w:bidi w:val="0"/>
        <w:adjustRightInd/>
        <w:snapToGrid w:val="0"/>
        <w:spacing w:line="348" w:lineRule="auto"/>
        <w:ind w:firstLine="502" w:firstLineChars="200"/>
        <w:textAlignment w:val="auto"/>
        <w:rPr>
          <w:rFonts w:hint="eastAsia" w:ascii="宋体" w:hAnsi="宋体" w:eastAsia="宋体" w:cs="宋体"/>
          <w:b/>
          <w:spacing w:val="20"/>
          <w:sz w:val="21"/>
          <w:szCs w:val="21"/>
          <w:highlight w:val="none"/>
        </w:rPr>
      </w:pPr>
      <w:r>
        <w:rPr>
          <w:rFonts w:hint="eastAsia" w:ascii="宋体" w:hAnsi="宋体" w:eastAsia="宋体" w:cs="宋体"/>
          <w:b/>
          <w:spacing w:val="20"/>
          <w:sz w:val="21"/>
          <w:szCs w:val="21"/>
          <w:highlight w:val="none"/>
        </w:rPr>
        <w:t>4.中标、成交供应商享受《政府采购促进中小企业发展管理办法》（财库[2020]46号）规定的中小企业扶持政策的，《中小企业声明函》随中标、成交结果公开。</w:t>
      </w:r>
    </w:p>
    <w:p w14:paraId="19571519">
      <w:pPr>
        <w:keepNext w:val="0"/>
        <w:keepLines w:val="0"/>
        <w:pageBreakBefore w:val="0"/>
        <w:kinsoku/>
        <w:wordWrap/>
        <w:overflowPunct/>
        <w:topLinePunct w:val="0"/>
        <w:autoSpaceDE/>
        <w:autoSpaceDN/>
        <w:bidi w:val="0"/>
        <w:adjustRightInd/>
        <w:snapToGrid w:val="0"/>
        <w:spacing w:line="348" w:lineRule="auto"/>
        <w:ind w:firstLine="502" w:firstLineChars="200"/>
        <w:textAlignment w:val="auto"/>
        <w:rPr>
          <w:rFonts w:hint="eastAsia" w:ascii="宋体" w:hAnsi="宋体" w:eastAsia="宋体" w:cs="宋体"/>
          <w:b/>
          <w:sz w:val="21"/>
          <w:szCs w:val="21"/>
          <w:highlight w:val="none"/>
        </w:rPr>
      </w:pPr>
      <w:r>
        <w:rPr>
          <w:rFonts w:hint="eastAsia" w:ascii="宋体" w:hAnsi="宋体" w:eastAsia="宋体" w:cs="宋体"/>
          <w:b/>
          <w:spacing w:val="20"/>
          <w:sz w:val="21"/>
          <w:szCs w:val="21"/>
          <w:highlight w:val="none"/>
        </w:rPr>
        <w:t>5.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407D0D0A">
      <w:pPr>
        <w:keepNext w:val="0"/>
        <w:keepLines w:val="0"/>
        <w:pageBreakBefore w:val="0"/>
        <w:widowControl w:val="0"/>
        <w:kinsoku/>
        <w:wordWrap/>
        <w:overflowPunct/>
        <w:topLinePunct w:val="0"/>
        <w:autoSpaceDE/>
        <w:autoSpaceDN/>
        <w:bidi w:val="0"/>
        <w:adjustRightInd/>
        <w:spacing w:line="348" w:lineRule="auto"/>
        <w:ind w:firstLine="422" w:firstLineChars="200"/>
        <w:jc w:val="both"/>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6</w:t>
      </w:r>
      <w:r>
        <w:rPr>
          <w:rFonts w:hint="eastAsia" w:ascii="宋体" w:hAnsi="宋体" w:eastAsia="宋体" w:cs="宋体"/>
          <w:b/>
          <w:spacing w:val="20"/>
          <w:sz w:val="21"/>
          <w:szCs w:val="21"/>
          <w:highlight w:val="none"/>
        </w:rPr>
        <w:t>.</w:t>
      </w:r>
      <w:r>
        <w:rPr>
          <w:rFonts w:hint="eastAsia" w:ascii="宋体" w:hAnsi="宋体" w:eastAsia="宋体" w:cs="宋体"/>
          <w:b/>
          <w:bCs/>
          <w:sz w:val="21"/>
          <w:szCs w:val="21"/>
          <w:highlight w:val="none"/>
        </w:rPr>
        <w:t>本项目采购标的对应的中小企业划分标准所属行业：其他未列明行业</w:t>
      </w:r>
      <w:r>
        <w:rPr>
          <w:rFonts w:hint="eastAsia" w:ascii="宋体" w:hAnsi="宋体" w:eastAsia="宋体" w:cs="宋体"/>
          <w:b/>
          <w:bCs/>
          <w:sz w:val="21"/>
          <w:szCs w:val="21"/>
          <w:highlight w:val="none"/>
          <w:lang w:eastAsia="zh-CN"/>
        </w:rPr>
        <w:t>。</w:t>
      </w:r>
    </w:p>
    <w:p w14:paraId="3BACAF7A">
      <w:pPr>
        <w:keepNext w:val="0"/>
        <w:keepLines w:val="0"/>
        <w:pageBreakBefore w:val="0"/>
        <w:widowControl w:val="0"/>
        <w:kinsoku/>
        <w:wordWrap/>
        <w:overflowPunct/>
        <w:topLinePunct w:val="0"/>
        <w:autoSpaceDE/>
        <w:autoSpaceDN/>
        <w:bidi w:val="0"/>
        <w:adjustRightInd/>
        <w:spacing w:line="348" w:lineRule="auto"/>
        <w:ind w:firstLine="422" w:firstLineChars="200"/>
        <w:jc w:val="both"/>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r>
        <w:rPr>
          <w:rFonts w:hint="eastAsia" w:ascii="宋体" w:hAnsi="宋体" w:eastAsia="宋体" w:cs="宋体"/>
          <w:b/>
          <w:sz w:val="21"/>
          <w:szCs w:val="21"/>
          <w:highlight w:val="none"/>
        </w:rPr>
        <w:t>格式</w:t>
      </w:r>
      <w:r>
        <w:rPr>
          <w:rFonts w:hint="eastAsia" w:ascii="宋体" w:hAnsi="宋体" w:cs="宋体"/>
          <w:b/>
          <w:sz w:val="21"/>
          <w:szCs w:val="21"/>
          <w:highlight w:val="none"/>
          <w:lang w:val="en-US" w:eastAsia="zh-CN"/>
        </w:rPr>
        <w:t>三</w:t>
      </w:r>
      <w:r>
        <w:rPr>
          <w:rFonts w:hint="eastAsia" w:ascii="宋体" w:hAnsi="宋体" w:eastAsia="宋体" w:cs="宋体"/>
          <w:b/>
          <w:sz w:val="21"/>
          <w:szCs w:val="21"/>
          <w:highlight w:val="none"/>
        </w:rPr>
        <w:t>、</w:t>
      </w:r>
      <w:bookmarkStart w:id="10" w:name="OLE_LINK13"/>
      <w:bookmarkStart w:id="11" w:name="OLE_LINK14"/>
      <w:r>
        <w:rPr>
          <w:rFonts w:hint="eastAsia" w:ascii="宋体" w:hAnsi="宋体" w:eastAsia="宋体" w:cs="宋体"/>
          <w:b/>
          <w:bCs/>
          <w:sz w:val="21"/>
          <w:szCs w:val="21"/>
          <w:highlight w:val="none"/>
        </w:rPr>
        <w:t>残疾人福利性单位声明函</w:t>
      </w:r>
    </w:p>
    <w:bookmarkEnd w:id="10"/>
    <w:bookmarkEnd w:id="11"/>
    <w:p w14:paraId="4E33B0CC">
      <w:pPr>
        <w:pageBreakBefore w:val="0"/>
        <w:widowControl/>
        <w:kinsoku/>
        <w:wordWrap/>
        <w:overflowPunct/>
        <w:topLinePunct w:val="0"/>
        <w:bidi w:val="0"/>
        <w:spacing w:line="360" w:lineRule="auto"/>
        <w:jc w:val="center"/>
        <w:rPr>
          <w:rFonts w:hint="eastAsia" w:ascii="宋体" w:hAnsi="宋体" w:eastAsia="宋体" w:cs="宋体"/>
          <w:b/>
          <w:spacing w:val="6"/>
          <w:kern w:val="0"/>
          <w:sz w:val="21"/>
          <w:szCs w:val="21"/>
          <w:highlight w:val="none"/>
        </w:rPr>
      </w:pPr>
    </w:p>
    <w:p w14:paraId="14A09F24">
      <w:pPr>
        <w:pageBreakBefore w:val="0"/>
        <w:widowControl/>
        <w:kinsoku/>
        <w:wordWrap/>
        <w:overflowPunct/>
        <w:topLinePunct w:val="0"/>
        <w:bidi w:val="0"/>
        <w:spacing w:line="360" w:lineRule="auto"/>
        <w:jc w:val="center"/>
        <w:rPr>
          <w:rFonts w:hint="eastAsia" w:ascii="宋体" w:hAnsi="宋体" w:eastAsia="宋体" w:cs="宋体"/>
          <w:b/>
          <w:spacing w:val="6"/>
          <w:kern w:val="0"/>
          <w:sz w:val="21"/>
          <w:szCs w:val="21"/>
          <w:highlight w:val="none"/>
        </w:rPr>
      </w:pPr>
      <w:r>
        <w:rPr>
          <w:rFonts w:hint="eastAsia" w:ascii="宋体" w:hAnsi="宋体" w:eastAsia="宋体" w:cs="宋体"/>
          <w:b/>
          <w:spacing w:val="6"/>
          <w:kern w:val="0"/>
          <w:sz w:val="21"/>
          <w:szCs w:val="21"/>
          <w:highlight w:val="none"/>
        </w:rPr>
        <w:t>残疾人福利性单位声明函（</w:t>
      </w:r>
      <w:r>
        <w:rPr>
          <w:rFonts w:hint="eastAsia" w:ascii="宋体" w:hAnsi="宋体" w:eastAsia="宋体" w:cs="宋体"/>
          <w:b/>
          <w:spacing w:val="6"/>
          <w:kern w:val="0"/>
          <w:sz w:val="21"/>
          <w:szCs w:val="21"/>
          <w:highlight w:val="none"/>
          <w:lang w:val="en-US" w:eastAsia="zh-CN"/>
        </w:rPr>
        <w:t>服务</w:t>
      </w:r>
      <w:r>
        <w:rPr>
          <w:rFonts w:hint="eastAsia" w:ascii="宋体" w:hAnsi="宋体" w:eastAsia="宋体" w:cs="宋体"/>
          <w:b/>
          <w:spacing w:val="6"/>
          <w:kern w:val="0"/>
          <w:sz w:val="21"/>
          <w:szCs w:val="21"/>
          <w:highlight w:val="none"/>
        </w:rPr>
        <w:t>）</w:t>
      </w:r>
    </w:p>
    <w:p w14:paraId="3EDCDF83">
      <w:pPr>
        <w:pageBreakBefore w:val="0"/>
        <w:widowControl/>
        <w:kinsoku/>
        <w:wordWrap/>
        <w:overflowPunct/>
        <w:topLinePunct w:val="0"/>
        <w:bidi w:val="0"/>
        <w:spacing w:line="360" w:lineRule="auto"/>
        <w:ind w:firstLine="600"/>
        <w:rPr>
          <w:rFonts w:hint="eastAsia" w:ascii="宋体" w:hAnsi="宋体" w:eastAsia="宋体" w:cs="宋体"/>
          <w:sz w:val="21"/>
          <w:szCs w:val="21"/>
          <w:highlight w:val="none"/>
        </w:rPr>
      </w:pPr>
      <w:r>
        <w:rPr>
          <w:rFonts w:hint="eastAsia" w:ascii="宋体" w:hAnsi="宋体" w:eastAsia="宋体" w:cs="宋体"/>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14:paraId="212F10D4">
      <w:pPr>
        <w:pageBreakBefore w:val="0"/>
        <w:widowControl/>
        <w:kinsoku/>
        <w:wordWrap/>
        <w:overflowPunct/>
        <w:topLinePunct w:val="0"/>
        <w:bidi w:val="0"/>
        <w:spacing w:line="360" w:lineRule="auto"/>
        <w:ind w:firstLine="600"/>
        <w:rPr>
          <w:rFonts w:hint="eastAsia" w:ascii="宋体" w:hAnsi="宋体" w:eastAsia="宋体" w:cs="宋体"/>
          <w:sz w:val="21"/>
          <w:szCs w:val="21"/>
          <w:highlight w:val="none"/>
        </w:rPr>
      </w:pPr>
      <w:r>
        <w:rPr>
          <w:rFonts w:hint="eastAsia" w:ascii="宋体" w:hAnsi="宋体" w:eastAsia="宋体" w:cs="宋体"/>
          <w:sz w:val="21"/>
          <w:szCs w:val="21"/>
          <w:highlight w:val="none"/>
        </w:rPr>
        <w:t>本单位对上述声明的真实性负责。如有虚假，将依法承担相应责任。</w:t>
      </w:r>
    </w:p>
    <w:p w14:paraId="52FE2C46">
      <w:pPr>
        <w:pageBreakBefore w:val="0"/>
        <w:widowControl/>
        <w:kinsoku/>
        <w:wordWrap/>
        <w:overflowPunct/>
        <w:topLinePunct w:val="0"/>
        <w:bidi w:val="0"/>
        <w:spacing w:line="360" w:lineRule="auto"/>
        <w:ind w:firstLine="6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2C6DE695">
      <w:pPr>
        <w:pageBreakBefore w:val="0"/>
        <w:widowControl/>
        <w:kinsoku/>
        <w:wordWrap/>
        <w:overflowPunct/>
        <w:topLinePunct w:val="0"/>
        <w:bidi w:val="0"/>
        <w:spacing w:line="360" w:lineRule="auto"/>
        <w:ind w:firstLine="6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单位名称（盖章）：</w:t>
      </w:r>
    </w:p>
    <w:p w14:paraId="7854C238">
      <w:pPr>
        <w:pageBreakBefore w:val="0"/>
        <w:widowControl/>
        <w:kinsoku/>
        <w:wordWrap/>
        <w:overflowPunct/>
        <w:topLinePunct w:val="0"/>
        <w:bidi w:val="0"/>
        <w:spacing w:line="360" w:lineRule="auto"/>
        <w:ind w:firstLine="6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日  期：</w:t>
      </w:r>
    </w:p>
    <w:p w14:paraId="1BC18D46">
      <w:pPr>
        <w:pageBreakBefore w:val="0"/>
        <w:widowControl/>
        <w:kinsoku/>
        <w:wordWrap/>
        <w:overflowPunct/>
        <w:topLinePunct w:val="0"/>
        <w:bidi w:val="0"/>
        <w:spacing w:line="360" w:lineRule="auto"/>
        <w:rPr>
          <w:rFonts w:hint="eastAsia" w:ascii="宋体" w:hAnsi="宋体" w:eastAsia="宋体" w:cs="宋体"/>
          <w:spacing w:val="6"/>
          <w:kern w:val="0"/>
          <w:sz w:val="21"/>
          <w:szCs w:val="21"/>
          <w:highlight w:val="none"/>
        </w:rPr>
      </w:pPr>
    </w:p>
    <w:p w14:paraId="1DBBDEB7">
      <w:pPr>
        <w:pageBreakBefore w:val="0"/>
        <w:kinsoku/>
        <w:wordWrap/>
        <w:overflowPunct/>
        <w:topLinePunct w:val="0"/>
        <w:bidi w:val="0"/>
        <w:spacing w:before="312" w:beforeLines="100" w:line="360" w:lineRule="auto"/>
        <w:ind w:firstLine="444" w:firstLineChars="200"/>
        <w:rPr>
          <w:rFonts w:hint="eastAsia" w:ascii="宋体" w:hAnsi="宋体" w:eastAsia="宋体" w:cs="宋体"/>
          <w:spacing w:val="6"/>
          <w:sz w:val="21"/>
          <w:szCs w:val="21"/>
          <w:highlight w:val="none"/>
        </w:rPr>
      </w:pPr>
      <w:r>
        <w:rPr>
          <w:rFonts w:hint="eastAsia" w:ascii="宋体" w:hAnsi="宋体" w:eastAsia="宋体" w:cs="宋体"/>
          <w:spacing w:val="6"/>
          <w:kern w:val="0"/>
          <w:sz w:val="21"/>
          <w:szCs w:val="21"/>
          <w:highlight w:val="none"/>
        </w:rPr>
        <w:t xml:space="preserve">             </w:t>
      </w:r>
    </w:p>
    <w:p w14:paraId="3FEDA16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spacing w:val="20"/>
          <w:sz w:val="21"/>
          <w:szCs w:val="21"/>
          <w:highlight w:val="none"/>
        </w:rPr>
      </w:pPr>
      <w:r>
        <w:rPr>
          <w:rFonts w:hint="eastAsia" w:ascii="宋体" w:hAnsi="宋体" w:eastAsia="宋体" w:cs="宋体"/>
          <w:b/>
          <w:spacing w:val="20"/>
          <w:sz w:val="21"/>
          <w:szCs w:val="21"/>
          <w:highlight w:val="none"/>
        </w:rPr>
        <w:t>注：</w:t>
      </w:r>
    </w:p>
    <w:p w14:paraId="4C6C9EE4">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1.中标、成交供应商为残疾人福利性单位的，《残疾人福利性单位声明函》随中标、成交结果同时公告，接受社会监督。</w:t>
      </w:r>
    </w:p>
    <w:p w14:paraId="0A3AF1F6">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2.供应商提供的《残疾人福利性单位声明函》与事实不符的，依照《</w:t>
      </w:r>
      <w:r>
        <w:rPr>
          <w:rFonts w:hint="eastAsia" w:ascii="宋体" w:hAnsi="宋体" w:eastAsia="宋体" w:cs="宋体"/>
          <w:b/>
          <w:sz w:val="21"/>
          <w:szCs w:val="21"/>
          <w:highlight w:val="none"/>
          <w:lang w:eastAsia="zh-CN"/>
        </w:rPr>
        <w:t>中华人民共和国政府采购法</w:t>
      </w:r>
      <w:r>
        <w:rPr>
          <w:rFonts w:hint="eastAsia" w:ascii="宋体" w:hAnsi="宋体" w:eastAsia="宋体" w:cs="宋体"/>
          <w:b/>
          <w:sz w:val="21"/>
          <w:szCs w:val="21"/>
          <w:highlight w:val="none"/>
        </w:rPr>
        <w:t>》第七十七条第一款的规定追究法律责任。</w:t>
      </w:r>
    </w:p>
    <w:p w14:paraId="29FD1B3C">
      <w:pPr>
        <w:pageBreakBefore w:val="0"/>
        <w:kinsoku/>
        <w:wordWrap/>
        <w:overflowPunct/>
        <w:topLinePunct w:val="0"/>
        <w:bidi w:val="0"/>
        <w:spacing w:line="360" w:lineRule="auto"/>
        <w:outlineLvl w:val="2"/>
        <w:rPr>
          <w:rFonts w:hint="eastAsia" w:ascii="宋体" w:hAnsi="宋体" w:eastAsia="宋体" w:cs="宋体"/>
          <w:sz w:val="21"/>
          <w:szCs w:val="21"/>
          <w:highlight w:val="none"/>
        </w:rPr>
      </w:pPr>
      <w:r>
        <w:rPr>
          <w:rFonts w:hint="eastAsia" w:ascii="宋体" w:hAnsi="宋体" w:eastAsia="宋体" w:cs="宋体"/>
          <w:b/>
          <w:spacing w:val="20"/>
          <w:sz w:val="21"/>
          <w:szCs w:val="21"/>
          <w:highlight w:val="none"/>
        </w:rPr>
        <w:br w:type="page"/>
      </w:r>
      <w:r>
        <w:rPr>
          <w:rFonts w:hint="eastAsia" w:ascii="宋体" w:hAnsi="宋体" w:eastAsia="宋体" w:cs="宋体"/>
          <w:b/>
          <w:spacing w:val="20"/>
          <w:sz w:val="21"/>
          <w:szCs w:val="21"/>
          <w:highlight w:val="none"/>
          <w:lang w:val="en-US" w:eastAsia="zh-CN"/>
        </w:rPr>
        <w:t>格式</w:t>
      </w:r>
      <w:r>
        <w:rPr>
          <w:rFonts w:hint="eastAsia" w:ascii="宋体" w:hAnsi="宋体" w:cs="宋体"/>
          <w:b/>
          <w:spacing w:val="20"/>
          <w:sz w:val="21"/>
          <w:szCs w:val="21"/>
          <w:highlight w:val="none"/>
          <w:lang w:val="en-US" w:eastAsia="zh-CN"/>
        </w:rPr>
        <w:t>四</w:t>
      </w:r>
      <w:r>
        <w:rPr>
          <w:rFonts w:hint="eastAsia" w:ascii="宋体" w:hAnsi="宋体" w:eastAsia="宋体" w:cs="宋体"/>
          <w:b/>
          <w:spacing w:val="20"/>
          <w:sz w:val="21"/>
          <w:szCs w:val="21"/>
          <w:highlight w:val="none"/>
        </w:rPr>
        <w:t>、投标函</w:t>
      </w:r>
    </w:p>
    <w:p w14:paraId="636C0354">
      <w:pPr>
        <w:pageBreakBefore w:val="0"/>
        <w:kinsoku/>
        <w:wordWrap/>
        <w:overflowPunct/>
        <w:topLinePunct w:val="0"/>
        <w:bidi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pacing w:val="-4"/>
          <w:sz w:val="21"/>
          <w:szCs w:val="21"/>
          <w:highlight w:val="none"/>
        </w:rPr>
        <w:t>致：</w:t>
      </w:r>
      <w:r>
        <w:rPr>
          <w:rFonts w:hint="eastAsia" w:ascii="宋体" w:hAnsi="宋体" w:eastAsia="宋体" w:cs="宋体"/>
          <w:color w:val="auto"/>
          <w:sz w:val="21"/>
          <w:szCs w:val="21"/>
          <w:highlight w:val="none"/>
          <w:lang w:val="en-US" w:eastAsia="zh-CN"/>
        </w:rPr>
        <w:t>舟山市公安局交通警察支队</w:t>
      </w:r>
    </w:p>
    <w:p w14:paraId="01032355">
      <w:pPr>
        <w:pageBreakBefore w:val="0"/>
        <w:kinsoku/>
        <w:wordWrap/>
        <w:overflowPunct/>
        <w:topLinePunct w:val="0"/>
        <w:bidi w:val="0"/>
        <w:spacing w:line="360" w:lineRule="auto"/>
        <w:ind w:firstLine="420" w:firstLineChars="200"/>
        <w:jc w:val="left"/>
        <w:rPr>
          <w:rFonts w:hint="eastAsia" w:ascii="宋体" w:hAnsi="宋体" w:eastAsia="宋体" w:cs="宋体"/>
          <w:spacing w:val="-4"/>
          <w:sz w:val="21"/>
          <w:szCs w:val="21"/>
          <w:highlight w:val="none"/>
        </w:rPr>
      </w:pPr>
      <w:r>
        <w:rPr>
          <w:rFonts w:hint="eastAsia" w:ascii="宋体" w:hAnsi="宋体" w:eastAsia="宋体" w:cs="宋体"/>
          <w:sz w:val="21"/>
          <w:szCs w:val="21"/>
          <w:highlight w:val="none"/>
        </w:rPr>
        <w:t>中金招标有限责任公司</w:t>
      </w:r>
    </w:p>
    <w:p w14:paraId="77E710E7">
      <w:pPr>
        <w:pageBreakBefore w:val="0"/>
        <w:tabs>
          <w:tab w:val="left" w:pos="7140"/>
        </w:tabs>
        <w:kinsoku/>
        <w:wordWrap/>
        <w:overflowPunct/>
        <w:topLinePunct w:val="0"/>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w:t>
      </w:r>
      <w:r>
        <w:rPr>
          <w:rFonts w:hint="eastAsia" w:ascii="宋体" w:hAnsi="宋体" w:eastAsia="宋体" w:cs="宋体"/>
          <w:b/>
          <w:sz w:val="21"/>
          <w:szCs w:val="21"/>
          <w:highlight w:val="none"/>
          <w:u w:val="single"/>
        </w:rPr>
        <w:t>（投标人名称）</w:t>
      </w:r>
      <w:r>
        <w:rPr>
          <w:rFonts w:hint="eastAsia" w:ascii="宋体" w:hAnsi="宋体" w:eastAsia="宋体" w:cs="宋体"/>
          <w:sz w:val="21"/>
          <w:szCs w:val="21"/>
          <w:highlight w:val="none"/>
        </w:rPr>
        <w:t>已详细审查了</w:t>
      </w:r>
      <w:r>
        <w:rPr>
          <w:rFonts w:hint="eastAsia" w:ascii="宋体" w:hAnsi="宋体" w:eastAsia="宋体" w:cs="宋体"/>
          <w:b/>
          <w:sz w:val="21"/>
          <w:szCs w:val="21"/>
          <w:highlight w:val="none"/>
          <w:u w:val="single"/>
        </w:rPr>
        <w:t xml:space="preserve">（项目编号）（项目名称）    </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磋商文件</w:t>
      </w:r>
      <w:r>
        <w:rPr>
          <w:rFonts w:hint="eastAsia" w:ascii="宋体" w:hAnsi="宋体" w:eastAsia="宋体" w:cs="宋体"/>
          <w:sz w:val="21"/>
          <w:szCs w:val="21"/>
          <w:highlight w:val="none"/>
        </w:rPr>
        <w:t>及其相关补充文件</w:t>
      </w:r>
      <w:r>
        <w:rPr>
          <w:rFonts w:hint="eastAsia" w:ascii="宋体" w:hAnsi="宋体" w:eastAsia="宋体" w:cs="宋体"/>
          <w:b/>
          <w:sz w:val="21"/>
          <w:szCs w:val="21"/>
          <w:highlight w:val="none"/>
        </w:rPr>
        <w:t>（若有）</w:t>
      </w:r>
      <w:r>
        <w:rPr>
          <w:rFonts w:hint="eastAsia" w:ascii="宋体" w:hAnsi="宋体" w:eastAsia="宋体" w:cs="宋体"/>
          <w:sz w:val="21"/>
          <w:szCs w:val="21"/>
          <w:highlight w:val="none"/>
        </w:rPr>
        <w:t>，并正式授权我公司的</w:t>
      </w:r>
      <w:r>
        <w:rPr>
          <w:rFonts w:hint="eastAsia" w:ascii="宋体" w:hAnsi="宋体" w:eastAsia="宋体" w:cs="宋体"/>
          <w:b/>
          <w:sz w:val="21"/>
          <w:szCs w:val="21"/>
          <w:highlight w:val="none"/>
          <w:u w:val="single"/>
        </w:rPr>
        <w:t>（被授权人姓名）</w:t>
      </w:r>
      <w:r>
        <w:rPr>
          <w:rFonts w:hint="eastAsia" w:ascii="宋体" w:hAnsi="宋体" w:eastAsia="宋体" w:cs="宋体"/>
          <w:sz w:val="21"/>
          <w:szCs w:val="21"/>
          <w:highlight w:val="none"/>
        </w:rPr>
        <w:t>以本公司名义，全权代表我方自愿参加上述采购项目的投标，现就有关事项向采购代理机构郑重承诺如下：</w:t>
      </w:r>
    </w:p>
    <w:p w14:paraId="21FE7D48">
      <w:pPr>
        <w:pageBreakBefore w:val="0"/>
        <w:kinsoku/>
        <w:wordWrap/>
        <w:overflowPunct/>
        <w:topLinePunct w:val="0"/>
        <w:bidi w:val="0"/>
        <w:spacing w:line="360" w:lineRule="auto"/>
        <w:ind w:right="-91"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1、我方已详细审查了</w:t>
      </w:r>
      <w:r>
        <w:rPr>
          <w:rFonts w:hint="eastAsia" w:ascii="宋体" w:hAnsi="宋体" w:eastAsia="宋体" w:cs="宋体"/>
          <w:sz w:val="21"/>
          <w:szCs w:val="21"/>
          <w:highlight w:val="none"/>
          <w:lang w:val="en-US" w:eastAsia="zh-CN"/>
        </w:rPr>
        <w:t>磋商文件</w:t>
      </w:r>
      <w:r>
        <w:rPr>
          <w:rFonts w:hint="eastAsia" w:ascii="宋体" w:hAnsi="宋体" w:eastAsia="宋体" w:cs="宋体"/>
          <w:sz w:val="21"/>
          <w:szCs w:val="21"/>
          <w:highlight w:val="none"/>
        </w:rPr>
        <w:t>的全部内容及其相关补充文件</w:t>
      </w:r>
      <w:r>
        <w:rPr>
          <w:rFonts w:hint="eastAsia" w:ascii="宋体" w:hAnsi="宋体" w:eastAsia="宋体" w:cs="宋体"/>
          <w:b/>
          <w:sz w:val="21"/>
          <w:szCs w:val="21"/>
          <w:highlight w:val="none"/>
        </w:rPr>
        <w:t>（若有）</w:t>
      </w:r>
      <w:r>
        <w:rPr>
          <w:rFonts w:hint="eastAsia" w:ascii="宋体" w:hAnsi="宋体" w:eastAsia="宋体" w:cs="宋体"/>
          <w:sz w:val="21"/>
          <w:szCs w:val="21"/>
          <w:highlight w:val="none"/>
        </w:rPr>
        <w:t>，并完全清晰理解全部内容及相关的补充文件</w:t>
      </w:r>
      <w:r>
        <w:rPr>
          <w:rFonts w:hint="eastAsia" w:ascii="宋体" w:hAnsi="宋体" w:eastAsia="宋体" w:cs="宋体"/>
          <w:b/>
          <w:sz w:val="21"/>
          <w:szCs w:val="21"/>
          <w:highlight w:val="none"/>
        </w:rPr>
        <w:t>（若有）</w:t>
      </w:r>
      <w:r>
        <w:rPr>
          <w:rFonts w:hint="eastAsia" w:ascii="宋体" w:hAnsi="宋体" w:eastAsia="宋体" w:cs="宋体"/>
          <w:sz w:val="21"/>
          <w:szCs w:val="21"/>
          <w:highlight w:val="none"/>
        </w:rPr>
        <w:t>，不存在任何误解之处，同意放弃提出异议和质疑的权利。</w:t>
      </w:r>
    </w:p>
    <w:p w14:paraId="403EC591">
      <w:pPr>
        <w:pageBreakBefore w:val="0"/>
        <w:kinsoku/>
        <w:wordWrap/>
        <w:overflowPunct/>
        <w:topLinePunct w:val="0"/>
        <w:bidi w:val="0"/>
        <w:spacing w:line="360" w:lineRule="auto"/>
        <w:ind w:right="-89" w:firstLine="404" w:firstLineChars="200"/>
        <w:jc w:val="lef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2、在项目实施过程中，我方完全响应</w:t>
      </w:r>
      <w:r>
        <w:rPr>
          <w:rFonts w:hint="eastAsia" w:ascii="宋体" w:hAnsi="宋体" w:eastAsia="宋体" w:cs="宋体"/>
          <w:spacing w:val="-4"/>
          <w:sz w:val="21"/>
          <w:szCs w:val="21"/>
          <w:highlight w:val="none"/>
          <w:lang w:val="en-US" w:eastAsia="zh-CN"/>
        </w:rPr>
        <w:t>磋商文件</w:t>
      </w:r>
      <w:r>
        <w:rPr>
          <w:rFonts w:hint="eastAsia" w:ascii="宋体" w:hAnsi="宋体" w:eastAsia="宋体" w:cs="宋体"/>
          <w:spacing w:val="-4"/>
          <w:sz w:val="21"/>
          <w:szCs w:val="21"/>
          <w:highlight w:val="none"/>
        </w:rPr>
        <w:t>的所有条款，履行合同义务。执行标准绝不低于</w:t>
      </w:r>
      <w:r>
        <w:rPr>
          <w:rFonts w:hint="eastAsia" w:ascii="宋体" w:hAnsi="宋体" w:eastAsia="宋体" w:cs="宋体"/>
          <w:spacing w:val="-4"/>
          <w:sz w:val="21"/>
          <w:szCs w:val="21"/>
          <w:highlight w:val="none"/>
          <w:lang w:eastAsia="zh-CN"/>
        </w:rPr>
        <w:t>磋商文件</w:t>
      </w:r>
      <w:r>
        <w:rPr>
          <w:rFonts w:hint="eastAsia" w:ascii="宋体" w:hAnsi="宋体" w:eastAsia="宋体" w:cs="宋体"/>
          <w:spacing w:val="-4"/>
          <w:sz w:val="21"/>
          <w:szCs w:val="21"/>
          <w:highlight w:val="none"/>
        </w:rPr>
        <w:t>的标准要求。</w:t>
      </w:r>
    </w:p>
    <w:p w14:paraId="3ECA3C0F">
      <w:pPr>
        <w:pageBreakBefore w:val="0"/>
        <w:kinsoku/>
        <w:wordWrap/>
        <w:overflowPunct/>
        <w:topLinePunct w:val="0"/>
        <w:bidi w:val="0"/>
        <w:spacing w:line="360" w:lineRule="auto"/>
        <w:ind w:right="-89" w:firstLine="404" w:firstLineChars="200"/>
        <w:jc w:val="lef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3、我方遵守《中华人民共和国政府采购法》及相关法律法规的规定。同意</w:t>
      </w:r>
      <w:r>
        <w:rPr>
          <w:rFonts w:hint="eastAsia" w:ascii="宋体" w:hAnsi="宋体" w:eastAsia="宋体" w:cs="宋体"/>
          <w:spacing w:val="-4"/>
          <w:sz w:val="21"/>
          <w:szCs w:val="21"/>
          <w:highlight w:val="none"/>
          <w:lang w:eastAsia="zh-CN"/>
        </w:rPr>
        <w:t>磋商文件</w:t>
      </w:r>
      <w:r>
        <w:rPr>
          <w:rFonts w:hint="eastAsia" w:ascii="宋体" w:hAnsi="宋体" w:eastAsia="宋体" w:cs="宋体"/>
          <w:spacing w:val="-4"/>
          <w:sz w:val="21"/>
          <w:szCs w:val="21"/>
          <w:highlight w:val="none"/>
        </w:rPr>
        <w:t>中所提到的无效标条款，并服从有关开标现场的会议纪律。否则，同意被废除投标资格。</w:t>
      </w:r>
    </w:p>
    <w:p w14:paraId="35DD3ED2">
      <w:pPr>
        <w:pageBreakBefore w:val="0"/>
        <w:kinsoku/>
        <w:wordWrap/>
        <w:overflowPunct/>
        <w:topLinePunct w:val="0"/>
        <w:bidi w:val="0"/>
        <w:spacing w:line="360" w:lineRule="auto"/>
        <w:ind w:right="-89" w:firstLine="404" w:firstLineChars="200"/>
        <w:jc w:val="lef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4、</w:t>
      </w:r>
      <w:r>
        <w:rPr>
          <w:rFonts w:hint="eastAsia" w:ascii="宋体" w:hAnsi="宋体" w:eastAsia="宋体" w:cs="宋体"/>
          <w:spacing w:val="-4"/>
          <w:sz w:val="21"/>
          <w:szCs w:val="21"/>
          <w:highlight w:val="none"/>
          <w:lang w:val="en-US" w:eastAsia="zh-CN"/>
        </w:rPr>
        <w:t>我方承诺具有良好的商业信誉和健全的财务会计制度；具备履行合同所必需的设备和专业技术能力；具</w:t>
      </w:r>
      <w:r>
        <w:rPr>
          <w:rFonts w:hint="eastAsia" w:ascii="宋体" w:hAnsi="宋体" w:eastAsia="宋体" w:cs="宋体"/>
          <w:spacing w:val="-4"/>
          <w:sz w:val="21"/>
          <w:szCs w:val="21"/>
          <w:highlight w:val="none"/>
        </w:rPr>
        <w:t>有依法缴纳税收和社会保障资金的良好记录；</w:t>
      </w:r>
      <w:r>
        <w:rPr>
          <w:rFonts w:hint="eastAsia" w:ascii="宋体" w:hAnsi="宋体" w:eastAsia="宋体" w:cs="宋体"/>
          <w:spacing w:val="-4"/>
          <w:sz w:val="21"/>
          <w:szCs w:val="21"/>
          <w:highlight w:val="none"/>
          <w:lang w:val="en-US" w:eastAsia="zh-CN"/>
        </w:rPr>
        <w:t>参加本次政府采购活动前3年内在经营活动中没有重大违法记录。</w:t>
      </w:r>
    </w:p>
    <w:p w14:paraId="18EC2D73">
      <w:pPr>
        <w:pageBreakBefore w:val="0"/>
        <w:kinsoku/>
        <w:wordWrap/>
        <w:overflowPunct/>
        <w:topLinePunct w:val="0"/>
        <w:bidi w:val="0"/>
        <w:spacing w:line="360" w:lineRule="auto"/>
        <w:ind w:right="-89" w:firstLine="404" w:firstLineChars="200"/>
        <w:jc w:val="lef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5、我方所提供的一次性投标报价具有充分的合理性和准确性，保证不存在低于成本的恶意报价行为，同时清楚理解到报价最低并非意味着必定获得合同授予资格。</w:t>
      </w:r>
    </w:p>
    <w:p w14:paraId="758F512B">
      <w:pPr>
        <w:pageBreakBefore w:val="0"/>
        <w:kinsoku/>
        <w:wordWrap/>
        <w:overflowPunct/>
        <w:topLinePunct w:val="0"/>
        <w:bidi w:val="0"/>
        <w:spacing w:line="360" w:lineRule="auto"/>
        <w:ind w:right="-89" w:firstLine="404" w:firstLineChars="200"/>
        <w:jc w:val="lef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6、投标有效期为自开标之日起90天内，如在投标有效期内撤回投标，我方同意被废除投标资格。</w:t>
      </w:r>
    </w:p>
    <w:p w14:paraId="77EEEBF0">
      <w:pPr>
        <w:pageBreakBefore w:val="0"/>
        <w:kinsoku/>
        <w:wordWrap/>
        <w:overflowPunct/>
        <w:topLinePunct w:val="0"/>
        <w:bidi w:val="0"/>
        <w:spacing w:line="360" w:lineRule="auto"/>
        <w:ind w:right="-89" w:firstLine="404" w:firstLineChars="200"/>
        <w:jc w:val="left"/>
        <w:rPr>
          <w:rFonts w:hint="eastAsia" w:ascii="宋体" w:hAnsi="宋体" w:cs="宋体"/>
          <w:spacing w:val="-4"/>
          <w:sz w:val="21"/>
          <w:szCs w:val="21"/>
          <w:highlight w:val="none"/>
          <w:lang w:eastAsia="zh-CN"/>
        </w:rPr>
      </w:pPr>
      <w:r>
        <w:rPr>
          <w:rFonts w:hint="eastAsia" w:ascii="宋体" w:hAnsi="宋体" w:eastAsia="宋体" w:cs="宋体"/>
          <w:spacing w:val="-4"/>
          <w:sz w:val="21"/>
          <w:szCs w:val="21"/>
          <w:highlight w:val="none"/>
          <w:lang w:val="en-US" w:eastAsia="zh-CN"/>
        </w:rPr>
        <w:t>7、</w:t>
      </w:r>
      <w:r>
        <w:rPr>
          <w:rFonts w:hint="eastAsia" w:ascii="宋体" w:hAnsi="宋体" w:eastAsia="宋体" w:cs="宋体"/>
          <w:spacing w:val="-4"/>
          <w:sz w:val="21"/>
          <w:szCs w:val="21"/>
          <w:highlight w:val="none"/>
        </w:rPr>
        <w:t>我方承诺所提供的一切投标文件</w:t>
      </w:r>
      <w:r>
        <w:rPr>
          <w:rFonts w:hint="eastAsia" w:ascii="宋体" w:hAnsi="宋体" w:eastAsia="宋体" w:cs="宋体"/>
          <w:spacing w:val="-4"/>
          <w:sz w:val="21"/>
          <w:szCs w:val="21"/>
          <w:highlight w:val="none"/>
          <w:lang w:val="en-US" w:eastAsia="zh-CN"/>
        </w:rPr>
        <w:t>均</w:t>
      </w:r>
      <w:r>
        <w:rPr>
          <w:rFonts w:hint="eastAsia" w:ascii="宋体" w:hAnsi="宋体" w:eastAsia="宋体" w:cs="宋体"/>
          <w:spacing w:val="-4"/>
          <w:sz w:val="21"/>
          <w:szCs w:val="21"/>
          <w:highlight w:val="none"/>
        </w:rPr>
        <w:t>已认真严格审核，内容均为全面真实、准确有效且毫无保留，绝无任何遗漏、虚假、伪造和夸大的成</w:t>
      </w:r>
      <w:r>
        <w:rPr>
          <w:rFonts w:hint="eastAsia" w:ascii="宋体" w:hAnsi="宋体" w:eastAsia="宋体" w:cs="宋体"/>
          <w:spacing w:val="-4"/>
          <w:sz w:val="21"/>
          <w:szCs w:val="21"/>
          <w:highlight w:val="none"/>
          <w:lang w:val="en-US" w:eastAsia="zh-CN"/>
        </w:rPr>
        <w:t>分</w:t>
      </w:r>
      <w:r>
        <w:rPr>
          <w:rFonts w:hint="eastAsia" w:ascii="宋体" w:hAnsi="宋体" w:eastAsia="宋体" w:cs="宋体"/>
          <w:spacing w:val="-4"/>
          <w:sz w:val="21"/>
          <w:szCs w:val="21"/>
          <w:highlight w:val="none"/>
        </w:rPr>
        <w:t>，若出现违背诚实信用和无如实告知之处，同意被废除投标资格和相关的处罚</w:t>
      </w:r>
      <w:r>
        <w:rPr>
          <w:rFonts w:hint="eastAsia" w:ascii="宋体" w:hAnsi="宋体" w:cs="宋体"/>
          <w:spacing w:val="-4"/>
          <w:sz w:val="21"/>
          <w:szCs w:val="21"/>
          <w:highlight w:val="none"/>
          <w:lang w:eastAsia="zh-CN"/>
        </w:rPr>
        <w:t>。</w:t>
      </w:r>
    </w:p>
    <w:p w14:paraId="101ACE4F">
      <w:pPr>
        <w:pageBreakBefore w:val="0"/>
        <w:kinsoku/>
        <w:wordWrap/>
        <w:overflowPunct/>
        <w:topLinePunct w:val="0"/>
        <w:bidi w:val="0"/>
        <w:spacing w:line="360" w:lineRule="auto"/>
        <w:ind w:right="-89" w:firstLine="404" w:firstLineChars="200"/>
        <w:jc w:val="left"/>
        <w:rPr>
          <w:rFonts w:hint="default" w:ascii="宋体" w:hAnsi="宋体" w:eastAsia="宋体" w:cs="宋体"/>
          <w:spacing w:val="-4"/>
          <w:kern w:val="2"/>
          <w:sz w:val="21"/>
          <w:szCs w:val="21"/>
          <w:highlight w:val="none"/>
          <w:lang w:val="en-US" w:eastAsia="zh-CN" w:bidi="ar-SA"/>
        </w:rPr>
      </w:pPr>
      <w:r>
        <w:rPr>
          <w:rFonts w:hint="eastAsia" w:ascii="宋体" w:hAnsi="宋体" w:eastAsia="宋体" w:cs="宋体"/>
          <w:spacing w:val="-4"/>
          <w:kern w:val="2"/>
          <w:sz w:val="21"/>
          <w:szCs w:val="21"/>
          <w:highlight w:val="none"/>
          <w:lang w:val="en-US" w:eastAsia="zh-CN" w:bidi="ar-SA"/>
        </w:rPr>
        <w:t>8、我方承诺在收到《中标(成交)通知书》时按本项目招标文件的规定，向贵公司一次性支付全额招标代理服务费，若中标、成交后放弃中标、成交资格导致重新采购的，承担支付代理费和专家评审费等费用在内的赔偿责任。</w:t>
      </w:r>
    </w:p>
    <w:p w14:paraId="17F94C28">
      <w:pPr>
        <w:pageBreakBefore w:val="0"/>
        <w:kinsoku/>
        <w:wordWrap/>
        <w:overflowPunct/>
        <w:topLinePunct w:val="0"/>
        <w:bidi w:val="0"/>
        <w:spacing w:line="360" w:lineRule="auto"/>
        <w:ind w:firstLine="404" w:firstLineChars="200"/>
        <w:jc w:val="left"/>
        <w:rPr>
          <w:rFonts w:hint="eastAsia" w:ascii="宋体" w:hAnsi="宋体" w:eastAsia="宋体" w:cs="宋体"/>
          <w:spacing w:val="-4"/>
          <w:sz w:val="21"/>
          <w:szCs w:val="21"/>
          <w:highlight w:val="none"/>
        </w:rPr>
      </w:pPr>
    </w:p>
    <w:p w14:paraId="4C2AD1A7">
      <w:pPr>
        <w:pageBreakBefore w:val="0"/>
        <w:kinsoku/>
        <w:wordWrap/>
        <w:overflowPunct/>
        <w:topLinePunct w:val="0"/>
        <w:bidi w:val="0"/>
        <w:spacing w:line="360" w:lineRule="auto"/>
        <w:ind w:firstLine="404" w:firstLineChars="200"/>
        <w:jc w:val="lef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响应人名称：</w:t>
      </w:r>
      <w:r>
        <w:rPr>
          <w:rFonts w:hint="eastAsia" w:ascii="宋体" w:hAnsi="宋体" w:eastAsia="宋体" w:cs="宋体"/>
          <w:spacing w:val="20"/>
          <w:sz w:val="21"/>
          <w:szCs w:val="21"/>
          <w:highlight w:val="none"/>
          <w:u w:val="single"/>
        </w:rPr>
        <w:t xml:space="preserve">                  </w:t>
      </w:r>
      <w:r>
        <w:rPr>
          <w:rFonts w:hint="eastAsia" w:ascii="宋体" w:hAnsi="宋体" w:eastAsia="宋体" w:cs="宋体"/>
          <w:spacing w:val="-4"/>
          <w:sz w:val="21"/>
          <w:szCs w:val="21"/>
          <w:highlight w:val="none"/>
        </w:rPr>
        <w:t xml:space="preserve">（加盖公章） </w:t>
      </w:r>
    </w:p>
    <w:p w14:paraId="05C9BA4C">
      <w:pPr>
        <w:pageBreakBefore w:val="0"/>
        <w:kinsoku/>
        <w:wordWrap/>
        <w:overflowPunct/>
        <w:topLinePunct w:val="0"/>
        <w:bidi w:val="0"/>
        <w:spacing w:line="360" w:lineRule="auto"/>
        <w:ind w:firstLine="404" w:firstLineChars="200"/>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法定代表人</w:t>
      </w:r>
      <w:r>
        <w:rPr>
          <w:rFonts w:hint="eastAsia" w:ascii="宋体" w:hAnsi="宋体" w:eastAsia="宋体" w:cs="宋体"/>
          <w:sz w:val="21"/>
          <w:szCs w:val="21"/>
          <w:highlight w:val="none"/>
        </w:rPr>
        <w:t>：</w:t>
      </w:r>
      <w:r>
        <w:rPr>
          <w:rFonts w:hint="eastAsia" w:ascii="宋体" w:hAnsi="宋体" w:eastAsia="宋体" w:cs="宋体"/>
          <w:b/>
          <w:spacing w:val="20"/>
          <w:sz w:val="21"/>
          <w:szCs w:val="21"/>
          <w:highlight w:val="none"/>
          <w:u w:val="single"/>
        </w:rPr>
        <w:t xml:space="preserve">                  </w:t>
      </w:r>
      <w:r>
        <w:rPr>
          <w:rFonts w:hint="eastAsia" w:ascii="宋体" w:hAnsi="宋体" w:eastAsia="宋体" w:cs="宋体"/>
          <w:sz w:val="21"/>
          <w:szCs w:val="21"/>
          <w:highlight w:val="none"/>
        </w:rPr>
        <w:t>（签字或盖章）</w:t>
      </w:r>
    </w:p>
    <w:p w14:paraId="7CB77D8B">
      <w:pPr>
        <w:pageBreakBefore w:val="0"/>
        <w:kinsoku/>
        <w:wordWrap/>
        <w:overflowPunct/>
        <w:topLinePunct w:val="0"/>
        <w:bidi w:val="0"/>
        <w:spacing w:line="360" w:lineRule="auto"/>
        <w:ind w:firstLine="404" w:firstLineChars="200"/>
        <w:jc w:val="lef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响应人代表：</w:t>
      </w:r>
      <w:r>
        <w:rPr>
          <w:rFonts w:hint="eastAsia" w:ascii="宋体" w:hAnsi="宋体" w:eastAsia="宋体" w:cs="宋体"/>
          <w:spacing w:val="20"/>
          <w:sz w:val="21"/>
          <w:szCs w:val="21"/>
          <w:highlight w:val="none"/>
          <w:u w:val="single"/>
        </w:rPr>
        <w:t xml:space="preserve">                  </w:t>
      </w:r>
      <w:r>
        <w:rPr>
          <w:rFonts w:hint="eastAsia" w:ascii="宋体" w:hAnsi="宋体" w:eastAsia="宋体" w:cs="宋体"/>
          <w:spacing w:val="-4"/>
          <w:sz w:val="21"/>
          <w:szCs w:val="21"/>
          <w:highlight w:val="none"/>
        </w:rPr>
        <w:t xml:space="preserve">（签字） </w:t>
      </w:r>
    </w:p>
    <w:p w14:paraId="4FB3B6B8">
      <w:pPr>
        <w:pageBreakBefore w:val="0"/>
        <w:kinsoku/>
        <w:wordWrap/>
        <w:overflowPunct/>
        <w:topLinePunct w:val="0"/>
        <w:bidi w:val="0"/>
        <w:spacing w:line="360" w:lineRule="auto"/>
        <w:ind w:firstLine="404" w:firstLineChars="200"/>
        <w:rPr>
          <w:rFonts w:hint="eastAsia" w:ascii="宋体" w:hAnsi="宋体" w:eastAsia="宋体" w:cs="宋体"/>
          <w:spacing w:val="20"/>
          <w:sz w:val="21"/>
          <w:szCs w:val="21"/>
          <w:highlight w:val="none"/>
          <w:u w:val="single"/>
        </w:rPr>
      </w:pPr>
      <w:r>
        <w:rPr>
          <w:rFonts w:hint="eastAsia" w:ascii="宋体" w:hAnsi="宋体" w:eastAsia="宋体" w:cs="宋体"/>
          <w:spacing w:val="-4"/>
          <w:sz w:val="21"/>
          <w:szCs w:val="21"/>
          <w:highlight w:val="none"/>
        </w:rPr>
        <w:t>响应人地址：</w:t>
      </w:r>
      <w:r>
        <w:rPr>
          <w:rFonts w:hint="eastAsia" w:ascii="宋体" w:hAnsi="宋体" w:eastAsia="宋体" w:cs="宋体"/>
          <w:spacing w:val="20"/>
          <w:sz w:val="21"/>
          <w:szCs w:val="21"/>
          <w:highlight w:val="none"/>
          <w:u w:val="single"/>
        </w:rPr>
        <w:t xml:space="preserve">                  </w:t>
      </w:r>
    </w:p>
    <w:p w14:paraId="78648A54">
      <w:pPr>
        <w:pageBreakBefore w:val="0"/>
        <w:kinsoku/>
        <w:wordWrap/>
        <w:overflowPunct/>
        <w:topLinePunct w:val="0"/>
        <w:bidi w:val="0"/>
        <w:spacing w:line="360" w:lineRule="auto"/>
        <w:ind w:firstLine="404" w:firstLineChars="200"/>
        <w:rPr>
          <w:rFonts w:hint="eastAsia" w:ascii="宋体" w:hAnsi="宋体" w:eastAsia="宋体" w:cs="宋体"/>
          <w:b/>
          <w:spacing w:val="20"/>
          <w:sz w:val="21"/>
          <w:szCs w:val="21"/>
          <w:highlight w:val="none"/>
        </w:rPr>
      </w:pPr>
      <w:r>
        <w:rPr>
          <w:rFonts w:hint="eastAsia" w:ascii="宋体" w:hAnsi="宋体" w:eastAsia="宋体" w:cs="宋体"/>
          <w:spacing w:val="-4"/>
          <w:sz w:val="21"/>
          <w:szCs w:val="21"/>
          <w:highlight w:val="none"/>
        </w:rPr>
        <w:t>日期：</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年</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月</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 xml:space="preserve">日 </w:t>
      </w:r>
    </w:p>
    <w:p w14:paraId="273CF295">
      <w:pPr>
        <w:pageBreakBefore w:val="0"/>
        <w:kinsoku/>
        <w:wordWrap/>
        <w:overflowPunct/>
        <w:topLinePunct w:val="0"/>
        <w:bidi w:val="0"/>
        <w:spacing w:line="360" w:lineRule="auto"/>
        <w:rPr>
          <w:rFonts w:hint="eastAsia" w:ascii="宋体" w:hAnsi="宋体" w:eastAsia="宋体" w:cs="宋体"/>
          <w:b/>
          <w:spacing w:val="20"/>
          <w:sz w:val="21"/>
          <w:szCs w:val="21"/>
          <w:highlight w:val="none"/>
        </w:rPr>
      </w:pPr>
      <w:r>
        <w:rPr>
          <w:rFonts w:hint="eastAsia" w:ascii="宋体" w:hAnsi="宋体" w:eastAsia="宋体" w:cs="宋体"/>
          <w:b/>
          <w:spacing w:val="20"/>
          <w:sz w:val="21"/>
          <w:szCs w:val="21"/>
          <w:highlight w:val="none"/>
        </w:rPr>
        <w:br w:type="page"/>
      </w:r>
    </w:p>
    <w:p w14:paraId="6B32B06E">
      <w:pPr>
        <w:pageBreakBefore w:val="0"/>
        <w:kinsoku/>
        <w:wordWrap/>
        <w:overflowPunct/>
        <w:topLinePunct w:val="0"/>
        <w:bidi w:val="0"/>
        <w:spacing w:line="360" w:lineRule="auto"/>
        <w:outlineLvl w:val="2"/>
        <w:rPr>
          <w:rFonts w:hint="eastAsia" w:ascii="宋体" w:hAnsi="宋体" w:eastAsia="宋体" w:cs="宋体"/>
          <w:b/>
          <w:sz w:val="21"/>
          <w:szCs w:val="21"/>
          <w:highlight w:val="none"/>
        </w:rPr>
      </w:pPr>
      <w:r>
        <w:rPr>
          <w:rFonts w:hint="eastAsia" w:ascii="宋体" w:hAnsi="宋体" w:eastAsia="宋体" w:cs="宋体"/>
          <w:b/>
          <w:spacing w:val="20"/>
          <w:sz w:val="21"/>
          <w:szCs w:val="21"/>
          <w:highlight w:val="none"/>
        </w:rPr>
        <w:t>格式</w:t>
      </w:r>
      <w:r>
        <w:rPr>
          <w:rFonts w:hint="eastAsia" w:ascii="宋体" w:hAnsi="宋体" w:cs="宋体"/>
          <w:b/>
          <w:spacing w:val="20"/>
          <w:sz w:val="21"/>
          <w:szCs w:val="21"/>
          <w:highlight w:val="none"/>
          <w:lang w:val="en-US" w:eastAsia="zh-CN"/>
        </w:rPr>
        <w:t>五</w:t>
      </w:r>
      <w:r>
        <w:rPr>
          <w:rFonts w:hint="eastAsia" w:ascii="宋体" w:hAnsi="宋体" w:eastAsia="宋体" w:cs="宋体"/>
          <w:b/>
          <w:spacing w:val="20"/>
          <w:sz w:val="21"/>
          <w:szCs w:val="21"/>
          <w:highlight w:val="none"/>
        </w:rPr>
        <w:t>、法定代表人授权函</w:t>
      </w:r>
    </w:p>
    <w:p w14:paraId="449A7E0F">
      <w:pPr>
        <w:pageBreakBefore w:val="0"/>
        <w:kinsoku/>
        <w:wordWrap/>
        <w:overflowPunct/>
        <w:topLinePunct w:val="0"/>
        <w:bidi w:val="0"/>
        <w:spacing w:line="360" w:lineRule="auto"/>
        <w:jc w:val="left"/>
        <w:rPr>
          <w:rFonts w:hint="eastAsia" w:ascii="宋体" w:hAnsi="宋体" w:eastAsia="宋体" w:cs="宋体"/>
          <w:spacing w:val="-4"/>
          <w:sz w:val="21"/>
          <w:szCs w:val="21"/>
          <w:highlight w:val="none"/>
          <w:lang w:val="en-US"/>
        </w:rPr>
      </w:pPr>
      <w:r>
        <w:rPr>
          <w:rFonts w:hint="eastAsia" w:ascii="宋体" w:hAnsi="宋体" w:eastAsia="宋体" w:cs="宋体"/>
          <w:spacing w:val="-4"/>
          <w:sz w:val="21"/>
          <w:szCs w:val="21"/>
          <w:highlight w:val="none"/>
        </w:rPr>
        <w:t>致：</w:t>
      </w:r>
      <w:r>
        <w:rPr>
          <w:rFonts w:hint="eastAsia" w:ascii="宋体" w:hAnsi="宋体" w:eastAsia="宋体" w:cs="宋体"/>
          <w:color w:val="auto"/>
          <w:sz w:val="21"/>
          <w:szCs w:val="21"/>
          <w:highlight w:val="none"/>
          <w:lang w:val="en-US" w:eastAsia="zh-CN"/>
        </w:rPr>
        <w:t>舟山市公安局交通警察支队</w:t>
      </w:r>
    </w:p>
    <w:p w14:paraId="7F8DADE4">
      <w:pPr>
        <w:pageBreakBefore w:val="0"/>
        <w:kinsoku/>
        <w:wordWrap/>
        <w:overflowPunct/>
        <w:topLinePunct w:val="0"/>
        <w:bidi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中金招标有限责任公司</w:t>
      </w:r>
    </w:p>
    <w:p w14:paraId="26C1DB43">
      <w:pPr>
        <w:pageBreakBefore w:val="0"/>
        <w:kinsoku/>
        <w:wordWrap/>
        <w:overflowPunct/>
        <w:topLinePunct w:val="0"/>
        <w:bidi w:val="0"/>
        <w:spacing w:line="360" w:lineRule="auto"/>
        <w:ind w:firstLine="404" w:firstLineChars="200"/>
        <w:jc w:val="lef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我</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（姓名）系</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（投标人名称）的法定代表人，现授权委托本单位在职职工</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（姓名）(身份证号码：</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)以我方的名义参加</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（项目名称）（项目编号）的投标活动，并代表我方全权办理针对上述项目的投标、开标、评标、签约等具体事务和签署相关文件。</w:t>
      </w:r>
    </w:p>
    <w:p w14:paraId="5382155E">
      <w:pPr>
        <w:pageBreakBefore w:val="0"/>
        <w:kinsoku/>
        <w:wordWrap/>
        <w:overflowPunct/>
        <w:topLinePunct w:val="0"/>
        <w:bidi w:val="0"/>
        <w:spacing w:line="360" w:lineRule="auto"/>
        <w:ind w:right="-89" w:firstLine="404" w:firstLineChars="200"/>
        <w:jc w:val="lef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我方对被授权人的签名负全部责任。</w:t>
      </w:r>
    </w:p>
    <w:p w14:paraId="728144EC">
      <w:pPr>
        <w:pageBreakBefore w:val="0"/>
        <w:kinsoku/>
        <w:wordWrap/>
        <w:overflowPunct/>
        <w:topLinePunct w:val="0"/>
        <w:bidi w:val="0"/>
        <w:spacing w:line="360" w:lineRule="auto"/>
        <w:ind w:right="-89" w:firstLine="404" w:firstLineChars="200"/>
        <w:jc w:val="lef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在撤销授权的书面通知以前，本授权函一直有效。被授权人在授权函有效期内签署的所有文件不因授权的撤销而失效。</w:t>
      </w:r>
    </w:p>
    <w:p w14:paraId="027577E7">
      <w:pPr>
        <w:pageBreakBefore w:val="0"/>
        <w:kinsoku/>
        <w:wordWrap/>
        <w:overflowPunct/>
        <w:topLinePunct w:val="0"/>
        <w:bidi w:val="0"/>
        <w:spacing w:line="360" w:lineRule="auto"/>
        <w:ind w:right="-89" w:firstLine="404" w:firstLineChars="200"/>
        <w:jc w:val="lef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被授权人无转委托权，特此委托。</w:t>
      </w:r>
    </w:p>
    <w:p w14:paraId="79EC41EC">
      <w:pPr>
        <w:pageBreakBefore w:val="0"/>
        <w:kinsoku/>
        <w:wordWrap/>
        <w:overflowPunct/>
        <w:topLinePunct w:val="0"/>
        <w:bidi w:val="0"/>
        <w:spacing w:line="360" w:lineRule="auto"/>
        <w:ind w:right="-89" w:firstLine="404" w:firstLineChars="200"/>
        <w:jc w:val="lef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 xml:space="preserve">被授权人（签字）：                           法定代表人（签字或盖章）：          </w:t>
      </w:r>
    </w:p>
    <w:p w14:paraId="420A0011">
      <w:pPr>
        <w:pageBreakBefore w:val="0"/>
        <w:kinsoku/>
        <w:wordWrap/>
        <w:overflowPunct/>
        <w:topLinePunct w:val="0"/>
        <w:bidi w:val="0"/>
        <w:spacing w:line="360" w:lineRule="auto"/>
        <w:ind w:right="-89" w:firstLine="404" w:firstLineChars="200"/>
        <w:jc w:val="lef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被授权人联系电话：                           法定代表人联系电话：</w:t>
      </w:r>
    </w:p>
    <w:p w14:paraId="2CF1C720">
      <w:pPr>
        <w:pageBreakBefore w:val="0"/>
        <w:kinsoku/>
        <w:wordWrap/>
        <w:overflowPunct/>
        <w:topLinePunct w:val="0"/>
        <w:bidi w:val="0"/>
        <w:spacing w:line="360" w:lineRule="auto"/>
        <w:ind w:right="-89" w:firstLine="4444" w:firstLineChars="2200"/>
        <w:jc w:val="left"/>
        <w:rPr>
          <w:rFonts w:hint="eastAsia" w:ascii="宋体" w:hAnsi="宋体" w:eastAsia="宋体" w:cs="宋体"/>
          <w:spacing w:val="-4"/>
          <w:sz w:val="21"/>
          <w:szCs w:val="21"/>
          <w:highlight w:val="none"/>
        </w:rPr>
      </w:pPr>
    </w:p>
    <w:p w14:paraId="564C1F80">
      <w:pPr>
        <w:pageBreakBefore w:val="0"/>
        <w:kinsoku/>
        <w:wordWrap/>
        <w:overflowPunct/>
        <w:topLinePunct w:val="0"/>
        <w:bidi w:val="0"/>
        <w:spacing w:line="360" w:lineRule="auto"/>
        <w:ind w:right="-89" w:firstLine="4444" w:firstLineChars="2200"/>
        <w:jc w:val="left"/>
        <w:rPr>
          <w:rFonts w:hint="eastAsia" w:ascii="宋体" w:hAnsi="宋体" w:eastAsia="宋体" w:cs="宋体"/>
          <w:spacing w:val="-4"/>
          <w:sz w:val="21"/>
          <w:szCs w:val="21"/>
          <w:highlight w:val="none"/>
        </w:rPr>
      </w:pPr>
    </w:p>
    <w:p w14:paraId="3972EED0">
      <w:pPr>
        <w:pageBreakBefore w:val="0"/>
        <w:kinsoku/>
        <w:wordWrap/>
        <w:overflowPunct/>
        <w:topLinePunct w:val="0"/>
        <w:bidi w:val="0"/>
        <w:spacing w:line="360" w:lineRule="auto"/>
        <w:ind w:right="-89" w:firstLine="4444" w:firstLineChars="2200"/>
        <w:jc w:val="lef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 xml:space="preserve">                      响应人公章：</w:t>
      </w:r>
    </w:p>
    <w:p w14:paraId="64F2F387">
      <w:pPr>
        <w:pageBreakBefore w:val="0"/>
        <w:kinsoku/>
        <w:wordWrap/>
        <w:overflowPunct/>
        <w:topLinePunct w:val="0"/>
        <w:bidi w:val="0"/>
        <w:spacing w:line="360" w:lineRule="auto"/>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 xml:space="preserve">                                                                   </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 xml:space="preserve"> 年</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月</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日</w:t>
      </w:r>
    </w:p>
    <w:p w14:paraId="693C454F">
      <w:pPr>
        <w:pageBreakBefore w:val="0"/>
        <w:kinsoku/>
        <w:wordWrap/>
        <w:overflowPunct/>
        <w:topLinePunct w:val="0"/>
        <w:bidi w:val="0"/>
        <w:spacing w:line="360" w:lineRule="auto"/>
        <w:rPr>
          <w:rFonts w:hint="eastAsia" w:ascii="宋体" w:hAnsi="宋体" w:eastAsia="宋体" w:cs="宋体"/>
          <w:spacing w:val="-4"/>
          <w:sz w:val="21"/>
          <w:szCs w:val="21"/>
          <w:highlight w:val="none"/>
        </w:rPr>
      </w:pPr>
    </w:p>
    <w:p w14:paraId="3C397373">
      <w:pPr>
        <w:pageBreakBefore w:val="0"/>
        <w:kinsoku/>
        <w:wordWrap/>
        <w:overflowPunct/>
        <w:topLinePunct w:val="0"/>
        <w:bidi w:val="0"/>
        <w:adjustRightInd w:val="0"/>
        <w:spacing w:line="360" w:lineRule="auto"/>
        <w:textAlignment w:val="baseline"/>
        <w:rPr>
          <w:rFonts w:hint="eastAsia" w:ascii="宋体" w:hAnsi="宋体" w:eastAsia="宋体" w:cs="宋体"/>
          <w:b/>
          <w:spacing w:val="20"/>
          <w:sz w:val="21"/>
          <w:szCs w:val="21"/>
          <w:highlight w:val="none"/>
        </w:rPr>
      </w:pPr>
    </w:p>
    <w:p w14:paraId="0E2397A0">
      <w:pPr>
        <w:pageBreakBefore w:val="0"/>
        <w:kinsoku/>
        <w:wordWrap/>
        <w:overflowPunct/>
        <w:topLinePunct w:val="0"/>
        <w:bidi w:val="0"/>
        <w:adjustRightInd w:val="0"/>
        <w:spacing w:line="360" w:lineRule="auto"/>
        <w:textAlignment w:val="baseline"/>
        <w:rPr>
          <w:rFonts w:hint="eastAsia" w:ascii="宋体" w:hAnsi="宋体" w:eastAsia="宋体" w:cs="宋体"/>
          <w:b/>
          <w:spacing w:val="20"/>
          <w:kern w:val="0"/>
          <w:sz w:val="21"/>
          <w:szCs w:val="21"/>
          <w:highlight w:val="none"/>
        </w:rPr>
      </w:pPr>
    </w:p>
    <w:p w14:paraId="58D46711">
      <w:pPr>
        <w:pageBreakBefore w:val="0"/>
        <w:kinsoku/>
        <w:wordWrap/>
        <w:overflowPunct/>
        <w:topLinePunct w:val="0"/>
        <w:bidi w:val="0"/>
        <w:snapToGrid w:val="0"/>
        <w:spacing w:line="360" w:lineRule="auto"/>
        <w:ind w:firstLine="415" w:firstLineChars="198"/>
        <w:rPr>
          <w:rFonts w:hint="eastAsia" w:ascii="宋体" w:hAnsi="宋体" w:eastAsia="宋体" w:cs="宋体"/>
          <w:sz w:val="21"/>
          <w:szCs w:val="21"/>
          <w:highlight w:val="none"/>
        </w:rPr>
      </w:pPr>
    </w:p>
    <w:p w14:paraId="071967F4">
      <w:pPr>
        <w:pageBreakBefore w:val="0"/>
        <w:kinsoku/>
        <w:wordWrap/>
        <w:overflowPunct/>
        <w:topLinePunct w:val="0"/>
        <w:bidi w:val="0"/>
        <w:adjustRightInd w:val="0"/>
        <w:spacing w:line="360" w:lineRule="auto"/>
        <w:textAlignment w:val="baseline"/>
        <w:rPr>
          <w:rFonts w:hint="eastAsia" w:ascii="宋体" w:hAnsi="宋体" w:eastAsia="宋体" w:cs="宋体"/>
          <w:b/>
          <w:spacing w:val="20"/>
          <w:kern w:val="0"/>
          <w:sz w:val="21"/>
          <w:szCs w:val="21"/>
          <w:highlight w:val="none"/>
        </w:rPr>
      </w:pPr>
    </w:p>
    <w:p w14:paraId="2E206198">
      <w:pPr>
        <w:pageBreakBefore w:val="0"/>
        <w:kinsoku/>
        <w:wordWrap/>
        <w:overflowPunct/>
        <w:topLinePunct w:val="0"/>
        <w:bidi w:val="0"/>
        <w:adjustRightInd w:val="0"/>
        <w:spacing w:line="360" w:lineRule="auto"/>
        <w:textAlignment w:val="baseline"/>
        <w:rPr>
          <w:rFonts w:hint="eastAsia" w:ascii="宋体" w:hAnsi="宋体" w:eastAsia="宋体" w:cs="宋体"/>
          <w:b/>
          <w:spacing w:val="20"/>
          <w:kern w:val="0"/>
          <w:sz w:val="21"/>
          <w:szCs w:val="21"/>
          <w:highlight w:val="none"/>
        </w:rPr>
      </w:pPr>
    </w:p>
    <w:p w14:paraId="43D858FF">
      <w:pPr>
        <w:pageBreakBefore w:val="0"/>
        <w:kinsoku/>
        <w:wordWrap/>
        <w:overflowPunct/>
        <w:topLinePunct w:val="0"/>
        <w:bidi w:val="0"/>
        <w:adjustRightInd w:val="0"/>
        <w:spacing w:line="360" w:lineRule="auto"/>
        <w:textAlignment w:val="baseline"/>
        <w:rPr>
          <w:rFonts w:hint="eastAsia" w:ascii="宋体" w:hAnsi="宋体" w:eastAsia="宋体" w:cs="宋体"/>
          <w:b/>
          <w:spacing w:val="20"/>
          <w:kern w:val="0"/>
          <w:sz w:val="21"/>
          <w:szCs w:val="21"/>
          <w:highlight w:val="none"/>
        </w:rPr>
      </w:pPr>
    </w:p>
    <w:p w14:paraId="1E2CD2CD">
      <w:pPr>
        <w:pageBreakBefore w:val="0"/>
        <w:kinsoku/>
        <w:wordWrap/>
        <w:overflowPunct/>
        <w:topLinePunct w:val="0"/>
        <w:bidi w:val="0"/>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br w:type="page"/>
      </w:r>
    </w:p>
    <w:p w14:paraId="1FA1B0F3">
      <w:pPr>
        <w:pageBreakBefore w:val="0"/>
        <w:kinsoku/>
        <w:wordWrap/>
        <w:overflowPunct/>
        <w:topLinePunct w:val="0"/>
        <w:bidi w:val="0"/>
        <w:snapToGrid w:val="0"/>
        <w:spacing w:before="50" w:after="156" w:afterLines="50" w:line="360" w:lineRule="auto"/>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rPr>
        <w:t>格式</w:t>
      </w:r>
      <w:r>
        <w:rPr>
          <w:rFonts w:hint="eastAsia" w:ascii="宋体" w:hAnsi="宋体" w:cs="宋体"/>
          <w:b/>
          <w:sz w:val="21"/>
          <w:szCs w:val="21"/>
          <w:highlight w:val="none"/>
          <w:lang w:val="en-US" w:eastAsia="zh-CN"/>
        </w:rPr>
        <w:t>六</w:t>
      </w:r>
      <w:r>
        <w:rPr>
          <w:rFonts w:hint="eastAsia" w:ascii="宋体" w:hAnsi="宋体" w:eastAsia="宋体" w:cs="宋体"/>
          <w:b/>
          <w:sz w:val="21"/>
          <w:szCs w:val="21"/>
          <w:highlight w:val="none"/>
        </w:rPr>
        <w:t>、项目负责人资格情况表</w:t>
      </w:r>
    </w:p>
    <w:tbl>
      <w:tblPr>
        <w:tblStyle w:val="28"/>
        <w:tblW w:w="4997" w:type="pct"/>
        <w:jc w:val="center"/>
        <w:tblLayout w:type="autofit"/>
        <w:tblCellMar>
          <w:top w:w="57" w:type="dxa"/>
          <w:left w:w="57" w:type="dxa"/>
          <w:bottom w:w="57" w:type="dxa"/>
          <w:right w:w="57" w:type="dxa"/>
        </w:tblCellMar>
      </w:tblPr>
      <w:tblGrid>
        <w:gridCol w:w="1474"/>
        <w:gridCol w:w="146"/>
        <w:gridCol w:w="1180"/>
        <w:gridCol w:w="1326"/>
        <w:gridCol w:w="70"/>
        <w:gridCol w:w="520"/>
        <w:gridCol w:w="1182"/>
        <w:gridCol w:w="1031"/>
        <w:gridCol w:w="1033"/>
        <w:gridCol w:w="2068"/>
      </w:tblGrid>
      <w:tr w14:paraId="769C5451">
        <w:tblPrEx>
          <w:tblCellMar>
            <w:top w:w="57" w:type="dxa"/>
            <w:left w:w="57" w:type="dxa"/>
            <w:bottom w:w="57" w:type="dxa"/>
            <w:right w:w="57" w:type="dxa"/>
          </w:tblCellMar>
        </w:tblPrEx>
        <w:trPr>
          <w:trHeight w:val="567" w:hRule="atLeast"/>
          <w:jc w:val="center"/>
        </w:trPr>
        <w:tc>
          <w:tcPr>
            <w:tcW w:w="808" w:type="pct"/>
            <w:gridSpan w:val="2"/>
            <w:tcBorders>
              <w:top w:val="single" w:color="auto" w:sz="4" w:space="0"/>
              <w:left w:val="single" w:color="auto" w:sz="4" w:space="0"/>
              <w:bottom w:val="single" w:color="auto" w:sz="4" w:space="0"/>
              <w:right w:val="single" w:color="auto" w:sz="4" w:space="0"/>
            </w:tcBorders>
            <w:noWrap w:val="0"/>
            <w:vAlign w:val="center"/>
          </w:tcPr>
          <w:p w14:paraId="429FAFAE">
            <w:pPr>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w:t>
            </w:r>
          </w:p>
          <w:p w14:paraId="105D18B3">
            <w:pPr>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588" w:type="pct"/>
            <w:tcBorders>
              <w:top w:val="single" w:color="auto" w:sz="4" w:space="0"/>
              <w:left w:val="single" w:color="auto" w:sz="4" w:space="0"/>
              <w:bottom w:val="single" w:color="auto" w:sz="4" w:space="0"/>
              <w:right w:val="single" w:color="auto" w:sz="4" w:space="0"/>
            </w:tcBorders>
            <w:noWrap w:val="0"/>
            <w:vAlign w:val="center"/>
          </w:tcPr>
          <w:p w14:paraId="0199C18B">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661" w:type="pct"/>
            <w:tcBorders>
              <w:top w:val="single" w:color="auto" w:sz="4" w:space="0"/>
              <w:left w:val="single" w:color="auto" w:sz="4" w:space="0"/>
              <w:bottom w:val="single" w:color="auto" w:sz="4" w:space="0"/>
              <w:right w:val="single" w:color="auto" w:sz="4" w:space="0"/>
            </w:tcBorders>
            <w:noWrap w:val="0"/>
            <w:vAlign w:val="center"/>
          </w:tcPr>
          <w:p w14:paraId="5AFCA935">
            <w:pPr>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性别</w:t>
            </w:r>
          </w:p>
        </w:tc>
        <w:tc>
          <w:tcPr>
            <w:tcW w:w="294" w:type="pct"/>
            <w:gridSpan w:val="2"/>
            <w:tcBorders>
              <w:top w:val="single" w:color="auto" w:sz="4" w:space="0"/>
              <w:left w:val="single" w:color="auto" w:sz="4" w:space="0"/>
              <w:bottom w:val="single" w:color="auto" w:sz="4" w:space="0"/>
              <w:right w:val="single" w:color="auto" w:sz="4" w:space="0"/>
            </w:tcBorders>
            <w:noWrap w:val="0"/>
            <w:vAlign w:val="center"/>
          </w:tcPr>
          <w:p w14:paraId="16ED97D7">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588" w:type="pct"/>
            <w:tcBorders>
              <w:top w:val="single" w:color="auto" w:sz="4" w:space="0"/>
              <w:left w:val="single" w:color="auto" w:sz="4" w:space="0"/>
              <w:bottom w:val="single" w:color="auto" w:sz="4" w:space="0"/>
              <w:right w:val="single" w:color="auto" w:sz="4" w:space="0"/>
            </w:tcBorders>
            <w:noWrap w:val="0"/>
            <w:vAlign w:val="center"/>
          </w:tcPr>
          <w:p w14:paraId="6F7A7F75">
            <w:pPr>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年龄</w:t>
            </w:r>
          </w:p>
        </w:tc>
        <w:tc>
          <w:tcPr>
            <w:tcW w:w="514" w:type="pct"/>
            <w:tcBorders>
              <w:top w:val="single" w:color="auto" w:sz="4" w:space="0"/>
              <w:left w:val="single" w:color="auto" w:sz="4" w:space="0"/>
              <w:bottom w:val="single" w:color="auto" w:sz="4" w:space="0"/>
              <w:right w:val="single" w:color="auto" w:sz="4" w:space="0"/>
            </w:tcBorders>
            <w:noWrap w:val="0"/>
            <w:vAlign w:val="center"/>
          </w:tcPr>
          <w:p w14:paraId="52D7E17B">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514" w:type="pct"/>
            <w:tcBorders>
              <w:top w:val="single" w:color="auto" w:sz="4" w:space="0"/>
              <w:left w:val="single" w:color="auto" w:sz="4" w:space="0"/>
              <w:bottom w:val="single" w:color="auto" w:sz="4" w:space="0"/>
              <w:right w:val="single" w:color="auto" w:sz="4" w:space="0"/>
            </w:tcBorders>
            <w:noWrap w:val="0"/>
            <w:vAlign w:val="center"/>
          </w:tcPr>
          <w:p w14:paraId="70417D6D">
            <w:pPr>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学历</w:t>
            </w:r>
          </w:p>
        </w:tc>
        <w:tc>
          <w:tcPr>
            <w:tcW w:w="1029" w:type="pct"/>
            <w:tcBorders>
              <w:top w:val="single" w:color="auto" w:sz="4" w:space="0"/>
              <w:left w:val="single" w:color="auto" w:sz="4" w:space="0"/>
              <w:bottom w:val="single" w:color="auto" w:sz="4" w:space="0"/>
              <w:right w:val="single" w:color="auto" w:sz="4" w:space="0"/>
            </w:tcBorders>
            <w:noWrap w:val="0"/>
            <w:vAlign w:val="center"/>
          </w:tcPr>
          <w:p w14:paraId="5F5F4D28">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r>
      <w:tr w14:paraId="4633B186">
        <w:tblPrEx>
          <w:tblCellMar>
            <w:top w:w="57" w:type="dxa"/>
            <w:left w:w="57" w:type="dxa"/>
            <w:bottom w:w="57" w:type="dxa"/>
            <w:right w:w="57" w:type="dxa"/>
          </w:tblCellMar>
        </w:tblPrEx>
        <w:trPr>
          <w:trHeight w:val="567" w:hRule="atLeast"/>
          <w:jc w:val="center"/>
        </w:trPr>
        <w:tc>
          <w:tcPr>
            <w:tcW w:w="808" w:type="pct"/>
            <w:gridSpan w:val="2"/>
            <w:tcBorders>
              <w:top w:val="single" w:color="auto" w:sz="4" w:space="0"/>
              <w:left w:val="single" w:color="auto" w:sz="4" w:space="0"/>
              <w:bottom w:val="single" w:color="auto" w:sz="4" w:space="0"/>
              <w:right w:val="single" w:color="auto" w:sz="4" w:space="0"/>
            </w:tcBorders>
            <w:noWrap w:val="0"/>
            <w:vAlign w:val="center"/>
          </w:tcPr>
          <w:p w14:paraId="064014BC">
            <w:pPr>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行政职务</w:t>
            </w:r>
          </w:p>
        </w:tc>
        <w:tc>
          <w:tcPr>
            <w:tcW w:w="588" w:type="pct"/>
            <w:tcBorders>
              <w:top w:val="single" w:color="auto" w:sz="4" w:space="0"/>
              <w:left w:val="single" w:color="auto" w:sz="4" w:space="0"/>
              <w:bottom w:val="single" w:color="auto" w:sz="4" w:space="0"/>
              <w:right w:val="single" w:color="auto" w:sz="4" w:space="0"/>
            </w:tcBorders>
            <w:noWrap w:val="0"/>
            <w:vAlign w:val="center"/>
          </w:tcPr>
          <w:p w14:paraId="3C672842">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661" w:type="pct"/>
            <w:tcBorders>
              <w:top w:val="single" w:color="auto" w:sz="4" w:space="0"/>
              <w:left w:val="single" w:color="auto" w:sz="4" w:space="0"/>
              <w:bottom w:val="single" w:color="auto" w:sz="4" w:space="0"/>
              <w:right w:val="single" w:color="auto" w:sz="4" w:space="0"/>
            </w:tcBorders>
            <w:noWrap w:val="0"/>
            <w:vAlign w:val="center"/>
          </w:tcPr>
          <w:p w14:paraId="17C75651">
            <w:pPr>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专业职称</w:t>
            </w:r>
          </w:p>
        </w:tc>
        <w:tc>
          <w:tcPr>
            <w:tcW w:w="882" w:type="pct"/>
            <w:gridSpan w:val="3"/>
            <w:tcBorders>
              <w:top w:val="single" w:color="auto" w:sz="4" w:space="0"/>
              <w:left w:val="single" w:color="auto" w:sz="4" w:space="0"/>
              <w:bottom w:val="single" w:color="auto" w:sz="4" w:space="0"/>
              <w:right w:val="single" w:color="auto" w:sz="4" w:space="0"/>
            </w:tcBorders>
            <w:noWrap w:val="0"/>
            <w:vAlign w:val="center"/>
          </w:tcPr>
          <w:p w14:paraId="1FF85067">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029" w:type="pct"/>
            <w:gridSpan w:val="2"/>
            <w:tcBorders>
              <w:top w:val="single" w:color="auto" w:sz="4" w:space="0"/>
              <w:left w:val="single" w:color="auto" w:sz="4" w:space="0"/>
              <w:bottom w:val="single" w:color="auto" w:sz="4" w:space="0"/>
              <w:right w:val="single" w:color="auto" w:sz="4" w:space="0"/>
            </w:tcBorders>
            <w:noWrap w:val="0"/>
            <w:vAlign w:val="center"/>
          </w:tcPr>
          <w:p w14:paraId="1173006D">
            <w:pPr>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专业年限</w:t>
            </w:r>
          </w:p>
        </w:tc>
        <w:tc>
          <w:tcPr>
            <w:tcW w:w="1029" w:type="pct"/>
            <w:tcBorders>
              <w:top w:val="single" w:color="auto" w:sz="4" w:space="0"/>
              <w:left w:val="single" w:color="auto" w:sz="4" w:space="0"/>
              <w:bottom w:val="single" w:color="auto" w:sz="4" w:space="0"/>
              <w:right w:val="single" w:color="auto" w:sz="4" w:space="0"/>
            </w:tcBorders>
            <w:noWrap w:val="0"/>
            <w:vAlign w:val="center"/>
          </w:tcPr>
          <w:p w14:paraId="0F788676">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r>
      <w:tr w14:paraId="494CF65B">
        <w:tblPrEx>
          <w:tblCellMar>
            <w:top w:w="57" w:type="dxa"/>
            <w:left w:w="57" w:type="dxa"/>
            <w:bottom w:w="57" w:type="dxa"/>
            <w:right w:w="57" w:type="dxa"/>
          </w:tblCellMar>
        </w:tblPrEx>
        <w:trPr>
          <w:cantSplit/>
          <w:trHeight w:val="567" w:hRule="atLeast"/>
          <w:jc w:val="center"/>
        </w:trPr>
        <w:tc>
          <w:tcPr>
            <w:tcW w:w="808" w:type="pct"/>
            <w:gridSpan w:val="2"/>
            <w:tcBorders>
              <w:top w:val="single" w:color="auto" w:sz="4" w:space="0"/>
              <w:left w:val="single" w:color="auto" w:sz="4" w:space="0"/>
              <w:bottom w:val="single" w:color="auto" w:sz="4" w:space="0"/>
              <w:right w:val="single" w:color="auto" w:sz="4" w:space="0"/>
            </w:tcBorders>
            <w:noWrap w:val="0"/>
            <w:vAlign w:val="center"/>
          </w:tcPr>
          <w:p w14:paraId="521D5552">
            <w:pPr>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工作单位</w:t>
            </w:r>
          </w:p>
        </w:tc>
        <w:tc>
          <w:tcPr>
            <w:tcW w:w="2132" w:type="pct"/>
            <w:gridSpan w:val="5"/>
            <w:tcBorders>
              <w:top w:val="single" w:color="auto" w:sz="4" w:space="0"/>
              <w:left w:val="single" w:color="auto" w:sz="4" w:space="0"/>
              <w:bottom w:val="single" w:color="auto" w:sz="4" w:space="0"/>
              <w:right w:val="single" w:color="auto" w:sz="4" w:space="0"/>
            </w:tcBorders>
            <w:noWrap w:val="0"/>
            <w:vAlign w:val="center"/>
          </w:tcPr>
          <w:p w14:paraId="786FDB90">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029" w:type="pct"/>
            <w:gridSpan w:val="2"/>
            <w:tcBorders>
              <w:top w:val="single" w:color="auto" w:sz="4" w:space="0"/>
              <w:left w:val="single" w:color="auto" w:sz="4" w:space="0"/>
              <w:bottom w:val="single" w:color="auto" w:sz="4" w:space="0"/>
              <w:right w:val="single" w:color="auto" w:sz="4" w:space="0"/>
            </w:tcBorders>
            <w:noWrap w:val="0"/>
            <w:vAlign w:val="center"/>
          </w:tcPr>
          <w:p w14:paraId="32CEC30F">
            <w:pPr>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1029" w:type="pct"/>
            <w:tcBorders>
              <w:top w:val="single" w:color="auto" w:sz="4" w:space="0"/>
              <w:left w:val="single" w:color="auto" w:sz="4" w:space="0"/>
              <w:bottom w:val="single" w:color="auto" w:sz="4" w:space="0"/>
              <w:right w:val="single" w:color="auto" w:sz="4" w:space="0"/>
            </w:tcBorders>
            <w:noWrap w:val="0"/>
            <w:vAlign w:val="center"/>
          </w:tcPr>
          <w:p w14:paraId="0204C8BE">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r>
      <w:tr w14:paraId="79D677F2">
        <w:tblPrEx>
          <w:tblCellMar>
            <w:top w:w="57" w:type="dxa"/>
            <w:left w:w="57" w:type="dxa"/>
            <w:bottom w:w="57" w:type="dxa"/>
            <w:right w:w="57" w:type="dxa"/>
          </w:tblCellMar>
        </w:tblPrEx>
        <w:trPr>
          <w:trHeight w:val="567" w:hRule="atLeast"/>
          <w:jc w:val="center"/>
        </w:trPr>
        <w:tc>
          <w:tcPr>
            <w:tcW w:w="808" w:type="pct"/>
            <w:gridSpan w:val="2"/>
            <w:tcBorders>
              <w:top w:val="single" w:color="auto" w:sz="4" w:space="0"/>
              <w:left w:val="single" w:color="auto" w:sz="4" w:space="0"/>
              <w:bottom w:val="single" w:color="auto" w:sz="4" w:space="0"/>
              <w:right w:val="single" w:color="auto" w:sz="4" w:space="0"/>
            </w:tcBorders>
            <w:noWrap w:val="0"/>
            <w:vAlign w:val="center"/>
          </w:tcPr>
          <w:p w14:paraId="2840EE5B">
            <w:pPr>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通讯地址</w:t>
            </w:r>
          </w:p>
        </w:tc>
        <w:tc>
          <w:tcPr>
            <w:tcW w:w="2132" w:type="pct"/>
            <w:gridSpan w:val="5"/>
            <w:tcBorders>
              <w:top w:val="single" w:color="auto" w:sz="4" w:space="0"/>
              <w:left w:val="single" w:color="auto" w:sz="4" w:space="0"/>
              <w:bottom w:val="single" w:color="auto" w:sz="4" w:space="0"/>
              <w:right w:val="single" w:color="auto" w:sz="4" w:space="0"/>
            </w:tcBorders>
            <w:noWrap w:val="0"/>
            <w:vAlign w:val="center"/>
          </w:tcPr>
          <w:p w14:paraId="5F72EEE4">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029" w:type="pct"/>
            <w:gridSpan w:val="2"/>
            <w:tcBorders>
              <w:top w:val="single" w:color="auto" w:sz="4" w:space="0"/>
              <w:left w:val="single" w:color="auto" w:sz="4" w:space="0"/>
              <w:bottom w:val="single" w:color="auto" w:sz="4" w:space="0"/>
              <w:right w:val="single" w:color="auto" w:sz="4" w:space="0"/>
            </w:tcBorders>
            <w:noWrap w:val="0"/>
            <w:vAlign w:val="center"/>
          </w:tcPr>
          <w:p w14:paraId="657178B0">
            <w:pPr>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邮编</w:t>
            </w:r>
          </w:p>
        </w:tc>
        <w:tc>
          <w:tcPr>
            <w:tcW w:w="1029" w:type="pct"/>
            <w:tcBorders>
              <w:top w:val="single" w:color="auto" w:sz="4" w:space="0"/>
              <w:left w:val="single" w:color="auto" w:sz="4" w:space="0"/>
              <w:bottom w:val="single" w:color="auto" w:sz="4" w:space="0"/>
              <w:right w:val="single" w:color="auto" w:sz="4" w:space="0"/>
            </w:tcBorders>
            <w:noWrap w:val="0"/>
            <w:vAlign w:val="center"/>
          </w:tcPr>
          <w:p w14:paraId="2A6A7422">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r>
      <w:tr w14:paraId="291C91D5">
        <w:tblPrEx>
          <w:tblCellMar>
            <w:top w:w="57" w:type="dxa"/>
            <w:left w:w="57" w:type="dxa"/>
            <w:bottom w:w="57" w:type="dxa"/>
            <w:right w:w="57" w:type="dxa"/>
          </w:tblCellMar>
        </w:tblPrEx>
        <w:trPr>
          <w:cantSplit/>
          <w:trHeight w:val="567"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14:paraId="5114066D">
            <w:pPr>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类似项目工作经验</w:t>
            </w:r>
          </w:p>
        </w:tc>
      </w:tr>
      <w:tr w14:paraId="69B3BAF0">
        <w:tblPrEx>
          <w:tblCellMar>
            <w:top w:w="57" w:type="dxa"/>
            <w:left w:w="57" w:type="dxa"/>
            <w:bottom w:w="57" w:type="dxa"/>
            <w:right w:w="57" w:type="dxa"/>
          </w:tblCellMar>
        </w:tblPrEx>
        <w:trPr>
          <w:cantSplit/>
          <w:trHeight w:val="567" w:hRule="atLeast"/>
          <w:jc w:val="center"/>
        </w:trPr>
        <w:tc>
          <w:tcPr>
            <w:tcW w:w="735" w:type="pct"/>
            <w:tcBorders>
              <w:top w:val="single" w:color="auto" w:sz="4" w:space="0"/>
              <w:left w:val="single" w:color="auto" w:sz="4" w:space="0"/>
              <w:bottom w:val="single" w:color="auto" w:sz="4" w:space="0"/>
              <w:right w:val="single" w:color="auto" w:sz="4" w:space="0"/>
            </w:tcBorders>
            <w:noWrap w:val="0"/>
            <w:vAlign w:val="center"/>
          </w:tcPr>
          <w:p w14:paraId="23322DE4">
            <w:pPr>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p>
        </w:tc>
        <w:tc>
          <w:tcPr>
            <w:tcW w:w="1357" w:type="pct"/>
            <w:gridSpan w:val="4"/>
            <w:tcBorders>
              <w:top w:val="single" w:color="auto" w:sz="4" w:space="0"/>
              <w:left w:val="single" w:color="auto" w:sz="4" w:space="0"/>
              <w:bottom w:val="single" w:color="auto" w:sz="4" w:space="0"/>
              <w:right w:val="single" w:color="auto" w:sz="4" w:space="0"/>
            </w:tcBorders>
            <w:noWrap w:val="0"/>
            <w:vAlign w:val="center"/>
          </w:tcPr>
          <w:p w14:paraId="40C03369">
            <w:pPr>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参加过的类似项目</w:t>
            </w:r>
          </w:p>
        </w:tc>
        <w:tc>
          <w:tcPr>
            <w:tcW w:w="847" w:type="pct"/>
            <w:gridSpan w:val="2"/>
            <w:tcBorders>
              <w:top w:val="single" w:color="auto" w:sz="4" w:space="0"/>
              <w:left w:val="single" w:color="auto" w:sz="4" w:space="0"/>
              <w:bottom w:val="single" w:color="auto" w:sz="4" w:space="0"/>
              <w:right w:val="single" w:color="auto" w:sz="4" w:space="0"/>
            </w:tcBorders>
            <w:noWrap w:val="0"/>
            <w:vAlign w:val="center"/>
          </w:tcPr>
          <w:p w14:paraId="098788CA">
            <w:pPr>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担任职务</w:t>
            </w:r>
          </w:p>
        </w:tc>
        <w:tc>
          <w:tcPr>
            <w:tcW w:w="2058" w:type="pct"/>
            <w:gridSpan w:val="3"/>
            <w:tcBorders>
              <w:top w:val="single" w:color="auto" w:sz="4" w:space="0"/>
              <w:left w:val="single" w:color="auto" w:sz="4" w:space="0"/>
              <w:bottom w:val="single" w:color="auto" w:sz="4" w:space="0"/>
              <w:right w:val="single" w:color="auto" w:sz="4" w:space="0"/>
            </w:tcBorders>
            <w:noWrap w:val="0"/>
            <w:vAlign w:val="center"/>
          </w:tcPr>
          <w:p w14:paraId="3906D29F">
            <w:pPr>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发包人及联系电话</w:t>
            </w:r>
          </w:p>
        </w:tc>
      </w:tr>
      <w:tr w14:paraId="75B0AFDA">
        <w:tblPrEx>
          <w:tblCellMar>
            <w:top w:w="57" w:type="dxa"/>
            <w:left w:w="57" w:type="dxa"/>
            <w:bottom w:w="57" w:type="dxa"/>
            <w:right w:w="57" w:type="dxa"/>
          </w:tblCellMar>
        </w:tblPrEx>
        <w:trPr>
          <w:cantSplit/>
          <w:trHeight w:val="567" w:hRule="atLeast"/>
          <w:jc w:val="center"/>
        </w:trPr>
        <w:tc>
          <w:tcPr>
            <w:tcW w:w="735" w:type="pct"/>
            <w:tcBorders>
              <w:top w:val="single" w:color="auto" w:sz="4" w:space="0"/>
              <w:left w:val="single" w:color="auto" w:sz="4" w:space="0"/>
              <w:bottom w:val="single" w:color="auto" w:sz="4" w:space="0"/>
              <w:right w:val="single" w:color="auto" w:sz="4" w:space="0"/>
            </w:tcBorders>
            <w:noWrap w:val="0"/>
            <w:vAlign w:val="center"/>
          </w:tcPr>
          <w:p w14:paraId="2C8A4424">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357" w:type="pct"/>
            <w:gridSpan w:val="4"/>
            <w:tcBorders>
              <w:top w:val="single" w:color="auto" w:sz="4" w:space="0"/>
              <w:left w:val="single" w:color="auto" w:sz="4" w:space="0"/>
              <w:bottom w:val="single" w:color="auto" w:sz="4" w:space="0"/>
              <w:right w:val="single" w:color="auto" w:sz="4" w:space="0"/>
            </w:tcBorders>
            <w:noWrap w:val="0"/>
            <w:vAlign w:val="center"/>
          </w:tcPr>
          <w:p w14:paraId="1A84E3F3">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847" w:type="pct"/>
            <w:gridSpan w:val="2"/>
            <w:tcBorders>
              <w:top w:val="single" w:color="auto" w:sz="4" w:space="0"/>
              <w:left w:val="single" w:color="auto" w:sz="4" w:space="0"/>
              <w:bottom w:val="single" w:color="auto" w:sz="4" w:space="0"/>
              <w:right w:val="single" w:color="auto" w:sz="4" w:space="0"/>
            </w:tcBorders>
            <w:noWrap w:val="0"/>
            <w:vAlign w:val="center"/>
          </w:tcPr>
          <w:p w14:paraId="12A6E22B">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2058" w:type="pct"/>
            <w:gridSpan w:val="3"/>
            <w:tcBorders>
              <w:top w:val="single" w:color="auto" w:sz="4" w:space="0"/>
              <w:left w:val="single" w:color="auto" w:sz="4" w:space="0"/>
              <w:bottom w:val="single" w:color="auto" w:sz="4" w:space="0"/>
              <w:right w:val="single" w:color="auto" w:sz="4" w:space="0"/>
            </w:tcBorders>
            <w:noWrap w:val="0"/>
            <w:vAlign w:val="center"/>
          </w:tcPr>
          <w:p w14:paraId="4837AEA5">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r>
      <w:tr w14:paraId="4DB7427F">
        <w:tblPrEx>
          <w:tblCellMar>
            <w:top w:w="57" w:type="dxa"/>
            <w:left w:w="57" w:type="dxa"/>
            <w:bottom w:w="57" w:type="dxa"/>
            <w:right w:w="57" w:type="dxa"/>
          </w:tblCellMar>
        </w:tblPrEx>
        <w:trPr>
          <w:cantSplit/>
          <w:trHeight w:val="567" w:hRule="atLeast"/>
          <w:jc w:val="center"/>
        </w:trPr>
        <w:tc>
          <w:tcPr>
            <w:tcW w:w="735" w:type="pct"/>
            <w:tcBorders>
              <w:top w:val="single" w:color="auto" w:sz="4" w:space="0"/>
              <w:left w:val="single" w:color="auto" w:sz="4" w:space="0"/>
              <w:bottom w:val="single" w:color="auto" w:sz="4" w:space="0"/>
              <w:right w:val="single" w:color="auto" w:sz="4" w:space="0"/>
            </w:tcBorders>
            <w:noWrap w:val="0"/>
            <w:vAlign w:val="center"/>
          </w:tcPr>
          <w:p w14:paraId="04E202F8">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357" w:type="pct"/>
            <w:gridSpan w:val="4"/>
            <w:tcBorders>
              <w:top w:val="single" w:color="auto" w:sz="4" w:space="0"/>
              <w:left w:val="single" w:color="auto" w:sz="4" w:space="0"/>
              <w:bottom w:val="single" w:color="auto" w:sz="4" w:space="0"/>
              <w:right w:val="single" w:color="auto" w:sz="4" w:space="0"/>
            </w:tcBorders>
            <w:noWrap w:val="0"/>
            <w:vAlign w:val="center"/>
          </w:tcPr>
          <w:p w14:paraId="1FD31BBC">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847" w:type="pct"/>
            <w:gridSpan w:val="2"/>
            <w:tcBorders>
              <w:top w:val="single" w:color="auto" w:sz="4" w:space="0"/>
              <w:left w:val="single" w:color="auto" w:sz="4" w:space="0"/>
              <w:bottom w:val="single" w:color="auto" w:sz="4" w:space="0"/>
              <w:right w:val="single" w:color="auto" w:sz="4" w:space="0"/>
            </w:tcBorders>
            <w:noWrap w:val="0"/>
            <w:vAlign w:val="center"/>
          </w:tcPr>
          <w:p w14:paraId="3A954637">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2058" w:type="pct"/>
            <w:gridSpan w:val="3"/>
            <w:tcBorders>
              <w:top w:val="single" w:color="auto" w:sz="4" w:space="0"/>
              <w:left w:val="single" w:color="auto" w:sz="4" w:space="0"/>
              <w:bottom w:val="single" w:color="auto" w:sz="4" w:space="0"/>
              <w:right w:val="single" w:color="auto" w:sz="4" w:space="0"/>
            </w:tcBorders>
            <w:noWrap w:val="0"/>
            <w:vAlign w:val="center"/>
          </w:tcPr>
          <w:p w14:paraId="3ED1039B">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r>
      <w:tr w14:paraId="55361E3F">
        <w:tblPrEx>
          <w:tblCellMar>
            <w:top w:w="57" w:type="dxa"/>
            <w:left w:w="57" w:type="dxa"/>
            <w:bottom w:w="57" w:type="dxa"/>
            <w:right w:w="57" w:type="dxa"/>
          </w:tblCellMar>
        </w:tblPrEx>
        <w:trPr>
          <w:cantSplit/>
          <w:trHeight w:val="567" w:hRule="atLeast"/>
          <w:jc w:val="center"/>
        </w:trPr>
        <w:tc>
          <w:tcPr>
            <w:tcW w:w="735" w:type="pct"/>
            <w:tcBorders>
              <w:top w:val="single" w:color="auto" w:sz="4" w:space="0"/>
              <w:left w:val="single" w:color="auto" w:sz="4" w:space="0"/>
              <w:bottom w:val="single" w:color="auto" w:sz="4" w:space="0"/>
              <w:right w:val="single" w:color="auto" w:sz="4" w:space="0"/>
            </w:tcBorders>
            <w:noWrap w:val="0"/>
            <w:vAlign w:val="center"/>
          </w:tcPr>
          <w:p w14:paraId="6680034B">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357" w:type="pct"/>
            <w:gridSpan w:val="4"/>
            <w:tcBorders>
              <w:top w:val="single" w:color="auto" w:sz="4" w:space="0"/>
              <w:left w:val="single" w:color="auto" w:sz="4" w:space="0"/>
              <w:bottom w:val="single" w:color="auto" w:sz="4" w:space="0"/>
              <w:right w:val="single" w:color="auto" w:sz="4" w:space="0"/>
            </w:tcBorders>
            <w:noWrap w:val="0"/>
            <w:vAlign w:val="center"/>
          </w:tcPr>
          <w:p w14:paraId="41934B54">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847" w:type="pct"/>
            <w:gridSpan w:val="2"/>
            <w:tcBorders>
              <w:top w:val="single" w:color="auto" w:sz="4" w:space="0"/>
              <w:left w:val="single" w:color="auto" w:sz="4" w:space="0"/>
              <w:bottom w:val="single" w:color="auto" w:sz="4" w:space="0"/>
              <w:right w:val="single" w:color="auto" w:sz="4" w:space="0"/>
            </w:tcBorders>
            <w:noWrap w:val="0"/>
            <w:vAlign w:val="center"/>
          </w:tcPr>
          <w:p w14:paraId="478620B0">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2058" w:type="pct"/>
            <w:gridSpan w:val="3"/>
            <w:tcBorders>
              <w:top w:val="single" w:color="auto" w:sz="4" w:space="0"/>
              <w:left w:val="single" w:color="auto" w:sz="4" w:space="0"/>
              <w:bottom w:val="single" w:color="auto" w:sz="4" w:space="0"/>
              <w:right w:val="single" w:color="auto" w:sz="4" w:space="0"/>
            </w:tcBorders>
            <w:noWrap w:val="0"/>
            <w:vAlign w:val="center"/>
          </w:tcPr>
          <w:p w14:paraId="04F4FA9F">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r>
    </w:tbl>
    <w:p w14:paraId="379BB91B">
      <w:pPr>
        <w:pageBreakBefore w:val="0"/>
        <w:kinsoku/>
        <w:wordWrap/>
        <w:overflowPunct/>
        <w:topLinePunct w:val="0"/>
        <w:bidi w:val="0"/>
        <w:spacing w:line="360" w:lineRule="auto"/>
        <w:ind w:left="424" w:leftChars="202"/>
        <w:rPr>
          <w:rFonts w:hint="eastAsia" w:ascii="宋体" w:hAnsi="宋体" w:eastAsia="宋体" w:cs="宋体"/>
          <w:sz w:val="21"/>
          <w:szCs w:val="21"/>
          <w:highlight w:val="none"/>
        </w:rPr>
      </w:pPr>
    </w:p>
    <w:p w14:paraId="498E1A4E">
      <w:pPr>
        <w:pageBreakBefore w:val="0"/>
        <w:kinsoku/>
        <w:wordWrap/>
        <w:overflowPunct/>
        <w:topLinePunct w:val="0"/>
        <w:bidi w:val="0"/>
        <w:spacing w:line="360" w:lineRule="auto"/>
        <w:ind w:left="424" w:leftChars="202"/>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人名称：</w:t>
      </w:r>
      <w:r>
        <w:rPr>
          <w:rFonts w:hint="eastAsia" w:ascii="宋体" w:hAnsi="宋体" w:eastAsia="宋体" w:cs="宋体"/>
          <w:b/>
          <w:spacing w:val="20"/>
          <w:sz w:val="21"/>
          <w:szCs w:val="21"/>
          <w:highlight w:val="none"/>
          <w:u w:val="single"/>
        </w:rPr>
        <w:t xml:space="preserve">                </w:t>
      </w:r>
      <w:r>
        <w:rPr>
          <w:rFonts w:hint="eastAsia" w:ascii="宋体" w:hAnsi="宋体" w:eastAsia="宋体" w:cs="宋体"/>
          <w:sz w:val="21"/>
          <w:szCs w:val="21"/>
          <w:highlight w:val="none"/>
        </w:rPr>
        <w:t xml:space="preserve">（加盖公章）  </w:t>
      </w:r>
    </w:p>
    <w:p w14:paraId="0C84E91A">
      <w:pPr>
        <w:pageBreakBefore w:val="0"/>
        <w:kinsoku/>
        <w:wordWrap/>
        <w:overflowPunct/>
        <w:topLinePunct w:val="0"/>
        <w:bidi w:val="0"/>
        <w:spacing w:line="360" w:lineRule="auto"/>
        <w:ind w:left="424" w:leftChars="202"/>
        <w:rPr>
          <w:rFonts w:hint="eastAsia" w:ascii="宋体" w:hAnsi="宋体" w:eastAsia="宋体" w:cs="宋体"/>
          <w:sz w:val="21"/>
          <w:szCs w:val="21"/>
          <w:highlight w:val="none"/>
        </w:rPr>
      </w:pPr>
      <w:r>
        <w:rPr>
          <w:rFonts w:hint="eastAsia" w:ascii="宋体" w:hAnsi="宋体" w:eastAsia="宋体" w:cs="宋体"/>
          <w:spacing w:val="-4"/>
          <w:sz w:val="21"/>
          <w:szCs w:val="21"/>
          <w:highlight w:val="none"/>
          <w:lang w:val="en-US" w:eastAsia="zh-CN"/>
        </w:rPr>
        <w:t>响应</w:t>
      </w:r>
      <w:r>
        <w:rPr>
          <w:rFonts w:hint="eastAsia" w:ascii="宋体" w:hAnsi="宋体" w:eastAsia="宋体" w:cs="宋体"/>
          <w:spacing w:val="-4"/>
          <w:sz w:val="21"/>
          <w:szCs w:val="21"/>
          <w:highlight w:val="none"/>
        </w:rPr>
        <w:t>人代表</w:t>
      </w:r>
      <w:r>
        <w:rPr>
          <w:rFonts w:hint="eastAsia" w:ascii="宋体" w:hAnsi="宋体" w:eastAsia="宋体" w:cs="宋体"/>
          <w:sz w:val="21"/>
          <w:szCs w:val="21"/>
          <w:highlight w:val="none"/>
        </w:rPr>
        <w:t>：</w:t>
      </w:r>
      <w:r>
        <w:rPr>
          <w:rFonts w:hint="eastAsia" w:ascii="宋体" w:hAnsi="宋体" w:eastAsia="宋体" w:cs="宋体"/>
          <w:b/>
          <w:spacing w:val="20"/>
          <w:sz w:val="21"/>
          <w:szCs w:val="21"/>
          <w:highlight w:val="none"/>
          <w:u w:val="single"/>
        </w:rPr>
        <w:t xml:space="preserve">           </w:t>
      </w:r>
      <w:r>
        <w:rPr>
          <w:rFonts w:hint="eastAsia" w:ascii="宋体" w:hAnsi="宋体" w:eastAsia="宋体" w:cs="宋体"/>
          <w:sz w:val="21"/>
          <w:szCs w:val="21"/>
          <w:highlight w:val="none"/>
        </w:rPr>
        <w:t>（签字）</w:t>
      </w:r>
    </w:p>
    <w:p w14:paraId="35F5E178">
      <w:pPr>
        <w:pageBreakBefore w:val="0"/>
        <w:kinsoku/>
        <w:wordWrap/>
        <w:overflowPunct/>
        <w:topLinePunct w:val="0"/>
        <w:bidi w:val="0"/>
        <w:spacing w:line="360" w:lineRule="auto"/>
        <w:ind w:left="424" w:leftChars="202"/>
        <w:rPr>
          <w:rFonts w:hint="eastAsia" w:ascii="宋体" w:hAnsi="宋体" w:eastAsia="宋体" w:cs="宋体"/>
          <w:spacing w:val="20"/>
          <w:sz w:val="21"/>
          <w:szCs w:val="21"/>
          <w:highlight w:val="none"/>
        </w:rPr>
      </w:pPr>
      <w:r>
        <w:rPr>
          <w:rFonts w:hint="eastAsia" w:ascii="宋体" w:hAnsi="宋体" w:eastAsia="宋体" w:cs="宋体"/>
          <w:spacing w:val="20"/>
          <w:sz w:val="21"/>
          <w:szCs w:val="21"/>
          <w:highlight w:val="none"/>
        </w:rPr>
        <w:t>日期：</w:t>
      </w:r>
      <w:r>
        <w:rPr>
          <w:rFonts w:hint="eastAsia" w:ascii="宋体" w:hAnsi="宋体" w:eastAsia="宋体" w:cs="宋体"/>
          <w:spacing w:val="20"/>
          <w:sz w:val="21"/>
          <w:szCs w:val="21"/>
          <w:highlight w:val="none"/>
          <w:u w:val="single"/>
        </w:rPr>
        <w:t xml:space="preserve">    </w:t>
      </w:r>
      <w:r>
        <w:rPr>
          <w:rFonts w:hint="eastAsia" w:ascii="宋体" w:hAnsi="宋体" w:eastAsia="宋体" w:cs="宋体"/>
          <w:spacing w:val="20"/>
          <w:sz w:val="21"/>
          <w:szCs w:val="21"/>
          <w:highlight w:val="none"/>
        </w:rPr>
        <w:t>年</w:t>
      </w:r>
      <w:r>
        <w:rPr>
          <w:rFonts w:hint="eastAsia" w:ascii="宋体" w:hAnsi="宋体" w:eastAsia="宋体" w:cs="宋体"/>
          <w:spacing w:val="20"/>
          <w:sz w:val="21"/>
          <w:szCs w:val="21"/>
          <w:highlight w:val="none"/>
          <w:u w:val="single"/>
        </w:rPr>
        <w:t xml:space="preserve">   </w:t>
      </w:r>
      <w:r>
        <w:rPr>
          <w:rFonts w:hint="eastAsia" w:ascii="宋体" w:hAnsi="宋体" w:eastAsia="宋体" w:cs="宋体"/>
          <w:spacing w:val="20"/>
          <w:sz w:val="21"/>
          <w:szCs w:val="21"/>
          <w:highlight w:val="none"/>
        </w:rPr>
        <w:t>月</w:t>
      </w:r>
      <w:r>
        <w:rPr>
          <w:rFonts w:hint="eastAsia" w:ascii="宋体" w:hAnsi="宋体" w:eastAsia="宋体" w:cs="宋体"/>
          <w:spacing w:val="20"/>
          <w:sz w:val="21"/>
          <w:szCs w:val="21"/>
          <w:highlight w:val="none"/>
          <w:u w:val="single"/>
        </w:rPr>
        <w:t xml:space="preserve">   </w:t>
      </w:r>
      <w:r>
        <w:rPr>
          <w:rFonts w:hint="eastAsia" w:ascii="宋体" w:hAnsi="宋体" w:eastAsia="宋体" w:cs="宋体"/>
          <w:spacing w:val="20"/>
          <w:sz w:val="21"/>
          <w:szCs w:val="21"/>
          <w:highlight w:val="none"/>
        </w:rPr>
        <w:t>日</w:t>
      </w:r>
    </w:p>
    <w:p w14:paraId="7EFFAE37">
      <w:pPr>
        <w:pageBreakBefore w:val="0"/>
        <w:kinsoku/>
        <w:wordWrap/>
        <w:overflowPunct/>
        <w:topLinePunct w:val="0"/>
        <w:bidi w:val="0"/>
        <w:spacing w:line="360" w:lineRule="auto"/>
        <w:rPr>
          <w:rFonts w:hint="eastAsia" w:ascii="宋体" w:hAnsi="宋体" w:eastAsia="宋体" w:cs="宋体"/>
          <w:b/>
          <w:sz w:val="21"/>
          <w:szCs w:val="21"/>
          <w:highlight w:val="none"/>
        </w:rPr>
      </w:pPr>
      <w:r>
        <w:rPr>
          <w:rFonts w:hint="eastAsia" w:ascii="宋体" w:hAnsi="宋体" w:eastAsia="宋体" w:cs="宋体"/>
          <w:b/>
          <w:bCs/>
          <w:sz w:val="21"/>
          <w:szCs w:val="21"/>
          <w:highlight w:val="none"/>
        </w:rPr>
        <w:br w:type="page"/>
      </w:r>
    </w:p>
    <w:p w14:paraId="493172FE">
      <w:pPr>
        <w:keepNext w:val="0"/>
        <w:keepLines w:val="0"/>
        <w:pageBreakBefore w:val="0"/>
        <w:kinsoku/>
        <w:wordWrap/>
        <w:overflowPunct/>
        <w:topLinePunct w:val="0"/>
        <w:autoSpaceDE/>
        <w:autoSpaceDN/>
        <w:bidi w:val="0"/>
        <w:adjustRightInd/>
        <w:snapToGrid w:val="0"/>
        <w:spacing w:before="50" w:after="156" w:afterLines="50" w:line="360" w:lineRule="auto"/>
        <w:textAlignment w:val="auto"/>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rPr>
        <w:t>格式</w:t>
      </w:r>
      <w:r>
        <w:rPr>
          <w:rFonts w:hint="eastAsia" w:ascii="宋体" w:hAnsi="宋体" w:cs="宋体"/>
          <w:b/>
          <w:sz w:val="21"/>
          <w:szCs w:val="21"/>
          <w:highlight w:val="none"/>
          <w:lang w:val="en-US" w:eastAsia="zh-CN"/>
        </w:rPr>
        <w:t>七</w:t>
      </w:r>
      <w:r>
        <w:rPr>
          <w:rFonts w:hint="eastAsia" w:ascii="宋体" w:hAnsi="宋体" w:eastAsia="宋体" w:cs="宋体"/>
          <w:b/>
          <w:sz w:val="21"/>
          <w:szCs w:val="21"/>
          <w:highlight w:val="none"/>
        </w:rPr>
        <w:t>、项目实施人员一览表</w:t>
      </w:r>
    </w:p>
    <w:tbl>
      <w:tblPr>
        <w:tblStyle w:val="28"/>
        <w:tblW w:w="4998" w:type="pct"/>
        <w:jc w:val="center"/>
        <w:tblLayout w:type="autofit"/>
        <w:tblCellMar>
          <w:top w:w="57" w:type="dxa"/>
          <w:left w:w="57" w:type="dxa"/>
          <w:bottom w:w="57" w:type="dxa"/>
          <w:right w:w="57" w:type="dxa"/>
        </w:tblCellMar>
      </w:tblPr>
      <w:tblGrid>
        <w:gridCol w:w="592"/>
        <w:gridCol w:w="1311"/>
        <w:gridCol w:w="713"/>
        <w:gridCol w:w="855"/>
        <w:gridCol w:w="855"/>
        <w:gridCol w:w="998"/>
        <w:gridCol w:w="1141"/>
        <w:gridCol w:w="855"/>
        <w:gridCol w:w="1283"/>
        <w:gridCol w:w="1429"/>
      </w:tblGrid>
      <w:tr w14:paraId="2777D60D">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332F2C3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653" w:type="pct"/>
            <w:tcBorders>
              <w:top w:val="single" w:color="auto" w:sz="4" w:space="0"/>
              <w:left w:val="single" w:color="auto" w:sz="4" w:space="0"/>
              <w:bottom w:val="single" w:color="auto" w:sz="4" w:space="0"/>
              <w:right w:val="single" w:color="auto" w:sz="4" w:space="0"/>
            </w:tcBorders>
            <w:noWrap w:val="0"/>
            <w:vAlign w:val="center"/>
          </w:tcPr>
          <w:p w14:paraId="05C8241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p>
        </w:tc>
        <w:tc>
          <w:tcPr>
            <w:tcW w:w="355" w:type="pct"/>
            <w:tcBorders>
              <w:top w:val="single" w:color="auto" w:sz="4" w:space="0"/>
              <w:left w:val="single" w:color="auto" w:sz="4" w:space="0"/>
              <w:bottom w:val="single" w:color="auto" w:sz="4" w:space="0"/>
              <w:right w:val="single" w:color="auto" w:sz="4" w:space="0"/>
            </w:tcBorders>
            <w:noWrap w:val="0"/>
            <w:vAlign w:val="center"/>
          </w:tcPr>
          <w:p w14:paraId="1961D28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性别</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513064E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年龄</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049FDBD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学 历</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7988623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专业技术资格</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6597158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证书编号</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390E595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职称</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16A3194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拟任本项目职务</w:t>
            </w:r>
          </w:p>
        </w:tc>
        <w:tc>
          <w:tcPr>
            <w:tcW w:w="711" w:type="pct"/>
            <w:tcBorders>
              <w:top w:val="single" w:color="auto" w:sz="4" w:space="0"/>
              <w:left w:val="single" w:color="auto" w:sz="4" w:space="0"/>
              <w:bottom w:val="single" w:color="auto" w:sz="4" w:space="0"/>
              <w:right w:val="single" w:color="auto" w:sz="4" w:space="0"/>
            </w:tcBorders>
            <w:noWrap w:val="0"/>
            <w:vAlign w:val="center"/>
          </w:tcPr>
          <w:p w14:paraId="5786873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2972CFBF">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17A5675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653" w:type="pct"/>
            <w:tcBorders>
              <w:top w:val="single" w:color="auto" w:sz="4" w:space="0"/>
              <w:left w:val="single" w:color="auto" w:sz="4" w:space="0"/>
              <w:bottom w:val="single" w:color="auto" w:sz="4" w:space="0"/>
              <w:right w:val="single" w:color="auto" w:sz="4" w:space="0"/>
            </w:tcBorders>
            <w:noWrap w:val="0"/>
            <w:vAlign w:val="center"/>
          </w:tcPr>
          <w:p w14:paraId="2D4AF36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0"/>
            <w:vAlign w:val="center"/>
          </w:tcPr>
          <w:p w14:paraId="3BDAA47F">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577BC8C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3F44CC2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34895D8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225A24A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5278995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0D36971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center"/>
          </w:tcPr>
          <w:p w14:paraId="2CBBE18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r>
      <w:tr w14:paraId="1B0AA8B7">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1FB5007F">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653" w:type="pct"/>
            <w:tcBorders>
              <w:top w:val="single" w:color="auto" w:sz="4" w:space="0"/>
              <w:left w:val="single" w:color="auto" w:sz="4" w:space="0"/>
              <w:bottom w:val="single" w:color="auto" w:sz="4" w:space="0"/>
              <w:right w:val="single" w:color="auto" w:sz="4" w:space="0"/>
            </w:tcBorders>
            <w:noWrap w:val="0"/>
            <w:vAlign w:val="center"/>
          </w:tcPr>
          <w:p w14:paraId="3916CA7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0"/>
            <w:vAlign w:val="center"/>
          </w:tcPr>
          <w:p w14:paraId="1F6DEF6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79CDC66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75D93E6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35F33A8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24FF245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389FD89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728A0D9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center"/>
          </w:tcPr>
          <w:p w14:paraId="2AD1745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r>
      <w:tr w14:paraId="5385E5F6">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2523752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653" w:type="pct"/>
            <w:tcBorders>
              <w:top w:val="single" w:color="auto" w:sz="4" w:space="0"/>
              <w:left w:val="single" w:color="auto" w:sz="4" w:space="0"/>
              <w:bottom w:val="single" w:color="auto" w:sz="4" w:space="0"/>
              <w:right w:val="single" w:color="auto" w:sz="4" w:space="0"/>
            </w:tcBorders>
            <w:noWrap w:val="0"/>
            <w:vAlign w:val="center"/>
          </w:tcPr>
          <w:p w14:paraId="1E27028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0"/>
            <w:vAlign w:val="center"/>
          </w:tcPr>
          <w:p w14:paraId="7C36191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2FB06AA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2FC6CE0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1B3ED52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106DA61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5584FB4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6276EC5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center"/>
          </w:tcPr>
          <w:p w14:paraId="0288533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r>
      <w:tr w14:paraId="75D98A40">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500B14D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653" w:type="pct"/>
            <w:tcBorders>
              <w:top w:val="single" w:color="auto" w:sz="4" w:space="0"/>
              <w:left w:val="single" w:color="auto" w:sz="4" w:space="0"/>
              <w:bottom w:val="single" w:color="auto" w:sz="4" w:space="0"/>
              <w:right w:val="single" w:color="auto" w:sz="4" w:space="0"/>
            </w:tcBorders>
            <w:noWrap w:val="0"/>
            <w:vAlign w:val="center"/>
          </w:tcPr>
          <w:p w14:paraId="057F3CF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0"/>
            <w:vAlign w:val="center"/>
          </w:tcPr>
          <w:p w14:paraId="6702CA6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26568F6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6908000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75BF4FD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55789A6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4921F25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09A3CE2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center"/>
          </w:tcPr>
          <w:p w14:paraId="7EBD758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r>
      <w:tr w14:paraId="0B15283B">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4F18F10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653" w:type="pct"/>
            <w:tcBorders>
              <w:top w:val="single" w:color="auto" w:sz="4" w:space="0"/>
              <w:left w:val="single" w:color="auto" w:sz="4" w:space="0"/>
              <w:bottom w:val="single" w:color="auto" w:sz="4" w:space="0"/>
              <w:right w:val="single" w:color="auto" w:sz="4" w:space="0"/>
            </w:tcBorders>
            <w:noWrap w:val="0"/>
            <w:vAlign w:val="center"/>
          </w:tcPr>
          <w:p w14:paraId="2E49258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0"/>
            <w:vAlign w:val="center"/>
          </w:tcPr>
          <w:p w14:paraId="191CCC3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4D319DD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4B09257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3F0D62D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3B6764C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4211A07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0959DCB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center"/>
          </w:tcPr>
          <w:p w14:paraId="21FEE3A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r>
      <w:tr w14:paraId="20702C89">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70181C2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653" w:type="pct"/>
            <w:tcBorders>
              <w:top w:val="single" w:color="auto" w:sz="4" w:space="0"/>
              <w:left w:val="single" w:color="auto" w:sz="4" w:space="0"/>
              <w:bottom w:val="single" w:color="auto" w:sz="4" w:space="0"/>
              <w:right w:val="single" w:color="auto" w:sz="4" w:space="0"/>
            </w:tcBorders>
            <w:noWrap w:val="0"/>
            <w:vAlign w:val="center"/>
          </w:tcPr>
          <w:p w14:paraId="116B12D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0"/>
            <w:vAlign w:val="center"/>
          </w:tcPr>
          <w:p w14:paraId="2D3FCD7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148F5EB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17EF2C3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04DCBAC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222BF88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1F4C7A3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61AA0A8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center"/>
          </w:tcPr>
          <w:p w14:paraId="656B36C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r>
      <w:tr w14:paraId="3DA8A6EA">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20C7D61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653" w:type="pct"/>
            <w:tcBorders>
              <w:top w:val="single" w:color="auto" w:sz="4" w:space="0"/>
              <w:left w:val="single" w:color="auto" w:sz="4" w:space="0"/>
              <w:bottom w:val="single" w:color="auto" w:sz="4" w:space="0"/>
              <w:right w:val="single" w:color="auto" w:sz="4" w:space="0"/>
            </w:tcBorders>
            <w:noWrap w:val="0"/>
            <w:vAlign w:val="center"/>
          </w:tcPr>
          <w:p w14:paraId="2BB93A4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0"/>
            <w:vAlign w:val="center"/>
          </w:tcPr>
          <w:p w14:paraId="45A0079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5151826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233A3A2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4EBEEF9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72B0AA6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4E1A2CA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6CDDE6A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center"/>
          </w:tcPr>
          <w:p w14:paraId="14F4C90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r>
    </w:tbl>
    <w:p w14:paraId="202E61D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spacing w:val="20"/>
          <w:sz w:val="21"/>
          <w:szCs w:val="21"/>
          <w:highlight w:val="none"/>
        </w:rPr>
      </w:pPr>
      <w:r>
        <w:rPr>
          <w:rFonts w:hint="eastAsia" w:ascii="宋体" w:hAnsi="宋体" w:eastAsia="宋体" w:cs="宋体"/>
          <w:b/>
          <w:spacing w:val="20"/>
          <w:sz w:val="21"/>
          <w:szCs w:val="21"/>
          <w:highlight w:val="none"/>
        </w:rPr>
        <w:t>注：在填写时，如本表格不适合投标单位的实际情况，可根据本表格式自行划表填写。</w:t>
      </w:r>
    </w:p>
    <w:p w14:paraId="3D3911A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spacing w:val="20"/>
          <w:sz w:val="21"/>
          <w:szCs w:val="21"/>
          <w:highlight w:val="none"/>
        </w:rPr>
      </w:pPr>
    </w:p>
    <w:p w14:paraId="04A3907D">
      <w:pPr>
        <w:keepNext w:val="0"/>
        <w:keepLines w:val="0"/>
        <w:pageBreakBefore w:val="0"/>
        <w:kinsoku/>
        <w:wordWrap/>
        <w:overflowPunct/>
        <w:topLinePunct w:val="0"/>
        <w:autoSpaceDE/>
        <w:autoSpaceDN/>
        <w:bidi w:val="0"/>
        <w:adjustRightInd/>
        <w:spacing w:line="360" w:lineRule="auto"/>
        <w:ind w:left="424" w:leftChars="202"/>
        <w:textAlignment w:val="auto"/>
        <w:rPr>
          <w:rFonts w:hint="eastAsia" w:ascii="宋体" w:hAnsi="宋体" w:eastAsia="宋体" w:cs="宋体"/>
          <w:sz w:val="21"/>
          <w:szCs w:val="21"/>
          <w:highlight w:val="none"/>
        </w:rPr>
      </w:pPr>
    </w:p>
    <w:p w14:paraId="2542A02B">
      <w:pPr>
        <w:keepNext w:val="0"/>
        <w:keepLines w:val="0"/>
        <w:pageBreakBefore w:val="0"/>
        <w:kinsoku/>
        <w:wordWrap/>
        <w:overflowPunct/>
        <w:topLinePunct w:val="0"/>
        <w:autoSpaceDE/>
        <w:autoSpaceDN/>
        <w:bidi w:val="0"/>
        <w:adjustRightInd/>
        <w:spacing w:line="360" w:lineRule="auto"/>
        <w:ind w:left="424" w:leftChars="202"/>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人名称：</w:t>
      </w:r>
      <w:r>
        <w:rPr>
          <w:rFonts w:hint="eastAsia" w:ascii="宋体" w:hAnsi="宋体" w:eastAsia="宋体" w:cs="宋体"/>
          <w:b/>
          <w:spacing w:val="20"/>
          <w:sz w:val="21"/>
          <w:szCs w:val="21"/>
          <w:highlight w:val="none"/>
          <w:u w:val="single"/>
        </w:rPr>
        <w:t xml:space="preserve">                </w:t>
      </w:r>
      <w:r>
        <w:rPr>
          <w:rFonts w:hint="eastAsia" w:ascii="宋体" w:hAnsi="宋体" w:eastAsia="宋体" w:cs="宋体"/>
          <w:sz w:val="21"/>
          <w:szCs w:val="21"/>
          <w:highlight w:val="none"/>
        </w:rPr>
        <w:t xml:space="preserve">（加盖公章）  </w:t>
      </w:r>
    </w:p>
    <w:p w14:paraId="726A680E">
      <w:pPr>
        <w:keepNext w:val="0"/>
        <w:keepLines w:val="0"/>
        <w:pageBreakBefore w:val="0"/>
        <w:kinsoku/>
        <w:wordWrap/>
        <w:overflowPunct/>
        <w:topLinePunct w:val="0"/>
        <w:autoSpaceDE/>
        <w:autoSpaceDN/>
        <w:bidi w:val="0"/>
        <w:adjustRightInd/>
        <w:spacing w:line="360" w:lineRule="auto"/>
        <w:ind w:left="424" w:leftChars="202"/>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人</w:t>
      </w:r>
      <w:r>
        <w:rPr>
          <w:rFonts w:hint="eastAsia" w:ascii="宋体" w:hAnsi="宋体" w:eastAsia="宋体" w:cs="宋体"/>
          <w:spacing w:val="-4"/>
          <w:sz w:val="21"/>
          <w:szCs w:val="21"/>
          <w:highlight w:val="none"/>
        </w:rPr>
        <w:t>代表</w:t>
      </w:r>
      <w:r>
        <w:rPr>
          <w:rFonts w:hint="eastAsia" w:ascii="宋体" w:hAnsi="宋体" w:eastAsia="宋体" w:cs="宋体"/>
          <w:sz w:val="21"/>
          <w:szCs w:val="21"/>
          <w:highlight w:val="none"/>
        </w:rPr>
        <w:t>：</w:t>
      </w:r>
      <w:r>
        <w:rPr>
          <w:rFonts w:hint="eastAsia" w:ascii="宋体" w:hAnsi="宋体" w:eastAsia="宋体" w:cs="宋体"/>
          <w:b/>
          <w:spacing w:val="20"/>
          <w:sz w:val="21"/>
          <w:szCs w:val="21"/>
          <w:highlight w:val="none"/>
          <w:u w:val="single"/>
        </w:rPr>
        <w:t xml:space="preserve">           </w:t>
      </w:r>
      <w:r>
        <w:rPr>
          <w:rFonts w:hint="eastAsia" w:ascii="宋体" w:hAnsi="宋体" w:eastAsia="宋体" w:cs="宋体"/>
          <w:sz w:val="21"/>
          <w:szCs w:val="21"/>
          <w:highlight w:val="none"/>
        </w:rPr>
        <w:t>（签字）</w:t>
      </w:r>
    </w:p>
    <w:p w14:paraId="0A4C5997">
      <w:pPr>
        <w:keepNext w:val="0"/>
        <w:keepLines w:val="0"/>
        <w:pageBreakBefore w:val="0"/>
        <w:kinsoku/>
        <w:wordWrap/>
        <w:overflowPunct/>
        <w:topLinePunct w:val="0"/>
        <w:autoSpaceDE/>
        <w:autoSpaceDN/>
        <w:bidi w:val="0"/>
        <w:adjustRightInd/>
        <w:spacing w:line="360" w:lineRule="auto"/>
        <w:ind w:left="424" w:leftChars="202"/>
        <w:textAlignment w:val="auto"/>
        <w:rPr>
          <w:rFonts w:hint="eastAsia" w:ascii="宋体" w:hAnsi="宋体" w:eastAsia="宋体" w:cs="宋体"/>
          <w:spacing w:val="20"/>
          <w:sz w:val="21"/>
          <w:szCs w:val="21"/>
          <w:highlight w:val="none"/>
        </w:rPr>
      </w:pPr>
      <w:r>
        <w:rPr>
          <w:rFonts w:hint="eastAsia" w:ascii="宋体" w:hAnsi="宋体" w:eastAsia="宋体" w:cs="宋体"/>
          <w:spacing w:val="20"/>
          <w:sz w:val="21"/>
          <w:szCs w:val="21"/>
          <w:highlight w:val="none"/>
        </w:rPr>
        <w:t>日期：</w:t>
      </w:r>
      <w:r>
        <w:rPr>
          <w:rFonts w:hint="eastAsia" w:ascii="宋体" w:hAnsi="宋体" w:eastAsia="宋体" w:cs="宋体"/>
          <w:spacing w:val="20"/>
          <w:sz w:val="21"/>
          <w:szCs w:val="21"/>
          <w:highlight w:val="none"/>
          <w:u w:val="single"/>
        </w:rPr>
        <w:t xml:space="preserve">    </w:t>
      </w:r>
      <w:r>
        <w:rPr>
          <w:rFonts w:hint="eastAsia" w:ascii="宋体" w:hAnsi="宋体" w:eastAsia="宋体" w:cs="宋体"/>
          <w:spacing w:val="20"/>
          <w:sz w:val="21"/>
          <w:szCs w:val="21"/>
          <w:highlight w:val="none"/>
        </w:rPr>
        <w:t>年</w:t>
      </w:r>
      <w:r>
        <w:rPr>
          <w:rFonts w:hint="eastAsia" w:ascii="宋体" w:hAnsi="宋体" w:eastAsia="宋体" w:cs="宋体"/>
          <w:spacing w:val="20"/>
          <w:sz w:val="21"/>
          <w:szCs w:val="21"/>
          <w:highlight w:val="none"/>
          <w:u w:val="single"/>
        </w:rPr>
        <w:t xml:space="preserve">   </w:t>
      </w:r>
      <w:r>
        <w:rPr>
          <w:rFonts w:hint="eastAsia" w:ascii="宋体" w:hAnsi="宋体" w:eastAsia="宋体" w:cs="宋体"/>
          <w:spacing w:val="20"/>
          <w:sz w:val="21"/>
          <w:szCs w:val="21"/>
          <w:highlight w:val="none"/>
        </w:rPr>
        <w:t>月</w:t>
      </w:r>
      <w:r>
        <w:rPr>
          <w:rFonts w:hint="eastAsia" w:ascii="宋体" w:hAnsi="宋体" w:eastAsia="宋体" w:cs="宋体"/>
          <w:spacing w:val="20"/>
          <w:sz w:val="21"/>
          <w:szCs w:val="21"/>
          <w:highlight w:val="none"/>
          <w:u w:val="single"/>
        </w:rPr>
        <w:t xml:space="preserve">   </w:t>
      </w:r>
      <w:r>
        <w:rPr>
          <w:rFonts w:hint="eastAsia" w:ascii="宋体" w:hAnsi="宋体" w:eastAsia="宋体" w:cs="宋体"/>
          <w:spacing w:val="20"/>
          <w:sz w:val="21"/>
          <w:szCs w:val="21"/>
          <w:highlight w:val="none"/>
        </w:rPr>
        <w:t>日</w:t>
      </w:r>
    </w:p>
    <w:p w14:paraId="41C8FF95">
      <w:pPr>
        <w:keepNext w:val="0"/>
        <w:keepLines w:val="0"/>
        <w:pageBreakBefore w:val="0"/>
        <w:kinsoku/>
        <w:wordWrap/>
        <w:overflowPunct/>
        <w:topLinePunct w:val="0"/>
        <w:autoSpaceDE/>
        <w:autoSpaceDN/>
        <w:bidi w:val="0"/>
        <w:adjustRightInd/>
        <w:spacing w:line="360" w:lineRule="auto"/>
        <w:textAlignment w:val="auto"/>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rPr>
        <w:br w:type="page"/>
      </w:r>
      <w:r>
        <w:rPr>
          <w:rFonts w:hint="eastAsia" w:ascii="宋体" w:hAnsi="宋体" w:eastAsia="宋体" w:cs="宋体"/>
          <w:b/>
          <w:sz w:val="21"/>
          <w:szCs w:val="21"/>
          <w:highlight w:val="none"/>
        </w:rPr>
        <w:t>格式</w:t>
      </w:r>
      <w:r>
        <w:rPr>
          <w:rFonts w:hint="eastAsia" w:ascii="宋体" w:hAnsi="宋体" w:cs="宋体"/>
          <w:b/>
          <w:sz w:val="21"/>
          <w:szCs w:val="21"/>
          <w:highlight w:val="none"/>
          <w:lang w:val="en-US" w:eastAsia="zh-CN"/>
        </w:rPr>
        <w:t>八</w:t>
      </w:r>
      <w:r>
        <w:rPr>
          <w:rFonts w:hint="eastAsia" w:ascii="宋体" w:hAnsi="宋体" w:eastAsia="宋体" w:cs="宋体"/>
          <w:b/>
          <w:sz w:val="21"/>
          <w:szCs w:val="21"/>
          <w:highlight w:val="none"/>
        </w:rPr>
        <w:t>、相关项目实施业绩一览表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906"/>
        <w:gridCol w:w="2468"/>
        <w:gridCol w:w="1898"/>
        <w:gridCol w:w="1328"/>
        <w:gridCol w:w="1757"/>
      </w:tblGrid>
      <w:tr w14:paraId="6885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83" w:type="pct"/>
            <w:noWrap w:val="0"/>
            <w:vAlign w:val="center"/>
          </w:tcPr>
          <w:p w14:paraId="61D3F67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940" w:type="pct"/>
            <w:noWrap w:val="0"/>
            <w:vAlign w:val="center"/>
          </w:tcPr>
          <w:p w14:paraId="7E60DFA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采购单位</w:t>
            </w:r>
          </w:p>
        </w:tc>
        <w:tc>
          <w:tcPr>
            <w:tcW w:w="1217" w:type="pct"/>
            <w:noWrap w:val="0"/>
            <w:vAlign w:val="center"/>
          </w:tcPr>
          <w:p w14:paraId="32B9DB7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项目简要描述</w:t>
            </w:r>
          </w:p>
        </w:tc>
        <w:tc>
          <w:tcPr>
            <w:tcW w:w="936" w:type="pct"/>
            <w:noWrap w:val="0"/>
            <w:vAlign w:val="center"/>
          </w:tcPr>
          <w:p w14:paraId="68545C4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项目金额</w:t>
            </w:r>
          </w:p>
          <w:p w14:paraId="405C2CE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（元）</w:t>
            </w:r>
          </w:p>
        </w:tc>
        <w:tc>
          <w:tcPr>
            <w:tcW w:w="655" w:type="pct"/>
            <w:noWrap w:val="0"/>
            <w:vAlign w:val="center"/>
          </w:tcPr>
          <w:p w14:paraId="02338BB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实施时间</w:t>
            </w:r>
          </w:p>
        </w:tc>
        <w:tc>
          <w:tcPr>
            <w:tcW w:w="866" w:type="pct"/>
            <w:noWrap w:val="0"/>
            <w:vAlign w:val="center"/>
          </w:tcPr>
          <w:p w14:paraId="1E94FE9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采购单位联系人及电话</w:t>
            </w:r>
          </w:p>
        </w:tc>
      </w:tr>
      <w:tr w14:paraId="4D04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83" w:type="pct"/>
            <w:noWrap w:val="0"/>
            <w:vAlign w:val="center"/>
          </w:tcPr>
          <w:p w14:paraId="76555A3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40" w:type="pct"/>
            <w:noWrap w:val="0"/>
            <w:vAlign w:val="center"/>
          </w:tcPr>
          <w:p w14:paraId="6B4C191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1217" w:type="pct"/>
            <w:noWrap w:val="0"/>
            <w:vAlign w:val="center"/>
          </w:tcPr>
          <w:p w14:paraId="3F59CD1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936" w:type="pct"/>
            <w:noWrap w:val="0"/>
            <w:vAlign w:val="center"/>
          </w:tcPr>
          <w:p w14:paraId="1207513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655" w:type="pct"/>
            <w:noWrap w:val="0"/>
            <w:vAlign w:val="center"/>
          </w:tcPr>
          <w:p w14:paraId="0C4E5D9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866" w:type="pct"/>
            <w:noWrap w:val="0"/>
            <w:vAlign w:val="center"/>
          </w:tcPr>
          <w:p w14:paraId="1CB7BD0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r>
      <w:tr w14:paraId="1E63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83" w:type="pct"/>
            <w:noWrap w:val="0"/>
            <w:vAlign w:val="center"/>
          </w:tcPr>
          <w:p w14:paraId="55A12A2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940" w:type="pct"/>
            <w:noWrap w:val="0"/>
            <w:vAlign w:val="center"/>
          </w:tcPr>
          <w:p w14:paraId="0600F0BF">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1217" w:type="pct"/>
            <w:noWrap w:val="0"/>
            <w:vAlign w:val="center"/>
          </w:tcPr>
          <w:p w14:paraId="5D75B2B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936" w:type="pct"/>
            <w:noWrap w:val="0"/>
            <w:vAlign w:val="center"/>
          </w:tcPr>
          <w:p w14:paraId="47C4359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655" w:type="pct"/>
            <w:noWrap w:val="0"/>
            <w:vAlign w:val="center"/>
          </w:tcPr>
          <w:p w14:paraId="154A5D0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866" w:type="pct"/>
            <w:noWrap w:val="0"/>
            <w:vAlign w:val="center"/>
          </w:tcPr>
          <w:p w14:paraId="62DAE16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r>
      <w:tr w14:paraId="47EB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83" w:type="pct"/>
            <w:noWrap w:val="0"/>
            <w:vAlign w:val="center"/>
          </w:tcPr>
          <w:p w14:paraId="5D9DDF6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940" w:type="pct"/>
            <w:noWrap w:val="0"/>
            <w:vAlign w:val="center"/>
          </w:tcPr>
          <w:p w14:paraId="4360611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1217" w:type="pct"/>
            <w:noWrap w:val="0"/>
            <w:vAlign w:val="center"/>
          </w:tcPr>
          <w:p w14:paraId="0609792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936" w:type="pct"/>
            <w:noWrap w:val="0"/>
            <w:vAlign w:val="center"/>
          </w:tcPr>
          <w:p w14:paraId="3887BBE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655" w:type="pct"/>
            <w:noWrap w:val="0"/>
            <w:vAlign w:val="center"/>
          </w:tcPr>
          <w:p w14:paraId="2655C75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866" w:type="pct"/>
            <w:noWrap w:val="0"/>
            <w:vAlign w:val="center"/>
          </w:tcPr>
          <w:p w14:paraId="0F816FD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r>
      <w:tr w14:paraId="5ED4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83" w:type="pct"/>
            <w:noWrap w:val="0"/>
            <w:vAlign w:val="center"/>
          </w:tcPr>
          <w:p w14:paraId="5222EB5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940" w:type="pct"/>
            <w:noWrap w:val="0"/>
            <w:vAlign w:val="center"/>
          </w:tcPr>
          <w:p w14:paraId="1B9DFEB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1217" w:type="pct"/>
            <w:noWrap w:val="0"/>
            <w:vAlign w:val="center"/>
          </w:tcPr>
          <w:p w14:paraId="6AF6927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936" w:type="pct"/>
            <w:noWrap w:val="0"/>
            <w:vAlign w:val="center"/>
          </w:tcPr>
          <w:p w14:paraId="04D0897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655" w:type="pct"/>
            <w:noWrap w:val="0"/>
            <w:vAlign w:val="center"/>
          </w:tcPr>
          <w:p w14:paraId="7787C6E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866" w:type="pct"/>
            <w:noWrap w:val="0"/>
            <w:vAlign w:val="center"/>
          </w:tcPr>
          <w:p w14:paraId="2C60113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r>
      <w:tr w14:paraId="7F1C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83" w:type="pct"/>
            <w:noWrap w:val="0"/>
            <w:vAlign w:val="center"/>
          </w:tcPr>
          <w:p w14:paraId="131B6A7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940" w:type="pct"/>
            <w:noWrap w:val="0"/>
            <w:vAlign w:val="center"/>
          </w:tcPr>
          <w:p w14:paraId="18960E4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1217" w:type="pct"/>
            <w:noWrap w:val="0"/>
            <w:vAlign w:val="center"/>
          </w:tcPr>
          <w:p w14:paraId="50E74EB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936" w:type="pct"/>
            <w:noWrap w:val="0"/>
            <w:vAlign w:val="center"/>
          </w:tcPr>
          <w:p w14:paraId="51253B5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655" w:type="pct"/>
            <w:noWrap w:val="0"/>
            <w:vAlign w:val="center"/>
          </w:tcPr>
          <w:p w14:paraId="1BE3D25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866" w:type="pct"/>
            <w:noWrap w:val="0"/>
            <w:vAlign w:val="center"/>
          </w:tcPr>
          <w:p w14:paraId="30610DA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r>
      <w:tr w14:paraId="2BA5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83" w:type="pct"/>
            <w:noWrap w:val="0"/>
            <w:vAlign w:val="center"/>
          </w:tcPr>
          <w:p w14:paraId="3BFF4ED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940" w:type="pct"/>
            <w:noWrap w:val="0"/>
            <w:vAlign w:val="center"/>
          </w:tcPr>
          <w:p w14:paraId="40DC48A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1217" w:type="pct"/>
            <w:noWrap w:val="0"/>
            <w:vAlign w:val="center"/>
          </w:tcPr>
          <w:p w14:paraId="5573DDC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936" w:type="pct"/>
            <w:noWrap w:val="0"/>
            <w:vAlign w:val="center"/>
          </w:tcPr>
          <w:p w14:paraId="4C53933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655" w:type="pct"/>
            <w:noWrap w:val="0"/>
            <w:vAlign w:val="center"/>
          </w:tcPr>
          <w:p w14:paraId="6328D8E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c>
          <w:tcPr>
            <w:tcW w:w="866" w:type="pct"/>
            <w:noWrap w:val="0"/>
            <w:vAlign w:val="center"/>
          </w:tcPr>
          <w:p w14:paraId="52EA072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tc>
      </w:tr>
    </w:tbl>
    <w:p w14:paraId="382E7ECF">
      <w:pPr>
        <w:keepNext w:val="0"/>
        <w:keepLines w:val="0"/>
        <w:pageBreakBefore w:val="0"/>
        <w:kinsoku/>
        <w:wordWrap/>
        <w:overflowPunct/>
        <w:topLinePunct w:val="0"/>
        <w:autoSpaceDE/>
        <w:autoSpaceDN/>
        <w:bidi w:val="0"/>
        <w:adjustRightInd/>
        <w:spacing w:line="360" w:lineRule="auto"/>
        <w:ind w:left="424" w:leftChars="202"/>
        <w:textAlignment w:val="auto"/>
        <w:rPr>
          <w:rFonts w:hint="eastAsia" w:ascii="宋体" w:hAnsi="宋体" w:eastAsia="宋体" w:cs="宋体"/>
          <w:sz w:val="21"/>
          <w:szCs w:val="21"/>
          <w:highlight w:val="none"/>
        </w:rPr>
      </w:pPr>
    </w:p>
    <w:p w14:paraId="0447808A">
      <w:pPr>
        <w:keepNext w:val="0"/>
        <w:keepLines w:val="0"/>
        <w:pageBreakBefore w:val="0"/>
        <w:kinsoku/>
        <w:wordWrap/>
        <w:overflowPunct/>
        <w:topLinePunct w:val="0"/>
        <w:autoSpaceDE/>
        <w:autoSpaceDN/>
        <w:bidi w:val="0"/>
        <w:adjustRightInd/>
        <w:spacing w:line="360" w:lineRule="auto"/>
        <w:ind w:left="424" w:leftChars="202"/>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人名称：</w:t>
      </w:r>
      <w:r>
        <w:rPr>
          <w:rFonts w:hint="eastAsia" w:ascii="宋体" w:hAnsi="宋体" w:eastAsia="宋体" w:cs="宋体"/>
          <w:b/>
          <w:spacing w:val="20"/>
          <w:sz w:val="21"/>
          <w:szCs w:val="21"/>
          <w:highlight w:val="none"/>
          <w:u w:val="single"/>
        </w:rPr>
        <w:t xml:space="preserve">                </w:t>
      </w:r>
      <w:r>
        <w:rPr>
          <w:rFonts w:hint="eastAsia" w:ascii="宋体" w:hAnsi="宋体" w:eastAsia="宋体" w:cs="宋体"/>
          <w:sz w:val="21"/>
          <w:szCs w:val="21"/>
          <w:highlight w:val="none"/>
        </w:rPr>
        <w:t xml:space="preserve">（加盖公章）  </w:t>
      </w:r>
    </w:p>
    <w:p w14:paraId="51E91402">
      <w:pPr>
        <w:keepNext w:val="0"/>
        <w:keepLines w:val="0"/>
        <w:pageBreakBefore w:val="0"/>
        <w:kinsoku/>
        <w:wordWrap/>
        <w:overflowPunct/>
        <w:topLinePunct w:val="0"/>
        <w:autoSpaceDE/>
        <w:autoSpaceDN/>
        <w:bidi w:val="0"/>
        <w:adjustRightInd/>
        <w:spacing w:line="360" w:lineRule="auto"/>
        <w:ind w:left="424" w:leftChars="202"/>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lang w:val="en-US" w:eastAsia="zh-CN"/>
        </w:rPr>
        <w:t>响应</w:t>
      </w:r>
      <w:r>
        <w:rPr>
          <w:rFonts w:hint="eastAsia" w:ascii="宋体" w:hAnsi="宋体" w:eastAsia="宋体" w:cs="宋体"/>
          <w:spacing w:val="-4"/>
          <w:sz w:val="21"/>
          <w:szCs w:val="21"/>
          <w:highlight w:val="none"/>
        </w:rPr>
        <w:t>人代表</w:t>
      </w:r>
      <w:r>
        <w:rPr>
          <w:rFonts w:hint="eastAsia" w:ascii="宋体" w:hAnsi="宋体" w:eastAsia="宋体" w:cs="宋体"/>
          <w:sz w:val="21"/>
          <w:szCs w:val="21"/>
          <w:highlight w:val="none"/>
        </w:rPr>
        <w:t>：</w:t>
      </w:r>
      <w:r>
        <w:rPr>
          <w:rFonts w:hint="eastAsia" w:ascii="宋体" w:hAnsi="宋体" w:eastAsia="宋体" w:cs="宋体"/>
          <w:b/>
          <w:spacing w:val="20"/>
          <w:sz w:val="21"/>
          <w:szCs w:val="21"/>
          <w:highlight w:val="none"/>
          <w:u w:val="single"/>
        </w:rPr>
        <w:t xml:space="preserve">           </w:t>
      </w:r>
      <w:r>
        <w:rPr>
          <w:rFonts w:hint="eastAsia" w:ascii="宋体" w:hAnsi="宋体" w:eastAsia="宋体" w:cs="宋体"/>
          <w:sz w:val="21"/>
          <w:szCs w:val="21"/>
          <w:highlight w:val="none"/>
        </w:rPr>
        <w:t>（签字）</w:t>
      </w:r>
    </w:p>
    <w:p w14:paraId="5907F3FD">
      <w:pPr>
        <w:keepNext w:val="0"/>
        <w:keepLines w:val="0"/>
        <w:pageBreakBefore w:val="0"/>
        <w:kinsoku/>
        <w:wordWrap/>
        <w:overflowPunct/>
        <w:topLinePunct w:val="0"/>
        <w:autoSpaceDE/>
        <w:autoSpaceDN/>
        <w:bidi w:val="0"/>
        <w:adjustRightInd/>
        <w:spacing w:line="360" w:lineRule="auto"/>
        <w:ind w:left="424" w:leftChars="202"/>
        <w:textAlignment w:val="auto"/>
        <w:rPr>
          <w:rFonts w:hint="eastAsia" w:ascii="宋体" w:hAnsi="宋体" w:eastAsia="宋体" w:cs="宋体"/>
          <w:spacing w:val="20"/>
          <w:sz w:val="21"/>
          <w:szCs w:val="21"/>
          <w:highlight w:val="none"/>
        </w:rPr>
      </w:pPr>
      <w:r>
        <w:rPr>
          <w:rFonts w:hint="eastAsia" w:ascii="宋体" w:hAnsi="宋体" w:eastAsia="宋体" w:cs="宋体"/>
          <w:spacing w:val="20"/>
          <w:sz w:val="21"/>
          <w:szCs w:val="21"/>
          <w:highlight w:val="none"/>
        </w:rPr>
        <w:t>日期：</w:t>
      </w:r>
      <w:r>
        <w:rPr>
          <w:rFonts w:hint="eastAsia" w:ascii="宋体" w:hAnsi="宋体" w:eastAsia="宋体" w:cs="宋体"/>
          <w:spacing w:val="20"/>
          <w:sz w:val="21"/>
          <w:szCs w:val="21"/>
          <w:highlight w:val="none"/>
          <w:u w:val="single"/>
        </w:rPr>
        <w:t xml:space="preserve">    </w:t>
      </w:r>
      <w:r>
        <w:rPr>
          <w:rFonts w:hint="eastAsia" w:ascii="宋体" w:hAnsi="宋体" w:eastAsia="宋体" w:cs="宋体"/>
          <w:spacing w:val="20"/>
          <w:sz w:val="21"/>
          <w:szCs w:val="21"/>
          <w:highlight w:val="none"/>
        </w:rPr>
        <w:t>年</w:t>
      </w:r>
      <w:r>
        <w:rPr>
          <w:rFonts w:hint="eastAsia" w:ascii="宋体" w:hAnsi="宋体" w:eastAsia="宋体" w:cs="宋体"/>
          <w:spacing w:val="20"/>
          <w:sz w:val="21"/>
          <w:szCs w:val="21"/>
          <w:highlight w:val="none"/>
          <w:u w:val="single"/>
        </w:rPr>
        <w:t xml:space="preserve">   </w:t>
      </w:r>
      <w:r>
        <w:rPr>
          <w:rFonts w:hint="eastAsia" w:ascii="宋体" w:hAnsi="宋体" w:eastAsia="宋体" w:cs="宋体"/>
          <w:spacing w:val="20"/>
          <w:sz w:val="21"/>
          <w:szCs w:val="21"/>
          <w:highlight w:val="none"/>
        </w:rPr>
        <w:t>月</w:t>
      </w:r>
      <w:r>
        <w:rPr>
          <w:rFonts w:hint="eastAsia" w:ascii="宋体" w:hAnsi="宋体" w:eastAsia="宋体" w:cs="宋体"/>
          <w:spacing w:val="20"/>
          <w:sz w:val="21"/>
          <w:szCs w:val="21"/>
          <w:highlight w:val="none"/>
          <w:u w:val="single"/>
        </w:rPr>
        <w:t xml:space="preserve">   </w:t>
      </w:r>
      <w:r>
        <w:rPr>
          <w:rFonts w:hint="eastAsia" w:ascii="宋体" w:hAnsi="宋体" w:eastAsia="宋体" w:cs="宋体"/>
          <w:spacing w:val="20"/>
          <w:sz w:val="21"/>
          <w:szCs w:val="21"/>
          <w:highlight w:val="none"/>
        </w:rPr>
        <w:t>日</w:t>
      </w:r>
    </w:p>
    <w:p w14:paraId="1FCED27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1"/>
          <w:szCs w:val="21"/>
          <w:highlight w:val="none"/>
        </w:rPr>
      </w:pPr>
    </w:p>
    <w:p w14:paraId="194F608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rPr>
      </w:pPr>
    </w:p>
    <w:p w14:paraId="5716C8A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rPr>
      </w:pPr>
    </w:p>
    <w:p w14:paraId="3F1CAE2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rPr>
      </w:pPr>
    </w:p>
    <w:p w14:paraId="0DEA923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br w:type="page"/>
      </w:r>
    </w:p>
    <w:p w14:paraId="5823B653">
      <w:pPr>
        <w:pageBreakBefore w:val="0"/>
        <w:kinsoku/>
        <w:wordWrap/>
        <w:overflowPunct/>
        <w:topLinePunct w:val="0"/>
        <w:bidi w:val="0"/>
        <w:snapToGrid w:val="0"/>
        <w:spacing w:before="50" w:after="156" w:afterLines="50" w:line="360" w:lineRule="auto"/>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rPr>
        <w:t>格式</w:t>
      </w:r>
      <w:r>
        <w:rPr>
          <w:rFonts w:hint="eastAsia" w:ascii="宋体" w:hAnsi="宋体" w:cs="宋体"/>
          <w:b/>
          <w:sz w:val="21"/>
          <w:szCs w:val="21"/>
          <w:highlight w:val="none"/>
          <w:lang w:val="en-US" w:eastAsia="zh-CN"/>
        </w:rPr>
        <w:t>九</w:t>
      </w:r>
      <w:r>
        <w:rPr>
          <w:rFonts w:hint="eastAsia" w:ascii="宋体" w:hAnsi="宋体" w:eastAsia="宋体" w:cs="宋体"/>
          <w:b/>
          <w:sz w:val="21"/>
          <w:szCs w:val="21"/>
          <w:highlight w:val="none"/>
        </w:rPr>
        <w:t>、设备配置清单</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521"/>
        <w:gridCol w:w="1522"/>
        <w:gridCol w:w="2528"/>
        <w:gridCol w:w="1522"/>
        <w:gridCol w:w="1522"/>
      </w:tblGrid>
      <w:tr w14:paraId="1B28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21" w:type="dxa"/>
            <w:noWrap w:val="0"/>
            <w:vAlign w:val="center"/>
          </w:tcPr>
          <w:p w14:paraId="7399C871">
            <w:pPr>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521" w:type="dxa"/>
            <w:noWrap w:val="0"/>
            <w:vAlign w:val="center"/>
          </w:tcPr>
          <w:p w14:paraId="61FA1C42">
            <w:pPr>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1522" w:type="dxa"/>
            <w:noWrap w:val="0"/>
            <w:vAlign w:val="center"/>
          </w:tcPr>
          <w:p w14:paraId="207E35ED">
            <w:pPr>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品牌</w:t>
            </w:r>
          </w:p>
        </w:tc>
        <w:tc>
          <w:tcPr>
            <w:tcW w:w="2528" w:type="dxa"/>
            <w:noWrap w:val="0"/>
            <w:vAlign w:val="center"/>
          </w:tcPr>
          <w:p w14:paraId="0688B6C1">
            <w:pPr>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规格型号</w:t>
            </w:r>
          </w:p>
        </w:tc>
        <w:tc>
          <w:tcPr>
            <w:tcW w:w="1522" w:type="dxa"/>
            <w:noWrap w:val="0"/>
            <w:vAlign w:val="center"/>
          </w:tcPr>
          <w:p w14:paraId="71273A2A">
            <w:pPr>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产地</w:t>
            </w:r>
          </w:p>
        </w:tc>
        <w:tc>
          <w:tcPr>
            <w:tcW w:w="1522" w:type="dxa"/>
            <w:noWrap w:val="0"/>
            <w:vAlign w:val="center"/>
          </w:tcPr>
          <w:p w14:paraId="2F867A44">
            <w:pPr>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r>
      <w:tr w14:paraId="5F8F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14:paraId="2A364CC2">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1" w:type="dxa"/>
            <w:noWrap w:val="0"/>
            <w:vAlign w:val="center"/>
          </w:tcPr>
          <w:p w14:paraId="0E197EC2">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24162088">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2528" w:type="dxa"/>
            <w:noWrap w:val="0"/>
            <w:vAlign w:val="center"/>
          </w:tcPr>
          <w:p w14:paraId="3AF3B292">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60A97032">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29C00C26">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r>
      <w:tr w14:paraId="1BF2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14:paraId="07A5D5B1">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1" w:type="dxa"/>
            <w:noWrap w:val="0"/>
            <w:vAlign w:val="center"/>
          </w:tcPr>
          <w:p w14:paraId="13DDBC8A">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0837C60E">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2528" w:type="dxa"/>
            <w:noWrap w:val="0"/>
            <w:vAlign w:val="center"/>
          </w:tcPr>
          <w:p w14:paraId="3BD990EA">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5C213529">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3E3D9B94">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r>
      <w:tr w14:paraId="52A8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14:paraId="168C4DC6">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1" w:type="dxa"/>
            <w:noWrap w:val="0"/>
            <w:vAlign w:val="center"/>
          </w:tcPr>
          <w:p w14:paraId="2C055812">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59308939">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2528" w:type="dxa"/>
            <w:noWrap w:val="0"/>
            <w:vAlign w:val="center"/>
          </w:tcPr>
          <w:p w14:paraId="7021AC1D">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11852718">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7D9047DD">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r>
      <w:tr w14:paraId="1249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14:paraId="4FFCBB94">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1" w:type="dxa"/>
            <w:noWrap w:val="0"/>
            <w:vAlign w:val="center"/>
          </w:tcPr>
          <w:p w14:paraId="49C4D194">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400A1C94">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2528" w:type="dxa"/>
            <w:noWrap w:val="0"/>
            <w:vAlign w:val="center"/>
          </w:tcPr>
          <w:p w14:paraId="2BEDA486">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08027956">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17ACD203">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r>
      <w:tr w14:paraId="4895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14:paraId="3B7B73DF">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1" w:type="dxa"/>
            <w:noWrap w:val="0"/>
            <w:vAlign w:val="center"/>
          </w:tcPr>
          <w:p w14:paraId="2527FFEC">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74C1C5FB">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2528" w:type="dxa"/>
            <w:noWrap w:val="0"/>
            <w:vAlign w:val="center"/>
          </w:tcPr>
          <w:p w14:paraId="02FFACA0">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6A10C4AE">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30870A4E">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r>
      <w:tr w14:paraId="243E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14:paraId="4DA99DA5">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1" w:type="dxa"/>
            <w:noWrap w:val="0"/>
            <w:vAlign w:val="center"/>
          </w:tcPr>
          <w:p w14:paraId="7895A29A">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71F54F0B">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2528" w:type="dxa"/>
            <w:noWrap w:val="0"/>
            <w:vAlign w:val="center"/>
          </w:tcPr>
          <w:p w14:paraId="2A6058A3">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316D619F">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1FE21B05">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r>
      <w:tr w14:paraId="680A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14:paraId="7832440C">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1" w:type="dxa"/>
            <w:noWrap w:val="0"/>
            <w:vAlign w:val="center"/>
          </w:tcPr>
          <w:p w14:paraId="6870DE8F">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2FA906C0">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2528" w:type="dxa"/>
            <w:noWrap w:val="0"/>
            <w:vAlign w:val="center"/>
          </w:tcPr>
          <w:p w14:paraId="275576B2">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01B05BD7">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7FC58F78">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r>
      <w:tr w14:paraId="4F50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14:paraId="5AFBE407">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1" w:type="dxa"/>
            <w:noWrap w:val="0"/>
            <w:vAlign w:val="center"/>
          </w:tcPr>
          <w:p w14:paraId="4EC0E775">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3F1264FF">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2528" w:type="dxa"/>
            <w:noWrap w:val="0"/>
            <w:vAlign w:val="center"/>
          </w:tcPr>
          <w:p w14:paraId="01D21A10">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78101B60">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72F3C6AB">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r>
      <w:tr w14:paraId="77A4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14:paraId="6AD12CD4">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1" w:type="dxa"/>
            <w:noWrap w:val="0"/>
            <w:vAlign w:val="center"/>
          </w:tcPr>
          <w:p w14:paraId="516E8228">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4EA27179">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2528" w:type="dxa"/>
            <w:noWrap w:val="0"/>
            <w:vAlign w:val="center"/>
          </w:tcPr>
          <w:p w14:paraId="0DE10DB4">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35E0119F">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07F4BD7D">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r>
      <w:tr w14:paraId="482A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14:paraId="5F73422F">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1" w:type="dxa"/>
            <w:noWrap w:val="0"/>
            <w:vAlign w:val="center"/>
          </w:tcPr>
          <w:p w14:paraId="2B1B1938">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4B8028A5">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2528" w:type="dxa"/>
            <w:noWrap w:val="0"/>
            <w:vAlign w:val="center"/>
          </w:tcPr>
          <w:p w14:paraId="68C0EC0A">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11AD6778">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c>
          <w:tcPr>
            <w:tcW w:w="1522" w:type="dxa"/>
            <w:noWrap w:val="0"/>
            <w:vAlign w:val="center"/>
          </w:tcPr>
          <w:p w14:paraId="5B5909AB">
            <w:pPr>
              <w:pageBreakBefore w:val="0"/>
              <w:kinsoku/>
              <w:wordWrap/>
              <w:overflowPunct/>
              <w:topLinePunct w:val="0"/>
              <w:bidi w:val="0"/>
              <w:spacing w:line="360" w:lineRule="auto"/>
              <w:jc w:val="center"/>
              <w:rPr>
                <w:rFonts w:hint="eastAsia" w:ascii="宋体" w:hAnsi="宋体" w:eastAsia="宋体" w:cs="宋体"/>
                <w:sz w:val="21"/>
                <w:szCs w:val="21"/>
                <w:highlight w:val="none"/>
              </w:rPr>
            </w:pPr>
          </w:p>
        </w:tc>
      </w:tr>
    </w:tbl>
    <w:p w14:paraId="154A9ED2">
      <w:pPr>
        <w:pageBreakBefore w:val="0"/>
        <w:kinsoku/>
        <w:wordWrap/>
        <w:overflowPunct/>
        <w:topLinePunct w:val="0"/>
        <w:bidi w:val="0"/>
        <w:spacing w:line="360" w:lineRule="auto"/>
        <w:rPr>
          <w:rFonts w:hint="eastAsia" w:ascii="宋体" w:hAnsi="宋体" w:eastAsia="宋体" w:cs="宋体"/>
          <w:b/>
          <w:spacing w:val="20"/>
          <w:sz w:val="21"/>
          <w:szCs w:val="21"/>
          <w:highlight w:val="none"/>
        </w:rPr>
      </w:pPr>
    </w:p>
    <w:p w14:paraId="2D25B937">
      <w:pPr>
        <w:pageBreakBefore w:val="0"/>
        <w:kinsoku/>
        <w:wordWrap/>
        <w:overflowPunct/>
        <w:topLinePunct w:val="0"/>
        <w:bidi w:val="0"/>
        <w:spacing w:line="360" w:lineRule="auto"/>
        <w:ind w:left="424" w:leftChars="202"/>
        <w:rPr>
          <w:rFonts w:hint="eastAsia" w:ascii="宋体" w:hAnsi="宋体" w:eastAsia="宋体" w:cs="宋体"/>
          <w:sz w:val="21"/>
          <w:szCs w:val="21"/>
          <w:highlight w:val="none"/>
        </w:rPr>
      </w:pPr>
    </w:p>
    <w:p w14:paraId="6E779CE8">
      <w:pPr>
        <w:pageBreakBefore w:val="0"/>
        <w:kinsoku/>
        <w:wordWrap/>
        <w:overflowPunct/>
        <w:topLinePunct w:val="0"/>
        <w:bidi w:val="0"/>
        <w:spacing w:line="360" w:lineRule="auto"/>
        <w:ind w:left="424" w:leftChars="202"/>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人名称：</w:t>
      </w:r>
      <w:r>
        <w:rPr>
          <w:rFonts w:hint="eastAsia" w:ascii="宋体" w:hAnsi="宋体" w:eastAsia="宋体" w:cs="宋体"/>
          <w:b/>
          <w:spacing w:val="20"/>
          <w:sz w:val="21"/>
          <w:szCs w:val="21"/>
          <w:highlight w:val="none"/>
          <w:u w:val="single"/>
        </w:rPr>
        <w:t xml:space="preserve">                </w:t>
      </w:r>
      <w:r>
        <w:rPr>
          <w:rFonts w:hint="eastAsia" w:ascii="宋体" w:hAnsi="宋体" w:eastAsia="宋体" w:cs="宋体"/>
          <w:sz w:val="21"/>
          <w:szCs w:val="21"/>
          <w:highlight w:val="none"/>
        </w:rPr>
        <w:t xml:space="preserve">（加盖公章）  </w:t>
      </w:r>
    </w:p>
    <w:p w14:paraId="3C861477">
      <w:pPr>
        <w:pageBreakBefore w:val="0"/>
        <w:kinsoku/>
        <w:wordWrap/>
        <w:overflowPunct/>
        <w:topLinePunct w:val="0"/>
        <w:bidi w:val="0"/>
        <w:spacing w:line="360" w:lineRule="auto"/>
        <w:ind w:left="424" w:leftChars="202"/>
        <w:rPr>
          <w:rFonts w:hint="eastAsia" w:ascii="宋体" w:hAnsi="宋体" w:eastAsia="宋体" w:cs="宋体"/>
          <w:sz w:val="21"/>
          <w:szCs w:val="21"/>
          <w:highlight w:val="none"/>
        </w:rPr>
      </w:pPr>
      <w:r>
        <w:rPr>
          <w:rFonts w:hint="eastAsia" w:ascii="宋体" w:hAnsi="宋体" w:eastAsia="宋体" w:cs="宋体"/>
          <w:spacing w:val="-4"/>
          <w:sz w:val="21"/>
          <w:szCs w:val="21"/>
          <w:highlight w:val="none"/>
          <w:lang w:val="en-US" w:eastAsia="zh-CN"/>
        </w:rPr>
        <w:t>响应</w:t>
      </w:r>
      <w:r>
        <w:rPr>
          <w:rFonts w:hint="eastAsia" w:ascii="宋体" w:hAnsi="宋体" w:eastAsia="宋体" w:cs="宋体"/>
          <w:spacing w:val="-4"/>
          <w:sz w:val="21"/>
          <w:szCs w:val="21"/>
          <w:highlight w:val="none"/>
        </w:rPr>
        <w:t>人代表</w:t>
      </w:r>
      <w:r>
        <w:rPr>
          <w:rFonts w:hint="eastAsia" w:ascii="宋体" w:hAnsi="宋体" w:eastAsia="宋体" w:cs="宋体"/>
          <w:sz w:val="21"/>
          <w:szCs w:val="21"/>
          <w:highlight w:val="none"/>
        </w:rPr>
        <w:t>：</w:t>
      </w:r>
      <w:r>
        <w:rPr>
          <w:rFonts w:hint="eastAsia" w:ascii="宋体" w:hAnsi="宋体" w:eastAsia="宋体" w:cs="宋体"/>
          <w:b/>
          <w:spacing w:val="20"/>
          <w:sz w:val="21"/>
          <w:szCs w:val="21"/>
          <w:highlight w:val="none"/>
          <w:u w:val="single"/>
        </w:rPr>
        <w:t xml:space="preserve">           </w:t>
      </w:r>
      <w:r>
        <w:rPr>
          <w:rFonts w:hint="eastAsia" w:ascii="宋体" w:hAnsi="宋体" w:eastAsia="宋体" w:cs="宋体"/>
          <w:sz w:val="21"/>
          <w:szCs w:val="21"/>
          <w:highlight w:val="none"/>
        </w:rPr>
        <w:t>（签字）</w:t>
      </w:r>
    </w:p>
    <w:p w14:paraId="64F8831C">
      <w:pPr>
        <w:pageBreakBefore w:val="0"/>
        <w:kinsoku/>
        <w:wordWrap/>
        <w:overflowPunct/>
        <w:topLinePunct w:val="0"/>
        <w:bidi w:val="0"/>
        <w:spacing w:line="360" w:lineRule="auto"/>
        <w:ind w:left="424" w:leftChars="202"/>
        <w:rPr>
          <w:rFonts w:hint="eastAsia" w:ascii="宋体" w:hAnsi="宋体" w:eastAsia="宋体" w:cs="宋体"/>
          <w:spacing w:val="20"/>
          <w:sz w:val="21"/>
          <w:szCs w:val="21"/>
          <w:highlight w:val="none"/>
        </w:rPr>
      </w:pPr>
      <w:r>
        <w:rPr>
          <w:rFonts w:hint="eastAsia" w:ascii="宋体" w:hAnsi="宋体" w:eastAsia="宋体" w:cs="宋体"/>
          <w:spacing w:val="20"/>
          <w:sz w:val="21"/>
          <w:szCs w:val="21"/>
          <w:highlight w:val="none"/>
        </w:rPr>
        <w:t>日期：</w:t>
      </w:r>
      <w:r>
        <w:rPr>
          <w:rFonts w:hint="eastAsia" w:ascii="宋体" w:hAnsi="宋体" w:eastAsia="宋体" w:cs="宋体"/>
          <w:spacing w:val="20"/>
          <w:sz w:val="21"/>
          <w:szCs w:val="21"/>
          <w:highlight w:val="none"/>
          <w:u w:val="single"/>
        </w:rPr>
        <w:t xml:space="preserve">    </w:t>
      </w:r>
      <w:r>
        <w:rPr>
          <w:rFonts w:hint="eastAsia" w:ascii="宋体" w:hAnsi="宋体" w:eastAsia="宋体" w:cs="宋体"/>
          <w:spacing w:val="20"/>
          <w:sz w:val="21"/>
          <w:szCs w:val="21"/>
          <w:highlight w:val="none"/>
        </w:rPr>
        <w:t>年</w:t>
      </w:r>
      <w:r>
        <w:rPr>
          <w:rFonts w:hint="eastAsia" w:ascii="宋体" w:hAnsi="宋体" w:eastAsia="宋体" w:cs="宋体"/>
          <w:spacing w:val="20"/>
          <w:sz w:val="21"/>
          <w:szCs w:val="21"/>
          <w:highlight w:val="none"/>
          <w:u w:val="single"/>
        </w:rPr>
        <w:t xml:space="preserve">   </w:t>
      </w:r>
      <w:r>
        <w:rPr>
          <w:rFonts w:hint="eastAsia" w:ascii="宋体" w:hAnsi="宋体" w:eastAsia="宋体" w:cs="宋体"/>
          <w:spacing w:val="20"/>
          <w:sz w:val="21"/>
          <w:szCs w:val="21"/>
          <w:highlight w:val="none"/>
        </w:rPr>
        <w:t>月</w:t>
      </w:r>
      <w:r>
        <w:rPr>
          <w:rFonts w:hint="eastAsia" w:ascii="宋体" w:hAnsi="宋体" w:eastAsia="宋体" w:cs="宋体"/>
          <w:spacing w:val="20"/>
          <w:sz w:val="21"/>
          <w:szCs w:val="21"/>
          <w:highlight w:val="none"/>
          <w:u w:val="single"/>
        </w:rPr>
        <w:t xml:space="preserve">   </w:t>
      </w:r>
      <w:r>
        <w:rPr>
          <w:rFonts w:hint="eastAsia" w:ascii="宋体" w:hAnsi="宋体" w:eastAsia="宋体" w:cs="宋体"/>
          <w:spacing w:val="20"/>
          <w:sz w:val="21"/>
          <w:szCs w:val="21"/>
          <w:highlight w:val="none"/>
        </w:rPr>
        <w:t>日</w:t>
      </w:r>
    </w:p>
    <w:p w14:paraId="779B0684">
      <w:pPr>
        <w:pageBreakBefore w:val="0"/>
        <w:kinsoku/>
        <w:wordWrap/>
        <w:overflowPunct/>
        <w:topLinePunct w:val="0"/>
        <w:bidi w:val="0"/>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br w:type="page"/>
      </w:r>
    </w:p>
    <w:p w14:paraId="360D1124">
      <w:pPr>
        <w:keepNext w:val="0"/>
        <w:keepLines w:val="0"/>
        <w:pageBreakBefore w:val="0"/>
        <w:kinsoku/>
        <w:wordWrap/>
        <w:overflowPunct/>
        <w:topLinePunct w:val="0"/>
        <w:autoSpaceDE/>
        <w:autoSpaceDN/>
        <w:bidi w:val="0"/>
        <w:adjustRightInd/>
        <w:spacing w:line="360" w:lineRule="auto"/>
        <w:textAlignment w:val="auto"/>
        <w:outlineLvl w:val="2"/>
        <w:rPr>
          <w:rFonts w:ascii="宋体" w:cs="宋体"/>
          <w:b/>
          <w:bCs/>
          <w:sz w:val="21"/>
          <w:szCs w:val="21"/>
          <w:highlight w:val="none"/>
        </w:rPr>
      </w:pPr>
      <w:r>
        <w:rPr>
          <w:rFonts w:hint="eastAsia" w:ascii="宋体" w:cs="宋体"/>
          <w:b/>
          <w:bCs/>
          <w:sz w:val="21"/>
          <w:szCs w:val="21"/>
          <w:highlight w:val="none"/>
        </w:rPr>
        <w:t>格式十、质疑函（范本）</w:t>
      </w:r>
    </w:p>
    <w:p w14:paraId="2BC661C4">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sz w:val="21"/>
          <w:szCs w:val="21"/>
          <w:highlight w:val="none"/>
        </w:rPr>
      </w:pPr>
      <w:r>
        <w:rPr>
          <w:rFonts w:hint="eastAsia" w:ascii="宋体" w:hAnsi="宋体"/>
          <w:sz w:val="21"/>
          <w:szCs w:val="21"/>
          <w:highlight w:val="none"/>
        </w:rPr>
        <w:t>质疑函（范本）</w:t>
      </w:r>
    </w:p>
    <w:p w14:paraId="517DDE39">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1"/>
          <w:szCs w:val="21"/>
          <w:highlight w:val="none"/>
        </w:rPr>
      </w:pPr>
      <w:r>
        <w:rPr>
          <w:rFonts w:hint="eastAsia" w:ascii="宋体" w:hAnsi="宋体" w:cs="仿宋"/>
          <w:kern w:val="0"/>
          <w:sz w:val="21"/>
          <w:szCs w:val="21"/>
          <w:highlight w:val="none"/>
          <w:shd w:val="clear" w:color="auto" w:fill="FFFFFF"/>
          <w:lang w:bidi="ar"/>
        </w:rPr>
        <w:t>质疑供应商：</w:t>
      </w:r>
      <w:r>
        <w:rPr>
          <w:rFonts w:hint="eastAsia" w:ascii="宋体" w:hAnsi="宋体" w:cs="Calibri"/>
          <w:kern w:val="0"/>
          <w:sz w:val="21"/>
          <w:szCs w:val="21"/>
          <w:highlight w:val="none"/>
          <w:u w:val="single"/>
          <w:shd w:val="clear" w:color="auto" w:fill="FFFFFF"/>
          <w:lang w:bidi="ar"/>
        </w:rPr>
        <w:t xml:space="preserve">                                                                           </w:t>
      </w:r>
    </w:p>
    <w:p w14:paraId="67CAD377">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1"/>
          <w:szCs w:val="21"/>
          <w:highlight w:val="none"/>
        </w:rPr>
      </w:pPr>
      <w:r>
        <w:rPr>
          <w:rFonts w:hint="eastAsia" w:ascii="宋体" w:hAnsi="宋体" w:cs="仿宋"/>
          <w:kern w:val="0"/>
          <w:sz w:val="21"/>
          <w:szCs w:val="21"/>
          <w:highlight w:val="none"/>
          <w:shd w:val="clear" w:color="auto" w:fill="FFFFFF"/>
          <w:lang w:bidi="ar"/>
        </w:rPr>
        <w:t>地址：</w:t>
      </w:r>
      <w:r>
        <w:rPr>
          <w:rFonts w:hint="eastAsia" w:ascii="宋体" w:hAnsi="宋体" w:cs="Calibri"/>
          <w:kern w:val="0"/>
          <w:sz w:val="21"/>
          <w:szCs w:val="21"/>
          <w:highlight w:val="none"/>
          <w:u w:val="single"/>
          <w:shd w:val="clear" w:color="auto" w:fill="FFFFFF"/>
          <w:lang w:bidi="ar"/>
        </w:rPr>
        <w:t xml:space="preserve">                                                             </w:t>
      </w:r>
      <w:r>
        <w:rPr>
          <w:rFonts w:hint="eastAsia" w:ascii="宋体" w:hAnsi="宋体" w:cs="仿宋"/>
          <w:kern w:val="0"/>
          <w:sz w:val="21"/>
          <w:szCs w:val="21"/>
          <w:highlight w:val="none"/>
          <w:shd w:val="clear" w:color="auto" w:fill="FFFFFF"/>
          <w:lang w:bidi="ar"/>
        </w:rPr>
        <w:t>邮编：</w:t>
      </w:r>
      <w:r>
        <w:rPr>
          <w:rFonts w:hint="eastAsia" w:ascii="宋体" w:hAnsi="宋体" w:cs="Calibri"/>
          <w:kern w:val="0"/>
          <w:sz w:val="21"/>
          <w:szCs w:val="21"/>
          <w:highlight w:val="none"/>
          <w:u w:val="single"/>
          <w:shd w:val="clear" w:color="auto" w:fill="FFFFFF"/>
          <w:lang w:bidi="ar"/>
        </w:rPr>
        <w:t xml:space="preserve">             </w:t>
      </w:r>
    </w:p>
    <w:p w14:paraId="176D3554">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Calibri"/>
          <w:kern w:val="0"/>
          <w:sz w:val="21"/>
          <w:szCs w:val="21"/>
          <w:highlight w:val="none"/>
          <w:u w:val="single"/>
          <w:shd w:val="clear" w:color="auto" w:fill="FFFFFF"/>
          <w:lang w:bidi="ar"/>
        </w:rPr>
      </w:pPr>
      <w:r>
        <w:rPr>
          <w:rFonts w:hint="eastAsia" w:ascii="宋体" w:hAnsi="宋体" w:cs="仿宋"/>
          <w:kern w:val="0"/>
          <w:sz w:val="21"/>
          <w:szCs w:val="21"/>
          <w:highlight w:val="none"/>
          <w:shd w:val="clear" w:color="auto" w:fill="FFFFFF"/>
          <w:lang w:bidi="ar"/>
        </w:rPr>
        <w:t>联系人：</w:t>
      </w:r>
      <w:r>
        <w:rPr>
          <w:rFonts w:hint="eastAsia" w:ascii="宋体" w:hAnsi="宋体" w:cs="Calibri"/>
          <w:kern w:val="0"/>
          <w:sz w:val="21"/>
          <w:szCs w:val="21"/>
          <w:highlight w:val="none"/>
          <w:u w:val="single"/>
          <w:shd w:val="clear" w:color="auto" w:fill="FFFFFF"/>
          <w:lang w:bidi="ar"/>
        </w:rPr>
        <w:t xml:space="preserve">                                                                              </w:t>
      </w:r>
    </w:p>
    <w:p w14:paraId="77E03A69">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1"/>
          <w:szCs w:val="21"/>
          <w:highlight w:val="none"/>
        </w:rPr>
      </w:pPr>
      <w:r>
        <w:rPr>
          <w:rFonts w:hint="eastAsia" w:ascii="宋体" w:hAnsi="宋体" w:cs="仿宋"/>
          <w:kern w:val="0"/>
          <w:sz w:val="21"/>
          <w:szCs w:val="21"/>
          <w:highlight w:val="none"/>
          <w:shd w:val="clear" w:color="auto" w:fill="FFFFFF"/>
          <w:lang w:bidi="ar"/>
        </w:rPr>
        <w:t>联系电话：</w:t>
      </w:r>
      <w:r>
        <w:rPr>
          <w:rFonts w:hint="eastAsia" w:ascii="宋体" w:hAnsi="宋体" w:cs="Calibri"/>
          <w:kern w:val="0"/>
          <w:sz w:val="21"/>
          <w:szCs w:val="21"/>
          <w:highlight w:val="none"/>
          <w:u w:val="single"/>
          <w:shd w:val="clear" w:color="auto" w:fill="FFFFFF"/>
          <w:lang w:bidi="ar"/>
        </w:rPr>
        <w:t xml:space="preserve">                                                                            </w:t>
      </w:r>
    </w:p>
    <w:p w14:paraId="7FC997DC">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Calibri"/>
          <w:kern w:val="0"/>
          <w:sz w:val="21"/>
          <w:szCs w:val="21"/>
          <w:highlight w:val="none"/>
          <w:u w:val="single"/>
          <w:shd w:val="clear" w:color="auto" w:fill="FFFFFF"/>
          <w:lang w:bidi="ar"/>
        </w:rPr>
      </w:pPr>
      <w:r>
        <w:rPr>
          <w:rFonts w:hint="eastAsia" w:ascii="宋体" w:hAnsi="宋体" w:cs="仿宋"/>
          <w:kern w:val="0"/>
          <w:sz w:val="21"/>
          <w:szCs w:val="21"/>
          <w:highlight w:val="none"/>
          <w:shd w:val="clear" w:color="auto" w:fill="FFFFFF"/>
          <w:lang w:bidi="ar"/>
        </w:rPr>
        <w:t>授权代表：</w:t>
      </w:r>
      <w:r>
        <w:rPr>
          <w:rFonts w:hint="eastAsia" w:ascii="宋体" w:hAnsi="宋体" w:cs="Calibri"/>
          <w:kern w:val="0"/>
          <w:sz w:val="21"/>
          <w:szCs w:val="21"/>
          <w:highlight w:val="none"/>
          <w:u w:val="single"/>
          <w:shd w:val="clear" w:color="auto" w:fill="FFFFFF"/>
          <w:lang w:bidi="ar"/>
        </w:rPr>
        <w:t xml:space="preserve">                                                                            </w:t>
      </w:r>
    </w:p>
    <w:p w14:paraId="5ADB68AE">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1"/>
          <w:szCs w:val="21"/>
          <w:highlight w:val="none"/>
        </w:rPr>
      </w:pPr>
      <w:r>
        <w:rPr>
          <w:rFonts w:hint="eastAsia" w:ascii="宋体" w:hAnsi="宋体" w:cs="仿宋"/>
          <w:kern w:val="0"/>
          <w:sz w:val="21"/>
          <w:szCs w:val="21"/>
          <w:highlight w:val="none"/>
          <w:shd w:val="clear" w:color="auto" w:fill="FFFFFF"/>
          <w:lang w:bidi="ar"/>
        </w:rPr>
        <w:t>联系电话：</w:t>
      </w:r>
      <w:r>
        <w:rPr>
          <w:rFonts w:hint="eastAsia" w:ascii="宋体" w:hAnsi="宋体" w:cs="Calibri"/>
          <w:kern w:val="0"/>
          <w:sz w:val="21"/>
          <w:szCs w:val="21"/>
          <w:highlight w:val="none"/>
          <w:u w:val="single"/>
          <w:shd w:val="clear" w:color="auto" w:fill="FFFFFF"/>
          <w:lang w:bidi="ar"/>
        </w:rPr>
        <w:t xml:space="preserve">                                                                            </w:t>
      </w:r>
    </w:p>
    <w:p w14:paraId="5AE8FCEB">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1"/>
          <w:szCs w:val="21"/>
          <w:highlight w:val="none"/>
        </w:rPr>
      </w:pPr>
      <w:r>
        <w:rPr>
          <w:rFonts w:hint="eastAsia" w:ascii="宋体" w:hAnsi="宋体" w:cs="仿宋"/>
          <w:kern w:val="0"/>
          <w:sz w:val="21"/>
          <w:szCs w:val="21"/>
          <w:highlight w:val="none"/>
          <w:shd w:val="clear" w:color="auto" w:fill="FFFFFF"/>
          <w:lang w:bidi="ar"/>
        </w:rPr>
        <w:t>地址：</w:t>
      </w:r>
      <w:r>
        <w:rPr>
          <w:rFonts w:hint="eastAsia" w:ascii="宋体" w:hAnsi="宋体" w:cs="Calibri"/>
          <w:kern w:val="0"/>
          <w:sz w:val="21"/>
          <w:szCs w:val="21"/>
          <w:highlight w:val="none"/>
          <w:u w:val="single"/>
          <w:shd w:val="clear" w:color="auto" w:fill="FFFFFF"/>
          <w:lang w:bidi="ar"/>
        </w:rPr>
        <w:t xml:space="preserve">                                                             </w:t>
      </w:r>
      <w:r>
        <w:rPr>
          <w:rFonts w:hint="eastAsia" w:ascii="宋体" w:hAnsi="宋体" w:cs="仿宋"/>
          <w:kern w:val="0"/>
          <w:sz w:val="21"/>
          <w:szCs w:val="21"/>
          <w:highlight w:val="none"/>
          <w:shd w:val="clear" w:color="auto" w:fill="FFFFFF"/>
          <w:lang w:bidi="ar"/>
        </w:rPr>
        <w:t>邮编：</w:t>
      </w:r>
      <w:r>
        <w:rPr>
          <w:rFonts w:hint="eastAsia" w:ascii="宋体" w:hAnsi="宋体" w:cs="Calibri"/>
          <w:kern w:val="0"/>
          <w:sz w:val="21"/>
          <w:szCs w:val="21"/>
          <w:highlight w:val="none"/>
          <w:u w:val="single"/>
          <w:shd w:val="clear" w:color="auto" w:fill="FFFFFF"/>
          <w:lang w:bidi="ar"/>
        </w:rPr>
        <w:t xml:space="preserve">             </w:t>
      </w:r>
    </w:p>
    <w:p w14:paraId="73246DE5">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黑体"/>
          <w:kern w:val="0"/>
          <w:sz w:val="21"/>
          <w:szCs w:val="21"/>
          <w:highlight w:val="none"/>
          <w:shd w:val="clear" w:color="auto" w:fill="FFFFFF"/>
          <w:lang w:bidi="ar"/>
        </w:rPr>
      </w:pPr>
    </w:p>
    <w:p w14:paraId="2BE54E76">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outlineLvl w:val="9"/>
        <w:rPr>
          <w:rFonts w:ascii="宋体" w:hAnsi="宋体" w:cs="宋体"/>
          <w:sz w:val="21"/>
          <w:szCs w:val="21"/>
          <w:highlight w:val="none"/>
        </w:rPr>
      </w:pPr>
      <w:r>
        <w:rPr>
          <w:rFonts w:ascii="宋体" w:hAnsi="宋体" w:cs="黑体"/>
          <w:kern w:val="0"/>
          <w:sz w:val="21"/>
          <w:szCs w:val="21"/>
          <w:highlight w:val="none"/>
          <w:shd w:val="clear" w:color="auto" w:fill="FFFFFF"/>
          <w:lang w:bidi="ar"/>
        </w:rPr>
        <w:t>二、质疑项目基本情况</w:t>
      </w:r>
    </w:p>
    <w:p w14:paraId="23468923">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1"/>
          <w:szCs w:val="21"/>
          <w:highlight w:val="none"/>
        </w:rPr>
      </w:pPr>
      <w:r>
        <w:rPr>
          <w:rFonts w:hint="eastAsia" w:ascii="宋体" w:hAnsi="宋体" w:cs="仿宋"/>
          <w:kern w:val="0"/>
          <w:sz w:val="21"/>
          <w:szCs w:val="21"/>
          <w:highlight w:val="none"/>
          <w:shd w:val="clear" w:color="auto" w:fill="FFFFFF"/>
          <w:lang w:bidi="ar"/>
        </w:rPr>
        <w:t>质疑项目的名称：</w:t>
      </w:r>
      <w:r>
        <w:rPr>
          <w:rFonts w:hint="eastAsia" w:ascii="宋体" w:hAnsi="宋体" w:cs="Calibri"/>
          <w:kern w:val="0"/>
          <w:sz w:val="21"/>
          <w:szCs w:val="21"/>
          <w:highlight w:val="none"/>
          <w:u w:val="single"/>
          <w:shd w:val="clear" w:color="auto" w:fill="FFFFFF"/>
          <w:lang w:bidi="ar"/>
        </w:rPr>
        <w:t xml:space="preserve">                                                                            </w:t>
      </w:r>
    </w:p>
    <w:p w14:paraId="2DCF3195">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1"/>
          <w:szCs w:val="21"/>
          <w:highlight w:val="none"/>
        </w:rPr>
      </w:pPr>
      <w:r>
        <w:rPr>
          <w:rFonts w:hint="eastAsia" w:ascii="宋体" w:hAnsi="宋体" w:cs="仿宋"/>
          <w:kern w:val="0"/>
          <w:sz w:val="21"/>
          <w:szCs w:val="21"/>
          <w:highlight w:val="none"/>
          <w:shd w:val="clear" w:color="auto" w:fill="FFFFFF"/>
          <w:lang w:bidi="ar"/>
        </w:rPr>
        <w:t>质疑项目的编号：</w:t>
      </w:r>
      <w:r>
        <w:rPr>
          <w:rFonts w:hint="eastAsia" w:ascii="宋体" w:hAnsi="宋体" w:cs="Calibri"/>
          <w:kern w:val="0"/>
          <w:sz w:val="21"/>
          <w:szCs w:val="21"/>
          <w:highlight w:val="none"/>
          <w:u w:val="single"/>
          <w:shd w:val="clear" w:color="auto" w:fill="FFFFFF"/>
          <w:lang w:bidi="ar"/>
        </w:rPr>
        <w:t xml:space="preserve">                                                                            </w:t>
      </w:r>
    </w:p>
    <w:p w14:paraId="78B8A3B8">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1"/>
          <w:szCs w:val="21"/>
          <w:highlight w:val="none"/>
        </w:rPr>
      </w:pPr>
      <w:r>
        <w:rPr>
          <w:rFonts w:hint="eastAsia" w:ascii="宋体" w:hAnsi="宋体" w:cs="仿宋"/>
          <w:kern w:val="0"/>
          <w:sz w:val="21"/>
          <w:szCs w:val="21"/>
          <w:highlight w:val="none"/>
          <w:shd w:val="clear" w:color="auto" w:fill="FFFFFF"/>
          <w:lang w:bidi="ar"/>
        </w:rPr>
        <w:t>采购人名称：</w:t>
      </w:r>
      <w:r>
        <w:rPr>
          <w:rFonts w:hint="eastAsia" w:ascii="宋体" w:hAnsi="宋体" w:cs="Calibri"/>
          <w:kern w:val="0"/>
          <w:sz w:val="21"/>
          <w:szCs w:val="21"/>
          <w:highlight w:val="none"/>
          <w:u w:val="single"/>
          <w:shd w:val="clear" w:color="auto" w:fill="FFFFFF"/>
          <w:lang w:bidi="ar"/>
        </w:rPr>
        <w:t xml:space="preserve">                                                                                </w:t>
      </w:r>
    </w:p>
    <w:p w14:paraId="6A4C4484">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1"/>
          <w:szCs w:val="21"/>
          <w:highlight w:val="none"/>
        </w:rPr>
      </w:pPr>
      <w:r>
        <w:rPr>
          <w:rFonts w:hint="eastAsia" w:ascii="宋体" w:hAnsi="宋体" w:cs="仿宋"/>
          <w:kern w:val="0"/>
          <w:sz w:val="21"/>
          <w:szCs w:val="21"/>
          <w:highlight w:val="none"/>
          <w:shd w:val="clear" w:color="auto" w:fill="FFFFFF"/>
          <w:lang w:bidi="ar"/>
        </w:rPr>
        <w:t>采购文件获取日期：</w:t>
      </w:r>
      <w:r>
        <w:rPr>
          <w:rFonts w:hint="eastAsia" w:ascii="宋体" w:hAnsi="宋体" w:cs="Calibri"/>
          <w:kern w:val="0"/>
          <w:sz w:val="21"/>
          <w:szCs w:val="21"/>
          <w:highlight w:val="none"/>
          <w:u w:val="single"/>
          <w:shd w:val="clear" w:color="auto" w:fill="FFFFFF"/>
          <w:lang w:bidi="ar"/>
        </w:rPr>
        <w:t xml:space="preserve">                                                                          </w:t>
      </w:r>
    </w:p>
    <w:p w14:paraId="713FB946">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outlineLvl w:val="9"/>
        <w:rPr>
          <w:rFonts w:ascii="宋体" w:hAnsi="宋体" w:cs="宋体"/>
          <w:sz w:val="21"/>
          <w:szCs w:val="21"/>
          <w:highlight w:val="none"/>
        </w:rPr>
      </w:pPr>
      <w:r>
        <w:rPr>
          <w:rFonts w:hint="eastAsia" w:ascii="宋体" w:hAnsi="宋体" w:cs="黑体"/>
          <w:kern w:val="0"/>
          <w:sz w:val="21"/>
          <w:szCs w:val="21"/>
          <w:highlight w:val="none"/>
          <w:shd w:val="clear" w:color="auto" w:fill="FFFFFF"/>
          <w:lang w:bidi="ar"/>
        </w:rPr>
        <w:t>三、质疑事项具体内容</w:t>
      </w:r>
    </w:p>
    <w:p w14:paraId="4759042A">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1"/>
          <w:szCs w:val="21"/>
          <w:highlight w:val="none"/>
        </w:rPr>
      </w:pPr>
      <w:r>
        <w:rPr>
          <w:rFonts w:hint="eastAsia" w:ascii="宋体" w:hAnsi="宋体" w:cs="仿宋"/>
          <w:kern w:val="0"/>
          <w:sz w:val="21"/>
          <w:szCs w:val="21"/>
          <w:highlight w:val="none"/>
          <w:shd w:val="clear" w:color="auto" w:fill="FFFFFF"/>
          <w:lang w:bidi="ar"/>
        </w:rPr>
        <w:t>质疑事项1：</w:t>
      </w:r>
      <w:r>
        <w:rPr>
          <w:rFonts w:hint="eastAsia" w:ascii="宋体" w:hAnsi="宋体" w:cs="Calibri"/>
          <w:kern w:val="0"/>
          <w:sz w:val="21"/>
          <w:szCs w:val="21"/>
          <w:highlight w:val="none"/>
          <w:u w:val="single"/>
          <w:shd w:val="clear" w:color="auto" w:fill="FFFFFF"/>
          <w:lang w:bidi="ar"/>
        </w:rPr>
        <w:t xml:space="preserve">                                                                            </w:t>
      </w:r>
    </w:p>
    <w:p w14:paraId="765A0AFC">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1"/>
          <w:szCs w:val="21"/>
          <w:highlight w:val="none"/>
        </w:rPr>
      </w:pPr>
      <w:r>
        <w:rPr>
          <w:rFonts w:hint="eastAsia" w:ascii="宋体" w:hAnsi="宋体" w:cs="仿宋"/>
          <w:kern w:val="0"/>
          <w:sz w:val="21"/>
          <w:szCs w:val="21"/>
          <w:highlight w:val="none"/>
          <w:shd w:val="clear" w:color="auto" w:fill="FFFFFF"/>
          <w:lang w:bidi="ar"/>
        </w:rPr>
        <w:t>事实依据：</w:t>
      </w:r>
      <w:r>
        <w:rPr>
          <w:rFonts w:hint="eastAsia" w:ascii="宋体" w:hAnsi="宋体" w:cs="Calibri"/>
          <w:kern w:val="0"/>
          <w:sz w:val="21"/>
          <w:szCs w:val="21"/>
          <w:highlight w:val="none"/>
          <w:u w:val="single"/>
          <w:shd w:val="clear" w:color="auto" w:fill="FFFFFF"/>
          <w:lang w:bidi="ar"/>
        </w:rPr>
        <w:t xml:space="preserve">                                                                            </w:t>
      </w:r>
    </w:p>
    <w:p w14:paraId="6A3CD466">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1"/>
          <w:szCs w:val="21"/>
          <w:highlight w:val="none"/>
        </w:rPr>
      </w:pPr>
      <w:r>
        <w:rPr>
          <w:rFonts w:hint="eastAsia" w:ascii="宋体" w:hAnsi="宋体" w:cs="仿宋"/>
          <w:kern w:val="0"/>
          <w:sz w:val="21"/>
          <w:szCs w:val="21"/>
          <w:highlight w:val="none"/>
          <w:shd w:val="clear" w:color="auto" w:fill="FFFFFF"/>
          <w:lang w:bidi="ar"/>
        </w:rPr>
        <w:t>法律依据：</w:t>
      </w:r>
      <w:r>
        <w:rPr>
          <w:rFonts w:hint="eastAsia" w:ascii="宋体" w:hAnsi="宋体" w:cs="Calibri"/>
          <w:kern w:val="0"/>
          <w:sz w:val="21"/>
          <w:szCs w:val="21"/>
          <w:highlight w:val="none"/>
          <w:u w:val="single"/>
          <w:shd w:val="clear" w:color="auto" w:fill="FFFFFF"/>
          <w:lang w:bidi="ar"/>
        </w:rPr>
        <w:t xml:space="preserve">                                                                            </w:t>
      </w:r>
    </w:p>
    <w:p w14:paraId="166A1364">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1"/>
          <w:szCs w:val="21"/>
          <w:highlight w:val="none"/>
        </w:rPr>
      </w:pPr>
      <w:r>
        <w:rPr>
          <w:rFonts w:hint="eastAsia" w:ascii="宋体" w:hAnsi="宋体" w:cs="仿宋"/>
          <w:kern w:val="0"/>
          <w:sz w:val="21"/>
          <w:szCs w:val="21"/>
          <w:highlight w:val="none"/>
          <w:shd w:val="clear" w:color="auto" w:fill="FFFFFF"/>
          <w:lang w:bidi="ar"/>
        </w:rPr>
        <w:t>质疑事项2</w:t>
      </w:r>
    </w:p>
    <w:p w14:paraId="0F750FBD">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1"/>
          <w:szCs w:val="21"/>
          <w:highlight w:val="none"/>
        </w:rPr>
      </w:pPr>
      <w:r>
        <w:rPr>
          <w:rFonts w:hint="eastAsia" w:ascii="宋体" w:hAnsi="宋体" w:cs="仿宋"/>
          <w:kern w:val="0"/>
          <w:sz w:val="21"/>
          <w:szCs w:val="21"/>
          <w:highlight w:val="none"/>
          <w:shd w:val="clear" w:color="auto" w:fill="FFFFFF"/>
          <w:lang w:bidi="ar"/>
        </w:rPr>
        <w:t>……</w:t>
      </w:r>
    </w:p>
    <w:p w14:paraId="17465CFB">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outlineLvl w:val="9"/>
        <w:rPr>
          <w:rFonts w:ascii="宋体" w:hAnsi="宋体" w:cs="宋体"/>
          <w:sz w:val="21"/>
          <w:szCs w:val="21"/>
          <w:highlight w:val="none"/>
        </w:rPr>
      </w:pPr>
      <w:r>
        <w:rPr>
          <w:rFonts w:hint="eastAsia" w:ascii="宋体" w:hAnsi="宋体" w:cs="黑体"/>
          <w:kern w:val="0"/>
          <w:sz w:val="21"/>
          <w:szCs w:val="21"/>
          <w:highlight w:val="none"/>
          <w:shd w:val="clear" w:color="auto" w:fill="FFFFFF"/>
          <w:lang w:bidi="ar"/>
        </w:rPr>
        <w:t>四、与质疑事项相关的质疑请求</w:t>
      </w:r>
    </w:p>
    <w:p w14:paraId="0915DFFA">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Calibri"/>
          <w:kern w:val="0"/>
          <w:sz w:val="21"/>
          <w:szCs w:val="21"/>
          <w:highlight w:val="none"/>
          <w:u w:val="single"/>
          <w:shd w:val="clear" w:color="auto" w:fill="FFFFFF"/>
          <w:lang w:bidi="ar"/>
        </w:rPr>
      </w:pPr>
      <w:r>
        <w:rPr>
          <w:rFonts w:hint="eastAsia" w:ascii="宋体" w:hAnsi="宋体" w:cs="仿宋"/>
          <w:kern w:val="0"/>
          <w:sz w:val="21"/>
          <w:szCs w:val="21"/>
          <w:highlight w:val="none"/>
          <w:shd w:val="clear" w:color="auto" w:fill="FFFFFF"/>
          <w:lang w:bidi="ar"/>
        </w:rPr>
        <w:t>请求：</w:t>
      </w:r>
      <w:r>
        <w:rPr>
          <w:rFonts w:hint="eastAsia" w:ascii="宋体" w:hAnsi="宋体" w:cs="Calibri"/>
          <w:kern w:val="0"/>
          <w:sz w:val="21"/>
          <w:szCs w:val="21"/>
          <w:highlight w:val="none"/>
          <w:u w:val="single"/>
          <w:shd w:val="clear" w:color="auto" w:fill="FFFFFF"/>
          <w:lang w:bidi="ar"/>
        </w:rPr>
        <w:t xml:space="preserve">                                                                            </w:t>
      </w:r>
    </w:p>
    <w:p w14:paraId="3FFF6262">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1"/>
          <w:szCs w:val="21"/>
          <w:highlight w:val="none"/>
        </w:rPr>
      </w:pPr>
    </w:p>
    <w:p w14:paraId="2F100B98">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仿宋_GB2312"/>
          <w:kern w:val="0"/>
          <w:sz w:val="21"/>
          <w:szCs w:val="21"/>
          <w:highlight w:val="none"/>
          <w:shd w:val="clear" w:color="auto" w:fill="FFFFFF"/>
          <w:lang w:bidi="ar"/>
        </w:rPr>
      </w:pPr>
      <w:r>
        <w:rPr>
          <w:rFonts w:ascii="宋体" w:hAnsi="宋体" w:cs="仿宋_GB2312"/>
          <w:kern w:val="0"/>
          <w:sz w:val="21"/>
          <w:szCs w:val="21"/>
          <w:highlight w:val="none"/>
          <w:shd w:val="clear" w:color="auto" w:fill="FFFFFF"/>
          <w:lang w:bidi="ar"/>
        </w:rPr>
        <w:t>签字(签章)：</w:t>
      </w:r>
    </w:p>
    <w:p w14:paraId="53C1D480">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1"/>
          <w:szCs w:val="21"/>
          <w:highlight w:val="none"/>
        </w:rPr>
      </w:pPr>
      <w:r>
        <w:rPr>
          <w:rFonts w:ascii="宋体" w:hAnsi="宋体" w:cs="仿宋_GB2312"/>
          <w:kern w:val="0"/>
          <w:sz w:val="21"/>
          <w:szCs w:val="21"/>
          <w:highlight w:val="none"/>
          <w:shd w:val="clear" w:color="auto" w:fill="FFFFFF"/>
          <w:lang w:bidi="ar"/>
        </w:rPr>
        <w:t>公章：</w:t>
      </w:r>
    </w:p>
    <w:p w14:paraId="69F7EF8D">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Calibri"/>
          <w:kern w:val="0"/>
          <w:sz w:val="21"/>
          <w:szCs w:val="21"/>
          <w:highlight w:val="none"/>
          <w:shd w:val="clear" w:color="auto" w:fill="FFFFFF"/>
          <w:lang w:bidi="ar"/>
        </w:rPr>
      </w:pPr>
      <w:r>
        <w:rPr>
          <w:rFonts w:ascii="宋体" w:hAnsi="宋体" w:cs="仿宋_GB2312"/>
          <w:kern w:val="0"/>
          <w:sz w:val="21"/>
          <w:szCs w:val="21"/>
          <w:highlight w:val="none"/>
          <w:shd w:val="clear" w:color="auto" w:fill="FFFFFF"/>
          <w:lang w:bidi="ar"/>
        </w:rPr>
        <w:t>日期：</w:t>
      </w:r>
    </w:p>
    <w:p w14:paraId="2A1378F3">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1"/>
          <w:szCs w:val="21"/>
          <w:highlight w:val="none"/>
        </w:rPr>
      </w:pPr>
    </w:p>
    <w:p w14:paraId="149993A9">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1"/>
          <w:szCs w:val="21"/>
          <w:highlight w:val="none"/>
        </w:rPr>
      </w:pPr>
      <w:r>
        <w:rPr>
          <w:rFonts w:hint="eastAsia" w:ascii="宋体" w:hAnsi="宋体" w:cs="黑体"/>
          <w:b/>
          <w:kern w:val="0"/>
          <w:sz w:val="21"/>
          <w:szCs w:val="21"/>
          <w:highlight w:val="none"/>
          <w:shd w:val="clear" w:color="auto" w:fill="FFFFFF"/>
          <w:lang w:bidi="ar"/>
        </w:rPr>
        <w:t>质疑函制作说明：</w:t>
      </w:r>
    </w:p>
    <w:p w14:paraId="4AFD6161">
      <w:pPr>
        <w:keepNext w:val="0"/>
        <w:keepLines w:val="0"/>
        <w:pageBreakBefore w:val="0"/>
        <w:widowControl/>
        <w:kinsoku/>
        <w:wordWrap/>
        <w:overflowPunct/>
        <w:topLinePunct w:val="0"/>
        <w:autoSpaceDE/>
        <w:autoSpaceDN/>
        <w:bidi w:val="0"/>
        <w:adjustRightInd/>
        <w:spacing w:before="100" w:beforeAutospacing="1" w:after="100" w:afterAutospacing="1" w:line="360" w:lineRule="auto"/>
        <w:ind w:firstLine="640"/>
        <w:jc w:val="left"/>
        <w:textAlignment w:val="auto"/>
        <w:outlineLvl w:val="9"/>
        <w:rPr>
          <w:rFonts w:ascii="宋体" w:hAnsi="宋体" w:cs="宋体"/>
          <w:sz w:val="21"/>
          <w:szCs w:val="21"/>
          <w:highlight w:val="none"/>
        </w:rPr>
      </w:pPr>
      <w:r>
        <w:rPr>
          <w:rFonts w:ascii="宋体" w:hAnsi="宋体" w:cs="仿宋_GB2312"/>
          <w:kern w:val="0"/>
          <w:sz w:val="21"/>
          <w:szCs w:val="21"/>
          <w:highlight w:val="none"/>
          <w:shd w:val="clear" w:color="auto" w:fill="FFFFFF"/>
          <w:lang w:bidi="ar"/>
        </w:rPr>
        <w:t>1.供应商提出质疑时，应提交质疑函和必要的证明材料。</w:t>
      </w:r>
    </w:p>
    <w:p w14:paraId="5046DE94">
      <w:pPr>
        <w:keepNext w:val="0"/>
        <w:keepLines w:val="0"/>
        <w:pageBreakBefore w:val="0"/>
        <w:widowControl/>
        <w:kinsoku/>
        <w:wordWrap/>
        <w:overflowPunct/>
        <w:topLinePunct w:val="0"/>
        <w:autoSpaceDE/>
        <w:autoSpaceDN/>
        <w:bidi w:val="0"/>
        <w:adjustRightInd/>
        <w:spacing w:before="100" w:beforeAutospacing="1" w:after="100" w:afterAutospacing="1" w:line="360" w:lineRule="auto"/>
        <w:ind w:firstLine="640"/>
        <w:jc w:val="left"/>
        <w:textAlignment w:val="auto"/>
        <w:rPr>
          <w:rFonts w:ascii="宋体" w:hAnsi="宋体" w:cs="宋体"/>
          <w:sz w:val="21"/>
          <w:szCs w:val="21"/>
          <w:highlight w:val="none"/>
        </w:rPr>
      </w:pPr>
      <w:r>
        <w:rPr>
          <w:rFonts w:ascii="宋体" w:hAnsi="宋体" w:cs="仿宋_GB2312"/>
          <w:kern w:val="0"/>
          <w:sz w:val="21"/>
          <w:szCs w:val="21"/>
          <w:highlight w:val="none"/>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80ABC95">
      <w:pPr>
        <w:keepNext w:val="0"/>
        <w:keepLines w:val="0"/>
        <w:pageBreakBefore w:val="0"/>
        <w:widowControl/>
        <w:kinsoku/>
        <w:wordWrap/>
        <w:overflowPunct/>
        <w:topLinePunct w:val="0"/>
        <w:autoSpaceDE/>
        <w:autoSpaceDN/>
        <w:bidi w:val="0"/>
        <w:adjustRightInd/>
        <w:spacing w:before="100" w:beforeAutospacing="1" w:after="100" w:afterAutospacing="1" w:line="360" w:lineRule="auto"/>
        <w:ind w:firstLine="640"/>
        <w:jc w:val="left"/>
        <w:textAlignment w:val="auto"/>
        <w:rPr>
          <w:rFonts w:ascii="宋体" w:hAnsi="宋体" w:cs="宋体"/>
          <w:sz w:val="21"/>
          <w:szCs w:val="21"/>
          <w:highlight w:val="none"/>
        </w:rPr>
      </w:pPr>
      <w:r>
        <w:rPr>
          <w:rFonts w:ascii="宋体" w:hAnsi="宋体" w:cs="仿宋_GB2312"/>
          <w:kern w:val="0"/>
          <w:sz w:val="21"/>
          <w:szCs w:val="21"/>
          <w:highlight w:val="none"/>
          <w:shd w:val="clear" w:color="auto" w:fill="FFFFFF"/>
          <w:lang w:bidi="ar"/>
        </w:rPr>
        <w:t>3.质疑供应商若对项目的某一</w:t>
      </w:r>
      <w:r>
        <w:rPr>
          <w:rFonts w:hint="eastAsia" w:ascii="宋体" w:hAnsi="宋体" w:cs="仿宋_GB2312"/>
          <w:kern w:val="0"/>
          <w:sz w:val="21"/>
          <w:szCs w:val="21"/>
          <w:highlight w:val="none"/>
          <w:shd w:val="clear" w:color="auto" w:fill="FFFFFF"/>
          <w:lang w:bidi="ar"/>
        </w:rPr>
        <w:t>标项</w:t>
      </w:r>
      <w:r>
        <w:rPr>
          <w:rFonts w:ascii="宋体" w:hAnsi="宋体" w:cs="仿宋_GB2312"/>
          <w:kern w:val="0"/>
          <w:sz w:val="21"/>
          <w:szCs w:val="21"/>
          <w:highlight w:val="none"/>
          <w:shd w:val="clear" w:color="auto" w:fill="FFFFFF"/>
          <w:lang w:bidi="ar"/>
        </w:rPr>
        <w:t>进行质疑，质疑函中应列明具体</w:t>
      </w:r>
      <w:r>
        <w:rPr>
          <w:rFonts w:hint="eastAsia" w:ascii="宋体" w:hAnsi="宋体" w:cs="仿宋_GB2312"/>
          <w:kern w:val="0"/>
          <w:sz w:val="21"/>
          <w:szCs w:val="21"/>
          <w:highlight w:val="none"/>
          <w:shd w:val="clear" w:color="auto" w:fill="FFFFFF"/>
          <w:lang w:bidi="ar"/>
        </w:rPr>
        <w:t>标项</w:t>
      </w:r>
      <w:r>
        <w:rPr>
          <w:rFonts w:ascii="宋体" w:hAnsi="宋体" w:cs="仿宋_GB2312"/>
          <w:kern w:val="0"/>
          <w:sz w:val="21"/>
          <w:szCs w:val="21"/>
          <w:highlight w:val="none"/>
          <w:shd w:val="clear" w:color="auto" w:fill="FFFFFF"/>
          <w:lang w:bidi="ar"/>
        </w:rPr>
        <w:t>。</w:t>
      </w:r>
    </w:p>
    <w:p w14:paraId="40501482">
      <w:pPr>
        <w:keepNext w:val="0"/>
        <w:keepLines w:val="0"/>
        <w:pageBreakBefore w:val="0"/>
        <w:widowControl/>
        <w:kinsoku/>
        <w:wordWrap/>
        <w:overflowPunct/>
        <w:topLinePunct w:val="0"/>
        <w:autoSpaceDE/>
        <w:autoSpaceDN/>
        <w:bidi w:val="0"/>
        <w:adjustRightInd/>
        <w:spacing w:before="100" w:beforeAutospacing="1" w:after="100" w:afterAutospacing="1" w:line="360" w:lineRule="auto"/>
        <w:ind w:firstLine="640"/>
        <w:jc w:val="left"/>
        <w:textAlignment w:val="auto"/>
        <w:rPr>
          <w:rFonts w:ascii="宋体" w:hAnsi="宋体" w:cs="宋体"/>
          <w:sz w:val="21"/>
          <w:szCs w:val="21"/>
          <w:highlight w:val="none"/>
        </w:rPr>
      </w:pPr>
      <w:r>
        <w:rPr>
          <w:rFonts w:ascii="宋体" w:hAnsi="宋体" w:cs="仿宋_GB2312"/>
          <w:kern w:val="0"/>
          <w:sz w:val="21"/>
          <w:szCs w:val="21"/>
          <w:highlight w:val="none"/>
          <w:shd w:val="clear" w:color="auto" w:fill="FFFFFF"/>
          <w:lang w:bidi="ar"/>
        </w:rPr>
        <w:t>4.质疑函的质疑事项应具体、明确，并有必要的事实依据和法律依据。</w:t>
      </w:r>
    </w:p>
    <w:p w14:paraId="323E3F5F">
      <w:pPr>
        <w:keepNext w:val="0"/>
        <w:keepLines w:val="0"/>
        <w:pageBreakBefore w:val="0"/>
        <w:widowControl/>
        <w:kinsoku/>
        <w:wordWrap/>
        <w:overflowPunct/>
        <w:topLinePunct w:val="0"/>
        <w:autoSpaceDE/>
        <w:autoSpaceDN/>
        <w:bidi w:val="0"/>
        <w:adjustRightInd/>
        <w:spacing w:before="100" w:beforeAutospacing="1" w:after="100" w:afterAutospacing="1" w:line="360" w:lineRule="auto"/>
        <w:ind w:firstLine="640"/>
        <w:jc w:val="left"/>
        <w:textAlignment w:val="auto"/>
        <w:outlineLvl w:val="9"/>
        <w:rPr>
          <w:rFonts w:ascii="宋体" w:hAnsi="宋体" w:cs="宋体"/>
          <w:sz w:val="21"/>
          <w:szCs w:val="21"/>
          <w:highlight w:val="none"/>
        </w:rPr>
      </w:pPr>
      <w:r>
        <w:rPr>
          <w:rFonts w:ascii="宋体" w:hAnsi="宋体" w:cs="仿宋_GB2312"/>
          <w:kern w:val="0"/>
          <w:sz w:val="21"/>
          <w:szCs w:val="21"/>
          <w:highlight w:val="none"/>
          <w:shd w:val="clear" w:color="auto" w:fill="FFFFFF"/>
          <w:lang w:bidi="ar"/>
        </w:rPr>
        <w:t>5.质疑函的质疑请求应与质疑事项相关。</w:t>
      </w:r>
    </w:p>
    <w:p w14:paraId="5F9AC66A">
      <w:pPr>
        <w:keepNext w:val="0"/>
        <w:keepLines w:val="0"/>
        <w:pageBreakBefore w:val="0"/>
        <w:widowControl/>
        <w:kinsoku/>
        <w:wordWrap/>
        <w:overflowPunct/>
        <w:topLinePunct w:val="0"/>
        <w:autoSpaceDE/>
        <w:autoSpaceDN/>
        <w:bidi w:val="0"/>
        <w:adjustRightInd/>
        <w:spacing w:before="100" w:beforeAutospacing="1" w:after="100" w:afterAutospacing="1" w:line="360" w:lineRule="auto"/>
        <w:ind w:firstLine="640"/>
        <w:jc w:val="left"/>
        <w:textAlignment w:val="auto"/>
        <w:rPr>
          <w:rFonts w:ascii="宋体" w:hAnsi="宋体" w:cs="宋体"/>
          <w:sz w:val="21"/>
          <w:szCs w:val="21"/>
          <w:highlight w:val="none"/>
        </w:rPr>
      </w:pPr>
      <w:r>
        <w:rPr>
          <w:rFonts w:ascii="宋体" w:hAnsi="宋体" w:cs="仿宋_GB2312"/>
          <w:kern w:val="0"/>
          <w:sz w:val="21"/>
          <w:szCs w:val="21"/>
          <w:highlight w:val="none"/>
          <w:shd w:val="clear" w:color="auto" w:fill="FFFFFF"/>
          <w:lang w:bidi="ar"/>
        </w:rPr>
        <w:t>6.质疑供应商为自然人的，质疑函应由本人签字；质疑供应商为法人或者其他组织的，质疑函应由法定代表人、主要负责人，或者其授权代表签字或者盖章，并加盖公章。</w:t>
      </w:r>
    </w:p>
    <w:p w14:paraId="49619EEF">
      <w:pPr>
        <w:pStyle w:val="13"/>
        <w:pageBreakBefore w:val="0"/>
        <w:kinsoku/>
        <w:wordWrap/>
        <w:overflowPunct/>
        <w:topLinePunct w:val="0"/>
        <w:bidi w:val="0"/>
        <w:snapToGrid w:val="0"/>
        <w:spacing w:line="360" w:lineRule="auto"/>
        <w:rPr>
          <w:rFonts w:hAnsi="宋体" w:eastAsia="宋体" w:cs="宋体"/>
          <w:sz w:val="21"/>
          <w:szCs w:val="21"/>
          <w:highlight w:val="none"/>
        </w:rPr>
      </w:pPr>
    </w:p>
    <w:sectPr>
      <w:headerReference r:id="rId5" w:type="default"/>
      <w:footerReference r:id="rId6" w:type="default"/>
      <w:pgSz w:w="11906" w:h="16838"/>
      <w:pgMar w:top="1531" w:right="992" w:bottom="1531" w:left="992" w:header="851" w:footer="584"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261D6">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4CEFB">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4</w:t>
                          </w:r>
                          <w:r>
                            <w:rPr>
                              <w:rFonts w:hint="eastAsia" w:ascii="宋体" w:hAnsi="宋体" w:cs="宋体"/>
                              <w:lang w:val="en-US" w:eastAsia="zh-CN"/>
                            </w:rPr>
                            <w:t>8</w:t>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E14CEFB">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4</w:t>
                    </w:r>
                    <w:r>
                      <w:rPr>
                        <w:rFonts w:hint="eastAsia" w:ascii="宋体" w:hAnsi="宋体" w:cs="宋体"/>
                        <w:lang w:val="en-US" w:eastAsia="zh-CN"/>
                      </w:rPr>
                      <w:t>8</w:t>
                    </w:r>
                    <w:r>
                      <w:rPr>
                        <w:rFonts w:hint="eastAsia" w:ascii="宋体" w:hAnsi="宋体" w:eastAsia="宋体" w:cs="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55479">
    <w:pPr>
      <w:pStyle w:val="18"/>
      <w:tabs>
        <w:tab w:val="right" w:pos="9040"/>
        <w:tab w:val="clear" w:pos="8306"/>
      </w:tabs>
      <w:ind w:left="1980" w:hanging="1980" w:hangingChars="1100"/>
      <w:jc w:val="both"/>
      <w:rPr>
        <w:rFonts w:hint="default" w:ascii="宋体" w:eastAsia="宋体"/>
        <w:lang w:val="en-US" w:eastAsia="zh-CN"/>
      </w:rPr>
    </w:pPr>
    <w:r>
      <w:rPr>
        <w:rFonts w:hint="eastAsia" w:ascii="宋体"/>
      </w:rPr>
      <w:drawing>
        <wp:inline distT="0" distB="0" distL="114300" distR="114300">
          <wp:extent cx="1602105" cy="293370"/>
          <wp:effectExtent l="0" t="0" r="17145" b="11430"/>
          <wp:docPr id="4"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片1"/>
                  <pic:cNvPicPr>
                    <a:picLocks noChangeAspect="1"/>
                  </pic:cNvPicPr>
                </pic:nvPicPr>
                <pic:blipFill>
                  <a:blip r:embed="rId1"/>
                  <a:stretch>
                    <a:fillRect/>
                  </a:stretch>
                </pic:blipFill>
                <pic:spPr>
                  <a:xfrm>
                    <a:off x="0" y="0"/>
                    <a:ext cx="1602105" cy="293370"/>
                  </a:xfrm>
                  <a:prstGeom prst="rect">
                    <a:avLst/>
                  </a:prstGeom>
                  <a:noFill/>
                  <a:ln>
                    <a:noFill/>
                  </a:ln>
                </pic:spPr>
              </pic:pic>
            </a:graphicData>
          </a:graphic>
        </wp:inline>
      </w:drawing>
    </w:r>
    <w:r>
      <w:rPr>
        <w:rFonts w:hint="eastAsia" w:ascii="宋体"/>
      </w:rPr>
      <w:t xml:space="preserve"> </w:t>
    </w:r>
    <w:r>
      <w:rPr>
        <w:rFonts w:hint="eastAsia" w:ascii="宋体"/>
        <w:lang w:val="en-US" w:eastAsia="zh-CN"/>
      </w:rPr>
      <w:t xml:space="preserve">                                                  2025年舟山交警司法鉴定服务项目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A24">
    <w:pPr>
      <w:pStyle w:val="18"/>
      <w:pBdr>
        <w:bottom w:val="none" w:color="auto" w:sz="0" w:space="1"/>
      </w:pBdr>
      <w:jc w:val="both"/>
    </w:pPr>
    <w:r>
      <w:rPr>
        <w:rFonts w:hint="eastAsia" w:ascii="宋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006A0">
    <w:pPr>
      <w:pStyle w:val="18"/>
      <w:tabs>
        <w:tab w:val="right" w:pos="9040"/>
        <w:tab w:val="clear" w:pos="8306"/>
      </w:tabs>
      <w:ind w:left="1980" w:hanging="1980" w:hangingChars="1100"/>
      <w:jc w:val="both"/>
      <w:rPr>
        <w:rFonts w:hint="default" w:ascii="宋体" w:eastAsia="宋体"/>
        <w:lang w:val="en-US" w:eastAsia="zh-CN"/>
      </w:rPr>
    </w:pPr>
    <w:r>
      <w:rPr>
        <w:rFonts w:hint="eastAsia" w:ascii="宋体"/>
      </w:rPr>
      <w:drawing>
        <wp:inline distT="0" distB="0" distL="114300" distR="114300">
          <wp:extent cx="1602105" cy="293370"/>
          <wp:effectExtent l="0" t="0" r="17145" b="11430"/>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602105" cy="293370"/>
                  </a:xfrm>
                  <a:prstGeom prst="rect">
                    <a:avLst/>
                  </a:prstGeom>
                  <a:noFill/>
                  <a:ln>
                    <a:noFill/>
                  </a:ln>
                </pic:spPr>
              </pic:pic>
            </a:graphicData>
          </a:graphic>
        </wp:inline>
      </w:drawing>
    </w:r>
    <w:r>
      <w:rPr>
        <w:rFonts w:hint="eastAsia" w:ascii="宋体"/>
      </w:rPr>
      <w:t xml:space="preserve"> </w:t>
    </w:r>
    <w:r>
      <w:rPr>
        <w:rFonts w:hint="eastAsia" w:ascii="宋体"/>
        <w:lang w:val="en-US" w:eastAsia="zh-CN"/>
      </w:rPr>
      <w:t xml:space="preserve">                                                  2025年舟山交警司法鉴定服务项目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7F6D7"/>
    <w:multiLevelType w:val="singleLevel"/>
    <w:tmpl w:val="9D77F6D7"/>
    <w:lvl w:ilvl="0" w:tentative="0">
      <w:start w:val="1"/>
      <w:numFmt w:val="decimal"/>
      <w:suff w:val="nothing"/>
      <w:lvlText w:val="%1、"/>
      <w:lvlJc w:val="left"/>
    </w:lvl>
  </w:abstractNum>
  <w:abstractNum w:abstractNumId="1">
    <w:nsid w:val="0C34DE15"/>
    <w:multiLevelType w:val="singleLevel"/>
    <w:tmpl w:val="0C34DE15"/>
    <w:lvl w:ilvl="0" w:tentative="0">
      <w:start w:val="1"/>
      <w:numFmt w:val="decimal"/>
      <w:lvlText w:val="%1."/>
      <w:lvlJc w:val="left"/>
      <w:pPr>
        <w:tabs>
          <w:tab w:val="left" w:pos="312"/>
        </w:tabs>
      </w:pPr>
    </w:lvl>
  </w:abstractNum>
  <w:abstractNum w:abstractNumId="2">
    <w:nsid w:val="0E940990"/>
    <w:multiLevelType w:val="singleLevel"/>
    <w:tmpl w:val="0E940990"/>
    <w:lvl w:ilvl="0" w:tentative="0">
      <w:start w:val="2"/>
      <w:numFmt w:val="chineseCounting"/>
      <w:suff w:val="nothing"/>
      <w:lvlText w:val="%1、"/>
      <w:lvlJc w:val="left"/>
      <w:rPr>
        <w:rFonts w:hint="eastAsia"/>
      </w:rPr>
    </w:lvl>
  </w:abstractNum>
  <w:abstractNum w:abstractNumId="3">
    <w:nsid w:val="225A8346"/>
    <w:multiLevelType w:val="singleLevel"/>
    <w:tmpl w:val="225A8346"/>
    <w:lvl w:ilvl="0" w:tentative="0">
      <w:start w:val="1"/>
      <w:numFmt w:val="decimal"/>
      <w:lvlText w:val="%1."/>
      <w:lvlJc w:val="left"/>
      <w:pPr>
        <w:tabs>
          <w:tab w:val="left" w:pos="312"/>
        </w:tabs>
      </w:pPr>
    </w:lvl>
  </w:abstractNum>
  <w:abstractNum w:abstractNumId="4">
    <w:nsid w:val="4DD4552D"/>
    <w:multiLevelType w:val="singleLevel"/>
    <w:tmpl w:val="4DD4552D"/>
    <w:lvl w:ilvl="0" w:tentative="0">
      <w:start w:val="1"/>
      <w:numFmt w:val="decimal"/>
      <w:lvlText w:val="%1."/>
      <w:lvlJc w:val="left"/>
      <w:pPr>
        <w:tabs>
          <w:tab w:val="left" w:pos="312"/>
        </w:tabs>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3ZjQwOGQ1OTliMGE2ZTFjMzY3YjI1NTM0NTljYmQifQ=="/>
  </w:docVars>
  <w:rsids>
    <w:rsidRoot w:val="00172A27"/>
    <w:rsid w:val="000008AE"/>
    <w:rsid w:val="00000DA0"/>
    <w:rsid w:val="0000107B"/>
    <w:rsid w:val="00001255"/>
    <w:rsid w:val="00001351"/>
    <w:rsid w:val="00001616"/>
    <w:rsid w:val="00002240"/>
    <w:rsid w:val="0000249F"/>
    <w:rsid w:val="000036AE"/>
    <w:rsid w:val="000053DD"/>
    <w:rsid w:val="000067D2"/>
    <w:rsid w:val="00006CD5"/>
    <w:rsid w:val="00010275"/>
    <w:rsid w:val="00011F5B"/>
    <w:rsid w:val="00012FC0"/>
    <w:rsid w:val="000131FB"/>
    <w:rsid w:val="00013F7B"/>
    <w:rsid w:val="000148CF"/>
    <w:rsid w:val="000150F2"/>
    <w:rsid w:val="00015267"/>
    <w:rsid w:val="00015B00"/>
    <w:rsid w:val="000161B6"/>
    <w:rsid w:val="00020487"/>
    <w:rsid w:val="00021229"/>
    <w:rsid w:val="00021CDE"/>
    <w:rsid w:val="00021CF2"/>
    <w:rsid w:val="000225BC"/>
    <w:rsid w:val="00022EFA"/>
    <w:rsid w:val="00023C49"/>
    <w:rsid w:val="00023E4C"/>
    <w:rsid w:val="0002452C"/>
    <w:rsid w:val="000260AD"/>
    <w:rsid w:val="000265C2"/>
    <w:rsid w:val="00026CC2"/>
    <w:rsid w:val="000273C7"/>
    <w:rsid w:val="00027CC8"/>
    <w:rsid w:val="00027CEC"/>
    <w:rsid w:val="00027D38"/>
    <w:rsid w:val="000303E1"/>
    <w:rsid w:val="00030AD8"/>
    <w:rsid w:val="000317CA"/>
    <w:rsid w:val="0003181C"/>
    <w:rsid w:val="00032134"/>
    <w:rsid w:val="000325CE"/>
    <w:rsid w:val="0003329B"/>
    <w:rsid w:val="00033641"/>
    <w:rsid w:val="00034D19"/>
    <w:rsid w:val="0003660B"/>
    <w:rsid w:val="000369D2"/>
    <w:rsid w:val="00037EE2"/>
    <w:rsid w:val="000407B3"/>
    <w:rsid w:val="0004111B"/>
    <w:rsid w:val="000415B1"/>
    <w:rsid w:val="00041BE4"/>
    <w:rsid w:val="0004279E"/>
    <w:rsid w:val="0004335D"/>
    <w:rsid w:val="00043AC8"/>
    <w:rsid w:val="00044AE2"/>
    <w:rsid w:val="00044B3F"/>
    <w:rsid w:val="00045883"/>
    <w:rsid w:val="00046374"/>
    <w:rsid w:val="00047114"/>
    <w:rsid w:val="0005095B"/>
    <w:rsid w:val="00050DEE"/>
    <w:rsid w:val="000516E3"/>
    <w:rsid w:val="00051B80"/>
    <w:rsid w:val="00052F70"/>
    <w:rsid w:val="00053F58"/>
    <w:rsid w:val="0005415C"/>
    <w:rsid w:val="00055835"/>
    <w:rsid w:val="00055B9A"/>
    <w:rsid w:val="00055C01"/>
    <w:rsid w:val="00055DD9"/>
    <w:rsid w:val="000566FC"/>
    <w:rsid w:val="00057A16"/>
    <w:rsid w:val="000601BC"/>
    <w:rsid w:val="0006107F"/>
    <w:rsid w:val="00061AE1"/>
    <w:rsid w:val="00061B2C"/>
    <w:rsid w:val="00063583"/>
    <w:rsid w:val="00064447"/>
    <w:rsid w:val="00064E63"/>
    <w:rsid w:val="00065112"/>
    <w:rsid w:val="00065300"/>
    <w:rsid w:val="0006586E"/>
    <w:rsid w:val="00065C18"/>
    <w:rsid w:val="00066224"/>
    <w:rsid w:val="000668F7"/>
    <w:rsid w:val="00067BAD"/>
    <w:rsid w:val="00070E4F"/>
    <w:rsid w:val="00070F6C"/>
    <w:rsid w:val="0007335F"/>
    <w:rsid w:val="000735C6"/>
    <w:rsid w:val="00074E0B"/>
    <w:rsid w:val="00074E62"/>
    <w:rsid w:val="00074FAC"/>
    <w:rsid w:val="00075588"/>
    <w:rsid w:val="0007669B"/>
    <w:rsid w:val="00076754"/>
    <w:rsid w:val="00077441"/>
    <w:rsid w:val="000779FD"/>
    <w:rsid w:val="0008040C"/>
    <w:rsid w:val="00080D08"/>
    <w:rsid w:val="00081A6F"/>
    <w:rsid w:val="00081C6F"/>
    <w:rsid w:val="00083162"/>
    <w:rsid w:val="000839AD"/>
    <w:rsid w:val="00083C5C"/>
    <w:rsid w:val="00085105"/>
    <w:rsid w:val="00086507"/>
    <w:rsid w:val="00086933"/>
    <w:rsid w:val="00086EEC"/>
    <w:rsid w:val="00087E11"/>
    <w:rsid w:val="00090784"/>
    <w:rsid w:val="000911CB"/>
    <w:rsid w:val="00091498"/>
    <w:rsid w:val="00091A59"/>
    <w:rsid w:val="00091E8E"/>
    <w:rsid w:val="0009261A"/>
    <w:rsid w:val="00094603"/>
    <w:rsid w:val="00094871"/>
    <w:rsid w:val="00096762"/>
    <w:rsid w:val="00096E45"/>
    <w:rsid w:val="00096F0A"/>
    <w:rsid w:val="00097D22"/>
    <w:rsid w:val="00097F86"/>
    <w:rsid w:val="000A0344"/>
    <w:rsid w:val="000A0956"/>
    <w:rsid w:val="000A0D2D"/>
    <w:rsid w:val="000A147D"/>
    <w:rsid w:val="000A258D"/>
    <w:rsid w:val="000A2631"/>
    <w:rsid w:val="000A40BB"/>
    <w:rsid w:val="000A4221"/>
    <w:rsid w:val="000A4912"/>
    <w:rsid w:val="000A4A6F"/>
    <w:rsid w:val="000A4C96"/>
    <w:rsid w:val="000A566A"/>
    <w:rsid w:val="000A59AD"/>
    <w:rsid w:val="000A693E"/>
    <w:rsid w:val="000B1196"/>
    <w:rsid w:val="000B123C"/>
    <w:rsid w:val="000B1E98"/>
    <w:rsid w:val="000B28DB"/>
    <w:rsid w:val="000B2A5F"/>
    <w:rsid w:val="000B2EA7"/>
    <w:rsid w:val="000B46A2"/>
    <w:rsid w:val="000B4C39"/>
    <w:rsid w:val="000B7447"/>
    <w:rsid w:val="000B7738"/>
    <w:rsid w:val="000C021F"/>
    <w:rsid w:val="000C0E70"/>
    <w:rsid w:val="000C0F1E"/>
    <w:rsid w:val="000C16D6"/>
    <w:rsid w:val="000C1DC6"/>
    <w:rsid w:val="000C4808"/>
    <w:rsid w:val="000C48DE"/>
    <w:rsid w:val="000C4B01"/>
    <w:rsid w:val="000C5A51"/>
    <w:rsid w:val="000C783F"/>
    <w:rsid w:val="000C7CF8"/>
    <w:rsid w:val="000D130E"/>
    <w:rsid w:val="000D1459"/>
    <w:rsid w:val="000D1936"/>
    <w:rsid w:val="000D1AA4"/>
    <w:rsid w:val="000D1DF0"/>
    <w:rsid w:val="000D291A"/>
    <w:rsid w:val="000D2B33"/>
    <w:rsid w:val="000D32EC"/>
    <w:rsid w:val="000D33F2"/>
    <w:rsid w:val="000D3438"/>
    <w:rsid w:val="000D3A03"/>
    <w:rsid w:val="000D4477"/>
    <w:rsid w:val="000D5E43"/>
    <w:rsid w:val="000D750F"/>
    <w:rsid w:val="000D79EB"/>
    <w:rsid w:val="000D7AF8"/>
    <w:rsid w:val="000D7E24"/>
    <w:rsid w:val="000E028B"/>
    <w:rsid w:val="000E02F2"/>
    <w:rsid w:val="000E1E85"/>
    <w:rsid w:val="000E2837"/>
    <w:rsid w:val="000E2BC0"/>
    <w:rsid w:val="000E3EEF"/>
    <w:rsid w:val="000E416C"/>
    <w:rsid w:val="000E56DE"/>
    <w:rsid w:val="000E706B"/>
    <w:rsid w:val="000F02E6"/>
    <w:rsid w:val="000F0550"/>
    <w:rsid w:val="000F1074"/>
    <w:rsid w:val="000F13AF"/>
    <w:rsid w:val="000F2A94"/>
    <w:rsid w:val="000F2E5E"/>
    <w:rsid w:val="000F3CA6"/>
    <w:rsid w:val="000F421C"/>
    <w:rsid w:val="000F4472"/>
    <w:rsid w:val="000F4C37"/>
    <w:rsid w:val="000F4F94"/>
    <w:rsid w:val="000F55ED"/>
    <w:rsid w:val="000F5680"/>
    <w:rsid w:val="000F5897"/>
    <w:rsid w:val="000F6027"/>
    <w:rsid w:val="000F6E50"/>
    <w:rsid w:val="001007C1"/>
    <w:rsid w:val="00101001"/>
    <w:rsid w:val="00101417"/>
    <w:rsid w:val="00102CD6"/>
    <w:rsid w:val="00103EDC"/>
    <w:rsid w:val="00103FBC"/>
    <w:rsid w:val="00105C54"/>
    <w:rsid w:val="001062C4"/>
    <w:rsid w:val="0010669E"/>
    <w:rsid w:val="00107048"/>
    <w:rsid w:val="0010765D"/>
    <w:rsid w:val="00107E23"/>
    <w:rsid w:val="00110878"/>
    <w:rsid w:val="00111204"/>
    <w:rsid w:val="001113A5"/>
    <w:rsid w:val="00111D5D"/>
    <w:rsid w:val="00112791"/>
    <w:rsid w:val="0011355D"/>
    <w:rsid w:val="0011384C"/>
    <w:rsid w:val="0011396E"/>
    <w:rsid w:val="00113E4C"/>
    <w:rsid w:val="00113FC6"/>
    <w:rsid w:val="0011495F"/>
    <w:rsid w:val="00115E32"/>
    <w:rsid w:val="0011602B"/>
    <w:rsid w:val="00116541"/>
    <w:rsid w:val="001172A3"/>
    <w:rsid w:val="00120EEE"/>
    <w:rsid w:val="00120F3A"/>
    <w:rsid w:val="00121115"/>
    <w:rsid w:val="00122049"/>
    <w:rsid w:val="001223F9"/>
    <w:rsid w:val="00122D30"/>
    <w:rsid w:val="00122D3E"/>
    <w:rsid w:val="00123169"/>
    <w:rsid w:val="001232C5"/>
    <w:rsid w:val="00124AFE"/>
    <w:rsid w:val="00124EF7"/>
    <w:rsid w:val="001258CD"/>
    <w:rsid w:val="00125A10"/>
    <w:rsid w:val="00126051"/>
    <w:rsid w:val="0012621D"/>
    <w:rsid w:val="00126F03"/>
    <w:rsid w:val="0012782B"/>
    <w:rsid w:val="00131683"/>
    <w:rsid w:val="00131B3F"/>
    <w:rsid w:val="00132E4D"/>
    <w:rsid w:val="00133D3A"/>
    <w:rsid w:val="00133F40"/>
    <w:rsid w:val="00135C96"/>
    <w:rsid w:val="00136020"/>
    <w:rsid w:val="001363C1"/>
    <w:rsid w:val="001375A8"/>
    <w:rsid w:val="00141886"/>
    <w:rsid w:val="00143FF7"/>
    <w:rsid w:val="00145C0D"/>
    <w:rsid w:val="001464CC"/>
    <w:rsid w:val="00146B1C"/>
    <w:rsid w:val="00150017"/>
    <w:rsid w:val="001504B3"/>
    <w:rsid w:val="0015086E"/>
    <w:rsid w:val="00150F5B"/>
    <w:rsid w:val="00150FD2"/>
    <w:rsid w:val="001517FA"/>
    <w:rsid w:val="001526CD"/>
    <w:rsid w:val="0015311C"/>
    <w:rsid w:val="001538AB"/>
    <w:rsid w:val="00153ACA"/>
    <w:rsid w:val="001543EB"/>
    <w:rsid w:val="0015506F"/>
    <w:rsid w:val="00155A65"/>
    <w:rsid w:val="00155F0F"/>
    <w:rsid w:val="0015624B"/>
    <w:rsid w:val="00156900"/>
    <w:rsid w:val="00156A6A"/>
    <w:rsid w:val="00156AD8"/>
    <w:rsid w:val="00156B04"/>
    <w:rsid w:val="00157751"/>
    <w:rsid w:val="00157978"/>
    <w:rsid w:val="0016017E"/>
    <w:rsid w:val="00160802"/>
    <w:rsid w:val="00163495"/>
    <w:rsid w:val="00163779"/>
    <w:rsid w:val="0016455C"/>
    <w:rsid w:val="00165846"/>
    <w:rsid w:val="00165BBD"/>
    <w:rsid w:val="00165C2B"/>
    <w:rsid w:val="00166238"/>
    <w:rsid w:val="001670C9"/>
    <w:rsid w:val="00167C19"/>
    <w:rsid w:val="00170FBD"/>
    <w:rsid w:val="00170FE9"/>
    <w:rsid w:val="001716ED"/>
    <w:rsid w:val="0017193F"/>
    <w:rsid w:val="00171E07"/>
    <w:rsid w:val="00171E68"/>
    <w:rsid w:val="00172A27"/>
    <w:rsid w:val="00172AB0"/>
    <w:rsid w:val="00172EC3"/>
    <w:rsid w:val="00173114"/>
    <w:rsid w:val="00174BF0"/>
    <w:rsid w:val="00174CD8"/>
    <w:rsid w:val="001756D5"/>
    <w:rsid w:val="00175E3B"/>
    <w:rsid w:val="001766C9"/>
    <w:rsid w:val="001777BF"/>
    <w:rsid w:val="0018014D"/>
    <w:rsid w:val="00180445"/>
    <w:rsid w:val="001811B0"/>
    <w:rsid w:val="00181604"/>
    <w:rsid w:val="0018175C"/>
    <w:rsid w:val="001822EE"/>
    <w:rsid w:val="001839A5"/>
    <w:rsid w:val="00183DFE"/>
    <w:rsid w:val="0018435A"/>
    <w:rsid w:val="00186E86"/>
    <w:rsid w:val="00191A11"/>
    <w:rsid w:val="00191BAF"/>
    <w:rsid w:val="00193AF0"/>
    <w:rsid w:val="00193D77"/>
    <w:rsid w:val="00196D89"/>
    <w:rsid w:val="00196E1C"/>
    <w:rsid w:val="00197723"/>
    <w:rsid w:val="001A06DA"/>
    <w:rsid w:val="001A0C59"/>
    <w:rsid w:val="001A0CC2"/>
    <w:rsid w:val="001A0D8E"/>
    <w:rsid w:val="001A11C6"/>
    <w:rsid w:val="001A12B0"/>
    <w:rsid w:val="001A174D"/>
    <w:rsid w:val="001A1A69"/>
    <w:rsid w:val="001A26B9"/>
    <w:rsid w:val="001A2735"/>
    <w:rsid w:val="001A4ED4"/>
    <w:rsid w:val="001A5A17"/>
    <w:rsid w:val="001A6013"/>
    <w:rsid w:val="001A60CD"/>
    <w:rsid w:val="001A6EE2"/>
    <w:rsid w:val="001A7817"/>
    <w:rsid w:val="001B0139"/>
    <w:rsid w:val="001B0528"/>
    <w:rsid w:val="001B1FF0"/>
    <w:rsid w:val="001B3018"/>
    <w:rsid w:val="001B37FC"/>
    <w:rsid w:val="001B3C2A"/>
    <w:rsid w:val="001B3E80"/>
    <w:rsid w:val="001B4EE8"/>
    <w:rsid w:val="001B5DD2"/>
    <w:rsid w:val="001B6AB2"/>
    <w:rsid w:val="001B700B"/>
    <w:rsid w:val="001C0AE0"/>
    <w:rsid w:val="001C10E7"/>
    <w:rsid w:val="001C1A4D"/>
    <w:rsid w:val="001C2753"/>
    <w:rsid w:val="001C2C2A"/>
    <w:rsid w:val="001C2C3B"/>
    <w:rsid w:val="001C3751"/>
    <w:rsid w:val="001C39CD"/>
    <w:rsid w:val="001C4002"/>
    <w:rsid w:val="001C44E0"/>
    <w:rsid w:val="001C45A6"/>
    <w:rsid w:val="001C46EA"/>
    <w:rsid w:val="001C57FE"/>
    <w:rsid w:val="001C62BD"/>
    <w:rsid w:val="001C6CAA"/>
    <w:rsid w:val="001C7CDF"/>
    <w:rsid w:val="001D063F"/>
    <w:rsid w:val="001D158D"/>
    <w:rsid w:val="001D1953"/>
    <w:rsid w:val="001D1C72"/>
    <w:rsid w:val="001D308A"/>
    <w:rsid w:val="001D34F9"/>
    <w:rsid w:val="001D35AA"/>
    <w:rsid w:val="001D39A1"/>
    <w:rsid w:val="001D4145"/>
    <w:rsid w:val="001D5538"/>
    <w:rsid w:val="001D6CC5"/>
    <w:rsid w:val="001D75C1"/>
    <w:rsid w:val="001D7BAA"/>
    <w:rsid w:val="001D7BB5"/>
    <w:rsid w:val="001E1A83"/>
    <w:rsid w:val="001E1E4B"/>
    <w:rsid w:val="001E27F2"/>
    <w:rsid w:val="001E2A03"/>
    <w:rsid w:val="001E4836"/>
    <w:rsid w:val="001E489E"/>
    <w:rsid w:val="001E4DD3"/>
    <w:rsid w:val="001E6C80"/>
    <w:rsid w:val="001E6F65"/>
    <w:rsid w:val="001E72E4"/>
    <w:rsid w:val="001E77DC"/>
    <w:rsid w:val="001F1468"/>
    <w:rsid w:val="001F2C36"/>
    <w:rsid w:val="001F2E29"/>
    <w:rsid w:val="001F32E1"/>
    <w:rsid w:val="001F5049"/>
    <w:rsid w:val="001F57E8"/>
    <w:rsid w:val="001F73E3"/>
    <w:rsid w:val="00200B8A"/>
    <w:rsid w:val="00202BAD"/>
    <w:rsid w:val="002033B0"/>
    <w:rsid w:val="00203813"/>
    <w:rsid w:val="00203CBD"/>
    <w:rsid w:val="00204173"/>
    <w:rsid w:val="00204255"/>
    <w:rsid w:val="00204E0B"/>
    <w:rsid w:val="0020572E"/>
    <w:rsid w:val="002074C7"/>
    <w:rsid w:val="002076B2"/>
    <w:rsid w:val="002077D4"/>
    <w:rsid w:val="00210917"/>
    <w:rsid w:val="002109CC"/>
    <w:rsid w:val="00210A2F"/>
    <w:rsid w:val="00210C93"/>
    <w:rsid w:val="00210FF5"/>
    <w:rsid w:val="00211F2E"/>
    <w:rsid w:val="002121FB"/>
    <w:rsid w:val="002131E2"/>
    <w:rsid w:val="002132F3"/>
    <w:rsid w:val="00213854"/>
    <w:rsid w:val="0021389D"/>
    <w:rsid w:val="00215118"/>
    <w:rsid w:val="00215256"/>
    <w:rsid w:val="002153EE"/>
    <w:rsid w:val="00215753"/>
    <w:rsid w:val="00216140"/>
    <w:rsid w:val="00217077"/>
    <w:rsid w:val="00217D2C"/>
    <w:rsid w:val="00220417"/>
    <w:rsid w:val="002214F8"/>
    <w:rsid w:val="002219DE"/>
    <w:rsid w:val="00221E2B"/>
    <w:rsid w:val="00222143"/>
    <w:rsid w:val="00222549"/>
    <w:rsid w:val="0022331B"/>
    <w:rsid w:val="002234D2"/>
    <w:rsid w:val="00223D20"/>
    <w:rsid w:val="002245E7"/>
    <w:rsid w:val="00225ED0"/>
    <w:rsid w:val="00232FE0"/>
    <w:rsid w:val="0023434B"/>
    <w:rsid w:val="0023487B"/>
    <w:rsid w:val="00234B90"/>
    <w:rsid w:val="00234DDF"/>
    <w:rsid w:val="00235302"/>
    <w:rsid w:val="0023545C"/>
    <w:rsid w:val="00235928"/>
    <w:rsid w:val="0023667C"/>
    <w:rsid w:val="002367A2"/>
    <w:rsid w:val="00236B19"/>
    <w:rsid w:val="00237206"/>
    <w:rsid w:val="00237FF3"/>
    <w:rsid w:val="0024050C"/>
    <w:rsid w:val="002416B2"/>
    <w:rsid w:val="00242A57"/>
    <w:rsid w:val="002458CA"/>
    <w:rsid w:val="00245F3C"/>
    <w:rsid w:val="0024774E"/>
    <w:rsid w:val="002478C0"/>
    <w:rsid w:val="00247A3F"/>
    <w:rsid w:val="00247CD9"/>
    <w:rsid w:val="00250461"/>
    <w:rsid w:val="002509F6"/>
    <w:rsid w:val="00252F64"/>
    <w:rsid w:val="002549ED"/>
    <w:rsid w:val="00254A27"/>
    <w:rsid w:val="00254C17"/>
    <w:rsid w:val="00255555"/>
    <w:rsid w:val="00255BF9"/>
    <w:rsid w:val="00256489"/>
    <w:rsid w:val="0025677D"/>
    <w:rsid w:val="00256852"/>
    <w:rsid w:val="00257583"/>
    <w:rsid w:val="00257B9B"/>
    <w:rsid w:val="00257C06"/>
    <w:rsid w:val="002600B8"/>
    <w:rsid w:val="00260567"/>
    <w:rsid w:val="002613F0"/>
    <w:rsid w:val="0026184C"/>
    <w:rsid w:val="00262C3E"/>
    <w:rsid w:val="00263D21"/>
    <w:rsid w:val="00265BF6"/>
    <w:rsid w:val="00267758"/>
    <w:rsid w:val="00267846"/>
    <w:rsid w:val="00267917"/>
    <w:rsid w:val="00270ABA"/>
    <w:rsid w:val="00270AC8"/>
    <w:rsid w:val="00270BEF"/>
    <w:rsid w:val="00271361"/>
    <w:rsid w:val="0027237A"/>
    <w:rsid w:val="00272DBA"/>
    <w:rsid w:val="00273D91"/>
    <w:rsid w:val="00275801"/>
    <w:rsid w:val="00276E78"/>
    <w:rsid w:val="00277869"/>
    <w:rsid w:val="00277FAD"/>
    <w:rsid w:val="00280E3D"/>
    <w:rsid w:val="00281426"/>
    <w:rsid w:val="00282A91"/>
    <w:rsid w:val="00282EDB"/>
    <w:rsid w:val="002839B4"/>
    <w:rsid w:val="00284A1F"/>
    <w:rsid w:val="00284B14"/>
    <w:rsid w:val="002855A8"/>
    <w:rsid w:val="002858CB"/>
    <w:rsid w:val="00285F68"/>
    <w:rsid w:val="002865E2"/>
    <w:rsid w:val="00287327"/>
    <w:rsid w:val="00287CC0"/>
    <w:rsid w:val="00287D61"/>
    <w:rsid w:val="00287F07"/>
    <w:rsid w:val="00290065"/>
    <w:rsid w:val="0029021B"/>
    <w:rsid w:val="00290724"/>
    <w:rsid w:val="00290767"/>
    <w:rsid w:val="00291273"/>
    <w:rsid w:val="0029289B"/>
    <w:rsid w:val="002935DA"/>
    <w:rsid w:val="00294734"/>
    <w:rsid w:val="00294C4F"/>
    <w:rsid w:val="0029596A"/>
    <w:rsid w:val="00297B9B"/>
    <w:rsid w:val="002A0A4D"/>
    <w:rsid w:val="002A143F"/>
    <w:rsid w:val="002A23F6"/>
    <w:rsid w:val="002A33CA"/>
    <w:rsid w:val="002A407B"/>
    <w:rsid w:val="002A40F4"/>
    <w:rsid w:val="002A4F61"/>
    <w:rsid w:val="002A5107"/>
    <w:rsid w:val="002A51D8"/>
    <w:rsid w:val="002A51F8"/>
    <w:rsid w:val="002A5465"/>
    <w:rsid w:val="002A56B4"/>
    <w:rsid w:val="002A6BF4"/>
    <w:rsid w:val="002A7308"/>
    <w:rsid w:val="002A787A"/>
    <w:rsid w:val="002B0084"/>
    <w:rsid w:val="002B0A91"/>
    <w:rsid w:val="002B0EFE"/>
    <w:rsid w:val="002B1551"/>
    <w:rsid w:val="002B1AA7"/>
    <w:rsid w:val="002B2125"/>
    <w:rsid w:val="002B2987"/>
    <w:rsid w:val="002B44A7"/>
    <w:rsid w:val="002B4F2E"/>
    <w:rsid w:val="002B5515"/>
    <w:rsid w:val="002B6782"/>
    <w:rsid w:val="002B6A7C"/>
    <w:rsid w:val="002B6AA8"/>
    <w:rsid w:val="002C01E9"/>
    <w:rsid w:val="002C49B8"/>
    <w:rsid w:val="002C4CBD"/>
    <w:rsid w:val="002C4F37"/>
    <w:rsid w:val="002C595B"/>
    <w:rsid w:val="002C68F3"/>
    <w:rsid w:val="002D0FFF"/>
    <w:rsid w:val="002D19BE"/>
    <w:rsid w:val="002D1CFB"/>
    <w:rsid w:val="002D255E"/>
    <w:rsid w:val="002D2A23"/>
    <w:rsid w:val="002D2B25"/>
    <w:rsid w:val="002D2E0E"/>
    <w:rsid w:val="002D307A"/>
    <w:rsid w:val="002D371F"/>
    <w:rsid w:val="002D3AA3"/>
    <w:rsid w:val="002D54A2"/>
    <w:rsid w:val="002D6618"/>
    <w:rsid w:val="002D68BE"/>
    <w:rsid w:val="002D759B"/>
    <w:rsid w:val="002D7D28"/>
    <w:rsid w:val="002E12A6"/>
    <w:rsid w:val="002E207D"/>
    <w:rsid w:val="002E2385"/>
    <w:rsid w:val="002E3A85"/>
    <w:rsid w:val="002E459C"/>
    <w:rsid w:val="002E4F10"/>
    <w:rsid w:val="002E5AE6"/>
    <w:rsid w:val="002E5B85"/>
    <w:rsid w:val="002F0DC9"/>
    <w:rsid w:val="002F142C"/>
    <w:rsid w:val="002F167A"/>
    <w:rsid w:val="002F1C69"/>
    <w:rsid w:val="002F1DA5"/>
    <w:rsid w:val="002F1FD6"/>
    <w:rsid w:val="002F21B8"/>
    <w:rsid w:val="002F2219"/>
    <w:rsid w:val="002F27E5"/>
    <w:rsid w:val="002F2931"/>
    <w:rsid w:val="002F39BA"/>
    <w:rsid w:val="002F425E"/>
    <w:rsid w:val="002F5531"/>
    <w:rsid w:val="002F55C4"/>
    <w:rsid w:val="002F5DBB"/>
    <w:rsid w:val="002F6266"/>
    <w:rsid w:val="002F6F34"/>
    <w:rsid w:val="002F7004"/>
    <w:rsid w:val="002F7C47"/>
    <w:rsid w:val="003004C0"/>
    <w:rsid w:val="00301093"/>
    <w:rsid w:val="003016A8"/>
    <w:rsid w:val="0030369D"/>
    <w:rsid w:val="00303D1E"/>
    <w:rsid w:val="003052B5"/>
    <w:rsid w:val="0030654F"/>
    <w:rsid w:val="00307176"/>
    <w:rsid w:val="00307C2B"/>
    <w:rsid w:val="0031128C"/>
    <w:rsid w:val="00311354"/>
    <w:rsid w:val="0031207F"/>
    <w:rsid w:val="00312A64"/>
    <w:rsid w:val="00312B07"/>
    <w:rsid w:val="00312C5E"/>
    <w:rsid w:val="00314869"/>
    <w:rsid w:val="003151F1"/>
    <w:rsid w:val="003156AE"/>
    <w:rsid w:val="00315782"/>
    <w:rsid w:val="00316D79"/>
    <w:rsid w:val="00317701"/>
    <w:rsid w:val="00317DFB"/>
    <w:rsid w:val="0032014A"/>
    <w:rsid w:val="00320BB5"/>
    <w:rsid w:val="00320E91"/>
    <w:rsid w:val="00321187"/>
    <w:rsid w:val="00322AC0"/>
    <w:rsid w:val="00322EB5"/>
    <w:rsid w:val="0032419F"/>
    <w:rsid w:val="00324515"/>
    <w:rsid w:val="00325465"/>
    <w:rsid w:val="00325DA0"/>
    <w:rsid w:val="00326083"/>
    <w:rsid w:val="0032642C"/>
    <w:rsid w:val="00327877"/>
    <w:rsid w:val="003304FC"/>
    <w:rsid w:val="0033072C"/>
    <w:rsid w:val="00332221"/>
    <w:rsid w:val="003327BC"/>
    <w:rsid w:val="00332FD6"/>
    <w:rsid w:val="00333CC4"/>
    <w:rsid w:val="00333FCA"/>
    <w:rsid w:val="0033425E"/>
    <w:rsid w:val="00335037"/>
    <w:rsid w:val="003361AE"/>
    <w:rsid w:val="00336C5A"/>
    <w:rsid w:val="00337523"/>
    <w:rsid w:val="00337B9F"/>
    <w:rsid w:val="003401CF"/>
    <w:rsid w:val="003401F3"/>
    <w:rsid w:val="00340FEB"/>
    <w:rsid w:val="0034131D"/>
    <w:rsid w:val="00341441"/>
    <w:rsid w:val="00341A4A"/>
    <w:rsid w:val="00341AF8"/>
    <w:rsid w:val="00342E67"/>
    <w:rsid w:val="003432E0"/>
    <w:rsid w:val="003445A6"/>
    <w:rsid w:val="00345011"/>
    <w:rsid w:val="00345641"/>
    <w:rsid w:val="00345DF5"/>
    <w:rsid w:val="00345FC9"/>
    <w:rsid w:val="003478E0"/>
    <w:rsid w:val="003516BA"/>
    <w:rsid w:val="00351820"/>
    <w:rsid w:val="00351D4D"/>
    <w:rsid w:val="003529BE"/>
    <w:rsid w:val="00353221"/>
    <w:rsid w:val="003538C4"/>
    <w:rsid w:val="003538CF"/>
    <w:rsid w:val="0035394B"/>
    <w:rsid w:val="00353BE7"/>
    <w:rsid w:val="00353C85"/>
    <w:rsid w:val="0035411A"/>
    <w:rsid w:val="0035478C"/>
    <w:rsid w:val="00354A83"/>
    <w:rsid w:val="00354C6E"/>
    <w:rsid w:val="003553E5"/>
    <w:rsid w:val="003564AB"/>
    <w:rsid w:val="00356676"/>
    <w:rsid w:val="00356AD4"/>
    <w:rsid w:val="00357928"/>
    <w:rsid w:val="00360699"/>
    <w:rsid w:val="00360913"/>
    <w:rsid w:val="00360D67"/>
    <w:rsid w:val="0036126C"/>
    <w:rsid w:val="00361720"/>
    <w:rsid w:val="00361CAE"/>
    <w:rsid w:val="003638A9"/>
    <w:rsid w:val="003648B6"/>
    <w:rsid w:val="00366A21"/>
    <w:rsid w:val="00366ED4"/>
    <w:rsid w:val="00367079"/>
    <w:rsid w:val="00370695"/>
    <w:rsid w:val="003711A1"/>
    <w:rsid w:val="00371AC2"/>
    <w:rsid w:val="00371E7B"/>
    <w:rsid w:val="00372D2E"/>
    <w:rsid w:val="00373488"/>
    <w:rsid w:val="00373B32"/>
    <w:rsid w:val="00373B73"/>
    <w:rsid w:val="003740C9"/>
    <w:rsid w:val="00375269"/>
    <w:rsid w:val="00375369"/>
    <w:rsid w:val="00375E48"/>
    <w:rsid w:val="00376C94"/>
    <w:rsid w:val="00377A80"/>
    <w:rsid w:val="00377AD2"/>
    <w:rsid w:val="00377D7E"/>
    <w:rsid w:val="0038009B"/>
    <w:rsid w:val="00380A86"/>
    <w:rsid w:val="00382058"/>
    <w:rsid w:val="003827E3"/>
    <w:rsid w:val="00382AA2"/>
    <w:rsid w:val="00383172"/>
    <w:rsid w:val="003847DC"/>
    <w:rsid w:val="00384B9C"/>
    <w:rsid w:val="00390A14"/>
    <w:rsid w:val="003916DE"/>
    <w:rsid w:val="00391B33"/>
    <w:rsid w:val="0039215F"/>
    <w:rsid w:val="00392486"/>
    <w:rsid w:val="0039593F"/>
    <w:rsid w:val="003A018D"/>
    <w:rsid w:val="003A060E"/>
    <w:rsid w:val="003A07D1"/>
    <w:rsid w:val="003A15E4"/>
    <w:rsid w:val="003A19DF"/>
    <w:rsid w:val="003A1A79"/>
    <w:rsid w:val="003A26FB"/>
    <w:rsid w:val="003A2C91"/>
    <w:rsid w:val="003A3B63"/>
    <w:rsid w:val="003A3CDF"/>
    <w:rsid w:val="003A50D4"/>
    <w:rsid w:val="003A5854"/>
    <w:rsid w:val="003A5FCF"/>
    <w:rsid w:val="003B06D3"/>
    <w:rsid w:val="003B1E64"/>
    <w:rsid w:val="003B2DD8"/>
    <w:rsid w:val="003B483E"/>
    <w:rsid w:val="003B4C85"/>
    <w:rsid w:val="003B5149"/>
    <w:rsid w:val="003B736A"/>
    <w:rsid w:val="003C04C3"/>
    <w:rsid w:val="003C16A3"/>
    <w:rsid w:val="003C1722"/>
    <w:rsid w:val="003C31BC"/>
    <w:rsid w:val="003C3482"/>
    <w:rsid w:val="003C34F4"/>
    <w:rsid w:val="003C50C9"/>
    <w:rsid w:val="003C5F35"/>
    <w:rsid w:val="003C5FCB"/>
    <w:rsid w:val="003C7AD3"/>
    <w:rsid w:val="003C7FF6"/>
    <w:rsid w:val="003D0389"/>
    <w:rsid w:val="003D073E"/>
    <w:rsid w:val="003D0B4C"/>
    <w:rsid w:val="003D1763"/>
    <w:rsid w:val="003D1CA3"/>
    <w:rsid w:val="003D2180"/>
    <w:rsid w:val="003D236F"/>
    <w:rsid w:val="003D3E78"/>
    <w:rsid w:val="003D421B"/>
    <w:rsid w:val="003D53D1"/>
    <w:rsid w:val="003D5C1F"/>
    <w:rsid w:val="003D61C1"/>
    <w:rsid w:val="003D6EA3"/>
    <w:rsid w:val="003E00F6"/>
    <w:rsid w:val="003E020A"/>
    <w:rsid w:val="003E09D5"/>
    <w:rsid w:val="003E2D93"/>
    <w:rsid w:val="003E3B68"/>
    <w:rsid w:val="003E461C"/>
    <w:rsid w:val="003E646C"/>
    <w:rsid w:val="003E78A4"/>
    <w:rsid w:val="003E7D84"/>
    <w:rsid w:val="003E7FAF"/>
    <w:rsid w:val="003F06A1"/>
    <w:rsid w:val="003F0CA2"/>
    <w:rsid w:val="003F0D00"/>
    <w:rsid w:val="003F0D5D"/>
    <w:rsid w:val="003F1C31"/>
    <w:rsid w:val="003F247F"/>
    <w:rsid w:val="003F287E"/>
    <w:rsid w:val="003F3ACD"/>
    <w:rsid w:val="003F498F"/>
    <w:rsid w:val="003F533D"/>
    <w:rsid w:val="003F54CB"/>
    <w:rsid w:val="003F6578"/>
    <w:rsid w:val="003F65BC"/>
    <w:rsid w:val="003F771B"/>
    <w:rsid w:val="004000E0"/>
    <w:rsid w:val="004006B3"/>
    <w:rsid w:val="00400784"/>
    <w:rsid w:val="00400CA4"/>
    <w:rsid w:val="00400FD2"/>
    <w:rsid w:val="00401676"/>
    <w:rsid w:val="004022E5"/>
    <w:rsid w:val="00402AEA"/>
    <w:rsid w:val="00404FFE"/>
    <w:rsid w:val="00405FF7"/>
    <w:rsid w:val="00406167"/>
    <w:rsid w:val="00406758"/>
    <w:rsid w:val="004074BA"/>
    <w:rsid w:val="00407D4B"/>
    <w:rsid w:val="004107B7"/>
    <w:rsid w:val="004114B0"/>
    <w:rsid w:val="004122A8"/>
    <w:rsid w:val="00413CD3"/>
    <w:rsid w:val="00413DDA"/>
    <w:rsid w:val="00414E41"/>
    <w:rsid w:val="004156DD"/>
    <w:rsid w:val="004156FF"/>
    <w:rsid w:val="00415A34"/>
    <w:rsid w:val="00415B66"/>
    <w:rsid w:val="004163D9"/>
    <w:rsid w:val="004169C1"/>
    <w:rsid w:val="00416DAC"/>
    <w:rsid w:val="00417314"/>
    <w:rsid w:val="00417C69"/>
    <w:rsid w:val="00420792"/>
    <w:rsid w:val="0042094D"/>
    <w:rsid w:val="00421108"/>
    <w:rsid w:val="004228CF"/>
    <w:rsid w:val="00423083"/>
    <w:rsid w:val="004233F5"/>
    <w:rsid w:val="00423638"/>
    <w:rsid w:val="00423920"/>
    <w:rsid w:val="0042395D"/>
    <w:rsid w:val="00423E04"/>
    <w:rsid w:val="004244A9"/>
    <w:rsid w:val="0042490A"/>
    <w:rsid w:val="004253BD"/>
    <w:rsid w:val="00425977"/>
    <w:rsid w:val="004260C1"/>
    <w:rsid w:val="004268E4"/>
    <w:rsid w:val="0043100F"/>
    <w:rsid w:val="004317E9"/>
    <w:rsid w:val="00431C92"/>
    <w:rsid w:val="00432F83"/>
    <w:rsid w:val="00433C5E"/>
    <w:rsid w:val="00433CC9"/>
    <w:rsid w:val="00434814"/>
    <w:rsid w:val="00434E86"/>
    <w:rsid w:val="00435A7C"/>
    <w:rsid w:val="00435DFB"/>
    <w:rsid w:val="00435FB9"/>
    <w:rsid w:val="00436B91"/>
    <w:rsid w:val="00441796"/>
    <w:rsid w:val="00443054"/>
    <w:rsid w:val="00444670"/>
    <w:rsid w:val="00444714"/>
    <w:rsid w:val="00444922"/>
    <w:rsid w:val="00444D36"/>
    <w:rsid w:val="004455F2"/>
    <w:rsid w:val="00446AAA"/>
    <w:rsid w:val="0045089C"/>
    <w:rsid w:val="004513AF"/>
    <w:rsid w:val="0045200D"/>
    <w:rsid w:val="00452A57"/>
    <w:rsid w:val="004537CC"/>
    <w:rsid w:val="004542B6"/>
    <w:rsid w:val="00454D8F"/>
    <w:rsid w:val="0045532A"/>
    <w:rsid w:val="004559F0"/>
    <w:rsid w:val="00457476"/>
    <w:rsid w:val="004576C3"/>
    <w:rsid w:val="00457A68"/>
    <w:rsid w:val="00457DA6"/>
    <w:rsid w:val="00461CF9"/>
    <w:rsid w:val="00463360"/>
    <w:rsid w:val="00463831"/>
    <w:rsid w:val="00463CD7"/>
    <w:rsid w:val="00464A12"/>
    <w:rsid w:val="00465688"/>
    <w:rsid w:val="00466FA9"/>
    <w:rsid w:val="004678CE"/>
    <w:rsid w:val="00471A96"/>
    <w:rsid w:val="00471B20"/>
    <w:rsid w:val="00472B4F"/>
    <w:rsid w:val="00473D97"/>
    <w:rsid w:val="00473DBD"/>
    <w:rsid w:val="00474317"/>
    <w:rsid w:val="004748C5"/>
    <w:rsid w:val="00474C0A"/>
    <w:rsid w:val="0047541A"/>
    <w:rsid w:val="0047549D"/>
    <w:rsid w:val="004757A0"/>
    <w:rsid w:val="00476392"/>
    <w:rsid w:val="004771A9"/>
    <w:rsid w:val="0047779B"/>
    <w:rsid w:val="00477D77"/>
    <w:rsid w:val="0048017D"/>
    <w:rsid w:val="00480CE0"/>
    <w:rsid w:val="00480F5D"/>
    <w:rsid w:val="00481577"/>
    <w:rsid w:val="00483E22"/>
    <w:rsid w:val="004846A0"/>
    <w:rsid w:val="00484835"/>
    <w:rsid w:val="00484931"/>
    <w:rsid w:val="00484DA3"/>
    <w:rsid w:val="0048502E"/>
    <w:rsid w:val="0048664D"/>
    <w:rsid w:val="00487B00"/>
    <w:rsid w:val="00487EE5"/>
    <w:rsid w:val="004903FD"/>
    <w:rsid w:val="00490645"/>
    <w:rsid w:val="0049084B"/>
    <w:rsid w:val="0049203C"/>
    <w:rsid w:val="0049250A"/>
    <w:rsid w:val="00492C8F"/>
    <w:rsid w:val="00493F47"/>
    <w:rsid w:val="004951C5"/>
    <w:rsid w:val="004960D5"/>
    <w:rsid w:val="004963AD"/>
    <w:rsid w:val="00496949"/>
    <w:rsid w:val="0049717B"/>
    <w:rsid w:val="0049728C"/>
    <w:rsid w:val="00497437"/>
    <w:rsid w:val="00497C57"/>
    <w:rsid w:val="004A0CB9"/>
    <w:rsid w:val="004A334D"/>
    <w:rsid w:val="004A33D3"/>
    <w:rsid w:val="004A3805"/>
    <w:rsid w:val="004A38F6"/>
    <w:rsid w:val="004A46D4"/>
    <w:rsid w:val="004A5077"/>
    <w:rsid w:val="004A5EA1"/>
    <w:rsid w:val="004A5EB2"/>
    <w:rsid w:val="004A6038"/>
    <w:rsid w:val="004A6150"/>
    <w:rsid w:val="004A74E8"/>
    <w:rsid w:val="004A7B81"/>
    <w:rsid w:val="004B0BEA"/>
    <w:rsid w:val="004B0EAA"/>
    <w:rsid w:val="004B21C0"/>
    <w:rsid w:val="004B2F0E"/>
    <w:rsid w:val="004B3151"/>
    <w:rsid w:val="004B3E6A"/>
    <w:rsid w:val="004B4C30"/>
    <w:rsid w:val="004B5716"/>
    <w:rsid w:val="004B587A"/>
    <w:rsid w:val="004B5F87"/>
    <w:rsid w:val="004B6317"/>
    <w:rsid w:val="004B6F83"/>
    <w:rsid w:val="004B7F74"/>
    <w:rsid w:val="004C0306"/>
    <w:rsid w:val="004C0428"/>
    <w:rsid w:val="004C0640"/>
    <w:rsid w:val="004C0919"/>
    <w:rsid w:val="004C09D9"/>
    <w:rsid w:val="004C0F2F"/>
    <w:rsid w:val="004C1522"/>
    <w:rsid w:val="004C2111"/>
    <w:rsid w:val="004C27D8"/>
    <w:rsid w:val="004C4283"/>
    <w:rsid w:val="004C45CB"/>
    <w:rsid w:val="004C49BA"/>
    <w:rsid w:val="004C517F"/>
    <w:rsid w:val="004C51B9"/>
    <w:rsid w:val="004C5250"/>
    <w:rsid w:val="004C526E"/>
    <w:rsid w:val="004C5293"/>
    <w:rsid w:val="004C5FF1"/>
    <w:rsid w:val="004C6BC5"/>
    <w:rsid w:val="004C73FD"/>
    <w:rsid w:val="004D10FC"/>
    <w:rsid w:val="004D2CED"/>
    <w:rsid w:val="004D2D38"/>
    <w:rsid w:val="004D35E5"/>
    <w:rsid w:val="004D3EAC"/>
    <w:rsid w:val="004D4263"/>
    <w:rsid w:val="004D47EA"/>
    <w:rsid w:val="004D4CE9"/>
    <w:rsid w:val="004D6673"/>
    <w:rsid w:val="004D781C"/>
    <w:rsid w:val="004E0B5F"/>
    <w:rsid w:val="004E15D5"/>
    <w:rsid w:val="004E1768"/>
    <w:rsid w:val="004E295D"/>
    <w:rsid w:val="004E2B00"/>
    <w:rsid w:val="004E306B"/>
    <w:rsid w:val="004E33C3"/>
    <w:rsid w:val="004E4054"/>
    <w:rsid w:val="004E5240"/>
    <w:rsid w:val="004E6FCF"/>
    <w:rsid w:val="004E7336"/>
    <w:rsid w:val="004F0711"/>
    <w:rsid w:val="004F094C"/>
    <w:rsid w:val="004F0FBF"/>
    <w:rsid w:val="004F2C39"/>
    <w:rsid w:val="004F2DC0"/>
    <w:rsid w:val="004F34A8"/>
    <w:rsid w:val="004F361E"/>
    <w:rsid w:val="004F38E6"/>
    <w:rsid w:val="004F3B51"/>
    <w:rsid w:val="004F3C21"/>
    <w:rsid w:val="004F4E0B"/>
    <w:rsid w:val="004F50B7"/>
    <w:rsid w:val="004F51DE"/>
    <w:rsid w:val="004F5522"/>
    <w:rsid w:val="004F567B"/>
    <w:rsid w:val="004F59CA"/>
    <w:rsid w:val="004F61A2"/>
    <w:rsid w:val="004F6217"/>
    <w:rsid w:val="004F6E63"/>
    <w:rsid w:val="004F6F73"/>
    <w:rsid w:val="004F76F7"/>
    <w:rsid w:val="00500405"/>
    <w:rsid w:val="005006C9"/>
    <w:rsid w:val="005014E8"/>
    <w:rsid w:val="005025E7"/>
    <w:rsid w:val="00502832"/>
    <w:rsid w:val="00502B6A"/>
    <w:rsid w:val="0050338F"/>
    <w:rsid w:val="005047D6"/>
    <w:rsid w:val="005050E1"/>
    <w:rsid w:val="00505997"/>
    <w:rsid w:val="00505CBF"/>
    <w:rsid w:val="005060D0"/>
    <w:rsid w:val="005064BC"/>
    <w:rsid w:val="00506725"/>
    <w:rsid w:val="00507386"/>
    <w:rsid w:val="005073EF"/>
    <w:rsid w:val="00510049"/>
    <w:rsid w:val="00510645"/>
    <w:rsid w:val="0051183C"/>
    <w:rsid w:val="00511A97"/>
    <w:rsid w:val="00512B55"/>
    <w:rsid w:val="00513DE8"/>
    <w:rsid w:val="00513FBD"/>
    <w:rsid w:val="00515A0E"/>
    <w:rsid w:val="00516030"/>
    <w:rsid w:val="005200FB"/>
    <w:rsid w:val="00520459"/>
    <w:rsid w:val="005207F6"/>
    <w:rsid w:val="00520FB2"/>
    <w:rsid w:val="00521563"/>
    <w:rsid w:val="00521BED"/>
    <w:rsid w:val="00521F94"/>
    <w:rsid w:val="00523D80"/>
    <w:rsid w:val="00524565"/>
    <w:rsid w:val="005246FB"/>
    <w:rsid w:val="005249E3"/>
    <w:rsid w:val="00525A86"/>
    <w:rsid w:val="0052613D"/>
    <w:rsid w:val="005262E2"/>
    <w:rsid w:val="005264F8"/>
    <w:rsid w:val="00526ADE"/>
    <w:rsid w:val="0052710A"/>
    <w:rsid w:val="00530EC7"/>
    <w:rsid w:val="00531BEE"/>
    <w:rsid w:val="00531E06"/>
    <w:rsid w:val="0053240B"/>
    <w:rsid w:val="00532A36"/>
    <w:rsid w:val="00532F8A"/>
    <w:rsid w:val="00533622"/>
    <w:rsid w:val="00533899"/>
    <w:rsid w:val="0053434A"/>
    <w:rsid w:val="00535762"/>
    <w:rsid w:val="00535DEF"/>
    <w:rsid w:val="00537069"/>
    <w:rsid w:val="00540025"/>
    <w:rsid w:val="0054015D"/>
    <w:rsid w:val="005412EE"/>
    <w:rsid w:val="00541D23"/>
    <w:rsid w:val="00543D14"/>
    <w:rsid w:val="005444CA"/>
    <w:rsid w:val="00544F85"/>
    <w:rsid w:val="00545565"/>
    <w:rsid w:val="00546038"/>
    <w:rsid w:val="00546343"/>
    <w:rsid w:val="0054687B"/>
    <w:rsid w:val="005477FA"/>
    <w:rsid w:val="00547A44"/>
    <w:rsid w:val="00547C05"/>
    <w:rsid w:val="00550B3C"/>
    <w:rsid w:val="005518FA"/>
    <w:rsid w:val="00551952"/>
    <w:rsid w:val="00551B51"/>
    <w:rsid w:val="00552A19"/>
    <w:rsid w:val="00553D3E"/>
    <w:rsid w:val="00553D47"/>
    <w:rsid w:val="0055443C"/>
    <w:rsid w:val="00554990"/>
    <w:rsid w:val="00554AB3"/>
    <w:rsid w:val="00556D8C"/>
    <w:rsid w:val="00556DDB"/>
    <w:rsid w:val="00556E0A"/>
    <w:rsid w:val="0055787B"/>
    <w:rsid w:val="00560B97"/>
    <w:rsid w:val="00560EE4"/>
    <w:rsid w:val="0056126A"/>
    <w:rsid w:val="00562046"/>
    <w:rsid w:val="005639C3"/>
    <w:rsid w:val="005645DA"/>
    <w:rsid w:val="00564D75"/>
    <w:rsid w:val="00565B91"/>
    <w:rsid w:val="00565E66"/>
    <w:rsid w:val="00565FB1"/>
    <w:rsid w:val="00566479"/>
    <w:rsid w:val="00566E53"/>
    <w:rsid w:val="005674FB"/>
    <w:rsid w:val="005710E6"/>
    <w:rsid w:val="00571D7C"/>
    <w:rsid w:val="00571FD2"/>
    <w:rsid w:val="0057477A"/>
    <w:rsid w:val="00575360"/>
    <w:rsid w:val="005754AC"/>
    <w:rsid w:val="00576111"/>
    <w:rsid w:val="005800DE"/>
    <w:rsid w:val="005809E3"/>
    <w:rsid w:val="005810FE"/>
    <w:rsid w:val="00581C05"/>
    <w:rsid w:val="005826A4"/>
    <w:rsid w:val="00582A41"/>
    <w:rsid w:val="00582B6E"/>
    <w:rsid w:val="00584270"/>
    <w:rsid w:val="005847BC"/>
    <w:rsid w:val="00584C94"/>
    <w:rsid w:val="00584D21"/>
    <w:rsid w:val="005851D0"/>
    <w:rsid w:val="00585A86"/>
    <w:rsid w:val="005860E4"/>
    <w:rsid w:val="00587B89"/>
    <w:rsid w:val="00587EC3"/>
    <w:rsid w:val="00591F70"/>
    <w:rsid w:val="00592210"/>
    <w:rsid w:val="005923D5"/>
    <w:rsid w:val="00592724"/>
    <w:rsid w:val="0059380A"/>
    <w:rsid w:val="00593B36"/>
    <w:rsid w:val="00594524"/>
    <w:rsid w:val="005947D2"/>
    <w:rsid w:val="005965AA"/>
    <w:rsid w:val="00596F5B"/>
    <w:rsid w:val="005976A6"/>
    <w:rsid w:val="005977CE"/>
    <w:rsid w:val="005979F2"/>
    <w:rsid w:val="005A00BC"/>
    <w:rsid w:val="005A053C"/>
    <w:rsid w:val="005A08E2"/>
    <w:rsid w:val="005A10AD"/>
    <w:rsid w:val="005A17C1"/>
    <w:rsid w:val="005A42B3"/>
    <w:rsid w:val="005A453B"/>
    <w:rsid w:val="005A485D"/>
    <w:rsid w:val="005A569C"/>
    <w:rsid w:val="005A7B38"/>
    <w:rsid w:val="005B0E97"/>
    <w:rsid w:val="005B1512"/>
    <w:rsid w:val="005B2691"/>
    <w:rsid w:val="005B30FB"/>
    <w:rsid w:val="005B3245"/>
    <w:rsid w:val="005B328A"/>
    <w:rsid w:val="005B6345"/>
    <w:rsid w:val="005B6DD2"/>
    <w:rsid w:val="005B6F56"/>
    <w:rsid w:val="005B6F5A"/>
    <w:rsid w:val="005B709A"/>
    <w:rsid w:val="005B7331"/>
    <w:rsid w:val="005B79EF"/>
    <w:rsid w:val="005B7B2A"/>
    <w:rsid w:val="005C01C6"/>
    <w:rsid w:val="005C0AA1"/>
    <w:rsid w:val="005C0B7A"/>
    <w:rsid w:val="005C0FAB"/>
    <w:rsid w:val="005C2B1C"/>
    <w:rsid w:val="005C3632"/>
    <w:rsid w:val="005C4125"/>
    <w:rsid w:val="005C4587"/>
    <w:rsid w:val="005C6EDC"/>
    <w:rsid w:val="005D1B3A"/>
    <w:rsid w:val="005D1E11"/>
    <w:rsid w:val="005D1E58"/>
    <w:rsid w:val="005D1FBF"/>
    <w:rsid w:val="005D28DF"/>
    <w:rsid w:val="005D454A"/>
    <w:rsid w:val="005D4821"/>
    <w:rsid w:val="005D4CA4"/>
    <w:rsid w:val="005D5B24"/>
    <w:rsid w:val="005D672F"/>
    <w:rsid w:val="005D750A"/>
    <w:rsid w:val="005D7AC9"/>
    <w:rsid w:val="005E033A"/>
    <w:rsid w:val="005E0941"/>
    <w:rsid w:val="005E09C7"/>
    <w:rsid w:val="005E1A5B"/>
    <w:rsid w:val="005E231B"/>
    <w:rsid w:val="005E2725"/>
    <w:rsid w:val="005E307C"/>
    <w:rsid w:val="005E36C4"/>
    <w:rsid w:val="005E647A"/>
    <w:rsid w:val="005E654B"/>
    <w:rsid w:val="005E6A86"/>
    <w:rsid w:val="005E6B00"/>
    <w:rsid w:val="005E708C"/>
    <w:rsid w:val="005E712E"/>
    <w:rsid w:val="005E79F5"/>
    <w:rsid w:val="005E7D01"/>
    <w:rsid w:val="005F1919"/>
    <w:rsid w:val="005F1D5C"/>
    <w:rsid w:val="005F232F"/>
    <w:rsid w:val="005F321F"/>
    <w:rsid w:val="005F4EBD"/>
    <w:rsid w:val="005F530B"/>
    <w:rsid w:val="005F590F"/>
    <w:rsid w:val="005F623C"/>
    <w:rsid w:val="005F6525"/>
    <w:rsid w:val="005F7BC5"/>
    <w:rsid w:val="006003D7"/>
    <w:rsid w:val="00600BB5"/>
    <w:rsid w:val="006014DB"/>
    <w:rsid w:val="006042FA"/>
    <w:rsid w:val="0060635D"/>
    <w:rsid w:val="00607924"/>
    <w:rsid w:val="006108EE"/>
    <w:rsid w:val="00611C7D"/>
    <w:rsid w:val="006121E6"/>
    <w:rsid w:val="00614CD6"/>
    <w:rsid w:val="00615A26"/>
    <w:rsid w:val="00615A2E"/>
    <w:rsid w:val="00620EE4"/>
    <w:rsid w:val="00623A9C"/>
    <w:rsid w:val="0062428C"/>
    <w:rsid w:val="0062429B"/>
    <w:rsid w:val="00624805"/>
    <w:rsid w:val="00625A02"/>
    <w:rsid w:val="00625AE7"/>
    <w:rsid w:val="00630415"/>
    <w:rsid w:val="006325C7"/>
    <w:rsid w:val="00633139"/>
    <w:rsid w:val="0063358D"/>
    <w:rsid w:val="006345CE"/>
    <w:rsid w:val="006353B1"/>
    <w:rsid w:val="006354F8"/>
    <w:rsid w:val="00637C2D"/>
    <w:rsid w:val="00640B08"/>
    <w:rsid w:val="00641F45"/>
    <w:rsid w:val="00642CC9"/>
    <w:rsid w:val="00644079"/>
    <w:rsid w:val="00644124"/>
    <w:rsid w:val="0064422E"/>
    <w:rsid w:val="00644768"/>
    <w:rsid w:val="00645926"/>
    <w:rsid w:val="0064648C"/>
    <w:rsid w:val="00646B58"/>
    <w:rsid w:val="00646BEB"/>
    <w:rsid w:val="00646CCB"/>
    <w:rsid w:val="00646E28"/>
    <w:rsid w:val="0065199F"/>
    <w:rsid w:val="006521B2"/>
    <w:rsid w:val="006532B4"/>
    <w:rsid w:val="0065351F"/>
    <w:rsid w:val="00653DAD"/>
    <w:rsid w:val="00655890"/>
    <w:rsid w:val="00656339"/>
    <w:rsid w:val="0065675E"/>
    <w:rsid w:val="00657030"/>
    <w:rsid w:val="006608F1"/>
    <w:rsid w:val="00660B06"/>
    <w:rsid w:val="00660C1B"/>
    <w:rsid w:val="00660E5B"/>
    <w:rsid w:val="0066119A"/>
    <w:rsid w:val="0066192D"/>
    <w:rsid w:val="00662C01"/>
    <w:rsid w:val="00663273"/>
    <w:rsid w:val="00663874"/>
    <w:rsid w:val="00663B24"/>
    <w:rsid w:val="00664167"/>
    <w:rsid w:val="00664EE2"/>
    <w:rsid w:val="00664EE4"/>
    <w:rsid w:val="00665C01"/>
    <w:rsid w:val="00665D6C"/>
    <w:rsid w:val="0066697F"/>
    <w:rsid w:val="006675A7"/>
    <w:rsid w:val="00667C59"/>
    <w:rsid w:val="0067002C"/>
    <w:rsid w:val="00670AEB"/>
    <w:rsid w:val="00670BB2"/>
    <w:rsid w:val="00670D99"/>
    <w:rsid w:val="00671837"/>
    <w:rsid w:val="00672D7C"/>
    <w:rsid w:val="00673AF8"/>
    <w:rsid w:val="00673B28"/>
    <w:rsid w:val="006741D7"/>
    <w:rsid w:val="00674F70"/>
    <w:rsid w:val="00675836"/>
    <w:rsid w:val="00675F43"/>
    <w:rsid w:val="00677315"/>
    <w:rsid w:val="00677720"/>
    <w:rsid w:val="00680304"/>
    <w:rsid w:val="00680AF4"/>
    <w:rsid w:val="006811EF"/>
    <w:rsid w:val="0068124D"/>
    <w:rsid w:val="00681E06"/>
    <w:rsid w:val="00681F3E"/>
    <w:rsid w:val="00682612"/>
    <w:rsid w:val="0068332B"/>
    <w:rsid w:val="00683A3A"/>
    <w:rsid w:val="00683DF4"/>
    <w:rsid w:val="00683F6B"/>
    <w:rsid w:val="006841B2"/>
    <w:rsid w:val="006851B1"/>
    <w:rsid w:val="0068575A"/>
    <w:rsid w:val="00685792"/>
    <w:rsid w:val="00685C63"/>
    <w:rsid w:val="006863DE"/>
    <w:rsid w:val="00686729"/>
    <w:rsid w:val="00687549"/>
    <w:rsid w:val="006879C6"/>
    <w:rsid w:val="00687C33"/>
    <w:rsid w:val="00693567"/>
    <w:rsid w:val="006936A2"/>
    <w:rsid w:val="00693826"/>
    <w:rsid w:val="00694C49"/>
    <w:rsid w:val="00694F01"/>
    <w:rsid w:val="006954FE"/>
    <w:rsid w:val="006955B0"/>
    <w:rsid w:val="006960E4"/>
    <w:rsid w:val="00696202"/>
    <w:rsid w:val="00696451"/>
    <w:rsid w:val="0069745E"/>
    <w:rsid w:val="006974A5"/>
    <w:rsid w:val="00697815"/>
    <w:rsid w:val="00697E55"/>
    <w:rsid w:val="00697F65"/>
    <w:rsid w:val="006A01AD"/>
    <w:rsid w:val="006A1957"/>
    <w:rsid w:val="006A29F4"/>
    <w:rsid w:val="006A2CB0"/>
    <w:rsid w:val="006A35D9"/>
    <w:rsid w:val="006A38D8"/>
    <w:rsid w:val="006A409E"/>
    <w:rsid w:val="006A42E4"/>
    <w:rsid w:val="006A48A0"/>
    <w:rsid w:val="006A49AE"/>
    <w:rsid w:val="006A4C36"/>
    <w:rsid w:val="006A4E0B"/>
    <w:rsid w:val="006A5922"/>
    <w:rsid w:val="006A5BDE"/>
    <w:rsid w:val="006A72DB"/>
    <w:rsid w:val="006B02B6"/>
    <w:rsid w:val="006B0C53"/>
    <w:rsid w:val="006B0CAA"/>
    <w:rsid w:val="006B12C4"/>
    <w:rsid w:val="006B1370"/>
    <w:rsid w:val="006B140F"/>
    <w:rsid w:val="006B22E3"/>
    <w:rsid w:val="006B25FF"/>
    <w:rsid w:val="006B2655"/>
    <w:rsid w:val="006B2E16"/>
    <w:rsid w:val="006B33B9"/>
    <w:rsid w:val="006B3A47"/>
    <w:rsid w:val="006B47E3"/>
    <w:rsid w:val="006B488E"/>
    <w:rsid w:val="006B4A48"/>
    <w:rsid w:val="006B4BB5"/>
    <w:rsid w:val="006B5229"/>
    <w:rsid w:val="006B531B"/>
    <w:rsid w:val="006B670E"/>
    <w:rsid w:val="006B703C"/>
    <w:rsid w:val="006B7D34"/>
    <w:rsid w:val="006B7F0A"/>
    <w:rsid w:val="006C085E"/>
    <w:rsid w:val="006C120F"/>
    <w:rsid w:val="006C1937"/>
    <w:rsid w:val="006C27E7"/>
    <w:rsid w:val="006C4B00"/>
    <w:rsid w:val="006C553A"/>
    <w:rsid w:val="006C5A9C"/>
    <w:rsid w:val="006C5FB5"/>
    <w:rsid w:val="006C62C2"/>
    <w:rsid w:val="006C66F7"/>
    <w:rsid w:val="006D0EA1"/>
    <w:rsid w:val="006D1D39"/>
    <w:rsid w:val="006D247B"/>
    <w:rsid w:val="006D2641"/>
    <w:rsid w:val="006D3A34"/>
    <w:rsid w:val="006D47E5"/>
    <w:rsid w:val="006D5035"/>
    <w:rsid w:val="006D5977"/>
    <w:rsid w:val="006D5CC1"/>
    <w:rsid w:val="006D64BD"/>
    <w:rsid w:val="006D670E"/>
    <w:rsid w:val="006D749F"/>
    <w:rsid w:val="006D7971"/>
    <w:rsid w:val="006D7E3B"/>
    <w:rsid w:val="006E075F"/>
    <w:rsid w:val="006E0F7E"/>
    <w:rsid w:val="006E10A3"/>
    <w:rsid w:val="006E20FB"/>
    <w:rsid w:val="006E23CE"/>
    <w:rsid w:val="006E2C5D"/>
    <w:rsid w:val="006E2F60"/>
    <w:rsid w:val="006E30F9"/>
    <w:rsid w:val="006E37D9"/>
    <w:rsid w:val="006E3A3C"/>
    <w:rsid w:val="006E3AB7"/>
    <w:rsid w:val="006E573E"/>
    <w:rsid w:val="006E7A2C"/>
    <w:rsid w:val="006F0DC7"/>
    <w:rsid w:val="006F2037"/>
    <w:rsid w:val="006F3688"/>
    <w:rsid w:val="006F6F59"/>
    <w:rsid w:val="006F7B4D"/>
    <w:rsid w:val="00700CFE"/>
    <w:rsid w:val="0070166C"/>
    <w:rsid w:val="0070179E"/>
    <w:rsid w:val="0070369F"/>
    <w:rsid w:val="0070413A"/>
    <w:rsid w:val="00704DDE"/>
    <w:rsid w:val="00704F07"/>
    <w:rsid w:val="007057DA"/>
    <w:rsid w:val="007064A9"/>
    <w:rsid w:val="00706BF8"/>
    <w:rsid w:val="00706F65"/>
    <w:rsid w:val="00713786"/>
    <w:rsid w:val="00714375"/>
    <w:rsid w:val="007150E0"/>
    <w:rsid w:val="0071570C"/>
    <w:rsid w:val="00716231"/>
    <w:rsid w:val="00716581"/>
    <w:rsid w:val="0071668F"/>
    <w:rsid w:val="00720741"/>
    <w:rsid w:val="00721CDE"/>
    <w:rsid w:val="0072397A"/>
    <w:rsid w:val="00723F5C"/>
    <w:rsid w:val="007248A2"/>
    <w:rsid w:val="00725BD0"/>
    <w:rsid w:val="007260FC"/>
    <w:rsid w:val="00726990"/>
    <w:rsid w:val="00726C7F"/>
    <w:rsid w:val="00727E80"/>
    <w:rsid w:val="007300B0"/>
    <w:rsid w:val="00730C03"/>
    <w:rsid w:val="007318FD"/>
    <w:rsid w:val="00731FF9"/>
    <w:rsid w:val="00732C61"/>
    <w:rsid w:val="0073344D"/>
    <w:rsid w:val="00735043"/>
    <w:rsid w:val="0073551E"/>
    <w:rsid w:val="00735886"/>
    <w:rsid w:val="007369F5"/>
    <w:rsid w:val="00736BF7"/>
    <w:rsid w:val="0073763A"/>
    <w:rsid w:val="0073783F"/>
    <w:rsid w:val="0074005B"/>
    <w:rsid w:val="00741379"/>
    <w:rsid w:val="00741518"/>
    <w:rsid w:val="0074192F"/>
    <w:rsid w:val="00741C93"/>
    <w:rsid w:val="00741EFF"/>
    <w:rsid w:val="007432EA"/>
    <w:rsid w:val="00743517"/>
    <w:rsid w:val="00744442"/>
    <w:rsid w:val="00745253"/>
    <w:rsid w:val="00745AA1"/>
    <w:rsid w:val="00745BB9"/>
    <w:rsid w:val="0074643A"/>
    <w:rsid w:val="00747049"/>
    <w:rsid w:val="00747412"/>
    <w:rsid w:val="00747972"/>
    <w:rsid w:val="00747D83"/>
    <w:rsid w:val="007509EF"/>
    <w:rsid w:val="00750D6E"/>
    <w:rsid w:val="00751ADB"/>
    <w:rsid w:val="00754F83"/>
    <w:rsid w:val="007555E4"/>
    <w:rsid w:val="00756074"/>
    <w:rsid w:val="00756F56"/>
    <w:rsid w:val="00757C04"/>
    <w:rsid w:val="00757CCB"/>
    <w:rsid w:val="007612AA"/>
    <w:rsid w:val="0076179F"/>
    <w:rsid w:val="00761866"/>
    <w:rsid w:val="007619FB"/>
    <w:rsid w:val="00761BE9"/>
    <w:rsid w:val="007626BD"/>
    <w:rsid w:val="00765666"/>
    <w:rsid w:val="007657DA"/>
    <w:rsid w:val="00766053"/>
    <w:rsid w:val="00766FA8"/>
    <w:rsid w:val="007703FE"/>
    <w:rsid w:val="00770B14"/>
    <w:rsid w:val="00771928"/>
    <w:rsid w:val="00771B62"/>
    <w:rsid w:val="00773AFA"/>
    <w:rsid w:val="0077449D"/>
    <w:rsid w:val="00774A2E"/>
    <w:rsid w:val="007803E6"/>
    <w:rsid w:val="0078270A"/>
    <w:rsid w:val="00782FD6"/>
    <w:rsid w:val="00783AA6"/>
    <w:rsid w:val="00783BE7"/>
    <w:rsid w:val="00783EC5"/>
    <w:rsid w:val="007856F9"/>
    <w:rsid w:val="0078571B"/>
    <w:rsid w:val="00785D24"/>
    <w:rsid w:val="007865C4"/>
    <w:rsid w:val="00786AAF"/>
    <w:rsid w:val="00787650"/>
    <w:rsid w:val="00787B67"/>
    <w:rsid w:val="00790169"/>
    <w:rsid w:val="007913AE"/>
    <w:rsid w:val="0079247D"/>
    <w:rsid w:val="007928E4"/>
    <w:rsid w:val="00793A0F"/>
    <w:rsid w:val="00796E2A"/>
    <w:rsid w:val="007A05E0"/>
    <w:rsid w:val="007A0C45"/>
    <w:rsid w:val="007A1061"/>
    <w:rsid w:val="007A2386"/>
    <w:rsid w:val="007A3F71"/>
    <w:rsid w:val="007A4712"/>
    <w:rsid w:val="007A703C"/>
    <w:rsid w:val="007A70ED"/>
    <w:rsid w:val="007B015F"/>
    <w:rsid w:val="007B0ECE"/>
    <w:rsid w:val="007B1EC1"/>
    <w:rsid w:val="007B3A08"/>
    <w:rsid w:val="007B4552"/>
    <w:rsid w:val="007B57F7"/>
    <w:rsid w:val="007B5E79"/>
    <w:rsid w:val="007B63C0"/>
    <w:rsid w:val="007B6CE6"/>
    <w:rsid w:val="007B7A72"/>
    <w:rsid w:val="007B7EA9"/>
    <w:rsid w:val="007B7F48"/>
    <w:rsid w:val="007C0C22"/>
    <w:rsid w:val="007C224F"/>
    <w:rsid w:val="007C2EFE"/>
    <w:rsid w:val="007C31F6"/>
    <w:rsid w:val="007C3D21"/>
    <w:rsid w:val="007C4906"/>
    <w:rsid w:val="007C4AA7"/>
    <w:rsid w:val="007C4CD5"/>
    <w:rsid w:val="007C505A"/>
    <w:rsid w:val="007C5632"/>
    <w:rsid w:val="007C5AA4"/>
    <w:rsid w:val="007C5D27"/>
    <w:rsid w:val="007C6900"/>
    <w:rsid w:val="007C786E"/>
    <w:rsid w:val="007C7F40"/>
    <w:rsid w:val="007D03F9"/>
    <w:rsid w:val="007D0D37"/>
    <w:rsid w:val="007D0DF3"/>
    <w:rsid w:val="007D24BF"/>
    <w:rsid w:val="007D273A"/>
    <w:rsid w:val="007D278B"/>
    <w:rsid w:val="007D2B30"/>
    <w:rsid w:val="007D45B8"/>
    <w:rsid w:val="007D4860"/>
    <w:rsid w:val="007D4885"/>
    <w:rsid w:val="007D4E72"/>
    <w:rsid w:val="007D6970"/>
    <w:rsid w:val="007E0C4D"/>
    <w:rsid w:val="007E0FF4"/>
    <w:rsid w:val="007E1A2D"/>
    <w:rsid w:val="007E3DE8"/>
    <w:rsid w:val="007E4194"/>
    <w:rsid w:val="007E45E0"/>
    <w:rsid w:val="007E49AE"/>
    <w:rsid w:val="007E4D96"/>
    <w:rsid w:val="007E4DFA"/>
    <w:rsid w:val="007E4EAF"/>
    <w:rsid w:val="007E5712"/>
    <w:rsid w:val="007E5AA3"/>
    <w:rsid w:val="007E6098"/>
    <w:rsid w:val="007E7615"/>
    <w:rsid w:val="007F0441"/>
    <w:rsid w:val="007F2FD1"/>
    <w:rsid w:val="007F45BE"/>
    <w:rsid w:val="007F4620"/>
    <w:rsid w:val="007F4B0E"/>
    <w:rsid w:val="007F4C67"/>
    <w:rsid w:val="007F52DF"/>
    <w:rsid w:val="007F5C8E"/>
    <w:rsid w:val="007F67F8"/>
    <w:rsid w:val="00800658"/>
    <w:rsid w:val="00800CCB"/>
    <w:rsid w:val="00801357"/>
    <w:rsid w:val="00801EB4"/>
    <w:rsid w:val="00802D21"/>
    <w:rsid w:val="00804137"/>
    <w:rsid w:val="00804285"/>
    <w:rsid w:val="00804C56"/>
    <w:rsid w:val="0080506B"/>
    <w:rsid w:val="00805370"/>
    <w:rsid w:val="008067E0"/>
    <w:rsid w:val="00806EE5"/>
    <w:rsid w:val="00807613"/>
    <w:rsid w:val="008103B5"/>
    <w:rsid w:val="00813BC7"/>
    <w:rsid w:val="008154A5"/>
    <w:rsid w:val="0081594D"/>
    <w:rsid w:val="00815B55"/>
    <w:rsid w:val="00815C56"/>
    <w:rsid w:val="00816250"/>
    <w:rsid w:val="00816AE5"/>
    <w:rsid w:val="00817711"/>
    <w:rsid w:val="00820522"/>
    <w:rsid w:val="00821544"/>
    <w:rsid w:val="008215CB"/>
    <w:rsid w:val="00821660"/>
    <w:rsid w:val="008218A6"/>
    <w:rsid w:val="0082272D"/>
    <w:rsid w:val="008227E3"/>
    <w:rsid w:val="008236B6"/>
    <w:rsid w:val="00823B78"/>
    <w:rsid w:val="00823D73"/>
    <w:rsid w:val="008240C2"/>
    <w:rsid w:val="00824428"/>
    <w:rsid w:val="00824ABE"/>
    <w:rsid w:val="008255BA"/>
    <w:rsid w:val="00825F0C"/>
    <w:rsid w:val="00826E27"/>
    <w:rsid w:val="00826EFD"/>
    <w:rsid w:val="008270C2"/>
    <w:rsid w:val="00827615"/>
    <w:rsid w:val="00827776"/>
    <w:rsid w:val="00830492"/>
    <w:rsid w:val="00830AED"/>
    <w:rsid w:val="008329E9"/>
    <w:rsid w:val="00832C00"/>
    <w:rsid w:val="008338DD"/>
    <w:rsid w:val="00834DE7"/>
    <w:rsid w:val="0083522C"/>
    <w:rsid w:val="008355D8"/>
    <w:rsid w:val="00835AC1"/>
    <w:rsid w:val="00836B07"/>
    <w:rsid w:val="0084018A"/>
    <w:rsid w:val="00841383"/>
    <w:rsid w:val="008416EC"/>
    <w:rsid w:val="008425EF"/>
    <w:rsid w:val="008427F7"/>
    <w:rsid w:val="008429B9"/>
    <w:rsid w:val="00842A3D"/>
    <w:rsid w:val="00843761"/>
    <w:rsid w:val="008446B6"/>
    <w:rsid w:val="0084540C"/>
    <w:rsid w:val="00847521"/>
    <w:rsid w:val="0084775A"/>
    <w:rsid w:val="00850323"/>
    <w:rsid w:val="00850874"/>
    <w:rsid w:val="00850CE9"/>
    <w:rsid w:val="00851001"/>
    <w:rsid w:val="008537D4"/>
    <w:rsid w:val="00855618"/>
    <w:rsid w:val="0085593E"/>
    <w:rsid w:val="00855AAA"/>
    <w:rsid w:val="00856168"/>
    <w:rsid w:val="00857114"/>
    <w:rsid w:val="0086039B"/>
    <w:rsid w:val="008608B6"/>
    <w:rsid w:val="00860F3C"/>
    <w:rsid w:val="00861146"/>
    <w:rsid w:val="00861399"/>
    <w:rsid w:val="00862ECE"/>
    <w:rsid w:val="0086354A"/>
    <w:rsid w:val="00864057"/>
    <w:rsid w:val="00864BF5"/>
    <w:rsid w:val="00867175"/>
    <w:rsid w:val="00867DAD"/>
    <w:rsid w:val="008702A6"/>
    <w:rsid w:val="008711F2"/>
    <w:rsid w:val="00872768"/>
    <w:rsid w:val="00872D74"/>
    <w:rsid w:val="0087300E"/>
    <w:rsid w:val="00873027"/>
    <w:rsid w:val="0087317C"/>
    <w:rsid w:val="00873B6A"/>
    <w:rsid w:val="00874155"/>
    <w:rsid w:val="0087498C"/>
    <w:rsid w:val="008749EA"/>
    <w:rsid w:val="008754C8"/>
    <w:rsid w:val="00875E33"/>
    <w:rsid w:val="00876282"/>
    <w:rsid w:val="0087684C"/>
    <w:rsid w:val="008778F3"/>
    <w:rsid w:val="008802FC"/>
    <w:rsid w:val="008808D8"/>
    <w:rsid w:val="00880C48"/>
    <w:rsid w:val="00880F2D"/>
    <w:rsid w:val="008812F3"/>
    <w:rsid w:val="00881A77"/>
    <w:rsid w:val="00881DDE"/>
    <w:rsid w:val="00882945"/>
    <w:rsid w:val="00883B74"/>
    <w:rsid w:val="00883D71"/>
    <w:rsid w:val="00886573"/>
    <w:rsid w:val="00886FCD"/>
    <w:rsid w:val="008872DC"/>
    <w:rsid w:val="0088764A"/>
    <w:rsid w:val="00887C5F"/>
    <w:rsid w:val="00891E82"/>
    <w:rsid w:val="008922D8"/>
    <w:rsid w:val="008925E0"/>
    <w:rsid w:val="00892BA5"/>
    <w:rsid w:val="008938A4"/>
    <w:rsid w:val="00893E42"/>
    <w:rsid w:val="00895C2D"/>
    <w:rsid w:val="0089605C"/>
    <w:rsid w:val="00897372"/>
    <w:rsid w:val="008A2C93"/>
    <w:rsid w:val="008A4E00"/>
    <w:rsid w:val="008A56BD"/>
    <w:rsid w:val="008A5FA4"/>
    <w:rsid w:val="008A6619"/>
    <w:rsid w:val="008A69C9"/>
    <w:rsid w:val="008A6ADE"/>
    <w:rsid w:val="008A6D39"/>
    <w:rsid w:val="008A7591"/>
    <w:rsid w:val="008B0B9E"/>
    <w:rsid w:val="008B1293"/>
    <w:rsid w:val="008B1B8A"/>
    <w:rsid w:val="008B29AD"/>
    <w:rsid w:val="008B4011"/>
    <w:rsid w:val="008B4106"/>
    <w:rsid w:val="008B422E"/>
    <w:rsid w:val="008B49AF"/>
    <w:rsid w:val="008B4BB7"/>
    <w:rsid w:val="008B7172"/>
    <w:rsid w:val="008B75C7"/>
    <w:rsid w:val="008B78D9"/>
    <w:rsid w:val="008C01FD"/>
    <w:rsid w:val="008C02ED"/>
    <w:rsid w:val="008C0E05"/>
    <w:rsid w:val="008C0EC4"/>
    <w:rsid w:val="008C10BE"/>
    <w:rsid w:val="008C2868"/>
    <w:rsid w:val="008C2A1D"/>
    <w:rsid w:val="008C2FE9"/>
    <w:rsid w:val="008C3394"/>
    <w:rsid w:val="008C3658"/>
    <w:rsid w:val="008C3EC4"/>
    <w:rsid w:val="008C49EC"/>
    <w:rsid w:val="008C4B84"/>
    <w:rsid w:val="008C6A51"/>
    <w:rsid w:val="008C6E51"/>
    <w:rsid w:val="008D138D"/>
    <w:rsid w:val="008D1B58"/>
    <w:rsid w:val="008D1F0A"/>
    <w:rsid w:val="008D29EF"/>
    <w:rsid w:val="008D2F73"/>
    <w:rsid w:val="008D3DA9"/>
    <w:rsid w:val="008D3E9A"/>
    <w:rsid w:val="008D45FC"/>
    <w:rsid w:val="008D5CBA"/>
    <w:rsid w:val="008D744B"/>
    <w:rsid w:val="008E0D26"/>
    <w:rsid w:val="008E1D82"/>
    <w:rsid w:val="008E2181"/>
    <w:rsid w:val="008E21AE"/>
    <w:rsid w:val="008E2EDB"/>
    <w:rsid w:val="008E311D"/>
    <w:rsid w:val="008E35EB"/>
    <w:rsid w:val="008E42AE"/>
    <w:rsid w:val="008E46A6"/>
    <w:rsid w:val="008E474D"/>
    <w:rsid w:val="008E4D7B"/>
    <w:rsid w:val="008E510F"/>
    <w:rsid w:val="008E56A7"/>
    <w:rsid w:val="008E5973"/>
    <w:rsid w:val="008E5A90"/>
    <w:rsid w:val="008E681A"/>
    <w:rsid w:val="008E732C"/>
    <w:rsid w:val="008E777D"/>
    <w:rsid w:val="008F0C20"/>
    <w:rsid w:val="008F170E"/>
    <w:rsid w:val="008F1DB7"/>
    <w:rsid w:val="008F263F"/>
    <w:rsid w:val="008F5B67"/>
    <w:rsid w:val="008F6E60"/>
    <w:rsid w:val="008F7329"/>
    <w:rsid w:val="008F76CC"/>
    <w:rsid w:val="00903446"/>
    <w:rsid w:val="00903B1C"/>
    <w:rsid w:val="009077E7"/>
    <w:rsid w:val="009100C1"/>
    <w:rsid w:val="0091029F"/>
    <w:rsid w:val="00910948"/>
    <w:rsid w:val="00910AA5"/>
    <w:rsid w:val="00910B90"/>
    <w:rsid w:val="00911456"/>
    <w:rsid w:val="00911AE9"/>
    <w:rsid w:val="009133FC"/>
    <w:rsid w:val="009143D9"/>
    <w:rsid w:val="009147B3"/>
    <w:rsid w:val="009159CE"/>
    <w:rsid w:val="009169F4"/>
    <w:rsid w:val="009171C5"/>
    <w:rsid w:val="00917FB9"/>
    <w:rsid w:val="00920B87"/>
    <w:rsid w:val="0092154F"/>
    <w:rsid w:val="009223B2"/>
    <w:rsid w:val="00922C9F"/>
    <w:rsid w:val="00923126"/>
    <w:rsid w:val="00923261"/>
    <w:rsid w:val="00923A7F"/>
    <w:rsid w:val="00924410"/>
    <w:rsid w:val="00924546"/>
    <w:rsid w:val="00925052"/>
    <w:rsid w:val="00926263"/>
    <w:rsid w:val="009262E9"/>
    <w:rsid w:val="009267D8"/>
    <w:rsid w:val="0092695C"/>
    <w:rsid w:val="00926BDC"/>
    <w:rsid w:val="00926D50"/>
    <w:rsid w:val="00930227"/>
    <w:rsid w:val="00931041"/>
    <w:rsid w:val="0093112A"/>
    <w:rsid w:val="009316BF"/>
    <w:rsid w:val="00931ACB"/>
    <w:rsid w:val="009323B9"/>
    <w:rsid w:val="00932D57"/>
    <w:rsid w:val="00932F88"/>
    <w:rsid w:val="009334CB"/>
    <w:rsid w:val="009358FD"/>
    <w:rsid w:val="0093685C"/>
    <w:rsid w:val="00936CD4"/>
    <w:rsid w:val="0093747B"/>
    <w:rsid w:val="00937ADD"/>
    <w:rsid w:val="00937B20"/>
    <w:rsid w:val="0094020D"/>
    <w:rsid w:val="009408AC"/>
    <w:rsid w:val="009409DE"/>
    <w:rsid w:val="0094232B"/>
    <w:rsid w:val="00942EEB"/>
    <w:rsid w:val="00943993"/>
    <w:rsid w:val="00943DBD"/>
    <w:rsid w:val="009440F9"/>
    <w:rsid w:val="00944DBA"/>
    <w:rsid w:val="0094564A"/>
    <w:rsid w:val="00945728"/>
    <w:rsid w:val="00945F5F"/>
    <w:rsid w:val="009466A0"/>
    <w:rsid w:val="0094685F"/>
    <w:rsid w:val="00946C22"/>
    <w:rsid w:val="00950AF3"/>
    <w:rsid w:val="009515F5"/>
    <w:rsid w:val="00952669"/>
    <w:rsid w:val="00952AC3"/>
    <w:rsid w:val="009532DF"/>
    <w:rsid w:val="00953431"/>
    <w:rsid w:val="0095348C"/>
    <w:rsid w:val="009534F1"/>
    <w:rsid w:val="00954629"/>
    <w:rsid w:val="0095511A"/>
    <w:rsid w:val="00955BC3"/>
    <w:rsid w:val="0095616F"/>
    <w:rsid w:val="009571A3"/>
    <w:rsid w:val="009614B1"/>
    <w:rsid w:val="00961F83"/>
    <w:rsid w:val="0096340A"/>
    <w:rsid w:val="00963E79"/>
    <w:rsid w:val="00965ABF"/>
    <w:rsid w:val="00965E11"/>
    <w:rsid w:val="0097064A"/>
    <w:rsid w:val="00970C52"/>
    <w:rsid w:val="00970C88"/>
    <w:rsid w:val="00972F12"/>
    <w:rsid w:val="0097469A"/>
    <w:rsid w:val="00975A7B"/>
    <w:rsid w:val="00976F29"/>
    <w:rsid w:val="0097761F"/>
    <w:rsid w:val="00980380"/>
    <w:rsid w:val="00980FC1"/>
    <w:rsid w:val="00981506"/>
    <w:rsid w:val="00982031"/>
    <w:rsid w:val="00983408"/>
    <w:rsid w:val="00983CC6"/>
    <w:rsid w:val="00984903"/>
    <w:rsid w:val="00984BDD"/>
    <w:rsid w:val="00984CDA"/>
    <w:rsid w:val="00984F9C"/>
    <w:rsid w:val="009862CF"/>
    <w:rsid w:val="00986C7D"/>
    <w:rsid w:val="00986E75"/>
    <w:rsid w:val="00987995"/>
    <w:rsid w:val="00990909"/>
    <w:rsid w:val="00990DAE"/>
    <w:rsid w:val="009917C9"/>
    <w:rsid w:val="00991978"/>
    <w:rsid w:val="0099252A"/>
    <w:rsid w:val="00993824"/>
    <w:rsid w:val="00994C63"/>
    <w:rsid w:val="00995BA0"/>
    <w:rsid w:val="009965F7"/>
    <w:rsid w:val="0099662F"/>
    <w:rsid w:val="009A04D3"/>
    <w:rsid w:val="009A07BE"/>
    <w:rsid w:val="009A23D0"/>
    <w:rsid w:val="009A55A8"/>
    <w:rsid w:val="009A59C2"/>
    <w:rsid w:val="009A59DD"/>
    <w:rsid w:val="009A6C67"/>
    <w:rsid w:val="009A766B"/>
    <w:rsid w:val="009A77C5"/>
    <w:rsid w:val="009A799A"/>
    <w:rsid w:val="009B03FC"/>
    <w:rsid w:val="009B065A"/>
    <w:rsid w:val="009B0D5F"/>
    <w:rsid w:val="009B10C7"/>
    <w:rsid w:val="009B1CF6"/>
    <w:rsid w:val="009B2260"/>
    <w:rsid w:val="009B2491"/>
    <w:rsid w:val="009B3573"/>
    <w:rsid w:val="009B3B52"/>
    <w:rsid w:val="009B48DA"/>
    <w:rsid w:val="009B505B"/>
    <w:rsid w:val="009B6659"/>
    <w:rsid w:val="009B7888"/>
    <w:rsid w:val="009B79E4"/>
    <w:rsid w:val="009C0B67"/>
    <w:rsid w:val="009C0DCA"/>
    <w:rsid w:val="009C16E3"/>
    <w:rsid w:val="009C1C9C"/>
    <w:rsid w:val="009C2838"/>
    <w:rsid w:val="009C3C63"/>
    <w:rsid w:val="009C47F4"/>
    <w:rsid w:val="009C48B3"/>
    <w:rsid w:val="009C4911"/>
    <w:rsid w:val="009C5600"/>
    <w:rsid w:val="009C5796"/>
    <w:rsid w:val="009C6442"/>
    <w:rsid w:val="009C65D5"/>
    <w:rsid w:val="009C6B72"/>
    <w:rsid w:val="009C7188"/>
    <w:rsid w:val="009C7865"/>
    <w:rsid w:val="009D00D8"/>
    <w:rsid w:val="009D1334"/>
    <w:rsid w:val="009D1C72"/>
    <w:rsid w:val="009D1D9C"/>
    <w:rsid w:val="009D21A2"/>
    <w:rsid w:val="009D24D4"/>
    <w:rsid w:val="009D2521"/>
    <w:rsid w:val="009D27B2"/>
    <w:rsid w:val="009D2D08"/>
    <w:rsid w:val="009D2ED5"/>
    <w:rsid w:val="009D4F3F"/>
    <w:rsid w:val="009D5DDE"/>
    <w:rsid w:val="009D61A5"/>
    <w:rsid w:val="009D66DE"/>
    <w:rsid w:val="009D71C7"/>
    <w:rsid w:val="009D79B4"/>
    <w:rsid w:val="009D7E26"/>
    <w:rsid w:val="009D7E68"/>
    <w:rsid w:val="009E042D"/>
    <w:rsid w:val="009E06AB"/>
    <w:rsid w:val="009E0DBB"/>
    <w:rsid w:val="009E1DEB"/>
    <w:rsid w:val="009E2896"/>
    <w:rsid w:val="009E3160"/>
    <w:rsid w:val="009E5536"/>
    <w:rsid w:val="009E56BA"/>
    <w:rsid w:val="009E5B96"/>
    <w:rsid w:val="009E63AF"/>
    <w:rsid w:val="009E7008"/>
    <w:rsid w:val="009E769C"/>
    <w:rsid w:val="009F0E77"/>
    <w:rsid w:val="009F0E8A"/>
    <w:rsid w:val="009F1367"/>
    <w:rsid w:val="009F1410"/>
    <w:rsid w:val="009F1B26"/>
    <w:rsid w:val="009F1DC9"/>
    <w:rsid w:val="009F2F2A"/>
    <w:rsid w:val="009F3BE9"/>
    <w:rsid w:val="009F58A7"/>
    <w:rsid w:val="009F61D7"/>
    <w:rsid w:val="009F6358"/>
    <w:rsid w:val="009F75CE"/>
    <w:rsid w:val="009F790B"/>
    <w:rsid w:val="009F7DA3"/>
    <w:rsid w:val="00A0095D"/>
    <w:rsid w:val="00A00976"/>
    <w:rsid w:val="00A00B1B"/>
    <w:rsid w:val="00A01847"/>
    <w:rsid w:val="00A020DC"/>
    <w:rsid w:val="00A02FF4"/>
    <w:rsid w:val="00A033E6"/>
    <w:rsid w:val="00A0406E"/>
    <w:rsid w:val="00A04C6C"/>
    <w:rsid w:val="00A05436"/>
    <w:rsid w:val="00A06924"/>
    <w:rsid w:val="00A07C15"/>
    <w:rsid w:val="00A104A5"/>
    <w:rsid w:val="00A112FF"/>
    <w:rsid w:val="00A12893"/>
    <w:rsid w:val="00A13881"/>
    <w:rsid w:val="00A13E52"/>
    <w:rsid w:val="00A14D04"/>
    <w:rsid w:val="00A15766"/>
    <w:rsid w:val="00A16E61"/>
    <w:rsid w:val="00A17B22"/>
    <w:rsid w:val="00A2064B"/>
    <w:rsid w:val="00A20B06"/>
    <w:rsid w:val="00A211B8"/>
    <w:rsid w:val="00A21E94"/>
    <w:rsid w:val="00A2325F"/>
    <w:rsid w:val="00A235A2"/>
    <w:rsid w:val="00A23749"/>
    <w:rsid w:val="00A24359"/>
    <w:rsid w:val="00A24594"/>
    <w:rsid w:val="00A25CCE"/>
    <w:rsid w:val="00A266B9"/>
    <w:rsid w:val="00A27AE0"/>
    <w:rsid w:val="00A30ED6"/>
    <w:rsid w:val="00A311E1"/>
    <w:rsid w:val="00A31DCE"/>
    <w:rsid w:val="00A33DEB"/>
    <w:rsid w:val="00A3401E"/>
    <w:rsid w:val="00A3405F"/>
    <w:rsid w:val="00A3445F"/>
    <w:rsid w:val="00A3507E"/>
    <w:rsid w:val="00A35471"/>
    <w:rsid w:val="00A35C4F"/>
    <w:rsid w:val="00A36880"/>
    <w:rsid w:val="00A36C44"/>
    <w:rsid w:val="00A377E9"/>
    <w:rsid w:val="00A40A4A"/>
    <w:rsid w:val="00A40E64"/>
    <w:rsid w:val="00A415C2"/>
    <w:rsid w:val="00A42685"/>
    <w:rsid w:val="00A42B99"/>
    <w:rsid w:val="00A4304F"/>
    <w:rsid w:val="00A439DD"/>
    <w:rsid w:val="00A43AC6"/>
    <w:rsid w:val="00A43B1E"/>
    <w:rsid w:val="00A447F7"/>
    <w:rsid w:val="00A44D01"/>
    <w:rsid w:val="00A44F96"/>
    <w:rsid w:val="00A45F9C"/>
    <w:rsid w:val="00A46B1A"/>
    <w:rsid w:val="00A46E38"/>
    <w:rsid w:val="00A50737"/>
    <w:rsid w:val="00A5104D"/>
    <w:rsid w:val="00A51B26"/>
    <w:rsid w:val="00A51CC4"/>
    <w:rsid w:val="00A51F48"/>
    <w:rsid w:val="00A5281F"/>
    <w:rsid w:val="00A52935"/>
    <w:rsid w:val="00A53466"/>
    <w:rsid w:val="00A536F5"/>
    <w:rsid w:val="00A53D38"/>
    <w:rsid w:val="00A544D8"/>
    <w:rsid w:val="00A54787"/>
    <w:rsid w:val="00A54BE6"/>
    <w:rsid w:val="00A55239"/>
    <w:rsid w:val="00A56355"/>
    <w:rsid w:val="00A565C8"/>
    <w:rsid w:val="00A57351"/>
    <w:rsid w:val="00A609DC"/>
    <w:rsid w:val="00A60CC6"/>
    <w:rsid w:val="00A61388"/>
    <w:rsid w:val="00A61AA8"/>
    <w:rsid w:val="00A61CE3"/>
    <w:rsid w:val="00A630D2"/>
    <w:rsid w:val="00A6445E"/>
    <w:rsid w:val="00A644BD"/>
    <w:rsid w:val="00A64FAE"/>
    <w:rsid w:val="00A65287"/>
    <w:rsid w:val="00A65746"/>
    <w:rsid w:val="00A65755"/>
    <w:rsid w:val="00A673AB"/>
    <w:rsid w:val="00A67AEE"/>
    <w:rsid w:val="00A70085"/>
    <w:rsid w:val="00A70B72"/>
    <w:rsid w:val="00A73508"/>
    <w:rsid w:val="00A74965"/>
    <w:rsid w:val="00A7712E"/>
    <w:rsid w:val="00A7741B"/>
    <w:rsid w:val="00A77C3D"/>
    <w:rsid w:val="00A80A0E"/>
    <w:rsid w:val="00A81DE9"/>
    <w:rsid w:val="00A81FF7"/>
    <w:rsid w:val="00A822EC"/>
    <w:rsid w:val="00A835F5"/>
    <w:rsid w:val="00A836A9"/>
    <w:rsid w:val="00A8507C"/>
    <w:rsid w:val="00A852C4"/>
    <w:rsid w:val="00A85519"/>
    <w:rsid w:val="00A867E6"/>
    <w:rsid w:val="00A87811"/>
    <w:rsid w:val="00A8791C"/>
    <w:rsid w:val="00A87EF0"/>
    <w:rsid w:val="00A91CF7"/>
    <w:rsid w:val="00A92250"/>
    <w:rsid w:val="00A94429"/>
    <w:rsid w:val="00A948BF"/>
    <w:rsid w:val="00A9556B"/>
    <w:rsid w:val="00A95637"/>
    <w:rsid w:val="00A95B87"/>
    <w:rsid w:val="00A95F7B"/>
    <w:rsid w:val="00A967D3"/>
    <w:rsid w:val="00A9709B"/>
    <w:rsid w:val="00A97AEC"/>
    <w:rsid w:val="00AA01F7"/>
    <w:rsid w:val="00AA165D"/>
    <w:rsid w:val="00AA1E21"/>
    <w:rsid w:val="00AA1FF5"/>
    <w:rsid w:val="00AA2D9D"/>
    <w:rsid w:val="00AA39B0"/>
    <w:rsid w:val="00AA3DD7"/>
    <w:rsid w:val="00AA75D4"/>
    <w:rsid w:val="00AA75DC"/>
    <w:rsid w:val="00AA79A1"/>
    <w:rsid w:val="00AA7E4C"/>
    <w:rsid w:val="00AB1856"/>
    <w:rsid w:val="00AB2572"/>
    <w:rsid w:val="00AB3785"/>
    <w:rsid w:val="00AB3C22"/>
    <w:rsid w:val="00AB4721"/>
    <w:rsid w:val="00AB4D1E"/>
    <w:rsid w:val="00AB5FF8"/>
    <w:rsid w:val="00AB6091"/>
    <w:rsid w:val="00AB7618"/>
    <w:rsid w:val="00AC03B1"/>
    <w:rsid w:val="00AC03BE"/>
    <w:rsid w:val="00AC0A86"/>
    <w:rsid w:val="00AC0C5D"/>
    <w:rsid w:val="00AC27D8"/>
    <w:rsid w:val="00AC3A6A"/>
    <w:rsid w:val="00AC3B94"/>
    <w:rsid w:val="00AC44F8"/>
    <w:rsid w:val="00AC4B70"/>
    <w:rsid w:val="00AC598D"/>
    <w:rsid w:val="00AC5A1C"/>
    <w:rsid w:val="00AC5A68"/>
    <w:rsid w:val="00AC6F82"/>
    <w:rsid w:val="00AC739B"/>
    <w:rsid w:val="00AC7E75"/>
    <w:rsid w:val="00AC7FC5"/>
    <w:rsid w:val="00AD0AE8"/>
    <w:rsid w:val="00AD1251"/>
    <w:rsid w:val="00AD2C66"/>
    <w:rsid w:val="00AD3BA1"/>
    <w:rsid w:val="00AD4D9F"/>
    <w:rsid w:val="00AD4FF5"/>
    <w:rsid w:val="00AD566F"/>
    <w:rsid w:val="00AD617C"/>
    <w:rsid w:val="00AD682C"/>
    <w:rsid w:val="00AD6DD7"/>
    <w:rsid w:val="00AD6F97"/>
    <w:rsid w:val="00AD7BC4"/>
    <w:rsid w:val="00AD7DDF"/>
    <w:rsid w:val="00AE07DA"/>
    <w:rsid w:val="00AE10AC"/>
    <w:rsid w:val="00AE1597"/>
    <w:rsid w:val="00AE1A74"/>
    <w:rsid w:val="00AE2077"/>
    <w:rsid w:val="00AE303D"/>
    <w:rsid w:val="00AE3412"/>
    <w:rsid w:val="00AE415B"/>
    <w:rsid w:val="00AE49C9"/>
    <w:rsid w:val="00AE4ACB"/>
    <w:rsid w:val="00AE5755"/>
    <w:rsid w:val="00AE5B84"/>
    <w:rsid w:val="00AE7EC6"/>
    <w:rsid w:val="00AF0E9D"/>
    <w:rsid w:val="00AF1F5D"/>
    <w:rsid w:val="00AF2034"/>
    <w:rsid w:val="00AF2BD4"/>
    <w:rsid w:val="00AF2D1E"/>
    <w:rsid w:val="00AF3ADA"/>
    <w:rsid w:val="00AF3C92"/>
    <w:rsid w:val="00AF4979"/>
    <w:rsid w:val="00AF4AEF"/>
    <w:rsid w:val="00AF51FC"/>
    <w:rsid w:val="00AF599A"/>
    <w:rsid w:val="00AF5C74"/>
    <w:rsid w:val="00AF5F82"/>
    <w:rsid w:val="00AF6CB0"/>
    <w:rsid w:val="00AF6F2E"/>
    <w:rsid w:val="00AF72C6"/>
    <w:rsid w:val="00B01423"/>
    <w:rsid w:val="00B02412"/>
    <w:rsid w:val="00B02819"/>
    <w:rsid w:val="00B04704"/>
    <w:rsid w:val="00B053FF"/>
    <w:rsid w:val="00B05C17"/>
    <w:rsid w:val="00B061AF"/>
    <w:rsid w:val="00B07342"/>
    <w:rsid w:val="00B07ABF"/>
    <w:rsid w:val="00B10719"/>
    <w:rsid w:val="00B108A4"/>
    <w:rsid w:val="00B11046"/>
    <w:rsid w:val="00B11217"/>
    <w:rsid w:val="00B1139B"/>
    <w:rsid w:val="00B11B9A"/>
    <w:rsid w:val="00B11EE4"/>
    <w:rsid w:val="00B13DD8"/>
    <w:rsid w:val="00B14687"/>
    <w:rsid w:val="00B146B3"/>
    <w:rsid w:val="00B15452"/>
    <w:rsid w:val="00B1623A"/>
    <w:rsid w:val="00B170C9"/>
    <w:rsid w:val="00B17A39"/>
    <w:rsid w:val="00B21476"/>
    <w:rsid w:val="00B21935"/>
    <w:rsid w:val="00B21E3A"/>
    <w:rsid w:val="00B21F7F"/>
    <w:rsid w:val="00B23FEC"/>
    <w:rsid w:val="00B2470C"/>
    <w:rsid w:val="00B256BE"/>
    <w:rsid w:val="00B25EB9"/>
    <w:rsid w:val="00B275AD"/>
    <w:rsid w:val="00B27989"/>
    <w:rsid w:val="00B3078E"/>
    <w:rsid w:val="00B3110C"/>
    <w:rsid w:val="00B31509"/>
    <w:rsid w:val="00B31A60"/>
    <w:rsid w:val="00B31BB3"/>
    <w:rsid w:val="00B325F4"/>
    <w:rsid w:val="00B3321A"/>
    <w:rsid w:val="00B33916"/>
    <w:rsid w:val="00B33C9D"/>
    <w:rsid w:val="00B344F9"/>
    <w:rsid w:val="00B35095"/>
    <w:rsid w:val="00B3605A"/>
    <w:rsid w:val="00B36A9C"/>
    <w:rsid w:val="00B36FEA"/>
    <w:rsid w:val="00B37743"/>
    <w:rsid w:val="00B3775A"/>
    <w:rsid w:val="00B3776A"/>
    <w:rsid w:val="00B402CD"/>
    <w:rsid w:val="00B406BE"/>
    <w:rsid w:val="00B41924"/>
    <w:rsid w:val="00B41C8E"/>
    <w:rsid w:val="00B42F98"/>
    <w:rsid w:val="00B43372"/>
    <w:rsid w:val="00B43E2B"/>
    <w:rsid w:val="00B44736"/>
    <w:rsid w:val="00B4592C"/>
    <w:rsid w:val="00B4698C"/>
    <w:rsid w:val="00B476FB"/>
    <w:rsid w:val="00B5238D"/>
    <w:rsid w:val="00B52D24"/>
    <w:rsid w:val="00B53753"/>
    <w:rsid w:val="00B53BCA"/>
    <w:rsid w:val="00B54AE0"/>
    <w:rsid w:val="00B54C2F"/>
    <w:rsid w:val="00B56112"/>
    <w:rsid w:val="00B566D5"/>
    <w:rsid w:val="00B56FFC"/>
    <w:rsid w:val="00B60ACA"/>
    <w:rsid w:val="00B61F8E"/>
    <w:rsid w:val="00B620AF"/>
    <w:rsid w:val="00B6246D"/>
    <w:rsid w:val="00B624D6"/>
    <w:rsid w:val="00B62813"/>
    <w:rsid w:val="00B62D29"/>
    <w:rsid w:val="00B6413E"/>
    <w:rsid w:val="00B642D8"/>
    <w:rsid w:val="00B647A9"/>
    <w:rsid w:val="00B65C18"/>
    <w:rsid w:val="00B66520"/>
    <w:rsid w:val="00B669AD"/>
    <w:rsid w:val="00B6797B"/>
    <w:rsid w:val="00B70AE3"/>
    <w:rsid w:val="00B71780"/>
    <w:rsid w:val="00B7272F"/>
    <w:rsid w:val="00B72EDB"/>
    <w:rsid w:val="00B7339A"/>
    <w:rsid w:val="00B739EC"/>
    <w:rsid w:val="00B73C6D"/>
    <w:rsid w:val="00B74C1D"/>
    <w:rsid w:val="00B7564E"/>
    <w:rsid w:val="00B75BF2"/>
    <w:rsid w:val="00B765B3"/>
    <w:rsid w:val="00B76B79"/>
    <w:rsid w:val="00B76BDB"/>
    <w:rsid w:val="00B77EBA"/>
    <w:rsid w:val="00B77F92"/>
    <w:rsid w:val="00B82084"/>
    <w:rsid w:val="00B8307A"/>
    <w:rsid w:val="00B83807"/>
    <w:rsid w:val="00B848F8"/>
    <w:rsid w:val="00B84A39"/>
    <w:rsid w:val="00B8529F"/>
    <w:rsid w:val="00B85639"/>
    <w:rsid w:val="00B85C69"/>
    <w:rsid w:val="00B86607"/>
    <w:rsid w:val="00B8681B"/>
    <w:rsid w:val="00B9075C"/>
    <w:rsid w:val="00B90F81"/>
    <w:rsid w:val="00B921D7"/>
    <w:rsid w:val="00B922AE"/>
    <w:rsid w:val="00B926AF"/>
    <w:rsid w:val="00B92C76"/>
    <w:rsid w:val="00B95099"/>
    <w:rsid w:val="00B9582E"/>
    <w:rsid w:val="00B96949"/>
    <w:rsid w:val="00B97053"/>
    <w:rsid w:val="00B9730E"/>
    <w:rsid w:val="00B97F42"/>
    <w:rsid w:val="00BA0519"/>
    <w:rsid w:val="00BA0C39"/>
    <w:rsid w:val="00BA1CB2"/>
    <w:rsid w:val="00BA1CB9"/>
    <w:rsid w:val="00BA395A"/>
    <w:rsid w:val="00BA40B7"/>
    <w:rsid w:val="00BA4397"/>
    <w:rsid w:val="00BA47B3"/>
    <w:rsid w:val="00BA538C"/>
    <w:rsid w:val="00BA581E"/>
    <w:rsid w:val="00BA5860"/>
    <w:rsid w:val="00BA6E9D"/>
    <w:rsid w:val="00BA721D"/>
    <w:rsid w:val="00BA7B0E"/>
    <w:rsid w:val="00BB00D2"/>
    <w:rsid w:val="00BB01D5"/>
    <w:rsid w:val="00BB020F"/>
    <w:rsid w:val="00BB06AF"/>
    <w:rsid w:val="00BB1793"/>
    <w:rsid w:val="00BB253B"/>
    <w:rsid w:val="00BB3C74"/>
    <w:rsid w:val="00BB46AD"/>
    <w:rsid w:val="00BB572D"/>
    <w:rsid w:val="00BB7003"/>
    <w:rsid w:val="00BB734A"/>
    <w:rsid w:val="00BB7974"/>
    <w:rsid w:val="00BC03CA"/>
    <w:rsid w:val="00BC0A06"/>
    <w:rsid w:val="00BC0D6E"/>
    <w:rsid w:val="00BC1CA0"/>
    <w:rsid w:val="00BC2486"/>
    <w:rsid w:val="00BC273A"/>
    <w:rsid w:val="00BC28A4"/>
    <w:rsid w:val="00BC2A74"/>
    <w:rsid w:val="00BC3D28"/>
    <w:rsid w:val="00BC4638"/>
    <w:rsid w:val="00BC49D8"/>
    <w:rsid w:val="00BC49EA"/>
    <w:rsid w:val="00BC5355"/>
    <w:rsid w:val="00BC6C48"/>
    <w:rsid w:val="00BC6F10"/>
    <w:rsid w:val="00BC7189"/>
    <w:rsid w:val="00BC74D7"/>
    <w:rsid w:val="00BD016F"/>
    <w:rsid w:val="00BD0C9F"/>
    <w:rsid w:val="00BD1165"/>
    <w:rsid w:val="00BD1461"/>
    <w:rsid w:val="00BD1DD9"/>
    <w:rsid w:val="00BD2B19"/>
    <w:rsid w:val="00BD2C07"/>
    <w:rsid w:val="00BD2D14"/>
    <w:rsid w:val="00BD3A45"/>
    <w:rsid w:val="00BD49E8"/>
    <w:rsid w:val="00BD5064"/>
    <w:rsid w:val="00BD5385"/>
    <w:rsid w:val="00BD6D2C"/>
    <w:rsid w:val="00BD726A"/>
    <w:rsid w:val="00BE079A"/>
    <w:rsid w:val="00BE08D9"/>
    <w:rsid w:val="00BE0BA2"/>
    <w:rsid w:val="00BE1888"/>
    <w:rsid w:val="00BE19B0"/>
    <w:rsid w:val="00BE2085"/>
    <w:rsid w:val="00BE27CC"/>
    <w:rsid w:val="00BE2D84"/>
    <w:rsid w:val="00BE2F95"/>
    <w:rsid w:val="00BE4AAB"/>
    <w:rsid w:val="00BE4F39"/>
    <w:rsid w:val="00BE692F"/>
    <w:rsid w:val="00BF0216"/>
    <w:rsid w:val="00BF0845"/>
    <w:rsid w:val="00BF08D2"/>
    <w:rsid w:val="00BF186E"/>
    <w:rsid w:val="00BF24B7"/>
    <w:rsid w:val="00BF270E"/>
    <w:rsid w:val="00BF340F"/>
    <w:rsid w:val="00BF37A7"/>
    <w:rsid w:val="00BF3B3A"/>
    <w:rsid w:val="00BF41D3"/>
    <w:rsid w:val="00BF4863"/>
    <w:rsid w:val="00BF7065"/>
    <w:rsid w:val="00BF78BE"/>
    <w:rsid w:val="00C003A2"/>
    <w:rsid w:val="00C00C4F"/>
    <w:rsid w:val="00C00C87"/>
    <w:rsid w:val="00C015A6"/>
    <w:rsid w:val="00C016D8"/>
    <w:rsid w:val="00C01DB2"/>
    <w:rsid w:val="00C02974"/>
    <w:rsid w:val="00C03225"/>
    <w:rsid w:val="00C05375"/>
    <w:rsid w:val="00C062C5"/>
    <w:rsid w:val="00C07260"/>
    <w:rsid w:val="00C07985"/>
    <w:rsid w:val="00C1011C"/>
    <w:rsid w:val="00C101D7"/>
    <w:rsid w:val="00C10D85"/>
    <w:rsid w:val="00C12974"/>
    <w:rsid w:val="00C12BD7"/>
    <w:rsid w:val="00C13D3A"/>
    <w:rsid w:val="00C1508A"/>
    <w:rsid w:val="00C1539D"/>
    <w:rsid w:val="00C158F5"/>
    <w:rsid w:val="00C1604C"/>
    <w:rsid w:val="00C16674"/>
    <w:rsid w:val="00C16891"/>
    <w:rsid w:val="00C170A7"/>
    <w:rsid w:val="00C179A2"/>
    <w:rsid w:val="00C20A57"/>
    <w:rsid w:val="00C21113"/>
    <w:rsid w:val="00C21987"/>
    <w:rsid w:val="00C2198E"/>
    <w:rsid w:val="00C21FD9"/>
    <w:rsid w:val="00C22557"/>
    <w:rsid w:val="00C22DAD"/>
    <w:rsid w:val="00C230ED"/>
    <w:rsid w:val="00C23766"/>
    <w:rsid w:val="00C24F95"/>
    <w:rsid w:val="00C25079"/>
    <w:rsid w:val="00C255D1"/>
    <w:rsid w:val="00C25C1D"/>
    <w:rsid w:val="00C2606D"/>
    <w:rsid w:val="00C319AF"/>
    <w:rsid w:val="00C3232D"/>
    <w:rsid w:val="00C3257C"/>
    <w:rsid w:val="00C330FF"/>
    <w:rsid w:val="00C3378F"/>
    <w:rsid w:val="00C3381F"/>
    <w:rsid w:val="00C34CFD"/>
    <w:rsid w:val="00C35391"/>
    <w:rsid w:val="00C35F5F"/>
    <w:rsid w:val="00C37E01"/>
    <w:rsid w:val="00C400B5"/>
    <w:rsid w:val="00C40158"/>
    <w:rsid w:val="00C40B78"/>
    <w:rsid w:val="00C412CC"/>
    <w:rsid w:val="00C43115"/>
    <w:rsid w:val="00C431BE"/>
    <w:rsid w:val="00C435FA"/>
    <w:rsid w:val="00C44600"/>
    <w:rsid w:val="00C453AD"/>
    <w:rsid w:val="00C4602D"/>
    <w:rsid w:val="00C4621D"/>
    <w:rsid w:val="00C471D3"/>
    <w:rsid w:val="00C47527"/>
    <w:rsid w:val="00C5077A"/>
    <w:rsid w:val="00C50A6A"/>
    <w:rsid w:val="00C50DB7"/>
    <w:rsid w:val="00C51460"/>
    <w:rsid w:val="00C51AA5"/>
    <w:rsid w:val="00C524AC"/>
    <w:rsid w:val="00C5351F"/>
    <w:rsid w:val="00C53E40"/>
    <w:rsid w:val="00C5465D"/>
    <w:rsid w:val="00C557EE"/>
    <w:rsid w:val="00C55CA5"/>
    <w:rsid w:val="00C56845"/>
    <w:rsid w:val="00C5685B"/>
    <w:rsid w:val="00C570A2"/>
    <w:rsid w:val="00C60664"/>
    <w:rsid w:val="00C60B61"/>
    <w:rsid w:val="00C61574"/>
    <w:rsid w:val="00C645E2"/>
    <w:rsid w:val="00C65232"/>
    <w:rsid w:val="00C6664C"/>
    <w:rsid w:val="00C6674B"/>
    <w:rsid w:val="00C66CCC"/>
    <w:rsid w:val="00C67D1F"/>
    <w:rsid w:val="00C67E5D"/>
    <w:rsid w:val="00C702C1"/>
    <w:rsid w:val="00C703AD"/>
    <w:rsid w:val="00C70B20"/>
    <w:rsid w:val="00C70C3A"/>
    <w:rsid w:val="00C70E1C"/>
    <w:rsid w:val="00C722A1"/>
    <w:rsid w:val="00C74E37"/>
    <w:rsid w:val="00C80AEE"/>
    <w:rsid w:val="00C811FC"/>
    <w:rsid w:val="00C8233D"/>
    <w:rsid w:val="00C82440"/>
    <w:rsid w:val="00C82535"/>
    <w:rsid w:val="00C831D5"/>
    <w:rsid w:val="00C83411"/>
    <w:rsid w:val="00C836C7"/>
    <w:rsid w:val="00C83B76"/>
    <w:rsid w:val="00C84CDC"/>
    <w:rsid w:val="00C8560A"/>
    <w:rsid w:val="00C86A40"/>
    <w:rsid w:val="00C87407"/>
    <w:rsid w:val="00C8745F"/>
    <w:rsid w:val="00C875F8"/>
    <w:rsid w:val="00C8767B"/>
    <w:rsid w:val="00C87DA2"/>
    <w:rsid w:val="00C87F28"/>
    <w:rsid w:val="00C903DA"/>
    <w:rsid w:val="00C903FF"/>
    <w:rsid w:val="00C90714"/>
    <w:rsid w:val="00C915AF"/>
    <w:rsid w:val="00C91B3D"/>
    <w:rsid w:val="00C92CA1"/>
    <w:rsid w:val="00C92D64"/>
    <w:rsid w:val="00C93592"/>
    <w:rsid w:val="00C94291"/>
    <w:rsid w:val="00C94306"/>
    <w:rsid w:val="00C948A7"/>
    <w:rsid w:val="00C958C3"/>
    <w:rsid w:val="00C9724B"/>
    <w:rsid w:val="00C97F4B"/>
    <w:rsid w:val="00CA065D"/>
    <w:rsid w:val="00CA1923"/>
    <w:rsid w:val="00CA34EE"/>
    <w:rsid w:val="00CA3D48"/>
    <w:rsid w:val="00CA40E2"/>
    <w:rsid w:val="00CA522B"/>
    <w:rsid w:val="00CA5C73"/>
    <w:rsid w:val="00CA5D02"/>
    <w:rsid w:val="00CA5EC8"/>
    <w:rsid w:val="00CA61F4"/>
    <w:rsid w:val="00CA745E"/>
    <w:rsid w:val="00CB001A"/>
    <w:rsid w:val="00CB00B8"/>
    <w:rsid w:val="00CB168A"/>
    <w:rsid w:val="00CB1717"/>
    <w:rsid w:val="00CB1924"/>
    <w:rsid w:val="00CB1E5F"/>
    <w:rsid w:val="00CB1F2D"/>
    <w:rsid w:val="00CB2DD0"/>
    <w:rsid w:val="00CB4755"/>
    <w:rsid w:val="00CB480B"/>
    <w:rsid w:val="00CB6057"/>
    <w:rsid w:val="00CB68FB"/>
    <w:rsid w:val="00CB6FC3"/>
    <w:rsid w:val="00CB74EF"/>
    <w:rsid w:val="00CB7772"/>
    <w:rsid w:val="00CB7FC7"/>
    <w:rsid w:val="00CC24F6"/>
    <w:rsid w:val="00CC3590"/>
    <w:rsid w:val="00CC3B30"/>
    <w:rsid w:val="00CC5D7C"/>
    <w:rsid w:val="00CC7BD3"/>
    <w:rsid w:val="00CD0D5A"/>
    <w:rsid w:val="00CD197F"/>
    <w:rsid w:val="00CD2980"/>
    <w:rsid w:val="00CD2DCB"/>
    <w:rsid w:val="00CD2FB3"/>
    <w:rsid w:val="00CD379D"/>
    <w:rsid w:val="00CD3AF1"/>
    <w:rsid w:val="00CD3E4D"/>
    <w:rsid w:val="00CD55CC"/>
    <w:rsid w:val="00CD573B"/>
    <w:rsid w:val="00CD5BAD"/>
    <w:rsid w:val="00CD601C"/>
    <w:rsid w:val="00CD625A"/>
    <w:rsid w:val="00CD65AB"/>
    <w:rsid w:val="00CD6B64"/>
    <w:rsid w:val="00CD6C75"/>
    <w:rsid w:val="00CD721B"/>
    <w:rsid w:val="00CD7DAB"/>
    <w:rsid w:val="00CE00F6"/>
    <w:rsid w:val="00CE05E7"/>
    <w:rsid w:val="00CE09F6"/>
    <w:rsid w:val="00CE12E9"/>
    <w:rsid w:val="00CE14AC"/>
    <w:rsid w:val="00CE1C09"/>
    <w:rsid w:val="00CE2153"/>
    <w:rsid w:val="00CE39C1"/>
    <w:rsid w:val="00CE4239"/>
    <w:rsid w:val="00CE53E8"/>
    <w:rsid w:val="00CE56EB"/>
    <w:rsid w:val="00CE6352"/>
    <w:rsid w:val="00CE73FB"/>
    <w:rsid w:val="00CE797F"/>
    <w:rsid w:val="00CF05F7"/>
    <w:rsid w:val="00CF0633"/>
    <w:rsid w:val="00CF1865"/>
    <w:rsid w:val="00CF2991"/>
    <w:rsid w:val="00CF38DD"/>
    <w:rsid w:val="00CF42F7"/>
    <w:rsid w:val="00CF5902"/>
    <w:rsid w:val="00CF687B"/>
    <w:rsid w:val="00CF74D4"/>
    <w:rsid w:val="00CF7A8E"/>
    <w:rsid w:val="00D00A46"/>
    <w:rsid w:val="00D012A4"/>
    <w:rsid w:val="00D0299D"/>
    <w:rsid w:val="00D02A0C"/>
    <w:rsid w:val="00D02B25"/>
    <w:rsid w:val="00D03721"/>
    <w:rsid w:val="00D042F0"/>
    <w:rsid w:val="00D0508F"/>
    <w:rsid w:val="00D057A7"/>
    <w:rsid w:val="00D06B5C"/>
    <w:rsid w:val="00D0748E"/>
    <w:rsid w:val="00D07887"/>
    <w:rsid w:val="00D07BCE"/>
    <w:rsid w:val="00D10939"/>
    <w:rsid w:val="00D10FCD"/>
    <w:rsid w:val="00D11349"/>
    <w:rsid w:val="00D12A55"/>
    <w:rsid w:val="00D13EF9"/>
    <w:rsid w:val="00D14B83"/>
    <w:rsid w:val="00D1515B"/>
    <w:rsid w:val="00D15241"/>
    <w:rsid w:val="00D15C25"/>
    <w:rsid w:val="00D17D9F"/>
    <w:rsid w:val="00D17DA4"/>
    <w:rsid w:val="00D224DB"/>
    <w:rsid w:val="00D25381"/>
    <w:rsid w:val="00D255D5"/>
    <w:rsid w:val="00D259ED"/>
    <w:rsid w:val="00D2635B"/>
    <w:rsid w:val="00D27035"/>
    <w:rsid w:val="00D27B65"/>
    <w:rsid w:val="00D301AC"/>
    <w:rsid w:val="00D30442"/>
    <w:rsid w:val="00D3057F"/>
    <w:rsid w:val="00D31B03"/>
    <w:rsid w:val="00D31D63"/>
    <w:rsid w:val="00D325E7"/>
    <w:rsid w:val="00D33081"/>
    <w:rsid w:val="00D339DE"/>
    <w:rsid w:val="00D33CC9"/>
    <w:rsid w:val="00D34801"/>
    <w:rsid w:val="00D3618F"/>
    <w:rsid w:val="00D368F1"/>
    <w:rsid w:val="00D37E51"/>
    <w:rsid w:val="00D43629"/>
    <w:rsid w:val="00D437C2"/>
    <w:rsid w:val="00D44664"/>
    <w:rsid w:val="00D458B9"/>
    <w:rsid w:val="00D46FFD"/>
    <w:rsid w:val="00D47089"/>
    <w:rsid w:val="00D47AA5"/>
    <w:rsid w:val="00D503E7"/>
    <w:rsid w:val="00D50F43"/>
    <w:rsid w:val="00D520F2"/>
    <w:rsid w:val="00D524AC"/>
    <w:rsid w:val="00D52F51"/>
    <w:rsid w:val="00D53320"/>
    <w:rsid w:val="00D54177"/>
    <w:rsid w:val="00D54216"/>
    <w:rsid w:val="00D556D8"/>
    <w:rsid w:val="00D56B5D"/>
    <w:rsid w:val="00D56D74"/>
    <w:rsid w:val="00D60A41"/>
    <w:rsid w:val="00D61205"/>
    <w:rsid w:val="00D61646"/>
    <w:rsid w:val="00D61CB8"/>
    <w:rsid w:val="00D6271F"/>
    <w:rsid w:val="00D634F9"/>
    <w:rsid w:val="00D6395F"/>
    <w:rsid w:val="00D640A7"/>
    <w:rsid w:val="00D642F1"/>
    <w:rsid w:val="00D65276"/>
    <w:rsid w:val="00D65D01"/>
    <w:rsid w:val="00D65D48"/>
    <w:rsid w:val="00D65E3C"/>
    <w:rsid w:val="00D65E53"/>
    <w:rsid w:val="00D66050"/>
    <w:rsid w:val="00D6750A"/>
    <w:rsid w:val="00D67F1A"/>
    <w:rsid w:val="00D67FE9"/>
    <w:rsid w:val="00D7098C"/>
    <w:rsid w:val="00D71B07"/>
    <w:rsid w:val="00D72629"/>
    <w:rsid w:val="00D732C5"/>
    <w:rsid w:val="00D7385D"/>
    <w:rsid w:val="00D752A6"/>
    <w:rsid w:val="00D756E7"/>
    <w:rsid w:val="00D759D1"/>
    <w:rsid w:val="00D76453"/>
    <w:rsid w:val="00D76723"/>
    <w:rsid w:val="00D76EAA"/>
    <w:rsid w:val="00D7720D"/>
    <w:rsid w:val="00D77743"/>
    <w:rsid w:val="00D77933"/>
    <w:rsid w:val="00D809A8"/>
    <w:rsid w:val="00D80ACF"/>
    <w:rsid w:val="00D80F74"/>
    <w:rsid w:val="00D81544"/>
    <w:rsid w:val="00D818B2"/>
    <w:rsid w:val="00D8272A"/>
    <w:rsid w:val="00D8290B"/>
    <w:rsid w:val="00D82CF1"/>
    <w:rsid w:val="00D82E97"/>
    <w:rsid w:val="00D8348B"/>
    <w:rsid w:val="00D8385F"/>
    <w:rsid w:val="00D850ED"/>
    <w:rsid w:val="00D865A8"/>
    <w:rsid w:val="00D86C5C"/>
    <w:rsid w:val="00D8761B"/>
    <w:rsid w:val="00D8771E"/>
    <w:rsid w:val="00D8777D"/>
    <w:rsid w:val="00D906F8"/>
    <w:rsid w:val="00D914C7"/>
    <w:rsid w:val="00D93172"/>
    <w:rsid w:val="00D9595D"/>
    <w:rsid w:val="00D95CE1"/>
    <w:rsid w:val="00D9673D"/>
    <w:rsid w:val="00D96B4F"/>
    <w:rsid w:val="00D97451"/>
    <w:rsid w:val="00DA02E4"/>
    <w:rsid w:val="00DA11A4"/>
    <w:rsid w:val="00DA16F7"/>
    <w:rsid w:val="00DA17EC"/>
    <w:rsid w:val="00DA1F4D"/>
    <w:rsid w:val="00DA26A6"/>
    <w:rsid w:val="00DA2BF0"/>
    <w:rsid w:val="00DA31DC"/>
    <w:rsid w:val="00DA3C22"/>
    <w:rsid w:val="00DA5849"/>
    <w:rsid w:val="00DA5D0A"/>
    <w:rsid w:val="00DA6052"/>
    <w:rsid w:val="00DA6AF4"/>
    <w:rsid w:val="00DA6B0C"/>
    <w:rsid w:val="00DA7F27"/>
    <w:rsid w:val="00DB078E"/>
    <w:rsid w:val="00DB2172"/>
    <w:rsid w:val="00DB25FA"/>
    <w:rsid w:val="00DB2F07"/>
    <w:rsid w:val="00DB3059"/>
    <w:rsid w:val="00DB3280"/>
    <w:rsid w:val="00DB42D4"/>
    <w:rsid w:val="00DB44B2"/>
    <w:rsid w:val="00DB5571"/>
    <w:rsid w:val="00DB6704"/>
    <w:rsid w:val="00DB6C9F"/>
    <w:rsid w:val="00DB6D9B"/>
    <w:rsid w:val="00DB6F89"/>
    <w:rsid w:val="00DC08D5"/>
    <w:rsid w:val="00DC1B53"/>
    <w:rsid w:val="00DC3471"/>
    <w:rsid w:val="00DC525E"/>
    <w:rsid w:val="00DC5B42"/>
    <w:rsid w:val="00DC680D"/>
    <w:rsid w:val="00DC68C7"/>
    <w:rsid w:val="00DC77EB"/>
    <w:rsid w:val="00DC7C57"/>
    <w:rsid w:val="00DD05AD"/>
    <w:rsid w:val="00DD11B3"/>
    <w:rsid w:val="00DD1401"/>
    <w:rsid w:val="00DD14E3"/>
    <w:rsid w:val="00DD1F4A"/>
    <w:rsid w:val="00DD1F9F"/>
    <w:rsid w:val="00DD2891"/>
    <w:rsid w:val="00DD3316"/>
    <w:rsid w:val="00DD3B19"/>
    <w:rsid w:val="00DD5EB4"/>
    <w:rsid w:val="00DD6E30"/>
    <w:rsid w:val="00DD751F"/>
    <w:rsid w:val="00DE06BA"/>
    <w:rsid w:val="00DE0750"/>
    <w:rsid w:val="00DE1C5C"/>
    <w:rsid w:val="00DE2939"/>
    <w:rsid w:val="00DE4615"/>
    <w:rsid w:val="00DE4CB3"/>
    <w:rsid w:val="00DE53E5"/>
    <w:rsid w:val="00DE5AC3"/>
    <w:rsid w:val="00DE6B87"/>
    <w:rsid w:val="00DE75A7"/>
    <w:rsid w:val="00DF0B5A"/>
    <w:rsid w:val="00DF139F"/>
    <w:rsid w:val="00DF1BAD"/>
    <w:rsid w:val="00DF362B"/>
    <w:rsid w:val="00DF397B"/>
    <w:rsid w:val="00DF3DBD"/>
    <w:rsid w:val="00DF504D"/>
    <w:rsid w:val="00DF63C0"/>
    <w:rsid w:val="00DF64BF"/>
    <w:rsid w:val="00DF7583"/>
    <w:rsid w:val="00DF7656"/>
    <w:rsid w:val="00E000DE"/>
    <w:rsid w:val="00E00332"/>
    <w:rsid w:val="00E00997"/>
    <w:rsid w:val="00E00A92"/>
    <w:rsid w:val="00E00FAB"/>
    <w:rsid w:val="00E032EF"/>
    <w:rsid w:val="00E03506"/>
    <w:rsid w:val="00E0403D"/>
    <w:rsid w:val="00E04986"/>
    <w:rsid w:val="00E04A9D"/>
    <w:rsid w:val="00E04BFC"/>
    <w:rsid w:val="00E05502"/>
    <w:rsid w:val="00E0596A"/>
    <w:rsid w:val="00E0667E"/>
    <w:rsid w:val="00E077AF"/>
    <w:rsid w:val="00E07BAD"/>
    <w:rsid w:val="00E10309"/>
    <w:rsid w:val="00E106CB"/>
    <w:rsid w:val="00E120EF"/>
    <w:rsid w:val="00E12274"/>
    <w:rsid w:val="00E137A5"/>
    <w:rsid w:val="00E13E96"/>
    <w:rsid w:val="00E1414F"/>
    <w:rsid w:val="00E1471B"/>
    <w:rsid w:val="00E14D56"/>
    <w:rsid w:val="00E15861"/>
    <w:rsid w:val="00E162F3"/>
    <w:rsid w:val="00E167CF"/>
    <w:rsid w:val="00E16DAC"/>
    <w:rsid w:val="00E20C11"/>
    <w:rsid w:val="00E2184A"/>
    <w:rsid w:val="00E2213B"/>
    <w:rsid w:val="00E249B8"/>
    <w:rsid w:val="00E24DAA"/>
    <w:rsid w:val="00E251BC"/>
    <w:rsid w:val="00E251D6"/>
    <w:rsid w:val="00E25454"/>
    <w:rsid w:val="00E25AA0"/>
    <w:rsid w:val="00E26A84"/>
    <w:rsid w:val="00E27C21"/>
    <w:rsid w:val="00E27D25"/>
    <w:rsid w:val="00E3018E"/>
    <w:rsid w:val="00E30884"/>
    <w:rsid w:val="00E31751"/>
    <w:rsid w:val="00E31B16"/>
    <w:rsid w:val="00E31E49"/>
    <w:rsid w:val="00E31FAE"/>
    <w:rsid w:val="00E32E1C"/>
    <w:rsid w:val="00E36165"/>
    <w:rsid w:val="00E36423"/>
    <w:rsid w:val="00E365BE"/>
    <w:rsid w:val="00E41920"/>
    <w:rsid w:val="00E42CE3"/>
    <w:rsid w:val="00E42F7F"/>
    <w:rsid w:val="00E438D6"/>
    <w:rsid w:val="00E43E5A"/>
    <w:rsid w:val="00E44F8E"/>
    <w:rsid w:val="00E46463"/>
    <w:rsid w:val="00E473C0"/>
    <w:rsid w:val="00E47804"/>
    <w:rsid w:val="00E47DE4"/>
    <w:rsid w:val="00E513DD"/>
    <w:rsid w:val="00E51C1E"/>
    <w:rsid w:val="00E51DCB"/>
    <w:rsid w:val="00E52D69"/>
    <w:rsid w:val="00E547CC"/>
    <w:rsid w:val="00E55277"/>
    <w:rsid w:val="00E5770B"/>
    <w:rsid w:val="00E5779A"/>
    <w:rsid w:val="00E60295"/>
    <w:rsid w:val="00E60650"/>
    <w:rsid w:val="00E6117C"/>
    <w:rsid w:val="00E61685"/>
    <w:rsid w:val="00E620CE"/>
    <w:rsid w:val="00E629F8"/>
    <w:rsid w:val="00E63105"/>
    <w:rsid w:val="00E6314E"/>
    <w:rsid w:val="00E633EC"/>
    <w:rsid w:val="00E63D6E"/>
    <w:rsid w:val="00E63DFE"/>
    <w:rsid w:val="00E645CA"/>
    <w:rsid w:val="00E64B4D"/>
    <w:rsid w:val="00E653FF"/>
    <w:rsid w:val="00E65971"/>
    <w:rsid w:val="00E66B0A"/>
    <w:rsid w:val="00E67314"/>
    <w:rsid w:val="00E70152"/>
    <w:rsid w:val="00E706BE"/>
    <w:rsid w:val="00E7266A"/>
    <w:rsid w:val="00E72B52"/>
    <w:rsid w:val="00E72D2D"/>
    <w:rsid w:val="00E73168"/>
    <w:rsid w:val="00E736C3"/>
    <w:rsid w:val="00E74641"/>
    <w:rsid w:val="00E74B22"/>
    <w:rsid w:val="00E74F37"/>
    <w:rsid w:val="00E775B5"/>
    <w:rsid w:val="00E77958"/>
    <w:rsid w:val="00E810C0"/>
    <w:rsid w:val="00E8178E"/>
    <w:rsid w:val="00E81E2A"/>
    <w:rsid w:val="00E83545"/>
    <w:rsid w:val="00E83BAA"/>
    <w:rsid w:val="00E84012"/>
    <w:rsid w:val="00E8535A"/>
    <w:rsid w:val="00E8547B"/>
    <w:rsid w:val="00E86593"/>
    <w:rsid w:val="00E86CC5"/>
    <w:rsid w:val="00E86E17"/>
    <w:rsid w:val="00E8702A"/>
    <w:rsid w:val="00E87305"/>
    <w:rsid w:val="00E87AB9"/>
    <w:rsid w:val="00E87F66"/>
    <w:rsid w:val="00E9114D"/>
    <w:rsid w:val="00E9127F"/>
    <w:rsid w:val="00E9168F"/>
    <w:rsid w:val="00E923DC"/>
    <w:rsid w:val="00E92AAC"/>
    <w:rsid w:val="00E92C43"/>
    <w:rsid w:val="00E94166"/>
    <w:rsid w:val="00E9554D"/>
    <w:rsid w:val="00E9598A"/>
    <w:rsid w:val="00E975AF"/>
    <w:rsid w:val="00E9793A"/>
    <w:rsid w:val="00E97CDA"/>
    <w:rsid w:val="00EA137D"/>
    <w:rsid w:val="00EA276D"/>
    <w:rsid w:val="00EA340D"/>
    <w:rsid w:val="00EA3EF7"/>
    <w:rsid w:val="00EA4426"/>
    <w:rsid w:val="00EA5999"/>
    <w:rsid w:val="00EA62B3"/>
    <w:rsid w:val="00EA63B3"/>
    <w:rsid w:val="00EA65F2"/>
    <w:rsid w:val="00EA6795"/>
    <w:rsid w:val="00EA6A80"/>
    <w:rsid w:val="00EA6EE3"/>
    <w:rsid w:val="00EA7666"/>
    <w:rsid w:val="00EA7C92"/>
    <w:rsid w:val="00EA7FC1"/>
    <w:rsid w:val="00EB0BD3"/>
    <w:rsid w:val="00EB0E92"/>
    <w:rsid w:val="00EB0F3C"/>
    <w:rsid w:val="00EB1A00"/>
    <w:rsid w:val="00EB1E2D"/>
    <w:rsid w:val="00EB1EFB"/>
    <w:rsid w:val="00EB2FDB"/>
    <w:rsid w:val="00EB4CA2"/>
    <w:rsid w:val="00EB5E63"/>
    <w:rsid w:val="00EB6BF8"/>
    <w:rsid w:val="00EB72BD"/>
    <w:rsid w:val="00EC1767"/>
    <w:rsid w:val="00EC302F"/>
    <w:rsid w:val="00EC4597"/>
    <w:rsid w:val="00EC4D86"/>
    <w:rsid w:val="00EC533A"/>
    <w:rsid w:val="00EC5369"/>
    <w:rsid w:val="00EC711C"/>
    <w:rsid w:val="00EC76E1"/>
    <w:rsid w:val="00ED183A"/>
    <w:rsid w:val="00ED2FF4"/>
    <w:rsid w:val="00ED37FE"/>
    <w:rsid w:val="00ED452A"/>
    <w:rsid w:val="00ED45D8"/>
    <w:rsid w:val="00ED46BE"/>
    <w:rsid w:val="00ED489D"/>
    <w:rsid w:val="00ED4B23"/>
    <w:rsid w:val="00ED55E0"/>
    <w:rsid w:val="00ED64C2"/>
    <w:rsid w:val="00ED7388"/>
    <w:rsid w:val="00ED7D95"/>
    <w:rsid w:val="00EE08EA"/>
    <w:rsid w:val="00EE2EB8"/>
    <w:rsid w:val="00EE3118"/>
    <w:rsid w:val="00EE410F"/>
    <w:rsid w:val="00EE4944"/>
    <w:rsid w:val="00EE5643"/>
    <w:rsid w:val="00EE5DAF"/>
    <w:rsid w:val="00EE60C0"/>
    <w:rsid w:val="00EE6A96"/>
    <w:rsid w:val="00EE7D0D"/>
    <w:rsid w:val="00EF0040"/>
    <w:rsid w:val="00EF0CE7"/>
    <w:rsid w:val="00EF18C0"/>
    <w:rsid w:val="00EF23BB"/>
    <w:rsid w:val="00EF3B2F"/>
    <w:rsid w:val="00EF48E9"/>
    <w:rsid w:val="00EF4CDF"/>
    <w:rsid w:val="00EF58A2"/>
    <w:rsid w:val="00EF6A1C"/>
    <w:rsid w:val="00EF74CB"/>
    <w:rsid w:val="00EF7589"/>
    <w:rsid w:val="00EF75AD"/>
    <w:rsid w:val="00EF79A7"/>
    <w:rsid w:val="00EF7EEF"/>
    <w:rsid w:val="00F00643"/>
    <w:rsid w:val="00F007D0"/>
    <w:rsid w:val="00F00EDE"/>
    <w:rsid w:val="00F01400"/>
    <w:rsid w:val="00F0189E"/>
    <w:rsid w:val="00F01A84"/>
    <w:rsid w:val="00F02C6E"/>
    <w:rsid w:val="00F04B43"/>
    <w:rsid w:val="00F04E7D"/>
    <w:rsid w:val="00F05C46"/>
    <w:rsid w:val="00F05C5E"/>
    <w:rsid w:val="00F062A8"/>
    <w:rsid w:val="00F06479"/>
    <w:rsid w:val="00F07D23"/>
    <w:rsid w:val="00F07E9A"/>
    <w:rsid w:val="00F10544"/>
    <w:rsid w:val="00F10B94"/>
    <w:rsid w:val="00F1121E"/>
    <w:rsid w:val="00F116C2"/>
    <w:rsid w:val="00F1194E"/>
    <w:rsid w:val="00F11F9B"/>
    <w:rsid w:val="00F12832"/>
    <w:rsid w:val="00F12861"/>
    <w:rsid w:val="00F12C74"/>
    <w:rsid w:val="00F13F1B"/>
    <w:rsid w:val="00F14021"/>
    <w:rsid w:val="00F14394"/>
    <w:rsid w:val="00F151A7"/>
    <w:rsid w:val="00F15CA1"/>
    <w:rsid w:val="00F16B71"/>
    <w:rsid w:val="00F175C6"/>
    <w:rsid w:val="00F21212"/>
    <w:rsid w:val="00F2145D"/>
    <w:rsid w:val="00F21666"/>
    <w:rsid w:val="00F23179"/>
    <w:rsid w:val="00F25647"/>
    <w:rsid w:val="00F25802"/>
    <w:rsid w:val="00F2718A"/>
    <w:rsid w:val="00F276DD"/>
    <w:rsid w:val="00F300E5"/>
    <w:rsid w:val="00F302E9"/>
    <w:rsid w:val="00F3070C"/>
    <w:rsid w:val="00F30E37"/>
    <w:rsid w:val="00F31DD6"/>
    <w:rsid w:val="00F32D9D"/>
    <w:rsid w:val="00F332D8"/>
    <w:rsid w:val="00F336A0"/>
    <w:rsid w:val="00F363C3"/>
    <w:rsid w:val="00F36D66"/>
    <w:rsid w:val="00F405B4"/>
    <w:rsid w:val="00F405D9"/>
    <w:rsid w:val="00F40B0B"/>
    <w:rsid w:val="00F40B79"/>
    <w:rsid w:val="00F40D47"/>
    <w:rsid w:val="00F42045"/>
    <w:rsid w:val="00F42F5A"/>
    <w:rsid w:val="00F4316A"/>
    <w:rsid w:val="00F43FB4"/>
    <w:rsid w:val="00F44571"/>
    <w:rsid w:val="00F44677"/>
    <w:rsid w:val="00F44DEA"/>
    <w:rsid w:val="00F45146"/>
    <w:rsid w:val="00F4641D"/>
    <w:rsid w:val="00F470B6"/>
    <w:rsid w:val="00F47655"/>
    <w:rsid w:val="00F47670"/>
    <w:rsid w:val="00F47B8A"/>
    <w:rsid w:val="00F47CAA"/>
    <w:rsid w:val="00F50163"/>
    <w:rsid w:val="00F507A9"/>
    <w:rsid w:val="00F51634"/>
    <w:rsid w:val="00F52257"/>
    <w:rsid w:val="00F534E9"/>
    <w:rsid w:val="00F538D8"/>
    <w:rsid w:val="00F53F45"/>
    <w:rsid w:val="00F54310"/>
    <w:rsid w:val="00F60849"/>
    <w:rsid w:val="00F6151C"/>
    <w:rsid w:val="00F6197D"/>
    <w:rsid w:val="00F629BD"/>
    <w:rsid w:val="00F63227"/>
    <w:rsid w:val="00F6356E"/>
    <w:rsid w:val="00F63807"/>
    <w:rsid w:val="00F63FD8"/>
    <w:rsid w:val="00F649F2"/>
    <w:rsid w:val="00F65319"/>
    <w:rsid w:val="00F6564F"/>
    <w:rsid w:val="00F65AAF"/>
    <w:rsid w:val="00F65D71"/>
    <w:rsid w:val="00F6636E"/>
    <w:rsid w:val="00F70CAE"/>
    <w:rsid w:val="00F71247"/>
    <w:rsid w:val="00F72D89"/>
    <w:rsid w:val="00F74D7E"/>
    <w:rsid w:val="00F74EF3"/>
    <w:rsid w:val="00F7620D"/>
    <w:rsid w:val="00F7687B"/>
    <w:rsid w:val="00F776C2"/>
    <w:rsid w:val="00F77A9B"/>
    <w:rsid w:val="00F80122"/>
    <w:rsid w:val="00F81CB4"/>
    <w:rsid w:val="00F82907"/>
    <w:rsid w:val="00F82C76"/>
    <w:rsid w:val="00F83BB4"/>
    <w:rsid w:val="00F85571"/>
    <w:rsid w:val="00F85A26"/>
    <w:rsid w:val="00F87057"/>
    <w:rsid w:val="00F8727D"/>
    <w:rsid w:val="00F87FAC"/>
    <w:rsid w:val="00F906CC"/>
    <w:rsid w:val="00F90EE3"/>
    <w:rsid w:val="00F92259"/>
    <w:rsid w:val="00F9231B"/>
    <w:rsid w:val="00F92326"/>
    <w:rsid w:val="00F93E3F"/>
    <w:rsid w:val="00F94BBD"/>
    <w:rsid w:val="00F9582D"/>
    <w:rsid w:val="00F95BC8"/>
    <w:rsid w:val="00F97511"/>
    <w:rsid w:val="00F9768E"/>
    <w:rsid w:val="00FA2B7C"/>
    <w:rsid w:val="00FA314C"/>
    <w:rsid w:val="00FA39CF"/>
    <w:rsid w:val="00FA5388"/>
    <w:rsid w:val="00FA6420"/>
    <w:rsid w:val="00FA71B2"/>
    <w:rsid w:val="00FA71FF"/>
    <w:rsid w:val="00FA75D1"/>
    <w:rsid w:val="00FA78C8"/>
    <w:rsid w:val="00FA7FD2"/>
    <w:rsid w:val="00FB02F2"/>
    <w:rsid w:val="00FB2169"/>
    <w:rsid w:val="00FB4183"/>
    <w:rsid w:val="00FB5BBE"/>
    <w:rsid w:val="00FB6BEC"/>
    <w:rsid w:val="00FB7876"/>
    <w:rsid w:val="00FB7E3D"/>
    <w:rsid w:val="00FC00B1"/>
    <w:rsid w:val="00FC05A3"/>
    <w:rsid w:val="00FC0E29"/>
    <w:rsid w:val="00FC0E42"/>
    <w:rsid w:val="00FC1180"/>
    <w:rsid w:val="00FC119D"/>
    <w:rsid w:val="00FC2C49"/>
    <w:rsid w:val="00FC354D"/>
    <w:rsid w:val="00FC3A62"/>
    <w:rsid w:val="00FC3B40"/>
    <w:rsid w:val="00FC3F05"/>
    <w:rsid w:val="00FC47A6"/>
    <w:rsid w:val="00FC53E9"/>
    <w:rsid w:val="00FC6E46"/>
    <w:rsid w:val="00FC704D"/>
    <w:rsid w:val="00FC71F0"/>
    <w:rsid w:val="00FC723D"/>
    <w:rsid w:val="00FC7C50"/>
    <w:rsid w:val="00FD0230"/>
    <w:rsid w:val="00FD0265"/>
    <w:rsid w:val="00FD0B8C"/>
    <w:rsid w:val="00FD177F"/>
    <w:rsid w:val="00FD1976"/>
    <w:rsid w:val="00FD1E19"/>
    <w:rsid w:val="00FD237C"/>
    <w:rsid w:val="00FD251D"/>
    <w:rsid w:val="00FD3056"/>
    <w:rsid w:val="00FD3D91"/>
    <w:rsid w:val="00FD4A18"/>
    <w:rsid w:val="00FD6C6B"/>
    <w:rsid w:val="00FD7C34"/>
    <w:rsid w:val="00FD7E2A"/>
    <w:rsid w:val="00FE00B7"/>
    <w:rsid w:val="00FE0287"/>
    <w:rsid w:val="00FE076D"/>
    <w:rsid w:val="00FE1134"/>
    <w:rsid w:val="00FE1ADB"/>
    <w:rsid w:val="00FE2A63"/>
    <w:rsid w:val="00FE2BF2"/>
    <w:rsid w:val="00FE3892"/>
    <w:rsid w:val="00FE39FC"/>
    <w:rsid w:val="00FE3AB2"/>
    <w:rsid w:val="00FE3E05"/>
    <w:rsid w:val="00FE4176"/>
    <w:rsid w:val="00FE4474"/>
    <w:rsid w:val="00FE5721"/>
    <w:rsid w:val="00FE6D8B"/>
    <w:rsid w:val="00FE72EE"/>
    <w:rsid w:val="00FE76C8"/>
    <w:rsid w:val="00FE77CC"/>
    <w:rsid w:val="00FF1DFD"/>
    <w:rsid w:val="00FF2ABA"/>
    <w:rsid w:val="00FF3967"/>
    <w:rsid w:val="00FF3EE4"/>
    <w:rsid w:val="00FF4058"/>
    <w:rsid w:val="00FF4534"/>
    <w:rsid w:val="00FF4886"/>
    <w:rsid w:val="00FF4F4C"/>
    <w:rsid w:val="00FF53A9"/>
    <w:rsid w:val="00FF53EE"/>
    <w:rsid w:val="00FF6BCA"/>
    <w:rsid w:val="010057A7"/>
    <w:rsid w:val="010F2882"/>
    <w:rsid w:val="01135302"/>
    <w:rsid w:val="01207B0A"/>
    <w:rsid w:val="01247755"/>
    <w:rsid w:val="01303F65"/>
    <w:rsid w:val="013121A7"/>
    <w:rsid w:val="01312F8E"/>
    <w:rsid w:val="013A09C4"/>
    <w:rsid w:val="013C246A"/>
    <w:rsid w:val="01404261"/>
    <w:rsid w:val="014C5266"/>
    <w:rsid w:val="014D4B6C"/>
    <w:rsid w:val="01677709"/>
    <w:rsid w:val="01683BB5"/>
    <w:rsid w:val="016F2703"/>
    <w:rsid w:val="0183453D"/>
    <w:rsid w:val="018351D3"/>
    <w:rsid w:val="018710A3"/>
    <w:rsid w:val="01A56A78"/>
    <w:rsid w:val="01A7086A"/>
    <w:rsid w:val="01A93A5A"/>
    <w:rsid w:val="01AD7D01"/>
    <w:rsid w:val="01B25A50"/>
    <w:rsid w:val="01E30120"/>
    <w:rsid w:val="01E462AD"/>
    <w:rsid w:val="02060918"/>
    <w:rsid w:val="02293759"/>
    <w:rsid w:val="02315727"/>
    <w:rsid w:val="02575AC1"/>
    <w:rsid w:val="02B43AAA"/>
    <w:rsid w:val="02BE18FE"/>
    <w:rsid w:val="02C32F68"/>
    <w:rsid w:val="02CB078C"/>
    <w:rsid w:val="02F21EEB"/>
    <w:rsid w:val="02FA132F"/>
    <w:rsid w:val="0334599F"/>
    <w:rsid w:val="0335287F"/>
    <w:rsid w:val="03470120"/>
    <w:rsid w:val="034B36B5"/>
    <w:rsid w:val="035C1E81"/>
    <w:rsid w:val="035D7D75"/>
    <w:rsid w:val="035E2DA8"/>
    <w:rsid w:val="035E5F74"/>
    <w:rsid w:val="0365592C"/>
    <w:rsid w:val="036B7E52"/>
    <w:rsid w:val="0372035D"/>
    <w:rsid w:val="037836BC"/>
    <w:rsid w:val="037C7C55"/>
    <w:rsid w:val="03831553"/>
    <w:rsid w:val="038A76A9"/>
    <w:rsid w:val="03B55068"/>
    <w:rsid w:val="03BD1568"/>
    <w:rsid w:val="03D60954"/>
    <w:rsid w:val="03D742FB"/>
    <w:rsid w:val="03ED2838"/>
    <w:rsid w:val="03F75236"/>
    <w:rsid w:val="04302795"/>
    <w:rsid w:val="043729FA"/>
    <w:rsid w:val="044C088B"/>
    <w:rsid w:val="04591A2E"/>
    <w:rsid w:val="0461422D"/>
    <w:rsid w:val="046A060F"/>
    <w:rsid w:val="046C6C01"/>
    <w:rsid w:val="046E7456"/>
    <w:rsid w:val="047D1ED6"/>
    <w:rsid w:val="047F3A66"/>
    <w:rsid w:val="04826CFA"/>
    <w:rsid w:val="04976926"/>
    <w:rsid w:val="04A05494"/>
    <w:rsid w:val="04A41713"/>
    <w:rsid w:val="04A9499D"/>
    <w:rsid w:val="04B45435"/>
    <w:rsid w:val="04D55D13"/>
    <w:rsid w:val="04DC666C"/>
    <w:rsid w:val="04EA5B3C"/>
    <w:rsid w:val="04EC78FC"/>
    <w:rsid w:val="04FF46D6"/>
    <w:rsid w:val="051211C6"/>
    <w:rsid w:val="051E62BF"/>
    <w:rsid w:val="05301C5F"/>
    <w:rsid w:val="053A139C"/>
    <w:rsid w:val="0544626D"/>
    <w:rsid w:val="05447943"/>
    <w:rsid w:val="054D67F1"/>
    <w:rsid w:val="05787CF3"/>
    <w:rsid w:val="057A69BF"/>
    <w:rsid w:val="057B0E62"/>
    <w:rsid w:val="0580785F"/>
    <w:rsid w:val="058571E6"/>
    <w:rsid w:val="0599432F"/>
    <w:rsid w:val="05A141DD"/>
    <w:rsid w:val="05B07478"/>
    <w:rsid w:val="05CB0E27"/>
    <w:rsid w:val="05CC0218"/>
    <w:rsid w:val="05D05124"/>
    <w:rsid w:val="05F33C03"/>
    <w:rsid w:val="0608114D"/>
    <w:rsid w:val="06175254"/>
    <w:rsid w:val="061E66A1"/>
    <w:rsid w:val="063302DF"/>
    <w:rsid w:val="063B4DE4"/>
    <w:rsid w:val="063C7A07"/>
    <w:rsid w:val="065036EF"/>
    <w:rsid w:val="066B151E"/>
    <w:rsid w:val="066E30C6"/>
    <w:rsid w:val="066F5174"/>
    <w:rsid w:val="06706E5D"/>
    <w:rsid w:val="06792D62"/>
    <w:rsid w:val="067D3DF4"/>
    <w:rsid w:val="069A4BAC"/>
    <w:rsid w:val="06A238AF"/>
    <w:rsid w:val="06AD4DCE"/>
    <w:rsid w:val="06C37B46"/>
    <w:rsid w:val="06CA5561"/>
    <w:rsid w:val="06D84107"/>
    <w:rsid w:val="06DA6645"/>
    <w:rsid w:val="06E930F9"/>
    <w:rsid w:val="06F339AF"/>
    <w:rsid w:val="070841B7"/>
    <w:rsid w:val="070E1192"/>
    <w:rsid w:val="07177301"/>
    <w:rsid w:val="073C3F5C"/>
    <w:rsid w:val="075E73A7"/>
    <w:rsid w:val="076707A0"/>
    <w:rsid w:val="076F5347"/>
    <w:rsid w:val="07783D1B"/>
    <w:rsid w:val="078A58ED"/>
    <w:rsid w:val="079429FD"/>
    <w:rsid w:val="07981A91"/>
    <w:rsid w:val="079B4158"/>
    <w:rsid w:val="07CB2146"/>
    <w:rsid w:val="07CE525D"/>
    <w:rsid w:val="07CF512D"/>
    <w:rsid w:val="07D04F64"/>
    <w:rsid w:val="07E17544"/>
    <w:rsid w:val="080001B0"/>
    <w:rsid w:val="0806636F"/>
    <w:rsid w:val="080E5F49"/>
    <w:rsid w:val="081661AF"/>
    <w:rsid w:val="083F0ECA"/>
    <w:rsid w:val="083F7DA7"/>
    <w:rsid w:val="084560A8"/>
    <w:rsid w:val="08456784"/>
    <w:rsid w:val="084C2272"/>
    <w:rsid w:val="084F213F"/>
    <w:rsid w:val="085066C7"/>
    <w:rsid w:val="08664345"/>
    <w:rsid w:val="08694136"/>
    <w:rsid w:val="086A7FB0"/>
    <w:rsid w:val="08723626"/>
    <w:rsid w:val="08725246"/>
    <w:rsid w:val="08730408"/>
    <w:rsid w:val="08805273"/>
    <w:rsid w:val="088505BC"/>
    <w:rsid w:val="08940F91"/>
    <w:rsid w:val="089A4646"/>
    <w:rsid w:val="089C5B28"/>
    <w:rsid w:val="08A059D4"/>
    <w:rsid w:val="08B82B5B"/>
    <w:rsid w:val="08C75AEE"/>
    <w:rsid w:val="08CA0369"/>
    <w:rsid w:val="08CE3215"/>
    <w:rsid w:val="08E23539"/>
    <w:rsid w:val="08E75733"/>
    <w:rsid w:val="08FE4DC1"/>
    <w:rsid w:val="090061C5"/>
    <w:rsid w:val="0906715B"/>
    <w:rsid w:val="090C2147"/>
    <w:rsid w:val="0926701B"/>
    <w:rsid w:val="0927512D"/>
    <w:rsid w:val="09573866"/>
    <w:rsid w:val="0960347E"/>
    <w:rsid w:val="09652590"/>
    <w:rsid w:val="097653E7"/>
    <w:rsid w:val="097C0DEA"/>
    <w:rsid w:val="097E16AA"/>
    <w:rsid w:val="09896468"/>
    <w:rsid w:val="09917881"/>
    <w:rsid w:val="099536FE"/>
    <w:rsid w:val="09A06A75"/>
    <w:rsid w:val="09A908B8"/>
    <w:rsid w:val="09B06FC4"/>
    <w:rsid w:val="09B4167D"/>
    <w:rsid w:val="09B708FD"/>
    <w:rsid w:val="09BA2AC6"/>
    <w:rsid w:val="09D26061"/>
    <w:rsid w:val="09F92B47"/>
    <w:rsid w:val="0A0E2098"/>
    <w:rsid w:val="0A43082F"/>
    <w:rsid w:val="0A6B56FC"/>
    <w:rsid w:val="0A7D168C"/>
    <w:rsid w:val="0A855FC6"/>
    <w:rsid w:val="0A9E02AD"/>
    <w:rsid w:val="0AA364AD"/>
    <w:rsid w:val="0AAB0902"/>
    <w:rsid w:val="0AB440A4"/>
    <w:rsid w:val="0AB55FCE"/>
    <w:rsid w:val="0ACA6D38"/>
    <w:rsid w:val="0AE4227C"/>
    <w:rsid w:val="0AE77A0C"/>
    <w:rsid w:val="0AE81B19"/>
    <w:rsid w:val="0AEB0BF0"/>
    <w:rsid w:val="0AFB755B"/>
    <w:rsid w:val="0B025290"/>
    <w:rsid w:val="0B043FBF"/>
    <w:rsid w:val="0B046039"/>
    <w:rsid w:val="0B0A4B64"/>
    <w:rsid w:val="0B0F299D"/>
    <w:rsid w:val="0B22198C"/>
    <w:rsid w:val="0B3643CE"/>
    <w:rsid w:val="0B6A78FF"/>
    <w:rsid w:val="0B821434"/>
    <w:rsid w:val="0B977C2D"/>
    <w:rsid w:val="0BA37CB5"/>
    <w:rsid w:val="0BC40744"/>
    <w:rsid w:val="0BDB342C"/>
    <w:rsid w:val="0BDC1CE9"/>
    <w:rsid w:val="0BE300B2"/>
    <w:rsid w:val="0BF16C73"/>
    <w:rsid w:val="0BF74AE8"/>
    <w:rsid w:val="0C0B6D68"/>
    <w:rsid w:val="0C0C3F82"/>
    <w:rsid w:val="0C1A3D59"/>
    <w:rsid w:val="0C257B40"/>
    <w:rsid w:val="0C281F69"/>
    <w:rsid w:val="0C2C064B"/>
    <w:rsid w:val="0C2F6564"/>
    <w:rsid w:val="0C3618C3"/>
    <w:rsid w:val="0C3E34A5"/>
    <w:rsid w:val="0C532240"/>
    <w:rsid w:val="0C546315"/>
    <w:rsid w:val="0C554E4C"/>
    <w:rsid w:val="0C5A52EC"/>
    <w:rsid w:val="0C812DED"/>
    <w:rsid w:val="0C8137C9"/>
    <w:rsid w:val="0C950BA6"/>
    <w:rsid w:val="0CA830A9"/>
    <w:rsid w:val="0CAC2B9A"/>
    <w:rsid w:val="0CAF695A"/>
    <w:rsid w:val="0CB12611"/>
    <w:rsid w:val="0CD67590"/>
    <w:rsid w:val="0CE42333"/>
    <w:rsid w:val="0CEF2175"/>
    <w:rsid w:val="0CF940F5"/>
    <w:rsid w:val="0D124D83"/>
    <w:rsid w:val="0D1D5845"/>
    <w:rsid w:val="0D203DB4"/>
    <w:rsid w:val="0D2E24AB"/>
    <w:rsid w:val="0D422A1C"/>
    <w:rsid w:val="0D43075A"/>
    <w:rsid w:val="0D434BB0"/>
    <w:rsid w:val="0D4E642E"/>
    <w:rsid w:val="0D5D17E3"/>
    <w:rsid w:val="0D5E1D12"/>
    <w:rsid w:val="0D8C68E2"/>
    <w:rsid w:val="0D9943EA"/>
    <w:rsid w:val="0DAF7142"/>
    <w:rsid w:val="0DB545D2"/>
    <w:rsid w:val="0DC7118E"/>
    <w:rsid w:val="0DD248BB"/>
    <w:rsid w:val="0DE56FE8"/>
    <w:rsid w:val="0DED34C2"/>
    <w:rsid w:val="0DF47AE0"/>
    <w:rsid w:val="0DF77F0D"/>
    <w:rsid w:val="0E1E3AB1"/>
    <w:rsid w:val="0E200581"/>
    <w:rsid w:val="0E245078"/>
    <w:rsid w:val="0E2529DA"/>
    <w:rsid w:val="0E331822"/>
    <w:rsid w:val="0E3F75E0"/>
    <w:rsid w:val="0E43752E"/>
    <w:rsid w:val="0E5B7068"/>
    <w:rsid w:val="0E671431"/>
    <w:rsid w:val="0E710B71"/>
    <w:rsid w:val="0E924011"/>
    <w:rsid w:val="0E9A3AF2"/>
    <w:rsid w:val="0EB72DE1"/>
    <w:rsid w:val="0EC341CA"/>
    <w:rsid w:val="0ED42113"/>
    <w:rsid w:val="0ED6340D"/>
    <w:rsid w:val="0EF04DE5"/>
    <w:rsid w:val="0EFF43BA"/>
    <w:rsid w:val="0F092CD6"/>
    <w:rsid w:val="0F143963"/>
    <w:rsid w:val="0F294770"/>
    <w:rsid w:val="0F2F4388"/>
    <w:rsid w:val="0F4425B0"/>
    <w:rsid w:val="0F5B6AB1"/>
    <w:rsid w:val="0F5F12CE"/>
    <w:rsid w:val="0F777651"/>
    <w:rsid w:val="0F7A203F"/>
    <w:rsid w:val="0F7A481C"/>
    <w:rsid w:val="0F7D20C6"/>
    <w:rsid w:val="0FA230CE"/>
    <w:rsid w:val="0FA37114"/>
    <w:rsid w:val="100C34AE"/>
    <w:rsid w:val="100D5F57"/>
    <w:rsid w:val="102D2243"/>
    <w:rsid w:val="103136FB"/>
    <w:rsid w:val="10345AC3"/>
    <w:rsid w:val="10454916"/>
    <w:rsid w:val="10534F50"/>
    <w:rsid w:val="10625DF6"/>
    <w:rsid w:val="10672A16"/>
    <w:rsid w:val="107F13A6"/>
    <w:rsid w:val="108537DF"/>
    <w:rsid w:val="10991687"/>
    <w:rsid w:val="109B49D8"/>
    <w:rsid w:val="10A76C07"/>
    <w:rsid w:val="10B4070D"/>
    <w:rsid w:val="10C20616"/>
    <w:rsid w:val="10E832B4"/>
    <w:rsid w:val="111369C6"/>
    <w:rsid w:val="111927C8"/>
    <w:rsid w:val="111934E7"/>
    <w:rsid w:val="112172C2"/>
    <w:rsid w:val="114A20A1"/>
    <w:rsid w:val="114D7618"/>
    <w:rsid w:val="115D35F1"/>
    <w:rsid w:val="116F6BC1"/>
    <w:rsid w:val="117C5F04"/>
    <w:rsid w:val="11941558"/>
    <w:rsid w:val="11983D3E"/>
    <w:rsid w:val="119E0A02"/>
    <w:rsid w:val="11AE39F8"/>
    <w:rsid w:val="11C53F61"/>
    <w:rsid w:val="11DA5EF4"/>
    <w:rsid w:val="11EC7CEB"/>
    <w:rsid w:val="11F8380E"/>
    <w:rsid w:val="12004D95"/>
    <w:rsid w:val="121767DB"/>
    <w:rsid w:val="122A6F54"/>
    <w:rsid w:val="12443ED2"/>
    <w:rsid w:val="12445E42"/>
    <w:rsid w:val="12465C21"/>
    <w:rsid w:val="12550B18"/>
    <w:rsid w:val="125B650A"/>
    <w:rsid w:val="12663BE0"/>
    <w:rsid w:val="12735753"/>
    <w:rsid w:val="129610C5"/>
    <w:rsid w:val="12CA084D"/>
    <w:rsid w:val="12DE6746"/>
    <w:rsid w:val="12E928B6"/>
    <w:rsid w:val="130E11A0"/>
    <w:rsid w:val="131C40E4"/>
    <w:rsid w:val="133D6799"/>
    <w:rsid w:val="13523247"/>
    <w:rsid w:val="136007E7"/>
    <w:rsid w:val="1360594A"/>
    <w:rsid w:val="136B6F88"/>
    <w:rsid w:val="136E327B"/>
    <w:rsid w:val="13723C23"/>
    <w:rsid w:val="1374228E"/>
    <w:rsid w:val="13757633"/>
    <w:rsid w:val="139E6C56"/>
    <w:rsid w:val="139F5206"/>
    <w:rsid w:val="13A07738"/>
    <w:rsid w:val="13AB36C5"/>
    <w:rsid w:val="13B43589"/>
    <w:rsid w:val="13BB0808"/>
    <w:rsid w:val="13BC175F"/>
    <w:rsid w:val="13C46A1B"/>
    <w:rsid w:val="13DE052A"/>
    <w:rsid w:val="13ED0E0A"/>
    <w:rsid w:val="14060571"/>
    <w:rsid w:val="141C70C5"/>
    <w:rsid w:val="1426082A"/>
    <w:rsid w:val="142A68E9"/>
    <w:rsid w:val="142C3534"/>
    <w:rsid w:val="14321BD6"/>
    <w:rsid w:val="1435380E"/>
    <w:rsid w:val="144731A8"/>
    <w:rsid w:val="145A5FD6"/>
    <w:rsid w:val="1481614D"/>
    <w:rsid w:val="14851B53"/>
    <w:rsid w:val="14AE2250"/>
    <w:rsid w:val="14B856A7"/>
    <w:rsid w:val="14C66854"/>
    <w:rsid w:val="14DE0C0F"/>
    <w:rsid w:val="14E530ED"/>
    <w:rsid w:val="14EE1A04"/>
    <w:rsid w:val="14EE3384"/>
    <w:rsid w:val="14F10A6A"/>
    <w:rsid w:val="14F134BB"/>
    <w:rsid w:val="14F87960"/>
    <w:rsid w:val="1511621B"/>
    <w:rsid w:val="15202EE5"/>
    <w:rsid w:val="15367333"/>
    <w:rsid w:val="153C255C"/>
    <w:rsid w:val="153C2CB1"/>
    <w:rsid w:val="154304FD"/>
    <w:rsid w:val="154923E9"/>
    <w:rsid w:val="155115C7"/>
    <w:rsid w:val="156952E9"/>
    <w:rsid w:val="157D32D4"/>
    <w:rsid w:val="158D3253"/>
    <w:rsid w:val="158F5A0F"/>
    <w:rsid w:val="15924B9F"/>
    <w:rsid w:val="15953219"/>
    <w:rsid w:val="15957D8F"/>
    <w:rsid w:val="15B10392"/>
    <w:rsid w:val="15BD5E7C"/>
    <w:rsid w:val="15DA10CC"/>
    <w:rsid w:val="15FB47EE"/>
    <w:rsid w:val="160475A2"/>
    <w:rsid w:val="1606775E"/>
    <w:rsid w:val="16093598"/>
    <w:rsid w:val="160B549D"/>
    <w:rsid w:val="160D0514"/>
    <w:rsid w:val="161D2B21"/>
    <w:rsid w:val="162A1705"/>
    <w:rsid w:val="162C39B4"/>
    <w:rsid w:val="16462E87"/>
    <w:rsid w:val="16683B51"/>
    <w:rsid w:val="16807406"/>
    <w:rsid w:val="169F561C"/>
    <w:rsid w:val="16A90C06"/>
    <w:rsid w:val="16BC04A0"/>
    <w:rsid w:val="16C8192A"/>
    <w:rsid w:val="16D5087F"/>
    <w:rsid w:val="16D87950"/>
    <w:rsid w:val="16DD0A06"/>
    <w:rsid w:val="16E86EC4"/>
    <w:rsid w:val="171946A8"/>
    <w:rsid w:val="171A332F"/>
    <w:rsid w:val="17251EAC"/>
    <w:rsid w:val="172F5A62"/>
    <w:rsid w:val="17403859"/>
    <w:rsid w:val="174602F3"/>
    <w:rsid w:val="174B3433"/>
    <w:rsid w:val="17512B78"/>
    <w:rsid w:val="175201A4"/>
    <w:rsid w:val="17534A80"/>
    <w:rsid w:val="17581F6D"/>
    <w:rsid w:val="177A1481"/>
    <w:rsid w:val="177B2B64"/>
    <w:rsid w:val="17844E8E"/>
    <w:rsid w:val="17965B24"/>
    <w:rsid w:val="179914B3"/>
    <w:rsid w:val="17A116AE"/>
    <w:rsid w:val="17B263FE"/>
    <w:rsid w:val="17B33E4D"/>
    <w:rsid w:val="17BE3F72"/>
    <w:rsid w:val="17D252F9"/>
    <w:rsid w:val="17EF5266"/>
    <w:rsid w:val="17F8222E"/>
    <w:rsid w:val="18071B33"/>
    <w:rsid w:val="180E5A00"/>
    <w:rsid w:val="181B2BBC"/>
    <w:rsid w:val="183F3519"/>
    <w:rsid w:val="1841459E"/>
    <w:rsid w:val="1842267B"/>
    <w:rsid w:val="184A01D4"/>
    <w:rsid w:val="18574301"/>
    <w:rsid w:val="18610CDC"/>
    <w:rsid w:val="186F7BC5"/>
    <w:rsid w:val="188C47E4"/>
    <w:rsid w:val="189039E8"/>
    <w:rsid w:val="18AE1A47"/>
    <w:rsid w:val="18B157FE"/>
    <w:rsid w:val="18CD45C3"/>
    <w:rsid w:val="18D32F39"/>
    <w:rsid w:val="18DF6EA4"/>
    <w:rsid w:val="18E73329"/>
    <w:rsid w:val="19104A6E"/>
    <w:rsid w:val="191D5610"/>
    <w:rsid w:val="193208CA"/>
    <w:rsid w:val="194818B4"/>
    <w:rsid w:val="195C2DAE"/>
    <w:rsid w:val="196846B9"/>
    <w:rsid w:val="196F567B"/>
    <w:rsid w:val="1979599D"/>
    <w:rsid w:val="198411FB"/>
    <w:rsid w:val="19A65C35"/>
    <w:rsid w:val="19A86CE9"/>
    <w:rsid w:val="19B579D5"/>
    <w:rsid w:val="19C72EE6"/>
    <w:rsid w:val="19D55685"/>
    <w:rsid w:val="19D63097"/>
    <w:rsid w:val="19E26679"/>
    <w:rsid w:val="19F4792E"/>
    <w:rsid w:val="1A0D2A4A"/>
    <w:rsid w:val="1A124AD3"/>
    <w:rsid w:val="1A2F6045"/>
    <w:rsid w:val="1A3F3860"/>
    <w:rsid w:val="1A400204"/>
    <w:rsid w:val="1A400749"/>
    <w:rsid w:val="1A4C2D0F"/>
    <w:rsid w:val="1A535E7B"/>
    <w:rsid w:val="1A5A252A"/>
    <w:rsid w:val="1A685EB8"/>
    <w:rsid w:val="1A6A1556"/>
    <w:rsid w:val="1A6D729A"/>
    <w:rsid w:val="1A7412C9"/>
    <w:rsid w:val="1A817DEA"/>
    <w:rsid w:val="1A977783"/>
    <w:rsid w:val="1A994D33"/>
    <w:rsid w:val="1AB01352"/>
    <w:rsid w:val="1AB04C5B"/>
    <w:rsid w:val="1AB37F88"/>
    <w:rsid w:val="1ABE7DC8"/>
    <w:rsid w:val="1AC95E4E"/>
    <w:rsid w:val="1AD35B55"/>
    <w:rsid w:val="1AD47040"/>
    <w:rsid w:val="1AE43477"/>
    <w:rsid w:val="1AF23D6F"/>
    <w:rsid w:val="1B1D4C62"/>
    <w:rsid w:val="1B3D013C"/>
    <w:rsid w:val="1B3F0FB6"/>
    <w:rsid w:val="1B4B2DA3"/>
    <w:rsid w:val="1B571741"/>
    <w:rsid w:val="1B6F33E5"/>
    <w:rsid w:val="1B735557"/>
    <w:rsid w:val="1B757B2D"/>
    <w:rsid w:val="1B757CBC"/>
    <w:rsid w:val="1B7F2276"/>
    <w:rsid w:val="1B871004"/>
    <w:rsid w:val="1B8A585F"/>
    <w:rsid w:val="1B963FA6"/>
    <w:rsid w:val="1B9B5BFE"/>
    <w:rsid w:val="1BA04270"/>
    <w:rsid w:val="1BA94E24"/>
    <w:rsid w:val="1BAD2DBB"/>
    <w:rsid w:val="1BB362E2"/>
    <w:rsid w:val="1BBA15EF"/>
    <w:rsid w:val="1BC162E8"/>
    <w:rsid w:val="1BD83779"/>
    <w:rsid w:val="1BF1078A"/>
    <w:rsid w:val="1C000FBC"/>
    <w:rsid w:val="1C010D1D"/>
    <w:rsid w:val="1C033570"/>
    <w:rsid w:val="1C154BFE"/>
    <w:rsid w:val="1C282F6F"/>
    <w:rsid w:val="1C37427B"/>
    <w:rsid w:val="1C3B4A23"/>
    <w:rsid w:val="1C475483"/>
    <w:rsid w:val="1C4E0CFD"/>
    <w:rsid w:val="1C57773B"/>
    <w:rsid w:val="1C71130D"/>
    <w:rsid w:val="1C762B3D"/>
    <w:rsid w:val="1C7A583D"/>
    <w:rsid w:val="1C8D776B"/>
    <w:rsid w:val="1CA0383F"/>
    <w:rsid w:val="1CB21A03"/>
    <w:rsid w:val="1CB916D0"/>
    <w:rsid w:val="1CCC1EBA"/>
    <w:rsid w:val="1CD307C6"/>
    <w:rsid w:val="1CD62D09"/>
    <w:rsid w:val="1CFB7BD4"/>
    <w:rsid w:val="1D1D4E2E"/>
    <w:rsid w:val="1D306ECF"/>
    <w:rsid w:val="1D373AAF"/>
    <w:rsid w:val="1D52669D"/>
    <w:rsid w:val="1D5E4918"/>
    <w:rsid w:val="1D6447C7"/>
    <w:rsid w:val="1D8645B5"/>
    <w:rsid w:val="1DBB1C42"/>
    <w:rsid w:val="1DE103FA"/>
    <w:rsid w:val="1DE1658A"/>
    <w:rsid w:val="1DE72F8B"/>
    <w:rsid w:val="1DEF223D"/>
    <w:rsid w:val="1DF41671"/>
    <w:rsid w:val="1E0E6467"/>
    <w:rsid w:val="1E2E6377"/>
    <w:rsid w:val="1E3104EB"/>
    <w:rsid w:val="1E35373B"/>
    <w:rsid w:val="1E4058C9"/>
    <w:rsid w:val="1E6D128D"/>
    <w:rsid w:val="1E722C69"/>
    <w:rsid w:val="1E723EB9"/>
    <w:rsid w:val="1EB072B1"/>
    <w:rsid w:val="1EB50BBD"/>
    <w:rsid w:val="1EC06BEC"/>
    <w:rsid w:val="1ECA606C"/>
    <w:rsid w:val="1EDF30BC"/>
    <w:rsid w:val="1EE833D9"/>
    <w:rsid w:val="1EEE4BFA"/>
    <w:rsid w:val="1EFA3FB6"/>
    <w:rsid w:val="1F1027A4"/>
    <w:rsid w:val="1F2831F7"/>
    <w:rsid w:val="1F4D5417"/>
    <w:rsid w:val="1F5A0233"/>
    <w:rsid w:val="1F5B5733"/>
    <w:rsid w:val="1F5B7E0D"/>
    <w:rsid w:val="1F5F2F92"/>
    <w:rsid w:val="1F645C46"/>
    <w:rsid w:val="1F677541"/>
    <w:rsid w:val="1F6F5384"/>
    <w:rsid w:val="1F745799"/>
    <w:rsid w:val="1F7532BF"/>
    <w:rsid w:val="1F7643A3"/>
    <w:rsid w:val="1FA31BDA"/>
    <w:rsid w:val="1FA31C4E"/>
    <w:rsid w:val="1FA75925"/>
    <w:rsid w:val="1FAA1EEE"/>
    <w:rsid w:val="1FAB0A8F"/>
    <w:rsid w:val="1FAF3A62"/>
    <w:rsid w:val="1FB03F7D"/>
    <w:rsid w:val="1FB20C2C"/>
    <w:rsid w:val="1FB42039"/>
    <w:rsid w:val="1FCD35E0"/>
    <w:rsid w:val="1FD02EE8"/>
    <w:rsid w:val="1FD2597E"/>
    <w:rsid w:val="1FE33CEA"/>
    <w:rsid w:val="1FF20FA0"/>
    <w:rsid w:val="1FFF6B0A"/>
    <w:rsid w:val="2004034F"/>
    <w:rsid w:val="200B13E8"/>
    <w:rsid w:val="201514DF"/>
    <w:rsid w:val="201E1EB2"/>
    <w:rsid w:val="202766B5"/>
    <w:rsid w:val="203F0AAD"/>
    <w:rsid w:val="2044159C"/>
    <w:rsid w:val="20492558"/>
    <w:rsid w:val="2052546C"/>
    <w:rsid w:val="2059673D"/>
    <w:rsid w:val="205E38F0"/>
    <w:rsid w:val="2075089D"/>
    <w:rsid w:val="208927BA"/>
    <w:rsid w:val="20A21E92"/>
    <w:rsid w:val="20AA0500"/>
    <w:rsid w:val="20AC4ABE"/>
    <w:rsid w:val="20AD3BEB"/>
    <w:rsid w:val="20BE47F2"/>
    <w:rsid w:val="20D90E52"/>
    <w:rsid w:val="20F80F7C"/>
    <w:rsid w:val="210920EF"/>
    <w:rsid w:val="210F5BFE"/>
    <w:rsid w:val="21392153"/>
    <w:rsid w:val="213D3995"/>
    <w:rsid w:val="213E63DA"/>
    <w:rsid w:val="21514B5B"/>
    <w:rsid w:val="21604585"/>
    <w:rsid w:val="216B0B49"/>
    <w:rsid w:val="217F7026"/>
    <w:rsid w:val="21992531"/>
    <w:rsid w:val="21A4757C"/>
    <w:rsid w:val="21B0008F"/>
    <w:rsid w:val="21B52099"/>
    <w:rsid w:val="21BD7A67"/>
    <w:rsid w:val="21D132BC"/>
    <w:rsid w:val="21E97FF2"/>
    <w:rsid w:val="21F0010E"/>
    <w:rsid w:val="21F268E0"/>
    <w:rsid w:val="22041B8C"/>
    <w:rsid w:val="221C350A"/>
    <w:rsid w:val="221D1804"/>
    <w:rsid w:val="223035ED"/>
    <w:rsid w:val="22333947"/>
    <w:rsid w:val="22517CE8"/>
    <w:rsid w:val="2253337B"/>
    <w:rsid w:val="22553676"/>
    <w:rsid w:val="22753104"/>
    <w:rsid w:val="22A50CDA"/>
    <w:rsid w:val="22AF6AE8"/>
    <w:rsid w:val="22C54964"/>
    <w:rsid w:val="22D81392"/>
    <w:rsid w:val="22DE7B73"/>
    <w:rsid w:val="22F310EC"/>
    <w:rsid w:val="22F335FD"/>
    <w:rsid w:val="230B3186"/>
    <w:rsid w:val="23272B22"/>
    <w:rsid w:val="232A7F55"/>
    <w:rsid w:val="235C4945"/>
    <w:rsid w:val="2363312E"/>
    <w:rsid w:val="236D19CB"/>
    <w:rsid w:val="236E0751"/>
    <w:rsid w:val="236E7FC9"/>
    <w:rsid w:val="23704814"/>
    <w:rsid w:val="237F3F46"/>
    <w:rsid w:val="2382592A"/>
    <w:rsid w:val="23A835D3"/>
    <w:rsid w:val="23C16492"/>
    <w:rsid w:val="23D67272"/>
    <w:rsid w:val="23DF4103"/>
    <w:rsid w:val="23E80019"/>
    <w:rsid w:val="23EB1DB1"/>
    <w:rsid w:val="23ED04BD"/>
    <w:rsid w:val="24055FBC"/>
    <w:rsid w:val="241271DB"/>
    <w:rsid w:val="241A54DB"/>
    <w:rsid w:val="242A1506"/>
    <w:rsid w:val="242F013F"/>
    <w:rsid w:val="24381601"/>
    <w:rsid w:val="246F722E"/>
    <w:rsid w:val="24811610"/>
    <w:rsid w:val="24944FF6"/>
    <w:rsid w:val="2498033F"/>
    <w:rsid w:val="249C22E1"/>
    <w:rsid w:val="24D77F2A"/>
    <w:rsid w:val="24D96ACF"/>
    <w:rsid w:val="24E36DCF"/>
    <w:rsid w:val="25116F24"/>
    <w:rsid w:val="25145328"/>
    <w:rsid w:val="251E464F"/>
    <w:rsid w:val="25334962"/>
    <w:rsid w:val="25493364"/>
    <w:rsid w:val="254F7A0F"/>
    <w:rsid w:val="255C378E"/>
    <w:rsid w:val="25871E1F"/>
    <w:rsid w:val="258A22CD"/>
    <w:rsid w:val="258C2F14"/>
    <w:rsid w:val="25916979"/>
    <w:rsid w:val="25975E02"/>
    <w:rsid w:val="259C58FE"/>
    <w:rsid w:val="259D4F40"/>
    <w:rsid w:val="25B152B5"/>
    <w:rsid w:val="25B862D0"/>
    <w:rsid w:val="25BA7C7E"/>
    <w:rsid w:val="25CB3A81"/>
    <w:rsid w:val="25DA3E7C"/>
    <w:rsid w:val="25E3006A"/>
    <w:rsid w:val="25F52A64"/>
    <w:rsid w:val="25F9257C"/>
    <w:rsid w:val="2623548B"/>
    <w:rsid w:val="26243349"/>
    <w:rsid w:val="262C5C6D"/>
    <w:rsid w:val="263B7E57"/>
    <w:rsid w:val="26431A21"/>
    <w:rsid w:val="265D48E5"/>
    <w:rsid w:val="266F480A"/>
    <w:rsid w:val="26755724"/>
    <w:rsid w:val="267D1FC5"/>
    <w:rsid w:val="26805560"/>
    <w:rsid w:val="26A06437"/>
    <w:rsid w:val="26A71D59"/>
    <w:rsid w:val="26A936BC"/>
    <w:rsid w:val="26C14A80"/>
    <w:rsid w:val="26CA79B1"/>
    <w:rsid w:val="26E36DA9"/>
    <w:rsid w:val="27005530"/>
    <w:rsid w:val="270216DD"/>
    <w:rsid w:val="27037402"/>
    <w:rsid w:val="270D444F"/>
    <w:rsid w:val="271916C3"/>
    <w:rsid w:val="27327218"/>
    <w:rsid w:val="273564F5"/>
    <w:rsid w:val="273A24AE"/>
    <w:rsid w:val="27456DDA"/>
    <w:rsid w:val="274704F7"/>
    <w:rsid w:val="27506187"/>
    <w:rsid w:val="27512C81"/>
    <w:rsid w:val="275766F1"/>
    <w:rsid w:val="27591CFC"/>
    <w:rsid w:val="27632C26"/>
    <w:rsid w:val="27684747"/>
    <w:rsid w:val="276F63C2"/>
    <w:rsid w:val="276F6648"/>
    <w:rsid w:val="27703BAC"/>
    <w:rsid w:val="27816204"/>
    <w:rsid w:val="278909E9"/>
    <w:rsid w:val="278D77E9"/>
    <w:rsid w:val="27900E5F"/>
    <w:rsid w:val="2796557B"/>
    <w:rsid w:val="27AE7775"/>
    <w:rsid w:val="27B039C8"/>
    <w:rsid w:val="27B44220"/>
    <w:rsid w:val="27CB356E"/>
    <w:rsid w:val="27DB14E9"/>
    <w:rsid w:val="27E11400"/>
    <w:rsid w:val="27E63708"/>
    <w:rsid w:val="27F95DF6"/>
    <w:rsid w:val="27FC68FC"/>
    <w:rsid w:val="28015AEC"/>
    <w:rsid w:val="280B7F29"/>
    <w:rsid w:val="280F6FAD"/>
    <w:rsid w:val="281F6326"/>
    <w:rsid w:val="28242737"/>
    <w:rsid w:val="28252058"/>
    <w:rsid w:val="2856314B"/>
    <w:rsid w:val="28627101"/>
    <w:rsid w:val="286D7EFB"/>
    <w:rsid w:val="286F2FA1"/>
    <w:rsid w:val="286F6445"/>
    <w:rsid w:val="28710571"/>
    <w:rsid w:val="2880029E"/>
    <w:rsid w:val="28872154"/>
    <w:rsid w:val="28AD4E25"/>
    <w:rsid w:val="28B214EF"/>
    <w:rsid w:val="28CA3CEF"/>
    <w:rsid w:val="28E47092"/>
    <w:rsid w:val="28EA46BB"/>
    <w:rsid w:val="28F8088B"/>
    <w:rsid w:val="290D4165"/>
    <w:rsid w:val="291E414A"/>
    <w:rsid w:val="292661E0"/>
    <w:rsid w:val="29297FAE"/>
    <w:rsid w:val="29326F94"/>
    <w:rsid w:val="293A5C24"/>
    <w:rsid w:val="29496672"/>
    <w:rsid w:val="296F6CA5"/>
    <w:rsid w:val="29704239"/>
    <w:rsid w:val="297059A6"/>
    <w:rsid w:val="297F5466"/>
    <w:rsid w:val="299507E6"/>
    <w:rsid w:val="299710B2"/>
    <w:rsid w:val="29C03002"/>
    <w:rsid w:val="29C341ED"/>
    <w:rsid w:val="29D17C06"/>
    <w:rsid w:val="29D3340F"/>
    <w:rsid w:val="29E13C7C"/>
    <w:rsid w:val="29E26806"/>
    <w:rsid w:val="29F146D7"/>
    <w:rsid w:val="29F4710C"/>
    <w:rsid w:val="29F57C6F"/>
    <w:rsid w:val="29F745EF"/>
    <w:rsid w:val="29FF0B07"/>
    <w:rsid w:val="2A016C92"/>
    <w:rsid w:val="2A0E00CA"/>
    <w:rsid w:val="2A1D4C7F"/>
    <w:rsid w:val="2A20564D"/>
    <w:rsid w:val="2A2D064F"/>
    <w:rsid w:val="2A497078"/>
    <w:rsid w:val="2A4B3C6C"/>
    <w:rsid w:val="2A615D77"/>
    <w:rsid w:val="2A630D17"/>
    <w:rsid w:val="2A770D67"/>
    <w:rsid w:val="2A791B21"/>
    <w:rsid w:val="2A7E12C0"/>
    <w:rsid w:val="2A815802"/>
    <w:rsid w:val="2A87357D"/>
    <w:rsid w:val="2A8B5FC9"/>
    <w:rsid w:val="2AA5169E"/>
    <w:rsid w:val="2AD625CD"/>
    <w:rsid w:val="2AE57AC4"/>
    <w:rsid w:val="2AED38FF"/>
    <w:rsid w:val="2AED40DA"/>
    <w:rsid w:val="2AF13218"/>
    <w:rsid w:val="2AFA0B1C"/>
    <w:rsid w:val="2AFD3174"/>
    <w:rsid w:val="2AFF3560"/>
    <w:rsid w:val="2B3524A1"/>
    <w:rsid w:val="2B496BCB"/>
    <w:rsid w:val="2B5934AE"/>
    <w:rsid w:val="2B626BBA"/>
    <w:rsid w:val="2B6A7E50"/>
    <w:rsid w:val="2B7663F5"/>
    <w:rsid w:val="2B7A5423"/>
    <w:rsid w:val="2B7C183F"/>
    <w:rsid w:val="2B853CF9"/>
    <w:rsid w:val="2B864D71"/>
    <w:rsid w:val="2B914B5D"/>
    <w:rsid w:val="2BA9469B"/>
    <w:rsid w:val="2BB73BD5"/>
    <w:rsid w:val="2BB845F6"/>
    <w:rsid w:val="2BDC3546"/>
    <w:rsid w:val="2BE279DD"/>
    <w:rsid w:val="2BE529C4"/>
    <w:rsid w:val="2BE772F2"/>
    <w:rsid w:val="2BF01FD0"/>
    <w:rsid w:val="2BF33EE9"/>
    <w:rsid w:val="2BF544D2"/>
    <w:rsid w:val="2C1856FE"/>
    <w:rsid w:val="2C3D1CE0"/>
    <w:rsid w:val="2C7E7C57"/>
    <w:rsid w:val="2C8640C1"/>
    <w:rsid w:val="2C95510A"/>
    <w:rsid w:val="2C9E0649"/>
    <w:rsid w:val="2CA12E04"/>
    <w:rsid w:val="2CD17CCF"/>
    <w:rsid w:val="2CD8457F"/>
    <w:rsid w:val="2CEF722E"/>
    <w:rsid w:val="2CF81347"/>
    <w:rsid w:val="2D156B5B"/>
    <w:rsid w:val="2D1B36F8"/>
    <w:rsid w:val="2D1C517B"/>
    <w:rsid w:val="2D2824B2"/>
    <w:rsid w:val="2D284325"/>
    <w:rsid w:val="2D285E15"/>
    <w:rsid w:val="2D355A17"/>
    <w:rsid w:val="2D360531"/>
    <w:rsid w:val="2D3A420A"/>
    <w:rsid w:val="2D4068D1"/>
    <w:rsid w:val="2D4A2F3A"/>
    <w:rsid w:val="2D5160AE"/>
    <w:rsid w:val="2D6138B7"/>
    <w:rsid w:val="2D666BF9"/>
    <w:rsid w:val="2D833B32"/>
    <w:rsid w:val="2D896548"/>
    <w:rsid w:val="2D917EAF"/>
    <w:rsid w:val="2D9577C3"/>
    <w:rsid w:val="2DA07C21"/>
    <w:rsid w:val="2DA466A1"/>
    <w:rsid w:val="2DB0030F"/>
    <w:rsid w:val="2DCA0BF2"/>
    <w:rsid w:val="2DCC4F08"/>
    <w:rsid w:val="2DD02FC8"/>
    <w:rsid w:val="2DDA0933"/>
    <w:rsid w:val="2DE55A1E"/>
    <w:rsid w:val="2DEB6804"/>
    <w:rsid w:val="2E002321"/>
    <w:rsid w:val="2E0F5D64"/>
    <w:rsid w:val="2E127D0C"/>
    <w:rsid w:val="2E180404"/>
    <w:rsid w:val="2E1C647D"/>
    <w:rsid w:val="2E2F11E9"/>
    <w:rsid w:val="2E2F2C62"/>
    <w:rsid w:val="2E31194E"/>
    <w:rsid w:val="2E3C37AA"/>
    <w:rsid w:val="2E3F37FA"/>
    <w:rsid w:val="2E414B35"/>
    <w:rsid w:val="2E4A1CAE"/>
    <w:rsid w:val="2E580F8F"/>
    <w:rsid w:val="2E8639C6"/>
    <w:rsid w:val="2E883090"/>
    <w:rsid w:val="2EA339A5"/>
    <w:rsid w:val="2EA842FE"/>
    <w:rsid w:val="2EB3170E"/>
    <w:rsid w:val="2EB81807"/>
    <w:rsid w:val="2EC47A74"/>
    <w:rsid w:val="2ED9015F"/>
    <w:rsid w:val="2EDB7001"/>
    <w:rsid w:val="2F0A3A22"/>
    <w:rsid w:val="2F1456F6"/>
    <w:rsid w:val="2F164F71"/>
    <w:rsid w:val="2F5E0C25"/>
    <w:rsid w:val="2F5E5535"/>
    <w:rsid w:val="2F6E6EEE"/>
    <w:rsid w:val="2F7F38EF"/>
    <w:rsid w:val="2F841DC0"/>
    <w:rsid w:val="2F913643"/>
    <w:rsid w:val="2FAB044B"/>
    <w:rsid w:val="2FAC166C"/>
    <w:rsid w:val="2FBD1C02"/>
    <w:rsid w:val="2FBF5A9F"/>
    <w:rsid w:val="2FDA0122"/>
    <w:rsid w:val="2FDD7AA8"/>
    <w:rsid w:val="2FDF05E9"/>
    <w:rsid w:val="30004E27"/>
    <w:rsid w:val="302A451F"/>
    <w:rsid w:val="302E0A39"/>
    <w:rsid w:val="30407780"/>
    <w:rsid w:val="30587B21"/>
    <w:rsid w:val="305A76AB"/>
    <w:rsid w:val="305C2C5A"/>
    <w:rsid w:val="30614406"/>
    <w:rsid w:val="30676C54"/>
    <w:rsid w:val="306D7E85"/>
    <w:rsid w:val="30841252"/>
    <w:rsid w:val="30881645"/>
    <w:rsid w:val="30A62CFD"/>
    <w:rsid w:val="30AE5D9B"/>
    <w:rsid w:val="30BD5A46"/>
    <w:rsid w:val="30BE2D79"/>
    <w:rsid w:val="30C07EA5"/>
    <w:rsid w:val="30C670C4"/>
    <w:rsid w:val="30C67D12"/>
    <w:rsid w:val="30CA166B"/>
    <w:rsid w:val="30DD3846"/>
    <w:rsid w:val="30E87423"/>
    <w:rsid w:val="30ED1101"/>
    <w:rsid w:val="30F72E6E"/>
    <w:rsid w:val="30F857B9"/>
    <w:rsid w:val="31170894"/>
    <w:rsid w:val="31174C75"/>
    <w:rsid w:val="31382575"/>
    <w:rsid w:val="313A36E5"/>
    <w:rsid w:val="314F6742"/>
    <w:rsid w:val="31554AE7"/>
    <w:rsid w:val="315C7F7F"/>
    <w:rsid w:val="31660404"/>
    <w:rsid w:val="31785A4E"/>
    <w:rsid w:val="31791556"/>
    <w:rsid w:val="317C38D2"/>
    <w:rsid w:val="31B76FE1"/>
    <w:rsid w:val="31BE353D"/>
    <w:rsid w:val="31CB1CA1"/>
    <w:rsid w:val="31CF2D29"/>
    <w:rsid w:val="31E82675"/>
    <w:rsid w:val="31FE41EC"/>
    <w:rsid w:val="32157CE1"/>
    <w:rsid w:val="321B7E7B"/>
    <w:rsid w:val="321E6DA8"/>
    <w:rsid w:val="322D17D7"/>
    <w:rsid w:val="323A4620"/>
    <w:rsid w:val="324234D5"/>
    <w:rsid w:val="325869D8"/>
    <w:rsid w:val="32621481"/>
    <w:rsid w:val="326D7BCF"/>
    <w:rsid w:val="32715EE9"/>
    <w:rsid w:val="327A6BD0"/>
    <w:rsid w:val="32832ED6"/>
    <w:rsid w:val="328D3567"/>
    <w:rsid w:val="329862E4"/>
    <w:rsid w:val="32AC1117"/>
    <w:rsid w:val="32C31B6B"/>
    <w:rsid w:val="32D45531"/>
    <w:rsid w:val="32D96982"/>
    <w:rsid w:val="32E521E0"/>
    <w:rsid w:val="33050AAD"/>
    <w:rsid w:val="33074C5B"/>
    <w:rsid w:val="33116608"/>
    <w:rsid w:val="332130EA"/>
    <w:rsid w:val="332A668D"/>
    <w:rsid w:val="332C3F79"/>
    <w:rsid w:val="33392236"/>
    <w:rsid w:val="334530F3"/>
    <w:rsid w:val="335356E2"/>
    <w:rsid w:val="335A2AA0"/>
    <w:rsid w:val="336E02D4"/>
    <w:rsid w:val="33861D25"/>
    <w:rsid w:val="33BA5EC4"/>
    <w:rsid w:val="33BF2BC8"/>
    <w:rsid w:val="33C32064"/>
    <w:rsid w:val="33C96CCF"/>
    <w:rsid w:val="33D1513C"/>
    <w:rsid w:val="33D2161A"/>
    <w:rsid w:val="33E829AE"/>
    <w:rsid w:val="33E97899"/>
    <w:rsid w:val="33EF1DDB"/>
    <w:rsid w:val="33F30E32"/>
    <w:rsid w:val="33F84CB6"/>
    <w:rsid w:val="33F85143"/>
    <w:rsid w:val="340505DC"/>
    <w:rsid w:val="342041F4"/>
    <w:rsid w:val="34270AC1"/>
    <w:rsid w:val="342927FC"/>
    <w:rsid w:val="3431787C"/>
    <w:rsid w:val="34334E3E"/>
    <w:rsid w:val="343F154C"/>
    <w:rsid w:val="344469FD"/>
    <w:rsid w:val="34562F70"/>
    <w:rsid w:val="34660314"/>
    <w:rsid w:val="346F60D7"/>
    <w:rsid w:val="347E3539"/>
    <w:rsid w:val="34821147"/>
    <w:rsid w:val="34830369"/>
    <w:rsid w:val="34AC623C"/>
    <w:rsid w:val="34DB48B8"/>
    <w:rsid w:val="34F11CC9"/>
    <w:rsid w:val="350D407B"/>
    <w:rsid w:val="354237EC"/>
    <w:rsid w:val="354503F4"/>
    <w:rsid w:val="35453CE8"/>
    <w:rsid w:val="354740A6"/>
    <w:rsid w:val="35607689"/>
    <w:rsid w:val="35841377"/>
    <w:rsid w:val="358F1EC3"/>
    <w:rsid w:val="359029D2"/>
    <w:rsid w:val="359A09ED"/>
    <w:rsid w:val="359B1A01"/>
    <w:rsid w:val="359E17A7"/>
    <w:rsid w:val="35AA1BCA"/>
    <w:rsid w:val="35B33563"/>
    <w:rsid w:val="35BC4AB2"/>
    <w:rsid w:val="35D05A62"/>
    <w:rsid w:val="35E936E6"/>
    <w:rsid w:val="35EB0A3D"/>
    <w:rsid w:val="35F968B0"/>
    <w:rsid w:val="35FA1982"/>
    <w:rsid w:val="35FE2F69"/>
    <w:rsid w:val="36020E9C"/>
    <w:rsid w:val="360B0286"/>
    <w:rsid w:val="360C3486"/>
    <w:rsid w:val="36176D00"/>
    <w:rsid w:val="36441F53"/>
    <w:rsid w:val="364C0351"/>
    <w:rsid w:val="365F6E82"/>
    <w:rsid w:val="367E53BD"/>
    <w:rsid w:val="368045CB"/>
    <w:rsid w:val="368559A2"/>
    <w:rsid w:val="36995CF0"/>
    <w:rsid w:val="36A012BA"/>
    <w:rsid w:val="36B15DF4"/>
    <w:rsid w:val="36C070E9"/>
    <w:rsid w:val="36CB2FBF"/>
    <w:rsid w:val="36D121F1"/>
    <w:rsid w:val="371B60A2"/>
    <w:rsid w:val="37237201"/>
    <w:rsid w:val="37337890"/>
    <w:rsid w:val="37383C9E"/>
    <w:rsid w:val="37555369"/>
    <w:rsid w:val="375A58F9"/>
    <w:rsid w:val="375D0C35"/>
    <w:rsid w:val="376D0505"/>
    <w:rsid w:val="376D4567"/>
    <w:rsid w:val="37880510"/>
    <w:rsid w:val="37965470"/>
    <w:rsid w:val="37A058ED"/>
    <w:rsid w:val="37AB26BC"/>
    <w:rsid w:val="37B07E7F"/>
    <w:rsid w:val="37B1241A"/>
    <w:rsid w:val="37B8620F"/>
    <w:rsid w:val="37C73D61"/>
    <w:rsid w:val="37D22C05"/>
    <w:rsid w:val="37D56240"/>
    <w:rsid w:val="37E17558"/>
    <w:rsid w:val="37F33E6C"/>
    <w:rsid w:val="37F609F5"/>
    <w:rsid w:val="37F830B3"/>
    <w:rsid w:val="38142EE2"/>
    <w:rsid w:val="382968F9"/>
    <w:rsid w:val="382D35E2"/>
    <w:rsid w:val="38623388"/>
    <w:rsid w:val="38686BAC"/>
    <w:rsid w:val="387F6F98"/>
    <w:rsid w:val="38890DD2"/>
    <w:rsid w:val="38A914AA"/>
    <w:rsid w:val="38AB470E"/>
    <w:rsid w:val="38AC2771"/>
    <w:rsid w:val="38B22C79"/>
    <w:rsid w:val="38BA0113"/>
    <w:rsid w:val="38C966C7"/>
    <w:rsid w:val="38CF1737"/>
    <w:rsid w:val="38D97FC3"/>
    <w:rsid w:val="38EE54CC"/>
    <w:rsid w:val="391477F6"/>
    <w:rsid w:val="392245D3"/>
    <w:rsid w:val="393001B1"/>
    <w:rsid w:val="3937628D"/>
    <w:rsid w:val="395154C0"/>
    <w:rsid w:val="397054D7"/>
    <w:rsid w:val="397131B7"/>
    <w:rsid w:val="398C12A7"/>
    <w:rsid w:val="398E6FFF"/>
    <w:rsid w:val="39934692"/>
    <w:rsid w:val="39970912"/>
    <w:rsid w:val="399A5E03"/>
    <w:rsid w:val="39A76BCA"/>
    <w:rsid w:val="39C616EE"/>
    <w:rsid w:val="39CE69AB"/>
    <w:rsid w:val="39D178FD"/>
    <w:rsid w:val="39D20836"/>
    <w:rsid w:val="39E55C79"/>
    <w:rsid w:val="39EB1601"/>
    <w:rsid w:val="39F529BD"/>
    <w:rsid w:val="39FB0B42"/>
    <w:rsid w:val="39FC3CDD"/>
    <w:rsid w:val="39FF1CAB"/>
    <w:rsid w:val="3A0B68A2"/>
    <w:rsid w:val="3A0E4A66"/>
    <w:rsid w:val="3A0F5041"/>
    <w:rsid w:val="3A141BDE"/>
    <w:rsid w:val="3A15327D"/>
    <w:rsid w:val="3A1643B8"/>
    <w:rsid w:val="3A3616B3"/>
    <w:rsid w:val="3A370CF0"/>
    <w:rsid w:val="3A4458BD"/>
    <w:rsid w:val="3A462AA0"/>
    <w:rsid w:val="3A49697E"/>
    <w:rsid w:val="3A57248F"/>
    <w:rsid w:val="3A5930B4"/>
    <w:rsid w:val="3A6C5E85"/>
    <w:rsid w:val="3A751082"/>
    <w:rsid w:val="3AAA1FCB"/>
    <w:rsid w:val="3AAD114A"/>
    <w:rsid w:val="3AB13643"/>
    <w:rsid w:val="3AC22C8F"/>
    <w:rsid w:val="3ADE3FB6"/>
    <w:rsid w:val="3AE138E4"/>
    <w:rsid w:val="3AFB28D3"/>
    <w:rsid w:val="3B401F9F"/>
    <w:rsid w:val="3B501F79"/>
    <w:rsid w:val="3B596F6F"/>
    <w:rsid w:val="3B6C15C2"/>
    <w:rsid w:val="3B703203"/>
    <w:rsid w:val="3B754CFB"/>
    <w:rsid w:val="3B91770A"/>
    <w:rsid w:val="3B951E85"/>
    <w:rsid w:val="3B967E52"/>
    <w:rsid w:val="3BAB3D47"/>
    <w:rsid w:val="3BB56FEB"/>
    <w:rsid w:val="3BB8683C"/>
    <w:rsid w:val="3BD615AE"/>
    <w:rsid w:val="3BD76595"/>
    <w:rsid w:val="3BD90102"/>
    <w:rsid w:val="3BE03C86"/>
    <w:rsid w:val="3BED062E"/>
    <w:rsid w:val="3C055435"/>
    <w:rsid w:val="3C0D20A7"/>
    <w:rsid w:val="3C197B2E"/>
    <w:rsid w:val="3C1C1508"/>
    <w:rsid w:val="3C266A0E"/>
    <w:rsid w:val="3C404ADE"/>
    <w:rsid w:val="3C4D6189"/>
    <w:rsid w:val="3C5E0B64"/>
    <w:rsid w:val="3C612D1F"/>
    <w:rsid w:val="3C85139E"/>
    <w:rsid w:val="3C8E7AB6"/>
    <w:rsid w:val="3C9368AF"/>
    <w:rsid w:val="3CA337CC"/>
    <w:rsid w:val="3CAB1C76"/>
    <w:rsid w:val="3CB30A45"/>
    <w:rsid w:val="3CC84549"/>
    <w:rsid w:val="3CE05DC4"/>
    <w:rsid w:val="3D080961"/>
    <w:rsid w:val="3D2321D5"/>
    <w:rsid w:val="3D3F437B"/>
    <w:rsid w:val="3D404AB5"/>
    <w:rsid w:val="3D582333"/>
    <w:rsid w:val="3D631D18"/>
    <w:rsid w:val="3D84424D"/>
    <w:rsid w:val="3D853F47"/>
    <w:rsid w:val="3D9B0FF3"/>
    <w:rsid w:val="3D9E12A1"/>
    <w:rsid w:val="3DB836BF"/>
    <w:rsid w:val="3DB92275"/>
    <w:rsid w:val="3DBF54D1"/>
    <w:rsid w:val="3DD0070F"/>
    <w:rsid w:val="3DD0314B"/>
    <w:rsid w:val="3DD24540"/>
    <w:rsid w:val="3DFA21F0"/>
    <w:rsid w:val="3DFF6D97"/>
    <w:rsid w:val="3E0A6273"/>
    <w:rsid w:val="3E115461"/>
    <w:rsid w:val="3E13331B"/>
    <w:rsid w:val="3E2B7DC8"/>
    <w:rsid w:val="3E4C2268"/>
    <w:rsid w:val="3E5553EF"/>
    <w:rsid w:val="3E5D2E08"/>
    <w:rsid w:val="3E65120B"/>
    <w:rsid w:val="3E6825AB"/>
    <w:rsid w:val="3E990BCE"/>
    <w:rsid w:val="3EA74100"/>
    <w:rsid w:val="3EC4153C"/>
    <w:rsid w:val="3ECA6D2C"/>
    <w:rsid w:val="3ED71CC0"/>
    <w:rsid w:val="3EF350CD"/>
    <w:rsid w:val="3EF85A0C"/>
    <w:rsid w:val="3F042A7D"/>
    <w:rsid w:val="3F0C16B6"/>
    <w:rsid w:val="3F373E09"/>
    <w:rsid w:val="3F396430"/>
    <w:rsid w:val="3F3D51AB"/>
    <w:rsid w:val="3F4477A4"/>
    <w:rsid w:val="3F46049A"/>
    <w:rsid w:val="3F472EC2"/>
    <w:rsid w:val="3F483449"/>
    <w:rsid w:val="3F4C559B"/>
    <w:rsid w:val="3F6A7B5D"/>
    <w:rsid w:val="3F6B44A9"/>
    <w:rsid w:val="3F773B55"/>
    <w:rsid w:val="3F7A145A"/>
    <w:rsid w:val="3F7C1359"/>
    <w:rsid w:val="3F7D78FA"/>
    <w:rsid w:val="3F80503B"/>
    <w:rsid w:val="3F8C483D"/>
    <w:rsid w:val="3F9738B9"/>
    <w:rsid w:val="3FA91189"/>
    <w:rsid w:val="3FB54320"/>
    <w:rsid w:val="3FD40286"/>
    <w:rsid w:val="3FD85B95"/>
    <w:rsid w:val="3FE03F00"/>
    <w:rsid w:val="3FE1730C"/>
    <w:rsid w:val="3FEE7D66"/>
    <w:rsid w:val="3FF178F9"/>
    <w:rsid w:val="3FF611F8"/>
    <w:rsid w:val="40006203"/>
    <w:rsid w:val="400470FF"/>
    <w:rsid w:val="401A0A3D"/>
    <w:rsid w:val="402906F9"/>
    <w:rsid w:val="402E0D38"/>
    <w:rsid w:val="40322DDA"/>
    <w:rsid w:val="404439DB"/>
    <w:rsid w:val="40457334"/>
    <w:rsid w:val="404A1C06"/>
    <w:rsid w:val="404B5E62"/>
    <w:rsid w:val="405E6311"/>
    <w:rsid w:val="407C4056"/>
    <w:rsid w:val="40805696"/>
    <w:rsid w:val="40945BD7"/>
    <w:rsid w:val="40957C0F"/>
    <w:rsid w:val="40A47108"/>
    <w:rsid w:val="40BE0ADD"/>
    <w:rsid w:val="40C07E55"/>
    <w:rsid w:val="40D519B8"/>
    <w:rsid w:val="40E368A3"/>
    <w:rsid w:val="40EE50F7"/>
    <w:rsid w:val="40F9491B"/>
    <w:rsid w:val="40FE0F0E"/>
    <w:rsid w:val="410406EE"/>
    <w:rsid w:val="4114508A"/>
    <w:rsid w:val="411A2CA9"/>
    <w:rsid w:val="411B0C9D"/>
    <w:rsid w:val="411C1CDD"/>
    <w:rsid w:val="412239C6"/>
    <w:rsid w:val="413A7C8B"/>
    <w:rsid w:val="414C285D"/>
    <w:rsid w:val="4159217C"/>
    <w:rsid w:val="417F3C04"/>
    <w:rsid w:val="4180210E"/>
    <w:rsid w:val="418A2F70"/>
    <w:rsid w:val="41963683"/>
    <w:rsid w:val="41B33AA7"/>
    <w:rsid w:val="41BD7303"/>
    <w:rsid w:val="41BD7330"/>
    <w:rsid w:val="41DB349A"/>
    <w:rsid w:val="41E13113"/>
    <w:rsid w:val="41EE076D"/>
    <w:rsid w:val="41F50133"/>
    <w:rsid w:val="42102483"/>
    <w:rsid w:val="421D3B80"/>
    <w:rsid w:val="421E197A"/>
    <w:rsid w:val="42220C2D"/>
    <w:rsid w:val="423D1EF4"/>
    <w:rsid w:val="42500DFE"/>
    <w:rsid w:val="42553004"/>
    <w:rsid w:val="42596597"/>
    <w:rsid w:val="427113AE"/>
    <w:rsid w:val="427F1BDB"/>
    <w:rsid w:val="428B1BDB"/>
    <w:rsid w:val="428E0BC9"/>
    <w:rsid w:val="429121FE"/>
    <w:rsid w:val="42A20517"/>
    <w:rsid w:val="42B35F10"/>
    <w:rsid w:val="42BF495A"/>
    <w:rsid w:val="42E6012C"/>
    <w:rsid w:val="42E63401"/>
    <w:rsid w:val="42E64AEA"/>
    <w:rsid w:val="42F33C51"/>
    <w:rsid w:val="42FA5A16"/>
    <w:rsid w:val="4324415B"/>
    <w:rsid w:val="432B2BDD"/>
    <w:rsid w:val="433B24A0"/>
    <w:rsid w:val="434C6777"/>
    <w:rsid w:val="434E0A89"/>
    <w:rsid w:val="4354670C"/>
    <w:rsid w:val="43765934"/>
    <w:rsid w:val="4381452A"/>
    <w:rsid w:val="438172BC"/>
    <w:rsid w:val="438C3F40"/>
    <w:rsid w:val="438D7205"/>
    <w:rsid w:val="438E11E5"/>
    <w:rsid w:val="43A049F8"/>
    <w:rsid w:val="43A31501"/>
    <w:rsid w:val="43A51A0F"/>
    <w:rsid w:val="43A63ED9"/>
    <w:rsid w:val="43C64FAF"/>
    <w:rsid w:val="43CA4ED5"/>
    <w:rsid w:val="43D3039E"/>
    <w:rsid w:val="43DD7542"/>
    <w:rsid w:val="43E211B7"/>
    <w:rsid w:val="43FB73B9"/>
    <w:rsid w:val="440C749E"/>
    <w:rsid w:val="440F5CB7"/>
    <w:rsid w:val="4410164C"/>
    <w:rsid w:val="44135E3D"/>
    <w:rsid w:val="4421190E"/>
    <w:rsid w:val="44387A96"/>
    <w:rsid w:val="443F6059"/>
    <w:rsid w:val="4440389E"/>
    <w:rsid w:val="44404FD8"/>
    <w:rsid w:val="44465094"/>
    <w:rsid w:val="44467B33"/>
    <w:rsid w:val="44471594"/>
    <w:rsid w:val="44507687"/>
    <w:rsid w:val="4457742A"/>
    <w:rsid w:val="446108C6"/>
    <w:rsid w:val="446774AD"/>
    <w:rsid w:val="44792257"/>
    <w:rsid w:val="44850AB5"/>
    <w:rsid w:val="44983E14"/>
    <w:rsid w:val="44C1607A"/>
    <w:rsid w:val="44C75133"/>
    <w:rsid w:val="44D101C0"/>
    <w:rsid w:val="44D37D84"/>
    <w:rsid w:val="44D44F89"/>
    <w:rsid w:val="44E7070D"/>
    <w:rsid w:val="44E909DF"/>
    <w:rsid w:val="44E96140"/>
    <w:rsid w:val="45033F5E"/>
    <w:rsid w:val="45151EC2"/>
    <w:rsid w:val="452D6EC8"/>
    <w:rsid w:val="452E7CA8"/>
    <w:rsid w:val="453533CB"/>
    <w:rsid w:val="453D6EB5"/>
    <w:rsid w:val="45461E81"/>
    <w:rsid w:val="454C3C2C"/>
    <w:rsid w:val="455D6C0E"/>
    <w:rsid w:val="456237E3"/>
    <w:rsid w:val="45646473"/>
    <w:rsid w:val="45674650"/>
    <w:rsid w:val="457572C5"/>
    <w:rsid w:val="45785DAE"/>
    <w:rsid w:val="458D79A0"/>
    <w:rsid w:val="458F1616"/>
    <w:rsid w:val="45996092"/>
    <w:rsid w:val="45A20D7F"/>
    <w:rsid w:val="45A96BB7"/>
    <w:rsid w:val="45AA51C1"/>
    <w:rsid w:val="45B23381"/>
    <w:rsid w:val="45B70AB6"/>
    <w:rsid w:val="45BE1896"/>
    <w:rsid w:val="45C374F7"/>
    <w:rsid w:val="45CF5588"/>
    <w:rsid w:val="45D660FC"/>
    <w:rsid w:val="45E8693B"/>
    <w:rsid w:val="45F15FEC"/>
    <w:rsid w:val="45FD2A9F"/>
    <w:rsid w:val="46185997"/>
    <w:rsid w:val="463203C1"/>
    <w:rsid w:val="46480C46"/>
    <w:rsid w:val="464E5B22"/>
    <w:rsid w:val="465719BA"/>
    <w:rsid w:val="46591D60"/>
    <w:rsid w:val="466A2D2D"/>
    <w:rsid w:val="46765C0C"/>
    <w:rsid w:val="46967B36"/>
    <w:rsid w:val="46A01807"/>
    <w:rsid w:val="46A63BDA"/>
    <w:rsid w:val="46A9250B"/>
    <w:rsid w:val="46B2658C"/>
    <w:rsid w:val="46C53057"/>
    <w:rsid w:val="46C831B4"/>
    <w:rsid w:val="46DD6135"/>
    <w:rsid w:val="46EF36C1"/>
    <w:rsid w:val="46F000E9"/>
    <w:rsid w:val="46F138E0"/>
    <w:rsid w:val="46F63CD4"/>
    <w:rsid w:val="470D6DF4"/>
    <w:rsid w:val="471227C9"/>
    <w:rsid w:val="471609FC"/>
    <w:rsid w:val="472E03DA"/>
    <w:rsid w:val="47304268"/>
    <w:rsid w:val="47314B84"/>
    <w:rsid w:val="47332FF5"/>
    <w:rsid w:val="473F2635"/>
    <w:rsid w:val="4753398A"/>
    <w:rsid w:val="47537F64"/>
    <w:rsid w:val="475E4B28"/>
    <w:rsid w:val="476676F8"/>
    <w:rsid w:val="476A63AC"/>
    <w:rsid w:val="477E441C"/>
    <w:rsid w:val="477E64CE"/>
    <w:rsid w:val="478A2625"/>
    <w:rsid w:val="478D0FC4"/>
    <w:rsid w:val="47995509"/>
    <w:rsid w:val="479F0965"/>
    <w:rsid w:val="47AB2786"/>
    <w:rsid w:val="47B64E1A"/>
    <w:rsid w:val="47BA075C"/>
    <w:rsid w:val="47BE498F"/>
    <w:rsid w:val="47BE6D02"/>
    <w:rsid w:val="47CF6EED"/>
    <w:rsid w:val="47DA3EE6"/>
    <w:rsid w:val="47E80D20"/>
    <w:rsid w:val="47EF2A40"/>
    <w:rsid w:val="47F66132"/>
    <w:rsid w:val="47FE205C"/>
    <w:rsid w:val="48064ED6"/>
    <w:rsid w:val="48074D90"/>
    <w:rsid w:val="480F163E"/>
    <w:rsid w:val="48217EC1"/>
    <w:rsid w:val="48286180"/>
    <w:rsid w:val="48294664"/>
    <w:rsid w:val="4843730A"/>
    <w:rsid w:val="484636CE"/>
    <w:rsid w:val="484E10BE"/>
    <w:rsid w:val="485F529B"/>
    <w:rsid w:val="486503BD"/>
    <w:rsid w:val="48662799"/>
    <w:rsid w:val="48897354"/>
    <w:rsid w:val="488A4B91"/>
    <w:rsid w:val="4893018E"/>
    <w:rsid w:val="48945E7F"/>
    <w:rsid w:val="489770C9"/>
    <w:rsid w:val="489839F7"/>
    <w:rsid w:val="48B1073E"/>
    <w:rsid w:val="48CB623B"/>
    <w:rsid w:val="48DE33BE"/>
    <w:rsid w:val="48E555AD"/>
    <w:rsid w:val="490D0375"/>
    <w:rsid w:val="490F4371"/>
    <w:rsid w:val="493059FB"/>
    <w:rsid w:val="49413E94"/>
    <w:rsid w:val="4953099D"/>
    <w:rsid w:val="495B752B"/>
    <w:rsid w:val="495D5A00"/>
    <w:rsid w:val="49656C49"/>
    <w:rsid w:val="4968007F"/>
    <w:rsid w:val="497B7EDF"/>
    <w:rsid w:val="498474AC"/>
    <w:rsid w:val="49887BA1"/>
    <w:rsid w:val="4989236D"/>
    <w:rsid w:val="49AD5396"/>
    <w:rsid w:val="49AF5C87"/>
    <w:rsid w:val="49D62DD0"/>
    <w:rsid w:val="49D82CFA"/>
    <w:rsid w:val="49DF154D"/>
    <w:rsid w:val="49DF7B2A"/>
    <w:rsid w:val="49E577AC"/>
    <w:rsid w:val="49ED3805"/>
    <w:rsid w:val="49F444EB"/>
    <w:rsid w:val="49F4463F"/>
    <w:rsid w:val="4A285F26"/>
    <w:rsid w:val="4A3029FF"/>
    <w:rsid w:val="4A3F7033"/>
    <w:rsid w:val="4A495F64"/>
    <w:rsid w:val="4A54799B"/>
    <w:rsid w:val="4A5B1392"/>
    <w:rsid w:val="4A5F5DCB"/>
    <w:rsid w:val="4A6103B5"/>
    <w:rsid w:val="4A6361B0"/>
    <w:rsid w:val="4A697A5C"/>
    <w:rsid w:val="4A6D5817"/>
    <w:rsid w:val="4A6D5A21"/>
    <w:rsid w:val="4A764CF9"/>
    <w:rsid w:val="4A780E6E"/>
    <w:rsid w:val="4A7D61F3"/>
    <w:rsid w:val="4A82613E"/>
    <w:rsid w:val="4A833C14"/>
    <w:rsid w:val="4A9C4AA6"/>
    <w:rsid w:val="4ABC5926"/>
    <w:rsid w:val="4AC13BA7"/>
    <w:rsid w:val="4AD43CC2"/>
    <w:rsid w:val="4AD91448"/>
    <w:rsid w:val="4B03568E"/>
    <w:rsid w:val="4B054C48"/>
    <w:rsid w:val="4B073250"/>
    <w:rsid w:val="4B081AAA"/>
    <w:rsid w:val="4B157281"/>
    <w:rsid w:val="4B1B4D9A"/>
    <w:rsid w:val="4B244692"/>
    <w:rsid w:val="4B355D80"/>
    <w:rsid w:val="4B407DB7"/>
    <w:rsid w:val="4B43338C"/>
    <w:rsid w:val="4B475260"/>
    <w:rsid w:val="4B4B43B9"/>
    <w:rsid w:val="4B596AA2"/>
    <w:rsid w:val="4B6865B5"/>
    <w:rsid w:val="4B6D4929"/>
    <w:rsid w:val="4B8455EB"/>
    <w:rsid w:val="4B845D24"/>
    <w:rsid w:val="4B9506C1"/>
    <w:rsid w:val="4BA40904"/>
    <w:rsid w:val="4BA57A4B"/>
    <w:rsid w:val="4BBA1147"/>
    <w:rsid w:val="4C037012"/>
    <w:rsid w:val="4C1447CB"/>
    <w:rsid w:val="4C2C12C3"/>
    <w:rsid w:val="4C3008D0"/>
    <w:rsid w:val="4C3679C6"/>
    <w:rsid w:val="4C390B55"/>
    <w:rsid w:val="4C5C5F9D"/>
    <w:rsid w:val="4C7A5603"/>
    <w:rsid w:val="4C8111CA"/>
    <w:rsid w:val="4C8220ED"/>
    <w:rsid w:val="4C93647E"/>
    <w:rsid w:val="4C961F41"/>
    <w:rsid w:val="4CA334F9"/>
    <w:rsid w:val="4CAB4709"/>
    <w:rsid w:val="4CC37326"/>
    <w:rsid w:val="4CCF5635"/>
    <w:rsid w:val="4CD27DDB"/>
    <w:rsid w:val="4CD60F91"/>
    <w:rsid w:val="4CD90E26"/>
    <w:rsid w:val="4CD951A0"/>
    <w:rsid w:val="4CDD0DC9"/>
    <w:rsid w:val="4CE05184"/>
    <w:rsid w:val="4CE524B9"/>
    <w:rsid w:val="4CE61651"/>
    <w:rsid w:val="4CF2752F"/>
    <w:rsid w:val="4D271487"/>
    <w:rsid w:val="4D2A7EDF"/>
    <w:rsid w:val="4D2E3A04"/>
    <w:rsid w:val="4D4F28F0"/>
    <w:rsid w:val="4D636650"/>
    <w:rsid w:val="4D665A27"/>
    <w:rsid w:val="4D821B8C"/>
    <w:rsid w:val="4D890E9D"/>
    <w:rsid w:val="4D8F7DD5"/>
    <w:rsid w:val="4D901638"/>
    <w:rsid w:val="4D9F6363"/>
    <w:rsid w:val="4DB961EC"/>
    <w:rsid w:val="4DC7030A"/>
    <w:rsid w:val="4DD80CDF"/>
    <w:rsid w:val="4DDF5EBD"/>
    <w:rsid w:val="4DDF6B8F"/>
    <w:rsid w:val="4DF236E4"/>
    <w:rsid w:val="4DF75681"/>
    <w:rsid w:val="4DFA0703"/>
    <w:rsid w:val="4DFC0584"/>
    <w:rsid w:val="4DFC6802"/>
    <w:rsid w:val="4E253F05"/>
    <w:rsid w:val="4E2773C5"/>
    <w:rsid w:val="4E2B207B"/>
    <w:rsid w:val="4E2E6E41"/>
    <w:rsid w:val="4E634FF9"/>
    <w:rsid w:val="4E67354A"/>
    <w:rsid w:val="4E73266B"/>
    <w:rsid w:val="4E7929BA"/>
    <w:rsid w:val="4E7B6778"/>
    <w:rsid w:val="4E8C6E0D"/>
    <w:rsid w:val="4E8F6622"/>
    <w:rsid w:val="4EA847B3"/>
    <w:rsid w:val="4EB40E5E"/>
    <w:rsid w:val="4ED15497"/>
    <w:rsid w:val="4ED4741A"/>
    <w:rsid w:val="4EE315DE"/>
    <w:rsid w:val="4EEE643C"/>
    <w:rsid w:val="4EFA26B4"/>
    <w:rsid w:val="4EFD28C2"/>
    <w:rsid w:val="4F20586D"/>
    <w:rsid w:val="4F2E1296"/>
    <w:rsid w:val="4F382DF5"/>
    <w:rsid w:val="4F3B2DCB"/>
    <w:rsid w:val="4F3C0C95"/>
    <w:rsid w:val="4F4452A2"/>
    <w:rsid w:val="4F4E3061"/>
    <w:rsid w:val="4F7D3F49"/>
    <w:rsid w:val="4F7E44D9"/>
    <w:rsid w:val="4F874A20"/>
    <w:rsid w:val="4F964DDE"/>
    <w:rsid w:val="4FAF78E4"/>
    <w:rsid w:val="4FC4795B"/>
    <w:rsid w:val="4FD25C82"/>
    <w:rsid w:val="4FD6135A"/>
    <w:rsid w:val="4FE00F0B"/>
    <w:rsid w:val="4FF379A4"/>
    <w:rsid w:val="4FFF16B7"/>
    <w:rsid w:val="500217A5"/>
    <w:rsid w:val="50050787"/>
    <w:rsid w:val="50220E8F"/>
    <w:rsid w:val="50340163"/>
    <w:rsid w:val="5048540C"/>
    <w:rsid w:val="50500572"/>
    <w:rsid w:val="505C064C"/>
    <w:rsid w:val="50693ADF"/>
    <w:rsid w:val="506D5405"/>
    <w:rsid w:val="50926CEC"/>
    <w:rsid w:val="50950C9A"/>
    <w:rsid w:val="5095105C"/>
    <w:rsid w:val="509C604E"/>
    <w:rsid w:val="50A902A0"/>
    <w:rsid w:val="50AC4899"/>
    <w:rsid w:val="50B415EA"/>
    <w:rsid w:val="50B67110"/>
    <w:rsid w:val="50BE3330"/>
    <w:rsid w:val="50E920BD"/>
    <w:rsid w:val="50EE3B03"/>
    <w:rsid w:val="50F82A75"/>
    <w:rsid w:val="51053257"/>
    <w:rsid w:val="513149E8"/>
    <w:rsid w:val="5142037F"/>
    <w:rsid w:val="51634A9A"/>
    <w:rsid w:val="51695A58"/>
    <w:rsid w:val="517073FB"/>
    <w:rsid w:val="517D332A"/>
    <w:rsid w:val="51852DBA"/>
    <w:rsid w:val="518E3D0C"/>
    <w:rsid w:val="51906CB3"/>
    <w:rsid w:val="51985C27"/>
    <w:rsid w:val="51A26CE5"/>
    <w:rsid w:val="51A811F2"/>
    <w:rsid w:val="51A947E6"/>
    <w:rsid w:val="51B716DB"/>
    <w:rsid w:val="51CB7DF7"/>
    <w:rsid w:val="51D9122E"/>
    <w:rsid w:val="51F3033C"/>
    <w:rsid w:val="52000723"/>
    <w:rsid w:val="52003972"/>
    <w:rsid w:val="5201513B"/>
    <w:rsid w:val="52047653"/>
    <w:rsid w:val="521265C8"/>
    <w:rsid w:val="521C6DEF"/>
    <w:rsid w:val="52280F61"/>
    <w:rsid w:val="522B77E3"/>
    <w:rsid w:val="52302A73"/>
    <w:rsid w:val="52384E06"/>
    <w:rsid w:val="52387C4A"/>
    <w:rsid w:val="52535BCC"/>
    <w:rsid w:val="52595712"/>
    <w:rsid w:val="525F00AD"/>
    <w:rsid w:val="5261576A"/>
    <w:rsid w:val="52623D08"/>
    <w:rsid w:val="52757A71"/>
    <w:rsid w:val="527C7722"/>
    <w:rsid w:val="52863AC7"/>
    <w:rsid w:val="52923265"/>
    <w:rsid w:val="529E3592"/>
    <w:rsid w:val="529E7E5B"/>
    <w:rsid w:val="52A12B15"/>
    <w:rsid w:val="52BF212E"/>
    <w:rsid w:val="52D92354"/>
    <w:rsid w:val="52DD6E6C"/>
    <w:rsid w:val="52E6096C"/>
    <w:rsid w:val="52F6155C"/>
    <w:rsid w:val="52F9655C"/>
    <w:rsid w:val="53145A66"/>
    <w:rsid w:val="531460EC"/>
    <w:rsid w:val="5315385C"/>
    <w:rsid w:val="531600F1"/>
    <w:rsid w:val="53270126"/>
    <w:rsid w:val="533162A1"/>
    <w:rsid w:val="5342491C"/>
    <w:rsid w:val="53590888"/>
    <w:rsid w:val="5396277D"/>
    <w:rsid w:val="53A67021"/>
    <w:rsid w:val="53B86A58"/>
    <w:rsid w:val="53BC41A7"/>
    <w:rsid w:val="53C56D73"/>
    <w:rsid w:val="53CC7CB4"/>
    <w:rsid w:val="53D233D8"/>
    <w:rsid w:val="53DD44AD"/>
    <w:rsid w:val="53E002AC"/>
    <w:rsid w:val="53EE54EE"/>
    <w:rsid w:val="53F35FE1"/>
    <w:rsid w:val="53FF5EFB"/>
    <w:rsid w:val="54217E20"/>
    <w:rsid w:val="542875FB"/>
    <w:rsid w:val="544822BD"/>
    <w:rsid w:val="544A2FED"/>
    <w:rsid w:val="5471184B"/>
    <w:rsid w:val="54947768"/>
    <w:rsid w:val="5499178F"/>
    <w:rsid w:val="54A72BAF"/>
    <w:rsid w:val="54AF5270"/>
    <w:rsid w:val="54B1543D"/>
    <w:rsid w:val="54B96610"/>
    <w:rsid w:val="54C24136"/>
    <w:rsid w:val="54C27769"/>
    <w:rsid w:val="54D72DD5"/>
    <w:rsid w:val="54EF11F6"/>
    <w:rsid w:val="5511700B"/>
    <w:rsid w:val="55157F87"/>
    <w:rsid w:val="5519173E"/>
    <w:rsid w:val="552F5634"/>
    <w:rsid w:val="552F7491"/>
    <w:rsid w:val="5534121F"/>
    <w:rsid w:val="55390B69"/>
    <w:rsid w:val="55394479"/>
    <w:rsid w:val="553B71F6"/>
    <w:rsid w:val="553F1E51"/>
    <w:rsid w:val="555358A3"/>
    <w:rsid w:val="556C23A9"/>
    <w:rsid w:val="556D2EBB"/>
    <w:rsid w:val="5579725C"/>
    <w:rsid w:val="55890B98"/>
    <w:rsid w:val="55962D75"/>
    <w:rsid w:val="559F30F0"/>
    <w:rsid w:val="55A84BFE"/>
    <w:rsid w:val="55A90EEB"/>
    <w:rsid w:val="55AC0E8C"/>
    <w:rsid w:val="55B12039"/>
    <w:rsid w:val="55B16A87"/>
    <w:rsid w:val="55B45F63"/>
    <w:rsid w:val="55B90C0A"/>
    <w:rsid w:val="55BE344A"/>
    <w:rsid w:val="55D63591"/>
    <w:rsid w:val="55F50340"/>
    <w:rsid w:val="560A087F"/>
    <w:rsid w:val="56122C31"/>
    <w:rsid w:val="561974BB"/>
    <w:rsid w:val="561A6B08"/>
    <w:rsid w:val="56281E78"/>
    <w:rsid w:val="562A4387"/>
    <w:rsid w:val="56334986"/>
    <w:rsid w:val="563608EB"/>
    <w:rsid w:val="56392A3D"/>
    <w:rsid w:val="56394FFE"/>
    <w:rsid w:val="56533581"/>
    <w:rsid w:val="56556A86"/>
    <w:rsid w:val="565A2E32"/>
    <w:rsid w:val="567A23C9"/>
    <w:rsid w:val="568858B4"/>
    <w:rsid w:val="568E05E7"/>
    <w:rsid w:val="56AE6CD3"/>
    <w:rsid w:val="56CF1ADE"/>
    <w:rsid w:val="56D06D32"/>
    <w:rsid w:val="56DF5DDF"/>
    <w:rsid w:val="56E65CAA"/>
    <w:rsid w:val="56FA2C95"/>
    <w:rsid w:val="56FA5260"/>
    <w:rsid w:val="56FF69BB"/>
    <w:rsid w:val="570619B5"/>
    <w:rsid w:val="57062473"/>
    <w:rsid w:val="57075BF9"/>
    <w:rsid w:val="57082B77"/>
    <w:rsid w:val="570B33EC"/>
    <w:rsid w:val="57172D90"/>
    <w:rsid w:val="57260DE0"/>
    <w:rsid w:val="57313A9F"/>
    <w:rsid w:val="57386662"/>
    <w:rsid w:val="574F03D9"/>
    <w:rsid w:val="5752615F"/>
    <w:rsid w:val="575F76B1"/>
    <w:rsid w:val="576F699C"/>
    <w:rsid w:val="57715EA0"/>
    <w:rsid w:val="57850AAF"/>
    <w:rsid w:val="57866EBB"/>
    <w:rsid w:val="57A21B1B"/>
    <w:rsid w:val="57AC3CC3"/>
    <w:rsid w:val="57AD6121"/>
    <w:rsid w:val="57B123DF"/>
    <w:rsid w:val="57BC62D0"/>
    <w:rsid w:val="57DB7459"/>
    <w:rsid w:val="57EB5D12"/>
    <w:rsid w:val="580612DF"/>
    <w:rsid w:val="58290DC5"/>
    <w:rsid w:val="583170EE"/>
    <w:rsid w:val="58527FC8"/>
    <w:rsid w:val="58647470"/>
    <w:rsid w:val="58723020"/>
    <w:rsid w:val="587303D7"/>
    <w:rsid w:val="58806C98"/>
    <w:rsid w:val="58961943"/>
    <w:rsid w:val="58AE2DC2"/>
    <w:rsid w:val="58B45DE2"/>
    <w:rsid w:val="58BA52C3"/>
    <w:rsid w:val="58BE1F2C"/>
    <w:rsid w:val="58CB0566"/>
    <w:rsid w:val="58D411FE"/>
    <w:rsid w:val="58E40C92"/>
    <w:rsid w:val="58E57753"/>
    <w:rsid w:val="58EE5697"/>
    <w:rsid w:val="58F70910"/>
    <w:rsid w:val="590E217B"/>
    <w:rsid w:val="59121580"/>
    <w:rsid w:val="591433D5"/>
    <w:rsid w:val="59234152"/>
    <w:rsid w:val="59294B5B"/>
    <w:rsid w:val="59616C7A"/>
    <w:rsid w:val="59715673"/>
    <w:rsid w:val="597E05D4"/>
    <w:rsid w:val="5999312B"/>
    <w:rsid w:val="59A41CA5"/>
    <w:rsid w:val="59A801F0"/>
    <w:rsid w:val="59B2180F"/>
    <w:rsid w:val="59BE6FFE"/>
    <w:rsid w:val="59DD5217"/>
    <w:rsid w:val="59F82FAA"/>
    <w:rsid w:val="59FA6DBB"/>
    <w:rsid w:val="5A2F034B"/>
    <w:rsid w:val="5A334CA4"/>
    <w:rsid w:val="5A4C460E"/>
    <w:rsid w:val="5A4D497B"/>
    <w:rsid w:val="5A5046F7"/>
    <w:rsid w:val="5A805270"/>
    <w:rsid w:val="5A874A8D"/>
    <w:rsid w:val="5A97386D"/>
    <w:rsid w:val="5A9835E7"/>
    <w:rsid w:val="5A9A2F72"/>
    <w:rsid w:val="5AB250D9"/>
    <w:rsid w:val="5ABB4FF8"/>
    <w:rsid w:val="5ABB571F"/>
    <w:rsid w:val="5AC35820"/>
    <w:rsid w:val="5AC8519D"/>
    <w:rsid w:val="5AEB0ABF"/>
    <w:rsid w:val="5B045EB1"/>
    <w:rsid w:val="5B062A42"/>
    <w:rsid w:val="5B2A3919"/>
    <w:rsid w:val="5B3A093D"/>
    <w:rsid w:val="5B463F06"/>
    <w:rsid w:val="5B4C6B49"/>
    <w:rsid w:val="5B5A7AB3"/>
    <w:rsid w:val="5B691FD4"/>
    <w:rsid w:val="5B7C4AB2"/>
    <w:rsid w:val="5B926846"/>
    <w:rsid w:val="5BA57414"/>
    <w:rsid w:val="5BB02F60"/>
    <w:rsid w:val="5BB8544A"/>
    <w:rsid w:val="5BCF6A0C"/>
    <w:rsid w:val="5BE7551C"/>
    <w:rsid w:val="5BF46E77"/>
    <w:rsid w:val="5C1C73FB"/>
    <w:rsid w:val="5C2A2C70"/>
    <w:rsid w:val="5C2D1728"/>
    <w:rsid w:val="5C51394C"/>
    <w:rsid w:val="5C72662A"/>
    <w:rsid w:val="5C7B1930"/>
    <w:rsid w:val="5C8117D5"/>
    <w:rsid w:val="5C960E86"/>
    <w:rsid w:val="5CA75F8F"/>
    <w:rsid w:val="5CC0624D"/>
    <w:rsid w:val="5CC15D47"/>
    <w:rsid w:val="5CC826A5"/>
    <w:rsid w:val="5CCF109C"/>
    <w:rsid w:val="5CD94291"/>
    <w:rsid w:val="5CDA1AB9"/>
    <w:rsid w:val="5CDD1120"/>
    <w:rsid w:val="5CDE7166"/>
    <w:rsid w:val="5CE23177"/>
    <w:rsid w:val="5CE86B44"/>
    <w:rsid w:val="5CF3631E"/>
    <w:rsid w:val="5CFA65D6"/>
    <w:rsid w:val="5CFD25D5"/>
    <w:rsid w:val="5D033BE7"/>
    <w:rsid w:val="5D072237"/>
    <w:rsid w:val="5D3C2E5D"/>
    <w:rsid w:val="5D443C03"/>
    <w:rsid w:val="5D5B37D9"/>
    <w:rsid w:val="5D604509"/>
    <w:rsid w:val="5D703211"/>
    <w:rsid w:val="5D985CD5"/>
    <w:rsid w:val="5D9E1D99"/>
    <w:rsid w:val="5DA116D4"/>
    <w:rsid w:val="5DAA7B12"/>
    <w:rsid w:val="5DAD470E"/>
    <w:rsid w:val="5DC85EB7"/>
    <w:rsid w:val="5DCB715C"/>
    <w:rsid w:val="5DD33B7E"/>
    <w:rsid w:val="5DE03167"/>
    <w:rsid w:val="5DFC0FC1"/>
    <w:rsid w:val="5E005E6E"/>
    <w:rsid w:val="5E050024"/>
    <w:rsid w:val="5E0503F5"/>
    <w:rsid w:val="5E0D60E8"/>
    <w:rsid w:val="5E135FCC"/>
    <w:rsid w:val="5E1649E7"/>
    <w:rsid w:val="5E4D7B9D"/>
    <w:rsid w:val="5E7A21C6"/>
    <w:rsid w:val="5E8C001D"/>
    <w:rsid w:val="5E8D672F"/>
    <w:rsid w:val="5E8D747D"/>
    <w:rsid w:val="5E9138DC"/>
    <w:rsid w:val="5E963CA0"/>
    <w:rsid w:val="5EA51C4A"/>
    <w:rsid w:val="5EA762EA"/>
    <w:rsid w:val="5EA92062"/>
    <w:rsid w:val="5EC461DB"/>
    <w:rsid w:val="5EC64E6D"/>
    <w:rsid w:val="5EDD2454"/>
    <w:rsid w:val="5EE44A5F"/>
    <w:rsid w:val="5EE81D52"/>
    <w:rsid w:val="5EEB1665"/>
    <w:rsid w:val="5EEF0698"/>
    <w:rsid w:val="5F172ED3"/>
    <w:rsid w:val="5F2A0360"/>
    <w:rsid w:val="5F3D3A6B"/>
    <w:rsid w:val="5F635AAB"/>
    <w:rsid w:val="5F903222"/>
    <w:rsid w:val="5FB223E4"/>
    <w:rsid w:val="5FB34363"/>
    <w:rsid w:val="5FC32EFB"/>
    <w:rsid w:val="5FCB0E07"/>
    <w:rsid w:val="5FD62FEA"/>
    <w:rsid w:val="5FDD424F"/>
    <w:rsid w:val="5FDF6B44"/>
    <w:rsid w:val="5FE86D52"/>
    <w:rsid w:val="5FF13B6D"/>
    <w:rsid w:val="5FF31011"/>
    <w:rsid w:val="600F52EB"/>
    <w:rsid w:val="60152B0C"/>
    <w:rsid w:val="602F3A6C"/>
    <w:rsid w:val="60326087"/>
    <w:rsid w:val="603424E2"/>
    <w:rsid w:val="605C4EB2"/>
    <w:rsid w:val="606A0777"/>
    <w:rsid w:val="608655C1"/>
    <w:rsid w:val="608A1A1F"/>
    <w:rsid w:val="609465DD"/>
    <w:rsid w:val="60A10BD7"/>
    <w:rsid w:val="60A70C71"/>
    <w:rsid w:val="60AC1E26"/>
    <w:rsid w:val="60BB23E5"/>
    <w:rsid w:val="60EC31DD"/>
    <w:rsid w:val="60FF0995"/>
    <w:rsid w:val="6113109E"/>
    <w:rsid w:val="611C4400"/>
    <w:rsid w:val="611D6D37"/>
    <w:rsid w:val="6127216E"/>
    <w:rsid w:val="612826A2"/>
    <w:rsid w:val="61445488"/>
    <w:rsid w:val="614B240F"/>
    <w:rsid w:val="61767A26"/>
    <w:rsid w:val="6182292A"/>
    <w:rsid w:val="618F5965"/>
    <w:rsid w:val="61954B1F"/>
    <w:rsid w:val="61966006"/>
    <w:rsid w:val="61A41EF3"/>
    <w:rsid w:val="61AB0240"/>
    <w:rsid w:val="61C15EC5"/>
    <w:rsid w:val="61E37639"/>
    <w:rsid w:val="61E80983"/>
    <w:rsid w:val="61EF14EF"/>
    <w:rsid w:val="62205A89"/>
    <w:rsid w:val="62562501"/>
    <w:rsid w:val="62567799"/>
    <w:rsid w:val="62591006"/>
    <w:rsid w:val="625C154B"/>
    <w:rsid w:val="62612352"/>
    <w:rsid w:val="6267747A"/>
    <w:rsid w:val="62710306"/>
    <w:rsid w:val="627574D8"/>
    <w:rsid w:val="62812FAA"/>
    <w:rsid w:val="628759A7"/>
    <w:rsid w:val="628E5630"/>
    <w:rsid w:val="62903706"/>
    <w:rsid w:val="629358D4"/>
    <w:rsid w:val="62966942"/>
    <w:rsid w:val="62AC1B8A"/>
    <w:rsid w:val="62BC587D"/>
    <w:rsid w:val="62C551EA"/>
    <w:rsid w:val="62C570C0"/>
    <w:rsid w:val="62D17FA8"/>
    <w:rsid w:val="62D24915"/>
    <w:rsid w:val="62EB02B5"/>
    <w:rsid w:val="62EB04C8"/>
    <w:rsid w:val="62F77154"/>
    <w:rsid w:val="63077B2A"/>
    <w:rsid w:val="630F0EC2"/>
    <w:rsid w:val="6318550E"/>
    <w:rsid w:val="63203694"/>
    <w:rsid w:val="63353BCF"/>
    <w:rsid w:val="634509D9"/>
    <w:rsid w:val="6346028B"/>
    <w:rsid w:val="63461D37"/>
    <w:rsid w:val="6351368D"/>
    <w:rsid w:val="637D1ECB"/>
    <w:rsid w:val="638958B7"/>
    <w:rsid w:val="63A921DA"/>
    <w:rsid w:val="63B0199A"/>
    <w:rsid w:val="63BA052F"/>
    <w:rsid w:val="63BE0AD3"/>
    <w:rsid w:val="63CD3785"/>
    <w:rsid w:val="63DD029E"/>
    <w:rsid w:val="63E0115C"/>
    <w:rsid w:val="63F221BC"/>
    <w:rsid w:val="63F6567C"/>
    <w:rsid w:val="63FA2B04"/>
    <w:rsid w:val="64032C6B"/>
    <w:rsid w:val="64087A7B"/>
    <w:rsid w:val="640B57D3"/>
    <w:rsid w:val="641A5836"/>
    <w:rsid w:val="641D4AB5"/>
    <w:rsid w:val="64235A38"/>
    <w:rsid w:val="64421735"/>
    <w:rsid w:val="644C2AE2"/>
    <w:rsid w:val="64526450"/>
    <w:rsid w:val="645273BE"/>
    <w:rsid w:val="64585427"/>
    <w:rsid w:val="645B2788"/>
    <w:rsid w:val="646F5CE5"/>
    <w:rsid w:val="64807610"/>
    <w:rsid w:val="64AF56A1"/>
    <w:rsid w:val="64B72E0C"/>
    <w:rsid w:val="64B86B2D"/>
    <w:rsid w:val="64CB244A"/>
    <w:rsid w:val="64E216B1"/>
    <w:rsid w:val="64E31C9A"/>
    <w:rsid w:val="64FE0A7A"/>
    <w:rsid w:val="65042353"/>
    <w:rsid w:val="652314F5"/>
    <w:rsid w:val="652D26C7"/>
    <w:rsid w:val="65536BB1"/>
    <w:rsid w:val="65571136"/>
    <w:rsid w:val="65604F99"/>
    <w:rsid w:val="65682F42"/>
    <w:rsid w:val="6569254B"/>
    <w:rsid w:val="65772C72"/>
    <w:rsid w:val="6584208A"/>
    <w:rsid w:val="65947981"/>
    <w:rsid w:val="659A4539"/>
    <w:rsid w:val="65BD1F08"/>
    <w:rsid w:val="65C32871"/>
    <w:rsid w:val="65D51FB2"/>
    <w:rsid w:val="65DA4CF7"/>
    <w:rsid w:val="65DF0CA7"/>
    <w:rsid w:val="65E24BB0"/>
    <w:rsid w:val="65E56573"/>
    <w:rsid w:val="65FD42E0"/>
    <w:rsid w:val="66014227"/>
    <w:rsid w:val="660B3CDD"/>
    <w:rsid w:val="660E3E13"/>
    <w:rsid w:val="661632D0"/>
    <w:rsid w:val="661C5600"/>
    <w:rsid w:val="66206B4D"/>
    <w:rsid w:val="663658B2"/>
    <w:rsid w:val="663A7D46"/>
    <w:rsid w:val="66530A5C"/>
    <w:rsid w:val="665836A7"/>
    <w:rsid w:val="665F1CB9"/>
    <w:rsid w:val="66616803"/>
    <w:rsid w:val="666F643C"/>
    <w:rsid w:val="667E108E"/>
    <w:rsid w:val="66B0498A"/>
    <w:rsid w:val="66C34609"/>
    <w:rsid w:val="66CD3EC1"/>
    <w:rsid w:val="66F00016"/>
    <w:rsid w:val="66F44096"/>
    <w:rsid w:val="66FD571E"/>
    <w:rsid w:val="66FE0404"/>
    <w:rsid w:val="671604B0"/>
    <w:rsid w:val="67187ECE"/>
    <w:rsid w:val="671E6D8D"/>
    <w:rsid w:val="67313F47"/>
    <w:rsid w:val="67320624"/>
    <w:rsid w:val="673E76D0"/>
    <w:rsid w:val="674D58C9"/>
    <w:rsid w:val="67504513"/>
    <w:rsid w:val="677C68AC"/>
    <w:rsid w:val="678B6958"/>
    <w:rsid w:val="679B6147"/>
    <w:rsid w:val="67A16DDF"/>
    <w:rsid w:val="67AD71F1"/>
    <w:rsid w:val="67B21532"/>
    <w:rsid w:val="67B558B7"/>
    <w:rsid w:val="67B72B89"/>
    <w:rsid w:val="67B96881"/>
    <w:rsid w:val="67F72090"/>
    <w:rsid w:val="680500F2"/>
    <w:rsid w:val="680A12F6"/>
    <w:rsid w:val="681339B0"/>
    <w:rsid w:val="682928D9"/>
    <w:rsid w:val="6830025F"/>
    <w:rsid w:val="683318FD"/>
    <w:rsid w:val="683D77C1"/>
    <w:rsid w:val="68566D09"/>
    <w:rsid w:val="6859391B"/>
    <w:rsid w:val="686310AA"/>
    <w:rsid w:val="68675C25"/>
    <w:rsid w:val="68694A1F"/>
    <w:rsid w:val="687077F8"/>
    <w:rsid w:val="68727727"/>
    <w:rsid w:val="68786E71"/>
    <w:rsid w:val="687D65FA"/>
    <w:rsid w:val="688B4389"/>
    <w:rsid w:val="68A0671B"/>
    <w:rsid w:val="68B25BA3"/>
    <w:rsid w:val="68B47F81"/>
    <w:rsid w:val="68B93CC3"/>
    <w:rsid w:val="68B960C7"/>
    <w:rsid w:val="68DE2EBC"/>
    <w:rsid w:val="68E34A57"/>
    <w:rsid w:val="692C1C8F"/>
    <w:rsid w:val="69320D51"/>
    <w:rsid w:val="69384D87"/>
    <w:rsid w:val="694164B1"/>
    <w:rsid w:val="69452AD1"/>
    <w:rsid w:val="6949691B"/>
    <w:rsid w:val="694B590C"/>
    <w:rsid w:val="694F16CF"/>
    <w:rsid w:val="696B2CBA"/>
    <w:rsid w:val="696F7F2A"/>
    <w:rsid w:val="697069D6"/>
    <w:rsid w:val="698B577F"/>
    <w:rsid w:val="69972F92"/>
    <w:rsid w:val="69981827"/>
    <w:rsid w:val="69A60607"/>
    <w:rsid w:val="69B87748"/>
    <w:rsid w:val="69C23B52"/>
    <w:rsid w:val="69C67F6C"/>
    <w:rsid w:val="69E44896"/>
    <w:rsid w:val="69F15826"/>
    <w:rsid w:val="69FB21CE"/>
    <w:rsid w:val="6A033E82"/>
    <w:rsid w:val="6A096FA5"/>
    <w:rsid w:val="6A29758A"/>
    <w:rsid w:val="6A400097"/>
    <w:rsid w:val="6A426C8D"/>
    <w:rsid w:val="6A451B01"/>
    <w:rsid w:val="6A581C0D"/>
    <w:rsid w:val="6A5C592C"/>
    <w:rsid w:val="6A62775F"/>
    <w:rsid w:val="6A647822"/>
    <w:rsid w:val="6A68006A"/>
    <w:rsid w:val="6A6A371E"/>
    <w:rsid w:val="6A6E1944"/>
    <w:rsid w:val="6A6E23B2"/>
    <w:rsid w:val="6A8B285D"/>
    <w:rsid w:val="6A8F1412"/>
    <w:rsid w:val="6A903551"/>
    <w:rsid w:val="6A944812"/>
    <w:rsid w:val="6A9F203B"/>
    <w:rsid w:val="6AAF4D7F"/>
    <w:rsid w:val="6AB11699"/>
    <w:rsid w:val="6AB853DB"/>
    <w:rsid w:val="6AC537B8"/>
    <w:rsid w:val="6ADE3F6B"/>
    <w:rsid w:val="6AF705A5"/>
    <w:rsid w:val="6AFD6866"/>
    <w:rsid w:val="6AFF3CC9"/>
    <w:rsid w:val="6B0B793A"/>
    <w:rsid w:val="6B132234"/>
    <w:rsid w:val="6B2D7B77"/>
    <w:rsid w:val="6B3462B2"/>
    <w:rsid w:val="6B5670CE"/>
    <w:rsid w:val="6B782986"/>
    <w:rsid w:val="6B7B079E"/>
    <w:rsid w:val="6B7E1823"/>
    <w:rsid w:val="6B807383"/>
    <w:rsid w:val="6B902E71"/>
    <w:rsid w:val="6BA12017"/>
    <w:rsid w:val="6BA55399"/>
    <w:rsid w:val="6BAC3169"/>
    <w:rsid w:val="6BBC293F"/>
    <w:rsid w:val="6BC97482"/>
    <w:rsid w:val="6BDC781D"/>
    <w:rsid w:val="6BDE7AE6"/>
    <w:rsid w:val="6BEF1E2F"/>
    <w:rsid w:val="6C0B1393"/>
    <w:rsid w:val="6C11344C"/>
    <w:rsid w:val="6C20576E"/>
    <w:rsid w:val="6C33202D"/>
    <w:rsid w:val="6C380E3A"/>
    <w:rsid w:val="6C3E00B9"/>
    <w:rsid w:val="6C5A0E3F"/>
    <w:rsid w:val="6C6106EC"/>
    <w:rsid w:val="6C680298"/>
    <w:rsid w:val="6C6D5838"/>
    <w:rsid w:val="6C763848"/>
    <w:rsid w:val="6C7B0CBE"/>
    <w:rsid w:val="6C7B1D21"/>
    <w:rsid w:val="6C7B67DB"/>
    <w:rsid w:val="6C8A5926"/>
    <w:rsid w:val="6C952553"/>
    <w:rsid w:val="6C9F051B"/>
    <w:rsid w:val="6CAE5EF5"/>
    <w:rsid w:val="6CC20B71"/>
    <w:rsid w:val="6CC22FFA"/>
    <w:rsid w:val="6CC74771"/>
    <w:rsid w:val="6CD010B4"/>
    <w:rsid w:val="6CF03552"/>
    <w:rsid w:val="6CF879DA"/>
    <w:rsid w:val="6CFC6C1B"/>
    <w:rsid w:val="6CFE2E1D"/>
    <w:rsid w:val="6D1B0BFF"/>
    <w:rsid w:val="6D207157"/>
    <w:rsid w:val="6D3671B7"/>
    <w:rsid w:val="6D386EAE"/>
    <w:rsid w:val="6D3E5422"/>
    <w:rsid w:val="6D3F05CF"/>
    <w:rsid w:val="6D492790"/>
    <w:rsid w:val="6D55344D"/>
    <w:rsid w:val="6D5563A1"/>
    <w:rsid w:val="6D5859AA"/>
    <w:rsid w:val="6D77332B"/>
    <w:rsid w:val="6D7B66EA"/>
    <w:rsid w:val="6D7C5122"/>
    <w:rsid w:val="6D8222DF"/>
    <w:rsid w:val="6D9B34BE"/>
    <w:rsid w:val="6DA31C40"/>
    <w:rsid w:val="6DA41436"/>
    <w:rsid w:val="6DB51690"/>
    <w:rsid w:val="6DCA1943"/>
    <w:rsid w:val="6DCB4E90"/>
    <w:rsid w:val="6DDE5E7F"/>
    <w:rsid w:val="6DED0138"/>
    <w:rsid w:val="6DF74044"/>
    <w:rsid w:val="6E090523"/>
    <w:rsid w:val="6E0C6214"/>
    <w:rsid w:val="6E1556F6"/>
    <w:rsid w:val="6E205FD6"/>
    <w:rsid w:val="6E236EB2"/>
    <w:rsid w:val="6E2F26AE"/>
    <w:rsid w:val="6E471F93"/>
    <w:rsid w:val="6E4A4688"/>
    <w:rsid w:val="6E4B18D2"/>
    <w:rsid w:val="6E4E7458"/>
    <w:rsid w:val="6E585B4D"/>
    <w:rsid w:val="6E5E7234"/>
    <w:rsid w:val="6E6F2871"/>
    <w:rsid w:val="6E7921E8"/>
    <w:rsid w:val="6E871171"/>
    <w:rsid w:val="6E9B03C3"/>
    <w:rsid w:val="6E9F5E9B"/>
    <w:rsid w:val="6EAA17BE"/>
    <w:rsid w:val="6EB8323D"/>
    <w:rsid w:val="6EC34EA0"/>
    <w:rsid w:val="6ECE341F"/>
    <w:rsid w:val="6ECF6A6C"/>
    <w:rsid w:val="6ED22FAC"/>
    <w:rsid w:val="6EE91ECE"/>
    <w:rsid w:val="6EEB3AF6"/>
    <w:rsid w:val="6EEE4ED9"/>
    <w:rsid w:val="6EF62F3F"/>
    <w:rsid w:val="6EFD4DC3"/>
    <w:rsid w:val="6F222A98"/>
    <w:rsid w:val="6F2F0685"/>
    <w:rsid w:val="6F351203"/>
    <w:rsid w:val="6F523436"/>
    <w:rsid w:val="6F6052EA"/>
    <w:rsid w:val="6F7166F6"/>
    <w:rsid w:val="6F933322"/>
    <w:rsid w:val="6F940239"/>
    <w:rsid w:val="6FA27D4C"/>
    <w:rsid w:val="6FA74871"/>
    <w:rsid w:val="6FB241F8"/>
    <w:rsid w:val="6FCC5990"/>
    <w:rsid w:val="6FDC4FC3"/>
    <w:rsid w:val="6FDC65C4"/>
    <w:rsid w:val="6FEA46F4"/>
    <w:rsid w:val="6FFB7662"/>
    <w:rsid w:val="6FFE4791"/>
    <w:rsid w:val="6FFF779B"/>
    <w:rsid w:val="70073084"/>
    <w:rsid w:val="70094ED2"/>
    <w:rsid w:val="7014330B"/>
    <w:rsid w:val="70176BEA"/>
    <w:rsid w:val="703D7CE6"/>
    <w:rsid w:val="704863BD"/>
    <w:rsid w:val="70570FF5"/>
    <w:rsid w:val="705A7660"/>
    <w:rsid w:val="70894A34"/>
    <w:rsid w:val="709A0611"/>
    <w:rsid w:val="709C1327"/>
    <w:rsid w:val="70A13A33"/>
    <w:rsid w:val="70AF0B0E"/>
    <w:rsid w:val="70C86AB0"/>
    <w:rsid w:val="70DE6288"/>
    <w:rsid w:val="710A3193"/>
    <w:rsid w:val="711102D2"/>
    <w:rsid w:val="71136358"/>
    <w:rsid w:val="712004F5"/>
    <w:rsid w:val="71316600"/>
    <w:rsid w:val="7148570A"/>
    <w:rsid w:val="71535404"/>
    <w:rsid w:val="715541A6"/>
    <w:rsid w:val="7163442E"/>
    <w:rsid w:val="716B4A4F"/>
    <w:rsid w:val="717B05A6"/>
    <w:rsid w:val="71840E5C"/>
    <w:rsid w:val="7184489C"/>
    <w:rsid w:val="718E11EA"/>
    <w:rsid w:val="71902AE4"/>
    <w:rsid w:val="719961B4"/>
    <w:rsid w:val="719F428B"/>
    <w:rsid w:val="71A53B18"/>
    <w:rsid w:val="71A73234"/>
    <w:rsid w:val="71B06E02"/>
    <w:rsid w:val="71D05742"/>
    <w:rsid w:val="71D266D1"/>
    <w:rsid w:val="71D912D4"/>
    <w:rsid w:val="71E45DDB"/>
    <w:rsid w:val="71E65233"/>
    <w:rsid w:val="71EC44BB"/>
    <w:rsid w:val="71F20DEA"/>
    <w:rsid w:val="7229032E"/>
    <w:rsid w:val="723430FA"/>
    <w:rsid w:val="72357A4A"/>
    <w:rsid w:val="72693ACB"/>
    <w:rsid w:val="726D1B57"/>
    <w:rsid w:val="72953F04"/>
    <w:rsid w:val="72990018"/>
    <w:rsid w:val="72AC57F5"/>
    <w:rsid w:val="72B27CB2"/>
    <w:rsid w:val="72CA1C8E"/>
    <w:rsid w:val="72E47980"/>
    <w:rsid w:val="72F50F9C"/>
    <w:rsid w:val="72F62DED"/>
    <w:rsid w:val="730078FC"/>
    <w:rsid w:val="730A3E35"/>
    <w:rsid w:val="731B32C3"/>
    <w:rsid w:val="733A5DD6"/>
    <w:rsid w:val="733B309E"/>
    <w:rsid w:val="736C188B"/>
    <w:rsid w:val="736E2E36"/>
    <w:rsid w:val="73770931"/>
    <w:rsid w:val="73892A07"/>
    <w:rsid w:val="73894AC4"/>
    <w:rsid w:val="738C335A"/>
    <w:rsid w:val="73CA5314"/>
    <w:rsid w:val="73D24CA1"/>
    <w:rsid w:val="73DA31F2"/>
    <w:rsid w:val="73DA6821"/>
    <w:rsid w:val="73DF7FDA"/>
    <w:rsid w:val="740F1C62"/>
    <w:rsid w:val="74237620"/>
    <w:rsid w:val="742C2582"/>
    <w:rsid w:val="744E4DF4"/>
    <w:rsid w:val="74583EB6"/>
    <w:rsid w:val="74835319"/>
    <w:rsid w:val="74880490"/>
    <w:rsid w:val="74A01E17"/>
    <w:rsid w:val="74B61DDC"/>
    <w:rsid w:val="74BB2697"/>
    <w:rsid w:val="74BB3096"/>
    <w:rsid w:val="74C70189"/>
    <w:rsid w:val="74C84547"/>
    <w:rsid w:val="74CE2B0B"/>
    <w:rsid w:val="74CE3F4C"/>
    <w:rsid w:val="74D472B5"/>
    <w:rsid w:val="74E50E19"/>
    <w:rsid w:val="74F1655B"/>
    <w:rsid w:val="74F35FA9"/>
    <w:rsid w:val="74F41941"/>
    <w:rsid w:val="750758DC"/>
    <w:rsid w:val="751E00B5"/>
    <w:rsid w:val="752332B7"/>
    <w:rsid w:val="75292E35"/>
    <w:rsid w:val="752F1C4F"/>
    <w:rsid w:val="75341056"/>
    <w:rsid w:val="753D613E"/>
    <w:rsid w:val="753F14FE"/>
    <w:rsid w:val="75506001"/>
    <w:rsid w:val="755D5A0A"/>
    <w:rsid w:val="75670AA9"/>
    <w:rsid w:val="756D3B06"/>
    <w:rsid w:val="75724C91"/>
    <w:rsid w:val="75752FAA"/>
    <w:rsid w:val="75866981"/>
    <w:rsid w:val="7587423B"/>
    <w:rsid w:val="758A609D"/>
    <w:rsid w:val="759C3C2D"/>
    <w:rsid w:val="759E1D8F"/>
    <w:rsid w:val="75A35A28"/>
    <w:rsid w:val="75B81F99"/>
    <w:rsid w:val="75CF43C8"/>
    <w:rsid w:val="75DE1737"/>
    <w:rsid w:val="75EF43A6"/>
    <w:rsid w:val="75F8689A"/>
    <w:rsid w:val="75FA20BE"/>
    <w:rsid w:val="75FF7F78"/>
    <w:rsid w:val="76003BE2"/>
    <w:rsid w:val="760A29C7"/>
    <w:rsid w:val="760F2C9B"/>
    <w:rsid w:val="76343CA5"/>
    <w:rsid w:val="763D4F16"/>
    <w:rsid w:val="76514AC5"/>
    <w:rsid w:val="76564A88"/>
    <w:rsid w:val="76635A18"/>
    <w:rsid w:val="7684666A"/>
    <w:rsid w:val="768704C9"/>
    <w:rsid w:val="769431A0"/>
    <w:rsid w:val="769C0E3E"/>
    <w:rsid w:val="769C41AB"/>
    <w:rsid w:val="76A007D6"/>
    <w:rsid w:val="76A33DD6"/>
    <w:rsid w:val="76AF60AC"/>
    <w:rsid w:val="76B145E2"/>
    <w:rsid w:val="76BB69C2"/>
    <w:rsid w:val="76BC4508"/>
    <w:rsid w:val="76C23869"/>
    <w:rsid w:val="76D24148"/>
    <w:rsid w:val="76D46CA8"/>
    <w:rsid w:val="76DB2CAA"/>
    <w:rsid w:val="76ED78FA"/>
    <w:rsid w:val="76F26DE2"/>
    <w:rsid w:val="77016E10"/>
    <w:rsid w:val="770325C7"/>
    <w:rsid w:val="771016D8"/>
    <w:rsid w:val="7733706B"/>
    <w:rsid w:val="773A0EE5"/>
    <w:rsid w:val="77530965"/>
    <w:rsid w:val="77653B81"/>
    <w:rsid w:val="7769030A"/>
    <w:rsid w:val="777727FC"/>
    <w:rsid w:val="777D3BB6"/>
    <w:rsid w:val="778511BB"/>
    <w:rsid w:val="77877C60"/>
    <w:rsid w:val="778A36EA"/>
    <w:rsid w:val="77BA0EA6"/>
    <w:rsid w:val="77C2448A"/>
    <w:rsid w:val="77C822DD"/>
    <w:rsid w:val="77EC1A75"/>
    <w:rsid w:val="78174088"/>
    <w:rsid w:val="781836F9"/>
    <w:rsid w:val="7822163F"/>
    <w:rsid w:val="78283E40"/>
    <w:rsid w:val="782F13D2"/>
    <w:rsid w:val="78374B57"/>
    <w:rsid w:val="783C589D"/>
    <w:rsid w:val="784A3CD3"/>
    <w:rsid w:val="78576DA0"/>
    <w:rsid w:val="78615480"/>
    <w:rsid w:val="786D24FD"/>
    <w:rsid w:val="787B3CB6"/>
    <w:rsid w:val="78812164"/>
    <w:rsid w:val="78826FCA"/>
    <w:rsid w:val="788529EA"/>
    <w:rsid w:val="788C2661"/>
    <w:rsid w:val="78A07E89"/>
    <w:rsid w:val="78A703AF"/>
    <w:rsid w:val="78A85E7C"/>
    <w:rsid w:val="78AC1E9F"/>
    <w:rsid w:val="78BE211E"/>
    <w:rsid w:val="78C51852"/>
    <w:rsid w:val="78CD7A8E"/>
    <w:rsid w:val="78FC3F71"/>
    <w:rsid w:val="79063F3E"/>
    <w:rsid w:val="7927654D"/>
    <w:rsid w:val="79407621"/>
    <w:rsid w:val="79493484"/>
    <w:rsid w:val="794E03FE"/>
    <w:rsid w:val="79503A9F"/>
    <w:rsid w:val="795D308D"/>
    <w:rsid w:val="796850A8"/>
    <w:rsid w:val="79730CEE"/>
    <w:rsid w:val="79984D53"/>
    <w:rsid w:val="79A633BA"/>
    <w:rsid w:val="79AC79FB"/>
    <w:rsid w:val="79AD1192"/>
    <w:rsid w:val="79D37B8A"/>
    <w:rsid w:val="79FE700A"/>
    <w:rsid w:val="7A02599B"/>
    <w:rsid w:val="7A1547FF"/>
    <w:rsid w:val="7A1751EE"/>
    <w:rsid w:val="7A1A1242"/>
    <w:rsid w:val="7A481EBA"/>
    <w:rsid w:val="7A4C4C76"/>
    <w:rsid w:val="7A4F2B81"/>
    <w:rsid w:val="7A5507C4"/>
    <w:rsid w:val="7A58575B"/>
    <w:rsid w:val="7A8B1C79"/>
    <w:rsid w:val="7A9F1116"/>
    <w:rsid w:val="7AB42307"/>
    <w:rsid w:val="7AC02597"/>
    <w:rsid w:val="7ACD1F36"/>
    <w:rsid w:val="7AD62AFA"/>
    <w:rsid w:val="7ADC07B4"/>
    <w:rsid w:val="7AE9154A"/>
    <w:rsid w:val="7AF810EF"/>
    <w:rsid w:val="7AF9721F"/>
    <w:rsid w:val="7AFA5C24"/>
    <w:rsid w:val="7B097BDE"/>
    <w:rsid w:val="7B2677BD"/>
    <w:rsid w:val="7B2E06D9"/>
    <w:rsid w:val="7B376C34"/>
    <w:rsid w:val="7B3A0A78"/>
    <w:rsid w:val="7B4714E2"/>
    <w:rsid w:val="7B484A08"/>
    <w:rsid w:val="7B675BAF"/>
    <w:rsid w:val="7B7816E8"/>
    <w:rsid w:val="7B812DFB"/>
    <w:rsid w:val="7B845591"/>
    <w:rsid w:val="7B86755B"/>
    <w:rsid w:val="7B973A2E"/>
    <w:rsid w:val="7BA4035D"/>
    <w:rsid w:val="7BA62EDA"/>
    <w:rsid w:val="7BA65D51"/>
    <w:rsid w:val="7BB85132"/>
    <w:rsid w:val="7BBF53C8"/>
    <w:rsid w:val="7BC37918"/>
    <w:rsid w:val="7BC44B32"/>
    <w:rsid w:val="7BC709D2"/>
    <w:rsid w:val="7BC90C1C"/>
    <w:rsid w:val="7BC970DB"/>
    <w:rsid w:val="7BD16478"/>
    <w:rsid w:val="7BDD0E17"/>
    <w:rsid w:val="7BE04FE4"/>
    <w:rsid w:val="7BE85E4B"/>
    <w:rsid w:val="7BEE1BB0"/>
    <w:rsid w:val="7C021D23"/>
    <w:rsid w:val="7C047AE7"/>
    <w:rsid w:val="7C0C4CCC"/>
    <w:rsid w:val="7C0E1E70"/>
    <w:rsid w:val="7C15390B"/>
    <w:rsid w:val="7C1B3232"/>
    <w:rsid w:val="7C596A1E"/>
    <w:rsid w:val="7C602641"/>
    <w:rsid w:val="7C716C10"/>
    <w:rsid w:val="7C8D6CF0"/>
    <w:rsid w:val="7CA333D6"/>
    <w:rsid w:val="7CB138FF"/>
    <w:rsid w:val="7CC16371"/>
    <w:rsid w:val="7CC26FFD"/>
    <w:rsid w:val="7CDC699E"/>
    <w:rsid w:val="7CF521B3"/>
    <w:rsid w:val="7CFD2932"/>
    <w:rsid w:val="7D051146"/>
    <w:rsid w:val="7D0D36EE"/>
    <w:rsid w:val="7D1563E6"/>
    <w:rsid w:val="7D3E0B18"/>
    <w:rsid w:val="7D3E70D3"/>
    <w:rsid w:val="7D5C3EB4"/>
    <w:rsid w:val="7D5F0804"/>
    <w:rsid w:val="7D663E6F"/>
    <w:rsid w:val="7D715FE9"/>
    <w:rsid w:val="7D71615B"/>
    <w:rsid w:val="7D745762"/>
    <w:rsid w:val="7D912F29"/>
    <w:rsid w:val="7D9E00BD"/>
    <w:rsid w:val="7DB14677"/>
    <w:rsid w:val="7DBB030B"/>
    <w:rsid w:val="7DBD0F25"/>
    <w:rsid w:val="7DC46119"/>
    <w:rsid w:val="7DC5730E"/>
    <w:rsid w:val="7DCA57F6"/>
    <w:rsid w:val="7DCD5EDF"/>
    <w:rsid w:val="7DD64891"/>
    <w:rsid w:val="7DD73BA6"/>
    <w:rsid w:val="7DD74E45"/>
    <w:rsid w:val="7DDA1DE0"/>
    <w:rsid w:val="7DDC0ABF"/>
    <w:rsid w:val="7DE70E2F"/>
    <w:rsid w:val="7DF10515"/>
    <w:rsid w:val="7E015D51"/>
    <w:rsid w:val="7E1C6248"/>
    <w:rsid w:val="7E1C6CCF"/>
    <w:rsid w:val="7E2B263C"/>
    <w:rsid w:val="7E2B5B66"/>
    <w:rsid w:val="7E3D6F9A"/>
    <w:rsid w:val="7E3E37D9"/>
    <w:rsid w:val="7E5514BB"/>
    <w:rsid w:val="7E704832"/>
    <w:rsid w:val="7E761F9C"/>
    <w:rsid w:val="7E7933A7"/>
    <w:rsid w:val="7E800C15"/>
    <w:rsid w:val="7E865AC4"/>
    <w:rsid w:val="7E8F2119"/>
    <w:rsid w:val="7E953617"/>
    <w:rsid w:val="7EB37E4A"/>
    <w:rsid w:val="7EC23181"/>
    <w:rsid w:val="7ED06E49"/>
    <w:rsid w:val="7EF1686D"/>
    <w:rsid w:val="7F0A4EC1"/>
    <w:rsid w:val="7F0B7F23"/>
    <w:rsid w:val="7F183AC4"/>
    <w:rsid w:val="7F2D5F40"/>
    <w:rsid w:val="7F3948E4"/>
    <w:rsid w:val="7F3E07EB"/>
    <w:rsid w:val="7F4734A5"/>
    <w:rsid w:val="7F495CF9"/>
    <w:rsid w:val="7F541FBD"/>
    <w:rsid w:val="7F593177"/>
    <w:rsid w:val="7F651B80"/>
    <w:rsid w:val="7F675F3B"/>
    <w:rsid w:val="7F775663"/>
    <w:rsid w:val="7F96147F"/>
    <w:rsid w:val="7F9711EC"/>
    <w:rsid w:val="7F9814CA"/>
    <w:rsid w:val="7FAC48D8"/>
    <w:rsid w:val="7FB53AF5"/>
    <w:rsid w:val="7FC5136D"/>
    <w:rsid w:val="7FD3310D"/>
    <w:rsid w:val="7FDA10F0"/>
    <w:rsid w:val="7FDB3FB5"/>
    <w:rsid w:val="7FE972EC"/>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3"/>
    <w:qFormat/>
    <w:uiPriority w:val="0"/>
    <w:pPr>
      <w:keepNext/>
      <w:keepLines/>
      <w:spacing w:before="260" w:after="260" w:line="412" w:lineRule="auto"/>
      <w:outlineLvl w:val="1"/>
    </w:pPr>
    <w:rPr>
      <w:rFonts w:ascii="Arial" w:hAnsi="Arial" w:eastAsia="??"/>
      <w:b/>
      <w:sz w:val="32"/>
      <w:szCs w:val="28"/>
    </w:rPr>
  </w:style>
  <w:style w:type="paragraph" w:styleId="6">
    <w:name w:val="heading 3"/>
    <w:basedOn w:val="1"/>
    <w:next w:val="1"/>
    <w:qFormat/>
    <w:uiPriority w:val="0"/>
    <w:pPr>
      <w:keepNext/>
      <w:keepLines/>
      <w:autoSpaceDE w:val="0"/>
      <w:autoSpaceDN w:val="0"/>
      <w:adjustRightInd w:val="0"/>
      <w:spacing w:before="360" w:after="120"/>
      <w:jc w:val="left"/>
      <w:outlineLvl w:val="2"/>
    </w:pPr>
    <w:rPr>
      <w:rFonts w:ascii="宋体" w:hAnsi="Tahoma"/>
      <w:b/>
      <w:kern w:val="0"/>
      <w:sz w:val="24"/>
      <w:u w:val="single"/>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1"/>
    <w:qFormat/>
    <w:uiPriority w:val="0"/>
    <w:pPr>
      <w:spacing w:after="120"/>
    </w:pPr>
    <w:rPr>
      <w:rFonts w:eastAsia="??"/>
      <w:sz w:val="28"/>
      <w:szCs w:val="28"/>
    </w:rPr>
  </w:style>
  <w:style w:type="paragraph" w:styleId="3">
    <w:name w:val="toc 8"/>
    <w:basedOn w:val="1"/>
    <w:next w:val="1"/>
    <w:qFormat/>
    <w:uiPriority w:val="0"/>
    <w:pPr>
      <w:ind w:left="1470"/>
    </w:pPr>
    <w:rPr>
      <w:rFonts w:ascii="仿宋_GB2312" w:hAnsi="Calibri" w:eastAsia="仿宋_GB2312"/>
      <w:sz w:val="18"/>
      <w:szCs w:val="18"/>
    </w:rPr>
  </w:style>
  <w:style w:type="paragraph" w:styleId="7">
    <w:name w:val="List Number"/>
    <w:basedOn w:val="1"/>
    <w:qFormat/>
    <w:uiPriority w:val="0"/>
    <w:pPr>
      <w:widowControl/>
      <w:tabs>
        <w:tab w:val="left" w:pos="360"/>
        <w:tab w:val="left" w:pos="454"/>
        <w:tab w:val="left" w:pos="720"/>
      </w:tabs>
      <w:spacing w:after="156" w:afterLines="50"/>
      <w:ind w:left="454" w:hanging="284"/>
      <w:jc w:val="left"/>
    </w:pPr>
    <w:rPr>
      <w:kern w:val="0"/>
      <w:sz w:val="24"/>
    </w:rPr>
  </w:style>
  <w:style w:type="paragraph" w:styleId="8">
    <w:name w:val="Normal Indent"/>
    <w:basedOn w:val="1"/>
    <w:next w:val="1"/>
    <w:qFormat/>
    <w:uiPriority w:val="0"/>
    <w:pPr>
      <w:spacing w:line="300" w:lineRule="auto"/>
      <w:ind w:firstLine="420"/>
    </w:pPr>
  </w:style>
  <w:style w:type="paragraph" w:styleId="9">
    <w:name w:val="annotation text"/>
    <w:basedOn w:val="1"/>
    <w:link w:val="44"/>
    <w:qFormat/>
    <w:uiPriority w:val="0"/>
    <w:pPr>
      <w:jc w:val="left"/>
    </w:pPr>
    <w:rPr>
      <w:szCs w:val="24"/>
    </w:rPr>
  </w:style>
  <w:style w:type="paragraph" w:styleId="10">
    <w:name w:val="Body Text Indent"/>
    <w:basedOn w:val="1"/>
    <w:next w:val="1"/>
    <w:link w:val="45"/>
    <w:qFormat/>
    <w:uiPriority w:val="0"/>
    <w:pPr>
      <w:spacing w:after="120"/>
      <w:ind w:left="420" w:leftChars="200"/>
    </w:pPr>
  </w:style>
  <w:style w:type="paragraph" w:styleId="11">
    <w:name w:val="Block Text"/>
    <w:basedOn w:val="1"/>
    <w:qFormat/>
    <w:uiPriority w:val="0"/>
    <w:pPr>
      <w:adjustRightInd w:val="0"/>
      <w:spacing w:line="300" w:lineRule="auto"/>
      <w:ind w:left="958" w:right="-120" w:rightChars="-120"/>
      <w:jc w:val="left"/>
    </w:pPr>
    <w:rPr>
      <w:rFonts w:ascii="宋体" w:hAnsi="宋体"/>
      <w:sz w:val="28"/>
    </w:rPr>
  </w:style>
  <w:style w:type="paragraph" w:styleId="12">
    <w:name w:val="toc 3"/>
    <w:basedOn w:val="1"/>
    <w:next w:val="1"/>
    <w:qFormat/>
    <w:uiPriority w:val="0"/>
    <w:pPr>
      <w:ind w:left="840" w:leftChars="400"/>
    </w:pPr>
  </w:style>
  <w:style w:type="paragraph" w:styleId="13">
    <w:name w:val="Plain Text"/>
    <w:basedOn w:val="1"/>
    <w:next w:val="1"/>
    <w:link w:val="46"/>
    <w:qFormat/>
    <w:uiPriority w:val="0"/>
    <w:rPr>
      <w:rFonts w:ascii="宋体" w:hAnsi="Courier New" w:eastAsia="仿宋_GB2312"/>
      <w:sz w:val="30"/>
    </w:rPr>
  </w:style>
  <w:style w:type="paragraph" w:styleId="14">
    <w:name w:val="Body Text Indent 2"/>
    <w:basedOn w:val="1"/>
    <w:link w:val="47"/>
    <w:qFormat/>
    <w:uiPriority w:val="0"/>
    <w:pPr>
      <w:spacing w:line="500" w:lineRule="exact"/>
      <w:ind w:left="105" w:firstLine="465" w:firstLineChars="166"/>
    </w:pPr>
    <w:rPr>
      <w:sz w:val="28"/>
    </w:rPr>
  </w:style>
  <w:style w:type="paragraph" w:styleId="15">
    <w:name w:val="Balloon Text"/>
    <w:basedOn w:val="1"/>
    <w:link w:val="48"/>
    <w:qFormat/>
    <w:uiPriority w:val="0"/>
    <w:rPr>
      <w:sz w:val="18"/>
      <w:szCs w:val="18"/>
    </w:rPr>
  </w:style>
  <w:style w:type="paragraph" w:styleId="16">
    <w:name w:val="footer"/>
    <w:basedOn w:val="1"/>
    <w:next w:val="17"/>
    <w:link w:val="49"/>
    <w:qFormat/>
    <w:uiPriority w:val="99"/>
    <w:pPr>
      <w:tabs>
        <w:tab w:val="center" w:pos="4153"/>
        <w:tab w:val="right" w:pos="8306"/>
      </w:tabs>
      <w:snapToGrid w:val="0"/>
      <w:jc w:val="left"/>
    </w:pPr>
    <w:rPr>
      <w:sz w:val="18"/>
      <w:szCs w:val="18"/>
    </w:rPr>
  </w:style>
  <w:style w:type="paragraph" w:styleId="17">
    <w:name w:val="toc 2"/>
    <w:basedOn w:val="1"/>
    <w:next w:val="1"/>
    <w:qFormat/>
    <w:uiPriority w:val="39"/>
    <w:pPr>
      <w:tabs>
        <w:tab w:val="right" w:leader="middleDot" w:pos="8948"/>
      </w:tabs>
      <w:spacing w:before="60" w:after="60"/>
      <w:ind w:left="210"/>
    </w:pPr>
    <w:rPr>
      <w:smallCaps/>
    </w:rPr>
  </w:style>
  <w:style w:type="paragraph" w:styleId="18">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List"/>
    <w:basedOn w:val="1"/>
    <w:qFormat/>
    <w:uiPriority w:val="0"/>
    <w:pPr>
      <w:ind w:left="200" w:hanging="200" w:hangingChars="200"/>
    </w:pPr>
  </w:style>
  <w:style w:type="paragraph" w:styleId="21">
    <w:name w:val="toc 6"/>
    <w:basedOn w:val="1"/>
    <w:next w:val="1"/>
    <w:qFormat/>
    <w:uiPriority w:val="0"/>
    <w:pPr>
      <w:ind w:left="1000" w:leftChars="1000"/>
    </w:pPr>
  </w:style>
  <w:style w:type="paragraph" w:styleId="22">
    <w:name w:val="Body Text Indent 3"/>
    <w:basedOn w:val="1"/>
    <w:link w:val="51"/>
    <w:qFormat/>
    <w:uiPriority w:val="0"/>
    <w:pPr>
      <w:spacing w:after="120"/>
      <w:ind w:left="420" w:leftChars="200"/>
    </w:pPr>
    <w:rPr>
      <w:sz w:val="16"/>
      <w:szCs w:val="16"/>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4">
    <w:name w:val="Title"/>
    <w:basedOn w:val="1"/>
    <w:link w:val="52"/>
    <w:qFormat/>
    <w:uiPriority w:val="0"/>
    <w:pPr>
      <w:jc w:val="center"/>
    </w:pPr>
    <w:rPr>
      <w:rFonts w:ascii="Calibri" w:hAnsi="Calibri"/>
      <w:sz w:val="30"/>
      <w:szCs w:val="30"/>
    </w:rPr>
  </w:style>
  <w:style w:type="paragraph" w:styleId="25">
    <w:name w:val="annotation subject"/>
    <w:basedOn w:val="9"/>
    <w:next w:val="9"/>
    <w:link w:val="53"/>
    <w:qFormat/>
    <w:uiPriority w:val="0"/>
    <w:rPr>
      <w:b/>
      <w:bCs/>
    </w:rPr>
  </w:style>
  <w:style w:type="paragraph" w:styleId="26">
    <w:name w:val="Body Text First Indent"/>
    <w:basedOn w:val="2"/>
    <w:next w:val="1"/>
    <w:qFormat/>
    <w:uiPriority w:val="0"/>
    <w:pPr>
      <w:ind w:firstLine="420" w:firstLineChars="100"/>
    </w:pPr>
    <w:rPr>
      <w:szCs w:val="24"/>
    </w:rPr>
  </w:style>
  <w:style w:type="paragraph" w:styleId="27">
    <w:name w:val="Body Text First Indent 2"/>
    <w:basedOn w:val="10"/>
    <w:link w:val="54"/>
    <w:qFormat/>
    <w:uiPriority w:val="0"/>
    <w:pPr>
      <w:ind w:firstLine="420" w:firstLineChars="200"/>
    </w:p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qFormat/>
    <w:uiPriority w:val="0"/>
  </w:style>
  <w:style w:type="character" w:styleId="33">
    <w:name w:val="Emphasis"/>
    <w:basedOn w:val="30"/>
    <w:qFormat/>
    <w:uiPriority w:val="0"/>
    <w:rPr>
      <w:i/>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character" w:styleId="36">
    <w:name w:val="HTML Sample"/>
    <w:basedOn w:val="30"/>
    <w:qFormat/>
    <w:uiPriority w:val="0"/>
    <w:rPr>
      <w:rFonts w:ascii="Courier New" w:hAnsi="Courier New"/>
    </w:rPr>
  </w:style>
  <w:style w:type="paragraph" w:customStyle="1" w:styleId="37">
    <w:name w:val="正文1"/>
    <w:next w:val="1"/>
    <w:qFormat/>
    <w:uiPriority w:val="0"/>
    <w:pPr>
      <w:jc w:val="both"/>
    </w:pPr>
    <w:rPr>
      <w:rFonts w:ascii="Calibri" w:hAnsi="Calibri" w:eastAsia="宋体" w:cs="宋体"/>
      <w:kern w:val="2"/>
      <w:sz w:val="21"/>
      <w:szCs w:val="21"/>
      <w:lang w:val="en-US" w:eastAsia="zh-CN" w:bidi="ar-SA"/>
    </w:rPr>
  </w:style>
  <w:style w:type="paragraph" w:customStyle="1" w:styleId="3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9">
    <w:name w:val="正文首行缩进 21"/>
    <w:basedOn w:val="40"/>
    <w:qFormat/>
    <w:uiPriority w:val="0"/>
    <w:pPr>
      <w:ind w:firstLine="420"/>
    </w:pPr>
  </w:style>
  <w:style w:type="paragraph" w:customStyle="1" w:styleId="40">
    <w:name w:val="正文文本缩进1"/>
    <w:basedOn w:val="1"/>
    <w:qFormat/>
    <w:uiPriority w:val="0"/>
    <w:pPr>
      <w:ind w:firstLine="200"/>
    </w:pPr>
    <w:rPr>
      <w:rFonts w:ascii="仿宋_GB2312" w:eastAsia="仿宋_GB2312"/>
      <w:sz w:val="32"/>
    </w:rPr>
  </w:style>
  <w:style w:type="character" w:customStyle="1" w:styleId="41">
    <w:name w:val="正文文本 字符"/>
    <w:link w:val="2"/>
    <w:qFormat/>
    <w:uiPriority w:val="0"/>
    <w:rPr>
      <w:rFonts w:eastAsia="??"/>
      <w:kern w:val="2"/>
      <w:sz w:val="28"/>
      <w:szCs w:val="28"/>
      <w:lang w:val="en-US" w:eastAsia="zh-CN" w:bidi="ar-SA"/>
    </w:rPr>
  </w:style>
  <w:style w:type="character" w:customStyle="1" w:styleId="42">
    <w:name w:val="标题 1 字符"/>
    <w:link w:val="4"/>
    <w:qFormat/>
    <w:uiPriority w:val="9"/>
    <w:rPr>
      <w:b/>
      <w:bCs/>
      <w:kern w:val="44"/>
      <w:sz w:val="44"/>
      <w:szCs w:val="44"/>
    </w:rPr>
  </w:style>
  <w:style w:type="character" w:customStyle="1" w:styleId="43">
    <w:name w:val="标题 2 字符"/>
    <w:link w:val="5"/>
    <w:qFormat/>
    <w:uiPriority w:val="0"/>
    <w:rPr>
      <w:rFonts w:ascii="Arial" w:hAnsi="Arial" w:eastAsia="??"/>
      <w:b/>
      <w:kern w:val="2"/>
      <w:sz w:val="32"/>
      <w:szCs w:val="28"/>
      <w:lang w:val="en-US" w:eastAsia="zh-CN" w:bidi="ar-SA"/>
    </w:rPr>
  </w:style>
  <w:style w:type="character" w:customStyle="1" w:styleId="44">
    <w:name w:val="批注文字 字符"/>
    <w:link w:val="9"/>
    <w:qFormat/>
    <w:uiPriority w:val="0"/>
    <w:rPr>
      <w:kern w:val="2"/>
      <w:sz w:val="21"/>
      <w:szCs w:val="24"/>
    </w:rPr>
  </w:style>
  <w:style w:type="character" w:customStyle="1" w:styleId="45">
    <w:name w:val="正文文本缩进 字符"/>
    <w:link w:val="10"/>
    <w:qFormat/>
    <w:uiPriority w:val="0"/>
    <w:rPr>
      <w:kern w:val="2"/>
      <w:sz w:val="21"/>
    </w:rPr>
  </w:style>
  <w:style w:type="character" w:customStyle="1" w:styleId="46">
    <w:name w:val="纯文本 字符"/>
    <w:link w:val="13"/>
    <w:qFormat/>
    <w:uiPriority w:val="0"/>
    <w:rPr>
      <w:rFonts w:ascii="宋体" w:hAnsi="Courier New" w:eastAsia="仿宋_GB2312"/>
      <w:kern w:val="2"/>
      <w:sz w:val="30"/>
      <w:lang w:val="en-US" w:eastAsia="zh-CN" w:bidi="ar-SA"/>
    </w:rPr>
  </w:style>
  <w:style w:type="character" w:customStyle="1" w:styleId="47">
    <w:name w:val="正文文本缩进 2 字符"/>
    <w:link w:val="14"/>
    <w:qFormat/>
    <w:uiPriority w:val="0"/>
    <w:rPr>
      <w:kern w:val="2"/>
      <w:sz w:val="28"/>
    </w:rPr>
  </w:style>
  <w:style w:type="character" w:customStyle="1" w:styleId="48">
    <w:name w:val="批注框文本 字符"/>
    <w:link w:val="15"/>
    <w:qFormat/>
    <w:uiPriority w:val="0"/>
    <w:rPr>
      <w:kern w:val="2"/>
      <w:sz w:val="18"/>
      <w:szCs w:val="18"/>
    </w:rPr>
  </w:style>
  <w:style w:type="character" w:customStyle="1" w:styleId="49">
    <w:name w:val="页脚 字符"/>
    <w:link w:val="16"/>
    <w:qFormat/>
    <w:uiPriority w:val="99"/>
    <w:rPr>
      <w:kern w:val="2"/>
      <w:sz w:val="18"/>
      <w:szCs w:val="18"/>
    </w:rPr>
  </w:style>
  <w:style w:type="character" w:customStyle="1" w:styleId="50">
    <w:name w:val="页眉 字符"/>
    <w:link w:val="18"/>
    <w:qFormat/>
    <w:uiPriority w:val="99"/>
    <w:rPr>
      <w:kern w:val="2"/>
      <w:sz w:val="18"/>
      <w:szCs w:val="18"/>
    </w:rPr>
  </w:style>
  <w:style w:type="character" w:customStyle="1" w:styleId="51">
    <w:name w:val="正文文本缩进 3 字符"/>
    <w:link w:val="22"/>
    <w:qFormat/>
    <w:uiPriority w:val="0"/>
    <w:rPr>
      <w:kern w:val="2"/>
      <w:sz w:val="16"/>
      <w:szCs w:val="16"/>
    </w:rPr>
  </w:style>
  <w:style w:type="character" w:customStyle="1" w:styleId="52">
    <w:name w:val="标题 字符"/>
    <w:link w:val="24"/>
    <w:qFormat/>
    <w:uiPriority w:val="0"/>
    <w:rPr>
      <w:rFonts w:ascii="Calibri" w:hAnsi="Calibri"/>
      <w:kern w:val="2"/>
      <w:sz w:val="30"/>
      <w:szCs w:val="30"/>
    </w:rPr>
  </w:style>
  <w:style w:type="character" w:customStyle="1" w:styleId="53">
    <w:name w:val="批注主题 字符"/>
    <w:link w:val="25"/>
    <w:qFormat/>
    <w:uiPriority w:val="0"/>
    <w:rPr>
      <w:b/>
      <w:bCs/>
      <w:kern w:val="2"/>
      <w:sz w:val="21"/>
      <w:szCs w:val="24"/>
    </w:rPr>
  </w:style>
  <w:style w:type="character" w:customStyle="1" w:styleId="54">
    <w:name w:val="正文文本首行缩进 2 字符"/>
    <w:link w:val="27"/>
    <w:qFormat/>
    <w:uiPriority w:val="0"/>
  </w:style>
  <w:style w:type="paragraph" w:customStyle="1" w:styleId="55">
    <w:name w:val="表格文字"/>
    <w:basedOn w:val="13"/>
    <w:next w:val="2"/>
    <w:qFormat/>
    <w:uiPriority w:val="0"/>
    <w:pPr>
      <w:adjustRightInd w:val="0"/>
      <w:spacing w:line="420" w:lineRule="atLeast"/>
      <w:textAlignment w:val="baseline"/>
    </w:pPr>
    <w:rPr>
      <w:rFonts w:ascii="Calibri" w:hAnsi="Calibri"/>
      <w:sz w:val="28"/>
    </w:rPr>
  </w:style>
  <w:style w:type="character" w:customStyle="1" w:styleId="56">
    <w:name w:val="apple-style-span"/>
    <w:qFormat/>
    <w:uiPriority w:val="0"/>
    <w:rPr>
      <w:rFonts w:ascii="Tahoma" w:hAnsi="Tahoma"/>
      <w:sz w:val="24"/>
      <w:szCs w:val="20"/>
    </w:rPr>
  </w:style>
  <w:style w:type="character" w:customStyle="1" w:styleId="57">
    <w:name w:val="font51"/>
    <w:qFormat/>
    <w:uiPriority w:val="0"/>
    <w:rPr>
      <w:rFonts w:hint="eastAsia" w:ascii="宋体" w:hAnsi="宋体" w:eastAsia="宋体" w:cs="宋体"/>
      <w:color w:val="000000"/>
      <w:sz w:val="22"/>
      <w:szCs w:val="22"/>
      <w:u w:val="none"/>
    </w:rPr>
  </w:style>
  <w:style w:type="character" w:customStyle="1" w:styleId="58">
    <w:name w:val="NormalCharacter"/>
    <w:qFormat/>
    <w:uiPriority w:val="0"/>
    <w:rPr>
      <w:rFonts w:ascii="Calibri" w:hAnsi="Calibri" w:eastAsia="宋体"/>
    </w:rPr>
  </w:style>
  <w:style w:type="character" w:customStyle="1" w:styleId="59">
    <w:name w:val="font01"/>
    <w:qFormat/>
    <w:uiPriority w:val="0"/>
    <w:rPr>
      <w:rFonts w:hint="eastAsia" w:ascii="宋体" w:hAnsi="宋体" w:eastAsia="宋体" w:cs="宋体"/>
      <w:b/>
      <w:color w:val="000000"/>
      <w:sz w:val="40"/>
      <w:szCs w:val="40"/>
      <w:u w:val="none"/>
    </w:rPr>
  </w:style>
  <w:style w:type="character" w:customStyle="1" w:styleId="60">
    <w:name w:val="font91"/>
    <w:qFormat/>
    <w:uiPriority w:val="0"/>
    <w:rPr>
      <w:rFonts w:hint="eastAsia" w:ascii="宋体" w:hAnsi="宋体" w:eastAsia="宋体" w:cs="宋体"/>
      <w:color w:val="000000"/>
      <w:sz w:val="20"/>
      <w:szCs w:val="20"/>
      <w:u w:val="none"/>
    </w:rPr>
  </w:style>
  <w:style w:type="character" w:customStyle="1" w:styleId="61">
    <w:name w:val="font11"/>
    <w:qFormat/>
    <w:uiPriority w:val="0"/>
    <w:rPr>
      <w:rFonts w:hint="eastAsia" w:ascii="宋体" w:hAnsi="宋体" w:eastAsia="宋体" w:cs="宋体"/>
      <w:b/>
      <w:color w:val="000000"/>
      <w:sz w:val="22"/>
      <w:szCs w:val="22"/>
      <w:u w:val="none"/>
    </w:rPr>
  </w:style>
  <w:style w:type="character" w:customStyle="1" w:styleId="62">
    <w:name w:val="font112"/>
    <w:qFormat/>
    <w:uiPriority w:val="0"/>
    <w:rPr>
      <w:rFonts w:hint="eastAsia" w:ascii="宋体" w:hAnsi="宋体" w:eastAsia="宋体" w:cs="宋体"/>
      <w:color w:val="000000"/>
      <w:sz w:val="22"/>
      <w:szCs w:val="22"/>
      <w:u w:val="none"/>
    </w:rPr>
  </w:style>
  <w:style w:type="character" w:customStyle="1" w:styleId="63">
    <w:name w:val="font61"/>
    <w:qFormat/>
    <w:uiPriority w:val="0"/>
    <w:rPr>
      <w:rFonts w:hint="default" w:ascii="Times New Roman" w:hAnsi="Times New Roman" w:cs="Times New Roman"/>
      <w:color w:val="000000"/>
      <w:sz w:val="20"/>
      <w:szCs w:val="20"/>
      <w:u w:val="none"/>
    </w:rPr>
  </w:style>
  <w:style w:type="character" w:customStyle="1" w:styleId="64">
    <w:name w:val="font81"/>
    <w:qFormat/>
    <w:uiPriority w:val="0"/>
    <w:rPr>
      <w:rFonts w:hint="eastAsia" w:ascii="宋体" w:hAnsi="宋体" w:eastAsia="宋体" w:cs="宋体"/>
      <w:color w:val="000000"/>
      <w:sz w:val="20"/>
      <w:szCs w:val="20"/>
      <w:u w:val="none"/>
    </w:rPr>
  </w:style>
  <w:style w:type="character" w:customStyle="1" w:styleId="65">
    <w:name w:val="Char Char7"/>
    <w:qFormat/>
    <w:uiPriority w:val="0"/>
    <w:rPr>
      <w:rFonts w:ascii="??" w:hAnsi="??" w:eastAsia="??" w:cs="宋体"/>
      <w:kern w:val="2"/>
      <w:sz w:val="24"/>
      <w:szCs w:val="28"/>
    </w:rPr>
  </w:style>
  <w:style w:type="character" w:customStyle="1" w:styleId="66">
    <w:name w:val="font71"/>
    <w:qFormat/>
    <w:uiPriority w:val="0"/>
    <w:rPr>
      <w:rFonts w:ascii="Arial" w:hAnsi="Arial" w:cs="Arial"/>
      <w:color w:val="000000"/>
      <w:sz w:val="20"/>
      <w:szCs w:val="20"/>
      <w:u w:val="none"/>
    </w:rPr>
  </w:style>
  <w:style w:type="paragraph" w:customStyle="1" w:styleId="67">
    <w:name w:val="中等深浅列表 2 - 强调文字颜色 41"/>
    <w:basedOn w:val="1"/>
    <w:qFormat/>
    <w:uiPriority w:val="34"/>
    <w:pPr>
      <w:ind w:firstLine="420" w:firstLineChars="200"/>
    </w:pPr>
    <w:rPr>
      <w:rFonts w:ascii="Calibri" w:hAnsi="Calibri"/>
      <w:szCs w:val="22"/>
    </w:rPr>
  </w:style>
  <w:style w:type="paragraph" w:customStyle="1" w:styleId="68">
    <w:name w:val="正文样式"/>
    <w:basedOn w:val="1"/>
    <w:qFormat/>
    <w:uiPriority w:val="0"/>
    <w:pPr>
      <w:spacing w:before="156" w:beforeLines="50" w:line="312" w:lineRule="auto"/>
      <w:ind w:firstLine="200" w:firstLineChars="200"/>
    </w:pPr>
    <w:rPr>
      <w:rFonts w:ascii="Calibri" w:hAnsi="Calibri"/>
      <w:sz w:val="24"/>
      <w:szCs w:val="24"/>
    </w:rPr>
  </w:style>
  <w:style w:type="paragraph" w:customStyle="1" w:styleId="69">
    <w:name w:val="p16"/>
    <w:basedOn w:val="1"/>
    <w:qFormat/>
    <w:uiPriority w:val="0"/>
    <w:pPr>
      <w:widowControl/>
    </w:pPr>
    <w:rPr>
      <w:rFonts w:ascii="宋体" w:hAnsi="宋体" w:cs="宋体"/>
      <w:kern w:val="0"/>
      <w:sz w:val="30"/>
      <w:szCs w:val="30"/>
    </w:rPr>
  </w:style>
  <w:style w:type="paragraph" w:customStyle="1" w:styleId="70">
    <w:name w:val="_Style 8"/>
    <w:basedOn w:val="1"/>
    <w:next w:val="71"/>
    <w:qFormat/>
    <w:uiPriority w:val="34"/>
    <w:pPr>
      <w:ind w:firstLine="420" w:firstLineChars="200"/>
    </w:pPr>
    <w:rPr>
      <w:rFonts w:ascii="Calibri" w:hAnsi="Calibri"/>
      <w:szCs w:val="22"/>
    </w:rPr>
  </w:style>
  <w:style w:type="paragraph" w:styleId="71">
    <w:name w:val="List Paragraph"/>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72">
    <w:name w:val="书籍标题1"/>
    <w:basedOn w:val="1"/>
    <w:next w:val="1"/>
    <w:qFormat/>
    <w:uiPriority w:val="0"/>
    <w:pPr>
      <w:pageBreakBefore/>
      <w:widowControl/>
      <w:tabs>
        <w:tab w:val="left" w:pos="360"/>
      </w:tabs>
      <w:spacing w:before="624" w:beforeLines="200" w:after="624" w:afterLines="200"/>
      <w:ind w:hanging="360"/>
      <w:jc w:val="center"/>
      <w:outlineLvl w:val="0"/>
    </w:pPr>
    <w:rPr>
      <w:rFonts w:eastAsia="黑体"/>
      <w:b/>
      <w:bCs/>
      <w:spacing w:val="20"/>
      <w:kern w:val="44"/>
      <w:sz w:val="44"/>
    </w:rPr>
  </w:style>
  <w:style w:type="paragraph" w:customStyle="1" w:styleId="73">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75">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6">
    <w:name w:val="列出段落1"/>
    <w:basedOn w:val="1"/>
    <w:qFormat/>
    <w:uiPriority w:val="0"/>
    <w:pPr>
      <w:ind w:firstLine="420" w:firstLineChars="200"/>
    </w:pPr>
    <w:rPr>
      <w:rFonts w:ascii="Calibri" w:hAnsi="Calibri"/>
      <w:szCs w:val="22"/>
    </w:rPr>
  </w:style>
  <w:style w:type="paragraph" w:customStyle="1" w:styleId="77">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Body text|1"/>
    <w:basedOn w:val="1"/>
    <w:qFormat/>
    <w:uiPriority w:val="0"/>
    <w:pPr>
      <w:spacing w:line="413" w:lineRule="auto"/>
    </w:pPr>
    <w:rPr>
      <w:rFonts w:ascii="宋体" w:hAnsi="宋体" w:cs="宋体"/>
      <w:sz w:val="20"/>
      <w:lang w:val="zh-CN" w:bidi="zh-CN"/>
    </w:rPr>
  </w:style>
  <w:style w:type="paragraph" w:customStyle="1" w:styleId="79">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customStyle="1" w:styleId="80">
    <w:name w:val="正文2"/>
    <w:basedOn w:val="1"/>
    <w:qFormat/>
    <w:uiPriority w:val="0"/>
    <w:pPr>
      <w:adjustRightInd w:val="0"/>
      <w:spacing w:line="318" w:lineRule="atLeast"/>
      <w:ind w:left="369" w:firstLine="369"/>
      <w:textAlignment w:val="baseline"/>
    </w:pPr>
    <w:rPr>
      <w:rFonts w:ascii="宋体"/>
    </w:rPr>
  </w:style>
  <w:style w:type="paragraph" w:customStyle="1" w:styleId="81">
    <w:name w:val="List Paragraph1"/>
    <w:basedOn w:val="1"/>
    <w:qFormat/>
    <w:uiPriority w:val="34"/>
    <w:pPr>
      <w:ind w:firstLine="420" w:firstLineChars="200"/>
    </w:pPr>
  </w:style>
  <w:style w:type="paragraph" w:customStyle="1" w:styleId="82">
    <w:name w:val="reader-word-layer reader-word-s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84">
    <w:name w:val="Char"/>
    <w:basedOn w:val="1"/>
    <w:qFormat/>
    <w:uiPriority w:val="0"/>
    <w:rPr>
      <w:szCs w:val="24"/>
    </w:rPr>
  </w:style>
  <w:style w:type="paragraph" w:customStyle="1" w:styleId="85">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86">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7">
    <w:name w:val="[Normal]"/>
    <w:qFormat/>
    <w:uiPriority w:val="0"/>
    <w:rPr>
      <w:rFonts w:ascii="宋体" w:hAnsi="宋体" w:eastAsia="宋体" w:cs="Times New Roman"/>
      <w:sz w:val="24"/>
      <w:szCs w:val="22"/>
      <w:lang w:val="zh-CN" w:eastAsia="zh-CN" w:bidi="ar-SA"/>
    </w:rPr>
  </w:style>
  <w:style w:type="paragraph" w:customStyle="1" w:styleId="88">
    <w:name w:val="p0"/>
    <w:basedOn w:val="1"/>
    <w:qFormat/>
    <w:uiPriority w:val="0"/>
    <w:pPr>
      <w:widowControl/>
    </w:pPr>
    <w:rPr>
      <w:kern w:val="0"/>
      <w:szCs w:val="21"/>
    </w:rPr>
  </w:style>
  <w:style w:type="table" w:customStyle="1" w:styleId="89">
    <w:name w:val="网格型1"/>
    <w:basedOn w:val="28"/>
    <w:qFormat/>
    <w:uiPriority w:val="59"/>
    <w:rPr>
      <w:rFonts w:ascii="Calibri" w:hAnsi="Calibri" w:cs="宋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0">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91">
    <w:name w:val="正文（首行缩进2字符）"/>
    <w:basedOn w:val="1"/>
    <w:qFormat/>
    <w:uiPriority w:val="0"/>
    <w:pPr>
      <w:spacing w:line="360" w:lineRule="auto"/>
      <w:ind w:firstLine="420" w:firstLineChars="200"/>
    </w:pPr>
    <w:rPr>
      <w:szCs w:val="21"/>
    </w:rPr>
  </w:style>
  <w:style w:type="paragraph" w:customStyle="1" w:styleId="92">
    <w:name w:val="文档正文"/>
    <w:basedOn w:val="1"/>
    <w:qFormat/>
    <w:uiPriority w:val="0"/>
    <w:rPr>
      <w:rFonts w:ascii="宋体" w:hAnsi="宋体" w:cs="Arial"/>
      <w:bCs/>
      <w:szCs w:val="21"/>
    </w:rPr>
  </w:style>
  <w:style w:type="paragraph" w:customStyle="1" w:styleId="93">
    <w:name w:val="ZY-A-正文内容"/>
    <w:basedOn w:val="1"/>
    <w:qFormat/>
    <w:uiPriority w:val="0"/>
    <w:pPr>
      <w:widowControl/>
      <w:tabs>
        <w:tab w:val="left" w:pos="0"/>
      </w:tabs>
      <w:spacing w:line="360" w:lineRule="auto"/>
      <w:ind w:firstLine="560" w:firstLineChars="200"/>
    </w:pPr>
    <w:rPr>
      <w:rFonts w:hint="eastAsia" w:eastAsia="仿宋_GB2312" w:cstheme="minorBidi"/>
      <w:szCs w:val="21"/>
    </w:rPr>
  </w:style>
  <w:style w:type="paragraph" w:customStyle="1" w:styleId="94">
    <w:name w:val="ZY-附录表格正文"/>
    <w:basedOn w:val="1"/>
    <w:qFormat/>
    <w:uiPriority w:val="0"/>
    <w:pPr>
      <w:widowControl/>
      <w:jc w:val="center"/>
    </w:pPr>
    <w:rPr>
      <w:rFonts w:hint="eastAsia" w:ascii="黑体" w:hAnsi="黑体" w:eastAsia="黑体" w:cs="宋体"/>
      <w:kern w:val="0"/>
      <w:sz w:val="20"/>
    </w:rPr>
  </w:style>
  <w:style w:type="paragraph" w:customStyle="1" w:styleId="95">
    <w:name w:val="Revision"/>
    <w:hidden/>
    <w:semiHidden/>
    <w:qFormat/>
    <w:uiPriority w:val="99"/>
    <w:rPr>
      <w:rFonts w:ascii="Times New Roman" w:hAnsi="Times New Roman" w:eastAsia="宋体" w:cs="Times New Roman"/>
      <w:kern w:val="2"/>
      <w:sz w:val="21"/>
      <w:lang w:val="en-US" w:eastAsia="zh-CN" w:bidi="ar-SA"/>
    </w:rPr>
  </w:style>
  <w:style w:type="paragraph" w:customStyle="1" w:styleId="96">
    <w:name w:val="Table Paragraph"/>
    <w:basedOn w:val="1"/>
    <w:qFormat/>
    <w:uiPriority w:val="0"/>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10534</Words>
  <Characters>11434</Characters>
  <Lines>1</Lines>
  <Paragraphs>1</Paragraphs>
  <TotalTime>71</TotalTime>
  <ScaleCrop>false</ScaleCrop>
  <LinksUpToDate>false</LinksUpToDate>
  <CharactersWithSpaces>11846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2022-08-11T18:00:00Z</dcterms:created>
  <dc:creator>Administrator</dc:creator>
  <cp:lastModifiedBy>mnnnn.</cp:lastModifiedBy>
  <cp:lastPrinted>2023-12-13T14:44:00Z</cp:lastPrinted>
  <dcterms:modified xsi:type="dcterms:W3CDTF">2025-04-18T09:41:10Z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00AC633FF7FA4A3CB82C674A9774DBF4_13</vt:lpwstr>
  </property>
  <property fmtid="{D5CDD505-2E9C-101B-9397-08002B2CF9AE}" pid="4" name="commondata">
    <vt:lpwstr>eyJoZGlkIjoiMTY3NmVmZDMzNjIyYzhhNDE2N2E5MmI0Mzg3OGM1YTYifQ==</vt:lpwstr>
  </property>
  <property fmtid="{D5CDD505-2E9C-101B-9397-08002B2CF9AE}" pid="5" name="KSOTemplateDocerSaveRecord">
    <vt:lpwstr>eyJoZGlkIjoiZTQ4ZGFlZmNiMTliMDVlMDljZTQ4NGI3Y2U0ZTkyNDgiLCJ1c2VySWQiOiIzODkxNTAyNTAifQ==</vt:lpwstr>
  </property>
</Properties>
</file>