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AF552B">
      <w:pPr>
        <w:rPr>
          <w:highlight w:val="none"/>
        </w:rPr>
      </w:pPr>
    </w:p>
    <w:p w14:paraId="70A0C8EB">
      <w:pPr>
        <w:jc w:val="both"/>
        <w:rPr>
          <w:rFonts w:hint="eastAsia" w:eastAsia="宋体"/>
          <w:sz w:val="44"/>
          <w:szCs w:val="40"/>
          <w:highlight w:val="none"/>
          <w:lang w:eastAsia="zh-CN"/>
        </w:rPr>
      </w:pPr>
    </w:p>
    <w:p w14:paraId="64B64674">
      <w:pPr>
        <w:jc w:val="center"/>
        <w:rPr>
          <w:rFonts w:hint="eastAsia" w:ascii="宋体" w:hAnsi="宋体" w:eastAsia="宋体" w:cs="宋体"/>
          <w:sz w:val="56"/>
          <w:szCs w:val="52"/>
          <w:highlight w:val="none"/>
          <w:lang w:eastAsia="zh-CN"/>
        </w:rPr>
      </w:pPr>
      <w:r>
        <w:rPr>
          <w:rFonts w:hint="eastAsia" w:ascii="宋体" w:hAnsi="宋体" w:eastAsia="宋体" w:cs="宋体"/>
          <w:sz w:val="56"/>
          <w:szCs w:val="52"/>
          <w:highlight w:val="none"/>
          <w:lang w:eastAsia="zh-CN"/>
        </w:rPr>
        <w:t>2025年舟山交警司法鉴定服务项目</w:t>
      </w:r>
    </w:p>
    <w:p w14:paraId="77E1BAD2">
      <w:pPr>
        <w:rPr>
          <w:highlight w:val="none"/>
        </w:rPr>
      </w:pPr>
    </w:p>
    <w:p w14:paraId="70100151">
      <w:pPr>
        <w:pStyle w:val="13"/>
        <w:snapToGrid w:val="0"/>
        <w:spacing w:before="120" w:after="120" w:line="360" w:lineRule="auto"/>
        <w:jc w:val="center"/>
        <w:rPr>
          <w:rFonts w:hint="eastAsia" w:hAnsi="宋体" w:eastAsia="宋体" w:cs="宋体"/>
          <w:bCs/>
          <w:sz w:val="72"/>
          <w:szCs w:val="72"/>
          <w:highlight w:val="none"/>
          <w:lang w:val="en-US" w:eastAsia="zh-CN"/>
        </w:rPr>
      </w:pPr>
    </w:p>
    <w:p w14:paraId="69291F2A">
      <w:pPr>
        <w:pStyle w:val="13"/>
        <w:snapToGrid w:val="0"/>
        <w:spacing w:before="120" w:after="120" w:line="360" w:lineRule="auto"/>
        <w:jc w:val="center"/>
        <w:rPr>
          <w:rFonts w:hAnsi="宋体" w:eastAsia="宋体" w:cs="宋体"/>
          <w:b/>
          <w:sz w:val="72"/>
          <w:szCs w:val="72"/>
          <w:highlight w:val="none"/>
        </w:rPr>
      </w:pPr>
      <w:r>
        <w:rPr>
          <w:rFonts w:hint="eastAsia" w:hAnsi="宋体" w:eastAsia="宋体" w:cs="宋体"/>
          <w:bCs/>
          <w:sz w:val="72"/>
          <w:szCs w:val="72"/>
          <w:highlight w:val="none"/>
          <w:lang w:val="en-US" w:eastAsia="zh-CN"/>
        </w:rPr>
        <w:t>磋商</w:t>
      </w:r>
      <w:r>
        <w:rPr>
          <w:rFonts w:hint="eastAsia" w:hAnsi="宋体" w:eastAsia="宋体" w:cs="宋体"/>
          <w:bCs/>
          <w:sz w:val="72"/>
          <w:szCs w:val="72"/>
          <w:highlight w:val="none"/>
        </w:rPr>
        <w:t>文件</w:t>
      </w:r>
    </w:p>
    <w:p w14:paraId="03CAEA87">
      <w:pPr>
        <w:pStyle w:val="13"/>
        <w:snapToGrid w:val="0"/>
        <w:spacing w:before="120" w:after="120" w:line="360" w:lineRule="auto"/>
        <w:rPr>
          <w:rFonts w:hAnsi="宋体" w:eastAsia="宋体" w:cs="宋体"/>
          <w:b/>
          <w:sz w:val="24"/>
          <w:szCs w:val="24"/>
          <w:highlight w:val="none"/>
        </w:rPr>
      </w:pPr>
    </w:p>
    <w:p w14:paraId="73B703B6">
      <w:pPr>
        <w:pStyle w:val="13"/>
        <w:snapToGrid w:val="0"/>
        <w:spacing w:before="120" w:after="120" w:line="360" w:lineRule="auto"/>
        <w:rPr>
          <w:rFonts w:hAnsi="宋体" w:eastAsia="宋体" w:cs="宋体"/>
          <w:b/>
          <w:sz w:val="24"/>
          <w:szCs w:val="24"/>
          <w:highlight w:val="none"/>
        </w:rPr>
      </w:pPr>
    </w:p>
    <w:p w14:paraId="17FD0A0F">
      <w:pPr>
        <w:bidi w:val="0"/>
        <w:rPr>
          <w:highlight w:val="none"/>
        </w:rPr>
      </w:pPr>
    </w:p>
    <w:p w14:paraId="5FA67F4F">
      <w:pPr>
        <w:pStyle w:val="10"/>
        <w:ind w:left="0" w:leftChars="0" w:firstLine="0" w:firstLineChars="0"/>
        <w:rPr>
          <w:highlight w:val="none"/>
        </w:rPr>
      </w:pPr>
    </w:p>
    <w:p w14:paraId="15307FE7">
      <w:pPr>
        <w:rPr>
          <w:highlight w:val="none"/>
        </w:rPr>
      </w:pPr>
    </w:p>
    <w:p w14:paraId="732CFBA1">
      <w:pPr>
        <w:pStyle w:val="10"/>
        <w:rPr>
          <w:highlight w:val="none"/>
        </w:rPr>
      </w:pPr>
    </w:p>
    <w:p w14:paraId="46B24833">
      <w:pPr>
        <w:pStyle w:val="74"/>
        <w:widowControl w:val="0"/>
        <w:spacing w:line="720" w:lineRule="auto"/>
        <w:ind w:left="0" w:leftChars="0" w:firstLine="1898" w:firstLineChars="678"/>
        <w:rPr>
          <w:rFonts w:ascii="宋体" w:hAnsi="宋体" w:cs="宋体"/>
          <w:sz w:val="28"/>
          <w:szCs w:val="28"/>
          <w:highlight w:val="none"/>
        </w:rPr>
      </w:pPr>
      <w:r>
        <w:rPr>
          <w:rFonts w:hint="eastAsia" w:ascii="宋体" w:hAnsi="宋体" w:cs="宋体"/>
          <w:sz w:val="28"/>
          <w:szCs w:val="28"/>
          <w:highlight w:val="none"/>
        </w:rPr>
        <w:t>项目编号：0773-2541GNZSFWCS0712</w:t>
      </w:r>
    </w:p>
    <w:p w14:paraId="73CF8885">
      <w:pPr>
        <w:spacing w:line="720" w:lineRule="auto"/>
        <w:ind w:left="0" w:leftChars="0" w:firstLine="1898" w:firstLineChars="678"/>
        <w:rPr>
          <w:rFonts w:hint="eastAsia" w:ascii="宋体" w:hAnsi="宋体" w:cs="宋体"/>
          <w:sz w:val="28"/>
          <w:szCs w:val="28"/>
          <w:highlight w:val="none"/>
        </w:rPr>
      </w:pPr>
      <w:r>
        <w:rPr>
          <w:rFonts w:hint="eastAsia" w:ascii="宋体" w:hAnsi="宋体" w:cs="宋体"/>
          <w:sz w:val="28"/>
          <w:szCs w:val="28"/>
          <w:highlight w:val="none"/>
        </w:rPr>
        <w:t>项目名称：2025年舟山交警司法鉴定服务项目</w:t>
      </w:r>
    </w:p>
    <w:p w14:paraId="3D70F603">
      <w:pPr>
        <w:spacing w:line="720" w:lineRule="auto"/>
        <w:ind w:left="0" w:leftChars="0" w:firstLine="1898" w:firstLineChars="678"/>
        <w:rPr>
          <w:rFonts w:ascii="宋体" w:hAnsi="宋体" w:cs="宋体"/>
          <w:sz w:val="28"/>
          <w:szCs w:val="28"/>
          <w:highlight w:val="none"/>
        </w:rPr>
      </w:pPr>
      <w:r>
        <w:rPr>
          <w:rFonts w:hint="eastAsia" w:ascii="宋体" w:hAnsi="宋体" w:cs="宋体"/>
          <w:sz w:val="28"/>
          <w:szCs w:val="28"/>
          <w:highlight w:val="none"/>
        </w:rPr>
        <w:t>采 购 人：舟山市公安局交通警察支队</w:t>
      </w:r>
      <w:r>
        <w:rPr>
          <w:rFonts w:hint="eastAsia" w:ascii="宋体" w:hAnsi="宋体" w:cs="宋体"/>
          <w:sz w:val="28"/>
          <w:szCs w:val="28"/>
          <w:highlight w:val="none"/>
          <w:lang w:val="en-US" w:eastAsia="zh-CN"/>
        </w:rPr>
        <w:t>（</w:t>
      </w:r>
      <w:r>
        <w:rPr>
          <w:rFonts w:hint="eastAsia" w:ascii="宋体" w:hAnsi="宋体" w:cs="宋体"/>
          <w:sz w:val="28"/>
          <w:szCs w:val="28"/>
          <w:highlight w:val="none"/>
        </w:rPr>
        <w:t>盖章）</w:t>
      </w:r>
    </w:p>
    <w:p w14:paraId="42F35381">
      <w:pPr>
        <w:spacing w:line="720" w:lineRule="auto"/>
        <w:ind w:left="0" w:leftChars="0" w:firstLine="1898" w:firstLineChars="678"/>
        <w:rPr>
          <w:rFonts w:ascii="宋体" w:hAnsi="宋体" w:cs="宋体"/>
          <w:sz w:val="28"/>
          <w:szCs w:val="28"/>
          <w:highlight w:val="none"/>
        </w:rPr>
      </w:pPr>
      <w:r>
        <w:rPr>
          <w:rFonts w:hint="eastAsia" w:ascii="宋体" w:hAnsi="宋体" w:cs="宋体"/>
          <w:sz w:val="28"/>
          <w:szCs w:val="28"/>
          <w:highlight w:val="none"/>
        </w:rPr>
        <w:t>代理机构：中金招标有限责任公司（盖章）</w:t>
      </w:r>
    </w:p>
    <w:p w14:paraId="4E2D6508">
      <w:pPr>
        <w:pStyle w:val="13"/>
        <w:spacing w:before="120" w:after="120" w:line="360" w:lineRule="auto"/>
        <w:ind w:left="0" w:leftChars="0" w:firstLine="1898" w:firstLineChars="678"/>
        <w:rPr>
          <w:rFonts w:hAnsi="宋体" w:eastAsia="宋体" w:cs="宋体"/>
          <w:sz w:val="24"/>
          <w:szCs w:val="24"/>
          <w:highlight w:val="none"/>
        </w:rPr>
      </w:pPr>
      <w:r>
        <w:rPr>
          <w:rFonts w:hint="eastAsia" w:hAnsi="宋体" w:eastAsia="宋体" w:cs="宋体"/>
          <w:bCs/>
          <w:sz w:val="28"/>
          <w:szCs w:val="28"/>
          <w:highlight w:val="none"/>
        </w:rPr>
        <w:t>日    期：二〇二</w:t>
      </w:r>
      <w:r>
        <w:rPr>
          <w:rFonts w:hint="eastAsia" w:hAnsi="宋体" w:eastAsia="宋体" w:cs="宋体"/>
          <w:bCs/>
          <w:sz w:val="28"/>
          <w:szCs w:val="28"/>
          <w:highlight w:val="none"/>
          <w:lang w:val="en-US" w:eastAsia="zh-CN"/>
        </w:rPr>
        <w:t>五</w:t>
      </w:r>
      <w:r>
        <w:rPr>
          <w:rFonts w:hint="eastAsia" w:hAnsi="宋体" w:eastAsia="宋体" w:cs="宋体"/>
          <w:bCs/>
          <w:sz w:val="28"/>
          <w:szCs w:val="28"/>
          <w:highlight w:val="none"/>
        </w:rPr>
        <w:t>年</w:t>
      </w:r>
      <w:r>
        <w:rPr>
          <w:rFonts w:hint="eastAsia" w:hAnsi="宋体" w:eastAsia="宋体" w:cs="宋体"/>
          <w:bCs/>
          <w:sz w:val="28"/>
          <w:szCs w:val="28"/>
          <w:highlight w:val="none"/>
          <w:lang w:val="en-US" w:eastAsia="zh-CN"/>
        </w:rPr>
        <w:t>四</w:t>
      </w:r>
      <w:r>
        <w:rPr>
          <w:rFonts w:hint="eastAsia" w:hAnsi="宋体" w:eastAsia="宋体" w:cs="宋体"/>
          <w:bCs/>
          <w:sz w:val="28"/>
          <w:szCs w:val="28"/>
          <w:highlight w:val="none"/>
        </w:rPr>
        <w:t>月</w:t>
      </w:r>
    </w:p>
    <w:p w14:paraId="1F2C7120">
      <w:pPr>
        <w:pStyle w:val="13"/>
        <w:spacing w:before="120" w:after="120" w:line="600" w:lineRule="auto"/>
        <w:jc w:val="both"/>
        <w:rPr>
          <w:rFonts w:hAnsi="宋体" w:eastAsia="宋体" w:cs="宋体"/>
          <w:sz w:val="36"/>
          <w:szCs w:val="36"/>
          <w:highlight w:val="none"/>
        </w:rPr>
        <w:sectPr>
          <w:headerReference r:id="rId4" w:type="first"/>
          <w:headerReference r:id="rId3" w:type="default"/>
          <w:pgSz w:w="11906" w:h="16838"/>
          <w:pgMar w:top="1531" w:right="992" w:bottom="737" w:left="992" w:header="851" w:footer="584" w:gutter="0"/>
          <w:pgBorders>
            <w:top w:val="none" w:sz="0" w:space="0"/>
            <w:left w:val="none" w:sz="0" w:space="0"/>
            <w:bottom w:val="none" w:sz="0" w:space="0"/>
            <w:right w:val="none" w:sz="0" w:space="0"/>
          </w:pgBorders>
          <w:pgNumType w:fmt="decimal"/>
          <w:cols w:space="720" w:num="1"/>
          <w:titlePg/>
          <w:docGrid w:type="lines" w:linePitch="312" w:charSpace="0"/>
        </w:sectPr>
      </w:pPr>
    </w:p>
    <w:p w14:paraId="6190E482">
      <w:pPr>
        <w:pStyle w:val="13"/>
        <w:spacing w:before="120" w:after="120" w:line="600" w:lineRule="auto"/>
        <w:jc w:val="center"/>
        <w:rPr>
          <w:highlight w:val="none"/>
        </w:rPr>
      </w:pPr>
      <w:r>
        <w:rPr>
          <w:rFonts w:hint="eastAsia" w:hAnsi="宋体" w:eastAsia="宋体" w:cs="宋体"/>
          <w:sz w:val="36"/>
          <w:szCs w:val="36"/>
          <w:highlight w:val="none"/>
        </w:rPr>
        <w:t>目    录</w:t>
      </w:r>
    </w:p>
    <w:p w14:paraId="2C880128">
      <w:pPr>
        <w:spacing w:before="120" w:line="552" w:lineRule="auto"/>
        <w:ind w:firstLine="840" w:firstLineChars="300"/>
        <w:outlineLvl w:val="9"/>
        <w:rPr>
          <w:rFonts w:ascii="宋体" w:hAnsi="宋体" w:cs="宋体"/>
          <w:sz w:val="28"/>
          <w:szCs w:val="28"/>
          <w:highlight w:val="none"/>
        </w:rPr>
      </w:pPr>
      <w:r>
        <w:rPr>
          <w:rFonts w:hint="eastAsia" w:ascii="宋体" w:hAnsi="宋体" w:cs="宋体"/>
          <w:sz w:val="28"/>
          <w:szCs w:val="28"/>
          <w:highlight w:val="none"/>
        </w:rPr>
        <w:t>第一章  竞争性磋商公告</w:t>
      </w:r>
    </w:p>
    <w:p w14:paraId="355E27B2">
      <w:pPr>
        <w:spacing w:before="120" w:line="552" w:lineRule="auto"/>
        <w:ind w:firstLine="840" w:firstLineChars="300"/>
        <w:rPr>
          <w:rFonts w:ascii="宋体" w:hAnsi="宋体" w:cs="宋体"/>
          <w:sz w:val="28"/>
          <w:szCs w:val="28"/>
          <w:highlight w:val="none"/>
        </w:rPr>
      </w:pPr>
      <w:r>
        <w:rPr>
          <w:rFonts w:hint="eastAsia" w:ascii="宋体" w:hAnsi="宋体" w:cs="宋体"/>
          <w:sz w:val="28"/>
          <w:szCs w:val="28"/>
          <w:highlight w:val="none"/>
        </w:rPr>
        <w:t>第二章  采购需求</w:t>
      </w:r>
    </w:p>
    <w:p w14:paraId="044A3188">
      <w:pPr>
        <w:spacing w:before="120" w:line="552" w:lineRule="auto"/>
        <w:ind w:firstLine="840" w:firstLineChars="300"/>
        <w:rPr>
          <w:rFonts w:ascii="宋体" w:hAnsi="宋体" w:cs="宋体"/>
          <w:sz w:val="28"/>
          <w:szCs w:val="28"/>
          <w:highlight w:val="none"/>
        </w:rPr>
      </w:pPr>
      <w:r>
        <w:rPr>
          <w:rFonts w:hint="eastAsia" w:ascii="宋体" w:hAnsi="宋体" w:cs="宋体"/>
          <w:sz w:val="28"/>
          <w:szCs w:val="28"/>
          <w:highlight w:val="none"/>
        </w:rPr>
        <w:t>第三章  响应人须知</w:t>
      </w:r>
    </w:p>
    <w:p w14:paraId="03049E82">
      <w:pPr>
        <w:spacing w:before="120" w:line="552" w:lineRule="auto"/>
        <w:ind w:firstLine="1960" w:firstLineChars="700"/>
        <w:rPr>
          <w:rFonts w:ascii="宋体" w:hAnsi="宋体" w:cs="宋体"/>
          <w:sz w:val="28"/>
          <w:szCs w:val="28"/>
          <w:highlight w:val="none"/>
        </w:rPr>
      </w:pPr>
      <w:r>
        <w:rPr>
          <w:rFonts w:hint="eastAsia" w:ascii="宋体" w:hAnsi="宋体" w:cs="宋体"/>
          <w:sz w:val="28"/>
          <w:szCs w:val="28"/>
          <w:highlight w:val="none"/>
        </w:rPr>
        <w:t xml:space="preserve">前附表 </w:t>
      </w:r>
    </w:p>
    <w:p w14:paraId="665967B9">
      <w:pPr>
        <w:spacing w:before="120" w:line="552" w:lineRule="auto"/>
        <w:ind w:firstLine="1400" w:firstLineChars="500"/>
        <w:rPr>
          <w:rFonts w:ascii="宋体" w:hAnsi="宋体" w:cs="宋体"/>
          <w:sz w:val="28"/>
          <w:szCs w:val="28"/>
          <w:highlight w:val="none"/>
        </w:rPr>
      </w:pPr>
      <w:r>
        <w:rPr>
          <w:rFonts w:hint="eastAsia" w:ascii="宋体" w:hAnsi="宋体" w:cs="宋体"/>
          <w:sz w:val="28"/>
          <w:szCs w:val="28"/>
          <w:highlight w:val="none"/>
        </w:rPr>
        <w:t>一、总 则</w:t>
      </w:r>
    </w:p>
    <w:p w14:paraId="4741AD5E">
      <w:pPr>
        <w:spacing w:before="120" w:line="552" w:lineRule="auto"/>
        <w:ind w:firstLine="1400" w:firstLineChars="500"/>
        <w:rPr>
          <w:rFonts w:ascii="宋体" w:hAnsi="宋体" w:cs="宋体"/>
          <w:sz w:val="28"/>
          <w:szCs w:val="28"/>
          <w:highlight w:val="none"/>
        </w:rPr>
      </w:pPr>
      <w:r>
        <w:rPr>
          <w:rFonts w:hint="eastAsia" w:ascii="宋体" w:hAnsi="宋体" w:cs="宋体"/>
          <w:sz w:val="28"/>
          <w:szCs w:val="28"/>
          <w:highlight w:val="none"/>
        </w:rPr>
        <w:t>二、</w:t>
      </w:r>
      <w:r>
        <w:rPr>
          <w:rFonts w:hint="eastAsia" w:ascii="宋体" w:hAnsi="宋体" w:cs="宋体"/>
          <w:sz w:val="28"/>
          <w:szCs w:val="28"/>
          <w:highlight w:val="none"/>
          <w:lang w:val="en-US" w:eastAsia="zh-CN"/>
        </w:rPr>
        <w:t>磋商</w:t>
      </w:r>
      <w:r>
        <w:rPr>
          <w:rFonts w:hint="eastAsia" w:ascii="宋体" w:hAnsi="宋体" w:cs="宋体"/>
          <w:sz w:val="28"/>
          <w:szCs w:val="28"/>
          <w:highlight w:val="none"/>
        </w:rPr>
        <w:t>文件</w:t>
      </w:r>
    </w:p>
    <w:p w14:paraId="331A53AC">
      <w:pPr>
        <w:spacing w:before="120" w:line="552" w:lineRule="auto"/>
        <w:ind w:firstLine="1400" w:firstLineChars="500"/>
        <w:rPr>
          <w:rFonts w:ascii="宋体" w:hAnsi="宋体" w:cs="宋体"/>
          <w:sz w:val="28"/>
          <w:szCs w:val="28"/>
          <w:highlight w:val="none"/>
        </w:rPr>
      </w:pPr>
      <w:r>
        <w:rPr>
          <w:rFonts w:hint="eastAsia" w:ascii="宋体" w:hAnsi="宋体" w:cs="宋体"/>
          <w:sz w:val="28"/>
          <w:szCs w:val="28"/>
          <w:highlight w:val="none"/>
        </w:rPr>
        <w:t>三、</w:t>
      </w:r>
      <w:r>
        <w:rPr>
          <w:rFonts w:hint="eastAsia" w:ascii="宋体" w:hAnsi="宋体" w:cs="宋体"/>
          <w:sz w:val="28"/>
          <w:szCs w:val="28"/>
          <w:highlight w:val="none"/>
          <w:lang w:val="en-US" w:eastAsia="zh-CN"/>
        </w:rPr>
        <w:t>响应</w:t>
      </w:r>
      <w:r>
        <w:rPr>
          <w:rFonts w:hint="eastAsia" w:ascii="宋体" w:hAnsi="宋体" w:cs="宋体"/>
          <w:sz w:val="28"/>
          <w:szCs w:val="28"/>
          <w:highlight w:val="none"/>
        </w:rPr>
        <w:t>文件的编制</w:t>
      </w:r>
    </w:p>
    <w:p w14:paraId="30E946A9">
      <w:pPr>
        <w:spacing w:before="120" w:line="552" w:lineRule="auto"/>
        <w:ind w:firstLine="1400" w:firstLineChars="500"/>
        <w:rPr>
          <w:rFonts w:ascii="宋体" w:hAnsi="宋体" w:cs="宋体"/>
          <w:sz w:val="28"/>
          <w:szCs w:val="28"/>
          <w:highlight w:val="none"/>
        </w:rPr>
      </w:pPr>
      <w:r>
        <w:rPr>
          <w:rFonts w:hint="eastAsia" w:ascii="宋体" w:hAnsi="宋体" w:cs="宋体"/>
          <w:sz w:val="28"/>
          <w:szCs w:val="28"/>
          <w:highlight w:val="none"/>
        </w:rPr>
        <w:t>四、开标</w:t>
      </w:r>
    </w:p>
    <w:p w14:paraId="5AF6A310">
      <w:pPr>
        <w:spacing w:before="120" w:line="552" w:lineRule="auto"/>
        <w:ind w:firstLine="1400" w:firstLineChars="500"/>
        <w:rPr>
          <w:rFonts w:ascii="宋体" w:hAnsi="宋体" w:cs="宋体"/>
          <w:sz w:val="28"/>
          <w:szCs w:val="28"/>
          <w:highlight w:val="none"/>
        </w:rPr>
      </w:pPr>
      <w:r>
        <w:rPr>
          <w:rFonts w:hint="eastAsia" w:ascii="宋体" w:hAnsi="宋体" w:cs="宋体"/>
          <w:sz w:val="28"/>
          <w:szCs w:val="28"/>
          <w:highlight w:val="none"/>
        </w:rPr>
        <w:t>五、评标</w:t>
      </w:r>
    </w:p>
    <w:p w14:paraId="3A8E38D1">
      <w:pPr>
        <w:spacing w:before="120" w:line="552" w:lineRule="auto"/>
        <w:ind w:firstLine="1400" w:firstLineChars="500"/>
        <w:rPr>
          <w:rFonts w:ascii="宋体" w:hAnsi="宋体" w:cs="宋体"/>
          <w:sz w:val="28"/>
          <w:szCs w:val="28"/>
          <w:highlight w:val="none"/>
        </w:rPr>
      </w:pPr>
      <w:r>
        <w:rPr>
          <w:rFonts w:hint="eastAsia" w:ascii="宋体" w:hAnsi="宋体" w:cs="宋体"/>
          <w:sz w:val="28"/>
          <w:szCs w:val="28"/>
          <w:highlight w:val="none"/>
        </w:rPr>
        <w:t>六、废标</w:t>
      </w:r>
    </w:p>
    <w:p w14:paraId="56C4EC96">
      <w:pPr>
        <w:spacing w:before="120" w:line="552" w:lineRule="auto"/>
        <w:ind w:firstLine="1400" w:firstLineChars="500"/>
        <w:rPr>
          <w:rFonts w:ascii="宋体" w:hAnsi="宋体" w:cs="宋体"/>
          <w:sz w:val="28"/>
          <w:szCs w:val="28"/>
          <w:highlight w:val="none"/>
        </w:rPr>
      </w:pPr>
      <w:r>
        <w:rPr>
          <w:rFonts w:hint="eastAsia" w:ascii="宋体" w:hAnsi="宋体" w:cs="宋体"/>
          <w:sz w:val="28"/>
          <w:szCs w:val="28"/>
          <w:highlight w:val="none"/>
        </w:rPr>
        <w:t>七、定标</w:t>
      </w:r>
    </w:p>
    <w:p w14:paraId="19CA8406">
      <w:pPr>
        <w:spacing w:before="120" w:line="552" w:lineRule="auto"/>
        <w:ind w:firstLine="1400" w:firstLineChars="500"/>
        <w:rPr>
          <w:rFonts w:ascii="宋体" w:hAnsi="宋体" w:cs="宋体"/>
          <w:sz w:val="28"/>
          <w:szCs w:val="28"/>
          <w:highlight w:val="none"/>
        </w:rPr>
      </w:pPr>
      <w:r>
        <w:rPr>
          <w:rFonts w:hint="eastAsia" w:ascii="宋体" w:hAnsi="宋体" w:cs="宋体"/>
          <w:sz w:val="28"/>
          <w:szCs w:val="28"/>
          <w:highlight w:val="none"/>
        </w:rPr>
        <w:t>八、合同授予</w:t>
      </w:r>
    </w:p>
    <w:p w14:paraId="1593D825">
      <w:pPr>
        <w:spacing w:before="120" w:line="552" w:lineRule="auto"/>
        <w:ind w:firstLine="840" w:firstLineChars="300"/>
        <w:rPr>
          <w:rFonts w:ascii="宋体" w:hAnsi="宋体" w:cs="宋体"/>
          <w:sz w:val="28"/>
          <w:szCs w:val="28"/>
          <w:highlight w:val="none"/>
        </w:rPr>
      </w:pPr>
      <w:r>
        <w:rPr>
          <w:rFonts w:hint="eastAsia" w:ascii="宋体" w:hAnsi="宋体" w:cs="宋体"/>
          <w:sz w:val="28"/>
          <w:szCs w:val="28"/>
          <w:highlight w:val="none"/>
        </w:rPr>
        <w:t>第四章  评标办法及标准</w:t>
      </w:r>
    </w:p>
    <w:p w14:paraId="7E8E2901">
      <w:pPr>
        <w:spacing w:before="120" w:line="552" w:lineRule="auto"/>
        <w:ind w:firstLine="840" w:firstLineChars="300"/>
        <w:rPr>
          <w:rFonts w:ascii="宋体" w:hAnsi="宋体" w:cs="宋体"/>
          <w:sz w:val="28"/>
          <w:szCs w:val="28"/>
          <w:highlight w:val="none"/>
        </w:rPr>
      </w:pPr>
      <w:r>
        <w:rPr>
          <w:rFonts w:hint="eastAsia" w:ascii="宋体" w:hAnsi="宋体" w:cs="宋体"/>
          <w:sz w:val="28"/>
          <w:szCs w:val="28"/>
          <w:highlight w:val="none"/>
        </w:rPr>
        <w:t>第五章  合同主要条款</w:t>
      </w:r>
    </w:p>
    <w:p w14:paraId="37C20624">
      <w:pPr>
        <w:spacing w:before="120" w:line="552" w:lineRule="auto"/>
        <w:ind w:firstLine="840" w:firstLineChars="300"/>
        <w:rPr>
          <w:rFonts w:ascii="宋体" w:hAnsi="宋体" w:cs="宋体"/>
          <w:sz w:val="24"/>
          <w:szCs w:val="24"/>
          <w:highlight w:val="none"/>
        </w:rPr>
      </w:pPr>
      <w:r>
        <w:rPr>
          <w:rFonts w:hint="eastAsia" w:ascii="宋体" w:hAnsi="宋体" w:cs="宋体"/>
          <w:sz w:val="28"/>
          <w:szCs w:val="28"/>
          <w:highlight w:val="none"/>
        </w:rPr>
        <w:t xml:space="preserve">第六章  </w:t>
      </w:r>
      <w:r>
        <w:rPr>
          <w:rFonts w:hint="eastAsia" w:ascii="宋体" w:hAnsi="宋体" w:cs="宋体"/>
          <w:sz w:val="28"/>
          <w:szCs w:val="28"/>
          <w:highlight w:val="none"/>
          <w:lang w:val="en-US" w:eastAsia="zh-CN"/>
        </w:rPr>
        <w:t>响应</w:t>
      </w:r>
      <w:r>
        <w:rPr>
          <w:rFonts w:hint="eastAsia" w:ascii="宋体" w:hAnsi="宋体" w:cs="宋体"/>
          <w:sz w:val="28"/>
          <w:szCs w:val="28"/>
          <w:highlight w:val="none"/>
        </w:rPr>
        <w:t>文件组成</w:t>
      </w:r>
    </w:p>
    <w:p w14:paraId="388E260E">
      <w:pPr>
        <w:rPr>
          <w:rFonts w:hint="eastAsia" w:ascii="宋体" w:hAnsi="宋体" w:cs="宋体"/>
          <w:b/>
          <w:sz w:val="28"/>
          <w:szCs w:val="28"/>
          <w:highlight w:val="none"/>
        </w:rPr>
      </w:pPr>
      <w:bookmarkStart w:id="0" w:name="OLE_LINK1"/>
      <w:r>
        <w:rPr>
          <w:rFonts w:hint="eastAsia" w:ascii="宋体" w:hAnsi="宋体" w:cs="宋体"/>
          <w:b/>
          <w:sz w:val="28"/>
          <w:szCs w:val="28"/>
          <w:highlight w:val="none"/>
        </w:rPr>
        <w:br w:type="page"/>
      </w:r>
    </w:p>
    <w:p w14:paraId="40530743">
      <w:pPr>
        <w:keepNext w:val="0"/>
        <w:keepLines w:val="0"/>
        <w:pageBreakBefore w:val="0"/>
        <w:kinsoku/>
        <w:wordWrap/>
        <w:overflowPunct/>
        <w:topLinePunct w:val="0"/>
        <w:autoSpaceDE/>
        <w:autoSpaceDN/>
        <w:bidi w:val="0"/>
        <w:adjustRightInd/>
        <w:snapToGrid/>
        <w:spacing w:line="360" w:lineRule="auto"/>
        <w:jc w:val="center"/>
        <w:textAlignment w:val="auto"/>
        <w:outlineLvl w:val="0"/>
        <w:rPr>
          <w:rFonts w:ascii="宋体" w:hAnsi="宋体" w:cs="宋体"/>
          <w:b/>
          <w:sz w:val="28"/>
          <w:szCs w:val="28"/>
          <w:highlight w:val="none"/>
        </w:rPr>
      </w:pPr>
      <w:r>
        <w:rPr>
          <w:rFonts w:hint="eastAsia" w:ascii="宋体" w:hAnsi="宋体" w:cs="宋体"/>
          <w:b/>
          <w:sz w:val="28"/>
          <w:szCs w:val="28"/>
          <w:highlight w:val="none"/>
        </w:rPr>
        <w:t xml:space="preserve">第一章 </w:t>
      </w:r>
      <w:bookmarkStart w:id="1" w:name="OLE_LINK3"/>
      <w:r>
        <w:rPr>
          <w:rFonts w:hint="eastAsia" w:ascii="宋体" w:hAnsi="宋体" w:cs="宋体"/>
          <w:b/>
          <w:sz w:val="28"/>
          <w:szCs w:val="28"/>
          <w:highlight w:val="none"/>
        </w:rPr>
        <w:t xml:space="preserve"> </w:t>
      </w:r>
      <w:bookmarkStart w:id="2" w:name="OLE_LINK4"/>
      <w:bookmarkStart w:id="3" w:name="OLE_LINK2"/>
      <w:r>
        <w:rPr>
          <w:rFonts w:hint="eastAsia" w:ascii="宋体" w:hAnsi="宋体" w:cs="宋体"/>
          <w:b/>
          <w:sz w:val="28"/>
          <w:szCs w:val="28"/>
          <w:highlight w:val="none"/>
        </w:rPr>
        <w:t>竞争性磋商公告</w:t>
      </w:r>
    </w:p>
    <w:bookmarkEnd w:id="0"/>
    <w:bookmarkEnd w:id="1"/>
    <w:bookmarkEnd w:id="2"/>
    <w:bookmarkEnd w:id="3"/>
    <w:tbl>
      <w:tblPr>
        <w:tblStyle w:val="2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138"/>
      </w:tblGrid>
      <w:tr w14:paraId="282D9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tcPr>
          <w:p w14:paraId="34B42B6A">
            <w:pPr>
              <w:pStyle w:val="2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宋体" w:hAnsi="宋体" w:eastAsia="宋体" w:cs="宋体"/>
                <w:i w:val="0"/>
                <w:iCs w:val="0"/>
                <w:caps w:val="0"/>
                <w:color w:val="000000"/>
                <w:spacing w:val="0"/>
                <w:sz w:val="21"/>
                <w:szCs w:val="21"/>
                <w:highlight w:val="none"/>
              </w:rPr>
            </w:pPr>
            <w:r>
              <w:rPr>
                <w:rFonts w:hint="eastAsia" w:ascii="宋体" w:hAnsi="宋体" w:eastAsia="宋体" w:cs="宋体"/>
                <w:i w:val="0"/>
                <w:iCs w:val="0"/>
                <w:caps w:val="0"/>
                <w:color w:val="000000"/>
                <w:spacing w:val="0"/>
                <w:sz w:val="21"/>
                <w:szCs w:val="21"/>
                <w:highlight w:val="none"/>
              </w:rPr>
              <w:t xml:space="preserve">项目概况    </w:t>
            </w:r>
          </w:p>
          <w:p w14:paraId="229B6867">
            <w:pPr>
              <w:pStyle w:val="2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420" w:firstLineChars="200"/>
              <w:textAlignment w:val="auto"/>
              <w:rPr>
                <w:rFonts w:hint="eastAsia" w:ascii="宋体" w:hAnsi="宋体" w:eastAsia="宋体" w:cs="宋体"/>
                <w:b/>
                <w:sz w:val="21"/>
                <w:szCs w:val="21"/>
                <w:highlight w:val="none"/>
                <w:vertAlign w:val="baseline"/>
              </w:rPr>
            </w:pPr>
            <w:r>
              <w:rPr>
                <w:rFonts w:hint="eastAsia" w:ascii="宋体" w:hAnsi="宋体" w:eastAsia="宋体" w:cs="宋体"/>
                <w:i w:val="0"/>
                <w:iCs w:val="0"/>
                <w:caps w:val="0"/>
                <w:color w:val="000000"/>
                <w:spacing w:val="0"/>
                <w:sz w:val="21"/>
                <w:szCs w:val="21"/>
                <w:highlight w:val="none"/>
              </w:rPr>
              <w:t>2025年舟山交警司法鉴定服务项目采购项目的潜在供应商应在浙江政府采购网http://zfcg.czt.zj.gov.cn/（用“政采云”注册账号、密码登录系统后获取采购文件）获取（下载）采购文件，并于2025年04月</w:t>
            </w:r>
            <w:r>
              <w:rPr>
                <w:rFonts w:hint="eastAsia" w:cs="宋体"/>
                <w:i w:val="0"/>
                <w:iCs w:val="0"/>
                <w:caps w:val="0"/>
                <w:color w:val="000000"/>
                <w:spacing w:val="0"/>
                <w:sz w:val="21"/>
                <w:szCs w:val="21"/>
                <w:highlight w:val="none"/>
                <w:lang w:val="en-US" w:eastAsia="zh-CN"/>
              </w:rPr>
              <w:t>23</w:t>
            </w:r>
            <w:r>
              <w:rPr>
                <w:rFonts w:hint="eastAsia" w:ascii="宋体" w:hAnsi="宋体" w:eastAsia="宋体" w:cs="宋体"/>
                <w:i w:val="0"/>
                <w:iCs w:val="0"/>
                <w:caps w:val="0"/>
                <w:color w:val="000000"/>
                <w:spacing w:val="0"/>
                <w:sz w:val="21"/>
                <w:szCs w:val="21"/>
                <w:highlight w:val="none"/>
              </w:rPr>
              <w:t xml:space="preserve">日 09:00（北京时间）前提交（上传）响应文件。  </w:t>
            </w:r>
          </w:p>
        </w:tc>
      </w:tr>
    </w:tbl>
    <w:p w14:paraId="6D252C0E">
      <w:pPr>
        <w:pStyle w:val="23"/>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宋体" w:hAnsi="宋体" w:eastAsia="宋体" w:cs="宋体"/>
          <w:b/>
          <w:bCs/>
          <w:i w:val="0"/>
          <w:iCs w:val="0"/>
          <w:caps w:val="0"/>
          <w:color w:val="000000"/>
          <w:spacing w:val="0"/>
          <w:sz w:val="21"/>
          <w:szCs w:val="21"/>
          <w:highlight w:val="none"/>
        </w:rPr>
      </w:pPr>
    </w:p>
    <w:p w14:paraId="2F1F0076">
      <w:pPr>
        <w:pStyle w:val="23"/>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textAlignment w:val="auto"/>
        <w:rPr>
          <w:rFonts w:hint="eastAsia" w:ascii="宋体" w:hAnsi="宋体" w:eastAsia="宋体" w:cs="宋体"/>
          <w:b/>
          <w:bCs/>
          <w:sz w:val="21"/>
          <w:szCs w:val="21"/>
        </w:rPr>
      </w:pPr>
      <w:r>
        <w:rPr>
          <w:rFonts w:hint="eastAsia" w:ascii="宋体" w:hAnsi="宋体" w:eastAsia="宋体" w:cs="宋体"/>
          <w:b/>
          <w:bCs/>
          <w:i w:val="0"/>
          <w:iCs w:val="0"/>
          <w:caps w:val="0"/>
          <w:color w:val="000000"/>
          <w:spacing w:val="0"/>
          <w:sz w:val="21"/>
          <w:szCs w:val="21"/>
        </w:rPr>
        <w:t>一、项目基本情况</w:t>
      </w:r>
    </w:p>
    <w:p w14:paraId="1FD1E96A">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项目编号：0773-2541GNZSFWCS0712      </w:t>
      </w:r>
    </w:p>
    <w:p w14:paraId="31E639B1">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项目名称：2025年舟山交警司法鉴定服务项目      </w:t>
      </w:r>
    </w:p>
    <w:p w14:paraId="45867804">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采购方式：竞争性磋商      </w:t>
      </w:r>
    </w:p>
    <w:p w14:paraId="19EEB47C">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预算金额（元）：800000      </w:t>
      </w:r>
    </w:p>
    <w:p w14:paraId="4F48817A">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最高限价（元）：/      </w:t>
      </w:r>
    </w:p>
    <w:p w14:paraId="665BF905">
      <w:pPr>
        <w:keepNext w:val="0"/>
        <w:keepLines w:val="0"/>
        <w:pageBreakBefore w:val="0"/>
        <w:widowControl/>
        <w:suppressLineNumbers w:val="0"/>
        <w:kinsoku/>
        <w:wordWrap/>
        <w:overflowPunct/>
        <w:topLinePunct w:val="0"/>
        <w:autoSpaceDE/>
        <w:autoSpaceDN/>
        <w:bidi w:val="0"/>
        <w:adjustRightInd/>
        <w:snapToGrid/>
        <w:spacing w:line="360" w:lineRule="auto"/>
        <w:ind w:left="0" w:firstLine="420"/>
        <w:jc w:val="left"/>
        <w:textAlignment w:val="auto"/>
        <w:rPr>
          <w:rFonts w:hint="eastAsia" w:ascii="宋体" w:hAnsi="宋体" w:eastAsia="宋体" w:cs="宋体"/>
          <w:i w:val="0"/>
          <w:iCs w:val="0"/>
          <w:caps w:val="0"/>
          <w:color w:val="000000"/>
          <w:spacing w:val="0"/>
          <w:sz w:val="21"/>
          <w:szCs w:val="21"/>
        </w:rPr>
      </w:pPr>
      <w:r>
        <w:rPr>
          <w:rFonts w:hint="eastAsia" w:ascii="宋体" w:hAnsi="宋体" w:eastAsia="宋体" w:cs="宋体"/>
          <w:i w:val="0"/>
          <w:iCs w:val="0"/>
          <w:caps w:val="0"/>
          <w:color w:val="000000"/>
          <w:spacing w:val="0"/>
          <w:kern w:val="0"/>
          <w:sz w:val="21"/>
          <w:szCs w:val="21"/>
          <w:lang w:val="en-US" w:eastAsia="zh-CN" w:bidi="ar"/>
        </w:rPr>
        <w:t>采购需求：        </w:t>
      </w:r>
    </w:p>
    <w:p w14:paraId="5C42D73C">
      <w:pPr>
        <w:pStyle w:val="23"/>
        <w:keepNext w:val="0"/>
        <w:keepLines w:val="0"/>
        <w:pageBreakBefore w:val="0"/>
        <w:widowControl/>
        <w:suppressLineNumbers w:val="0"/>
        <w:kinsoku/>
        <w:wordWrap/>
        <w:overflowPunct/>
        <w:topLinePunct w:val="0"/>
        <w:autoSpaceDE/>
        <w:autoSpaceDN/>
        <w:bidi w:val="0"/>
        <w:adjustRightInd/>
        <w:snapToGrid/>
        <w:spacing w:before="300" w:beforeAutospacing="0" w:after="300" w:afterAutospacing="0" w:line="360" w:lineRule="auto"/>
        <w:ind w:left="0" w:right="0" w:firstLine="420" w:firstLineChars="20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shd w:val="clear" w:fill="F7F7F7"/>
        </w:rPr>
        <w:t>数量：</w:t>
      </w:r>
      <w:r>
        <w:rPr>
          <w:rFonts w:hint="eastAsia" w:ascii="宋体" w:hAnsi="宋体" w:eastAsia="宋体" w:cs="宋体"/>
          <w:b w:val="0"/>
          <w:bCs w:val="0"/>
          <w:i w:val="0"/>
          <w:iCs w:val="0"/>
          <w:caps w:val="0"/>
          <w:color w:val="000000"/>
          <w:spacing w:val="0"/>
          <w:sz w:val="21"/>
          <w:szCs w:val="21"/>
          <w:shd w:val="clear" w:fill="F7F7F7"/>
        </w:rPr>
        <w:t>1</w:t>
      </w:r>
      <w:r>
        <w:rPr>
          <w:rFonts w:hint="eastAsia" w:ascii="宋体" w:hAnsi="宋体" w:eastAsia="宋体" w:cs="宋体"/>
          <w:i w:val="0"/>
          <w:iCs w:val="0"/>
          <w:caps w:val="0"/>
          <w:color w:val="000000"/>
          <w:spacing w:val="0"/>
          <w:sz w:val="21"/>
          <w:szCs w:val="21"/>
          <w:shd w:val="clear" w:fill="F7F7F7"/>
        </w:rPr>
        <w:t>          </w:t>
      </w:r>
    </w:p>
    <w:p w14:paraId="4CB1CF23">
      <w:pPr>
        <w:pStyle w:val="23"/>
        <w:keepNext w:val="0"/>
        <w:keepLines w:val="0"/>
        <w:pageBreakBefore w:val="0"/>
        <w:widowControl/>
        <w:suppressLineNumbers w:val="0"/>
        <w:kinsoku/>
        <w:wordWrap/>
        <w:overflowPunct/>
        <w:topLinePunct w:val="0"/>
        <w:autoSpaceDE/>
        <w:autoSpaceDN/>
        <w:bidi w:val="0"/>
        <w:adjustRightInd/>
        <w:snapToGrid/>
        <w:spacing w:before="300" w:beforeAutospacing="0" w:after="300" w:afterAutospacing="0" w:line="360" w:lineRule="auto"/>
        <w:ind w:left="0" w:right="0" w:firstLine="420" w:firstLineChars="20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shd w:val="clear" w:fill="F7F7F7"/>
        </w:rPr>
        <w:t>预算金额（元）：</w:t>
      </w:r>
      <w:r>
        <w:rPr>
          <w:rFonts w:hint="eastAsia" w:ascii="宋体" w:hAnsi="宋体" w:eastAsia="宋体" w:cs="宋体"/>
          <w:b w:val="0"/>
          <w:bCs w:val="0"/>
          <w:i w:val="0"/>
          <w:iCs w:val="0"/>
          <w:caps w:val="0"/>
          <w:color w:val="000000"/>
          <w:spacing w:val="0"/>
          <w:sz w:val="21"/>
          <w:szCs w:val="21"/>
          <w:shd w:val="clear" w:fill="F7F7F7"/>
        </w:rPr>
        <w:t>800000</w:t>
      </w:r>
      <w:r>
        <w:rPr>
          <w:rFonts w:hint="eastAsia" w:ascii="宋体" w:hAnsi="宋体" w:eastAsia="宋体" w:cs="宋体"/>
          <w:i w:val="0"/>
          <w:iCs w:val="0"/>
          <w:caps w:val="0"/>
          <w:color w:val="000000"/>
          <w:spacing w:val="0"/>
          <w:sz w:val="21"/>
          <w:szCs w:val="21"/>
          <w:shd w:val="clear" w:fill="F7F7F7"/>
        </w:rPr>
        <w:t>          </w:t>
      </w:r>
    </w:p>
    <w:p w14:paraId="18680947">
      <w:pPr>
        <w:pStyle w:val="23"/>
        <w:keepNext w:val="0"/>
        <w:keepLines w:val="0"/>
        <w:pageBreakBefore w:val="0"/>
        <w:widowControl/>
        <w:suppressLineNumbers w:val="0"/>
        <w:kinsoku/>
        <w:wordWrap/>
        <w:overflowPunct/>
        <w:topLinePunct w:val="0"/>
        <w:autoSpaceDE/>
        <w:autoSpaceDN/>
        <w:bidi w:val="0"/>
        <w:adjustRightInd/>
        <w:snapToGrid/>
        <w:spacing w:before="300" w:beforeAutospacing="0" w:after="300" w:afterAutospacing="0" w:line="360" w:lineRule="auto"/>
        <w:ind w:left="0" w:right="0" w:firstLine="420" w:firstLineChars="20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shd w:val="clear" w:fill="F7F7F7"/>
        </w:rPr>
        <w:t>单位：</w:t>
      </w:r>
      <w:r>
        <w:rPr>
          <w:rFonts w:hint="eastAsia" w:ascii="宋体" w:hAnsi="宋体" w:eastAsia="宋体" w:cs="宋体"/>
          <w:b w:val="0"/>
          <w:bCs w:val="0"/>
          <w:i w:val="0"/>
          <w:iCs w:val="0"/>
          <w:caps w:val="0"/>
          <w:color w:val="000000"/>
          <w:spacing w:val="0"/>
          <w:sz w:val="21"/>
          <w:szCs w:val="21"/>
          <w:shd w:val="clear" w:fill="F7F7F7"/>
        </w:rPr>
        <w:t>项</w:t>
      </w:r>
      <w:r>
        <w:rPr>
          <w:rFonts w:hint="eastAsia" w:ascii="宋体" w:hAnsi="宋体" w:eastAsia="宋体" w:cs="宋体"/>
          <w:i w:val="0"/>
          <w:iCs w:val="0"/>
          <w:caps w:val="0"/>
          <w:color w:val="000000"/>
          <w:spacing w:val="0"/>
          <w:sz w:val="21"/>
          <w:szCs w:val="21"/>
          <w:shd w:val="clear" w:fill="F7F7F7"/>
        </w:rPr>
        <w:t>          </w:t>
      </w:r>
    </w:p>
    <w:p w14:paraId="325ED07A">
      <w:pPr>
        <w:pStyle w:val="23"/>
        <w:keepNext w:val="0"/>
        <w:keepLines w:val="0"/>
        <w:pageBreakBefore w:val="0"/>
        <w:widowControl/>
        <w:suppressLineNumbers w:val="0"/>
        <w:kinsoku/>
        <w:wordWrap/>
        <w:overflowPunct/>
        <w:topLinePunct w:val="0"/>
        <w:autoSpaceDE/>
        <w:autoSpaceDN/>
        <w:bidi w:val="0"/>
        <w:adjustRightInd/>
        <w:snapToGrid/>
        <w:spacing w:before="300" w:beforeAutospacing="0" w:after="300" w:afterAutospacing="0" w:line="360" w:lineRule="auto"/>
        <w:ind w:left="0" w:right="0" w:firstLine="420" w:firstLineChars="20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shd w:val="clear" w:fill="F7F7F7"/>
        </w:rPr>
        <w:t>简要规格描述：</w:t>
      </w:r>
      <w:r>
        <w:rPr>
          <w:rFonts w:hint="eastAsia" w:ascii="宋体" w:hAnsi="宋体" w:eastAsia="宋体" w:cs="宋体"/>
          <w:b w:val="0"/>
          <w:bCs w:val="0"/>
          <w:i w:val="0"/>
          <w:iCs w:val="0"/>
          <w:caps w:val="0"/>
          <w:color w:val="000000"/>
          <w:spacing w:val="0"/>
          <w:sz w:val="21"/>
          <w:szCs w:val="21"/>
          <w:shd w:val="clear" w:fill="F7F7F7"/>
        </w:rPr>
        <w:t>详见磋商文件 </w:t>
      </w:r>
      <w:r>
        <w:rPr>
          <w:rFonts w:hint="eastAsia" w:ascii="宋体" w:hAnsi="宋体" w:eastAsia="宋体" w:cs="宋体"/>
          <w:i w:val="0"/>
          <w:iCs w:val="0"/>
          <w:caps w:val="0"/>
          <w:color w:val="000000"/>
          <w:spacing w:val="0"/>
          <w:sz w:val="21"/>
          <w:szCs w:val="21"/>
          <w:shd w:val="clear" w:fill="F7F7F7"/>
        </w:rPr>
        <w:t>          </w:t>
      </w:r>
    </w:p>
    <w:p w14:paraId="286B8F05">
      <w:pPr>
        <w:pStyle w:val="23"/>
        <w:keepNext w:val="0"/>
        <w:keepLines w:val="0"/>
        <w:pageBreakBefore w:val="0"/>
        <w:widowControl/>
        <w:suppressLineNumbers w:val="0"/>
        <w:kinsoku/>
        <w:wordWrap/>
        <w:overflowPunct/>
        <w:topLinePunct w:val="0"/>
        <w:autoSpaceDE/>
        <w:autoSpaceDN/>
        <w:bidi w:val="0"/>
        <w:adjustRightInd/>
        <w:snapToGrid/>
        <w:spacing w:before="300" w:beforeAutospacing="0" w:after="300" w:afterAutospacing="0" w:line="360" w:lineRule="auto"/>
        <w:ind w:left="0" w:right="0" w:firstLine="420" w:firstLineChars="20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shd w:val="clear" w:fill="F7F7F7"/>
        </w:rPr>
        <w:t>备注：          </w:t>
      </w:r>
    </w:p>
    <w:p w14:paraId="29867E5E">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合同履约期限：标项 1，自合同签订之日起1年      </w:t>
      </w:r>
    </w:p>
    <w:p w14:paraId="2F4D6504">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本项目（否）接受联合体投标。      </w:t>
      </w:r>
    </w:p>
    <w:p w14:paraId="364D24E4">
      <w:pPr>
        <w:pStyle w:val="23"/>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textAlignment w:val="auto"/>
        <w:rPr>
          <w:rFonts w:hint="eastAsia" w:ascii="宋体" w:hAnsi="宋体" w:eastAsia="宋体" w:cs="宋体"/>
          <w:b/>
          <w:bCs/>
          <w:sz w:val="21"/>
          <w:szCs w:val="21"/>
        </w:rPr>
      </w:pPr>
      <w:r>
        <w:rPr>
          <w:rFonts w:hint="eastAsia" w:ascii="宋体" w:hAnsi="宋体" w:eastAsia="宋体" w:cs="宋体"/>
          <w:b/>
          <w:bCs/>
          <w:i w:val="0"/>
          <w:iCs w:val="0"/>
          <w:caps w:val="0"/>
          <w:color w:val="000000"/>
          <w:spacing w:val="0"/>
          <w:sz w:val="21"/>
          <w:szCs w:val="21"/>
        </w:rPr>
        <w:t>二、申请人的资格要求：</w:t>
      </w:r>
    </w:p>
    <w:p w14:paraId="1AE04BB8">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1.满足《中华人民共和国政府采购法》第二十二条规定；未被“信用中国”（www.creditchina.gov.cn)、中国政府采购网（www.ccgp.gov.cn）列入失信被执行人、重大税收违法失信主体、政府采购严重违法失信行为记录名单。      </w:t>
      </w:r>
    </w:p>
    <w:p w14:paraId="4BA858E4">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2.落实政府采购政策需满足的资格要求：标项1：供应商为中小企业       </w:t>
      </w:r>
    </w:p>
    <w:p w14:paraId="32181A83">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3.本项目的特定资格要求：【标项1】具备机动车车辆技术鉴定能力，具备物证类鉴定（痕迹鉴定.机动车痕迹鉴定）资质，资质中必须包含：021101车辆安全技术状况鉴定、021103交通事故痕迹鉴定、021104车辆速度鉴定、021105交通事故痕迹物证综合鉴定四项子分类。      </w:t>
      </w:r>
    </w:p>
    <w:p w14:paraId="711DFCD7">
      <w:pPr>
        <w:pStyle w:val="23"/>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textAlignment w:val="auto"/>
        <w:rPr>
          <w:rFonts w:hint="eastAsia" w:ascii="宋体" w:hAnsi="宋体" w:eastAsia="宋体" w:cs="宋体"/>
          <w:b/>
          <w:bCs/>
          <w:sz w:val="21"/>
          <w:szCs w:val="21"/>
        </w:rPr>
      </w:pPr>
      <w:r>
        <w:rPr>
          <w:rFonts w:hint="eastAsia" w:ascii="宋体" w:hAnsi="宋体" w:eastAsia="宋体" w:cs="宋体"/>
          <w:b/>
          <w:bCs/>
          <w:i w:val="0"/>
          <w:iCs w:val="0"/>
          <w:caps w:val="0"/>
          <w:color w:val="000000"/>
          <w:spacing w:val="0"/>
          <w:sz w:val="21"/>
          <w:szCs w:val="21"/>
        </w:rPr>
        <w:t>三、获取（下载）采购文件</w:t>
      </w:r>
    </w:p>
    <w:p w14:paraId="618072FA">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时间：/至2025年04月</w:t>
      </w:r>
      <w:r>
        <w:rPr>
          <w:rFonts w:hint="eastAsia" w:cs="宋体"/>
          <w:i w:val="0"/>
          <w:iCs w:val="0"/>
          <w:caps w:val="0"/>
          <w:color w:val="000000"/>
          <w:spacing w:val="0"/>
          <w:sz w:val="21"/>
          <w:szCs w:val="21"/>
          <w:lang w:val="en-US" w:eastAsia="zh-CN"/>
        </w:rPr>
        <w:t>23</w:t>
      </w:r>
      <w:r>
        <w:rPr>
          <w:rFonts w:hint="eastAsia" w:ascii="宋体" w:hAnsi="宋体" w:eastAsia="宋体" w:cs="宋体"/>
          <w:i w:val="0"/>
          <w:iCs w:val="0"/>
          <w:caps w:val="0"/>
          <w:color w:val="000000"/>
          <w:spacing w:val="0"/>
          <w:sz w:val="21"/>
          <w:szCs w:val="21"/>
        </w:rPr>
        <w:t>日，每天上午00:00至12:00，下午12:00至23:59（北京时间，线上获取法定节假日均可，线下获取文件法定节假日除外）      </w:t>
      </w:r>
    </w:p>
    <w:p w14:paraId="0B620F69">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地点（网址）：浙江政府采购网http://zfcg.czt.zj.gov.cn/（用“政采云”注册账号、密码登录系统后获取采购文件）      </w:t>
      </w:r>
    </w:p>
    <w:p w14:paraId="6CA74E66">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方式：网上获取。免费注册网址：浙江政府采购网（供应商注册页面）：https://middle.zcygov.cn/settle-front/#/registry“政采云”，已经注册成功的供应商无需重复注册，本项目实行电子投标。投标人在使用系统进行投标的过程中涉及平台使用的任何问题可致电政采云平台技术支持热线：400-881-7190。      </w:t>
      </w:r>
    </w:p>
    <w:p w14:paraId="5E0FD5E3">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售价（元）：0      </w:t>
      </w:r>
    </w:p>
    <w:p w14:paraId="2B75A2F1">
      <w:pPr>
        <w:pStyle w:val="23"/>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textAlignment w:val="auto"/>
        <w:rPr>
          <w:rFonts w:hint="eastAsia" w:ascii="宋体" w:hAnsi="宋体" w:eastAsia="宋体" w:cs="宋体"/>
          <w:b/>
          <w:bCs/>
          <w:sz w:val="21"/>
          <w:szCs w:val="21"/>
        </w:rPr>
      </w:pPr>
      <w:r>
        <w:rPr>
          <w:rFonts w:hint="eastAsia" w:ascii="宋体" w:hAnsi="宋体" w:eastAsia="宋体" w:cs="宋体"/>
          <w:b/>
          <w:bCs/>
          <w:i w:val="0"/>
          <w:iCs w:val="0"/>
          <w:caps w:val="0"/>
          <w:color w:val="000000"/>
          <w:spacing w:val="0"/>
          <w:sz w:val="21"/>
          <w:szCs w:val="21"/>
        </w:rPr>
        <w:t>四、响应文件提交（上传）</w:t>
      </w:r>
    </w:p>
    <w:p w14:paraId="13CB7225">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截止时间：2025年04月23日 09:00（北京时间）</w:t>
      </w:r>
    </w:p>
    <w:p w14:paraId="6E5C5CFE">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地点（网址）：①本项目不要求供应商授权代表参加现场开标、开启投标文件活动。②投标人将加密的电子版投标文件于投标截止时间前上传到政采云系统中。③投标人可以选择递交备份投标文件。备份投标文件须密封完好，注明投标人单位名称，并于投标截止时间前递交，否则采购代理机构将拒收。具体递交方式为开标日前通过邮寄、专人等形式送达采购代理机构地址或开标当天专人送达开标地点（联系人：梅洁；联系方式：13388440851）。       </w:t>
      </w:r>
    </w:p>
    <w:p w14:paraId="051FA7E3">
      <w:pPr>
        <w:pStyle w:val="23"/>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textAlignment w:val="auto"/>
        <w:rPr>
          <w:rFonts w:hint="eastAsia" w:ascii="宋体" w:hAnsi="宋体" w:eastAsia="宋体" w:cs="宋体"/>
          <w:b/>
          <w:bCs/>
          <w:sz w:val="21"/>
          <w:szCs w:val="21"/>
        </w:rPr>
      </w:pPr>
      <w:r>
        <w:rPr>
          <w:rFonts w:hint="eastAsia" w:ascii="宋体" w:hAnsi="宋体" w:eastAsia="宋体" w:cs="宋体"/>
          <w:b/>
          <w:bCs/>
          <w:i w:val="0"/>
          <w:iCs w:val="0"/>
          <w:caps w:val="0"/>
          <w:color w:val="000000"/>
          <w:spacing w:val="0"/>
          <w:sz w:val="21"/>
          <w:szCs w:val="21"/>
        </w:rPr>
        <w:t>五、响应文件开启</w:t>
      </w:r>
    </w:p>
    <w:p w14:paraId="1B85498A">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开启时间：2025年04月23日 09:00（北京时间）</w:t>
      </w:r>
    </w:p>
    <w:p w14:paraId="78CD7191">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地点（网址）：舟山市定海区海天大道998号中金招标四楼开标室      </w:t>
      </w:r>
    </w:p>
    <w:p w14:paraId="306A73A5">
      <w:pPr>
        <w:pStyle w:val="23"/>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textAlignment w:val="auto"/>
        <w:rPr>
          <w:rFonts w:hint="eastAsia" w:ascii="宋体" w:hAnsi="宋体" w:eastAsia="宋体" w:cs="宋体"/>
          <w:b/>
          <w:bCs/>
          <w:sz w:val="21"/>
          <w:szCs w:val="21"/>
        </w:rPr>
      </w:pPr>
      <w:r>
        <w:rPr>
          <w:rFonts w:hint="eastAsia" w:ascii="宋体" w:hAnsi="宋体" w:eastAsia="宋体" w:cs="宋体"/>
          <w:b/>
          <w:bCs/>
          <w:i w:val="0"/>
          <w:iCs w:val="0"/>
          <w:caps w:val="0"/>
          <w:color w:val="000000"/>
          <w:spacing w:val="0"/>
          <w:sz w:val="21"/>
          <w:szCs w:val="21"/>
        </w:rPr>
        <w:t>六、公告期限</w:t>
      </w:r>
    </w:p>
    <w:p w14:paraId="35B709B1">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自本公告发布之日起3个工作日。      </w:t>
      </w:r>
    </w:p>
    <w:p w14:paraId="689C3298">
      <w:pPr>
        <w:pStyle w:val="23"/>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textAlignment w:val="auto"/>
        <w:rPr>
          <w:rFonts w:hint="eastAsia" w:ascii="宋体" w:hAnsi="宋体" w:eastAsia="宋体" w:cs="宋体"/>
          <w:b/>
          <w:bCs/>
          <w:sz w:val="21"/>
          <w:szCs w:val="21"/>
        </w:rPr>
      </w:pPr>
      <w:r>
        <w:rPr>
          <w:rFonts w:hint="eastAsia" w:ascii="宋体" w:hAnsi="宋体" w:eastAsia="宋体" w:cs="宋体"/>
          <w:b/>
          <w:bCs/>
          <w:i w:val="0"/>
          <w:iCs w:val="0"/>
          <w:caps w:val="0"/>
          <w:color w:val="000000"/>
          <w:spacing w:val="0"/>
          <w:sz w:val="21"/>
          <w:szCs w:val="21"/>
        </w:rPr>
        <w:t>七、其他补充事宜</w:t>
      </w:r>
    </w:p>
    <w:p w14:paraId="1F5B9030">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      </w:t>
      </w:r>
    </w:p>
    <w:p w14:paraId="7CD6C520">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      </w:t>
      </w:r>
    </w:p>
    <w:p w14:paraId="7855952E">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      </w:t>
      </w:r>
    </w:p>
    <w:p w14:paraId="2163F5D6">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4.其他事项：（1）投标文件的制作及递交：1）投标人须在线获取CA数字证书（完成CA数字证书办理预计一周左右，建议各投标人自行把握时间），并登录“浙江政府采购网”（ http://zfcg.czt.zj.gov.cn/），进入“下载专区”下载“电子交易客户端”，制作投标文件。2）具体的投标文件加密上传等操作详见政采云平台操作指南（https://edu.zcygov.cn/luban/e-biding?utm=a0004.2ef5001f.0001.0109.da8b35e0da8611e98d8937b7ef8a3544）。3）根据《浙江省政府采购项目电子交易管理暂行办法》第二十条规定，本次投标允许投标人递交备份投标文件，仅提交备份投标文件的，投标无效。（2）投标人应在合同签订前成为浙江政府采购网正式注册供应商。      </w:t>
      </w:r>
    </w:p>
    <w:p w14:paraId="285B59D2">
      <w:pPr>
        <w:pStyle w:val="23"/>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textAlignment w:val="auto"/>
        <w:rPr>
          <w:rFonts w:hint="eastAsia" w:ascii="宋体" w:hAnsi="宋体" w:eastAsia="宋体" w:cs="宋体"/>
          <w:b/>
          <w:bCs/>
          <w:sz w:val="21"/>
          <w:szCs w:val="21"/>
        </w:rPr>
      </w:pPr>
      <w:r>
        <w:rPr>
          <w:rFonts w:hint="eastAsia" w:ascii="宋体" w:hAnsi="宋体" w:eastAsia="宋体" w:cs="宋体"/>
          <w:b/>
          <w:bCs/>
          <w:i w:val="0"/>
          <w:iCs w:val="0"/>
          <w:caps w:val="0"/>
          <w:color w:val="000000"/>
          <w:spacing w:val="0"/>
          <w:sz w:val="21"/>
          <w:szCs w:val="21"/>
        </w:rPr>
        <w:t>八、凡对本次招标提出询问、质疑、投诉，请按以下方式联系</w:t>
      </w:r>
    </w:p>
    <w:p w14:paraId="641BD186">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1.采购人信息        </w:t>
      </w:r>
    </w:p>
    <w:p w14:paraId="0C218894">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名    称：舟山市公安局交通警察支队        </w:t>
      </w:r>
    </w:p>
    <w:p w14:paraId="1B9E959C">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地    址：舟山市定海区临城街道海天大道399号        </w:t>
      </w:r>
    </w:p>
    <w:p w14:paraId="0481FB10">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传    真：        </w:t>
      </w:r>
    </w:p>
    <w:p w14:paraId="260F8807">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项目联系人（询问）：卢斌        </w:t>
      </w:r>
    </w:p>
    <w:p w14:paraId="3578A37B">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项目联系方式（询问）：0580-2087731        </w:t>
      </w:r>
    </w:p>
    <w:p w14:paraId="3A8E5E5F">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质疑联系人：黄思波        </w:t>
      </w:r>
    </w:p>
    <w:p w14:paraId="54FFAEFE">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质疑联系方式：13957212968        </w:t>
      </w:r>
    </w:p>
    <w:p w14:paraId="3094FFCD">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spacing w:val="0"/>
          <w:sz w:val="21"/>
          <w:szCs w:val="21"/>
        </w:rPr>
      </w:pPr>
    </w:p>
    <w:p w14:paraId="5DC3398C">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2.采购代理机构信息        </w:t>
      </w:r>
    </w:p>
    <w:p w14:paraId="26C99414">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名    称：中金招标有限责任公司        </w:t>
      </w:r>
    </w:p>
    <w:p w14:paraId="12D41701">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地    址：舟山市定海区海天大道998号四楼        </w:t>
      </w:r>
    </w:p>
    <w:p w14:paraId="7F19DCD6">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传    真：        </w:t>
      </w:r>
    </w:p>
    <w:p w14:paraId="5D8381D0">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项目联系人（询问）：梅洁        </w:t>
      </w:r>
    </w:p>
    <w:p w14:paraId="53BD34FC">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项目联系方式（询问）：13388440851        </w:t>
      </w:r>
    </w:p>
    <w:p w14:paraId="2D72C51F">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质疑联系人：蔡真鹏        </w:t>
      </w:r>
    </w:p>
    <w:p w14:paraId="5BCEC054">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质疑联系方式：19106800108        </w:t>
      </w:r>
    </w:p>
    <w:p w14:paraId="1894E5E8">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spacing w:val="0"/>
          <w:sz w:val="21"/>
          <w:szCs w:val="21"/>
        </w:rPr>
      </w:pPr>
    </w:p>
    <w:p w14:paraId="16D1A882">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3.</w:t>
      </w:r>
      <w:r>
        <w:rPr>
          <w:rStyle w:val="36"/>
          <w:rFonts w:hint="eastAsia" w:ascii="宋体" w:hAnsi="宋体" w:eastAsia="宋体" w:cs="宋体"/>
          <w:i w:val="0"/>
          <w:iCs w:val="0"/>
          <w:caps w:val="0"/>
          <w:color w:val="000000"/>
          <w:spacing w:val="0"/>
          <w:sz w:val="21"/>
          <w:szCs w:val="21"/>
        </w:rPr>
        <w:t>同级政府采购监督管理部门</w:t>
      </w:r>
    </w:p>
    <w:p w14:paraId="3E0FABC7">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名    称：舟山市财政局政府采购监管处</w:t>
      </w:r>
    </w:p>
    <w:p w14:paraId="4348E67F">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地    址：舟山市财政局</w:t>
      </w:r>
    </w:p>
    <w:p w14:paraId="61591534">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传    真：0580-2282591</w:t>
      </w:r>
    </w:p>
    <w:p w14:paraId="3E95C4F9">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联 系 人：王女士</w:t>
      </w:r>
    </w:p>
    <w:p w14:paraId="3B37341A">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spacing w:val="0"/>
          <w:sz w:val="21"/>
          <w:szCs w:val="21"/>
        </w:rPr>
      </w:pPr>
      <w:r>
        <w:rPr>
          <w:rFonts w:hint="eastAsia" w:ascii="宋体" w:hAnsi="宋体" w:eastAsia="宋体" w:cs="宋体"/>
          <w:i w:val="0"/>
          <w:iCs w:val="0"/>
          <w:caps w:val="0"/>
          <w:color w:val="000000"/>
          <w:spacing w:val="0"/>
          <w:sz w:val="21"/>
          <w:szCs w:val="21"/>
        </w:rPr>
        <w:t>监督投诉电话：0580-2282591</w:t>
      </w:r>
      <w:r>
        <w:rPr>
          <w:rFonts w:hint="eastAsia" w:ascii="宋体" w:hAnsi="宋体" w:eastAsia="宋体" w:cs="宋体"/>
          <w:i w:val="0"/>
          <w:iCs w:val="0"/>
          <w:caps w:val="0"/>
          <w:color w:val="000000"/>
          <w:spacing w:val="0"/>
          <w:kern w:val="0"/>
          <w:sz w:val="21"/>
          <w:szCs w:val="21"/>
          <w:lang w:val="en-US" w:eastAsia="zh-CN" w:bidi="ar"/>
        </w:rPr>
        <w:t>     </w:t>
      </w:r>
    </w:p>
    <w:p w14:paraId="116DDB26">
      <w:pPr>
        <w:pStyle w:val="23"/>
        <w:keepNext w:val="0"/>
        <w:keepLines w:val="0"/>
        <w:pageBreakBefore w:val="0"/>
        <w:widowControl/>
        <w:suppressLineNumbers w:val="0"/>
        <w:kinsoku/>
        <w:wordWrap/>
        <w:overflowPunct/>
        <w:topLinePunct w:val="0"/>
        <w:autoSpaceDE/>
        <w:autoSpaceDN/>
        <w:bidi w:val="0"/>
        <w:adjustRightInd/>
        <w:snapToGrid/>
        <w:spacing w:before="600" w:beforeAutospacing="0" w:after="0" w:afterAutospacing="0" w:line="360" w:lineRule="auto"/>
        <w:ind w:left="0" w:right="0" w:firstLine="420" w:firstLineChars="20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若对项目采购电子交易系统操作有疑问，可登录政采云（https://www.zcygov.cn/），点击右侧咨询小采，获取采小蜜智能服务管家帮助，或拨打政采云服务热线95763获取热线服务帮助。</w:t>
      </w:r>
    </w:p>
    <w:p w14:paraId="0C04AC79">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CA问题联系电话（人工）：汇信CA 400-888-4636；天谷CA 400-087-8198。</w:t>
      </w:r>
    </w:p>
    <w:p w14:paraId="5B5FC65E">
      <w:pPr>
        <w:pageBreakBefore w:val="0"/>
        <w:kinsoku/>
        <w:wordWrap/>
        <w:overflowPunct/>
        <w:topLinePunct w:val="0"/>
        <w:bidi w:val="0"/>
        <w:spacing w:line="360" w:lineRule="auto"/>
        <w:jc w:val="center"/>
        <w:outlineLvl w:val="0"/>
        <w:rPr>
          <w:rFonts w:ascii="宋体" w:hAnsi="宋体" w:cs="宋体"/>
          <w:b/>
          <w:szCs w:val="21"/>
          <w:highlight w:val="none"/>
        </w:rPr>
      </w:pPr>
      <w:r>
        <w:rPr>
          <w:rFonts w:hint="eastAsia" w:ascii="宋体" w:hAnsi="宋体" w:cs="宋体"/>
          <w:b/>
          <w:sz w:val="28"/>
          <w:szCs w:val="28"/>
          <w:highlight w:val="none"/>
        </w:rPr>
        <w:br w:type="page"/>
      </w:r>
      <w:r>
        <w:rPr>
          <w:rFonts w:hint="eastAsia" w:ascii="宋体" w:hAnsi="宋体" w:cs="宋体"/>
          <w:b/>
          <w:sz w:val="28"/>
          <w:szCs w:val="28"/>
          <w:highlight w:val="none"/>
        </w:rPr>
        <w:t>第二章 采购需求</w:t>
      </w:r>
      <w:bookmarkStart w:id="4" w:name="_Toc6305"/>
      <w:bookmarkStart w:id="5" w:name="_Toc37423705"/>
      <w:bookmarkStart w:id="6" w:name="_Toc517442217"/>
      <w:bookmarkStart w:id="7" w:name="_Toc15530"/>
      <w:bookmarkStart w:id="8" w:name="_Toc263083258"/>
    </w:p>
    <w:bookmarkEnd w:id="4"/>
    <w:bookmarkEnd w:id="5"/>
    <w:bookmarkEnd w:id="6"/>
    <w:bookmarkEnd w:id="7"/>
    <w:bookmarkEnd w:id="8"/>
    <w:p w14:paraId="7B882B17">
      <w:pPr>
        <w:keepNext w:val="0"/>
        <w:keepLines w:val="0"/>
        <w:pageBreakBefore w:val="0"/>
        <w:kinsoku/>
        <w:wordWrap/>
        <w:overflowPunct/>
        <w:topLinePunct w:val="0"/>
        <w:autoSpaceDE/>
        <w:autoSpaceDN/>
        <w:bidi w:val="0"/>
        <w:spacing w:line="360" w:lineRule="auto"/>
        <w:outlineLvl w:val="1"/>
        <w:rPr>
          <w:rFonts w:hint="eastAsia" w:ascii="宋体" w:hAnsi="宋体" w:eastAsia="宋体" w:cs="宋体"/>
          <w:b/>
          <w:sz w:val="21"/>
          <w:szCs w:val="21"/>
          <w:highlight w:val="none"/>
          <w:lang w:val="en-US" w:eastAsia="zh-CN"/>
        </w:rPr>
      </w:pPr>
      <w:r>
        <w:rPr>
          <w:rFonts w:hint="eastAsia" w:ascii="宋体" w:hAnsi="宋体" w:eastAsia="宋体" w:cs="宋体"/>
          <w:b/>
          <w:sz w:val="21"/>
          <w:szCs w:val="21"/>
          <w:highlight w:val="none"/>
        </w:rPr>
        <w:t>一、</w:t>
      </w:r>
      <w:bookmarkStart w:id="9" w:name="_Toc42261953"/>
      <w:r>
        <w:rPr>
          <w:rFonts w:hint="eastAsia" w:ascii="宋体" w:hAnsi="宋体" w:eastAsia="宋体" w:cs="宋体"/>
          <w:b/>
          <w:sz w:val="21"/>
          <w:szCs w:val="21"/>
          <w:highlight w:val="none"/>
          <w:lang w:val="en-US" w:eastAsia="zh-CN"/>
        </w:rPr>
        <w:t>项目概况</w:t>
      </w:r>
    </w:p>
    <w:p w14:paraId="31DEC581">
      <w:pPr>
        <w:keepNext w:val="0"/>
        <w:keepLines w:val="0"/>
        <w:pageBreakBefore w:val="0"/>
        <w:kinsoku/>
        <w:wordWrap/>
        <w:overflowPunct/>
        <w:topLinePunct w:val="0"/>
        <w:autoSpaceDE/>
        <w:autoSpaceDN/>
        <w:bidi w:val="0"/>
        <w:spacing w:line="360" w:lineRule="auto"/>
        <w:ind w:firstLine="420" w:firstLineChars="200"/>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1.1项目名称：2025年舟山交警司法鉴定服务项目</w:t>
      </w:r>
      <w:r>
        <w:rPr>
          <w:rFonts w:hint="eastAsia" w:ascii="宋体" w:hAnsi="宋体" w:cs="宋体"/>
          <w:b w:val="0"/>
          <w:bCs/>
          <w:sz w:val="21"/>
          <w:szCs w:val="21"/>
          <w:highlight w:val="none"/>
          <w:lang w:val="en-US" w:eastAsia="zh-CN"/>
        </w:rPr>
        <w:t>。</w:t>
      </w:r>
    </w:p>
    <w:p w14:paraId="64F91087">
      <w:pPr>
        <w:keepNext w:val="0"/>
        <w:keepLines w:val="0"/>
        <w:pageBreakBefore w:val="0"/>
        <w:kinsoku/>
        <w:wordWrap/>
        <w:overflowPunct/>
        <w:topLinePunct w:val="0"/>
        <w:autoSpaceDE/>
        <w:autoSpaceDN/>
        <w:bidi w:val="0"/>
        <w:spacing w:line="360" w:lineRule="auto"/>
        <w:ind w:firstLine="420" w:firstLineChars="200"/>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1.2</w:t>
      </w:r>
      <w:r>
        <w:rPr>
          <w:rFonts w:hint="eastAsia" w:ascii="宋体" w:hAnsi="宋体" w:eastAsia="宋体" w:cs="宋体"/>
          <w:b w:val="0"/>
          <w:bCs/>
          <w:sz w:val="21"/>
          <w:szCs w:val="21"/>
          <w:highlight w:val="none"/>
        </w:rPr>
        <w:t>主要功能或者目标：视频车速鉴定、车辆性能检测、车辆属性检测、车辆改装类鉴定、基于痕迹的车速鉴定、是否接触鉴定、碰撞痕迹鉴定、事故成因鉴定、状态鉴定、车辆轨迹鉴定等</w:t>
      </w:r>
      <w:r>
        <w:rPr>
          <w:rFonts w:hint="eastAsia" w:ascii="宋体" w:hAnsi="宋体" w:cs="宋体"/>
          <w:b w:val="0"/>
          <w:bCs/>
          <w:sz w:val="21"/>
          <w:szCs w:val="21"/>
          <w:highlight w:val="none"/>
          <w:lang w:eastAsia="zh-CN"/>
        </w:rPr>
        <w:t>。</w:t>
      </w:r>
    </w:p>
    <w:p w14:paraId="798E9FF3">
      <w:pPr>
        <w:keepNext w:val="0"/>
        <w:keepLines w:val="0"/>
        <w:pageBreakBefore w:val="0"/>
        <w:kinsoku/>
        <w:wordWrap/>
        <w:overflowPunct/>
        <w:topLinePunct w:val="0"/>
        <w:autoSpaceDE/>
        <w:autoSpaceDN/>
        <w:bidi w:val="0"/>
        <w:spacing w:line="360" w:lineRule="auto"/>
        <w:ind w:firstLine="420" w:firstLineChars="200"/>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lang w:val="en-US" w:eastAsia="zh-CN"/>
        </w:rPr>
        <w:t>1.3</w:t>
      </w:r>
      <w:r>
        <w:rPr>
          <w:rFonts w:hint="eastAsia" w:ascii="宋体" w:hAnsi="宋体" w:eastAsia="宋体" w:cs="宋体"/>
          <w:b w:val="0"/>
          <w:bCs/>
          <w:sz w:val="21"/>
          <w:szCs w:val="21"/>
          <w:highlight w:val="none"/>
        </w:rPr>
        <w:t>质量、服务、安全要求：要求检测机构出具相应报告；要求检测机构具有相应资质；要求送审样本保存安全完整</w:t>
      </w:r>
      <w:r>
        <w:rPr>
          <w:rFonts w:hint="eastAsia" w:ascii="宋体" w:hAnsi="宋体" w:cs="宋体"/>
          <w:b w:val="0"/>
          <w:bCs/>
          <w:sz w:val="21"/>
          <w:szCs w:val="21"/>
          <w:highlight w:val="none"/>
          <w:lang w:eastAsia="zh-CN"/>
        </w:rPr>
        <w:t>。</w:t>
      </w:r>
    </w:p>
    <w:p w14:paraId="7756667A">
      <w:pPr>
        <w:keepNext w:val="0"/>
        <w:keepLines w:val="0"/>
        <w:pageBreakBefore w:val="0"/>
        <w:kinsoku/>
        <w:wordWrap/>
        <w:overflowPunct/>
        <w:topLinePunct w:val="0"/>
        <w:autoSpaceDE/>
        <w:autoSpaceDN/>
        <w:bidi w:val="0"/>
        <w:spacing w:line="360" w:lineRule="auto"/>
        <w:ind w:firstLine="420" w:firstLineChars="200"/>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lang w:val="en-US" w:eastAsia="zh-CN"/>
        </w:rPr>
        <w:t>1.4</w:t>
      </w:r>
      <w:r>
        <w:rPr>
          <w:rFonts w:hint="eastAsia" w:ascii="宋体" w:hAnsi="宋体" w:eastAsia="宋体" w:cs="宋体"/>
          <w:b w:val="0"/>
          <w:bCs/>
          <w:sz w:val="21"/>
          <w:szCs w:val="21"/>
          <w:highlight w:val="none"/>
        </w:rPr>
        <w:t>服务期限</w:t>
      </w:r>
      <w:r>
        <w:rPr>
          <w:rFonts w:hint="eastAsia" w:ascii="宋体" w:hAnsi="宋体" w:eastAsia="宋体" w:cs="宋体"/>
          <w:b w:val="0"/>
          <w:bCs/>
          <w:sz w:val="21"/>
          <w:szCs w:val="21"/>
          <w:highlight w:val="none"/>
          <w:lang w:eastAsia="zh-CN"/>
        </w:rPr>
        <w:t>：</w:t>
      </w:r>
      <w:r>
        <w:rPr>
          <w:rFonts w:hint="eastAsia" w:ascii="宋体" w:hAnsi="宋体" w:eastAsia="宋体" w:cs="宋体"/>
          <w:b w:val="0"/>
          <w:bCs/>
          <w:sz w:val="21"/>
          <w:szCs w:val="21"/>
          <w:highlight w:val="none"/>
        </w:rPr>
        <w:t>自合同签订之日起1年</w:t>
      </w:r>
      <w:r>
        <w:rPr>
          <w:rFonts w:hint="eastAsia" w:ascii="宋体" w:hAnsi="宋体" w:cs="宋体"/>
          <w:b w:val="0"/>
          <w:bCs/>
          <w:sz w:val="21"/>
          <w:szCs w:val="21"/>
          <w:highlight w:val="none"/>
          <w:lang w:eastAsia="zh-CN"/>
        </w:rPr>
        <w:t>。</w:t>
      </w:r>
    </w:p>
    <w:p w14:paraId="440586E6">
      <w:pPr>
        <w:keepNext w:val="0"/>
        <w:keepLines w:val="0"/>
        <w:pageBreakBefore w:val="0"/>
        <w:kinsoku/>
        <w:wordWrap/>
        <w:overflowPunct/>
        <w:topLinePunct w:val="0"/>
        <w:autoSpaceDE/>
        <w:autoSpaceDN/>
        <w:bidi w:val="0"/>
        <w:spacing w:line="360" w:lineRule="auto"/>
        <w:ind w:firstLine="420" w:firstLineChars="200"/>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1.5服务地点：</w:t>
      </w:r>
      <w:r>
        <w:rPr>
          <w:rFonts w:hint="eastAsia" w:ascii="宋体" w:hAnsi="宋体" w:eastAsia="宋体" w:cs="宋体"/>
          <w:sz w:val="21"/>
          <w:szCs w:val="21"/>
          <w:highlight w:val="none"/>
        </w:rPr>
        <w:t>采购人指定地点</w:t>
      </w:r>
      <w:r>
        <w:rPr>
          <w:rFonts w:hint="eastAsia" w:ascii="宋体" w:hAnsi="宋体" w:cs="宋体"/>
          <w:sz w:val="21"/>
          <w:szCs w:val="21"/>
          <w:highlight w:val="none"/>
          <w:lang w:eastAsia="zh-CN"/>
        </w:rPr>
        <w:t>。</w:t>
      </w:r>
    </w:p>
    <w:p w14:paraId="79476BCC">
      <w:pPr>
        <w:keepNext w:val="0"/>
        <w:keepLines w:val="0"/>
        <w:pageBreakBefore w:val="0"/>
        <w:kinsoku/>
        <w:wordWrap/>
        <w:overflowPunct/>
        <w:topLinePunct w:val="0"/>
        <w:autoSpaceDE/>
        <w:autoSpaceDN/>
        <w:bidi w:val="0"/>
        <w:spacing w:line="360" w:lineRule="auto"/>
        <w:ind w:firstLine="420" w:firstLineChars="200"/>
        <w:rPr>
          <w:rFonts w:hint="default"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1.6预算说明：本项目预算金额80万分三个单位组成，其中舟山市公安局交通警察支队75万元，舟山市公安局普陀山分局交警大队</w:t>
      </w:r>
      <w:r>
        <w:rPr>
          <w:rFonts w:hint="eastAsia" w:ascii="宋体" w:hAnsi="宋体" w:cs="宋体"/>
          <w:b w:val="0"/>
          <w:bCs/>
          <w:sz w:val="21"/>
          <w:szCs w:val="21"/>
          <w:highlight w:val="none"/>
          <w:lang w:val="en-US" w:eastAsia="zh-CN"/>
        </w:rPr>
        <w:t>3</w:t>
      </w:r>
      <w:r>
        <w:rPr>
          <w:rFonts w:hint="eastAsia" w:ascii="宋体" w:hAnsi="宋体" w:eastAsia="宋体" w:cs="宋体"/>
          <w:b w:val="0"/>
          <w:bCs/>
          <w:sz w:val="21"/>
          <w:szCs w:val="21"/>
          <w:highlight w:val="none"/>
          <w:lang w:val="en-US" w:eastAsia="zh-CN"/>
        </w:rPr>
        <w:t>万元，舟山市公安局高速公路交通警察支队</w:t>
      </w:r>
      <w:r>
        <w:rPr>
          <w:rFonts w:hint="eastAsia" w:ascii="宋体" w:hAnsi="宋体" w:cs="宋体"/>
          <w:b w:val="0"/>
          <w:bCs/>
          <w:sz w:val="21"/>
          <w:szCs w:val="21"/>
          <w:highlight w:val="none"/>
          <w:lang w:val="en-US" w:eastAsia="zh-CN"/>
        </w:rPr>
        <w:t>2</w:t>
      </w:r>
      <w:r>
        <w:rPr>
          <w:rFonts w:hint="eastAsia" w:ascii="宋体" w:hAnsi="宋体" w:eastAsia="宋体" w:cs="宋体"/>
          <w:b w:val="0"/>
          <w:bCs/>
          <w:sz w:val="21"/>
          <w:szCs w:val="21"/>
          <w:highlight w:val="none"/>
          <w:lang w:val="en-US" w:eastAsia="zh-CN"/>
        </w:rPr>
        <w:t>万元</w:t>
      </w:r>
      <w:r>
        <w:rPr>
          <w:rFonts w:hint="eastAsia" w:ascii="宋体" w:hAnsi="宋体" w:cs="宋体"/>
          <w:b w:val="0"/>
          <w:bCs/>
          <w:sz w:val="21"/>
          <w:szCs w:val="21"/>
          <w:highlight w:val="none"/>
          <w:lang w:val="en-US" w:eastAsia="zh-CN"/>
        </w:rPr>
        <w:t>。</w:t>
      </w:r>
    </w:p>
    <w:p w14:paraId="3EBB9EBB">
      <w:pPr>
        <w:keepNext w:val="0"/>
        <w:keepLines w:val="0"/>
        <w:pageBreakBefore w:val="0"/>
        <w:kinsoku/>
        <w:wordWrap/>
        <w:overflowPunct/>
        <w:topLinePunct w:val="0"/>
        <w:autoSpaceDE/>
        <w:autoSpaceDN/>
        <w:bidi w:val="0"/>
        <w:spacing w:line="360" w:lineRule="auto"/>
        <w:ind w:firstLine="420" w:firstLineChars="200"/>
        <w:rPr>
          <w:rFonts w:hint="default"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1.7本项目为统招分签项目，中标人与舟山市公安局交通警察支队、舟山市公安局普陀山分局交警大队、舟山市公安局高速公路交通警察支队分别签订</w:t>
      </w:r>
      <w:r>
        <w:rPr>
          <w:rFonts w:hint="eastAsia" w:ascii="宋体" w:hAnsi="宋体" w:cs="宋体"/>
          <w:b w:val="0"/>
          <w:bCs/>
          <w:sz w:val="21"/>
          <w:szCs w:val="21"/>
          <w:highlight w:val="none"/>
          <w:lang w:val="en-US" w:eastAsia="zh-CN"/>
        </w:rPr>
        <w:t>。</w:t>
      </w:r>
    </w:p>
    <w:p w14:paraId="0ACE6B24">
      <w:pPr>
        <w:keepNext w:val="0"/>
        <w:keepLines w:val="0"/>
        <w:pageBreakBefore w:val="0"/>
        <w:kinsoku/>
        <w:wordWrap/>
        <w:overflowPunct/>
        <w:topLinePunct w:val="0"/>
        <w:autoSpaceDE/>
        <w:autoSpaceDN/>
        <w:bidi w:val="0"/>
        <w:spacing w:line="360" w:lineRule="auto"/>
        <w:outlineLvl w:val="1"/>
        <w:rPr>
          <w:rFonts w:hint="eastAsia" w:ascii="宋体" w:hAnsi="宋体" w:eastAsia="宋体" w:cs="宋体"/>
          <w:b/>
          <w:bCs w:val="0"/>
          <w:sz w:val="21"/>
          <w:szCs w:val="21"/>
          <w:highlight w:val="none"/>
          <w:lang w:val="en-US" w:eastAsia="zh-CN"/>
        </w:rPr>
      </w:pPr>
      <w:r>
        <w:rPr>
          <w:rFonts w:hint="eastAsia" w:ascii="宋体" w:hAnsi="宋体" w:eastAsia="宋体" w:cs="宋体"/>
          <w:b/>
          <w:bCs w:val="0"/>
          <w:sz w:val="21"/>
          <w:szCs w:val="21"/>
          <w:highlight w:val="none"/>
          <w:lang w:val="en-US" w:eastAsia="zh-CN"/>
        </w:rPr>
        <w:t>二、项目内容</w:t>
      </w:r>
    </w:p>
    <w:p w14:paraId="5FB9DFDE">
      <w:pPr>
        <w:keepNext w:val="0"/>
        <w:keepLines w:val="0"/>
        <w:pageBreakBefore w:val="0"/>
        <w:kinsoku/>
        <w:wordWrap/>
        <w:overflowPunct/>
        <w:topLinePunct w:val="0"/>
        <w:autoSpaceDE/>
        <w:autoSpaceDN/>
        <w:bidi w:val="0"/>
        <w:spacing w:line="360" w:lineRule="auto"/>
        <w:ind w:firstLine="420" w:firstLineChars="200"/>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交通警察支队事故车辆车检鉴定服务，投标人必须按照相关国家、行业标准开展车辆安全性能、车辆性能与事故成因关系、车辆类型、车速等鉴定工作。</w:t>
      </w:r>
    </w:p>
    <w:p w14:paraId="76233FE2">
      <w:pPr>
        <w:pageBreakBefore w:val="0"/>
        <w:tabs>
          <w:tab w:val="left" w:pos="360"/>
        </w:tabs>
        <w:kinsoku/>
        <w:wordWrap/>
        <w:overflowPunct/>
        <w:topLinePunct w:val="0"/>
        <w:bidi w:val="0"/>
        <w:spacing w:line="360" w:lineRule="auto"/>
        <w:ind w:firstLine="422" w:firstLineChars="200"/>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1、</w:t>
      </w:r>
      <w:r>
        <w:rPr>
          <w:rFonts w:hint="eastAsia" w:ascii="宋体" w:hAnsi="宋体" w:eastAsia="宋体" w:cs="宋体"/>
          <w:b/>
          <w:bCs/>
          <w:color w:val="000000" w:themeColor="text1"/>
          <w:sz w:val="21"/>
          <w:szCs w:val="21"/>
          <w:highlight w:val="none"/>
          <w14:textFill>
            <w14:solidFill>
              <w14:schemeClr w14:val="tx1"/>
            </w14:solidFill>
          </w14:textFill>
        </w:rPr>
        <w:t>道路交通事故车辆及违法需鉴定的车辆，具体检测内容如下。</w:t>
      </w:r>
    </w:p>
    <w:tbl>
      <w:tblPr>
        <w:tblStyle w:val="29"/>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28"/>
        <w:gridCol w:w="2509"/>
        <w:gridCol w:w="1482"/>
        <w:gridCol w:w="1449"/>
        <w:gridCol w:w="1966"/>
      </w:tblGrid>
      <w:tr w14:paraId="15DD7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trPr>
        <w:tc>
          <w:tcPr>
            <w:tcW w:w="1346" w:type="pct"/>
            <w:vAlign w:val="center"/>
          </w:tcPr>
          <w:p w14:paraId="5EAFB21C">
            <w:pPr>
              <w:jc w:val="center"/>
              <w:rPr>
                <w:rFonts w:hint="eastAsia" w:ascii="宋体" w:hAnsi="宋体" w:eastAsia="宋体" w:cs="宋体"/>
                <w:b/>
                <w:bCs/>
                <w:kern w:val="0"/>
                <w:sz w:val="21"/>
                <w:szCs w:val="21"/>
                <w:highlight w:val="none"/>
                <w:lang w:val="en-US" w:eastAsia="zh-CN"/>
              </w:rPr>
            </w:pPr>
            <w:r>
              <w:rPr>
                <w:rFonts w:hint="eastAsia" w:ascii="宋体" w:hAnsi="宋体" w:eastAsia="宋体" w:cs="宋体"/>
                <w:b/>
                <w:bCs/>
                <w:kern w:val="0"/>
                <w:sz w:val="21"/>
                <w:szCs w:val="21"/>
                <w:highlight w:val="none"/>
                <w:lang w:val="en-US" w:eastAsia="zh-CN"/>
              </w:rPr>
              <w:t>鉴定类目</w:t>
            </w:r>
          </w:p>
        </w:tc>
        <w:tc>
          <w:tcPr>
            <w:tcW w:w="1238" w:type="pct"/>
            <w:vAlign w:val="center"/>
          </w:tcPr>
          <w:p w14:paraId="63F6BDEB">
            <w:pPr>
              <w:jc w:val="center"/>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鉴定项目名称</w:t>
            </w:r>
          </w:p>
        </w:tc>
        <w:tc>
          <w:tcPr>
            <w:tcW w:w="731" w:type="pct"/>
            <w:shd w:val="clear" w:color="auto" w:fill="auto"/>
            <w:vAlign w:val="center"/>
          </w:tcPr>
          <w:p w14:paraId="12A1CDBC">
            <w:pPr>
              <w:pageBreakBefore w:val="0"/>
              <w:kinsoku/>
              <w:wordWrap/>
              <w:overflowPunct/>
              <w:topLinePunct w:val="0"/>
              <w:bidi w:val="0"/>
              <w:spacing w:line="360" w:lineRule="auto"/>
              <w:jc w:val="center"/>
              <w:rPr>
                <w:rFonts w:hint="eastAsia" w:ascii="宋体" w:hAnsi="宋体" w:eastAsia="宋体" w:cs="宋体"/>
                <w:b/>
                <w:bCs/>
                <w:kern w:val="2"/>
                <w:sz w:val="21"/>
                <w:szCs w:val="21"/>
                <w:highlight w:val="none"/>
                <w:lang w:val="en-US" w:eastAsia="zh-CN" w:bidi="ar-SA"/>
              </w:rPr>
            </w:pPr>
            <w:r>
              <w:rPr>
                <w:rFonts w:hint="eastAsia" w:ascii="宋体" w:hAnsi="宋体" w:eastAsia="宋体" w:cs="宋体"/>
                <w:b/>
                <w:bCs/>
                <w:sz w:val="21"/>
                <w:szCs w:val="21"/>
                <w:highlight w:val="none"/>
              </w:rPr>
              <w:t>计量单位</w:t>
            </w:r>
          </w:p>
        </w:tc>
        <w:tc>
          <w:tcPr>
            <w:tcW w:w="715" w:type="pct"/>
            <w:shd w:val="clear" w:color="auto" w:fill="auto"/>
            <w:vAlign w:val="center"/>
          </w:tcPr>
          <w:p w14:paraId="3CEFCA74">
            <w:pPr>
              <w:pageBreakBefore w:val="0"/>
              <w:kinsoku/>
              <w:wordWrap/>
              <w:overflowPunct/>
              <w:topLinePunct w:val="0"/>
              <w:bidi w:val="0"/>
              <w:spacing w:line="360" w:lineRule="auto"/>
              <w:jc w:val="center"/>
              <w:rPr>
                <w:rFonts w:hint="eastAsia" w:ascii="宋体" w:hAnsi="宋体" w:eastAsia="宋体" w:cs="宋体"/>
                <w:b/>
                <w:bCs/>
                <w:kern w:val="2"/>
                <w:sz w:val="21"/>
                <w:szCs w:val="21"/>
                <w:highlight w:val="none"/>
                <w:lang w:val="en-US" w:eastAsia="zh-CN" w:bidi="ar-SA"/>
              </w:rPr>
            </w:pPr>
            <w:r>
              <w:rPr>
                <w:rFonts w:hint="eastAsia" w:ascii="宋体" w:hAnsi="宋体" w:eastAsia="宋体" w:cs="宋体"/>
                <w:b/>
                <w:bCs/>
                <w:sz w:val="21"/>
                <w:szCs w:val="21"/>
                <w:highlight w:val="none"/>
              </w:rPr>
              <w:t>数量</w:t>
            </w:r>
          </w:p>
        </w:tc>
        <w:tc>
          <w:tcPr>
            <w:tcW w:w="967" w:type="pct"/>
            <w:vAlign w:val="center"/>
          </w:tcPr>
          <w:p w14:paraId="06324B8F">
            <w:pPr>
              <w:jc w:val="center"/>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最高限价（元/次）</w:t>
            </w:r>
          </w:p>
        </w:tc>
      </w:tr>
      <w:tr w14:paraId="25327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trPr>
        <w:tc>
          <w:tcPr>
            <w:tcW w:w="1346" w:type="pct"/>
            <w:vMerge w:val="restart"/>
            <w:vAlign w:val="center"/>
          </w:tcPr>
          <w:p w14:paraId="3C2431E7">
            <w:pPr>
              <w:jc w:val="center"/>
              <w:rPr>
                <w:rFonts w:hint="eastAsia" w:ascii="宋体" w:hAnsi="宋体" w:eastAsia="宋体" w:cs="宋体"/>
                <w:sz w:val="21"/>
                <w:szCs w:val="21"/>
                <w:highlight w:val="none"/>
                <w:vertAlign w:val="baseline"/>
              </w:rPr>
            </w:pPr>
            <w:r>
              <w:rPr>
                <w:rFonts w:hint="eastAsia" w:ascii="宋体" w:hAnsi="宋体" w:eastAsia="宋体" w:cs="宋体"/>
                <w:kern w:val="0"/>
                <w:sz w:val="21"/>
                <w:szCs w:val="21"/>
                <w:highlight w:val="none"/>
                <w:lang w:val="en"/>
              </w:rPr>
              <w:t>车辆安全技术状况鉴定</w:t>
            </w:r>
          </w:p>
        </w:tc>
        <w:tc>
          <w:tcPr>
            <w:tcW w:w="1238" w:type="pct"/>
            <w:vAlign w:val="center"/>
          </w:tcPr>
          <w:p w14:paraId="6FD58F15">
            <w:pPr>
              <w:jc w:val="center"/>
              <w:rPr>
                <w:rFonts w:hint="eastAsia" w:ascii="宋体" w:hAnsi="宋体" w:eastAsia="宋体" w:cs="宋体"/>
                <w:kern w:val="0"/>
                <w:sz w:val="21"/>
                <w:szCs w:val="21"/>
                <w:highlight w:val="none"/>
                <w:lang w:val="en"/>
              </w:rPr>
            </w:pPr>
            <w:r>
              <w:rPr>
                <w:rFonts w:hint="eastAsia" w:ascii="宋体" w:hAnsi="宋体" w:eastAsia="宋体" w:cs="宋体"/>
                <w:sz w:val="21"/>
                <w:szCs w:val="21"/>
                <w:highlight w:val="none"/>
              </w:rPr>
              <w:t>车辆性能检测</w:t>
            </w:r>
          </w:p>
        </w:tc>
        <w:tc>
          <w:tcPr>
            <w:tcW w:w="731" w:type="pct"/>
            <w:shd w:val="clear" w:color="auto" w:fill="auto"/>
            <w:vAlign w:val="center"/>
          </w:tcPr>
          <w:p w14:paraId="6DBE335D">
            <w:pPr>
              <w:pageBreakBefore w:val="0"/>
              <w:kinsoku/>
              <w:wordWrap/>
              <w:overflowPunct/>
              <w:topLinePunct w:val="0"/>
              <w:bidi w:val="0"/>
              <w:spacing w:line="360" w:lineRule="auto"/>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辆</w:t>
            </w:r>
          </w:p>
        </w:tc>
        <w:tc>
          <w:tcPr>
            <w:tcW w:w="715" w:type="pct"/>
            <w:shd w:val="clear" w:color="auto" w:fill="auto"/>
            <w:vAlign w:val="center"/>
          </w:tcPr>
          <w:p w14:paraId="035BB258">
            <w:pPr>
              <w:pageBreakBefore w:val="0"/>
              <w:kinsoku/>
              <w:wordWrap/>
              <w:overflowPunct/>
              <w:topLinePunct w:val="0"/>
              <w:bidi w:val="0"/>
              <w:spacing w:line="360" w:lineRule="auto"/>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1</w:t>
            </w:r>
          </w:p>
        </w:tc>
        <w:tc>
          <w:tcPr>
            <w:tcW w:w="967" w:type="pct"/>
            <w:vAlign w:val="top"/>
          </w:tcPr>
          <w:p w14:paraId="428873D4">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450</w:t>
            </w:r>
          </w:p>
        </w:tc>
      </w:tr>
      <w:tr w14:paraId="1BEB4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46" w:type="pct"/>
            <w:vMerge w:val="continue"/>
            <w:vAlign w:val="center"/>
          </w:tcPr>
          <w:p w14:paraId="7841AB36">
            <w:pPr>
              <w:jc w:val="center"/>
              <w:rPr>
                <w:rFonts w:hint="eastAsia" w:ascii="宋体" w:hAnsi="宋体" w:eastAsia="宋体" w:cs="宋体"/>
                <w:sz w:val="21"/>
                <w:szCs w:val="21"/>
                <w:highlight w:val="none"/>
                <w:vertAlign w:val="baseline"/>
              </w:rPr>
            </w:pPr>
          </w:p>
        </w:tc>
        <w:tc>
          <w:tcPr>
            <w:tcW w:w="1238" w:type="pct"/>
            <w:vAlign w:val="center"/>
          </w:tcPr>
          <w:p w14:paraId="070AD5EA">
            <w:pPr>
              <w:jc w:val="center"/>
              <w:rPr>
                <w:rFonts w:hint="eastAsia" w:ascii="宋体" w:hAnsi="宋体" w:eastAsia="宋体" w:cs="宋体"/>
                <w:sz w:val="21"/>
                <w:szCs w:val="21"/>
                <w:highlight w:val="none"/>
                <w:vertAlign w:val="baseline"/>
              </w:rPr>
            </w:pPr>
            <w:r>
              <w:rPr>
                <w:rFonts w:hint="eastAsia" w:ascii="宋体" w:hAnsi="宋体" w:eastAsia="宋体" w:cs="宋体"/>
                <w:sz w:val="21"/>
                <w:szCs w:val="21"/>
                <w:highlight w:val="none"/>
              </w:rPr>
              <w:t>车辆属性检测</w:t>
            </w:r>
          </w:p>
        </w:tc>
        <w:tc>
          <w:tcPr>
            <w:tcW w:w="731" w:type="pct"/>
            <w:shd w:val="clear" w:color="auto" w:fill="auto"/>
            <w:vAlign w:val="center"/>
          </w:tcPr>
          <w:p w14:paraId="73674989">
            <w:pPr>
              <w:pageBreakBefore w:val="0"/>
              <w:kinsoku/>
              <w:wordWrap/>
              <w:overflowPunct/>
              <w:topLinePunct w:val="0"/>
              <w:bidi w:val="0"/>
              <w:spacing w:line="360" w:lineRule="auto"/>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辆</w:t>
            </w:r>
          </w:p>
        </w:tc>
        <w:tc>
          <w:tcPr>
            <w:tcW w:w="715" w:type="pct"/>
            <w:shd w:val="clear" w:color="auto" w:fill="auto"/>
            <w:vAlign w:val="center"/>
          </w:tcPr>
          <w:p w14:paraId="68A838F0">
            <w:pPr>
              <w:pageBreakBefore w:val="0"/>
              <w:kinsoku/>
              <w:wordWrap/>
              <w:overflowPunct/>
              <w:topLinePunct w:val="0"/>
              <w:bidi w:val="0"/>
              <w:spacing w:line="360" w:lineRule="auto"/>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1</w:t>
            </w:r>
          </w:p>
        </w:tc>
        <w:tc>
          <w:tcPr>
            <w:tcW w:w="967" w:type="pct"/>
            <w:vAlign w:val="top"/>
          </w:tcPr>
          <w:p w14:paraId="2C4E855F">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500</w:t>
            </w:r>
          </w:p>
        </w:tc>
      </w:tr>
      <w:tr w14:paraId="5966D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46" w:type="pct"/>
            <w:vMerge w:val="continue"/>
            <w:vAlign w:val="center"/>
          </w:tcPr>
          <w:p w14:paraId="306658D4">
            <w:pPr>
              <w:jc w:val="center"/>
              <w:rPr>
                <w:rFonts w:hint="eastAsia" w:ascii="宋体" w:hAnsi="宋体" w:eastAsia="宋体" w:cs="宋体"/>
                <w:sz w:val="21"/>
                <w:szCs w:val="21"/>
                <w:highlight w:val="none"/>
                <w:vertAlign w:val="baseline"/>
              </w:rPr>
            </w:pPr>
          </w:p>
        </w:tc>
        <w:tc>
          <w:tcPr>
            <w:tcW w:w="1238" w:type="pct"/>
            <w:vAlign w:val="center"/>
          </w:tcPr>
          <w:p w14:paraId="2EEDB426">
            <w:pPr>
              <w:jc w:val="center"/>
              <w:rPr>
                <w:rFonts w:hint="eastAsia" w:ascii="宋体" w:hAnsi="宋体" w:eastAsia="宋体" w:cs="宋体"/>
                <w:sz w:val="21"/>
                <w:szCs w:val="21"/>
                <w:highlight w:val="none"/>
                <w:vertAlign w:val="baseline"/>
              </w:rPr>
            </w:pPr>
            <w:r>
              <w:rPr>
                <w:rFonts w:hint="eastAsia" w:ascii="宋体" w:hAnsi="宋体" w:eastAsia="宋体" w:cs="宋体"/>
                <w:sz w:val="21"/>
                <w:szCs w:val="21"/>
                <w:highlight w:val="none"/>
              </w:rPr>
              <w:t>车辆改装类鉴定</w:t>
            </w:r>
          </w:p>
        </w:tc>
        <w:tc>
          <w:tcPr>
            <w:tcW w:w="731" w:type="pct"/>
            <w:shd w:val="clear" w:color="auto" w:fill="auto"/>
            <w:vAlign w:val="center"/>
          </w:tcPr>
          <w:p w14:paraId="3AFE553A">
            <w:pPr>
              <w:pageBreakBefore w:val="0"/>
              <w:kinsoku/>
              <w:wordWrap/>
              <w:overflowPunct/>
              <w:topLinePunct w:val="0"/>
              <w:bidi w:val="0"/>
              <w:spacing w:line="360" w:lineRule="auto"/>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辆</w:t>
            </w:r>
          </w:p>
        </w:tc>
        <w:tc>
          <w:tcPr>
            <w:tcW w:w="715" w:type="pct"/>
            <w:shd w:val="clear" w:color="auto" w:fill="auto"/>
            <w:vAlign w:val="center"/>
          </w:tcPr>
          <w:p w14:paraId="09B6236C">
            <w:pPr>
              <w:pageBreakBefore w:val="0"/>
              <w:kinsoku/>
              <w:wordWrap/>
              <w:overflowPunct/>
              <w:topLinePunct w:val="0"/>
              <w:bidi w:val="0"/>
              <w:spacing w:line="360" w:lineRule="auto"/>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1</w:t>
            </w:r>
          </w:p>
        </w:tc>
        <w:tc>
          <w:tcPr>
            <w:tcW w:w="967" w:type="pct"/>
            <w:vAlign w:val="top"/>
          </w:tcPr>
          <w:p w14:paraId="7FFACF40">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800</w:t>
            </w:r>
          </w:p>
        </w:tc>
      </w:tr>
      <w:tr w14:paraId="7A557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46" w:type="pct"/>
            <w:vMerge w:val="restart"/>
            <w:vAlign w:val="center"/>
          </w:tcPr>
          <w:p w14:paraId="5611118E">
            <w:pPr>
              <w:jc w:val="center"/>
              <w:rPr>
                <w:rFonts w:hint="eastAsia" w:ascii="宋体" w:hAnsi="宋体" w:eastAsia="宋体" w:cs="宋体"/>
                <w:sz w:val="21"/>
                <w:szCs w:val="21"/>
                <w:highlight w:val="none"/>
                <w:vertAlign w:val="baseline"/>
              </w:rPr>
            </w:pPr>
            <w:r>
              <w:rPr>
                <w:rFonts w:hint="eastAsia" w:ascii="宋体" w:hAnsi="宋体" w:eastAsia="宋体" w:cs="宋体"/>
                <w:kern w:val="0"/>
                <w:sz w:val="21"/>
                <w:szCs w:val="21"/>
                <w:highlight w:val="none"/>
                <w:lang w:val="en"/>
              </w:rPr>
              <w:t>交通事故痕迹鉴定</w:t>
            </w:r>
          </w:p>
        </w:tc>
        <w:tc>
          <w:tcPr>
            <w:tcW w:w="1238" w:type="pct"/>
            <w:vAlign w:val="center"/>
          </w:tcPr>
          <w:p w14:paraId="7C2FF4CB">
            <w:pPr>
              <w:jc w:val="center"/>
              <w:rPr>
                <w:rFonts w:hint="eastAsia" w:ascii="宋体" w:hAnsi="宋体" w:eastAsia="宋体" w:cs="宋体"/>
                <w:kern w:val="0"/>
                <w:sz w:val="21"/>
                <w:szCs w:val="21"/>
                <w:highlight w:val="none"/>
                <w:lang w:val="en"/>
              </w:rPr>
            </w:pPr>
            <w:r>
              <w:rPr>
                <w:rFonts w:hint="eastAsia" w:ascii="宋体" w:hAnsi="宋体" w:eastAsia="宋体" w:cs="宋体"/>
                <w:sz w:val="21"/>
                <w:szCs w:val="21"/>
                <w:highlight w:val="none"/>
              </w:rPr>
              <w:t>碰撞痕迹鉴定</w:t>
            </w:r>
          </w:p>
        </w:tc>
        <w:tc>
          <w:tcPr>
            <w:tcW w:w="731" w:type="pct"/>
            <w:shd w:val="clear" w:color="auto" w:fill="auto"/>
            <w:vAlign w:val="center"/>
          </w:tcPr>
          <w:p w14:paraId="3B254645">
            <w:pPr>
              <w:pageBreakBefore w:val="0"/>
              <w:kinsoku/>
              <w:wordWrap/>
              <w:overflowPunct/>
              <w:topLinePunct w:val="0"/>
              <w:bidi w:val="0"/>
              <w:spacing w:line="360" w:lineRule="auto"/>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辆</w:t>
            </w:r>
          </w:p>
        </w:tc>
        <w:tc>
          <w:tcPr>
            <w:tcW w:w="715" w:type="pct"/>
            <w:shd w:val="clear" w:color="auto" w:fill="auto"/>
            <w:vAlign w:val="center"/>
          </w:tcPr>
          <w:p w14:paraId="2861D08E">
            <w:pPr>
              <w:pageBreakBefore w:val="0"/>
              <w:kinsoku/>
              <w:wordWrap/>
              <w:overflowPunct/>
              <w:topLinePunct w:val="0"/>
              <w:bidi w:val="0"/>
              <w:spacing w:line="360" w:lineRule="auto"/>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1</w:t>
            </w:r>
          </w:p>
        </w:tc>
        <w:tc>
          <w:tcPr>
            <w:tcW w:w="967" w:type="pct"/>
            <w:vAlign w:val="top"/>
          </w:tcPr>
          <w:p w14:paraId="306DC588">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2500</w:t>
            </w:r>
          </w:p>
        </w:tc>
      </w:tr>
      <w:tr w14:paraId="0FEC48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46" w:type="pct"/>
            <w:vMerge w:val="continue"/>
            <w:vAlign w:val="center"/>
          </w:tcPr>
          <w:p w14:paraId="41962331">
            <w:pPr>
              <w:jc w:val="center"/>
              <w:rPr>
                <w:rFonts w:hint="eastAsia" w:ascii="宋体" w:hAnsi="宋体" w:eastAsia="宋体" w:cs="宋体"/>
                <w:sz w:val="21"/>
                <w:szCs w:val="21"/>
                <w:highlight w:val="none"/>
                <w:vertAlign w:val="baseline"/>
              </w:rPr>
            </w:pPr>
          </w:p>
        </w:tc>
        <w:tc>
          <w:tcPr>
            <w:tcW w:w="1238" w:type="pct"/>
            <w:vAlign w:val="center"/>
          </w:tcPr>
          <w:p w14:paraId="00FBCDD0">
            <w:pPr>
              <w:jc w:val="center"/>
              <w:rPr>
                <w:rFonts w:hint="eastAsia" w:ascii="宋体" w:hAnsi="宋体" w:eastAsia="宋体" w:cs="宋体"/>
                <w:sz w:val="21"/>
                <w:szCs w:val="21"/>
                <w:highlight w:val="none"/>
                <w:vertAlign w:val="baseline"/>
              </w:rPr>
            </w:pPr>
            <w:r>
              <w:rPr>
                <w:rFonts w:hint="eastAsia" w:ascii="宋体" w:hAnsi="宋体" w:eastAsia="宋体" w:cs="宋体"/>
                <w:sz w:val="21"/>
                <w:szCs w:val="21"/>
                <w:highlight w:val="none"/>
              </w:rPr>
              <w:t>是否接触鉴定</w:t>
            </w:r>
          </w:p>
        </w:tc>
        <w:tc>
          <w:tcPr>
            <w:tcW w:w="731" w:type="pct"/>
            <w:shd w:val="clear" w:color="auto" w:fill="auto"/>
            <w:vAlign w:val="center"/>
          </w:tcPr>
          <w:p w14:paraId="01F2D172">
            <w:pPr>
              <w:pageBreakBefore w:val="0"/>
              <w:kinsoku/>
              <w:wordWrap/>
              <w:overflowPunct/>
              <w:topLinePunct w:val="0"/>
              <w:bidi w:val="0"/>
              <w:spacing w:line="360" w:lineRule="auto"/>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辆</w:t>
            </w:r>
          </w:p>
        </w:tc>
        <w:tc>
          <w:tcPr>
            <w:tcW w:w="715" w:type="pct"/>
            <w:shd w:val="clear" w:color="auto" w:fill="auto"/>
            <w:vAlign w:val="center"/>
          </w:tcPr>
          <w:p w14:paraId="33D6EB17">
            <w:pPr>
              <w:pageBreakBefore w:val="0"/>
              <w:kinsoku/>
              <w:wordWrap/>
              <w:overflowPunct/>
              <w:topLinePunct w:val="0"/>
              <w:bidi w:val="0"/>
              <w:spacing w:line="360" w:lineRule="auto"/>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1</w:t>
            </w:r>
          </w:p>
        </w:tc>
        <w:tc>
          <w:tcPr>
            <w:tcW w:w="967" w:type="pct"/>
            <w:vAlign w:val="top"/>
          </w:tcPr>
          <w:p w14:paraId="42CE725A">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2200</w:t>
            </w:r>
          </w:p>
        </w:tc>
      </w:tr>
      <w:tr w14:paraId="13CE7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46" w:type="pct"/>
            <w:vMerge w:val="restart"/>
            <w:vAlign w:val="center"/>
          </w:tcPr>
          <w:p w14:paraId="72744A78">
            <w:pPr>
              <w:jc w:val="center"/>
              <w:rPr>
                <w:rFonts w:hint="eastAsia" w:ascii="宋体" w:hAnsi="宋体" w:eastAsia="宋体" w:cs="宋体"/>
                <w:sz w:val="21"/>
                <w:szCs w:val="21"/>
                <w:highlight w:val="none"/>
                <w:vertAlign w:val="baseline"/>
              </w:rPr>
            </w:pPr>
            <w:r>
              <w:rPr>
                <w:rFonts w:hint="eastAsia" w:ascii="宋体" w:hAnsi="宋体" w:eastAsia="宋体" w:cs="宋体"/>
                <w:kern w:val="0"/>
                <w:sz w:val="21"/>
                <w:szCs w:val="21"/>
                <w:highlight w:val="none"/>
                <w:lang w:val="en"/>
              </w:rPr>
              <w:t>车辆速度鉴定</w:t>
            </w:r>
          </w:p>
        </w:tc>
        <w:tc>
          <w:tcPr>
            <w:tcW w:w="1238" w:type="pct"/>
            <w:vAlign w:val="center"/>
          </w:tcPr>
          <w:p w14:paraId="0232D3BA">
            <w:pPr>
              <w:jc w:val="center"/>
              <w:rPr>
                <w:rFonts w:hint="eastAsia" w:ascii="宋体" w:hAnsi="宋体" w:eastAsia="宋体" w:cs="宋体"/>
                <w:kern w:val="0"/>
                <w:sz w:val="21"/>
                <w:szCs w:val="21"/>
                <w:highlight w:val="none"/>
                <w:lang w:val="en"/>
              </w:rPr>
            </w:pPr>
            <w:r>
              <w:rPr>
                <w:rFonts w:hint="eastAsia" w:ascii="宋体" w:hAnsi="宋体" w:eastAsia="宋体" w:cs="宋体"/>
                <w:sz w:val="21"/>
                <w:szCs w:val="21"/>
                <w:highlight w:val="none"/>
              </w:rPr>
              <w:t>视频车速鉴定</w:t>
            </w:r>
          </w:p>
        </w:tc>
        <w:tc>
          <w:tcPr>
            <w:tcW w:w="731" w:type="pct"/>
            <w:shd w:val="clear" w:color="auto" w:fill="auto"/>
            <w:vAlign w:val="center"/>
          </w:tcPr>
          <w:p w14:paraId="5DCCC0B6">
            <w:pPr>
              <w:pageBreakBefore w:val="0"/>
              <w:kinsoku/>
              <w:wordWrap/>
              <w:overflowPunct/>
              <w:topLinePunct w:val="0"/>
              <w:bidi w:val="0"/>
              <w:spacing w:line="360" w:lineRule="auto"/>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辆</w:t>
            </w:r>
          </w:p>
        </w:tc>
        <w:tc>
          <w:tcPr>
            <w:tcW w:w="715" w:type="pct"/>
            <w:shd w:val="clear" w:color="auto" w:fill="auto"/>
            <w:vAlign w:val="center"/>
          </w:tcPr>
          <w:p w14:paraId="189253D2">
            <w:pPr>
              <w:pageBreakBefore w:val="0"/>
              <w:kinsoku/>
              <w:wordWrap/>
              <w:overflowPunct/>
              <w:topLinePunct w:val="0"/>
              <w:bidi w:val="0"/>
              <w:spacing w:line="360" w:lineRule="auto"/>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1</w:t>
            </w:r>
          </w:p>
        </w:tc>
        <w:tc>
          <w:tcPr>
            <w:tcW w:w="967" w:type="pct"/>
            <w:vAlign w:val="top"/>
          </w:tcPr>
          <w:p w14:paraId="61253F2C">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2500</w:t>
            </w:r>
          </w:p>
        </w:tc>
      </w:tr>
      <w:tr w14:paraId="3638B2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46" w:type="pct"/>
            <w:vMerge w:val="continue"/>
            <w:vAlign w:val="center"/>
          </w:tcPr>
          <w:p w14:paraId="0A36E89E">
            <w:pPr>
              <w:jc w:val="center"/>
              <w:rPr>
                <w:rFonts w:hint="eastAsia" w:ascii="宋体" w:hAnsi="宋体" w:eastAsia="宋体" w:cs="宋体"/>
                <w:sz w:val="21"/>
                <w:szCs w:val="21"/>
                <w:highlight w:val="none"/>
                <w:vertAlign w:val="baseline"/>
              </w:rPr>
            </w:pPr>
          </w:p>
        </w:tc>
        <w:tc>
          <w:tcPr>
            <w:tcW w:w="1238" w:type="pct"/>
            <w:vAlign w:val="center"/>
          </w:tcPr>
          <w:p w14:paraId="75E1679E">
            <w:pPr>
              <w:jc w:val="center"/>
              <w:rPr>
                <w:rFonts w:hint="eastAsia" w:ascii="宋体" w:hAnsi="宋体" w:eastAsia="宋体" w:cs="宋体"/>
                <w:sz w:val="21"/>
                <w:szCs w:val="21"/>
                <w:highlight w:val="none"/>
                <w:vertAlign w:val="baseline"/>
              </w:rPr>
            </w:pPr>
            <w:r>
              <w:rPr>
                <w:rFonts w:hint="eastAsia" w:ascii="宋体" w:hAnsi="宋体" w:eastAsia="宋体" w:cs="宋体"/>
                <w:sz w:val="21"/>
                <w:szCs w:val="21"/>
                <w:highlight w:val="none"/>
              </w:rPr>
              <w:t>基于痕迹的车速鉴定</w:t>
            </w:r>
          </w:p>
        </w:tc>
        <w:tc>
          <w:tcPr>
            <w:tcW w:w="731" w:type="pct"/>
            <w:shd w:val="clear" w:color="auto" w:fill="auto"/>
            <w:vAlign w:val="center"/>
          </w:tcPr>
          <w:p w14:paraId="20A2F116">
            <w:pPr>
              <w:pageBreakBefore w:val="0"/>
              <w:kinsoku/>
              <w:wordWrap/>
              <w:overflowPunct/>
              <w:topLinePunct w:val="0"/>
              <w:bidi w:val="0"/>
              <w:spacing w:line="360" w:lineRule="auto"/>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辆</w:t>
            </w:r>
          </w:p>
        </w:tc>
        <w:tc>
          <w:tcPr>
            <w:tcW w:w="715" w:type="pct"/>
            <w:shd w:val="clear" w:color="auto" w:fill="auto"/>
            <w:vAlign w:val="center"/>
          </w:tcPr>
          <w:p w14:paraId="3BA2DBC5">
            <w:pPr>
              <w:pageBreakBefore w:val="0"/>
              <w:kinsoku/>
              <w:wordWrap/>
              <w:overflowPunct/>
              <w:topLinePunct w:val="0"/>
              <w:bidi w:val="0"/>
              <w:spacing w:line="360" w:lineRule="auto"/>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1</w:t>
            </w:r>
          </w:p>
        </w:tc>
        <w:tc>
          <w:tcPr>
            <w:tcW w:w="967" w:type="pct"/>
            <w:vAlign w:val="top"/>
          </w:tcPr>
          <w:p w14:paraId="0DDABE9C">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4500</w:t>
            </w:r>
          </w:p>
        </w:tc>
      </w:tr>
      <w:tr w14:paraId="5CCC6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46" w:type="pct"/>
            <w:vMerge w:val="restart"/>
            <w:vAlign w:val="center"/>
          </w:tcPr>
          <w:p w14:paraId="45C6C95F">
            <w:pPr>
              <w:jc w:val="center"/>
              <w:rPr>
                <w:rFonts w:hint="eastAsia" w:ascii="宋体" w:hAnsi="宋体" w:eastAsia="宋体" w:cs="宋体"/>
                <w:sz w:val="21"/>
                <w:szCs w:val="21"/>
                <w:highlight w:val="none"/>
                <w:vertAlign w:val="baseline"/>
              </w:rPr>
            </w:pPr>
            <w:r>
              <w:rPr>
                <w:rFonts w:hint="eastAsia" w:ascii="宋体" w:hAnsi="宋体" w:eastAsia="宋体" w:cs="宋体"/>
                <w:kern w:val="0"/>
                <w:sz w:val="21"/>
                <w:szCs w:val="21"/>
                <w:highlight w:val="none"/>
                <w:lang w:val="en"/>
              </w:rPr>
              <w:t>交通事故痕迹物证综合鉴定</w:t>
            </w:r>
          </w:p>
        </w:tc>
        <w:tc>
          <w:tcPr>
            <w:tcW w:w="1238" w:type="pct"/>
            <w:vAlign w:val="center"/>
          </w:tcPr>
          <w:p w14:paraId="2448CD8D">
            <w:pPr>
              <w:jc w:val="center"/>
              <w:rPr>
                <w:rFonts w:hint="eastAsia" w:ascii="宋体" w:hAnsi="宋体" w:eastAsia="宋体" w:cs="宋体"/>
                <w:kern w:val="0"/>
                <w:sz w:val="21"/>
                <w:szCs w:val="21"/>
                <w:highlight w:val="none"/>
                <w:lang w:val="en"/>
              </w:rPr>
            </w:pPr>
            <w:r>
              <w:rPr>
                <w:rFonts w:hint="eastAsia" w:ascii="宋体" w:hAnsi="宋体" w:eastAsia="宋体" w:cs="宋体"/>
                <w:sz w:val="21"/>
                <w:szCs w:val="21"/>
                <w:highlight w:val="none"/>
              </w:rPr>
              <w:t>事故成因鉴定</w:t>
            </w:r>
          </w:p>
        </w:tc>
        <w:tc>
          <w:tcPr>
            <w:tcW w:w="731" w:type="pct"/>
            <w:shd w:val="clear" w:color="auto" w:fill="auto"/>
            <w:vAlign w:val="center"/>
          </w:tcPr>
          <w:p w14:paraId="36CDE31C">
            <w:pPr>
              <w:pageBreakBefore w:val="0"/>
              <w:kinsoku/>
              <w:wordWrap/>
              <w:overflowPunct/>
              <w:topLinePunct w:val="0"/>
              <w:bidi w:val="0"/>
              <w:spacing w:line="360" w:lineRule="auto"/>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辆</w:t>
            </w:r>
          </w:p>
        </w:tc>
        <w:tc>
          <w:tcPr>
            <w:tcW w:w="715" w:type="pct"/>
            <w:shd w:val="clear" w:color="auto" w:fill="auto"/>
            <w:vAlign w:val="center"/>
          </w:tcPr>
          <w:p w14:paraId="7AB847A8">
            <w:pPr>
              <w:pageBreakBefore w:val="0"/>
              <w:kinsoku/>
              <w:wordWrap/>
              <w:overflowPunct/>
              <w:topLinePunct w:val="0"/>
              <w:bidi w:val="0"/>
              <w:spacing w:line="360" w:lineRule="auto"/>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1</w:t>
            </w:r>
          </w:p>
        </w:tc>
        <w:tc>
          <w:tcPr>
            <w:tcW w:w="967" w:type="pct"/>
            <w:vAlign w:val="top"/>
          </w:tcPr>
          <w:p w14:paraId="01E1C6D0">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5000</w:t>
            </w:r>
          </w:p>
        </w:tc>
      </w:tr>
      <w:tr w14:paraId="41836E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46" w:type="pct"/>
            <w:vMerge w:val="continue"/>
            <w:vAlign w:val="center"/>
          </w:tcPr>
          <w:p w14:paraId="5C70DE9A">
            <w:pPr>
              <w:jc w:val="center"/>
              <w:rPr>
                <w:rFonts w:hint="eastAsia" w:ascii="宋体" w:hAnsi="宋体" w:eastAsia="宋体" w:cs="宋体"/>
                <w:sz w:val="21"/>
                <w:szCs w:val="21"/>
                <w:highlight w:val="none"/>
                <w:vertAlign w:val="baseline"/>
              </w:rPr>
            </w:pPr>
          </w:p>
        </w:tc>
        <w:tc>
          <w:tcPr>
            <w:tcW w:w="1238" w:type="pct"/>
            <w:vAlign w:val="center"/>
          </w:tcPr>
          <w:p w14:paraId="7EB5E2CC">
            <w:pPr>
              <w:jc w:val="center"/>
              <w:rPr>
                <w:rFonts w:hint="eastAsia" w:ascii="宋体" w:hAnsi="宋体" w:eastAsia="宋体" w:cs="宋体"/>
                <w:sz w:val="21"/>
                <w:szCs w:val="21"/>
                <w:highlight w:val="none"/>
                <w:vertAlign w:val="baseline"/>
              </w:rPr>
            </w:pPr>
            <w:r>
              <w:rPr>
                <w:rFonts w:hint="eastAsia" w:ascii="宋体" w:hAnsi="宋体" w:eastAsia="宋体" w:cs="宋体"/>
                <w:sz w:val="21"/>
                <w:szCs w:val="21"/>
                <w:highlight w:val="none"/>
                <w:lang w:val="en-US" w:eastAsia="zh-CN"/>
              </w:rPr>
              <w:t>状态鉴定</w:t>
            </w:r>
          </w:p>
        </w:tc>
        <w:tc>
          <w:tcPr>
            <w:tcW w:w="731" w:type="pct"/>
            <w:shd w:val="clear" w:color="auto" w:fill="auto"/>
            <w:vAlign w:val="center"/>
          </w:tcPr>
          <w:p w14:paraId="6D5BA450">
            <w:pPr>
              <w:pageBreakBefore w:val="0"/>
              <w:kinsoku/>
              <w:wordWrap/>
              <w:overflowPunct/>
              <w:topLinePunct w:val="0"/>
              <w:bidi w:val="0"/>
              <w:spacing w:line="360" w:lineRule="auto"/>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lang w:val="en-US" w:eastAsia="zh-CN"/>
              </w:rPr>
              <w:t>辆</w:t>
            </w:r>
          </w:p>
        </w:tc>
        <w:tc>
          <w:tcPr>
            <w:tcW w:w="715" w:type="pct"/>
            <w:shd w:val="clear" w:color="auto" w:fill="auto"/>
            <w:vAlign w:val="center"/>
          </w:tcPr>
          <w:p w14:paraId="2D0B4ECA">
            <w:pPr>
              <w:pageBreakBefore w:val="0"/>
              <w:kinsoku/>
              <w:wordWrap/>
              <w:overflowPunct/>
              <w:topLinePunct w:val="0"/>
              <w:bidi w:val="0"/>
              <w:spacing w:line="360" w:lineRule="auto"/>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lang w:val="en-US" w:eastAsia="zh-CN"/>
              </w:rPr>
              <w:t>1</w:t>
            </w:r>
          </w:p>
        </w:tc>
        <w:tc>
          <w:tcPr>
            <w:tcW w:w="967" w:type="pct"/>
            <w:vAlign w:val="top"/>
          </w:tcPr>
          <w:p w14:paraId="47DCD450">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2800</w:t>
            </w:r>
          </w:p>
        </w:tc>
      </w:tr>
      <w:tr w14:paraId="71275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46" w:type="pct"/>
            <w:vMerge w:val="continue"/>
            <w:vAlign w:val="center"/>
          </w:tcPr>
          <w:p w14:paraId="126321F5">
            <w:pPr>
              <w:jc w:val="center"/>
              <w:rPr>
                <w:rFonts w:hint="eastAsia" w:ascii="宋体" w:hAnsi="宋体" w:eastAsia="宋体" w:cs="宋体"/>
                <w:sz w:val="21"/>
                <w:szCs w:val="21"/>
                <w:highlight w:val="none"/>
                <w:vertAlign w:val="baseline"/>
              </w:rPr>
            </w:pPr>
          </w:p>
        </w:tc>
        <w:tc>
          <w:tcPr>
            <w:tcW w:w="1238" w:type="pct"/>
            <w:vAlign w:val="center"/>
          </w:tcPr>
          <w:p w14:paraId="012D9B64">
            <w:pPr>
              <w:jc w:val="center"/>
              <w:rPr>
                <w:rFonts w:hint="eastAsia" w:ascii="宋体" w:hAnsi="宋体" w:eastAsia="宋体" w:cs="宋体"/>
                <w:sz w:val="21"/>
                <w:szCs w:val="21"/>
                <w:highlight w:val="none"/>
                <w:vertAlign w:val="baseline"/>
              </w:rPr>
            </w:pPr>
            <w:r>
              <w:rPr>
                <w:rFonts w:hint="eastAsia" w:ascii="宋体" w:hAnsi="宋体" w:eastAsia="宋体" w:cs="宋体"/>
                <w:sz w:val="21"/>
                <w:szCs w:val="21"/>
                <w:highlight w:val="none"/>
              </w:rPr>
              <w:t>车辆轨迹鉴定</w:t>
            </w:r>
          </w:p>
        </w:tc>
        <w:tc>
          <w:tcPr>
            <w:tcW w:w="731" w:type="pct"/>
            <w:shd w:val="clear" w:color="auto" w:fill="auto"/>
            <w:vAlign w:val="center"/>
          </w:tcPr>
          <w:p w14:paraId="6073CFC2">
            <w:pPr>
              <w:pageBreakBefore w:val="0"/>
              <w:kinsoku/>
              <w:wordWrap/>
              <w:overflowPunct/>
              <w:topLinePunct w:val="0"/>
              <w:bidi w:val="0"/>
              <w:spacing w:line="360" w:lineRule="auto"/>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辆</w:t>
            </w:r>
          </w:p>
        </w:tc>
        <w:tc>
          <w:tcPr>
            <w:tcW w:w="715" w:type="pct"/>
            <w:shd w:val="clear" w:color="auto" w:fill="auto"/>
            <w:vAlign w:val="center"/>
          </w:tcPr>
          <w:p w14:paraId="0457D8E2">
            <w:pPr>
              <w:pageBreakBefore w:val="0"/>
              <w:kinsoku/>
              <w:wordWrap/>
              <w:overflowPunct/>
              <w:topLinePunct w:val="0"/>
              <w:bidi w:val="0"/>
              <w:spacing w:line="360" w:lineRule="auto"/>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1</w:t>
            </w:r>
          </w:p>
        </w:tc>
        <w:tc>
          <w:tcPr>
            <w:tcW w:w="967" w:type="pct"/>
            <w:vAlign w:val="top"/>
          </w:tcPr>
          <w:p w14:paraId="2A05F0D8">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5000</w:t>
            </w:r>
          </w:p>
        </w:tc>
      </w:tr>
      <w:tr w14:paraId="060AA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5"/>
          </w:tcPr>
          <w:p w14:paraId="2FF238AE">
            <w:pPr>
              <w:pageBreakBefore w:val="0"/>
              <w:kinsoku/>
              <w:wordWrap/>
              <w:overflowPunct/>
              <w:topLinePunct w:val="0"/>
              <w:bidi w:val="0"/>
              <w:spacing w:line="36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说明：</w:t>
            </w:r>
            <w:r>
              <w:rPr>
                <w:rFonts w:hint="eastAsia" w:ascii="宋体" w:hAnsi="宋体" w:eastAsia="宋体" w:cs="宋体"/>
                <w:sz w:val="21"/>
                <w:szCs w:val="21"/>
                <w:highlight w:val="none"/>
              </w:rPr>
              <w:br w:type="textWrapping"/>
            </w:r>
            <w:r>
              <w:rPr>
                <w:rFonts w:hint="eastAsia" w:ascii="宋体" w:hAnsi="宋体" w:eastAsia="宋体" w:cs="宋体"/>
                <w:sz w:val="21"/>
                <w:szCs w:val="21"/>
                <w:highlight w:val="none"/>
              </w:rPr>
              <w:t>1、汽车类包括汽车及汽车列车、轮式专用机械车、挂车、特型机动车和上道路行驶拖拉机。</w:t>
            </w:r>
          </w:p>
          <w:p w14:paraId="4A3294DF">
            <w:pPr>
              <w:pageBreakBefore w:val="0"/>
              <w:kinsoku/>
              <w:wordWrap/>
              <w:overflowPunct/>
              <w:topLinePunct w:val="0"/>
              <w:bidi w:val="0"/>
              <w:spacing w:line="36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2、摩托车类包括摩托车、二轮燃油车辆、三轮燃油车辆、二轮电动车、三轮电动车。</w:t>
            </w:r>
          </w:p>
          <w:p w14:paraId="28DE48BF">
            <w:pP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rPr>
              <w:t>3、四小车车辆类型鉴定包括二轮燃油车辆、三轮燃油车辆、二轮电动车、三轮电动车</w:t>
            </w:r>
            <w:r>
              <w:rPr>
                <w:rFonts w:hint="eastAsia" w:ascii="宋体" w:hAnsi="宋体" w:eastAsia="宋体" w:cs="宋体"/>
                <w:sz w:val="21"/>
                <w:szCs w:val="21"/>
                <w:highlight w:val="none"/>
                <w:lang w:eastAsia="zh-CN"/>
              </w:rPr>
              <w:t>。</w:t>
            </w:r>
          </w:p>
        </w:tc>
      </w:tr>
    </w:tbl>
    <w:p w14:paraId="1B68E7CD">
      <w:pPr>
        <w:pStyle w:val="2"/>
        <w:pageBreakBefore w:val="0"/>
        <w:kinsoku/>
        <w:wordWrap/>
        <w:overflowPunct/>
        <w:topLinePunct w:val="0"/>
        <w:bidi w:val="0"/>
        <w:spacing w:line="360" w:lineRule="auto"/>
        <w:ind w:firstLine="632" w:firstLineChars="300"/>
        <w:rPr>
          <w:rFonts w:hint="eastAsia" w:ascii="宋体" w:hAnsi="宋体" w:eastAsia="宋体" w:cs="宋体"/>
          <w:sz w:val="21"/>
          <w:szCs w:val="21"/>
          <w:highlight w:val="none"/>
        </w:rPr>
      </w:pPr>
      <w:r>
        <w:rPr>
          <w:rFonts w:hint="eastAsia" w:ascii="宋体" w:hAnsi="宋体" w:eastAsia="宋体" w:cs="宋体"/>
          <w:b/>
          <w:bCs/>
          <w:sz w:val="21"/>
          <w:szCs w:val="21"/>
          <w:highlight w:val="none"/>
        </w:rPr>
        <w:t>注：鉴定单位业务范围内必须包含所鉴定项目内容。</w:t>
      </w:r>
      <w:r>
        <w:rPr>
          <w:rFonts w:hint="eastAsia" w:ascii="宋体" w:hAnsi="宋体" w:eastAsia="宋体" w:cs="宋体"/>
          <w:b/>
          <w:sz w:val="21"/>
          <w:szCs w:val="21"/>
          <w:highlight w:val="none"/>
        </w:rPr>
        <w:t>结算时按实际数量计算。</w:t>
      </w:r>
    </w:p>
    <w:p w14:paraId="75AB93EC">
      <w:pPr>
        <w:pageBreakBefore w:val="0"/>
        <w:tabs>
          <w:tab w:val="left" w:pos="360"/>
        </w:tabs>
        <w:kinsoku/>
        <w:wordWrap/>
        <w:overflowPunct/>
        <w:topLinePunct w:val="0"/>
        <w:bidi w:val="0"/>
        <w:spacing w:line="360" w:lineRule="auto"/>
        <w:ind w:firstLine="527" w:firstLineChars="250"/>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2、总体要求</w:t>
      </w:r>
    </w:p>
    <w:p w14:paraId="7EEA344E">
      <w:pPr>
        <w:pageBreakBefore w:val="0"/>
        <w:tabs>
          <w:tab w:val="left" w:pos="360"/>
        </w:tabs>
        <w:kinsoku/>
        <w:wordWrap/>
        <w:overflowPunct/>
        <w:topLinePunct w:val="0"/>
        <w:bidi w:val="0"/>
        <w:spacing w:line="360" w:lineRule="auto"/>
        <w:ind w:firstLine="525" w:firstLineChars="250"/>
        <w:rPr>
          <w:rFonts w:hint="eastAsia" w:ascii="宋体" w:hAnsi="宋体" w:eastAsia="宋体" w:cs="宋体"/>
          <w:sz w:val="21"/>
          <w:szCs w:val="21"/>
          <w:highlight w:val="none"/>
        </w:rPr>
      </w:pPr>
      <w:r>
        <w:rPr>
          <w:rFonts w:hint="eastAsia" w:ascii="宋体" w:hAnsi="宋体" w:eastAsia="宋体" w:cs="宋体"/>
          <w:sz w:val="21"/>
          <w:szCs w:val="21"/>
          <w:highlight w:val="none"/>
        </w:rPr>
        <w:t>2.1</w:t>
      </w:r>
      <w:r>
        <w:rPr>
          <w:rFonts w:hint="eastAsia" w:ascii="宋体" w:hAnsi="宋体" w:eastAsia="宋体" w:cs="宋体"/>
          <w:sz w:val="21"/>
          <w:szCs w:val="21"/>
          <w:highlight w:val="none"/>
          <w:lang w:eastAsia="zh-CN"/>
        </w:rPr>
        <w:t>投标人</w:t>
      </w:r>
      <w:r>
        <w:rPr>
          <w:rFonts w:hint="eastAsia" w:ascii="宋体" w:hAnsi="宋体" w:eastAsia="宋体" w:cs="宋体"/>
          <w:sz w:val="21"/>
          <w:szCs w:val="21"/>
          <w:highlight w:val="none"/>
        </w:rPr>
        <w:t>须对招标范围内的全部内容进行投标。</w:t>
      </w:r>
    </w:p>
    <w:p w14:paraId="09052351">
      <w:pPr>
        <w:pageBreakBefore w:val="0"/>
        <w:tabs>
          <w:tab w:val="left" w:pos="360"/>
        </w:tabs>
        <w:kinsoku/>
        <w:wordWrap/>
        <w:overflowPunct/>
        <w:topLinePunct w:val="0"/>
        <w:bidi w:val="0"/>
        <w:spacing w:line="360" w:lineRule="auto"/>
        <w:ind w:firstLine="525" w:firstLineChars="250"/>
        <w:rPr>
          <w:rFonts w:hint="eastAsia" w:ascii="宋体" w:hAnsi="宋体" w:eastAsia="宋体" w:cs="宋体"/>
          <w:sz w:val="21"/>
          <w:szCs w:val="21"/>
          <w:highlight w:val="none"/>
        </w:rPr>
      </w:pPr>
      <w:r>
        <w:rPr>
          <w:rFonts w:hint="eastAsia" w:ascii="宋体" w:hAnsi="宋体" w:eastAsia="宋体" w:cs="宋体"/>
          <w:sz w:val="21"/>
          <w:szCs w:val="21"/>
          <w:highlight w:val="none"/>
        </w:rPr>
        <w:t>2.2</w:t>
      </w:r>
      <w:r>
        <w:rPr>
          <w:rFonts w:hint="eastAsia" w:ascii="宋体" w:hAnsi="宋体" w:eastAsia="宋体" w:cs="宋体"/>
          <w:sz w:val="21"/>
          <w:szCs w:val="21"/>
          <w:highlight w:val="none"/>
          <w:lang w:eastAsia="zh-CN"/>
        </w:rPr>
        <w:t>投标人</w:t>
      </w:r>
      <w:r>
        <w:rPr>
          <w:rFonts w:hint="eastAsia" w:ascii="宋体" w:hAnsi="宋体" w:eastAsia="宋体" w:cs="宋体"/>
          <w:sz w:val="21"/>
          <w:szCs w:val="21"/>
          <w:highlight w:val="none"/>
        </w:rPr>
        <w:t>必须按照相关国家、行业标准开展鉴定工作，检验鉴定过程必须遵循合法、公平、公开原则。</w:t>
      </w:r>
    </w:p>
    <w:p w14:paraId="4756E2FB">
      <w:pPr>
        <w:pageBreakBefore w:val="0"/>
        <w:tabs>
          <w:tab w:val="left" w:pos="360"/>
        </w:tabs>
        <w:kinsoku/>
        <w:wordWrap/>
        <w:overflowPunct/>
        <w:topLinePunct w:val="0"/>
        <w:bidi w:val="0"/>
        <w:spacing w:line="360" w:lineRule="auto"/>
        <w:ind w:firstLine="525" w:firstLineChars="250"/>
        <w:rPr>
          <w:rFonts w:hint="eastAsia" w:ascii="宋体" w:hAnsi="宋体" w:eastAsia="宋体" w:cs="宋体"/>
          <w:sz w:val="21"/>
          <w:szCs w:val="21"/>
          <w:highlight w:val="none"/>
        </w:rPr>
      </w:pPr>
      <w:r>
        <w:rPr>
          <w:rFonts w:hint="eastAsia" w:ascii="宋体" w:hAnsi="宋体" w:eastAsia="宋体" w:cs="宋体"/>
          <w:sz w:val="21"/>
          <w:szCs w:val="21"/>
          <w:highlight w:val="none"/>
        </w:rPr>
        <w:t>2.3接到委托后</w:t>
      </w:r>
      <w:r>
        <w:rPr>
          <w:rFonts w:hint="eastAsia" w:ascii="宋体" w:hAnsi="宋体" w:cs="宋体"/>
          <w:sz w:val="21"/>
          <w:szCs w:val="21"/>
          <w:highlight w:val="none"/>
          <w:lang w:val="en-US" w:eastAsia="zh-CN"/>
        </w:rPr>
        <w:t>的中标人应在响应时效内按</w:t>
      </w:r>
      <w:r>
        <w:rPr>
          <w:rFonts w:hint="eastAsia" w:ascii="宋体" w:hAnsi="宋体" w:eastAsia="宋体" w:cs="宋体"/>
          <w:sz w:val="21"/>
          <w:szCs w:val="21"/>
          <w:highlight w:val="none"/>
        </w:rPr>
        <w:t>采购人要求时间到场，并在国家法律法规及上级有关文件规定时间内出具检验鉴定报告</w:t>
      </w:r>
      <w:r>
        <w:rPr>
          <w:rFonts w:hint="eastAsia" w:ascii="宋体" w:hAnsi="宋体" w:cs="宋体"/>
          <w:sz w:val="21"/>
          <w:szCs w:val="21"/>
          <w:highlight w:val="none"/>
          <w:lang w:eastAsia="zh-CN"/>
        </w:rPr>
        <w:t>。</w:t>
      </w:r>
      <w:r>
        <w:rPr>
          <w:rFonts w:hint="eastAsia" w:ascii="宋体" w:hAnsi="宋体" w:eastAsia="宋体" w:cs="宋体"/>
          <w:b w:val="0"/>
          <w:bCs w:val="0"/>
          <w:color w:val="auto"/>
          <w:sz w:val="21"/>
          <w:szCs w:val="21"/>
          <w:highlight w:val="none"/>
          <w:lang w:val="en-US" w:eastAsia="zh-CN"/>
        </w:rPr>
        <w:t>原则上</w:t>
      </w:r>
      <w:r>
        <w:rPr>
          <w:rFonts w:hint="eastAsia" w:ascii="宋体" w:hAnsi="宋体" w:cs="宋体"/>
          <w:b w:val="0"/>
          <w:bCs w:val="0"/>
          <w:color w:val="auto"/>
          <w:sz w:val="21"/>
          <w:szCs w:val="21"/>
          <w:highlight w:val="none"/>
          <w:lang w:val="en-US" w:eastAsia="zh-CN"/>
        </w:rPr>
        <w:t>常规</w:t>
      </w:r>
      <w:r>
        <w:rPr>
          <w:rFonts w:hint="eastAsia" w:ascii="宋体" w:hAnsi="宋体" w:eastAsia="宋体" w:cs="宋体"/>
          <w:b w:val="0"/>
          <w:bCs w:val="0"/>
          <w:color w:val="auto"/>
          <w:sz w:val="21"/>
          <w:szCs w:val="21"/>
          <w:highlight w:val="none"/>
          <w:lang w:val="en-US" w:eastAsia="zh-CN"/>
        </w:rPr>
        <w:t>委托</w:t>
      </w:r>
      <w:r>
        <w:rPr>
          <w:rFonts w:hint="eastAsia" w:ascii="宋体" w:hAnsi="宋体" w:cs="宋体"/>
          <w:b w:val="0"/>
          <w:bCs w:val="0"/>
          <w:color w:val="auto"/>
          <w:sz w:val="21"/>
          <w:szCs w:val="21"/>
          <w:highlight w:val="none"/>
          <w:lang w:val="en-US" w:eastAsia="zh-CN"/>
        </w:rPr>
        <w:t>鉴定在72小时内</w:t>
      </w:r>
      <w:r>
        <w:rPr>
          <w:rFonts w:hint="eastAsia" w:ascii="宋体" w:hAnsi="宋体" w:eastAsia="宋体" w:cs="宋体"/>
          <w:b w:val="0"/>
          <w:bCs w:val="0"/>
          <w:color w:val="auto"/>
          <w:sz w:val="21"/>
          <w:szCs w:val="21"/>
          <w:highlight w:val="none"/>
          <w:lang w:val="en-US" w:eastAsia="zh-CN"/>
        </w:rPr>
        <w:t>完成检材搜集，</w:t>
      </w:r>
      <w:r>
        <w:rPr>
          <w:rFonts w:hint="eastAsia" w:ascii="宋体" w:hAnsi="宋体" w:cs="宋体"/>
          <w:b w:val="0"/>
          <w:bCs w:val="0"/>
          <w:color w:val="auto"/>
          <w:sz w:val="21"/>
          <w:szCs w:val="21"/>
          <w:highlight w:val="none"/>
          <w:lang w:val="en-US" w:eastAsia="zh-CN"/>
        </w:rPr>
        <w:t>7个工作日内</w:t>
      </w:r>
      <w:r>
        <w:rPr>
          <w:rFonts w:hint="eastAsia" w:ascii="宋体" w:hAnsi="宋体" w:eastAsia="宋体" w:cs="宋体"/>
          <w:b w:val="0"/>
          <w:bCs w:val="0"/>
          <w:color w:val="auto"/>
          <w:sz w:val="21"/>
          <w:szCs w:val="21"/>
          <w:highlight w:val="none"/>
          <w:lang w:val="en-US" w:eastAsia="zh-CN"/>
        </w:rPr>
        <w:t>出具</w:t>
      </w:r>
      <w:r>
        <w:rPr>
          <w:rFonts w:hint="eastAsia" w:ascii="宋体" w:hAnsi="宋体" w:eastAsia="宋体" w:cs="宋体"/>
          <w:sz w:val="21"/>
          <w:szCs w:val="21"/>
          <w:highlight w:val="none"/>
        </w:rPr>
        <w:t>检验</w:t>
      </w:r>
      <w:r>
        <w:rPr>
          <w:rFonts w:hint="eastAsia" w:ascii="宋体" w:hAnsi="宋体" w:eastAsia="宋体" w:cs="宋体"/>
          <w:b w:val="0"/>
          <w:bCs w:val="0"/>
          <w:color w:val="auto"/>
          <w:sz w:val="21"/>
          <w:szCs w:val="21"/>
          <w:highlight w:val="none"/>
          <w:lang w:val="en-US" w:eastAsia="zh-CN"/>
        </w:rPr>
        <w:t>鉴定报告</w:t>
      </w:r>
      <w:r>
        <w:rPr>
          <w:rFonts w:hint="eastAsia" w:ascii="宋体" w:hAnsi="宋体" w:cs="宋体"/>
          <w:b w:val="0"/>
          <w:bCs w:val="0"/>
          <w:color w:val="auto"/>
          <w:sz w:val="21"/>
          <w:szCs w:val="21"/>
          <w:highlight w:val="none"/>
          <w:lang w:val="en-US" w:eastAsia="zh-CN"/>
        </w:rPr>
        <w:t>。</w:t>
      </w:r>
      <w:r>
        <w:rPr>
          <w:rFonts w:hint="eastAsia" w:ascii="宋体" w:hAnsi="宋体" w:eastAsia="宋体" w:cs="宋体"/>
          <w:sz w:val="21"/>
          <w:szCs w:val="21"/>
          <w:highlight w:val="none"/>
        </w:rPr>
        <w:t>如遇</w:t>
      </w:r>
      <w:r>
        <w:rPr>
          <w:rFonts w:hint="eastAsia" w:ascii="宋体" w:hAnsi="宋体" w:cs="宋体"/>
          <w:sz w:val="21"/>
          <w:szCs w:val="21"/>
          <w:highlight w:val="none"/>
          <w:lang w:val="en-US" w:eastAsia="zh-CN"/>
        </w:rPr>
        <w:t>紧急情况，</w:t>
      </w:r>
      <w:r>
        <w:rPr>
          <w:rFonts w:hint="eastAsia" w:ascii="宋体" w:hAnsi="宋体" w:eastAsia="宋体" w:cs="宋体"/>
          <w:b w:val="0"/>
          <w:bCs w:val="0"/>
          <w:color w:val="auto"/>
          <w:sz w:val="21"/>
          <w:szCs w:val="21"/>
          <w:highlight w:val="none"/>
          <w:lang w:val="en-US" w:eastAsia="zh-CN"/>
        </w:rPr>
        <w:t>投标人应无条件满足应急检验鉴定工作的要求，紧急案件24</w:t>
      </w:r>
      <w:r>
        <w:rPr>
          <w:rFonts w:hint="eastAsia" w:ascii="宋体" w:hAnsi="宋体" w:cs="宋体"/>
          <w:b w:val="0"/>
          <w:bCs w:val="0"/>
          <w:color w:val="auto"/>
          <w:sz w:val="21"/>
          <w:szCs w:val="21"/>
          <w:highlight w:val="none"/>
          <w:lang w:val="en-US" w:eastAsia="zh-CN"/>
        </w:rPr>
        <w:t>小时</w:t>
      </w:r>
      <w:r>
        <w:rPr>
          <w:rFonts w:hint="eastAsia" w:ascii="宋体" w:hAnsi="宋体" w:eastAsia="宋体" w:cs="宋体"/>
          <w:b w:val="0"/>
          <w:bCs w:val="0"/>
          <w:color w:val="auto"/>
          <w:sz w:val="21"/>
          <w:szCs w:val="21"/>
          <w:highlight w:val="none"/>
          <w:lang w:val="en-US" w:eastAsia="zh-CN"/>
        </w:rPr>
        <w:t>之内完成检材搜集，</w:t>
      </w:r>
      <w:r>
        <w:rPr>
          <w:rFonts w:hint="eastAsia" w:ascii="宋体" w:hAnsi="宋体" w:cs="宋体"/>
          <w:b w:val="0"/>
          <w:bCs w:val="0"/>
          <w:color w:val="auto"/>
          <w:sz w:val="21"/>
          <w:szCs w:val="21"/>
          <w:highlight w:val="none"/>
          <w:lang w:val="en-US" w:eastAsia="zh-CN"/>
        </w:rPr>
        <w:t>72</w:t>
      </w:r>
      <w:r>
        <w:rPr>
          <w:rFonts w:hint="eastAsia" w:ascii="宋体" w:hAnsi="宋体" w:eastAsia="宋体" w:cs="宋体"/>
          <w:b w:val="0"/>
          <w:bCs w:val="0"/>
          <w:color w:val="auto"/>
          <w:sz w:val="21"/>
          <w:szCs w:val="21"/>
          <w:highlight w:val="none"/>
          <w:lang w:val="en-US" w:eastAsia="zh-CN"/>
        </w:rPr>
        <w:t>小时之内出具检验鉴定结论</w:t>
      </w:r>
      <w:r>
        <w:rPr>
          <w:rFonts w:hint="eastAsia" w:ascii="宋体" w:hAnsi="宋体" w:cs="宋体"/>
          <w:b w:val="0"/>
          <w:bCs w:val="0"/>
          <w:color w:val="auto"/>
          <w:sz w:val="21"/>
          <w:szCs w:val="21"/>
          <w:highlight w:val="none"/>
          <w:lang w:val="en-US" w:eastAsia="zh-CN"/>
        </w:rPr>
        <w:t>。</w:t>
      </w:r>
    </w:p>
    <w:p w14:paraId="6B9DC435">
      <w:pPr>
        <w:pageBreakBefore w:val="0"/>
        <w:tabs>
          <w:tab w:val="left" w:pos="360"/>
        </w:tabs>
        <w:kinsoku/>
        <w:wordWrap/>
        <w:overflowPunct/>
        <w:topLinePunct w:val="0"/>
        <w:bidi w:val="0"/>
        <w:spacing w:line="360" w:lineRule="auto"/>
        <w:ind w:firstLine="525" w:firstLineChars="250"/>
        <w:rPr>
          <w:rFonts w:hint="eastAsia" w:ascii="宋体" w:hAnsi="宋体" w:eastAsia="宋体" w:cs="宋体"/>
          <w:sz w:val="21"/>
          <w:szCs w:val="21"/>
          <w:highlight w:val="none"/>
        </w:rPr>
      </w:pPr>
      <w:r>
        <w:rPr>
          <w:rFonts w:hint="eastAsia" w:ascii="宋体" w:hAnsi="宋体" w:eastAsia="宋体" w:cs="宋体"/>
          <w:sz w:val="21"/>
          <w:szCs w:val="21"/>
          <w:highlight w:val="none"/>
        </w:rPr>
        <w:t>2.</w:t>
      </w: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rPr>
        <w:t>本次招标确定</w:t>
      </w:r>
      <w:r>
        <w:rPr>
          <w:rFonts w:hint="eastAsia" w:ascii="宋体" w:hAnsi="宋体" w:eastAsia="宋体" w:cs="宋体"/>
          <w:sz w:val="21"/>
          <w:szCs w:val="21"/>
          <w:highlight w:val="none"/>
          <w:u w:val="single"/>
        </w:rPr>
        <w:t>1</w:t>
      </w:r>
      <w:r>
        <w:rPr>
          <w:rFonts w:hint="eastAsia" w:ascii="宋体" w:hAnsi="宋体" w:eastAsia="宋体" w:cs="宋体"/>
          <w:sz w:val="21"/>
          <w:szCs w:val="21"/>
          <w:highlight w:val="none"/>
        </w:rPr>
        <w:t>家</w:t>
      </w:r>
      <w:r>
        <w:rPr>
          <w:rFonts w:hint="eastAsia" w:ascii="宋体" w:hAnsi="宋体" w:eastAsia="宋体" w:cs="宋体"/>
          <w:sz w:val="21"/>
          <w:szCs w:val="21"/>
          <w:highlight w:val="none"/>
          <w:lang w:eastAsia="zh-CN"/>
        </w:rPr>
        <w:t>成交人</w:t>
      </w:r>
      <w:r>
        <w:rPr>
          <w:rFonts w:hint="eastAsia" w:ascii="宋体" w:hAnsi="宋体" w:eastAsia="宋体" w:cs="宋体"/>
          <w:sz w:val="21"/>
          <w:szCs w:val="21"/>
          <w:highlight w:val="none"/>
        </w:rPr>
        <w:t>进行交通事故车辆技术检验鉴定工作。</w:t>
      </w:r>
    </w:p>
    <w:p w14:paraId="3A2F0F39">
      <w:pPr>
        <w:pageBreakBefore w:val="0"/>
        <w:tabs>
          <w:tab w:val="left" w:pos="360"/>
        </w:tabs>
        <w:kinsoku/>
        <w:wordWrap/>
        <w:overflowPunct/>
        <w:topLinePunct w:val="0"/>
        <w:bidi w:val="0"/>
        <w:spacing w:line="360" w:lineRule="auto"/>
        <w:ind w:firstLine="525" w:firstLineChars="250"/>
        <w:rPr>
          <w:rFonts w:hint="eastAsia" w:ascii="宋体" w:hAnsi="宋体" w:eastAsia="宋体" w:cs="宋体"/>
          <w:sz w:val="21"/>
          <w:szCs w:val="21"/>
          <w:highlight w:val="none"/>
        </w:rPr>
      </w:pPr>
      <w:r>
        <w:rPr>
          <w:rFonts w:hint="eastAsia" w:ascii="宋体" w:hAnsi="宋体" w:eastAsia="宋体" w:cs="宋体"/>
          <w:sz w:val="21"/>
          <w:szCs w:val="21"/>
          <w:highlight w:val="none"/>
        </w:rPr>
        <w:t>2.</w:t>
      </w:r>
      <w:r>
        <w:rPr>
          <w:rFonts w:hint="eastAsia" w:ascii="宋体" w:hAnsi="宋体" w:eastAsia="宋体" w:cs="宋体"/>
          <w:sz w:val="21"/>
          <w:szCs w:val="21"/>
          <w:highlight w:val="none"/>
          <w:lang w:val="en-US" w:eastAsia="zh-CN"/>
        </w:rPr>
        <w:t>5</w:t>
      </w:r>
      <w:r>
        <w:rPr>
          <w:rFonts w:hint="eastAsia" w:ascii="宋体" w:hAnsi="宋体" w:eastAsia="宋体" w:cs="宋体"/>
          <w:sz w:val="21"/>
          <w:szCs w:val="21"/>
          <w:highlight w:val="none"/>
        </w:rPr>
        <w:t>项目负责人须</w:t>
      </w:r>
      <w:r>
        <w:rPr>
          <w:rFonts w:hint="eastAsia" w:ascii="宋体" w:hAnsi="宋体" w:cs="宋体"/>
          <w:sz w:val="21"/>
          <w:szCs w:val="21"/>
          <w:highlight w:val="none"/>
          <w:lang w:val="en-US" w:eastAsia="zh-CN"/>
        </w:rPr>
        <w:t>具备</w:t>
      </w:r>
      <w:r>
        <w:rPr>
          <w:rFonts w:hint="eastAsia" w:cs="宋体"/>
          <w:b w:val="0"/>
          <w:bCs w:val="0"/>
          <w:i w:val="0"/>
          <w:iCs w:val="0"/>
          <w:caps w:val="0"/>
          <w:color w:val="auto"/>
          <w:spacing w:val="0"/>
          <w:sz w:val="21"/>
          <w:szCs w:val="21"/>
          <w:highlight w:val="none"/>
          <w:lang w:val="en-US" w:eastAsia="zh-CN"/>
        </w:rPr>
        <w:t>物证类</w:t>
      </w:r>
      <w:r>
        <w:rPr>
          <w:rFonts w:hint="eastAsia" w:ascii="宋体" w:hAnsi="宋体" w:eastAsia="宋体" w:cs="宋体"/>
          <w:b w:val="0"/>
          <w:bCs w:val="0"/>
          <w:i w:val="0"/>
          <w:iCs w:val="0"/>
          <w:caps w:val="0"/>
          <w:color w:val="auto"/>
          <w:spacing w:val="0"/>
          <w:sz w:val="21"/>
          <w:szCs w:val="21"/>
          <w:highlight w:val="none"/>
        </w:rPr>
        <w:t>鉴定（交通事故痕迹物证鉴定）</w:t>
      </w:r>
      <w:r>
        <w:rPr>
          <w:rFonts w:hint="eastAsia" w:ascii="宋体" w:hAnsi="宋体" w:eastAsia="宋体" w:cs="宋体"/>
          <w:b w:val="0"/>
          <w:bCs w:val="0"/>
          <w:i w:val="0"/>
          <w:iCs w:val="0"/>
          <w:caps w:val="0"/>
          <w:color w:val="auto"/>
          <w:spacing w:val="0"/>
          <w:sz w:val="21"/>
          <w:szCs w:val="21"/>
          <w:highlight w:val="none"/>
          <w:lang w:eastAsia="zh-CN"/>
        </w:rPr>
        <w:t>的</w:t>
      </w:r>
      <w:r>
        <w:rPr>
          <w:rFonts w:hint="eastAsia" w:ascii="宋体" w:hAnsi="宋体" w:eastAsia="宋体" w:cs="宋体"/>
          <w:b w:val="0"/>
          <w:bCs w:val="0"/>
          <w:i w:val="0"/>
          <w:iCs w:val="0"/>
          <w:caps w:val="0"/>
          <w:color w:val="auto"/>
          <w:spacing w:val="0"/>
          <w:sz w:val="21"/>
          <w:szCs w:val="21"/>
          <w:highlight w:val="none"/>
          <w:lang w:val="en-US" w:eastAsia="zh-CN"/>
        </w:rPr>
        <w:t>鉴定能力</w:t>
      </w:r>
      <w:r>
        <w:rPr>
          <w:rFonts w:hint="eastAsia" w:ascii="宋体" w:hAnsi="宋体" w:eastAsia="宋体" w:cs="宋体"/>
          <w:sz w:val="21"/>
          <w:szCs w:val="21"/>
          <w:highlight w:val="none"/>
        </w:rPr>
        <w:t>，项目人员组</w:t>
      </w:r>
      <w:r>
        <w:rPr>
          <w:rFonts w:hint="eastAsia" w:ascii="宋体" w:hAnsi="宋体" w:cs="宋体"/>
          <w:sz w:val="21"/>
          <w:szCs w:val="21"/>
          <w:highlight w:val="none"/>
          <w:lang w:val="en-US" w:eastAsia="zh-CN"/>
        </w:rPr>
        <w:t>成员也需</w:t>
      </w:r>
      <w:r>
        <w:rPr>
          <w:rFonts w:hint="eastAsia" w:ascii="宋体" w:hAnsi="宋体" w:eastAsia="宋体" w:cs="宋体"/>
          <w:sz w:val="21"/>
          <w:szCs w:val="21"/>
          <w:highlight w:val="none"/>
        </w:rPr>
        <w:t>持有</w:t>
      </w:r>
      <w:r>
        <w:rPr>
          <w:rFonts w:hint="eastAsia" w:cs="宋体"/>
          <w:b w:val="0"/>
          <w:bCs w:val="0"/>
          <w:i w:val="0"/>
          <w:iCs w:val="0"/>
          <w:caps w:val="0"/>
          <w:color w:val="auto"/>
          <w:spacing w:val="0"/>
          <w:sz w:val="21"/>
          <w:szCs w:val="21"/>
          <w:highlight w:val="none"/>
          <w:lang w:val="en-US" w:eastAsia="zh-CN"/>
        </w:rPr>
        <w:t>物证类</w:t>
      </w:r>
      <w:r>
        <w:rPr>
          <w:rFonts w:hint="eastAsia" w:ascii="宋体" w:hAnsi="宋体" w:eastAsia="宋体" w:cs="宋体"/>
          <w:b w:val="0"/>
          <w:bCs w:val="0"/>
          <w:i w:val="0"/>
          <w:iCs w:val="0"/>
          <w:caps w:val="0"/>
          <w:color w:val="auto"/>
          <w:spacing w:val="0"/>
          <w:sz w:val="21"/>
          <w:szCs w:val="21"/>
          <w:highlight w:val="none"/>
        </w:rPr>
        <w:t>鉴定（交通事故痕迹物证鉴定）</w:t>
      </w:r>
      <w:r>
        <w:rPr>
          <w:rFonts w:hint="eastAsia" w:ascii="宋体" w:hAnsi="宋体" w:cs="宋体"/>
          <w:b w:val="0"/>
          <w:bCs w:val="0"/>
          <w:i w:val="0"/>
          <w:iCs w:val="0"/>
          <w:caps w:val="0"/>
          <w:color w:val="auto"/>
          <w:spacing w:val="0"/>
          <w:sz w:val="21"/>
          <w:szCs w:val="21"/>
          <w:highlight w:val="none"/>
          <w:lang w:val="en-US" w:eastAsia="zh-CN"/>
        </w:rPr>
        <w:t>证书</w:t>
      </w:r>
      <w:r>
        <w:rPr>
          <w:rFonts w:hint="eastAsia" w:ascii="宋体" w:hAnsi="宋体" w:eastAsia="宋体" w:cs="宋体"/>
          <w:sz w:val="21"/>
          <w:szCs w:val="21"/>
          <w:highlight w:val="none"/>
        </w:rPr>
        <w:t>，人数不得少于4人，并直接参与检验、鉴定工作。</w:t>
      </w:r>
    </w:p>
    <w:p w14:paraId="5A7555B3">
      <w:pPr>
        <w:pageBreakBefore w:val="0"/>
        <w:tabs>
          <w:tab w:val="left" w:pos="360"/>
        </w:tabs>
        <w:kinsoku/>
        <w:wordWrap/>
        <w:overflowPunct/>
        <w:topLinePunct w:val="0"/>
        <w:bidi w:val="0"/>
        <w:spacing w:line="360" w:lineRule="auto"/>
        <w:ind w:firstLine="525" w:firstLineChars="250"/>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w:t>
      </w:r>
      <w:r>
        <w:rPr>
          <w:rFonts w:hint="eastAsia" w:ascii="宋体" w:hAnsi="宋体" w:eastAsia="宋体" w:cs="宋体"/>
          <w:b w:val="0"/>
          <w:bCs w:val="0"/>
          <w:color w:val="auto"/>
          <w:sz w:val="21"/>
          <w:szCs w:val="21"/>
          <w:highlight w:val="none"/>
          <w:lang w:val="en-US" w:eastAsia="zh-CN"/>
        </w:rPr>
        <w:t>6</w:t>
      </w:r>
      <w:r>
        <w:rPr>
          <w:rFonts w:hint="eastAsia" w:ascii="宋体" w:hAnsi="宋体" w:eastAsia="宋体" w:cs="宋体"/>
          <w:b w:val="0"/>
          <w:bCs w:val="0"/>
          <w:color w:val="auto"/>
          <w:sz w:val="21"/>
          <w:szCs w:val="21"/>
          <w:highlight w:val="none"/>
          <w:lang w:eastAsia="zh-CN"/>
        </w:rPr>
        <w:t>投标人应具有固定、独立的检验鉴定场所；实验室、样品室（物证室）、档案室、办公室、接案室、资料室等功能区域划分科学、设置合理，符合工作要求；对于现场工作以及涉及生物检材/样本、危险性检材/样本的区域和人员，</w:t>
      </w:r>
      <w:r>
        <w:rPr>
          <w:rFonts w:hint="eastAsia" w:ascii="宋体" w:hAnsi="宋体" w:cs="宋体"/>
          <w:b w:val="0"/>
          <w:bCs w:val="0"/>
          <w:color w:val="auto"/>
          <w:sz w:val="21"/>
          <w:szCs w:val="21"/>
          <w:highlight w:val="none"/>
          <w:lang w:val="en-US" w:eastAsia="zh-CN"/>
        </w:rPr>
        <w:t>投标人</w:t>
      </w:r>
      <w:r>
        <w:rPr>
          <w:rFonts w:hint="eastAsia" w:ascii="宋体" w:hAnsi="宋体" w:eastAsia="宋体" w:cs="宋体"/>
          <w:b w:val="0"/>
          <w:bCs w:val="0"/>
          <w:color w:val="auto"/>
          <w:sz w:val="21"/>
          <w:szCs w:val="21"/>
          <w:highlight w:val="none"/>
          <w:lang w:eastAsia="zh-CN"/>
        </w:rPr>
        <w:t>应能够提供适当的防护措施。</w:t>
      </w:r>
    </w:p>
    <w:p w14:paraId="6E6C641C">
      <w:pPr>
        <w:pageBreakBefore w:val="0"/>
        <w:tabs>
          <w:tab w:val="left" w:pos="360"/>
        </w:tabs>
        <w:kinsoku/>
        <w:wordWrap/>
        <w:overflowPunct/>
        <w:topLinePunct w:val="0"/>
        <w:bidi w:val="0"/>
        <w:spacing w:line="360" w:lineRule="auto"/>
        <w:ind w:firstLine="525" w:firstLineChars="250"/>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w:t>
      </w:r>
      <w:r>
        <w:rPr>
          <w:rFonts w:hint="eastAsia" w:ascii="宋体" w:hAnsi="宋体" w:eastAsia="宋体" w:cs="宋体"/>
          <w:b w:val="0"/>
          <w:bCs w:val="0"/>
          <w:color w:val="auto"/>
          <w:sz w:val="21"/>
          <w:szCs w:val="21"/>
          <w:highlight w:val="none"/>
          <w:lang w:val="en-US" w:eastAsia="zh-CN"/>
        </w:rPr>
        <w:t>7投标人</w:t>
      </w:r>
      <w:r>
        <w:rPr>
          <w:rFonts w:hint="eastAsia" w:ascii="宋体" w:hAnsi="宋体" w:cs="宋体"/>
          <w:b w:val="0"/>
          <w:bCs w:val="0"/>
          <w:color w:val="auto"/>
          <w:sz w:val="21"/>
          <w:szCs w:val="21"/>
          <w:highlight w:val="none"/>
          <w:lang w:val="en-US" w:eastAsia="zh-CN"/>
        </w:rPr>
        <w:t>应</w:t>
      </w:r>
      <w:r>
        <w:rPr>
          <w:rFonts w:hint="eastAsia" w:ascii="宋体" w:hAnsi="宋体" w:eastAsia="宋体" w:cs="宋体"/>
          <w:b w:val="0"/>
          <w:bCs w:val="0"/>
          <w:color w:val="auto"/>
          <w:sz w:val="21"/>
          <w:szCs w:val="21"/>
          <w:highlight w:val="none"/>
        </w:rPr>
        <w:t>配备用</w:t>
      </w:r>
      <w:r>
        <w:rPr>
          <w:rFonts w:hint="eastAsia" w:ascii="宋体" w:hAnsi="宋体" w:eastAsia="宋体" w:cs="宋体"/>
          <w:b w:val="0"/>
          <w:bCs w:val="0"/>
          <w:color w:val="auto"/>
          <w:sz w:val="21"/>
          <w:szCs w:val="21"/>
          <w:highlight w:val="none"/>
          <w:lang w:val="en-US" w:eastAsia="zh-CN"/>
        </w:rPr>
        <w:t>于</w:t>
      </w:r>
      <w:r>
        <w:rPr>
          <w:rFonts w:hint="eastAsia" w:ascii="宋体" w:hAnsi="宋体" w:eastAsia="宋体" w:cs="宋体"/>
          <w:b w:val="0"/>
          <w:bCs w:val="0"/>
          <w:color w:val="auto"/>
          <w:sz w:val="21"/>
          <w:szCs w:val="21"/>
          <w:highlight w:val="none"/>
        </w:rPr>
        <w:t>勘验的交通工具</w:t>
      </w:r>
      <w:r>
        <w:rPr>
          <w:rFonts w:hint="eastAsia" w:ascii="宋体" w:hAnsi="宋体" w:cs="宋体"/>
          <w:b w:val="0"/>
          <w:bCs w:val="0"/>
          <w:color w:val="auto"/>
          <w:sz w:val="21"/>
          <w:szCs w:val="21"/>
          <w:highlight w:val="none"/>
          <w:lang w:eastAsia="zh-CN"/>
        </w:rPr>
        <w:t>，</w:t>
      </w:r>
      <w:r>
        <w:rPr>
          <w:rFonts w:hint="eastAsia" w:ascii="宋体" w:hAnsi="宋体" w:cs="宋体"/>
          <w:b w:val="0"/>
          <w:bCs w:val="0"/>
          <w:color w:val="auto"/>
          <w:sz w:val="21"/>
          <w:szCs w:val="21"/>
          <w:highlight w:val="none"/>
          <w:lang w:val="en-US" w:eastAsia="zh-CN"/>
        </w:rPr>
        <w:t>并</w:t>
      </w:r>
      <w:r>
        <w:rPr>
          <w:rFonts w:hint="eastAsia" w:ascii="宋体" w:hAnsi="宋体" w:eastAsia="宋体" w:cs="宋体"/>
          <w:b w:val="0"/>
          <w:bCs w:val="0"/>
          <w:color w:val="auto"/>
          <w:sz w:val="21"/>
          <w:szCs w:val="21"/>
          <w:highlight w:val="none"/>
        </w:rPr>
        <w:t>配备有满足相关标准要求的用于勘验和提取取证，以及进行事故车辆安全技术检验的仪器和装备。</w:t>
      </w:r>
    </w:p>
    <w:p w14:paraId="513BCAD0">
      <w:pPr>
        <w:pageBreakBefore w:val="0"/>
        <w:tabs>
          <w:tab w:val="left" w:pos="360"/>
        </w:tabs>
        <w:kinsoku/>
        <w:wordWrap/>
        <w:overflowPunct/>
        <w:topLinePunct w:val="0"/>
        <w:bidi w:val="0"/>
        <w:spacing w:line="360" w:lineRule="auto"/>
        <w:ind w:firstLine="525" w:firstLineChars="250"/>
        <w:rPr>
          <w:rFonts w:hint="eastAsia" w:ascii="宋体" w:hAnsi="宋体" w:eastAsia="宋体" w:cs="宋体"/>
          <w:sz w:val="21"/>
          <w:szCs w:val="21"/>
          <w:highlight w:val="none"/>
        </w:rPr>
      </w:pPr>
      <w:r>
        <w:rPr>
          <w:rFonts w:hint="eastAsia" w:ascii="宋体" w:hAnsi="宋体" w:eastAsia="宋体" w:cs="宋体"/>
          <w:sz w:val="21"/>
          <w:szCs w:val="21"/>
          <w:highlight w:val="none"/>
        </w:rPr>
        <w:t>2.</w:t>
      </w:r>
      <w:r>
        <w:rPr>
          <w:rFonts w:hint="eastAsia" w:ascii="宋体" w:hAnsi="宋体" w:cs="宋体"/>
          <w:sz w:val="21"/>
          <w:szCs w:val="21"/>
          <w:highlight w:val="none"/>
          <w:lang w:val="en-US" w:eastAsia="zh-CN"/>
        </w:rPr>
        <w:t>8</w:t>
      </w:r>
      <w:r>
        <w:rPr>
          <w:rFonts w:hint="eastAsia" w:ascii="宋体" w:hAnsi="宋体" w:eastAsia="宋体" w:cs="宋体"/>
          <w:sz w:val="21"/>
          <w:szCs w:val="21"/>
          <w:highlight w:val="none"/>
          <w:lang w:eastAsia="zh-CN"/>
        </w:rPr>
        <w:t>投标人</w:t>
      </w:r>
      <w:r>
        <w:rPr>
          <w:rFonts w:hint="eastAsia" w:ascii="宋体" w:hAnsi="宋体" w:eastAsia="宋体" w:cs="宋体"/>
          <w:sz w:val="21"/>
          <w:szCs w:val="21"/>
          <w:highlight w:val="none"/>
        </w:rPr>
        <w:t>应提供符合本技术要求和国家标准、行业标准的优质服务。</w:t>
      </w:r>
    </w:p>
    <w:p w14:paraId="5281D931">
      <w:pPr>
        <w:pStyle w:val="2"/>
        <w:pageBreakBefore w:val="0"/>
        <w:kinsoku/>
        <w:wordWrap/>
        <w:overflowPunct/>
        <w:topLinePunct w:val="0"/>
        <w:bidi w:val="0"/>
        <w:spacing w:line="360" w:lineRule="auto"/>
        <w:ind w:firstLine="420" w:firstLineChars="200"/>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lang w:eastAsia="zh-CN"/>
        </w:rPr>
        <w:t>投标人</w:t>
      </w:r>
      <w:r>
        <w:rPr>
          <w:rFonts w:hint="eastAsia" w:ascii="宋体" w:hAnsi="宋体" w:eastAsia="宋体" w:cs="宋体"/>
          <w:b w:val="0"/>
          <w:bCs w:val="0"/>
          <w:sz w:val="21"/>
          <w:szCs w:val="21"/>
          <w:highlight w:val="none"/>
        </w:rPr>
        <w:t>提供的服务应标明所执行的质量标准，若同一标准已颁发新标准，则按最新标准执行。若同时有几个标准（国际标准、国家标准、行业标准、企业标准等），则按最高层次的标准执行。</w:t>
      </w:r>
    </w:p>
    <w:p w14:paraId="4A33E1D6">
      <w:pPr>
        <w:pageBreakBefore w:val="0"/>
        <w:kinsoku/>
        <w:wordWrap/>
        <w:overflowPunct/>
        <w:topLinePunct w:val="0"/>
        <w:bidi w:val="0"/>
        <w:adjustRightInd w:val="0"/>
        <w:snapToGrid w:val="0"/>
        <w:spacing w:line="360" w:lineRule="auto"/>
        <w:outlineLvl w:val="1"/>
        <w:rPr>
          <w:rFonts w:hint="eastAsia" w:ascii="宋体" w:hAnsi="宋体" w:eastAsia="宋体" w:cs="宋体"/>
          <w:b/>
          <w:sz w:val="21"/>
          <w:szCs w:val="21"/>
          <w:highlight w:val="none"/>
        </w:rPr>
      </w:pPr>
      <w:r>
        <w:rPr>
          <w:rFonts w:hint="eastAsia" w:ascii="宋体" w:hAnsi="宋体" w:eastAsia="宋体" w:cs="宋体"/>
          <w:b/>
          <w:sz w:val="21"/>
          <w:szCs w:val="21"/>
          <w:highlight w:val="none"/>
          <w:lang w:val="en-US" w:eastAsia="zh-CN"/>
        </w:rPr>
        <w:t>三</w:t>
      </w:r>
      <w:r>
        <w:rPr>
          <w:rFonts w:hint="eastAsia" w:ascii="宋体" w:hAnsi="宋体" w:eastAsia="宋体" w:cs="宋体"/>
          <w:b/>
          <w:sz w:val="21"/>
          <w:szCs w:val="21"/>
          <w:highlight w:val="none"/>
        </w:rPr>
        <w:t>、服务条款要求</w:t>
      </w:r>
    </w:p>
    <w:p w14:paraId="1DD9A7C1">
      <w:pPr>
        <w:pageBreakBefore w:val="0"/>
        <w:tabs>
          <w:tab w:val="left" w:pos="360"/>
        </w:tabs>
        <w:kinsoku/>
        <w:wordWrap/>
        <w:overflowPunct/>
        <w:topLinePunct w:val="0"/>
        <w:bidi w:val="0"/>
        <w:spacing w:line="360" w:lineRule="auto"/>
        <w:ind w:firstLine="525" w:firstLineChars="250"/>
        <w:rPr>
          <w:rFonts w:hint="eastAsia" w:ascii="宋体" w:hAnsi="宋体" w:cs="宋体"/>
          <w:sz w:val="21"/>
          <w:szCs w:val="21"/>
          <w:highlight w:val="none"/>
          <w:lang w:eastAsia="zh-CN"/>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eastAsia="zh-CN"/>
        </w:rPr>
        <w:t>成交人</w:t>
      </w:r>
      <w:r>
        <w:rPr>
          <w:rFonts w:hint="eastAsia" w:ascii="宋体" w:hAnsi="宋体" w:eastAsia="宋体" w:cs="宋体"/>
          <w:sz w:val="21"/>
          <w:szCs w:val="21"/>
          <w:highlight w:val="none"/>
        </w:rPr>
        <w:t>在接到采购人的委托书后，应按委托要求时间派技术人员准时到达指定地点，并按照委托项目对事故车辆进行检验，及时将检验鉴定书送达采购人</w:t>
      </w:r>
      <w:r>
        <w:rPr>
          <w:rFonts w:hint="eastAsia" w:ascii="宋体" w:hAnsi="宋体" w:cs="宋体"/>
          <w:sz w:val="21"/>
          <w:szCs w:val="21"/>
          <w:highlight w:val="none"/>
          <w:lang w:eastAsia="zh-CN"/>
        </w:rPr>
        <w:t>。</w:t>
      </w:r>
    </w:p>
    <w:p w14:paraId="5974E9EA">
      <w:pPr>
        <w:pageBreakBefore w:val="0"/>
        <w:tabs>
          <w:tab w:val="left" w:pos="360"/>
        </w:tabs>
        <w:kinsoku/>
        <w:wordWrap/>
        <w:overflowPunct/>
        <w:topLinePunct w:val="0"/>
        <w:bidi w:val="0"/>
        <w:spacing w:line="360" w:lineRule="auto"/>
        <w:ind w:firstLine="525" w:firstLineChars="250"/>
        <w:rPr>
          <w:rFonts w:hint="eastAsia" w:ascii="宋体" w:hAnsi="宋体" w:eastAsia="宋体" w:cs="宋体"/>
          <w:sz w:val="21"/>
          <w:szCs w:val="21"/>
          <w:highlight w:val="none"/>
        </w:rPr>
      </w:pPr>
      <w:r>
        <w:rPr>
          <w:rFonts w:hint="eastAsia" w:ascii="宋体" w:hAnsi="宋体" w:eastAsia="宋体" w:cs="宋体"/>
          <w:sz w:val="21"/>
          <w:szCs w:val="21"/>
          <w:highlight w:val="none"/>
        </w:rPr>
        <w:t>2、交通事故车辆技术检验鉴定工作应严格按照国家标准进行。</w:t>
      </w:r>
    </w:p>
    <w:p w14:paraId="7D165726">
      <w:pPr>
        <w:pageBreakBefore w:val="0"/>
        <w:tabs>
          <w:tab w:val="left" w:pos="360"/>
        </w:tabs>
        <w:kinsoku/>
        <w:wordWrap/>
        <w:overflowPunct/>
        <w:topLinePunct w:val="0"/>
        <w:bidi w:val="0"/>
        <w:spacing w:line="360" w:lineRule="auto"/>
        <w:ind w:firstLine="525" w:firstLineChars="250"/>
        <w:rPr>
          <w:rFonts w:hint="eastAsia" w:ascii="宋体" w:hAnsi="宋体" w:eastAsia="宋体" w:cs="宋体"/>
          <w:sz w:val="21"/>
          <w:szCs w:val="21"/>
          <w:highlight w:val="none"/>
        </w:rPr>
      </w:pPr>
      <w:r>
        <w:rPr>
          <w:rFonts w:hint="eastAsia" w:ascii="宋体" w:hAnsi="宋体" w:eastAsia="宋体" w:cs="宋体"/>
          <w:sz w:val="21"/>
          <w:szCs w:val="21"/>
          <w:highlight w:val="none"/>
        </w:rPr>
        <w:t>3、保密要求：</w:t>
      </w:r>
      <w:r>
        <w:rPr>
          <w:rFonts w:hint="eastAsia" w:ascii="宋体" w:hAnsi="宋体" w:eastAsia="宋体" w:cs="宋体"/>
          <w:sz w:val="21"/>
          <w:szCs w:val="21"/>
          <w:highlight w:val="none"/>
          <w:lang w:eastAsia="zh-CN"/>
        </w:rPr>
        <w:t>成交人</w:t>
      </w:r>
      <w:r>
        <w:rPr>
          <w:rFonts w:hint="eastAsia" w:ascii="宋体" w:hAnsi="宋体" w:eastAsia="宋体" w:cs="宋体"/>
          <w:sz w:val="21"/>
          <w:szCs w:val="21"/>
          <w:highlight w:val="none"/>
        </w:rPr>
        <w:t>需将勘查资料及检验、鉴定报告妥善保存</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并</w:t>
      </w:r>
      <w:r>
        <w:rPr>
          <w:rFonts w:hint="eastAsia" w:ascii="宋体" w:hAnsi="宋体" w:eastAsia="宋体" w:cs="宋体"/>
          <w:sz w:val="21"/>
          <w:szCs w:val="21"/>
          <w:highlight w:val="none"/>
        </w:rPr>
        <w:t>严格遵守《数据安全法》及相关数据安全管理规定，在上岗前签订具有法律效力的保密协议，对事故信息实行全程加密处理，包括但不限于存储加密、传输加密和访问控制，确保数据全生命周期安全</w:t>
      </w:r>
      <w:r>
        <w:rPr>
          <w:rFonts w:hint="eastAsia" w:ascii="宋体" w:hAnsi="宋体" w:cs="宋体"/>
          <w:sz w:val="21"/>
          <w:szCs w:val="21"/>
          <w:highlight w:val="none"/>
          <w:lang w:eastAsia="zh-CN"/>
        </w:rPr>
        <w:t>。</w:t>
      </w:r>
      <w:r>
        <w:rPr>
          <w:rFonts w:hint="eastAsia" w:ascii="宋体" w:hAnsi="宋体" w:eastAsia="宋体" w:cs="宋体"/>
          <w:sz w:val="21"/>
          <w:szCs w:val="21"/>
          <w:highlight w:val="none"/>
        </w:rPr>
        <w:t>未经采购人书面同意，不得以任何方式向第三方转让、泄露关于交通事故的相关资料。</w:t>
      </w:r>
    </w:p>
    <w:p w14:paraId="3D8E1D06">
      <w:pPr>
        <w:pageBreakBefore w:val="0"/>
        <w:tabs>
          <w:tab w:val="left" w:pos="360"/>
        </w:tabs>
        <w:kinsoku/>
        <w:wordWrap/>
        <w:overflowPunct/>
        <w:topLinePunct w:val="0"/>
        <w:bidi w:val="0"/>
        <w:spacing w:line="360" w:lineRule="auto"/>
        <w:ind w:firstLine="525" w:firstLineChars="250"/>
        <w:rPr>
          <w:rFonts w:hint="eastAsia" w:ascii="宋体" w:hAnsi="宋体" w:eastAsia="宋体" w:cs="宋体"/>
          <w:sz w:val="21"/>
          <w:szCs w:val="21"/>
          <w:highlight w:val="none"/>
        </w:rPr>
      </w:pPr>
      <w:r>
        <w:rPr>
          <w:rFonts w:hint="eastAsia" w:ascii="宋体" w:hAnsi="宋体" w:eastAsia="宋体" w:cs="宋体"/>
          <w:sz w:val="21"/>
          <w:szCs w:val="21"/>
          <w:highlight w:val="none"/>
        </w:rPr>
        <w:t>4、由检验鉴定小组2名（或以上）技术人员共同检验鉴定</w:t>
      </w:r>
      <w:r>
        <w:rPr>
          <w:rFonts w:hint="eastAsia" w:ascii="宋体" w:hAnsi="宋体" w:cs="宋体"/>
          <w:b/>
          <w:bCs/>
          <w:sz w:val="21"/>
          <w:szCs w:val="21"/>
          <w:highlight w:val="none"/>
          <w:lang w:eastAsia="zh-CN"/>
        </w:rPr>
        <w:t>（</w:t>
      </w:r>
      <w:r>
        <w:rPr>
          <w:rFonts w:hint="eastAsia" w:ascii="宋体" w:hAnsi="宋体" w:cs="宋体"/>
          <w:b/>
          <w:bCs/>
          <w:sz w:val="21"/>
          <w:szCs w:val="21"/>
          <w:highlight w:val="none"/>
          <w:lang w:val="en-US" w:eastAsia="zh-CN"/>
        </w:rPr>
        <w:t>包括需到现场鉴定情况</w:t>
      </w:r>
      <w:r>
        <w:rPr>
          <w:rFonts w:hint="eastAsia" w:ascii="宋体" w:hAnsi="宋体" w:cs="宋体"/>
          <w:b/>
          <w:bCs/>
          <w:sz w:val="21"/>
          <w:szCs w:val="21"/>
          <w:highlight w:val="none"/>
          <w:lang w:eastAsia="zh-CN"/>
        </w:rPr>
        <w:t>）</w:t>
      </w:r>
      <w:r>
        <w:rPr>
          <w:rFonts w:hint="eastAsia" w:ascii="宋体" w:hAnsi="宋体" w:eastAsia="宋体" w:cs="宋体"/>
          <w:sz w:val="21"/>
          <w:szCs w:val="21"/>
          <w:highlight w:val="none"/>
        </w:rPr>
        <w:t>，并统一按规定的文字格式规范制作并注明签发日期，检验鉴定书根据实际需求出具相应份数（电脑打印），由检验鉴定该车的两名（或以上）专业技术人员共同签名并注明技术职称，并加盖检验鉴定单位印章，并附鉴定机构和人员资质。</w:t>
      </w:r>
    </w:p>
    <w:p w14:paraId="1E5EE3D6">
      <w:pPr>
        <w:pageBreakBefore w:val="0"/>
        <w:tabs>
          <w:tab w:val="left" w:pos="360"/>
        </w:tabs>
        <w:kinsoku/>
        <w:wordWrap/>
        <w:overflowPunct/>
        <w:topLinePunct w:val="0"/>
        <w:bidi w:val="0"/>
        <w:spacing w:line="360" w:lineRule="auto"/>
        <w:ind w:firstLine="525" w:firstLineChars="250"/>
        <w:rPr>
          <w:rFonts w:hint="eastAsia" w:ascii="宋体" w:hAnsi="宋体" w:eastAsia="宋体" w:cs="宋体"/>
          <w:sz w:val="21"/>
          <w:szCs w:val="21"/>
          <w:highlight w:val="none"/>
        </w:rPr>
      </w:pPr>
      <w:r>
        <w:rPr>
          <w:rFonts w:hint="eastAsia" w:ascii="宋体" w:hAnsi="宋体" w:eastAsia="宋体" w:cs="宋体"/>
          <w:sz w:val="21"/>
          <w:szCs w:val="21"/>
          <w:highlight w:val="none"/>
        </w:rPr>
        <w:t>5、对关键零部件做检验鉴定时，应同时按事故痕迹的拍照规范进行拍照固定并附照片进行文字说明，与检验鉴定书一并交采购人。</w:t>
      </w:r>
    </w:p>
    <w:p w14:paraId="26305DBD">
      <w:pPr>
        <w:keepLines w:val="0"/>
        <w:pageBreakBefore w:val="0"/>
        <w:widowControl w:val="0"/>
        <w:tabs>
          <w:tab w:val="left" w:pos="360"/>
        </w:tabs>
        <w:kinsoku/>
        <w:wordWrap/>
        <w:overflowPunct/>
        <w:topLinePunct w:val="0"/>
        <w:autoSpaceDE/>
        <w:autoSpaceDN/>
        <w:bidi w:val="0"/>
        <w:spacing w:line="360" w:lineRule="auto"/>
        <w:ind w:firstLine="525" w:firstLineChars="25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6、鉴定报告应当符合《司法鉴定程序通则》关于法律文书格式的规范要求，采用标准化文书格式，包含完整的要素信息。鉴定结论应当表述准确、逻辑严密、用词规范，不得使用模棱两可或可能产生歧义的表述，确保鉴定意见具有唯一性和确定性。</w:t>
      </w:r>
    </w:p>
    <w:p w14:paraId="2F8A1B8E">
      <w:pPr>
        <w:keepLines w:val="0"/>
        <w:pageBreakBefore w:val="0"/>
        <w:widowControl w:val="0"/>
        <w:tabs>
          <w:tab w:val="left" w:pos="360"/>
        </w:tabs>
        <w:kinsoku/>
        <w:wordWrap/>
        <w:overflowPunct/>
        <w:topLinePunct w:val="0"/>
        <w:autoSpaceDE/>
        <w:autoSpaceDN/>
        <w:bidi w:val="0"/>
        <w:spacing w:line="360" w:lineRule="auto"/>
        <w:ind w:firstLine="525" w:firstLineChars="250"/>
        <w:textAlignment w:val="auto"/>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7</w:t>
      </w:r>
      <w:r>
        <w:rPr>
          <w:rFonts w:hint="eastAsia" w:ascii="宋体" w:hAnsi="宋体" w:eastAsia="宋体" w:cs="宋体"/>
          <w:sz w:val="21"/>
          <w:szCs w:val="21"/>
          <w:highlight w:val="none"/>
        </w:rPr>
        <w:t>、</w:t>
      </w:r>
      <w:r>
        <w:rPr>
          <w:rFonts w:hint="eastAsia" w:ascii="宋体" w:hAnsi="宋体" w:eastAsia="宋体" w:cs="宋体"/>
          <w:sz w:val="21"/>
          <w:szCs w:val="21"/>
          <w:highlight w:val="none"/>
          <w:lang w:eastAsia="zh-CN"/>
        </w:rPr>
        <w:t>成交人</w:t>
      </w:r>
      <w:r>
        <w:rPr>
          <w:rFonts w:hint="eastAsia" w:ascii="宋体" w:hAnsi="宋体" w:eastAsia="宋体" w:cs="宋体"/>
          <w:sz w:val="21"/>
          <w:szCs w:val="21"/>
          <w:highlight w:val="none"/>
        </w:rPr>
        <w:t>应当建立7×24小时应急响应机制，配备专职应急联络人员，确保在法定节假日、夜间（1</w:t>
      </w:r>
      <w:r>
        <w:rPr>
          <w:rFonts w:hint="eastAsia" w:ascii="宋体" w:hAnsi="宋体" w:cs="宋体"/>
          <w:sz w:val="21"/>
          <w:szCs w:val="21"/>
          <w:highlight w:val="none"/>
          <w:lang w:val="en-US" w:eastAsia="zh-CN"/>
        </w:rPr>
        <w:t>7</w:t>
      </w:r>
      <w:r>
        <w:rPr>
          <w:rFonts w:hint="eastAsia" w:ascii="宋体" w:hAnsi="宋体" w:eastAsia="宋体" w:cs="宋体"/>
          <w:sz w:val="21"/>
          <w:szCs w:val="21"/>
          <w:highlight w:val="none"/>
        </w:rPr>
        <w:t>：00-8：</w:t>
      </w:r>
      <w:r>
        <w:rPr>
          <w:rFonts w:hint="eastAsia" w:ascii="宋体" w:hAnsi="宋体" w:cs="宋体"/>
          <w:sz w:val="21"/>
          <w:szCs w:val="21"/>
          <w:highlight w:val="none"/>
          <w:lang w:val="en-US" w:eastAsia="zh-CN"/>
        </w:rPr>
        <w:t>30</w:t>
      </w:r>
      <w:r>
        <w:rPr>
          <w:rFonts w:hint="eastAsia" w:ascii="宋体" w:hAnsi="宋体" w:eastAsia="宋体" w:cs="宋体"/>
          <w:sz w:val="21"/>
          <w:szCs w:val="21"/>
          <w:highlight w:val="none"/>
        </w:rPr>
        <w:t>）等非工作时段仍能保持通讯畅通，并在接到紧急鉴定需求后2小时内作出响应，4小时内启动鉴定程序。应急联络人员信息（包括固定电话、移动电话、电子邮箱）应当提前备案并及时更新。</w:t>
      </w:r>
      <w:r>
        <w:rPr>
          <w:rFonts w:hint="eastAsia" w:ascii="宋体" w:hAnsi="宋体" w:cs="宋体"/>
          <w:sz w:val="21"/>
          <w:szCs w:val="21"/>
          <w:highlight w:val="none"/>
          <w:lang w:val="en-US" w:eastAsia="zh-CN"/>
        </w:rPr>
        <w:t>对于紧急项目，成交人需出具初步的鉴定报告以供采购人工作的进行。</w:t>
      </w:r>
    </w:p>
    <w:p w14:paraId="462F51EB">
      <w:pPr>
        <w:keepLines w:val="0"/>
        <w:pageBreakBefore w:val="0"/>
        <w:widowControl w:val="0"/>
        <w:tabs>
          <w:tab w:val="left" w:pos="360"/>
        </w:tabs>
        <w:kinsoku/>
        <w:wordWrap/>
        <w:overflowPunct/>
        <w:topLinePunct w:val="0"/>
        <w:autoSpaceDE/>
        <w:autoSpaceDN/>
        <w:bidi w:val="0"/>
        <w:spacing w:line="360" w:lineRule="auto"/>
        <w:ind w:firstLine="525" w:firstLineChars="250"/>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8</w:t>
      </w:r>
      <w:r>
        <w:rPr>
          <w:rFonts w:hint="eastAsia" w:ascii="宋体" w:hAnsi="宋体" w:eastAsia="宋体" w:cs="宋体"/>
          <w:sz w:val="21"/>
          <w:szCs w:val="21"/>
          <w:highlight w:val="none"/>
        </w:rPr>
        <w:t>、因工作需要，采购人临时向</w:t>
      </w:r>
      <w:r>
        <w:rPr>
          <w:rFonts w:hint="eastAsia" w:ascii="宋体" w:hAnsi="宋体" w:eastAsia="宋体" w:cs="宋体"/>
          <w:sz w:val="21"/>
          <w:szCs w:val="21"/>
          <w:highlight w:val="none"/>
          <w:lang w:eastAsia="zh-CN"/>
        </w:rPr>
        <w:t>成交人</w:t>
      </w:r>
      <w:r>
        <w:rPr>
          <w:rFonts w:hint="eastAsia" w:ascii="宋体" w:hAnsi="宋体" w:eastAsia="宋体" w:cs="宋体"/>
          <w:sz w:val="21"/>
          <w:szCs w:val="21"/>
          <w:highlight w:val="none"/>
        </w:rPr>
        <w:t>提出服务的要求，应全力配合，按照采购人提出标准及要求完成，不得无故拖延。</w:t>
      </w:r>
    </w:p>
    <w:p w14:paraId="434AA1BE">
      <w:pPr>
        <w:keepLines w:val="0"/>
        <w:pageBreakBefore w:val="0"/>
        <w:widowControl w:val="0"/>
        <w:tabs>
          <w:tab w:val="left" w:pos="360"/>
        </w:tabs>
        <w:kinsoku/>
        <w:wordWrap/>
        <w:overflowPunct/>
        <w:topLinePunct w:val="0"/>
        <w:autoSpaceDE/>
        <w:autoSpaceDN/>
        <w:bidi w:val="0"/>
        <w:spacing w:line="360" w:lineRule="auto"/>
        <w:ind w:firstLine="525" w:firstLineChars="250"/>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9</w:t>
      </w:r>
      <w:r>
        <w:rPr>
          <w:rFonts w:hint="eastAsia" w:ascii="宋体" w:hAnsi="宋体" w:eastAsia="宋体" w:cs="宋体"/>
          <w:sz w:val="21"/>
          <w:szCs w:val="21"/>
          <w:highlight w:val="none"/>
        </w:rPr>
        <w:t>、</w:t>
      </w:r>
      <w:r>
        <w:rPr>
          <w:rFonts w:hint="eastAsia" w:ascii="宋体" w:hAnsi="宋体" w:eastAsia="宋体" w:cs="宋体"/>
          <w:sz w:val="21"/>
          <w:szCs w:val="21"/>
          <w:highlight w:val="none"/>
          <w:lang w:eastAsia="zh-CN"/>
        </w:rPr>
        <w:t>成交人</w:t>
      </w:r>
      <w:r>
        <w:rPr>
          <w:rFonts w:hint="eastAsia" w:ascii="宋体" w:hAnsi="宋体" w:eastAsia="宋体" w:cs="宋体"/>
          <w:sz w:val="21"/>
          <w:szCs w:val="21"/>
          <w:highlight w:val="none"/>
        </w:rPr>
        <w:t>必须对员工发生的事故责任以及员工计生、身份、健康等承担责任；同时对员工</w:t>
      </w:r>
      <w:r>
        <w:rPr>
          <w:rFonts w:hint="eastAsia" w:ascii="宋体" w:hAnsi="宋体" w:eastAsia="宋体" w:cs="宋体"/>
          <w:sz w:val="21"/>
          <w:szCs w:val="21"/>
          <w:highlight w:val="none"/>
          <w:lang w:val="en-US" w:eastAsia="zh-CN"/>
        </w:rPr>
        <w:t>因</w:t>
      </w:r>
      <w:r>
        <w:rPr>
          <w:rFonts w:hint="eastAsia" w:ascii="宋体" w:hAnsi="宋体" w:eastAsia="宋体" w:cs="宋体"/>
          <w:sz w:val="21"/>
          <w:szCs w:val="21"/>
          <w:highlight w:val="none"/>
        </w:rPr>
        <w:t>作业期间做出不良行为</w:t>
      </w:r>
      <w:r>
        <w:rPr>
          <w:rFonts w:hint="eastAsia" w:ascii="宋体" w:hAnsi="宋体" w:eastAsia="宋体" w:cs="宋体"/>
          <w:sz w:val="21"/>
          <w:szCs w:val="21"/>
          <w:highlight w:val="none"/>
          <w:lang w:val="en-US" w:eastAsia="zh-CN"/>
        </w:rPr>
        <w:t>而</w:t>
      </w:r>
      <w:r>
        <w:rPr>
          <w:rFonts w:hint="eastAsia" w:ascii="宋体" w:hAnsi="宋体" w:eastAsia="宋体" w:cs="宋体"/>
          <w:sz w:val="21"/>
          <w:szCs w:val="21"/>
          <w:highlight w:val="none"/>
        </w:rPr>
        <w:t>给</w:t>
      </w:r>
      <w:r>
        <w:rPr>
          <w:rFonts w:hint="eastAsia" w:ascii="宋体" w:hAnsi="宋体" w:eastAsia="宋体" w:cs="宋体"/>
          <w:sz w:val="21"/>
          <w:szCs w:val="21"/>
          <w:highlight w:val="none"/>
          <w:lang w:val="en-US" w:eastAsia="zh-CN"/>
        </w:rPr>
        <w:t>采购人</w:t>
      </w:r>
      <w:r>
        <w:rPr>
          <w:rFonts w:hint="eastAsia" w:ascii="宋体" w:hAnsi="宋体" w:eastAsia="宋体" w:cs="宋体"/>
          <w:sz w:val="21"/>
          <w:szCs w:val="21"/>
          <w:highlight w:val="none"/>
        </w:rPr>
        <w:t>造成影响承担责任。</w:t>
      </w:r>
    </w:p>
    <w:p w14:paraId="12436A86">
      <w:pPr>
        <w:keepNext w:val="0"/>
        <w:keepLines w:val="0"/>
        <w:pageBreakBefore w:val="0"/>
        <w:widowControl w:val="0"/>
        <w:tabs>
          <w:tab w:val="left" w:pos="360"/>
        </w:tabs>
        <w:kinsoku/>
        <w:wordWrap/>
        <w:overflowPunct/>
        <w:topLinePunct w:val="0"/>
        <w:autoSpaceDE/>
        <w:autoSpaceDN/>
        <w:bidi w:val="0"/>
        <w:adjustRightInd/>
        <w:snapToGrid/>
        <w:spacing w:line="360" w:lineRule="auto"/>
        <w:ind w:firstLine="525" w:firstLineChars="25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w:t>
      </w:r>
      <w:r>
        <w:rPr>
          <w:rFonts w:hint="eastAsia" w:ascii="宋体" w:hAnsi="宋体" w:cs="宋体"/>
          <w:sz w:val="21"/>
          <w:szCs w:val="21"/>
          <w:highlight w:val="none"/>
          <w:lang w:val="en-US" w:eastAsia="zh-CN"/>
        </w:rPr>
        <w:t>0</w:t>
      </w:r>
      <w:r>
        <w:rPr>
          <w:rFonts w:hint="eastAsia" w:ascii="宋体" w:hAnsi="宋体" w:eastAsia="宋体" w:cs="宋体"/>
          <w:sz w:val="21"/>
          <w:szCs w:val="21"/>
          <w:highlight w:val="none"/>
        </w:rPr>
        <w:t>、</w:t>
      </w:r>
      <w:r>
        <w:rPr>
          <w:rFonts w:hint="eastAsia" w:ascii="宋体" w:hAnsi="宋体" w:eastAsia="宋体" w:cs="宋体"/>
          <w:sz w:val="21"/>
          <w:szCs w:val="21"/>
          <w:highlight w:val="none"/>
          <w:lang w:eastAsia="zh-CN"/>
        </w:rPr>
        <w:t>成交人</w:t>
      </w:r>
      <w:r>
        <w:rPr>
          <w:rFonts w:hint="eastAsia" w:ascii="宋体" w:hAnsi="宋体" w:eastAsia="宋体" w:cs="宋体"/>
          <w:sz w:val="21"/>
          <w:szCs w:val="21"/>
          <w:highlight w:val="none"/>
        </w:rPr>
        <w:t>员工发生被媒体曝光或影响采购人公众形象或违反采购人规章制度</w:t>
      </w:r>
      <w:r>
        <w:rPr>
          <w:rFonts w:hint="eastAsia" w:ascii="宋体" w:hAnsi="宋体" w:cs="宋体"/>
          <w:sz w:val="21"/>
          <w:szCs w:val="21"/>
          <w:highlight w:val="none"/>
          <w:lang w:val="en-US" w:eastAsia="zh-CN"/>
        </w:rPr>
        <w:t>的</w:t>
      </w:r>
      <w:r>
        <w:rPr>
          <w:rFonts w:hint="eastAsia" w:ascii="宋体" w:hAnsi="宋体" w:eastAsia="宋体" w:cs="宋体"/>
          <w:sz w:val="21"/>
          <w:szCs w:val="21"/>
          <w:highlight w:val="none"/>
        </w:rPr>
        <w:t>不良影响，而由此产生的损失及</w:t>
      </w:r>
      <w:r>
        <w:rPr>
          <w:rFonts w:hint="eastAsia" w:ascii="宋体" w:hAnsi="宋体" w:eastAsia="宋体" w:cs="宋体"/>
          <w:sz w:val="21"/>
          <w:szCs w:val="21"/>
          <w:highlight w:val="none"/>
          <w:lang w:val="en-US" w:eastAsia="zh-CN"/>
        </w:rPr>
        <w:t>为</w:t>
      </w:r>
      <w:r>
        <w:rPr>
          <w:rFonts w:hint="eastAsia" w:ascii="宋体" w:hAnsi="宋体" w:eastAsia="宋体" w:cs="宋体"/>
          <w:sz w:val="21"/>
          <w:szCs w:val="21"/>
          <w:highlight w:val="none"/>
        </w:rPr>
        <w:t>消除影响产生的费用，由</w:t>
      </w:r>
      <w:r>
        <w:rPr>
          <w:rFonts w:hint="eastAsia" w:ascii="宋体" w:hAnsi="宋体" w:eastAsia="宋体" w:cs="宋体"/>
          <w:sz w:val="21"/>
          <w:szCs w:val="21"/>
          <w:highlight w:val="none"/>
          <w:lang w:eastAsia="zh-CN"/>
        </w:rPr>
        <w:t>成交人</w:t>
      </w:r>
      <w:r>
        <w:rPr>
          <w:rFonts w:hint="eastAsia" w:ascii="宋体" w:hAnsi="宋体" w:eastAsia="宋体" w:cs="宋体"/>
          <w:sz w:val="21"/>
          <w:szCs w:val="21"/>
          <w:highlight w:val="none"/>
        </w:rPr>
        <w:t>全部承担；采购人根据事件的轻重，将保留扣除</w:t>
      </w:r>
      <w:r>
        <w:rPr>
          <w:rFonts w:hint="eastAsia" w:ascii="宋体" w:hAnsi="宋体" w:eastAsia="宋体" w:cs="宋体"/>
          <w:sz w:val="21"/>
          <w:szCs w:val="21"/>
          <w:highlight w:val="none"/>
          <w:lang w:eastAsia="zh-CN"/>
        </w:rPr>
        <w:t>成交人</w:t>
      </w:r>
      <w:r>
        <w:rPr>
          <w:rFonts w:hint="eastAsia" w:ascii="宋体" w:hAnsi="宋体" w:eastAsia="宋体" w:cs="宋体"/>
          <w:sz w:val="21"/>
          <w:szCs w:val="21"/>
          <w:highlight w:val="none"/>
        </w:rPr>
        <w:t>的当</w:t>
      </w:r>
      <w:r>
        <w:rPr>
          <w:rFonts w:hint="eastAsia" w:ascii="宋体" w:hAnsi="宋体" w:cs="宋体"/>
          <w:sz w:val="21"/>
          <w:szCs w:val="21"/>
          <w:highlight w:val="none"/>
          <w:lang w:val="en-US" w:eastAsia="zh-CN"/>
        </w:rPr>
        <w:t>季度</w:t>
      </w:r>
      <w:r>
        <w:rPr>
          <w:rFonts w:hint="eastAsia" w:ascii="宋体" w:hAnsi="宋体" w:eastAsia="宋体" w:cs="宋体"/>
          <w:sz w:val="21"/>
          <w:szCs w:val="21"/>
          <w:highlight w:val="none"/>
        </w:rPr>
        <w:t>合同款10%</w:t>
      </w:r>
      <w:r>
        <w:rPr>
          <w:rFonts w:hint="eastAsia" w:ascii="宋体" w:hAnsi="宋体" w:cs="宋体"/>
          <w:sz w:val="21"/>
          <w:szCs w:val="21"/>
          <w:highlight w:val="none"/>
          <w:lang w:eastAsia="zh-CN"/>
        </w:rPr>
        <w:t>～</w:t>
      </w:r>
      <w:r>
        <w:rPr>
          <w:rFonts w:hint="eastAsia" w:ascii="宋体" w:hAnsi="宋体" w:eastAsia="宋体" w:cs="宋体"/>
          <w:sz w:val="21"/>
          <w:szCs w:val="21"/>
          <w:highlight w:val="none"/>
        </w:rPr>
        <w:t>30%的权利，单</w:t>
      </w:r>
      <w:r>
        <w:rPr>
          <w:rFonts w:hint="eastAsia" w:ascii="宋体" w:hAnsi="宋体" w:cs="宋体"/>
          <w:sz w:val="21"/>
          <w:szCs w:val="21"/>
          <w:highlight w:val="none"/>
          <w:lang w:val="en-US" w:eastAsia="zh-CN"/>
        </w:rPr>
        <w:t>季度</w:t>
      </w:r>
      <w:r>
        <w:rPr>
          <w:rFonts w:hint="eastAsia" w:ascii="宋体" w:hAnsi="宋体" w:eastAsia="宋体" w:cs="宋体"/>
          <w:sz w:val="21"/>
          <w:szCs w:val="21"/>
          <w:highlight w:val="none"/>
        </w:rPr>
        <w:t>合同款以委托书时间为准。</w:t>
      </w:r>
    </w:p>
    <w:p w14:paraId="709DCA53">
      <w:pPr>
        <w:keepNext w:val="0"/>
        <w:keepLines w:val="0"/>
        <w:pageBreakBefore w:val="0"/>
        <w:widowControl w:val="0"/>
        <w:tabs>
          <w:tab w:val="left" w:pos="360"/>
        </w:tabs>
        <w:kinsoku/>
        <w:wordWrap/>
        <w:overflowPunct/>
        <w:topLinePunct w:val="0"/>
        <w:autoSpaceDE/>
        <w:autoSpaceDN/>
        <w:bidi w:val="0"/>
        <w:adjustRightInd/>
        <w:snapToGrid/>
        <w:spacing w:line="360" w:lineRule="auto"/>
        <w:ind w:firstLine="525" w:firstLineChars="25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w:t>
      </w:r>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rPr>
        <w:t>、</w:t>
      </w:r>
      <w:r>
        <w:rPr>
          <w:rFonts w:hint="eastAsia" w:ascii="宋体" w:hAnsi="宋体" w:cs="宋体"/>
          <w:sz w:val="21"/>
          <w:szCs w:val="21"/>
          <w:highlight w:val="none"/>
          <w:lang w:val="en-US" w:eastAsia="zh-CN"/>
        </w:rPr>
        <w:t>服务</w:t>
      </w:r>
      <w:r>
        <w:rPr>
          <w:rFonts w:hint="eastAsia" w:ascii="宋体" w:hAnsi="宋体" w:eastAsia="宋体" w:cs="宋体"/>
          <w:sz w:val="21"/>
          <w:szCs w:val="21"/>
          <w:highlight w:val="none"/>
        </w:rPr>
        <w:t>期间，因</w:t>
      </w:r>
      <w:r>
        <w:rPr>
          <w:rFonts w:hint="eastAsia" w:ascii="宋体" w:hAnsi="宋体" w:eastAsia="宋体" w:cs="宋体"/>
          <w:sz w:val="21"/>
          <w:szCs w:val="21"/>
          <w:highlight w:val="none"/>
          <w:lang w:eastAsia="zh-CN"/>
        </w:rPr>
        <w:t>成交人</w:t>
      </w:r>
      <w:r>
        <w:rPr>
          <w:rFonts w:hint="eastAsia" w:ascii="宋体" w:hAnsi="宋体" w:eastAsia="宋体" w:cs="宋体"/>
          <w:sz w:val="21"/>
          <w:szCs w:val="21"/>
          <w:highlight w:val="none"/>
        </w:rPr>
        <w:t>原因导致作业区域内的其他有关车辆、设施、设备损坏、由此引起的责任和损失由</w:t>
      </w:r>
      <w:r>
        <w:rPr>
          <w:rFonts w:hint="eastAsia" w:ascii="宋体" w:hAnsi="宋体" w:eastAsia="宋体" w:cs="宋体"/>
          <w:sz w:val="21"/>
          <w:szCs w:val="21"/>
          <w:highlight w:val="none"/>
          <w:lang w:eastAsia="zh-CN"/>
        </w:rPr>
        <w:t>成交人</w:t>
      </w:r>
      <w:r>
        <w:rPr>
          <w:rFonts w:hint="eastAsia" w:ascii="宋体" w:hAnsi="宋体" w:eastAsia="宋体" w:cs="宋体"/>
          <w:sz w:val="21"/>
          <w:szCs w:val="21"/>
          <w:highlight w:val="none"/>
        </w:rPr>
        <w:t>承担。</w:t>
      </w:r>
    </w:p>
    <w:p w14:paraId="30F3E076">
      <w:pPr>
        <w:keepNext w:val="0"/>
        <w:keepLines w:val="0"/>
        <w:pageBreakBefore w:val="0"/>
        <w:widowControl w:val="0"/>
        <w:tabs>
          <w:tab w:val="left" w:pos="360"/>
        </w:tabs>
        <w:kinsoku/>
        <w:wordWrap/>
        <w:overflowPunct/>
        <w:topLinePunct w:val="0"/>
        <w:autoSpaceDE/>
        <w:autoSpaceDN/>
        <w:bidi w:val="0"/>
        <w:adjustRightInd/>
        <w:snapToGrid/>
        <w:spacing w:line="360" w:lineRule="auto"/>
        <w:ind w:firstLine="525" w:firstLineChars="25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w:t>
      </w:r>
      <w:r>
        <w:rPr>
          <w:rFonts w:hint="eastAsia" w:ascii="宋体" w:hAnsi="宋体" w:cs="宋体"/>
          <w:sz w:val="21"/>
          <w:szCs w:val="21"/>
          <w:highlight w:val="none"/>
          <w:lang w:val="en-US" w:eastAsia="zh-CN"/>
        </w:rPr>
        <w:t>2</w:t>
      </w:r>
      <w:r>
        <w:rPr>
          <w:rFonts w:hint="eastAsia" w:ascii="宋体" w:hAnsi="宋体" w:eastAsia="宋体" w:cs="宋体"/>
          <w:sz w:val="21"/>
          <w:szCs w:val="21"/>
          <w:highlight w:val="none"/>
        </w:rPr>
        <w:t>、公司的办公各类设施及费用、人员食宿、安全等均由</w:t>
      </w:r>
      <w:r>
        <w:rPr>
          <w:rFonts w:hint="eastAsia" w:ascii="宋体" w:hAnsi="宋体" w:eastAsia="宋体" w:cs="宋体"/>
          <w:sz w:val="21"/>
          <w:szCs w:val="21"/>
          <w:highlight w:val="none"/>
          <w:lang w:eastAsia="zh-CN"/>
        </w:rPr>
        <w:t>成交人</w:t>
      </w:r>
      <w:r>
        <w:rPr>
          <w:rFonts w:hint="eastAsia" w:ascii="宋体" w:hAnsi="宋体" w:eastAsia="宋体" w:cs="宋体"/>
          <w:sz w:val="21"/>
          <w:szCs w:val="21"/>
          <w:highlight w:val="none"/>
        </w:rPr>
        <w:t>自行负责解决。</w:t>
      </w:r>
    </w:p>
    <w:p w14:paraId="58A161C0">
      <w:pPr>
        <w:keepNext w:val="0"/>
        <w:keepLines w:val="0"/>
        <w:pageBreakBefore w:val="0"/>
        <w:widowControl w:val="0"/>
        <w:tabs>
          <w:tab w:val="left" w:pos="360"/>
        </w:tabs>
        <w:kinsoku/>
        <w:wordWrap/>
        <w:overflowPunct/>
        <w:topLinePunct w:val="0"/>
        <w:autoSpaceDE/>
        <w:autoSpaceDN/>
        <w:bidi w:val="0"/>
        <w:adjustRightInd/>
        <w:snapToGrid/>
        <w:spacing w:line="360" w:lineRule="auto"/>
        <w:ind w:firstLine="525" w:firstLineChars="25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w:t>
      </w:r>
      <w:r>
        <w:rPr>
          <w:rFonts w:hint="eastAsia" w:ascii="宋体" w:hAnsi="宋体" w:cs="宋体"/>
          <w:sz w:val="21"/>
          <w:szCs w:val="21"/>
          <w:highlight w:val="none"/>
          <w:lang w:val="en-US" w:eastAsia="zh-CN"/>
        </w:rPr>
        <w:t>3</w:t>
      </w:r>
      <w:r>
        <w:rPr>
          <w:rFonts w:hint="eastAsia" w:ascii="宋体" w:hAnsi="宋体" w:eastAsia="宋体" w:cs="宋体"/>
          <w:sz w:val="21"/>
          <w:szCs w:val="21"/>
          <w:highlight w:val="none"/>
        </w:rPr>
        <w:t>、</w:t>
      </w:r>
      <w:r>
        <w:rPr>
          <w:rFonts w:hint="eastAsia" w:ascii="宋体" w:hAnsi="宋体" w:eastAsia="宋体" w:cs="宋体"/>
          <w:sz w:val="21"/>
          <w:szCs w:val="21"/>
          <w:highlight w:val="none"/>
          <w:lang w:eastAsia="zh-CN"/>
        </w:rPr>
        <w:t>成交人</w:t>
      </w:r>
      <w:r>
        <w:rPr>
          <w:rFonts w:hint="eastAsia" w:ascii="宋体" w:hAnsi="宋体" w:eastAsia="宋体" w:cs="宋体"/>
          <w:sz w:val="21"/>
          <w:szCs w:val="21"/>
          <w:highlight w:val="none"/>
        </w:rPr>
        <w:t>须按政府各部门有关规定为</w:t>
      </w:r>
      <w:r>
        <w:rPr>
          <w:rFonts w:hint="eastAsia" w:ascii="宋体" w:hAnsi="宋体" w:eastAsia="宋体" w:cs="宋体"/>
          <w:sz w:val="21"/>
          <w:szCs w:val="21"/>
          <w:highlight w:val="none"/>
          <w:lang w:eastAsia="zh-CN"/>
        </w:rPr>
        <w:t>成交人</w:t>
      </w:r>
      <w:r>
        <w:rPr>
          <w:rFonts w:hint="eastAsia" w:ascii="宋体" w:hAnsi="宋体" w:eastAsia="宋体" w:cs="宋体"/>
          <w:sz w:val="21"/>
          <w:szCs w:val="21"/>
          <w:highlight w:val="none"/>
        </w:rPr>
        <w:t>的每位员工交纳各种社会保险及相关费用。</w:t>
      </w:r>
    </w:p>
    <w:p w14:paraId="0AD645C6">
      <w:pPr>
        <w:keepNext w:val="0"/>
        <w:keepLines w:val="0"/>
        <w:pageBreakBefore w:val="0"/>
        <w:widowControl w:val="0"/>
        <w:tabs>
          <w:tab w:val="left" w:pos="360"/>
        </w:tabs>
        <w:kinsoku/>
        <w:wordWrap/>
        <w:overflowPunct/>
        <w:topLinePunct w:val="0"/>
        <w:autoSpaceDE/>
        <w:autoSpaceDN/>
        <w:bidi w:val="0"/>
        <w:adjustRightInd/>
        <w:snapToGrid/>
        <w:spacing w:line="360" w:lineRule="auto"/>
        <w:ind w:firstLine="525" w:firstLineChars="25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w:t>
      </w:r>
      <w:r>
        <w:rPr>
          <w:rFonts w:hint="eastAsia" w:ascii="宋体" w:hAnsi="宋体" w:cs="宋体"/>
          <w:sz w:val="21"/>
          <w:szCs w:val="21"/>
          <w:highlight w:val="none"/>
          <w:lang w:val="en-US" w:eastAsia="zh-CN"/>
        </w:rPr>
        <w:t>4</w:t>
      </w:r>
      <w:r>
        <w:rPr>
          <w:rFonts w:hint="eastAsia" w:ascii="宋体" w:hAnsi="宋体" w:eastAsia="宋体" w:cs="宋体"/>
          <w:sz w:val="21"/>
          <w:szCs w:val="21"/>
          <w:highlight w:val="none"/>
        </w:rPr>
        <w:t>、在</w:t>
      </w:r>
      <w:r>
        <w:rPr>
          <w:rFonts w:hint="eastAsia" w:ascii="宋体" w:hAnsi="宋体" w:cs="宋体"/>
          <w:sz w:val="21"/>
          <w:szCs w:val="21"/>
          <w:highlight w:val="none"/>
          <w:lang w:eastAsia="zh-CN"/>
        </w:rPr>
        <w:t>服务</w:t>
      </w:r>
      <w:r>
        <w:rPr>
          <w:rFonts w:hint="eastAsia" w:ascii="宋体" w:hAnsi="宋体" w:eastAsia="宋体" w:cs="宋体"/>
          <w:sz w:val="21"/>
          <w:szCs w:val="21"/>
          <w:highlight w:val="none"/>
        </w:rPr>
        <w:t>期限内，</w:t>
      </w:r>
      <w:r>
        <w:rPr>
          <w:rFonts w:hint="eastAsia" w:ascii="宋体" w:hAnsi="宋体" w:eastAsia="宋体" w:cs="宋体"/>
          <w:sz w:val="21"/>
          <w:szCs w:val="21"/>
          <w:highlight w:val="none"/>
          <w:lang w:eastAsia="zh-CN"/>
        </w:rPr>
        <w:t>成交人</w:t>
      </w:r>
      <w:r>
        <w:rPr>
          <w:rFonts w:hint="eastAsia" w:ascii="宋体" w:hAnsi="宋体" w:eastAsia="宋体" w:cs="宋体"/>
          <w:sz w:val="21"/>
          <w:szCs w:val="21"/>
          <w:highlight w:val="none"/>
        </w:rPr>
        <w:t>所有人员的安全事故由</w:t>
      </w:r>
      <w:r>
        <w:rPr>
          <w:rFonts w:hint="eastAsia" w:ascii="宋体" w:hAnsi="宋体" w:eastAsia="宋体" w:cs="宋体"/>
          <w:sz w:val="21"/>
          <w:szCs w:val="21"/>
          <w:highlight w:val="none"/>
          <w:lang w:eastAsia="zh-CN"/>
        </w:rPr>
        <w:t>成交人</w:t>
      </w:r>
      <w:r>
        <w:rPr>
          <w:rFonts w:hint="eastAsia" w:ascii="宋体" w:hAnsi="宋体" w:eastAsia="宋体" w:cs="宋体"/>
          <w:sz w:val="21"/>
          <w:szCs w:val="21"/>
          <w:highlight w:val="none"/>
        </w:rPr>
        <w:t>自行全权负责，采购人不承担任何责任。</w:t>
      </w:r>
    </w:p>
    <w:p w14:paraId="0F0E38FF">
      <w:pPr>
        <w:keepNext w:val="0"/>
        <w:keepLines w:val="0"/>
        <w:pageBreakBefore w:val="0"/>
        <w:widowControl w:val="0"/>
        <w:tabs>
          <w:tab w:val="left" w:pos="360"/>
        </w:tabs>
        <w:kinsoku/>
        <w:wordWrap/>
        <w:overflowPunct/>
        <w:topLinePunct w:val="0"/>
        <w:autoSpaceDE/>
        <w:autoSpaceDN/>
        <w:bidi w:val="0"/>
        <w:adjustRightInd/>
        <w:snapToGrid/>
        <w:spacing w:line="360" w:lineRule="auto"/>
        <w:ind w:firstLine="525" w:firstLineChars="25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val="en-US" w:eastAsia="zh-CN"/>
        </w:rPr>
        <w:t>5</w:t>
      </w:r>
      <w:r>
        <w:rPr>
          <w:rFonts w:hint="eastAsia" w:ascii="宋体" w:hAnsi="宋体" w:eastAsia="宋体" w:cs="宋体"/>
          <w:sz w:val="21"/>
          <w:szCs w:val="21"/>
          <w:highlight w:val="none"/>
        </w:rPr>
        <w:t>、项目负责人作为本项目的联系人不得变更，必须随时听从采购人指派、组织协调鉴定小组工作。</w:t>
      </w:r>
    </w:p>
    <w:p w14:paraId="6A9284A3">
      <w:pPr>
        <w:keepNext w:val="0"/>
        <w:keepLines w:val="0"/>
        <w:pageBreakBefore w:val="0"/>
        <w:widowControl w:val="0"/>
        <w:tabs>
          <w:tab w:val="left" w:pos="360"/>
        </w:tabs>
        <w:kinsoku/>
        <w:wordWrap/>
        <w:overflowPunct/>
        <w:topLinePunct w:val="0"/>
        <w:autoSpaceDE/>
        <w:autoSpaceDN/>
        <w:bidi w:val="0"/>
        <w:adjustRightInd/>
        <w:snapToGrid/>
        <w:spacing w:line="360" w:lineRule="auto"/>
        <w:ind w:firstLine="525" w:firstLineChars="250"/>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16、对于业务档案的保存根据《浙江省司法鉴定机构档案管理办法》的相关要求进行保存。</w:t>
      </w:r>
    </w:p>
    <w:p w14:paraId="22A6EBB6">
      <w:pPr>
        <w:keepNext w:val="0"/>
        <w:keepLines w:val="0"/>
        <w:pageBreakBefore w:val="0"/>
        <w:widowControl w:val="0"/>
        <w:tabs>
          <w:tab w:val="left" w:pos="360"/>
        </w:tabs>
        <w:kinsoku/>
        <w:wordWrap/>
        <w:overflowPunct/>
        <w:topLinePunct w:val="0"/>
        <w:autoSpaceDE/>
        <w:autoSpaceDN/>
        <w:bidi w:val="0"/>
        <w:adjustRightInd/>
        <w:snapToGrid/>
        <w:spacing w:line="360" w:lineRule="auto"/>
        <w:ind w:firstLine="525" w:firstLineChars="250"/>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17、对于无法受理的鉴定事项，因及时将无法鉴定的原因（如检材不全、视频模糊等情况）及时反馈给采购人</w:t>
      </w:r>
      <w:r>
        <w:rPr>
          <w:rFonts w:hint="eastAsia" w:ascii="宋体" w:hAnsi="宋体" w:cs="宋体"/>
          <w:sz w:val="21"/>
          <w:szCs w:val="21"/>
          <w:highlight w:val="none"/>
          <w:lang w:val="en-US" w:eastAsia="zh-CN"/>
        </w:rPr>
        <w:t>，以便采购人后续工作的开展。</w:t>
      </w:r>
    </w:p>
    <w:p w14:paraId="76D5693A">
      <w:pPr>
        <w:keepLines w:val="0"/>
        <w:pageBreakBefore w:val="0"/>
        <w:widowControl w:val="0"/>
        <w:tabs>
          <w:tab w:val="left" w:pos="360"/>
        </w:tabs>
        <w:kinsoku/>
        <w:wordWrap/>
        <w:overflowPunct/>
        <w:topLinePunct w:val="0"/>
        <w:autoSpaceDE/>
        <w:autoSpaceDN/>
        <w:bidi w:val="0"/>
        <w:spacing w:line="360" w:lineRule="auto"/>
        <w:textAlignment w:val="auto"/>
        <w:outlineLvl w:val="1"/>
        <w:rPr>
          <w:rFonts w:hint="eastAsia" w:ascii="宋体" w:hAnsi="宋体" w:eastAsia="宋体" w:cs="宋体"/>
          <w:b/>
          <w:sz w:val="21"/>
          <w:szCs w:val="21"/>
          <w:highlight w:val="none"/>
        </w:rPr>
      </w:pPr>
      <w:r>
        <w:rPr>
          <w:rFonts w:hint="eastAsia" w:ascii="宋体" w:hAnsi="宋体" w:eastAsia="宋体" w:cs="宋体"/>
          <w:b/>
          <w:sz w:val="21"/>
          <w:szCs w:val="21"/>
          <w:highlight w:val="none"/>
        </w:rPr>
        <w:t>四、投标报价</w:t>
      </w:r>
    </w:p>
    <w:p w14:paraId="14E7DE3A">
      <w:pPr>
        <w:keepNext w:val="0"/>
        <w:keepLines w:val="0"/>
        <w:pageBreakBefore w:val="0"/>
        <w:widowControl w:val="0"/>
        <w:tabs>
          <w:tab w:val="left" w:pos="360"/>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sz w:val="21"/>
          <w:szCs w:val="21"/>
          <w:highlight w:val="none"/>
        </w:rPr>
      </w:pPr>
      <w:r>
        <w:rPr>
          <w:rFonts w:hint="eastAsia" w:ascii="宋体" w:hAnsi="宋体" w:eastAsia="宋体" w:cs="宋体"/>
          <w:sz w:val="21"/>
          <w:szCs w:val="21"/>
          <w:highlight w:val="none"/>
        </w:rPr>
        <w:t>1、本次报价在所有各项鉴定项目</w:t>
      </w:r>
      <w:r>
        <w:rPr>
          <w:rFonts w:hint="eastAsia" w:ascii="宋体" w:hAnsi="宋体" w:cs="宋体"/>
          <w:sz w:val="21"/>
          <w:szCs w:val="21"/>
          <w:highlight w:val="none"/>
          <w:lang w:eastAsia="zh-CN"/>
        </w:rPr>
        <w:t>最高限价</w:t>
      </w:r>
      <w:r>
        <w:rPr>
          <w:rFonts w:hint="eastAsia" w:ascii="宋体" w:hAnsi="宋体" w:eastAsia="宋体" w:cs="宋体"/>
          <w:sz w:val="21"/>
          <w:szCs w:val="21"/>
          <w:highlight w:val="none"/>
        </w:rPr>
        <w:t>的基础上报一个统一的折扣率，</w:t>
      </w:r>
      <w:r>
        <w:rPr>
          <w:rFonts w:hint="eastAsia" w:ascii="宋体" w:hAnsi="宋体" w:eastAsia="宋体" w:cs="宋体"/>
          <w:color w:val="000000"/>
          <w:sz w:val="21"/>
          <w:szCs w:val="21"/>
          <w:highlight w:val="none"/>
        </w:rPr>
        <w:t>折扣率须取整数。</w:t>
      </w:r>
    </w:p>
    <w:p w14:paraId="1538E87B">
      <w:pPr>
        <w:keepNext w:val="0"/>
        <w:keepLines w:val="0"/>
        <w:pageBreakBefore w:val="0"/>
        <w:widowControl w:val="0"/>
        <w:tabs>
          <w:tab w:val="left" w:pos="360"/>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2、该项鉴定</w:t>
      </w:r>
      <w:r>
        <w:rPr>
          <w:rFonts w:hint="eastAsia" w:ascii="宋体" w:hAnsi="宋体" w:cs="宋体"/>
          <w:sz w:val="21"/>
          <w:szCs w:val="21"/>
          <w:highlight w:val="none"/>
          <w:lang w:eastAsia="zh-CN"/>
        </w:rPr>
        <w:t>最高限价</w:t>
      </w:r>
      <w:r>
        <w:rPr>
          <w:rFonts w:hint="eastAsia" w:ascii="宋体" w:hAnsi="宋体" w:eastAsia="宋体" w:cs="宋体"/>
          <w:sz w:val="21"/>
          <w:szCs w:val="21"/>
          <w:highlight w:val="none"/>
        </w:rPr>
        <w:t>乘以折扣率为该项目鉴定最终鉴定费用单价。</w:t>
      </w:r>
    </w:p>
    <w:p w14:paraId="7DFFF44D">
      <w:pPr>
        <w:keepNext w:val="0"/>
        <w:keepLines w:val="0"/>
        <w:pageBreakBefore w:val="0"/>
        <w:widowControl w:val="0"/>
        <w:tabs>
          <w:tab w:val="left" w:pos="360"/>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3、最终鉴定费用单价为固定综合单价。单价必须包括提供鉴定服务所需的一切人员的符合国家规定的工资、福利、各种加班费、误餐费、各种社会保险、食宿与交通、设备及工具、器材、服装、安全、维修、管理费用、税费、利润、完成合同所需的一切本身和不可或缺的所有工作开支、政策性文件规定及合同包含的所有风险、责任等各项全部费用并承担一切风险责任。在服务期内单价不得调整。</w:t>
      </w:r>
    </w:p>
    <w:p w14:paraId="4DEE6CAF">
      <w:pPr>
        <w:keepLines w:val="0"/>
        <w:pageBreakBefore w:val="0"/>
        <w:widowControl w:val="0"/>
        <w:tabs>
          <w:tab w:val="left" w:pos="360"/>
        </w:tabs>
        <w:kinsoku/>
        <w:wordWrap/>
        <w:overflowPunct/>
        <w:topLinePunct w:val="0"/>
        <w:autoSpaceDE/>
        <w:autoSpaceDN/>
        <w:bidi w:val="0"/>
        <w:spacing w:line="360" w:lineRule="auto"/>
        <w:ind w:firstLine="422" w:firstLineChars="200"/>
        <w:textAlignment w:val="auto"/>
        <w:rPr>
          <w:rFonts w:hint="eastAsia" w:ascii="宋体" w:hAnsi="宋体" w:eastAsia="宋体" w:cs="宋体"/>
          <w:sz w:val="21"/>
          <w:szCs w:val="21"/>
          <w:highlight w:val="none"/>
        </w:rPr>
      </w:pPr>
      <w:r>
        <w:rPr>
          <w:rFonts w:hint="eastAsia" w:ascii="宋体" w:hAnsi="宋体" w:eastAsia="宋体" w:cs="宋体"/>
          <w:b/>
          <w:bCs/>
          <w:sz w:val="21"/>
          <w:szCs w:val="21"/>
          <w:highlight w:val="none"/>
        </w:rPr>
        <w:t>注：由于</w:t>
      </w:r>
      <w:r>
        <w:rPr>
          <w:rFonts w:hint="eastAsia" w:ascii="宋体" w:hAnsi="宋体" w:cs="宋体"/>
          <w:b/>
          <w:bCs/>
          <w:sz w:val="21"/>
          <w:szCs w:val="21"/>
          <w:highlight w:val="none"/>
          <w:lang w:val="en-US" w:eastAsia="zh-CN"/>
        </w:rPr>
        <w:t>需要</w:t>
      </w:r>
      <w:r>
        <w:rPr>
          <w:rFonts w:hint="eastAsia" w:ascii="宋体" w:hAnsi="宋体" w:eastAsia="宋体" w:cs="宋体"/>
          <w:b/>
          <w:bCs/>
          <w:sz w:val="21"/>
          <w:szCs w:val="21"/>
          <w:highlight w:val="none"/>
        </w:rPr>
        <w:t>鉴定事项发生的不可预测性，采购人无法预计也无法保证</w:t>
      </w:r>
      <w:r>
        <w:rPr>
          <w:rFonts w:hint="eastAsia" w:ascii="宋体" w:hAnsi="宋体" w:eastAsia="宋体" w:cs="宋体"/>
          <w:b/>
          <w:bCs/>
          <w:sz w:val="21"/>
          <w:szCs w:val="21"/>
          <w:highlight w:val="none"/>
          <w:lang w:eastAsia="zh-CN"/>
        </w:rPr>
        <w:t>成交人</w:t>
      </w:r>
      <w:r>
        <w:rPr>
          <w:rFonts w:hint="eastAsia" w:ascii="宋体" w:hAnsi="宋体" w:eastAsia="宋体" w:cs="宋体"/>
          <w:b/>
          <w:bCs/>
          <w:sz w:val="21"/>
          <w:szCs w:val="21"/>
          <w:highlight w:val="none"/>
        </w:rPr>
        <w:t>取得具体业务的数量及金额，投标</w:t>
      </w:r>
      <w:r>
        <w:rPr>
          <w:rFonts w:hint="eastAsia" w:ascii="宋体" w:hAnsi="宋体" w:eastAsia="宋体" w:cs="宋体"/>
          <w:b/>
          <w:bCs/>
          <w:sz w:val="21"/>
          <w:szCs w:val="21"/>
          <w:highlight w:val="none"/>
          <w:lang w:val="en-US" w:eastAsia="zh-CN"/>
        </w:rPr>
        <w:t>人</w:t>
      </w:r>
      <w:r>
        <w:rPr>
          <w:rFonts w:hint="eastAsia" w:ascii="宋体" w:hAnsi="宋体" w:eastAsia="宋体" w:cs="宋体"/>
          <w:b/>
          <w:bCs/>
          <w:sz w:val="21"/>
          <w:szCs w:val="21"/>
          <w:highlight w:val="none"/>
        </w:rPr>
        <w:t>应仔细</w:t>
      </w:r>
      <w:r>
        <w:rPr>
          <w:rFonts w:hint="eastAsia" w:ascii="宋体" w:hAnsi="宋体" w:eastAsia="宋体" w:cs="宋体"/>
          <w:b/>
          <w:bCs/>
          <w:sz w:val="21"/>
          <w:szCs w:val="21"/>
          <w:highlight w:val="none"/>
          <w:lang w:val="en-US" w:eastAsia="zh-CN"/>
        </w:rPr>
        <w:t>阅读</w:t>
      </w:r>
      <w:r>
        <w:rPr>
          <w:rFonts w:hint="eastAsia" w:ascii="宋体" w:hAnsi="宋体" w:eastAsia="宋体" w:cs="宋体"/>
          <w:b/>
          <w:bCs/>
          <w:sz w:val="21"/>
          <w:szCs w:val="21"/>
          <w:highlight w:val="none"/>
        </w:rPr>
        <w:t>以上报价内容，在报价时作充分考虑。</w:t>
      </w:r>
    </w:p>
    <w:p w14:paraId="7D32DC76">
      <w:pPr>
        <w:keepLines w:val="0"/>
        <w:pageBreakBefore w:val="0"/>
        <w:widowControl w:val="0"/>
        <w:tabs>
          <w:tab w:val="left" w:pos="360"/>
        </w:tabs>
        <w:kinsoku/>
        <w:wordWrap/>
        <w:overflowPunct/>
        <w:topLinePunct w:val="0"/>
        <w:autoSpaceDE/>
        <w:autoSpaceDN/>
        <w:bidi w:val="0"/>
        <w:spacing w:line="360" w:lineRule="auto"/>
        <w:textAlignment w:val="auto"/>
        <w:outlineLvl w:val="1"/>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五、商务条款</w:t>
      </w:r>
    </w:p>
    <w:p w14:paraId="23A96765">
      <w:pPr>
        <w:keepLines w:val="0"/>
        <w:pageBreakBefore w:val="0"/>
        <w:widowControl w:val="0"/>
        <w:tabs>
          <w:tab w:val="left" w:pos="360"/>
        </w:tabs>
        <w:kinsoku/>
        <w:wordWrap/>
        <w:overflowPunct/>
        <w:topLinePunct w:val="0"/>
        <w:autoSpaceDE/>
        <w:autoSpaceDN/>
        <w:bidi w:val="0"/>
        <w:spacing w:line="360" w:lineRule="auto"/>
        <w:ind w:firstLine="525" w:firstLineChars="250"/>
        <w:textAlignment w:val="auto"/>
        <w:rPr>
          <w:rFonts w:hint="default" w:ascii="宋体" w:hAnsi="宋体" w:eastAsia="宋体" w:cs="宋体"/>
          <w:sz w:val="21"/>
          <w:szCs w:val="21"/>
          <w:highlight w:val="none"/>
          <w:lang w:val="en-US" w:eastAsia="zh-CN"/>
        </w:rPr>
      </w:pPr>
      <w:r>
        <w:rPr>
          <w:rFonts w:hint="eastAsia" w:ascii="宋体" w:hAnsi="宋体" w:cs="宋体"/>
          <w:b w:val="0"/>
          <w:bCs w:val="0"/>
          <w:sz w:val="21"/>
          <w:szCs w:val="21"/>
          <w:highlight w:val="none"/>
          <w:lang w:val="en-US" w:eastAsia="zh-CN"/>
        </w:rPr>
        <w:t>1、</w:t>
      </w:r>
      <w:r>
        <w:rPr>
          <w:rFonts w:hint="eastAsia" w:ascii="宋体" w:hAnsi="宋体" w:eastAsia="宋体" w:cs="宋体"/>
          <w:b w:val="0"/>
          <w:bCs w:val="0"/>
          <w:sz w:val="21"/>
          <w:szCs w:val="21"/>
          <w:highlight w:val="none"/>
          <w:lang w:val="en-US" w:eastAsia="zh-CN"/>
        </w:rPr>
        <w:t>舟山市公安局交通警察支队一</w:t>
      </w:r>
      <w:r>
        <w:rPr>
          <w:rFonts w:hint="eastAsia" w:ascii="宋体" w:hAnsi="宋体" w:cs="宋体"/>
          <w:b w:val="0"/>
          <w:bCs w:val="0"/>
          <w:sz w:val="21"/>
          <w:szCs w:val="21"/>
          <w:highlight w:val="none"/>
          <w:lang w:val="en-US" w:eastAsia="zh-CN"/>
        </w:rPr>
        <w:t>年度</w:t>
      </w:r>
      <w:r>
        <w:rPr>
          <w:rFonts w:hint="eastAsia" w:ascii="宋体" w:hAnsi="宋体" w:eastAsia="宋体" w:cs="宋体"/>
          <w:b w:val="0"/>
          <w:bCs w:val="0"/>
          <w:sz w:val="21"/>
          <w:szCs w:val="21"/>
          <w:highlight w:val="none"/>
          <w:lang w:val="en-US" w:eastAsia="zh-CN"/>
        </w:rPr>
        <w:t>内司法鉴定费用不超过75万元，</w:t>
      </w:r>
      <w:r>
        <w:rPr>
          <w:rFonts w:hint="eastAsia" w:ascii="宋体" w:hAnsi="宋体" w:eastAsia="宋体" w:cs="宋体"/>
          <w:sz w:val="21"/>
          <w:szCs w:val="21"/>
          <w:highlight w:val="none"/>
          <w:lang w:val="en-US" w:eastAsia="zh-CN"/>
        </w:rPr>
        <w:t>成交人</w:t>
      </w:r>
      <w:r>
        <w:rPr>
          <w:rFonts w:hint="eastAsia" w:ascii="宋体" w:hAnsi="宋体" w:eastAsia="宋体" w:cs="宋体"/>
          <w:sz w:val="21"/>
          <w:szCs w:val="21"/>
          <w:highlight w:val="none"/>
        </w:rPr>
        <w:t>按实际提供事故检验鉴定次数开具正式发票，检验鉴定费每一季度</w:t>
      </w:r>
      <w:r>
        <w:rPr>
          <w:rFonts w:hint="eastAsia" w:ascii="宋体" w:hAnsi="宋体" w:cs="宋体"/>
          <w:sz w:val="21"/>
          <w:szCs w:val="21"/>
          <w:highlight w:val="none"/>
          <w:lang w:val="en-US" w:eastAsia="zh-CN"/>
        </w:rPr>
        <w:t>根据实际鉴定的数量</w:t>
      </w:r>
      <w:r>
        <w:rPr>
          <w:rFonts w:hint="eastAsia" w:ascii="宋体" w:hAnsi="宋体" w:cs="宋体"/>
          <w:b/>
          <w:bCs/>
          <w:sz w:val="21"/>
          <w:szCs w:val="21"/>
          <w:highlight w:val="none"/>
          <w:lang w:val="en-US" w:eastAsia="zh-CN"/>
        </w:rPr>
        <w:t>（以已出具鉴定报告的数量为准）</w:t>
      </w:r>
      <w:r>
        <w:rPr>
          <w:rFonts w:hint="eastAsia" w:ascii="宋体" w:hAnsi="宋体" w:cs="宋体"/>
          <w:sz w:val="21"/>
          <w:szCs w:val="21"/>
          <w:highlight w:val="none"/>
          <w:lang w:val="en-US" w:eastAsia="zh-CN"/>
        </w:rPr>
        <w:t>及考核结果</w:t>
      </w:r>
      <w:r>
        <w:rPr>
          <w:rFonts w:hint="eastAsia" w:ascii="宋体" w:hAnsi="宋体" w:eastAsia="宋体" w:cs="宋体"/>
          <w:sz w:val="21"/>
          <w:szCs w:val="21"/>
          <w:highlight w:val="none"/>
        </w:rPr>
        <w:t>进行一次结算</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如当年度鉴定费用不足75万，按实结算。</w:t>
      </w:r>
    </w:p>
    <w:p w14:paraId="3843480E">
      <w:pPr>
        <w:keepLines w:val="0"/>
        <w:pageBreakBefore w:val="0"/>
        <w:widowControl w:val="0"/>
        <w:tabs>
          <w:tab w:val="left" w:pos="360"/>
        </w:tabs>
        <w:kinsoku/>
        <w:wordWrap/>
        <w:overflowPunct/>
        <w:topLinePunct w:val="0"/>
        <w:autoSpaceDE/>
        <w:autoSpaceDN/>
        <w:bidi w:val="0"/>
        <w:spacing w:line="360" w:lineRule="auto"/>
        <w:ind w:firstLine="525" w:firstLineChars="250"/>
        <w:textAlignment w:val="auto"/>
        <w:rPr>
          <w:rFonts w:hint="default" w:ascii="宋体" w:hAnsi="宋体" w:eastAsia="宋体" w:cs="宋体"/>
          <w:b/>
          <w:bCs/>
          <w:sz w:val="21"/>
          <w:szCs w:val="21"/>
          <w:highlight w:val="none"/>
          <w:lang w:val="en-US" w:eastAsia="zh-CN"/>
        </w:rPr>
      </w:pPr>
      <w:r>
        <w:rPr>
          <w:rFonts w:hint="eastAsia" w:ascii="宋体" w:hAnsi="宋体" w:eastAsia="宋体" w:cs="宋体"/>
          <w:sz w:val="21"/>
          <w:szCs w:val="21"/>
          <w:highlight w:val="none"/>
        </w:rPr>
        <w:t>2、</w:t>
      </w:r>
      <w:r>
        <w:rPr>
          <w:rFonts w:hint="eastAsia" w:ascii="宋体" w:hAnsi="宋体" w:eastAsia="宋体" w:cs="宋体"/>
          <w:sz w:val="21"/>
          <w:szCs w:val="21"/>
          <w:highlight w:val="none"/>
          <w:lang w:eastAsia="zh-CN"/>
        </w:rPr>
        <w:t>成交人</w:t>
      </w:r>
      <w:r>
        <w:rPr>
          <w:rFonts w:hint="eastAsia" w:ascii="宋体" w:hAnsi="宋体" w:eastAsia="宋体" w:cs="宋体"/>
          <w:sz w:val="21"/>
          <w:szCs w:val="21"/>
          <w:highlight w:val="none"/>
        </w:rPr>
        <w:t>须在每季度的次月15日前向采购人提供：①采购人检验鉴定委托书（各大队出具）、②</w:t>
      </w:r>
      <w:r>
        <w:rPr>
          <w:rFonts w:hint="eastAsia" w:ascii="宋体" w:hAnsi="宋体" w:eastAsia="宋体" w:cs="宋体"/>
          <w:sz w:val="21"/>
          <w:szCs w:val="21"/>
          <w:highlight w:val="none"/>
          <w:lang w:eastAsia="zh-CN"/>
        </w:rPr>
        <w:t>成交人</w:t>
      </w:r>
      <w:r>
        <w:rPr>
          <w:rFonts w:hint="eastAsia" w:ascii="宋体" w:hAnsi="宋体" w:eastAsia="宋体" w:cs="宋体"/>
          <w:sz w:val="21"/>
          <w:szCs w:val="21"/>
          <w:highlight w:val="none"/>
        </w:rPr>
        <w:t>开具的正式发票。</w:t>
      </w:r>
    </w:p>
    <w:p w14:paraId="7F63932E">
      <w:pPr>
        <w:pageBreakBefore w:val="0"/>
        <w:kinsoku/>
        <w:wordWrap/>
        <w:overflowPunct/>
        <w:topLinePunct w:val="0"/>
        <w:bidi w:val="0"/>
        <w:spacing w:line="360" w:lineRule="auto"/>
        <w:outlineLvl w:val="1"/>
        <w:rPr>
          <w:rFonts w:hint="eastAsia" w:ascii="宋体" w:hAnsi="宋体" w:eastAsia="宋体" w:cs="宋体"/>
          <w:b/>
          <w:bCs/>
          <w:sz w:val="21"/>
          <w:szCs w:val="21"/>
          <w:highlight w:val="none"/>
        </w:rPr>
      </w:pPr>
      <w:r>
        <w:rPr>
          <w:rFonts w:hint="eastAsia" w:ascii="宋体" w:hAnsi="宋体" w:eastAsia="宋体" w:cs="宋体"/>
          <w:b/>
          <w:bCs/>
          <w:sz w:val="21"/>
          <w:szCs w:val="21"/>
          <w:highlight w:val="none"/>
          <w:lang w:val="en-US" w:eastAsia="zh-CN"/>
        </w:rPr>
        <w:t>六</w:t>
      </w:r>
      <w:r>
        <w:rPr>
          <w:rFonts w:hint="eastAsia" w:ascii="宋体" w:hAnsi="宋体" w:eastAsia="宋体" w:cs="宋体"/>
          <w:b/>
          <w:bCs/>
          <w:sz w:val="21"/>
          <w:szCs w:val="21"/>
          <w:highlight w:val="none"/>
        </w:rPr>
        <w:t>、其他说明</w:t>
      </w:r>
    </w:p>
    <w:p w14:paraId="22D3B12B">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1、在服务期限内，若</w:t>
      </w:r>
      <w:r>
        <w:rPr>
          <w:rFonts w:hint="eastAsia" w:ascii="宋体" w:hAnsi="宋体" w:eastAsia="宋体" w:cs="宋体"/>
          <w:sz w:val="21"/>
          <w:szCs w:val="21"/>
          <w:highlight w:val="none"/>
          <w:lang w:eastAsia="zh-CN"/>
        </w:rPr>
        <w:t>成交人</w:t>
      </w:r>
      <w:r>
        <w:rPr>
          <w:rFonts w:hint="eastAsia" w:ascii="宋体" w:hAnsi="宋体" w:eastAsia="宋体" w:cs="宋体"/>
          <w:sz w:val="21"/>
          <w:szCs w:val="21"/>
          <w:highlight w:val="none"/>
        </w:rPr>
        <w:t>出具的鉴定报告未被当地法院采信，采购人有权委托其他鉴定机构进行重新鉴定，相关费用由</w:t>
      </w:r>
      <w:r>
        <w:rPr>
          <w:rFonts w:hint="eastAsia" w:ascii="宋体" w:hAnsi="宋体" w:eastAsia="宋体" w:cs="宋体"/>
          <w:sz w:val="21"/>
          <w:szCs w:val="21"/>
          <w:highlight w:val="none"/>
          <w:lang w:eastAsia="zh-CN"/>
        </w:rPr>
        <w:t>成交人</w:t>
      </w:r>
      <w:r>
        <w:rPr>
          <w:rFonts w:hint="eastAsia" w:ascii="宋体" w:hAnsi="宋体" w:eastAsia="宋体" w:cs="宋体"/>
          <w:sz w:val="21"/>
          <w:szCs w:val="21"/>
          <w:highlight w:val="none"/>
        </w:rPr>
        <w:t>承担。</w:t>
      </w:r>
    </w:p>
    <w:p w14:paraId="0006EFF4">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2、在服务期限内，若</w:t>
      </w:r>
      <w:r>
        <w:rPr>
          <w:rFonts w:hint="eastAsia" w:ascii="宋体" w:hAnsi="宋体" w:eastAsia="宋体" w:cs="宋体"/>
          <w:sz w:val="21"/>
          <w:szCs w:val="21"/>
          <w:highlight w:val="none"/>
          <w:lang w:eastAsia="zh-CN"/>
        </w:rPr>
        <w:t>成交人</w:t>
      </w:r>
      <w:r>
        <w:rPr>
          <w:rFonts w:hint="eastAsia" w:ascii="宋体" w:hAnsi="宋体" w:eastAsia="宋体" w:cs="宋体"/>
          <w:sz w:val="21"/>
          <w:szCs w:val="21"/>
          <w:highlight w:val="none"/>
        </w:rPr>
        <w:t>出具的鉴定报告未被当地法院采信或鉴定结果对案件的评判方向出现指引性错误，且此类情形累计达到</w:t>
      </w:r>
      <w:r>
        <w:rPr>
          <w:rFonts w:hint="eastAsia" w:ascii="宋体" w:hAnsi="宋体" w:cs="宋体"/>
          <w:sz w:val="21"/>
          <w:szCs w:val="21"/>
          <w:highlight w:val="none"/>
          <w:lang w:val="en-US" w:eastAsia="zh-CN"/>
        </w:rPr>
        <w:t>2</w:t>
      </w:r>
      <w:r>
        <w:rPr>
          <w:rFonts w:hint="eastAsia" w:ascii="宋体" w:hAnsi="宋体" w:eastAsia="宋体" w:cs="宋体"/>
          <w:sz w:val="21"/>
          <w:szCs w:val="21"/>
          <w:highlight w:val="none"/>
        </w:rPr>
        <w:t>起，</w:t>
      </w:r>
      <w:r>
        <w:rPr>
          <w:rFonts w:hint="eastAsia" w:ascii="宋体" w:hAnsi="宋体" w:cs="宋体"/>
          <w:sz w:val="21"/>
          <w:szCs w:val="21"/>
          <w:highlight w:val="none"/>
          <w:lang w:val="en-US" w:eastAsia="zh-CN"/>
        </w:rPr>
        <w:t>采购人</w:t>
      </w:r>
      <w:r>
        <w:rPr>
          <w:rFonts w:hint="eastAsia" w:ascii="宋体" w:hAnsi="宋体" w:eastAsia="宋体" w:cs="宋体"/>
          <w:sz w:val="21"/>
          <w:szCs w:val="21"/>
          <w:highlight w:val="none"/>
        </w:rPr>
        <w:t>有权终止合同，并停止支付服务经费。若因此对</w:t>
      </w:r>
      <w:r>
        <w:rPr>
          <w:rFonts w:hint="eastAsia" w:ascii="宋体" w:hAnsi="宋体" w:cs="宋体"/>
          <w:sz w:val="21"/>
          <w:szCs w:val="21"/>
          <w:highlight w:val="none"/>
          <w:lang w:val="en-US" w:eastAsia="zh-CN"/>
        </w:rPr>
        <w:t>采购人</w:t>
      </w:r>
      <w:r>
        <w:rPr>
          <w:rFonts w:hint="eastAsia" w:ascii="宋体" w:hAnsi="宋体" w:eastAsia="宋体" w:cs="宋体"/>
          <w:sz w:val="21"/>
          <w:szCs w:val="21"/>
          <w:highlight w:val="none"/>
        </w:rPr>
        <w:t>造成损失，</w:t>
      </w:r>
      <w:r>
        <w:rPr>
          <w:rFonts w:hint="eastAsia" w:ascii="宋体" w:hAnsi="宋体" w:eastAsia="宋体" w:cs="宋体"/>
          <w:sz w:val="21"/>
          <w:szCs w:val="21"/>
          <w:highlight w:val="none"/>
          <w:lang w:eastAsia="zh-CN"/>
        </w:rPr>
        <w:t>成交人</w:t>
      </w:r>
      <w:r>
        <w:rPr>
          <w:rFonts w:hint="eastAsia" w:ascii="宋体" w:hAnsi="宋体" w:eastAsia="宋体" w:cs="宋体"/>
          <w:sz w:val="21"/>
          <w:szCs w:val="21"/>
          <w:highlight w:val="none"/>
        </w:rPr>
        <w:t>应赔偿损失，并承担相关法律责任。</w:t>
      </w:r>
    </w:p>
    <w:p w14:paraId="77BE4963">
      <w:pPr>
        <w:pStyle w:val="10"/>
        <w:pageBreakBefore w:val="0"/>
        <w:kinsoku/>
        <w:wordWrap/>
        <w:overflowPunct/>
        <w:topLinePunct w:val="0"/>
        <w:bidi w:val="0"/>
        <w:spacing w:line="360" w:lineRule="auto"/>
        <w:rPr>
          <w:rFonts w:hint="eastAsia"/>
          <w:highlight w:val="none"/>
        </w:rPr>
      </w:pPr>
    </w:p>
    <w:bookmarkEnd w:id="9"/>
    <w:p w14:paraId="36750728">
      <w:pPr>
        <w:keepNext w:val="0"/>
        <w:keepLines w:val="0"/>
        <w:pageBreakBefore w:val="0"/>
        <w:widowControl w:val="0"/>
        <w:kinsoku/>
        <w:wordWrap/>
        <w:overflowPunct/>
        <w:topLinePunct w:val="0"/>
        <w:autoSpaceDE/>
        <w:autoSpaceDN/>
        <w:bidi w:val="0"/>
        <w:adjustRightInd/>
        <w:snapToGrid/>
        <w:spacing w:line="360" w:lineRule="auto"/>
        <w:ind w:firstLine="562" w:firstLineChars="200"/>
        <w:jc w:val="both"/>
        <w:textAlignment w:val="auto"/>
        <w:outlineLvl w:val="9"/>
        <w:rPr>
          <w:rFonts w:hint="eastAsia" w:ascii="宋体" w:hAnsi="宋体" w:cs="宋体"/>
          <w:b/>
          <w:sz w:val="28"/>
          <w:szCs w:val="28"/>
          <w:highlight w:val="none"/>
        </w:rPr>
      </w:pPr>
      <w:r>
        <w:rPr>
          <w:rFonts w:hint="eastAsia" w:ascii="宋体" w:hAnsi="宋体" w:cs="宋体"/>
          <w:b/>
          <w:sz w:val="28"/>
          <w:szCs w:val="28"/>
          <w:highlight w:val="none"/>
        </w:rPr>
        <w:br w:type="page"/>
      </w:r>
    </w:p>
    <w:p w14:paraId="10D59E80">
      <w:pPr>
        <w:pageBreakBefore w:val="0"/>
        <w:kinsoku/>
        <w:wordWrap/>
        <w:overflowPunct/>
        <w:topLinePunct w:val="0"/>
        <w:bidi w:val="0"/>
        <w:spacing w:line="360" w:lineRule="auto"/>
        <w:jc w:val="center"/>
        <w:outlineLvl w:val="0"/>
        <w:rPr>
          <w:rFonts w:ascii="宋体" w:hAnsi="宋体" w:cs="宋体"/>
          <w:b/>
          <w:sz w:val="28"/>
          <w:szCs w:val="28"/>
          <w:highlight w:val="none"/>
        </w:rPr>
      </w:pPr>
      <w:r>
        <w:rPr>
          <w:rFonts w:hint="eastAsia" w:ascii="宋体" w:hAnsi="宋体" w:cs="宋体"/>
          <w:b/>
          <w:sz w:val="28"/>
          <w:szCs w:val="28"/>
          <w:highlight w:val="none"/>
        </w:rPr>
        <w:t>第三章  响应人须知</w:t>
      </w:r>
    </w:p>
    <w:p w14:paraId="75C8C203">
      <w:pPr>
        <w:pageBreakBefore w:val="0"/>
        <w:kinsoku/>
        <w:wordWrap/>
        <w:overflowPunct/>
        <w:topLinePunct w:val="0"/>
        <w:bidi w:val="0"/>
        <w:snapToGrid w:val="0"/>
        <w:spacing w:line="360" w:lineRule="auto"/>
        <w:jc w:val="center"/>
        <w:outlineLvl w:val="1"/>
        <w:rPr>
          <w:rFonts w:hint="eastAsia" w:ascii="宋体" w:hAnsi="宋体" w:eastAsia="宋体" w:cs="宋体"/>
          <w:sz w:val="21"/>
          <w:szCs w:val="21"/>
          <w:highlight w:val="none"/>
        </w:rPr>
      </w:pPr>
      <w:r>
        <w:rPr>
          <w:rFonts w:hint="eastAsia" w:ascii="宋体" w:hAnsi="宋体" w:eastAsia="宋体" w:cs="宋体"/>
          <w:b/>
          <w:sz w:val="21"/>
          <w:szCs w:val="21"/>
          <w:highlight w:val="none"/>
        </w:rPr>
        <w:t>前附表</w:t>
      </w:r>
    </w:p>
    <w:tbl>
      <w:tblPr>
        <w:tblStyle w:val="28"/>
        <w:tblW w:w="10081" w:type="dxa"/>
        <w:jc w:val="center"/>
        <w:tblCellSpacing w:w="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647"/>
        <w:gridCol w:w="1582"/>
        <w:gridCol w:w="7852"/>
      </w:tblGrid>
      <w:tr w14:paraId="5D41D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jc w:val="center"/>
        </w:trPr>
        <w:tc>
          <w:tcPr>
            <w:tcW w:w="626" w:type="dxa"/>
            <w:shd w:val="clear" w:color="auto" w:fill="E0E0E0"/>
            <w:vAlign w:val="center"/>
          </w:tcPr>
          <w:p w14:paraId="56EC24C6">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序号</w:t>
            </w:r>
          </w:p>
        </w:tc>
        <w:tc>
          <w:tcPr>
            <w:tcW w:w="9413" w:type="dxa"/>
            <w:gridSpan w:val="2"/>
            <w:shd w:val="clear" w:color="auto" w:fill="E0E0E0"/>
            <w:vAlign w:val="center"/>
          </w:tcPr>
          <w:p w14:paraId="404EB813">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内容说明及要求</w:t>
            </w:r>
          </w:p>
        </w:tc>
      </w:tr>
      <w:tr w14:paraId="4EC49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jc w:val="center"/>
        </w:trPr>
        <w:tc>
          <w:tcPr>
            <w:tcW w:w="626" w:type="dxa"/>
            <w:shd w:val="clear" w:color="auto" w:fill="E0E0E0"/>
            <w:vAlign w:val="center"/>
          </w:tcPr>
          <w:p w14:paraId="5EB0C848">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1</w:t>
            </w:r>
          </w:p>
        </w:tc>
        <w:tc>
          <w:tcPr>
            <w:tcW w:w="1568" w:type="dxa"/>
            <w:shd w:val="clear" w:color="auto" w:fill="E0E0E0"/>
            <w:vAlign w:val="center"/>
          </w:tcPr>
          <w:p w14:paraId="63447ECB">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项目名称</w:t>
            </w:r>
          </w:p>
        </w:tc>
        <w:tc>
          <w:tcPr>
            <w:tcW w:w="7831" w:type="dxa"/>
            <w:shd w:val="clear" w:color="auto" w:fill="FFFFFF"/>
            <w:vAlign w:val="center"/>
          </w:tcPr>
          <w:p w14:paraId="56AA3C99">
            <w:pPr>
              <w:keepNext w:val="0"/>
              <w:keepLines w:val="0"/>
              <w:pageBreakBefore w:val="0"/>
              <w:suppressLineNumbers w:val="0"/>
              <w:kinsoku/>
              <w:wordWrap/>
              <w:overflowPunct/>
              <w:topLinePunct w:val="0"/>
              <w:bidi w:val="0"/>
              <w:spacing w:before="0" w:beforeAutospacing="0" w:after="0" w:afterAutospacing="0" w:line="360" w:lineRule="auto"/>
              <w:ind w:left="0" w:right="0"/>
              <w:rPr>
                <w:rFonts w:hint="eastAsia" w:ascii="宋体" w:hAnsi="宋体" w:eastAsia="宋体" w:cs="宋体"/>
                <w:color w:val="auto"/>
                <w:sz w:val="21"/>
                <w:szCs w:val="21"/>
                <w:highlight w:val="none"/>
                <w:lang w:eastAsia="zh-CN"/>
              </w:rPr>
            </w:pPr>
            <w:r>
              <w:rPr>
                <w:rFonts w:hint="eastAsia" w:ascii="宋体"/>
                <w:highlight w:val="none"/>
                <w:lang w:val="en-US" w:eastAsia="zh-CN"/>
              </w:rPr>
              <w:t>2025年舟山交警司法鉴定服务项目</w:t>
            </w:r>
          </w:p>
        </w:tc>
      </w:tr>
      <w:tr w14:paraId="6094EF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jc w:val="center"/>
        </w:trPr>
        <w:tc>
          <w:tcPr>
            <w:tcW w:w="626" w:type="dxa"/>
            <w:shd w:val="clear" w:color="auto" w:fill="E0E0E0"/>
            <w:vAlign w:val="center"/>
          </w:tcPr>
          <w:p w14:paraId="74D6FF25">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2</w:t>
            </w:r>
          </w:p>
        </w:tc>
        <w:tc>
          <w:tcPr>
            <w:tcW w:w="1568" w:type="dxa"/>
            <w:shd w:val="clear" w:color="auto" w:fill="E0E0E0"/>
            <w:vAlign w:val="center"/>
          </w:tcPr>
          <w:p w14:paraId="5AA2F86A">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采购人名称</w:t>
            </w:r>
          </w:p>
        </w:tc>
        <w:tc>
          <w:tcPr>
            <w:tcW w:w="7831" w:type="dxa"/>
            <w:shd w:val="clear" w:color="auto" w:fill="FFFFFF"/>
            <w:vAlign w:val="center"/>
          </w:tcPr>
          <w:p w14:paraId="5F591FD0">
            <w:pPr>
              <w:keepNext w:val="0"/>
              <w:keepLines w:val="0"/>
              <w:pageBreakBefore w:val="0"/>
              <w:widowControl w:val="0"/>
              <w:suppressLineNumbers w:val="0"/>
              <w:kinsoku/>
              <w:wordWrap/>
              <w:overflowPunct/>
              <w:topLinePunct w:val="0"/>
              <w:bidi w:val="0"/>
              <w:spacing w:before="0" w:beforeAutospacing="0" w:after="0" w:afterAutospacing="0" w:line="360" w:lineRule="auto"/>
              <w:ind w:left="0" w:right="0"/>
              <w:jc w:val="both"/>
              <w:rPr>
                <w:rFonts w:hint="eastAsia" w:ascii="宋体" w:hAnsi="宋体" w:eastAsia="宋体" w:cs="宋体"/>
                <w:color w:val="auto"/>
                <w:sz w:val="21"/>
                <w:szCs w:val="21"/>
                <w:highlight w:val="none"/>
                <w:lang w:val="en-US" w:eastAsia="zh-CN"/>
              </w:rPr>
            </w:pPr>
            <w:r>
              <w:rPr>
                <w:rFonts w:hint="eastAsia" w:ascii="宋体" w:hAnsi="宋体" w:eastAsia="宋体" w:cs="宋体"/>
                <w:sz w:val="21"/>
                <w:szCs w:val="21"/>
                <w:highlight w:val="none"/>
                <w:lang w:val="en-US" w:eastAsia="zh-CN"/>
              </w:rPr>
              <w:t>舟山市公安局交通警察支队</w:t>
            </w:r>
            <w:r>
              <w:rPr>
                <w:rFonts w:hint="eastAsia" w:hAnsi="宋体" w:eastAsia="宋体" w:cs="宋体"/>
                <w:sz w:val="21"/>
                <w:szCs w:val="21"/>
                <w:highlight w:val="none"/>
                <w:lang w:val="en-US" w:eastAsia="zh-CN"/>
              </w:rPr>
              <w:t>、舟山市公安局高速公路交通警察支队、</w:t>
            </w:r>
            <w:r>
              <w:rPr>
                <w:rFonts w:hint="eastAsia" w:ascii="宋体" w:hAnsi="宋体" w:eastAsia="宋体" w:cs="宋体"/>
                <w:b w:val="0"/>
                <w:bCs/>
                <w:sz w:val="21"/>
                <w:szCs w:val="21"/>
                <w:highlight w:val="none"/>
                <w:lang w:val="en-US" w:eastAsia="zh-CN"/>
              </w:rPr>
              <w:t>舟山市公安局普陀山分局交警大队</w:t>
            </w:r>
          </w:p>
        </w:tc>
      </w:tr>
      <w:tr w14:paraId="23094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jc w:val="center"/>
        </w:trPr>
        <w:tc>
          <w:tcPr>
            <w:tcW w:w="626" w:type="dxa"/>
            <w:shd w:val="clear" w:color="auto" w:fill="E0E0E0"/>
            <w:vAlign w:val="center"/>
          </w:tcPr>
          <w:p w14:paraId="746F8B39">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3</w:t>
            </w:r>
          </w:p>
        </w:tc>
        <w:tc>
          <w:tcPr>
            <w:tcW w:w="1568" w:type="dxa"/>
            <w:shd w:val="clear" w:color="auto" w:fill="E0E0E0"/>
            <w:vAlign w:val="center"/>
          </w:tcPr>
          <w:p w14:paraId="34E1D652">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采购内容</w:t>
            </w:r>
          </w:p>
        </w:tc>
        <w:tc>
          <w:tcPr>
            <w:tcW w:w="7831" w:type="dxa"/>
            <w:shd w:val="clear" w:color="auto" w:fill="FFFFFF"/>
            <w:vAlign w:val="center"/>
          </w:tcPr>
          <w:p w14:paraId="0B53BEC3">
            <w:pPr>
              <w:keepNext w:val="0"/>
              <w:keepLines w:val="0"/>
              <w:pageBreakBefore w:val="0"/>
              <w:suppressLineNumbers w:val="0"/>
              <w:kinsoku/>
              <w:wordWrap/>
              <w:overflowPunct/>
              <w:topLinePunct w:val="0"/>
              <w:bidi w:val="0"/>
              <w:spacing w:before="0" w:beforeAutospacing="0" w:after="0" w:afterAutospacing="0" w:line="360" w:lineRule="auto"/>
              <w:ind w:left="0" w:right="0"/>
              <w:rPr>
                <w:rFonts w:hint="eastAsia" w:ascii="宋体" w:hAnsi="宋体" w:eastAsia="宋体" w:cs="宋体"/>
                <w:bCs/>
                <w:color w:val="auto"/>
                <w:sz w:val="21"/>
                <w:szCs w:val="21"/>
                <w:highlight w:val="none"/>
              </w:rPr>
            </w:pPr>
            <w:r>
              <w:rPr>
                <w:rFonts w:hint="eastAsia" w:ascii="宋体"/>
                <w:highlight w:val="none"/>
                <w:lang w:val="en-US" w:eastAsia="zh-CN"/>
              </w:rPr>
              <w:t>司法鉴定服务</w:t>
            </w:r>
          </w:p>
        </w:tc>
      </w:tr>
      <w:tr w14:paraId="1D1B3C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jc w:val="center"/>
        </w:trPr>
        <w:tc>
          <w:tcPr>
            <w:tcW w:w="626" w:type="dxa"/>
            <w:shd w:val="clear" w:color="auto" w:fill="E0E0E0"/>
            <w:vAlign w:val="center"/>
          </w:tcPr>
          <w:p w14:paraId="47CBD2A0">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4</w:t>
            </w:r>
          </w:p>
        </w:tc>
        <w:tc>
          <w:tcPr>
            <w:tcW w:w="1568" w:type="dxa"/>
            <w:shd w:val="clear" w:color="auto" w:fill="E0E0E0"/>
            <w:vAlign w:val="center"/>
          </w:tcPr>
          <w:p w14:paraId="241AA3F3">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预算金额</w:t>
            </w:r>
          </w:p>
        </w:tc>
        <w:tc>
          <w:tcPr>
            <w:tcW w:w="7831" w:type="dxa"/>
            <w:shd w:val="clear" w:color="auto" w:fill="FFFFFF"/>
            <w:vAlign w:val="center"/>
          </w:tcPr>
          <w:p w14:paraId="13FC5A48">
            <w:pPr>
              <w:keepNext w:val="0"/>
              <w:keepLines w:val="0"/>
              <w:pageBreakBefore w:val="0"/>
              <w:suppressLineNumbers w:val="0"/>
              <w:kinsoku/>
              <w:wordWrap/>
              <w:overflowPunct/>
              <w:topLinePunct w:val="0"/>
              <w:bidi w:val="0"/>
              <w:spacing w:before="0" w:beforeAutospacing="0" w:after="0" w:afterAutospacing="0" w:line="360" w:lineRule="auto"/>
              <w:ind w:left="0" w:right="0"/>
              <w:rPr>
                <w:rFonts w:hint="default" w:ascii="宋体" w:hAnsi="宋体" w:eastAsia="宋体" w:cs="宋体"/>
                <w:color w:val="auto"/>
                <w:sz w:val="21"/>
                <w:szCs w:val="21"/>
                <w:highlight w:val="none"/>
                <w:lang w:val="en-US" w:eastAsia="zh-CN"/>
              </w:rPr>
            </w:pPr>
            <w:r>
              <w:rPr>
                <w:rFonts w:hint="eastAsia" w:ascii="宋体" w:hAnsi="宋体" w:cs="宋体"/>
                <w:i w:val="0"/>
                <w:iCs w:val="0"/>
                <w:caps w:val="0"/>
                <w:color w:val="auto"/>
                <w:spacing w:val="0"/>
                <w:sz w:val="21"/>
                <w:szCs w:val="21"/>
                <w:highlight w:val="none"/>
                <w:lang w:val="en-US" w:eastAsia="zh-CN"/>
              </w:rPr>
              <w:t>80万元（</w:t>
            </w:r>
            <w:r>
              <w:rPr>
                <w:rFonts w:hint="eastAsia" w:ascii="宋体" w:hAnsi="宋体" w:eastAsia="宋体" w:cs="宋体"/>
                <w:color w:val="auto"/>
                <w:sz w:val="21"/>
                <w:szCs w:val="21"/>
                <w:highlight w:val="none"/>
                <w:lang w:val="en-US" w:eastAsia="zh-CN"/>
              </w:rPr>
              <w:t>舟山市公安局交通警察支队75万元，</w:t>
            </w:r>
            <w:r>
              <w:rPr>
                <w:rFonts w:hint="eastAsia" w:ascii="宋体" w:hAnsi="宋体" w:eastAsia="宋体" w:cs="宋体"/>
                <w:b w:val="0"/>
                <w:bCs/>
                <w:sz w:val="21"/>
                <w:szCs w:val="21"/>
                <w:highlight w:val="none"/>
                <w:lang w:val="en-US" w:eastAsia="zh-CN"/>
              </w:rPr>
              <w:t>舟山市公安局普陀山分局交警大队</w:t>
            </w:r>
            <w:r>
              <w:rPr>
                <w:rFonts w:hint="eastAsia" w:ascii="宋体" w:hAnsi="宋体" w:cs="宋体"/>
                <w:b w:val="0"/>
                <w:bCs/>
                <w:sz w:val="21"/>
                <w:szCs w:val="21"/>
                <w:highlight w:val="none"/>
                <w:lang w:val="en-US" w:eastAsia="zh-CN"/>
              </w:rPr>
              <w:t>3</w:t>
            </w:r>
            <w:r>
              <w:rPr>
                <w:rFonts w:hint="eastAsia" w:ascii="宋体" w:hAnsi="宋体" w:eastAsia="宋体" w:cs="宋体"/>
                <w:b w:val="0"/>
                <w:bCs/>
                <w:sz w:val="21"/>
                <w:szCs w:val="21"/>
                <w:highlight w:val="none"/>
                <w:lang w:val="en-US" w:eastAsia="zh-CN"/>
              </w:rPr>
              <w:t>万元，舟山市公安局高速公路交通警察支队</w:t>
            </w:r>
            <w:r>
              <w:rPr>
                <w:rFonts w:hint="eastAsia" w:ascii="宋体" w:hAnsi="宋体" w:cs="宋体"/>
                <w:b w:val="0"/>
                <w:bCs/>
                <w:sz w:val="21"/>
                <w:szCs w:val="21"/>
                <w:highlight w:val="none"/>
                <w:lang w:val="en-US" w:eastAsia="zh-CN"/>
              </w:rPr>
              <w:t>2</w:t>
            </w:r>
            <w:r>
              <w:rPr>
                <w:rFonts w:hint="eastAsia" w:ascii="宋体" w:hAnsi="宋体" w:eastAsia="宋体" w:cs="宋体"/>
                <w:b w:val="0"/>
                <w:bCs/>
                <w:sz w:val="21"/>
                <w:szCs w:val="21"/>
                <w:highlight w:val="none"/>
                <w:lang w:val="en-US" w:eastAsia="zh-CN"/>
              </w:rPr>
              <w:t>万元</w:t>
            </w:r>
            <w:r>
              <w:rPr>
                <w:rFonts w:hint="eastAsia" w:ascii="宋体" w:hAnsi="宋体" w:cs="宋体"/>
                <w:i w:val="0"/>
                <w:iCs w:val="0"/>
                <w:caps w:val="0"/>
                <w:color w:val="auto"/>
                <w:spacing w:val="0"/>
                <w:sz w:val="21"/>
                <w:szCs w:val="21"/>
                <w:highlight w:val="none"/>
                <w:lang w:val="en-US" w:eastAsia="zh-CN"/>
              </w:rPr>
              <w:t>）</w:t>
            </w:r>
          </w:p>
        </w:tc>
      </w:tr>
      <w:tr w14:paraId="0BE0D9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jc w:val="center"/>
        </w:trPr>
        <w:tc>
          <w:tcPr>
            <w:tcW w:w="626" w:type="dxa"/>
            <w:shd w:val="clear" w:color="auto" w:fill="E0E0E0"/>
            <w:vAlign w:val="center"/>
          </w:tcPr>
          <w:p w14:paraId="387FF0CF">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5</w:t>
            </w:r>
          </w:p>
        </w:tc>
        <w:tc>
          <w:tcPr>
            <w:tcW w:w="1568" w:type="dxa"/>
            <w:shd w:val="clear" w:color="auto" w:fill="E0E0E0"/>
            <w:vAlign w:val="center"/>
          </w:tcPr>
          <w:p w14:paraId="7695AF0E">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lang w:val="en-US" w:eastAsia="zh-CN"/>
              </w:rPr>
            </w:pPr>
            <w:r>
              <w:rPr>
                <w:rFonts w:hint="eastAsia" w:ascii="宋体" w:hAnsi="宋体" w:eastAsia="宋体" w:cs="宋体"/>
                <w:b/>
                <w:sz w:val="21"/>
                <w:szCs w:val="21"/>
                <w:highlight w:val="none"/>
                <w:lang w:val="en-US" w:eastAsia="zh-CN"/>
              </w:rPr>
              <w:t>服务期限</w:t>
            </w:r>
          </w:p>
        </w:tc>
        <w:tc>
          <w:tcPr>
            <w:tcW w:w="7831" w:type="dxa"/>
            <w:shd w:val="clear" w:color="auto" w:fill="FFFFFF"/>
            <w:vAlign w:val="center"/>
          </w:tcPr>
          <w:p w14:paraId="7FFF27B5">
            <w:pPr>
              <w:keepNext w:val="0"/>
              <w:keepLines w:val="0"/>
              <w:pageBreakBefore w:val="0"/>
              <w:suppressLineNumbers w:val="0"/>
              <w:kinsoku/>
              <w:wordWrap/>
              <w:overflowPunct/>
              <w:topLinePunct w:val="0"/>
              <w:bidi w:val="0"/>
              <w:spacing w:before="0" w:beforeAutospacing="0" w:after="0" w:afterAutospacing="0" w:line="360" w:lineRule="auto"/>
              <w:ind w:left="0" w:right="0"/>
              <w:rPr>
                <w:rFonts w:hint="eastAsia" w:ascii="宋体" w:hAnsi="宋体" w:eastAsia="宋体" w:cs="宋体"/>
                <w:sz w:val="21"/>
                <w:szCs w:val="21"/>
                <w:highlight w:val="none"/>
                <w:lang w:val="en-US" w:eastAsia="zh-CN"/>
              </w:rPr>
            </w:pPr>
            <w:r>
              <w:rPr>
                <w:rFonts w:hint="eastAsia" w:ascii="宋体" w:hAnsi="宋体" w:eastAsia="宋体" w:cs="宋体"/>
                <w:bCs/>
                <w:color w:val="000000"/>
                <w:sz w:val="21"/>
                <w:szCs w:val="21"/>
                <w:highlight w:val="none"/>
                <w:lang w:val="en-US" w:eastAsia="zh-CN"/>
              </w:rPr>
              <w:t>详见采购需求</w:t>
            </w:r>
          </w:p>
        </w:tc>
      </w:tr>
      <w:tr w14:paraId="0254B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jc w:val="center"/>
        </w:trPr>
        <w:tc>
          <w:tcPr>
            <w:tcW w:w="626" w:type="dxa"/>
            <w:shd w:val="clear" w:color="auto" w:fill="E0E0E0"/>
            <w:vAlign w:val="center"/>
          </w:tcPr>
          <w:p w14:paraId="08D34D22">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6</w:t>
            </w:r>
          </w:p>
        </w:tc>
        <w:tc>
          <w:tcPr>
            <w:tcW w:w="1568" w:type="dxa"/>
            <w:shd w:val="clear" w:color="auto" w:fill="E0E0E0"/>
            <w:vAlign w:val="center"/>
          </w:tcPr>
          <w:p w14:paraId="3B58F903">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投标有效期</w:t>
            </w:r>
          </w:p>
        </w:tc>
        <w:tc>
          <w:tcPr>
            <w:tcW w:w="7831" w:type="dxa"/>
            <w:shd w:val="clear" w:color="auto" w:fill="FFFFFF"/>
            <w:vAlign w:val="center"/>
          </w:tcPr>
          <w:p w14:paraId="64D35046">
            <w:pPr>
              <w:keepNext w:val="0"/>
              <w:keepLines w:val="0"/>
              <w:pageBreakBefore w:val="0"/>
              <w:suppressLineNumbers w:val="0"/>
              <w:kinsoku/>
              <w:wordWrap/>
              <w:overflowPunct/>
              <w:topLinePunct w:val="0"/>
              <w:bidi w:val="0"/>
              <w:spacing w:before="0" w:beforeAutospacing="0" w:after="0" w:afterAutospacing="0" w:line="36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u w:val="single"/>
              </w:rPr>
              <w:t>90日</w:t>
            </w:r>
            <w:r>
              <w:rPr>
                <w:rFonts w:hint="eastAsia" w:ascii="宋体" w:hAnsi="宋体" w:eastAsia="宋体" w:cs="宋体"/>
                <w:sz w:val="21"/>
                <w:szCs w:val="21"/>
                <w:highlight w:val="none"/>
              </w:rPr>
              <w:t>历天。（从投标截止之日算起）</w:t>
            </w:r>
          </w:p>
        </w:tc>
      </w:tr>
      <w:tr w14:paraId="030D3F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82" w:hRule="atLeast"/>
          <w:tblCellSpacing w:w="7" w:type="dxa"/>
          <w:jc w:val="center"/>
        </w:trPr>
        <w:tc>
          <w:tcPr>
            <w:tcW w:w="626" w:type="dxa"/>
            <w:shd w:val="clear" w:color="auto" w:fill="E0E0E0"/>
            <w:vAlign w:val="center"/>
          </w:tcPr>
          <w:p w14:paraId="7C83FFEE">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7</w:t>
            </w:r>
          </w:p>
        </w:tc>
        <w:tc>
          <w:tcPr>
            <w:tcW w:w="1568" w:type="dxa"/>
            <w:shd w:val="clear" w:color="auto" w:fill="E0E0E0"/>
            <w:vAlign w:val="center"/>
          </w:tcPr>
          <w:p w14:paraId="1A051B88">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评标办法</w:t>
            </w:r>
          </w:p>
        </w:tc>
        <w:tc>
          <w:tcPr>
            <w:tcW w:w="7831" w:type="dxa"/>
            <w:shd w:val="clear" w:color="auto" w:fill="FFFFFF"/>
            <w:vAlign w:val="center"/>
          </w:tcPr>
          <w:p w14:paraId="68074F29">
            <w:pPr>
              <w:keepNext w:val="0"/>
              <w:keepLines w:val="0"/>
              <w:pageBreakBefore w:val="0"/>
              <w:suppressLineNumbers w:val="0"/>
              <w:kinsoku/>
              <w:wordWrap/>
              <w:overflowPunct/>
              <w:topLinePunct w:val="0"/>
              <w:bidi w:val="0"/>
              <w:spacing w:before="0" w:beforeAutospacing="0" w:after="0" w:afterAutospacing="0" w:line="36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rPr>
              <w:t>综合评分法</w:t>
            </w:r>
          </w:p>
        </w:tc>
      </w:tr>
      <w:tr w14:paraId="17426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jc w:val="center"/>
        </w:trPr>
        <w:tc>
          <w:tcPr>
            <w:tcW w:w="626" w:type="dxa"/>
            <w:shd w:val="clear" w:color="auto" w:fill="E0E0E0"/>
            <w:vAlign w:val="center"/>
          </w:tcPr>
          <w:p w14:paraId="2CE88469">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8</w:t>
            </w:r>
          </w:p>
        </w:tc>
        <w:tc>
          <w:tcPr>
            <w:tcW w:w="1568" w:type="dxa"/>
            <w:shd w:val="clear" w:color="auto" w:fill="E0E0E0"/>
            <w:vAlign w:val="center"/>
          </w:tcPr>
          <w:p w14:paraId="1BA98478">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付款方式</w:t>
            </w:r>
          </w:p>
        </w:tc>
        <w:tc>
          <w:tcPr>
            <w:tcW w:w="7831" w:type="dxa"/>
            <w:shd w:val="clear" w:color="auto" w:fill="FFFFFF"/>
            <w:vAlign w:val="center"/>
          </w:tcPr>
          <w:p w14:paraId="45088D58">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right="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详见采购需求</w:t>
            </w:r>
          </w:p>
        </w:tc>
      </w:tr>
      <w:tr w14:paraId="7D634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14" w:hRule="atLeast"/>
          <w:tblCellSpacing w:w="7" w:type="dxa"/>
          <w:jc w:val="center"/>
        </w:trPr>
        <w:tc>
          <w:tcPr>
            <w:tcW w:w="626" w:type="dxa"/>
            <w:shd w:val="clear" w:color="auto" w:fill="E0E0E0"/>
            <w:vAlign w:val="center"/>
          </w:tcPr>
          <w:p w14:paraId="17775A4D">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9</w:t>
            </w:r>
          </w:p>
        </w:tc>
        <w:tc>
          <w:tcPr>
            <w:tcW w:w="1568" w:type="dxa"/>
            <w:shd w:val="clear" w:color="auto" w:fill="E0E0E0"/>
            <w:vAlign w:val="center"/>
          </w:tcPr>
          <w:p w14:paraId="62FA8ED3">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磋商报价</w:t>
            </w:r>
          </w:p>
          <w:p w14:paraId="0F4E3819">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与相关费用</w:t>
            </w:r>
          </w:p>
        </w:tc>
        <w:tc>
          <w:tcPr>
            <w:tcW w:w="7831" w:type="dxa"/>
            <w:shd w:val="clear" w:color="auto" w:fill="FFFFFF"/>
            <w:vAlign w:val="center"/>
          </w:tcPr>
          <w:p w14:paraId="47009A05">
            <w:pPr>
              <w:keepNext w:val="0"/>
              <w:keepLines w:val="0"/>
              <w:pageBreakBefore w:val="0"/>
              <w:suppressLineNumbers w:val="0"/>
              <w:kinsoku/>
              <w:wordWrap/>
              <w:overflowPunct/>
              <w:topLinePunct w:val="0"/>
              <w:bidi w:val="0"/>
              <w:spacing w:before="0" w:beforeAutospacing="0" w:after="0" w:afterAutospacing="0" w:line="360" w:lineRule="auto"/>
              <w:ind w:left="0" w:right="0"/>
              <w:rPr>
                <w:rFonts w:hint="eastAsia" w:ascii="宋体" w:hAnsi="宋体" w:eastAsia="宋体" w:cs="宋体"/>
                <w:sz w:val="21"/>
                <w:szCs w:val="21"/>
                <w:highlight w:val="none"/>
                <w:lang w:val="zh-CN"/>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val="zh-CN"/>
              </w:rPr>
              <w:t>、</w:t>
            </w:r>
            <w:r>
              <w:rPr>
                <w:rFonts w:hint="eastAsia" w:ascii="宋体" w:hAnsi="宋体" w:eastAsia="宋体" w:cs="宋体"/>
                <w:sz w:val="21"/>
                <w:szCs w:val="21"/>
                <w:highlight w:val="none"/>
              </w:rPr>
              <w:t>响应</w:t>
            </w:r>
            <w:r>
              <w:rPr>
                <w:rFonts w:hint="eastAsia" w:ascii="宋体" w:hAnsi="宋体" w:eastAsia="宋体" w:cs="宋体"/>
                <w:sz w:val="21"/>
                <w:szCs w:val="21"/>
                <w:highlight w:val="none"/>
                <w:lang w:val="zh-CN"/>
              </w:rPr>
              <w:t>人所投报的</w:t>
            </w:r>
            <w:r>
              <w:rPr>
                <w:rFonts w:hint="eastAsia" w:ascii="宋体" w:hAnsi="宋体" w:eastAsia="宋体" w:cs="宋体"/>
                <w:sz w:val="21"/>
                <w:szCs w:val="21"/>
                <w:highlight w:val="none"/>
              </w:rPr>
              <w:t>磋商</w:t>
            </w:r>
            <w:r>
              <w:rPr>
                <w:rFonts w:hint="eastAsia" w:ascii="宋体" w:hAnsi="宋体" w:eastAsia="宋体" w:cs="宋体"/>
                <w:sz w:val="21"/>
                <w:szCs w:val="21"/>
                <w:highlight w:val="none"/>
                <w:lang w:val="zh-CN"/>
              </w:rPr>
              <w:t>报价为</w:t>
            </w:r>
            <w:r>
              <w:rPr>
                <w:rFonts w:hint="eastAsia" w:ascii="宋体" w:hAnsi="宋体" w:eastAsia="宋体" w:cs="宋体"/>
                <w:sz w:val="21"/>
                <w:szCs w:val="21"/>
                <w:highlight w:val="none"/>
              </w:rPr>
              <w:t>响应</w:t>
            </w:r>
            <w:r>
              <w:rPr>
                <w:rFonts w:hint="eastAsia" w:ascii="宋体" w:hAnsi="宋体" w:eastAsia="宋体" w:cs="宋体"/>
                <w:sz w:val="21"/>
                <w:szCs w:val="21"/>
                <w:highlight w:val="none"/>
                <w:lang w:val="zh-CN"/>
              </w:rPr>
              <w:t>人所能承受的整个项目的一次性最终最低合同总价，包括完成本项目工作内容所需的一切费用。合同总价不得超过本项目对应的</w:t>
            </w:r>
            <w:r>
              <w:rPr>
                <w:rFonts w:hint="eastAsia" w:ascii="宋体" w:hAnsi="宋体" w:eastAsia="宋体" w:cs="宋体"/>
                <w:sz w:val="21"/>
                <w:szCs w:val="21"/>
                <w:highlight w:val="none"/>
                <w:lang w:val="en-US" w:eastAsia="zh-CN"/>
              </w:rPr>
              <w:t>预算金额</w:t>
            </w:r>
            <w:r>
              <w:rPr>
                <w:rFonts w:hint="eastAsia" w:ascii="宋体" w:hAnsi="宋体" w:eastAsia="宋体" w:cs="宋体"/>
                <w:sz w:val="21"/>
                <w:szCs w:val="21"/>
                <w:highlight w:val="none"/>
                <w:lang w:val="zh-CN"/>
              </w:rPr>
              <w:t>。</w:t>
            </w:r>
          </w:p>
          <w:p w14:paraId="18F2E253">
            <w:pPr>
              <w:keepNext w:val="0"/>
              <w:keepLines w:val="0"/>
              <w:pageBreakBefore w:val="0"/>
              <w:suppressLineNumbers w:val="0"/>
              <w:kinsoku/>
              <w:wordWrap/>
              <w:overflowPunct/>
              <w:topLinePunct w:val="0"/>
              <w:bidi w:val="0"/>
              <w:spacing w:before="0" w:beforeAutospacing="0" w:after="0" w:afterAutospacing="0" w:line="360" w:lineRule="auto"/>
              <w:ind w:left="0" w:right="0"/>
              <w:rPr>
                <w:rFonts w:hint="eastAsia" w:ascii="宋体" w:hAnsi="宋体" w:eastAsia="宋体" w:cs="宋体"/>
                <w:sz w:val="21"/>
                <w:szCs w:val="21"/>
                <w:highlight w:val="none"/>
                <w:lang w:val="zh-CN"/>
              </w:rPr>
            </w:pPr>
            <w:r>
              <w:rPr>
                <w:rFonts w:hint="eastAsia" w:ascii="宋体" w:hAnsi="宋体" w:eastAsia="宋体" w:cs="宋体"/>
                <w:sz w:val="21"/>
                <w:szCs w:val="21"/>
                <w:highlight w:val="none"/>
              </w:rPr>
              <w:t>2</w:t>
            </w:r>
            <w:r>
              <w:rPr>
                <w:rFonts w:hint="eastAsia" w:ascii="宋体" w:hAnsi="宋体" w:eastAsia="宋体" w:cs="宋体"/>
                <w:sz w:val="21"/>
                <w:szCs w:val="21"/>
                <w:highlight w:val="none"/>
                <w:lang w:val="zh-CN"/>
              </w:rPr>
              <w:t>、按国家规定由</w:t>
            </w:r>
            <w:r>
              <w:rPr>
                <w:rFonts w:hint="eastAsia" w:ascii="宋体" w:hAnsi="宋体" w:eastAsia="宋体" w:cs="宋体"/>
                <w:sz w:val="21"/>
                <w:szCs w:val="21"/>
                <w:highlight w:val="none"/>
              </w:rPr>
              <w:t>成交</w:t>
            </w:r>
            <w:r>
              <w:rPr>
                <w:rFonts w:hint="eastAsia" w:ascii="宋体" w:hAnsi="宋体" w:eastAsia="宋体" w:cs="宋体"/>
                <w:sz w:val="21"/>
                <w:szCs w:val="21"/>
                <w:highlight w:val="none"/>
                <w:lang w:val="zh-CN"/>
              </w:rPr>
              <w:t>人缴纳的各种税收已包含在投标总价内，由</w:t>
            </w:r>
            <w:r>
              <w:rPr>
                <w:rFonts w:hint="eastAsia" w:ascii="宋体" w:hAnsi="宋体" w:eastAsia="宋体" w:cs="宋体"/>
                <w:sz w:val="21"/>
                <w:szCs w:val="21"/>
                <w:highlight w:val="none"/>
              </w:rPr>
              <w:t>成交</w:t>
            </w:r>
            <w:r>
              <w:rPr>
                <w:rFonts w:hint="eastAsia" w:ascii="宋体" w:hAnsi="宋体" w:eastAsia="宋体" w:cs="宋体"/>
                <w:sz w:val="21"/>
                <w:szCs w:val="21"/>
                <w:highlight w:val="none"/>
                <w:lang w:val="zh-CN"/>
              </w:rPr>
              <w:t>人向税务机关缴纳相关费用。</w:t>
            </w:r>
          </w:p>
          <w:p w14:paraId="5D18C067">
            <w:pPr>
              <w:keepNext w:val="0"/>
              <w:keepLines w:val="0"/>
              <w:pageBreakBefore w:val="0"/>
              <w:suppressLineNumbers w:val="0"/>
              <w:kinsoku/>
              <w:wordWrap/>
              <w:overflowPunct/>
              <w:topLinePunct w:val="0"/>
              <w:bidi w:val="0"/>
              <w:spacing w:before="0" w:beforeAutospacing="0" w:after="0" w:afterAutospacing="0" w:line="360" w:lineRule="auto"/>
              <w:ind w:left="0" w:right="0"/>
              <w:rPr>
                <w:rFonts w:hint="eastAsia" w:ascii="宋体" w:hAnsi="宋体" w:eastAsia="宋体" w:cs="宋体"/>
                <w:sz w:val="21"/>
                <w:szCs w:val="21"/>
                <w:highlight w:val="none"/>
                <w:lang w:val="zh-CN"/>
              </w:rPr>
            </w:pPr>
            <w:r>
              <w:rPr>
                <w:rFonts w:hint="eastAsia" w:ascii="宋体" w:hAnsi="宋体" w:eastAsia="宋体" w:cs="宋体"/>
                <w:sz w:val="21"/>
                <w:szCs w:val="21"/>
                <w:highlight w:val="none"/>
              </w:rPr>
              <w:t>3、响应</w:t>
            </w:r>
            <w:r>
              <w:rPr>
                <w:rFonts w:hint="eastAsia" w:ascii="宋体" w:hAnsi="宋体" w:eastAsia="宋体" w:cs="宋体"/>
                <w:sz w:val="21"/>
                <w:szCs w:val="21"/>
                <w:highlight w:val="none"/>
                <w:lang w:val="zh-CN"/>
              </w:rPr>
              <w:t>人应承担其参加本</w:t>
            </w:r>
            <w:r>
              <w:rPr>
                <w:rFonts w:hint="eastAsia" w:ascii="宋体" w:hAnsi="宋体" w:eastAsia="宋体" w:cs="宋体"/>
                <w:sz w:val="21"/>
                <w:szCs w:val="21"/>
                <w:highlight w:val="none"/>
              </w:rPr>
              <w:t>磋商</w:t>
            </w:r>
            <w:r>
              <w:rPr>
                <w:rFonts w:hint="eastAsia" w:ascii="宋体" w:hAnsi="宋体" w:eastAsia="宋体" w:cs="宋体"/>
                <w:sz w:val="21"/>
                <w:szCs w:val="21"/>
                <w:highlight w:val="none"/>
                <w:lang w:val="zh-CN"/>
              </w:rPr>
              <w:t>活动自身所发生的费用。</w:t>
            </w:r>
          </w:p>
          <w:p w14:paraId="2D85E8CA">
            <w:pPr>
              <w:keepNext w:val="0"/>
              <w:keepLines w:val="0"/>
              <w:pageBreakBefore w:val="0"/>
              <w:suppressLineNumbers w:val="0"/>
              <w:kinsoku/>
              <w:wordWrap/>
              <w:overflowPunct/>
              <w:topLinePunct w:val="0"/>
              <w:bidi w:val="0"/>
              <w:spacing w:before="0" w:beforeAutospacing="0" w:after="0" w:afterAutospacing="0" w:line="360" w:lineRule="auto"/>
              <w:ind w:left="0" w:right="0"/>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en-US" w:eastAsia="zh-CN"/>
              </w:rPr>
              <w:t>4、成交</w:t>
            </w:r>
            <w:r>
              <w:rPr>
                <w:rFonts w:hint="eastAsia" w:ascii="宋体" w:hAnsi="宋体" w:eastAsia="宋体" w:cs="宋体"/>
                <w:sz w:val="21"/>
                <w:szCs w:val="21"/>
                <w:highlight w:val="none"/>
                <w:lang w:val="zh-CN"/>
              </w:rPr>
              <w:t>人须缴纳招标代理服务费，招标代理服务收费标准金额为：</w:t>
            </w:r>
            <w:r>
              <w:rPr>
                <w:rFonts w:hint="eastAsia" w:ascii="宋体" w:hAnsi="宋体" w:eastAsia="宋体" w:cs="宋体"/>
                <w:sz w:val="21"/>
                <w:szCs w:val="21"/>
                <w:highlight w:val="none"/>
                <w:lang w:val="en-US" w:eastAsia="zh-CN"/>
              </w:rPr>
              <w:t>一次性收费人民币玖仟</w:t>
            </w:r>
            <w:r>
              <w:rPr>
                <w:rFonts w:hint="eastAsia" w:ascii="宋体" w:hAnsi="宋体" w:cs="宋体"/>
                <w:sz w:val="21"/>
                <w:szCs w:val="21"/>
                <w:highlight w:val="none"/>
                <w:lang w:val="en-US" w:eastAsia="zh-CN"/>
              </w:rPr>
              <w:t>陆佰</w:t>
            </w:r>
            <w:r>
              <w:rPr>
                <w:rFonts w:hint="eastAsia" w:ascii="宋体" w:hAnsi="宋体" w:eastAsia="宋体" w:cs="宋体"/>
                <w:sz w:val="21"/>
                <w:szCs w:val="21"/>
                <w:highlight w:val="none"/>
                <w:lang w:val="en-US" w:eastAsia="zh-CN"/>
              </w:rPr>
              <w:t>元整（¥</w:t>
            </w:r>
            <w:r>
              <w:rPr>
                <w:rFonts w:hint="eastAsia" w:ascii="宋体" w:hAnsi="宋体" w:cs="宋体"/>
                <w:sz w:val="21"/>
                <w:szCs w:val="21"/>
                <w:highlight w:val="none"/>
                <w:lang w:val="en-US" w:eastAsia="zh-CN"/>
              </w:rPr>
              <w:t>9600</w:t>
            </w:r>
            <w:r>
              <w:rPr>
                <w:rFonts w:hint="eastAsia" w:ascii="宋体" w:hAnsi="宋体" w:eastAsia="宋体" w:cs="宋体"/>
                <w:sz w:val="21"/>
                <w:szCs w:val="21"/>
                <w:highlight w:val="none"/>
                <w:lang w:val="en-US" w:eastAsia="zh-CN"/>
              </w:rPr>
              <w:t>.00）</w:t>
            </w:r>
            <w:r>
              <w:rPr>
                <w:rFonts w:hint="eastAsia" w:ascii="宋体" w:hAnsi="宋体" w:eastAsia="宋体" w:cs="宋体"/>
                <w:sz w:val="21"/>
                <w:szCs w:val="21"/>
                <w:highlight w:val="none"/>
                <w:lang w:val="zh-CN"/>
              </w:rPr>
              <w:t>。支付方式及时间为：</w:t>
            </w:r>
            <w:r>
              <w:rPr>
                <w:rFonts w:hint="eastAsia" w:ascii="宋体" w:hAnsi="宋体" w:eastAsia="宋体" w:cs="宋体"/>
                <w:sz w:val="21"/>
                <w:szCs w:val="21"/>
                <w:highlight w:val="none"/>
                <w:lang w:val="en-US" w:eastAsia="zh-CN"/>
              </w:rPr>
              <w:t>成交</w:t>
            </w:r>
            <w:r>
              <w:rPr>
                <w:rFonts w:hint="eastAsia" w:ascii="宋体" w:hAnsi="宋体" w:eastAsia="宋体" w:cs="宋体"/>
                <w:sz w:val="21"/>
                <w:szCs w:val="21"/>
                <w:highlight w:val="none"/>
                <w:lang w:val="zh-CN"/>
              </w:rPr>
              <w:t>通知书发出</w:t>
            </w:r>
            <w:r>
              <w:rPr>
                <w:rFonts w:hint="eastAsia" w:ascii="宋体" w:hAnsi="宋体" w:eastAsia="宋体" w:cs="宋体"/>
                <w:sz w:val="21"/>
                <w:szCs w:val="21"/>
                <w:highlight w:val="none"/>
                <w:lang w:val="en-US" w:eastAsia="zh-CN"/>
              </w:rPr>
              <w:t>时</w:t>
            </w:r>
            <w:r>
              <w:rPr>
                <w:rFonts w:hint="eastAsia" w:ascii="宋体" w:hAnsi="宋体" w:eastAsia="宋体" w:cs="宋体"/>
                <w:sz w:val="21"/>
                <w:szCs w:val="21"/>
                <w:highlight w:val="none"/>
                <w:lang w:val="zh-CN"/>
              </w:rPr>
              <w:t>一次性支付给招标代理机构。</w:t>
            </w:r>
          </w:p>
          <w:p w14:paraId="7677BE3C">
            <w:pPr>
              <w:keepNext w:val="0"/>
              <w:keepLines w:val="0"/>
              <w:pageBreakBefore w:val="0"/>
              <w:suppressLineNumbers w:val="0"/>
              <w:kinsoku/>
              <w:wordWrap/>
              <w:overflowPunct/>
              <w:topLinePunct w:val="0"/>
              <w:bidi w:val="0"/>
              <w:spacing w:before="0" w:beforeAutospacing="0" w:after="0" w:afterAutospacing="0" w:line="360" w:lineRule="auto"/>
              <w:ind w:left="0" w:right="0"/>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收款单位名称：中金招标有限责任公司舟山分公司</w:t>
            </w:r>
          </w:p>
          <w:p w14:paraId="4D7B7958">
            <w:pPr>
              <w:keepNext w:val="0"/>
              <w:keepLines w:val="0"/>
              <w:pageBreakBefore w:val="0"/>
              <w:suppressLineNumbers w:val="0"/>
              <w:kinsoku/>
              <w:wordWrap/>
              <w:overflowPunct/>
              <w:topLinePunct w:val="0"/>
              <w:bidi w:val="0"/>
              <w:spacing w:before="0" w:beforeAutospacing="0" w:after="0" w:afterAutospacing="0" w:line="360" w:lineRule="auto"/>
              <w:ind w:left="0" w:right="0"/>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开户银行：中国建设银行股份有限公司舟山新城支行</w:t>
            </w:r>
          </w:p>
          <w:p w14:paraId="73A962A1">
            <w:pPr>
              <w:keepNext w:val="0"/>
              <w:keepLines w:val="0"/>
              <w:pageBreakBefore w:val="0"/>
              <w:suppressLineNumbers w:val="0"/>
              <w:kinsoku/>
              <w:wordWrap/>
              <w:overflowPunct/>
              <w:topLinePunct w:val="0"/>
              <w:bidi w:val="0"/>
              <w:spacing w:before="0" w:beforeAutospacing="0" w:after="0" w:afterAutospacing="0" w:line="360" w:lineRule="auto"/>
              <w:ind w:left="0" w:right="0"/>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银行账号：3300 1706 2550 5300 3969</w:t>
            </w:r>
          </w:p>
          <w:p w14:paraId="05226EEB">
            <w:pPr>
              <w:keepNext w:val="0"/>
              <w:keepLines w:val="0"/>
              <w:pageBreakBefore w:val="0"/>
              <w:suppressLineNumbers w:val="0"/>
              <w:kinsoku/>
              <w:wordWrap/>
              <w:overflowPunct/>
              <w:topLinePunct w:val="0"/>
              <w:bidi w:val="0"/>
              <w:spacing w:before="0" w:beforeAutospacing="0" w:after="0" w:afterAutospacing="0" w:line="360" w:lineRule="auto"/>
              <w:ind w:left="0" w:right="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5、中标、成交人放弃中标、成交资格导致重新采购的，承担支付代理费和专家评审费等费用在内的赔偿责任。</w:t>
            </w:r>
          </w:p>
        </w:tc>
      </w:tr>
      <w:tr w14:paraId="76711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jc w:val="center"/>
        </w:trPr>
        <w:tc>
          <w:tcPr>
            <w:tcW w:w="626" w:type="dxa"/>
            <w:shd w:val="clear" w:color="auto" w:fill="E0E0E0"/>
            <w:vAlign w:val="center"/>
          </w:tcPr>
          <w:p w14:paraId="0AE26D45">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10</w:t>
            </w:r>
          </w:p>
        </w:tc>
        <w:tc>
          <w:tcPr>
            <w:tcW w:w="1568" w:type="dxa"/>
            <w:shd w:val="clear" w:color="auto" w:fill="E0E0E0"/>
            <w:vAlign w:val="center"/>
          </w:tcPr>
          <w:p w14:paraId="7880C215">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响应文件的组成</w:t>
            </w:r>
          </w:p>
        </w:tc>
        <w:tc>
          <w:tcPr>
            <w:tcW w:w="7831" w:type="dxa"/>
            <w:shd w:val="clear" w:color="auto" w:fill="FFFFFF"/>
            <w:vAlign w:val="center"/>
          </w:tcPr>
          <w:p w14:paraId="0520F084">
            <w:pPr>
              <w:keepNext w:val="0"/>
              <w:keepLines w:val="0"/>
              <w:pageBreakBefore w:val="0"/>
              <w:suppressLineNumbers w:val="0"/>
              <w:kinsoku/>
              <w:wordWrap/>
              <w:overflowPunct/>
              <w:topLinePunct w:val="0"/>
              <w:bidi w:val="0"/>
              <w:spacing w:before="0" w:beforeAutospacing="0" w:after="0" w:afterAutospacing="0" w:line="36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rPr>
              <w:t>本项目实行网上投标。</w:t>
            </w:r>
          </w:p>
          <w:p w14:paraId="1E697328">
            <w:pPr>
              <w:keepNext w:val="0"/>
              <w:keepLines w:val="0"/>
              <w:pageBreakBefore w:val="0"/>
              <w:suppressLineNumbers w:val="0"/>
              <w:kinsoku/>
              <w:wordWrap/>
              <w:overflowPunct/>
              <w:topLinePunct w:val="0"/>
              <w:bidi w:val="0"/>
              <w:spacing w:before="0" w:beforeAutospacing="0" w:after="0" w:afterAutospacing="0" w:line="36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rPr>
              <w:t>响应人应准备电子投标文件、以介质存储的数据电文形式的备份投标文件：</w:t>
            </w:r>
          </w:p>
          <w:p w14:paraId="406F4531">
            <w:pPr>
              <w:keepNext w:val="0"/>
              <w:keepLines w:val="0"/>
              <w:pageBreakBefore w:val="0"/>
              <w:suppressLineNumbers w:val="0"/>
              <w:kinsoku/>
              <w:wordWrap/>
              <w:overflowPunct/>
              <w:topLinePunct w:val="0"/>
              <w:bidi w:val="0"/>
              <w:spacing w:before="0" w:beforeAutospacing="0" w:after="0" w:afterAutospacing="0" w:line="360" w:lineRule="auto"/>
              <w:ind w:left="0" w:right="0"/>
              <w:rPr>
                <w:rFonts w:hint="eastAsia" w:ascii="宋体" w:hAnsi="宋体" w:eastAsia="宋体" w:cs="宋体"/>
                <w:sz w:val="21"/>
                <w:szCs w:val="21"/>
                <w:highlight w:val="none"/>
              </w:rPr>
            </w:pPr>
            <w:r>
              <w:rPr>
                <w:rFonts w:hint="eastAsia" w:ascii="宋体" w:hAnsi="宋体" w:eastAsia="宋体" w:cs="宋体"/>
                <w:sz w:val="21"/>
                <w:szCs w:val="21"/>
                <w:highlight w:val="none"/>
              </w:rPr>
              <w:t>（1）电子投标文件，按政采云供应商项目采购-电子招投标操作指南及本</w:t>
            </w:r>
            <w:r>
              <w:rPr>
                <w:rFonts w:hint="eastAsia" w:ascii="宋体" w:hAnsi="宋体" w:eastAsia="宋体" w:cs="宋体"/>
                <w:sz w:val="21"/>
                <w:szCs w:val="21"/>
                <w:highlight w:val="none"/>
                <w:lang w:val="en-US" w:eastAsia="zh-CN"/>
              </w:rPr>
              <w:t>采购</w:t>
            </w:r>
            <w:r>
              <w:rPr>
                <w:rFonts w:hint="eastAsia" w:ascii="宋体" w:hAnsi="宋体" w:eastAsia="宋体" w:cs="宋体"/>
                <w:sz w:val="21"/>
                <w:szCs w:val="21"/>
                <w:highlight w:val="none"/>
              </w:rPr>
              <w:t>文件要求制作，加密并递交。</w:t>
            </w:r>
          </w:p>
          <w:p w14:paraId="62C4C0E9">
            <w:pPr>
              <w:pStyle w:val="2"/>
              <w:keepNext w:val="0"/>
              <w:keepLines w:val="0"/>
              <w:pageBreakBefore w:val="0"/>
              <w:suppressLineNumbers w:val="0"/>
              <w:kinsoku/>
              <w:wordWrap/>
              <w:overflowPunct/>
              <w:topLinePunct w:val="0"/>
              <w:bidi w:val="0"/>
              <w:spacing w:before="0" w:beforeAutospacing="0" w:after="0" w:afterAutospacing="0" w:line="360" w:lineRule="auto"/>
              <w:ind w:left="0" w:right="0"/>
              <w:rPr>
                <w:rFonts w:hint="eastAsia" w:ascii="宋体" w:hAnsi="宋体" w:eastAsia="宋体" w:cs="宋体"/>
                <w:sz w:val="21"/>
                <w:szCs w:val="21"/>
                <w:highlight w:val="none"/>
              </w:rPr>
            </w:pPr>
            <w:r>
              <w:rPr>
                <w:rFonts w:hint="eastAsia" w:ascii="宋体" w:hAnsi="宋体" w:eastAsia="宋体" w:cs="宋体"/>
                <w:b/>
                <w:bCs/>
                <w:sz w:val="21"/>
                <w:szCs w:val="21"/>
                <w:highlight w:val="none"/>
              </w:rPr>
              <w:t>（2）以介质存储的数据电文形式的备份投标文件，按政采云供应商项目采购-电子招投标操作指南中制作的电子投标文件，以DVD光盘或U盘形式提供。数量为1份。</w:t>
            </w:r>
          </w:p>
        </w:tc>
      </w:tr>
      <w:tr w14:paraId="2F3B9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jc w:val="center"/>
        </w:trPr>
        <w:tc>
          <w:tcPr>
            <w:tcW w:w="626" w:type="dxa"/>
            <w:shd w:val="clear" w:color="auto" w:fill="E0E0E0"/>
            <w:vAlign w:val="center"/>
          </w:tcPr>
          <w:p w14:paraId="20698F54">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11</w:t>
            </w:r>
          </w:p>
        </w:tc>
        <w:tc>
          <w:tcPr>
            <w:tcW w:w="1568" w:type="dxa"/>
            <w:shd w:val="clear" w:color="auto" w:fill="E0E0E0"/>
            <w:vAlign w:val="center"/>
          </w:tcPr>
          <w:p w14:paraId="5917B233">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开标地点</w:t>
            </w:r>
          </w:p>
        </w:tc>
        <w:tc>
          <w:tcPr>
            <w:tcW w:w="7831" w:type="dxa"/>
            <w:shd w:val="clear" w:color="auto" w:fill="FFFFFF"/>
            <w:vAlign w:val="center"/>
          </w:tcPr>
          <w:p w14:paraId="4A827C7A">
            <w:pPr>
              <w:keepNext w:val="0"/>
              <w:keepLines w:val="0"/>
              <w:pageBreakBefore w:val="0"/>
              <w:suppressLineNumbers w:val="0"/>
              <w:kinsoku/>
              <w:wordWrap/>
              <w:overflowPunct/>
              <w:topLinePunct w:val="0"/>
              <w:bidi w:val="0"/>
              <w:spacing w:before="0" w:beforeAutospacing="0" w:after="0" w:afterAutospacing="0" w:line="360" w:lineRule="auto"/>
              <w:ind w:left="0" w:right="0"/>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rPr>
              <w:t>舟山市定海区海天大道998号中金招标四楼</w:t>
            </w:r>
            <w:r>
              <w:rPr>
                <w:rFonts w:hint="eastAsia" w:ascii="宋体" w:hAnsi="宋体" w:cs="宋体"/>
                <w:sz w:val="21"/>
                <w:szCs w:val="21"/>
                <w:highlight w:val="none"/>
                <w:lang w:val="en-US" w:eastAsia="zh-CN"/>
              </w:rPr>
              <w:t>开标室</w:t>
            </w:r>
          </w:p>
        </w:tc>
      </w:tr>
      <w:tr w14:paraId="6B3AA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jc w:val="center"/>
        </w:trPr>
        <w:tc>
          <w:tcPr>
            <w:tcW w:w="626" w:type="dxa"/>
            <w:shd w:val="clear" w:color="auto" w:fill="E0E0E0"/>
            <w:vAlign w:val="center"/>
          </w:tcPr>
          <w:p w14:paraId="33DD3423">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12</w:t>
            </w:r>
          </w:p>
        </w:tc>
        <w:tc>
          <w:tcPr>
            <w:tcW w:w="1568" w:type="dxa"/>
            <w:shd w:val="clear" w:color="auto" w:fill="E0E0E0"/>
            <w:vAlign w:val="center"/>
          </w:tcPr>
          <w:p w14:paraId="77C41F86">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投标文件的递交</w:t>
            </w:r>
          </w:p>
        </w:tc>
        <w:tc>
          <w:tcPr>
            <w:tcW w:w="7831" w:type="dxa"/>
            <w:shd w:val="clear" w:color="auto" w:fill="FFFFFF"/>
            <w:vAlign w:val="center"/>
          </w:tcPr>
          <w:p w14:paraId="6F262EA8">
            <w:pPr>
              <w:keepNext w:val="0"/>
              <w:keepLines w:val="0"/>
              <w:pageBreakBefore w:val="0"/>
              <w:widowControl w:val="0"/>
              <w:kinsoku/>
              <w:wordWrap/>
              <w:overflowPunct/>
              <w:topLinePunct w:val="0"/>
              <w:bidi w:val="0"/>
              <w:adjustRightInd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2BE9C498">
            <w:pPr>
              <w:keepNext w:val="0"/>
              <w:keepLines w:val="0"/>
              <w:pageBreakBefore w:val="0"/>
              <w:widowControl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投标人可以选择递交备份投标文件。备份投标文件须密封完好，注明投标人单位名称，并于投标截止时间前递交，否则采购代理机构将拒收。具体递交方式为开标日前通过邮寄、专人等形式送达采购代理机构地址或开标当天专人送达开标地点。联系人：</w:t>
            </w:r>
            <w:r>
              <w:rPr>
                <w:rFonts w:hint="eastAsia" w:ascii="宋体" w:hAnsi="宋体" w:eastAsia="宋体" w:cs="宋体"/>
                <w:sz w:val="21"/>
                <w:szCs w:val="21"/>
                <w:highlight w:val="none"/>
                <w:lang w:val="en-US" w:eastAsia="zh-CN"/>
              </w:rPr>
              <w:t>梅洁</w:t>
            </w:r>
            <w:r>
              <w:rPr>
                <w:rFonts w:hint="eastAsia" w:ascii="宋体" w:hAnsi="宋体" w:eastAsia="宋体" w:cs="宋体"/>
                <w:sz w:val="21"/>
                <w:szCs w:val="21"/>
                <w:highlight w:val="none"/>
              </w:rPr>
              <w:t>；联系方式：</w:t>
            </w:r>
            <w:r>
              <w:rPr>
                <w:rFonts w:hint="eastAsia" w:ascii="宋体" w:hAnsi="宋体" w:eastAsia="宋体" w:cs="宋体"/>
                <w:sz w:val="21"/>
                <w:szCs w:val="21"/>
                <w:highlight w:val="none"/>
                <w:lang w:val="en-US" w:eastAsia="zh-CN"/>
              </w:rPr>
              <w:t>13388440851</w:t>
            </w:r>
            <w:r>
              <w:rPr>
                <w:rFonts w:hint="eastAsia" w:ascii="宋体" w:hAnsi="宋体" w:eastAsia="宋体" w:cs="宋体"/>
                <w:sz w:val="21"/>
                <w:szCs w:val="21"/>
                <w:highlight w:val="none"/>
              </w:rPr>
              <w:t>。投标人递交备份投标文件时，如出现下列情况之一的，将被拒收：</w:t>
            </w:r>
          </w:p>
          <w:p w14:paraId="296ECE4B">
            <w:pPr>
              <w:keepNext w:val="0"/>
              <w:keepLines w:val="0"/>
              <w:pageBreakBefore w:val="0"/>
              <w:widowControl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1、未按规定密封或标记的投标文件；</w:t>
            </w:r>
          </w:p>
          <w:p w14:paraId="0CEB490D">
            <w:pPr>
              <w:keepNext w:val="0"/>
              <w:keepLines w:val="0"/>
              <w:pageBreakBefore w:val="0"/>
              <w:widowControl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2、由于包装不妥，在送交途中严重破损或失散的；</w:t>
            </w:r>
          </w:p>
          <w:p w14:paraId="33B7F8F7">
            <w:pPr>
              <w:keepNext w:val="0"/>
              <w:keepLines w:val="0"/>
              <w:pageBreakBefore w:val="0"/>
              <w:widowControl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3、超过投标截止时间送达的；</w:t>
            </w:r>
          </w:p>
          <w:p w14:paraId="6996C5DF">
            <w:pPr>
              <w:keepNext w:val="0"/>
              <w:keepLines w:val="0"/>
              <w:pageBreakBefore w:val="0"/>
              <w:widowControl w:val="0"/>
              <w:kinsoku/>
              <w:wordWrap/>
              <w:overflowPunct/>
              <w:topLinePunct w:val="0"/>
              <w:autoSpaceDE w:val="0"/>
              <w:autoSpaceDN w:val="0"/>
              <w:bidi w:val="0"/>
              <w:snapToGrid w:val="0"/>
              <w:spacing w:line="360" w:lineRule="auto"/>
              <w:ind w:firstLine="420" w:firstLineChars="200"/>
              <w:textAlignment w:val="bottom"/>
              <w:rPr>
                <w:rFonts w:hint="eastAsia" w:ascii="宋体" w:hAnsi="宋体" w:eastAsia="宋体" w:cs="宋体"/>
                <w:sz w:val="21"/>
                <w:szCs w:val="21"/>
                <w:highlight w:val="none"/>
              </w:rPr>
            </w:pPr>
            <w:r>
              <w:rPr>
                <w:rFonts w:hint="eastAsia" w:ascii="宋体" w:hAnsi="宋体" w:eastAsia="宋体" w:cs="宋体"/>
                <w:sz w:val="21"/>
                <w:szCs w:val="21"/>
                <w:highlight w:val="none"/>
              </w:rPr>
              <w:t>4、仅提供备份投标文件的。</w:t>
            </w:r>
          </w:p>
          <w:p w14:paraId="44CEBBE4">
            <w:pPr>
              <w:keepNext w:val="0"/>
              <w:keepLines w:val="0"/>
              <w:pageBreakBefore w:val="0"/>
              <w:suppressLineNumbers w:val="0"/>
              <w:kinsoku/>
              <w:wordWrap/>
              <w:overflowPunct/>
              <w:topLinePunct w:val="0"/>
              <w:bidi w:val="0"/>
              <w:spacing w:before="0" w:beforeAutospacing="0" w:after="0" w:afterAutospacing="0" w:line="360" w:lineRule="auto"/>
              <w:ind w:left="0" w:right="0" w:firstLine="420" w:firstLineChars="200"/>
              <w:rPr>
                <w:rFonts w:hint="eastAsia" w:ascii="宋体" w:hAnsi="宋体" w:eastAsia="宋体" w:cs="宋体"/>
                <w:b/>
                <w:kern w:val="0"/>
                <w:sz w:val="21"/>
                <w:szCs w:val="21"/>
                <w:highlight w:val="none"/>
              </w:rPr>
            </w:pPr>
            <w:r>
              <w:rPr>
                <w:rFonts w:hint="eastAsia" w:ascii="宋体" w:hAnsi="宋体" w:eastAsia="宋体" w:cs="宋体"/>
                <w:sz w:val="21"/>
                <w:szCs w:val="21"/>
                <w:highlight w:val="none"/>
              </w:rPr>
              <w:t>当发生解密失败或未按时解密的，投标人提供了备份投标文件的，以备份投标文件为依据，否则视为投标文件撤回。投标文件已按时解密的，备份投标文件自动失效。</w:t>
            </w:r>
          </w:p>
        </w:tc>
      </w:tr>
      <w:tr w14:paraId="3CFE0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161" w:hRule="atLeast"/>
          <w:tblCellSpacing w:w="7" w:type="dxa"/>
          <w:jc w:val="center"/>
        </w:trPr>
        <w:tc>
          <w:tcPr>
            <w:tcW w:w="626" w:type="dxa"/>
            <w:shd w:val="clear" w:color="auto" w:fill="E0E0E0"/>
            <w:vAlign w:val="center"/>
          </w:tcPr>
          <w:p w14:paraId="386AC01E">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lang w:val="en-US" w:eastAsia="zh-CN"/>
              </w:rPr>
            </w:pPr>
            <w:r>
              <w:rPr>
                <w:rFonts w:hint="eastAsia" w:ascii="宋体" w:hAnsi="宋体" w:eastAsia="宋体" w:cs="宋体"/>
                <w:b/>
                <w:sz w:val="21"/>
                <w:szCs w:val="21"/>
                <w:highlight w:val="none"/>
                <w:lang w:val="en-US" w:eastAsia="zh-CN"/>
              </w:rPr>
              <w:t>13</w:t>
            </w:r>
          </w:p>
        </w:tc>
        <w:tc>
          <w:tcPr>
            <w:tcW w:w="1568" w:type="dxa"/>
            <w:shd w:val="clear" w:color="auto" w:fill="E0E0E0"/>
            <w:vAlign w:val="center"/>
          </w:tcPr>
          <w:p w14:paraId="6F429B05">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投标文件提交截止时间及开标时间</w:t>
            </w:r>
          </w:p>
        </w:tc>
        <w:tc>
          <w:tcPr>
            <w:tcW w:w="7831" w:type="dxa"/>
            <w:shd w:val="clear" w:color="auto" w:fill="FFFFFF"/>
            <w:vAlign w:val="center"/>
          </w:tcPr>
          <w:p w14:paraId="2E4519E4">
            <w:pPr>
              <w:keepNext w:val="0"/>
              <w:keepLines w:val="0"/>
              <w:pageBreakBefore w:val="0"/>
              <w:suppressLineNumbers w:val="0"/>
              <w:kinsoku/>
              <w:wordWrap/>
              <w:overflowPunct/>
              <w:topLinePunct w:val="0"/>
              <w:bidi w:val="0"/>
              <w:spacing w:before="0" w:beforeAutospacing="0" w:after="0" w:afterAutospacing="0" w:line="360" w:lineRule="auto"/>
              <w:ind w:left="0" w:right="0"/>
              <w:jc w:val="left"/>
              <w:rPr>
                <w:rFonts w:hint="eastAsia" w:ascii="宋体" w:hAnsi="宋体" w:eastAsia="宋体" w:cs="宋体"/>
                <w:b/>
                <w:sz w:val="21"/>
                <w:szCs w:val="21"/>
                <w:highlight w:val="none"/>
              </w:rPr>
            </w:pPr>
            <w:r>
              <w:rPr>
                <w:rFonts w:hint="eastAsia" w:ascii="宋体" w:hAnsi="宋体" w:eastAsia="宋体" w:cs="宋体"/>
                <w:b/>
                <w:kern w:val="0"/>
                <w:sz w:val="21"/>
                <w:szCs w:val="21"/>
                <w:highlight w:val="none"/>
              </w:rPr>
              <w:t>2025年04月23日 09:00（北京时间）</w:t>
            </w:r>
          </w:p>
        </w:tc>
      </w:tr>
      <w:tr w14:paraId="2D182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626" w:type="dxa"/>
            <w:vMerge w:val="restart"/>
            <w:shd w:val="clear" w:color="auto" w:fill="E0E0E0"/>
            <w:vAlign w:val="center"/>
          </w:tcPr>
          <w:p w14:paraId="74FBB263">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lang w:val="en-US"/>
              </w:rPr>
            </w:pPr>
            <w:r>
              <w:rPr>
                <w:rFonts w:hint="eastAsia" w:ascii="宋体" w:hAnsi="宋体" w:eastAsia="宋体" w:cs="宋体"/>
                <w:b/>
                <w:sz w:val="21"/>
                <w:szCs w:val="21"/>
                <w:highlight w:val="none"/>
                <w:lang w:val="en-US" w:eastAsia="zh-CN"/>
              </w:rPr>
              <w:t>14</w:t>
            </w:r>
          </w:p>
        </w:tc>
        <w:tc>
          <w:tcPr>
            <w:tcW w:w="1568" w:type="dxa"/>
            <w:vMerge w:val="restart"/>
            <w:shd w:val="clear" w:color="auto" w:fill="E0E0E0"/>
            <w:vAlign w:val="center"/>
          </w:tcPr>
          <w:p w14:paraId="3D074B7D">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中小企业</w:t>
            </w:r>
          </w:p>
          <w:p w14:paraId="2BDC860B">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t>扶持政策</w:t>
            </w:r>
          </w:p>
        </w:tc>
        <w:tc>
          <w:tcPr>
            <w:tcW w:w="7831" w:type="dxa"/>
            <w:shd w:val="clear" w:color="auto" w:fill="FFFFFF"/>
            <w:vAlign w:val="center"/>
          </w:tcPr>
          <w:p w14:paraId="72330567">
            <w:pPr>
              <w:keepNext w:val="0"/>
              <w:keepLines w:val="0"/>
              <w:pageBreakBefore w:val="0"/>
              <w:suppressLineNumbers w:val="0"/>
              <w:kinsoku/>
              <w:wordWrap/>
              <w:overflowPunct/>
              <w:topLinePunct w:val="0"/>
              <w:bidi w:val="0"/>
              <w:spacing w:before="0" w:beforeAutospacing="0" w:after="0" w:afterAutospacing="0" w:line="360" w:lineRule="auto"/>
              <w:ind w:left="0" w:right="0"/>
              <w:jc w:val="left"/>
              <w:rPr>
                <w:rFonts w:hint="eastAsia" w:ascii="宋体" w:hAnsi="宋体" w:eastAsia="宋体" w:cs="宋体"/>
                <w:bCs/>
                <w:kern w:val="0"/>
                <w:sz w:val="21"/>
                <w:szCs w:val="21"/>
                <w:highlight w:val="none"/>
              </w:rPr>
            </w:pPr>
            <w:r>
              <w:rPr>
                <w:rFonts w:hint="eastAsia" w:ascii="宋体" w:hAnsi="宋体" w:eastAsia="宋体" w:cs="宋体"/>
                <w:b/>
                <w:kern w:val="0"/>
                <w:sz w:val="21"/>
                <w:szCs w:val="21"/>
                <w:highlight w:val="none"/>
              </w:rPr>
              <w:t>本项目专门面向中小企业采购。</w:t>
            </w:r>
          </w:p>
        </w:tc>
      </w:tr>
      <w:tr w14:paraId="0715E7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626" w:type="dxa"/>
            <w:vMerge w:val="continue"/>
            <w:shd w:val="clear" w:color="auto" w:fill="E0E0E0"/>
            <w:vAlign w:val="center"/>
          </w:tcPr>
          <w:p w14:paraId="71E4F9ED">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p>
        </w:tc>
        <w:tc>
          <w:tcPr>
            <w:tcW w:w="1568" w:type="dxa"/>
            <w:vMerge w:val="continue"/>
            <w:shd w:val="clear" w:color="auto" w:fill="E0E0E0"/>
            <w:vAlign w:val="center"/>
          </w:tcPr>
          <w:p w14:paraId="6DB53FA6">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kern w:val="0"/>
                <w:sz w:val="21"/>
                <w:szCs w:val="21"/>
                <w:highlight w:val="none"/>
              </w:rPr>
            </w:pPr>
          </w:p>
        </w:tc>
        <w:tc>
          <w:tcPr>
            <w:tcW w:w="7831" w:type="dxa"/>
            <w:shd w:val="clear" w:color="auto" w:fill="FFFFFF"/>
            <w:vAlign w:val="center"/>
          </w:tcPr>
          <w:p w14:paraId="06340250">
            <w:pPr>
              <w:keepNext w:val="0"/>
              <w:keepLines w:val="0"/>
              <w:pageBreakBefore w:val="0"/>
              <w:suppressLineNumbers w:val="0"/>
              <w:kinsoku/>
              <w:wordWrap/>
              <w:overflowPunct/>
              <w:topLinePunct w:val="0"/>
              <w:bidi w:val="0"/>
              <w:spacing w:before="0" w:beforeAutospacing="0" w:after="0" w:afterAutospacing="0" w:line="360" w:lineRule="auto"/>
              <w:ind w:left="0" w:right="0"/>
              <w:jc w:val="left"/>
              <w:rPr>
                <w:rFonts w:hint="eastAsia" w:ascii="宋体" w:hAnsi="宋体" w:eastAsia="宋体" w:cs="宋体"/>
                <w:b/>
                <w:bCs w:val="0"/>
                <w:kern w:val="0"/>
                <w:sz w:val="21"/>
                <w:szCs w:val="21"/>
                <w:highlight w:val="none"/>
              </w:rPr>
            </w:pPr>
            <w:r>
              <w:rPr>
                <w:rFonts w:hint="eastAsia" w:ascii="宋体" w:hAnsi="宋体" w:eastAsia="宋体" w:cs="宋体"/>
                <w:b/>
                <w:bCs w:val="0"/>
                <w:kern w:val="0"/>
                <w:sz w:val="21"/>
                <w:szCs w:val="21"/>
                <w:highlight w:val="none"/>
              </w:rPr>
              <w:t>本项目不接受联合体投标。</w:t>
            </w:r>
          </w:p>
        </w:tc>
      </w:tr>
      <w:tr w14:paraId="05893A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626" w:type="dxa"/>
            <w:vMerge w:val="continue"/>
            <w:shd w:val="clear" w:color="auto" w:fill="E0E0E0"/>
            <w:vAlign w:val="center"/>
          </w:tcPr>
          <w:p w14:paraId="7BD09597">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p>
        </w:tc>
        <w:tc>
          <w:tcPr>
            <w:tcW w:w="1568" w:type="dxa"/>
            <w:vMerge w:val="continue"/>
            <w:shd w:val="clear" w:color="auto" w:fill="E0E0E0"/>
            <w:vAlign w:val="center"/>
          </w:tcPr>
          <w:p w14:paraId="4DC52A9F">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kern w:val="0"/>
                <w:sz w:val="21"/>
                <w:szCs w:val="21"/>
                <w:highlight w:val="none"/>
              </w:rPr>
            </w:pPr>
          </w:p>
        </w:tc>
        <w:tc>
          <w:tcPr>
            <w:tcW w:w="7831" w:type="dxa"/>
            <w:shd w:val="clear" w:color="auto" w:fill="FFFFFF"/>
            <w:vAlign w:val="center"/>
          </w:tcPr>
          <w:p w14:paraId="6B4C5277">
            <w:pPr>
              <w:keepNext w:val="0"/>
              <w:keepLines w:val="0"/>
              <w:pageBreakBefore w:val="0"/>
              <w:suppressLineNumbers w:val="0"/>
              <w:kinsoku/>
              <w:wordWrap/>
              <w:overflowPunct/>
              <w:topLinePunct w:val="0"/>
              <w:bidi w:val="0"/>
              <w:spacing w:before="0" w:beforeAutospacing="0" w:after="0" w:afterAutospacing="0" w:line="360" w:lineRule="auto"/>
              <w:ind w:left="0" w:right="0"/>
              <w:jc w:val="left"/>
              <w:rPr>
                <w:rFonts w:hint="eastAsia" w:ascii="宋体" w:hAnsi="宋体" w:eastAsia="宋体" w:cs="宋体"/>
                <w:b/>
                <w:bCs w:val="0"/>
                <w:kern w:val="0"/>
                <w:sz w:val="21"/>
                <w:szCs w:val="21"/>
                <w:highlight w:val="none"/>
              </w:rPr>
            </w:pPr>
            <w:r>
              <w:rPr>
                <w:rFonts w:hint="eastAsia" w:ascii="宋体" w:hAnsi="宋体" w:eastAsia="宋体" w:cs="宋体"/>
                <w:b/>
                <w:bCs w:val="0"/>
                <w:kern w:val="0"/>
                <w:sz w:val="21"/>
                <w:szCs w:val="21"/>
                <w:highlight w:val="none"/>
              </w:rPr>
              <w:t>本项目不允许转包，分包。</w:t>
            </w:r>
          </w:p>
        </w:tc>
      </w:tr>
      <w:tr w14:paraId="7C963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626" w:type="dxa"/>
            <w:vMerge w:val="continue"/>
            <w:shd w:val="clear" w:color="auto" w:fill="E0E0E0"/>
            <w:vAlign w:val="center"/>
          </w:tcPr>
          <w:p w14:paraId="21DF49EC">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p>
        </w:tc>
        <w:tc>
          <w:tcPr>
            <w:tcW w:w="1568" w:type="dxa"/>
            <w:vMerge w:val="continue"/>
            <w:shd w:val="clear" w:color="auto" w:fill="E0E0E0"/>
            <w:vAlign w:val="center"/>
          </w:tcPr>
          <w:p w14:paraId="0C02EB00">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kern w:val="0"/>
                <w:sz w:val="21"/>
                <w:szCs w:val="21"/>
                <w:highlight w:val="none"/>
              </w:rPr>
            </w:pPr>
          </w:p>
        </w:tc>
        <w:tc>
          <w:tcPr>
            <w:tcW w:w="7831" w:type="dxa"/>
            <w:shd w:val="clear" w:color="auto" w:fill="FFFFFF"/>
            <w:vAlign w:val="center"/>
          </w:tcPr>
          <w:p w14:paraId="39EAC752">
            <w:pPr>
              <w:keepNext w:val="0"/>
              <w:keepLines w:val="0"/>
              <w:pageBreakBefore w:val="0"/>
              <w:suppressLineNumbers w:val="0"/>
              <w:kinsoku/>
              <w:wordWrap/>
              <w:overflowPunct/>
              <w:topLinePunct w:val="0"/>
              <w:bidi w:val="0"/>
              <w:spacing w:before="0" w:beforeAutospacing="0" w:after="0" w:afterAutospacing="0" w:line="360" w:lineRule="auto"/>
              <w:ind w:left="0" w:right="0"/>
              <w:jc w:val="left"/>
              <w:rPr>
                <w:rFonts w:hint="eastAsia" w:ascii="宋体" w:hAnsi="宋体" w:eastAsia="宋体" w:cs="宋体"/>
                <w:b/>
                <w:bCs w:val="0"/>
                <w:kern w:val="0"/>
                <w:sz w:val="21"/>
                <w:szCs w:val="21"/>
                <w:highlight w:val="none"/>
                <w:lang w:eastAsia="zh-CN"/>
              </w:rPr>
            </w:pPr>
            <w:r>
              <w:rPr>
                <w:rFonts w:hint="eastAsia" w:ascii="宋体" w:hAnsi="宋体" w:eastAsia="宋体" w:cs="宋体"/>
                <w:b/>
                <w:bCs w:val="0"/>
                <w:kern w:val="0"/>
                <w:sz w:val="21"/>
                <w:szCs w:val="21"/>
                <w:highlight w:val="none"/>
              </w:rPr>
              <w:t>本项目采购标的对应的中小企业划分标准所属行业：</w:t>
            </w:r>
            <w:r>
              <w:rPr>
                <w:rFonts w:hint="eastAsia" w:ascii="宋体" w:hAnsi="宋体" w:eastAsia="宋体" w:cs="宋体"/>
                <w:b/>
                <w:bCs w:val="0"/>
                <w:kern w:val="0"/>
                <w:sz w:val="21"/>
                <w:szCs w:val="21"/>
                <w:highlight w:val="none"/>
                <w:lang w:val="en-US" w:eastAsia="zh-CN"/>
              </w:rPr>
              <w:t>其他未列明行业</w:t>
            </w:r>
            <w:r>
              <w:rPr>
                <w:rFonts w:hint="eastAsia" w:ascii="宋体" w:hAnsi="宋体" w:eastAsia="宋体" w:cs="宋体"/>
                <w:b/>
                <w:bCs w:val="0"/>
                <w:kern w:val="0"/>
                <w:sz w:val="21"/>
                <w:szCs w:val="21"/>
                <w:highlight w:val="none"/>
                <w:lang w:eastAsia="zh-CN"/>
              </w:rPr>
              <w:t>。</w:t>
            </w:r>
          </w:p>
        </w:tc>
      </w:tr>
      <w:tr w14:paraId="64C06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626" w:type="dxa"/>
            <w:vMerge w:val="continue"/>
            <w:shd w:val="clear" w:color="auto" w:fill="E0E0E0"/>
            <w:vAlign w:val="center"/>
          </w:tcPr>
          <w:p w14:paraId="0D0B2BF2">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p>
        </w:tc>
        <w:tc>
          <w:tcPr>
            <w:tcW w:w="1568" w:type="dxa"/>
            <w:vMerge w:val="continue"/>
            <w:shd w:val="clear" w:color="auto" w:fill="E0E0E0"/>
            <w:vAlign w:val="center"/>
          </w:tcPr>
          <w:p w14:paraId="6208C41C">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kern w:val="0"/>
                <w:sz w:val="21"/>
                <w:szCs w:val="21"/>
                <w:highlight w:val="none"/>
              </w:rPr>
            </w:pPr>
          </w:p>
        </w:tc>
        <w:tc>
          <w:tcPr>
            <w:tcW w:w="7831" w:type="dxa"/>
            <w:shd w:val="clear" w:color="auto" w:fill="FFFFFF"/>
            <w:vAlign w:val="center"/>
          </w:tcPr>
          <w:p w14:paraId="30CE2EC1">
            <w:pPr>
              <w:keepNext w:val="0"/>
              <w:keepLines w:val="0"/>
              <w:pageBreakBefore w:val="0"/>
              <w:suppressLineNumbers w:val="0"/>
              <w:kinsoku/>
              <w:wordWrap/>
              <w:overflowPunct/>
              <w:topLinePunct w:val="0"/>
              <w:bidi w:val="0"/>
              <w:spacing w:before="0" w:beforeAutospacing="0" w:after="0" w:afterAutospacing="0" w:line="360" w:lineRule="auto"/>
              <w:ind w:left="0" w:right="0"/>
              <w:jc w:val="left"/>
              <w:rPr>
                <w:rFonts w:hint="eastAsia" w:ascii="宋体" w:hAnsi="宋体" w:eastAsia="宋体" w:cs="宋体"/>
                <w:b/>
                <w:bCs w:val="0"/>
                <w:kern w:val="0"/>
                <w:sz w:val="21"/>
                <w:szCs w:val="21"/>
                <w:highlight w:val="none"/>
              </w:rPr>
            </w:pPr>
            <w:r>
              <w:rPr>
                <w:rFonts w:hint="eastAsia" w:ascii="宋体" w:hAnsi="宋体" w:eastAsia="宋体" w:cs="宋体"/>
                <w:b/>
                <w:bCs w:val="0"/>
                <w:kern w:val="0"/>
                <w:sz w:val="21"/>
                <w:szCs w:val="21"/>
                <w:highlight w:val="none"/>
              </w:rPr>
              <w:t>本项目为</w:t>
            </w:r>
            <w:r>
              <w:rPr>
                <w:rFonts w:hint="eastAsia" w:ascii="宋体" w:hAnsi="宋体" w:eastAsia="宋体" w:cs="宋体"/>
                <w:b/>
                <w:bCs w:val="0"/>
                <w:kern w:val="0"/>
                <w:sz w:val="21"/>
                <w:szCs w:val="21"/>
                <w:highlight w:val="none"/>
                <w:lang w:val="en-US" w:eastAsia="zh-CN"/>
              </w:rPr>
              <w:t>服务</w:t>
            </w:r>
            <w:r>
              <w:rPr>
                <w:rFonts w:hint="eastAsia" w:ascii="宋体" w:hAnsi="宋体" w:eastAsia="宋体" w:cs="宋体"/>
                <w:b/>
                <w:bCs w:val="0"/>
                <w:kern w:val="0"/>
                <w:sz w:val="21"/>
                <w:szCs w:val="21"/>
                <w:highlight w:val="none"/>
              </w:rPr>
              <w:t>类采购项目。</w:t>
            </w:r>
          </w:p>
        </w:tc>
      </w:tr>
      <w:tr w14:paraId="329D8E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626" w:type="dxa"/>
            <w:vMerge w:val="continue"/>
            <w:shd w:val="clear" w:color="auto" w:fill="E0E0E0"/>
            <w:vAlign w:val="center"/>
          </w:tcPr>
          <w:p w14:paraId="753D12B3">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sz w:val="21"/>
                <w:szCs w:val="21"/>
                <w:highlight w:val="none"/>
              </w:rPr>
            </w:pPr>
          </w:p>
        </w:tc>
        <w:tc>
          <w:tcPr>
            <w:tcW w:w="1568" w:type="dxa"/>
            <w:vMerge w:val="continue"/>
            <w:shd w:val="clear" w:color="auto" w:fill="E0E0E0"/>
            <w:vAlign w:val="center"/>
          </w:tcPr>
          <w:p w14:paraId="5B7448BA">
            <w:pPr>
              <w:keepNext w:val="0"/>
              <w:keepLines w:val="0"/>
              <w:pageBreakBefore w:val="0"/>
              <w:suppressLineNumbers w:val="0"/>
              <w:kinsoku/>
              <w:wordWrap/>
              <w:overflowPunct/>
              <w:topLinePunct w:val="0"/>
              <w:bidi w:val="0"/>
              <w:spacing w:before="0" w:beforeAutospacing="0" w:after="0" w:afterAutospacing="0" w:line="360" w:lineRule="auto"/>
              <w:ind w:left="0" w:right="0"/>
              <w:jc w:val="center"/>
              <w:rPr>
                <w:rFonts w:hint="eastAsia" w:ascii="宋体" w:hAnsi="宋体" w:eastAsia="宋体" w:cs="宋体"/>
                <w:b/>
                <w:kern w:val="0"/>
                <w:sz w:val="21"/>
                <w:szCs w:val="21"/>
                <w:highlight w:val="none"/>
              </w:rPr>
            </w:pPr>
          </w:p>
        </w:tc>
        <w:tc>
          <w:tcPr>
            <w:tcW w:w="7831" w:type="dxa"/>
            <w:shd w:val="clear" w:color="auto" w:fill="FFFFFF"/>
            <w:vAlign w:val="center"/>
          </w:tcPr>
          <w:p w14:paraId="3684DC24">
            <w:pPr>
              <w:keepNext w:val="0"/>
              <w:keepLines w:val="0"/>
              <w:pageBreakBefore w:val="0"/>
              <w:suppressLineNumbers w:val="0"/>
              <w:kinsoku/>
              <w:wordWrap/>
              <w:overflowPunct/>
              <w:topLinePunct w:val="0"/>
              <w:bidi w:val="0"/>
              <w:spacing w:before="0" w:beforeAutospacing="0" w:after="0" w:afterAutospacing="0" w:line="360" w:lineRule="auto"/>
              <w:ind w:left="0" w:right="0"/>
              <w:jc w:val="left"/>
              <w:rPr>
                <w:rFonts w:hint="eastAsia" w:ascii="宋体" w:hAnsi="宋体" w:eastAsia="宋体" w:cs="宋体"/>
                <w:b/>
                <w:kern w:val="0"/>
                <w:sz w:val="21"/>
                <w:szCs w:val="21"/>
                <w:highlight w:val="none"/>
              </w:rPr>
            </w:pPr>
            <w:r>
              <w:rPr>
                <w:rFonts w:hint="eastAsia" w:ascii="宋体" w:hAnsi="宋体" w:eastAsia="宋体" w:cs="宋体"/>
                <w:b/>
                <w:kern w:val="0"/>
                <w:sz w:val="21"/>
                <w:szCs w:val="21"/>
                <w:highlight w:val="none"/>
              </w:rPr>
              <w:t>根据《政府采购促进中小企业发展管理办法》（财库[2020]46号）规定：</w:t>
            </w:r>
          </w:p>
          <w:p w14:paraId="4DA5373E">
            <w:pPr>
              <w:keepNext w:val="0"/>
              <w:keepLines w:val="0"/>
              <w:pageBreakBefore w:val="0"/>
              <w:suppressLineNumbers w:val="0"/>
              <w:kinsoku/>
              <w:wordWrap/>
              <w:overflowPunct/>
              <w:topLinePunct w:val="0"/>
              <w:bidi w:val="0"/>
              <w:spacing w:before="0" w:beforeAutospacing="0" w:after="0" w:afterAutospacing="0" w:line="360" w:lineRule="auto"/>
              <w:ind w:left="0" w:right="0"/>
              <w:jc w:val="left"/>
              <w:rPr>
                <w:rFonts w:hint="eastAsia" w:ascii="宋体" w:hAnsi="宋体" w:eastAsia="宋体" w:cs="宋体"/>
                <w:b/>
                <w:kern w:val="0"/>
                <w:sz w:val="21"/>
                <w:szCs w:val="21"/>
                <w:highlight w:val="none"/>
              </w:rPr>
            </w:pPr>
            <w:r>
              <w:rPr>
                <w:rFonts w:hint="eastAsia" w:ascii="宋体" w:hAnsi="宋体" w:eastAsia="宋体" w:cs="宋体"/>
                <w:b/>
                <w:kern w:val="0"/>
                <w:sz w:val="21"/>
                <w:szCs w:val="21"/>
                <w:highlight w:val="none"/>
              </w:rPr>
              <w:t xml:space="preserve">1、本办法所称中小企业，是指在中华人民共和国境内依法设立，依据国务院批准的中小企业划分标准确定的中型企业、小型企业和微型企业，但与大企业的负责人为同一人，或者与大企业存在直接控股、管理关系的除外。 </w:t>
            </w:r>
          </w:p>
          <w:p w14:paraId="5214B87B">
            <w:pPr>
              <w:keepNext w:val="0"/>
              <w:keepLines w:val="0"/>
              <w:pageBreakBefore w:val="0"/>
              <w:suppressLineNumbers w:val="0"/>
              <w:kinsoku/>
              <w:wordWrap/>
              <w:overflowPunct/>
              <w:topLinePunct w:val="0"/>
              <w:bidi w:val="0"/>
              <w:spacing w:before="0" w:beforeAutospacing="0" w:after="0" w:afterAutospacing="0" w:line="360" w:lineRule="auto"/>
              <w:ind w:left="0" w:right="0"/>
              <w:jc w:val="left"/>
              <w:rPr>
                <w:rFonts w:hint="eastAsia" w:ascii="宋体" w:hAnsi="宋体" w:eastAsia="宋体" w:cs="宋体"/>
                <w:b/>
                <w:kern w:val="0"/>
                <w:sz w:val="21"/>
                <w:szCs w:val="21"/>
                <w:highlight w:val="none"/>
              </w:rPr>
            </w:pPr>
            <w:r>
              <w:rPr>
                <w:rFonts w:hint="eastAsia" w:ascii="宋体" w:hAnsi="宋体" w:eastAsia="宋体" w:cs="宋体"/>
                <w:b/>
                <w:kern w:val="0"/>
                <w:sz w:val="21"/>
                <w:szCs w:val="21"/>
                <w:highlight w:val="none"/>
              </w:rPr>
              <w:t>符合中小企业划分标准的个体工商户，在政府采购活动中视同中小企业。</w:t>
            </w:r>
          </w:p>
          <w:p w14:paraId="3C32C771">
            <w:pPr>
              <w:keepNext w:val="0"/>
              <w:keepLines w:val="0"/>
              <w:pageBreakBefore w:val="0"/>
              <w:suppressLineNumbers w:val="0"/>
              <w:kinsoku/>
              <w:wordWrap/>
              <w:overflowPunct/>
              <w:topLinePunct w:val="0"/>
              <w:bidi w:val="0"/>
              <w:spacing w:before="0" w:beforeAutospacing="0" w:after="0" w:afterAutospacing="0" w:line="360" w:lineRule="auto"/>
              <w:ind w:left="0" w:right="0"/>
              <w:jc w:val="left"/>
              <w:rPr>
                <w:rFonts w:hint="eastAsia" w:ascii="宋体" w:hAnsi="宋体" w:eastAsia="宋体" w:cs="宋体"/>
                <w:b/>
                <w:kern w:val="0"/>
                <w:sz w:val="21"/>
                <w:szCs w:val="21"/>
                <w:highlight w:val="none"/>
              </w:rPr>
            </w:pPr>
            <w:r>
              <w:rPr>
                <w:rFonts w:hint="eastAsia" w:ascii="宋体" w:hAnsi="宋体" w:eastAsia="宋体" w:cs="宋体"/>
                <w:b/>
                <w:kern w:val="0"/>
                <w:sz w:val="21"/>
                <w:szCs w:val="21"/>
                <w:highlight w:val="none"/>
              </w:rPr>
              <w:t>2、在政府采购活动中，供应商提供的货物、工程或者服务符合下列情形的，享受本办法规定的中小企业扶持政策：</w:t>
            </w:r>
          </w:p>
          <w:p w14:paraId="014FD4C9">
            <w:pPr>
              <w:keepNext w:val="0"/>
              <w:keepLines w:val="0"/>
              <w:pageBreakBefore w:val="0"/>
              <w:suppressLineNumbers w:val="0"/>
              <w:kinsoku/>
              <w:wordWrap/>
              <w:overflowPunct/>
              <w:topLinePunct w:val="0"/>
              <w:bidi w:val="0"/>
              <w:spacing w:before="0" w:beforeAutospacing="0" w:after="0" w:afterAutospacing="0" w:line="360" w:lineRule="auto"/>
              <w:ind w:left="0" w:right="0"/>
              <w:jc w:val="left"/>
              <w:rPr>
                <w:rFonts w:hint="eastAsia" w:ascii="宋体" w:hAnsi="宋体" w:eastAsia="宋体" w:cs="宋体"/>
                <w:b/>
                <w:kern w:val="0"/>
                <w:sz w:val="21"/>
                <w:szCs w:val="21"/>
                <w:highlight w:val="none"/>
              </w:rPr>
            </w:pPr>
            <w:r>
              <w:rPr>
                <w:rFonts w:hint="eastAsia" w:ascii="宋体" w:hAnsi="宋体" w:eastAsia="宋体" w:cs="宋体"/>
                <w:b/>
                <w:kern w:val="0"/>
                <w:sz w:val="21"/>
                <w:szCs w:val="21"/>
                <w:highlight w:val="none"/>
              </w:rPr>
              <w:t xml:space="preserve">（1）在货物采购项目中，货物由中小企业制造，即货物由中小企业生产且使用该中小企业商号或者注册商标； </w:t>
            </w:r>
          </w:p>
          <w:p w14:paraId="3C5387E2">
            <w:pPr>
              <w:keepNext w:val="0"/>
              <w:keepLines w:val="0"/>
              <w:pageBreakBefore w:val="0"/>
              <w:suppressLineNumbers w:val="0"/>
              <w:kinsoku/>
              <w:wordWrap/>
              <w:overflowPunct/>
              <w:topLinePunct w:val="0"/>
              <w:bidi w:val="0"/>
              <w:spacing w:before="0" w:beforeAutospacing="0" w:after="0" w:afterAutospacing="0" w:line="360" w:lineRule="auto"/>
              <w:ind w:left="0" w:right="0"/>
              <w:jc w:val="left"/>
              <w:rPr>
                <w:rFonts w:hint="eastAsia" w:ascii="宋体" w:hAnsi="宋体" w:eastAsia="宋体" w:cs="宋体"/>
                <w:b/>
                <w:kern w:val="0"/>
                <w:sz w:val="21"/>
                <w:szCs w:val="21"/>
                <w:highlight w:val="none"/>
              </w:rPr>
            </w:pPr>
            <w:r>
              <w:rPr>
                <w:rFonts w:hint="eastAsia" w:ascii="宋体" w:hAnsi="宋体" w:eastAsia="宋体" w:cs="宋体"/>
                <w:b/>
                <w:kern w:val="0"/>
                <w:sz w:val="21"/>
                <w:szCs w:val="21"/>
                <w:highlight w:val="none"/>
              </w:rPr>
              <w:t xml:space="preserve">（2）在工程采购项目中，工程由中小企业承建，即工程施工单位为中小企业； </w:t>
            </w:r>
          </w:p>
          <w:p w14:paraId="4BB4AF9A">
            <w:pPr>
              <w:keepNext w:val="0"/>
              <w:keepLines w:val="0"/>
              <w:pageBreakBefore w:val="0"/>
              <w:suppressLineNumbers w:val="0"/>
              <w:kinsoku/>
              <w:wordWrap/>
              <w:overflowPunct/>
              <w:topLinePunct w:val="0"/>
              <w:bidi w:val="0"/>
              <w:spacing w:before="0" w:beforeAutospacing="0" w:after="0" w:afterAutospacing="0" w:line="360" w:lineRule="auto"/>
              <w:ind w:left="0" w:right="0"/>
              <w:jc w:val="left"/>
              <w:rPr>
                <w:rFonts w:hint="eastAsia" w:ascii="宋体" w:hAnsi="宋体" w:eastAsia="宋体" w:cs="宋体"/>
                <w:b/>
                <w:kern w:val="0"/>
                <w:sz w:val="21"/>
                <w:szCs w:val="21"/>
                <w:highlight w:val="none"/>
              </w:rPr>
            </w:pPr>
            <w:r>
              <w:rPr>
                <w:rFonts w:hint="eastAsia" w:ascii="宋体" w:hAnsi="宋体" w:eastAsia="宋体" w:cs="宋体"/>
                <w:b/>
                <w:kern w:val="0"/>
                <w:sz w:val="21"/>
                <w:szCs w:val="21"/>
                <w:highlight w:val="none"/>
              </w:rPr>
              <w:t xml:space="preserve">（3）在服务采购项目中，服务由中小企业承接，即提供服务的人员为中小企业依照《中华人民共和国劳动合同法》订立劳动合同的从业人员。 </w:t>
            </w:r>
          </w:p>
          <w:p w14:paraId="31672FCC">
            <w:pPr>
              <w:keepNext w:val="0"/>
              <w:keepLines w:val="0"/>
              <w:pageBreakBefore w:val="0"/>
              <w:suppressLineNumbers w:val="0"/>
              <w:kinsoku/>
              <w:wordWrap/>
              <w:overflowPunct/>
              <w:topLinePunct w:val="0"/>
              <w:bidi w:val="0"/>
              <w:spacing w:before="0" w:beforeAutospacing="0" w:after="0" w:afterAutospacing="0" w:line="360" w:lineRule="auto"/>
              <w:ind w:left="0" w:right="0"/>
              <w:jc w:val="left"/>
              <w:rPr>
                <w:rFonts w:hint="eastAsia" w:ascii="宋体" w:hAnsi="宋体" w:eastAsia="宋体" w:cs="宋体"/>
                <w:b/>
                <w:kern w:val="0"/>
                <w:sz w:val="21"/>
                <w:szCs w:val="21"/>
                <w:highlight w:val="none"/>
              </w:rPr>
            </w:pPr>
            <w:r>
              <w:rPr>
                <w:rFonts w:hint="eastAsia" w:ascii="宋体" w:hAnsi="宋体" w:eastAsia="宋体" w:cs="宋体"/>
                <w:b/>
                <w:kern w:val="0"/>
                <w:sz w:val="21"/>
                <w:szCs w:val="21"/>
                <w:highlight w:val="none"/>
              </w:rPr>
              <w:t>在货物采购项目中，供应商提供的货物既有中小企业制造货物，也有大型企业制造货物的，不享受本办法规定的中小企业扶持政策。</w:t>
            </w:r>
          </w:p>
          <w:p w14:paraId="5AF06BE5">
            <w:pPr>
              <w:keepNext w:val="0"/>
              <w:keepLines w:val="0"/>
              <w:pageBreakBefore w:val="0"/>
              <w:suppressLineNumbers w:val="0"/>
              <w:kinsoku/>
              <w:wordWrap/>
              <w:overflowPunct/>
              <w:topLinePunct w:val="0"/>
              <w:bidi w:val="0"/>
              <w:spacing w:before="0" w:beforeAutospacing="0" w:after="0" w:afterAutospacing="0" w:line="360" w:lineRule="auto"/>
              <w:ind w:left="0" w:right="0"/>
              <w:jc w:val="left"/>
              <w:rPr>
                <w:rFonts w:hint="eastAsia" w:ascii="宋体" w:hAnsi="宋体" w:eastAsia="宋体" w:cs="宋体"/>
                <w:b/>
                <w:kern w:val="0"/>
                <w:sz w:val="21"/>
                <w:szCs w:val="21"/>
                <w:highlight w:val="none"/>
              </w:rPr>
            </w:pPr>
            <w:r>
              <w:rPr>
                <w:rFonts w:hint="eastAsia" w:ascii="宋体" w:hAnsi="宋体" w:eastAsia="宋体" w:cs="宋体"/>
                <w:b/>
                <w:kern w:val="0"/>
                <w:sz w:val="21"/>
                <w:szCs w:val="21"/>
                <w:highlight w:val="none"/>
              </w:rPr>
              <w:t>3、在政府采购活动中，监狱企业、残疾人福利性单位视同小型、微型企业，享受本办法规定的中小企业扶持政策；监狱企业、残疾人福利性单位属于小型、微型企业的，不重复享受政策。</w:t>
            </w:r>
          </w:p>
          <w:p w14:paraId="1A0A0804">
            <w:pPr>
              <w:keepNext w:val="0"/>
              <w:keepLines w:val="0"/>
              <w:pageBreakBefore w:val="0"/>
              <w:suppressLineNumbers w:val="0"/>
              <w:kinsoku/>
              <w:wordWrap/>
              <w:overflowPunct/>
              <w:topLinePunct w:val="0"/>
              <w:bidi w:val="0"/>
              <w:spacing w:before="0" w:beforeAutospacing="0" w:after="0" w:afterAutospacing="0" w:line="360" w:lineRule="auto"/>
              <w:ind w:left="0" w:right="0"/>
              <w:jc w:val="left"/>
              <w:rPr>
                <w:rFonts w:hint="eastAsia" w:ascii="宋体" w:hAnsi="宋体" w:eastAsia="宋体" w:cs="宋体"/>
                <w:b/>
                <w:kern w:val="0"/>
                <w:sz w:val="21"/>
                <w:szCs w:val="21"/>
                <w:highlight w:val="none"/>
              </w:rPr>
            </w:pPr>
            <w:r>
              <w:rPr>
                <w:rFonts w:hint="eastAsia" w:ascii="宋体" w:hAnsi="宋体" w:eastAsia="宋体" w:cs="宋体"/>
                <w:b/>
                <w:kern w:val="0"/>
                <w:sz w:val="21"/>
                <w:szCs w:val="21"/>
                <w:highlight w:val="none"/>
              </w:rPr>
              <w:t>本项目中小企业扶持政策：</w:t>
            </w:r>
          </w:p>
          <w:p w14:paraId="6A258F43">
            <w:pPr>
              <w:keepNext w:val="0"/>
              <w:keepLines w:val="0"/>
              <w:pageBreakBefore w:val="0"/>
              <w:suppressLineNumbers w:val="0"/>
              <w:kinsoku/>
              <w:wordWrap/>
              <w:overflowPunct/>
              <w:topLinePunct w:val="0"/>
              <w:bidi w:val="0"/>
              <w:spacing w:before="0" w:beforeAutospacing="0" w:after="0" w:afterAutospacing="0" w:line="360" w:lineRule="auto"/>
              <w:ind w:left="0" w:right="0"/>
              <w:jc w:val="left"/>
              <w:rPr>
                <w:rFonts w:hint="eastAsia" w:ascii="宋体" w:hAnsi="宋体" w:eastAsia="宋体" w:cs="宋体"/>
                <w:b/>
                <w:kern w:val="0"/>
                <w:sz w:val="21"/>
                <w:szCs w:val="21"/>
                <w:highlight w:val="none"/>
              </w:rPr>
            </w:pPr>
            <w:r>
              <w:rPr>
                <w:rFonts w:hint="eastAsia" w:ascii="宋体" w:hAnsi="宋体" w:eastAsia="宋体" w:cs="宋体"/>
                <w:b/>
                <w:kern w:val="0"/>
                <w:sz w:val="21"/>
                <w:szCs w:val="21"/>
                <w:highlight w:val="none"/>
              </w:rPr>
              <w:t>本项目专门面向中小企业采购，供应商应为中小企业（监狱企业、残疾人福利性单位视同小型、微型企业）：</w:t>
            </w:r>
          </w:p>
          <w:p w14:paraId="54F99DF7">
            <w:pPr>
              <w:keepNext w:val="0"/>
              <w:keepLines w:val="0"/>
              <w:pageBreakBefore w:val="0"/>
              <w:suppressLineNumbers w:val="0"/>
              <w:kinsoku/>
              <w:wordWrap/>
              <w:overflowPunct/>
              <w:topLinePunct w:val="0"/>
              <w:bidi w:val="0"/>
              <w:spacing w:before="0" w:beforeAutospacing="0" w:after="0" w:afterAutospacing="0" w:line="360" w:lineRule="auto"/>
              <w:ind w:left="0" w:right="0"/>
              <w:jc w:val="left"/>
              <w:rPr>
                <w:rFonts w:hint="eastAsia" w:ascii="宋体" w:hAnsi="宋体" w:eastAsia="宋体" w:cs="宋体"/>
                <w:b/>
                <w:kern w:val="0"/>
                <w:sz w:val="21"/>
                <w:szCs w:val="21"/>
                <w:highlight w:val="none"/>
              </w:rPr>
            </w:pPr>
            <w:r>
              <w:rPr>
                <w:rFonts w:hint="eastAsia" w:ascii="宋体" w:hAnsi="宋体" w:eastAsia="宋体" w:cs="宋体"/>
                <w:b/>
                <w:kern w:val="0"/>
                <w:sz w:val="21"/>
                <w:szCs w:val="21"/>
                <w:highlight w:val="none"/>
              </w:rPr>
              <w:t>（1）中小企业须提供《中小企业声明函》，附在资格证明文件内，否则不享受预留份额政策；</w:t>
            </w:r>
          </w:p>
          <w:p w14:paraId="235F91C1">
            <w:pPr>
              <w:keepNext w:val="0"/>
              <w:keepLines w:val="0"/>
              <w:pageBreakBefore w:val="0"/>
              <w:suppressLineNumbers w:val="0"/>
              <w:kinsoku/>
              <w:wordWrap/>
              <w:overflowPunct/>
              <w:topLinePunct w:val="0"/>
              <w:bidi w:val="0"/>
              <w:spacing w:before="0" w:beforeAutospacing="0" w:after="0" w:afterAutospacing="0" w:line="360" w:lineRule="auto"/>
              <w:ind w:left="0" w:right="0"/>
              <w:jc w:val="left"/>
              <w:rPr>
                <w:rFonts w:hint="eastAsia" w:ascii="宋体" w:hAnsi="宋体" w:eastAsia="宋体" w:cs="宋体"/>
                <w:b/>
                <w:kern w:val="0"/>
                <w:sz w:val="21"/>
                <w:szCs w:val="21"/>
                <w:highlight w:val="none"/>
              </w:rPr>
            </w:pPr>
            <w:r>
              <w:rPr>
                <w:rFonts w:hint="eastAsia" w:ascii="宋体" w:hAnsi="宋体" w:eastAsia="宋体" w:cs="宋体"/>
                <w:b/>
                <w:kern w:val="0"/>
                <w:sz w:val="21"/>
                <w:szCs w:val="21"/>
                <w:highlight w:val="none"/>
              </w:rPr>
              <w:t>（2）监狱企业须提供由省级以上监狱管理局、戒毒管理局（含新疆生产建设兵团）出具的属于监狱企业的证明文件，附在资格证明文件内，否则不享受预留份额政策；</w:t>
            </w:r>
          </w:p>
          <w:p w14:paraId="28B1DD0C">
            <w:pPr>
              <w:keepNext w:val="0"/>
              <w:keepLines w:val="0"/>
              <w:pageBreakBefore w:val="0"/>
              <w:suppressLineNumbers w:val="0"/>
              <w:kinsoku/>
              <w:wordWrap/>
              <w:overflowPunct/>
              <w:topLinePunct w:val="0"/>
              <w:bidi w:val="0"/>
              <w:spacing w:before="0" w:beforeAutospacing="0" w:after="0" w:afterAutospacing="0" w:line="360" w:lineRule="auto"/>
              <w:ind w:left="0" w:right="0"/>
              <w:jc w:val="left"/>
              <w:rPr>
                <w:rFonts w:hint="eastAsia" w:ascii="宋体" w:hAnsi="宋体" w:eastAsia="宋体" w:cs="宋体"/>
                <w:b/>
                <w:kern w:val="0"/>
                <w:sz w:val="21"/>
                <w:szCs w:val="21"/>
                <w:highlight w:val="none"/>
              </w:rPr>
            </w:pPr>
            <w:r>
              <w:rPr>
                <w:rFonts w:hint="eastAsia" w:ascii="宋体" w:hAnsi="宋体" w:eastAsia="宋体" w:cs="宋体"/>
                <w:b/>
                <w:kern w:val="0"/>
                <w:sz w:val="21"/>
                <w:szCs w:val="21"/>
                <w:highlight w:val="none"/>
              </w:rPr>
              <w:t>（3）残疾人福利性单位须提供《残疾人福利性单位声明函》，附在资格证明文件内，否则不享受预留份额政策。</w:t>
            </w:r>
          </w:p>
        </w:tc>
      </w:tr>
    </w:tbl>
    <w:p w14:paraId="07335DB6">
      <w:pPr>
        <w:pageBreakBefore w:val="0"/>
        <w:kinsoku/>
        <w:wordWrap/>
        <w:overflowPunct/>
        <w:topLinePunct w:val="0"/>
        <w:bidi w:val="0"/>
        <w:snapToGrid w:val="0"/>
        <w:spacing w:line="360" w:lineRule="auto"/>
        <w:rPr>
          <w:rFonts w:hint="eastAsia" w:ascii="宋体" w:hAnsi="宋体" w:eastAsia="宋体" w:cs="宋体"/>
          <w:b/>
          <w:sz w:val="21"/>
          <w:szCs w:val="21"/>
          <w:highlight w:val="none"/>
        </w:rPr>
      </w:pPr>
    </w:p>
    <w:p w14:paraId="5BC69744">
      <w:pPr>
        <w:pageBreakBefore w:val="0"/>
        <w:kinsoku/>
        <w:wordWrap/>
        <w:overflowPunct/>
        <w:topLinePunct w:val="0"/>
        <w:bidi w:val="0"/>
        <w:snapToGrid w:val="0"/>
        <w:spacing w:line="360" w:lineRule="auto"/>
        <w:jc w:val="center"/>
        <w:outlineLvl w:val="1"/>
        <w:rPr>
          <w:rFonts w:hint="eastAsia" w:ascii="宋体" w:hAnsi="宋体" w:eastAsia="宋体" w:cs="宋体"/>
          <w:b/>
          <w:sz w:val="21"/>
          <w:szCs w:val="21"/>
          <w:highlight w:val="none"/>
        </w:rPr>
      </w:pPr>
      <w:r>
        <w:rPr>
          <w:rFonts w:hint="eastAsia" w:ascii="宋体" w:hAnsi="宋体" w:eastAsia="宋体" w:cs="宋体"/>
          <w:b/>
          <w:sz w:val="21"/>
          <w:szCs w:val="21"/>
          <w:highlight w:val="none"/>
        </w:rPr>
        <w:t>一、总  则</w:t>
      </w:r>
    </w:p>
    <w:p w14:paraId="234F0ABE">
      <w:pPr>
        <w:pStyle w:val="13"/>
        <w:pageBreakBefore w:val="0"/>
        <w:kinsoku/>
        <w:wordWrap/>
        <w:overflowPunct/>
        <w:topLinePunct w:val="0"/>
        <w:bidi w:val="0"/>
        <w:snapToGrid w:val="0"/>
        <w:spacing w:line="360" w:lineRule="auto"/>
        <w:ind w:firstLine="422" w:firstLineChars="200"/>
        <w:outlineLvl w:val="9"/>
        <w:rPr>
          <w:rFonts w:hint="eastAsia" w:ascii="宋体" w:hAnsi="宋体" w:eastAsia="宋体" w:cs="宋体"/>
          <w:b/>
          <w:sz w:val="21"/>
          <w:szCs w:val="21"/>
          <w:highlight w:val="none"/>
        </w:rPr>
      </w:pPr>
      <w:r>
        <w:rPr>
          <w:rFonts w:hint="eastAsia" w:ascii="宋体" w:hAnsi="宋体" w:eastAsia="宋体" w:cs="宋体"/>
          <w:b/>
          <w:sz w:val="21"/>
          <w:szCs w:val="21"/>
          <w:highlight w:val="none"/>
        </w:rPr>
        <w:t>（一）适用范围</w:t>
      </w:r>
    </w:p>
    <w:p w14:paraId="38F46B53">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本磋商文件适用于本次项目的评标、定标、验收、合同履约、付款等（法律、法规另有规定的，从其规定）。</w:t>
      </w:r>
    </w:p>
    <w:p w14:paraId="2398192D">
      <w:pPr>
        <w:pageBreakBefore w:val="0"/>
        <w:kinsoku/>
        <w:wordWrap/>
        <w:overflowPunct/>
        <w:topLinePunct w:val="0"/>
        <w:bidi w:val="0"/>
        <w:snapToGrid w:val="0"/>
        <w:spacing w:line="360" w:lineRule="auto"/>
        <w:ind w:firstLine="422" w:firstLineChars="200"/>
        <w:outlineLvl w:val="9"/>
        <w:rPr>
          <w:rFonts w:hint="eastAsia" w:ascii="宋体" w:hAnsi="宋体" w:eastAsia="宋体" w:cs="宋体"/>
          <w:b/>
          <w:sz w:val="21"/>
          <w:szCs w:val="21"/>
          <w:highlight w:val="none"/>
        </w:rPr>
      </w:pPr>
      <w:r>
        <w:rPr>
          <w:rFonts w:hint="eastAsia" w:ascii="宋体" w:hAnsi="宋体" w:eastAsia="宋体" w:cs="宋体"/>
          <w:b/>
          <w:sz w:val="21"/>
          <w:szCs w:val="21"/>
          <w:highlight w:val="none"/>
        </w:rPr>
        <w:t>（二）定义</w:t>
      </w:r>
    </w:p>
    <w:p w14:paraId="614866E6">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1、“采购人”系指组织本次采购的单位：</w:t>
      </w:r>
      <w:r>
        <w:rPr>
          <w:rFonts w:hint="eastAsia" w:ascii="宋体" w:hAnsi="宋体" w:eastAsia="宋体" w:cs="宋体"/>
          <w:sz w:val="21"/>
          <w:szCs w:val="21"/>
          <w:highlight w:val="none"/>
          <w:lang w:val="en-US" w:eastAsia="zh-CN"/>
        </w:rPr>
        <w:t>舟山市公安局交通警察支队</w:t>
      </w:r>
      <w:r>
        <w:rPr>
          <w:rFonts w:hint="eastAsia" w:hAnsi="宋体" w:eastAsia="宋体" w:cs="宋体"/>
          <w:sz w:val="21"/>
          <w:szCs w:val="21"/>
          <w:highlight w:val="none"/>
          <w:lang w:val="en-US" w:eastAsia="zh-CN"/>
        </w:rPr>
        <w:t>、舟山市公安局高速公路交通警察支队、</w:t>
      </w:r>
      <w:r>
        <w:rPr>
          <w:rFonts w:hint="eastAsia" w:ascii="宋体" w:hAnsi="宋体" w:eastAsia="宋体" w:cs="宋体"/>
          <w:b w:val="0"/>
          <w:bCs/>
          <w:sz w:val="21"/>
          <w:szCs w:val="21"/>
          <w:highlight w:val="none"/>
          <w:lang w:val="en-US" w:eastAsia="zh-CN"/>
        </w:rPr>
        <w:t>舟山市公安局普陀山分局交警大队</w:t>
      </w:r>
      <w:r>
        <w:rPr>
          <w:rFonts w:hint="eastAsia" w:ascii="宋体" w:hAnsi="宋体" w:eastAsia="宋体" w:cs="宋体"/>
          <w:sz w:val="21"/>
          <w:szCs w:val="21"/>
          <w:highlight w:val="none"/>
        </w:rPr>
        <w:t>。</w:t>
      </w:r>
    </w:p>
    <w:p w14:paraId="6A4BF1FC">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2、“招标代理机构”系指中金招标有限责任公司。</w:t>
      </w:r>
    </w:p>
    <w:p w14:paraId="767343A3">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3、“响应人”系指向招标代理机构提交响应文件的供应商。</w:t>
      </w:r>
    </w:p>
    <w:p w14:paraId="0ACF7D2C">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4、“成交人”系指经磋商小组评定，且审查通过，并经公示无异议的合格响应人。</w:t>
      </w:r>
    </w:p>
    <w:p w14:paraId="6930FA6E">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5、“响应人代表”系指全权代表响应人参加本次磋商活动并签署响应文件的人，如果响应人代表不是响应人的法定代表人，须提供《法定代表人授权函》。</w:t>
      </w:r>
    </w:p>
    <w:p w14:paraId="07BF20F6">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6、“产品”系指按磋商文件规定，须向采购人提供的一切产品、保险、税金、备品备件、工具、手册及其它有关技术资料和材料。</w:t>
      </w:r>
    </w:p>
    <w:p w14:paraId="6C83F352">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7、“服务”系指磋商文件规定响应人须承担的</w:t>
      </w:r>
      <w:r>
        <w:rPr>
          <w:rFonts w:hint="eastAsia" w:ascii="宋体" w:hAnsi="宋体" w:eastAsia="宋体" w:cs="宋体"/>
          <w:sz w:val="21"/>
          <w:szCs w:val="21"/>
          <w:highlight w:val="none"/>
          <w:lang w:val="en-US" w:eastAsia="zh-CN"/>
        </w:rPr>
        <w:t>检测</w:t>
      </w:r>
      <w:r>
        <w:rPr>
          <w:rFonts w:hint="eastAsia" w:ascii="宋体" w:hAnsi="宋体" w:eastAsia="宋体" w:cs="宋体"/>
          <w:sz w:val="21"/>
          <w:szCs w:val="21"/>
          <w:highlight w:val="none"/>
        </w:rPr>
        <w:t>、技术协助、校准、培训以及其他类似的义务。</w:t>
      </w:r>
    </w:p>
    <w:p w14:paraId="5E8309B9">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8、“项目”系指响应人按磋商文件规定向采购人提供的产品和服务。</w:t>
      </w:r>
    </w:p>
    <w:p w14:paraId="2D9BA1DA">
      <w:pPr>
        <w:pStyle w:val="13"/>
        <w:pageBreakBefore w:val="0"/>
        <w:kinsoku/>
        <w:wordWrap/>
        <w:overflowPunct/>
        <w:topLinePunct w:val="0"/>
        <w:bidi w:val="0"/>
        <w:snapToGrid w:val="0"/>
        <w:spacing w:line="360" w:lineRule="auto"/>
        <w:ind w:firstLine="420" w:firstLineChars="200"/>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9、“书面形式”包括信函、传真、快递、电报等。</w:t>
      </w:r>
    </w:p>
    <w:p w14:paraId="5446B455">
      <w:pPr>
        <w:pageBreakBefore w:val="0"/>
        <w:kinsoku/>
        <w:wordWrap/>
        <w:overflowPunct/>
        <w:topLinePunct w:val="0"/>
        <w:bidi w:val="0"/>
        <w:snapToGrid w:val="0"/>
        <w:spacing w:line="360" w:lineRule="auto"/>
        <w:ind w:firstLine="422" w:firstLineChars="200"/>
        <w:outlineLvl w:val="9"/>
        <w:rPr>
          <w:rFonts w:hint="eastAsia" w:ascii="宋体" w:hAnsi="宋体" w:eastAsia="宋体" w:cs="宋体"/>
          <w:b/>
          <w:sz w:val="21"/>
          <w:szCs w:val="21"/>
          <w:highlight w:val="none"/>
        </w:rPr>
      </w:pPr>
      <w:r>
        <w:rPr>
          <w:rFonts w:hint="eastAsia" w:ascii="宋体" w:hAnsi="宋体" w:eastAsia="宋体" w:cs="宋体"/>
          <w:b/>
          <w:sz w:val="21"/>
          <w:szCs w:val="21"/>
          <w:highlight w:val="none"/>
        </w:rPr>
        <w:t>（三）采购方式</w:t>
      </w:r>
    </w:p>
    <w:p w14:paraId="1D2AA2C4">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本次采用竞争性磋商方式进行。</w:t>
      </w:r>
    </w:p>
    <w:p w14:paraId="287A80FC">
      <w:pPr>
        <w:pStyle w:val="13"/>
        <w:pageBreakBefore w:val="0"/>
        <w:kinsoku/>
        <w:wordWrap/>
        <w:overflowPunct/>
        <w:topLinePunct w:val="0"/>
        <w:bidi w:val="0"/>
        <w:snapToGrid w:val="0"/>
        <w:spacing w:line="360" w:lineRule="auto"/>
        <w:ind w:firstLine="422" w:firstLineChars="200"/>
        <w:outlineLvl w:val="9"/>
        <w:rPr>
          <w:rFonts w:hint="eastAsia" w:ascii="宋体" w:hAnsi="宋体" w:eastAsia="宋体" w:cs="宋体"/>
          <w:b/>
          <w:sz w:val="21"/>
          <w:szCs w:val="21"/>
          <w:highlight w:val="none"/>
          <w:lang w:val="en-US" w:eastAsia="zh-CN"/>
        </w:rPr>
      </w:pPr>
      <w:r>
        <w:rPr>
          <w:rFonts w:hint="eastAsia" w:ascii="宋体" w:hAnsi="宋体" w:eastAsia="宋体" w:cs="宋体"/>
          <w:b/>
          <w:sz w:val="21"/>
          <w:szCs w:val="21"/>
          <w:highlight w:val="none"/>
        </w:rPr>
        <w:t>（四）</w:t>
      </w:r>
      <w:r>
        <w:rPr>
          <w:rFonts w:hint="eastAsia" w:ascii="宋体" w:hAnsi="宋体" w:eastAsia="宋体" w:cs="宋体"/>
          <w:b/>
          <w:sz w:val="21"/>
          <w:szCs w:val="21"/>
          <w:highlight w:val="none"/>
          <w:lang w:val="en-US" w:eastAsia="zh-CN"/>
        </w:rPr>
        <w:t>预算金额</w:t>
      </w:r>
    </w:p>
    <w:p w14:paraId="4D8879B6">
      <w:pPr>
        <w:pageBreakBefore w:val="0"/>
        <w:kinsoku/>
        <w:wordWrap/>
        <w:overflowPunct/>
        <w:topLinePunct w:val="0"/>
        <w:bidi w:val="0"/>
        <w:snapToGrid w:val="0"/>
        <w:spacing w:line="360" w:lineRule="auto"/>
        <w:ind w:firstLine="422" w:firstLineChars="200"/>
        <w:outlineLvl w:val="9"/>
        <w:rPr>
          <w:rFonts w:hint="eastAsia" w:ascii="宋体" w:hAnsi="宋体" w:cs="宋体"/>
          <w:b/>
          <w:sz w:val="21"/>
          <w:szCs w:val="21"/>
          <w:highlight w:val="none"/>
          <w:lang w:val="en-US" w:eastAsia="zh-CN"/>
        </w:rPr>
      </w:pPr>
      <w:r>
        <w:rPr>
          <w:rFonts w:hint="eastAsia" w:ascii="宋体" w:hAnsi="宋体" w:cs="宋体"/>
          <w:b/>
          <w:sz w:val="21"/>
          <w:szCs w:val="21"/>
          <w:highlight w:val="none"/>
          <w:lang w:val="en-US" w:eastAsia="zh-CN"/>
        </w:rPr>
        <w:t>80万元</w:t>
      </w:r>
    </w:p>
    <w:p w14:paraId="51DF89B5">
      <w:pPr>
        <w:pageBreakBefore w:val="0"/>
        <w:kinsoku/>
        <w:wordWrap/>
        <w:overflowPunct/>
        <w:topLinePunct w:val="0"/>
        <w:bidi w:val="0"/>
        <w:snapToGrid w:val="0"/>
        <w:spacing w:line="360" w:lineRule="auto"/>
        <w:ind w:firstLine="422" w:firstLineChars="200"/>
        <w:outlineLvl w:val="9"/>
        <w:rPr>
          <w:rFonts w:hint="eastAsia" w:ascii="宋体" w:hAnsi="宋体" w:eastAsia="宋体" w:cs="宋体"/>
          <w:b/>
          <w:sz w:val="21"/>
          <w:szCs w:val="21"/>
          <w:highlight w:val="none"/>
        </w:rPr>
      </w:pPr>
      <w:r>
        <w:rPr>
          <w:rFonts w:hint="eastAsia" w:ascii="宋体" w:hAnsi="宋体" w:eastAsia="宋体" w:cs="宋体"/>
          <w:b/>
          <w:sz w:val="21"/>
          <w:szCs w:val="21"/>
          <w:highlight w:val="none"/>
        </w:rPr>
        <w:t>（五）联合体投标</w:t>
      </w:r>
    </w:p>
    <w:p w14:paraId="64F83788">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不接受联合体投标。</w:t>
      </w:r>
    </w:p>
    <w:p w14:paraId="5F2CB256">
      <w:pPr>
        <w:pageBreakBefore w:val="0"/>
        <w:kinsoku/>
        <w:wordWrap/>
        <w:overflowPunct/>
        <w:topLinePunct w:val="0"/>
        <w:bidi w:val="0"/>
        <w:snapToGrid w:val="0"/>
        <w:spacing w:line="360" w:lineRule="auto"/>
        <w:ind w:firstLine="422" w:firstLineChars="200"/>
        <w:outlineLvl w:val="9"/>
        <w:rPr>
          <w:rFonts w:hint="eastAsia" w:ascii="宋体" w:hAnsi="宋体" w:eastAsia="宋体" w:cs="宋体"/>
          <w:b/>
          <w:sz w:val="21"/>
          <w:szCs w:val="21"/>
          <w:highlight w:val="none"/>
          <w:lang w:val="en-US" w:eastAsia="zh-CN"/>
        </w:rPr>
      </w:pPr>
      <w:r>
        <w:rPr>
          <w:rFonts w:hint="eastAsia" w:ascii="宋体" w:hAnsi="宋体" w:eastAsia="宋体" w:cs="宋体"/>
          <w:b/>
          <w:sz w:val="21"/>
          <w:szCs w:val="21"/>
          <w:highlight w:val="none"/>
        </w:rPr>
        <w:t>（六）转包</w:t>
      </w:r>
      <w:r>
        <w:rPr>
          <w:rFonts w:hint="eastAsia" w:ascii="宋体" w:hAnsi="宋体" w:eastAsia="宋体" w:cs="宋体"/>
          <w:b/>
          <w:sz w:val="21"/>
          <w:szCs w:val="21"/>
          <w:highlight w:val="none"/>
          <w:lang w:val="en-US" w:eastAsia="zh-CN"/>
        </w:rPr>
        <w:t>与分包</w:t>
      </w:r>
    </w:p>
    <w:p w14:paraId="610C2FFB">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本项目不允许转包。</w:t>
      </w:r>
    </w:p>
    <w:p w14:paraId="38364076">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本项目不允许分包。</w:t>
      </w:r>
    </w:p>
    <w:p w14:paraId="51677521">
      <w:pPr>
        <w:pageBreakBefore w:val="0"/>
        <w:kinsoku/>
        <w:wordWrap/>
        <w:overflowPunct/>
        <w:topLinePunct w:val="0"/>
        <w:bidi w:val="0"/>
        <w:snapToGrid w:val="0"/>
        <w:spacing w:line="360" w:lineRule="auto"/>
        <w:ind w:firstLine="422" w:firstLineChars="200"/>
        <w:outlineLvl w:val="9"/>
        <w:rPr>
          <w:rFonts w:hint="eastAsia" w:ascii="宋体" w:hAnsi="宋体" w:eastAsia="宋体" w:cs="宋体"/>
          <w:b/>
          <w:sz w:val="21"/>
          <w:szCs w:val="21"/>
          <w:highlight w:val="none"/>
        </w:rPr>
      </w:pPr>
      <w:r>
        <w:rPr>
          <w:rFonts w:hint="eastAsia" w:ascii="宋体" w:hAnsi="宋体" w:eastAsia="宋体" w:cs="宋体"/>
          <w:b/>
          <w:sz w:val="21"/>
          <w:szCs w:val="21"/>
          <w:highlight w:val="none"/>
        </w:rPr>
        <w:t>（七）磋商相关费用</w:t>
      </w:r>
    </w:p>
    <w:p w14:paraId="61382B61">
      <w:pPr>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不论竞争性磋商结果如何，响应人均应自行承担所有与磋商响应有关的全部费用。</w:t>
      </w:r>
    </w:p>
    <w:p w14:paraId="3EA63954">
      <w:pPr>
        <w:pStyle w:val="13"/>
        <w:pageBreakBefore w:val="0"/>
        <w:kinsoku/>
        <w:wordWrap/>
        <w:overflowPunct/>
        <w:topLinePunct w:val="0"/>
        <w:bidi w:val="0"/>
        <w:snapToGrid w:val="0"/>
        <w:spacing w:line="360" w:lineRule="auto"/>
        <w:ind w:firstLine="422" w:firstLineChars="200"/>
        <w:outlineLvl w:val="9"/>
        <w:rPr>
          <w:rFonts w:hint="eastAsia" w:ascii="宋体" w:hAnsi="宋体" w:eastAsia="宋体" w:cs="宋体"/>
          <w:b/>
          <w:kern w:val="0"/>
          <w:sz w:val="21"/>
          <w:szCs w:val="21"/>
          <w:highlight w:val="none"/>
        </w:rPr>
      </w:pPr>
      <w:r>
        <w:rPr>
          <w:rFonts w:hint="eastAsia" w:ascii="宋体" w:hAnsi="宋体" w:eastAsia="宋体" w:cs="宋体"/>
          <w:b/>
          <w:kern w:val="0"/>
          <w:sz w:val="21"/>
          <w:szCs w:val="21"/>
          <w:highlight w:val="none"/>
        </w:rPr>
        <w:t>（八）答疑与澄清</w:t>
      </w:r>
    </w:p>
    <w:p w14:paraId="5BD8B2D4">
      <w:pPr>
        <w:pStyle w:val="13"/>
        <w:keepNext w:val="0"/>
        <w:keepLines w:val="0"/>
        <w:pageBreakBefore w:val="0"/>
        <w:widowControl w:val="0"/>
        <w:kinsoku/>
        <w:wordWrap/>
        <w:overflowPunct/>
        <w:topLinePunct w:val="0"/>
        <w:autoSpaceDE/>
        <w:autoSpaceDN/>
        <w:bidi w:val="0"/>
        <w:adjustRightInd/>
        <w:snapToGrid w:val="0"/>
        <w:spacing w:line="360" w:lineRule="auto"/>
        <w:ind w:left="0" w:leftChars="0" w:firstLine="420" w:firstLineChars="200"/>
        <w:textAlignment w:val="auto"/>
        <w:outlineLvl w:val="9"/>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响应人如认为磋商文件表述不清晰、存在歧视性、排他性或者其他违法内容的，应当于202</w:t>
      </w:r>
      <w:r>
        <w:rPr>
          <w:rFonts w:hint="eastAsia" w:ascii="宋体" w:hAnsi="宋体" w:eastAsia="宋体" w:cs="宋体"/>
          <w:kern w:val="0"/>
          <w:sz w:val="21"/>
          <w:szCs w:val="21"/>
          <w:highlight w:val="none"/>
          <w:lang w:val="en-US" w:eastAsia="zh-CN"/>
        </w:rPr>
        <w:t>5</w:t>
      </w:r>
      <w:r>
        <w:rPr>
          <w:rFonts w:hint="eastAsia" w:ascii="宋体" w:hAnsi="宋体" w:eastAsia="宋体" w:cs="宋体"/>
          <w:kern w:val="0"/>
          <w:sz w:val="21"/>
          <w:szCs w:val="21"/>
          <w:highlight w:val="none"/>
        </w:rPr>
        <w:t>年</w:t>
      </w:r>
      <w:r>
        <w:rPr>
          <w:rFonts w:hint="eastAsia" w:hAnsi="宋体" w:eastAsia="宋体" w:cs="宋体"/>
          <w:kern w:val="0"/>
          <w:sz w:val="21"/>
          <w:szCs w:val="21"/>
          <w:highlight w:val="none"/>
          <w:lang w:val="en-US" w:eastAsia="zh-CN"/>
        </w:rPr>
        <w:t>04</w:t>
      </w:r>
      <w:r>
        <w:rPr>
          <w:rFonts w:hint="eastAsia" w:ascii="宋体" w:hAnsi="宋体" w:eastAsia="宋体" w:cs="宋体"/>
          <w:kern w:val="0"/>
          <w:sz w:val="21"/>
          <w:szCs w:val="21"/>
          <w:highlight w:val="none"/>
        </w:rPr>
        <w:t>月</w:t>
      </w:r>
      <w:r>
        <w:rPr>
          <w:rFonts w:hint="eastAsia" w:hAnsi="宋体" w:eastAsia="宋体" w:cs="宋体"/>
          <w:kern w:val="0"/>
          <w:sz w:val="21"/>
          <w:szCs w:val="21"/>
          <w:highlight w:val="none"/>
          <w:lang w:val="en-US" w:eastAsia="zh-CN"/>
        </w:rPr>
        <w:t>17</w:t>
      </w:r>
      <w:bookmarkStart w:id="12" w:name="_GoBack"/>
      <w:bookmarkEnd w:id="12"/>
      <w:r>
        <w:rPr>
          <w:rFonts w:hint="eastAsia" w:ascii="宋体" w:hAnsi="宋体" w:eastAsia="宋体" w:cs="宋体"/>
          <w:kern w:val="0"/>
          <w:sz w:val="21"/>
          <w:szCs w:val="21"/>
          <w:highlight w:val="none"/>
        </w:rPr>
        <w:t>日17：00前，以书面形式要求采购人作出书面解释、澄清或者向采购人提出一次性书面质疑；采购人将组织答疑；答疑内容是磋商文件的组成部份，并将以书面形式送达所有已依法获取采购文件的响应人。</w:t>
      </w:r>
    </w:p>
    <w:p w14:paraId="6B8684BC">
      <w:pPr>
        <w:pStyle w:val="13"/>
        <w:pageBreakBefore w:val="0"/>
        <w:kinsoku/>
        <w:wordWrap/>
        <w:overflowPunct/>
        <w:topLinePunct w:val="0"/>
        <w:bidi w:val="0"/>
        <w:snapToGrid w:val="0"/>
        <w:spacing w:line="360" w:lineRule="auto"/>
        <w:ind w:firstLine="420" w:firstLineChars="200"/>
        <w:outlineLvl w:val="9"/>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1、根据《中华人民共和国政府采购法实施条例》第五十三条：政府采购法第五十二条规定的供应商应知其权益受到损害之日，是指：</w:t>
      </w:r>
    </w:p>
    <w:p w14:paraId="3D93BFBF">
      <w:pPr>
        <w:pStyle w:val="13"/>
        <w:pageBreakBefore w:val="0"/>
        <w:kinsoku/>
        <w:wordWrap/>
        <w:overflowPunct/>
        <w:topLinePunct w:val="0"/>
        <w:bidi w:val="0"/>
        <w:snapToGrid w:val="0"/>
        <w:spacing w:line="360" w:lineRule="auto"/>
        <w:ind w:firstLine="420" w:firstLineChars="200"/>
        <w:outlineLvl w:val="9"/>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①对可以质疑的采购文件提出质疑的，为收到采购文件之日或者采购文件公告期限届满之日；</w:t>
      </w:r>
    </w:p>
    <w:p w14:paraId="30B3A0C0">
      <w:pPr>
        <w:pStyle w:val="13"/>
        <w:pageBreakBefore w:val="0"/>
        <w:kinsoku/>
        <w:wordWrap/>
        <w:overflowPunct/>
        <w:topLinePunct w:val="0"/>
        <w:bidi w:val="0"/>
        <w:snapToGrid w:val="0"/>
        <w:spacing w:line="360" w:lineRule="auto"/>
        <w:ind w:firstLine="420" w:firstLineChars="200"/>
        <w:outlineLvl w:val="9"/>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②对采购过程提出质疑的，为各采购程序环节结束之日；</w:t>
      </w:r>
    </w:p>
    <w:p w14:paraId="5AF4F461">
      <w:pPr>
        <w:pStyle w:val="13"/>
        <w:pageBreakBefore w:val="0"/>
        <w:kinsoku/>
        <w:wordWrap/>
        <w:overflowPunct/>
        <w:topLinePunct w:val="0"/>
        <w:bidi w:val="0"/>
        <w:snapToGrid w:val="0"/>
        <w:spacing w:line="360" w:lineRule="auto"/>
        <w:ind w:firstLine="420" w:firstLineChars="200"/>
        <w:outlineLvl w:val="9"/>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③对中标或者成交结果提出质疑的，为中标或者成交结果公告期限届满之日。</w:t>
      </w:r>
    </w:p>
    <w:p w14:paraId="2776D37F">
      <w:pPr>
        <w:pStyle w:val="13"/>
        <w:pageBreakBefore w:val="0"/>
        <w:kinsoku/>
        <w:wordWrap/>
        <w:overflowPunct/>
        <w:topLinePunct w:val="0"/>
        <w:bidi w:val="0"/>
        <w:snapToGrid w:val="0"/>
        <w:spacing w:line="360" w:lineRule="auto"/>
        <w:ind w:firstLine="420" w:firstLineChars="200"/>
        <w:outlineLvl w:val="9"/>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2、质疑书应包括下列主要内容：</w:t>
      </w:r>
    </w:p>
    <w:p w14:paraId="6B41615F">
      <w:pPr>
        <w:pStyle w:val="13"/>
        <w:pageBreakBefore w:val="0"/>
        <w:kinsoku/>
        <w:wordWrap/>
        <w:overflowPunct/>
        <w:topLinePunct w:val="0"/>
        <w:bidi w:val="0"/>
        <w:snapToGrid w:val="0"/>
        <w:spacing w:line="360" w:lineRule="auto"/>
        <w:ind w:firstLine="420" w:firstLineChars="200"/>
        <w:outlineLvl w:val="9"/>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①质疑人的名称、地址、邮政编码、联系人、联系电话，以及被质疑人名称及联系方式；</w:t>
      </w:r>
    </w:p>
    <w:p w14:paraId="64A0A0AD">
      <w:pPr>
        <w:pStyle w:val="13"/>
        <w:pageBreakBefore w:val="0"/>
        <w:kinsoku/>
        <w:wordWrap/>
        <w:overflowPunct/>
        <w:topLinePunct w:val="0"/>
        <w:bidi w:val="0"/>
        <w:snapToGrid w:val="0"/>
        <w:spacing w:line="360" w:lineRule="auto"/>
        <w:ind w:firstLine="420" w:firstLineChars="200"/>
        <w:outlineLvl w:val="9"/>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②被质疑采购项目名称、编号及采购内容；</w:t>
      </w:r>
    </w:p>
    <w:p w14:paraId="5A569104">
      <w:pPr>
        <w:pStyle w:val="13"/>
        <w:pageBreakBefore w:val="0"/>
        <w:kinsoku/>
        <w:wordWrap/>
        <w:overflowPunct/>
        <w:topLinePunct w:val="0"/>
        <w:bidi w:val="0"/>
        <w:snapToGrid w:val="0"/>
        <w:spacing w:line="360" w:lineRule="auto"/>
        <w:ind w:firstLine="420" w:firstLineChars="200"/>
        <w:outlineLvl w:val="9"/>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③具体的质疑事项及事实依据；</w:t>
      </w:r>
    </w:p>
    <w:p w14:paraId="7986E8AF">
      <w:pPr>
        <w:pStyle w:val="13"/>
        <w:pageBreakBefore w:val="0"/>
        <w:kinsoku/>
        <w:wordWrap/>
        <w:overflowPunct/>
        <w:topLinePunct w:val="0"/>
        <w:bidi w:val="0"/>
        <w:snapToGrid w:val="0"/>
        <w:spacing w:line="360" w:lineRule="auto"/>
        <w:ind w:firstLine="420" w:firstLineChars="200"/>
        <w:outlineLvl w:val="9"/>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④认为自己合法权益受到损害或可能受到损害的相关证据材料；</w:t>
      </w:r>
    </w:p>
    <w:p w14:paraId="336A0B95">
      <w:pPr>
        <w:pStyle w:val="13"/>
        <w:pageBreakBefore w:val="0"/>
        <w:kinsoku/>
        <w:wordWrap/>
        <w:overflowPunct/>
        <w:topLinePunct w:val="0"/>
        <w:bidi w:val="0"/>
        <w:snapToGrid w:val="0"/>
        <w:spacing w:line="360" w:lineRule="auto"/>
        <w:ind w:firstLine="420" w:firstLineChars="200"/>
        <w:outlineLvl w:val="9"/>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⑤提出质疑的日期。</w:t>
      </w:r>
    </w:p>
    <w:p w14:paraId="5A06DDCE">
      <w:pPr>
        <w:pStyle w:val="13"/>
        <w:pageBreakBefore w:val="0"/>
        <w:kinsoku/>
        <w:wordWrap/>
        <w:overflowPunct/>
        <w:topLinePunct w:val="0"/>
        <w:bidi w:val="0"/>
        <w:snapToGrid w:val="0"/>
        <w:spacing w:line="360" w:lineRule="auto"/>
        <w:ind w:firstLine="420" w:firstLineChars="200"/>
        <w:outlineLvl w:val="9"/>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3、采购人或者招标代理机构应当在3个工作日内对供应商依法提出的询问作出答复。采购人或者招标代理机构应当在7个工作日内对供应商依法提出的质疑作出答复。供应商提出的询问或者质疑超出采购人对招标代理机构委托授权范围的，招标代理机构应当告知供应商向采购人提出。政府采购评审专家应当配合采购人或者招标代理机构答复供应商的询问和质疑。</w:t>
      </w:r>
    </w:p>
    <w:p w14:paraId="153A81D5">
      <w:pPr>
        <w:pStyle w:val="13"/>
        <w:pageBreakBefore w:val="0"/>
        <w:kinsoku/>
        <w:wordWrap/>
        <w:overflowPunct/>
        <w:topLinePunct w:val="0"/>
        <w:bidi w:val="0"/>
        <w:snapToGrid w:val="0"/>
        <w:spacing w:line="360" w:lineRule="auto"/>
        <w:ind w:firstLine="420" w:firstLineChars="200"/>
        <w:outlineLvl w:val="9"/>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4、质疑供应商对采购人、招标代理机构的答复不满意或者采购人、招标代理机构未在规定的时间内作出答复的，可以在答复期满后</w:t>
      </w:r>
      <w:r>
        <w:rPr>
          <w:rFonts w:hint="eastAsia" w:ascii="宋体" w:hAnsi="宋体" w:eastAsia="宋体" w:cs="宋体"/>
          <w:kern w:val="0"/>
          <w:sz w:val="21"/>
          <w:szCs w:val="21"/>
          <w:highlight w:val="none"/>
          <w:lang w:val="en-US" w:eastAsia="zh-CN"/>
        </w:rPr>
        <w:t>15</w:t>
      </w:r>
      <w:r>
        <w:rPr>
          <w:rFonts w:hint="eastAsia" w:ascii="宋体" w:hAnsi="宋体" w:eastAsia="宋体" w:cs="宋体"/>
          <w:kern w:val="0"/>
          <w:sz w:val="21"/>
          <w:szCs w:val="21"/>
          <w:highlight w:val="none"/>
        </w:rPr>
        <w:t>个工作日内向同级政府采购监督管理部门投诉。</w:t>
      </w:r>
    </w:p>
    <w:p w14:paraId="00FB33F3">
      <w:pPr>
        <w:pStyle w:val="13"/>
        <w:pageBreakBefore w:val="0"/>
        <w:kinsoku/>
        <w:wordWrap/>
        <w:overflowPunct/>
        <w:topLinePunct w:val="0"/>
        <w:bidi w:val="0"/>
        <w:snapToGrid w:val="0"/>
        <w:spacing w:line="360" w:lineRule="auto"/>
        <w:ind w:firstLine="420" w:firstLineChars="200"/>
        <w:outlineLvl w:val="9"/>
        <w:rPr>
          <w:rFonts w:hint="eastAsia" w:ascii="宋体" w:hAnsi="宋体" w:eastAsia="宋体" w:cs="宋体"/>
          <w:b/>
          <w:kern w:val="0"/>
          <w:sz w:val="21"/>
          <w:szCs w:val="21"/>
          <w:highlight w:val="none"/>
        </w:rPr>
      </w:pPr>
      <w:r>
        <w:rPr>
          <w:rFonts w:hint="eastAsia" w:ascii="宋体" w:hAnsi="宋体" w:eastAsia="宋体" w:cs="宋体"/>
          <w:kern w:val="0"/>
          <w:sz w:val="21"/>
          <w:szCs w:val="21"/>
          <w:highlight w:val="none"/>
        </w:rPr>
        <w:t>5、供应商质疑、投诉应当有明确的请求和必要的证明材料。供应商投诉的事项不得超出已质疑事项的范围。投诉人捏造事实、提供虚假材料或者以非法手段取得证明材料进行投诉的，财政部门应当予以驳回。财政部门受理投诉后，投诉人书面申请撤回投诉的，财政部门应当终止投诉处理程序。</w:t>
      </w:r>
    </w:p>
    <w:p w14:paraId="41217703">
      <w:pPr>
        <w:pageBreakBefore w:val="0"/>
        <w:kinsoku/>
        <w:wordWrap/>
        <w:overflowPunct/>
        <w:topLinePunct w:val="0"/>
        <w:bidi w:val="0"/>
        <w:snapToGrid w:val="0"/>
        <w:spacing w:line="360" w:lineRule="auto"/>
        <w:ind w:firstLine="422" w:firstLineChars="200"/>
        <w:outlineLvl w:val="9"/>
        <w:rPr>
          <w:rFonts w:hint="eastAsia" w:ascii="宋体" w:hAnsi="宋体" w:eastAsia="宋体" w:cs="宋体"/>
          <w:b/>
          <w:sz w:val="21"/>
          <w:szCs w:val="21"/>
          <w:highlight w:val="none"/>
        </w:rPr>
      </w:pPr>
      <w:r>
        <w:rPr>
          <w:rFonts w:hint="eastAsia" w:ascii="宋体" w:hAnsi="宋体" w:eastAsia="宋体" w:cs="宋体"/>
          <w:b/>
          <w:sz w:val="21"/>
          <w:szCs w:val="21"/>
          <w:highlight w:val="none"/>
        </w:rPr>
        <w:t>（九）信用记录：</w:t>
      </w:r>
    </w:p>
    <w:p w14:paraId="1410AFDB">
      <w:pPr>
        <w:pageBreakBefore w:val="0"/>
        <w:kinsoku/>
        <w:wordWrap/>
        <w:overflowPunct/>
        <w:topLinePunct w:val="0"/>
        <w:bidi w:val="0"/>
        <w:snapToGrid w:val="0"/>
        <w:spacing w:line="360" w:lineRule="auto"/>
        <w:ind w:firstLine="420" w:firstLineChars="200"/>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根据财库[2016]125号《关于在政府采购活动中查询及使用信用记录有关问题的通知》要求，招标代理机构会对供应商信用记录进行查询并甄别。</w:t>
      </w:r>
    </w:p>
    <w:p w14:paraId="6964CB09">
      <w:pPr>
        <w:pageBreakBefore w:val="0"/>
        <w:kinsoku/>
        <w:wordWrap/>
        <w:overflowPunct/>
        <w:topLinePunct w:val="0"/>
        <w:bidi w:val="0"/>
        <w:snapToGrid w:val="0"/>
        <w:spacing w:line="360" w:lineRule="auto"/>
        <w:ind w:firstLine="420" w:firstLineChars="200"/>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1、信用信息查询的截止时点：投标截止时间前查询；</w:t>
      </w:r>
    </w:p>
    <w:p w14:paraId="7CEAE487">
      <w:pPr>
        <w:pageBreakBefore w:val="0"/>
        <w:kinsoku/>
        <w:wordWrap/>
        <w:overflowPunct/>
        <w:topLinePunct w:val="0"/>
        <w:bidi w:val="0"/>
        <w:snapToGrid w:val="0"/>
        <w:spacing w:line="360" w:lineRule="auto"/>
        <w:ind w:firstLine="420" w:firstLineChars="200"/>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2、查询渠道：</w:t>
      </w:r>
    </w:p>
    <w:p w14:paraId="3A2162D9">
      <w:pPr>
        <w:pageBreakBefore w:val="0"/>
        <w:kinsoku/>
        <w:wordWrap/>
        <w:overflowPunct/>
        <w:topLinePunct w:val="0"/>
        <w:bidi w:val="0"/>
        <w:snapToGrid w:val="0"/>
        <w:spacing w:line="360" w:lineRule="auto"/>
        <w:ind w:firstLine="420" w:firstLineChars="200"/>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信用中国（www.creditchina.gov.cn）；</w:t>
      </w:r>
    </w:p>
    <w:p w14:paraId="09B2B811">
      <w:pPr>
        <w:pageBreakBefore w:val="0"/>
        <w:kinsoku/>
        <w:wordWrap/>
        <w:overflowPunct/>
        <w:topLinePunct w:val="0"/>
        <w:bidi w:val="0"/>
        <w:snapToGrid w:val="0"/>
        <w:spacing w:line="360" w:lineRule="auto"/>
        <w:ind w:firstLine="420" w:firstLineChars="200"/>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中国政府采购网（www.ccgp.gov.cn）；</w:t>
      </w:r>
    </w:p>
    <w:p w14:paraId="40D121B0">
      <w:pPr>
        <w:pageBreakBefore w:val="0"/>
        <w:kinsoku/>
        <w:wordWrap/>
        <w:overflowPunct/>
        <w:topLinePunct w:val="0"/>
        <w:bidi w:val="0"/>
        <w:snapToGrid w:val="0"/>
        <w:spacing w:line="360" w:lineRule="auto"/>
        <w:ind w:firstLine="420" w:firstLineChars="200"/>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3、信用信息查询记录和证据留存具体方式：招标代理机构经办人和监督人员将查询网页打印、签字与其他采购文件一并保存；</w:t>
      </w:r>
    </w:p>
    <w:p w14:paraId="50BDA4CC">
      <w:pPr>
        <w:pageBreakBefore w:val="0"/>
        <w:kinsoku/>
        <w:wordWrap/>
        <w:overflowPunct/>
        <w:topLinePunct w:val="0"/>
        <w:bidi w:val="0"/>
        <w:snapToGrid w:val="0"/>
        <w:spacing w:line="360" w:lineRule="auto"/>
        <w:ind w:firstLine="420" w:firstLineChars="200"/>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4、信用信息的使用规则：响应人存在不良信用记录的，其投标将被作为无效响应被拒绝。</w:t>
      </w:r>
    </w:p>
    <w:p w14:paraId="1AEC453F">
      <w:pPr>
        <w:pageBreakBefore w:val="0"/>
        <w:kinsoku/>
        <w:wordWrap/>
        <w:overflowPunct/>
        <w:topLinePunct w:val="0"/>
        <w:bidi w:val="0"/>
        <w:snapToGrid w:val="0"/>
        <w:spacing w:line="360" w:lineRule="auto"/>
        <w:ind w:firstLine="420" w:firstLineChars="200"/>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不良信用记录指：被列入失信被执行人、重大税收违法案件当事人名单、政府采购严重违法失信行为记录名单。</w:t>
      </w:r>
    </w:p>
    <w:p w14:paraId="73236103">
      <w:pPr>
        <w:pageBreakBefore w:val="0"/>
        <w:kinsoku/>
        <w:wordWrap/>
        <w:overflowPunct/>
        <w:topLinePunct w:val="0"/>
        <w:bidi w:val="0"/>
        <w:snapToGrid w:val="0"/>
        <w:spacing w:line="360" w:lineRule="auto"/>
        <w:ind w:firstLine="422" w:firstLineChars="200"/>
        <w:outlineLvl w:val="9"/>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（十）信贷政策</w:t>
      </w:r>
    </w:p>
    <w:p w14:paraId="3A9A8268">
      <w:pPr>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45"/>
        <w:gridCol w:w="4213"/>
        <w:gridCol w:w="2352"/>
        <w:gridCol w:w="2028"/>
      </w:tblGrid>
      <w:tr w14:paraId="474F6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5000" w:type="pct"/>
            <w:gridSpan w:val="4"/>
            <w:noWrap w:val="0"/>
            <w:vAlign w:val="center"/>
          </w:tcPr>
          <w:p w14:paraId="06E0C0E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舟山市政府采购信用融资合作银行</w:t>
            </w:r>
          </w:p>
        </w:tc>
      </w:tr>
      <w:tr w14:paraId="62B1F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762" w:type="pct"/>
            <w:noWrap w:val="0"/>
            <w:vAlign w:val="center"/>
          </w:tcPr>
          <w:p w14:paraId="4878BE9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银行名称</w:t>
            </w:r>
          </w:p>
        </w:tc>
        <w:tc>
          <w:tcPr>
            <w:tcW w:w="2078" w:type="pct"/>
            <w:noWrap w:val="0"/>
            <w:vAlign w:val="center"/>
          </w:tcPr>
          <w:p w14:paraId="22B88B4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eastAsia="zh-CN"/>
              </w:rPr>
              <w:t>各银行介绍的</w:t>
            </w:r>
            <w:r>
              <w:rPr>
                <w:rFonts w:hint="eastAsia" w:ascii="宋体" w:hAnsi="宋体" w:eastAsia="宋体" w:cs="宋体"/>
                <w:color w:val="000000"/>
                <w:sz w:val="21"/>
                <w:szCs w:val="21"/>
                <w:highlight w:val="none"/>
              </w:rPr>
              <w:t>产品特点</w:t>
            </w:r>
          </w:p>
        </w:tc>
        <w:tc>
          <w:tcPr>
            <w:tcW w:w="1160" w:type="pct"/>
            <w:noWrap w:val="0"/>
            <w:vAlign w:val="center"/>
          </w:tcPr>
          <w:p w14:paraId="773983C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经办人</w:t>
            </w:r>
          </w:p>
        </w:tc>
        <w:tc>
          <w:tcPr>
            <w:tcW w:w="998" w:type="pct"/>
            <w:noWrap w:val="0"/>
            <w:vAlign w:val="center"/>
          </w:tcPr>
          <w:p w14:paraId="3A65C00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联系方式</w:t>
            </w:r>
          </w:p>
        </w:tc>
      </w:tr>
      <w:tr w14:paraId="516F4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2" w:type="pct"/>
            <w:noWrap w:val="0"/>
            <w:vAlign w:val="center"/>
          </w:tcPr>
          <w:p w14:paraId="34D223B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中国工商银行股份有限公司舟山分行</w:t>
            </w:r>
          </w:p>
        </w:tc>
        <w:tc>
          <w:tcPr>
            <w:tcW w:w="2078" w:type="pct"/>
            <w:noWrap w:val="0"/>
            <w:vAlign w:val="center"/>
          </w:tcPr>
          <w:p w14:paraId="071EB506">
            <w:pPr>
              <w:keepNext w:val="0"/>
              <w:keepLines w:val="0"/>
              <w:pageBreakBefore w:val="0"/>
              <w:widowControl w:val="0"/>
              <w:numPr>
                <w:ilvl w:val="0"/>
                <w:numId w:val="1"/>
              </w:numPr>
              <w:suppressLineNumbers w:val="0"/>
              <w:kinsoku/>
              <w:wordWrap/>
              <w:overflowPunct/>
              <w:topLinePunct w:val="0"/>
              <w:autoSpaceDE/>
              <w:autoSpaceDN/>
              <w:bidi w:val="0"/>
              <w:adjustRightInd/>
              <w:snapToGrid/>
              <w:spacing w:before="0" w:beforeAutospacing="0" w:after="0" w:afterAutospacing="0" w:line="360" w:lineRule="auto"/>
              <w:ind w:left="0" w:right="0"/>
              <w:contextualSpacing/>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融资额度高，融资金额最高可至订单金额70%，线上申请，随借随还。</w:t>
            </w:r>
            <w:r>
              <w:rPr>
                <w:rFonts w:hint="eastAsia" w:ascii="宋体" w:hAnsi="宋体" w:eastAsia="宋体" w:cs="宋体"/>
                <w:color w:val="000000"/>
                <w:sz w:val="21"/>
                <w:szCs w:val="21"/>
                <w:highlight w:val="none"/>
                <w:lang w:val="en-US" w:eastAsia="zh-CN"/>
              </w:rPr>
              <w:t>2.</w:t>
            </w:r>
            <w:r>
              <w:rPr>
                <w:rFonts w:hint="eastAsia" w:ascii="宋体" w:hAnsi="宋体" w:eastAsia="宋体" w:cs="宋体"/>
                <w:color w:val="000000"/>
                <w:sz w:val="21"/>
                <w:szCs w:val="21"/>
                <w:highlight w:val="none"/>
              </w:rPr>
              <w:t>融资利率低，最低可至当期LPR利率。</w:t>
            </w:r>
          </w:p>
          <w:p w14:paraId="523E1DDF">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contextualSpacing/>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en-US" w:eastAsia="zh-CN"/>
              </w:rPr>
              <w:t>3.</w:t>
            </w:r>
            <w:r>
              <w:rPr>
                <w:rFonts w:hint="eastAsia" w:ascii="宋体" w:hAnsi="宋体" w:eastAsia="宋体" w:cs="宋体"/>
                <w:color w:val="000000"/>
                <w:sz w:val="21"/>
                <w:szCs w:val="21"/>
                <w:highlight w:val="none"/>
              </w:rPr>
              <w:t>担保方式灵活，以政府采购合同进行融资，无需另外抵押。</w:t>
            </w:r>
          </w:p>
        </w:tc>
        <w:tc>
          <w:tcPr>
            <w:tcW w:w="1160" w:type="pct"/>
            <w:noWrap w:val="0"/>
            <w:vAlign w:val="center"/>
          </w:tcPr>
          <w:p w14:paraId="48E65B5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柳超颖</w:t>
            </w:r>
          </w:p>
        </w:tc>
        <w:tc>
          <w:tcPr>
            <w:tcW w:w="998" w:type="pct"/>
            <w:noWrap w:val="0"/>
            <w:vAlign w:val="center"/>
          </w:tcPr>
          <w:p w14:paraId="278B8CE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en-US" w:eastAsia="zh-CN"/>
              </w:rPr>
              <w:t xml:space="preserve">0580-2166242, </w:t>
            </w:r>
            <w:r>
              <w:rPr>
                <w:rFonts w:hint="eastAsia" w:ascii="宋体" w:hAnsi="宋体" w:eastAsia="宋体" w:cs="宋体"/>
                <w:color w:val="000000"/>
                <w:sz w:val="21"/>
                <w:szCs w:val="21"/>
                <w:highlight w:val="none"/>
              </w:rPr>
              <w:t>15858076468</w:t>
            </w:r>
          </w:p>
        </w:tc>
      </w:tr>
      <w:tr w14:paraId="4BFAF4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762" w:type="pct"/>
            <w:noWrap w:val="0"/>
            <w:vAlign w:val="center"/>
          </w:tcPr>
          <w:p w14:paraId="4FC0F67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中国建设银行股份有限公司舟山分行</w:t>
            </w:r>
          </w:p>
        </w:tc>
        <w:tc>
          <w:tcPr>
            <w:tcW w:w="2078" w:type="pct"/>
            <w:noWrap w:val="0"/>
            <w:vAlign w:val="center"/>
          </w:tcPr>
          <w:p w14:paraId="4E325075">
            <w:pPr>
              <w:keepNext w:val="0"/>
              <w:keepLines w:val="0"/>
              <w:pageBreakBefore w:val="0"/>
              <w:widowControl w:val="0"/>
              <w:numPr>
                <w:ilvl w:val="0"/>
                <w:numId w:val="2"/>
              </w:numPr>
              <w:suppressLineNumbers w:val="0"/>
              <w:kinsoku/>
              <w:wordWrap/>
              <w:overflowPunct/>
              <w:topLinePunct w:val="0"/>
              <w:autoSpaceDE/>
              <w:autoSpaceDN/>
              <w:bidi w:val="0"/>
              <w:adjustRightInd/>
              <w:snapToGrid/>
              <w:spacing w:before="0" w:beforeAutospacing="0" w:after="0" w:afterAutospacing="0" w:line="360" w:lineRule="auto"/>
              <w:ind w:left="0" w:right="0"/>
              <w:contextualSpacing/>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快速便捷：全流程线上操作，通过浙江省政府采购网数据审核信用额度，建行供应链平台快速放款。</w:t>
            </w:r>
          </w:p>
          <w:p w14:paraId="38B7257E">
            <w:pPr>
              <w:keepNext w:val="0"/>
              <w:keepLines w:val="0"/>
              <w:pageBreakBefore w:val="0"/>
              <w:widowControl w:val="0"/>
              <w:numPr>
                <w:ilvl w:val="0"/>
                <w:numId w:val="2"/>
              </w:numPr>
              <w:suppressLineNumbers w:val="0"/>
              <w:kinsoku/>
              <w:wordWrap/>
              <w:overflowPunct/>
              <w:topLinePunct w:val="0"/>
              <w:autoSpaceDE/>
              <w:autoSpaceDN/>
              <w:bidi w:val="0"/>
              <w:adjustRightInd/>
              <w:snapToGrid/>
              <w:spacing w:before="0" w:beforeAutospacing="0" w:after="0" w:afterAutospacing="0" w:line="360" w:lineRule="auto"/>
              <w:ind w:left="0" w:right="0"/>
              <w:contextualSpacing/>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申请额度高：单笔融资额度最高可达政府采购合同金额的90%，单户额度最高可达3000万。</w:t>
            </w:r>
          </w:p>
          <w:p w14:paraId="1B583F9D">
            <w:pPr>
              <w:keepNext w:val="0"/>
              <w:keepLines w:val="0"/>
              <w:pageBreakBefore w:val="0"/>
              <w:widowControl w:val="0"/>
              <w:numPr>
                <w:ilvl w:val="0"/>
                <w:numId w:val="2"/>
              </w:numPr>
              <w:suppressLineNumbers w:val="0"/>
              <w:kinsoku/>
              <w:wordWrap/>
              <w:overflowPunct/>
              <w:topLinePunct w:val="0"/>
              <w:autoSpaceDE/>
              <w:autoSpaceDN/>
              <w:bidi w:val="0"/>
              <w:adjustRightInd/>
              <w:snapToGrid/>
              <w:spacing w:before="0" w:beforeAutospacing="0" w:after="0" w:afterAutospacing="0" w:line="360" w:lineRule="auto"/>
              <w:ind w:left="0" w:right="0"/>
              <w:contextualSpacing/>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无需额外抵押：以浙江省政府采购网备案公示的政府采购合同进行融资，无需额外抵押担保。</w:t>
            </w:r>
          </w:p>
          <w:p w14:paraId="13D06DCC">
            <w:pPr>
              <w:keepNext w:val="0"/>
              <w:keepLines w:val="0"/>
              <w:pageBreakBefore w:val="0"/>
              <w:widowControl w:val="0"/>
              <w:numPr>
                <w:ilvl w:val="0"/>
                <w:numId w:val="2"/>
              </w:numPr>
              <w:suppressLineNumbers w:val="0"/>
              <w:kinsoku/>
              <w:wordWrap/>
              <w:overflowPunct/>
              <w:topLinePunct w:val="0"/>
              <w:autoSpaceDE/>
              <w:autoSpaceDN/>
              <w:bidi w:val="0"/>
              <w:adjustRightInd/>
              <w:snapToGrid/>
              <w:spacing w:before="0" w:beforeAutospacing="0" w:after="0" w:afterAutospacing="0" w:line="360" w:lineRule="auto"/>
              <w:ind w:left="0" w:right="0"/>
              <w:contextualSpacing/>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利率优惠：给予流动资金贷款最优惠利率。</w:t>
            </w:r>
          </w:p>
        </w:tc>
        <w:tc>
          <w:tcPr>
            <w:tcW w:w="1160" w:type="pct"/>
            <w:noWrap w:val="0"/>
            <w:vAlign w:val="center"/>
          </w:tcPr>
          <w:p w14:paraId="7CDD4B4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普陀片区：蔡妮妮</w:t>
            </w:r>
          </w:p>
          <w:p w14:paraId="07E35C4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定海片区：杨莹</w:t>
            </w:r>
          </w:p>
          <w:p w14:paraId="1B9C9DB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rPr>
              <w:t>自贸区片区：</w:t>
            </w:r>
            <w:r>
              <w:rPr>
                <w:rFonts w:hint="eastAsia" w:ascii="宋体" w:hAnsi="宋体" w:eastAsia="宋体" w:cs="宋体"/>
                <w:color w:val="000000"/>
                <w:sz w:val="21"/>
                <w:szCs w:val="21"/>
                <w:highlight w:val="none"/>
                <w:lang w:eastAsia="zh-CN"/>
              </w:rPr>
              <w:t>方晓</w:t>
            </w:r>
          </w:p>
        </w:tc>
        <w:tc>
          <w:tcPr>
            <w:tcW w:w="998" w:type="pct"/>
            <w:noWrap w:val="0"/>
            <w:vAlign w:val="center"/>
          </w:tcPr>
          <w:p w14:paraId="5576A3A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普陀片区：13957201791</w:t>
            </w:r>
          </w:p>
          <w:p w14:paraId="089C934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定海片区：13655803997</w:t>
            </w:r>
          </w:p>
          <w:p w14:paraId="619E471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rPr>
              <w:t>自贸区片区：</w:t>
            </w:r>
            <w:r>
              <w:rPr>
                <w:rFonts w:hint="eastAsia" w:ascii="宋体" w:hAnsi="宋体" w:eastAsia="宋体" w:cs="宋体"/>
                <w:color w:val="000000"/>
                <w:sz w:val="21"/>
                <w:szCs w:val="21"/>
                <w:highlight w:val="none"/>
                <w:lang w:val="en-US" w:eastAsia="zh-CN"/>
              </w:rPr>
              <w:t>13587086324</w:t>
            </w:r>
          </w:p>
        </w:tc>
      </w:tr>
      <w:tr w14:paraId="3C992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2" w:type="pct"/>
            <w:noWrap w:val="0"/>
            <w:vAlign w:val="center"/>
          </w:tcPr>
          <w:p w14:paraId="76778D6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杭州银行股份有限公司舟山市分行</w:t>
            </w:r>
          </w:p>
        </w:tc>
        <w:tc>
          <w:tcPr>
            <w:tcW w:w="2078" w:type="pct"/>
            <w:noWrap w:val="0"/>
            <w:vAlign w:val="center"/>
          </w:tcPr>
          <w:p w14:paraId="49FD9E0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1160" w:type="pct"/>
            <w:noWrap w:val="0"/>
            <w:vAlign w:val="center"/>
          </w:tcPr>
          <w:p w14:paraId="68F0D5F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方经理</w:t>
            </w:r>
          </w:p>
        </w:tc>
        <w:tc>
          <w:tcPr>
            <w:tcW w:w="998" w:type="pct"/>
            <w:noWrap w:val="0"/>
            <w:vAlign w:val="center"/>
          </w:tcPr>
          <w:p w14:paraId="0AACAA0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0580-2185201</w:t>
            </w:r>
            <w:r>
              <w:rPr>
                <w:rFonts w:hint="eastAsia" w:ascii="宋体" w:hAnsi="宋体" w:eastAsia="宋体" w:cs="宋体"/>
                <w:color w:val="000000"/>
                <w:sz w:val="21"/>
                <w:szCs w:val="21"/>
                <w:highlight w:val="none"/>
                <w:lang w:eastAsia="zh-CN"/>
              </w:rPr>
              <w:t>，</w:t>
            </w:r>
            <w:r>
              <w:rPr>
                <w:rFonts w:hint="eastAsia" w:ascii="宋体" w:hAnsi="宋体" w:eastAsia="宋体" w:cs="宋体"/>
                <w:color w:val="000000"/>
                <w:sz w:val="21"/>
                <w:szCs w:val="21"/>
                <w:highlight w:val="none"/>
              </w:rPr>
              <w:t>18205800451</w:t>
            </w:r>
          </w:p>
        </w:tc>
      </w:tr>
      <w:tr w14:paraId="72F00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2" w:type="pct"/>
            <w:noWrap w:val="0"/>
            <w:vAlign w:val="center"/>
          </w:tcPr>
          <w:p w14:paraId="7450F59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招商银行股份有限公司浙江自贸试验区舟山分行</w:t>
            </w:r>
          </w:p>
        </w:tc>
        <w:tc>
          <w:tcPr>
            <w:tcW w:w="2078" w:type="pct"/>
            <w:noWrap w:val="0"/>
            <w:vAlign w:val="center"/>
          </w:tcPr>
          <w:p w14:paraId="0C19BD5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1160" w:type="pct"/>
            <w:noWrap w:val="0"/>
            <w:vAlign w:val="center"/>
          </w:tcPr>
          <w:p w14:paraId="577F159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李玲</w:t>
            </w:r>
          </w:p>
        </w:tc>
        <w:tc>
          <w:tcPr>
            <w:tcW w:w="998" w:type="pct"/>
            <w:noWrap w:val="0"/>
            <w:vAlign w:val="center"/>
          </w:tcPr>
          <w:p w14:paraId="701C99E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0580-2061710</w:t>
            </w:r>
            <w:r>
              <w:rPr>
                <w:rFonts w:hint="eastAsia" w:ascii="宋体" w:hAnsi="宋体" w:eastAsia="宋体" w:cs="宋体"/>
                <w:color w:val="000000"/>
                <w:sz w:val="21"/>
                <w:szCs w:val="21"/>
                <w:highlight w:val="none"/>
                <w:lang w:eastAsia="zh-CN"/>
              </w:rPr>
              <w:t>，</w:t>
            </w:r>
            <w:r>
              <w:rPr>
                <w:rFonts w:hint="eastAsia" w:ascii="宋体" w:hAnsi="宋体" w:eastAsia="宋体" w:cs="宋体"/>
                <w:color w:val="000000"/>
                <w:sz w:val="21"/>
                <w:szCs w:val="21"/>
                <w:highlight w:val="none"/>
              </w:rPr>
              <w:t>13957227971</w:t>
            </w:r>
          </w:p>
        </w:tc>
      </w:tr>
      <w:tr w14:paraId="3246DE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762" w:type="pct"/>
            <w:noWrap w:val="0"/>
            <w:vAlign w:val="center"/>
          </w:tcPr>
          <w:p w14:paraId="5CF02D6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温州银行股份有限公司舟山市分行</w:t>
            </w:r>
          </w:p>
        </w:tc>
        <w:tc>
          <w:tcPr>
            <w:tcW w:w="2078" w:type="pct"/>
            <w:noWrap w:val="0"/>
            <w:vAlign w:val="center"/>
          </w:tcPr>
          <w:p w14:paraId="245656A0">
            <w:pPr>
              <w:keepNext w:val="0"/>
              <w:keepLines w:val="0"/>
              <w:pageBreakBefore w:val="0"/>
              <w:widowControl w:val="0"/>
              <w:numPr>
                <w:ilvl w:val="0"/>
                <w:numId w:val="3"/>
              </w:numPr>
              <w:suppressLineNumbers w:val="0"/>
              <w:kinsoku/>
              <w:wordWrap/>
              <w:overflowPunct/>
              <w:topLinePunct w:val="0"/>
              <w:autoSpaceDE/>
              <w:autoSpaceDN/>
              <w:bidi w:val="0"/>
              <w:adjustRightInd/>
              <w:snapToGrid/>
              <w:spacing w:before="0" w:beforeAutospacing="0" w:after="0" w:afterAutospacing="0" w:line="360" w:lineRule="auto"/>
              <w:ind w:left="0" w:right="0"/>
              <w:contextualSpacing/>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eastAsia="zh-CN"/>
              </w:rPr>
              <w:t>单</w:t>
            </w:r>
            <w:r>
              <w:rPr>
                <w:rFonts w:hint="eastAsia" w:ascii="宋体" w:hAnsi="宋体" w:eastAsia="宋体" w:cs="宋体"/>
                <w:color w:val="000000"/>
                <w:sz w:val="21"/>
                <w:szCs w:val="21"/>
                <w:highlight w:val="none"/>
              </w:rPr>
              <w:t>户授信敞口最高不超过1000万元，且最高额度核定一般不超过借款人（含实际控制人控制的其他经营实体）最近13个月合计有效中标合同金额的70%</w:t>
            </w:r>
            <w:r>
              <w:rPr>
                <w:rFonts w:hint="eastAsia" w:ascii="宋体" w:hAnsi="宋体" w:eastAsia="宋体" w:cs="宋体"/>
                <w:color w:val="000000"/>
                <w:sz w:val="21"/>
                <w:szCs w:val="21"/>
                <w:highlight w:val="none"/>
                <w:lang w:eastAsia="zh-CN"/>
              </w:rPr>
              <w:t>。</w:t>
            </w:r>
          </w:p>
          <w:p w14:paraId="3B5E95E8">
            <w:pPr>
              <w:keepNext w:val="0"/>
              <w:keepLines w:val="0"/>
              <w:pageBreakBefore w:val="0"/>
              <w:widowControl w:val="0"/>
              <w:numPr>
                <w:ilvl w:val="0"/>
                <w:numId w:val="3"/>
              </w:numPr>
              <w:suppressLineNumbers w:val="0"/>
              <w:kinsoku/>
              <w:wordWrap/>
              <w:overflowPunct/>
              <w:topLinePunct w:val="0"/>
              <w:autoSpaceDE/>
              <w:autoSpaceDN/>
              <w:bidi w:val="0"/>
              <w:adjustRightInd/>
              <w:snapToGrid/>
              <w:spacing w:before="0" w:beforeAutospacing="0" w:after="0" w:afterAutospacing="0" w:line="360" w:lineRule="auto"/>
              <w:ind w:left="0" w:right="0"/>
              <w:contextualSpacing/>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单笔借款额度最高不超过1000万元，单笔业务授信额度不超过“政采云平台”提供的中标通知书承载的中标金额或本次申请授信提供的采购合同金额的80%，且用信金额不超过采购合同未付金额的80%</w:t>
            </w:r>
            <w:r>
              <w:rPr>
                <w:rFonts w:hint="eastAsia" w:ascii="宋体" w:hAnsi="宋体" w:eastAsia="宋体" w:cs="宋体"/>
                <w:color w:val="000000"/>
                <w:sz w:val="21"/>
                <w:szCs w:val="21"/>
                <w:highlight w:val="none"/>
                <w:lang w:eastAsia="zh-CN"/>
              </w:rPr>
              <w:t>。</w:t>
            </w:r>
          </w:p>
          <w:p w14:paraId="7345A9BC">
            <w:pPr>
              <w:keepNext w:val="0"/>
              <w:keepLines w:val="0"/>
              <w:pageBreakBefore w:val="0"/>
              <w:widowControl w:val="0"/>
              <w:numPr>
                <w:ilvl w:val="0"/>
                <w:numId w:val="3"/>
              </w:numPr>
              <w:suppressLineNumbers w:val="0"/>
              <w:kinsoku/>
              <w:wordWrap/>
              <w:overflowPunct/>
              <w:topLinePunct w:val="0"/>
              <w:autoSpaceDE/>
              <w:autoSpaceDN/>
              <w:bidi w:val="0"/>
              <w:adjustRightInd/>
              <w:snapToGrid/>
              <w:spacing w:before="0" w:beforeAutospacing="0" w:after="0" w:afterAutospacing="0" w:line="360" w:lineRule="auto"/>
              <w:ind w:left="0" w:right="0"/>
              <w:contextualSpacing/>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借款人中标采购人自行采购项目并向我行发起授信申请的，单笔业务授信敞口不超500万元，且不超过借款人中标通知书承载的中标金额或本次申请授信提供的采购合同的80%。</w:t>
            </w:r>
          </w:p>
          <w:p w14:paraId="78BC621A">
            <w:pPr>
              <w:keepNext w:val="0"/>
              <w:keepLines w:val="0"/>
              <w:pageBreakBefore w:val="0"/>
              <w:widowControl w:val="0"/>
              <w:numPr>
                <w:ilvl w:val="0"/>
                <w:numId w:val="3"/>
              </w:numPr>
              <w:suppressLineNumbers w:val="0"/>
              <w:kinsoku/>
              <w:wordWrap/>
              <w:overflowPunct/>
              <w:topLinePunct w:val="0"/>
              <w:autoSpaceDE/>
              <w:autoSpaceDN/>
              <w:bidi w:val="0"/>
              <w:adjustRightInd/>
              <w:snapToGrid/>
              <w:spacing w:before="0" w:beforeAutospacing="0" w:after="0" w:afterAutospacing="0" w:line="360" w:lineRule="auto"/>
              <w:ind w:left="0" w:right="0"/>
              <w:contextualSpacing/>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符合我行采购人资质的，且负债率不超75%，配合应收账款质押登记确认的，并可出具确认函，单笔借款额度可按不超过采购合同的90%办理。</w:t>
            </w:r>
          </w:p>
        </w:tc>
        <w:tc>
          <w:tcPr>
            <w:tcW w:w="1160" w:type="pct"/>
            <w:noWrap w:val="0"/>
            <w:vAlign w:val="center"/>
          </w:tcPr>
          <w:p w14:paraId="517513B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郑贤栋</w:t>
            </w:r>
          </w:p>
        </w:tc>
        <w:tc>
          <w:tcPr>
            <w:tcW w:w="998" w:type="pct"/>
            <w:noWrap w:val="0"/>
            <w:vAlign w:val="center"/>
          </w:tcPr>
          <w:p w14:paraId="53F6C11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058—8866086</w:t>
            </w:r>
          </w:p>
        </w:tc>
      </w:tr>
      <w:tr w14:paraId="69F12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2" w:type="pct"/>
            <w:noWrap w:val="0"/>
            <w:vAlign w:val="center"/>
          </w:tcPr>
          <w:p w14:paraId="3CDCFA5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交通银行股份有限公司舟山分行</w:t>
            </w:r>
          </w:p>
        </w:tc>
        <w:tc>
          <w:tcPr>
            <w:tcW w:w="2078" w:type="pct"/>
            <w:noWrap w:val="0"/>
            <w:vAlign w:val="center"/>
          </w:tcPr>
          <w:p w14:paraId="18F4F54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textAlignment w:val="auto"/>
              <w:rPr>
                <w:rFonts w:hint="eastAsia" w:ascii="宋体" w:hAnsi="宋体" w:eastAsia="宋体" w:cs="宋体"/>
                <w:color w:val="000000"/>
                <w:sz w:val="21"/>
                <w:szCs w:val="21"/>
                <w:highlight w:val="none"/>
              </w:rPr>
            </w:pPr>
            <w:r>
              <w:rPr>
                <w:rFonts w:hint="eastAsia" w:ascii="宋体" w:hAnsi="宋体" w:eastAsia="宋体" w:cs="宋体"/>
                <w:sz w:val="21"/>
                <w:szCs w:val="21"/>
                <w:highlight w:val="none"/>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PR。</w:t>
            </w:r>
          </w:p>
        </w:tc>
        <w:tc>
          <w:tcPr>
            <w:tcW w:w="1160" w:type="pct"/>
            <w:noWrap w:val="0"/>
            <w:vAlign w:val="center"/>
          </w:tcPr>
          <w:p w14:paraId="47C042D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赵争艳</w:t>
            </w:r>
          </w:p>
        </w:tc>
        <w:tc>
          <w:tcPr>
            <w:tcW w:w="998" w:type="pct"/>
            <w:noWrap w:val="0"/>
            <w:vAlign w:val="center"/>
          </w:tcPr>
          <w:p w14:paraId="0AD0574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0580-2260728</w:t>
            </w:r>
          </w:p>
          <w:p w14:paraId="45034CC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13758007280</w:t>
            </w:r>
          </w:p>
        </w:tc>
      </w:tr>
      <w:tr w14:paraId="379FA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762" w:type="pct"/>
            <w:noWrap w:val="0"/>
            <w:vAlign w:val="center"/>
          </w:tcPr>
          <w:p w14:paraId="1A6D1B0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中信银行股份有限公司舟山分行</w:t>
            </w:r>
          </w:p>
        </w:tc>
        <w:tc>
          <w:tcPr>
            <w:tcW w:w="2078" w:type="pct"/>
            <w:noWrap w:val="0"/>
            <w:vAlign w:val="center"/>
          </w:tcPr>
          <w:p w14:paraId="2C2D104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1160" w:type="pct"/>
            <w:noWrap w:val="0"/>
            <w:vAlign w:val="center"/>
          </w:tcPr>
          <w:p w14:paraId="1F39364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lang w:val="en-US"/>
              </w:rPr>
              <w:t>黄丽</w:t>
            </w:r>
          </w:p>
        </w:tc>
        <w:tc>
          <w:tcPr>
            <w:tcW w:w="998" w:type="pct"/>
            <w:noWrap w:val="0"/>
            <w:vAlign w:val="center"/>
          </w:tcPr>
          <w:p w14:paraId="4A136C9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lang w:val="en-US"/>
              </w:rPr>
              <w:t>13905808032</w:t>
            </w:r>
          </w:p>
        </w:tc>
      </w:tr>
      <w:tr w14:paraId="4B827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762" w:type="pct"/>
            <w:noWrap w:val="0"/>
            <w:vAlign w:val="center"/>
          </w:tcPr>
          <w:p w14:paraId="32504F9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泰隆银行舟山市分行</w:t>
            </w:r>
          </w:p>
        </w:tc>
        <w:tc>
          <w:tcPr>
            <w:tcW w:w="2078" w:type="pct"/>
            <w:noWrap w:val="0"/>
            <w:vAlign w:val="center"/>
          </w:tcPr>
          <w:p w14:paraId="05F9A3E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1160" w:type="pct"/>
            <w:noWrap w:val="0"/>
            <w:vAlign w:val="center"/>
          </w:tcPr>
          <w:p w14:paraId="3C76F7C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胡亢宇</w:t>
            </w:r>
          </w:p>
        </w:tc>
        <w:tc>
          <w:tcPr>
            <w:tcW w:w="998" w:type="pct"/>
            <w:noWrap w:val="0"/>
            <w:vAlign w:val="center"/>
          </w:tcPr>
          <w:p w14:paraId="1462D46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17605868703</w:t>
            </w:r>
          </w:p>
        </w:tc>
      </w:tr>
      <w:tr w14:paraId="353F7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762" w:type="pct"/>
            <w:noWrap w:val="0"/>
            <w:vAlign w:val="center"/>
          </w:tcPr>
          <w:p w14:paraId="122B07C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中国农业银行股份有限公司舟山分行</w:t>
            </w:r>
          </w:p>
        </w:tc>
        <w:tc>
          <w:tcPr>
            <w:tcW w:w="2078" w:type="pct"/>
            <w:noWrap w:val="0"/>
            <w:vAlign w:val="center"/>
          </w:tcPr>
          <w:p w14:paraId="73F64FE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lang w:eastAsia="zh-CN"/>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1160" w:type="pct"/>
            <w:noWrap w:val="0"/>
            <w:vAlign w:val="center"/>
          </w:tcPr>
          <w:p w14:paraId="71E57C9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苏华瞻</w:t>
            </w:r>
          </w:p>
        </w:tc>
        <w:tc>
          <w:tcPr>
            <w:tcW w:w="998" w:type="pct"/>
            <w:noWrap w:val="0"/>
            <w:vAlign w:val="center"/>
          </w:tcPr>
          <w:p w14:paraId="346A244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13967228926</w:t>
            </w:r>
          </w:p>
        </w:tc>
      </w:tr>
      <w:tr w14:paraId="7E78D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762" w:type="pct"/>
            <w:noWrap w:val="0"/>
            <w:vAlign w:val="center"/>
          </w:tcPr>
          <w:p w14:paraId="0BB3400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中国邮政储蓄银行股份有限公司舟山市分行</w:t>
            </w:r>
          </w:p>
        </w:tc>
        <w:tc>
          <w:tcPr>
            <w:tcW w:w="2078" w:type="pct"/>
            <w:noWrap w:val="0"/>
            <w:vAlign w:val="center"/>
          </w:tcPr>
          <w:p w14:paraId="49690269">
            <w:pPr>
              <w:keepNext w:val="0"/>
              <w:keepLines w:val="0"/>
              <w:pageBreakBefore w:val="0"/>
              <w:widowControl w:val="0"/>
              <w:suppressLineNumbers w:val="0"/>
              <w:tabs>
                <w:tab w:val="left" w:pos="0"/>
              </w:tabs>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符合我行基本准入，</w:t>
            </w:r>
            <w:r>
              <w:rPr>
                <w:rFonts w:hint="eastAsia" w:ascii="宋体" w:hAnsi="宋体" w:eastAsia="宋体" w:cs="宋体"/>
                <w:color w:val="000000"/>
                <w:sz w:val="21"/>
                <w:szCs w:val="21"/>
                <w:highlight w:val="none"/>
                <w:lang w:val="en-US" w:eastAsia="zh-CN"/>
              </w:rPr>
              <w:t>授信额度使用期最高为2年</w:t>
            </w:r>
            <w:r>
              <w:rPr>
                <w:rFonts w:hint="eastAsia" w:ascii="宋体" w:hAnsi="宋体" w:eastAsia="宋体" w:cs="宋体"/>
                <w:color w:val="000000"/>
                <w:sz w:val="21"/>
                <w:szCs w:val="21"/>
                <w:highlight w:val="none"/>
              </w:rPr>
              <w:t>，</w:t>
            </w:r>
            <w:r>
              <w:rPr>
                <w:rFonts w:hint="eastAsia" w:ascii="宋体" w:hAnsi="宋体" w:eastAsia="宋体" w:cs="宋体"/>
                <w:color w:val="000000"/>
                <w:sz w:val="21"/>
                <w:szCs w:val="21"/>
                <w:highlight w:val="none"/>
                <w:lang w:val="en-US" w:eastAsia="zh-CN"/>
              </w:rPr>
              <w:t>单户授信最高为500万</w:t>
            </w:r>
            <w:r>
              <w:rPr>
                <w:rFonts w:hint="eastAsia" w:ascii="宋体" w:hAnsi="宋体" w:eastAsia="宋体" w:cs="宋体"/>
                <w:color w:val="000000"/>
                <w:sz w:val="21"/>
                <w:szCs w:val="21"/>
                <w:highlight w:val="none"/>
              </w:rPr>
              <w:t>，担保方式享受信用贷款执行，利率最低可至当期LPR ，</w:t>
            </w:r>
            <w:r>
              <w:rPr>
                <w:rFonts w:hint="eastAsia" w:ascii="宋体" w:hAnsi="宋体" w:eastAsia="宋体" w:cs="宋体"/>
                <w:color w:val="000000"/>
                <w:sz w:val="21"/>
                <w:szCs w:val="21"/>
                <w:highlight w:val="none"/>
                <w:lang w:val="en-US" w:eastAsia="zh-CN"/>
              </w:rPr>
              <w:t>有无还本续贷</w:t>
            </w:r>
            <w:r>
              <w:rPr>
                <w:rFonts w:hint="eastAsia" w:ascii="宋体" w:hAnsi="宋体" w:eastAsia="宋体" w:cs="宋体"/>
                <w:color w:val="000000"/>
                <w:sz w:val="21"/>
                <w:szCs w:val="21"/>
                <w:highlight w:val="none"/>
                <w:lang w:eastAsia="zh-CN"/>
              </w:rPr>
              <w:t>，</w:t>
            </w:r>
            <w:r>
              <w:rPr>
                <w:rFonts w:hint="eastAsia" w:ascii="宋体" w:hAnsi="宋体" w:eastAsia="宋体" w:cs="宋体"/>
                <w:color w:val="000000"/>
                <w:sz w:val="21"/>
                <w:szCs w:val="21"/>
                <w:highlight w:val="none"/>
                <w:lang w:val="en-US" w:eastAsia="zh-CN"/>
              </w:rPr>
              <w:t>12月份线上产品可以自主自贷。</w:t>
            </w:r>
          </w:p>
        </w:tc>
        <w:tc>
          <w:tcPr>
            <w:tcW w:w="1160" w:type="pct"/>
            <w:noWrap w:val="0"/>
            <w:vAlign w:val="center"/>
          </w:tcPr>
          <w:p w14:paraId="2C8E627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蒋志燕</w:t>
            </w:r>
          </w:p>
        </w:tc>
        <w:tc>
          <w:tcPr>
            <w:tcW w:w="998" w:type="pct"/>
            <w:noWrap w:val="0"/>
            <w:vAlign w:val="center"/>
          </w:tcPr>
          <w:p w14:paraId="24E5446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contextualSpacing/>
              <w:jc w:val="center"/>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13732527321</w:t>
            </w:r>
          </w:p>
        </w:tc>
      </w:tr>
    </w:tbl>
    <w:p w14:paraId="663700C7">
      <w:pPr>
        <w:pageBreakBefore w:val="0"/>
        <w:kinsoku/>
        <w:wordWrap/>
        <w:overflowPunct/>
        <w:topLinePunct w:val="0"/>
        <w:bidi w:val="0"/>
        <w:spacing w:line="360" w:lineRule="auto"/>
        <w:ind w:firstLine="420" w:firstLineChars="200"/>
        <w:outlineLvl w:val="9"/>
        <w:rPr>
          <w:rFonts w:hint="eastAsia" w:ascii="宋体" w:hAnsi="宋体" w:eastAsia="宋体" w:cs="宋体"/>
          <w:bCs/>
          <w:sz w:val="21"/>
          <w:szCs w:val="21"/>
          <w:highlight w:val="none"/>
        </w:rPr>
      </w:pPr>
      <w:r>
        <w:rPr>
          <w:rFonts w:hint="eastAsia" w:ascii="宋体" w:hAnsi="宋体" w:eastAsia="宋体" w:cs="宋体"/>
          <w:bCs/>
          <w:sz w:val="21"/>
          <w:szCs w:val="21"/>
          <w:highlight w:val="none"/>
        </w:rPr>
        <w:t>2、一般步骤</w:t>
      </w:r>
    </w:p>
    <w:p w14:paraId="578BDE87">
      <w:pPr>
        <w:pageBreakBefore w:val="0"/>
        <w:kinsoku/>
        <w:wordWrap/>
        <w:overflowPunct/>
        <w:topLinePunct w:val="0"/>
        <w:bidi w:val="0"/>
        <w:spacing w:line="360" w:lineRule="auto"/>
        <w:ind w:firstLine="420" w:firstLineChars="200"/>
        <w:outlineLvl w:val="9"/>
        <w:rPr>
          <w:rFonts w:hint="eastAsia" w:ascii="宋体" w:hAnsi="宋体" w:eastAsia="宋体" w:cs="宋体"/>
          <w:bCs/>
          <w:sz w:val="21"/>
          <w:szCs w:val="21"/>
          <w:highlight w:val="none"/>
        </w:rPr>
      </w:pPr>
      <w:r>
        <w:rPr>
          <w:rFonts w:hint="eastAsia" w:ascii="宋体" w:hAnsi="宋体" w:eastAsia="宋体" w:cs="宋体"/>
          <w:bCs/>
          <w:sz w:val="21"/>
          <w:szCs w:val="21"/>
          <w:highlight w:val="none"/>
        </w:rPr>
        <w:t>（1）供应商先与银行对接，办理融资前期手续；</w:t>
      </w:r>
    </w:p>
    <w:p w14:paraId="4B8AF95F">
      <w:pPr>
        <w:pageBreakBefore w:val="0"/>
        <w:kinsoku/>
        <w:wordWrap/>
        <w:overflowPunct/>
        <w:topLinePunct w:val="0"/>
        <w:bidi w:val="0"/>
        <w:spacing w:line="360" w:lineRule="auto"/>
        <w:ind w:firstLine="420" w:firstLineChars="200"/>
        <w:rPr>
          <w:rFonts w:hint="eastAsia" w:ascii="宋体" w:hAnsi="宋体" w:eastAsia="宋体" w:cs="宋体"/>
          <w:bCs/>
          <w:sz w:val="21"/>
          <w:szCs w:val="21"/>
          <w:highlight w:val="none"/>
        </w:rPr>
      </w:pPr>
      <w:r>
        <w:rPr>
          <w:rFonts w:hint="eastAsia" w:ascii="宋体" w:hAnsi="宋体" w:eastAsia="宋体" w:cs="宋体"/>
          <w:bCs/>
          <w:sz w:val="21"/>
          <w:szCs w:val="21"/>
          <w:highlight w:val="none"/>
        </w:rPr>
        <w:t>（2）供应商中标后，凭中标通知书等材料，向相关合作银行发出融资申请；</w:t>
      </w:r>
    </w:p>
    <w:p w14:paraId="6220DCC6">
      <w:pPr>
        <w:pageBreakBefore w:val="0"/>
        <w:kinsoku/>
        <w:wordWrap/>
        <w:overflowPunct/>
        <w:topLinePunct w:val="0"/>
        <w:bidi w:val="0"/>
        <w:spacing w:line="360" w:lineRule="auto"/>
        <w:ind w:firstLine="420" w:firstLineChars="200"/>
        <w:outlineLvl w:val="9"/>
        <w:rPr>
          <w:rFonts w:hint="eastAsia" w:ascii="宋体" w:hAnsi="宋体" w:eastAsia="宋体" w:cs="宋体"/>
          <w:bCs/>
          <w:sz w:val="21"/>
          <w:szCs w:val="21"/>
          <w:highlight w:val="none"/>
        </w:rPr>
      </w:pPr>
      <w:r>
        <w:rPr>
          <w:rFonts w:hint="eastAsia" w:ascii="宋体" w:hAnsi="宋体" w:eastAsia="宋体" w:cs="宋体"/>
          <w:bCs/>
          <w:sz w:val="21"/>
          <w:szCs w:val="21"/>
          <w:highlight w:val="none"/>
        </w:rPr>
        <w:t>（3）银行、供应商线下办理审批、放贷事宜。</w:t>
      </w:r>
    </w:p>
    <w:p w14:paraId="72597985">
      <w:pPr>
        <w:pageBreakBefore w:val="0"/>
        <w:kinsoku/>
        <w:wordWrap/>
        <w:overflowPunct/>
        <w:topLinePunct w:val="0"/>
        <w:bidi w:val="0"/>
        <w:spacing w:line="360" w:lineRule="auto"/>
        <w:ind w:firstLine="420" w:firstLineChars="200"/>
        <w:outlineLvl w:val="9"/>
        <w:rPr>
          <w:rFonts w:hint="eastAsia" w:ascii="宋体" w:hAnsi="宋体" w:eastAsia="宋体" w:cs="宋体"/>
          <w:bCs/>
          <w:sz w:val="21"/>
          <w:szCs w:val="21"/>
          <w:highlight w:val="none"/>
        </w:rPr>
      </w:pPr>
      <w:r>
        <w:rPr>
          <w:rFonts w:hint="eastAsia" w:ascii="宋体" w:hAnsi="宋体" w:eastAsia="宋体" w:cs="宋体"/>
          <w:bCs/>
          <w:sz w:val="21"/>
          <w:szCs w:val="21"/>
          <w:highlight w:val="none"/>
        </w:rPr>
        <w:t>3、注意事项</w:t>
      </w:r>
    </w:p>
    <w:p w14:paraId="24551D5D">
      <w:pPr>
        <w:pageBreakBefore w:val="0"/>
        <w:kinsoku/>
        <w:wordWrap/>
        <w:overflowPunct/>
        <w:topLinePunct w:val="0"/>
        <w:bidi w:val="0"/>
        <w:spacing w:line="360" w:lineRule="auto"/>
        <w:ind w:firstLine="420" w:firstLineChars="200"/>
        <w:rPr>
          <w:rFonts w:hint="eastAsia" w:ascii="宋体" w:hAnsi="宋体" w:eastAsia="宋体" w:cs="宋体"/>
          <w:bCs/>
          <w:sz w:val="21"/>
          <w:szCs w:val="21"/>
          <w:highlight w:val="none"/>
        </w:rPr>
      </w:pPr>
      <w:r>
        <w:rPr>
          <w:rFonts w:hint="eastAsia" w:ascii="宋体" w:hAnsi="宋体" w:eastAsia="宋体" w:cs="宋体"/>
          <w:bCs/>
          <w:sz w:val="21"/>
          <w:szCs w:val="21"/>
          <w:highlight w:val="none"/>
        </w:rPr>
        <w:t>（1）</w:t>
      </w:r>
      <w:r>
        <w:rPr>
          <w:rFonts w:hint="eastAsia" w:ascii="宋体" w:hAnsi="宋体" w:eastAsia="宋体" w:cs="宋体"/>
          <w:bCs/>
          <w:sz w:val="21"/>
          <w:szCs w:val="21"/>
          <w:highlight w:val="none"/>
          <w:lang w:eastAsia="zh-CN"/>
        </w:rPr>
        <w:t>中标人</w:t>
      </w:r>
      <w:r>
        <w:rPr>
          <w:rFonts w:hint="eastAsia" w:ascii="宋体" w:hAnsi="宋体" w:eastAsia="宋体" w:cs="宋体"/>
          <w:bCs/>
          <w:sz w:val="21"/>
          <w:szCs w:val="21"/>
          <w:highlight w:val="none"/>
        </w:rPr>
        <w:t>需确保政府采购合同的收款账户与融资银行开户账户一致。</w:t>
      </w:r>
    </w:p>
    <w:p w14:paraId="1C96E199">
      <w:pPr>
        <w:pageBreakBefore w:val="0"/>
        <w:kinsoku/>
        <w:wordWrap/>
        <w:overflowPunct/>
        <w:topLinePunct w:val="0"/>
        <w:bidi w:val="0"/>
        <w:spacing w:line="360" w:lineRule="auto"/>
        <w:ind w:firstLine="420" w:firstLineChars="200"/>
        <w:rPr>
          <w:rFonts w:hint="eastAsia" w:ascii="宋体" w:hAnsi="宋体" w:eastAsia="宋体" w:cs="宋体"/>
          <w:bCs/>
          <w:sz w:val="21"/>
          <w:szCs w:val="21"/>
          <w:highlight w:val="none"/>
        </w:rPr>
      </w:pPr>
      <w:r>
        <w:rPr>
          <w:rFonts w:hint="eastAsia" w:ascii="宋体" w:hAnsi="宋体" w:eastAsia="宋体" w:cs="宋体"/>
          <w:bCs/>
          <w:sz w:val="21"/>
          <w:szCs w:val="21"/>
          <w:highlight w:val="none"/>
        </w:rPr>
        <w:t>（2）用于政府采购信用融资的政府采购合同，应当包含如下条款：“第</w:t>
      </w:r>
      <w:r>
        <w:rPr>
          <w:rFonts w:hint="eastAsia" w:ascii="宋体" w:hAnsi="宋体" w:eastAsia="宋体" w:cs="宋体"/>
          <w:bCs/>
          <w:sz w:val="21"/>
          <w:szCs w:val="21"/>
          <w:highlight w:val="none"/>
          <w:u w:val="single"/>
        </w:rPr>
        <w:t xml:space="preserve">   </w:t>
      </w:r>
      <w:r>
        <w:rPr>
          <w:rFonts w:hint="eastAsia" w:ascii="宋体" w:hAnsi="宋体" w:eastAsia="宋体" w:cs="宋体"/>
          <w:bCs/>
          <w:sz w:val="21"/>
          <w:szCs w:val="21"/>
          <w:highlight w:val="none"/>
        </w:rPr>
        <w:t>条：政府采购合同贷款</w:t>
      </w:r>
    </w:p>
    <w:p w14:paraId="011FF35C">
      <w:pPr>
        <w:pageBreakBefore w:val="0"/>
        <w:kinsoku/>
        <w:wordWrap/>
        <w:overflowPunct/>
        <w:topLinePunct w:val="0"/>
        <w:bidi w:val="0"/>
        <w:spacing w:line="360" w:lineRule="auto"/>
        <w:ind w:firstLine="420" w:firstLineChars="200"/>
        <w:rPr>
          <w:rFonts w:hint="eastAsia" w:ascii="宋体" w:hAnsi="宋体" w:eastAsia="宋体" w:cs="宋体"/>
          <w:bCs/>
          <w:sz w:val="21"/>
          <w:szCs w:val="21"/>
          <w:highlight w:val="none"/>
        </w:rPr>
      </w:pPr>
      <w:r>
        <w:rPr>
          <w:rFonts w:hint="eastAsia" w:ascii="宋体" w:hAnsi="宋体" w:eastAsia="宋体" w:cs="宋体"/>
          <w:bCs/>
          <w:sz w:val="21"/>
          <w:szCs w:val="21"/>
          <w:highlight w:val="none"/>
        </w:rPr>
        <w:t xml:space="preserve">本合同同时用于乙方向 </w:t>
      </w:r>
      <w:r>
        <w:rPr>
          <w:rFonts w:hint="eastAsia" w:ascii="宋体" w:hAnsi="宋体" w:eastAsia="宋体" w:cs="宋体"/>
          <w:bCs/>
          <w:sz w:val="21"/>
          <w:szCs w:val="21"/>
          <w:highlight w:val="none"/>
          <w:u w:val="single"/>
        </w:rPr>
        <w:t xml:space="preserve">     </w:t>
      </w:r>
      <w:r>
        <w:rPr>
          <w:rFonts w:hint="eastAsia" w:ascii="宋体" w:hAnsi="宋体" w:eastAsia="宋体" w:cs="宋体"/>
          <w:bCs/>
          <w:sz w:val="21"/>
          <w:szCs w:val="21"/>
          <w:highlight w:val="none"/>
        </w:rPr>
        <w:t>银行（金融机构）申请政府采购信用贷款。</w:t>
      </w:r>
    </w:p>
    <w:p w14:paraId="6783963C">
      <w:pPr>
        <w:pageBreakBefore w:val="0"/>
        <w:kinsoku/>
        <w:wordWrap/>
        <w:overflowPunct/>
        <w:topLinePunct w:val="0"/>
        <w:bidi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bCs/>
          <w:sz w:val="21"/>
          <w:szCs w:val="21"/>
          <w:highlight w:val="none"/>
        </w:rPr>
        <w:t>本合同一经签订，原则上不得更改乙方收款账户信息。确须更改的，乙方应取得原合同收款账户开户银行书面同意，否则修改后的合同不予备案，采购资金不予支付。”</w:t>
      </w:r>
    </w:p>
    <w:p w14:paraId="0A55FF1F">
      <w:pPr>
        <w:pageBreakBefore w:val="0"/>
        <w:kinsoku/>
        <w:wordWrap/>
        <w:overflowPunct/>
        <w:topLinePunct w:val="0"/>
        <w:bidi w:val="0"/>
        <w:snapToGrid w:val="0"/>
        <w:spacing w:line="360" w:lineRule="auto"/>
        <w:ind w:firstLine="422" w:firstLineChars="200"/>
        <w:outlineLvl w:val="9"/>
        <w:rPr>
          <w:rFonts w:hint="eastAsia" w:ascii="宋体" w:hAnsi="宋体" w:eastAsia="宋体" w:cs="宋体"/>
          <w:b/>
          <w:sz w:val="21"/>
          <w:szCs w:val="21"/>
          <w:highlight w:val="none"/>
        </w:rPr>
      </w:pPr>
      <w:r>
        <w:rPr>
          <w:rFonts w:hint="eastAsia" w:ascii="宋体" w:hAnsi="宋体" w:eastAsia="宋体" w:cs="宋体"/>
          <w:b/>
          <w:sz w:val="21"/>
          <w:szCs w:val="21"/>
          <w:highlight w:val="none"/>
        </w:rPr>
        <w:t>（十一）中金招标有限责任公司拥有本磋商文件最终解释权。</w:t>
      </w:r>
    </w:p>
    <w:p w14:paraId="1550244D">
      <w:pPr>
        <w:pageBreakBefore w:val="0"/>
        <w:kinsoku/>
        <w:wordWrap/>
        <w:overflowPunct/>
        <w:topLinePunct w:val="0"/>
        <w:bidi w:val="0"/>
        <w:snapToGrid w:val="0"/>
        <w:spacing w:line="360" w:lineRule="auto"/>
        <w:jc w:val="center"/>
        <w:rPr>
          <w:rFonts w:hint="eastAsia" w:ascii="宋体" w:hAnsi="宋体" w:eastAsia="宋体" w:cs="宋体"/>
          <w:b/>
          <w:sz w:val="21"/>
          <w:szCs w:val="21"/>
          <w:highlight w:val="none"/>
        </w:rPr>
      </w:pPr>
    </w:p>
    <w:p w14:paraId="7F173654">
      <w:pPr>
        <w:pageBreakBefore w:val="0"/>
        <w:kinsoku/>
        <w:wordWrap/>
        <w:overflowPunct/>
        <w:topLinePunct w:val="0"/>
        <w:bidi w:val="0"/>
        <w:snapToGrid w:val="0"/>
        <w:spacing w:line="360" w:lineRule="auto"/>
        <w:jc w:val="center"/>
        <w:outlineLvl w:val="1"/>
        <w:rPr>
          <w:rFonts w:hint="eastAsia" w:ascii="宋体" w:hAnsi="宋体" w:eastAsia="宋体" w:cs="宋体"/>
          <w:b/>
          <w:sz w:val="21"/>
          <w:szCs w:val="21"/>
          <w:highlight w:val="none"/>
        </w:rPr>
      </w:pPr>
      <w:r>
        <w:rPr>
          <w:rFonts w:hint="eastAsia" w:ascii="宋体" w:hAnsi="宋体" w:eastAsia="宋体" w:cs="宋体"/>
          <w:b/>
          <w:sz w:val="21"/>
          <w:szCs w:val="21"/>
          <w:highlight w:val="none"/>
        </w:rPr>
        <w:t>二、磋商文件</w:t>
      </w:r>
    </w:p>
    <w:p w14:paraId="76F8C2D2">
      <w:pPr>
        <w:pageBreakBefore w:val="0"/>
        <w:kinsoku/>
        <w:wordWrap/>
        <w:overflowPunct/>
        <w:topLinePunct w:val="0"/>
        <w:bidi w:val="0"/>
        <w:snapToGrid w:val="0"/>
        <w:spacing w:line="360" w:lineRule="auto"/>
        <w:ind w:firstLine="422" w:firstLineChars="200"/>
        <w:outlineLvl w:val="9"/>
        <w:rPr>
          <w:rFonts w:hint="eastAsia" w:ascii="宋体" w:hAnsi="宋体" w:eastAsia="宋体" w:cs="宋体"/>
          <w:b/>
          <w:sz w:val="21"/>
          <w:szCs w:val="21"/>
          <w:highlight w:val="none"/>
        </w:rPr>
      </w:pPr>
      <w:r>
        <w:rPr>
          <w:rFonts w:hint="eastAsia" w:ascii="宋体" w:hAnsi="宋体" w:eastAsia="宋体" w:cs="宋体"/>
          <w:b/>
          <w:sz w:val="21"/>
          <w:szCs w:val="21"/>
          <w:highlight w:val="none"/>
        </w:rPr>
        <w:t>（一）磋商文件的构成</w:t>
      </w:r>
    </w:p>
    <w:p w14:paraId="64855A29">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第一章  竞争性磋商公告</w:t>
      </w:r>
    </w:p>
    <w:p w14:paraId="2804E721">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第二章  采购需求</w:t>
      </w:r>
    </w:p>
    <w:p w14:paraId="00E3455C">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第三章  响应人须知</w:t>
      </w:r>
    </w:p>
    <w:p w14:paraId="358DD50E">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第四章  评标办法及标准</w:t>
      </w:r>
    </w:p>
    <w:p w14:paraId="710E4C58">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第五章  合同主要条款</w:t>
      </w:r>
    </w:p>
    <w:p w14:paraId="22D24E87">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第六章  响应文件组成</w:t>
      </w:r>
    </w:p>
    <w:p w14:paraId="7E69C0E0">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其他有关补充文件</w:t>
      </w:r>
    </w:p>
    <w:p w14:paraId="434FFF54">
      <w:pPr>
        <w:pStyle w:val="7"/>
        <w:pageBreakBefore w:val="0"/>
        <w:widowControl w:val="0"/>
        <w:kinsoku/>
        <w:wordWrap/>
        <w:overflowPunct/>
        <w:topLinePunct w:val="0"/>
        <w:bidi w:val="0"/>
        <w:snapToGrid w:val="0"/>
        <w:spacing w:after="0" w:afterLines="0" w:line="360" w:lineRule="auto"/>
        <w:ind w:left="0" w:firstLine="422" w:firstLineChars="200"/>
        <w:jc w:val="both"/>
        <w:outlineLvl w:val="9"/>
        <w:rPr>
          <w:rFonts w:hint="eastAsia" w:ascii="宋体" w:hAnsi="宋体" w:eastAsia="宋体" w:cs="宋体"/>
          <w:b/>
          <w:kern w:val="2"/>
          <w:sz w:val="21"/>
          <w:szCs w:val="21"/>
          <w:highlight w:val="none"/>
        </w:rPr>
      </w:pPr>
      <w:r>
        <w:rPr>
          <w:rFonts w:hint="eastAsia" w:ascii="宋体" w:hAnsi="宋体" w:eastAsia="宋体" w:cs="宋体"/>
          <w:b/>
          <w:sz w:val="21"/>
          <w:szCs w:val="21"/>
          <w:highlight w:val="none"/>
        </w:rPr>
        <w:t>（</w:t>
      </w:r>
      <w:r>
        <w:rPr>
          <w:rFonts w:hint="eastAsia" w:ascii="宋体" w:hAnsi="宋体" w:eastAsia="宋体" w:cs="宋体"/>
          <w:b/>
          <w:kern w:val="2"/>
          <w:sz w:val="21"/>
          <w:szCs w:val="21"/>
          <w:highlight w:val="none"/>
        </w:rPr>
        <w:t xml:space="preserve">二）磋商文件的澄清与修改 </w:t>
      </w:r>
    </w:p>
    <w:p w14:paraId="725322EE">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响应人应认真阅读本磋商文件，发现其中有误或有要求不合理的，响应人必须在投标截止前5天内以书面形式要求采购人澄清。响应人对已发出的磋商文件进行必要澄清、答复、修改或补充的，应当在磋商文件要求提交响应文件截止时间5天前，在相关的采购信息发布媒体上发布更正公告，并通知所有已购买磋商文件的潜在响应人。</w:t>
      </w:r>
    </w:p>
    <w:p w14:paraId="6EC9ED10">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2、采购人以书面形式答复响应人要求澄清的问题，并将不包含问题来源的答复书面通知所有购买磋商文件的潜在响应人；除书面答复以外的其他澄清方式及澄清内容均无效。</w:t>
      </w:r>
    </w:p>
    <w:p w14:paraId="36CEF7A6">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3、磋商文件的答复、澄清、修改、补充通知实质上改变采购需求相关内容，且自磋商文件的答复、澄清、修改、补充通知发出之日起至投标截止时间止不足5天的，采购人可视情况推迟投标截止时间和开标时间，按规定在相关的采购信息发布媒体上发布变更公告，并将变更后的时间通知所有已购买磋商文件的潜在响应人。</w:t>
      </w:r>
    </w:p>
    <w:p w14:paraId="3827C87E">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4、磋商文件澄清、答复、修改、补充的内容为磋商文件的组成部分。当磋商文件与磋商文件的答复、澄清、修改、补充通知就同一内容的表述不一致时，以最后发出的书面文件为准。</w:t>
      </w:r>
    </w:p>
    <w:p w14:paraId="00BEEDAC">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5、磋商文件的澄清、答复、修改或补充都应该通过本招标代理机构以法定形式发布，采购人非通过本招标代理机构的，不得擅自澄清、答复、修改或补充磋商文件。</w:t>
      </w:r>
    </w:p>
    <w:p w14:paraId="5EC7C3ED">
      <w:pPr>
        <w:pStyle w:val="13"/>
        <w:pageBreakBefore w:val="0"/>
        <w:kinsoku/>
        <w:wordWrap/>
        <w:overflowPunct/>
        <w:topLinePunct w:val="0"/>
        <w:bidi w:val="0"/>
        <w:snapToGrid w:val="0"/>
        <w:spacing w:line="360" w:lineRule="auto"/>
        <w:ind w:firstLine="415" w:firstLineChars="198"/>
        <w:rPr>
          <w:rFonts w:hint="eastAsia" w:ascii="宋体" w:hAnsi="宋体" w:eastAsia="宋体" w:cs="宋体"/>
          <w:sz w:val="21"/>
          <w:szCs w:val="21"/>
          <w:highlight w:val="none"/>
        </w:rPr>
      </w:pPr>
    </w:p>
    <w:p w14:paraId="51C78BF7">
      <w:pPr>
        <w:pageBreakBefore w:val="0"/>
        <w:kinsoku/>
        <w:wordWrap/>
        <w:overflowPunct/>
        <w:topLinePunct w:val="0"/>
        <w:bidi w:val="0"/>
        <w:snapToGrid w:val="0"/>
        <w:spacing w:line="360" w:lineRule="auto"/>
        <w:jc w:val="center"/>
        <w:outlineLvl w:val="1"/>
        <w:rPr>
          <w:rFonts w:hint="eastAsia" w:ascii="宋体" w:hAnsi="宋体" w:eastAsia="宋体" w:cs="宋体"/>
          <w:b/>
          <w:sz w:val="21"/>
          <w:szCs w:val="21"/>
          <w:highlight w:val="none"/>
        </w:rPr>
      </w:pPr>
      <w:r>
        <w:rPr>
          <w:rFonts w:hint="eastAsia" w:ascii="宋体" w:hAnsi="宋体" w:eastAsia="宋体" w:cs="宋体"/>
          <w:b/>
          <w:sz w:val="21"/>
          <w:szCs w:val="21"/>
          <w:highlight w:val="none"/>
        </w:rPr>
        <w:t>三、响应文件的编制</w:t>
      </w:r>
    </w:p>
    <w:p w14:paraId="55D30278">
      <w:pPr>
        <w:pageBreakBefore w:val="0"/>
        <w:kinsoku/>
        <w:wordWrap/>
        <w:overflowPunct/>
        <w:topLinePunct w:val="0"/>
        <w:bidi w:val="0"/>
        <w:snapToGrid w:val="0"/>
        <w:spacing w:line="360" w:lineRule="auto"/>
        <w:ind w:firstLine="422" w:firstLineChars="200"/>
        <w:outlineLvl w:val="9"/>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（一）响应文件的形式和效力</w:t>
      </w:r>
    </w:p>
    <w:p w14:paraId="44219AD9">
      <w:pPr>
        <w:pageBreakBefore w:val="0"/>
        <w:kinsoku/>
        <w:wordWrap/>
        <w:overflowPunct/>
        <w:topLinePunct w:val="0"/>
        <w:bidi w:val="0"/>
        <w:adjustRightInd w:val="0"/>
        <w:snapToGrid w:val="0"/>
        <w:spacing w:line="360" w:lineRule="auto"/>
        <w:ind w:firstLine="422" w:firstLineChars="200"/>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响应文件分为电子投标文件以及备份投标文件，备份投标文件为以介质存储的数据电文形式的投标文件。</w:t>
      </w:r>
    </w:p>
    <w:p w14:paraId="5CB3926D">
      <w:pPr>
        <w:pageBreakBefore w:val="0"/>
        <w:kinsoku/>
        <w:wordWrap/>
        <w:overflowPunct/>
        <w:topLinePunct w:val="0"/>
        <w:bidi w:val="0"/>
        <w:adjustRightInd w:val="0"/>
        <w:snapToGrid w:val="0"/>
        <w:spacing w:line="360" w:lineRule="auto"/>
        <w:ind w:firstLine="422" w:firstLineChars="200"/>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1、电子投标文件，按“政采云供应商项目采购-电子招投标操作指南”及本采购文件要求制作、加密并递交。</w:t>
      </w:r>
    </w:p>
    <w:p w14:paraId="4D0C9F8A">
      <w:pPr>
        <w:pageBreakBefore w:val="0"/>
        <w:kinsoku/>
        <w:wordWrap/>
        <w:overflowPunct/>
        <w:topLinePunct w:val="0"/>
        <w:bidi w:val="0"/>
        <w:adjustRightInd w:val="0"/>
        <w:snapToGrid w:val="0"/>
        <w:spacing w:line="360" w:lineRule="auto"/>
        <w:ind w:firstLine="422" w:firstLineChars="200"/>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2、以介质存储的数据电文形式的备份投标文件，按政采云供应商项目采购-电子招投标操作指南中制作的电子投标文件。</w:t>
      </w:r>
    </w:p>
    <w:p w14:paraId="0075F296">
      <w:pPr>
        <w:pageBreakBefore w:val="0"/>
        <w:kinsoku/>
        <w:wordWrap/>
        <w:overflowPunct/>
        <w:topLinePunct w:val="0"/>
        <w:bidi w:val="0"/>
        <w:adjustRightInd w:val="0"/>
        <w:snapToGrid w:val="0"/>
        <w:spacing w:line="360" w:lineRule="auto"/>
        <w:ind w:firstLine="422" w:firstLineChars="200"/>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投标文件的启用，按先后顺位分别为电子投标文件、以介质存储的数据电文形式的备份投标文件。在下一顺位的投标文件启用时，前一顺位的投标文件自动失效。</w:t>
      </w:r>
    </w:p>
    <w:p w14:paraId="1EDCB661">
      <w:pPr>
        <w:pageBreakBefore w:val="0"/>
        <w:kinsoku/>
        <w:wordWrap/>
        <w:overflowPunct/>
        <w:topLinePunct w:val="0"/>
        <w:bidi w:val="0"/>
        <w:snapToGrid w:val="0"/>
        <w:spacing w:line="360" w:lineRule="auto"/>
        <w:ind w:firstLine="422" w:firstLineChars="200"/>
        <w:outlineLvl w:val="9"/>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（二）响应文件的组成</w:t>
      </w:r>
    </w:p>
    <w:p w14:paraId="45E6DBB8">
      <w:pPr>
        <w:pageBreakBefore w:val="0"/>
        <w:kinsoku/>
        <w:wordWrap/>
        <w:overflowPunct/>
        <w:topLinePunct w:val="0"/>
        <w:bidi w:val="0"/>
        <w:snapToGrid w:val="0"/>
        <w:spacing w:line="360" w:lineRule="auto"/>
        <w:ind w:firstLine="420" w:firstLineChars="200"/>
        <w:rPr>
          <w:rFonts w:hint="eastAsia" w:ascii="宋体" w:hAnsi="宋体" w:eastAsia="宋体" w:cs="宋体"/>
          <w:color w:val="000000"/>
          <w:sz w:val="21"/>
          <w:szCs w:val="21"/>
          <w:highlight w:val="none"/>
        </w:rPr>
      </w:pPr>
      <w:r>
        <w:rPr>
          <w:rFonts w:hint="eastAsia" w:ascii="宋体" w:hAnsi="宋体" w:eastAsia="宋体" w:cs="宋体"/>
          <w:sz w:val="21"/>
          <w:szCs w:val="21"/>
          <w:highlight w:val="none"/>
        </w:rPr>
        <w:t>响应文件由磋商报价文件、资格证明文件、商务文件、技术文件组成。</w:t>
      </w:r>
      <w:r>
        <w:rPr>
          <w:rFonts w:hint="eastAsia" w:ascii="宋体" w:hAnsi="宋体" w:eastAsia="宋体" w:cs="宋体"/>
          <w:color w:val="000000"/>
          <w:sz w:val="21"/>
          <w:szCs w:val="21"/>
          <w:highlight w:val="none"/>
        </w:rPr>
        <w:t>电子投标文件中所须加盖公章部分均采用CA签章。（具体要求详见第六章 响应文件组成）</w:t>
      </w:r>
    </w:p>
    <w:p w14:paraId="78CC87D2">
      <w:pPr>
        <w:pageBreakBefore w:val="0"/>
        <w:kinsoku/>
        <w:wordWrap/>
        <w:overflowPunct/>
        <w:topLinePunct w:val="0"/>
        <w:bidi w:val="0"/>
        <w:snapToGrid w:val="0"/>
        <w:spacing w:line="360" w:lineRule="auto"/>
        <w:ind w:firstLine="422" w:firstLineChars="200"/>
        <w:outlineLvl w:val="9"/>
        <w:rPr>
          <w:rFonts w:hint="eastAsia" w:ascii="宋体" w:hAnsi="宋体" w:eastAsia="宋体" w:cs="宋体"/>
          <w:b/>
          <w:sz w:val="21"/>
          <w:szCs w:val="21"/>
          <w:highlight w:val="none"/>
        </w:rPr>
      </w:pPr>
      <w:r>
        <w:rPr>
          <w:rFonts w:hint="eastAsia" w:ascii="宋体" w:hAnsi="宋体" w:eastAsia="宋体" w:cs="宋体"/>
          <w:b/>
          <w:sz w:val="21"/>
          <w:szCs w:val="21"/>
          <w:highlight w:val="none"/>
        </w:rPr>
        <w:t>（三）响应文件的语言及计量</w:t>
      </w:r>
    </w:p>
    <w:p w14:paraId="7C0DEAA6">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1、响应文件以及响应人与招标代理机构就有关投标事宜的所有来往函电，均应以中文汉语书写。除签名、盖章、专用名称、特殊证明材料等情形外，以中文汉语以外的文字表述的响应文件视同未提供。</w:t>
      </w:r>
    </w:p>
    <w:p w14:paraId="1A08234F">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2、投标计量单位，应采用中华人民共和国法定计量单位（货币单位：人民币元），否则视同未响应。</w:t>
      </w:r>
    </w:p>
    <w:p w14:paraId="08D870B2">
      <w:pPr>
        <w:pageBreakBefore w:val="0"/>
        <w:kinsoku/>
        <w:wordWrap/>
        <w:overflowPunct/>
        <w:topLinePunct w:val="0"/>
        <w:bidi w:val="0"/>
        <w:snapToGrid w:val="0"/>
        <w:spacing w:line="360" w:lineRule="auto"/>
        <w:ind w:firstLine="422" w:firstLineChars="200"/>
        <w:outlineLvl w:val="9"/>
        <w:rPr>
          <w:rFonts w:hint="eastAsia" w:ascii="宋体" w:hAnsi="宋体" w:eastAsia="宋体" w:cs="宋体"/>
          <w:b/>
          <w:sz w:val="21"/>
          <w:szCs w:val="21"/>
          <w:highlight w:val="none"/>
        </w:rPr>
      </w:pPr>
      <w:r>
        <w:rPr>
          <w:rFonts w:hint="eastAsia" w:ascii="宋体" w:hAnsi="宋体" w:eastAsia="宋体" w:cs="宋体"/>
          <w:b/>
          <w:sz w:val="21"/>
          <w:szCs w:val="21"/>
          <w:highlight w:val="none"/>
        </w:rPr>
        <w:t>（四）磋商报价与相关费用</w:t>
      </w:r>
    </w:p>
    <w:p w14:paraId="573EB388">
      <w:pPr>
        <w:pStyle w:val="13"/>
        <w:pageBreakBefore w:val="0"/>
        <w:kinsoku/>
        <w:wordWrap/>
        <w:overflowPunct/>
        <w:topLinePunct w:val="0"/>
        <w:bidi w:val="0"/>
        <w:snapToGrid w:val="0"/>
        <w:spacing w:line="360" w:lineRule="auto"/>
        <w:ind w:firstLine="420" w:firstLineChars="200"/>
        <w:rPr>
          <w:rFonts w:hint="eastAsia" w:ascii="宋体" w:hAnsi="宋体" w:eastAsia="宋体" w:cs="宋体"/>
          <w:bCs/>
          <w:sz w:val="21"/>
          <w:szCs w:val="21"/>
          <w:highlight w:val="none"/>
          <w:lang w:val="en-US" w:eastAsia="zh-CN"/>
        </w:rPr>
      </w:pPr>
      <w:r>
        <w:rPr>
          <w:rFonts w:hint="eastAsia" w:ascii="宋体" w:hAnsi="宋体" w:eastAsia="宋体" w:cs="宋体"/>
          <w:bCs/>
          <w:sz w:val="21"/>
          <w:szCs w:val="21"/>
          <w:highlight w:val="none"/>
          <w:lang w:val="en-US" w:eastAsia="zh-CN"/>
        </w:rPr>
        <w:t>详见《响应人须知前附表》</w:t>
      </w:r>
    </w:p>
    <w:p w14:paraId="2B34CDFD">
      <w:pPr>
        <w:pStyle w:val="13"/>
        <w:pageBreakBefore w:val="0"/>
        <w:kinsoku/>
        <w:wordWrap/>
        <w:overflowPunct/>
        <w:topLinePunct w:val="0"/>
        <w:bidi w:val="0"/>
        <w:snapToGrid w:val="0"/>
        <w:spacing w:line="360" w:lineRule="auto"/>
        <w:ind w:firstLine="422" w:firstLineChars="200"/>
        <w:outlineLvl w:val="9"/>
        <w:rPr>
          <w:rFonts w:hint="eastAsia" w:ascii="宋体" w:hAnsi="宋体" w:eastAsia="宋体" w:cs="宋体"/>
          <w:b/>
          <w:sz w:val="21"/>
          <w:szCs w:val="21"/>
          <w:highlight w:val="none"/>
        </w:rPr>
      </w:pPr>
      <w:r>
        <w:rPr>
          <w:rFonts w:hint="eastAsia" w:ascii="宋体" w:hAnsi="宋体" w:eastAsia="宋体" w:cs="宋体"/>
          <w:b/>
          <w:sz w:val="21"/>
          <w:szCs w:val="21"/>
          <w:highlight w:val="none"/>
        </w:rPr>
        <w:t>（五）响应文件的有效期</w:t>
      </w:r>
    </w:p>
    <w:p w14:paraId="4A871B1F">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1、自投标截止日起90天响应文件应保持有效。有效期不足的响应文件将被拒绝。</w:t>
      </w:r>
    </w:p>
    <w:p w14:paraId="6D3604E5">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2、在特殊情况下，采购人可与响应人协商延长响应文件的有效期，这种要求和答复均以书面形式进行。</w:t>
      </w:r>
    </w:p>
    <w:p w14:paraId="4A75F9C7">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3、成交人的响应文件自开标之日起至合同履行完毕止均应保持有效。</w:t>
      </w:r>
    </w:p>
    <w:p w14:paraId="612CFB64">
      <w:pPr>
        <w:pageBreakBefore w:val="0"/>
        <w:kinsoku/>
        <w:wordWrap/>
        <w:overflowPunct/>
        <w:topLinePunct w:val="0"/>
        <w:bidi w:val="0"/>
        <w:snapToGrid w:val="0"/>
        <w:spacing w:line="360" w:lineRule="auto"/>
        <w:ind w:firstLine="422" w:firstLineChars="200"/>
        <w:outlineLvl w:val="9"/>
        <w:rPr>
          <w:rFonts w:hint="eastAsia" w:ascii="宋体" w:hAnsi="宋体" w:eastAsia="宋体" w:cs="宋体"/>
          <w:b/>
          <w:sz w:val="21"/>
          <w:szCs w:val="21"/>
          <w:highlight w:val="none"/>
        </w:rPr>
      </w:pPr>
      <w:r>
        <w:rPr>
          <w:rFonts w:hint="eastAsia" w:ascii="宋体" w:hAnsi="宋体" w:eastAsia="宋体" w:cs="宋体"/>
          <w:b/>
          <w:sz w:val="21"/>
          <w:szCs w:val="21"/>
          <w:highlight w:val="none"/>
        </w:rPr>
        <w:t>（六）响应文件的签署和编制</w:t>
      </w:r>
    </w:p>
    <w:p w14:paraId="3FB77C9A">
      <w:pPr>
        <w:pageBreakBefore w:val="0"/>
        <w:kinsoku/>
        <w:wordWrap/>
        <w:overflowPunct/>
        <w:topLinePunct w:val="0"/>
        <w:bidi w:val="0"/>
        <w:adjustRightInd w:val="0"/>
        <w:snapToGrid w:val="0"/>
        <w:spacing w:line="360" w:lineRule="auto"/>
        <w:ind w:firstLine="422" w:firstLineChars="200"/>
        <w:outlineLvl w:val="9"/>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1、电子投标文件部分：</w:t>
      </w:r>
    </w:p>
    <w:p w14:paraId="15D24257">
      <w:pPr>
        <w:pageBreakBefore w:val="0"/>
        <w:kinsoku/>
        <w:wordWrap/>
        <w:overflowPunct/>
        <w:topLinePunct w:val="0"/>
        <w:bidi w:val="0"/>
        <w:adjustRightInd w:val="0"/>
        <w:snapToGrid w:val="0"/>
        <w:spacing w:line="360" w:lineRule="auto"/>
        <w:ind w:firstLine="422" w:firstLineChars="200"/>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投标人应根据“政采云供应商项目采购-电子招投标操作指南”及本采购文件规定的格式和顺序编制电子投标文件并进行关联定位。</w:t>
      </w:r>
    </w:p>
    <w:p w14:paraId="2F92430A">
      <w:pPr>
        <w:pageBreakBefore w:val="0"/>
        <w:kinsoku/>
        <w:wordWrap/>
        <w:overflowPunct/>
        <w:topLinePunct w:val="0"/>
        <w:bidi w:val="0"/>
        <w:adjustRightInd w:val="0"/>
        <w:snapToGrid w:val="0"/>
        <w:spacing w:line="360" w:lineRule="auto"/>
        <w:ind w:firstLine="422" w:firstLineChars="200"/>
        <w:outlineLvl w:val="9"/>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2、以介质存储的数据电文形式的备份投标文件部分：</w:t>
      </w:r>
    </w:p>
    <w:p w14:paraId="5827DE17">
      <w:pPr>
        <w:pageBreakBefore w:val="0"/>
        <w:kinsoku/>
        <w:wordWrap/>
        <w:overflowPunct/>
        <w:topLinePunct w:val="0"/>
        <w:bidi w:val="0"/>
        <w:adjustRightInd w:val="0"/>
        <w:snapToGrid w:val="0"/>
        <w:spacing w:line="360" w:lineRule="auto"/>
        <w:ind w:firstLine="422" w:firstLineChars="200"/>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备份电子投标文件，以DVD光盘、U盘形式存储。</w:t>
      </w:r>
    </w:p>
    <w:p w14:paraId="47E6CA68">
      <w:pPr>
        <w:pageBreakBefore w:val="0"/>
        <w:kinsoku/>
        <w:wordWrap/>
        <w:overflowPunct/>
        <w:topLinePunct w:val="0"/>
        <w:bidi w:val="0"/>
        <w:snapToGrid w:val="0"/>
        <w:spacing w:line="360" w:lineRule="auto"/>
        <w:ind w:firstLine="422" w:firstLineChars="200"/>
        <w:outlineLvl w:val="9"/>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（七）备份投标文件的修改和撤回</w:t>
      </w:r>
    </w:p>
    <w:p w14:paraId="5E374B1C">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响应人在投标截止时间之前，可以对已提交的响应文件进行修改或撤回，并书面形式（响应人代表签字）通知招标代理机构；投标截止时间后，响应人不得撤回、修改响应文件。修改后重新递交的响应文件应当按本磋商文件的要求密封和签字。</w:t>
      </w:r>
    </w:p>
    <w:p w14:paraId="4D4D1154">
      <w:pPr>
        <w:pageBreakBefore w:val="0"/>
        <w:kinsoku/>
        <w:wordWrap/>
        <w:overflowPunct/>
        <w:topLinePunct w:val="0"/>
        <w:bidi w:val="0"/>
        <w:snapToGrid w:val="0"/>
        <w:spacing w:line="360" w:lineRule="auto"/>
        <w:ind w:firstLine="422" w:firstLineChars="200"/>
        <w:outlineLvl w:val="9"/>
        <w:rPr>
          <w:rFonts w:hint="eastAsia" w:ascii="宋体" w:hAnsi="宋体" w:eastAsia="宋体" w:cs="宋体"/>
          <w:b/>
          <w:sz w:val="21"/>
          <w:szCs w:val="21"/>
          <w:highlight w:val="none"/>
        </w:rPr>
      </w:pPr>
      <w:r>
        <w:rPr>
          <w:rFonts w:hint="eastAsia" w:ascii="宋体" w:hAnsi="宋体" w:eastAsia="宋体" w:cs="宋体"/>
          <w:b/>
          <w:sz w:val="21"/>
          <w:szCs w:val="21"/>
          <w:highlight w:val="none"/>
        </w:rPr>
        <w:t>（八）响应无效的情形</w:t>
      </w:r>
    </w:p>
    <w:p w14:paraId="5C6B9A8D">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实质上没有响应磋商文件要求的投标将被视为无效投标。响应人不得通过修正或撤消不合要求的偏离或保留从而使其投标成为实质上响应的投标。经磋商小组认定属于响应人笔误所造成的差错，应当允许其在评标结束之前进行修改或者补正（可以是复印件、传真件等）。修改或者补正响应文件必须以书面形式进行，并应在中标结果公告之前查核原件。限期内不补正或经补正后仍不符合磋商文件要求的，应认定其投标无效。投标人修改、补正响应文件后，不影响磋商小组对其响应文件所作的评价和评分结果。</w:t>
      </w:r>
    </w:p>
    <w:p w14:paraId="19A88D09">
      <w:pPr>
        <w:pStyle w:val="13"/>
        <w:pageBreakBefore w:val="0"/>
        <w:kinsoku/>
        <w:wordWrap/>
        <w:overflowPunct/>
        <w:topLinePunct w:val="0"/>
        <w:bidi w:val="0"/>
        <w:snapToGrid w:val="0"/>
        <w:spacing w:line="360" w:lineRule="auto"/>
        <w:ind w:firstLine="422" w:firstLineChars="200"/>
        <w:rPr>
          <w:rFonts w:hint="eastAsia" w:ascii="宋体" w:hAnsi="宋体" w:eastAsia="宋体" w:cs="宋体"/>
          <w:b/>
          <w:sz w:val="21"/>
          <w:szCs w:val="21"/>
          <w:highlight w:val="none"/>
        </w:rPr>
      </w:pPr>
      <w:r>
        <w:rPr>
          <w:rFonts w:hint="eastAsia" w:ascii="宋体" w:hAnsi="宋体" w:eastAsia="宋体" w:cs="宋体"/>
          <w:b/>
          <w:sz w:val="21"/>
          <w:szCs w:val="21"/>
          <w:highlight w:val="none"/>
        </w:rPr>
        <w:t>1、在符合性审查和商务评审时，如发现下列情形之一的，响应文件将被视为无效响应：</w:t>
      </w:r>
    </w:p>
    <w:p w14:paraId="0EBC0DE3">
      <w:pPr>
        <w:pageBreakBefore w:val="0"/>
        <w:kinsoku/>
        <w:wordWrap/>
        <w:overflowPunct/>
        <w:topLinePunct w:val="0"/>
        <w:bidi w:val="0"/>
        <w:snapToGrid w:val="0"/>
        <w:spacing w:line="360" w:lineRule="auto"/>
        <w:ind w:firstLine="422" w:firstLineChars="200"/>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1.1电子投标文件解密失败的，且未在规定时间内提交有效备份投标文件的；</w:t>
      </w:r>
    </w:p>
    <w:p w14:paraId="680402BB">
      <w:pPr>
        <w:pStyle w:val="13"/>
        <w:pageBreakBefore w:val="0"/>
        <w:kinsoku/>
        <w:wordWrap/>
        <w:overflowPunct/>
        <w:topLinePunct w:val="0"/>
        <w:bidi w:val="0"/>
        <w:snapToGrid w:val="0"/>
        <w:spacing w:line="360" w:lineRule="auto"/>
        <w:ind w:firstLine="420" w:firstLineChars="200"/>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1.2未按磋商文件要求密封、签字、盖章的；</w:t>
      </w:r>
    </w:p>
    <w:p w14:paraId="484EC31D">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1.3资格证明文件不全的，或者不符合磋商文件标明的资格要求的；</w:t>
      </w:r>
    </w:p>
    <w:p w14:paraId="55E87D31">
      <w:pPr>
        <w:pStyle w:val="13"/>
        <w:pageBreakBefore w:val="0"/>
        <w:kinsoku/>
        <w:wordWrap/>
        <w:overflowPunct/>
        <w:topLinePunct w:val="0"/>
        <w:bidi w:val="0"/>
        <w:snapToGrid w:val="0"/>
        <w:spacing w:line="360" w:lineRule="auto"/>
        <w:ind w:firstLine="420" w:firstLineChars="200"/>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1.4响应文件组成不全的；</w:t>
      </w:r>
    </w:p>
    <w:p w14:paraId="3DFD14FD">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1.5响应文件的实质性内容未使用中文表述、意思表述不明确、前后矛盾或者使用计量单位不符合磋商文件要求的；（经磋商小组认定允许其当场更正的笔误除外）</w:t>
      </w:r>
    </w:p>
    <w:p w14:paraId="1E9EB4EC">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1.6响应文件的关键内容字迹模糊、无法辨认的，或者响应文件中经修正的内容字迹模糊难以</w:t>
      </w:r>
      <w:r>
        <w:rPr>
          <w:rFonts w:hint="eastAsia" w:ascii="宋体" w:hAnsi="宋体" w:eastAsia="宋体" w:cs="宋体"/>
          <w:sz w:val="21"/>
          <w:szCs w:val="21"/>
          <w:highlight w:val="none"/>
          <w:lang w:eastAsia="zh-CN"/>
        </w:rPr>
        <w:t>辨</w:t>
      </w:r>
      <w:r>
        <w:rPr>
          <w:rFonts w:hint="eastAsia" w:ascii="宋体" w:hAnsi="宋体" w:eastAsia="宋体" w:cs="宋体"/>
          <w:sz w:val="21"/>
          <w:szCs w:val="21"/>
          <w:highlight w:val="none"/>
        </w:rPr>
        <w:t>认或者修改处未按规定签名盖章的；</w:t>
      </w:r>
    </w:p>
    <w:p w14:paraId="443711CD">
      <w:pPr>
        <w:pStyle w:val="13"/>
        <w:pageBreakBefore w:val="0"/>
        <w:kinsoku/>
        <w:wordWrap/>
        <w:overflowPunct/>
        <w:topLinePunct w:val="0"/>
        <w:bidi w:val="0"/>
        <w:snapToGrid w:val="0"/>
        <w:spacing w:line="360" w:lineRule="auto"/>
        <w:ind w:firstLine="420" w:firstLineChars="200"/>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1.7实质性条款不能满足磋商文件要求的；</w:t>
      </w:r>
    </w:p>
    <w:p w14:paraId="2852EB22">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1.8不响应磋商文件要求或者响应文件有采购人不能接受的附加条件的；</w:t>
      </w:r>
    </w:p>
    <w:p w14:paraId="64EB2771">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1.9 响应文件没有按磋商文件要求提供有标“▲”的条款的资料和材料的；</w:t>
      </w:r>
    </w:p>
    <w:p w14:paraId="6722C883">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1.10响应文件资格证明、商务、技术部分中出现磋商报价信息的。</w:t>
      </w:r>
    </w:p>
    <w:p w14:paraId="7F35166A">
      <w:pPr>
        <w:pStyle w:val="13"/>
        <w:pageBreakBefore w:val="0"/>
        <w:kinsoku/>
        <w:wordWrap/>
        <w:overflowPunct/>
        <w:topLinePunct w:val="0"/>
        <w:bidi w:val="0"/>
        <w:snapToGrid w:val="0"/>
        <w:spacing w:line="360" w:lineRule="auto"/>
        <w:ind w:firstLine="422" w:firstLineChars="200"/>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2、在不影响公平竞争的前提下，采购文件中参与同一标段(包)的供应商存在以下情形之一且无法合理解释的，其投标(响应)文件无效：</w:t>
      </w:r>
    </w:p>
    <w:p w14:paraId="2ACB644B">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2.1不同供应商的电子投标(响应)文件上传计算机的网卡MAC地址或硬盘序列号等硬件信息相同的；</w:t>
      </w:r>
    </w:p>
    <w:p w14:paraId="3E091D29">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2.2上传的电子投标(响应)文件若出现使用本项目其他投标(响应)供应商的数字证书加密的，或者加盖本项目其他投标(响应)供应商的电子印章的；</w:t>
      </w:r>
    </w:p>
    <w:p w14:paraId="08BB14A2">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2.3不同供应商的投标(响应)文件的内容存在3处(含)以上错误一致的；</w:t>
      </w:r>
    </w:p>
    <w:p w14:paraId="1DABE377">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2.4不同供应商联系人为同一人或不同联系人的联系电话一致的。</w:t>
      </w:r>
    </w:p>
    <w:p w14:paraId="30BFC637">
      <w:pPr>
        <w:pStyle w:val="13"/>
        <w:pageBreakBefore w:val="0"/>
        <w:kinsoku/>
        <w:wordWrap/>
        <w:overflowPunct/>
        <w:topLinePunct w:val="0"/>
        <w:bidi w:val="0"/>
        <w:snapToGrid w:val="0"/>
        <w:spacing w:line="360" w:lineRule="auto"/>
        <w:ind w:firstLine="422" w:firstLineChars="200"/>
        <w:rPr>
          <w:rFonts w:hint="eastAsia" w:ascii="宋体" w:hAnsi="宋体" w:eastAsia="宋体" w:cs="宋体"/>
          <w:b/>
          <w:sz w:val="21"/>
          <w:szCs w:val="21"/>
          <w:highlight w:val="none"/>
        </w:rPr>
      </w:pPr>
      <w:r>
        <w:rPr>
          <w:rFonts w:hint="eastAsia" w:hAnsi="宋体" w:eastAsia="宋体" w:cs="宋体"/>
          <w:b/>
          <w:sz w:val="21"/>
          <w:szCs w:val="21"/>
          <w:highlight w:val="none"/>
          <w:lang w:val="en-US" w:eastAsia="zh-CN"/>
        </w:rPr>
        <w:t>3</w:t>
      </w:r>
      <w:r>
        <w:rPr>
          <w:rFonts w:hint="eastAsia" w:ascii="宋体" w:hAnsi="宋体" w:eastAsia="宋体" w:cs="宋体"/>
          <w:b/>
          <w:sz w:val="21"/>
          <w:szCs w:val="21"/>
          <w:highlight w:val="none"/>
        </w:rPr>
        <w:t>、在技术评审时，如发现下列情形之一的，响应文件将被视为无效响应标：</w:t>
      </w:r>
    </w:p>
    <w:p w14:paraId="10868EE2">
      <w:pPr>
        <w:pStyle w:val="13"/>
        <w:pageBreakBefore w:val="0"/>
        <w:kinsoku/>
        <w:wordWrap/>
        <w:overflowPunct/>
        <w:topLinePunct w:val="0"/>
        <w:bidi w:val="0"/>
        <w:snapToGrid w:val="0"/>
        <w:spacing w:line="360" w:lineRule="auto"/>
        <w:ind w:firstLine="420" w:firstLineChars="200"/>
        <w:outlineLvl w:val="9"/>
        <w:rPr>
          <w:rFonts w:hint="eastAsia" w:ascii="宋体" w:hAnsi="宋体" w:eastAsia="宋体" w:cs="宋体"/>
          <w:sz w:val="21"/>
          <w:szCs w:val="21"/>
          <w:highlight w:val="none"/>
        </w:rPr>
      </w:pPr>
      <w:r>
        <w:rPr>
          <w:rFonts w:hint="eastAsia" w:hAnsi="宋体" w:eastAsia="宋体" w:cs="宋体"/>
          <w:sz w:val="21"/>
          <w:szCs w:val="21"/>
          <w:highlight w:val="none"/>
          <w:lang w:val="en-US" w:eastAsia="zh-CN"/>
        </w:rPr>
        <w:t>3</w:t>
      </w:r>
      <w:r>
        <w:rPr>
          <w:rFonts w:hint="eastAsia" w:ascii="宋体" w:hAnsi="宋体" w:eastAsia="宋体" w:cs="宋体"/>
          <w:sz w:val="21"/>
          <w:szCs w:val="21"/>
          <w:highlight w:val="none"/>
        </w:rPr>
        <w:t>.1响应文件标明的响应或偏离与事实不符或虚假响应的；</w:t>
      </w:r>
    </w:p>
    <w:p w14:paraId="037A0C1D">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hAnsi="宋体" w:eastAsia="宋体" w:cs="宋体"/>
          <w:sz w:val="21"/>
          <w:szCs w:val="21"/>
          <w:highlight w:val="none"/>
          <w:lang w:val="en-US" w:eastAsia="zh-CN"/>
        </w:rPr>
        <w:t>3</w:t>
      </w:r>
      <w:r>
        <w:rPr>
          <w:rFonts w:hint="eastAsia" w:ascii="宋体" w:hAnsi="宋体" w:eastAsia="宋体" w:cs="宋体"/>
          <w:sz w:val="21"/>
          <w:szCs w:val="21"/>
          <w:highlight w:val="none"/>
        </w:rPr>
        <w:t>.2明显不符合磋商文件中标“▲”的技术指标、主要功能项目发生实质性偏离的；</w:t>
      </w:r>
    </w:p>
    <w:p w14:paraId="31D95CC5">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hAnsi="宋体" w:eastAsia="宋体" w:cs="宋体"/>
          <w:sz w:val="21"/>
          <w:szCs w:val="21"/>
          <w:highlight w:val="none"/>
          <w:lang w:val="en-US" w:eastAsia="zh-CN"/>
        </w:rPr>
        <w:t>3</w:t>
      </w:r>
      <w:r>
        <w:rPr>
          <w:rFonts w:hint="eastAsia" w:ascii="宋体" w:hAnsi="宋体" w:eastAsia="宋体" w:cs="宋体"/>
          <w:sz w:val="21"/>
          <w:szCs w:val="21"/>
          <w:highlight w:val="none"/>
        </w:rPr>
        <w:t>.3响应技术方案不明确，存在一个或一个以上备选（替代）响应的；</w:t>
      </w:r>
    </w:p>
    <w:p w14:paraId="5065D315">
      <w:pPr>
        <w:pStyle w:val="13"/>
        <w:pageBreakBefore w:val="0"/>
        <w:kinsoku/>
        <w:wordWrap/>
        <w:overflowPunct/>
        <w:topLinePunct w:val="0"/>
        <w:bidi w:val="0"/>
        <w:snapToGrid w:val="0"/>
        <w:spacing w:line="360" w:lineRule="auto"/>
        <w:ind w:firstLine="422" w:firstLineChars="200"/>
        <w:rPr>
          <w:rFonts w:hint="eastAsia" w:ascii="宋体" w:hAnsi="宋体" w:eastAsia="宋体" w:cs="宋体"/>
          <w:b/>
          <w:sz w:val="21"/>
          <w:szCs w:val="21"/>
          <w:highlight w:val="none"/>
        </w:rPr>
      </w:pPr>
      <w:r>
        <w:rPr>
          <w:rFonts w:hint="eastAsia" w:hAnsi="宋体" w:eastAsia="宋体" w:cs="宋体"/>
          <w:b/>
          <w:sz w:val="21"/>
          <w:szCs w:val="21"/>
          <w:highlight w:val="none"/>
          <w:lang w:val="en-US" w:eastAsia="zh-CN"/>
        </w:rPr>
        <w:t>4</w:t>
      </w:r>
      <w:r>
        <w:rPr>
          <w:rFonts w:hint="eastAsia" w:ascii="宋体" w:hAnsi="宋体" w:eastAsia="宋体" w:cs="宋体"/>
          <w:b/>
          <w:sz w:val="21"/>
          <w:szCs w:val="21"/>
          <w:highlight w:val="none"/>
        </w:rPr>
        <w:t>、在磋商报价文件评审时，如发现下列情形之一的，投标文件将被视为无效响应：</w:t>
      </w:r>
    </w:p>
    <w:p w14:paraId="111A64BA">
      <w:pPr>
        <w:pStyle w:val="13"/>
        <w:pageBreakBefore w:val="0"/>
        <w:tabs>
          <w:tab w:val="left" w:pos="1680"/>
        </w:tabs>
        <w:kinsoku/>
        <w:wordWrap/>
        <w:overflowPunct/>
        <w:topLinePunct w:val="0"/>
        <w:bidi w:val="0"/>
        <w:snapToGrid w:val="0"/>
        <w:spacing w:line="360" w:lineRule="auto"/>
        <w:ind w:firstLine="422" w:firstLineChars="200"/>
        <w:rPr>
          <w:rFonts w:hint="eastAsia" w:ascii="宋体" w:hAnsi="宋体" w:eastAsia="宋体" w:cs="宋体"/>
          <w:b/>
          <w:sz w:val="21"/>
          <w:szCs w:val="21"/>
          <w:highlight w:val="none"/>
        </w:rPr>
      </w:pPr>
      <w:r>
        <w:rPr>
          <w:rFonts w:hint="eastAsia" w:hAnsi="宋体" w:eastAsia="宋体" w:cs="宋体"/>
          <w:b/>
          <w:sz w:val="21"/>
          <w:szCs w:val="21"/>
          <w:highlight w:val="none"/>
          <w:lang w:val="en-US" w:eastAsia="zh-CN"/>
        </w:rPr>
        <w:t>4</w:t>
      </w:r>
      <w:r>
        <w:rPr>
          <w:rFonts w:hint="eastAsia" w:ascii="宋体" w:hAnsi="宋体" w:eastAsia="宋体" w:cs="宋体"/>
          <w:b/>
          <w:sz w:val="21"/>
          <w:szCs w:val="21"/>
          <w:highlight w:val="none"/>
        </w:rPr>
        <w:t>.1超过项目的</w:t>
      </w:r>
      <w:r>
        <w:rPr>
          <w:rFonts w:hint="eastAsia" w:ascii="宋体" w:hAnsi="宋体" w:eastAsia="宋体" w:cs="宋体"/>
          <w:b/>
          <w:sz w:val="21"/>
          <w:szCs w:val="21"/>
          <w:highlight w:val="none"/>
          <w:lang w:val="en-US" w:eastAsia="zh-CN"/>
        </w:rPr>
        <w:t>预算金额</w:t>
      </w:r>
      <w:r>
        <w:rPr>
          <w:rFonts w:hint="eastAsia" w:hAnsi="宋体" w:eastAsia="宋体" w:cs="宋体"/>
          <w:b/>
          <w:sz w:val="21"/>
          <w:szCs w:val="21"/>
          <w:highlight w:val="none"/>
          <w:lang w:val="en-US" w:eastAsia="zh-CN"/>
        </w:rPr>
        <w:t>或最高限价</w:t>
      </w:r>
      <w:r>
        <w:rPr>
          <w:rFonts w:hint="eastAsia" w:ascii="宋体" w:hAnsi="宋体" w:eastAsia="宋体" w:cs="宋体"/>
          <w:b/>
          <w:sz w:val="21"/>
          <w:szCs w:val="21"/>
          <w:highlight w:val="none"/>
        </w:rPr>
        <w:t>的；</w:t>
      </w:r>
    </w:p>
    <w:p w14:paraId="4718C7A0">
      <w:pPr>
        <w:pStyle w:val="13"/>
        <w:pageBreakBefore w:val="0"/>
        <w:kinsoku/>
        <w:wordWrap/>
        <w:overflowPunct/>
        <w:topLinePunct w:val="0"/>
        <w:bidi w:val="0"/>
        <w:snapToGrid w:val="0"/>
        <w:spacing w:line="360" w:lineRule="auto"/>
        <w:ind w:firstLine="422" w:firstLineChars="200"/>
        <w:rPr>
          <w:rFonts w:hint="eastAsia" w:ascii="宋体" w:hAnsi="宋体" w:eastAsia="宋体" w:cs="宋体"/>
          <w:b/>
          <w:sz w:val="21"/>
          <w:szCs w:val="21"/>
          <w:highlight w:val="none"/>
        </w:rPr>
      </w:pPr>
      <w:r>
        <w:rPr>
          <w:rFonts w:hint="eastAsia" w:hAnsi="宋体" w:eastAsia="宋体" w:cs="宋体"/>
          <w:b/>
          <w:sz w:val="21"/>
          <w:szCs w:val="21"/>
          <w:highlight w:val="none"/>
          <w:lang w:val="en-US" w:eastAsia="zh-CN"/>
        </w:rPr>
        <w:t>4</w:t>
      </w:r>
      <w:r>
        <w:rPr>
          <w:rFonts w:hint="eastAsia" w:ascii="宋体" w:hAnsi="宋体" w:eastAsia="宋体" w:cs="宋体"/>
          <w:b/>
          <w:sz w:val="21"/>
          <w:szCs w:val="21"/>
          <w:highlight w:val="none"/>
        </w:rPr>
        <w:t>.2有选择或有条件的报价的；</w:t>
      </w:r>
    </w:p>
    <w:p w14:paraId="0896F5A2">
      <w:pPr>
        <w:pStyle w:val="13"/>
        <w:pageBreakBefore w:val="0"/>
        <w:kinsoku/>
        <w:wordWrap/>
        <w:overflowPunct/>
        <w:topLinePunct w:val="0"/>
        <w:bidi w:val="0"/>
        <w:snapToGrid w:val="0"/>
        <w:spacing w:line="360" w:lineRule="auto"/>
        <w:ind w:firstLine="422" w:firstLineChars="200"/>
        <w:rPr>
          <w:rFonts w:hint="eastAsia" w:ascii="宋体" w:hAnsi="宋体" w:eastAsia="宋体" w:cs="宋体"/>
          <w:b/>
          <w:sz w:val="21"/>
          <w:szCs w:val="21"/>
          <w:highlight w:val="none"/>
        </w:rPr>
      </w:pPr>
      <w:r>
        <w:rPr>
          <w:rFonts w:hint="eastAsia" w:hAnsi="宋体" w:eastAsia="宋体" w:cs="宋体"/>
          <w:b/>
          <w:sz w:val="21"/>
          <w:szCs w:val="21"/>
          <w:highlight w:val="none"/>
          <w:lang w:val="en-US" w:eastAsia="zh-CN"/>
        </w:rPr>
        <w:t>4</w:t>
      </w:r>
      <w:r>
        <w:rPr>
          <w:rFonts w:hint="eastAsia" w:ascii="宋体" w:hAnsi="宋体" w:eastAsia="宋体" w:cs="宋体"/>
          <w:b/>
          <w:sz w:val="21"/>
          <w:szCs w:val="21"/>
          <w:highlight w:val="none"/>
        </w:rPr>
        <w:t>.3 报价文件中缺失报价的。</w:t>
      </w:r>
    </w:p>
    <w:p w14:paraId="34BE8948">
      <w:pPr>
        <w:pageBreakBefore w:val="0"/>
        <w:kinsoku/>
        <w:wordWrap/>
        <w:overflowPunct/>
        <w:topLinePunct w:val="0"/>
        <w:bidi w:val="0"/>
        <w:snapToGrid w:val="0"/>
        <w:spacing w:line="360" w:lineRule="auto"/>
        <w:ind w:firstLine="422" w:firstLineChars="200"/>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（九）出现以下情形，导致电子交易平台无法正常运行，或者无法保证电子交易的公平、公正和安全时，中止电子交易活动：</w:t>
      </w:r>
    </w:p>
    <w:p w14:paraId="7D168047">
      <w:pPr>
        <w:pageBreakBefore w:val="0"/>
        <w:kinsoku/>
        <w:wordWrap/>
        <w:overflowPunct/>
        <w:topLinePunct w:val="0"/>
        <w:bidi w:val="0"/>
        <w:snapToGrid w:val="0"/>
        <w:spacing w:line="360" w:lineRule="auto"/>
        <w:ind w:firstLine="420" w:firstLineChars="200"/>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1、电子交易平台发生故障而无法登录访问的；</w:t>
      </w:r>
    </w:p>
    <w:p w14:paraId="6FD69AA9">
      <w:pPr>
        <w:pageBreakBefore w:val="0"/>
        <w:kinsoku/>
        <w:wordWrap/>
        <w:overflowPunct/>
        <w:topLinePunct w:val="0"/>
        <w:bidi w:val="0"/>
        <w:snapToGrid w:val="0"/>
        <w:spacing w:line="360" w:lineRule="auto"/>
        <w:ind w:firstLine="420" w:firstLineChars="200"/>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2、电子交易平台应用或数据库出现错误，不能进行正常操作的；</w:t>
      </w:r>
    </w:p>
    <w:p w14:paraId="6D77B3A7">
      <w:pPr>
        <w:pageBreakBefore w:val="0"/>
        <w:kinsoku/>
        <w:wordWrap/>
        <w:overflowPunct/>
        <w:topLinePunct w:val="0"/>
        <w:bidi w:val="0"/>
        <w:snapToGrid w:val="0"/>
        <w:spacing w:line="360" w:lineRule="auto"/>
        <w:ind w:firstLine="420" w:firstLineChars="200"/>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3、电子交易平台发现严重安全漏洞，有潜在泄密危险的；</w:t>
      </w:r>
    </w:p>
    <w:p w14:paraId="0C946DAF">
      <w:pPr>
        <w:pageBreakBefore w:val="0"/>
        <w:kinsoku/>
        <w:wordWrap/>
        <w:overflowPunct/>
        <w:topLinePunct w:val="0"/>
        <w:bidi w:val="0"/>
        <w:snapToGrid w:val="0"/>
        <w:spacing w:line="360" w:lineRule="auto"/>
        <w:ind w:firstLine="420" w:firstLineChars="200"/>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4、病毒发作导致不能进行正常操作的；</w:t>
      </w:r>
    </w:p>
    <w:p w14:paraId="3AA0E30E">
      <w:pPr>
        <w:pageBreakBefore w:val="0"/>
        <w:kinsoku/>
        <w:wordWrap/>
        <w:overflowPunct/>
        <w:topLinePunct w:val="0"/>
        <w:bidi w:val="0"/>
        <w:snapToGrid w:val="0"/>
        <w:spacing w:line="360" w:lineRule="auto"/>
        <w:ind w:firstLine="420" w:firstLineChars="200"/>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5、其他无法保证电子交易的公平、公正和安全的情况。</w:t>
      </w:r>
    </w:p>
    <w:p w14:paraId="6487F6F1">
      <w:pPr>
        <w:pageBreakBefore w:val="0"/>
        <w:kinsoku/>
        <w:wordWrap/>
        <w:overflowPunct/>
        <w:topLinePunct w:val="0"/>
        <w:bidi w:val="0"/>
        <w:snapToGrid w:val="0"/>
        <w:spacing w:line="360" w:lineRule="auto"/>
        <w:ind w:firstLine="420" w:firstLineChars="200"/>
        <w:rPr>
          <w:rFonts w:hint="eastAsia" w:ascii="宋体" w:hAnsi="宋体" w:eastAsia="宋体" w:cs="宋体"/>
          <w:bCs/>
          <w:color w:val="00B050"/>
          <w:sz w:val="21"/>
          <w:szCs w:val="21"/>
          <w:highlight w:val="none"/>
        </w:rPr>
      </w:pPr>
      <w:r>
        <w:rPr>
          <w:rFonts w:hint="eastAsia" w:ascii="宋体" w:hAnsi="宋体" w:eastAsia="宋体" w:cs="宋体"/>
          <w:bCs/>
          <w:color w:val="000000"/>
          <w:sz w:val="21"/>
          <w:szCs w:val="21"/>
          <w:highlight w:val="none"/>
        </w:rPr>
        <w:t>出现前款规定情形，不影响采购公平、公正性的，招标代理机构可以待上述情形消除后继续组织电子交易活动，也可以决定某些环节以纸质形式进行；影响或可能影响采购公平、公正性的，重新采购。</w:t>
      </w:r>
    </w:p>
    <w:p w14:paraId="5140027D">
      <w:pPr>
        <w:pageBreakBefore w:val="0"/>
        <w:kinsoku/>
        <w:wordWrap/>
        <w:overflowPunct/>
        <w:topLinePunct w:val="0"/>
        <w:bidi w:val="0"/>
        <w:snapToGrid w:val="0"/>
        <w:spacing w:line="360" w:lineRule="auto"/>
        <w:jc w:val="center"/>
        <w:rPr>
          <w:rFonts w:hint="eastAsia" w:ascii="宋体" w:hAnsi="宋体" w:eastAsia="宋体" w:cs="宋体"/>
          <w:b/>
          <w:sz w:val="21"/>
          <w:szCs w:val="21"/>
          <w:highlight w:val="none"/>
        </w:rPr>
      </w:pPr>
    </w:p>
    <w:p w14:paraId="760C213D">
      <w:pPr>
        <w:pageBreakBefore w:val="0"/>
        <w:kinsoku/>
        <w:wordWrap/>
        <w:overflowPunct/>
        <w:topLinePunct w:val="0"/>
        <w:bidi w:val="0"/>
        <w:snapToGrid w:val="0"/>
        <w:spacing w:line="360" w:lineRule="auto"/>
        <w:jc w:val="center"/>
        <w:outlineLvl w:val="1"/>
        <w:rPr>
          <w:rFonts w:hint="eastAsia" w:ascii="宋体" w:hAnsi="宋体" w:eastAsia="宋体" w:cs="宋体"/>
          <w:b/>
          <w:sz w:val="21"/>
          <w:szCs w:val="21"/>
          <w:highlight w:val="none"/>
        </w:rPr>
      </w:pPr>
      <w:r>
        <w:rPr>
          <w:rFonts w:hint="eastAsia" w:ascii="宋体" w:hAnsi="宋体" w:eastAsia="宋体" w:cs="宋体"/>
          <w:b/>
          <w:sz w:val="21"/>
          <w:szCs w:val="21"/>
          <w:highlight w:val="none"/>
        </w:rPr>
        <w:t>四、开标</w:t>
      </w:r>
    </w:p>
    <w:p w14:paraId="22A961B5">
      <w:pPr>
        <w:pStyle w:val="13"/>
        <w:pageBreakBefore w:val="0"/>
        <w:kinsoku/>
        <w:wordWrap/>
        <w:overflowPunct/>
        <w:topLinePunct w:val="0"/>
        <w:bidi w:val="0"/>
        <w:snapToGrid w:val="0"/>
        <w:spacing w:line="360" w:lineRule="auto"/>
        <w:ind w:firstLine="422" w:firstLineChars="200"/>
        <w:outlineLvl w:val="9"/>
        <w:rPr>
          <w:rFonts w:hint="eastAsia" w:ascii="宋体" w:hAnsi="宋体" w:eastAsia="宋体" w:cs="宋体"/>
          <w:b/>
          <w:sz w:val="21"/>
          <w:szCs w:val="21"/>
          <w:highlight w:val="none"/>
        </w:rPr>
      </w:pPr>
      <w:r>
        <w:rPr>
          <w:rFonts w:hint="eastAsia" w:ascii="宋体" w:hAnsi="宋体" w:eastAsia="宋体" w:cs="宋体"/>
          <w:b/>
          <w:sz w:val="21"/>
          <w:szCs w:val="21"/>
          <w:highlight w:val="none"/>
        </w:rPr>
        <w:t>（一）开标准备</w:t>
      </w:r>
    </w:p>
    <w:p w14:paraId="7BAD5617">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招标代理机构将在规定的时间和地点进行开标。本项目不要求响应人授权代表参加现场开标、开启响应文件活动。</w:t>
      </w:r>
    </w:p>
    <w:p w14:paraId="71F5C23B">
      <w:pPr>
        <w:pStyle w:val="13"/>
        <w:pageBreakBefore w:val="0"/>
        <w:kinsoku/>
        <w:wordWrap/>
        <w:overflowPunct/>
        <w:topLinePunct w:val="0"/>
        <w:bidi w:val="0"/>
        <w:snapToGrid w:val="0"/>
        <w:spacing w:line="360" w:lineRule="auto"/>
        <w:ind w:firstLine="422" w:firstLineChars="200"/>
        <w:outlineLvl w:val="9"/>
        <w:rPr>
          <w:rFonts w:hint="eastAsia" w:ascii="宋体" w:hAnsi="宋体" w:eastAsia="宋体" w:cs="宋体"/>
          <w:b/>
          <w:sz w:val="21"/>
          <w:szCs w:val="21"/>
          <w:highlight w:val="none"/>
        </w:rPr>
      </w:pPr>
      <w:r>
        <w:rPr>
          <w:rFonts w:hint="eastAsia" w:ascii="宋体" w:hAnsi="宋体" w:eastAsia="宋体" w:cs="宋体"/>
          <w:b/>
          <w:sz w:val="21"/>
          <w:szCs w:val="21"/>
          <w:highlight w:val="none"/>
        </w:rPr>
        <w:t>（二）开标程序</w:t>
      </w:r>
    </w:p>
    <w:p w14:paraId="163ED133">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1、开标会由招标代理机构相关工作人员主持，主持人宣布开标会议开始。</w:t>
      </w:r>
    </w:p>
    <w:p w14:paraId="44F3ADB0">
      <w:pPr>
        <w:pStyle w:val="13"/>
        <w:pageBreakBefore w:val="0"/>
        <w:kinsoku/>
        <w:wordWrap/>
        <w:overflowPunct/>
        <w:topLinePunct w:val="0"/>
        <w:bidi w:val="0"/>
        <w:snapToGrid w:val="0"/>
        <w:spacing w:line="360" w:lineRule="auto"/>
        <w:ind w:firstLine="420" w:firstLineChars="200"/>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2、介绍参加开标会的人员名单。</w:t>
      </w:r>
    </w:p>
    <w:p w14:paraId="2CE4112E">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3、宣布开标纪律和有关事项，告知应当回避的情形，提请有关人员回避。</w:t>
      </w:r>
    </w:p>
    <w:p w14:paraId="5820339D">
      <w:pPr>
        <w:pageBreakBefore w:val="0"/>
        <w:kinsoku/>
        <w:wordWrap/>
        <w:overflowPunct/>
        <w:topLinePunct w:val="0"/>
        <w:bidi w:val="0"/>
        <w:snapToGrid w:val="0"/>
        <w:spacing w:line="360" w:lineRule="auto"/>
        <w:ind w:firstLine="422" w:firstLineChars="200"/>
        <w:outlineLvl w:val="9"/>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4、电子招投标开标及评审程序</w:t>
      </w:r>
    </w:p>
    <w:p w14:paraId="5E9EFEE0">
      <w:pPr>
        <w:pageBreakBefore w:val="0"/>
        <w:kinsoku/>
        <w:wordWrap/>
        <w:overflowPunct/>
        <w:topLinePunct w:val="0"/>
        <w:bidi w:val="0"/>
        <w:spacing w:line="360" w:lineRule="auto"/>
        <w:ind w:firstLine="422" w:firstLineChars="200"/>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4.1投标截止时间后，投标人登录政采云平台，用“项目采购-开标评标”功能对电子投标文件进行在线解密。</w:t>
      </w:r>
    </w:p>
    <w:p w14:paraId="7E56A7F2">
      <w:pPr>
        <w:pageBreakBefore w:val="0"/>
        <w:kinsoku/>
        <w:wordWrap/>
        <w:overflowPunct/>
        <w:topLinePunct w:val="0"/>
        <w:bidi w:val="0"/>
        <w:spacing w:line="360" w:lineRule="auto"/>
        <w:ind w:firstLine="422" w:firstLineChars="200"/>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4.2磋商小组对资格进行评审；</w:t>
      </w:r>
    </w:p>
    <w:p w14:paraId="02D48FB2">
      <w:pPr>
        <w:pageBreakBefore w:val="0"/>
        <w:kinsoku/>
        <w:wordWrap/>
        <w:overflowPunct/>
        <w:topLinePunct w:val="0"/>
        <w:bidi w:val="0"/>
        <w:spacing w:line="360" w:lineRule="auto"/>
        <w:ind w:firstLine="422" w:firstLineChars="200"/>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4.3公布资格评审结果；</w:t>
      </w:r>
    </w:p>
    <w:p w14:paraId="68470E71">
      <w:pPr>
        <w:pageBreakBefore w:val="0"/>
        <w:kinsoku/>
        <w:wordWrap/>
        <w:overflowPunct/>
        <w:topLinePunct w:val="0"/>
        <w:bidi w:val="0"/>
        <w:spacing w:line="360" w:lineRule="auto"/>
        <w:ind w:firstLine="422" w:firstLineChars="200"/>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4.4磋商小组就价格、服务等认为需要磋商的内容分别与各响应人进行磋商。</w:t>
      </w:r>
    </w:p>
    <w:p w14:paraId="4C133F32">
      <w:pPr>
        <w:pageBreakBefore w:val="0"/>
        <w:kinsoku/>
        <w:wordWrap/>
        <w:overflowPunct/>
        <w:topLinePunct w:val="0"/>
        <w:bidi w:val="0"/>
        <w:spacing w:line="360" w:lineRule="auto"/>
        <w:ind w:firstLine="422" w:firstLineChars="200"/>
        <w:outlineLvl w:val="9"/>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4.5磋商小组对商务技术响应文件进行评审；</w:t>
      </w:r>
    </w:p>
    <w:p w14:paraId="0802835B">
      <w:pPr>
        <w:pageBreakBefore w:val="0"/>
        <w:kinsoku/>
        <w:wordWrap/>
        <w:overflowPunct/>
        <w:topLinePunct w:val="0"/>
        <w:bidi w:val="0"/>
        <w:spacing w:line="360" w:lineRule="auto"/>
        <w:ind w:firstLine="422" w:firstLineChars="200"/>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4.6各响应人在规定时间内于系统上提交最终报价，最终报价不得超过自身的初次报价。</w:t>
      </w:r>
    </w:p>
    <w:p w14:paraId="55E019B9">
      <w:pPr>
        <w:pageBreakBefore w:val="0"/>
        <w:kinsoku/>
        <w:wordWrap/>
        <w:overflowPunct/>
        <w:topLinePunct w:val="0"/>
        <w:bidi w:val="0"/>
        <w:spacing w:line="360" w:lineRule="auto"/>
        <w:ind w:firstLine="422" w:firstLineChars="200"/>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4.7公布商务技术评审结果；</w:t>
      </w:r>
    </w:p>
    <w:p w14:paraId="6A255624">
      <w:pPr>
        <w:pageBreakBefore w:val="0"/>
        <w:kinsoku/>
        <w:wordWrap/>
        <w:overflowPunct/>
        <w:topLinePunct w:val="0"/>
        <w:bidi w:val="0"/>
        <w:spacing w:line="360" w:lineRule="auto"/>
        <w:ind w:firstLine="422" w:firstLineChars="200"/>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4.8公布报价开标情况；</w:t>
      </w:r>
    </w:p>
    <w:p w14:paraId="207BFEF8">
      <w:pPr>
        <w:pageBreakBefore w:val="0"/>
        <w:kinsoku/>
        <w:wordWrap/>
        <w:overflowPunct/>
        <w:topLinePunct w:val="0"/>
        <w:bidi w:val="0"/>
        <w:spacing w:line="360" w:lineRule="auto"/>
        <w:ind w:firstLine="422" w:firstLineChars="200"/>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4.9磋商小组对报价情况进行评审；</w:t>
      </w:r>
    </w:p>
    <w:p w14:paraId="042E99DB">
      <w:pPr>
        <w:pageBreakBefore w:val="0"/>
        <w:kinsoku/>
        <w:wordWrap/>
        <w:overflowPunct/>
        <w:topLinePunct w:val="0"/>
        <w:bidi w:val="0"/>
        <w:spacing w:line="360" w:lineRule="auto"/>
        <w:ind w:firstLine="422" w:firstLineChars="200"/>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4.10公布评审结果。</w:t>
      </w:r>
    </w:p>
    <w:p w14:paraId="1FEF289A">
      <w:pPr>
        <w:pageBreakBefore w:val="0"/>
        <w:kinsoku/>
        <w:wordWrap/>
        <w:overflowPunct/>
        <w:topLinePunct w:val="0"/>
        <w:bidi w:val="0"/>
        <w:spacing w:line="360" w:lineRule="auto"/>
        <w:ind w:firstLine="422" w:firstLineChars="200"/>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特别说明：政采云公司如对电子化开标及评审程序有调整的，按调整后的程序操作。</w:t>
      </w:r>
    </w:p>
    <w:p w14:paraId="6491E13D">
      <w:pPr>
        <w:pageBreakBefore w:val="0"/>
        <w:kinsoku/>
        <w:wordWrap/>
        <w:overflowPunct/>
        <w:topLinePunct w:val="0"/>
        <w:bidi w:val="0"/>
        <w:spacing w:line="360" w:lineRule="auto"/>
        <w:ind w:firstLine="422" w:firstLineChars="200"/>
        <w:outlineLvl w:val="9"/>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5、如遇电子招投标系统故障的，启用备份投标文件</w:t>
      </w:r>
    </w:p>
    <w:p w14:paraId="719BA2AB">
      <w:pPr>
        <w:pageBreakBefore w:val="0"/>
        <w:kinsoku/>
        <w:wordWrap/>
        <w:overflowPunct/>
        <w:topLinePunct w:val="0"/>
        <w:bidi w:val="0"/>
        <w:snapToGrid w:val="0"/>
        <w:spacing w:line="360" w:lineRule="auto"/>
        <w:ind w:firstLine="422" w:firstLineChars="200"/>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6、本项目原则上采用政采云电子招投标开标及评审程序，但若响应人在规定时间内无法解密或解密失败，招标代理机构将开启未能在规定时间内解密的响应人递交的备份投标文件。</w:t>
      </w:r>
    </w:p>
    <w:p w14:paraId="24AF4310">
      <w:pPr>
        <w:pageBreakBefore w:val="0"/>
        <w:kinsoku/>
        <w:wordWrap/>
        <w:overflowPunct/>
        <w:topLinePunct w:val="0"/>
        <w:bidi w:val="0"/>
        <w:snapToGrid w:val="0"/>
        <w:spacing w:line="360" w:lineRule="auto"/>
        <w:ind w:firstLine="422" w:firstLineChars="200"/>
        <w:jc w:val="center"/>
        <w:rPr>
          <w:rFonts w:hint="eastAsia" w:ascii="宋体" w:hAnsi="宋体" w:eastAsia="宋体" w:cs="宋体"/>
          <w:b/>
          <w:sz w:val="21"/>
          <w:szCs w:val="21"/>
          <w:highlight w:val="none"/>
        </w:rPr>
      </w:pPr>
    </w:p>
    <w:p w14:paraId="53AD6A1D">
      <w:pPr>
        <w:pageBreakBefore w:val="0"/>
        <w:kinsoku/>
        <w:wordWrap/>
        <w:overflowPunct/>
        <w:topLinePunct w:val="0"/>
        <w:bidi w:val="0"/>
        <w:snapToGrid w:val="0"/>
        <w:spacing w:line="360" w:lineRule="auto"/>
        <w:jc w:val="center"/>
        <w:outlineLvl w:val="1"/>
        <w:rPr>
          <w:rFonts w:hint="eastAsia" w:ascii="宋体" w:hAnsi="宋体" w:eastAsia="宋体" w:cs="宋体"/>
          <w:b/>
          <w:sz w:val="21"/>
          <w:szCs w:val="21"/>
          <w:highlight w:val="none"/>
        </w:rPr>
      </w:pPr>
      <w:r>
        <w:rPr>
          <w:rFonts w:hint="eastAsia" w:ascii="宋体" w:hAnsi="宋体" w:eastAsia="宋体" w:cs="宋体"/>
          <w:b/>
          <w:sz w:val="21"/>
          <w:szCs w:val="21"/>
          <w:highlight w:val="none"/>
        </w:rPr>
        <w:t>五、评标</w:t>
      </w:r>
    </w:p>
    <w:p w14:paraId="10BDA5DC">
      <w:pPr>
        <w:pStyle w:val="13"/>
        <w:pageBreakBefore w:val="0"/>
        <w:kinsoku/>
        <w:wordWrap/>
        <w:overflowPunct/>
        <w:topLinePunct w:val="0"/>
        <w:bidi w:val="0"/>
        <w:snapToGrid w:val="0"/>
        <w:spacing w:line="360" w:lineRule="auto"/>
        <w:ind w:firstLine="422" w:firstLineChars="200"/>
        <w:outlineLvl w:val="9"/>
        <w:rPr>
          <w:rFonts w:hint="eastAsia" w:ascii="宋体" w:hAnsi="宋体" w:eastAsia="宋体" w:cs="宋体"/>
          <w:b/>
          <w:sz w:val="21"/>
          <w:szCs w:val="21"/>
          <w:highlight w:val="none"/>
        </w:rPr>
      </w:pPr>
      <w:r>
        <w:rPr>
          <w:rFonts w:hint="eastAsia" w:ascii="宋体" w:hAnsi="宋体" w:eastAsia="宋体" w:cs="宋体"/>
          <w:b/>
          <w:sz w:val="21"/>
          <w:szCs w:val="21"/>
          <w:highlight w:val="none"/>
        </w:rPr>
        <w:t>（一）组建磋商小组</w:t>
      </w:r>
    </w:p>
    <w:p w14:paraId="0D40B26E">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磋商小组由采购人代表和评审专家共 3 人以上单数组成，其中评审专家人数不得少于磋商小组成员总数的 2/3。</w:t>
      </w:r>
    </w:p>
    <w:p w14:paraId="3D997AA3">
      <w:pPr>
        <w:pStyle w:val="13"/>
        <w:pageBreakBefore w:val="0"/>
        <w:kinsoku/>
        <w:wordWrap/>
        <w:overflowPunct/>
        <w:topLinePunct w:val="0"/>
        <w:bidi w:val="0"/>
        <w:snapToGrid w:val="0"/>
        <w:spacing w:line="360" w:lineRule="auto"/>
        <w:ind w:firstLine="422" w:firstLineChars="200"/>
        <w:outlineLvl w:val="9"/>
        <w:rPr>
          <w:rFonts w:hint="eastAsia" w:ascii="宋体" w:hAnsi="宋体" w:eastAsia="宋体" w:cs="宋体"/>
          <w:sz w:val="21"/>
          <w:szCs w:val="21"/>
          <w:highlight w:val="none"/>
        </w:rPr>
      </w:pPr>
      <w:r>
        <w:rPr>
          <w:rFonts w:hint="eastAsia" w:ascii="宋体" w:hAnsi="宋体" w:eastAsia="宋体" w:cs="宋体"/>
          <w:b/>
          <w:sz w:val="21"/>
          <w:szCs w:val="21"/>
          <w:highlight w:val="none"/>
        </w:rPr>
        <w:t>（二）评标程序</w:t>
      </w:r>
    </w:p>
    <w:p w14:paraId="5C612219">
      <w:pPr>
        <w:pStyle w:val="13"/>
        <w:pageBreakBefore w:val="0"/>
        <w:kinsoku/>
        <w:wordWrap/>
        <w:overflowPunct/>
        <w:topLinePunct w:val="0"/>
        <w:bidi w:val="0"/>
        <w:snapToGrid w:val="0"/>
        <w:spacing w:line="360" w:lineRule="auto"/>
        <w:ind w:firstLine="420" w:firstLineChars="200"/>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1、资格审查</w:t>
      </w:r>
    </w:p>
    <w:p w14:paraId="036F9175">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磋商小组对响应人的资格进行审查。</w:t>
      </w:r>
    </w:p>
    <w:p w14:paraId="5D39C593">
      <w:pPr>
        <w:pStyle w:val="13"/>
        <w:pageBreakBefore w:val="0"/>
        <w:kinsoku/>
        <w:wordWrap/>
        <w:overflowPunct/>
        <w:topLinePunct w:val="0"/>
        <w:bidi w:val="0"/>
        <w:snapToGrid w:val="0"/>
        <w:spacing w:line="360" w:lineRule="auto"/>
        <w:ind w:firstLine="420" w:firstLineChars="200"/>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2、实质审查与比较</w:t>
      </w:r>
    </w:p>
    <w:p w14:paraId="5468CF37">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2.1磋商小组审查响应文件的实质性内容是否符合磋商文件的实质性要求。</w:t>
      </w:r>
    </w:p>
    <w:p w14:paraId="5C5CBD1A">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2.2磋商小组将根据响应人的响应文件进行审查、核对，如有疑问，将对响应人进行询标，响应人要向磋商小组澄清有关问题，并最终以书面形式进行答复。</w:t>
      </w:r>
    </w:p>
    <w:p w14:paraId="32D5BE40">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2.3响应人代表未到场或者拒绝澄清或者澄清的内容改变了响应文件的实质性内容的，磋商小组有权对该响应文件作出不利于响应人的评判。</w:t>
      </w:r>
    </w:p>
    <w:p w14:paraId="7430588E">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2.4各响应人的商务技术得分由指定专人进行计算复核。</w:t>
      </w:r>
    </w:p>
    <w:p w14:paraId="5EF12DD3">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2.5各响应人报价得分根据评分标准计算。</w:t>
      </w:r>
    </w:p>
    <w:p w14:paraId="5531A695">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2.6磋商小组完成评标后，对各部分得分汇总，得出本项目最终得分，磋商小组按评标原则推荐成交候选人同时起草评审报告。</w:t>
      </w:r>
    </w:p>
    <w:p w14:paraId="4678723C">
      <w:pPr>
        <w:pageBreakBefore w:val="0"/>
        <w:kinsoku/>
        <w:wordWrap/>
        <w:overflowPunct/>
        <w:topLinePunct w:val="0"/>
        <w:bidi w:val="0"/>
        <w:snapToGrid w:val="0"/>
        <w:spacing w:line="360" w:lineRule="auto"/>
        <w:ind w:firstLine="422" w:firstLineChars="200"/>
        <w:outlineLvl w:val="9"/>
        <w:rPr>
          <w:rFonts w:hint="eastAsia" w:ascii="宋体" w:hAnsi="宋体" w:eastAsia="宋体" w:cs="宋体"/>
          <w:b/>
          <w:sz w:val="21"/>
          <w:szCs w:val="21"/>
          <w:highlight w:val="none"/>
        </w:rPr>
      </w:pPr>
      <w:r>
        <w:rPr>
          <w:rFonts w:hint="eastAsia" w:ascii="宋体" w:hAnsi="宋体" w:eastAsia="宋体" w:cs="宋体"/>
          <w:b/>
          <w:sz w:val="21"/>
          <w:szCs w:val="21"/>
          <w:highlight w:val="none"/>
        </w:rPr>
        <w:t>（三）澄清问题的形式</w:t>
      </w:r>
    </w:p>
    <w:p w14:paraId="3770420F">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对响应文件中含义不明确、同类问题表述不一致或者有明显文字和计算错误的内容，磋商小组可要求响应人作出必要的澄清、说明或者纠正。响应人的澄清、说明或者补正应当采用书面形式，由其全权代表签字或盖章确认，并不得超出响应文件的范围或者改变响应文件的实质性内容。</w:t>
      </w:r>
    </w:p>
    <w:p w14:paraId="7824AA7B">
      <w:pPr>
        <w:pageBreakBefore w:val="0"/>
        <w:kinsoku/>
        <w:wordWrap/>
        <w:overflowPunct/>
        <w:topLinePunct w:val="0"/>
        <w:bidi w:val="0"/>
        <w:spacing w:line="360" w:lineRule="auto"/>
        <w:ind w:firstLine="422" w:firstLineChars="200"/>
        <w:outlineLvl w:val="9"/>
        <w:rPr>
          <w:rFonts w:hint="eastAsia" w:ascii="宋体" w:hAnsi="宋体" w:eastAsia="宋体" w:cs="宋体"/>
          <w:b/>
          <w:bCs/>
          <w:color w:val="000000"/>
          <w:sz w:val="21"/>
          <w:szCs w:val="21"/>
          <w:highlight w:val="none"/>
        </w:rPr>
      </w:pPr>
      <w:r>
        <w:rPr>
          <w:rFonts w:hint="eastAsia" w:ascii="宋体" w:hAnsi="宋体" w:eastAsia="宋体" w:cs="宋体"/>
          <w:b/>
          <w:bCs/>
          <w:color w:val="000000"/>
          <w:sz w:val="21"/>
          <w:szCs w:val="21"/>
          <w:highlight w:val="none"/>
        </w:rPr>
        <w:t>（四）报价错误修正</w:t>
      </w:r>
    </w:p>
    <w:p w14:paraId="4B8D0AF8">
      <w:pPr>
        <w:pageBreakBefore w:val="0"/>
        <w:kinsoku/>
        <w:wordWrap/>
        <w:overflowPunct/>
        <w:topLinePunct w:val="0"/>
        <w:bidi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color w:val="000000"/>
          <w:sz w:val="21"/>
          <w:szCs w:val="21"/>
          <w:highlight w:val="none"/>
        </w:rPr>
        <w:t>评标委员会对确定响应文件为实质上响应磋商文件要求的，磋商文件报价出现前后不一致的，按照下列规定修正：</w:t>
      </w:r>
    </w:p>
    <w:p w14:paraId="1E3EA27D">
      <w:pPr>
        <w:pageBreakBefore w:val="0"/>
        <w:kinsoku/>
        <w:wordWrap/>
        <w:overflowPunct/>
        <w:topLinePunct w:val="0"/>
        <w:bidi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w:t>
      </w:r>
      <w:r>
        <w:rPr>
          <w:rFonts w:hint="eastAsia" w:ascii="宋体" w:hAnsi="宋体" w:eastAsia="宋体" w:cs="宋体"/>
          <w:color w:val="000000"/>
          <w:sz w:val="21"/>
          <w:szCs w:val="21"/>
          <w:highlight w:val="none"/>
          <w:shd w:val="clear" w:color="auto" w:fill="FFFFFF"/>
        </w:rPr>
        <w:t>响应文件开标一览表（报价表）内容与响应文件中相应内容不一致的，以开标一览表（报价表）为准；</w:t>
      </w:r>
    </w:p>
    <w:p w14:paraId="697826EF">
      <w:pPr>
        <w:pageBreakBefore w:val="0"/>
        <w:kinsoku/>
        <w:wordWrap/>
        <w:overflowPunct/>
        <w:topLinePunct w:val="0"/>
        <w:bidi w:val="0"/>
        <w:spacing w:line="360" w:lineRule="auto"/>
        <w:ind w:firstLine="420" w:firstLineChars="200"/>
        <w:outlineLvl w:val="9"/>
        <w:rPr>
          <w:rFonts w:hint="eastAsia" w:ascii="宋体" w:hAnsi="宋体" w:eastAsia="宋体" w:cs="宋体"/>
          <w:sz w:val="21"/>
          <w:szCs w:val="21"/>
          <w:highlight w:val="none"/>
        </w:rPr>
      </w:pPr>
      <w:r>
        <w:rPr>
          <w:rFonts w:hint="eastAsia" w:ascii="宋体" w:hAnsi="宋体" w:eastAsia="宋体" w:cs="宋体"/>
          <w:color w:val="000000"/>
          <w:sz w:val="21"/>
          <w:szCs w:val="21"/>
          <w:highlight w:val="none"/>
          <w:shd w:val="clear" w:color="auto" w:fill="FFFFFF"/>
        </w:rPr>
        <w:t>2、大写金额和小写金额不一致的，以大写金额为准；</w:t>
      </w:r>
    </w:p>
    <w:p w14:paraId="6CB48454">
      <w:pPr>
        <w:pageBreakBefore w:val="0"/>
        <w:kinsoku/>
        <w:wordWrap/>
        <w:overflowPunct/>
        <w:topLinePunct w:val="0"/>
        <w:bidi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color w:val="000000"/>
          <w:sz w:val="21"/>
          <w:szCs w:val="21"/>
          <w:highlight w:val="none"/>
          <w:shd w:val="clear" w:color="auto" w:fill="FFFFFF"/>
        </w:rPr>
        <w:t>3、单价金额小数点或者百分比有明显错位的，以开标一览表的总价为准，并修改单价；</w:t>
      </w:r>
    </w:p>
    <w:p w14:paraId="07343037">
      <w:pPr>
        <w:pageBreakBefore w:val="0"/>
        <w:kinsoku/>
        <w:wordWrap/>
        <w:overflowPunct/>
        <w:topLinePunct w:val="0"/>
        <w:bidi w:val="0"/>
        <w:spacing w:line="360" w:lineRule="auto"/>
        <w:ind w:firstLine="420" w:firstLineChars="200"/>
        <w:rPr>
          <w:rFonts w:hint="eastAsia" w:ascii="宋体" w:hAnsi="宋体" w:eastAsia="宋体" w:cs="宋体"/>
          <w:color w:val="000000"/>
          <w:sz w:val="21"/>
          <w:szCs w:val="21"/>
          <w:highlight w:val="none"/>
          <w:shd w:val="clear" w:color="auto" w:fill="FFFFFF"/>
        </w:rPr>
      </w:pPr>
      <w:r>
        <w:rPr>
          <w:rFonts w:hint="eastAsia" w:ascii="宋体" w:hAnsi="宋体" w:eastAsia="宋体" w:cs="宋体"/>
          <w:color w:val="000000"/>
          <w:sz w:val="21"/>
          <w:szCs w:val="21"/>
          <w:highlight w:val="none"/>
          <w:shd w:val="clear" w:color="auto" w:fill="FFFFFF"/>
        </w:rPr>
        <w:t>4、总价金额与按单价汇总金额不一致的，以单价金额计算结果为准。</w:t>
      </w:r>
    </w:p>
    <w:p w14:paraId="7A2BF9FB">
      <w:pPr>
        <w:pageBreakBefore w:val="0"/>
        <w:kinsoku/>
        <w:wordWrap/>
        <w:overflowPunct/>
        <w:topLinePunct w:val="0"/>
        <w:bidi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color w:val="000000"/>
          <w:sz w:val="21"/>
          <w:szCs w:val="21"/>
          <w:highlight w:val="none"/>
          <w:shd w:val="clear" w:color="auto" w:fill="FFFFFF"/>
        </w:rPr>
        <w:t>5、</w:t>
      </w:r>
      <w:r>
        <w:rPr>
          <w:rFonts w:hint="eastAsia" w:ascii="宋体" w:hAnsi="宋体" w:eastAsia="宋体" w:cs="宋体"/>
          <w:sz w:val="21"/>
          <w:szCs w:val="21"/>
          <w:highlight w:val="none"/>
        </w:rPr>
        <w:t>电子交易平台客户端里开标一览表录入的信息与投标文件不一致的，以投标文件为准；</w:t>
      </w:r>
    </w:p>
    <w:p w14:paraId="0B712AB2">
      <w:pPr>
        <w:pStyle w:val="13"/>
        <w:pageBreakBefore w:val="0"/>
        <w:kinsoku/>
        <w:wordWrap/>
        <w:overflowPunct/>
        <w:topLinePunct w:val="0"/>
        <w:bidi w:val="0"/>
        <w:snapToGrid w:val="0"/>
        <w:spacing w:line="360" w:lineRule="auto"/>
        <w:ind w:firstLine="422" w:firstLineChars="200"/>
        <w:rPr>
          <w:rFonts w:hint="eastAsia" w:ascii="宋体" w:hAnsi="宋体" w:eastAsia="宋体" w:cs="宋体"/>
          <w:b/>
          <w:sz w:val="21"/>
          <w:szCs w:val="21"/>
          <w:highlight w:val="none"/>
        </w:rPr>
      </w:pPr>
      <w:r>
        <w:rPr>
          <w:rFonts w:hint="eastAsia" w:ascii="宋体" w:hAnsi="宋体" w:eastAsia="宋体" w:cs="宋体"/>
          <w:b/>
          <w:sz w:val="21"/>
          <w:szCs w:val="21"/>
          <w:highlight w:val="none"/>
        </w:rPr>
        <w:t>同时出现两种以上不一致的，按上述顺序修正；按上述修正错误的原则及方法调整或修正响应文件的磋商报价，响应人同意并签字确认后，调整后的磋商报价对响应人具有约束作用。如果响应人不接受修正后的报价，则其投标将作为无效投标处理。</w:t>
      </w:r>
    </w:p>
    <w:p w14:paraId="6BC1C34E">
      <w:pPr>
        <w:pStyle w:val="13"/>
        <w:pageBreakBefore w:val="0"/>
        <w:kinsoku/>
        <w:wordWrap/>
        <w:overflowPunct/>
        <w:topLinePunct w:val="0"/>
        <w:bidi w:val="0"/>
        <w:snapToGrid w:val="0"/>
        <w:spacing w:line="360" w:lineRule="auto"/>
        <w:ind w:firstLine="422" w:firstLineChars="200"/>
        <w:outlineLvl w:val="9"/>
        <w:rPr>
          <w:rFonts w:hint="eastAsia" w:ascii="宋体" w:hAnsi="宋体" w:eastAsia="宋体" w:cs="宋体"/>
          <w:b/>
          <w:sz w:val="21"/>
          <w:szCs w:val="21"/>
          <w:highlight w:val="none"/>
        </w:rPr>
      </w:pPr>
      <w:r>
        <w:rPr>
          <w:rFonts w:hint="eastAsia" w:ascii="宋体" w:hAnsi="宋体" w:eastAsia="宋体" w:cs="宋体"/>
          <w:b/>
          <w:sz w:val="21"/>
          <w:szCs w:val="21"/>
          <w:highlight w:val="none"/>
        </w:rPr>
        <w:t>（五）评标原则和评标办法</w:t>
      </w:r>
    </w:p>
    <w:p w14:paraId="52AA5DCA">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1、磋商小组必须公平、公正、客观，不带任何倾向性和启发性；不得向外界透露任何与评标有关的内容；任何单位和个人不得干扰、影响评标的正常进行；磋商小组及有关工作人员不得私下与响应人接触。</w:t>
      </w:r>
    </w:p>
    <w:p w14:paraId="271B4172">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2、评标办法。本项目评标办法是</w:t>
      </w:r>
      <w:r>
        <w:rPr>
          <w:rFonts w:hint="eastAsia" w:ascii="宋体" w:hAnsi="宋体" w:eastAsia="宋体" w:cs="宋体"/>
          <w:sz w:val="21"/>
          <w:szCs w:val="21"/>
          <w:highlight w:val="none"/>
          <w:u w:val="single"/>
        </w:rPr>
        <w:t>综合评分法</w:t>
      </w:r>
      <w:r>
        <w:rPr>
          <w:rFonts w:hint="eastAsia" w:ascii="宋体" w:hAnsi="宋体" w:eastAsia="宋体" w:cs="宋体"/>
          <w:sz w:val="21"/>
          <w:szCs w:val="21"/>
          <w:highlight w:val="none"/>
        </w:rPr>
        <w:t>，具体评标内容及评分标准等详见《第四章：评标办法及评分标准》。</w:t>
      </w:r>
    </w:p>
    <w:p w14:paraId="79ACBF53">
      <w:pPr>
        <w:pStyle w:val="13"/>
        <w:pageBreakBefore w:val="0"/>
        <w:kinsoku/>
        <w:wordWrap/>
        <w:overflowPunct/>
        <w:topLinePunct w:val="0"/>
        <w:bidi w:val="0"/>
        <w:snapToGrid w:val="0"/>
        <w:spacing w:line="360" w:lineRule="auto"/>
        <w:ind w:firstLine="422" w:firstLineChars="200"/>
        <w:outlineLvl w:val="9"/>
        <w:rPr>
          <w:rFonts w:hint="eastAsia" w:ascii="宋体" w:hAnsi="宋体" w:eastAsia="宋体" w:cs="宋体"/>
          <w:b/>
          <w:sz w:val="21"/>
          <w:szCs w:val="21"/>
          <w:highlight w:val="none"/>
        </w:rPr>
      </w:pPr>
      <w:r>
        <w:rPr>
          <w:rFonts w:hint="eastAsia" w:ascii="宋体" w:hAnsi="宋体" w:eastAsia="宋体" w:cs="宋体"/>
          <w:b/>
          <w:sz w:val="21"/>
          <w:szCs w:val="21"/>
          <w:highlight w:val="none"/>
        </w:rPr>
        <w:t>（六）磋商过程的监控</w:t>
      </w:r>
    </w:p>
    <w:p w14:paraId="3791E1CB">
      <w:pPr>
        <w:pStyle w:val="13"/>
        <w:pageBreakBefore w:val="0"/>
        <w:kinsoku/>
        <w:wordWrap/>
        <w:overflowPunct/>
        <w:topLinePunct w:val="0"/>
        <w:bidi w:val="0"/>
        <w:snapToGrid w:val="0"/>
        <w:spacing w:line="360" w:lineRule="auto"/>
        <w:ind w:firstLine="420" w:firstLineChars="200"/>
        <w:rPr>
          <w:rFonts w:hint="eastAsia" w:ascii="宋体" w:hAnsi="宋体" w:eastAsia="宋体" w:cs="宋体"/>
          <w:b/>
          <w:sz w:val="21"/>
          <w:szCs w:val="21"/>
          <w:highlight w:val="none"/>
        </w:rPr>
      </w:pPr>
      <w:r>
        <w:rPr>
          <w:rFonts w:hint="eastAsia" w:ascii="宋体" w:hAnsi="宋体" w:eastAsia="宋体" w:cs="宋体"/>
          <w:sz w:val="21"/>
          <w:szCs w:val="21"/>
          <w:highlight w:val="none"/>
        </w:rPr>
        <w:t>本项目磋商过程实行全程录音、录像监控，响应人在磋商过程中所进行的试图影响评标结果的不公正活动，可能导致其响应被拒绝。</w:t>
      </w:r>
    </w:p>
    <w:p w14:paraId="2DBBA9B9">
      <w:pPr>
        <w:pageBreakBefore w:val="0"/>
        <w:kinsoku/>
        <w:wordWrap/>
        <w:overflowPunct/>
        <w:topLinePunct w:val="0"/>
        <w:bidi w:val="0"/>
        <w:snapToGrid w:val="0"/>
        <w:spacing w:line="360" w:lineRule="auto"/>
        <w:jc w:val="center"/>
        <w:rPr>
          <w:rFonts w:hint="eastAsia" w:ascii="宋体" w:hAnsi="宋体" w:eastAsia="宋体" w:cs="宋体"/>
          <w:b/>
          <w:sz w:val="21"/>
          <w:szCs w:val="21"/>
          <w:highlight w:val="none"/>
        </w:rPr>
      </w:pPr>
    </w:p>
    <w:p w14:paraId="7FF185FF">
      <w:pPr>
        <w:pageBreakBefore w:val="0"/>
        <w:kinsoku/>
        <w:wordWrap/>
        <w:overflowPunct/>
        <w:topLinePunct w:val="0"/>
        <w:bidi w:val="0"/>
        <w:snapToGrid w:val="0"/>
        <w:spacing w:line="360" w:lineRule="auto"/>
        <w:jc w:val="center"/>
        <w:outlineLvl w:val="1"/>
        <w:rPr>
          <w:rFonts w:hint="eastAsia" w:ascii="宋体" w:hAnsi="宋体" w:eastAsia="宋体" w:cs="宋体"/>
          <w:b/>
          <w:sz w:val="21"/>
          <w:szCs w:val="21"/>
          <w:highlight w:val="none"/>
        </w:rPr>
      </w:pPr>
      <w:r>
        <w:rPr>
          <w:rFonts w:hint="eastAsia" w:ascii="宋体" w:hAnsi="宋体" w:eastAsia="宋体" w:cs="宋体"/>
          <w:b/>
          <w:sz w:val="21"/>
          <w:szCs w:val="21"/>
          <w:highlight w:val="none"/>
        </w:rPr>
        <w:t>六、废标</w:t>
      </w:r>
    </w:p>
    <w:p w14:paraId="0226EA76">
      <w:pPr>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根据《财政部关于政府采购竞争性磋商管理暂行办法有关问题的补充通知》：</w:t>
      </w:r>
    </w:p>
    <w:p w14:paraId="60EFC3CB">
      <w:pPr>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采用竞争性磋商采购政府购买服务项目（含政府和社会资本合作项目），在采购过程中符合要求的供应商（社会资本）只有2家的，竞争性磋商采购活动可以继续进行。采购过程中符合要求的供应商（社会资本）只有1家的，采购人（项目实施机构）或者招标代理机构应当终止竞争性磋商采购活动，发布项目终止公告并说明原因，重新开展采购活动。</w:t>
      </w:r>
    </w:p>
    <w:p w14:paraId="0D2E5AFC">
      <w:pPr>
        <w:pageBreakBefore w:val="0"/>
        <w:kinsoku/>
        <w:wordWrap/>
        <w:overflowPunct/>
        <w:topLinePunct w:val="0"/>
        <w:bidi w:val="0"/>
        <w:snapToGrid w:val="0"/>
        <w:spacing w:line="360" w:lineRule="auto"/>
        <w:rPr>
          <w:rFonts w:hint="eastAsia" w:ascii="宋体" w:hAnsi="宋体" w:eastAsia="宋体" w:cs="宋体"/>
          <w:b/>
          <w:sz w:val="21"/>
          <w:szCs w:val="21"/>
          <w:highlight w:val="none"/>
        </w:rPr>
      </w:pPr>
    </w:p>
    <w:p w14:paraId="1E52811E">
      <w:pPr>
        <w:pageBreakBefore w:val="0"/>
        <w:kinsoku/>
        <w:wordWrap/>
        <w:overflowPunct/>
        <w:topLinePunct w:val="0"/>
        <w:bidi w:val="0"/>
        <w:snapToGrid w:val="0"/>
        <w:spacing w:line="360" w:lineRule="auto"/>
        <w:jc w:val="center"/>
        <w:outlineLvl w:val="1"/>
        <w:rPr>
          <w:rFonts w:hint="eastAsia" w:ascii="宋体" w:hAnsi="宋体" w:eastAsia="宋体" w:cs="宋体"/>
          <w:b/>
          <w:sz w:val="21"/>
          <w:szCs w:val="21"/>
          <w:highlight w:val="none"/>
        </w:rPr>
      </w:pPr>
      <w:r>
        <w:rPr>
          <w:rFonts w:hint="eastAsia" w:ascii="宋体" w:hAnsi="宋体" w:eastAsia="宋体" w:cs="宋体"/>
          <w:b/>
          <w:sz w:val="21"/>
          <w:szCs w:val="21"/>
          <w:highlight w:val="none"/>
        </w:rPr>
        <w:t>七、定标</w:t>
      </w:r>
    </w:p>
    <w:p w14:paraId="040A66F3">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（一）确定成交人。本项目由采购人事先授权磋商小组确定成交候选人3名。推荐第一名成交候选人为成交人，经采购人确认后，确定项目成交人，同时发布采购结果公告，发出成交通知书。</w:t>
      </w:r>
    </w:p>
    <w:p w14:paraId="6549D211">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1、招标代理机构在评标结束后在2个工作日内将评审报告交采购人确认。</w:t>
      </w:r>
    </w:p>
    <w:p w14:paraId="49F886CA">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2、采购人应当自收到评审报告之日起5个工作日内在评审报告推荐的中标或者成交候选人中按顺序确定中标或者成交供应商。</w:t>
      </w:r>
    </w:p>
    <w:p w14:paraId="1EF4392F">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3、采购人或者招标代理机构应当自成交人确定之日起2个工作日内，在省级以上财政部门指定的媒体上公告中标结果，采购文件应当随中标结果同时公告。在公告中标结果的同时，采购人或者招标代理机构应当向成交人发出成交通知书。</w:t>
      </w:r>
    </w:p>
    <w:p w14:paraId="03D67DE2">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hAnsi="宋体" w:eastAsia="宋体" w:cs="宋体"/>
          <w:sz w:val="21"/>
          <w:szCs w:val="21"/>
          <w:highlight w:val="none"/>
          <w:lang w:eastAsia="zh-CN"/>
        </w:rPr>
        <w:t>（</w:t>
      </w:r>
      <w:r>
        <w:rPr>
          <w:rFonts w:hint="eastAsia" w:hAnsi="宋体" w:eastAsia="宋体" w:cs="宋体"/>
          <w:sz w:val="21"/>
          <w:szCs w:val="21"/>
          <w:highlight w:val="none"/>
          <w:lang w:val="en-US" w:eastAsia="zh-CN"/>
        </w:rPr>
        <w:t>二</w:t>
      </w:r>
      <w:r>
        <w:rPr>
          <w:rFonts w:hint="eastAsia" w:hAnsi="宋体" w:eastAsia="宋体" w:cs="宋体"/>
          <w:sz w:val="21"/>
          <w:szCs w:val="21"/>
          <w:highlight w:val="none"/>
          <w:lang w:eastAsia="zh-CN"/>
        </w:rPr>
        <w:t>）</w:t>
      </w:r>
      <w:r>
        <w:rPr>
          <w:rFonts w:hint="eastAsia" w:ascii="宋体" w:hAnsi="宋体" w:eastAsia="宋体" w:cs="宋体"/>
          <w:sz w:val="21"/>
          <w:szCs w:val="21"/>
          <w:highlight w:val="none"/>
        </w:rPr>
        <w:t>合同签订前，供应商须提供在投标（响应）文件中涉及客观分评审内容的检测报告、认证证书等资料给采购代理机构进行原件核对，无法提供或提供的资料与投标文件不符的，采购人可拒绝签订合同。采购人可以按照评审报告推荐的中标或者成交候选人名单排序，确定下一候选人为中标或者成交供应商，也可以重新开展政府采购活动。</w:t>
      </w:r>
    </w:p>
    <w:p w14:paraId="596AB062">
      <w:pPr>
        <w:pStyle w:val="13"/>
        <w:pageBreakBefore w:val="0"/>
        <w:kinsoku/>
        <w:wordWrap/>
        <w:overflowPunct/>
        <w:topLinePunct w:val="0"/>
        <w:bidi w:val="0"/>
        <w:snapToGrid w:val="0"/>
        <w:spacing w:line="360" w:lineRule="auto"/>
        <w:ind w:firstLine="420" w:firstLineChars="200"/>
        <w:rPr>
          <w:rFonts w:hint="eastAsia" w:ascii="宋体" w:hAnsi="宋体" w:eastAsia="宋体" w:cs="宋体"/>
          <w:b/>
          <w:sz w:val="21"/>
          <w:szCs w:val="21"/>
          <w:highlight w:val="none"/>
        </w:rPr>
      </w:pPr>
      <w:r>
        <w:rPr>
          <w:rFonts w:hint="eastAsia" w:ascii="宋体" w:hAnsi="宋体" w:eastAsia="宋体" w:cs="宋体"/>
          <w:sz w:val="21"/>
          <w:szCs w:val="21"/>
          <w:highlight w:val="none"/>
        </w:rPr>
        <w:t>（</w:t>
      </w:r>
      <w:r>
        <w:rPr>
          <w:rFonts w:hint="eastAsia" w:hAnsi="宋体" w:eastAsia="宋体" w:cs="宋体"/>
          <w:sz w:val="21"/>
          <w:szCs w:val="21"/>
          <w:highlight w:val="none"/>
          <w:lang w:val="en-US" w:eastAsia="zh-CN"/>
        </w:rPr>
        <w:t>三</w:t>
      </w:r>
      <w:r>
        <w:rPr>
          <w:rFonts w:hint="eastAsia" w:ascii="宋体" w:hAnsi="宋体" w:eastAsia="宋体" w:cs="宋体"/>
          <w:sz w:val="21"/>
          <w:szCs w:val="21"/>
          <w:highlight w:val="none"/>
        </w:rPr>
        <w:t>）成交人因自身原因放弃中标或因不可抗力不能履行合同的；经质疑，招标代理机构审查确认因成交人在本次采购活动中存在违法违规行为或其他原因使质疑成立的，如发生上述两种情况的，采购人可以与排位在成交人之后第一位的成交候选人签订采购合同，以此类推。</w:t>
      </w:r>
    </w:p>
    <w:p w14:paraId="54775B4B">
      <w:pPr>
        <w:pageBreakBefore w:val="0"/>
        <w:kinsoku/>
        <w:wordWrap/>
        <w:overflowPunct/>
        <w:topLinePunct w:val="0"/>
        <w:bidi w:val="0"/>
        <w:snapToGrid w:val="0"/>
        <w:spacing w:line="360" w:lineRule="auto"/>
        <w:jc w:val="center"/>
        <w:outlineLvl w:val="9"/>
        <w:rPr>
          <w:rFonts w:hint="eastAsia" w:ascii="宋体" w:hAnsi="宋体" w:eastAsia="宋体" w:cs="宋体"/>
          <w:b/>
          <w:sz w:val="21"/>
          <w:szCs w:val="21"/>
          <w:highlight w:val="none"/>
        </w:rPr>
      </w:pPr>
    </w:p>
    <w:p w14:paraId="3E932C0F">
      <w:pPr>
        <w:pageBreakBefore w:val="0"/>
        <w:kinsoku/>
        <w:wordWrap/>
        <w:overflowPunct/>
        <w:topLinePunct w:val="0"/>
        <w:bidi w:val="0"/>
        <w:snapToGrid w:val="0"/>
        <w:spacing w:line="360" w:lineRule="auto"/>
        <w:jc w:val="center"/>
        <w:outlineLvl w:val="1"/>
        <w:rPr>
          <w:rFonts w:hint="eastAsia" w:ascii="宋体" w:hAnsi="宋体" w:eastAsia="宋体" w:cs="宋体"/>
          <w:b/>
          <w:sz w:val="21"/>
          <w:szCs w:val="21"/>
          <w:highlight w:val="none"/>
        </w:rPr>
      </w:pPr>
      <w:r>
        <w:rPr>
          <w:rFonts w:hint="eastAsia" w:ascii="宋体" w:hAnsi="宋体" w:eastAsia="宋体" w:cs="宋体"/>
          <w:b/>
          <w:sz w:val="21"/>
          <w:szCs w:val="21"/>
          <w:highlight w:val="none"/>
        </w:rPr>
        <w:t>八、合同授予</w:t>
      </w:r>
    </w:p>
    <w:p w14:paraId="5457D0B4">
      <w:pPr>
        <w:pStyle w:val="13"/>
        <w:pageBreakBefore w:val="0"/>
        <w:kinsoku/>
        <w:wordWrap/>
        <w:overflowPunct/>
        <w:topLinePunct w:val="0"/>
        <w:bidi w:val="0"/>
        <w:snapToGrid w:val="0"/>
        <w:spacing w:line="360" w:lineRule="auto"/>
        <w:ind w:firstLine="420" w:firstLineChars="200"/>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（一）签订合同</w:t>
      </w:r>
    </w:p>
    <w:p w14:paraId="4FBD0FA5">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1、成交人应自成交通知书发出之日起30日内与采购人签</w:t>
      </w:r>
      <w:r>
        <w:rPr>
          <w:rFonts w:hint="eastAsia" w:ascii="宋体" w:hAnsi="宋体" w:eastAsia="宋体" w:cs="宋体"/>
          <w:sz w:val="21"/>
          <w:szCs w:val="21"/>
          <w:highlight w:val="none"/>
          <w:lang w:eastAsia="zh-CN"/>
        </w:rPr>
        <w:t>订</w:t>
      </w:r>
      <w:r>
        <w:rPr>
          <w:rFonts w:hint="eastAsia" w:ascii="宋体" w:hAnsi="宋体" w:eastAsia="宋体" w:cs="宋体"/>
          <w:sz w:val="21"/>
          <w:szCs w:val="21"/>
          <w:highlight w:val="none"/>
        </w:rPr>
        <w:t>合同。同时，招标代理机构对合同内容进行审查，如发现与采购结果和响应承诺内容不一致的，应予以纠正。</w:t>
      </w:r>
    </w:p>
    <w:p w14:paraId="1FAACDC4">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2、成交人拖延、拒签合同的，将被取消中标资格。</w:t>
      </w:r>
    </w:p>
    <w:p w14:paraId="0158C7AF">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3、成交人和采购人签订合同，按合同约定执行。</w:t>
      </w:r>
    </w:p>
    <w:p w14:paraId="0AF37477">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4、中标或者成交供应商拒绝与采购人签订合同的，采购人可以按照评审报告推荐的中标或者成交候选人名单排序，确定下一候选人为中标或者成交供应商，也可以重新开展政府采购活动。</w:t>
      </w:r>
    </w:p>
    <w:p w14:paraId="4B1005CE">
      <w:pPr>
        <w:pStyle w:val="13"/>
        <w:pageBreakBefore w:val="0"/>
        <w:kinsoku/>
        <w:wordWrap/>
        <w:overflowPunct/>
        <w:topLinePunct w:val="0"/>
        <w:bidi w:val="0"/>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（二）合同公告：采购人应当自政府采购合同签订之日起2个工作日内，将政府采购合同在省级以上人民政府财政部门指定的媒体上公告，但政府采购合同中涉及国家秘密、商业秘密的内容除外。</w:t>
      </w:r>
    </w:p>
    <w:p w14:paraId="654CC18C">
      <w:pPr>
        <w:pStyle w:val="13"/>
        <w:keepNext w:val="0"/>
        <w:keepLines w:val="0"/>
        <w:pageBreakBefore w:val="0"/>
        <w:kinsoku/>
        <w:wordWrap/>
        <w:overflowPunct/>
        <w:topLinePunct w:val="0"/>
        <w:bidi w:val="0"/>
        <w:snapToGrid w:val="0"/>
        <w:spacing w:before="120" w:after="120" w:line="360" w:lineRule="auto"/>
        <w:jc w:val="center"/>
        <w:textAlignment w:val="auto"/>
        <w:outlineLvl w:val="0"/>
        <w:rPr>
          <w:rFonts w:hint="eastAsia" w:ascii="宋体" w:hAnsi="宋体" w:eastAsia="宋体" w:cs="宋体"/>
          <w:b/>
          <w:sz w:val="21"/>
          <w:szCs w:val="21"/>
          <w:highlight w:val="none"/>
        </w:rPr>
      </w:pPr>
      <w:r>
        <w:rPr>
          <w:rFonts w:hint="eastAsia" w:hAnsi="宋体" w:eastAsia="宋体" w:cs="宋体"/>
          <w:b/>
          <w:sz w:val="28"/>
          <w:szCs w:val="28"/>
          <w:highlight w:val="none"/>
        </w:rPr>
        <w:br w:type="page"/>
      </w:r>
      <w:r>
        <w:rPr>
          <w:rFonts w:hint="eastAsia" w:ascii="宋体" w:hAnsi="宋体" w:eastAsia="宋体" w:cs="宋体"/>
          <w:b/>
          <w:sz w:val="28"/>
          <w:szCs w:val="28"/>
          <w:highlight w:val="none"/>
        </w:rPr>
        <w:t>第四章  评标办法及标准</w:t>
      </w:r>
    </w:p>
    <w:p w14:paraId="4732A1B4">
      <w:pPr>
        <w:keepNext w:val="0"/>
        <w:keepLines w:val="0"/>
        <w:pageBreakBefore w:val="0"/>
        <w:kinsoku/>
        <w:wordWrap/>
        <w:overflowPunct/>
        <w:topLinePunct w:val="0"/>
        <w:bidi w:val="0"/>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为公正、公平、科学地选择成交人，根据《中华人民共和国政府采购法》等有关法律法规的规定，并结合本项目的实际，制定本办法，本办法适用本项目的评标。</w:t>
      </w:r>
    </w:p>
    <w:p w14:paraId="0AF992D4">
      <w:pPr>
        <w:keepNext w:val="0"/>
        <w:keepLines w:val="0"/>
        <w:pageBreakBefore w:val="0"/>
        <w:kinsoku/>
        <w:wordWrap/>
        <w:overflowPunct/>
        <w:topLinePunct w:val="0"/>
        <w:autoSpaceDE w:val="0"/>
        <w:autoSpaceDN w:val="0"/>
        <w:bidi w:val="0"/>
        <w:adjustRightInd w:val="0"/>
        <w:spacing w:line="360" w:lineRule="auto"/>
        <w:textAlignment w:val="auto"/>
        <w:outlineLvl w:val="1"/>
        <w:rPr>
          <w:rFonts w:hint="eastAsia" w:ascii="宋体" w:hAnsi="宋体" w:eastAsia="宋体" w:cs="宋体"/>
          <w:b/>
          <w:sz w:val="21"/>
          <w:szCs w:val="21"/>
          <w:highlight w:val="none"/>
        </w:rPr>
      </w:pPr>
      <w:r>
        <w:rPr>
          <w:rFonts w:hint="eastAsia" w:ascii="宋体" w:hAnsi="宋体" w:eastAsia="宋体" w:cs="宋体"/>
          <w:b/>
          <w:sz w:val="21"/>
          <w:szCs w:val="21"/>
          <w:highlight w:val="none"/>
        </w:rPr>
        <w:t>一、资格审查</w:t>
      </w:r>
    </w:p>
    <w:p w14:paraId="1B299F8D">
      <w:pPr>
        <w:keepNext w:val="0"/>
        <w:keepLines w:val="0"/>
        <w:pageBreakBefore w:val="0"/>
        <w:kinsoku/>
        <w:wordWrap/>
        <w:overflowPunct/>
        <w:topLinePunct w:val="0"/>
        <w:autoSpaceDE w:val="0"/>
        <w:autoSpaceDN w:val="0"/>
        <w:bidi w:val="0"/>
        <w:adjustRightInd w:val="0"/>
        <w:spacing w:line="360" w:lineRule="auto"/>
        <w:ind w:firstLine="420" w:firstLineChars="200"/>
        <w:textAlignment w:val="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1、由</w:t>
      </w:r>
      <w:r>
        <w:rPr>
          <w:rFonts w:hint="eastAsia" w:ascii="宋体" w:hAnsi="宋体" w:eastAsia="宋体" w:cs="宋体"/>
          <w:sz w:val="21"/>
          <w:szCs w:val="21"/>
          <w:highlight w:val="none"/>
        </w:rPr>
        <w:t>磋商小组</w:t>
      </w:r>
      <w:r>
        <w:rPr>
          <w:rFonts w:hint="eastAsia" w:ascii="宋体" w:hAnsi="宋体" w:eastAsia="宋体" w:cs="宋体"/>
          <w:sz w:val="21"/>
          <w:szCs w:val="21"/>
          <w:highlight w:val="none"/>
          <w:lang w:val="zh-CN"/>
        </w:rPr>
        <w:t>对</w:t>
      </w:r>
      <w:r>
        <w:rPr>
          <w:rFonts w:hint="eastAsia" w:ascii="宋体" w:hAnsi="宋体" w:eastAsia="宋体" w:cs="宋体"/>
          <w:sz w:val="21"/>
          <w:szCs w:val="21"/>
          <w:highlight w:val="none"/>
        </w:rPr>
        <w:t>响应</w:t>
      </w:r>
      <w:r>
        <w:rPr>
          <w:rFonts w:hint="eastAsia" w:ascii="宋体" w:hAnsi="宋体" w:eastAsia="宋体" w:cs="宋体"/>
          <w:sz w:val="21"/>
          <w:szCs w:val="21"/>
          <w:highlight w:val="none"/>
          <w:lang w:val="zh-CN"/>
        </w:rPr>
        <w:t>人的资格进行审查。</w:t>
      </w:r>
    </w:p>
    <w:p w14:paraId="3179AF41">
      <w:pPr>
        <w:keepNext w:val="0"/>
        <w:keepLines w:val="0"/>
        <w:pageBreakBefore w:val="0"/>
        <w:kinsoku/>
        <w:wordWrap/>
        <w:overflowPunct/>
        <w:topLinePunct w:val="0"/>
        <w:autoSpaceDE w:val="0"/>
        <w:autoSpaceDN w:val="0"/>
        <w:bidi w:val="0"/>
        <w:adjustRightInd w:val="0"/>
        <w:spacing w:line="360" w:lineRule="auto"/>
        <w:ind w:firstLine="420" w:firstLineChars="200"/>
        <w:textAlignment w:val="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2、按以下内容审核</w:t>
      </w:r>
      <w:r>
        <w:rPr>
          <w:rFonts w:hint="eastAsia" w:ascii="宋体" w:hAnsi="宋体" w:eastAsia="宋体" w:cs="宋体"/>
          <w:sz w:val="21"/>
          <w:szCs w:val="21"/>
          <w:highlight w:val="none"/>
        </w:rPr>
        <w:t>响应</w:t>
      </w:r>
      <w:r>
        <w:rPr>
          <w:rFonts w:hint="eastAsia" w:ascii="宋体" w:hAnsi="宋体" w:eastAsia="宋体" w:cs="宋体"/>
          <w:sz w:val="21"/>
          <w:szCs w:val="21"/>
          <w:highlight w:val="none"/>
          <w:lang w:val="zh-CN"/>
        </w:rPr>
        <w:t>文件是否符合</w:t>
      </w:r>
      <w:r>
        <w:rPr>
          <w:rFonts w:hint="eastAsia" w:ascii="宋体" w:hAnsi="宋体" w:eastAsia="宋体" w:cs="宋体"/>
          <w:sz w:val="21"/>
          <w:szCs w:val="21"/>
          <w:highlight w:val="none"/>
        </w:rPr>
        <w:t>磋商</w:t>
      </w:r>
      <w:r>
        <w:rPr>
          <w:rFonts w:hint="eastAsia" w:ascii="宋体" w:hAnsi="宋体" w:eastAsia="宋体" w:cs="宋体"/>
          <w:sz w:val="21"/>
          <w:szCs w:val="21"/>
          <w:highlight w:val="none"/>
          <w:lang w:val="zh-CN"/>
        </w:rPr>
        <w:t>文件的资格文件要求。</w:t>
      </w:r>
    </w:p>
    <w:tbl>
      <w:tblPr>
        <w:tblStyle w:val="28"/>
        <w:tblpPr w:leftFromText="180" w:rightFromText="180" w:vertAnchor="text" w:tblpXSpec="center" w:tblpY="1"/>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6"/>
        <w:gridCol w:w="6675"/>
        <w:gridCol w:w="2004"/>
      </w:tblGrid>
      <w:tr w14:paraId="07ACF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trPr>
        <w:tc>
          <w:tcPr>
            <w:tcW w:w="1196" w:type="dxa"/>
            <w:vAlign w:val="center"/>
          </w:tcPr>
          <w:p w14:paraId="5ACF78B7">
            <w:pPr>
              <w:keepNext w:val="0"/>
              <w:keepLines w:val="0"/>
              <w:pageBreakBefore w:val="0"/>
              <w:suppressLineNumbers w:val="0"/>
              <w:kinsoku/>
              <w:wordWrap/>
              <w:overflowPunct/>
              <w:topLinePunct w:val="0"/>
              <w:bidi w:val="0"/>
              <w:spacing w:before="0" w:beforeAutospacing="0" w:after="0" w:afterAutospacing="0" w:line="360" w:lineRule="auto"/>
              <w:ind w:left="0" w:right="0"/>
              <w:jc w:val="center"/>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序号</w:t>
            </w:r>
          </w:p>
        </w:tc>
        <w:tc>
          <w:tcPr>
            <w:tcW w:w="6675" w:type="dxa"/>
            <w:tcBorders>
              <w:tl2br w:val="single" w:color="auto" w:sz="4" w:space="0"/>
            </w:tcBorders>
          </w:tcPr>
          <w:p w14:paraId="156D27D1">
            <w:pPr>
              <w:keepNext w:val="0"/>
              <w:keepLines w:val="0"/>
              <w:pageBreakBefore w:val="0"/>
              <w:suppressLineNumbers w:val="0"/>
              <w:kinsoku/>
              <w:wordWrap/>
              <w:overflowPunct/>
              <w:topLinePunct w:val="0"/>
              <w:bidi w:val="0"/>
              <w:spacing w:before="0" w:beforeAutospacing="0" w:after="0" w:afterAutospacing="0" w:line="360" w:lineRule="auto"/>
              <w:ind w:left="0" w:right="0"/>
              <w:jc w:val="right"/>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响应人</w:t>
            </w:r>
          </w:p>
          <w:p w14:paraId="0C215E08">
            <w:pPr>
              <w:keepNext w:val="0"/>
              <w:keepLines w:val="0"/>
              <w:pageBreakBefore w:val="0"/>
              <w:suppressLineNumbers w:val="0"/>
              <w:kinsoku/>
              <w:wordWrap/>
              <w:overflowPunct/>
              <w:topLinePunct w:val="0"/>
              <w:bidi w:val="0"/>
              <w:spacing w:before="0" w:beforeAutospacing="0" w:after="0" w:afterAutospacing="0" w:line="360" w:lineRule="auto"/>
              <w:ind w:left="0" w:right="0"/>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内容</w:t>
            </w:r>
          </w:p>
        </w:tc>
        <w:tc>
          <w:tcPr>
            <w:tcW w:w="2004" w:type="dxa"/>
            <w:vAlign w:val="center"/>
          </w:tcPr>
          <w:p w14:paraId="3AD86F91">
            <w:pPr>
              <w:keepNext w:val="0"/>
              <w:keepLines w:val="0"/>
              <w:pageBreakBefore w:val="0"/>
              <w:suppressLineNumbers w:val="0"/>
              <w:kinsoku/>
              <w:wordWrap/>
              <w:overflowPunct/>
              <w:topLinePunct w:val="0"/>
              <w:bidi w:val="0"/>
              <w:spacing w:before="0" w:beforeAutospacing="0" w:after="0" w:afterAutospacing="0" w:line="360" w:lineRule="auto"/>
              <w:ind w:left="0" w:right="0"/>
              <w:jc w:val="center"/>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审核标准</w:t>
            </w:r>
          </w:p>
        </w:tc>
      </w:tr>
      <w:tr w14:paraId="1BAB4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9" w:hRule="atLeast"/>
        </w:trPr>
        <w:tc>
          <w:tcPr>
            <w:tcW w:w="1196" w:type="dxa"/>
            <w:vAlign w:val="center"/>
          </w:tcPr>
          <w:p w14:paraId="0C0E5B54">
            <w:pPr>
              <w:keepNext w:val="0"/>
              <w:keepLines w:val="0"/>
              <w:pageBreakBefore w:val="0"/>
              <w:suppressLineNumbers w:val="0"/>
              <w:kinsoku/>
              <w:wordWrap/>
              <w:overflowPunct/>
              <w:topLinePunct w:val="0"/>
              <w:bidi w:val="0"/>
              <w:spacing w:before="0" w:beforeAutospacing="0" w:after="0" w:afterAutospacing="0" w:line="360" w:lineRule="auto"/>
              <w:ind w:left="0" w:right="0"/>
              <w:jc w:val="center"/>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1</w:t>
            </w:r>
          </w:p>
        </w:tc>
        <w:tc>
          <w:tcPr>
            <w:tcW w:w="6675" w:type="dxa"/>
            <w:vAlign w:val="center"/>
          </w:tcPr>
          <w:p w14:paraId="6D3B20D6">
            <w:pPr>
              <w:keepNext w:val="0"/>
              <w:keepLines w:val="0"/>
              <w:pageBreakBefore w:val="0"/>
              <w:suppressLineNumbers w:val="0"/>
              <w:kinsoku/>
              <w:wordWrap/>
              <w:overflowPunct/>
              <w:topLinePunct w:val="0"/>
              <w:bidi w:val="0"/>
              <w:spacing w:before="0" w:beforeAutospacing="0" w:after="0" w:afterAutospacing="0" w:line="360" w:lineRule="auto"/>
              <w:ind w:left="0" w:right="0"/>
              <w:textAlignment w:val="auto"/>
              <w:outlineLvl w:val="9"/>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享受中小企业预留份额政策相关证明文件</w:t>
            </w:r>
          </w:p>
        </w:tc>
        <w:tc>
          <w:tcPr>
            <w:tcW w:w="2004" w:type="dxa"/>
            <w:vAlign w:val="center"/>
          </w:tcPr>
          <w:p w14:paraId="5C55B588">
            <w:pPr>
              <w:keepNext w:val="0"/>
              <w:keepLines w:val="0"/>
              <w:pageBreakBefore w:val="0"/>
              <w:suppressLineNumbers w:val="0"/>
              <w:kinsoku/>
              <w:wordWrap/>
              <w:overflowPunct/>
              <w:topLinePunct w:val="0"/>
              <w:bidi w:val="0"/>
              <w:spacing w:before="0" w:beforeAutospacing="0" w:after="0" w:afterAutospacing="0" w:line="360" w:lineRule="auto"/>
              <w:ind w:left="0" w:right="0"/>
              <w:jc w:val="center"/>
              <w:textAlignment w:val="auto"/>
              <w:rPr>
                <w:rFonts w:hint="eastAsia" w:ascii="宋体" w:hAnsi="宋体" w:eastAsia="宋体" w:cs="宋体"/>
                <w:sz w:val="21"/>
                <w:szCs w:val="21"/>
                <w:highlight w:val="none"/>
              </w:rPr>
            </w:pPr>
          </w:p>
        </w:tc>
      </w:tr>
      <w:tr w14:paraId="79C6D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9" w:hRule="atLeast"/>
        </w:trPr>
        <w:tc>
          <w:tcPr>
            <w:tcW w:w="1196" w:type="dxa"/>
            <w:vAlign w:val="center"/>
          </w:tcPr>
          <w:p w14:paraId="2E8B4748">
            <w:pPr>
              <w:keepNext w:val="0"/>
              <w:keepLines w:val="0"/>
              <w:pageBreakBefore w:val="0"/>
              <w:suppressLineNumbers w:val="0"/>
              <w:kinsoku/>
              <w:wordWrap/>
              <w:overflowPunct/>
              <w:topLinePunct w:val="0"/>
              <w:bidi w:val="0"/>
              <w:spacing w:before="0" w:beforeAutospacing="0" w:after="0" w:afterAutospacing="0" w:line="360" w:lineRule="auto"/>
              <w:ind w:left="0" w:right="0"/>
              <w:jc w:val="center"/>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2</w:t>
            </w:r>
          </w:p>
        </w:tc>
        <w:tc>
          <w:tcPr>
            <w:tcW w:w="6675" w:type="dxa"/>
            <w:vAlign w:val="center"/>
          </w:tcPr>
          <w:p w14:paraId="38D6636B">
            <w:pPr>
              <w:keepNext w:val="0"/>
              <w:keepLines w:val="0"/>
              <w:pageBreakBefore w:val="0"/>
              <w:suppressLineNumbers w:val="0"/>
              <w:kinsoku/>
              <w:wordWrap/>
              <w:overflowPunct/>
              <w:topLinePunct w:val="0"/>
              <w:bidi w:val="0"/>
              <w:spacing w:before="0" w:beforeAutospacing="0" w:after="0" w:afterAutospacing="0" w:line="360" w:lineRule="auto"/>
              <w:ind w:left="0" w:right="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响应</w:t>
            </w:r>
            <w:r>
              <w:rPr>
                <w:rFonts w:hint="eastAsia" w:ascii="宋体" w:hAnsi="宋体" w:eastAsia="宋体" w:cs="宋体"/>
                <w:sz w:val="21"/>
                <w:szCs w:val="21"/>
                <w:highlight w:val="none"/>
              </w:rPr>
              <w:t>人</w:t>
            </w:r>
            <w:r>
              <w:rPr>
                <w:rFonts w:hint="eastAsia" w:ascii="宋体" w:hAnsi="宋体" w:eastAsia="宋体" w:cs="宋体"/>
                <w:sz w:val="21"/>
                <w:szCs w:val="21"/>
                <w:highlight w:val="none"/>
                <w:lang w:val="en-US" w:eastAsia="zh-CN"/>
              </w:rPr>
              <w:t>具有独立承担民事责任的能力证明资料</w:t>
            </w:r>
          </w:p>
        </w:tc>
        <w:tc>
          <w:tcPr>
            <w:tcW w:w="2004" w:type="dxa"/>
            <w:vAlign w:val="center"/>
          </w:tcPr>
          <w:p w14:paraId="6A959AAF">
            <w:pPr>
              <w:keepNext w:val="0"/>
              <w:keepLines w:val="0"/>
              <w:pageBreakBefore w:val="0"/>
              <w:suppressLineNumbers w:val="0"/>
              <w:kinsoku/>
              <w:wordWrap/>
              <w:overflowPunct/>
              <w:topLinePunct w:val="0"/>
              <w:bidi w:val="0"/>
              <w:spacing w:before="0" w:beforeAutospacing="0" w:after="0" w:afterAutospacing="0" w:line="360" w:lineRule="auto"/>
              <w:ind w:left="0" w:right="0"/>
              <w:jc w:val="center"/>
              <w:textAlignment w:val="auto"/>
              <w:rPr>
                <w:rFonts w:hint="eastAsia" w:ascii="宋体" w:hAnsi="宋体" w:eastAsia="宋体" w:cs="宋体"/>
                <w:sz w:val="21"/>
                <w:szCs w:val="21"/>
                <w:highlight w:val="none"/>
              </w:rPr>
            </w:pPr>
          </w:p>
        </w:tc>
      </w:tr>
      <w:tr w14:paraId="1FE3A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9" w:hRule="atLeast"/>
        </w:trPr>
        <w:tc>
          <w:tcPr>
            <w:tcW w:w="1196" w:type="dxa"/>
            <w:vAlign w:val="center"/>
          </w:tcPr>
          <w:p w14:paraId="5B248F14">
            <w:pPr>
              <w:keepNext w:val="0"/>
              <w:keepLines w:val="0"/>
              <w:pageBreakBefore w:val="0"/>
              <w:suppressLineNumbers w:val="0"/>
              <w:kinsoku/>
              <w:wordWrap/>
              <w:overflowPunct/>
              <w:topLinePunct w:val="0"/>
              <w:bidi w:val="0"/>
              <w:spacing w:before="0" w:beforeAutospacing="0" w:after="0" w:afterAutospacing="0" w:line="360" w:lineRule="auto"/>
              <w:ind w:left="0" w:right="0"/>
              <w:jc w:val="center"/>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3</w:t>
            </w:r>
          </w:p>
        </w:tc>
        <w:tc>
          <w:tcPr>
            <w:tcW w:w="6675" w:type="dxa"/>
            <w:vAlign w:val="center"/>
          </w:tcPr>
          <w:p w14:paraId="2788234B">
            <w:pPr>
              <w:keepNext w:val="0"/>
              <w:keepLines w:val="0"/>
              <w:pageBreakBefore w:val="0"/>
              <w:suppressLineNumbers w:val="0"/>
              <w:kinsoku/>
              <w:wordWrap/>
              <w:overflowPunct/>
              <w:topLinePunct w:val="0"/>
              <w:bidi w:val="0"/>
              <w:spacing w:before="0" w:beforeAutospacing="0" w:after="0" w:afterAutospacing="0" w:line="360" w:lineRule="auto"/>
              <w:ind w:left="0" w:right="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响应</w:t>
            </w:r>
            <w:r>
              <w:rPr>
                <w:rFonts w:hint="eastAsia" w:ascii="宋体" w:hAnsi="宋体" w:eastAsia="宋体" w:cs="宋体"/>
                <w:sz w:val="21"/>
                <w:szCs w:val="21"/>
                <w:highlight w:val="none"/>
              </w:rPr>
              <w:t>人法定代表人身份证复印件</w:t>
            </w:r>
          </w:p>
        </w:tc>
        <w:tc>
          <w:tcPr>
            <w:tcW w:w="2004" w:type="dxa"/>
            <w:vAlign w:val="center"/>
          </w:tcPr>
          <w:p w14:paraId="37DB51C2">
            <w:pPr>
              <w:keepNext w:val="0"/>
              <w:keepLines w:val="0"/>
              <w:pageBreakBefore w:val="0"/>
              <w:suppressLineNumbers w:val="0"/>
              <w:kinsoku/>
              <w:wordWrap/>
              <w:overflowPunct/>
              <w:topLinePunct w:val="0"/>
              <w:bidi w:val="0"/>
              <w:spacing w:before="0" w:beforeAutospacing="0" w:after="0" w:afterAutospacing="0" w:line="360" w:lineRule="auto"/>
              <w:ind w:left="0" w:right="0"/>
              <w:jc w:val="center"/>
              <w:textAlignment w:val="auto"/>
              <w:rPr>
                <w:rFonts w:hint="eastAsia" w:ascii="宋体" w:hAnsi="宋体" w:eastAsia="宋体" w:cs="宋体"/>
                <w:sz w:val="21"/>
                <w:szCs w:val="21"/>
                <w:highlight w:val="none"/>
              </w:rPr>
            </w:pPr>
          </w:p>
        </w:tc>
      </w:tr>
      <w:tr w14:paraId="37CE4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196" w:type="dxa"/>
            <w:vAlign w:val="center"/>
          </w:tcPr>
          <w:p w14:paraId="38BD7E39">
            <w:pPr>
              <w:keepNext w:val="0"/>
              <w:keepLines w:val="0"/>
              <w:pageBreakBefore w:val="0"/>
              <w:suppressLineNumbers w:val="0"/>
              <w:kinsoku/>
              <w:wordWrap/>
              <w:overflowPunct/>
              <w:topLinePunct w:val="0"/>
              <w:bidi w:val="0"/>
              <w:spacing w:before="0" w:beforeAutospacing="0" w:after="0" w:afterAutospacing="0" w:line="360" w:lineRule="auto"/>
              <w:ind w:left="0" w:right="0"/>
              <w:jc w:val="center"/>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4</w:t>
            </w:r>
          </w:p>
        </w:tc>
        <w:tc>
          <w:tcPr>
            <w:tcW w:w="6675" w:type="dxa"/>
            <w:vAlign w:val="center"/>
          </w:tcPr>
          <w:p w14:paraId="17FCA125">
            <w:pPr>
              <w:keepNext w:val="0"/>
              <w:keepLines w:val="0"/>
              <w:pageBreakBefore w:val="0"/>
              <w:suppressLineNumbers w:val="0"/>
              <w:kinsoku/>
              <w:wordWrap/>
              <w:overflowPunct/>
              <w:topLinePunct w:val="0"/>
              <w:bidi w:val="0"/>
              <w:spacing w:before="0" w:beforeAutospacing="0" w:after="0" w:afterAutospacing="0" w:line="360" w:lineRule="auto"/>
              <w:ind w:left="0" w:right="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投标函</w:t>
            </w:r>
          </w:p>
        </w:tc>
        <w:tc>
          <w:tcPr>
            <w:tcW w:w="2004" w:type="dxa"/>
            <w:vAlign w:val="center"/>
          </w:tcPr>
          <w:p w14:paraId="18BFBD1E">
            <w:pPr>
              <w:keepNext w:val="0"/>
              <w:keepLines w:val="0"/>
              <w:pageBreakBefore w:val="0"/>
              <w:suppressLineNumbers w:val="0"/>
              <w:kinsoku/>
              <w:wordWrap/>
              <w:overflowPunct/>
              <w:topLinePunct w:val="0"/>
              <w:bidi w:val="0"/>
              <w:spacing w:before="0" w:beforeAutospacing="0" w:after="0" w:afterAutospacing="0" w:line="360" w:lineRule="auto"/>
              <w:ind w:left="0" w:right="0"/>
              <w:jc w:val="center"/>
              <w:textAlignment w:val="auto"/>
              <w:rPr>
                <w:rFonts w:hint="eastAsia" w:ascii="宋体" w:hAnsi="宋体" w:eastAsia="宋体" w:cs="宋体"/>
                <w:sz w:val="21"/>
                <w:szCs w:val="21"/>
                <w:highlight w:val="none"/>
              </w:rPr>
            </w:pPr>
          </w:p>
        </w:tc>
      </w:tr>
      <w:tr w14:paraId="3018B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196" w:type="dxa"/>
            <w:vAlign w:val="center"/>
          </w:tcPr>
          <w:p w14:paraId="06243B08">
            <w:pPr>
              <w:keepNext w:val="0"/>
              <w:keepLines w:val="0"/>
              <w:pageBreakBefore w:val="0"/>
              <w:suppressLineNumbers w:val="0"/>
              <w:kinsoku/>
              <w:wordWrap/>
              <w:overflowPunct/>
              <w:topLinePunct w:val="0"/>
              <w:bidi w:val="0"/>
              <w:spacing w:before="0" w:beforeAutospacing="0" w:after="0" w:afterAutospacing="0" w:line="360" w:lineRule="auto"/>
              <w:ind w:left="0" w:right="0"/>
              <w:jc w:val="center"/>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5</w:t>
            </w:r>
          </w:p>
        </w:tc>
        <w:tc>
          <w:tcPr>
            <w:tcW w:w="6675" w:type="dxa"/>
            <w:vAlign w:val="center"/>
          </w:tcPr>
          <w:p w14:paraId="117F3313">
            <w:pPr>
              <w:keepNext w:val="0"/>
              <w:keepLines w:val="0"/>
              <w:pageBreakBefore w:val="0"/>
              <w:suppressLineNumbers w:val="0"/>
              <w:kinsoku/>
              <w:wordWrap/>
              <w:overflowPunct/>
              <w:topLinePunct w:val="0"/>
              <w:bidi w:val="0"/>
              <w:spacing w:before="0" w:beforeAutospacing="0" w:after="0" w:afterAutospacing="0" w:line="360" w:lineRule="auto"/>
              <w:ind w:left="0" w:right="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法定代表人授权函，非法定代表人参加</w:t>
            </w:r>
            <w:r>
              <w:rPr>
                <w:rFonts w:hint="eastAsia" w:ascii="宋体" w:hAnsi="宋体" w:eastAsia="宋体" w:cs="宋体"/>
                <w:sz w:val="21"/>
                <w:szCs w:val="21"/>
                <w:highlight w:val="none"/>
                <w:lang w:val="en-US" w:eastAsia="zh-CN"/>
              </w:rPr>
              <w:t>磋商</w:t>
            </w:r>
            <w:r>
              <w:rPr>
                <w:rFonts w:hint="eastAsia" w:ascii="宋体" w:hAnsi="宋体" w:eastAsia="宋体" w:cs="宋体"/>
                <w:sz w:val="21"/>
                <w:szCs w:val="21"/>
                <w:highlight w:val="none"/>
              </w:rPr>
              <w:t>时提供</w:t>
            </w:r>
          </w:p>
        </w:tc>
        <w:tc>
          <w:tcPr>
            <w:tcW w:w="2004" w:type="dxa"/>
            <w:vAlign w:val="center"/>
          </w:tcPr>
          <w:p w14:paraId="323EA7B4">
            <w:pPr>
              <w:keepNext w:val="0"/>
              <w:keepLines w:val="0"/>
              <w:pageBreakBefore w:val="0"/>
              <w:suppressLineNumbers w:val="0"/>
              <w:kinsoku/>
              <w:wordWrap/>
              <w:overflowPunct/>
              <w:topLinePunct w:val="0"/>
              <w:bidi w:val="0"/>
              <w:spacing w:before="0" w:beforeAutospacing="0" w:after="0" w:afterAutospacing="0" w:line="360" w:lineRule="auto"/>
              <w:ind w:left="0" w:right="0"/>
              <w:jc w:val="center"/>
              <w:textAlignment w:val="auto"/>
              <w:rPr>
                <w:rFonts w:hint="eastAsia" w:ascii="宋体" w:hAnsi="宋体" w:eastAsia="宋体" w:cs="宋体"/>
                <w:sz w:val="21"/>
                <w:szCs w:val="21"/>
                <w:highlight w:val="none"/>
              </w:rPr>
            </w:pPr>
          </w:p>
        </w:tc>
      </w:tr>
      <w:tr w14:paraId="3AFD6A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196" w:type="dxa"/>
            <w:vAlign w:val="center"/>
          </w:tcPr>
          <w:p w14:paraId="44616286">
            <w:pPr>
              <w:keepNext w:val="0"/>
              <w:keepLines w:val="0"/>
              <w:pageBreakBefore w:val="0"/>
              <w:suppressLineNumbers w:val="0"/>
              <w:kinsoku/>
              <w:wordWrap/>
              <w:overflowPunct/>
              <w:topLinePunct w:val="0"/>
              <w:bidi w:val="0"/>
              <w:spacing w:before="0" w:beforeAutospacing="0" w:after="0" w:afterAutospacing="0" w:line="360" w:lineRule="auto"/>
              <w:ind w:left="0" w:right="0"/>
              <w:jc w:val="center"/>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6</w:t>
            </w:r>
          </w:p>
        </w:tc>
        <w:tc>
          <w:tcPr>
            <w:tcW w:w="6675" w:type="dxa"/>
            <w:vAlign w:val="center"/>
          </w:tcPr>
          <w:p w14:paraId="4D2B424F">
            <w:pPr>
              <w:keepNext w:val="0"/>
              <w:keepLines w:val="0"/>
              <w:pageBreakBefore w:val="0"/>
              <w:suppressLineNumbers w:val="0"/>
              <w:kinsoku/>
              <w:wordWrap/>
              <w:overflowPunct/>
              <w:topLinePunct w:val="0"/>
              <w:bidi w:val="0"/>
              <w:spacing w:before="0" w:beforeAutospacing="0" w:after="0" w:afterAutospacing="0" w:line="360" w:lineRule="auto"/>
              <w:ind w:left="0" w:right="0"/>
              <w:textAlignment w:val="auto"/>
              <w:outlineLvl w:val="9"/>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响应</w:t>
            </w:r>
            <w:r>
              <w:rPr>
                <w:rFonts w:hint="eastAsia" w:ascii="宋体" w:hAnsi="宋体" w:eastAsia="宋体" w:cs="宋体"/>
                <w:sz w:val="21"/>
                <w:szCs w:val="21"/>
                <w:highlight w:val="none"/>
              </w:rPr>
              <w:t>人代表身份证复印件，非法定代表人参加</w:t>
            </w:r>
            <w:r>
              <w:rPr>
                <w:rFonts w:hint="eastAsia" w:ascii="宋体" w:hAnsi="宋体" w:eastAsia="宋体" w:cs="宋体"/>
                <w:sz w:val="21"/>
                <w:szCs w:val="21"/>
                <w:highlight w:val="none"/>
                <w:lang w:val="en-US" w:eastAsia="zh-CN"/>
              </w:rPr>
              <w:t>磋商</w:t>
            </w:r>
            <w:r>
              <w:rPr>
                <w:rFonts w:hint="eastAsia" w:ascii="宋体" w:hAnsi="宋体" w:eastAsia="宋体" w:cs="宋体"/>
                <w:sz w:val="21"/>
                <w:szCs w:val="21"/>
                <w:highlight w:val="none"/>
              </w:rPr>
              <w:t>时提供</w:t>
            </w:r>
          </w:p>
        </w:tc>
        <w:tc>
          <w:tcPr>
            <w:tcW w:w="2004" w:type="dxa"/>
            <w:vAlign w:val="center"/>
          </w:tcPr>
          <w:p w14:paraId="647A3626">
            <w:pPr>
              <w:keepNext w:val="0"/>
              <w:keepLines w:val="0"/>
              <w:pageBreakBefore w:val="0"/>
              <w:suppressLineNumbers w:val="0"/>
              <w:kinsoku/>
              <w:wordWrap/>
              <w:overflowPunct/>
              <w:topLinePunct w:val="0"/>
              <w:bidi w:val="0"/>
              <w:spacing w:before="0" w:beforeAutospacing="0" w:after="0" w:afterAutospacing="0" w:line="360" w:lineRule="auto"/>
              <w:ind w:left="0" w:right="0"/>
              <w:jc w:val="center"/>
              <w:textAlignment w:val="auto"/>
              <w:rPr>
                <w:rFonts w:hint="eastAsia" w:ascii="宋体" w:hAnsi="宋体" w:eastAsia="宋体" w:cs="宋体"/>
                <w:sz w:val="21"/>
                <w:szCs w:val="21"/>
                <w:highlight w:val="none"/>
              </w:rPr>
            </w:pPr>
          </w:p>
        </w:tc>
      </w:tr>
      <w:tr w14:paraId="386626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196" w:type="dxa"/>
            <w:vAlign w:val="center"/>
          </w:tcPr>
          <w:p w14:paraId="040D7523">
            <w:pPr>
              <w:keepNext w:val="0"/>
              <w:keepLines w:val="0"/>
              <w:pageBreakBefore w:val="0"/>
              <w:suppressLineNumbers w:val="0"/>
              <w:kinsoku/>
              <w:wordWrap/>
              <w:overflowPunct/>
              <w:topLinePunct w:val="0"/>
              <w:bidi w:val="0"/>
              <w:spacing w:before="0" w:beforeAutospacing="0" w:after="0" w:afterAutospacing="0" w:line="360" w:lineRule="auto"/>
              <w:ind w:left="0" w:right="0"/>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7</w:t>
            </w:r>
          </w:p>
        </w:tc>
        <w:tc>
          <w:tcPr>
            <w:tcW w:w="6675" w:type="dxa"/>
            <w:vAlign w:val="center"/>
          </w:tcPr>
          <w:p w14:paraId="0AE38EE2">
            <w:pPr>
              <w:keepNext w:val="0"/>
              <w:keepLines w:val="0"/>
              <w:pageBreakBefore w:val="0"/>
              <w:suppressLineNumbers w:val="0"/>
              <w:kinsoku/>
              <w:wordWrap/>
              <w:overflowPunct/>
              <w:topLinePunct w:val="0"/>
              <w:bidi w:val="0"/>
              <w:spacing w:before="0" w:beforeAutospacing="0" w:after="0" w:afterAutospacing="0" w:line="360" w:lineRule="auto"/>
              <w:ind w:left="0" w:right="0"/>
              <w:textAlignment w:val="auto"/>
              <w:outlineLvl w:val="9"/>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具备物证类鉴定（痕迹鉴定.机动车痕迹鉴定）资质，资质中必须包含：021101车辆安全技术状况鉴定、021103交通事故痕迹鉴定、021104车辆速度鉴定、021105交通事故痕迹物证综合鉴定四项子分类。</w:t>
            </w:r>
          </w:p>
        </w:tc>
        <w:tc>
          <w:tcPr>
            <w:tcW w:w="2004" w:type="dxa"/>
            <w:vAlign w:val="center"/>
          </w:tcPr>
          <w:p w14:paraId="0E1B2491">
            <w:pPr>
              <w:keepNext w:val="0"/>
              <w:keepLines w:val="0"/>
              <w:pageBreakBefore w:val="0"/>
              <w:suppressLineNumbers w:val="0"/>
              <w:kinsoku/>
              <w:wordWrap/>
              <w:overflowPunct/>
              <w:topLinePunct w:val="0"/>
              <w:bidi w:val="0"/>
              <w:spacing w:before="0" w:beforeAutospacing="0" w:after="0" w:afterAutospacing="0" w:line="360" w:lineRule="auto"/>
              <w:ind w:left="0" w:right="0"/>
              <w:jc w:val="center"/>
              <w:textAlignment w:val="auto"/>
              <w:rPr>
                <w:rFonts w:hint="eastAsia" w:ascii="宋体" w:hAnsi="宋体" w:eastAsia="宋体" w:cs="宋体"/>
                <w:color w:val="auto"/>
                <w:sz w:val="21"/>
                <w:szCs w:val="21"/>
                <w:highlight w:val="none"/>
              </w:rPr>
            </w:pPr>
          </w:p>
        </w:tc>
      </w:tr>
      <w:tr w14:paraId="7266A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 w:hRule="atLeast"/>
        </w:trPr>
        <w:tc>
          <w:tcPr>
            <w:tcW w:w="7871" w:type="dxa"/>
            <w:gridSpan w:val="2"/>
          </w:tcPr>
          <w:p w14:paraId="008DAC73">
            <w:pPr>
              <w:pStyle w:val="14"/>
              <w:keepNext w:val="0"/>
              <w:keepLines w:val="0"/>
              <w:pageBreakBefore w:val="0"/>
              <w:suppressLineNumbers w:val="0"/>
              <w:kinsoku/>
              <w:wordWrap/>
              <w:overflowPunct/>
              <w:topLinePunct w:val="0"/>
              <w:bidi w:val="0"/>
              <w:spacing w:before="0" w:beforeAutospacing="0" w:after="0" w:afterAutospacing="0" w:line="360" w:lineRule="auto"/>
              <w:ind w:left="0" w:right="0" w:firstLine="0" w:firstLineChars="0"/>
              <w:jc w:val="center"/>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结   论</w:t>
            </w:r>
          </w:p>
        </w:tc>
        <w:tc>
          <w:tcPr>
            <w:tcW w:w="2004" w:type="dxa"/>
            <w:vAlign w:val="center"/>
          </w:tcPr>
          <w:p w14:paraId="52D58D59">
            <w:pPr>
              <w:keepNext w:val="0"/>
              <w:keepLines w:val="0"/>
              <w:pageBreakBefore w:val="0"/>
              <w:suppressLineNumbers w:val="0"/>
              <w:kinsoku/>
              <w:wordWrap/>
              <w:overflowPunct/>
              <w:topLinePunct w:val="0"/>
              <w:bidi w:val="0"/>
              <w:spacing w:before="0" w:beforeAutospacing="0" w:after="0" w:afterAutospacing="0" w:line="360" w:lineRule="auto"/>
              <w:ind w:left="0" w:right="0"/>
              <w:jc w:val="center"/>
              <w:textAlignment w:val="auto"/>
              <w:rPr>
                <w:rFonts w:hint="eastAsia" w:ascii="宋体" w:hAnsi="宋体" w:eastAsia="宋体" w:cs="宋体"/>
                <w:b/>
                <w:sz w:val="21"/>
                <w:szCs w:val="21"/>
                <w:highlight w:val="none"/>
              </w:rPr>
            </w:pPr>
          </w:p>
        </w:tc>
      </w:tr>
    </w:tbl>
    <w:p w14:paraId="1C5D39A1">
      <w:pPr>
        <w:keepNext w:val="0"/>
        <w:keepLines w:val="0"/>
        <w:pageBreakBefore w:val="0"/>
        <w:kinsoku/>
        <w:wordWrap/>
        <w:overflowPunct/>
        <w:topLinePunct w:val="0"/>
        <w:autoSpaceDE w:val="0"/>
        <w:autoSpaceDN w:val="0"/>
        <w:bidi w:val="0"/>
        <w:adjustRightInd w:val="0"/>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zh-CN"/>
        </w:rPr>
        <w:t>注：1、表中只需填写“√”或“×”；</w:t>
      </w:r>
      <w:r>
        <w:rPr>
          <w:rFonts w:hint="eastAsia" w:ascii="宋体" w:hAnsi="宋体" w:eastAsia="宋体" w:cs="宋体"/>
          <w:sz w:val="21"/>
          <w:szCs w:val="21"/>
          <w:highlight w:val="none"/>
        </w:rPr>
        <w:t xml:space="preserve"> </w:t>
      </w:r>
      <w:r>
        <w:rPr>
          <w:rFonts w:hint="eastAsia" w:ascii="宋体" w:hAnsi="宋体" w:eastAsia="宋体" w:cs="宋体"/>
          <w:sz w:val="21"/>
          <w:szCs w:val="21"/>
          <w:highlight w:val="none"/>
          <w:lang w:val="zh-CN"/>
        </w:rPr>
        <w:t>2、在结论栏中填写“合格”或“不合格”。</w:t>
      </w:r>
    </w:p>
    <w:p w14:paraId="2E3E108F">
      <w:pPr>
        <w:keepNext w:val="0"/>
        <w:keepLines w:val="0"/>
        <w:pageBreakBefore w:val="0"/>
        <w:kinsoku/>
        <w:wordWrap/>
        <w:overflowPunct/>
        <w:topLinePunct w:val="0"/>
        <w:autoSpaceDE w:val="0"/>
        <w:autoSpaceDN w:val="0"/>
        <w:bidi w:val="0"/>
        <w:adjustRightInd w:val="0"/>
        <w:spacing w:line="360" w:lineRule="auto"/>
        <w:textAlignment w:val="auto"/>
        <w:outlineLvl w:val="1"/>
        <w:rPr>
          <w:rFonts w:hint="eastAsia" w:ascii="宋体" w:hAnsi="宋体" w:eastAsia="宋体" w:cs="宋体"/>
          <w:b/>
          <w:sz w:val="21"/>
          <w:szCs w:val="21"/>
          <w:highlight w:val="none"/>
        </w:rPr>
      </w:pPr>
      <w:r>
        <w:rPr>
          <w:rFonts w:hint="eastAsia" w:ascii="宋体" w:hAnsi="宋体" w:eastAsia="宋体" w:cs="宋体"/>
          <w:b/>
          <w:sz w:val="21"/>
          <w:szCs w:val="21"/>
          <w:highlight w:val="none"/>
        </w:rPr>
        <w:t>二、成交候选人的选取</w:t>
      </w:r>
    </w:p>
    <w:p w14:paraId="302A81C7">
      <w:pPr>
        <w:keepNext w:val="0"/>
        <w:keepLines w:val="0"/>
        <w:pageBreakBefore w:val="0"/>
        <w:kinsoku/>
        <w:wordWrap/>
        <w:overflowPunct/>
        <w:topLinePunct w:val="0"/>
        <w:bidi w:val="0"/>
        <w:spacing w:line="360" w:lineRule="auto"/>
        <w:ind w:firstLine="420" w:firstLineChars="200"/>
        <w:textAlignment w:val="auto"/>
        <w:rPr>
          <w:rFonts w:hint="eastAsia" w:ascii="宋体" w:hAnsi="宋体" w:eastAsia="宋体" w:cs="宋体"/>
          <w:b/>
          <w:sz w:val="21"/>
          <w:szCs w:val="21"/>
          <w:highlight w:val="none"/>
          <w:lang w:val="zh-CN"/>
        </w:rPr>
      </w:pPr>
      <w:r>
        <w:rPr>
          <w:rFonts w:hint="eastAsia" w:ascii="宋体" w:hAnsi="宋体" w:eastAsia="宋体" w:cs="宋体"/>
          <w:sz w:val="21"/>
          <w:szCs w:val="21"/>
          <w:highlight w:val="none"/>
        </w:rPr>
        <w:t>将综合评估分从高到低排序，得出响应人名次,按照综合评估分名次推荐成交候选人3名。综合评估分相同时，按磋商报价由低到高顺序排列，综合评估分且磋商报价相同的，抽签决定排序（弃权视为自动放弃中标资格）。</w:t>
      </w:r>
    </w:p>
    <w:p w14:paraId="5D86D55F">
      <w:pPr>
        <w:keepNext w:val="0"/>
        <w:keepLines w:val="0"/>
        <w:pageBreakBefore w:val="0"/>
        <w:kinsoku/>
        <w:wordWrap/>
        <w:overflowPunct/>
        <w:topLinePunct w:val="0"/>
        <w:bidi w:val="0"/>
        <w:spacing w:line="360" w:lineRule="auto"/>
        <w:textAlignment w:val="auto"/>
        <w:outlineLvl w:val="1"/>
        <w:rPr>
          <w:rFonts w:hint="eastAsia" w:ascii="宋体" w:hAnsi="宋体" w:eastAsia="宋体" w:cs="宋体"/>
          <w:b/>
          <w:sz w:val="21"/>
          <w:szCs w:val="21"/>
          <w:highlight w:val="none"/>
        </w:rPr>
      </w:pPr>
      <w:r>
        <w:rPr>
          <w:rFonts w:hint="eastAsia" w:ascii="宋体" w:hAnsi="宋体" w:eastAsia="宋体" w:cs="宋体"/>
          <w:b/>
          <w:sz w:val="21"/>
          <w:szCs w:val="21"/>
          <w:highlight w:val="none"/>
        </w:rPr>
        <w:t>三、成交人选取依据</w:t>
      </w:r>
    </w:p>
    <w:p w14:paraId="32F6DF33">
      <w:pPr>
        <w:keepNext w:val="0"/>
        <w:keepLines w:val="0"/>
        <w:pageBreakBefore w:val="0"/>
        <w:kinsoku/>
        <w:wordWrap/>
        <w:overflowPunct/>
        <w:topLinePunct w:val="0"/>
        <w:bidi w:val="0"/>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磋商小组根据综合评估分得分排序，推荐第一名成交候选人为成交人，经采购人确认后，确定项目成交人，同时发布采购结果公告，发出成交通知书。 </w:t>
      </w:r>
    </w:p>
    <w:p w14:paraId="3698BE07">
      <w:pPr>
        <w:keepNext w:val="0"/>
        <w:keepLines w:val="0"/>
        <w:pageBreakBefore w:val="0"/>
        <w:kinsoku/>
        <w:wordWrap/>
        <w:overflowPunct/>
        <w:topLinePunct w:val="0"/>
        <w:bidi w:val="0"/>
        <w:spacing w:line="360" w:lineRule="auto"/>
        <w:textAlignment w:val="auto"/>
        <w:outlineLvl w:val="1"/>
        <w:rPr>
          <w:rFonts w:hint="eastAsia" w:ascii="宋体" w:hAnsi="宋体" w:eastAsia="宋体" w:cs="宋体"/>
          <w:b/>
          <w:sz w:val="21"/>
          <w:szCs w:val="21"/>
          <w:highlight w:val="none"/>
        </w:rPr>
      </w:pPr>
      <w:r>
        <w:rPr>
          <w:rFonts w:hint="eastAsia" w:ascii="宋体" w:hAnsi="宋体" w:eastAsia="宋体" w:cs="宋体"/>
          <w:b/>
          <w:sz w:val="21"/>
          <w:szCs w:val="21"/>
          <w:highlight w:val="none"/>
        </w:rPr>
        <w:t>四、综合评估分计分方法</w:t>
      </w:r>
    </w:p>
    <w:p w14:paraId="5A22811E">
      <w:pPr>
        <w:keepNext w:val="0"/>
        <w:keepLines w:val="0"/>
        <w:pageBreakBefore w:val="0"/>
        <w:kinsoku/>
        <w:wordWrap/>
        <w:overflowPunct/>
        <w:topLinePunct w:val="0"/>
        <w:autoSpaceDE w:val="0"/>
        <w:autoSpaceDN w:val="0"/>
        <w:bidi w:val="0"/>
        <w:adjustRightInd w:val="0"/>
        <w:spacing w:line="360" w:lineRule="auto"/>
        <w:ind w:firstLine="420" w:firstLineChars="200"/>
        <w:textAlignment w:val="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满足</w:t>
      </w:r>
      <w:r>
        <w:rPr>
          <w:rFonts w:hint="eastAsia" w:ascii="宋体" w:hAnsi="宋体" w:eastAsia="宋体" w:cs="宋体"/>
          <w:sz w:val="21"/>
          <w:szCs w:val="21"/>
          <w:highlight w:val="none"/>
        </w:rPr>
        <w:t>磋商</w:t>
      </w:r>
      <w:r>
        <w:rPr>
          <w:rFonts w:hint="eastAsia" w:ascii="宋体" w:hAnsi="宋体" w:eastAsia="宋体" w:cs="宋体"/>
          <w:sz w:val="21"/>
          <w:szCs w:val="21"/>
          <w:highlight w:val="none"/>
          <w:lang w:val="zh-CN"/>
        </w:rPr>
        <w:t>文件要求且</w:t>
      </w:r>
      <w:r>
        <w:rPr>
          <w:rFonts w:hint="eastAsia" w:ascii="宋体" w:hAnsi="宋体" w:eastAsia="宋体" w:cs="宋体"/>
          <w:sz w:val="21"/>
          <w:szCs w:val="21"/>
          <w:highlight w:val="none"/>
        </w:rPr>
        <w:t>最后报价最低的供应商的价格为磋商基准价</w:t>
      </w:r>
      <w:r>
        <w:rPr>
          <w:rFonts w:hint="eastAsia" w:ascii="宋体" w:hAnsi="宋体" w:eastAsia="宋体" w:cs="宋体"/>
          <w:sz w:val="21"/>
          <w:szCs w:val="21"/>
          <w:highlight w:val="none"/>
          <w:lang w:val="zh-CN"/>
        </w:rPr>
        <w:t>，其价格分为满分。其他</w:t>
      </w:r>
      <w:r>
        <w:rPr>
          <w:rFonts w:hint="eastAsia" w:ascii="宋体" w:hAnsi="宋体" w:eastAsia="宋体" w:cs="宋体"/>
          <w:sz w:val="21"/>
          <w:szCs w:val="21"/>
          <w:highlight w:val="none"/>
        </w:rPr>
        <w:t>供应商</w:t>
      </w:r>
      <w:r>
        <w:rPr>
          <w:rFonts w:hint="eastAsia" w:ascii="宋体" w:hAnsi="宋体" w:eastAsia="宋体" w:cs="宋体"/>
          <w:sz w:val="21"/>
          <w:szCs w:val="21"/>
          <w:highlight w:val="none"/>
          <w:lang w:val="zh-CN"/>
        </w:rPr>
        <w:t>的价格分</w:t>
      </w:r>
      <w:r>
        <w:rPr>
          <w:rFonts w:hint="eastAsia" w:ascii="宋体" w:hAnsi="宋体" w:eastAsia="宋体" w:cs="宋体"/>
          <w:sz w:val="21"/>
          <w:szCs w:val="21"/>
          <w:highlight w:val="none"/>
        </w:rPr>
        <w:t>统一按照下</w:t>
      </w:r>
      <w:r>
        <w:rPr>
          <w:rFonts w:hint="eastAsia" w:ascii="宋体" w:hAnsi="宋体" w:eastAsia="宋体" w:cs="宋体"/>
          <w:sz w:val="21"/>
          <w:szCs w:val="21"/>
          <w:highlight w:val="none"/>
          <w:lang w:val="zh-CN"/>
        </w:rPr>
        <w:t>列公式计算：</w:t>
      </w:r>
      <w:r>
        <w:rPr>
          <w:rFonts w:hint="eastAsia" w:ascii="宋体" w:hAnsi="宋体" w:eastAsia="宋体" w:cs="宋体"/>
          <w:sz w:val="21"/>
          <w:szCs w:val="21"/>
          <w:highlight w:val="none"/>
        </w:rPr>
        <w:t>磋商</w:t>
      </w:r>
      <w:r>
        <w:rPr>
          <w:rFonts w:hint="eastAsia" w:ascii="宋体" w:hAnsi="宋体" w:eastAsia="宋体" w:cs="宋体"/>
          <w:sz w:val="21"/>
          <w:szCs w:val="21"/>
          <w:highlight w:val="none"/>
          <w:lang w:val="zh-CN"/>
        </w:rPr>
        <w:t>报价得分＝（</w:t>
      </w:r>
      <w:r>
        <w:rPr>
          <w:rFonts w:hint="eastAsia" w:ascii="宋体" w:hAnsi="宋体" w:eastAsia="宋体" w:cs="宋体"/>
          <w:sz w:val="21"/>
          <w:szCs w:val="21"/>
          <w:highlight w:val="none"/>
        </w:rPr>
        <w:t>磋商</w:t>
      </w:r>
      <w:r>
        <w:rPr>
          <w:rFonts w:hint="eastAsia" w:ascii="宋体" w:hAnsi="宋体" w:eastAsia="宋体" w:cs="宋体"/>
          <w:sz w:val="21"/>
          <w:szCs w:val="21"/>
          <w:highlight w:val="none"/>
          <w:lang w:val="zh-CN"/>
        </w:rPr>
        <w:t>基准价/</w:t>
      </w:r>
      <w:r>
        <w:rPr>
          <w:rFonts w:hint="eastAsia" w:ascii="宋体" w:hAnsi="宋体" w:eastAsia="宋体" w:cs="宋体"/>
          <w:sz w:val="21"/>
          <w:szCs w:val="21"/>
          <w:highlight w:val="none"/>
          <w:lang w:val="en-US" w:eastAsia="zh-CN"/>
        </w:rPr>
        <w:t>最后</w:t>
      </w:r>
      <w:r>
        <w:rPr>
          <w:rFonts w:hint="eastAsia" w:ascii="宋体" w:hAnsi="宋体" w:eastAsia="宋体" w:cs="宋体"/>
          <w:sz w:val="21"/>
          <w:szCs w:val="21"/>
          <w:highlight w:val="none"/>
        </w:rPr>
        <w:t>磋商</w:t>
      </w:r>
      <w:r>
        <w:rPr>
          <w:rFonts w:hint="eastAsia" w:ascii="宋体" w:hAnsi="宋体" w:eastAsia="宋体" w:cs="宋体"/>
          <w:sz w:val="21"/>
          <w:szCs w:val="21"/>
          <w:highlight w:val="none"/>
          <w:lang w:val="zh-CN"/>
        </w:rPr>
        <w:t>报价）×价格权重×100。</w:t>
      </w:r>
    </w:p>
    <w:p w14:paraId="2FBDF38F">
      <w:pPr>
        <w:keepNext w:val="0"/>
        <w:keepLines w:val="0"/>
        <w:pageBreakBefore w:val="0"/>
        <w:kinsoku/>
        <w:wordWrap/>
        <w:overflowPunct/>
        <w:topLinePunct w:val="0"/>
        <w:autoSpaceDE w:val="0"/>
        <w:autoSpaceDN w:val="0"/>
        <w:bidi w:val="0"/>
        <w:adjustRightInd w:val="0"/>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根据</w:t>
      </w:r>
      <w:r>
        <w:rPr>
          <w:rFonts w:hint="eastAsia" w:ascii="宋体" w:hAnsi="宋体" w:eastAsia="宋体" w:cs="宋体"/>
          <w:sz w:val="21"/>
          <w:szCs w:val="21"/>
          <w:highlight w:val="none"/>
          <w:lang w:val="en-US" w:eastAsia="zh-CN"/>
        </w:rPr>
        <w:t>相关法律法规</w:t>
      </w:r>
      <w:r>
        <w:rPr>
          <w:rFonts w:hint="eastAsia" w:ascii="宋体" w:hAnsi="宋体" w:eastAsia="宋体" w:cs="宋体"/>
          <w:sz w:val="21"/>
          <w:szCs w:val="21"/>
          <w:highlight w:val="none"/>
        </w:rPr>
        <w:t>：磋商小组认为响应人的报价明显低于其他通过符合性审查响应人的报价，有可能影响产品质量或者不能诚信履约的，应当要求其在评标现场合理的时间内提供书面说明，必要时提交相关证明材料；响应人不能证明其报价合理性的，磋商小组应当将其作为无效投标处理。</w:t>
      </w:r>
    </w:p>
    <w:p w14:paraId="6106BB7C">
      <w:pPr>
        <w:keepNext w:val="0"/>
        <w:keepLines w:val="0"/>
        <w:pageBreakBefore w:val="0"/>
        <w:kinsoku/>
        <w:wordWrap/>
        <w:overflowPunct/>
        <w:topLinePunct w:val="0"/>
        <w:autoSpaceDE w:val="0"/>
        <w:autoSpaceDN w:val="0"/>
        <w:bidi w:val="0"/>
        <w:adjustRightInd w:val="0"/>
        <w:spacing w:line="360" w:lineRule="auto"/>
        <w:ind w:firstLine="420" w:firstLineChars="200"/>
        <w:textAlignment w:val="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rPr>
        <w:t>在评分时，各响应人磋商报价得分保留小数点后二位，第三位四舍五入。评审专家打分准确到小数点后一位，综合评估分=商务技术部分得分＋投标报价得分，商务技术部分得分为所有评委评分的算术平均值，得分保留小数点后二位。</w:t>
      </w:r>
    </w:p>
    <w:p w14:paraId="01C8AB81">
      <w:pPr>
        <w:keepNext w:val="0"/>
        <w:keepLines w:val="0"/>
        <w:pageBreakBefore w:val="0"/>
        <w:kinsoku/>
        <w:wordWrap/>
        <w:overflowPunct/>
        <w:topLinePunct w:val="0"/>
        <w:autoSpaceDE w:val="0"/>
        <w:autoSpaceDN w:val="0"/>
        <w:bidi w:val="0"/>
        <w:adjustRightInd w:val="0"/>
        <w:spacing w:line="360" w:lineRule="auto"/>
        <w:textAlignment w:val="auto"/>
        <w:outlineLvl w:val="1"/>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rPr>
        <w:t>五、</w:t>
      </w:r>
      <w:r>
        <w:rPr>
          <w:rFonts w:hint="eastAsia" w:ascii="宋体" w:hAnsi="宋体" w:eastAsia="宋体" w:cs="宋体"/>
          <w:b/>
          <w:sz w:val="21"/>
          <w:szCs w:val="21"/>
          <w:highlight w:val="none"/>
          <w:lang w:val="zh-CN"/>
        </w:rPr>
        <w:t>评分表</w:t>
      </w:r>
    </w:p>
    <w:tbl>
      <w:tblPr>
        <w:tblStyle w:val="28"/>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34"/>
        <w:gridCol w:w="2534"/>
        <w:gridCol w:w="2534"/>
        <w:gridCol w:w="2534"/>
      </w:tblGrid>
      <w:tr w14:paraId="07514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0" w:type="pct"/>
            <w:vAlign w:val="center"/>
          </w:tcPr>
          <w:p w14:paraId="288F092F">
            <w:pPr>
              <w:keepNext w:val="0"/>
              <w:keepLines w:val="0"/>
              <w:pageBreakBefore w:val="0"/>
              <w:suppressLineNumbers w:val="0"/>
              <w:kinsoku/>
              <w:wordWrap/>
              <w:overflowPunct/>
              <w:topLinePunct w:val="0"/>
              <w:bidi w:val="0"/>
              <w:spacing w:before="0" w:beforeAutospacing="0" w:after="0" w:afterAutospacing="0" w:line="360" w:lineRule="auto"/>
              <w:ind w:left="0" w:right="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评标指标</w:t>
            </w:r>
          </w:p>
        </w:tc>
        <w:tc>
          <w:tcPr>
            <w:tcW w:w="500" w:type="pct"/>
            <w:vAlign w:val="center"/>
          </w:tcPr>
          <w:p w14:paraId="53A4846F">
            <w:pPr>
              <w:keepNext w:val="0"/>
              <w:keepLines w:val="0"/>
              <w:pageBreakBefore w:val="0"/>
              <w:suppressLineNumbers w:val="0"/>
              <w:kinsoku/>
              <w:wordWrap/>
              <w:overflowPunct/>
              <w:topLinePunct w:val="0"/>
              <w:bidi w:val="0"/>
              <w:spacing w:before="0" w:beforeAutospacing="0" w:after="0" w:afterAutospacing="0" w:line="360" w:lineRule="auto"/>
              <w:ind w:left="0" w:right="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磋商报价</w:t>
            </w:r>
          </w:p>
        </w:tc>
        <w:tc>
          <w:tcPr>
            <w:tcW w:w="500" w:type="pct"/>
            <w:vAlign w:val="center"/>
          </w:tcPr>
          <w:p w14:paraId="4A1F3604">
            <w:pPr>
              <w:keepNext w:val="0"/>
              <w:keepLines w:val="0"/>
              <w:pageBreakBefore w:val="0"/>
              <w:suppressLineNumbers w:val="0"/>
              <w:kinsoku/>
              <w:wordWrap/>
              <w:overflowPunct/>
              <w:topLinePunct w:val="0"/>
              <w:bidi w:val="0"/>
              <w:spacing w:before="0" w:beforeAutospacing="0" w:after="0" w:afterAutospacing="0" w:line="360" w:lineRule="auto"/>
              <w:ind w:left="0" w:right="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商务技术部分</w:t>
            </w:r>
          </w:p>
        </w:tc>
        <w:tc>
          <w:tcPr>
            <w:tcW w:w="500" w:type="pct"/>
            <w:vAlign w:val="center"/>
          </w:tcPr>
          <w:p w14:paraId="0812AE2C">
            <w:pPr>
              <w:keepNext w:val="0"/>
              <w:keepLines w:val="0"/>
              <w:pageBreakBefore w:val="0"/>
              <w:suppressLineNumbers w:val="0"/>
              <w:kinsoku/>
              <w:wordWrap/>
              <w:overflowPunct/>
              <w:topLinePunct w:val="0"/>
              <w:bidi w:val="0"/>
              <w:spacing w:before="0" w:beforeAutospacing="0" w:after="0" w:afterAutospacing="0" w:line="360" w:lineRule="auto"/>
              <w:ind w:left="0" w:right="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合计</w:t>
            </w:r>
          </w:p>
        </w:tc>
      </w:tr>
      <w:tr w14:paraId="64061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0" w:type="pct"/>
            <w:vAlign w:val="center"/>
          </w:tcPr>
          <w:p w14:paraId="3ADCFB01">
            <w:pPr>
              <w:keepNext w:val="0"/>
              <w:keepLines w:val="0"/>
              <w:pageBreakBefore w:val="0"/>
              <w:suppressLineNumbers w:val="0"/>
              <w:kinsoku/>
              <w:wordWrap/>
              <w:overflowPunct/>
              <w:topLinePunct w:val="0"/>
              <w:bidi w:val="0"/>
              <w:spacing w:before="0" w:beforeAutospacing="0" w:after="0" w:afterAutospacing="0" w:line="360" w:lineRule="auto"/>
              <w:ind w:left="0" w:right="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权重（%）</w:t>
            </w:r>
          </w:p>
        </w:tc>
        <w:tc>
          <w:tcPr>
            <w:tcW w:w="500" w:type="pct"/>
            <w:vAlign w:val="center"/>
          </w:tcPr>
          <w:p w14:paraId="7C874E7E">
            <w:pPr>
              <w:keepNext w:val="0"/>
              <w:keepLines w:val="0"/>
              <w:pageBreakBefore w:val="0"/>
              <w:suppressLineNumbers w:val="0"/>
              <w:kinsoku/>
              <w:wordWrap/>
              <w:overflowPunct/>
              <w:topLinePunct w:val="0"/>
              <w:bidi w:val="0"/>
              <w:spacing w:before="0" w:beforeAutospacing="0" w:after="0" w:afterAutospacing="0" w:line="36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w:t>
            </w:r>
          </w:p>
        </w:tc>
        <w:tc>
          <w:tcPr>
            <w:tcW w:w="500" w:type="pct"/>
            <w:vAlign w:val="center"/>
          </w:tcPr>
          <w:p w14:paraId="6BCB1094">
            <w:pPr>
              <w:keepNext w:val="0"/>
              <w:keepLines w:val="0"/>
              <w:pageBreakBefore w:val="0"/>
              <w:suppressLineNumbers w:val="0"/>
              <w:kinsoku/>
              <w:wordWrap/>
              <w:overflowPunct/>
              <w:topLinePunct w:val="0"/>
              <w:bidi w:val="0"/>
              <w:spacing w:before="0" w:beforeAutospacing="0" w:after="0" w:afterAutospacing="0" w:line="36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90</w:t>
            </w:r>
          </w:p>
        </w:tc>
        <w:tc>
          <w:tcPr>
            <w:tcW w:w="500" w:type="pct"/>
            <w:vAlign w:val="center"/>
          </w:tcPr>
          <w:p w14:paraId="0D01CBBA">
            <w:pPr>
              <w:keepNext w:val="0"/>
              <w:keepLines w:val="0"/>
              <w:pageBreakBefore w:val="0"/>
              <w:suppressLineNumbers w:val="0"/>
              <w:kinsoku/>
              <w:wordWrap/>
              <w:overflowPunct/>
              <w:topLinePunct w:val="0"/>
              <w:bidi w:val="0"/>
              <w:spacing w:before="0" w:beforeAutospacing="0" w:after="0" w:afterAutospacing="0" w:line="360" w:lineRule="auto"/>
              <w:ind w:left="0" w:right="0"/>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100</w:t>
            </w:r>
          </w:p>
        </w:tc>
      </w:tr>
    </w:tbl>
    <w:p w14:paraId="5B43DA22">
      <w:pPr>
        <w:keepNext w:val="0"/>
        <w:keepLines w:val="0"/>
        <w:pageBreakBefore w:val="0"/>
        <w:kinsoku/>
        <w:wordWrap/>
        <w:overflowPunct/>
        <w:topLinePunct w:val="0"/>
        <w:bidi w:val="0"/>
        <w:spacing w:line="360" w:lineRule="auto"/>
        <w:textAlignment w:val="auto"/>
        <w:outlineLvl w:val="9"/>
        <w:rPr>
          <w:rFonts w:hint="eastAsia" w:ascii="宋体" w:hAnsi="宋体" w:eastAsia="宋体" w:cs="宋体"/>
          <w:b/>
          <w:bCs/>
          <w:sz w:val="21"/>
          <w:szCs w:val="21"/>
          <w:highlight w:val="none"/>
          <w:lang w:val="en-US"/>
        </w:rPr>
      </w:pPr>
      <w:r>
        <w:rPr>
          <w:rFonts w:hint="eastAsia" w:ascii="宋体" w:hAnsi="宋体" w:eastAsia="宋体" w:cs="宋体"/>
          <w:b/>
          <w:bCs/>
          <w:sz w:val="21"/>
          <w:szCs w:val="21"/>
          <w:highlight w:val="none"/>
          <w:lang w:val="en-US" w:eastAsia="zh-CN"/>
        </w:rPr>
        <w:t>2</w:t>
      </w:r>
      <w:r>
        <w:rPr>
          <w:rFonts w:hint="eastAsia" w:ascii="宋体" w:hAnsi="宋体" w:cs="宋体"/>
          <w:b/>
          <w:bCs/>
          <w:sz w:val="21"/>
          <w:szCs w:val="21"/>
          <w:highlight w:val="none"/>
          <w:lang w:val="en-US" w:eastAsia="zh-CN"/>
        </w:rPr>
        <w:t>0</w:t>
      </w:r>
      <w:r>
        <w:rPr>
          <w:rFonts w:hint="eastAsia" w:ascii="宋体" w:hAnsi="宋体" w:eastAsia="宋体" w:cs="宋体"/>
          <w:b/>
          <w:bCs/>
          <w:sz w:val="21"/>
          <w:szCs w:val="21"/>
          <w:highlight w:val="none"/>
          <w:lang w:val="en-US" w:eastAsia="zh-CN"/>
        </w:rPr>
        <w:t>25年舟山交警司法鉴定服务项目的商务技术评分表</w:t>
      </w:r>
    </w:p>
    <w:tbl>
      <w:tblPr>
        <w:tblStyle w:val="28"/>
        <w:tblW w:w="4998"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499"/>
        <w:gridCol w:w="835"/>
        <w:gridCol w:w="722"/>
        <w:gridCol w:w="7460"/>
        <w:gridCol w:w="618"/>
      </w:tblGrid>
      <w:tr w14:paraId="1553D5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246"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00132D43">
            <w:pPr>
              <w:keepNext w:val="0"/>
              <w:keepLines w:val="0"/>
              <w:pageBreakBefore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b/>
                <w:bCs/>
                <w:spacing w:val="4"/>
                <w:sz w:val="21"/>
                <w:szCs w:val="21"/>
                <w:highlight w:val="none"/>
                <w:lang w:val="en-US" w:eastAsia="zh-CN"/>
              </w:rPr>
            </w:pPr>
            <w:r>
              <w:rPr>
                <w:rFonts w:hint="eastAsia" w:ascii="宋体" w:hAnsi="宋体" w:eastAsia="宋体" w:cs="宋体"/>
                <w:b/>
                <w:bCs/>
                <w:spacing w:val="4"/>
                <w:sz w:val="21"/>
                <w:szCs w:val="21"/>
                <w:highlight w:val="none"/>
                <w:lang w:val="en-US" w:eastAsia="zh-CN"/>
              </w:rPr>
              <w:t>序号</w:t>
            </w:r>
          </w:p>
        </w:tc>
        <w:tc>
          <w:tcPr>
            <w:tcW w:w="412"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750F9543">
            <w:pPr>
              <w:keepNext w:val="0"/>
              <w:keepLines w:val="0"/>
              <w:pageBreakBefore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b/>
                <w:bCs/>
                <w:spacing w:val="4"/>
                <w:sz w:val="21"/>
                <w:szCs w:val="21"/>
                <w:highlight w:val="none"/>
              </w:rPr>
            </w:pPr>
            <w:r>
              <w:rPr>
                <w:rFonts w:hint="eastAsia" w:ascii="宋体" w:hAnsi="宋体" w:eastAsia="宋体" w:cs="宋体"/>
                <w:b/>
                <w:bCs/>
                <w:spacing w:val="4"/>
                <w:sz w:val="21"/>
                <w:szCs w:val="21"/>
                <w:highlight w:val="none"/>
              </w:rPr>
              <w:t>评审项目</w:t>
            </w:r>
          </w:p>
        </w:tc>
        <w:tc>
          <w:tcPr>
            <w:tcW w:w="356" w:type="pct"/>
            <w:tcBorders>
              <w:top w:val="single" w:color="auto" w:sz="4" w:space="0"/>
              <w:left w:val="nil"/>
              <w:bottom w:val="single" w:color="auto" w:sz="4" w:space="0"/>
              <w:right w:val="single" w:color="auto" w:sz="4" w:space="0"/>
            </w:tcBorders>
            <w:shd w:val="clear" w:color="auto" w:fill="auto"/>
            <w:noWrap w:val="0"/>
            <w:vAlign w:val="center"/>
          </w:tcPr>
          <w:p w14:paraId="6006D4B7">
            <w:pPr>
              <w:keepNext w:val="0"/>
              <w:keepLines w:val="0"/>
              <w:pageBreakBefore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b/>
                <w:bCs/>
                <w:spacing w:val="4"/>
                <w:sz w:val="21"/>
                <w:szCs w:val="21"/>
                <w:highlight w:val="none"/>
              </w:rPr>
            </w:pPr>
            <w:r>
              <w:rPr>
                <w:rFonts w:hint="eastAsia" w:ascii="宋体" w:hAnsi="宋体" w:eastAsia="宋体" w:cs="宋体"/>
                <w:b/>
                <w:bCs/>
                <w:spacing w:val="4"/>
                <w:sz w:val="21"/>
                <w:szCs w:val="21"/>
                <w:highlight w:val="none"/>
              </w:rPr>
              <w:t>评分类别</w:t>
            </w:r>
          </w:p>
        </w:tc>
        <w:tc>
          <w:tcPr>
            <w:tcW w:w="3679" w:type="pct"/>
            <w:tcBorders>
              <w:top w:val="single" w:color="auto" w:sz="4" w:space="0"/>
              <w:left w:val="nil"/>
              <w:bottom w:val="single" w:color="auto" w:sz="4" w:space="0"/>
              <w:right w:val="single" w:color="auto" w:sz="4" w:space="0"/>
            </w:tcBorders>
            <w:shd w:val="clear" w:color="auto" w:fill="FFFFFF"/>
            <w:noWrap w:val="0"/>
            <w:vAlign w:val="center"/>
          </w:tcPr>
          <w:p w14:paraId="4F7A7708">
            <w:pPr>
              <w:keepNext w:val="0"/>
              <w:keepLines w:val="0"/>
              <w:pageBreakBefore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sz w:val="21"/>
                <w:szCs w:val="21"/>
                <w:highlight w:val="none"/>
              </w:rPr>
            </w:pPr>
            <w:r>
              <w:rPr>
                <w:rFonts w:hint="eastAsia" w:ascii="宋体" w:hAnsi="宋体" w:eastAsia="宋体" w:cs="宋体"/>
                <w:b/>
                <w:bCs/>
                <w:spacing w:val="4"/>
                <w:sz w:val="21"/>
                <w:szCs w:val="21"/>
                <w:highlight w:val="none"/>
              </w:rPr>
              <w:t>评分标准</w:t>
            </w:r>
          </w:p>
        </w:tc>
        <w:tc>
          <w:tcPr>
            <w:tcW w:w="305" w:type="pct"/>
            <w:tcBorders>
              <w:top w:val="single" w:color="auto" w:sz="4" w:space="0"/>
              <w:left w:val="nil"/>
              <w:bottom w:val="single" w:color="auto" w:sz="4" w:space="0"/>
              <w:right w:val="single" w:color="auto" w:sz="4" w:space="0"/>
            </w:tcBorders>
            <w:shd w:val="clear" w:color="auto" w:fill="FFFFFF"/>
            <w:noWrap w:val="0"/>
            <w:vAlign w:val="center"/>
          </w:tcPr>
          <w:p w14:paraId="1F5B3090">
            <w:pPr>
              <w:keepNext w:val="0"/>
              <w:keepLines w:val="0"/>
              <w:pageBreakBefore w:val="0"/>
              <w:suppressLineNumbers w:val="0"/>
              <w:kinsoku/>
              <w:wordWrap/>
              <w:overflowPunct/>
              <w:topLinePunct w:val="0"/>
              <w:autoSpaceDE/>
              <w:autoSpaceDN/>
              <w:bidi w:val="0"/>
              <w:adjustRightInd/>
              <w:spacing w:before="0" w:beforeAutospacing="0" w:after="0" w:afterAutospacing="0" w:line="360" w:lineRule="auto"/>
              <w:ind w:left="0" w:right="0"/>
              <w:jc w:val="center"/>
              <w:textAlignment w:val="auto"/>
              <w:rPr>
                <w:rFonts w:hint="eastAsia" w:ascii="宋体" w:hAnsi="宋体" w:eastAsia="宋体" w:cs="宋体"/>
                <w:b/>
                <w:bCs/>
                <w:spacing w:val="4"/>
                <w:sz w:val="21"/>
                <w:szCs w:val="21"/>
                <w:highlight w:val="none"/>
              </w:rPr>
            </w:pPr>
            <w:r>
              <w:rPr>
                <w:rFonts w:hint="eastAsia" w:ascii="宋体" w:hAnsi="宋体" w:eastAsia="宋体" w:cs="宋体"/>
                <w:b/>
                <w:bCs/>
                <w:spacing w:val="4"/>
                <w:sz w:val="21"/>
                <w:szCs w:val="21"/>
                <w:highlight w:val="none"/>
              </w:rPr>
              <w:t>分值</w:t>
            </w:r>
          </w:p>
        </w:tc>
      </w:tr>
      <w:tr w14:paraId="63565B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246" w:type="pct"/>
            <w:tcBorders>
              <w:top w:val="single" w:color="auto" w:sz="4" w:space="0"/>
              <w:left w:val="single" w:color="auto" w:sz="4" w:space="0"/>
              <w:right w:val="single" w:color="auto" w:sz="4" w:space="0"/>
            </w:tcBorders>
            <w:shd w:val="clear" w:color="auto" w:fill="auto"/>
            <w:noWrap w:val="0"/>
            <w:vAlign w:val="center"/>
          </w:tcPr>
          <w:p w14:paraId="6B68BB4A">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w:t>
            </w:r>
          </w:p>
        </w:tc>
        <w:tc>
          <w:tcPr>
            <w:tcW w:w="412" w:type="pct"/>
            <w:tcBorders>
              <w:top w:val="single" w:color="auto" w:sz="4" w:space="0"/>
              <w:left w:val="single" w:color="auto" w:sz="4" w:space="0"/>
              <w:right w:val="single" w:color="auto" w:sz="4" w:space="0"/>
            </w:tcBorders>
            <w:shd w:val="clear" w:color="auto" w:fill="auto"/>
            <w:noWrap w:val="0"/>
            <w:vAlign w:val="center"/>
          </w:tcPr>
          <w:p w14:paraId="69206EAF">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sz w:val="21"/>
                <w:szCs w:val="21"/>
                <w:highlight w:val="none"/>
              </w:rPr>
              <w:t>投标人实力</w:t>
            </w:r>
          </w:p>
        </w:tc>
        <w:tc>
          <w:tcPr>
            <w:tcW w:w="356" w:type="pct"/>
            <w:tcBorders>
              <w:top w:val="single" w:color="auto" w:sz="4" w:space="0"/>
              <w:left w:val="nil"/>
              <w:right w:val="single" w:color="auto" w:sz="4" w:space="0"/>
            </w:tcBorders>
            <w:shd w:val="clear" w:color="auto" w:fill="auto"/>
            <w:noWrap w:val="0"/>
            <w:vAlign w:val="center"/>
          </w:tcPr>
          <w:p w14:paraId="1CEF7297">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sz w:val="21"/>
                <w:szCs w:val="21"/>
                <w:highlight w:val="none"/>
              </w:rPr>
              <w:t>客观</w:t>
            </w:r>
          </w:p>
        </w:tc>
        <w:tc>
          <w:tcPr>
            <w:tcW w:w="3679" w:type="pct"/>
            <w:tcBorders>
              <w:top w:val="single" w:color="auto" w:sz="4" w:space="0"/>
              <w:left w:val="nil"/>
              <w:bottom w:val="single" w:color="auto" w:sz="4" w:space="0"/>
              <w:right w:val="single" w:color="auto" w:sz="4" w:space="0"/>
            </w:tcBorders>
            <w:shd w:val="clear" w:color="auto" w:fill="FFFFFF"/>
            <w:noWrap w:val="0"/>
            <w:vAlign w:val="center"/>
          </w:tcPr>
          <w:p w14:paraId="12C5A5B8">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Chars="0" w:right="0" w:rightChars="0"/>
              <w:jc w:val="both"/>
              <w:textAlignment w:val="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投标人具有有效的ISO9001质量管理体系认证证书</w:t>
            </w:r>
            <w:r>
              <w:rPr>
                <w:rFonts w:hint="eastAsia" w:ascii="宋体" w:hAnsi="宋体" w:cs="宋体"/>
                <w:b w:val="0"/>
                <w:bCs/>
                <w:color w:val="auto"/>
                <w:sz w:val="21"/>
                <w:szCs w:val="21"/>
                <w:highlight w:val="none"/>
                <w:lang w:val="en-US" w:eastAsia="zh-CN"/>
              </w:rPr>
              <w:t>（认证范围交通事故痕迹鉴定类相关）</w:t>
            </w:r>
            <w:r>
              <w:rPr>
                <w:rFonts w:hint="eastAsia" w:ascii="宋体" w:hAnsi="宋体" w:eastAsia="宋体" w:cs="宋体"/>
                <w:b w:val="0"/>
                <w:bCs/>
                <w:color w:val="auto"/>
                <w:sz w:val="21"/>
                <w:szCs w:val="21"/>
                <w:highlight w:val="none"/>
                <w:lang w:val="en-US" w:eastAsia="zh-CN"/>
              </w:rPr>
              <w:t>，得1分。</w:t>
            </w:r>
          </w:p>
          <w:p w14:paraId="5CB8F994">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Chars="0" w:right="0" w:rightChars="0"/>
              <w:jc w:val="both"/>
              <w:textAlignment w:val="auto"/>
              <w:rPr>
                <w:rFonts w:hint="default" w:ascii="宋体" w:hAnsi="宋体" w:eastAsia="宋体" w:cs="宋体"/>
                <w:b/>
                <w:bCs w:val="0"/>
                <w:color w:val="auto"/>
                <w:sz w:val="21"/>
                <w:szCs w:val="21"/>
                <w:highlight w:val="none"/>
                <w:lang w:val="en-US" w:eastAsia="zh-CN"/>
              </w:rPr>
            </w:pPr>
            <w:r>
              <w:rPr>
                <w:rFonts w:hint="eastAsia" w:ascii="宋体" w:hAnsi="宋体" w:eastAsia="宋体" w:cs="宋体"/>
                <w:b/>
                <w:bCs w:val="0"/>
                <w:color w:val="auto"/>
                <w:sz w:val="21"/>
                <w:szCs w:val="21"/>
                <w:highlight w:val="none"/>
                <w:lang w:val="en-US" w:eastAsia="zh-CN"/>
              </w:rPr>
              <w:t>注：提供相关证书扫描件或复印件并加盖投标人公章。</w:t>
            </w:r>
          </w:p>
        </w:tc>
        <w:tc>
          <w:tcPr>
            <w:tcW w:w="305" w:type="pct"/>
            <w:tcBorders>
              <w:top w:val="single" w:color="auto" w:sz="4" w:space="0"/>
              <w:left w:val="nil"/>
              <w:right w:val="single" w:color="auto" w:sz="4" w:space="0"/>
            </w:tcBorders>
            <w:shd w:val="clear" w:color="auto" w:fill="FFFFFF"/>
            <w:noWrap w:val="0"/>
            <w:vAlign w:val="center"/>
          </w:tcPr>
          <w:p w14:paraId="751BAEF3">
            <w:pPr>
              <w:pStyle w:val="2"/>
              <w:keepNext w:val="0"/>
              <w:keepLines w:val="0"/>
              <w:pageBreakBefore w:val="0"/>
              <w:suppressLineNumbers w:val="0"/>
              <w:kinsoku/>
              <w:wordWrap/>
              <w:overflowPunct/>
              <w:topLinePunct w:val="0"/>
              <w:autoSpaceDE/>
              <w:autoSpaceDN/>
              <w:bidi w:val="0"/>
              <w:adjustRightInd/>
              <w:snapToGrid/>
              <w:spacing w:before="0" w:beforeAutospacing="0" w:afterAutospacing="0" w:line="360" w:lineRule="auto"/>
              <w:ind w:left="0" w:right="0"/>
              <w:jc w:val="center"/>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r>
      <w:tr w14:paraId="3AA8F7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246"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3A799F59">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w:t>
            </w:r>
          </w:p>
        </w:tc>
        <w:tc>
          <w:tcPr>
            <w:tcW w:w="412"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638BB2AE">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业绩情况</w:t>
            </w:r>
          </w:p>
        </w:tc>
        <w:tc>
          <w:tcPr>
            <w:tcW w:w="356" w:type="pct"/>
            <w:tcBorders>
              <w:top w:val="single" w:color="auto" w:sz="4" w:space="0"/>
              <w:left w:val="nil"/>
              <w:bottom w:val="single" w:color="auto" w:sz="4" w:space="0"/>
              <w:right w:val="single" w:color="auto" w:sz="4" w:space="0"/>
            </w:tcBorders>
            <w:shd w:val="clear" w:color="auto" w:fill="auto"/>
            <w:noWrap w:val="0"/>
            <w:vAlign w:val="center"/>
          </w:tcPr>
          <w:p w14:paraId="74E6F6D5">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w:t>
            </w:r>
          </w:p>
        </w:tc>
        <w:tc>
          <w:tcPr>
            <w:tcW w:w="3679" w:type="pct"/>
            <w:tcBorders>
              <w:top w:val="single" w:color="auto" w:sz="4" w:space="0"/>
              <w:left w:val="nil"/>
              <w:bottom w:val="single" w:color="auto" w:sz="4" w:space="0"/>
              <w:right w:val="single" w:color="auto" w:sz="4" w:space="0"/>
            </w:tcBorders>
            <w:shd w:val="clear" w:color="auto" w:fill="FFFFFF"/>
            <w:noWrap w:val="0"/>
            <w:vAlign w:val="center"/>
          </w:tcPr>
          <w:p w14:paraId="72BBBC19">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Chars="0" w:right="0" w:rightChars="0"/>
              <w:jc w:val="both"/>
              <w:textAlignment w:val="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投标人自202</w:t>
            </w:r>
            <w:r>
              <w:rPr>
                <w:rFonts w:hint="eastAsia" w:ascii="宋体" w:hAnsi="宋体" w:cs="宋体"/>
                <w:b w:val="0"/>
                <w:bCs/>
                <w:color w:val="auto"/>
                <w:sz w:val="21"/>
                <w:szCs w:val="21"/>
                <w:highlight w:val="none"/>
                <w:lang w:val="en-US" w:eastAsia="zh-CN"/>
              </w:rPr>
              <w:t>2</w:t>
            </w:r>
            <w:r>
              <w:rPr>
                <w:rFonts w:hint="eastAsia" w:ascii="宋体" w:hAnsi="宋体" w:eastAsia="宋体" w:cs="宋体"/>
                <w:b w:val="0"/>
                <w:bCs/>
                <w:color w:val="auto"/>
                <w:sz w:val="21"/>
                <w:szCs w:val="21"/>
                <w:highlight w:val="none"/>
                <w:lang w:val="en-US" w:eastAsia="zh-CN"/>
              </w:rPr>
              <w:t>年1月1日以来（以合同签订时间为准）承接过交通事故痕迹物证鉴定</w:t>
            </w:r>
            <w:r>
              <w:rPr>
                <w:rFonts w:hint="eastAsia" w:ascii="宋体" w:hAnsi="宋体" w:cs="宋体"/>
                <w:b w:val="0"/>
                <w:bCs/>
                <w:color w:val="auto"/>
                <w:sz w:val="21"/>
                <w:szCs w:val="21"/>
                <w:highlight w:val="none"/>
                <w:lang w:val="en-US" w:eastAsia="zh-CN"/>
              </w:rPr>
              <w:t>的</w:t>
            </w:r>
            <w:r>
              <w:rPr>
                <w:rFonts w:hint="eastAsia" w:ascii="宋体" w:hAnsi="宋体" w:eastAsia="宋体" w:cs="宋体"/>
                <w:b w:val="0"/>
                <w:bCs/>
                <w:color w:val="auto"/>
                <w:sz w:val="21"/>
                <w:szCs w:val="21"/>
                <w:highlight w:val="none"/>
                <w:lang w:val="en-US" w:eastAsia="zh-CN"/>
              </w:rPr>
              <w:t>同类项目</w:t>
            </w:r>
            <w:r>
              <w:rPr>
                <w:rFonts w:hint="eastAsia" w:ascii="宋体" w:hAnsi="宋体" w:cs="宋体"/>
                <w:b w:val="0"/>
                <w:bCs/>
                <w:color w:val="auto"/>
                <w:sz w:val="21"/>
                <w:szCs w:val="21"/>
                <w:highlight w:val="none"/>
                <w:lang w:val="en-US" w:eastAsia="zh-CN"/>
              </w:rPr>
              <w:t>且获得业主好评的</w:t>
            </w:r>
            <w:r>
              <w:rPr>
                <w:rFonts w:hint="eastAsia" w:ascii="宋体" w:hAnsi="宋体" w:eastAsia="宋体" w:cs="宋体"/>
                <w:b w:val="0"/>
                <w:bCs/>
                <w:color w:val="auto"/>
                <w:sz w:val="21"/>
                <w:szCs w:val="21"/>
                <w:highlight w:val="none"/>
                <w:lang w:val="en-US" w:eastAsia="zh-CN"/>
              </w:rPr>
              <w:t>，</w:t>
            </w:r>
            <w:r>
              <w:rPr>
                <w:rFonts w:hint="eastAsia" w:ascii="宋体" w:hAnsi="宋体" w:cs="宋体"/>
                <w:b w:val="0"/>
                <w:bCs/>
                <w:color w:val="auto"/>
                <w:sz w:val="21"/>
                <w:szCs w:val="21"/>
                <w:highlight w:val="none"/>
                <w:lang w:val="en-US" w:eastAsia="zh-CN"/>
              </w:rPr>
              <w:t>每提供一份有效业绩证明材料得0.2分，最高得1分。</w:t>
            </w:r>
          </w:p>
          <w:p w14:paraId="1FEF9E5A">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Chars="0" w:right="0" w:rightChars="0"/>
              <w:jc w:val="both"/>
              <w:textAlignment w:val="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bCs w:val="0"/>
                <w:color w:val="auto"/>
                <w:sz w:val="21"/>
                <w:szCs w:val="21"/>
                <w:highlight w:val="none"/>
                <w:lang w:val="en-US" w:eastAsia="zh-CN"/>
              </w:rPr>
              <w:t>注：</w:t>
            </w:r>
            <w:r>
              <w:rPr>
                <w:rFonts w:hint="eastAsia" w:ascii="宋体" w:hAnsi="宋体" w:eastAsia="宋体" w:cs="宋体"/>
                <w:b/>
                <w:bCs/>
                <w:sz w:val="21"/>
                <w:szCs w:val="21"/>
                <w:highlight w:val="none"/>
                <w:lang w:val="en-US" w:eastAsia="zh-CN"/>
              </w:rPr>
              <w:t>提供相关合同复印件、业主评价表并加盖投标人公章，否则不得分。</w:t>
            </w:r>
          </w:p>
        </w:tc>
        <w:tc>
          <w:tcPr>
            <w:tcW w:w="305" w:type="pct"/>
            <w:tcBorders>
              <w:top w:val="single" w:color="auto" w:sz="4" w:space="0"/>
              <w:left w:val="nil"/>
              <w:bottom w:val="single" w:color="auto" w:sz="4" w:space="0"/>
              <w:right w:val="single" w:color="auto" w:sz="4" w:space="0"/>
            </w:tcBorders>
            <w:shd w:val="clear" w:color="auto" w:fill="FFFFFF"/>
            <w:noWrap w:val="0"/>
            <w:vAlign w:val="center"/>
          </w:tcPr>
          <w:p w14:paraId="5DEFDC9E">
            <w:pPr>
              <w:pStyle w:val="2"/>
              <w:keepNext w:val="0"/>
              <w:keepLines w:val="0"/>
              <w:pageBreakBefore w:val="0"/>
              <w:suppressLineNumbers w:val="0"/>
              <w:kinsoku/>
              <w:wordWrap/>
              <w:overflowPunct/>
              <w:topLinePunct w:val="0"/>
              <w:autoSpaceDE/>
              <w:autoSpaceDN/>
              <w:bidi w:val="0"/>
              <w:adjustRightInd/>
              <w:snapToGrid/>
              <w:spacing w:before="0" w:beforeAutospacing="0" w:afterAutospacing="0" w:line="36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r>
      <w:tr w14:paraId="013A82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246"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4DAFE5C3">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p>
        </w:tc>
        <w:tc>
          <w:tcPr>
            <w:tcW w:w="412"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45CD87AC">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项目负责人</w:t>
            </w:r>
          </w:p>
        </w:tc>
        <w:tc>
          <w:tcPr>
            <w:tcW w:w="356" w:type="pct"/>
            <w:tcBorders>
              <w:top w:val="single" w:color="auto" w:sz="4" w:space="0"/>
              <w:left w:val="nil"/>
              <w:bottom w:val="single" w:color="auto" w:sz="4" w:space="0"/>
              <w:right w:val="single" w:color="auto" w:sz="4" w:space="0"/>
            </w:tcBorders>
            <w:shd w:val="clear" w:color="auto" w:fill="auto"/>
            <w:noWrap w:val="0"/>
            <w:vAlign w:val="center"/>
          </w:tcPr>
          <w:p w14:paraId="003002B7">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客观</w:t>
            </w:r>
          </w:p>
        </w:tc>
        <w:tc>
          <w:tcPr>
            <w:tcW w:w="3679" w:type="pct"/>
            <w:tcBorders>
              <w:top w:val="single" w:color="auto" w:sz="4" w:space="0"/>
              <w:left w:val="nil"/>
              <w:bottom w:val="single" w:color="auto" w:sz="4" w:space="0"/>
              <w:right w:val="single" w:color="auto" w:sz="4" w:space="0"/>
            </w:tcBorders>
            <w:shd w:val="clear" w:color="auto" w:fill="FFFFFF"/>
            <w:noWrap w:val="0"/>
            <w:vAlign w:val="center"/>
          </w:tcPr>
          <w:p w14:paraId="442CA271">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cs="宋体"/>
                <w:bCs/>
                <w:sz w:val="21"/>
                <w:szCs w:val="21"/>
                <w:highlight w:val="none"/>
                <w:lang w:val="en-US" w:eastAsia="zh-CN"/>
              </w:rPr>
            </w:pPr>
            <w:r>
              <w:rPr>
                <w:rFonts w:hint="eastAsia" w:ascii="宋体" w:hAnsi="宋体" w:eastAsia="宋体" w:cs="宋体"/>
                <w:bCs/>
                <w:sz w:val="21"/>
                <w:szCs w:val="21"/>
                <w:highlight w:val="none"/>
                <w:lang w:val="en-US" w:eastAsia="zh-CN"/>
              </w:rPr>
              <w:t>根据投标人拟派的项目负责人（有且仅有1名）</w:t>
            </w:r>
            <w:r>
              <w:rPr>
                <w:rFonts w:hint="eastAsia" w:ascii="宋体" w:hAnsi="宋体" w:cs="宋体"/>
                <w:bCs/>
                <w:sz w:val="21"/>
                <w:szCs w:val="21"/>
                <w:highlight w:val="none"/>
                <w:lang w:val="en-US" w:eastAsia="zh-CN"/>
              </w:rPr>
              <w:t>：</w:t>
            </w:r>
          </w:p>
          <w:p w14:paraId="79FAB7B2">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left"/>
              <w:textAlignment w:val="auto"/>
              <w:rPr>
                <w:rFonts w:hint="eastAsia" w:ascii="宋体" w:hAnsi="宋体" w:cs="宋体"/>
                <w:bCs/>
                <w:sz w:val="21"/>
                <w:szCs w:val="21"/>
                <w:highlight w:val="none"/>
                <w:lang w:val="en-US" w:eastAsia="zh-CN"/>
              </w:rPr>
            </w:pPr>
            <w:r>
              <w:rPr>
                <w:rFonts w:hint="eastAsia" w:ascii="宋体" w:hAnsi="宋体" w:eastAsia="宋体" w:cs="宋体"/>
                <w:bCs/>
                <w:kern w:val="2"/>
                <w:sz w:val="21"/>
                <w:szCs w:val="21"/>
                <w:highlight w:val="none"/>
                <w:lang w:val="en-US" w:eastAsia="zh-CN" w:bidi="ar-SA"/>
              </w:rPr>
              <w:t>1、</w:t>
            </w:r>
            <w:r>
              <w:rPr>
                <w:rFonts w:hint="eastAsia" w:ascii="宋体" w:hAnsi="宋体" w:eastAsia="宋体" w:cs="宋体"/>
                <w:bCs/>
                <w:sz w:val="21"/>
                <w:szCs w:val="21"/>
                <w:highlight w:val="none"/>
                <w:lang w:val="en-US" w:eastAsia="zh-CN"/>
              </w:rPr>
              <w:t>具有</w:t>
            </w:r>
            <w:r>
              <w:rPr>
                <w:rFonts w:hint="eastAsia" w:ascii="宋体" w:hAnsi="宋体" w:cs="宋体"/>
                <w:bCs/>
                <w:sz w:val="21"/>
                <w:szCs w:val="21"/>
                <w:highlight w:val="none"/>
                <w:lang w:val="en-US" w:eastAsia="zh-CN"/>
              </w:rPr>
              <w:t>机动车检测维修类专业高级工程师或高级司法鉴定人（物证类）</w:t>
            </w:r>
            <w:r>
              <w:rPr>
                <w:rFonts w:hint="eastAsia" w:ascii="宋体" w:hAnsi="宋体" w:cs="宋体"/>
                <w:bCs/>
                <w:sz w:val="21"/>
                <w:szCs w:val="21"/>
                <w:highlight w:val="none"/>
                <w:lang w:val="en-US" w:eastAsia="zh-CN"/>
              </w:rPr>
              <w:t>及以上</w:t>
            </w:r>
            <w:r>
              <w:rPr>
                <w:rFonts w:hint="eastAsia" w:ascii="宋体" w:hAnsi="宋体" w:eastAsia="宋体" w:cs="宋体"/>
                <w:bCs/>
                <w:sz w:val="21"/>
                <w:szCs w:val="21"/>
                <w:highlight w:val="none"/>
                <w:lang w:val="en-US" w:eastAsia="zh-CN"/>
              </w:rPr>
              <w:t>职称得</w:t>
            </w:r>
            <w:r>
              <w:rPr>
                <w:rFonts w:hint="eastAsia" w:ascii="宋体" w:hAnsi="宋体" w:cs="宋体"/>
                <w:bCs/>
                <w:sz w:val="21"/>
                <w:szCs w:val="21"/>
                <w:highlight w:val="none"/>
                <w:lang w:val="en-US" w:eastAsia="zh-CN"/>
              </w:rPr>
              <w:t>3</w:t>
            </w:r>
            <w:r>
              <w:rPr>
                <w:rFonts w:hint="eastAsia" w:ascii="宋体" w:hAnsi="宋体" w:eastAsia="宋体" w:cs="宋体"/>
                <w:bCs/>
                <w:sz w:val="21"/>
                <w:szCs w:val="21"/>
                <w:highlight w:val="none"/>
                <w:lang w:val="en-US" w:eastAsia="zh-CN"/>
              </w:rPr>
              <w:t>分</w:t>
            </w:r>
            <w:r>
              <w:rPr>
                <w:rFonts w:hint="eastAsia" w:ascii="宋体" w:hAnsi="宋体" w:cs="宋体"/>
                <w:bCs/>
                <w:sz w:val="21"/>
                <w:szCs w:val="21"/>
                <w:highlight w:val="none"/>
                <w:lang w:val="en-US" w:eastAsia="zh-CN"/>
              </w:rPr>
              <w:t>；</w:t>
            </w:r>
          </w:p>
          <w:p w14:paraId="07D5C5FA">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left"/>
              <w:textAlignment w:val="auto"/>
              <w:rPr>
                <w:rFonts w:hint="eastAsia" w:ascii="宋体" w:hAnsi="宋体" w:cs="宋体"/>
                <w:bCs/>
                <w:sz w:val="21"/>
                <w:szCs w:val="21"/>
                <w:highlight w:val="none"/>
                <w:lang w:val="en-US" w:eastAsia="zh-CN"/>
              </w:rPr>
            </w:pPr>
            <w:r>
              <w:rPr>
                <w:rFonts w:hint="default" w:ascii="宋体" w:hAnsi="宋体" w:eastAsia="宋体" w:cs="宋体"/>
                <w:bCs/>
                <w:kern w:val="2"/>
                <w:sz w:val="21"/>
                <w:szCs w:val="21"/>
                <w:highlight w:val="none"/>
                <w:lang w:val="en-US" w:eastAsia="zh-CN" w:bidi="ar-SA"/>
              </w:rPr>
              <w:t>2、</w:t>
            </w:r>
            <w:r>
              <w:rPr>
                <w:rFonts w:hint="eastAsia" w:ascii="宋体" w:hAnsi="宋体" w:eastAsia="宋体" w:cs="宋体"/>
                <w:bCs/>
                <w:sz w:val="21"/>
                <w:szCs w:val="21"/>
                <w:highlight w:val="none"/>
                <w:lang w:val="en-US" w:eastAsia="zh-CN"/>
              </w:rPr>
              <w:t>具有</w:t>
            </w:r>
            <w:r>
              <w:rPr>
                <w:rFonts w:hint="eastAsia" w:ascii="宋体" w:hAnsi="宋体" w:cs="宋体"/>
                <w:bCs/>
                <w:sz w:val="21"/>
                <w:szCs w:val="21"/>
                <w:highlight w:val="none"/>
                <w:lang w:val="en-US" w:eastAsia="zh-CN"/>
              </w:rPr>
              <w:t>机动车检测维修类专业工程师或中级司法鉴定人（物证类）</w:t>
            </w:r>
            <w:r>
              <w:rPr>
                <w:rFonts w:hint="eastAsia" w:ascii="宋体" w:hAnsi="宋体" w:eastAsia="宋体" w:cs="宋体"/>
                <w:bCs/>
                <w:sz w:val="21"/>
                <w:szCs w:val="21"/>
                <w:highlight w:val="none"/>
                <w:lang w:val="en-US" w:eastAsia="zh-CN"/>
              </w:rPr>
              <w:t>职称</w:t>
            </w:r>
            <w:r>
              <w:rPr>
                <w:rFonts w:hint="eastAsia" w:ascii="宋体" w:hAnsi="宋体" w:eastAsia="宋体" w:cs="宋体"/>
                <w:bCs/>
                <w:sz w:val="21"/>
                <w:szCs w:val="21"/>
                <w:highlight w:val="none"/>
                <w:lang w:val="en-US" w:eastAsia="zh-CN"/>
              </w:rPr>
              <w:t>得</w:t>
            </w:r>
            <w:r>
              <w:rPr>
                <w:rFonts w:hint="eastAsia" w:ascii="宋体" w:hAnsi="宋体" w:cs="宋体"/>
                <w:bCs/>
                <w:sz w:val="21"/>
                <w:szCs w:val="21"/>
                <w:highlight w:val="none"/>
                <w:lang w:val="en-US" w:eastAsia="zh-CN"/>
              </w:rPr>
              <w:t>2</w:t>
            </w:r>
            <w:r>
              <w:rPr>
                <w:rFonts w:hint="eastAsia" w:ascii="宋体" w:hAnsi="宋体" w:eastAsia="宋体" w:cs="宋体"/>
                <w:bCs/>
                <w:sz w:val="21"/>
                <w:szCs w:val="21"/>
                <w:highlight w:val="none"/>
                <w:lang w:val="en-US" w:eastAsia="zh-CN"/>
              </w:rPr>
              <w:t>分</w:t>
            </w:r>
            <w:r>
              <w:rPr>
                <w:rFonts w:hint="eastAsia" w:ascii="宋体" w:hAnsi="宋体" w:cs="宋体"/>
                <w:bCs/>
                <w:sz w:val="21"/>
                <w:szCs w:val="21"/>
                <w:highlight w:val="none"/>
                <w:lang w:val="en-US" w:eastAsia="zh-CN"/>
              </w:rPr>
              <w:t>；</w:t>
            </w:r>
          </w:p>
          <w:p w14:paraId="3A5B1757">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left"/>
              <w:textAlignment w:val="auto"/>
              <w:rPr>
                <w:rFonts w:hint="eastAsia" w:ascii="宋体" w:hAnsi="宋体" w:cs="宋体"/>
                <w:bCs/>
                <w:sz w:val="21"/>
                <w:szCs w:val="21"/>
                <w:highlight w:val="none"/>
                <w:lang w:val="en-US" w:eastAsia="zh-CN"/>
              </w:rPr>
            </w:pPr>
            <w:r>
              <w:rPr>
                <w:rFonts w:hint="eastAsia" w:ascii="宋体" w:hAnsi="宋体" w:cs="宋体"/>
                <w:bCs/>
                <w:sz w:val="21"/>
                <w:szCs w:val="21"/>
                <w:highlight w:val="none"/>
                <w:lang w:val="en-US" w:eastAsia="zh-CN"/>
              </w:rPr>
              <w:t>3、</w:t>
            </w:r>
            <w:r>
              <w:rPr>
                <w:rFonts w:hint="eastAsia" w:ascii="宋体" w:hAnsi="宋体" w:eastAsia="宋体" w:cs="宋体"/>
                <w:bCs/>
                <w:sz w:val="21"/>
                <w:szCs w:val="21"/>
                <w:highlight w:val="none"/>
                <w:lang w:val="en-US" w:eastAsia="zh-CN"/>
              </w:rPr>
              <w:t>具有</w:t>
            </w:r>
            <w:r>
              <w:rPr>
                <w:rFonts w:hint="eastAsia" w:ascii="宋体" w:hAnsi="宋体" w:cs="宋体"/>
                <w:bCs/>
                <w:sz w:val="21"/>
                <w:szCs w:val="21"/>
                <w:highlight w:val="none"/>
                <w:lang w:val="en-US" w:eastAsia="zh-CN"/>
              </w:rPr>
              <w:t>机动车检测维修类专业助理工程师或初级司法鉴定人（物证类）</w:t>
            </w:r>
            <w:r>
              <w:rPr>
                <w:rFonts w:hint="eastAsia" w:ascii="宋体" w:hAnsi="宋体" w:cs="宋体"/>
                <w:bCs/>
                <w:sz w:val="21"/>
                <w:szCs w:val="21"/>
                <w:highlight w:val="none"/>
                <w:lang w:val="en-US" w:eastAsia="zh-CN"/>
              </w:rPr>
              <w:t>职称得1分；</w:t>
            </w:r>
          </w:p>
          <w:p w14:paraId="3CA905AE">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left"/>
              <w:textAlignment w:val="auto"/>
              <w:rPr>
                <w:rFonts w:hint="default" w:ascii="宋体" w:hAnsi="宋体" w:eastAsia="宋体" w:cs="宋体"/>
                <w:bCs/>
                <w:sz w:val="21"/>
                <w:szCs w:val="21"/>
                <w:highlight w:val="none"/>
                <w:lang w:val="en-US" w:eastAsia="zh-CN"/>
              </w:rPr>
            </w:pPr>
            <w:r>
              <w:rPr>
                <w:rFonts w:hint="eastAsia" w:ascii="宋体" w:hAnsi="宋体" w:cs="宋体"/>
                <w:bCs/>
                <w:sz w:val="21"/>
                <w:szCs w:val="21"/>
                <w:highlight w:val="none"/>
                <w:lang w:val="en-US" w:eastAsia="zh-CN"/>
              </w:rPr>
              <w:t>4、其余不得分。本项最高得3分。</w:t>
            </w:r>
          </w:p>
          <w:p w14:paraId="0C76ED34">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bCs w:val="0"/>
                <w:sz w:val="21"/>
                <w:szCs w:val="21"/>
                <w:highlight w:val="none"/>
                <w:lang w:val="en-US" w:eastAsia="zh-CN"/>
              </w:rPr>
              <w:t>注：提供项目负责人相关职称证书及投标人为其缴纳的近三个月中任意一个月的社保证明并加盖投标人公章，</w:t>
            </w:r>
            <w:r>
              <w:rPr>
                <w:rFonts w:hint="eastAsia" w:ascii="宋体" w:hAnsi="宋体" w:cs="宋体"/>
                <w:b/>
                <w:bCs w:val="0"/>
                <w:sz w:val="21"/>
                <w:szCs w:val="21"/>
                <w:highlight w:val="none"/>
                <w:lang w:val="en-US" w:eastAsia="zh-CN"/>
              </w:rPr>
              <w:t>且项目负责人必须满足采购需求要求，</w:t>
            </w:r>
            <w:r>
              <w:rPr>
                <w:rFonts w:hint="eastAsia" w:ascii="宋体" w:hAnsi="宋体" w:eastAsia="宋体" w:cs="宋体"/>
                <w:b/>
                <w:bCs w:val="0"/>
                <w:sz w:val="21"/>
                <w:szCs w:val="21"/>
                <w:highlight w:val="none"/>
                <w:lang w:val="en-US" w:eastAsia="zh-CN"/>
              </w:rPr>
              <w:t>否则不得分。</w:t>
            </w:r>
          </w:p>
        </w:tc>
        <w:tc>
          <w:tcPr>
            <w:tcW w:w="305" w:type="pct"/>
            <w:tcBorders>
              <w:top w:val="single" w:color="auto" w:sz="4" w:space="0"/>
              <w:left w:val="nil"/>
              <w:bottom w:val="single" w:color="auto" w:sz="4" w:space="0"/>
              <w:right w:val="single" w:color="auto" w:sz="4" w:space="0"/>
            </w:tcBorders>
            <w:shd w:val="clear" w:color="auto" w:fill="FFFFFF"/>
            <w:noWrap w:val="0"/>
            <w:vAlign w:val="center"/>
          </w:tcPr>
          <w:p w14:paraId="64015B26">
            <w:pPr>
              <w:pStyle w:val="2"/>
              <w:keepNext w:val="0"/>
              <w:keepLines w:val="0"/>
              <w:pageBreakBefore w:val="0"/>
              <w:suppressLineNumbers w:val="0"/>
              <w:kinsoku/>
              <w:wordWrap/>
              <w:overflowPunct/>
              <w:topLinePunct w:val="0"/>
              <w:autoSpaceDE/>
              <w:autoSpaceDN/>
              <w:bidi w:val="0"/>
              <w:adjustRightInd/>
              <w:snapToGrid/>
              <w:spacing w:before="0" w:beforeAutospacing="0" w:afterAutospacing="0" w:line="36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r>
      <w:tr w14:paraId="365F78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246"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185A7C69">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4</w:t>
            </w:r>
          </w:p>
        </w:tc>
        <w:tc>
          <w:tcPr>
            <w:tcW w:w="412"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1E9F88F4">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项目实施人员</w:t>
            </w:r>
          </w:p>
        </w:tc>
        <w:tc>
          <w:tcPr>
            <w:tcW w:w="356" w:type="pct"/>
            <w:tcBorders>
              <w:top w:val="single" w:color="auto" w:sz="4" w:space="0"/>
              <w:left w:val="nil"/>
              <w:bottom w:val="single" w:color="auto" w:sz="4" w:space="0"/>
              <w:right w:val="single" w:color="auto" w:sz="4" w:space="0"/>
            </w:tcBorders>
            <w:shd w:val="clear" w:color="auto" w:fill="auto"/>
            <w:noWrap w:val="0"/>
            <w:vAlign w:val="center"/>
          </w:tcPr>
          <w:p w14:paraId="0ADE0EA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Cs/>
                <w:color w:val="auto"/>
                <w:kern w:val="0"/>
                <w:sz w:val="21"/>
                <w:szCs w:val="21"/>
                <w:highlight w:val="none"/>
                <w:lang w:val="en-US" w:eastAsia="zh-CN"/>
              </w:rPr>
            </w:pPr>
            <w:r>
              <w:rPr>
                <w:rFonts w:hint="eastAsia" w:ascii="宋体" w:hAnsi="宋体" w:eastAsia="宋体" w:cs="宋体"/>
                <w:bCs/>
                <w:color w:val="auto"/>
                <w:kern w:val="0"/>
                <w:sz w:val="21"/>
                <w:szCs w:val="21"/>
                <w:highlight w:val="none"/>
                <w:lang w:val="en-US" w:eastAsia="zh-CN"/>
              </w:rPr>
              <w:t>客观</w:t>
            </w:r>
          </w:p>
        </w:tc>
        <w:tc>
          <w:tcPr>
            <w:tcW w:w="3679" w:type="pct"/>
            <w:tcBorders>
              <w:top w:val="single" w:color="auto" w:sz="4" w:space="0"/>
              <w:left w:val="nil"/>
              <w:bottom w:val="single" w:color="auto" w:sz="4" w:space="0"/>
              <w:right w:val="single" w:color="auto" w:sz="4" w:space="0"/>
            </w:tcBorders>
            <w:shd w:val="clear" w:color="auto" w:fill="FFFFFF"/>
            <w:noWrap w:val="0"/>
            <w:vAlign w:val="center"/>
          </w:tcPr>
          <w:p w14:paraId="576CD8D3">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Cs/>
                <w:sz w:val="21"/>
                <w:szCs w:val="21"/>
                <w:highlight w:val="none"/>
                <w:lang w:val="en-US" w:eastAsia="zh-CN"/>
              </w:rPr>
            </w:pPr>
            <w:r>
              <w:rPr>
                <w:rFonts w:hint="eastAsia" w:ascii="宋体" w:hAnsi="宋体" w:eastAsia="宋体" w:cs="宋体"/>
                <w:bCs/>
                <w:sz w:val="21"/>
                <w:szCs w:val="21"/>
                <w:highlight w:val="none"/>
                <w:lang w:val="en-US" w:eastAsia="zh-CN"/>
              </w:rPr>
              <w:t>根据投标人针对本项目配备的项目实施人员：</w:t>
            </w:r>
          </w:p>
          <w:p w14:paraId="47547668">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left"/>
              <w:textAlignment w:val="auto"/>
              <w:rPr>
                <w:rFonts w:hint="eastAsia" w:ascii="宋体" w:hAnsi="宋体" w:cs="宋体"/>
                <w:bCs/>
                <w:sz w:val="21"/>
                <w:szCs w:val="21"/>
                <w:highlight w:val="none"/>
                <w:lang w:val="en-US" w:eastAsia="zh-CN"/>
              </w:rPr>
            </w:pPr>
            <w:r>
              <w:rPr>
                <w:rFonts w:hint="eastAsia" w:ascii="宋体" w:hAnsi="宋体" w:eastAsia="宋体" w:cs="宋体"/>
                <w:bCs/>
                <w:kern w:val="2"/>
                <w:sz w:val="21"/>
                <w:szCs w:val="21"/>
                <w:highlight w:val="none"/>
                <w:lang w:val="en-US" w:eastAsia="zh-CN" w:bidi="ar-SA"/>
              </w:rPr>
              <w:t>1、</w:t>
            </w:r>
            <w:r>
              <w:rPr>
                <w:rFonts w:hint="eastAsia" w:ascii="宋体" w:hAnsi="宋体" w:eastAsia="宋体" w:cs="宋体"/>
                <w:bCs/>
                <w:sz w:val="21"/>
                <w:szCs w:val="21"/>
                <w:highlight w:val="none"/>
                <w:lang w:val="en-US" w:eastAsia="zh-CN"/>
              </w:rPr>
              <w:t>每提供1名具有</w:t>
            </w:r>
            <w:r>
              <w:rPr>
                <w:rFonts w:hint="eastAsia" w:ascii="宋体" w:hAnsi="宋体" w:cs="宋体"/>
                <w:bCs/>
                <w:sz w:val="21"/>
                <w:szCs w:val="21"/>
                <w:highlight w:val="none"/>
                <w:lang w:val="en-US" w:eastAsia="zh-CN"/>
              </w:rPr>
              <w:t>机动车检测维修类</w:t>
            </w:r>
            <w:r>
              <w:rPr>
                <w:rFonts w:hint="eastAsia" w:ascii="宋体" w:hAnsi="宋体" w:eastAsia="宋体" w:cs="宋体"/>
                <w:bCs/>
                <w:sz w:val="21"/>
                <w:szCs w:val="21"/>
                <w:highlight w:val="none"/>
                <w:lang w:val="en-US" w:eastAsia="zh-CN"/>
              </w:rPr>
              <w:t>工程师</w:t>
            </w:r>
            <w:r>
              <w:rPr>
                <w:rFonts w:hint="eastAsia" w:ascii="宋体" w:hAnsi="宋体" w:cs="宋体"/>
                <w:bCs/>
                <w:sz w:val="21"/>
                <w:szCs w:val="21"/>
                <w:highlight w:val="none"/>
                <w:lang w:val="en-US" w:eastAsia="zh-CN"/>
              </w:rPr>
              <w:t>或中级司法鉴定人（物证类）</w:t>
            </w:r>
            <w:r>
              <w:rPr>
                <w:rFonts w:hint="eastAsia" w:ascii="宋体" w:hAnsi="宋体" w:eastAsia="宋体" w:cs="宋体"/>
                <w:bCs/>
                <w:sz w:val="21"/>
                <w:szCs w:val="21"/>
                <w:highlight w:val="none"/>
                <w:lang w:val="en-US" w:eastAsia="zh-CN"/>
              </w:rPr>
              <w:t>及以上职称得2分</w:t>
            </w:r>
            <w:r>
              <w:rPr>
                <w:rFonts w:hint="eastAsia" w:ascii="宋体" w:hAnsi="宋体" w:cs="宋体"/>
                <w:bCs/>
                <w:sz w:val="21"/>
                <w:szCs w:val="21"/>
                <w:highlight w:val="none"/>
                <w:lang w:val="en-US" w:eastAsia="zh-CN"/>
              </w:rPr>
              <w:t>；</w:t>
            </w:r>
          </w:p>
          <w:p w14:paraId="2DC4C932">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left"/>
              <w:textAlignment w:val="auto"/>
              <w:rPr>
                <w:rFonts w:hint="eastAsia" w:ascii="宋体" w:hAnsi="宋体" w:cs="宋体"/>
                <w:bCs/>
                <w:sz w:val="21"/>
                <w:szCs w:val="21"/>
                <w:highlight w:val="none"/>
                <w:lang w:val="en-US" w:eastAsia="zh-CN"/>
              </w:rPr>
            </w:pPr>
            <w:r>
              <w:rPr>
                <w:rFonts w:hint="default" w:ascii="宋体" w:hAnsi="宋体" w:eastAsia="宋体" w:cs="宋体"/>
                <w:bCs/>
                <w:kern w:val="2"/>
                <w:sz w:val="21"/>
                <w:szCs w:val="21"/>
                <w:highlight w:val="none"/>
                <w:lang w:val="en-US" w:eastAsia="zh-CN" w:bidi="ar-SA"/>
              </w:rPr>
              <w:t>2</w:t>
            </w:r>
            <w:r>
              <w:rPr>
                <w:rFonts w:hint="default" w:ascii="宋体" w:hAnsi="宋体" w:eastAsia="宋体" w:cs="宋体"/>
                <w:bCs/>
                <w:kern w:val="2"/>
                <w:sz w:val="21"/>
                <w:szCs w:val="21"/>
                <w:highlight w:val="none"/>
                <w:lang w:val="en-US" w:eastAsia="zh-CN" w:bidi="ar-SA"/>
              </w:rPr>
              <w:t>、</w:t>
            </w:r>
            <w:r>
              <w:rPr>
                <w:rFonts w:hint="eastAsia" w:ascii="宋体" w:hAnsi="宋体" w:eastAsia="宋体" w:cs="宋体"/>
                <w:bCs/>
                <w:sz w:val="21"/>
                <w:szCs w:val="21"/>
                <w:highlight w:val="none"/>
                <w:lang w:val="en-US" w:eastAsia="zh-CN"/>
              </w:rPr>
              <w:t>每提供1名具有</w:t>
            </w:r>
            <w:r>
              <w:rPr>
                <w:rFonts w:hint="eastAsia" w:ascii="宋体" w:hAnsi="宋体" w:cs="宋体"/>
                <w:bCs/>
                <w:sz w:val="21"/>
                <w:szCs w:val="21"/>
                <w:highlight w:val="none"/>
                <w:lang w:val="en-US" w:eastAsia="zh-CN"/>
              </w:rPr>
              <w:t>机动车检测维修类</w:t>
            </w:r>
            <w:r>
              <w:rPr>
                <w:rFonts w:hint="eastAsia" w:ascii="宋体" w:hAnsi="宋体" w:eastAsia="宋体" w:cs="宋体"/>
                <w:bCs/>
                <w:sz w:val="21"/>
                <w:szCs w:val="21"/>
                <w:highlight w:val="none"/>
                <w:lang w:val="en-US" w:eastAsia="zh-CN"/>
              </w:rPr>
              <w:t>助理工程师</w:t>
            </w:r>
            <w:r>
              <w:rPr>
                <w:rFonts w:hint="eastAsia" w:ascii="宋体" w:hAnsi="宋体" w:cs="宋体"/>
                <w:bCs/>
                <w:sz w:val="21"/>
                <w:szCs w:val="21"/>
                <w:highlight w:val="none"/>
                <w:lang w:val="en-US" w:eastAsia="zh-CN"/>
              </w:rPr>
              <w:t>或初级司法鉴定人（物证类）</w:t>
            </w:r>
            <w:r>
              <w:rPr>
                <w:rFonts w:hint="eastAsia" w:ascii="宋体" w:hAnsi="宋体" w:eastAsia="宋体" w:cs="宋体"/>
                <w:bCs/>
                <w:sz w:val="21"/>
                <w:szCs w:val="21"/>
                <w:highlight w:val="none"/>
                <w:lang w:val="en-US" w:eastAsia="zh-CN"/>
              </w:rPr>
              <w:t>职称得1分</w:t>
            </w:r>
            <w:r>
              <w:rPr>
                <w:rFonts w:hint="eastAsia" w:ascii="宋体" w:hAnsi="宋体" w:cs="宋体"/>
                <w:bCs/>
                <w:sz w:val="21"/>
                <w:szCs w:val="21"/>
                <w:highlight w:val="none"/>
                <w:lang w:val="en-US" w:eastAsia="zh-CN"/>
              </w:rPr>
              <w:t>；</w:t>
            </w:r>
          </w:p>
          <w:p w14:paraId="22081A08">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left"/>
              <w:textAlignment w:val="auto"/>
              <w:rPr>
                <w:rFonts w:hint="default" w:ascii="宋体" w:hAnsi="宋体" w:eastAsia="宋体" w:cs="宋体"/>
                <w:bCs/>
                <w:sz w:val="21"/>
                <w:szCs w:val="21"/>
                <w:highlight w:val="none"/>
                <w:lang w:val="en-US" w:eastAsia="zh-CN"/>
              </w:rPr>
            </w:pPr>
            <w:r>
              <w:rPr>
                <w:rFonts w:hint="eastAsia" w:ascii="宋体" w:hAnsi="宋体" w:cs="宋体"/>
                <w:bCs/>
                <w:sz w:val="21"/>
                <w:szCs w:val="21"/>
                <w:highlight w:val="none"/>
                <w:lang w:val="en-US" w:eastAsia="zh-CN"/>
              </w:rPr>
              <w:t>3、</w:t>
            </w:r>
            <w:r>
              <w:rPr>
                <w:rFonts w:hint="eastAsia" w:ascii="宋体" w:hAnsi="宋体" w:eastAsia="宋体" w:cs="宋体"/>
                <w:bCs/>
                <w:sz w:val="21"/>
                <w:szCs w:val="21"/>
                <w:highlight w:val="none"/>
                <w:lang w:val="en-US" w:eastAsia="zh-CN"/>
              </w:rPr>
              <w:t>其余不得分。本项最高得8分。</w:t>
            </w:r>
          </w:p>
          <w:p w14:paraId="472FA90E">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
                <w:bCs w:val="0"/>
                <w:sz w:val="21"/>
                <w:szCs w:val="21"/>
                <w:highlight w:val="none"/>
                <w:lang w:val="en-US" w:eastAsia="zh-CN"/>
              </w:rPr>
              <w:t>注：提供人员的相关职称证书及投标人为其缴纳的近三个月中任意一个月的社保证明并加盖投标人公章，</w:t>
            </w:r>
            <w:r>
              <w:rPr>
                <w:rFonts w:hint="eastAsia" w:ascii="宋体" w:hAnsi="宋体" w:cs="宋体"/>
                <w:b/>
                <w:bCs w:val="0"/>
                <w:sz w:val="21"/>
                <w:szCs w:val="21"/>
                <w:highlight w:val="none"/>
                <w:lang w:val="en-US" w:eastAsia="zh-CN"/>
              </w:rPr>
              <w:t>且项目实施人员必须满足采购需求要求，</w:t>
            </w:r>
            <w:r>
              <w:rPr>
                <w:rFonts w:hint="eastAsia" w:ascii="宋体" w:hAnsi="宋体" w:eastAsia="宋体" w:cs="宋体"/>
                <w:b/>
                <w:bCs w:val="0"/>
                <w:sz w:val="21"/>
                <w:szCs w:val="21"/>
                <w:highlight w:val="none"/>
                <w:lang w:val="en-US" w:eastAsia="zh-CN"/>
              </w:rPr>
              <w:t>否则不得分。</w:t>
            </w:r>
          </w:p>
        </w:tc>
        <w:tc>
          <w:tcPr>
            <w:tcW w:w="305" w:type="pct"/>
            <w:tcBorders>
              <w:top w:val="single" w:color="auto" w:sz="4" w:space="0"/>
              <w:left w:val="nil"/>
              <w:bottom w:val="single" w:color="auto" w:sz="4" w:space="0"/>
              <w:right w:val="single" w:color="auto" w:sz="4" w:space="0"/>
            </w:tcBorders>
            <w:shd w:val="clear" w:color="auto" w:fill="FFFFFF"/>
            <w:noWrap w:val="0"/>
            <w:vAlign w:val="center"/>
          </w:tcPr>
          <w:p w14:paraId="597A1E2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cs="宋体"/>
                <w:b w:val="0"/>
                <w:bCs w:val="0"/>
                <w:color w:val="auto"/>
                <w:kern w:val="2"/>
                <w:sz w:val="21"/>
                <w:szCs w:val="21"/>
                <w:highlight w:val="none"/>
                <w:lang w:val="en-US" w:eastAsia="zh-CN" w:bidi="ar-SA"/>
              </w:rPr>
              <w:t>8</w:t>
            </w:r>
          </w:p>
        </w:tc>
      </w:tr>
      <w:tr w14:paraId="638857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246"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0B111E9F">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5</w:t>
            </w:r>
          </w:p>
        </w:tc>
        <w:tc>
          <w:tcPr>
            <w:tcW w:w="412"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5CD4B5D2">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拟投入仪器、设备</w:t>
            </w:r>
          </w:p>
        </w:tc>
        <w:tc>
          <w:tcPr>
            <w:tcW w:w="356" w:type="pct"/>
            <w:tcBorders>
              <w:top w:val="single" w:color="auto" w:sz="4" w:space="0"/>
              <w:left w:val="nil"/>
              <w:bottom w:val="single" w:color="auto" w:sz="4" w:space="0"/>
              <w:right w:val="single" w:color="auto" w:sz="4" w:space="0"/>
            </w:tcBorders>
            <w:shd w:val="clear" w:color="auto" w:fill="auto"/>
            <w:noWrap w:val="0"/>
            <w:vAlign w:val="center"/>
          </w:tcPr>
          <w:p w14:paraId="3E34FE9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Cs/>
                <w:color w:val="auto"/>
                <w:kern w:val="0"/>
                <w:sz w:val="21"/>
                <w:szCs w:val="21"/>
                <w:highlight w:val="none"/>
                <w:lang w:val="en-US" w:eastAsia="zh-CN"/>
              </w:rPr>
            </w:pPr>
            <w:r>
              <w:rPr>
                <w:rFonts w:hint="eastAsia" w:ascii="宋体" w:hAnsi="宋体" w:eastAsia="宋体" w:cs="宋体"/>
                <w:bCs/>
                <w:color w:val="auto"/>
                <w:kern w:val="0"/>
                <w:sz w:val="21"/>
                <w:szCs w:val="21"/>
                <w:highlight w:val="none"/>
                <w:lang w:val="en-US" w:eastAsia="zh-CN"/>
              </w:rPr>
              <w:t>客观</w:t>
            </w:r>
          </w:p>
        </w:tc>
        <w:tc>
          <w:tcPr>
            <w:tcW w:w="3679" w:type="pct"/>
            <w:tcBorders>
              <w:top w:val="single" w:color="auto" w:sz="4" w:space="0"/>
              <w:left w:val="nil"/>
              <w:bottom w:val="single" w:color="auto" w:sz="4" w:space="0"/>
              <w:right w:val="single" w:color="auto" w:sz="4" w:space="0"/>
            </w:tcBorders>
            <w:shd w:val="clear" w:color="auto" w:fill="FFFFFF"/>
            <w:noWrap w:val="0"/>
            <w:vAlign w:val="center"/>
          </w:tcPr>
          <w:p w14:paraId="0EDFE601">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根据投标人</w:t>
            </w:r>
            <w:r>
              <w:rPr>
                <w:rFonts w:hint="eastAsia" w:ascii="宋体" w:hAnsi="宋体" w:cs="宋体"/>
                <w:b w:val="0"/>
                <w:bCs w:val="0"/>
                <w:color w:val="auto"/>
                <w:sz w:val="21"/>
                <w:szCs w:val="21"/>
                <w:highlight w:val="none"/>
                <w:lang w:val="en-US" w:eastAsia="zh-CN"/>
              </w:rPr>
              <w:t>承诺为</w:t>
            </w:r>
            <w:r>
              <w:rPr>
                <w:rFonts w:hint="eastAsia" w:ascii="宋体" w:hAnsi="宋体" w:eastAsia="宋体" w:cs="宋体"/>
                <w:b w:val="0"/>
                <w:bCs w:val="0"/>
                <w:color w:val="auto"/>
                <w:sz w:val="21"/>
                <w:szCs w:val="21"/>
                <w:highlight w:val="none"/>
                <w:lang w:val="en-US" w:eastAsia="zh-CN"/>
              </w:rPr>
              <w:t>本项目鉴定需求提供的检测设备进行评分：</w:t>
            </w:r>
          </w:p>
          <w:p w14:paraId="358881DE">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车辆制动性能检测仪、车辆转向系统检测仪、交通事故痕迹物证勘查箱、‌汽车VDR</w:t>
            </w:r>
            <w:r>
              <w:rPr>
                <w:rFonts w:hint="eastAsia" w:ascii="宋体" w:hAnsi="宋体" w:cs="宋体"/>
                <w:b w:val="0"/>
                <w:bCs w:val="0"/>
                <w:color w:val="auto"/>
                <w:sz w:val="21"/>
                <w:szCs w:val="21"/>
                <w:highlight w:val="none"/>
                <w:lang w:val="en-US" w:eastAsia="zh-CN"/>
              </w:rPr>
              <w:t>（</w:t>
            </w:r>
            <w:r>
              <w:rPr>
                <w:rFonts w:hint="eastAsia" w:ascii="宋体" w:hAnsi="宋体" w:eastAsia="宋体" w:cs="宋体"/>
                <w:b w:val="0"/>
                <w:bCs w:val="0"/>
                <w:color w:val="auto"/>
                <w:sz w:val="21"/>
                <w:szCs w:val="21"/>
                <w:highlight w:val="none"/>
                <w:lang w:val="en-US" w:eastAsia="zh-CN"/>
              </w:rPr>
              <w:t>车辆数据取证工具</w:t>
            </w:r>
            <w:r>
              <w:rPr>
                <w:rFonts w:hint="eastAsia" w:ascii="宋体" w:hAnsi="宋体" w:cs="宋体"/>
                <w:b w:val="0"/>
                <w:bCs w:val="0"/>
                <w:color w:val="auto"/>
                <w:sz w:val="21"/>
                <w:szCs w:val="21"/>
                <w:highlight w:val="none"/>
                <w:lang w:val="en-US" w:eastAsia="zh-CN"/>
              </w:rPr>
              <w:t>）</w:t>
            </w:r>
            <w:r>
              <w:rPr>
                <w:rFonts w:hint="eastAsia" w:ascii="宋体" w:hAnsi="宋体" w:eastAsia="宋体" w:cs="宋体"/>
                <w:b w:val="0"/>
                <w:bCs w:val="0"/>
                <w:color w:val="auto"/>
                <w:sz w:val="21"/>
                <w:szCs w:val="21"/>
                <w:highlight w:val="none"/>
                <w:lang w:val="en-US" w:eastAsia="zh-CN"/>
              </w:rPr>
              <w:t>、比较显微镜</w:t>
            </w:r>
            <w:r>
              <w:rPr>
                <w:rFonts w:hint="eastAsia" w:ascii="宋体" w:hAnsi="宋体" w:cs="宋体"/>
                <w:b w:val="0"/>
                <w:bCs w:val="0"/>
                <w:color w:val="auto"/>
                <w:sz w:val="21"/>
                <w:szCs w:val="21"/>
                <w:highlight w:val="none"/>
                <w:lang w:val="en-US" w:eastAsia="zh-CN"/>
              </w:rPr>
              <w:t>，</w:t>
            </w:r>
            <w:r>
              <w:rPr>
                <w:rFonts w:hint="eastAsia" w:ascii="宋体" w:hAnsi="宋体" w:eastAsia="宋体" w:cs="宋体"/>
                <w:b w:val="0"/>
                <w:bCs w:val="0"/>
                <w:color w:val="auto"/>
                <w:sz w:val="21"/>
                <w:szCs w:val="21"/>
                <w:highlight w:val="none"/>
                <w:lang w:val="en-US" w:eastAsia="zh-CN"/>
              </w:rPr>
              <w:t>每提供一个得1分，本项最高得</w:t>
            </w:r>
            <w:r>
              <w:rPr>
                <w:rFonts w:hint="eastAsia" w:ascii="宋体" w:hAnsi="宋体" w:cs="宋体"/>
                <w:b w:val="0"/>
                <w:bCs w:val="0"/>
                <w:color w:val="auto"/>
                <w:sz w:val="21"/>
                <w:szCs w:val="21"/>
                <w:highlight w:val="none"/>
                <w:lang w:val="en-US" w:eastAsia="zh-CN"/>
              </w:rPr>
              <w:t>5</w:t>
            </w:r>
            <w:r>
              <w:rPr>
                <w:rFonts w:hint="eastAsia" w:ascii="宋体" w:hAnsi="宋体" w:eastAsia="宋体" w:cs="宋体"/>
                <w:b w:val="0"/>
                <w:bCs w:val="0"/>
                <w:color w:val="auto"/>
                <w:sz w:val="21"/>
                <w:szCs w:val="21"/>
                <w:highlight w:val="none"/>
                <w:lang w:val="en-US" w:eastAsia="zh-CN"/>
              </w:rPr>
              <w:t>分。</w:t>
            </w:r>
          </w:p>
          <w:p w14:paraId="4570ACCA">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color w:val="auto"/>
                <w:highlight w:val="none"/>
                <w:lang w:val="en-US" w:eastAsia="zh-CN"/>
              </w:rPr>
            </w:pPr>
            <w:r>
              <w:rPr>
                <w:rFonts w:hint="eastAsia" w:ascii="宋体" w:hAnsi="宋体" w:eastAsia="宋体" w:cs="宋体"/>
                <w:b/>
                <w:bCs/>
                <w:color w:val="auto"/>
                <w:sz w:val="21"/>
                <w:szCs w:val="21"/>
                <w:highlight w:val="none"/>
              </w:rPr>
              <w:t>注：在中标后7个工作日内合同签订前：中标人提供正规购置发票及设备图片（如为租赁的提供租赁合同及设备图片，租赁期限须满足本项目服务期限）扫描件，提供的证明材料须反映出设备的类型及所有权，否则视为虚假应标，取消中标资格</w:t>
            </w:r>
            <w:r>
              <w:rPr>
                <w:rFonts w:hint="eastAsia" w:ascii="宋体" w:hAnsi="宋体" w:cs="宋体"/>
                <w:b/>
                <w:bCs/>
                <w:color w:val="auto"/>
                <w:sz w:val="21"/>
                <w:szCs w:val="21"/>
                <w:highlight w:val="none"/>
                <w:lang w:eastAsia="zh-CN"/>
              </w:rPr>
              <w:t>。</w:t>
            </w:r>
          </w:p>
        </w:tc>
        <w:tc>
          <w:tcPr>
            <w:tcW w:w="305" w:type="pct"/>
            <w:tcBorders>
              <w:top w:val="single" w:color="auto" w:sz="4" w:space="0"/>
              <w:left w:val="nil"/>
              <w:bottom w:val="single" w:color="auto" w:sz="4" w:space="0"/>
              <w:right w:val="single" w:color="auto" w:sz="4" w:space="0"/>
            </w:tcBorders>
            <w:shd w:val="clear" w:color="auto" w:fill="FFFFFF"/>
            <w:noWrap w:val="0"/>
            <w:vAlign w:val="center"/>
          </w:tcPr>
          <w:p w14:paraId="228D6F7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cs="宋体"/>
                <w:b w:val="0"/>
                <w:bCs w:val="0"/>
                <w:color w:val="auto"/>
                <w:kern w:val="2"/>
                <w:sz w:val="21"/>
                <w:szCs w:val="21"/>
                <w:highlight w:val="none"/>
                <w:lang w:val="en-US" w:eastAsia="zh-CN" w:bidi="ar-SA"/>
              </w:rPr>
              <w:t>5</w:t>
            </w:r>
          </w:p>
        </w:tc>
      </w:tr>
      <w:tr w14:paraId="12406B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246"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1070C023">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6</w:t>
            </w:r>
          </w:p>
        </w:tc>
        <w:tc>
          <w:tcPr>
            <w:tcW w:w="412"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0C680B67">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sz w:val="21"/>
                <w:szCs w:val="21"/>
                <w:highlight w:val="none"/>
              </w:rPr>
              <w:t>响应</w:t>
            </w:r>
            <w:r>
              <w:rPr>
                <w:rFonts w:hint="eastAsia" w:ascii="宋体" w:hAnsi="宋体" w:eastAsia="宋体" w:cs="宋体"/>
                <w:sz w:val="21"/>
                <w:szCs w:val="21"/>
                <w:highlight w:val="none"/>
                <w:lang w:val="en-US" w:eastAsia="zh-CN"/>
              </w:rPr>
              <w:t>时间</w:t>
            </w:r>
          </w:p>
        </w:tc>
        <w:tc>
          <w:tcPr>
            <w:tcW w:w="356" w:type="pct"/>
            <w:tcBorders>
              <w:top w:val="single" w:color="auto" w:sz="4" w:space="0"/>
              <w:left w:val="nil"/>
              <w:bottom w:val="single" w:color="auto" w:sz="4" w:space="0"/>
              <w:right w:val="single" w:color="auto" w:sz="4" w:space="0"/>
            </w:tcBorders>
            <w:shd w:val="clear" w:color="auto" w:fill="auto"/>
            <w:noWrap w:val="0"/>
            <w:vAlign w:val="center"/>
          </w:tcPr>
          <w:p w14:paraId="61C7A551">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rightChars="0"/>
              <w:jc w:val="center"/>
              <w:textAlignment w:val="auto"/>
              <w:rPr>
                <w:rFonts w:hint="eastAsia" w:ascii="宋体" w:hAnsi="宋体" w:eastAsia="宋体" w:cs="宋体"/>
                <w:bCs/>
                <w:color w:val="auto"/>
                <w:kern w:val="0"/>
                <w:sz w:val="21"/>
                <w:szCs w:val="21"/>
                <w:highlight w:val="none"/>
                <w:lang w:val="en-US" w:eastAsia="zh-CN"/>
              </w:rPr>
            </w:pPr>
            <w:r>
              <w:rPr>
                <w:rFonts w:hint="eastAsia" w:ascii="宋体" w:hAnsi="宋体" w:eastAsia="宋体" w:cs="宋体"/>
                <w:bCs/>
                <w:color w:val="auto"/>
                <w:kern w:val="0"/>
                <w:sz w:val="21"/>
                <w:szCs w:val="21"/>
                <w:highlight w:val="none"/>
                <w:lang w:val="en-US" w:eastAsia="zh-CN"/>
              </w:rPr>
              <w:t>客观</w:t>
            </w:r>
          </w:p>
        </w:tc>
        <w:tc>
          <w:tcPr>
            <w:tcW w:w="3679" w:type="pct"/>
            <w:tcBorders>
              <w:top w:val="single" w:color="auto" w:sz="4" w:space="0"/>
              <w:left w:val="nil"/>
              <w:bottom w:val="single" w:color="auto" w:sz="4" w:space="0"/>
              <w:right w:val="single" w:color="auto" w:sz="4" w:space="0"/>
            </w:tcBorders>
            <w:shd w:val="clear" w:color="auto" w:fill="FFFFFF"/>
            <w:noWrap w:val="0"/>
            <w:vAlign w:val="center"/>
          </w:tcPr>
          <w:p w14:paraId="4E5FFFFD">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default"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zh-CN" w:eastAsia="zh-CN"/>
              </w:rPr>
              <w:t>根据</w:t>
            </w:r>
            <w:r>
              <w:rPr>
                <w:rFonts w:hint="eastAsia" w:ascii="宋体" w:hAnsi="宋体" w:eastAsia="宋体" w:cs="宋体"/>
                <w:b w:val="0"/>
                <w:bCs/>
                <w:sz w:val="21"/>
                <w:szCs w:val="21"/>
                <w:highlight w:val="none"/>
                <w:lang w:val="en-US" w:eastAsia="zh-CN"/>
              </w:rPr>
              <w:t>投标人受采购人委托鉴定</w:t>
            </w:r>
            <w:r>
              <w:rPr>
                <w:rFonts w:hint="eastAsia" w:ascii="宋体" w:hAnsi="宋体" w:eastAsia="宋体" w:cs="宋体"/>
                <w:b w:val="0"/>
                <w:bCs/>
                <w:sz w:val="21"/>
                <w:szCs w:val="21"/>
                <w:highlight w:val="none"/>
                <w:lang w:val="zh-CN" w:eastAsia="zh-CN"/>
              </w:rPr>
              <w:t>的响应时间、</w:t>
            </w:r>
            <w:r>
              <w:rPr>
                <w:rFonts w:hint="eastAsia" w:ascii="宋体" w:hAnsi="宋体" w:cs="宋体"/>
                <w:b w:val="0"/>
                <w:bCs/>
                <w:sz w:val="21"/>
                <w:szCs w:val="21"/>
                <w:highlight w:val="none"/>
                <w:lang w:val="en-US" w:eastAsia="zh-CN"/>
              </w:rPr>
              <w:t>检材收集完成的时间、鉴定报告出具的时间进行评分：</w:t>
            </w:r>
          </w:p>
          <w:p w14:paraId="22A4DEC0">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cs="宋体"/>
                <w:bCs/>
                <w:sz w:val="21"/>
                <w:szCs w:val="21"/>
                <w:highlight w:val="none"/>
                <w:lang w:val="en-US" w:eastAsia="zh-CN"/>
              </w:rPr>
            </w:pPr>
            <w:r>
              <w:rPr>
                <w:rFonts w:hint="eastAsia" w:ascii="宋体" w:hAnsi="宋体" w:cs="宋体"/>
                <w:b w:val="0"/>
                <w:bCs/>
                <w:sz w:val="21"/>
                <w:szCs w:val="21"/>
                <w:highlight w:val="none"/>
                <w:lang w:val="en-US" w:eastAsia="zh-CN"/>
              </w:rPr>
              <w:t>一、</w:t>
            </w:r>
            <w:r>
              <w:rPr>
                <w:rFonts w:hint="eastAsia" w:ascii="宋体" w:hAnsi="宋体" w:eastAsia="宋体" w:cs="宋体"/>
                <w:b w:val="0"/>
                <w:bCs/>
                <w:sz w:val="21"/>
                <w:szCs w:val="21"/>
                <w:highlight w:val="none"/>
                <w:lang w:val="en-US" w:eastAsia="zh-CN"/>
              </w:rPr>
              <w:t>委托鉴定</w:t>
            </w:r>
            <w:r>
              <w:rPr>
                <w:rFonts w:hint="eastAsia" w:ascii="宋体" w:hAnsi="宋体" w:eastAsia="宋体" w:cs="宋体"/>
                <w:b w:val="0"/>
                <w:bCs/>
                <w:sz w:val="21"/>
                <w:szCs w:val="21"/>
                <w:highlight w:val="none"/>
                <w:lang w:val="zh-CN" w:eastAsia="zh-CN"/>
              </w:rPr>
              <w:t>的响应</w:t>
            </w:r>
            <w:r>
              <w:rPr>
                <w:rFonts w:hint="eastAsia" w:ascii="宋体" w:hAnsi="宋体" w:cs="宋体"/>
                <w:b w:val="0"/>
                <w:bCs/>
                <w:sz w:val="21"/>
                <w:szCs w:val="21"/>
                <w:highlight w:val="none"/>
                <w:lang w:val="en-US" w:eastAsia="zh-CN"/>
              </w:rPr>
              <w:t>时效：</w:t>
            </w:r>
          </w:p>
          <w:p w14:paraId="04DE3415">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default" w:ascii="宋体" w:hAnsi="宋体" w:eastAsia="宋体" w:cs="宋体"/>
                <w:bCs/>
                <w:sz w:val="21"/>
                <w:szCs w:val="21"/>
                <w:highlight w:val="none"/>
                <w:lang w:val="en-US" w:eastAsia="zh-CN"/>
              </w:rPr>
            </w:pPr>
            <w:r>
              <w:rPr>
                <w:rFonts w:hint="eastAsia" w:ascii="宋体" w:hAnsi="宋体" w:cs="宋体"/>
                <w:bCs/>
                <w:sz w:val="21"/>
                <w:szCs w:val="21"/>
                <w:highlight w:val="none"/>
                <w:lang w:val="en-US" w:eastAsia="zh-CN"/>
              </w:rPr>
              <w:t>1、承诺1个工作日内受理鉴定委托得2分；</w:t>
            </w:r>
            <w:r>
              <w:rPr>
                <w:rFonts w:hint="eastAsia" w:ascii="宋体" w:hAnsi="宋体" w:cs="宋体"/>
                <w:bCs/>
                <w:sz w:val="21"/>
                <w:szCs w:val="21"/>
                <w:highlight w:val="none"/>
                <w:lang w:val="en-US" w:eastAsia="zh-CN"/>
              </w:rPr>
              <w:br w:type="textWrapping"/>
            </w:r>
            <w:r>
              <w:rPr>
                <w:rFonts w:hint="eastAsia" w:ascii="宋体" w:hAnsi="宋体" w:cs="宋体"/>
                <w:bCs/>
                <w:sz w:val="21"/>
                <w:szCs w:val="21"/>
                <w:highlight w:val="none"/>
                <w:lang w:val="en-US" w:eastAsia="zh-CN"/>
              </w:rPr>
              <w:t>2、承诺2个工作日内受理鉴定委托得1分；</w:t>
            </w:r>
            <w:r>
              <w:rPr>
                <w:rFonts w:hint="eastAsia" w:ascii="宋体" w:hAnsi="宋体" w:cs="宋体"/>
                <w:bCs/>
                <w:sz w:val="21"/>
                <w:szCs w:val="21"/>
                <w:highlight w:val="none"/>
                <w:lang w:val="en-US" w:eastAsia="zh-CN"/>
              </w:rPr>
              <w:br w:type="textWrapping"/>
            </w:r>
            <w:r>
              <w:rPr>
                <w:rFonts w:hint="eastAsia" w:ascii="宋体" w:hAnsi="宋体" w:cs="宋体"/>
                <w:bCs/>
                <w:sz w:val="21"/>
                <w:szCs w:val="21"/>
                <w:highlight w:val="none"/>
                <w:lang w:val="en-US" w:eastAsia="zh-CN"/>
              </w:rPr>
              <w:t>3、承诺3个工作日内受理鉴定委托得0.5分；</w:t>
            </w:r>
            <w:r>
              <w:rPr>
                <w:rFonts w:hint="eastAsia" w:ascii="宋体" w:hAnsi="宋体" w:cs="宋体"/>
                <w:bCs/>
                <w:sz w:val="21"/>
                <w:szCs w:val="21"/>
                <w:highlight w:val="none"/>
                <w:lang w:val="en-US" w:eastAsia="zh-CN"/>
              </w:rPr>
              <w:br w:type="textWrapping"/>
            </w:r>
            <w:r>
              <w:rPr>
                <w:rFonts w:hint="eastAsia" w:ascii="宋体" w:hAnsi="宋体" w:cs="宋体"/>
                <w:bCs/>
                <w:sz w:val="21"/>
                <w:szCs w:val="21"/>
                <w:highlight w:val="none"/>
                <w:lang w:val="en-US" w:eastAsia="zh-CN"/>
              </w:rPr>
              <w:t>4、其他不得分。</w:t>
            </w:r>
            <w:r>
              <w:rPr>
                <w:rFonts w:hint="eastAsia" w:ascii="宋体" w:hAnsi="宋体" w:cs="宋体"/>
                <w:bCs/>
                <w:sz w:val="21"/>
                <w:szCs w:val="21"/>
                <w:highlight w:val="none"/>
                <w:lang w:val="en-US" w:eastAsia="zh-CN"/>
              </w:rPr>
              <w:br w:type="textWrapping"/>
            </w:r>
            <w:r>
              <w:rPr>
                <w:rFonts w:hint="eastAsia" w:ascii="宋体" w:hAnsi="宋体" w:cs="宋体"/>
                <w:bCs/>
                <w:sz w:val="21"/>
                <w:szCs w:val="21"/>
                <w:highlight w:val="none"/>
                <w:lang w:val="en-US" w:eastAsia="zh-CN"/>
              </w:rPr>
              <w:t>二、</w:t>
            </w:r>
            <w:r>
              <w:rPr>
                <w:rFonts w:hint="eastAsia" w:ascii="宋体" w:hAnsi="宋体" w:cs="宋体"/>
                <w:b w:val="0"/>
                <w:bCs/>
                <w:sz w:val="21"/>
                <w:szCs w:val="21"/>
                <w:highlight w:val="none"/>
                <w:lang w:val="en-US" w:eastAsia="zh-CN"/>
              </w:rPr>
              <w:t>检材收集完成的时效：</w:t>
            </w:r>
            <w:r>
              <w:rPr>
                <w:rFonts w:hint="eastAsia" w:ascii="宋体" w:hAnsi="宋体" w:cs="宋体"/>
                <w:b w:val="0"/>
                <w:bCs/>
                <w:sz w:val="21"/>
                <w:szCs w:val="21"/>
                <w:highlight w:val="none"/>
                <w:lang w:val="en-US" w:eastAsia="zh-CN"/>
              </w:rPr>
              <w:br w:type="textWrapping"/>
            </w:r>
            <w:r>
              <w:rPr>
                <w:rFonts w:hint="eastAsia" w:ascii="宋体" w:hAnsi="宋体" w:cs="宋体"/>
                <w:b w:val="0"/>
                <w:bCs/>
                <w:sz w:val="21"/>
                <w:szCs w:val="21"/>
                <w:highlight w:val="none"/>
                <w:lang w:val="en-US" w:eastAsia="zh-CN"/>
              </w:rPr>
              <w:t>1、承诺</w:t>
            </w:r>
            <w:r>
              <w:rPr>
                <w:rFonts w:hint="eastAsia" w:ascii="宋体" w:hAnsi="宋体" w:cs="宋体"/>
                <w:bCs/>
                <w:sz w:val="21"/>
                <w:szCs w:val="21"/>
                <w:highlight w:val="none"/>
                <w:lang w:val="en-US" w:eastAsia="zh-CN"/>
              </w:rPr>
              <w:t>受理委托后1个工作日内完成检材收集得2分；</w:t>
            </w:r>
            <w:r>
              <w:rPr>
                <w:rFonts w:hint="eastAsia" w:ascii="宋体" w:hAnsi="宋体" w:cs="宋体"/>
                <w:bCs/>
                <w:sz w:val="21"/>
                <w:szCs w:val="21"/>
                <w:highlight w:val="none"/>
                <w:lang w:val="en-US" w:eastAsia="zh-CN"/>
              </w:rPr>
              <w:br w:type="textWrapping"/>
            </w:r>
            <w:r>
              <w:rPr>
                <w:rFonts w:hint="eastAsia" w:ascii="宋体" w:hAnsi="宋体" w:cs="宋体"/>
                <w:bCs/>
                <w:sz w:val="21"/>
                <w:szCs w:val="21"/>
                <w:highlight w:val="none"/>
                <w:lang w:val="en-US" w:eastAsia="zh-CN"/>
              </w:rPr>
              <w:t>2、</w:t>
            </w:r>
            <w:r>
              <w:rPr>
                <w:rFonts w:hint="eastAsia" w:ascii="宋体" w:hAnsi="宋体" w:cs="宋体"/>
                <w:b w:val="0"/>
                <w:bCs/>
                <w:sz w:val="21"/>
                <w:szCs w:val="21"/>
                <w:highlight w:val="none"/>
                <w:lang w:val="en-US" w:eastAsia="zh-CN"/>
              </w:rPr>
              <w:t>承诺</w:t>
            </w:r>
            <w:r>
              <w:rPr>
                <w:rFonts w:hint="eastAsia" w:ascii="宋体" w:hAnsi="宋体" w:cs="宋体"/>
                <w:bCs/>
                <w:sz w:val="21"/>
                <w:szCs w:val="21"/>
                <w:highlight w:val="none"/>
                <w:lang w:val="en-US" w:eastAsia="zh-CN"/>
              </w:rPr>
              <w:t>受理委托后2个工作日内完成检材收集得1分；</w:t>
            </w:r>
            <w:r>
              <w:rPr>
                <w:rFonts w:hint="eastAsia" w:ascii="宋体" w:hAnsi="宋体" w:cs="宋体"/>
                <w:bCs/>
                <w:sz w:val="21"/>
                <w:szCs w:val="21"/>
                <w:highlight w:val="none"/>
                <w:lang w:val="en-US" w:eastAsia="zh-CN"/>
              </w:rPr>
              <w:br w:type="textWrapping"/>
            </w:r>
            <w:r>
              <w:rPr>
                <w:rFonts w:hint="eastAsia" w:ascii="宋体" w:hAnsi="宋体" w:cs="宋体"/>
                <w:bCs/>
                <w:sz w:val="21"/>
                <w:szCs w:val="21"/>
                <w:highlight w:val="none"/>
                <w:lang w:val="en-US" w:eastAsia="zh-CN"/>
              </w:rPr>
              <w:t>3、其他不得分。</w:t>
            </w:r>
            <w:r>
              <w:rPr>
                <w:rFonts w:hint="eastAsia" w:ascii="宋体" w:hAnsi="宋体" w:eastAsia="宋体" w:cs="宋体"/>
                <w:bCs/>
                <w:sz w:val="21"/>
                <w:szCs w:val="21"/>
                <w:highlight w:val="none"/>
                <w:lang w:val="zh-CN" w:eastAsia="zh-CN"/>
              </w:rPr>
              <w:br w:type="textWrapping"/>
            </w:r>
            <w:r>
              <w:rPr>
                <w:rFonts w:hint="eastAsia" w:ascii="宋体" w:hAnsi="宋体" w:cs="宋体"/>
                <w:bCs/>
                <w:sz w:val="21"/>
                <w:szCs w:val="21"/>
                <w:highlight w:val="none"/>
                <w:lang w:val="en-US" w:eastAsia="zh-CN"/>
              </w:rPr>
              <w:t>三、鉴定报告出具</w:t>
            </w:r>
            <w:r>
              <w:rPr>
                <w:rFonts w:hint="eastAsia" w:ascii="宋体" w:hAnsi="宋体" w:cs="宋体"/>
                <w:b w:val="0"/>
                <w:bCs/>
                <w:sz w:val="21"/>
                <w:szCs w:val="21"/>
                <w:highlight w:val="none"/>
                <w:lang w:val="en-US" w:eastAsia="zh-CN"/>
              </w:rPr>
              <w:t>时效：</w:t>
            </w:r>
            <w:r>
              <w:rPr>
                <w:rFonts w:hint="eastAsia" w:ascii="宋体" w:hAnsi="宋体" w:cs="宋体"/>
                <w:b w:val="0"/>
                <w:bCs/>
                <w:sz w:val="21"/>
                <w:szCs w:val="21"/>
                <w:highlight w:val="none"/>
                <w:lang w:val="en-US" w:eastAsia="zh-CN"/>
              </w:rPr>
              <w:br w:type="textWrapping"/>
            </w:r>
            <w:r>
              <w:rPr>
                <w:rFonts w:hint="eastAsia" w:ascii="宋体" w:hAnsi="宋体" w:cs="宋体"/>
                <w:b w:val="0"/>
                <w:bCs/>
                <w:sz w:val="21"/>
                <w:szCs w:val="21"/>
                <w:highlight w:val="none"/>
                <w:lang w:val="en-US" w:eastAsia="zh-CN"/>
              </w:rPr>
              <w:t>1、承诺</w:t>
            </w:r>
            <w:r>
              <w:rPr>
                <w:rFonts w:hint="eastAsia" w:ascii="宋体" w:hAnsi="宋体" w:cs="宋体"/>
                <w:bCs/>
                <w:sz w:val="21"/>
                <w:szCs w:val="21"/>
                <w:highlight w:val="none"/>
                <w:lang w:val="en-US" w:eastAsia="zh-CN"/>
              </w:rPr>
              <w:t>受理委托后4个工作日内出具鉴定报告得3分；</w:t>
            </w:r>
            <w:r>
              <w:rPr>
                <w:rFonts w:hint="eastAsia" w:ascii="宋体" w:hAnsi="宋体" w:cs="宋体"/>
                <w:bCs/>
                <w:sz w:val="21"/>
                <w:szCs w:val="21"/>
                <w:highlight w:val="none"/>
                <w:lang w:val="en-US" w:eastAsia="zh-CN"/>
              </w:rPr>
              <w:br w:type="textWrapping"/>
            </w:r>
            <w:r>
              <w:rPr>
                <w:rFonts w:hint="eastAsia" w:ascii="宋体" w:hAnsi="宋体" w:cs="宋体"/>
                <w:bCs/>
                <w:sz w:val="21"/>
                <w:szCs w:val="21"/>
                <w:highlight w:val="none"/>
                <w:lang w:val="en-US" w:eastAsia="zh-CN"/>
              </w:rPr>
              <w:t>2、</w:t>
            </w:r>
            <w:r>
              <w:rPr>
                <w:rFonts w:hint="eastAsia" w:ascii="宋体" w:hAnsi="宋体" w:cs="宋体"/>
                <w:b w:val="0"/>
                <w:bCs/>
                <w:sz w:val="21"/>
                <w:szCs w:val="21"/>
                <w:highlight w:val="none"/>
                <w:lang w:val="en-US" w:eastAsia="zh-CN"/>
              </w:rPr>
              <w:t>承诺</w:t>
            </w:r>
            <w:r>
              <w:rPr>
                <w:rFonts w:hint="eastAsia" w:ascii="宋体" w:hAnsi="宋体" w:cs="宋体"/>
                <w:bCs/>
                <w:sz w:val="21"/>
                <w:szCs w:val="21"/>
                <w:highlight w:val="none"/>
                <w:lang w:val="en-US" w:eastAsia="zh-CN"/>
              </w:rPr>
              <w:t>受理委托后5个工作日内完成检材收集得2分；</w:t>
            </w:r>
            <w:r>
              <w:rPr>
                <w:rFonts w:hint="eastAsia" w:ascii="宋体" w:hAnsi="宋体" w:cs="宋体"/>
                <w:bCs/>
                <w:sz w:val="21"/>
                <w:szCs w:val="21"/>
                <w:highlight w:val="none"/>
                <w:lang w:val="en-US" w:eastAsia="zh-CN"/>
              </w:rPr>
              <w:br w:type="textWrapping"/>
            </w:r>
            <w:r>
              <w:rPr>
                <w:rFonts w:hint="eastAsia" w:ascii="宋体" w:hAnsi="宋体" w:cs="宋体"/>
                <w:bCs/>
                <w:sz w:val="21"/>
                <w:szCs w:val="21"/>
                <w:highlight w:val="none"/>
                <w:lang w:val="en-US" w:eastAsia="zh-CN"/>
              </w:rPr>
              <w:t>3、</w:t>
            </w:r>
            <w:r>
              <w:rPr>
                <w:rFonts w:hint="eastAsia" w:ascii="宋体" w:hAnsi="宋体" w:cs="宋体"/>
                <w:b w:val="0"/>
                <w:bCs/>
                <w:sz w:val="21"/>
                <w:szCs w:val="21"/>
                <w:highlight w:val="none"/>
                <w:lang w:val="en-US" w:eastAsia="zh-CN"/>
              </w:rPr>
              <w:t>承诺</w:t>
            </w:r>
            <w:r>
              <w:rPr>
                <w:rFonts w:hint="eastAsia" w:ascii="宋体" w:hAnsi="宋体" w:cs="宋体"/>
                <w:bCs/>
                <w:sz w:val="21"/>
                <w:szCs w:val="21"/>
                <w:highlight w:val="none"/>
                <w:lang w:val="en-US" w:eastAsia="zh-CN"/>
              </w:rPr>
              <w:t>受理委托后6个工作日内完成检材收集得1分；</w:t>
            </w:r>
            <w:r>
              <w:rPr>
                <w:rFonts w:hint="eastAsia" w:ascii="宋体" w:hAnsi="宋体" w:cs="宋体"/>
                <w:bCs/>
                <w:sz w:val="21"/>
                <w:szCs w:val="21"/>
                <w:highlight w:val="none"/>
                <w:lang w:val="en-US" w:eastAsia="zh-CN"/>
              </w:rPr>
              <w:br w:type="textWrapping"/>
            </w:r>
            <w:r>
              <w:rPr>
                <w:rFonts w:hint="eastAsia" w:ascii="宋体" w:hAnsi="宋体" w:cs="宋体"/>
                <w:bCs/>
                <w:sz w:val="21"/>
                <w:szCs w:val="21"/>
                <w:highlight w:val="none"/>
                <w:lang w:val="en-US" w:eastAsia="zh-CN"/>
              </w:rPr>
              <w:t>4、其他不得分。</w:t>
            </w:r>
          </w:p>
          <w:p w14:paraId="26524253">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bCs/>
                <w:sz w:val="21"/>
                <w:szCs w:val="21"/>
                <w:highlight w:val="none"/>
              </w:rPr>
            </w:pPr>
            <w:r>
              <w:rPr>
                <w:rFonts w:hint="eastAsia" w:ascii="宋体" w:hAnsi="宋体" w:eastAsia="宋体" w:cs="宋体"/>
                <w:b/>
                <w:bCs w:val="0"/>
                <w:sz w:val="21"/>
                <w:szCs w:val="21"/>
                <w:highlight w:val="none"/>
                <w:lang w:val="en-US" w:eastAsia="zh-CN"/>
              </w:rPr>
              <w:t>注：</w:t>
            </w:r>
            <w:r>
              <w:rPr>
                <w:rFonts w:hint="eastAsia" w:ascii="宋体" w:hAnsi="宋体" w:eastAsia="宋体" w:cs="宋体"/>
                <w:b/>
                <w:bCs w:val="0"/>
                <w:sz w:val="21"/>
                <w:szCs w:val="21"/>
                <w:highlight w:val="none"/>
                <w:lang w:val="zh-CN" w:eastAsia="zh-CN"/>
              </w:rPr>
              <w:t>提供响应能力相关佐证材料</w:t>
            </w:r>
            <w:r>
              <w:rPr>
                <w:rFonts w:hint="eastAsia" w:ascii="宋体" w:hAnsi="宋体" w:eastAsia="宋体" w:cs="宋体"/>
                <w:b/>
                <w:bCs w:val="0"/>
                <w:sz w:val="21"/>
                <w:szCs w:val="21"/>
                <w:highlight w:val="none"/>
                <w:lang w:val="en-US" w:eastAsia="zh-CN"/>
              </w:rPr>
              <w:t>或承诺函</w:t>
            </w:r>
            <w:r>
              <w:rPr>
                <w:rFonts w:hint="eastAsia" w:ascii="宋体" w:hAnsi="宋体" w:eastAsia="宋体" w:cs="宋体"/>
                <w:b/>
                <w:bCs w:val="0"/>
                <w:sz w:val="21"/>
                <w:szCs w:val="21"/>
                <w:highlight w:val="none"/>
                <w:lang w:val="zh-CN" w:eastAsia="zh-CN"/>
              </w:rPr>
              <w:t>，否则不得分。</w:t>
            </w:r>
          </w:p>
        </w:tc>
        <w:tc>
          <w:tcPr>
            <w:tcW w:w="305" w:type="pct"/>
            <w:tcBorders>
              <w:top w:val="single" w:color="auto" w:sz="4" w:space="0"/>
              <w:left w:val="nil"/>
              <w:bottom w:val="single" w:color="auto" w:sz="4" w:space="0"/>
              <w:right w:val="single" w:color="auto" w:sz="4" w:space="0"/>
            </w:tcBorders>
            <w:shd w:val="clear" w:color="auto" w:fill="FFFFFF"/>
            <w:noWrap w:val="0"/>
            <w:vAlign w:val="center"/>
          </w:tcPr>
          <w:p w14:paraId="390ABB5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cs="宋体"/>
                <w:b w:val="0"/>
                <w:bCs w:val="0"/>
                <w:color w:val="auto"/>
                <w:kern w:val="2"/>
                <w:sz w:val="21"/>
                <w:szCs w:val="21"/>
                <w:highlight w:val="none"/>
                <w:lang w:val="en-US" w:eastAsia="zh-CN" w:bidi="ar-SA"/>
              </w:rPr>
            </w:pPr>
            <w:r>
              <w:rPr>
                <w:rFonts w:hint="eastAsia" w:ascii="宋体" w:hAnsi="宋体" w:cs="宋体"/>
                <w:b w:val="0"/>
                <w:bCs w:val="0"/>
                <w:color w:val="auto"/>
                <w:kern w:val="2"/>
                <w:sz w:val="21"/>
                <w:szCs w:val="21"/>
                <w:highlight w:val="none"/>
                <w:lang w:val="en-US" w:eastAsia="zh-CN" w:bidi="ar-SA"/>
              </w:rPr>
              <w:t>7</w:t>
            </w:r>
          </w:p>
        </w:tc>
      </w:tr>
      <w:tr w14:paraId="437D32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246"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185FF123">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7</w:t>
            </w:r>
          </w:p>
        </w:tc>
        <w:tc>
          <w:tcPr>
            <w:tcW w:w="412"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7CD04205">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sz w:val="21"/>
                <w:szCs w:val="21"/>
                <w:highlight w:val="none"/>
                <w:lang w:val="en-US" w:eastAsia="zh-CN"/>
              </w:rPr>
              <w:t>响应</w:t>
            </w:r>
            <w:r>
              <w:rPr>
                <w:rFonts w:hint="eastAsia" w:ascii="宋体" w:hAnsi="宋体" w:eastAsia="宋体" w:cs="宋体"/>
                <w:sz w:val="21"/>
                <w:szCs w:val="21"/>
                <w:highlight w:val="none"/>
              </w:rPr>
              <w:t>保证措施</w:t>
            </w:r>
          </w:p>
        </w:tc>
        <w:tc>
          <w:tcPr>
            <w:tcW w:w="356" w:type="pct"/>
            <w:tcBorders>
              <w:top w:val="single" w:color="auto" w:sz="4" w:space="0"/>
              <w:left w:val="nil"/>
              <w:bottom w:val="single" w:color="auto" w:sz="4" w:space="0"/>
              <w:right w:val="single" w:color="auto" w:sz="4" w:space="0"/>
            </w:tcBorders>
            <w:shd w:val="clear" w:color="auto" w:fill="auto"/>
            <w:noWrap w:val="0"/>
            <w:vAlign w:val="center"/>
          </w:tcPr>
          <w:p w14:paraId="30596102">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rightChars="0"/>
              <w:jc w:val="center"/>
              <w:textAlignment w:val="auto"/>
              <w:rPr>
                <w:rFonts w:hint="eastAsia" w:ascii="宋体" w:hAnsi="宋体" w:eastAsia="宋体" w:cs="宋体"/>
                <w:bCs/>
                <w:color w:val="auto"/>
                <w:kern w:val="0"/>
                <w:sz w:val="21"/>
                <w:szCs w:val="21"/>
                <w:highlight w:val="none"/>
                <w:lang w:val="en-US" w:eastAsia="zh-CN"/>
              </w:rPr>
            </w:pPr>
            <w:r>
              <w:rPr>
                <w:rFonts w:hint="eastAsia" w:ascii="宋体" w:hAnsi="宋体" w:eastAsia="宋体" w:cs="宋体"/>
                <w:bCs/>
                <w:color w:val="auto"/>
                <w:kern w:val="0"/>
                <w:sz w:val="21"/>
                <w:szCs w:val="21"/>
                <w:highlight w:val="none"/>
                <w:lang w:val="en-US" w:eastAsia="zh-CN"/>
              </w:rPr>
              <w:t>主观</w:t>
            </w:r>
          </w:p>
        </w:tc>
        <w:tc>
          <w:tcPr>
            <w:tcW w:w="3679" w:type="pct"/>
            <w:tcBorders>
              <w:top w:val="single" w:color="auto" w:sz="4" w:space="0"/>
              <w:left w:val="nil"/>
              <w:bottom w:val="single" w:color="auto" w:sz="4" w:space="0"/>
              <w:right w:val="single" w:color="auto" w:sz="4" w:space="0"/>
            </w:tcBorders>
            <w:shd w:val="clear" w:color="auto" w:fill="FFFFFF"/>
            <w:noWrap w:val="0"/>
            <w:vAlign w:val="center"/>
          </w:tcPr>
          <w:p w14:paraId="68DE6CE6">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根据投标人响应时间及响应能力的保障措施进行综合评分：</w:t>
            </w:r>
          </w:p>
          <w:p w14:paraId="520CE6E8">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1、响应保障措施科学全面、合理性强、可实施性强得</w:t>
            </w:r>
            <w:r>
              <w:rPr>
                <w:rFonts w:hint="eastAsia" w:ascii="宋体" w:hAnsi="宋体" w:cs="宋体"/>
                <w:b w:val="0"/>
                <w:bCs/>
                <w:sz w:val="21"/>
                <w:szCs w:val="21"/>
                <w:highlight w:val="none"/>
                <w:lang w:val="en-US" w:eastAsia="zh-CN"/>
              </w:rPr>
              <w:t>6</w:t>
            </w:r>
            <w:r>
              <w:rPr>
                <w:rFonts w:hint="eastAsia" w:ascii="宋体" w:hAnsi="宋体" w:eastAsia="宋体" w:cs="宋体"/>
                <w:b w:val="0"/>
                <w:bCs/>
                <w:sz w:val="21"/>
                <w:szCs w:val="21"/>
                <w:highlight w:val="none"/>
                <w:lang w:val="en-US" w:eastAsia="zh-CN"/>
              </w:rPr>
              <w:t>分；</w:t>
            </w:r>
          </w:p>
          <w:p w14:paraId="627433A7">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2、响应保障措施较全面、合理性较强、可实施性较强得</w:t>
            </w:r>
            <w:r>
              <w:rPr>
                <w:rFonts w:hint="eastAsia" w:ascii="宋体" w:hAnsi="宋体" w:cs="宋体"/>
                <w:b w:val="0"/>
                <w:bCs/>
                <w:sz w:val="21"/>
                <w:szCs w:val="21"/>
                <w:highlight w:val="none"/>
                <w:lang w:val="en-US" w:eastAsia="zh-CN"/>
              </w:rPr>
              <w:t>4</w:t>
            </w:r>
            <w:r>
              <w:rPr>
                <w:rFonts w:hint="eastAsia" w:ascii="宋体" w:hAnsi="宋体" w:eastAsia="宋体" w:cs="宋体"/>
                <w:b w:val="0"/>
                <w:bCs/>
                <w:sz w:val="21"/>
                <w:szCs w:val="21"/>
                <w:highlight w:val="none"/>
                <w:lang w:val="en-US" w:eastAsia="zh-CN"/>
              </w:rPr>
              <w:t>分；</w:t>
            </w:r>
          </w:p>
          <w:p w14:paraId="5844FFCE">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3、响应保障措施</w:t>
            </w:r>
            <w:r>
              <w:rPr>
                <w:rFonts w:hint="eastAsia" w:ascii="宋体" w:hAnsi="宋体" w:eastAsia="宋体" w:cs="宋体"/>
                <w:b w:val="0"/>
                <w:bCs/>
                <w:sz w:val="21"/>
                <w:szCs w:val="21"/>
                <w:highlight w:val="none"/>
                <w:lang w:val="zh-CN" w:eastAsia="zh-CN"/>
              </w:rPr>
              <w:t>有瑕疵</w:t>
            </w:r>
            <w:r>
              <w:rPr>
                <w:rFonts w:hint="eastAsia" w:ascii="宋体" w:hAnsi="宋体" w:eastAsia="宋体" w:cs="宋体"/>
                <w:b w:val="0"/>
                <w:bCs/>
                <w:sz w:val="21"/>
                <w:szCs w:val="21"/>
                <w:highlight w:val="none"/>
                <w:lang w:val="en-US" w:eastAsia="zh-CN"/>
              </w:rPr>
              <w:t>、合理性一般、可实施性弱得</w:t>
            </w:r>
            <w:r>
              <w:rPr>
                <w:rFonts w:hint="eastAsia" w:ascii="宋体" w:hAnsi="宋体" w:cs="宋体"/>
                <w:b w:val="0"/>
                <w:bCs/>
                <w:sz w:val="21"/>
                <w:szCs w:val="21"/>
                <w:highlight w:val="none"/>
                <w:lang w:val="en-US" w:eastAsia="zh-CN"/>
              </w:rPr>
              <w:t>2</w:t>
            </w:r>
            <w:r>
              <w:rPr>
                <w:rFonts w:hint="eastAsia" w:ascii="宋体" w:hAnsi="宋体" w:eastAsia="宋体" w:cs="宋体"/>
                <w:b w:val="0"/>
                <w:bCs/>
                <w:sz w:val="21"/>
                <w:szCs w:val="21"/>
                <w:highlight w:val="none"/>
                <w:lang w:val="en-US" w:eastAsia="zh-CN"/>
              </w:rPr>
              <w:t>分；</w:t>
            </w:r>
          </w:p>
          <w:p w14:paraId="21E284FA">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bCs/>
                <w:sz w:val="21"/>
                <w:szCs w:val="21"/>
                <w:highlight w:val="none"/>
              </w:rPr>
            </w:pPr>
            <w:r>
              <w:rPr>
                <w:rFonts w:hint="eastAsia" w:ascii="宋体" w:hAnsi="宋体" w:eastAsia="宋体" w:cs="宋体"/>
                <w:b w:val="0"/>
                <w:bCs/>
                <w:sz w:val="21"/>
                <w:szCs w:val="21"/>
                <w:highlight w:val="none"/>
                <w:lang w:val="en-US" w:eastAsia="zh-CN"/>
              </w:rPr>
              <w:t>4、未提供本项不得分。</w:t>
            </w:r>
          </w:p>
        </w:tc>
        <w:tc>
          <w:tcPr>
            <w:tcW w:w="305" w:type="pct"/>
            <w:tcBorders>
              <w:top w:val="single" w:color="auto" w:sz="4" w:space="0"/>
              <w:left w:val="nil"/>
              <w:bottom w:val="single" w:color="auto" w:sz="4" w:space="0"/>
              <w:right w:val="single" w:color="auto" w:sz="4" w:space="0"/>
            </w:tcBorders>
            <w:shd w:val="clear" w:color="auto" w:fill="FFFFFF"/>
            <w:noWrap w:val="0"/>
            <w:vAlign w:val="center"/>
          </w:tcPr>
          <w:p w14:paraId="45B5040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cs="宋体"/>
                <w:b w:val="0"/>
                <w:bCs w:val="0"/>
                <w:color w:val="auto"/>
                <w:kern w:val="2"/>
                <w:sz w:val="21"/>
                <w:szCs w:val="21"/>
                <w:highlight w:val="none"/>
                <w:lang w:val="en-US" w:eastAsia="zh-CN" w:bidi="ar-SA"/>
              </w:rPr>
            </w:pPr>
            <w:r>
              <w:rPr>
                <w:rFonts w:hint="eastAsia" w:ascii="宋体" w:hAnsi="宋体" w:cs="宋体"/>
                <w:b w:val="0"/>
                <w:bCs w:val="0"/>
                <w:color w:val="auto"/>
                <w:kern w:val="2"/>
                <w:sz w:val="21"/>
                <w:szCs w:val="21"/>
                <w:highlight w:val="none"/>
                <w:lang w:val="en-US" w:eastAsia="zh-CN" w:bidi="ar-SA"/>
              </w:rPr>
              <w:t>6</w:t>
            </w:r>
          </w:p>
        </w:tc>
      </w:tr>
      <w:tr w14:paraId="328362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246"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7011DDC5">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8</w:t>
            </w:r>
          </w:p>
        </w:tc>
        <w:tc>
          <w:tcPr>
            <w:tcW w:w="412"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2DC2DA41">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服务实施方案</w:t>
            </w:r>
          </w:p>
        </w:tc>
        <w:tc>
          <w:tcPr>
            <w:tcW w:w="356" w:type="pct"/>
            <w:tcBorders>
              <w:top w:val="single" w:color="auto" w:sz="4" w:space="0"/>
              <w:left w:val="nil"/>
              <w:bottom w:val="single" w:color="auto" w:sz="4" w:space="0"/>
              <w:right w:val="single" w:color="auto" w:sz="4" w:space="0"/>
            </w:tcBorders>
            <w:shd w:val="clear" w:color="auto" w:fill="auto"/>
            <w:noWrap w:val="0"/>
            <w:vAlign w:val="center"/>
          </w:tcPr>
          <w:p w14:paraId="20F30596">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rightChars="0"/>
              <w:jc w:val="center"/>
              <w:textAlignment w:val="auto"/>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kern w:val="0"/>
                <w:sz w:val="21"/>
                <w:szCs w:val="21"/>
                <w:highlight w:val="none"/>
                <w:lang w:val="en-US" w:eastAsia="zh-CN"/>
              </w:rPr>
              <w:t>主观</w:t>
            </w:r>
          </w:p>
        </w:tc>
        <w:tc>
          <w:tcPr>
            <w:tcW w:w="3679" w:type="pct"/>
            <w:tcBorders>
              <w:top w:val="single" w:color="auto" w:sz="4" w:space="0"/>
              <w:left w:val="nil"/>
              <w:bottom w:val="single" w:color="auto" w:sz="4" w:space="0"/>
              <w:right w:val="single" w:color="auto" w:sz="4" w:space="0"/>
            </w:tcBorders>
            <w:shd w:val="clear" w:color="auto" w:fill="FFFFFF"/>
            <w:noWrap w:val="0"/>
            <w:vAlign w:val="center"/>
          </w:tcPr>
          <w:p w14:paraId="212CA26E">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根据投标人针对本项目提供的服务实施方案（①操作流程②内部分配制度③管理措施）进行综合评分：</w:t>
            </w:r>
          </w:p>
          <w:p w14:paraId="72D0CD74">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1、方案针对性强、可操作性强、合理可行、计划安排得当的得</w:t>
            </w:r>
            <w:r>
              <w:rPr>
                <w:rFonts w:hint="eastAsia" w:ascii="宋体" w:hAnsi="宋体" w:cs="宋体"/>
                <w:b w:val="0"/>
                <w:bCs/>
                <w:sz w:val="21"/>
                <w:szCs w:val="21"/>
                <w:highlight w:val="none"/>
                <w:lang w:val="en-US" w:eastAsia="zh-CN"/>
              </w:rPr>
              <w:t>3</w:t>
            </w:r>
            <w:r>
              <w:rPr>
                <w:rFonts w:hint="eastAsia" w:ascii="宋体" w:hAnsi="宋体" w:eastAsia="宋体" w:cs="宋体"/>
                <w:b w:val="0"/>
                <w:bCs/>
                <w:sz w:val="21"/>
                <w:szCs w:val="21"/>
                <w:highlight w:val="none"/>
                <w:lang w:val="en-US" w:eastAsia="zh-CN"/>
              </w:rPr>
              <w:t>分；</w:t>
            </w:r>
          </w:p>
          <w:p w14:paraId="238A81B9">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2、方案针对性较强、可操作性较好、合理可行、计划安排得当的得</w:t>
            </w:r>
            <w:r>
              <w:rPr>
                <w:rFonts w:hint="eastAsia" w:ascii="宋体" w:hAnsi="宋体" w:cs="宋体"/>
                <w:b w:val="0"/>
                <w:bCs/>
                <w:sz w:val="21"/>
                <w:szCs w:val="21"/>
                <w:highlight w:val="none"/>
                <w:lang w:val="en-US" w:eastAsia="zh-CN"/>
              </w:rPr>
              <w:t>2</w:t>
            </w:r>
            <w:r>
              <w:rPr>
                <w:rFonts w:hint="eastAsia" w:ascii="宋体" w:hAnsi="宋体" w:eastAsia="宋体" w:cs="宋体"/>
                <w:b w:val="0"/>
                <w:bCs/>
                <w:sz w:val="21"/>
                <w:szCs w:val="21"/>
                <w:highlight w:val="none"/>
                <w:lang w:val="en-US" w:eastAsia="zh-CN"/>
              </w:rPr>
              <w:t>分；</w:t>
            </w:r>
          </w:p>
          <w:p w14:paraId="134CA362">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3、方案针对性一般、可行性一般、计较可操作性尚可的得</w:t>
            </w:r>
            <w:r>
              <w:rPr>
                <w:rFonts w:hint="eastAsia" w:ascii="宋体" w:hAnsi="宋体" w:cs="宋体"/>
                <w:b w:val="0"/>
                <w:bCs/>
                <w:sz w:val="21"/>
                <w:szCs w:val="21"/>
                <w:highlight w:val="none"/>
                <w:lang w:val="en-US" w:eastAsia="zh-CN"/>
              </w:rPr>
              <w:t>1</w:t>
            </w:r>
            <w:r>
              <w:rPr>
                <w:rFonts w:hint="eastAsia" w:ascii="宋体" w:hAnsi="宋体" w:eastAsia="宋体" w:cs="宋体"/>
                <w:b w:val="0"/>
                <w:bCs/>
                <w:sz w:val="21"/>
                <w:szCs w:val="21"/>
                <w:highlight w:val="none"/>
                <w:lang w:val="en-US" w:eastAsia="zh-CN"/>
              </w:rPr>
              <w:t>分；</w:t>
            </w:r>
          </w:p>
          <w:p w14:paraId="636466DD">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4、方案不够完善、欠缺合理性、计划欠佳</w:t>
            </w:r>
            <w:r>
              <w:rPr>
                <w:rFonts w:hint="eastAsia" w:ascii="宋体" w:hAnsi="宋体" w:cs="宋体"/>
                <w:b w:val="0"/>
                <w:bCs/>
                <w:sz w:val="21"/>
                <w:szCs w:val="21"/>
                <w:highlight w:val="none"/>
                <w:lang w:val="en-US" w:eastAsia="zh-CN"/>
              </w:rPr>
              <w:t>或</w:t>
            </w:r>
            <w:r>
              <w:rPr>
                <w:rFonts w:hint="eastAsia" w:ascii="宋体" w:hAnsi="宋体" w:eastAsia="宋体" w:cs="宋体"/>
                <w:b w:val="0"/>
                <w:bCs/>
                <w:sz w:val="21"/>
                <w:szCs w:val="21"/>
                <w:highlight w:val="none"/>
                <w:lang w:val="en-US" w:eastAsia="zh-CN"/>
              </w:rPr>
              <w:t>未提供不得分。</w:t>
            </w:r>
          </w:p>
          <w:p w14:paraId="79746946">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
                <w:bCs w:val="0"/>
                <w:sz w:val="21"/>
                <w:szCs w:val="21"/>
                <w:highlight w:val="none"/>
                <w:lang w:val="en-US" w:eastAsia="zh-CN"/>
              </w:rPr>
              <w:t>以上①—③项内容为专门针对本项目编制，每一小项最高得</w:t>
            </w:r>
            <w:r>
              <w:rPr>
                <w:rFonts w:hint="eastAsia" w:ascii="宋体" w:hAnsi="宋体" w:cs="宋体"/>
                <w:b/>
                <w:bCs w:val="0"/>
                <w:sz w:val="21"/>
                <w:szCs w:val="21"/>
                <w:highlight w:val="none"/>
                <w:lang w:val="en-US" w:eastAsia="zh-CN"/>
              </w:rPr>
              <w:t>3</w:t>
            </w:r>
            <w:r>
              <w:rPr>
                <w:rFonts w:hint="eastAsia" w:ascii="宋体" w:hAnsi="宋体" w:eastAsia="宋体" w:cs="宋体"/>
                <w:b/>
                <w:bCs w:val="0"/>
                <w:sz w:val="21"/>
                <w:szCs w:val="21"/>
                <w:highlight w:val="none"/>
                <w:lang w:val="en-US" w:eastAsia="zh-CN"/>
              </w:rPr>
              <w:t>分，总分</w:t>
            </w:r>
            <w:r>
              <w:rPr>
                <w:rFonts w:hint="eastAsia" w:ascii="宋体" w:hAnsi="宋体" w:cs="宋体"/>
                <w:b/>
                <w:bCs w:val="0"/>
                <w:sz w:val="21"/>
                <w:szCs w:val="21"/>
                <w:highlight w:val="none"/>
                <w:lang w:val="en-US" w:eastAsia="zh-CN"/>
              </w:rPr>
              <w:t>9</w:t>
            </w:r>
            <w:r>
              <w:rPr>
                <w:rFonts w:hint="eastAsia" w:ascii="宋体" w:hAnsi="宋体" w:eastAsia="宋体" w:cs="宋体"/>
                <w:b/>
                <w:bCs w:val="0"/>
                <w:sz w:val="21"/>
                <w:szCs w:val="21"/>
                <w:highlight w:val="none"/>
                <w:lang w:val="en-US" w:eastAsia="zh-CN"/>
              </w:rPr>
              <w:t>分。</w:t>
            </w:r>
          </w:p>
        </w:tc>
        <w:tc>
          <w:tcPr>
            <w:tcW w:w="305" w:type="pct"/>
            <w:tcBorders>
              <w:top w:val="single" w:color="auto" w:sz="4" w:space="0"/>
              <w:left w:val="nil"/>
              <w:bottom w:val="single" w:color="auto" w:sz="4" w:space="0"/>
              <w:right w:val="single" w:color="auto" w:sz="4" w:space="0"/>
            </w:tcBorders>
            <w:shd w:val="clear" w:color="auto" w:fill="FFFFFF"/>
            <w:noWrap w:val="0"/>
            <w:vAlign w:val="center"/>
          </w:tcPr>
          <w:p w14:paraId="3EDC1DF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b w:val="0"/>
                <w:bCs w:val="0"/>
                <w:color w:val="auto"/>
                <w:kern w:val="2"/>
                <w:sz w:val="21"/>
                <w:szCs w:val="21"/>
                <w:highlight w:val="none"/>
                <w:lang w:val="en-US" w:eastAsia="zh-CN" w:bidi="ar-SA"/>
              </w:rPr>
            </w:pPr>
            <w:r>
              <w:rPr>
                <w:rFonts w:hint="eastAsia" w:ascii="宋体" w:hAnsi="宋体" w:cs="宋体"/>
                <w:b w:val="0"/>
                <w:bCs w:val="0"/>
                <w:color w:val="auto"/>
                <w:kern w:val="2"/>
                <w:sz w:val="21"/>
                <w:szCs w:val="21"/>
                <w:highlight w:val="none"/>
                <w:lang w:val="en-US" w:eastAsia="zh-CN" w:bidi="ar-SA"/>
              </w:rPr>
              <w:t>9</w:t>
            </w:r>
          </w:p>
        </w:tc>
      </w:tr>
      <w:tr w14:paraId="293B24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246"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57DD87F9">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9</w:t>
            </w:r>
          </w:p>
        </w:tc>
        <w:tc>
          <w:tcPr>
            <w:tcW w:w="412"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55BED317">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鉴定的程序和步骤</w:t>
            </w:r>
          </w:p>
        </w:tc>
        <w:tc>
          <w:tcPr>
            <w:tcW w:w="356" w:type="pct"/>
            <w:tcBorders>
              <w:top w:val="single" w:color="auto" w:sz="4" w:space="0"/>
              <w:left w:val="nil"/>
              <w:right w:val="single" w:color="auto" w:sz="4" w:space="0"/>
            </w:tcBorders>
            <w:shd w:val="clear" w:color="auto" w:fill="auto"/>
            <w:noWrap w:val="0"/>
            <w:vAlign w:val="center"/>
          </w:tcPr>
          <w:p w14:paraId="4199A73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Cs/>
                <w:color w:val="auto"/>
                <w:kern w:val="0"/>
                <w:sz w:val="21"/>
                <w:szCs w:val="21"/>
                <w:highlight w:val="none"/>
                <w:lang w:val="en-US" w:eastAsia="zh-CN"/>
              </w:rPr>
            </w:pPr>
            <w:r>
              <w:rPr>
                <w:rFonts w:hint="eastAsia" w:ascii="宋体" w:hAnsi="宋体" w:eastAsia="宋体" w:cs="宋体"/>
                <w:bCs/>
                <w:color w:val="auto"/>
                <w:kern w:val="0"/>
                <w:sz w:val="21"/>
                <w:szCs w:val="21"/>
                <w:highlight w:val="none"/>
                <w:lang w:val="en-US" w:eastAsia="zh-CN"/>
              </w:rPr>
              <w:t>主观</w:t>
            </w:r>
          </w:p>
        </w:tc>
        <w:tc>
          <w:tcPr>
            <w:tcW w:w="3679" w:type="pct"/>
            <w:tcBorders>
              <w:top w:val="single" w:color="auto" w:sz="4" w:space="0"/>
              <w:left w:val="nil"/>
              <w:right w:val="single" w:color="auto" w:sz="4" w:space="0"/>
            </w:tcBorders>
            <w:shd w:val="clear" w:color="auto" w:fill="FFFFFF"/>
            <w:noWrap w:val="0"/>
            <w:vAlign w:val="center"/>
          </w:tcPr>
          <w:p w14:paraId="65F49FCD">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根据投标人针对项目实施鉴定的（①工作程序②实施步骤③详细情况）进行综合评分：</w:t>
            </w:r>
          </w:p>
          <w:p w14:paraId="33F04F03">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1、实施鉴定的工作程序清晰、步骤合理且详细的得</w:t>
            </w:r>
            <w:r>
              <w:rPr>
                <w:rFonts w:hint="eastAsia" w:ascii="宋体" w:hAnsi="宋体" w:cs="宋体"/>
                <w:b w:val="0"/>
                <w:bCs/>
                <w:sz w:val="21"/>
                <w:szCs w:val="21"/>
                <w:highlight w:val="none"/>
                <w:lang w:val="en-US" w:eastAsia="zh-CN"/>
              </w:rPr>
              <w:t>3</w:t>
            </w:r>
            <w:r>
              <w:rPr>
                <w:rFonts w:hint="eastAsia" w:ascii="宋体" w:hAnsi="宋体" w:eastAsia="宋体" w:cs="宋体"/>
                <w:b w:val="0"/>
                <w:bCs/>
                <w:sz w:val="21"/>
                <w:szCs w:val="21"/>
                <w:highlight w:val="none"/>
                <w:lang w:val="en-US" w:eastAsia="zh-CN"/>
              </w:rPr>
              <w:t>分；</w:t>
            </w:r>
          </w:p>
          <w:p w14:paraId="6E849B26">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2、实施鉴定的工作程序较清晰、步骤较合理且内容明确的得</w:t>
            </w:r>
            <w:r>
              <w:rPr>
                <w:rFonts w:hint="eastAsia" w:ascii="宋体" w:hAnsi="宋体" w:cs="宋体"/>
                <w:b w:val="0"/>
                <w:bCs/>
                <w:sz w:val="21"/>
                <w:szCs w:val="21"/>
                <w:highlight w:val="none"/>
                <w:lang w:val="en-US" w:eastAsia="zh-CN"/>
              </w:rPr>
              <w:t>2</w:t>
            </w:r>
            <w:r>
              <w:rPr>
                <w:rFonts w:hint="eastAsia" w:ascii="宋体" w:hAnsi="宋体" w:eastAsia="宋体" w:cs="宋体"/>
                <w:b w:val="0"/>
                <w:bCs/>
                <w:sz w:val="21"/>
                <w:szCs w:val="21"/>
                <w:highlight w:val="none"/>
                <w:lang w:val="en-US" w:eastAsia="zh-CN"/>
              </w:rPr>
              <w:t>分；</w:t>
            </w:r>
          </w:p>
          <w:p w14:paraId="74572F78">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3、实施鉴定的工作程序一般、步骤相对合理、内容略有欠缺的得</w:t>
            </w:r>
            <w:r>
              <w:rPr>
                <w:rFonts w:hint="eastAsia" w:ascii="宋体" w:hAnsi="宋体" w:cs="宋体"/>
                <w:b w:val="0"/>
                <w:bCs/>
                <w:sz w:val="21"/>
                <w:szCs w:val="21"/>
                <w:highlight w:val="none"/>
                <w:lang w:val="en-US" w:eastAsia="zh-CN"/>
              </w:rPr>
              <w:t>1</w:t>
            </w:r>
            <w:r>
              <w:rPr>
                <w:rFonts w:hint="eastAsia" w:ascii="宋体" w:hAnsi="宋体" w:eastAsia="宋体" w:cs="宋体"/>
                <w:b w:val="0"/>
                <w:bCs/>
                <w:sz w:val="21"/>
                <w:szCs w:val="21"/>
                <w:highlight w:val="none"/>
                <w:lang w:val="en-US" w:eastAsia="zh-CN"/>
              </w:rPr>
              <w:t>分；</w:t>
            </w:r>
          </w:p>
          <w:p w14:paraId="54266277">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4、实施鉴定得工作程序欠佳、步骤一般且内容不够完善</w:t>
            </w:r>
            <w:r>
              <w:rPr>
                <w:rFonts w:hint="eastAsia" w:ascii="宋体" w:hAnsi="宋体" w:cs="宋体"/>
                <w:b w:val="0"/>
                <w:bCs/>
                <w:sz w:val="21"/>
                <w:szCs w:val="21"/>
                <w:highlight w:val="none"/>
                <w:lang w:val="en-US" w:eastAsia="zh-CN"/>
              </w:rPr>
              <w:t>或</w:t>
            </w:r>
            <w:r>
              <w:rPr>
                <w:rFonts w:hint="eastAsia" w:ascii="宋体" w:hAnsi="宋体" w:eastAsia="宋体" w:cs="宋体"/>
                <w:b w:val="0"/>
                <w:bCs/>
                <w:sz w:val="21"/>
                <w:szCs w:val="21"/>
                <w:highlight w:val="none"/>
                <w:lang w:val="en-US" w:eastAsia="zh-CN"/>
              </w:rPr>
              <w:t>未提供不得分。</w:t>
            </w:r>
          </w:p>
          <w:p w14:paraId="5EAAF92B">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Cs/>
                <w:kern w:val="2"/>
                <w:sz w:val="21"/>
                <w:szCs w:val="21"/>
                <w:highlight w:val="none"/>
                <w:lang w:val="en-US" w:eastAsia="zh-CN" w:bidi="ar-SA"/>
              </w:rPr>
            </w:pPr>
            <w:r>
              <w:rPr>
                <w:rFonts w:hint="eastAsia" w:ascii="宋体" w:hAnsi="宋体" w:eastAsia="宋体" w:cs="宋体"/>
                <w:b/>
                <w:bCs w:val="0"/>
                <w:sz w:val="21"/>
                <w:szCs w:val="21"/>
                <w:highlight w:val="none"/>
                <w:lang w:val="en-US" w:eastAsia="zh-CN"/>
              </w:rPr>
              <w:t>以上①—③项内容为专门针对本项目编制，每一小项最高得</w:t>
            </w:r>
            <w:r>
              <w:rPr>
                <w:rFonts w:hint="eastAsia" w:ascii="宋体" w:hAnsi="宋体" w:cs="宋体"/>
                <w:b/>
                <w:bCs w:val="0"/>
                <w:sz w:val="21"/>
                <w:szCs w:val="21"/>
                <w:highlight w:val="none"/>
                <w:lang w:val="en-US" w:eastAsia="zh-CN"/>
              </w:rPr>
              <w:t>3</w:t>
            </w:r>
            <w:r>
              <w:rPr>
                <w:rFonts w:hint="eastAsia" w:ascii="宋体" w:hAnsi="宋体" w:eastAsia="宋体" w:cs="宋体"/>
                <w:b/>
                <w:bCs w:val="0"/>
                <w:sz w:val="21"/>
                <w:szCs w:val="21"/>
                <w:highlight w:val="none"/>
                <w:lang w:val="en-US" w:eastAsia="zh-CN"/>
              </w:rPr>
              <w:t>分，总分</w:t>
            </w:r>
            <w:r>
              <w:rPr>
                <w:rFonts w:hint="eastAsia" w:ascii="宋体" w:hAnsi="宋体" w:cs="宋体"/>
                <w:b/>
                <w:bCs w:val="0"/>
                <w:sz w:val="21"/>
                <w:szCs w:val="21"/>
                <w:highlight w:val="none"/>
                <w:lang w:val="en-US" w:eastAsia="zh-CN"/>
              </w:rPr>
              <w:t>9</w:t>
            </w:r>
            <w:r>
              <w:rPr>
                <w:rFonts w:hint="eastAsia" w:ascii="宋体" w:hAnsi="宋体" w:eastAsia="宋体" w:cs="宋体"/>
                <w:b/>
                <w:bCs w:val="0"/>
                <w:sz w:val="21"/>
                <w:szCs w:val="21"/>
                <w:highlight w:val="none"/>
                <w:lang w:val="en-US" w:eastAsia="zh-CN"/>
              </w:rPr>
              <w:t>分。</w:t>
            </w:r>
          </w:p>
        </w:tc>
        <w:tc>
          <w:tcPr>
            <w:tcW w:w="305" w:type="pct"/>
            <w:tcBorders>
              <w:top w:val="single" w:color="auto" w:sz="4" w:space="0"/>
              <w:left w:val="nil"/>
              <w:bottom w:val="single" w:color="auto" w:sz="4" w:space="0"/>
              <w:right w:val="single" w:color="auto" w:sz="4" w:space="0"/>
            </w:tcBorders>
            <w:shd w:val="clear" w:color="auto" w:fill="FFFFFF"/>
            <w:noWrap w:val="0"/>
            <w:vAlign w:val="center"/>
          </w:tcPr>
          <w:p w14:paraId="6A7C9E7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9</w:t>
            </w:r>
          </w:p>
        </w:tc>
      </w:tr>
      <w:tr w14:paraId="2E30FB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246"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2EB3E5AE">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10</w:t>
            </w:r>
          </w:p>
        </w:tc>
        <w:tc>
          <w:tcPr>
            <w:tcW w:w="412"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22C6E5BD">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沟通对接方案</w:t>
            </w:r>
          </w:p>
        </w:tc>
        <w:tc>
          <w:tcPr>
            <w:tcW w:w="356" w:type="pct"/>
            <w:tcBorders>
              <w:top w:val="single" w:color="auto" w:sz="4" w:space="0"/>
              <w:left w:val="nil"/>
              <w:right w:val="single" w:color="auto" w:sz="4" w:space="0"/>
            </w:tcBorders>
            <w:shd w:val="clear" w:color="auto" w:fill="auto"/>
            <w:noWrap w:val="0"/>
            <w:vAlign w:val="center"/>
          </w:tcPr>
          <w:p w14:paraId="5A598BE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Cs/>
                <w:color w:val="auto"/>
                <w:kern w:val="0"/>
                <w:sz w:val="21"/>
                <w:szCs w:val="21"/>
                <w:highlight w:val="none"/>
                <w:lang w:val="en-US" w:eastAsia="zh-CN"/>
              </w:rPr>
            </w:pPr>
            <w:r>
              <w:rPr>
                <w:rFonts w:hint="eastAsia" w:ascii="宋体" w:hAnsi="宋体" w:eastAsia="宋体" w:cs="宋体"/>
                <w:bCs/>
                <w:color w:val="auto"/>
                <w:kern w:val="0"/>
                <w:sz w:val="21"/>
                <w:szCs w:val="21"/>
                <w:highlight w:val="none"/>
                <w:lang w:val="en-US" w:eastAsia="zh-CN"/>
              </w:rPr>
              <w:t>主观</w:t>
            </w:r>
          </w:p>
        </w:tc>
        <w:tc>
          <w:tcPr>
            <w:tcW w:w="3679" w:type="pct"/>
            <w:tcBorders>
              <w:top w:val="single" w:color="auto" w:sz="4" w:space="0"/>
              <w:left w:val="nil"/>
              <w:right w:val="single" w:color="auto" w:sz="4" w:space="0"/>
            </w:tcBorders>
            <w:shd w:val="clear" w:color="auto" w:fill="FFFFFF"/>
            <w:noWrap w:val="0"/>
            <w:vAlign w:val="center"/>
          </w:tcPr>
          <w:p w14:paraId="5F24B971">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根据投标人对项目的沟通对接方案（①与采购人的沟通对接方案②鉴定结果的后续跟进③采购人在服务过程中提出要求的响应）进行综合评分：</w:t>
            </w:r>
          </w:p>
          <w:p w14:paraId="6729AFC7">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1、有专人与采购人沟通，方案详细合理完善，能及时有效响应的得</w:t>
            </w:r>
            <w:r>
              <w:rPr>
                <w:rFonts w:hint="eastAsia" w:ascii="宋体" w:hAnsi="宋体" w:cs="宋体"/>
                <w:b w:val="0"/>
                <w:bCs/>
                <w:sz w:val="21"/>
                <w:szCs w:val="21"/>
                <w:highlight w:val="none"/>
                <w:lang w:val="en-US" w:eastAsia="zh-CN"/>
              </w:rPr>
              <w:t>3</w:t>
            </w:r>
            <w:r>
              <w:rPr>
                <w:rFonts w:hint="eastAsia" w:ascii="宋体" w:hAnsi="宋体" w:eastAsia="宋体" w:cs="宋体"/>
                <w:b w:val="0"/>
                <w:bCs/>
                <w:sz w:val="21"/>
                <w:szCs w:val="21"/>
                <w:highlight w:val="none"/>
                <w:lang w:val="en-US" w:eastAsia="zh-CN"/>
              </w:rPr>
              <w:t>分；</w:t>
            </w:r>
          </w:p>
          <w:p w14:paraId="09C3CF14">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2、沟通对接方案较好、方案较合理完善，能及时响应的得</w:t>
            </w:r>
            <w:r>
              <w:rPr>
                <w:rFonts w:hint="eastAsia" w:ascii="宋体" w:hAnsi="宋体" w:cs="宋体"/>
                <w:b w:val="0"/>
                <w:bCs/>
                <w:sz w:val="21"/>
                <w:szCs w:val="21"/>
                <w:highlight w:val="none"/>
                <w:lang w:val="en-US" w:eastAsia="zh-CN"/>
              </w:rPr>
              <w:t>2</w:t>
            </w:r>
            <w:r>
              <w:rPr>
                <w:rFonts w:hint="eastAsia" w:ascii="宋体" w:hAnsi="宋体" w:eastAsia="宋体" w:cs="宋体"/>
                <w:b w:val="0"/>
                <w:bCs/>
                <w:sz w:val="21"/>
                <w:szCs w:val="21"/>
                <w:highlight w:val="none"/>
                <w:lang w:val="en-US" w:eastAsia="zh-CN"/>
              </w:rPr>
              <w:t>分；</w:t>
            </w:r>
          </w:p>
          <w:p w14:paraId="0D11C15C">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3、沟通对接方案一般、方案尚可，响应基本满足的得</w:t>
            </w:r>
            <w:r>
              <w:rPr>
                <w:rFonts w:hint="eastAsia" w:ascii="宋体" w:hAnsi="宋体" w:cs="宋体"/>
                <w:b w:val="0"/>
                <w:bCs/>
                <w:sz w:val="21"/>
                <w:szCs w:val="21"/>
                <w:highlight w:val="none"/>
                <w:lang w:val="en-US" w:eastAsia="zh-CN"/>
              </w:rPr>
              <w:t>1</w:t>
            </w:r>
            <w:r>
              <w:rPr>
                <w:rFonts w:hint="eastAsia" w:ascii="宋体" w:hAnsi="宋体" w:eastAsia="宋体" w:cs="宋体"/>
                <w:b w:val="0"/>
                <w:bCs/>
                <w:sz w:val="21"/>
                <w:szCs w:val="21"/>
                <w:highlight w:val="none"/>
                <w:lang w:val="en-US" w:eastAsia="zh-CN"/>
              </w:rPr>
              <w:t>分；</w:t>
            </w:r>
          </w:p>
          <w:p w14:paraId="05D60F28">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4、沟通对接方案有所欠缺</w:t>
            </w:r>
            <w:r>
              <w:rPr>
                <w:rFonts w:hint="eastAsia" w:ascii="宋体" w:hAnsi="宋体" w:cs="宋体"/>
                <w:b w:val="0"/>
                <w:bCs/>
                <w:sz w:val="21"/>
                <w:szCs w:val="21"/>
                <w:highlight w:val="none"/>
                <w:lang w:val="en-US" w:eastAsia="zh-CN"/>
              </w:rPr>
              <w:t>或</w:t>
            </w:r>
            <w:r>
              <w:rPr>
                <w:rFonts w:hint="eastAsia" w:ascii="宋体" w:hAnsi="宋体" w:eastAsia="宋体" w:cs="宋体"/>
                <w:b w:val="0"/>
                <w:bCs/>
                <w:sz w:val="21"/>
                <w:szCs w:val="21"/>
                <w:highlight w:val="none"/>
                <w:lang w:val="en-US" w:eastAsia="zh-CN"/>
              </w:rPr>
              <w:t>未提供不得分。</w:t>
            </w:r>
          </w:p>
          <w:p w14:paraId="501030C3">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Cs/>
                <w:kern w:val="2"/>
                <w:sz w:val="21"/>
                <w:szCs w:val="21"/>
                <w:highlight w:val="none"/>
                <w:lang w:val="en-US" w:eastAsia="zh-CN" w:bidi="ar-SA"/>
              </w:rPr>
            </w:pPr>
            <w:r>
              <w:rPr>
                <w:rFonts w:hint="eastAsia" w:ascii="宋体" w:hAnsi="宋体" w:eastAsia="宋体" w:cs="宋体"/>
                <w:b/>
                <w:bCs w:val="0"/>
                <w:sz w:val="21"/>
                <w:szCs w:val="21"/>
                <w:highlight w:val="none"/>
                <w:lang w:val="en-US" w:eastAsia="zh-CN"/>
              </w:rPr>
              <w:t>以上①—③项内容为专门针对本项目编制，每一小项最高得</w:t>
            </w:r>
            <w:r>
              <w:rPr>
                <w:rFonts w:hint="eastAsia" w:ascii="宋体" w:hAnsi="宋体" w:cs="宋体"/>
                <w:b/>
                <w:bCs w:val="0"/>
                <w:sz w:val="21"/>
                <w:szCs w:val="21"/>
                <w:highlight w:val="none"/>
                <w:lang w:val="en-US" w:eastAsia="zh-CN"/>
              </w:rPr>
              <w:t>3</w:t>
            </w:r>
            <w:r>
              <w:rPr>
                <w:rFonts w:hint="eastAsia" w:ascii="宋体" w:hAnsi="宋体" w:eastAsia="宋体" w:cs="宋体"/>
                <w:b/>
                <w:bCs w:val="0"/>
                <w:sz w:val="21"/>
                <w:szCs w:val="21"/>
                <w:highlight w:val="none"/>
                <w:lang w:val="en-US" w:eastAsia="zh-CN"/>
              </w:rPr>
              <w:t>分，总分</w:t>
            </w:r>
            <w:r>
              <w:rPr>
                <w:rFonts w:hint="eastAsia" w:ascii="宋体" w:hAnsi="宋体" w:cs="宋体"/>
                <w:b/>
                <w:bCs w:val="0"/>
                <w:sz w:val="21"/>
                <w:szCs w:val="21"/>
                <w:highlight w:val="none"/>
                <w:lang w:val="en-US" w:eastAsia="zh-CN"/>
              </w:rPr>
              <w:t>9</w:t>
            </w:r>
            <w:r>
              <w:rPr>
                <w:rFonts w:hint="eastAsia" w:ascii="宋体" w:hAnsi="宋体" w:eastAsia="宋体" w:cs="宋体"/>
                <w:b/>
                <w:bCs w:val="0"/>
                <w:sz w:val="21"/>
                <w:szCs w:val="21"/>
                <w:highlight w:val="none"/>
                <w:lang w:val="en-US" w:eastAsia="zh-CN"/>
              </w:rPr>
              <w:t>分。</w:t>
            </w:r>
          </w:p>
        </w:tc>
        <w:tc>
          <w:tcPr>
            <w:tcW w:w="305" w:type="pct"/>
            <w:tcBorders>
              <w:top w:val="single" w:color="auto" w:sz="4" w:space="0"/>
              <w:left w:val="nil"/>
              <w:bottom w:val="single" w:color="auto" w:sz="4" w:space="0"/>
              <w:right w:val="single" w:color="auto" w:sz="4" w:space="0"/>
            </w:tcBorders>
            <w:shd w:val="clear" w:color="auto" w:fill="FFFFFF"/>
            <w:noWrap w:val="0"/>
            <w:vAlign w:val="center"/>
          </w:tcPr>
          <w:p w14:paraId="2D763AA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9</w:t>
            </w:r>
          </w:p>
        </w:tc>
      </w:tr>
      <w:tr w14:paraId="3331F9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246" w:type="pct"/>
            <w:vMerge w:val="restart"/>
            <w:tcBorders>
              <w:top w:val="single" w:color="auto" w:sz="4" w:space="0"/>
              <w:left w:val="single" w:color="auto" w:sz="4" w:space="0"/>
              <w:right w:val="single" w:color="auto" w:sz="4" w:space="0"/>
            </w:tcBorders>
            <w:shd w:val="clear" w:color="auto" w:fill="auto"/>
            <w:noWrap w:val="0"/>
            <w:vAlign w:val="center"/>
          </w:tcPr>
          <w:p w14:paraId="1A35FADF">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11</w:t>
            </w:r>
          </w:p>
        </w:tc>
        <w:tc>
          <w:tcPr>
            <w:tcW w:w="412" w:type="pct"/>
            <w:vMerge w:val="restart"/>
            <w:tcBorders>
              <w:top w:val="single" w:color="auto" w:sz="4" w:space="0"/>
              <w:left w:val="single" w:color="auto" w:sz="4" w:space="0"/>
              <w:right w:val="single" w:color="auto" w:sz="4" w:space="0"/>
            </w:tcBorders>
            <w:shd w:val="clear" w:color="auto" w:fill="auto"/>
            <w:noWrap w:val="0"/>
            <w:vAlign w:val="center"/>
          </w:tcPr>
          <w:p w14:paraId="21FABF80">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bidi="ar"/>
              </w:rPr>
              <w:t>重点、难点、解决方法及措施</w:t>
            </w:r>
          </w:p>
        </w:tc>
        <w:tc>
          <w:tcPr>
            <w:tcW w:w="356" w:type="pct"/>
            <w:vMerge w:val="restart"/>
            <w:tcBorders>
              <w:top w:val="single" w:color="auto" w:sz="4" w:space="0"/>
              <w:left w:val="nil"/>
              <w:right w:val="single" w:color="auto" w:sz="4" w:space="0"/>
            </w:tcBorders>
            <w:shd w:val="clear" w:color="auto" w:fill="auto"/>
            <w:noWrap w:val="0"/>
            <w:vAlign w:val="center"/>
          </w:tcPr>
          <w:p w14:paraId="4BF93C9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Cs/>
                <w:color w:val="auto"/>
                <w:kern w:val="0"/>
                <w:sz w:val="21"/>
                <w:szCs w:val="21"/>
                <w:highlight w:val="none"/>
                <w:lang w:val="en-US" w:eastAsia="zh-CN"/>
              </w:rPr>
            </w:pPr>
            <w:r>
              <w:rPr>
                <w:rFonts w:hint="eastAsia" w:ascii="宋体" w:hAnsi="宋体" w:eastAsia="宋体" w:cs="宋体"/>
                <w:bCs/>
                <w:color w:val="auto"/>
                <w:kern w:val="0"/>
                <w:sz w:val="21"/>
                <w:szCs w:val="21"/>
                <w:highlight w:val="none"/>
                <w:lang w:val="en-US" w:eastAsia="zh-CN"/>
              </w:rPr>
              <w:t>主观</w:t>
            </w:r>
          </w:p>
        </w:tc>
        <w:tc>
          <w:tcPr>
            <w:tcW w:w="3679" w:type="pct"/>
            <w:tcBorders>
              <w:top w:val="single" w:color="auto" w:sz="4" w:space="0"/>
              <w:left w:val="nil"/>
              <w:right w:val="single" w:color="auto" w:sz="4" w:space="0"/>
            </w:tcBorders>
            <w:shd w:val="clear" w:color="auto" w:fill="FFFFFF"/>
            <w:noWrap w:val="0"/>
            <w:vAlign w:val="center"/>
          </w:tcPr>
          <w:p w14:paraId="7BC0AF00">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根据投标人对本项目交通事故车辆鉴定服务业务开展的重点、难点分析进行综合评分：</w:t>
            </w:r>
          </w:p>
          <w:p w14:paraId="368B09C6">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1、难点重点的预测剖析精准、全面、详尽的得</w:t>
            </w:r>
            <w:r>
              <w:rPr>
                <w:rFonts w:hint="eastAsia" w:ascii="宋体" w:hAnsi="宋体" w:cs="宋体"/>
                <w:b w:val="0"/>
                <w:bCs/>
                <w:sz w:val="21"/>
                <w:szCs w:val="21"/>
                <w:highlight w:val="none"/>
                <w:lang w:val="en-US" w:eastAsia="zh-CN"/>
              </w:rPr>
              <w:t>5</w:t>
            </w:r>
            <w:r>
              <w:rPr>
                <w:rFonts w:hint="eastAsia" w:ascii="宋体" w:hAnsi="宋体" w:eastAsia="宋体" w:cs="宋体"/>
                <w:b w:val="0"/>
                <w:bCs/>
                <w:sz w:val="21"/>
                <w:szCs w:val="21"/>
                <w:highlight w:val="none"/>
                <w:lang w:val="en-US" w:eastAsia="zh-CN"/>
              </w:rPr>
              <w:t>分；</w:t>
            </w:r>
          </w:p>
          <w:p w14:paraId="2CB8AD1F">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2、重难点的剖析在细节上较好的得</w:t>
            </w:r>
            <w:r>
              <w:rPr>
                <w:rFonts w:hint="eastAsia" w:ascii="宋体" w:hAnsi="宋体" w:cs="宋体"/>
                <w:b w:val="0"/>
                <w:bCs/>
                <w:sz w:val="21"/>
                <w:szCs w:val="21"/>
                <w:highlight w:val="none"/>
                <w:lang w:val="en-US" w:eastAsia="zh-CN"/>
              </w:rPr>
              <w:t>3</w:t>
            </w:r>
            <w:r>
              <w:rPr>
                <w:rFonts w:hint="eastAsia" w:ascii="宋体" w:hAnsi="宋体" w:eastAsia="宋体" w:cs="宋体"/>
                <w:b w:val="0"/>
                <w:bCs/>
                <w:sz w:val="21"/>
                <w:szCs w:val="21"/>
                <w:highlight w:val="none"/>
                <w:lang w:val="en-US" w:eastAsia="zh-CN"/>
              </w:rPr>
              <w:t>分；</w:t>
            </w:r>
          </w:p>
          <w:p w14:paraId="4FA80A4B">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3、重难点剖析片面、专业性欠佳的得1分；</w:t>
            </w:r>
          </w:p>
          <w:p w14:paraId="1C51226C">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Cs/>
                <w:kern w:val="2"/>
                <w:sz w:val="21"/>
                <w:szCs w:val="21"/>
                <w:highlight w:val="none"/>
                <w:lang w:val="en-US" w:eastAsia="zh-CN" w:bidi="ar-SA"/>
              </w:rPr>
            </w:pPr>
            <w:r>
              <w:rPr>
                <w:rFonts w:hint="eastAsia" w:ascii="宋体" w:hAnsi="宋体" w:eastAsia="宋体" w:cs="宋体"/>
                <w:b w:val="0"/>
                <w:bCs/>
                <w:sz w:val="21"/>
                <w:szCs w:val="21"/>
                <w:highlight w:val="none"/>
                <w:lang w:val="en-US" w:eastAsia="zh-CN"/>
              </w:rPr>
              <w:t>4、未提供不得分。</w:t>
            </w:r>
          </w:p>
        </w:tc>
        <w:tc>
          <w:tcPr>
            <w:tcW w:w="305" w:type="pct"/>
            <w:tcBorders>
              <w:top w:val="single" w:color="auto" w:sz="4" w:space="0"/>
              <w:left w:val="nil"/>
              <w:bottom w:val="single" w:color="auto" w:sz="4" w:space="0"/>
              <w:right w:val="single" w:color="auto" w:sz="4" w:space="0"/>
            </w:tcBorders>
            <w:shd w:val="clear" w:color="auto" w:fill="FFFFFF"/>
            <w:noWrap w:val="0"/>
            <w:vAlign w:val="center"/>
          </w:tcPr>
          <w:p w14:paraId="33D2646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5</w:t>
            </w:r>
          </w:p>
        </w:tc>
      </w:tr>
      <w:tr w14:paraId="60F53A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246" w:type="pct"/>
            <w:vMerge w:val="continue"/>
            <w:tcBorders>
              <w:left w:val="single" w:color="auto" w:sz="4" w:space="0"/>
              <w:bottom w:val="single" w:color="auto" w:sz="4" w:space="0"/>
              <w:right w:val="single" w:color="auto" w:sz="4" w:space="0"/>
            </w:tcBorders>
            <w:shd w:val="clear" w:color="auto" w:fill="auto"/>
            <w:noWrap w:val="0"/>
            <w:vAlign w:val="center"/>
          </w:tcPr>
          <w:p w14:paraId="7CD2071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sz w:val="21"/>
                <w:szCs w:val="21"/>
                <w:highlight w:val="none"/>
              </w:rPr>
            </w:pPr>
          </w:p>
        </w:tc>
        <w:tc>
          <w:tcPr>
            <w:tcW w:w="412" w:type="pct"/>
            <w:vMerge w:val="continue"/>
            <w:tcBorders>
              <w:left w:val="single" w:color="auto" w:sz="4" w:space="0"/>
              <w:bottom w:val="single" w:color="auto" w:sz="4" w:space="0"/>
              <w:right w:val="single" w:color="auto" w:sz="4" w:space="0"/>
            </w:tcBorders>
            <w:shd w:val="clear" w:color="auto" w:fill="auto"/>
            <w:noWrap w:val="0"/>
            <w:vAlign w:val="center"/>
          </w:tcPr>
          <w:p w14:paraId="34ED095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sz w:val="21"/>
                <w:szCs w:val="21"/>
                <w:highlight w:val="none"/>
              </w:rPr>
            </w:pPr>
          </w:p>
        </w:tc>
        <w:tc>
          <w:tcPr>
            <w:tcW w:w="356" w:type="pct"/>
            <w:vMerge w:val="continue"/>
            <w:tcBorders>
              <w:left w:val="nil"/>
              <w:right w:val="single" w:color="auto" w:sz="4" w:space="0"/>
            </w:tcBorders>
            <w:shd w:val="clear" w:color="auto" w:fill="auto"/>
            <w:noWrap w:val="0"/>
            <w:vAlign w:val="center"/>
          </w:tcPr>
          <w:p w14:paraId="7289BF8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sz w:val="21"/>
                <w:szCs w:val="21"/>
                <w:highlight w:val="none"/>
              </w:rPr>
            </w:pPr>
          </w:p>
        </w:tc>
        <w:tc>
          <w:tcPr>
            <w:tcW w:w="3679" w:type="pct"/>
            <w:tcBorders>
              <w:top w:val="single" w:color="auto" w:sz="4" w:space="0"/>
              <w:left w:val="nil"/>
              <w:right w:val="single" w:color="auto" w:sz="4" w:space="0"/>
            </w:tcBorders>
            <w:shd w:val="clear" w:color="auto" w:fill="FFFFFF"/>
            <w:noWrap w:val="0"/>
            <w:vAlign w:val="center"/>
          </w:tcPr>
          <w:p w14:paraId="39D66E0F">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根据投标人针对重难点提出的解决方法及措施进行综合评分：</w:t>
            </w:r>
          </w:p>
          <w:p w14:paraId="5ADAC9A5">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1、提出的解决措施合理、有效可行的</w:t>
            </w:r>
            <w:r>
              <w:rPr>
                <w:rFonts w:hint="eastAsia" w:ascii="宋体" w:hAnsi="宋体" w:cs="宋体"/>
                <w:b w:val="0"/>
                <w:bCs/>
                <w:sz w:val="21"/>
                <w:szCs w:val="21"/>
                <w:highlight w:val="none"/>
                <w:lang w:val="en-US" w:eastAsia="zh-CN"/>
              </w:rPr>
              <w:t>5</w:t>
            </w:r>
            <w:r>
              <w:rPr>
                <w:rFonts w:hint="eastAsia" w:ascii="宋体" w:hAnsi="宋体" w:eastAsia="宋体" w:cs="宋体"/>
                <w:b w:val="0"/>
                <w:bCs/>
                <w:sz w:val="21"/>
                <w:szCs w:val="21"/>
                <w:highlight w:val="none"/>
                <w:lang w:val="en-US" w:eastAsia="zh-CN"/>
              </w:rPr>
              <w:t>分；</w:t>
            </w:r>
          </w:p>
          <w:p w14:paraId="010130CF">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2、提出的解决措施在细节上较合理可行的得</w:t>
            </w:r>
            <w:r>
              <w:rPr>
                <w:rFonts w:hint="eastAsia" w:ascii="宋体" w:hAnsi="宋体" w:cs="宋体"/>
                <w:b w:val="0"/>
                <w:bCs/>
                <w:sz w:val="21"/>
                <w:szCs w:val="21"/>
                <w:highlight w:val="none"/>
                <w:lang w:val="en-US" w:eastAsia="zh-CN"/>
              </w:rPr>
              <w:t>3</w:t>
            </w:r>
            <w:r>
              <w:rPr>
                <w:rFonts w:hint="eastAsia" w:ascii="宋体" w:hAnsi="宋体" w:eastAsia="宋体" w:cs="宋体"/>
                <w:b w:val="0"/>
                <w:bCs/>
                <w:sz w:val="21"/>
                <w:szCs w:val="21"/>
                <w:highlight w:val="none"/>
                <w:lang w:val="en-US" w:eastAsia="zh-CN"/>
              </w:rPr>
              <w:t>分；</w:t>
            </w:r>
          </w:p>
          <w:p w14:paraId="6496050F">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3、提出的解决措施针对性和可行性一般的得1分；</w:t>
            </w:r>
          </w:p>
          <w:p w14:paraId="18775FBE">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bCs/>
                <w:color w:val="auto"/>
                <w:sz w:val="21"/>
                <w:szCs w:val="21"/>
                <w:highlight w:val="none"/>
              </w:rPr>
            </w:pPr>
            <w:r>
              <w:rPr>
                <w:rFonts w:hint="eastAsia" w:ascii="宋体" w:hAnsi="宋体" w:eastAsia="宋体" w:cs="宋体"/>
                <w:b w:val="0"/>
                <w:bCs/>
                <w:sz w:val="21"/>
                <w:szCs w:val="21"/>
                <w:highlight w:val="none"/>
                <w:lang w:val="en-US" w:eastAsia="zh-CN"/>
              </w:rPr>
              <w:t>4、未提供不得分。</w:t>
            </w:r>
          </w:p>
        </w:tc>
        <w:tc>
          <w:tcPr>
            <w:tcW w:w="305" w:type="pct"/>
            <w:tcBorders>
              <w:top w:val="single" w:color="auto" w:sz="4" w:space="0"/>
              <w:left w:val="nil"/>
              <w:bottom w:val="single" w:color="auto" w:sz="4" w:space="0"/>
              <w:right w:val="single" w:color="auto" w:sz="4" w:space="0"/>
            </w:tcBorders>
            <w:shd w:val="clear" w:color="auto" w:fill="FFFFFF"/>
            <w:noWrap w:val="0"/>
            <w:vAlign w:val="center"/>
          </w:tcPr>
          <w:p w14:paraId="2B1856A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5</w:t>
            </w:r>
          </w:p>
        </w:tc>
      </w:tr>
      <w:tr w14:paraId="0E2FF9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246"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7A651403">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12</w:t>
            </w:r>
          </w:p>
        </w:tc>
        <w:tc>
          <w:tcPr>
            <w:tcW w:w="412"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4FD0AF58">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监督检查体系</w:t>
            </w:r>
          </w:p>
        </w:tc>
        <w:tc>
          <w:tcPr>
            <w:tcW w:w="356" w:type="pct"/>
            <w:tcBorders>
              <w:top w:val="single" w:color="auto" w:sz="4" w:space="0"/>
              <w:left w:val="nil"/>
              <w:right w:val="single" w:color="auto" w:sz="4" w:space="0"/>
            </w:tcBorders>
            <w:shd w:val="clear" w:color="auto" w:fill="auto"/>
            <w:noWrap w:val="0"/>
            <w:vAlign w:val="center"/>
          </w:tcPr>
          <w:p w14:paraId="4517AA1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Cs/>
                <w:color w:val="auto"/>
                <w:kern w:val="0"/>
                <w:sz w:val="21"/>
                <w:szCs w:val="21"/>
                <w:highlight w:val="none"/>
                <w:lang w:val="en-US" w:eastAsia="zh-CN"/>
              </w:rPr>
              <w:t>主观</w:t>
            </w:r>
          </w:p>
        </w:tc>
        <w:tc>
          <w:tcPr>
            <w:tcW w:w="3679" w:type="pct"/>
            <w:tcBorders>
              <w:top w:val="single" w:color="auto" w:sz="4" w:space="0"/>
              <w:left w:val="nil"/>
              <w:right w:val="single" w:color="auto" w:sz="4" w:space="0"/>
            </w:tcBorders>
            <w:shd w:val="clear" w:color="auto" w:fill="FFFFFF"/>
            <w:noWrap w:val="0"/>
            <w:vAlign w:val="center"/>
          </w:tcPr>
          <w:p w14:paraId="29D1B78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bCs/>
                <w:kern w:val="2"/>
                <w:sz w:val="21"/>
                <w:szCs w:val="21"/>
                <w:highlight w:val="none"/>
                <w:lang w:val="en-US" w:eastAsia="zh-CN" w:bidi="ar-SA"/>
              </w:rPr>
            </w:pPr>
            <w:r>
              <w:rPr>
                <w:rFonts w:hint="eastAsia" w:ascii="宋体" w:hAnsi="宋体" w:eastAsia="宋体" w:cs="宋体"/>
                <w:bCs/>
                <w:kern w:val="2"/>
                <w:sz w:val="21"/>
                <w:szCs w:val="21"/>
                <w:highlight w:val="none"/>
                <w:lang w:val="en-US" w:eastAsia="zh-CN" w:bidi="ar-SA"/>
              </w:rPr>
              <w:t>根据投标人针对本项目提供的监督检查（或自查内控）体系进行综合评分：</w:t>
            </w:r>
          </w:p>
          <w:p w14:paraId="488158E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bCs/>
                <w:kern w:val="2"/>
                <w:sz w:val="21"/>
                <w:szCs w:val="21"/>
                <w:highlight w:val="none"/>
                <w:lang w:val="en-US" w:eastAsia="zh-CN" w:bidi="ar-SA"/>
              </w:rPr>
            </w:pPr>
            <w:r>
              <w:rPr>
                <w:rFonts w:hint="eastAsia" w:ascii="宋体" w:hAnsi="宋体" w:eastAsia="宋体" w:cs="宋体"/>
                <w:bCs/>
                <w:kern w:val="2"/>
                <w:sz w:val="21"/>
                <w:szCs w:val="21"/>
                <w:highlight w:val="none"/>
                <w:lang w:val="en-US" w:eastAsia="zh-CN" w:bidi="ar-SA"/>
              </w:rPr>
              <w:t>1、监督检查（或自查内控）体系完善，对所出具的鉴定报告结果的权威性、真实性、合理性有效的监督检查（或自查内控）方法及保障措施的得</w:t>
            </w:r>
            <w:r>
              <w:rPr>
                <w:rFonts w:hint="eastAsia" w:ascii="宋体" w:hAnsi="宋体" w:cs="宋体"/>
                <w:bCs/>
                <w:kern w:val="2"/>
                <w:sz w:val="21"/>
                <w:szCs w:val="21"/>
                <w:highlight w:val="none"/>
                <w:lang w:val="en-US" w:eastAsia="zh-CN" w:bidi="ar-SA"/>
              </w:rPr>
              <w:t>6</w:t>
            </w:r>
            <w:r>
              <w:rPr>
                <w:rFonts w:hint="eastAsia" w:ascii="宋体" w:hAnsi="宋体" w:eastAsia="宋体" w:cs="宋体"/>
                <w:bCs/>
                <w:kern w:val="2"/>
                <w:sz w:val="21"/>
                <w:szCs w:val="21"/>
                <w:highlight w:val="none"/>
                <w:lang w:val="en-US" w:eastAsia="zh-CN" w:bidi="ar-SA"/>
              </w:rPr>
              <w:t>分；</w:t>
            </w:r>
          </w:p>
          <w:p w14:paraId="696211A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bCs/>
                <w:kern w:val="2"/>
                <w:sz w:val="21"/>
                <w:szCs w:val="21"/>
                <w:highlight w:val="none"/>
                <w:lang w:val="en-US" w:eastAsia="zh-CN" w:bidi="ar-SA"/>
              </w:rPr>
            </w:pPr>
            <w:r>
              <w:rPr>
                <w:rFonts w:hint="eastAsia" w:ascii="宋体" w:hAnsi="宋体" w:eastAsia="宋体" w:cs="宋体"/>
                <w:bCs/>
                <w:kern w:val="2"/>
                <w:sz w:val="21"/>
                <w:szCs w:val="21"/>
                <w:highlight w:val="none"/>
                <w:lang w:val="en-US" w:eastAsia="zh-CN" w:bidi="ar-SA"/>
              </w:rPr>
              <w:t>2、监督检查（或自查内控）体系较好的得</w:t>
            </w:r>
            <w:r>
              <w:rPr>
                <w:rFonts w:hint="eastAsia" w:ascii="宋体" w:hAnsi="宋体" w:cs="宋体"/>
                <w:bCs/>
                <w:kern w:val="2"/>
                <w:sz w:val="21"/>
                <w:szCs w:val="21"/>
                <w:highlight w:val="none"/>
                <w:lang w:val="en-US" w:eastAsia="zh-CN" w:bidi="ar-SA"/>
              </w:rPr>
              <w:t>4</w:t>
            </w:r>
            <w:r>
              <w:rPr>
                <w:rFonts w:hint="eastAsia" w:ascii="宋体" w:hAnsi="宋体" w:eastAsia="宋体" w:cs="宋体"/>
                <w:bCs/>
                <w:kern w:val="2"/>
                <w:sz w:val="21"/>
                <w:szCs w:val="21"/>
                <w:highlight w:val="none"/>
                <w:lang w:val="en-US" w:eastAsia="zh-CN" w:bidi="ar-SA"/>
              </w:rPr>
              <w:t>分；</w:t>
            </w:r>
          </w:p>
          <w:p w14:paraId="4895176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bCs/>
                <w:kern w:val="2"/>
                <w:sz w:val="21"/>
                <w:szCs w:val="21"/>
                <w:highlight w:val="none"/>
                <w:lang w:val="en-US" w:eastAsia="zh-CN" w:bidi="ar-SA"/>
              </w:rPr>
            </w:pPr>
            <w:r>
              <w:rPr>
                <w:rFonts w:hint="eastAsia" w:ascii="宋体" w:hAnsi="宋体" w:eastAsia="宋体" w:cs="宋体"/>
                <w:bCs/>
                <w:kern w:val="2"/>
                <w:sz w:val="21"/>
                <w:szCs w:val="21"/>
                <w:highlight w:val="none"/>
                <w:lang w:val="en-US" w:eastAsia="zh-CN" w:bidi="ar-SA"/>
              </w:rPr>
              <w:t>3、监督检查（或自查内控）体系一般的得</w:t>
            </w:r>
            <w:r>
              <w:rPr>
                <w:rFonts w:hint="eastAsia" w:ascii="宋体" w:hAnsi="宋体" w:cs="宋体"/>
                <w:bCs/>
                <w:kern w:val="2"/>
                <w:sz w:val="21"/>
                <w:szCs w:val="21"/>
                <w:highlight w:val="none"/>
                <w:lang w:val="en-US" w:eastAsia="zh-CN" w:bidi="ar-SA"/>
              </w:rPr>
              <w:t>2</w:t>
            </w:r>
            <w:r>
              <w:rPr>
                <w:rFonts w:hint="eastAsia" w:ascii="宋体" w:hAnsi="宋体" w:eastAsia="宋体" w:cs="宋体"/>
                <w:bCs/>
                <w:kern w:val="2"/>
                <w:sz w:val="21"/>
                <w:szCs w:val="21"/>
                <w:highlight w:val="none"/>
                <w:lang w:val="en-US" w:eastAsia="zh-CN" w:bidi="ar-SA"/>
              </w:rPr>
              <w:t>分</w:t>
            </w:r>
            <w:r>
              <w:rPr>
                <w:rFonts w:hint="eastAsia" w:ascii="宋体" w:hAnsi="宋体" w:cs="宋体"/>
                <w:bCs/>
                <w:kern w:val="2"/>
                <w:sz w:val="21"/>
                <w:szCs w:val="21"/>
                <w:highlight w:val="none"/>
                <w:lang w:val="en-US" w:eastAsia="zh-CN" w:bidi="ar-SA"/>
              </w:rPr>
              <w:t>；</w:t>
            </w:r>
          </w:p>
          <w:p w14:paraId="2C69E64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color w:val="auto"/>
                <w:sz w:val="21"/>
                <w:szCs w:val="21"/>
                <w:highlight w:val="none"/>
                <w:lang w:val="en-US" w:eastAsia="zh-CN"/>
              </w:rPr>
            </w:pPr>
            <w:r>
              <w:rPr>
                <w:rFonts w:hint="eastAsia" w:ascii="宋体" w:hAnsi="宋体" w:cs="宋体"/>
                <w:bCs/>
                <w:kern w:val="2"/>
                <w:sz w:val="21"/>
                <w:szCs w:val="21"/>
                <w:highlight w:val="none"/>
                <w:lang w:val="en-US" w:eastAsia="zh-CN" w:bidi="ar-SA"/>
              </w:rPr>
              <w:t>4、</w:t>
            </w:r>
            <w:r>
              <w:rPr>
                <w:rFonts w:hint="eastAsia" w:ascii="宋体" w:hAnsi="宋体" w:eastAsia="宋体" w:cs="宋体"/>
                <w:bCs/>
                <w:kern w:val="2"/>
                <w:sz w:val="21"/>
                <w:szCs w:val="21"/>
                <w:highlight w:val="none"/>
                <w:lang w:val="en-US" w:eastAsia="zh-CN" w:bidi="ar-SA"/>
              </w:rPr>
              <w:t>监督检查（或自查内控）体系不完善、监督检查方法及保障措施欠佳</w:t>
            </w:r>
            <w:r>
              <w:rPr>
                <w:rFonts w:hint="eastAsia" w:ascii="宋体" w:hAnsi="宋体" w:cs="宋体"/>
                <w:bCs/>
                <w:kern w:val="2"/>
                <w:sz w:val="21"/>
                <w:szCs w:val="21"/>
                <w:highlight w:val="none"/>
                <w:lang w:val="en-US" w:eastAsia="zh-CN" w:bidi="ar-SA"/>
              </w:rPr>
              <w:t>或</w:t>
            </w:r>
            <w:r>
              <w:rPr>
                <w:rFonts w:hint="eastAsia" w:ascii="宋体" w:hAnsi="宋体" w:eastAsia="宋体" w:cs="宋体"/>
                <w:bCs/>
                <w:kern w:val="2"/>
                <w:sz w:val="21"/>
                <w:szCs w:val="21"/>
                <w:highlight w:val="none"/>
                <w:lang w:val="en-US" w:eastAsia="zh-CN" w:bidi="ar-SA"/>
              </w:rPr>
              <w:t>未提供不得分。</w:t>
            </w:r>
          </w:p>
        </w:tc>
        <w:tc>
          <w:tcPr>
            <w:tcW w:w="305" w:type="pct"/>
            <w:tcBorders>
              <w:top w:val="single" w:color="auto" w:sz="4" w:space="0"/>
              <w:left w:val="nil"/>
              <w:bottom w:val="single" w:color="auto" w:sz="4" w:space="0"/>
              <w:right w:val="single" w:color="auto" w:sz="4" w:space="0"/>
            </w:tcBorders>
            <w:shd w:val="clear" w:color="auto" w:fill="FFFFFF"/>
            <w:noWrap w:val="0"/>
            <w:vAlign w:val="center"/>
          </w:tcPr>
          <w:p w14:paraId="4F90EE9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6</w:t>
            </w:r>
          </w:p>
        </w:tc>
      </w:tr>
      <w:tr w14:paraId="5FF121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246"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6433DF7F">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13</w:t>
            </w:r>
          </w:p>
        </w:tc>
        <w:tc>
          <w:tcPr>
            <w:tcW w:w="412"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0138CE34">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应急预案</w:t>
            </w:r>
          </w:p>
        </w:tc>
        <w:tc>
          <w:tcPr>
            <w:tcW w:w="356" w:type="pct"/>
            <w:tcBorders>
              <w:top w:val="single" w:color="auto" w:sz="4" w:space="0"/>
              <w:left w:val="nil"/>
              <w:bottom w:val="single" w:color="auto" w:sz="4" w:space="0"/>
              <w:right w:val="single" w:color="auto" w:sz="4" w:space="0"/>
            </w:tcBorders>
            <w:shd w:val="clear" w:color="auto" w:fill="auto"/>
            <w:noWrap w:val="0"/>
            <w:vAlign w:val="center"/>
          </w:tcPr>
          <w:p w14:paraId="0EE0BB21">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bCs/>
                <w:color w:val="auto"/>
                <w:kern w:val="0"/>
                <w:sz w:val="21"/>
                <w:szCs w:val="21"/>
                <w:highlight w:val="none"/>
                <w:lang w:val="en-US" w:eastAsia="zh-CN"/>
              </w:rPr>
              <w:t>主观</w:t>
            </w:r>
          </w:p>
        </w:tc>
        <w:tc>
          <w:tcPr>
            <w:tcW w:w="3679" w:type="pct"/>
            <w:tcBorders>
              <w:top w:val="single" w:color="auto" w:sz="4" w:space="0"/>
              <w:left w:val="nil"/>
              <w:bottom w:val="single" w:color="auto" w:sz="4" w:space="0"/>
              <w:right w:val="single" w:color="auto" w:sz="4" w:space="0"/>
            </w:tcBorders>
            <w:shd w:val="clear" w:color="auto" w:fill="FFFFFF"/>
            <w:noWrap w:val="0"/>
            <w:vAlign w:val="center"/>
          </w:tcPr>
          <w:p w14:paraId="6F55C631">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textAlignment w:val="auto"/>
              <w:rPr>
                <w:rFonts w:hint="eastAsia" w:ascii="宋体" w:hAnsi="宋体" w:eastAsia="宋体" w:cs="宋体"/>
                <w:bCs/>
                <w:kern w:val="2"/>
                <w:sz w:val="21"/>
                <w:szCs w:val="21"/>
                <w:highlight w:val="none"/>
                <w:lang w:val="en-US" w:eastAsia="zh-CN" w:bidi="ar-SA"/>
              </w:rPr>
            </w:pPr>
            <w:r>
              <w:rPr>
                <w:rFonts w:hint="eastAsia" w:ascii="宋体" w:hAnsi="宋体" w:eastAsia="宋体" w:cs="宋体"/>
                <w:bCs/>
                <w:kern w:val="2"/>
                <w:sz w:val="21"/>
                <w:szCs w:val="21"/>
                <w:highlight w:val="none"/>
                <w:lang w:val="en-US" w:eastAsia="zh-CN" w:bidi="ar-SA"/>
              </w:rPr>
              <w:t>根据投标人提供的以往工作经验并结合本项目实际情况，提供在服务过程中可能出现的突发事件分析，并提供相应的解决措施进行综合评分：</w:t>
            </w:r>
          </w:p>
          <w:p w14:paraId="2A658418">
            <w:pPr>
              <w:keepNext w:val="0"/>
              <w:keepLines w:val="0"/>
              <w:pageBreakBefore w:val="0"/>
              <w:widowControl w:val="0"/>
              <w:numPr>
                <w:ilvl w:val="0"/>
                <w:numId w:val="4"/>
              </w:numPr>
              <w:suppressLineNumbers w:val="0"/>
              <w:kinsoku/>
              <w:wordWrap/>
              <w:overflowPunct/>
              <w:topLinePunct w:val="0"/>
              <w:autoSpaceDE/>
              <w:autoSpaceDN/>
              <w:bidi w:val="0"/>
              <w:adjustRightInd/>
              <w:snapToGrid/>
              <w:spacing w:before="0" w:beforeAutospacing="0" w:after="0" w:afterAutospacing="0" w:line="360" w:lineRule="auto"/>
              <w:ind w:right="0" w:rightChars="0"/>
              <w:textAlignment w:val="auto"/>
              <w:rPr>
                <w:rFonts w:hint="eastAsia" w:ascii="宋体" w:hAnsi="宋体" w:eastAsia="宋体" w:cs="宋体"/>
                <w:bCs/>
                <w:kern w:val="2"/>
                <w:sz w:val="21"/>
                <w:szCs w:val="21"/>
                <w:highlight w:val="none"/>
                <w:lang w:val="en-US" w:eastAsia="zh-CN" w:bidi="ar-SA"/>
              </w:rPr>
            </w:pPr>
            <w:r>
              <w:rPr>
                <w:rFonts w:hint="eastAsia" w:ascii="宋体" w:hAnsi="宋体" w:eastAsia="宋体" w:cs="宋体"/>
                <w:bCs/>
                <w:kern w:val="2"/>
                <w:sz w:val="21"/>
                <w:szCs w:val="21"/>
                <w:highlight w:val="none"/>
                <w:lang w:val="en-US" w:eastAsia="zh-CN" w:bidi="ar-SA"/>
              </w:rPr>
              <w:t>突发事件分析预测剖析精准、全面，解决措施有效可行的得8分；</w:t>
            </w:r>
          </w:p>
          <w:p w14:paraId="56D25525">
            <w:pPr>
              <w:keepNext w:val="0"/>
              <w:keepLines w:val="0"/>
              <w:pageBreakBefore w:val="0"/>
              <w:widowControl w:val="0"/>
              <w:numPr>
                <w:ilvl w:val="0"/>
                <w:numId w:val="4"/>
              </w:numPr>
              <w:suppressLineNumbers w:val="0"/>
              <w:kinsoku/>
              <w:wordWrap/>
              <w:overflowPunct/>
              <w:topLinePunct w:val="0"/>
              <w:autoSpaceDE/>
              <w:autoSpaceDN/>
              <w:bidi w:val="0"/>
              <w:adjustRightInd/>
              <w:snapToGrid/>
              <w:spacing w:before="0" w:beforeAutospacing="0" w:after="0" w:afterAutospacing="0" w:line="360" w:lineRule="auto"/>
              <w:ind w:right="0" w:rightChars="0"/>
              <w:textAlignment w:val="auto"/>
              <w:rPr>
                <w:rFonts w:hint="eastAsia" w:ascii="宋体" w:hAnsi="宋体" w:eastAsia="宋体" w:cs="宋体"/>
                <w:bCs/>
                <w:kern w:val="2"/>
                <w:sz w:val="21"/>
                <w:szCs w:val="21"/>
                <w:highlight w:val="none"/>
                <w:lang w:val="en-US" w:eastAsia="zh-CN" w:bidi="ar-SA"/>
              </w:rPr>
            </w:pPr>
            <w:r>
              <w:rPr>
                <w:rFonts w:hint="eastAsia" w:ascii="宋体" w:hAnsi="宋体" w:eastAsia="宋体" w:cs="宋体"/>
                <w:bCs/>
                <w:kern w:val="2"/>
                <w:sz w:val="21"/>
                <w:szCs w:val="21"/>
                <w:highlight w:val="none"/>
                <w:lang w:val="en-US" w:eastAsia="zh-CN" w:bidi="ar-SA"/>
              </w:rPr>
              <w:t>突发事件分析及解决措施较完善、可行性较好的得6分；</w:t>
            </w:r>
          </w:p>
          <w:p w14:paraId="5C0A539B">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textAlignment w:val="auto"/>
              <w:rPr>
                <w:rFonts w:hint="eastAsia" w:ascii="宋体" w:hAnsi="宋体" w:eastAsia="宋体" w:cs="宋体"/>
                <w:bCs/>
                <w:kern w:val="2"/>
                <w:sz w:val="21"/>
                <w:szCs w:val="21"/>
                <w:highlight w:val="none"/>
                <w:lang w:val="en-US" w:eastAsia="zh-CN" w:bidi="ar-SA"/>
              </w:rPr>
            </w:pPr>
            <w:r>
              <w:rPr>
                <w:rFonts w:hint="eastAsia" w:ascii="宋体" w:hAnsi="宋体" w:eastAsia="宋体" w:cs="宋体"/>
                <w:bCs/>
                <w:kern w:val="2"/>
                <w:sz w:val="21"/>
                <w:szCs w:val="21"/>
                <w:highlight w:val="none"/>
                <w:lang w:val="en-US" w:eastAsia="zh-CN" w:bidi="ar-SA"/>
              </w:rPr>
              <w:t>2、突发事件分析及解决措施一般的得4分；</w:t>
            </w:r>
          </w:p>
          <w:p w14:paraId="54B1C5D4">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textAlignment w:val="auto"/>
              <w:rPr>
                <w:rFonts w:hint="eastAsia" w:ascii="宋体" w:hAnsi="宋体" w:cs="宋体"/>
                <w:bCs/>
                <w:kern w:val="2"/>
                <w:sz w:val="21"/>
                <w:szCs w:val="21"/>
                <w:highlight w:val="none"/>
                <w:lang w:val="en-US" w:eastAsia="zh-CN" w:bidi="ar-SA"/>
              </w:rPr>
            </w:pPr>
            <w:r>
              <w:rPr>
                <w:rFonts w:hint="eastAsia" w:ascii="宋体" w:hAnsi="宋体" w:eastAsia="宋体" w:cs="宋体"/>
                <w:bCs/>
                <w:kern w:val="2"/>
                <w:sz w:val="21"/>
                <w:szCs w:val="21"/>
                <w:highlight w:val="none"/>
                <w:lang w:val="en-US" w:eastAsia="zh-CN" w:bidi="ar-SA"/>
              </w:rPr>
              <w:t>4、突发事件分析不完善及解决措施尚可的得2分</w:t>
            </w:r>
            <w:r>
              <w:rPr>
                <w:rFonts w:hint="eastAsia" w:ascii="宋体" w:hAnsi="宋体" w:cs="宋体"/>
                <w:bCs/>
                <w:kern w:val="2"/>
                <w:sz w:val="21"/>
                <w:szCs w:val="21"/>
                <w:highlight w:val="none"/>
                <w:lang w:val="en-US" w:eastAsia="zh-CN" w:bidi="ar-SA"/>
              </w:rPr>
              <w:t>；</w:t>
            </w:r>
          </w:p>
          <w:p w14:paraId="4BDBF640">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textAlignment w:val="auto"/>
              <w:rPr>
                <w:rFonts w:hint="eastAsia" w:ascii="宋体" w:hAnsi="宋体" w:eastAsia="宋体" w:cs="宋体"/>
                <w:snapToGrid w:val="0"/>
                <w:kern w:val="0"/>
                <w:sz w:val="21"/>
                <w:szCs w:val="21"/>
                <w:highlight w:val="none"/>
                <w:lang w:val="en-US" w:eastAsia="zh-CN" w:bidi="ar-SA"/>
              </w:rPr>
            </w:pPr>
            <w:r>
              <w:rPr>
                <w:rFonts w:hint="eastAsia" w:ascii="宋体" w:hAnsi="宋体" w:cs="宋体"/>
                <w:bCs/>
                <w:kern w:val="2"/>
                <w:sz w:val="21"/>
                <w:szCs w:val="21"/>
                <w:highlight w:val="none"/>
                <w:lang w:val="en-US" w:eastAsia="zh-CN" w:bidi="ar-SA"/>
              </w:rPr>
              <w:t>5、</w:t>
            </w:r>
            <w:r>
              <w:rPr>
                <w:rFonts w:hint="eastAsia" w:ascii="宋体" w:hAnsi="宋体" w:eastAsia="宋体" w:cs="宋体"/>
                <w:bCs/>
                <w:kern w:val="2"/>
                <w:sz w:val="21"/>
                <w:szCs w:val="21"/>
                <w:highlight w:val="none"/>
                <w:lang w:val="en-US" w:eastAsia="zh-CN" w:bidi="ar-SA"/>
              </w:rPr>
              <w:t>未提供不得分。</w:t>
            </w:r>
          </w:p>
        </w:tc>
        <w:tc>
          <w:tcPr>
            <w:tcW w:w="305" w:type="pct"/>
            <w:tcBorders>
              <w:top w:val="single" w:color="auto" w:sz="4" w:space="0"/>
              <w:left w:val="nil"/>
              <w:bottom w:val="single" w:color="auto" w:sz="4" w:space="0"/>
              <w:right w:val="single" w:color="auto" w:sz="4" w:space="0"/>
            </w:tcBorders>
            <w:shd w:val="clear" w:color="auto" w:fill="FFFFFF"/>
            <w:noWrap w:val="0"/>
            <w:vAlign w:val="center"/>
          </w:tcPr>
          <w:p w14:paraId="2D4CF2D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w:t>
            </w:r>
          </w:p>
        </w:tc>
      </w:tr>
      <w:tr w14:paraId="0AC2EE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246"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47DFF610">
            <w:pPr>
              <w:pStyle w:val="10"/>
              <w:keepNext w:val="0"/>
              <w:keepLines w:val="0"/>
              <w:pageBreakBefore w:val="0"/>
              <w:kinsoku/>
              <w:wordWrap/>
              <w:overflowPunct/>
              <w:topLinePunct w:val="0"/>
              <w:autoSpaceDE/>
              <w:autoSpaceDN/>
              <w:bidi w:val="0"/>
              <w:adjustRightInd/>
              <w:snapToGrid w:val="0"/>
              <w:spacing w:after="0" w:line="360" w:lineRule="auto"/>
              <w:ind w:left="0" w:leftChars="0"/>
              <w:jc w:val="center"/>
              <w:textAlignment w:val="auto"/>
              <w:outlineLvl w:val="0"/>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14</w:t>
            </w:r>
          </w:p>
        </w:tc>
        <w:tc>
          <w:tcPr>
            <w:tcW w:w="412"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3552A6E9">
            <w:pPr>
              <w:pStyle w:val="10"/>
              <w:keepNext w:val="0"/>
              <w:keepLines w:val="0"/>
              <w:pageBreakBefore w:val="0"/>
              <w:kinsoku/>
              <w:wordWrap/>
              <w:overflowPunct/>
              <w:topLinePunct w:val="0"/>
              <w:autoSpaceDE/>
              <w:autoSpaceDN/>
              <w:bidi w:val="0"/>
              <w:adjustRightInd/>
              <w:snapToGrid w:val="0"/>
              <w:spacing w:after="0" w:line="360" w:lineRule="auto"/>
              <w:ind w:left="0" w:leftChars="0"/>
              <w:jc w:val="center"/>
              <w:textAlignment w:val="auto"/>
              <w:outlineLvl w:val="0"/>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安全保密措施</w:t>
            </w:r>
          </w:p>
        </w:tc>
        <w:tc>
          <w:tcPr>
            <w:tcW w:w="356" w:type="pct"/>
            <w:tcBorders>
              <w:top w:val="single" w:color="auto" w:sz="4" w:space="0"/>
              <w:left w:val="nil"/>
              <w:bottom w:val="single" w:color="auto" w:sz="4" w:space="0"/>
              <w:right w:val="single" w:color="auto" w:sz="4" w:space="0"/>
            </w:tcBorders>
            <w:shd w:val="clear" w:color="auto" w:fill="auto"/>
            <w:noWrap w:val="0"/>
            <w:vAlign w:val="center"/>
          </w:tcPr>
          <w:p w14:paraId="6E971D5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kern w:val="0"/>
                <w:sz w:val="21"/>
                <w:szCs w:val="21"/>
                <w:highlight w:val="none"/>
                <w:lang w:val="en-US" w:eastAsia="zh-CN"/>
                <w14:textFill>
                  <w14:solidFill>
                    <w14:schemeClr w14:val="tx1"/>
                  </w14:solidFill>
                </w14:textFill>
              </w:rPr>
              <w:t>主观</w:t>
            </w:r>
          </w:p>
        </w:tc>
        <w:tc>
          <w:tcPr>
            <w:tcW w:w="3679" w:type="pct"/>
            <w:tcBorders>
              <w:top w:val="single" w:color="auto" w:sz="4" w:space="0"/>
              <w:left w:val="nil"/>
              <w:bottom w:val="single" w:color="auto" w:sz="4" w:space="0"/>
              <w:right w:val="single" w:color="auto" w:sz="4" w:space="0"/>
            </w:tcBorders>
            <w:shd w:val="clear" w:color="auto" w:fill="FFFFFF"/>
            <w:noWrap w:val="0"/>
            <w:vAlign w:val="center"/>
          </w:tcPr>
          <w:p w14:paraId="4E1086B2">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t>根据</w:t>
            </w:r>
            <w:r>
              <w:rPr>
                <w:rFonts w:hint="eastAsia" w:ascii="宋体" w:hAnsi="宋体" w:eastAsia="宋体" w:cs="宋体"/>
                <w:color w:val="000000" w:themeColor="text1"/>
                <w:sz w:val="21"/>
                <w:szCs w:val="21"/>
                <w:highlight w:val="none"/>
                <w:lang w:val="en-US" w:eastAsia="zh-CN"/>
                <w14:textFill>
                  <w14:solidFill>
                    <w14:schemeClr w14:val="tx1"/>
                  </w14:solidFill>
                </w14:textFill>
              </w:rPr>
              <w:t>投标人针对本项目的</w:t>
            </w:r>
            <w:r>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t>安全保密措施</w:t>
            </w:r>
            <w:r>
              <w:rPr>
                <w:rFonts w:hint="eastAsia" w:ascii="宋体" w:hAnsi="宋体" w:cs="宋体"/>
                <w:bCs/>
                <w:color w:val="000000" w:themeColor="text1"/>
                <w:kern w:val="2"/>
                <w:sz w:val="21"/>
                <w:szCs w:val="21"/>
                <w:highlight w:val="none"/>
                <w:lang w:val="en-US" w:eastAsia="zh-CN" w:bidi="ar-SA"/>
                <w14:textFill>
                  <w14:solidFill>
                    <w14:schemeClr w14:val="tx1"/>
                  </w14:solidFill>
                </w14:textFill>
              </w:rPr>
              <w:t>及档案留存的年限、管理方式</w:t>
            </w:r>
            <w:r>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t>进行综合评分：</w:t>
            </w:r>
          </w:p>
          <w:p w14:paraId="77DF8496">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cs="宋体"/>
                <w:color w:val="000000" w:themeColor="text1"/>
                <w:sz w:val="21"/>
                <w:szCs w:val="21"/>
                <w:highlight w:val="none"/>
                <w:lang w:val="en-US" w:eastAsia="zh-CN"/>
                <w14:textFill>
                  <w14:solidFill>
                    <w14:schemeClr w14:val="tx1"/>
                  </w14:solidFill>
                </w14:textFill>
              </w:rPr>
              <w:t>具有完整的保密措施及条例，有效防止泄密，</w:t>
            </w:r>
            <w:r>
              <w:rPr>
                <w:rFonts w:hint="eastAsia" w:ascii="宋体" w:hAnsi="宋体" w:eastAsia="宋体" w:cs="宋体"/>
                <w:color w:val="000000" w:themeColor="text1"/>
                <w:sz w:val="21"/>
                <w:szCs w:val="21"/>
                <w:highlight w:val="none"/>
                <w:lang w:val="en-US" w:eastAsia="zh-CN"/>
                <w14:textFill>
                  <w14:solidFill>
                    <w14:schemeClr w14:val="tx1"/>
                  </w14:solidFill>
                </w14:textFill>
              </w:rPr>
              <w:t>完全满足项目实施需求的得</w:t>
            </w:r>
            <w:r>
              <w:rPr>
                <w:rFonts w:hint="eastAsia" w:ascii="宋体" w:hAnsi="宋体" w:cs="宋体"/>
                <w:color w:val="000000" w:themeColor="text1"/>
                <w:sz w:val="21"/>
                <w:szCs w:val="21"/>
                <w:highlight w:val="none"/>
                <w:lang w:val="en-US" w:eastAsia="zh-CN"/>
                <w14:textFill>
                  <w14:solidFill>
                    <w14:schemeClr w14:val="tx1"/>
                  </w14:solidFill>
                </w14:textFill>
              </w:rPr>
              <w:t>8</w:t>
            </w:r>
            <w:r>
              <w:rPr>
                <w:rFonts w:hint="eastAsia" w:ascii="宋体" w:hAnsi="宋体" w:eastAsia="宋体" w:cs="宋体"/>
                <w:color w:val="000000" w:themeColor="text1"/>
                <w:sz w:val="21"/>
                <w:szCs w:val="21"/>
                <w:highlight w:val="none"/>
                <w:lang w:val="en-US" w:eastAsia="zh-CN"/>
                <w14:textFill>
                  <w14:solidFill>
                    <w14:schemeClr w14:val="tx1"/>
                  </w14:solidFill>
                </w14:textFill>
              </w:rPr>
              <w:t>分；</w:t>
            </w:r>
          </w:p>
          <w:p w14:paraId="083A543A">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2、保密措施内容较清晰完善、防范员工泄密的有一定措施，</w:t>
            </w:r>
            <w:r>
              <w:rPr>
                <w:rFonts w:hint="eastAsia" w:ascii="宋体" w:hAnsi="宋体" w:cs="宋体"/>
                <w:color w:val="000000" w:themeColor="text1"/>
                <w:sz w:val="21"/>
                <w:szCs w:val="21"/>
                <w:highlight w:val="none"/>
                <w:lang w:val="en-US" w:eastAsia="zh-CN"/>
                <w14:textFill>
                  <w14:solidFill>
                    <w14:schemeClr w14:val="tx1"/>
                  </w14:solidFill>
                </w14:textFill>
              </w:rPr>
              <w:t>具有较为完整的保密措施及条例，</w:t>
            </w:r>
            <w:r>
              <w:rPr>
                <w:rFonts w:hint="eastAsia" w:ascii="宋体" w:hAnsi="宋体" w:eastAsia="宋体" w:cs="宋体"/>
                <w:color w:val="000000" w:themeColor="text1"/>
                <w:sz w:val="21"/>
                <w:szCs w:val="21"/>
                <w:highlight w:val="none"/>
                <w:lang w:val="en-US" w:eastAsia="zh-CN"/>
                <w14:textFill>
                  <w14:solidFill>
                    <w14:schemeClr w14:val="tx1"/>
                  </w14:solidFill>
                </w14:textFill>
              </w:rPr>
              <w:t>基本满足项目实施需求的得</w:t>
            </w:r>
            <w:r>
              <w:rPr>
                <w:rFonts w:hint="eastAsia" w:ascii="宋体" w:hAnsi="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lang w:val="en-US" w:eastAsia="zh-CN"/>
                <w14:textFill>
                  <w14:solidFill>
                    <w14:schemeClr w14:val="tx1"/>
                  </w14:solidFill>
                </w14:textFill>
              </w:rPr>
              <w:t>分；</w:t>
            </w:r>
          </w:p>
          <w:p w14:paraId="1333D4D1">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textAlignment w:val="auto"/>
              <w:rPr>
                <w:rFonts w:hint="eastAsia" w:ascii="宋体" w:hAnsi="宋体" w:cs="宋体"/>
                <w:strike w:val="0"/>
                <w:dstrike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3、保密措施内容</w:t>
            </w:r>
            <w:r>
              <w:rPr>
                <w:rFonts w:hint="eastAsia" w:ascii="宋体" w:hAnsi="宋体" w:cs="宋体"/>
                <w:strike w:val="0"/>
                <w:dstrike w:val="0"/>
                <w:color w:val="000000" w:themeColor="text1"/>
                <w:sz w:val="21"/>
                <w:szCs w:val="21"/>
                <w:highlight w:val="none"/>
                <w:lang w:val="en-US" w:eastAsia="zh-CN"/>
                <w14:textFill>
                  <w14:solidFill>
                    <w14:schemeClr w14:val="tx1"/>
                  </w14:solidFill>
                </w14:textFill>
              </w:rPr>
              <w:t>较为普通</w:t>
            </w: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、防范员工泄密的措施</w:t>
            </w:r>
            <w:r>
              <w:rPr>
                <w:rFonts w:hint="eastAsia" w:ascii="宋体" w:hAnsi="宋体" w:cs="宋体"/>
                <w:strike w:val="0"/>
                <w:dstrike w:val="0"/>
                <w:color w:val="000000" w:themeColor="text1"/>
                <w:sz w:val="21"/>
                <w:szCs w:val="21"/>
                <w:highlight w:val="none"/>
                <w:lang w:val="en-US" w:eastAsia="zh-CN"/>
                <w14:textFill>
                  <w14:solidFill>
                    <w14:schemeClr w14:val="tx1"/>
                  </w14:solidFill>
                </w14:textFill>
              </w:rPr>
              <w:t>尚可</w:t>
            </w: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、公司保密</w:t>
            </w:r>
            <w:r>
              <w:rPr>
                <w:rFonts w:hint="eastAsia" w:ascii="宋体" w:hAnsi="宋体" w:cs="宋体"/>
                <w:strike w:val="0"/>
                <w:dstrike w:val="0"/>
                <w:color w:val="000000" w:themeColor="text1"/>
                <w:sz w:val="21"/>
                <w:szCs w:val="21"/>
                <w:highlight w:val="none"/>
                <w:lang w:val="en-US" w:eastAsia="zh-CN"/>
                <w14:textFill>
                  <w14:solidFill>
                    <w14:schemeClr w14:val="tx1"/>
                  </w14:solidFill>
                </w14:textFill>
              </w:rPr>
              <w:t>制度</w:t>
            </w: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尚可得</w:t>
            </w:r>
            <w:r>
              <w:rPr>
                <w:rFonts w:hint="eastAsia" w:ascii="宋体" w:hAnsi="宋体" w:cs="宋体"/>
                <w:strike w:val="0"/>
                <w:dstrike w:val="0"/>
                <w:color w:val="000000" w:themeColor="text1"/>
                <w:sz w:val="21"/>
                <w:szCs w:val="21"/>
                <w:highlight w:val="none"/>
                <w:lang w:val="en-US" w:eastAsia="zh-CN"/>
                <w14:textFill>
                  <w14:solidFill>
                    <w14:schemeClr w14:val="tx1"/>
                  </w14:solidFill>
                </w14:textFill>
              </w:rPr>
              <w:t>2</w:t>
            </w: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分</w:t>
            </w:r>
            <w:r>
              <w:rPr>
                <w:rFonts w:hint="eastAsia" w:ascii="宋体" w:hAnsi="宋体" w:cs="宋体"/>
                <w:strike w:val="0"/>
                <w:dstrike w:val="0"/>
                <w:color w:val="000000" w:themeColor="text1"/>
                <w:sz w:val="21"/>
                <w:szCs w:val="21"/>
                <w:highlight w:val="none"/>
                <w:lang w:val="en-US" w:eastAsia="zh-CN"/>
                <w14:textFill>
                  <w14:solidFill>
                    <w14:schemeClr w14:val="tx1"/>
                  </w14:solidFill>
                </w14:textFill>
              </w:rPr>
              <w:t>；</w:t>
            </w:r>
          </w:p>
          <w:p w14:paraId="112E590B">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cs="宋体"/>
                <w:strike w:val="0"/>
                <w:dstrike w:val="0"/>
                <w:color w:val="000000" w:themeColor="text1"/>
                <w:sz w:val="21"/>
                <w:szCs w:val="21"/>
                <w:highlight w:val="none"/>
                <w:lang w:val="en-US" w:eastAsia="zh-CN"/>
                <w14:textFill>
                  <w14:solidFill>
                    <w14:schemeClr w14:val="tx1"/>
                  </w14:solidFill>
                </w14:textFill>
              </w:rPr>
              <w:t>4、保密措施较差，可能导致泄密的或</w:t>
            </w:r>
            <w:r>
              <w:rPr>
                <w:rFonts w:hint="eastAsia" w:ascii="宋体" w:hAnsi="宋体" w:eastAsia="宋体" w:cs="宋体"/>
                <w:strike w:val="0"/>
                <w:dstrike w:val="0"/>
                <w:color w:val="000000" w:themeColor="text1"/>
                <w:sz w:val="21"/>
                <w:szCs w:val="21"/>
                <w:highlight w:val="none"/>
                <w:lang w:val="en-US" w:eastAsia="zh-CN"/>
                <w14:textFill>
                  <w14:solidFill>
                    <w14:schemeClr w14:val="tx1"/>
                  </w14:solidFill>
                </w14:textFill>
              </w:rPr>
              <w:t>未提供不得分。</w:t>
            </w:r>
          </w:p>
        </w:tc>
        <w:tc>
          <w:tcPr>
            <w:tcW w:w="305" w:type="pct"/>
            <w:tcBorders>
              <w:top w:val="single" w:color="auto" w:sz="4" w:space="0"/>
              <w:left w:val="nil"/>
              <w:bottom w:val="single" w:color="auto" w:sz="4" w:space="0"/>
              <w:right w:val="single" w:color="auto" w:sz="4" w:space="0"/>
            </w:tcBorders>
            <w:shd w:val="clear" w:color="auto" w:fill="FFFFFF"/>
            <w:noWrap w:val="0"/>
            <w:vAlign w:val="center"/>
          </w:tcPr>
          <w:p w14:paraId="135CE342">
            <w:pPr>
              <w:pStyle w:val="10"/>
              <w:keepNext w:val="0"/>
              <w:keepLines w:val="0"/>
              <w:pageBreakBefore w:val="0"/>
              <w:kinsoku/>
              <w:wordWrap/>
              <w:overflowPunct/>
              <w:topLinePunct w:val="0"/>
              <w:autoSpaceDE/>
              <w:autoSpaceDN/>
              <w:bidi w:val="0"/>
              <w:adjustRightInd/>
              <w:snapToGrid w:val="0"/>
              <w:spacing w:after="0" w:line="360" w:lineRule="auto"/>
              <w:ind w:left="0" w:leftChars="0"/>
              <w:jc w:val="center"/>
              <w:textAlignment w:val="auto"/>
              <w:outlineLvl w:val="0"/>
              <w:rPr>
                <w:rFonts w:hint="eastAsia" w:ascii="宋体" w:hAnsi="宋体" w:eastAsia="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8</w:t>
            </w:r>
          </w:p>
        </w:tc>
      </w:tr>
      <w:tr w14:paraId="37D865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4694" w:type="pct"/>
            <w:gridSpan w:val="4"/>
            <w:tcBorders>
              <w:top w:val="single" w:color="auto" w:sz="4" w:space="0"/>
              <w:left w:val="single" w:color="auto" w:sz="4" w:space="0"/>
              <w:bottom w:val="single" w:color="auto" w:sz="4" w:space="0"/>
              <w:right w:val="single" w:color="auto" w:sz="4" w:space="0"/>
            </w:tcBorders>
            <w:shd w:val="clear" w:color="auto" w:fill="auto"/>
            <w:noWrap w:val="0"/>
            <w:vAlign w:val="center"/>
          </w:tcPr>
          <w:p w14:paraId="372FEFBA">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leftChars="0" w:right="0"/>
              <w:jc w:val="center"/>
              <w:textAlignment w:val="auto"/>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合计</w:t>
            </w:r>
          </w:p>
        </w:tc>
        <w:tc>
          <w:tcPr>
            <w:tcW w:w="305" w:type="pct"/>
            <w:tcBorders>
              <w:top w:val="single" w:color="auto" w:sz="4" w:space="0"/>
              <w:left w:val="nil"/>
              <w:bottom w:val="single" w:color="auto" w:sz="4" w:space="0"/>
              <w:right w:val="single" w:color="auto" w:sz="4" w:space="0"/>
            </w:tcBorders>
            <w:shd w:val="clear" w:color="auto" w:fill="FFFFFF"/>
            <w:noWrap w:val="0"/>
            <w:vAlign w:val="center"/>
          </w:tcPr>
          <w:p w14:paraId="3879C13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90</w:t>
            </w:r>
          </w:p>
        </w:tc>
      </w:tr>
    </w:tbl>
    <w:p w14:paraId="4D6EE034">
      <w:pPr>
        <w:pageBreakBefore w:val="0"/>
        <w:kinsoku/>
        <w:wordWrap/>
        <w:overflowPunct/>
        <w:topLinePunct w:val="0"/>
        <w:bidi w:val="0"/>
        <w:spacing w:line="360" w:lineRule="auto"/>
        <w:rPr>
          <w:rFonts w:hint="eastAsia" w:ascii="宋体" w:hAnsi="宋体" w:cs="宋体"/>
          <w:b/>
          <w:sz w:val="28"/>
          <w:szCs w:val="28"/>
          <w:highlight w:val="none"/>
        </w:rPr>
      </w:pPr>
      <w:r>
        <w:rPr>
          <w:rFonts w:hint="eastAsia" w:ascii="宋体" w:hAnsi="宋体" w:cs="宋体"/>
          <w:b/>
          <w:sz w:val="28"/>
          <w:szCs w:val="28"/>
          <w:highlight w:val="none"/>
        </w:rPr>
        <w:br w:type="page"/>
      </w:r>
    </w:p>
    <w:p w14:paraId="6E3D18DE">
      <w:pPr>
        <w:pageBreakBefore w:val="0"/>
        <w:kinsoku/>
        <w:wordWrap/>
        <w:overflowPunct/>
        <w:topLinePunct w:val="0"/>
        <w:bidi w:val="0"/>
        <w:spacing w:line="360" w:lineRule="auto"/>
        <w:jc w:val="center"/>
        <w:outlineLvl w:val="0"/>
        <w:rPr>
          <w:rFonts w:ascii="宋体" w:hAnsi="宋体" w:cs="宋体"/>
          <w:b/>
          <w:sz w:val="28"/>
          <w:szCs w:val="28"/>
          <w:highlight w:val="none"/>
        </w:rPr>
      </w:pPr>
      <w:r>
        <w:rPr>
          <w:rFonts w:hint="eastAsia" w:ascii="宋体" w:hAnsi="宋体" w:cs="宋体"/>
          <w:b/>
          <w:sz w:val="28"/>
          <w:szCs w:val="28"/>
          <w:highlight w:val="none"/>
        </w:rPr>
        <w:t>第五章  合同主要条款</w:t>
      </w:r>
    </w:p>
    <w:p w14:paraId="49AD7942">
      <w:pPr>
        <w:pageBreakBefore w:val="0"/>
        <w:kinsoku/>
        <w:wordWrap/>
        <w:overflowPunct/>
        <w:topLinePunct w:val="0"/>
        <w:bidi w:val="0"/>
        <w:snapToGrid w:val="0"/>
        <w:spacing w:before="156" w:beforeLines="50" w:after="156" w:afterLines="50" w:line="360" w:lineRule="auto"/>
        <w:jc w:val="center"/>
        <w:outlineLvl w:val="9"/>
        <w:rPr>
          <w:sz w:val="28"/>
          <w:szCs w:val="28"/>
          <w:highlight w:val="none"/>
        </w:rPr>
      </w:pPr>
      <w:r>
        <w:rPr>
          <w:rFonts w:hint="eastAsia" w:ascii="宋体" w:hAnsi="宋体" w:cs="宋体"/>
          <w:b/>
          <w:sz w:val="28"/>
          <w:szCs w:val="28"/>
          <w:highlight w:val="none"/>
        </w:rPr>
        <w:t>（具体条款以甲方</w:t>
      </w:r>
      <w:r>
        <w:rPr>
          <w:rFonts w:hint="eastAsia" w:ascii="宋体" w:hAnsi="宋体" w:cs="宋体"/>
          <w:b/>
          <w:sz w:val="28"/>
          <w:szCs w:val="28"/>
          <w:highlight w:val="none"/>
          <w:lang w:val="en-US" w:eastAsia="zh-CN"/>
        </w:rPr>
        <w:t>为主</w:t>
      </w:r>
      <w:r>
        <w:rPr>
          <w:rFonts w:hint="eastAsia" w:ascii="宋体" w:hAnsi="宋体" w:cs="宋体"/>
          <w:b/>
          <w:sz w:val="28"/>
          <w:szCs w:val="28"/>
          <w:highlight w:val="none"/>
        </w:rPr>
        <w:t>协商确定）</w:t>
      </w:r>
    </w:p>
    <w:p w14:paraId="774D28AE">
      <w:pPr>
        <w:pageBreakBefore w:val="0"/>
        <w:kinsoku/>
        <w:wordWrap/>
        <w:overflowPunct/>
        <w:topLinePunct w:val="0"/>
        <w:bidi w:val="0"/>
        <w:spacing w:line="360" w:lineRule="auto"/>
        <w:jc w:val="center"/>
        <w:rPr>
          <w:rFonts w:ascii="宋体" w:hAnsi="宋体" w:cs="宋体"/>
          <w:sz w:val="44"/>
          <w:highlight w:val="none"/>
        </w:rPr>
      </w:pPr>
    </w:p>
    <w:p w14:paraId="3B7A4832">
      <w:pPr>
        <w:pageBreakBefore w:val="0"/>
        <w:kinsoku/>
        <w:wordWrap/>
        <w:overflowPunct/>
        <w:topLinePunct w:val="0"/>
        <w:bidi w:val="0"/>
        <w:spacing w:line="360" w:lineRule="auto"/>
        <w:jc w:val="center"/>
        <w:rPr>
          <w:rFonts w:ascii="宋体" w:hAnsi="宋体" w:cs="宋体"/>
          <w:sz w:val="44"/>
          <w:highlight w:val="none"/>
        </w:rPr>
      </w:pPr>
    </w:p>
    <w:p w14:paraId="63F02980">
      <w:pPr>
        <w:pageBreakBefore w:val="0"/>
        <w:kinsoku/>
        <w:wordWrap/>
        <w:overflowPunct/>
        <w:topLinePunct w:val="0"/>
        <w:bidi w:val="0"/>
        <w:spacing w:line="360" w:lineRule="auto"/>
        <w:jc w:val="center"/>
        <w:rPr>
          <w:rFonts w:ascii="宋体" w:hAnsi="宋体" w:cs="宋体"/>
          <w:sz w:val="44"/>
          <w:highlight w:val="none"/>
        </w:rPr>
      </w:pPr>
    </w:p>
    <w:p w14:paraId="6C400B6D">
      <w:pPr>
        <w:pageBreakBefore w:val="0"/>
        <w:kinsoku/>
        <w:wordWrap/>
        <w:overflowPunct/>
        <w:topLinePunct w:val="0"/>
        <w:bidi w:val="0"/>
        <w:spacing w:line="360" w:lineRule="auto"/>
        <w:jc w:val="center"/>
        <w:rPr>
          <w:rFonts w:ascii="宋体" w:hAnsi="宋体" w:cs="宋体"/>
          <w:sz w:val="44"/>
          <w:highlight w:val="none"/>
        </w:rPr>
      </w:pPr>
      <w:r>
        <w:rPr>
          <w:rFonts w:hint="eastAsia" w:ascii="宋体" w:hAnsi="宋体" w:cs="宋体"/>
          <w:sz w:val="44"/>
          <w:highlight w:val="none"/>
        </w:rPr>
        <w:t>项目合同</w:t>
      </w:r>
    </w:p>
    <w:p w14:paraId="28B6CC34">
      <w:pPr>
        <w:pageBreakBefore w:val="0"/>
        <w:kinsoku/>
        <w:wordWrap/>
        <w:overflowPunct/>
        <w:topLinePunct w:val="0"/>
        <w:bidi w:val="0"/>
        <w:spacing w:line="360" w:lineRule="auto"/>
        <w:jc w:val="center"/>
        <w:rPr>
          <w:rFonts w:ascii="宋体" w:hAnsi="宋体" w:cs="宋体"/>
          <w:sz w:val="30"/>
          <w:szCs w:val="30"/>
          <w:highlight w:val="none"/>
        </w:rPr>
      </w:pPr>
    </w:p>
    <w:p w14:paraId="7311FA99">
      <w:pPr>
        <w:pageBreakBefore w:val="0"/>
        <w:kinsoku/>
        <w:wordWrap/>
        <w:overflowPunct/>
        <w:topLinePunct w:val="0"/>
        <w:bidi w:val="0"/>
        <w:spacing w:line="360" w:lineRule="auto"/>
        <w:ind w:firstLine="1026" w:firstLineChars="342"/>
        <w:rPr>
          <w:rFonts w:ascii="宋体" w:hAnsi="宋体" w:cs="宋体"/>
          <w:sz w:val="30"/>
          <w:szCs w:val="30"/>
          <w:highlight w:val="none"/>
        </w:rPr>
      </w:pPr>
      <w:r>
        <w:rPr>
          <w:rFonts w:hint="eastAsia" w:ascii="宋体" w:hAnsi="宋体" w:cs="宋体"/>
          <w:sz w:val="30"/>
          <w:szCs w:val="30"/>
          <w:highlight w:val="none"/>
        </w:rPr>
        <w:t>项目名称：</w:t>
      </w:r>
      <w:r>
        <w:rPr>
          <w:rFonts w:hint="eastAsia" w:ascii="宋体" w:hAnsi="宋体" w:cs="宋体"/>
          <w:sz w:val="30"/>
          <w:szCs w:val="30"/>
          <w:highlight w:val="none"/>
          <w:u w:val="single"/>
        </w:rPr>
        <w:t xml:space="preserve">                                        </w:t>
      </w:r>
    </w:p>
    <w:p w14:paraId="5583FA2D">
      <w:pPr>
        <w:pageBreakBefore w:val="0"/>
        <w:kinsoku/>
        <w:wordWrap/>
        <w:overflowPunct/>
        <w:topLinePunct w:val="0"/>
        <w:bidi w:val="0"/>
        <w:spacing w:line="360" w:lineRule="auto"/>
        <w:ind w:firstLine="354" w:firstLineChars="118"/>
        <w:rPr>
          <w:rFonts w:ascii="宋体" w:hAnsi="宋体" w:cs="宋体"/>
          <w:sz w:val="30"/>
          <w:szCs w:val="30"/>
          <w:highlight w:val="none"/>
        </w:rPr>
      </w:pPr>
    </w:p>
    <w:p w14:paraId="3B7293BD">
      <w:pPr>
        <w:pageBreakBefore w:val="0"/>
        <w:kinsoku/>
        <w:wordWrap/>
        <w:overflowPunct/>
        <w:topLinePunct w:val="0"/>
        <w:bidi w:val="0"/>
        <w:spacing w:line="360" w:lineRule="auto"/>
        <w:ind w:firstLine="1026" w:firstLineChars="342"/>
        <w:rPr>
          <w:rFonts w:ascii="宋体" w:hAnsi="宋体" w:cs="宋体"/>
          <w:sz w:val="30"/>
          <w:szCs w:val="30"/>
          <w:highlight w:val="none"/>
          <w:u w:val="single"/>
        </w:rPr>
      </w:pPr>
      <w:r>
        <w:rPr>
          <w:rFonts w:hint="eastAsia" w:ascii="宋体" w:hAnsi="宋体" w:cs="宋体"/>
          <w:sz w:val="30"/>
          <w:szCs w:val="30"/>
          <w:highlight w:val="none"/>
        </w:rPr>
        <w:t>项目编号：</w:t>
      </w:r>
      <w:r>
        <w:rPr>
          <w:rFonts w:hint="eastAsia" w:ascii="宋体" w:hAnsi="宋体" w:cs="宋体"/>
          <w:sz w:val="30"/>
          <w:szCs w:val="30"/>
          <w:highlight w:val="none"/>
          <w:u w:val="single"/>
        </w:rPr>
        <w:t xml:space="preserve">                                        </w:t>
      </w:r>
    </w:p>
    <w:p w14:paraId="26981580">
      <w:pPr>
        <w:pageBreakBefore w:val="0"/>
        <w:kinsoku/>
        <w:wordWrap/>
        <w:overflowPunct/>
        <w:topLinePunct w:val="0"/>
        <w:bidi w:val="0"/>
        <w:spacing w:line="360" w:lineRule="auto"/>
        <w:rPr>
          <w:rFonts w:ascii="宋体" w:hAnsi="宋体" w:cs="宋体"/>
          <w:sz w:val="28"/>
          <w:szCs w:val="28"/>
          <w:highlight w:val="none"/>
        </w:rPr>
      </w:pPr>
    </w:p>
    <w:p w14:paraId="0EF5C05D">
      <w:pPr>
        <w:pageBreakBefore w:val="0"/>
        <w:kinsoku/>
        <w:wordWrap/>
        <w:overflowPunct/>
        <w:topLinePunct w:val="0"/>
        <w:bidi w:val="0"/>
        <w:spacing w:line="360" w:lineRule="auto"/>
        <w:rPr>
          <w:rFonts w:ascii="宋体" w:hAnsi="宋体" w:cs="宋体"/>
          <w:sz w:val="30"/>
          <w:szCs w:val="30"/>
          <w:highlight w:val="none"/>
        </w:rPr>
      </w:pPr>
    </w:p>
    <w:p w14:paraId="4B4F67E9">
      <w:pPr>
        <w:pageBreakBefore w:val="0"/>
        <w:kinsoku/>
        <w:wordWrap/>
        <w:overflowPunct/>
        <w:topLinePunct w:val="0"/>
        <w:bidi w:val="0"/>
        <w:spacing w:line="360" w:lineRule="auto"/>
        <w:rPr>
          <w:rFonts w:ascii="宋体" w:hAnsi="宋体" w:cs="宋体"/>
          <w:sz w:val="30"/>
          <w:szCs w:val="30"/>
          <w:highlight w:val="none"/>
        </w:rPr>
      </w:pPr>
    </w:p>
    <w:p w14:paraId="38DEF557">
      <w:pPr>
        <w:pageBreakBefore w:val="0"/>
        <w:kinsoku/>
        <w:wordWrap/>
        <w:overflowPunct/>
        <w:topLinePunct w:val="0"/>
        <w:bidi w:val="0"/>
        <w:spacing w:line="360" w:lineRule="auto"/>
        <w:rPr>
          <w:rFonts w:ascii="宋体" w:hAnsi="宋体" w:cs="宋体"/>
          <w:sz w:val="30"/>
          <w:szCs w:val="30"/>
          <w:highlight w:val="none"/>
        </w:rPr>
      </w:pPr>
    </w:p>
    <w:p w14:paraId="70B19F2C">
      <w:pPr>
        <w:pageBreakBefore w:val="0"/>
        <w:kinsoku/>
        <w:wordWrap/>
        <w:overflowPunct/>
        <w:topLinePunct w:val="0"/>
        <w:bidi w:val="0"/>
        <w:spacing w:line="360" w:lineRule="auto"/>
        <w:rPr>
          <w:rFonts w:ascii="宋体" w:hAnsi="宋体" w:cs="宋体"/>
          <w:sz w:val="30"/>
          <w:szCs w:val="30"/>
          <w:highlight w:val="none"/>
        </w:rPr>
      </w:pPr>
    </w:p>
    <w:p w14:paraId="1EE7A3DC">
      <w:pPr>
        <w:pageBreakBefore w:val="0"/>
        <w:kinsoku/>
        <w:wordWrap/>
        <w:overflowPunct/>
        <w:topLinePunct w:val="0"/>
        <w:bidi w:val="0"/>
        <w:spacing w:line="360" w:lineRule="auto"/>
        <w:ind w:firstLine="1026" w:firstLineChars="342"/>
        <w:rPr>
          <w:rFonts w:ascii="宋体" w:hAnsi="宋体" w:cs="宋体"/>
          <w:sz w:val="30"/>
          <w:szCs w:val="30"/>
          <w:highlight w:val="none"/>
        </w:rPr>
      </w:pPr>
      <w:r>
        <w:rPr>
          <w:rFonts w:hint="eastAsia" w:ascii="宋体" w:hAnsi="宋体" w:cs="宋体"/>
          <w:sz w:val="30"/>
          <w:szCs w:val="30"/>
          <w:highlight w:val="none"/>
        </w:rPr>
        <w:t>采购人（甲方）：</w:t>
      </w:r>
      <w:r>
        <w:rPr>
          <w:rFonts w:hint="eastAsia" w:ascii="宋体" w:hAnsi="宋体" w:cs="宋体"/>
          <w:sz w:val="36"/>
          <w:szCs w:val="36"/>
          <w:highlight w:val="none"/>
          <w:u w:val="single"/>
        </w:rPr>
        <w:t xml:space="preserve">                             </w:t>
      </w:r>
    </w:p>
    <w:p w14:paraId="1B485794">
      <w:pPr>
        <w:pageBreakBefore w:val="0"/>
        <w:kinsoku/>
        <w:wordWrap/>
        <w:overflowPunct/>
        <w:topLinePunct w:val="0"/>
        <w:bidi w:val="0"/>
        <w:spacing w:line="360" w:lineRule="auto"/>
        <w:ind w:firstLine="1026" w:firstLineChars="342"/>
        <w:rPr>
          <w:rFonts w:ascii="宋体" w:hAnsi="宋体" w:cs="宋体"/>
          <w:sz w:val="30"/>
          <w:szCs w:val="30"/>
          <w:highlight w:val="none"/>
        </w:rPr>
      </w:pPr>
      <w:r>
        <w:rPr>
          <w:rFonts w:hint="eastAsia" w:ascii="宋体" w:hAnsi="宋体" w:cs="宋体"/>
          <w:sz w:val="30"/>
          <w:szCs w:val="30"/>
          <w:highlight w:val="none"/>
        </w:rPr>
        <w:t>中标人（乙方）：</w:t>
      </w:r>
      <w:r>
        <w:rPr>
          <w:rFonts w:hint="eastAsia" w:ascii="宋体" w:hAnsi="宋体" w:cs="宋体"/>
          <w:sz w:val="36"/>
          <w:szCs w:val="36"/>
          <w:highlight w:val="none"/>
          <w:u w:val="single"/>
        </w:rPr>
        <w:t xml:space="preserve">                             </w:t>
      </w:r>
    </w:p>
    <w:p w14:paraId="734BAC6C">
      <w:pPr>
        <w:pageBreakBefore w:val="0"/>
        <w:kinsoku/>
        <w:wordWrap/>
        <w:overflowPunct/>
        <w:topLinePunct w:val="0"/>
        <w:bidi w:val="0"/>
        <w:spacing w:line="360" w:lineRule="auto"/>
        <w:ind w:firstLine="1026" w:firstLineChars="342"/>
        <w:rPr>
          <w:rFonts w:ascii="宋体" w:hAnsi="宋体" w:cs="宋体"/>
          <w:sz w:val="30"/>
          <w:szCs w:val="30"/>
          <w:highlight w:val="none"/>
        </w:rPr>
      </w:pPr>
      <w:r>
        <w:rPr>
          <w:rFonts w:hint="eastAsia" w:ascii="宋体" w:hAnsi="宋体" w:cs="宋体"/>
          <w:sz w:val="30"/>
          <w:szCs w:val="30"/>
          <w:highlight w:val="none"/>
        </w:rPr>
        <w:t>合同</w:t>
      </w:r>
      <w:r>
        <w:rPr>
          <w:rFonts w:hint="eastAsia" w:ascii="宋体" w:hAnsi="宋体" w:cs="宋体"/>
          <w:sz w:val="30"/>
          <w:szCs w:val="30"/>
          <w:highlight w:val="none"/>
          <w:lang w:val="en-US" w:eastAsia="zh-CN"/>
        </w:rPr>
        <w:t>签订</w:t>
      </w:r>
      <w:r>
        <w:rPr>
          <w:rFonts w:hint="eastAsia" w:ascii="宋体" w:hAnsi="宋体" w:cs="宋体"/>
          <w:sz w:val="30"/>
          <w:szCs w:val="30"/>
          <w:highlight w:val="none"/>
        </w:rPr>
        <w:t>日：</w:t>
      </w:r>
      <w:r>
        <w:rPr>
          <w:rFonts w:hint="eastAsia" w:ascii="宋体" w:hAnsi="宋体" w:cs="宋体"/>
          <w:sz w:val="30"/>
          <w:szCs w:val="30"/>
          <w:highlight w:val="none"/>
          <w:u w:val="single"/>
        </w:rPr>
        <w:t xml:space="preserve"> 20  年   月   日                      </w:t>
      </w:r>
    </w:p>
    <w:p w14:paraId="7027D29C">
      <w:pPr>
        <w:pageBreakBefore w:val="0"/>
        <w:kinsoku/>
        <w:wordWrap/>
        <w:overflowPunct/>
        <w:topLinePunct w:val="0"/>
        <w:bidi w:val="0"/>
        <w:spacing w:line="360" w:lineRule="auto"/>
        <w:ind w:firstLine="1026" w:firstLineChars="342"/>
        <w:rPr>
          <w:rFonts w:ascii="宋体" w:hAnsi="宋体" w:cs="宋体"/>
          <w:sz w:val="30"/>
          <w:szCs w:val="30"/>
          <w:highlight w:val="none"/>
        </w:rPr>
      </w:pPr>
      <w:r>
        <w:rPr>
          <w:rFonts w:hint="eastAsia" w:ascii="宋体" w:hAnsi="宋体" w:cs="宋体"/>
          <w:sz w:val="30"/>
          <w:szCs w:val="30"/>
          <w:highlight w:val="none"/>
        </w:rPr>
        <w:t>合同</w:t>
      </w:r>
      <w:r>
        <w:rPr>
          <w:rFonts w:hint="eastAsia" w:ascii="宋体" w:hAnsi="宋体" w:cs="宋体"/>
          <w:sz w:val="30"/>
          <w:szCs w:val="30"/>
          <w:highlight w:val="none"/>
          <w:lang w:val="en-US" w:eastAsia="zh-CN"/>
        </w:rPr>
        <w:t>签订</w:t>
      </w:r>
      <w:r>
        <w:rPr>
          <w:rFonts w:hint="eastAsia" w:ascii="宋体" w:hAnsi="宋体" w:cs="宋体"/>
          <w:sz w:val="30"/>
          <w:szCs w:val="30"/>
          <w:highlight w:val="none"/>
        </w:rPr>
        <w:t>地点：</w:t>
      </w:r>
      <w:r>
        <w:rPr>
          <w:rFonts w:hint="eastAsia" w:ascii="宋体" w:hAnsi="宋体" w:cs="宋体"/>
          <w:sz w:val="30"/>
          <w:szCs w:val="30"/>
          <w:highlight w:val="none"/>
          <w:u w:val="single"/>
        </w:rPr>
        <w:t>舟山市</w:t>
      </w:r>
      <w:r>
        <w:rPr>
          <w:rFonts w:hint="eastAsia" w:ascii="宋体" w:hAnsi="宋体" w:cs="宋体"/>
          <w:sz w:val="36"/>
          <w:szCs w:val="36"/>
          <w:highlight w:val="none"/>
          <w:u w:val="single"/>
        </w:rPr>
        <w:t xml:space="preserve">                     </w:t>
      </w:r>
    </w:p>
    <w:p w14:paraId="55581C6E">
      <w:pPr>
        <w:pageBreakBefore w:val="0"/>
        <w:kinsoku/>
        <w:wordWrap/>
        <w:overflowPunct/>
        <w:topLinePunct w:val="0"/>
        <w:bidi w:val="0"/>
        <w:snapToGrid w:val="0"/>
        <w:spacing w:line="360" w:lineRule="auto"/>
        <w:rPr>
          <w:rFonts w:ascii="宋体" w:hAnsi="宋体" w:cs="宋体"/>
          <w:szCs w:val="21"/>
          <w:highlight w:val="none"/>
        </w:rPr>
      </w:pPr>
    </w:p>
    <w:p w14:paraId="3B12CD64">
      <w:pPr>
        <w:pageBreakBefore w:val="0"/>
        <w:kinsoku/>
        <w:wordWrap/>
        <w:overflowPunct/>
        <w:topLinePunct w:val="0"/>
        <w:bidi w:val="0"/>
        <w:snapToGrid w:val="0"/>
        <w:spacing w:line="360" w:lineRule="auto"/>
        <w:rPr>
          <w:rFonts w:ascii="宋体" w:hAnsi="宋体" w:cs="宋体"/>
          <w:szCs w:val="21"/>
          <w:highlight w:val="none"/>
        </w:rPr>
      </w:pPr>
    </w:p>
    <w:p w14:paraId="4A2E0B2C">
      <w:pPr>
        <w:pageBreakBefore w:val="0"/>
        <w:kinsoku/>
        <w:wordWrap/>
        <w:overflowPunct/>
        <w:topLinePunct w:val="0"/>
        <w:bidi w:val="0"/>
        <w:snapToGrid w:val="0"/>
        <w:spacing w:line="360" w:lineRule="auto"/>
        <w:rPr>
          <w:rFonts w:ascii="宋体" w:hAnsi="宋体" w:cs="宋体"/>
          <w:szCs w:val="21"/>
          <w:highlight w:val="none"/>
        </w:rPr>
      </w:pPr>
    </w:p>
    <w:p w14:paraId="08419A54">
      <w:pPr>
        <w:pageBreakBefore w:val="0"/>
        <w:kinsoku/>
        <w:wordWrap/>
        <w:overflowPunct/>
        <w:topLinePunct w:val="0"/>
        <w:bidi w:val="0"/>
        <w:spacing w:line="360" w:lineRule="auto"/>
        <w:rPr>
          <w:rFonts w:hint="eastAsia" w:ascii="宋体" w:hAnsi="宋体" w:eastAsia="宋体" w:cs="宋体"/>
          <w:b/>
          <w:kern w:val="0"/>
          <w:sz w:val="21"/>
          <w:szCs w:val="21"/>
          <w:highlight w:val="none"/>
        </w:rPr>
      </w:pPr>
      <w:r>
        <w:rPr>
          <w:rFonts w:hint="eastAsia" w:ascii="宋体" w:hAnsi="宋体" w:eastAsia="宋体" w:cs="宋体"/>
          <w:b/>
          <w:kern w:val="0"/>
          <w:sz w:val="21"/>
          <w:szCs w:val="21"/>
          <w:highlight w:val="none"/>
        </w:rPr>
        <w:br w:type="page"/>
      </w:r>
    </w:p>
    <w:p w14:paraId="13DAA282">
      <w:pPr>
        <w:keepNext w:val="0"/>
        <w:keepLines w:val="0"/>
        <w:pageBreakBefore w:val="0"/>
        <w:widowControl/>
        <w:kinsoku/>
        <w:wordWrap/>
        <w:overflowPunct/>
        <w:topLinePunct w:val="0"/>
        <w:autoSpaceDE/>
        <w:autoSpaceDN/>
        <w:bidi w:val="0"/>
        <w:adjustRightInd/>
        <w:spacing w:line="360" w:lineRule="auto"/>
        <w:jc w:val="left"/>
        <w:textAlignment w:val="auto"/>
        <w:rPr>
          <w:rFonts w:hint="eastAsia" w:ascii="宋体" w:hAnsi="宋体" w:eastAsia="宋体" w:cs="宋体"/>
          <w:b/>
          <w:kern w:val="0"/>
          <w:sz w:val="21"/>
          <w:szCs w:val="21"/>
          <w:highlight w:val="none"/>
          <w:lang w:val="en-US" w:eastAsia="zh-CN"/>
        </w:rPr>
      </w:pPr>
      <w:r>
        <w:rPr>
          <w:rFonts w:hint="eastAsia" w:ascii="宋体" w:hAnsi="宋体" w:eastAsia="宋体" w:cs="宋体"/>
          <w:b/>
          <w:kern w:val="0"/>
          <w:sz w:val="21"/>
          <w:szCs w:val="21"/>
          <w:highlight w:val="none"/>
        </w:rPr>
        <w:t>甲方(采购</w:t>
      </w:r>
      <w:r>
        <w:rPr>
          <w:rFonts w:hint="eastAsia" w:ascii="宋体" w:hAnsi="宋体" w:cs="宋体"/>
          <w:b/>
          <w:kern w:val="0"/>
          <w:sz w:val="21"/>
          <w:szCs w:val="21"/>
          <w:highlight w:val="none"/>
          <w:lang w:val="en-US" w:eastAsia="zh-CN"/>
        </w:rPr>
        <w:t>人</w:t>
      </w:r>
      <w:r>
        <w:rPr>
          <w:rFonts w:hint="eastAsia" w:ascii="宋体" w:hAnsi="宋体" w:eastAsia="宋体" w:cs="宋体"/>
          <w:b/>
          <w:kern w:val="0"/>
          <w:sz w:val="21"/>
          <w:szCs w:val="21"/>
          <w:highlight w:val="none"/>
        </w:rPr>
        <w:t>)：</w:t>
      </w:r>
      <w:r>
        <w:rPr>
          <w:rFonts w:hint="eastAsia" w:ascii="宋体" w:hAnsi="宋体" w:eastAsia="宋体" w:cs="宋体"/>
          <w:kern w:val="0"/>
          <w:sz w:val="21"/>
          <w:szCs w:val="21"/>
          <w:highlight w:val="none"/>
          <w:u w:val="single"/>
          <w:lang w:val="en-US" w:eastAsia="zh-CN"/>
        </w:rPr>
        <w:t xml:space="preserve">                     </w:t>
      </w:r>
    </w:p>
    <w:p w14:paraId="794D4E3F">
      <w:pPr>
        <w:keepNext w:val="0"/>
        <w:keepLines w:val="0"/>
        <w:pageBreakBefore w:val="0"/>
        <w:kinsoku/>
        <w:wordWrap/>
        <w:overflowPunct/>
        <w:topLinePunct w:val="0"/>
        <w:autoSpaceDE/>
        <w:autoSpaceDN/>
        <w:bidi w:val="0"/>
        <w:adjustRightInd/>
        <w:snapToGrid w:val="0"/>
        <w:spacing w:line="360" w:lineRule="auto"/>
        <w:textAlignment w:val="auto"/>
        <w:rPr>
          <w:rFonts w:hint="eastAsia" w:ascii="宋体" w:hAnsi="宋体" w:eastAsia="宋体" w:cs="宋体"/>
          <w:b/>
          <w:kern w:val="0"/>
          <w:sz w:val="21"/>
          <w:szCs w:val="21"/>
          <w:highlight w:val="none"/>
        </w:rPr>
      </w:pPr>
    </w:p>
    <w:p w14:paraId="38933336">
      <w:pPr>
        <w:keepNext w:val="0"/>
        <w:keepLines w:val="0"/>
        <w:pageBreakBefore w:val="0"/>
        <w:kinsoku/>
        <w:wordWrap/>
        <w:overflowPunct/>
        <w:topLinePunct w:val="0"/>
        <w:autoSpaceDE/>
        <w:autoSpaceDN/>
        <w:bidi w:val="0"/>
        <w:adjustRightInd/>
        <w:snapToGrid w:val="0"/>
        <w:spacing w:line="360" w:lineRule="auto"/>
        <w:textAlignment w:val="auto"/>
        <w:rPr>
          <w:rFonts w:hint="eastAsia" w:ascii="宋体" w:hAnsi="宋体" w:eastAsia="宋体" w:cs="宋体"/>
          <w:sz w:val="21"/>
          <w:szCs w:val="21"/>
          <w:highlight w:val="none"/>
          <w:u w:val="single"/>
        </w:rPr>
      </w:pPr>
      <w:r>
        <w:rPr>
          <w:rFonts w:hint="eastAsia" w:ascii="宋体" w:hAnsi="宋体" w:eastAsia="宋体" w:cs="宋体"/>
          <w:b/>
          <w:kern w:val="0"/>
          <w:sz w:val="21"/>
          <w:szCs w:val="21"/>
          <w:highlight w:val="none"/>
        </w:rPr>
        <w:t>乙方(中标</w:t>
      </w:r>
      <w:r>
        <w:rPr>
          <w:rFonts w:hint="eastAsia" w:ascii="宋体" w:hAnsi="宋体" w:eastAsia="宋体" w:cs="宋体"/>
          <w:b/>
          <w:kern w:val="0"/>
          <w:sz w:val="21"/>
          <w:szCs w:val="21"/>
          <w:highlight w:val="none"/>
          <w:lang w:val="en-US" w:eastAsia="zh-CN"/>
        </w:rPr>
        <w:t>人</w:t>
      </w:r>
      <w:r>
        <w:rPr>
          <w:rFonts w:hint="eastAsia" w:ascii="宋体" w:hAnsi="宋体" w:eastAsia="宋体" w:cs="宋体"/>
          <w:b/>
          <w:kern w:val="0"/>
          <w:sz w:val="21"/>
          <w:szCs w:val="21"/>
          <w:highlight w:val="none"/>
        </w:rPr>
        <w:t>)：</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u w:val="single"/>
        </w:rPr>
        <w:t xml:space="preserve"> </w:t>
      </w:r>
    </w:p>
    <w:p w14:paraId="386CAB1D">
      <w:pPr>
        <w:keepNext w:val="0"/>
        <w:keepLines w:val="0"/>
        <w:pageBreakBefore w:val="0"/>
        <w:kinsoku/>
        <w:wordWrap/>
        <w:overflowPunct/>
        <w:topLinePunct w:val="0"/>
        <w:autoSpaceDE/>
        <w:autoSpaceDN/>
        <w:bidi w:val="0"/>
        <w:adjustRightInd/>
        <w:snapToGrid w:val="0"/>
        <w:spacing w:line="360" w:lineRule="auto"/>
        <w:ind w:firstLine="0" w:firstLineChars="0"/>
        <w:textAlignment w:val="auto"/>
        <w:rPr>
          <w:rFonts w:hint="eastAsia" w:ascii="宋体" w:hAnsi="宋体" w:eastAsia="宋体" w:cs="宋体"/>
          <w:kern w:val="0"/>
          <w:sz w:val="21"/>
          <w:szCs w:val="21"/>
          <w:highlight w:val="none"/>
          <w:u w:val="single"/>
          <w:lang w:val="en-US" w:eastAsia="zh-CN"/>
        </w:rPr>
      </w:pPr>
    </w:p>
    <w:p w14:paraId="2795AFD6">
      <w:pPr>
        <w:keepNext w:val="0"/>
        <w:keepLines w:val="0"/>
        <w:pageBreakBefore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kern w:val="0"/>
          <w:sz w:val="21"/>
          <w:szCs w:val="21"/>
          <w:highlight w:val="none"/>
          <w:u w:val="single"/>
          <w:lang w:val="en-US" w:eastAsia="zh-CN"/>
        </w:rPr>
        <w:t>甲、乙双方根据 2025年舟山交警司法鉴定服务项目（项目编号: 0773-2541GNZSFWCS0712）竞争性磋商的结果，按照平等、自愿、公平和诚实信用的原则签署本合同，以兹共同遵守、全面履行。</w:t>
      </w:r>
    </w:p>
    <w:p w14:paraId="4900CE38">
      <w:pPr>
        <w:keepNext w:val="0"/>
        <w:keepLines w:val="0"/>
        <w:pageBreakBefore w:val="0"/>
        <w:widowControl w:val="0"/>
        <w:kinsoku/>
        <w:wordWrap/>
        <w:overflowPunct/>
        <w:topLinePunct w:val="0"/>
        <w:autoSpaceDE/>
        <w:autoSpaceDN/>
        <w:bidi w:val="0"/>
        <w:adjustRightInd/>
        <w:spacing w:line="360" w:lineRule="auto"/>
        <w:textAlignment w:val="auto"/>
        <w:outlineLvl w:val="1"/>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一、服务内容</w:t>
      </w:r>
    </w:p>
    <w:p w14:paraId="597C7B99">
      <w:pPr>
        <w:keepNext w:val="0"/>
        <w:keepLines w:val="0"/>
        <w:pageBreakBefore w:val="0"/>
        <w:kinsoku/>
        <w:wordWrap/>
        <w:overflowPunct/>
        <w:topLinePunct w:val="0"/>
        <w:autoSpaceDE/>
        <w:autoSpaceDN/>
        <w:bidi w:val="0"/>
        <w:adjustRightInd/>
        <w:spacing w:line="360" w:lineRule="auto"/>
        <w:ind w:firstLine="420" w:firstLineChars="200"/>
        <w:jc w:val="left"/>
        <w:rPr>
          <w:rFonts w:hint="eastAsia" w:ascii="宋体" w:hAnsi="宋体" w:eastAsia="宋体" w:cs="宋体"/>
          <w:sz w:val="21"/>
          <w:szCs w:val="21"/>
          <w:highlight w:val="none"/>
          <w:u w:val="single"/>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val="en-US" w:eastAsia="zh-CN"/>
        </w:rPr>
        <w:t>2025年舟山交警司法鉴定服务项目舟山</w:t>
      </w:r>
      <w:r>
        <w:rPr>
          <w:rFonts w:hint="eastAsia" w:ascii="宋体" w:hAnsi="宋体" w:eastAsia="宋体" w:cs="宋体"/>
          <w:sz w:val="21"/>
          <w:szCs w:val="21"/>
          <w:highlight w:val="none"/>
        </w:rPr>
        <w:t>市道路交通事故车辆鉴定服务，主要服务内容包括：</w:t>
      </w:r>
      <w:r>
        <w:rPr>
          <w:rFonts w:hint="eastAsia" w:ascii="宋体" w:hAnsi="宋体" w:eastAsia="宋体" w:cs="宋体"/>
          <w:sz w:val="21"/>
          <w:szCs w:val="21"/>
          <w:highlight w:val="none"/>
          <w:u w:val="single"/>
        </w:rPr>
        <w:t>视频车速鉴定、车辆性能检测、车辆属性检测、车辆改装类鉴定、基于痕迹的车速鉴定、是否接触鉴定、碰撞痕迹鉴定、事故成因鉴定、状态鉴定、车辆轨迹鉴定等</w:t>
      </w:r>
      <w:r>
        <w:rPr>
          <w:rFonts w:hint="eastAsia" w:ascii="宋体" w:hAnsi="宋体" w:eastAsia="宋体" w:cs="宋体"/>
          <w:sz w:val="21"/>
          <w:szCs w:val="21"/>
          <w:highlight w:val="none"/>
        </w:rPr>
        <w:t>。</w:t>
      </w:r>
    </w:p>
    <w:p w14:paraId="5EBE2131">
      <w:pPr>
        <w:keepNext w:val="0"/>
        <w:keepLines w:val="0"/>
        <w:pageBreakBefore w:val="0"/>
        <w:kinsoku/>
        <w:wordWrap/>
        <w:overflowPunct/>
        <w:topLinePunct w:val="0"/>
        <w:autoSpaceDE/>
        <w:autoSpaceDN/>
        <w:bidi w:val="0"/>
        <w:adjustRightInd/>
        <w:spacing w:line="360" w:lineRule="auto"/>
        <w:ind w:firstLine="514" w:firstLineChars="245"/>
        <w:rPr>
          <w:rFonts w:hint="eastAsia" w:ascii="宋体" w:hAnsi="宋体" w:eastAsia="宋体" w:cs="宋体"/>
          <w:sz w:val="21"/>
          <w:szCs w:val="21"/>
          <w:highlight w:val="none"/>
        </w:rPr>
      </w:pPr>
      <w:r>
        <w:rPr>
          <w:rFonts w:hint="eastAsia" w:ascii="宋体" w:hAnsi="宋体" w:eastAsia="宋体" w:cs="宋体"/>
          <w:sz w:val="21"/>
          <w:szCs w:val="21"/>
          <w:highlight w:val="none"/>
        </w:rPr>
        <w:t>项目负责人为：</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u w:val="none"/>
          <w:lang w:val="en-US" w:eastAsia="zh-CN"/>
        </w:rPr>
        <w:t>，</w:t>
      </w:r>
      <w:r>
        <w:rPr>
          <w:rFonts w:hint="eastAsia" w:ascii="宋体" w:hAnsi="宋体" w:eastAsia="宋体" w:cs="宋体"/>
          <w:sz w:val="21"/>
          <w:szCs w:val="21"/>
          <w:highlight w:val="none"/>
          <w:u w:val="none"/>
        </w:rPr>
        <w:t xml:space="preserve"> </w:t>
      </w:r>
      <w:r>
        <w:rPr>
          <w:rFonts w:hint="eastAsia" w:ascii="宋体" w:hAnsi="宋体" w:eastAsia="宋体" w:cs="宋体"/>
          <w:sz w:val="21"/>
          <w:szCs w:val="21"/>
          <w:highlight w:val="none"/>
          <w:u w:val="none"/>
          <w:lang w:val="en-US" w:eastAsia="zh-CN"/>
        </w:rPr>
        <w:t>联系电话：</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rPr>
        <w:t>。</w:t>
      </w:r>
    </w:p>
    <w:p w14:paraId="7524E4DE">
      <w:pPr>
        <w:keepNext w:val="0"/>
        <w:keepLines w:val="0"/>
        <w:pageBreakBefore w:val="0"/>
        <w:tabs>
          <w:tab w:val="left" w:pos="360"/>
        </w:tabs>
        <w:kinsoku/>
        <w:wordWrap/>
        <w:overflowPunct/>
        <w:topLinePunct w:val="0"/>
        <w:autoSpaceDE/>
        <w:autoSpaceDN/>
        <w:bidi w:val="0"/>
        <w:adjustRightInd/>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2、服务期限为</w:t>
      </w:r>
      <w:r>
        <w:rPr>
          <w:rFonts w:hint="eastAsia" w:ascii="宋体" w:hAnsi="宋体" w:eastAsia="宋体" w:cs="宋体"/>
          <w:sz w:val="21"/>
          <w:szCs w:val="21"/>
          <w:highlight w:val="none"/>
          <w:lang w:val="en-US" w:eastAsia="zh-CN"/>
        </w:rPr>
        <w:t>一</w:t>
      </w:r>
      <w:r>
        <w:rPr>
          <w:rFonts w:hint="eastAsia" w:ascii="宋体" w:hAnsi="宋体" w:eastAsia="宋体" w:cs="宋体"/>
          <w:sz w:val="21"/>
          <w:szCs w:val="21"/>
          <w:highlight w:val="none"/>
        </w:rPr>
        <w:t>年，即</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年</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月</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日至</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年</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月</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日。</w:t>
      </w:r>
    </w:p>
    <w:p w14:paraId="4C06E2B2">
      <w:pPr>
        <w:keepNext w:val="0"/>
        <w:keepLines w:val="0"/>
        <w:pageBreakBefore w:val="0"/>
        <w:widowControl w:val="0"/>
        <w:kinsoku/>
        <w:wordWrap/>
        <w:overflowPunct/>
        <w:topLinePunct w:val="0"/>
        <w:autoSpaceDE/>
        <w:autoSpaceDN/>
        <w:bidi w:val="0"/>
        <w:adjustRightInd/>
        <w:spacing w:line="360" w:lineRule="auto"/>
        <w:textAlignment w:val="auto"/>
        <w:outlineLvl w:val="1"/>
        <w:rPr>
          <w:rFonts w:hint="eastAsia" w:ascii="宋体" w:hAnsi="宋体" w:eastAsia="宋体" w:cs="宋体"/>
          <w:b/>
          <w:bCs/>
          <w:sz w:val="21"/>
          <w:szCs w:val="21"/>
          <w:highlight w:val="none"/>
          <w:lang w:eastAsia="zh-CN"/>
        </w:rPr>
      </w:pPr>
      <w:r>
        <w:rPr>
          <w:rFonts w:hint="eastAsia" w:ascii="宋体" w:hAnsi="宋体" w:eastAsia="宋体" w:cs="宋体"/>
          <w:b/>
          <w:bCs/>
          <w:sz w:val="21"/>
          <w:szCs w:val="21"/>
          <w:highlight w:val="none"/>
        </w:rPr>
        <w:t>二、合同</w:t>
      </w:r>
      <w:r>
        <w:rPr>
          <w:rFonts w:hint="eastAsia" w:ascii="宋体" w:hAnsi="宋体" w:eastAsia="宋体" w:cs="宋体"/>
          <w:b/>
          <w:bCs/>
          <w:sz w:val="21"/>
          <w:szCs w:val="21"/>
          <w:highlight w:val="none"/>
          <w:lang w:val="en-US" w:eastAsia="zh-CN"/>
        </w:rPr>
        <w:t>价格</w:t>
      </w:r>
    </w:p>
    <w:p w14:paraId="1CFF92DB">
      <w:pPr>
        <w:keepNext w:val="0"/>
        <w:keepLines w:val="0"/>
        <w:pageBreakBefore w:val="0"/>
        <w:kinsoku/>
        <w:wordWrap/>
        <w:overflowPunct/>
        <w:topLinePunct w:val="0"/>
        <w:autoSpaceDE/>
        <w:autoSpaceDN/>
        <w:bidi w:val="0"/>
        <w:adjustRightInd/>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1、本合同项下的各项检测、鉴定服务的结算单价如下：</w:t>
      </w:r>
    </w:p>
    <w:tbl>
      <w:tblPr>
        <w:tblStyle w:val="28"/>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6"/>
        <w:gridCol w:w="4570"/>
        <w:gridCol w:w="1564"/>
        <w:gridCol w:w="1716"/>
        <w:gridCol w:w="1450"/>
      </w:tblGrid>
      <w:tr w14:paraId="517DC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jc w:val="center"/>
        </w:trPr>
        <w:tc>
          <w:tcPr>
            <w:tcW w:w="412" w:type="pct"/>
            <w:vAlign w:val="center"/>
          </w:tcPr>
          <w:p w14:paraId="19F01FFB">
            <w:pPr>
              <w:keepNext w:val="0"/>
              <w:keepLines w:val="0"/>
              <w:pageBreakBefore w:val="0"/>
              <w:kinsoku/>
              <w:wordWrap/>
              <w:overflowPunct/>
              <w:topLinePunct w:val="0"/>
              <w:autoSpaceDE/>
              <w:autoSpaceDN/>
              <w:bidi w:val="0"/>
              <w:adjustRightInd/>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序号</w:t>
            </w:r>
          </w:p>
        </w:tc>
        <w:tc>
          <w:tcPr>
            <w:tcW w:w="2253" w:type="pct"/>
            <w:vAlign w:val="center"/>
          </w:tcPr>
          <w:p w14:paraId="5B225139">
            <w:pPr>
              <w:keepNext w:val="0"/>
              <w:keepLines w:val="0"/>
              <w:pageBreakBefore w:val="0"/>
              <w:kinsoku/>
              <w:wordWrap/>
              <w:overflowPunct/>
              <w:topLinePunct w:val="0"/>
              <w:autoSpaceDE/>
              <w:autoSpaceDN/>
              <w:bidi w:val="0"/>
              <w:adjustRightInd/>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鉴定项目名称</w:t>
            </w:r>
          </w:p>
        </w:tc>
        <w:tc>
          <w:tcPr>
            <w:tcW w:w="771" w:type="pct"/>
            <w:vAlign w:val="center"/>
          </w:tcPr>
          <w:p w14:paraId="6E30D871">
            <w:pPr>
              <w:keepNext w:val="0"/>
              <w:keepLines w:val="0"/>
              <w:pageBreakBefore w:val="0"/>
              <w:kinsoku/>
              <w:wordWrap/>
              <w:overflowPunct/>
              <w:topLinePunct w:val="0"/>
              <w:autoSpaceDE/>
              <w:autoSpaceDN/>
              <w:bidi w:val="0"/>
              <w:adjustRightInd/>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计量单位</w:t>
            </w:r>
          </w:p>
        </w:tc>
        <w:tc>
          <w:tcPr>
            <w:tcW w:w="846" w:type="pct"/>
            <w:vAlign w:val="center"/>
          </w:tcPr>
          <w:p w14:paraId="7ACA1833">
            <w:pPr>
              <w:keepNext w:val="0"/>
              <w:keepLines w:val="0"/>
              <w:pageBreakBefore w:val="0"/>
              <w:kinsoku/>
              <w:wordWrap/>
              <w:overflowPunct/>
              <w:topLinePunct w:val="0"/>
              <w:autoSpaceDE/>
              <w:autoSpaceDN/>
              <w:bidi w:val="0"/>
              <w:adjustRightInd/>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结算单价（元）</w:t>
            </w:r>
          </w:p>
        </w:tc>
        <w:tc>
          <w:tcPr>
            <w:tcW w:w="715" w:type="pct"/>
            <w:vAlign w:val="center"/>
          </w:tcPr>
          <w:p w14:paraId="496959BC">
            <w:pPr>
              <w:keepNext w:val="0"/>
              <w:keepLines w:val="0"/>
              <w:pageBreakBefore w:val="0"/>
              <w:kinsoku/>
              <w:wordWrap/>
              <w:overflowPunct/>
              <w:topLinePunct w:val="0"/>
              <w:autoSpaceDE/>
              <w:autoSpaceDN/>
              <w:bidi w:val="0"/>
              <w:adjustRightInd/>
              <w:spacing w:line="360" w:lineRule="auto"/>
              <w:jc w:val="center"/>
              <w:rPr>
                <w:rFonts w:hint="eastAsia" w:ascii="宋体" w:hAnsi="宋体" w:eastAsia="宋体" w:cs="宋体"/>
                <w:bCs/>
                <w:sz w:val="21"/>
                <w:szCs w:val="21"/>
                <w:highlight w:val="none"/>
                <w:u w:val="single"/>
              </w:rPr>
            </w:pPr>
            <w:r>
              <w:rPr>
                <w:rFonts w:hint="eastAsia" w:ascii="宋体" w:hAnsi="宋体" w:eastAsia="宋体" w:cs="宋体"/>
                <w:sz w:val="21"/>
                <w:szCs w:val="21"/>
                <w:highlight w:val="none"/>
              </w:rPr>
              <w:t>备注</w:t>
            </w:r>
          </w:p>
        </w:tc>
      </w:tr>
      <w:tr w14:paraId="01EE7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412" w:type="pct"/>
          </w:tcPr>
          <w:p w14:paraId="01993B8A">
            <w:pPr>
              <w:keepNext w:val="0"/>
              <w:keepLines w:val="0"/>
              <w:pageBreakBefore w:val="0"/>
              <w:kinsoku/>
              <w:wordWrap/>
              <w:overflowPunct/>
              <w:topLinePunct w:val="0"/>
              <w:autoSpaceDE/>
              <w:autoSpaceDN/>
              <w:bidi w:val="0"/>
              <w:adjustRightInd/>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w:t>
            </w:r>
          </w:p>
        </w:tc>
        <w:tc>
          <w:tcPr>
            <w:tcW w:w="2253" w:type="pct"/>
            <w:vAlign w:val="center"/>
          </w:tcPr>
          <w:p w14:paraId="19220D4E">
            <w:pPr>
              <w:keepNext w:val="0"/>
              <w:keepLines w:val="0"/>
              <w:pageBreakBefore w:val="0"/>
              <w:kinsoku/>
              <w:wordWrap/>
              <w:overflowPunct/>
              <w:topLinePunct w:val="0"/>
              <w:autoSpaceDE/>
              <w:autoSpaceDN/>
              <w:bidi w:val="0"/>
              <w:adjustRightInd/>
              <w:spacing w:line="360" w:lineRule="auto"/>
              <w:jc w:val="center"/>
              <w:rPr>
                <w:rFonts w:hint="eastAsia" w:ascii="宋体" w:hAnsi="宋体" w:eastAsia="宋体" w:cs="宋体"/>
                <w:sz w:val="21"/>
                <w:szCs w:val="21"/>
                <w:highlight w:val="none"/>
              </w:rPr>
            </w:pPr>
          </w:p>
        </w:tc>
        <w:tc>
          <w:tcPr>
            <w:tcW w:w="771" w:type="pct"/>
            <w:vAlign w:val="center"/>
          </w:tcPr>
          <w:p w14:paraId="2325FE12">
            <w:pPr>
              <w:keepNext w:val="0"/>
              <w:keepLines w:val="0"/>
              <w:pageBreakBefore w:val="0"/>
              <w:kinsoku/>
              <w:wordWrap/>
              <w:overflowPunct/>
              <w:topLinePunct w:val="0"/>
              <w:autoSpaceDE/>
              <w:autoSpaceDN/>
              <w:bidi w:val="0"/>
              <w:adjustRightInd/>
              <w:spacing w:line="360" w:lineRule="auto"/>
              <w:jc w:val="center"/>
              <w:rPr>
                <w:rFonts w:hint="eastAsia" w:ascii="宋体" w:hAnsi="宋体" w:eastAsia="宋体" w:cs="宋体"/>
                <w:sz w:val="21"/>
                <w:szCs w:val="21"/>
                <w:highlight w:val="none"/>
              </w:rPr>
            </w:pPr>
          </w:p>
        </w:tc>
        <w:tc>
          <w:tcPr>
            <w:tcW w:w="846" w:type="pct"/>
          </w:tcPr>
          <w:p w14:paraId="1A2C3755">
            <w:pPr>
              <w:keepNext w:val="0"/>
              <w:keepLines w:val="0"/>
              <w:pageBreakBefore w:val="0"/>
              <w:kinsoku/>
              <w:wordWrap/>
              <w:overflowPunct/>
              <w:topLinePunct w:val="0"/>
              <w:autoSpaceDE/>
              <w:autoSpaceDN/>
              <w:bidi w:val="0"/>
              <w:adjustRightInd/>
              <w:spacing w:line="360" w:lineRule="auto"/>
              <w:rPr>
                <w:rFonts w:hint="eastAsia" w:ascii="宋体" w:hAnsi="宋体" w:eastAsia="宋体" w:cs="宋体"/>
                <w:sz w:val="21"/>
                <w:szCs w:val="21"/>
                <w:highlight w:val="none"/>
              </w:rPr>
            </w:pPr>
          </w:p>
        </w:tc>
        <w:tc>
          <w:tcPr>
            <w:tcW w:w="715" w:type="pct"/>
          </w:tcPr>
          <w:p w14:paraId="7F4C9C04">
            <w:pPr>
              <w:keepNext w:val="0"/>
              <w:keepLines w:val="0"/>
              <w:pageBreakBefore w:val="0"/>
              <w:kinsoku/>
              <w:wordWrap/>
              <w:overflowPunct/>
              <w:topLinePunct w:val="0"/>
              <w:autoSpaceDE/>
              <w:autoSpaceDN/>
              <w:bidi w:val="0"/>
              <w:adjustRightInd/>
              <w:spacing w:line="360" w:lineRule="auto"/>
              <w:rPr>
                <w:rFonts w:hint="eastAsia" w:ascii="宋体" w:hAnsi="宋体" w:eastAsia="宋体" w:cs="宋体"/>
                <w:sz w:val="21"/>
                <w:szCs w:val="21"/>
                <w:highlight w:val="none"/>
              </w:rPr>
            </w:pPr>
          </w:p>
        </w:tc>
      </w:tr>
      <w:tr w14:paraId="206B4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412" w:type="pct"/>
          </w:tcPr>
          <w:p w14:paraId="691EC80A">
            <w:pPr>
              <w:keepNext w:val="0"/>
              <w:keepLines w:val="0"/>
              <w:pageBreakBefore w:val="0"/>
              <w:kinsoku/>
              <w:wordWrap/>
              <w:overflowPunct/>
              <w:topLinePunct w:val="0"/>
              <w:autoSpaceDE/>
              <w:autoSpaceDN/>
              <w:bidi w:val="0"/>
              <w:adjustRightInd/>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w:t>
            </w:r>
          </w:p>
        </w:tc>
        <w:tc>
          <w:tcPr>
            <w:tcW w:w="2253" w:type="pct"/>
            <w:vAlign w:val="center"/>
          </w:tcPr>
          <w:p w14:paraId="07AB01B8">
            <w:pPr>
              <w:keepNext w:val="0"/>
              <w:keepLines w:val="0"/>
              <w:pageBreakBefore w:val="0"/>
              <w:kinsoku/>
              <w:wordWrap/>
              <w:overflowPunct/>
              <w:topLinePunct w:val="0"/>
              <w:autoSpaceDE/>
              <w:autoSpaceDN/>
              <w:bidi w:val="0"/>
              <w:adjustRightInd/>
              <w:spacing w:line="360" w:lineRule="auto"/>
              <w:jc w:val="center"/>
              <w:rPr>
                <w:rFonts w:hint="eastAsia" w:ascii="宋体" w:hAnsi="宋体" w:eastAsia="宋体" w:cs="宋体"/>
                <w:sz w:val="21"/>
                <w:szCs w:val="21"/>
                <w:highlight w:val="none"/>
              </w:rPr>
            </w:pPr>
          </w:p>
        </w:tc>
        <w:tc>
          <w:tcPr>
            <w:tcW w:w="771" w:type="pct"/>
            <w:vAlign w:val="center"/>
          </w:tcPr>
          <w:p w14:paraId="7893678F">
            <w:pPr>
              <w:keepNext w:val="0"/>
              <w:keepLines w:val="0"/>
              <w:pageBreakBefore w:val="0"/>
              <w:kinsoku/>
              <w:wordWrap/>
              <w:overflowPunct/>
              <w:topLinePunct w:val="0"/>
              <w:autoSpaceDE/>
              <w:autoSpaceDN/>
              <w:bidi w:val="0"/>
              <w:adjustRightInd/>
              <w:spacing w:line="360" w:lineRule="auto"/>
              <w:jc w:val="center"/>
              <w:rPr>
                <w:rFonts w:hint="eastAsia" w:ascii="宋体" w:hAnsi="宋体" w:eastAsia="宋体" w:cs="宋体"/>
                <w:sz w:val="21"/>
                <w:szCs w:val="21"/>
                <w:highlight w:val="none"/>
              </w:rPr>
            </w:pPr>
          </w:p>
        </w:tc>
        <w:tc>
          <w:tcPr>
            <w:tcW w:w="846" w:type="pct"/>
          </w:tcPr>
          <w:p w14:paraId="6B86A497">
            <w:pPr>
              <w:keepNext w:val="0"/>
              <w:keepLines w:val="0"/>
              <w:pageBreakBefore w:val="0"/>
              <w:kinsoku/>
              <w:wordWrap/>
              <w:overflowPunct/>
              <w:topLinePunct w:val="0"/>
              <w:autoSpaceDE/>
              <w:autoSpaceDN/>
              <w:bidi w:val="0"/>
              <w:adjustRightInd/>
              <w:spacing w:line="360" w:lineRule="auto"/>
              <w:rPr>
                <w:rFonts w:hint="eastAsia" w:ascii="宋体" w:hAnsi="宋体" w:eastAsia="宋体" w:cs="宋体"/>
                <w:sz w:val="21"/>
                <w:szCs w:val="21"/>
                <w:highlight w:val="none"/>
              </w:rPr>
            </w:pPr>
          </w:p>
        </w:tc>
        <w:tc>
          <w:tcPr>
            <w:tcW w:w="715" w:type="pct"/>
          </w:tcPr>
          <w:p w14:paraId="6AA4B5AD">
            <w:pPr>
              <w:keepNext w:val="0"/>
              <w:keepLines w:val="0"/>
              <w:pageBreakBefore w:val="0"/>
              <w:kinsoku/>
              <w:wordWrap/>
              <w:overflowPunct/>
              <w:topLinePunct w:val="0"/>
              <w:autoSpaceDE/>
              <w:autoSpaceDN/>
              <w:bidi w:val="0"/>
              <w:adjustRightInd/>
              <w:spacing w:line="360" w:lineRule="auto"/>
              <w:rPr>
                <w:rFonts w:hint="eastAsia" w:ascii="宋体" w:hAnsi="宋体" w:eastAsia="宋体" w:cs="宋体"/>
                <w:sz w:val="21"/>
                <w:szCs w:val="21"/>
                <w:highlight w:val="none"/>
              </w:rPr>
            </w:pPr>
          </w:p>
        </w:tc>
      </w:tr>
      <w:tr w14:paraId="0DF39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412" w:type="pct"/>
          </w:tcPr>
          <w:p w14:paraId="2B307FE4">
            <w:pPr>
              <w:keepNext w:val="0"/>
              <w:keepLines w:val="0"/>
              <w:pageBreakBefore w:val="0"/>
              <w:kinsoku/>
              <w:wordWrap/>
              <w:overflowPunct/>
              <w:topLinePunct w:val="0"/>
              <w:autoSpaceDE/>
              <w:autoSpaceDN/>
              <w:bidi w:val="0"/>
              <w:adjustRightInd/>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w:t>
            </w:r>
          </w:p>
        </w:tc>
        <w:tc>
          <w:tcPr>
            <w:tcW w:w="2253" w:type="pct"/>
            <w:vAlign w:val="center"/>
          </w:tcPr>
          <w:p w14:paraId="45FF394D">
            <w:pPr>
              <w:keepNext w:val="0"/>
              <w:keepLines w:val="0"/>
              <w:pageBreakBefore w:val="0"/>
              <w:kinsoku/>
              <w:wordWrap/>
              <w:overflowPunct/>
              <w:topLinePunct w:val="0"/>
              <w:autoSpaceDE/>
              <w:autoSpaceDN/>
              <w:bidi w:val="0"/>
              <w:adjustRightInd/>
              <w:spacing w:line="360" w:lineRule="auto"/>
              <w:jc w:val="center"/>
              <w:rPr>
                <w:rFonts w:hint="eastAsia" w:ascii="宋体" w:hAnsi="宋体" w:eastAsia="宋体" w:cs="宋体"/>
                <w:sz w:val="21"/>
                <w:szCs w:val="21"/>
                <w:highlight w:val="none"/>
              </w:rPr>
            </w:pPr>
          </w:p>
        </w:tc>
        <w:tc>
          <w:tcPr>
            <w:tcW w:w="771" w:type="pct"/>
            <w:vAlign w:val="center"/>
          </w:tcPr>
          <w:p w14:paraId="03F0F374">
            <w:pPr>
              <w:keepNext w:val="0"/>
              <w:keepLines w:val="0"/>
              <w:pageBreakBefore w:val="0"/>
              <w:kinsoku/>
              <w:wordWrap/>
              <w:overflowPunct/>
              <w:topLinePunct w:val="0"/>
              <w:autoSpaceDE/>
              <w:autoSpaceDN/>
              <w:bidi w:val="0"/>
              <w:adjustRightInd/>
              <w:spacing w:line="360" w:lineRule="auto"/>
              <w:jc w:val="center"/>
              <w:rPr>
                <w:rFonts w:hint="eastAsia" w:ascii="宋体" w:hAnsi="宋体" w:eastAsia="宋体" w:cs="宋体"/>
                <w:sz w:val="21"/>
                <w:szCs w:val="21"/>
                <w:highlight w:val="none"/>
              </w:rPr>
            </w:pPr>
          </w:p>
        </w:tc>
        <w:tc>
          <w:tcPr>
            <w:tcW w:w="846" w:type="pct"/>
          </w:tcPr>
          <w:p w14:paraId="1CC6F57F">
            <w:pPr>
              <w:keepNext w:val="0"/>
              <w:keepLines w:val="0"/>
              <w:pageBreakBefore w:val="0"/>
              <w:kinsoku/>
              <w:wordWrap/>
              <w:overflowPunct/>
              <w:topLinePunct w:val="0"/>
              <w:autoSpaceDE/>
              <w:autoSpaceDN/>
              <w:bidi w:val="0"/>
              <w:adjustRightInd/>
              <w:spacing w:line="360" w:lineRule="auto"/>
              <w:rPr>
                <w:rFonts w:hint="eastAsia" w:ascii="宋体" w:hAnsi="宋体" w:eastAsia="宋体" w:cs="宋体"/>
                <w:sz w:val="21"/>
                <w:szCs w:val="21"/>
                <w:highlight w:val="none"/>
              </w:rPr>
            </w:pPr>
          </w:p>
        </w:tc>
        <w:tc>
          <w:tcPr>
            <w:tcW w:w="715" w:type="pct"/>
          </w:tcPr>
          <w:p w14:paraId="54B00F71">
            <w:pPr>
              <w:keepNext w:val="0"/>
              <w:keepLines w:val="0"/>
              <w:pageBreakBefore w:val="0"/>
              <w:kinsoku/>
              <w:wordWrap/>
              <w:overflowPunct/>
              <w:topLinePunct w:val="0"/>
              <w:autoSpaceDE/>
              <w:autoSpaceDN/>
              <w:bidi w:val="0"/>
              <w:adjustRightInd/>
              <w:spacing w:line="360" w:lineRule="auto"/>
              <w:rPr>
                <w:rFonts w:hint="eastAsia" w:ascii="宋体" w:hAnsi="宋体" w:eastAsia="宋体" w:cs="宋体"/>
                <w:sz w:val="21"/>
                <w:szCs w:val="21"/>
                <w:highlight w:val="none"/>
              </w:rPr>
            </w:pPr>
          </w:p>
        </w:tc>
      </w:tr>
      <w:tr w14:paraId="33F8F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412" w:type="pct"/>
          </w:tcPr>
          <w:p w14:paraId="2D837DCF">
            <w:pPr>
              <w:keepNext w:val="0"/>
              <w:keepLines w:val="0"/>
              <w:pageBreakBefore w:val="0"/>
              <w:kinsoku/>
              <w:wordWrap/>
              <w:overflowPunct/>
              <w:topLinePunct w:val="0"/>
              <w:autoSpaceDE/>
              <w:autoSpaceDN/>
              <w:bidi w:val="0"/>
              <w:adjustRightInd/>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w:t>
            </w:r>
          </w:p>
        </w:tc>
        <w:tc>
          <w:tcPr>
            <w:tcW w:w="2253" w:type="pct"/>
            <w:vAlign w:val="center"/>
          </w:tcPr>
          <w:p w14:paraId="48A53126">
            <w:pPr>
              <w:keepNext w:val="0"/>
              <w:keepLines w:val="0"/>
              <w:pageBreakBefore w:val="0"/>
              <w:kinsoku/>
              <w:wordWrap/>
              <w:overflowPunct/>
              <w:topLinePunct w:val="0"/>
              <w:autoSpaceDE/>
              <w:autoSpaceDN/>
              <w:bidi w:val="0"/>
              <w:adjustRightInd/>
              <w:spacing w:line="360" w:lineRule="auto"/>
              <w:jc w:val="center"/>
              <w:rPr>
                <w:rFonts w:hint="eastAsia" w:ascii="宋体" w:hAnsi="宋体" w:eastAsia="宋体" w:cs="宋体"/>
                <w:sz w:val="21"/>
                <w:szCs w:val="21"/>
                <w:highlight w:val="none"/>
              </w:rPr>
            </w:pPr>
          </w:p>
        </w:tc>
        <w:tc>
          <w:tcPr>
            <w:tcW w:w="771" w:type="pct"/>
            <w:vAlign w:val="center"/>
          </w:tcPr>
          <w:p w14:paraId="638B02A3">
            <w:pPr>
              <w:keepNext w:val="0"/>
              <w:keepLines w:val="0"/>
              <w:pageBreakBefore w:val="0"/>
              <w:kinsoku/>
              <w:wordWrap/>
              <w:overflowPunct/>
              <w:topLinePunct w:val="0"/>
              <w:autoSpaceDE/>
              <w:autoSpaceDN/>
              <w:bidi w:val="0"/>
              <w:adjustRightInd/>
              <w:spacing w:line="360" w:lineRule="auto"/>
              <w:jc w:val="center"/>
              <w:rPr>
                <w:rFonts w:hint="eastAsia" w:ascii="宋体" w:hAnsi="宋体" w:eastAsia="宋体" w:cs="宋体"/>
                <w:sz w:val="21"/>
                <w:szCs w:val="21"/>
                <w:highlight w:val="none"/>
              </w:rPr>
            </w:pPr>
          </w:p>
        </w:tc>
        <w:tc>
          <w:tcPr>
            <w:tcW w:w="846" w:type="pct"/>
          </w:tcPr>
          <w:p w14:paraId="0D65362C">
            <w:pPr>
              <w:keepNext w:val="0"/>
              <w:keepLines w:val="0"/>
              <w:pageBreakBefore w:val="0"/>
              <w:kinsoku/>
              <w:wordWrap/>
              <w:overflowPunct/>
              <w:topLinePunct w:val="0"/>
              <w:autoSpaceDE/>
              <w:autoSpaceDN/>
              <w:bidi w:val="0"/>
              <w:adjustRightInd/>
              <w:spacing w:line="360" w:lineRule="auto"/>
              <w:rPr>
                <w:rFonts w:hint="eastAsia" w:ascii="宋体" w:hAnsi="宋体" w:eastAsia="宋体" w:cs="宋体"/>
                <w:sz w:val="21"/>
                <w:szCs w:val="21"/>
                <w:highlight w:val="none"/>
              </w:rPr>
            </w:pPr>
          </w:p>
        </w:tc>
        <w:tc>
          <w:tcPr>
            <w:tcW w:w="715" w:type="pct"/>
          </w:tcPr>
          <w:p w14:paraId="3B9557A4">
            <w:pPr>
              <w:keepNext w:val="0"/>
              <w:keepLines w:val="0"/>
              <w:pageBreakBefore w:val="0"/>
              <w:kinsoku/>
              <w:wordWrap/>
              <w:overflowPunct/>
              <w:topLinePunct w:val="0"/>
              <w:autoSpaceDE/>
              <w:autoSpaceDN/>
              <w:bidi w:val="0"/>
              <w:adjustRightInd/>
              <w:spacing w:line="360" w:lineRule="auto"/>
              <w:rPr>
                <w:rFonts w:hint="eastAsia" w:ascii="宋体" w:hAnsi="宋体" w:eastAsia="宋体" w:cs="宋体"/>
                <w:sz w:val="21"/>
                <w:szCs w:val="21"/>
                <w:highlight w:val="none"/>
              </w:rPr>
            </w:pPr>
          </w:p>
        </w:tc>
      </w:tr>
    </w:tbl>
    <w:p w14:paraId="64978BA2">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rPr>
        <w:t>甲方不支付除按中标结算单价结算应付鉴定服务费之外的其他任何费用。</w:t>
      </w:r>
    </w:p>
    <w:p w14:paraId="1B02ADC4">
      <w:pPr>
        <w:keepNext w:val="0"/>
        <w:keepLines w:val="0"/>
        <w:pageBreakBefore w:val="0"/>
        <w:widowControl w:val="0"/>
        <w:numPr>
          <w:ilvl w:val="0"/>
          <w:numId w:val="0"/>
        </w:numPr>
        <w:kinsoku/>
        <w:wordWrap/>
        <w:overflowPunct/>
        <w:topLinePunct w:val="0"/>
        <w:autoSpaceDE/>
        <w:autoSpaceDN/>
        <w:bidi w:val="0"/>
        <w:adjustRightInd/>
        <w:spacing w:line="360" w:lineRule="auto"/>
        <w:ind w:firstLine="420" w:firstLineChars="200"/>
        <w:textAlignment w:val="auto"/>
        <w:rPr>
          <w:rFonts w:hint="default" w:ascii="宋体" w:hAnsi="宋体" w:eastAsia="宋体" w:cs="宋体"/>
          <w:b/>
          <w:bCs/>
          <w:sz w:val="21"/>
          <w:szCs w:val="21"/>
          <w:highlight w:val="none"/>
          <w:lang w:val="en-US" w:eastAsia="zh-CN"/>
        </w:rPr>
      </w:pPr>
      <w:r>
        <w:rPr>
          <w:rFonts w:hint="default" w:ascii="宋体" w:hAnsi="宋体" w:eastAsia="宋体" w:cs="宋体"/>
          <w:b w:val="0"/>
          <w:bCs w:val="0"/>
          <w:kern w:val="2"/>
          <w:sz w:val="21"/>
          <w:szCs w:val="21"/>
          <w:highlight w:val="none"/>
          <w:lang w:val="en-US" w:eastAsia="zh-CN" w:bidi="ar-SA"/>
        </w:rPr>
        <w:t>2、</w:t>
      </w:r>
      <w:r>
        <w:rPr>
          <w:rFonts w:hint="eastAsia" w:ascii="宋体" w:hAnsi="宋体" w:eastAsia="宋体" w:cs="宋体"/>
          <w:sz w:val="21"/>
          <w:szCs w:val="21"/>
          <w:highlight w:val="none"/>
        </w:rPr>
        <w:t>由于交通事故等的不可预测性，甲方不保证乙方取得具体业务的数量及服务金额。</w:t>
      </w:r>
    </w:p>
    <w:p w14:paraId="20296B69">
      <w:pPr>
        <w:keepNext w:val="0"/>
        <w:keepLines w:val="0"/>
        <w:pageBreakBefore w:val="0"/>
        <w:widowControl w:val="0"/>
        <w:numPr>
          <w:ilvl w:val="0"/>
          <w:numId w:val="0"/>
        </w:numPr>
        <w:kinsoku/>
        <w:wordWrap/>
        <w:overflowPunct/>
        <w:topLinePunct w:val="0"/>
        <w:autoSpaceDE/>
        <w:autoSpaceDN/>
        <w:bidi w:val="0"/>
        <w:adjustRightInd/>
        <w:spacing w:line="360" w:lineRule="auto"/>
        <w:ind w:firstLine="420" w:firstLineChars="200"/>
        <w:textAlignment w:val="auto"/>
        <w:rPr>
          <w:rFonts w:hint="default" w:ascii="宋体" w:hAnsi="宋体" w:eastAsia="宋体" w:cs="宋体"/>
          <w:b w:val="0"/>
          <w:bCs w:val="0"/>
          <w:sz w:val="21"/>
          <w:szCs w:val="21"/>
          <w:highlight w:val="none"/>
          <w:lang w:val="en-US" w:eastAsia="zh-CN"/>
        </w:rPr>
      </w:pPr>
      <w:r>
        <w:rPr>
          <w:rFonts w:hint="default" w:ascii="宋体" w:hAnsi="宋体" w:eastAsia="宋体" w:cs="宋体"/>
          <w:b w:val="0"/>
          <w:bCs w:val="0"/>
          <w:kern w:val="2"/>
          <w:sz w:val="21"/>
          <w:szCs w:val="21"/>
          <w:highlight w:val="none"/>
          <w:lang w:val="en-US" w:eastAsia="zh-CN" w:bidi="ar-SA"/>
        </w:rPr>
        <w:t>3、</w:t>
      </w:r>
      <w:r>
        <w:rPr>
          <w:rFonts w:hint="eastAsia" w:ascii="宋体" w:hAnsi="宋体" w:eastAsia="宋体" w:cs="宋体"/>
          <w:b w:val="0"/>
          <w:bCs w:val="0"/>
          <w:sz w:val="21"/>
          <w:szCs w:val="21"/>
          <w:highlight w:val="none"/>
          <w:lang w:val="en-US" w:eastAsia="zh-CN"/>
        </w:rPr>
        <w:t>舟山市公安局交通警察支队一</w:t>
      </w:r>
      <w:r>
        <w:rPr>
          <w:rFonts w:hint="eastAsia" w:ascii="宋体" w:hAnsi="宋体" w:cs="宋体"/>
          <w:b w:val="0"/>
          <w:bCs w:val="0"/>
          <w:sz w:val="21"/>
          <w:szCs w:val="21"/>
          <w:highlight w:val="none"/>
          <w:lang w:val="en-US" w:eastAsia="zh-CN"/>
        </w:rPr>
        <w:t>年度</w:t>
      </w:r>
      <w:r>
        <w:rPr>
          <w:rFonts w:hint="eastAsia" w:ascii="宋体" w:hAnsi="宋体" w:eastAsia="宋体" w:cs="宋体"/>
          <w:b w:val="0"/>
          <w:bCs w:val="0"/>
          <w:sz w:val="21"/>
          <w:szCs w:val="21"/>
          <w:highlight w:val="none"/>
          <w:lang w:val="en-US" w:eastAsia="zh-CN"/>
        </w:rPr>
        <w:t>内司法鉴定费用不超过75万元，</w:t>
      </w:r>
      <w:r>
        <w:rPr>
          <w:rFonts w:hint="eastAsia" w:ascii="宋体" w:hAnsi="宋体" w:eastAsia="宋体" w:cs="宋体"/>
          <w:sz w:val="21"/>
          <w:szCs w:val="21"/>
          <w:highlight w:val="none"/>
          <w:lang w:val="en-US" w:eastAsia="zh-CN"/>
        </w:rPr>
        <w:t>成交人</w:t>
      </w:r>
      <w:r>
        <w:rPr>
          <w:rFonts w:hint="eastAsia" w:ascii="宋体" w:hAnsi="宋体" w:eastAsia="宋体" w:cs="宋体"/>
          <w:sz w:val="21"/>
          <w:szCs w:val="21"/>
          <w:highlight w:val="none"/>
        </w:rPr>
        <w:t>按实际提供事故检验鉴定次数开具正式发票，检验鉴定费每一季度进行一次结算</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如当年度鉴定费用不足75万，按实结算。</w:t>
      </w:r>
    </w:p>
    <w:p w14:paraId="6DAC6FDC">
      <w:pPr>
        <w:keepNext w:val="0"/>
        <w:keepLines w:val="0"/>
        <w:pageBreakBefore w:val="0"/>
        <w:kinsoku/>
        <w:wordWrap/>
        <w:overflowPunct/>
        <w:topLinePunct w:val="0"/>
        <w:autoSpaceDE/>
        <w:autoSpaceDN/>
        <w:bidi w:val="0"/>
        <w:adjustRightInd/>
        <w:spacing w:line="360" w:lineRule="auto"/>
        <w:outlineLvl w:val="1"/>
        <w:rPr>
          <w:rFonts w:hint="default" w:ascii="宋体" w:hAnsi="宋体" w:eastAsia="宋体" w:cs="宋体"/>
          <w:b/>
          <w:bCs/>
          <w:sz w:val="21"/>
          <w:szCs w:val="21"/>
          <w:highlight w:val="none"/>
          <w:lang w:val="en-US" w:eastAsia="zh-CN"/>
        </w:rPr>
      </w:pPr>
      <w:r>
        <w:rPr>
          <w:rFonts w:hint="eastAsia" w:ascii="宋体" w:hAnsi="宋体" w:cs="宋体"/>
          <w:b/>
          <w:bCs/>
          <w:sz w:val="21"/>
          <w:szCs w:val="21"/>
          <w:highlight w:val="none"/>
          <w:lang w:val="en-US" w:eastAsia="zh-CN"/>
        </w:rPr>
        <w:t>三、总体服务要求</w:t>
      </w:r>
    </w:p>
    <w:p w14:paraId="7F9AA497">
      <w:pPr>
        <w:pageBreakBefore w:val="0"/>
        <w:tabs>
          <w:tab w:val="left" w:pos="360"/>
        </w:tabs>
        <w:kinsoku/>
        <w:wordWrap/>
        <w:overflowPunct/>
        <w:topLinePunct w:val="0"/>
        <w:bidi w:val="0"/>
        <w:spacing w:line="360" w:lineRule="auto"/>
        <w:ind w:firstLine="525" w:firstLineChars="250"/>
        <w:rPr>
          <w:rFonts w:hint="eastAsia" w:ascii="宋体" w:hAnsi="宋体" w:cs="宋体"/>
          <w:sz w:val="21"/>
          <w:szCs w:val="21"/>
          <w:highlight w:val="none"/>
          <w:lang w:eastAsia="zh-CN"/>
        </w:rPr>
      </w:pPr>
      <w:r>
        <w:rPr>
          <w:rFonts w:hint="eastAsia" w:ascii="宋体" w:hAnsi="宋体" w:eastAsia="宋体" w:cs="宋体"/>
          <w:sz w:val="21"/>
          <w:szCs w:val="21"/>
          <w:highlight w:val="none"/>
        </w:rPr>
        <w:t>1、</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在接到</w:t>
      </w:r>
      <w:r>
        <w:rPr>
          <w:rFonts w:hint="eastAsia" w:ascii="宋体" w:hAnsi="宋体" w:cs="宋体"/>
          <w:sz w:val="21"/>
          <w:szCs w:val="21"/>
          <w:highlight w:val="none"/>
          <w:lang w:eastAsia="zh-CN"/>
        </w:rPr>
        <w:t>甲方</w:t>
      </w:r>
      <w:r>
        <w:rPr>
          <w:rFonts w:hint="eastAsia" w:ascii="宋体" w:hAnsi="宋体" w:eastAsia="宋体" w:cs="宋体"/>
          <w:sz w:val="21"/>
          <w:szCs w:val="21"/>
          <w:highlight w:val="none"/>
        </w:rPr>
        <w:t>的委托书后，应按委托要求时间派技术人员准时到达指定地点，并按照委托项目对事故车辆进行检验，及时将检验鉴定书送达</w:t>
      </w:r>
      <w:r>
        <w:rPr>
          <w:rFonts w:hint="eastAsia" w:ascii="宋体" w:hAnsi="宋体" w:cs="宋体"/>
          <w:sz w:val="21"/>
          <w:szCs w:val="21"/>
          <w:highlight w:val="none"/>
          <w:lang w:eastAsia="zh-CN"/>
        </w:rPr>
        <w:t>甲方。</w:t>
      </w:r>
    </w:p>
    <w:p w14:paraId="35AB1AAE">
      <w:pPr>
        <w:pageBreakBefore w:val="0"/>
        <w:tabs>
          <w:tab w:val="left" w:pos="360"/>
        </w:tabs>
        <w:kinsoku/>
        <w:wordWrap/>
        <w:overflowPunct/>
        <w:topLinePunct w:val="0"/>
        <w:bidi w:val="0"/>
        <w:spacing w:line="360" w:lineRule="auto"/>
        <w:ind w:firstLine="525" w:firstLineChars="250"/>
        <w:rPr>
          <w:rFonts w:hint="eastAsia" w:ascii="宋体" w:hAnsi="宋体" w:eastAsia="宋体" w:cs="宋体"/>
          <w:sz w:val="21"/>
          <w:szCs w:val="21"/>
          <w:highlight w:val="none"/>
        </w:rPr>
      </w:pPr>
      <w:r>
        <w:rPr>
          <w:rFonts w:hint="eastAsia" w:ascii="宋体" w:hAnsi="宋体" w:eastAsia="宋体" w:cs="宋体"/>
          <w:sz w:val="21"/>
          <w:szCs w:val="21"/>
          <w:highlight w:val="none"/>
        </w:rPr>
        <w:t>2、交通事故车辆技术检验鉴定工作应严格按照国家标准进行。</w:t>
      </w:r>
    </w:p>
    <w:p w14:paraId="022CAAD5">
      <w:pPr>
        <w:pageBreakBefore w:val="0"/>
        <w:tabs>
          <w:tab w:val="left" w:pos="360"/>
        </w:tabs>
        <w:kinsoku/>
        <w:wordWrap/>
        <w:overflowPunct/>
        <w:topLinePunct w:val="0"/>
        <w:bidi w:val="0"/>
        <w:spacing w:line="360" w:lineRule="auto"/>
        <w:ind w:firstLine="525" w:firstLineChars="250"/>
        <w:rPr>
          <w:rFonts w:hint="eastAsia" w:ascii="宋体" w:hAnsi="宋体" w:eastAsia="宋体" w:cs="宋体"/>
          <w:sz w:val="21"/>
          <w:szCs w:val="21"/>
          <w:highlight w:val="none"/>
        </w:rPr>
      </w:pPr>
      <w:r>
        <w:rPr>
          <w:rFonts w:hint="eastAsia" w:ascii="宋体" w:hAnsi="宋体" w:eastAsia="宋体" w:cs="宋体"/>
          <w:sz w:val="21"/>
          <w:szCs w:val="21"/>
          <w:highlight w:val="none"/>
        </w:rPr>
        <w:t>3、保密要求：</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需将勘查资料及检验、鉴定报告妥善保存</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并</w:t>
      </w:r>
      <w:r>
        <w:rPr>
          <w:rFonts w:hint="eastAsia" w:ascii="宋体" w:hAnsi="宋体" w:eastAsia="宋体" w:cs="宋体"/>
          <w:sz w:val="21"/>
          <w:szCs w:val="21"/>
          <w:highlight w:val="none"/>
        </w:rPr>
        <w:t>严格遵守《数据安全法》及相关数据安全管理规定，在上岗前签订具有法律效力的保密协议，对事故信息实行全程加密处理，包括但不限于存储加密、传输加密和访问控制，确保数据全生命周期安全</w:t>
      </w:r>
      <w:r>
        <w:rPr>
          <w:rFonts w:hint="eastAsia" w:ascii="宋体" w:hAnsi="宋体" w:cs="宋体"/>
          <w:sz w:val="21"/>
          <w:szCs w:val="21"/>
          <w:highlight w:val="none"/>
          <w:lang w:eastAsia="zh-CN"/>
        </w:rPr>
        <w:t>。</w:t>
      </w:r>
      <w:r>
        <w:rPr>
          <w:rFonts w:hint="eastAsia" w:ascii="宋体" w:hAnsi="宋体" w:eastAsia="宋体" w:cs="宋体"/>
          <w:sz w:val="21"/>
          <w:szCs w:val="21"/>
          <w:highlight w:val="none"/>
        </w:rPr>
        <w:t>未经</w:t>
      </w:r>
      <w:r>
        <w:rPr>
          <w:rFonts w:hint="eastAsia" w:ascii="宋体" w:hAnsi="宋体" w:cs="宋体"/>
          <w:sz w:val="21"/>
          <w:szCs w:val="21"/>
          <w:highlight w:val="none"/>
          <w:lang w:eastAsia="zh-CN"/>
        </w:rPr>
        <w:t>甲方</w:t>
      </w:r>
      <w:r>
        <w:rPr>
          <w:rFonts w:hint="eastAsia" w:ascii="宋体" w:hAnsi="宋体" w:eastAsia="宋体" w:cs="宋体"/>
          <w:sz w:val="21"/>
          <w:szCs w:val="21"/>
          <w:highlight w:val="none"/>
        </w:rPr>
        <w:t>书面同意，不得以任何方式向第三方转让、泄露关于交通事故的相关资料。</w:t>
      </w:r>
    </w:p>
    <w:p w14:paraId="7A1AC712">
      <w:pPr>
        <w:pageBreakBefore w:val="0"/>
        <w:tabs>
          <w:tab w:val="left" w:pos="360"/>
        </w:tabs>
        <w:kinsoku/>
        <w:wordWrap/>
        <w:overflowPunct/>
        <w:topLinePunct w:val="0"/>
        <w:bidi w:val="0"/>
        <w:spacing w:line="360" w:lineRule="auto"/>
        <w:ind w:firstLine="525" w:firstLineChars="250"/>
        <w:rPr>
          <w:rFonts w:hint="eastAsia" w:ascii="宋体" w:hAnsi="宋体" w:eastAsia="宋体" w:cs="宋体"/>
          <w:sz w:val="21"/>
          <w:szCs w:val="21"/>
          <w:highlight w:val="none"/>
        </w:rPr>
      </w:pPr>
      <w:r>
        <w:rPr>
          <w:rFonts w:hint="eastAsia" w:ascii="宋体" w:hAnsi="宋体" w:eastAsia="宋体" w:cs="宋体"/>
          <w:sz w:val="21"/>
          <w:szCs w:val="21"/>
          <w:highlight w:val="none"/>
        </w:rPr>
        <w:t>4、由检验鉴定小组2名（或以上）技术人员共同检验鉴定</w:t>
      </w:r>
      <w:r>
        <w:rPr>
          <w:rFonts w:hint="eastAsia" w:ascii="宋体" w:hAnsi="宋体" w:cs="宋体"/>
          <w:b/>
          <w:bCs/>
          <w:sz w:val="21"/>
          <w:szCs w:val="21"/>
          <w:highlight w:val="none"/>
          <w:lang w:eastAsia="zh-CN"/>
        </w:rPr>
        <w:t>（</w:t>
      </w:r>
      <w:r>
        <w:rPr>
          <w:rFonts w:hint="eastAsia" w:ascii="宋体" w:hAnsi="宋体" w:cs="宋体"/>
          <w:b/>
          <w:bCs/>
          <w:sz w:val="21"/>
          <w:szCs w:val="21"/>
          <w:highlight w:val="none"/>
          <w:lang w:val="en-US" w:eastAsia="zh-CN"/>
        </w:rPr>
        <w:t>包括需到现场鉴定情况</w:t>
      </w:r>
      <w:r>
        <w:rPr>
          <w:rFonts w:hint="eastAsia" w:ascii="宋体" w:hAnsi="宋体" w:cs="宋体"/>
          <w:b/>
          <w:bCs/>
          <w:sz w:val="21"/>
          <w:szCs w:val="21"/>
          <w:highlight w:val="none"/>
          <w:lang w:eastAsia="zh-CN"/>
        </w:rPr>
        <w:t>）</w:t>
      </w:r>
      <w:r>
        <w:rPr>
          <w:rFonts w:hint="eastAsia" w:ascii="宋体" w:hAnsi="宋体" w:eastAsia="宋体" w:cs="宋体"/>
          <w:sz w:val="21"/>
          <w:szCs w:val="21"/>
          <w:highlight w:val="none"/>
        </w:rPr>
        <w:t>，并统一按规定的文字格式规范制作并注明签发日期，检验鉴定书根据实际需求出具相应份数（电脑打印），由检验鉴定该车的两名（或以上）专业技术人员共同签名并注明技术职称，并加盖检验鉴定单位印章，并附鉴定机构和人员资质。</w:t>
      </w:r>
    </w:p>
    <w:p w14:paraId="12C16151">
      <w:pPr>
        <w:pageBreakBefore w:val="0"/>
        <w:tabs>
          <w:tab w:val="left" w:pos="360"/>
        </w:tabs>
        <w:kinsoku/>
        <w:wordWrap/>
        <w:overflowPunct/>
        <w:topLinePunct w:val="0"/>
        <w:bidi w:val="0"/>
        <w:spacing w:line="360" w:lineRule="auto"/>
        <w:ind w:firstLine="525" w:firstLineChars="250"/>
        <w:rPr>
          <w:rFonts w:hint="eastAsia" w:ascii="宋体" w:hAnsi="宋体" w:eastAsia="宋体" w:cs="宋体"/>
          <w:sz w:val="21"/>
          <w:szCs w:val="21"/>
          <w:highlight w:val="none"/>
        </w:rPr>
      </w:pPr>
      <w:r>
        <w:rPr>
          <w:rFonts w:hint="eastAsia" w:ascii="宋体" w:hAnsi="宋体" w:eastAsia="宋体" w:cs="宋体"/>
          <w:sz w:val="21"/>
          <w:szCs w:val="21"/>
          <w:highlight w:val="none"/>
        </w:rPr>
        <w:t>5、对关键零部件做检验鉴定时，应同时按事故痕迹的拍照规范进行拍照固定并附照片进行文字说明，与检验鉴定书一并交</w:t>
      </w:r>
      <w:r>
        <w:rPr>
          <w:rFonts w:hint="eastAsia" w:ascii="宋体" w:hAnsi="宋体" w:cs="宋体"/>
          <w:sz w:val="21"/>
          <w:szCs w:val="21"/>
          <w:highlight w:val="none"/>
          <w:lang w:eastAsia="zh-CN"/>
        </w:rPr>
        <w:t>甲方</w:t>
      </w:r>
      <w:r>
        <w:rPr>
          <w:rFonts w:hint="eastAsia" w:ascii="宋体" w:hAnsi="宋体" w:eastAsia="宋体" w:cs="宋体"/>
          <w:sz w:val="21"/>
          <w:szCs w:val="21"/>
          <w:highlight w:val="none"/>
        </w:rPr>
        <w:t>。</w:t>
      </w:r>
    </w:p>
    <w:p w14:paraId="143CD224">
      <w:pPr>
        <w:keepLines w:val="0"/>
        <w:pageBreakBefore w:val="0"/>
        <w:widowControl w:val="0"/>
        <w:tabs>
          <w:tab w:val="left" w:pos="360"/>
        </w:tabs>
        <w:kinsoku/>
        <w:wordWrap/>
        <w:overflowPunct/>
        <w:topLinePunct w:val="0"/>
        <w:autoSpaceDE/>
        <w:autoSpaceDN/>
        <w:bidi w:val="0"/>
        <w:spacing w:line="360" w:lineRule="auto"/>
        <w:ind w:firstLine="525" w:firstLineChars="25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6、鉴定报告应当符合《司法鉴定程序通则》关于法律文书格式的规范要求，采用标准化文书格式，包含完整的要素信息。鉴定结论应当表述准确、逻辑严密、用词规范，不得使用模棱两可或可能产生歧义的表述，确保鉴定意见具有唯一性和确定性。</w:t>
      </w:r>
    </w:p>
    <w:p w14:paraId="22623DBC">
      <w:pPr>
        <w:keepLines w:val="0"/>
        <w:pageBreakBefore w:val="0"/>
        <w:widowControl w:val="0"/>
        <w:tabs>
          <w:tab w:val="left" w:pos="360"/>
        </w:tabs>
        <w:kinsoku/>
        <w:wordWrap/>
        <w:overflowPunct/>
        <w:topLinePunct w:val="0"/>
        <w:autoSpaceDE/>
        <w:autoSpaceDN/>
        <w:bidi w:val="0"/>
        <w:spacing w:line="360" w:lineRule="auto"/>
        <w:ind w:firstLine="525" w:firstLineChars="250"/>
        <w:textAlignment w:val="auto"/>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7</w:t>
      </w:r>
      <w:r>
        <w:rPr>
          <w:rFonts w:hint="eastAsia" w:ascii="宋体" w:hAnsi="宋体" w:eastAsia="宋体" w:cs="宋体"/>
          <w:sz w:val="21"/>
          <w:szCs w:val="21"/>
          <w:highlight w:val="none"/>
        </w:rPr>
        <w:t>、</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应当建立7×24小时应急响应机制，配备专职应急联络人员，确保在法定节假日、夜间（1</w:t>
      </w:r>
      <w:r>
        <w:rPr>
          <w:rFonts w:hint="eastAsia" w:ascii="宋体" w:hAnsi="宋体" w:cs="宋体"/>
          <w:sz w:val="21"/>
          <w:szCs w:val="21"/>
          <w:highlight w:val="none"/>
          <w:lang w:val="en-US" w:eastAsia="zh-CN"/>
        </w:rPr>
        <w:t>7</w:t>
      </w:r>
      <w:r>
        <w:rPr>
          <w:rFonts w:hint="eastAsia" w:ascii="宋体" w:hAnsi="宋体" w:eastAsia="宋体" w:cs="宋体"/>
          <w:sz w:val="21"/>
          <w:szCs w:val="21"/>
          <w:highlight w:val="none"/>
        </w:rPr>
        <w:t>：00-8：</w:t>
      </w:r>
      <w:r>
        <w:rPr>
          <w:rFonts w:hint="eastAsia" w:ascii="宋体" w:hAnsi="宋体" w:cs="宋体"/>
          <w:sz w:val="21"/>
          <w:szCs w:val="21"/>
          <w:highlight w:val="none"/>
          <w:lang w:val="en-US" w:eastAsia="zh-CN"/>
        </w:rPr>
        <w:t>30</w:t>
      </w:r>
      <w:r>
        <w:rPr>
          <w:rFonts w:hint="eastAsia" w:ascii="宋体" w:hAnsi="宋体" w:eastAsia="宋体" w:cs="宋体"/>
          <w:sz w:val="21"/>
          <w:szCs w:val="21"/>
          <w:highlight w:val="none"/>
        </w:rPr>
        <w:t>）等非工作时段仍能保持通讯畅通，并在接到紧急鉴定需求后2小时内作出响应，4小时内启动鉴定程序。应急联络人员信息（包括固定电话、移动电话、电子邮箱）应当提前备案并及时更新。</w:t>
      </w:r>
      <w:r>
        <w:rPr>
          <w:rFonts w:hint="eastAsia" w:ascii="宋体" w:hAnsi="宋体" w:cs="宋体"/>
          <w:sz w:val="21"/>
          <w:szCs w:val="21"/>
          <w:highlight w:val="none"/>
          <w:lang w:val="en-US" w:eastAsia="zh-CN"/>
        </w:rPr>
        <w:t>对于紧急项目，乙方需出具初步的鉴定报告以供甲方工作的进行。</w:t>
      </w:r>
    </w:p>
    <w:p w14:paraId="49A2DEA8">
      <w:pPr>
        <w:keepLines w:val="0"/>
        <w:pageBreakBefore w:val="0"/>
        <w:widowControl w:val="0"/>
        <w:tabs>
          <w:tab w:val="left" w:pos="360"/>
        </w:tabs>
        <w:kinsoku/>
        <w:wordWrap/>
        <w:overflowPunct/>
        <w:topLinePunct w:val="0"/>
        <w:autoSpaceDE/>
        <w:autoSpaceDN/>
        <w:bidi w:val="0"/>
        <w:spacing w:line="360" w:lineRule="auto"/>
        <w:ind w:firstLine="525" w:firstLineChars="250"/>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8</w:t>
      </w:r>
      <w:r>
        <w:rPr>
          <w:rFonts w:hint="eastAsia" w:ascii="宋体" w:hAnsi="宋体" w:eastAsia="宋体" w:cs="宋体"/>
          <w:sz w:val="21"/>
          <w:szCs w:val="21"/>
          <w:highlight w:val="none"/>
        </w:rPr>
        <w:t>、因工作需要，</w:t>
      </w:r>
      <w:r>
        <w:rPr>
          <w:rFonts w:hint="eastAsia" w:ascii="宋体" w:hAnsi="宋体" w:cs="宋体"/>
          <w:sz w:val="21"/>
          <w:szCs w:val="21"/>
          <w:highlight w:val="none"/>
          <w:lang w:eastAsia="zh-CN"/>
        </w:rPr>
        <w:t>甲方</w:t>
      </w:r>
      <w:r>
        <w:rPr>
          <w:rFonts w:hint="eastAsia" w:ascii="宋体" w:hAnsi="宋体" w:eastAsia="宋体" w:cs="宋体"/>
          <w:sz w:val="21"/>
          <w:szCs w:val="21"/>
          <w:highlight w:val="none"/>
        </w:rPr>
        <w:t>临时向</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提出服务的要求，应全力配合，按照</w:t>
      </w:r>
      <w:r>
        <w:rPr>
          <w:rFonts w:hint="eastAsia" w:ascii="宋体" w:hAnsi="宋体" w:cs="宋体"/>
          <w:sz w:val="21"/>
          <w:szCs w:val="21"/>
          <w:highlight w:val="none"/>
          <w:lang w:eastAsia="zh-CN"/>
        </w:rPr>
        <w:t>甲方</w:t>
      </w:r>
      <w:r>
        <w:rPr>
          <w:rFonts w:hint="eastAsia" w:ascii="宋体" w:hAnsi="宋体" w:eastAsia="宋体" w:cs="宋体"/>
          <w:sz w:val="21"/>
          <w:szCs w:val="21"/>
          <w:highlight w:val="none"/>
        </w:rPr>
        <w:t>提出标准及要求完成，不得无故拖延。</w:t>
      </w:r>
    </w:p>
    <w:p w14:paraId="5D1392EC">
      <w:pPr>
        <w:keepLines w:val="0"/>
        <w:pageBreakBefore w:val="0"/>
        <w:widowControl w:val="0"/>
        <w:tabs>
          <w:tab w:val="left" w:pos="360"/>
        </w:tabs>
        <w:kinsoku/>
        <w:wordWrap/>
        <w:overflowPunct/>
        <w:topLinePunct w:val="0"/>
        <w:autoSpaceDE/>
        <w:autoSpaceDN/>
        <w:bidi w:val="0"/>
        <w:spacing w:line="360" w:lineRule="auto"/>
        <w:ind w:firstLine="525" w:firstLineChars="250"/>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9</w:t>
      </w:r>
      <w:r>
        <w:rPr>
          <w:rFonts w:hint="eastAsia" w:ascii="宋体" w:hAnsi="宋体" w:eastAsia="宋体" w:cs="宋体"/>
          <w:sz w:val="21"/>
          <w:szCs w:val="21"/>
          <w:highlight w:val="none"/>
        </w:rPr>
        <w:t>、</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必须对员工发生的事故责任以及员工计生、身份、健康等承担责任；同时对员工</w:t>
      </w:r>
      <w:r>
        <w:rPr>
          <w:rFonts w:hint="eastAsia" w:ascii="宋体" w:hAnsi="宋体" w:eastAsia="宋体" w:cs="宋体"/>
          <w:sz w:val="21"/>
          <w:szCs w:val="21"/>
          <w:highlight w:val="none"/>
          <w:lang w:val="en-US" w:eastAsia="zh-CN"/>
        </w:rPr>
        <w:t>因</w:t>
      </w:r>
      <w:r>
        <w:rPr>
          <w:rFonts w:hint="eastAsia" w:ascii="宋体" w:hAnsi="宋体" w:eastAsia="宋体" w:cs="宋体"/>
          <w:sz w:val="21"/>
          <w:szCs w:val="21"/>
          <w:highlight w:val="none"/>
        </w:rPr>
        <w:t>作业期间做出不良行为</w:t>
      </w:r>
      <w:r>
        <w:rPr>
          <w:rFonts w:hint="eastAsia" w:ascii="宋体" w:hAnsi="宋体" w:eastAsia="宋体" w:cs="宋体"/>
          <w:sz w:val="21"/>
          <w:szCs w:val="21"/>
          <w:highlight w:val="none"/>
          <w:lang w:val="en-US" w:eastAsia="zh-CN"/>
        </w:rPr>
        <w:t>而</w:t>
      </w:r>
      <w:r>
        <w:rPr>
          <w:rFonts w:hint="eastAsia" w:ascii="宋体" w:hAnsi="宋体" w:eastAsia="宋体" w:cs="宋体"/>
          <w:sz w:val="21"/>
          <w:szCs w:val="21"/>
          <w:highlight w:val="none"/>
        </w:rPr>
        <w:t>给</w:t>
      </w:r>
      <w:r>
        <w:rPr>
          <w:rFonts w:hint="eastAsia" w:ascii="宋体" w:hAnsi="宋体" w:cs="宋体"/>
          <w:sz w:val="21"/>
          <w:szCs w:val="21"/>
          <w:highlight w:val="none"/>
          <w:lang w:val="en-US" w:eastAsia="zh-CN"/>
        </w:rPr>
        <w:t>甲方</w:t>
      </w:r>
      <w:r>
        <w:rPr>
          <w:rFonts w:hint="eastAsia" w:ascii="宋体" w:hAnsi="宋体" w:eastAsia="宋体" w:cs="宋体"/>
          <w:sz w:val="21"/>
          <w:szCs w:val="21"/>
          <w:highlight w:val="none"/>
        </w:rPr>
        <w:t>造成影响承担责任。</w:t>
      </w:r>
    </w:p>
    <w:p w14:paraId="5B7881A1">
      <w:pPr>
        <w:keepNext w:val="0"/>
        <w:keepLines w:val="0"/>
        <w:pageBreakBefore w:val="0"/>
        <w:widowControl w:val="0"/>
        <w:tabs>
          <w:tab w:val="left" w:pos="360"/>
        </w:tabs>
        <w:kinsoku/>
        <w:wordWrap/>
        <w:overflowPunct/>
        <w:topLinePunct w:val="0"/>
        <w:autoSpaceDE/>
        <w:autoSpaceDN/>
        <w:bidi w:val="0"/>
        <w:adjustRightInd/>
        <w:snapToGrid/>
        <w:spacing w:line="360" w:lineRule="auto"/>
        <w:ind w:firstLine="525" w:firstLineChars="25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w:t>
      </w:r>
      <w:r>
        <w:rPr>
          <w:rFonts w:hint="eastAsia" w:ascii="宋体" w:hAnsi="宋体" w:cs="宋体"/>
          <w:sz w:val="21"/>
          <w:szCs w:val="21"/>
          <w:highlight w:val="none"/>
          <w:lang w:val="en-US" w:eastAsia="zh-CN"/>
        </w:rPr>
        <w:t>0</w:t>
      </w:r>
      <w:r>
        <w:rPr>
          <w:rFonts w:hint="eastAsia" w:ascii="宋体" w:hAnsi="宋体" w:eastAsia="宋体" w:cs="宋体"/>
          <w:sz w:val="21"/>
          <w:szCs w:val="21"/>
          <w:highlight w:val="none"/>
        </w:rPr>
        <w:t>、</w:t>
      </w:r>
      <w:r>
        <w:rPr>
          <w:rFonts w:hint="eastAsia" w:ascii="宋体" w:hAnsi="宋体" w:cs="宋体"/>
          <w:sz w:val="21"/>
          <w:szCs w:val="21"/>
          <w:highlight w:val="none"/>
          <w:lang w:val="en-US" w:eastAsia="zh-CN"/>
        </w:rPr>
        <w:t>服务</w:t>
      </w:r>
      <w:r>
        <w:rPr>
          <w:rFonts w:hint="eastAsia" w:ascii="宋体" w:hAnsi="宋体" w:eastAsia="宋体" w:cs="宋体"/>
          <w:sz w:val="21"/>
          <w:szCs w:val="21"/>
          <w:highlight w:val="none"/>
        </w:rPr>
        <w:t>期间，因</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原因导致作业区域内的其他有关车辆、设施、设备损坏、由此引起的责任和损失由</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承担。</w:t>
      </w:r>
    </w:p>
    <w:p w14:paraId="2C11189D">
      <w:pPr>
        <w:keepNext w:val="0"/>
        <w:keepLines w:val="0"/>
        <w:pageBreakBefore w:val="0"/>
        <w:widowControl w:val="0"/>
        <w:tabs>
          <w:tab w:val="left" w:pos="360"/>
        </w:tabs>
        <w:kinsoku/>
        <w:wordWrap/>
        <w:overflowPunct/>
        <w:topLinePunct w:val="0"/>
        <w:autoSpaceDE/>
        <w:autoSpaceDN/>
        <w:bidi w:val="0"/>
        <w:adjustRightInd/>
        <w:snapToGrid/>
        <w:spacing w:line="360" w:lineRule="auto"/>
        <w:ind w:firstLine="525" w:firstLineChars="25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w:t>
      </w:r>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rPr>
        <w:t>、办公各类设施及费用、人员食宿、安全等均由</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自行负责解决。</w:t>
      </w:r>
    </w:p>
    <w:p w14:paraId="2E22E4CD">
      <w:pPr>
        <w:keepNext w:val="0"/>
        <w:keepLines w:val="0"/>
        <w:pageBreakBefore w:val="0"/>
        <w:widowControl w:val="0"/>
        <w:tabs>
          <w:tab w:val="left" w:pos="360"/>
        </w:tabs>
        <w:kinsoku/>
        <w:wordWrap/>
        <w:overflowPunct/>
        <w:topLinePunct w:val="0"/>
        <w:autoSpaceDE/>
        <w:autoSpaceDN/>
        <w:bidi w:val="0"/>
        <w:adjustRightInd/>
        <w:snapToGrid/>
        <w:spacing w:line="360" w:lineRule="auto"/>
        <w:ind w:firstLine="525" w:firstLineChars="25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w:t>
      </w:r>
      <w:r>
        <w:rPr>
          <w:rFonts w:hint="eastAsia" w:ascii="宋体" w:hAnsi="宋体" w:cs="宋体"/>
          <w:sz w:val="21"/>
          <w:szCs w:val="21"/>
          <w:highlight w:val="none"/>
          <w:lang w:val="en-US" w:eastAsia="zh-CN"/>
        </w:rPr>
        <w:t>2</w:t>
      </w:r>
      <w:r>
        <w:rPr>
          <w:rFonts w:hint="eastAsia" w:ascii="宋体" w:hAnsi="宋体" w:eastAsia="宋体" w:cs="宋体"/>
          <w:sz w:val="21"/>
          <w:szCs w:val="21"/>
          <w:highlight w:val="none"/>
        </w:rPr>
        <w:t>、</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须按政府各部门有关规定为</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的每位员工交纳各种社会保险及相关费用。</w:t>
      </w:r>
    </w:p>
    <w:p w14:paraId="57A37010">
      <w:pPr>
        <w:keepNext w:val="0"/>
        <w:keepLines w:val="0"/>
        <w:pageBreakBefore w:val="0"/>
        <w:widowControl w:val="0"/>
        <w:tabs>
          <w:tab w:val="left" w:pos="360"/>
        </w:tabs>
        <w:kinsoku/>
        <w:wordWrap/>
        <w:overflowPunct/>
        <w:topLinePunct w:val="0"/>
        <w:autoSpaceDE/>
        <w:autoSpaceDN/>
        <w:bidi w:val="0"/>
        <w:adjustRightInd/>
        <w:snapToGrid/>
        <w:spacing w:line="360" w:lineRule="auto"/>
        <w:ind w:firstLine="525" w:firstLineChars="25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w:t>
      </w:r>
      <w:r>
        <w:rPr>
          <w:rFonts w:hint="eastAsia" w:ascii="宋体" w:hAnsi="宋体" w:cs="宋体"/>
          <w:sz w:val="21"/>
          <w:szCs w:val="21"/>
          <w:highlight w:val="none"/>
          <w:lang w:val="en-US" w:eastAsia="zh-CN"/>
        </w:rPr>
        <w:t>3</w:t>
      </w:r>
      <w:r>
        <w:rPr>
          <w:rFonts w:hint="eastAsia" w:ascii="宋体" w:hAnsi="宋体" w:eastAsia="宋体" w:cs="宋体"/>
          <w:sz w:val="21"/>
          <w:szCs w:val="21"/>
          <w:highlight w:val="none"/>
        </w:rPr>
        <w:t>、在</w:t>
      </w:r>
      <w:r>
        <w:rPr>
          <w:rFonts w:hint="eastAsia" w:ascii="宋体" w:hAnsi="宋体" w:cs="宋体"/>
          <w:sz w:val="21"/>
          <w:szCs w:val="21"/>
          <w:highlight w:val="none"/>
          <w:lang w:eastAsia="zh-CN"/>
        </w:rPr>
        <w:t>服务</w:t>
      </w:r>
      <w:r>
        <w:rPr>
          <w:rFonts w:hint="eastAsia" w:ascii="宋体" w:hAnsi="宋体" w:eastAsia="宋体" w:cs="宋体"/>
          <w:sz w:val="21"/>
          <w:szCs w:val="21"/>
          <w:highlight w:val="none"/>
        </w:rPr>
        <w:t>期限内，</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所有人员的安全事故由</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自行全权负责，</w:t>
      </w:r>
      <w:r>
        <w:rPr>
          <w:rFonts w:hint="eastAsia" w:ascii="宋体" w:hAnsi="宋体" w:cs="宋体"/>
          <w:sz w:val="21"/>
          <w:szCs w:val="21"/>
          <w:highlight w:val="none"/>
          <w:lang w:eastAsia="zh-CN"/>
        </w:rPr>
        <w:t>甲方</w:t>
      </w:r>
      <w:r>
        <w:rPr>
          <w:rFonts w:hint="eastAsia" w:ascii="宋体" w:hAnsi="宋体" w:eastAsia="宋体" w:cs="宋体"/>
          <w:sz w:val="21"/>
          <w:szCs w:val="21"/>
          <w:highlight w:val="none"/>
        </w:rPr>
        <w:t>不承担任何责任。</w:t>
      </w:r>
    </w:p>
    <w:p w14:paraId="0BC04787">
      <w:pPr>
        <w:keepNext w:val="0"/>
        <w:keepLines w:val="0"/>
        <w:pageBreakBefore w:val="0"/>
        <w:widowControl w:val="0"/>
        <w:tabs>
          <w:tab w:val="left" w:pos="360"/>
        </w:tabs>
        <w:kinsoku/>
        <w:wordWrap/>
        <w:overflowPunct/>
        <w:topLinePunct w:val="0"/>
        <w:autoSpaceDE/>
        <w:autoSpaceDN/>
        <w:bidi w:val="0"/>
        <w:adjustRightInd/>
        <w:snapToGrid/>
        <w:spacing w:line="360" w:lineRule="auto"/>
        <w:ind w:firstLine="525" w:firstLineChars="25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w:t>
      </w:r>
      <w:r>
        <w:rPr>
          <w:rFonts w:hint="eastAsia" w:ascii="宋体" w:hAnsi="宋体" w:cs="宋体"/>
          <w:sz w:val="21"/>
          <w:szCs w:val="21"/>
          <w:highlight w:val="none"/>
          <w:lang w:val="en-US" w:eastAsia="zh-CN"/>
        </w:rPr>
        <w:t>4</w:t>
      </w:r>
      <w:r>
        <w:rPr>
          <w:rFonts w:hint="eastAsia" w:ascii="宋体" w:hAnsi="宋体" w:eastAsia="宋体" w:cs="宋体"/>
          <w:sz w:val="21"/>
          <w:szCs w:val="21"/>
          <w:highlight w:val="none"/>
        </w:rPr>
        <w:t>、项目负责人作为本项目的联系人不得变更，必须随时听从</w:t>
      </w:r>
      <w:r>
        <w:rPr>
          <w:rFonts w:hint="eastAsia" w:ascii="宋体" w:hAnsi="宋体" w:cs="宋体"/>
          <w:sz w:val="21"/>
          <w:szCs w:val="21"/>
          <w:highlight w:val="none"/>
          <w:lang w:eastAsia="zh-CN"/>
        </w:rPr>
        <w:t>甲方</w:t>
      </w:r>
      <w:r>
        <w:rPr>
          <w:rFonts w:hint="eastAsia" w:ascii="宋体" w:hAnsi="宋体" w:eastAsia="宋体" w:cs="宋体"/>
          <w:sz w:val="21"/>
          <w:szCs w:val="21"/>
          <w:highlight w:val="none"/>
        </w:rPr>
        <w:t>指派、组织协调鉴定小组工作。</w:t>
      </w:r>
    </w:p>
    <w:p w14:paraId="383FA8EF">
      <w:pPr>
        <w:keepNext w:val="0"/>
        <w:keepLines w:val="0"/>
        <w:pageBreakBefore w:val="0"/>
        <w:widowControl w:val="0"/>
        <w:tabs>
          <w:tab w:val="left" w:pos="360"/>
        </w:tabs>
        <w:kinsoku/>
        <w:wordWrap/>
        <w:overflowPunct/>
        <w:topLinePunct w:val="0"/>
        <w:autoSpaceDE/>
        <w:autoSpaceDN/>
        <w:bidi w:val="0"/>
        <w:adjustRightInd/>
        <w:snapToGrid/>
        <w:spacing w:line="360" w:lineRule="auto"/>
        <w:ind w:firstLine="525" w:firstLineChars="250"/>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w:t>
      </w:r>
      <w:r>
        <w:rPr>
          <w:rFonts w:hint="eastAsia" w:ascii="宋体" w:hAnsi="宋体" w:cs="宋体"/>
          <w:sz w:val="21"/>
          <w:szCs w:val="21"/>
          <w:highlight w:val="none"/>
          <w:lang w:val="en-US" w:eastAsia="zh-CN"/>
        </w:rPr>
        <w:t>5</w:t>
      </w:r>
      <w:r>
        <w:rPr>
          <w:rFonts w:hint="eastAsia" w:ascii="宋体" w:hAnsi="宋体" w:eastAsia="宋体" w:cs="宋体"/>
          <w:sz w:val="21"/>
          <w:szCs w:val="21"/>
          <w:highlight w:val="none"/>
          <w:lang w:val="en-US" w:eastAsia="zh-CN"/>
        </w:rPr>
        <w:t>、对于业务档案的保存根据《浙江省司法鉴定机构档案管理办法》的相关要求进行保存。</w:t>
      </w:r>
    </w:p>
    <w:p w14:paraId="1C720E99">
      <w:pPr>
        <w:keepNext w:val="0"/>
        <w:keepLines w:val="0"/>
        <w:pageBreakBefore w:val="0"/>
        <w:widowControl w:val="0"/>
        <w:tabs>
          <w:tab w:val="left" w:pos="360"/>
        </w:tabs>
        <w:kinsoku/>
        <w:wordWrap/>
        <w:overflowPunct/>
        <w:topLinePunct w:val="0"/>
        <w:autoSpaceDE/>
        <w:autoSpaceDN/>
        <w:bidi w:val="0"/>
        <w:adjustRightInd/>
        <w:snapToGrid/>
        <w:spacing w:line="360" w:lineRule="auto"/>
        <w:ind w:firstLine="525" w:firstLineChars="250"/>
        <w:textAlignment w:val="auto"/>
        <w:rPr>
          <w:rFonts w:hint="eastAsia" w:ascii="宋体" w:hAnsi="宋体" w:eastAsia="宋体" w:cs="宋体"/>
          <w:b/>
          <w:bCs/>
          <w:sz w:val="21"/>
          <w:szCs w:val="21"/>
          <w:highlight w:val="none"/>
          <w:lang w:val="en-US" w:eastAsia="zh-CN"/>
        </w:rPr>
      </w:pPr>
      <w:r>
        <w:rPr>
          <w:rFonts w:hint="eastAsia" w:ascii="宋体" w:hAnsi="宋体" w:eastAsia="宋体" w:cs="宋体"/>
          <w:sz w:val="21"/>
          <w:szCs w:val="21"/>
          <w:highlight w:val="none"/>
          <w:lang w:val="en-US" w:eastAsia="zh-CN"/>
        </w:rPr>
        <w:t>1</w:t>
      </w:r>
      <w:r>
        <w:rPr>
          <w:rFonts w:hint="eastAsia" w:ascii="宋体" w:hAnsi="宋体" w:cs="宋体"/>
          <w:sz w:val="21"/>
          <w:szCs w:val="21"/>
          <w:highlight w:val="none"/>
          <w:lang w:val="en-US" w:eastAsia="zh-CN"/>
        </w:rPr>
        <w:t>6</w:t>
      </w:r>
      <w:r>
        <w:rPr>
          <w:rFonts w:hint="eastAsia" w:ascii="宋体" w:hAnsi="宋体" w:eastAsia="宋体" w:cs="宋体"/>
          <w:sz w:val="21"/>
          <w:szCs w:val="21"/>
          <w:highlight w:val="none"/>
          <w:lang w:val="en-US" w:eastAsia="zh-CN"/>
        </w:rPr>
        <w:t>、对于无法受理的鉴定事项，因及时将无法鉴定的原因（如检材不全、视频模糊等情况）及时反馈给</w:t>
      </w:r>
      <w:r>
        <w:rPr>
          <w:rFonts w:hint="eastAsia" w:ascii="宋体" w:hAnsi="宋体" w:cs="宋体"/>
          <w:sz w:val="21"/>
          <w:szCs w:val="21"/>
          <w:highlight w:val="none"/>
          <w:lang w:val="en-US" w:eastAsia="zh-CN"/>
        </w:rPr>
        <w:t>甲方，以便甲方后续工作的开展。</w:t>
      </w:r>
    </w:p>
    <w:p w14:paraId="40DB0955">
      <w:pPr>
        <w:keepNext w:val="0"/>
        <w:keepLines w:val="0"/>
        <w:pageBreakBefore w:val="0"/>
        <w:kinsoku/>
        <w:wordWrap/>
        <w:overflowPunct/>
        <w:topLinePunct w:val="0"/>
        <w:autoSpaceDE/>
        <w:autoSpaceDN/>
        <w:bidi w:val="0"/>
        <w:adjustRightInd/>
        <w:spacing w:line="360" w:lineRule="auto"/>
        <w:outlineLvl w:val="1"/>
        <w:rPr>
          <w:rFonts w:hint="eastAsia" w:ascii="宋体" w:hAnsi="宋体" w:eastAsia="宋体" w:cs="宋体"/>
          <w:b/>
          <w:bCs/>
          <w:sz w:val="21"/>
          <w:szCs w:val="21"/>
          <w:highlight w:val="none"/>
        </w:rPr>
      </w:pPr>
      <w:r>
        <w:rPr>
          <w:rFonts w:hint="eastAsia" w:ascii="宋体" w:hAnsi="宋体" w:cs="宋体"/>
          <w:b/>
          <w:bCs/>
          <w:sz w:val="21"/>
          <w:szCs w:val="21"/>
          <w:highlight w:val="none"/>
          <w:lang w:val="en-US" w:eastAsia="zh-CN"/>
        </w:rPr>
        <w:t>四</w:t>
      </w:r>
      <w:r>
        <w:rPr>
          <w:rFonts w:hint="eastAsia" w:ascii="宋体" w:hAnsi="宋体" w:eastAsia="宋体" w:cs="宋体"/>
          <w:b/>
          <w:bCs/>
          <w:sz w:val="21"/>
          <w:szCs w:val="21"/>
          <w:highlight w:val="none"/>
        </w:rPr>
        <w:t>、付款方式</w:t>
      </w:r>
    </w:p>
    <w:p w14:paraId="24F97A93">
      <w:pPr>
        <w:keepNext w:val="0"/>
        <w:keepLines w:val="0"/>
        <w:pageBreakBefore w:val="0"/>
        <w:kinsoku/>
        <w:wordWrap/>
        <w:overflowPunct/>
        <w:topLinePunct w:val="0"/>
        <w:autoSpaceDE/>
        <w:autoSpaceDN/>
        <w:bidi w:val="0"/>
        <w:adjustRightInd/>
        <w:spacing w:line="360" w:lineRule="auto"/>
        <w:ind w:firstLine="420" w:firstLineChars="200"/>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rPr>
        <w:t>1、付款方式：按实际提供事故检验鉴定次数开具正式发票，检验鉴定费每一季度</w:t>
      </w:r>
      <w:r>
        <w:rPr>
          <w:rFonts w:hint="eastAsia" w:ascii="宋体" w:hAnsi="宋体" w:cs="宋体"/>
          <w:sz w:val="21"/>
          <w:szCs w:val="21"/>
          <w:highlight w:val="none"/>
          <w:lang w:val="en-US" w:eastAsia="zh-CN"/>
        </w:rPr>
        <w:t>根据</w:t>
      </w:r>
      <w:r>
        <w:rPr>
          <w:rFonts w:hint="eastAsia" w:ascii="宋体" w:hAnsi="宋体" w:eastAsia="宋体" w:cs="宋体"/>
          <w:sz w:val="21"/>
          <w:szCs w:val="21"/>
          <w:highlight w:val="none"/>
        </w:rPr>
        <w:t>实际鉴定的数量</w:t>
      </w:r>
      <w:r>
        <w:rPr>
          <w:rFonts w:hint="eastAsia" w:ascii="宋体" w:hAnsi="宋体" w:cs="宋体"/>
          <w:b/>
          <w:bCs/>
          <w:sz w:val="21"/>
          <w:szCs w:val="21"/>
          <w:highlight w:val="none"/>
          <w:lang w:eastAsia="zh-CN"/>
        </w:rPr>
        <w:t>（</w:t>
      </w:r>
      <w:r>
        <w:rPr>
          <w:rFonts w:hint="eastAsia" w:ascii="宋体" w:hAnsi="宋体" w:cs="宋体"/>
          <w:b/>
          <w:bCs/>
          <w:sz w:val="21"/>
          <w:szCs w:val="21"/>
          <w:highlight w:val="none"/>
          <w:lang w:val="en-US" w:eastAsia="zh-CN"/>
        </w:rPr>
        <w:t>以已出具鉴定报告的数量为准</w:t>
      </w:r>
      <w:r>
        <w:rPr>
          <w:rFonts w:hint="eastAsia" w:ascii="宋体" w:hAnsi="宋体" w:cs="宋体"/>
          <w:b/>
          <w:bCs/>
          <w:sz w:val="21"/>
          <w:szCs w:val="21"/>
          <w:highlight w:val="none"/>
          <w:lang w:eastAsia="zh-CN"/>
        </w:rPr>
        <w:t>）</w:t>
      </w:r>
      <w:r>
        <w:rPr>
          <w:rFonts w:hint="eastAsia" w:ascii="宋体" w:hAnsi="宋体" w:eastAsia="宋体" w:cs="宋体"/>
          <w:sz w:val="21"/>
          <w:szCs w:val="21"/>
          <w:highlight w:val="none"/>
        </w:rPr>
        <w:t>及考核结果进行一次结算进行一次结算。</w:t>
      </w:r>
      <w:r>
        <w:rPr>
          <w:rFonts w:hint="eastAsia" w:ascii="宋体" w:hAnsi="宋体" w:eastAsia="宋体" w:cs="宋体"/>
          <w:sz w:val="21"/>
          <w:szCs w:val="21"/>
          <w:highlight w:val="none"/>
          <w:lang w:val="en-US" w:eastAsia="zh-CN"/>
        </w:rPr>
        <w:t>支付前乙方应向甲方出具详细的结算清单。</w:t>
      </w:r>
    </w:p>
    <w:p w14:paraId="7EBEBEEB">
      <w:pPr>
        <w:keepNext w:val="0"/>
        <w:keepLines w:val="0"/>
        <w:pageBreakBefore w:val="0"/>
        <w:kinsoku/>
        <w:wordWrap/>
        <w:overflowPunct/>
        <w:topLinePunct w:val="0"/>
        <w:autoSpaceDE/>
        <w:autoSpaceDN/>
        <w:bidi w:val="0"/>
        <w:adjustRightInd/>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2、</w:t>
      </w:r>
      <w:r>
        <w:rPr>
          <w:rFonts w:hint="eastAsia" w:ascii="宋体" w:hAnsi="宋体" w:eastAsia="宋体" w:cs="宋体"/>
          <w:sz w:val="21"/>
          <w:szCs w:val="21"/>
          <w:highlight w:val="none"/>
          <w:lang w:val="en-US" w:eastAsia="zh-CN"/>
        </w:rPr>
        <w:t>乙方</w:t>
      </w:r>
      <w:r>
        <w:rPr>
          <w:rFonts w:hint="eastAsia" w:ascii="宋体" w:hAnsi="宋体" w:eastAsia="宋体" w:cs="宋体"/>
          <w:sz w:val="21"/>
          <w:szCs w:val="21"/>
          <w:highlight w:val="none"/>
        </w:rPr>
        <w:t>须在每季度的次月15日前向</w:t>
      </w:r>
      <w:r>
        <w:rPr>
          <w:rFonts w:hint="eastAsia" w:ascii="宋体" w:hAnsi="宋体" w:eastAsia="宋体" w:cs="宋体"/>
          <w:sz w:val="21"/>
          <w:szCs w:val="21"/>
          <w:highlight w:val="none"/>
          <w:lang w:val="en-US" w:eastAsia="zh-CN"/>
        </w:rPr>
        <w:t>甲方</w:t>
      </w:r>
      <w:r>
        <w:rPr>
          <w:rFonts w:hint="eastAsia" w:ascii="宋体" w:hAnsi="宋体" w:eastAsia="宋体" w:cs="宋体"/>
          <w:sz w:val="21"/>
          <w:szCs w:val="21"/>
          <w:highlight w:val="none"/>
        </w:rPr>
        <w:t>提供：①</w:t>
      </w:r>
      <w:r>
        <w:rPr>
          <w:rFonts w:hint="eastAsia" w:ascii="宋体" w:hAnsi="宋体" w:eastAsia="宋体" w:cs="宋体"/>
          <w:sz w:val="21"/>
          <w:szCs w:val="21"/>
          <w:highlight w:val="none"/>
          <w:lang w:val="en-US" w:eastAsia="zh-CN"/>
        </w:rPr>
        <w:t>甲方</w:t>
      </w:r>
      <w:r>
        <w:rPr>
          <w:rFonts w:hint="eastAsia" w:ascii="宋体" w:hAnsi="宋体" w:eastAsia="宋体" w:cs="宋体"/>
          <w:sz w:val="21"/>
          <w:szCs w:val="21"/>
          <w:highlight w:val="none"/>
        </w:rPr>
        <w:t>检验鉴定委托书（各大队出具）、②</w:t>
      </w:r>
      <w:r>
        <w:rPr>
          <w:rFonts w:hint="eastAsia" w:ascii="宋体" w:hAnsi="宋体" w:eastAsia="宋体" w:cs="宋体"/>
          <w:sz w:val="21"/>
          <w:szCs w:val="21"/>
          <w:highlight w:val="none"/>
          <w:lang w:val="en-US" w:eastAsia="zh-CN"/>
        </w:rPr>
        <w:t>乙方</w:t>
      </w:r>
      <w:r>
        <w:rPr>
          <w:rFonts w:hint="eastAsia" w:ascii="宋体" w:hAnsi="宋体" w:eastAsia="宋体" w:cs="宋体"/>
          <w:sz w:val="21"/>
          <w:szCs w:val="21"/>
          <w:highlight w:val="none"/>
        </w:rPr>
        <w:t>开具的正式发票。</w:t>
      </w:r>
    </w:p>
    <w:p w14:paraId="6E8A7AEF">
      <w:pPr>
        <w:keepNext w:val="0"/>
        <w:keepLines w:val="0"/>
        <w:pageBreakBefore w:val="0"/>
        <w:kinsoku/>
        <w:wordWrap/>
        <w:overflowPunct/>
        <w:topLinePunct w:val="0"/>
        <w:autoSpaceDE/>
        <w:autoSpaceDN/>
        <w:bidi w:val="0"/>
        <w:adjustRightInd/>
        <w:spacing w:line="360" w:lineRule="auto"/>
        <w:outlineLvl w:val="1"/>
        <w:rPr>
          <w:rFonts w:hint="eastAsia" w:ascii="宋体" w:hAnsi="宋体" w:eastAsia="宋体" w:cs="宋体"/>
          <w:b/>
          <w:bCs/>
          <w:sz w:val="21"/>
          <w:szCs w:val="21"/>
          <w:highlight w:val="none"/>
        </w:rPr>
      </w:pPr>
      <w:r>
        <w:rPr>
          <w:rFonts w:hint="eastAsia" w:ascii="宋体" w:hAnsi="宋体" w:cs="宋体"/>
          <w:b/>
          <w:bCs/>
          <w:sz w:val="21"/>
          <w:szCs w:val="21"/>
          <w:highlight w:val="none"/>
          <w:lang w:val="en-US" w:eastAsia="zh-CN"/>
        </w:rPr>
        <w:t>五</w:t>
      </w:r>
      <w:r>
        <w:rPr>
          <w:rFonts w:hint="eastAsia" w:ascii="宋体" w:hAnsi="宋体" w:eastAsia="宋体" w:cs="宋体"/>
          <w:b/>
          <w:bCs/>
          <w:sz w:val="21"/>
          <w:szCs w:val="21"/>
          <w:highlight w:val="none"/>
        </w:rPr>
        <w:t>、甲方责任条款</w:t>
      </w:r>
    </w:p>
    <w:p w14:paraId="451A9FF8">
      <w:pPr>
        <w:keepNext w:val="0"/>
        <w:keepLines w:val="0"/>
        <w:pageBreakBefore w:val="0"/>
        <w:kinsoku/>
        <w:wordWrap/>
        <w:overflowPunct/>
        <w:topLinePunct w:val="0"/>
        <w:autoSpaceDE/>
        <w:autoSpaceDN/>
        <w:bidi w:val="0"/>
        <w:adjustRightInd/>
        <w:snapToGrid w:val="0"/>
        <w:spacing w:line="360" w:lineRule="auto"/>
        <w:ind w:firstLine="420"/>
        <w:textAlignment w:val="bottom"/>
        <w:rPr>
          <w:rFonts w:hint="eastAsia" w:ascii="宋体" w:hAnsi="宋体" w:eastAsia="宋体" w:cs="宋体"/>
          <w:sz w:val="21"/>
          <w:szCs w:val="21"/>
          <w:highlight w:val="none"/>
        </w:rPr>
      </w:pPr>
      <w:r>
        <w:rPr>
          <w:rFonts w:hint="eastAsia" w:ascii="宋体" w:hAnsi="宋体" w:eastAsia="宋体" w:cs="宋体"/>
          <w:sz w:val="21"/>
          <w:szCs w:val="21"/>
          <w:highlight w:val="none"/>
        </w:rPr>
        <w:t>1、甲方应向乙方出具每项案件的鉴定聘请委托。</w:t>
      </w:r>
    </w:p>
    <w:p w14:paraId="4270BCB4">
      <w:pPr>
        <w:keepNext w:val="0"/>
        <w:keepLines w:val="0"/>
        <w:pageBreakBefore w:val="0"/>
        <w:kinsoku/>
        <w:wordWrap/>
        <w:overflowPunct/>
        <w:topLinePunct w:val="0"/>
        <w:autoSpaceDE/>
        <w:autoSpaceDN/>
        <w:bidi w:val="0"/>
        <w:adjustRightInd/>
        <w:snapToGrid w:val="0"/>
        <w:spacing w:line="360" w:lineRule="auto"/>
        <w:ind w:firstLine="420"/>
        <w:textAlignment w:val="bottom"/>
        <w:rPr>
          <w:rFonts w:hint="eastAsia" w:ascii="宋体" w:hAnsi="宋体" w:eastAsia="宋体" w:cs="宋体"/>
          <w:sz w:val="21"/>
          <w:szCs w:val="21"/>
          <w:highlight w:val="none"/>
        </w:rPr>
      </w:pPr>
      <w:r>
        <w:rPr>
          <w:rFonts w:hint="eastAsia" w:ascii="宋体" w:hAnsi="宋体" w:eastAsia="宋体" w:cs="宋体"/>
          <w:sz w:val="21"/>
          <w:szCs w:val="21"/>
          <w:highlight w:val="none"/>
        </w:rPr>
        <w:t>2、甲方保留对未按合同履行义务的乙方索赔及追责的权利。</w:t>
      </w:r>
    </w:p>
    <w:p w14:paraId="0A100235">
      <w:pPr>
        <w:keepNext w:val="0"/>
        <w:keepLines w:val="0"/>
        <w:pageBreakBefore w:val="0"/>
        <w:kinsoku/>
        <w:wordWrap/>
        <w:overflowPunct/>
        <w:topLinePunct w:val="0"/>
        <w:autoSpaceDE/>
        <w:autoSpaceDN/>
        <w:bidi w:val="0"/>
        <w:adjustRightInd/>
        <w:snapToGrid w:val="0"/>
        <w:spacing w:line="360" w:lineRule="auto"/>
        <w:ind w:firstLine="420"/>
        <w:textAlignment w:val="bottom"/>
        <w:rPr>
          <w:rFonts w:hint="eastAsia" w:ascii="宋体" w:hAnsi="宋体" w:eastAsia="宋体" w:cs="宋体"/>
          <w:sz w:val="21"/>
          <w:szCs w:val="21"/>
          <w:highlight w:val="none"/>
        </w:rPr>
      </w:pPr>
      <w:r>
        <w:rPr>
          <w:rFonts w:hint="eastAsia" w:ascii="宋体" w:hAnsi="宋体" w:eastAsia="宋体" w:cs="宋体"/>
          <w:sz w:val="21"/>
          <w:szCs w:val="21"/>
          <w:highlight w:val="none"/>
        </w:rPr>
        <w:t>3、甲方依据本合同支付乙方相关费用。</w:t>
      </w:r>
    </w:p>
    <w:p w14:paraId="7965CD8D">
      <w:pPr>
        <w:keepNext w:val="0"/>
        <w:keepLines w:val="0"/>
        <w:pageBreakBefore w:val="0"/>
        <w:kinsoku/>
        <w:wordWrap/>
        <w:overflowPunct/>
        <w:topLinePunct w:val="0"/>
        <w:autoSpaceDE/>
        <w:autoSpaceDN/>
        <w:bidi w:val="0"/>
        <w:adjustRightInd/>
        <w:spacing w:line="360" w:lineRule="auto"/>
        <w:outlineLvl w:val="1"/>
        <w:rPr>
          <w:rFonts w:hint="eastAsia" w:ascii="宋体" w:hAnsi="宋体" w:eastAsia="宋体" w:cs="宋体"/>
          <w:b/>
          <w:bCs/>
          <w:sz w:val="21"/>
          <w:szCs w:val="21"/>
          <w:highlight w:val="none"/>
        </w:rPr>
      </w:pPr>
      <w:r>
        <w:rPr>
          <w:rFonts w:hint="eastAsia" w:ascii="宋体" w:hAnsi="宋体" w:cs="宋体"/>
          <w:b/>
          <w:bCs/>
          <w:sz w:val="21"/>
          <w:szCs w:val="21"/>
          <w:highlight w:val="none"/>
          <w:lang w:val="en-US" w:eastAsia="zh-CN"/>
        </w:rPr>
        <w:t>六</w:t>
      </w:r>
      <w:r>
        <w:rPr>
          <w:rFonts w:hint="eastAsia" w:ascii="宋体" w:hAnsi="宋体" w:eastAsia="宋体" w:cs="宋体"/>
          <w:b/>
          <w:bCs/>
          <w:sz w:val="21"/>
          <w:szCs w:val="21"/>
          <w:highlight w:val="none"/>
        </w:rPr>
        <w:t>、乙方责任条款</w:t>
      </w:r>
    </w:p>
    <w:p w14:paraId="4D98017C">
      <w:pPr>
        <w:keepNext w:val="0"/>
        <w:keepLines w:val="0"/>
        <w:pageBreakBefore w:val="0"/>
        <w:kinsoku/>
        <w:wordWrap/>
        <w:overflowPunct/>
        <w:topLinePunct w:val="0"/>
        <w:autoSpaceDE/>
        <w:autoSpaceDN/>
        <w:bidi w:val="0"/>
        <w:adjustRightInd/>
        <w:snapToGrid w:val="0"/>
        <w:spacing w:line="360" w:lineRule="auto"/>
        <w:ind w:firstLine="420"/>
        <w:textAlignment w:val="bottom"/>
        <w:rPr>
          <w:rFonts w:hint="eastAsia" w:ascii="宋体" w:hAnsi="宋体" w:eastAsia="宋体" w:cs="宋体"/>
          <w:sz w:val="21"/>
          <w:szCs w:val="21"/>
          <w:highlight w:val="none"/>
        </w:rPr>
      </w:pPr>
      <w:r>
        <w:rPr>
          <w:rFonts w:hint="eastAsia" w:ascii="宋体" w:hAnsi="宋体" w:eastAsia="宋体" w:cs="宋体"/>
          <w:sz w:val="21"/>
          <w:szCs w:val="21"/>
          <w:highlight w:val="none"/>
        </w:rPr>
        <w:t>1、乙方应按照相关法律法规对每宗委托案件进行鉴定工作，并对出具鉴定报告的有效性承担法律责任。</w:t>
      </w:r>
    </w:p>
    <w:p w14:paraId="40DECF10">
      <w:pPr>
        <w:keepNext w:val="0"/>
        <w:keepLines w:val="0"/>
        <w:pageBreakBefore w:val="0"/>
        <w:kinsoku/>
        <w:wordWrap/>
        <w:overflowPunct/>
        <w:topLinePunct w:val="0"/>
        <w:autoSpaceDE/>
        <w:autoSpaceDN/>
        <w:bidi w:val="0"/>
        <w:adjustRightInd/>
        <w:snapToGrid w:val="0"/>
        <w:spacing w:line="360" w:lineRule="auto"/>
        <w:ind w:firstLine="420"/>
        <w:textAlignment w:val="bottom"/>
        <w:rPr>
          <w:rFonts w:hint="eastAsia" w:ascii="宋体" w:hAnsi="宋体" w:eastAsia="宋体" w:cs="宋体"/>
          <w:sz w:val="21"/>
          <w:szCs w:val="21"/>
          <w:highlight w:val="none"/>
        </w:rPr>
      </w:pPr>
      <w:r>
        <w:rPr>
          <w:rFonts w:hint="eastAsia" w:ascii="宋体" w:hAnsi="宋体" w:eastAsia="宋体" w:cs="宋体"/>
          <w:sz w:val="21"/>
          <w:szCs w:val="21"/>
          <w:highlight w:val="none"/>
        </w:rPr>
        <w:t>2、乙方应在每宗委托鉴定案件所规定的时限内出具鉴定报告，逾期无法完成将承担由此引起的一切责任，包括但不限于给甲方造成的一切经济损失。</w:t>
      </w:r>
    </w:p>
    <w:p w14:paraId="3C19277C">
      <w:pPr>
        <w:keepNext w:val="0"/>
        <w:keepLines w:val="0"/>
        <w:pageBreakBefore w:val="0"/>
        <w:kinsoku/>
        <w:wordWrap/>
        <w:overflowPunct/>
        <w:topLinePunct w:val="0"/>
        <w:autoSpaceDE/>
        <w:autoSpaceDN/>
        <w:bidi w:val="0"/>
        <w:adjustRightInd/>
        <w:snapToGrid w:val="0"/>
        <w:spacing w:line="360" w:lineRule="auto"/>
        <w:ind w:firstLine="420"/>
        <w:textAlignment w:val="bottom"/>
        <w:rPr>
          <w:rFonts w:hint="eastAsia" w:ascii="宋体" w:hAnsi="宋体" w:eastAsia="宋体" w:cs="宋体"/>
          <w:sz w:val="21"/>
          <w:szCs w:val="21"/>
          <w:highlight w:val="none"/>
        </w:rPr>
      </w:pPr>
      <w:r>
        <w:rPr>
          <w:rFonts w:hint="eastAsia" w:ascii="宋体" w:hAnsi="宋体" w:eastAsia="宋体" w:cs="宋体"/>
          <w:sz w:val="21"/>
          <w:szCs w:val="21"/>
          <w:highlight w:val="none"/>
        </w:rPr>
        <w:t>3、乙方应遵守鉴定案件信息保密规定，不得向无关人员透露与鉴定案件有关的一切信息，未经甲方同意不得接受任何新闻媒体的访问，一经发现，严肃处理相关责任人。</w:t>
      </w:r>
    </w:p>
    <w:p w14:paraId="1620789E">
      <w:pPr>
        <w:keepNext w:val="0"/>
        <w:keepLines w:val="0"/>
        <w:pageBreakBefore w:val="0"/>
        <w:kinsoku/>
        <w:wordWrap/>
        <w:overflowPunct/>
        <w:topLinePunct w:val="0"/>
        <w:autoSpaceDE/>
        <w:autoSpaceDN/>
        <w:bidi w:val="0"/>
        <w:adjustRightInd/>
        <w:snapToGrid w:val="0"/>
        <w:spacing w:line="360" w:lineRule="auto"/>
        <w:ind w:firstLine="420"/>
        <w:textAlignment w:val="bottom"/>
        <w:rPr>
          <w:rFonts w:hint="eastAsia" w:ascii="宋体" w:hAnsi="宋体" w:eastAsia="宋体" w:cs="宋体"/>
          <w:sz w:val="21"/>
          <w:szCs w:val="21"/>
          <w:highlight w:val="none"/>
        </w:rPr>
      </w:pPr>
      <w:r>
        <w:rPr>
          <w:rFonts w:hint="eastAsia" w:ascii="宋体" w:hAnsi="宋体" w:eastAsia="宋体" w:cs="宋体"/>
          <w:sz w:val="21"/>
          <w:szCs w:val="21"/>
          <w:highlight w:val="none"/>
        </w:rPr>
        <w:t>4、乙方应对甲方提供的检材进行妥善保管，保管的要求及期限严格按照国家相关规定执行。</w:t>
      </w:r>
    </w:p>
    <w:p w14:paraId="2E2B91C7">
      <w:pPr>
        <w:keepNext w:val="0"/>
        <w:keepLines w:val="0"/>
        <w:pageBreakBefore w:val="0"/>
        <w:kinsoku/>
        <w:wordWrap/>
        <w:overflowPunct/>
        <w:topLinePunct w:val="0"/>
        <w:autoSpaceDE/>
        <w:autoSpaceDN/>
        <w:bidi w:val="0"/>
        <w:adjustRightInd/>
        <w:snapToGrid w:val="0"/>
        <w:spacing w:line="360" w:lineRule="auto"/>
        <w:ind w:firstLine="420"/>
        <w:textAlignment w:val="bottom"/>
        <w:rPr>
          <w:rFonts w:hint="eastAsia" w:ascii="宋体" w:hAnsi="宋体" w:eastAsia="宋体" w:cs="宋体"/>
          <w:sz w:val="21"/>
          <w:szCs w:val="21"/>
          <w:highlight w:val="none"/>
        </w:rPr>
      </w:pPr>
      <w:r>
        <w:rPr>
          <w:rFonts w:hint="eastAsia" w:ascii="宋体" w:hAnsi="宋体" w:eastAsia="宋体" w:cs="宋体"/>
          <w:sz w:val="21"/>
          <w:szCs w:val="21"/>
          <w:highlight w:val="none"/>
        </w:rPr>
        <w:t>5、乙方向甲方收取的报酬，是其关于本合同的唯一报酬，乙方及其工作人员不得另外向当事人收取任何检验鉴定服务费用。</w:t>
      </w:r>
    </w:p>
    <w:p w14:paraId="7FD2E9DE">
      <w:pPr>
        <w:keepNext w:val="0"/>
        <w:keepLines w:val="0"/>
        <w:pageBreakBefore w:val="0"/>
        <w:kinsoku/>
        <w:wordWrap/>
        <w:overflowPunct/>
        <w:topLinePunct w:val="0"/>
        <w:autoSpaceDE/>
        <w:autoSpaceDN/>
        <w:bidi w:val="0"/>
        <w:adjustRightInd/>
        <w:snapToGrid w:val="0"/>
        <w:spacing w:line="360" w:lineRule="auto"/>
        <w:ind w:firstLine="420"/>
        <w:textAlignment w:val="bottom"/>
        <w:rPr>
          <w:rFonts w:hint="eastAsia" w:ascii="宋体" w:hAnsi="宋体" w:eastAsia="宋体" w:cs="宋体"/>
          <w:sz w:val="21"/>
          <w:szCs w:val="21"/>
          <w:highlight w:val="none"/>
        </w:rPr>
      </w:pPr>
      <w:r>
        <w:rPr>
          <w:rFonts w:hint="eastAsia" w:ascii="宋体" w:hAnsi="宋体" w:eastAsia="宋体" w:cs="宋体"/>
          <w:sz w:val="21"/>
          <w:szCs w:val="21"/>
          <w:highlight w:val="none"/>
        </w:rPr>
        <w:t>6、乙方在经营资质改变、发生诉讼或仲裁、被相应机关查处、资产发生重大变化以及出现其他足以影响甲方与其签订委托合同情形时，应在事件发生后的五个工作日内向甲方书面报告。</w:t>
      </w:r>
    </w:p>
    <w:p w14:paraId="47949940">
      <w:pPr>
        <w:keepNext w:val="0"/>
        <w:keepLines w:val="0"/>
        <w:pageBreakBefore w:val="0"/>
        <w:kinsoku/>
        <w:wordWrap/>
        <w:overflowPunct/>
        <w:topLinePunct w:val="0"/>
        <w:autoSpaceDE/>
        <w:autoSpaceDN/>
        <w:bidi w:val="0"/>
        <w:adjustRightInd/>
        <w:snapToGrid w:val="0"/>
        <w:spacing w:line="360" w:lineRule="auto"/>
        <w:ind w:firstLine="420"/>
        <w:textAlignment w:val="bottom"/>
        <w:rPr>
          <w:rFonts w:hint="eastAsia" w:ascii="宋体" w:hAnsi="宋体" w:eastAsia="宋体" w:cs="宋体"/>
          <w:sz w:val="21"/>
          <w:szCs w:val="21"/>
          <w:highlight w:val="none"/>
        </w:rPr>
      </w:pPr>
      <w:r>
        <w:rPr>
          <w:rFonts w:hint="eastAsia" w:ascii="宋体" w:hAnsi="宋体" w:eastAsia="宋体" w:cs="宋体"/>
          <w:sz w:val="21"/>
          <w:szCs w:val="21"/>
          <w:highlight w:val="none"/>
        </w:rPr>
        <w:t>7、服务期限内，因乙方原因导致出具的鉴定报告引起复议及败诉的，相关责任由</w:t>
      </w:r>
      <w:r>
        <w:rPr>
          <w:rFonts w:hint="eastAsia" w:ascii="宋体" w:hAnsi="宋体" w:eastAsia="宋体" w:cs="宋体"/>
          <w:sz w:val="21"/>
          <w:szCs w:val="21"/>
          <w:highlight w:val="none"/>
          <w:lang w:val="en-US" w:eastAsia="zh-CN"/>
        </w:rPr>
        <w:t>乙方</w:t>
      </w:r>
      <w:r>
        <w:rPr>
          <w:rFonts w:hint="eastAsia" w:ascii="宋体" w:hAnsi="宋体" w:eastAsia="宋体" w:cs="宋体"/>
          <w:sz w:val="21"/>
          <w:szCs w:val="21"/>
          <w:highlight w:val="none"/>
        </w:rPr>
        <w:t>承担。</w:t>
      </w:r>
    </w:p>
    <w:p w14:paraId="259F59D9">
      <w:pPr>
        <w:keepNext w:val="0"/>
        <w:keepLines w:val="0"/>
        <w:pageBreakBefore w:val="0"/>
        <w:kinsoku/>
        <w:wordWrap/>
        <w:overflowPunct/>
        <w:topLinePunct w:val="0"/>
        <w:autoSpaceDE/>
        <w:autoSpaceDN/>
        <w:bidi w:val="0"/>
        <w:adjustRightInd/>
        <w:snapToGrid w:val="0"/>
        <w:spacing w:line="360" w:lineRule="auto"/>
        <w:ind w:firstLine="420"/>
        <w:textAlignment w:val="bottom"/>
        <w:rPr>
          <w:rFonts w:hint="eastAsia" w:ascii="宋体" w:hAnsi="宋体" w:eastAsia="宋体" w:cs="宋体"/>
          <w:sz w:val="21"/>
          <w:szCs w:val="21"/>
          <w:highlight w:val="none"/>
        </w:rPr>
      </w:pPr>
      <w:r>
        <w:rPr>
          <w:rFonts w:hint="eastAsia" w:ascii="宋体" w:hAnsi="宋体" w:eastAsia="宋体" w:cs="宋体"/>
          <w:sz w:val="21"/>
          <w:szCs w:val="21"/>
          <w:highlight w:val="none"/>
        </w:rPr>
        <w:t>8、遇到突发事件或自然灾害，必须服从甲方指挥与安排。协助甲方调查、处理有关投诉，并根据甲方要求及时处理。</w:t>
      </w:r>
    </w:p>
    <w:p w14:paraId="54AF8CF0">
      <w:pPr>
        <w:keepNext w:val="0"/>
        <w:keepLines w:val="0"/>
        <w:pageBreakBefore w:val="0"/>
        <w:kinsoku/>
        <w:wordWrap/>
        <w:overflowPunct/>
        <w:topLinePunct w:val="0"/>
        <w:autoSpaceDE/>
        <w:autoSpaceDN/>
        <w:bidi w:val="0"/>
        <w:adjustRightInd/>
        <w:snapToGrid w:val="0"/>
        <w:spacing w:line="360" w:lineRule="auto"/>
        <w:ind w:firstLine="420"/>
        <w:textAlignment w:val="bottom"/>
        <w:rPr>
          <w:rFonts w:hint="eastAsia" w:ascii="宋体" w:hAnsi="宋体" w:eastAsia="宋体" w:cs="宋体"/>
          <w:sz w:val="21"/>
          <w:szCs w:val="21"/>
          <w:highlight w:val="none"/>
        </w:rPr>
      </w:pPr>
      <w:r>
        <w:rPr>
          <w:rFonts w:hint="eastAsia" w:ascii="宋体" w:hAnsi="宋体" w:eastAsia="宋体" w:cs="宋体"/>
          <w:sz w:val="21"/>
          <w:szCs w:val="21"/>
          <w:highlight w:val="none"/>
        </w:rPr>
        <w:t>9、未经甲方同意，乙方无权在工作区域内私自进行检验鉴定服务，否则，甲方有权依照法律法规和甲方相关的规定责令乙方限期改正，并接受甲方处罚。</w:t>
      </w:r>
    </w:p>
    <w:p w14:paraId="7282166F">
      <w:pPr>
        <w:keepNext w:val="0"/>
        <w:keepLines w:val="0"/>
        <w:pageBreakBefore w:val="0"/>
        <w:kinsoku/>
        <w:wordWrap/>
        <w:overflowPunct/>
        <w:topLinePunct w:val="0"/>
        <w:autoSpaceDE/>
        <w:autoSpaceDN/>
        <w:bidi w:val="0"/>
        <w:adjustRightInd/>
        <w:snapToGrid w:val="0"/>
        <w:spacing w:line="360" w:lineRule="auto"/>
        <w:ind w:firstLine="420"/>
        <w:textAlignment w:val="bottom"/>
        <w:rPr>
          <w:rFonts w:hint="eastAsia" w:ascii="宋体" w:hAnsi="宋体" w:eastAsia="宋体" w:cs="宋体"/>
          <w:sz w:val="21"/>
          <w:szCs w:val="21"/>
          <w:highlight w:val="none"/>
        </w:rPr>
      </w:pPr>
      <w:r>
        <w:rPr>
          <w:rFonts w:hint="eastAsia" w:ascii="宋体" w:hAnsi="宋体" w:eastAsia="宋体" w:cs="宋体"/>
          <w:sz w:val="21"/>
          <w:szCs w:val="21"/>
          <w:highlight w:val="none"/>
        </w:rPr>
        <w:t>10、未经甲方同意，乙方不得以任何形式转让</w:t>
      </w:r>
      <w:r>
        <w:rPr>
          <w:rFonts w:hint="eastAsia" w:ascii="宋体" w:hAnsi="宋体" w:cs="宋体"/>
          <w:sz w:val="21"/>
          <w:szCs w:val="21"/>
          <w:highlight w:val="none"/>
          <w:lang w:val="en-US" w:eastAsia="zh-CN"/>
        </w:rPr>
        <w:t>或</w:t>
      </w:r>
      <w:r>
        <w:rPr>
          <w:rFonts w:hint="eastAsia" w:ascii="宋体" w:hAnsi="宋体" w:eastAsia="宋体" w:cs="宋体"/>
          <w:sz w:val="21"/>
          <w:szCs w:val="21"/>
          <w:highlight w:val="none"/>
        </w:rPr>
        <w:t>抵押</w:t>
      </w:r>
      <w:r>
        <w:rPr>
          <w:rFonts w:hint="eastAsia" w:ascii="宋体" w:hAnsi="宋体" w:cs="宋体"/>
          <w:sz w:val="21"/>
          <w:szCs w:val="21"/>
          <w:highlight w:val="none"/>
          <w:lang w:eastAsia="zh-CN"/>
        </w:rPr>
        <w:t>服务</w:t>
      </w:r>
      <w:r>
        <w:rPr>
          <w:rFonts w:hint="eastAsia" w:ascii="宋体" w:hAnsi="宋体" w:eastAsia="宋体" w:cs="宋体"/>
          <w:sz w:val="21"/>
          <w:szCs w:val="21"/>
          <w:highlight w:val="none"/>
        </w:rPr>
        <w:t>合同内容，</w:t>
      </w:r>
      <w:r>
        <w:rPr>
          <w:rFonts w:hint="eastAsia" w:ascii="宋体" w:hAnsi="宋体" w:cs="宋体"/>
          <w:sz w:val="21"/>
          <w:szCs w:val="21"/>
          <w:highlight w:val="none"/>
          <w:lang w:val="en-US" w:eastAsia="zh-CN"/>
        </w:rPr>
        <w:t>乙方只能在甲方认可的</w:t>
      </w:r>
      <w:r>
        <w:rPr>
          <w:rFonts w:hint="eastAsia" w:ascii="宋体" w:hAnsi="宋体" w:eastAsia="宋体" w:cs="宋体"/>
          <w:sz w:val="21"/>
          <w:szCs w:val="21"/>
          <w:highlight w:val="none"/>
        </w:rPr>
        <w:t>作业区域内从事检验鉴定服务工作；否则甲方有权单方面终止合同，并保留追究乙方责任的权利。在</w:t>
      </w:r>
      <w:r>
        <w:rPr>
          <w:rFonts w:hint="eastAsia" w:ascii="宋体" w:hAnsi="宋体" w:cs="宋体"/>
          <w:sz w:val="21"/>
          <w:szCs w:val="21"/>
          <w:highlight w:val="none"/>
          <w:lang w:eastAsia="zh-CN"/>
        </w:rPr>
        <w:t>服务</w:t>
      </w:r>
      <w:r>
        <w:rPr>
          <w:rFonts w:hint="eastAsia" w:ascii="宋体" w:hAnsi="宋体" w:eastAsia="宋体" w:cs="宋体"/>
          <w:sz w:val="21"/>
          <w:szCs w:val="21"/>
          <w:highlight w:val="none"/>
        </w:rPr>
        <w:t>期间，乙方</w:t>
      </w:r>
      <w:r>
        <w:rPr>
          <w:rFonts w:hint="eastAsia" w:ascii="宋体" w:hAnsi="宋体" w:cs="宋体"/>
          <w:sz w:val="21"/>
          <w:szCs w:val="21"/>
          <w:highlight w:val="none"/>
          <w:lang w:val="en-US" w:eastAsia="zh-CN"/>
        </w:rPr>
        <w:t>如有</w:t>
      </w:r>
      <w:r>
        <w:rPr>
          <w:rFonts w:hint="eastAsia" w:ascii="宋体" w:hAnsi="宋体" w:eastAsia="宋体" w:cs="宋体"/>
          <w:sz w:val="21"/>
          <w:szCs w:val="21"/>
          <w:highlight w:val="none"/>
        </w:rPr>
        <w:t>任何重大变动或</w:t>
      </w:r>
      <w:r>
        <w:rPr>
          <w:rFonts w:hint="eastAsia" w:ascii="宋体" w:hAnsi="宋体" w:cs="宋体"/>
          <w:sz w:val="21"/>
          <w:szCs w:val="21"/>
          <w:highlight w:val="none"/>
          <w:lang w:val="en-US" w:eastAsia="zh-CN"/>
        </w:rPr>
        <w:t>涉及</w:t>
      </w:r>
      <w:r>
        <w:rPr>
          <w:rFonts w:hint="eastAsia" w:ascii="宋体" w:hAnsi="宋体" w:eastAsia="宋体" w:cs="宋体"/>
          <w:sz w:val="21"/>
          <w:szCs w:val="21"/>
          <w:highlight w:val="none"/>
        </w:rPr>
        <w:t>法律事宜</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必须及时</w:t>
      </w:r>
      <w:r>
        <w:rPr>
          <w:rFonts w:hint="eastAsia" w:ascii="宋体" w:hAnsi="宋体" w:eastAsia="宋体" w:cs="宋体"/>
          <w:sz w:val="21"/>
          <w:szCs w:val="21"/>
          <w:highlight w:val="none"/>
        </w:rPr>
        <w:t>通知甲方。</w:t>
      </w:r>
    </w:p>
    <w:p w14:paraId="0CC8B39E">
      <w:pPr>
        <w:keepNext w:val="0"/>
        <w:keepLines w:val="0"/>
        <w:pageBreakBefore w:val="0"/>
        <w:kinsoku/>
        <w:wordWrap/>
        <w:overflowPunct/>
        <w:topLinePunct w:val="0"/>
        <w:autoSpaceDE/>
        <w:autoSpaceDN/>
        <w:bidi w:val="0"/>
        <w:adjustRightInd/>
        <w:snapToGrid w:val="0"/>
        <w:spacing w:line="360" w:lineRule="auto"/>
        <w:ind w:firstLine="420"/>
        <w:textAlignment w:val="bottom"/>
        <w:rPr>
          <w:rFonts w:hint="eastAsia" w:ascii="宋体" w:hAnsi="宋体" w:eastAsia="宋体" w:cs="宋体"/>
          <w:sz w:val="21"/>
          <w:szCs w:val="21"/>
          <w:highlight w:val="none"/>
        </w:rPr>
      </w:pPr>
      <w:r>
        <w:rPr>
          <w:rFonts w:hint="eastAsia" w:ascii="宋体" w:hAnsi="宋体" w:eastAsia="宋体" w:cs="宋体"/>
          <w:sz w:val="21"/>
          <w:szCs w:val="21"/>
          <w:highlight w:val="none"/>
        </w:rPr>
        <w:t>11、乙方必须信守</w:t>
      </w:r>
      <w:r>
        <w:rPr>
          <w:rFonts w:hint="eastAsia" w:ascii="宋体" w:hAnsi="宋体" w:cs="宋体"/>
          <w:sz w:val="21"/>
          <w:szCs w:val="21"/>
          <w:highlight w:val="none"/>
          <w:lang w:eastAsia="zh-CN"/>
        </w:rPr>
        <w:t>服务</w:t>
      </w:r>
      <w:r>
        <w:rPr>
          <w:rFonts w:hint="eastAsia" w:ascii="宋体" w:hAnsi="宋体" w:eastAsia="宋体" w:cs="宋体"/>
          <w:sz w:val="21"/>
          <w:szCs w:val="21"/>
          <w:highlight w:val="none"/>
        </w:rPr>
        <w:t>承诺，</w:t>
      </w:r>
      <w:r>
        <w:rPr>
          <w:rFonts w:hint="eastAsia" w:ascii="宋体" w:hAnsi="宋体" w:cs="宋体"/>
          <w:sz w:val="21"/>
          <w:szCs w:val="21"/>
          <w:highlight w:val="none"/>
          <w:lang w:val="en-US" w:eastAsia="zh-CN"/>
        </w:rPr>
        <w:t>配备</w:t>
      </w:r>
      <w:r>
        <w:rPr>
          <w:rFonts w:hint="eastAsia" w:ascii="宋体" w:hAnsi="宋体" w:eastAsia="宋体" w:cs="宋体"/>
          <w:sz w:val="21"/>
          <w:szCs w:val="21"/>
          <w:highlight w:val="none"/>
        </w:rPr>
        <w:t>相应的固定服务人员，挂牌上岗并建立健全的管理制度。</w:t>
      </w:r>
    </w:p>
    <w:p w14:paraId="67DA5AF2">
      <w:pPr>
        <w:keepNext w:val="0"/>
        <w:keepLines w:val="0"/>
        <w:pageBreakBefore w:val="0"/>
        <w:kinsoku/>
        <w:wordWrap/>
        <w:overflowPunct/>
        <w:topLinePunct w:val="0"/>
        <w:autoSpaceDE/>
        <w:autoSpaceDN/>
        <w:bidi w:val="0"/>
        <w:adjustRightInd/>
        <w:snapToGrid w:val="0"/>
        <w:spacing w:line="360" w:lineRule="auto"/>
        <w:ind w:firstLine="420"/>
        <w:textAlignment w:val="bottom"/>
        <w:rPr>
          <w:rFonts w:hint="eastAsia" w:ascii="宋体" w:hAnsi="宋体" w:eastAsia="宋体" w:cs="宋体"/>
          <w:sz w:val="21"/>
          <w:szCs w:val="21"/>
          <w:highlight w:val="none"/>
        </w:rPr>
      </w:pPr>
      <w:r>
        <w:rPr>
          <w:rFonts w:hint="eastAsia" w:ascii="宋体" w:hAnsi="宋体" w:eastAsia="宋体" w:cs="宋体"/>
          <w:sz w:val="21"/>
          <w:szCs w:val="21"/>
          <w:highlight w:val="none"/>
        </w:rPr>
        <w:t>12、在</w:t>
      </w:r>
      <w:r>
        <w:rPr>
          <w:rFonts w:hint="eastAsia" w:ascii="宋体" w:hAnsi="宋体" w:cs="宋体"/>
          <w:sz w:val="21"/>
          <w:szCs w:val="21"/>
          <w:highlight w:val="none"/>
          <w:lang w:eastAsia="zh-CN"/>
        </w:rPr>
        <w:t>服务</w:t>
      </w:r>
      <w:r>
        <w:rPr>
          <w:rFonts w:hint="eastAsia" w:ascii="宋体" w:hAnsi="宋体" w:eastAsia="宋体" w:cs="宋体"/>
          <w:sz w:val="21"/>
          <w:szCs w:val="21"/>
          <w:highlight w:val="none"/>
        </w:rPr>
        <w:t>作业期间的各项服务，其工作时间应满足甲方的工作要求，包括星期天及</w:t>
      </w:r>
      <w:r>
        <w:rPr>
          <w:rFonts w:hint="eastAsia" w:ascii="宋体" w:hAnsi="宋体" w:cs="宋体"/>
          <w:sz w:val="21"/>
          <w:szCs w:val="21"/>
          <w:highlight w:val="none"/>
          <w:lang w:val="en-US" w:eastAsia="zh-CN"/>
        </w:rPr>
        <w:t>公众</w:t>
      </w:r>
      <w:r>
        <w:rPr>
          <w:rFonts w:hint="eastAsia" w:ascii="宋体" w:hAnsi="宋体" w:eastAsia="宋体" w:cs="宋体"/>
          <w:sz w:val="21"/>
          <w:szCs w:val="21"/>
          <w:highlight w:val="none"/>
        </w:rPr>
        <w:t>假期，无论乙方有任何理由，均不得拖延、停止服务工作。甲方任何应提供方便或提高服务质量时，可要求乙方调整工作时间直至全天二十四小时工作。</w:t>
      </w:r>
    </w:p>
    <w:p w14:paraId="42177B92">
      <w:pPr>
        <w:keepNext w:val="0"/>
        <w:keepLines w:val="0"/>
        <w:pageBreakBefore w:val="0"/>
        <w:kinsoku/>
        <w:wordWrap/>
        <w:overflowPunct/>
        <w:topLinePunct w:val="0"/>
        <w:autoSpaceDE/>
        <w:autoSpaceDN/>
        <w:bidi w:val="0"/>
        <w:adjustRightInd/>
        <w:snapToGrid w:val="0"/>
        <w:spacing w:line="360" w:lineRule="auto"/>
        <w:ind w:firstLine="420"/>
        <w:textAlignment w:val="bottom"/>
        <w:rPr>
          <w:rFonts w:hint="eastAsia" w:ascii="宋体" w:hAnsi="宋体" w:eastAsia="宋体" w:cs="宋体"/>
          <w:sz w:val="21"/>
          <w:szCs w:val="21"/>
          <w:highlight w:val="none"/>
        </w:rPr>
      </w:pPr>
      <w:r>
        <w:rPr>
          <w:rFonts w:hint="eastAsia" w:ascii="宋体" w:hAnsi="宋体" w:eastAsia="宋体" w:cs="宋体"/>
          <w:sz w:val="21"/>
          <w:szCs w:val="21"/>
          <w:highlight w:val="none"/>
        </w:rPr>
        <w:t>13、因工作需要，甲方临时向乙方提出服务的要求，乙方应全力配合，按照甲方提出标准及要求完成，不得无故拖延。</w:t>
      </w:r>
    </w:p>
    <w:p w14:paraId="4966755B">
      <w:pPr>
        <w:keepNext w:val="0"/>
        <w:keepLines w:val="0"/>
        <w:pageBreakBefore w:val="0"/>
        <w:kinsoku/>
        <w:wordWrap/>
        <w:overflowPunct/>
        <w:topLinePunct w:val="0"/>
        <w:autoSpaceDE/>
        <w:autoSpaceDN/>
        <w:bidi w:val="0"/>
        <w:adjustRightInd/>
        <w:snapToGrid w:val="0"/>
        <w:spacing w:line="360" w:lineRule="auto"/>
        <w:ind w:firstLine="420"/>
        <w:textAlignment w:val="bottom"/>
        <w:rPr>
          <w:rFonts w:hint="eastAsia" w:ascii="宋体" w:hAnsi="宋体" w:eastAsia="宋体" w:cs="宋体"/>
          <w:sz w:val="21"/>
          <w:szCs w:val="21"/>
          <w:highlight w:val="none"/>
        </w:rPr>
      </w:pPr>
      <w:r>
        <w:rPr>
          <w:rFonts w:hint="eastAsia" w:ascii="宋体" w:hAnsi="宋体" w:eastAsia="宋体" w:cs="宋体"/>
          <w:sz w:val="21"/>
          <w:szCs w:val="21"/>
          <w:highlight w:val="none"/>
        </w:rPr>
        <w:t>14、乙方必须对员工发生的事故责任以及员工计生、身份、健康等承担责任；同时对员工在作业期间做出不良行为给甲方造成影响承担责任。</w:t>
      </w:r>
    </w:p>
    <w:p w14:paraId="38399FC8">
      <w:pPr>
        <w:keepNext w:val="0"/>
        <w:keepLines w:val="0"/>
        <w:pageBreakBefore w:val="0"/>
        <w:kinsoku/>
        <w:wordWrap/>
        <w:overflowPunct/>
        <w:topLinePunct w:val="0"/>
        <w:autoSpaceDE/>
        <w:autoSpaceDN/>
        <w:bidi w:val="0"/>
        <w:adjustRightInd/>
        <w:snapToGrid w:val="0"/>
        <w:spacing w:line="360" w:lineRule="auto"/>
        <w:ind w:firstLine="420"/>
        <w:textAlignment w:val="bottom"/>
        <w:rPr>
          <w:rFonts w:hint="eastAsia" w:ascii="宋体" w:hAnsi="宋体" w:eastAsia="宋体" w:cs="宋体"/>
          <w:sz w:val="21"/>
          <w:szCs w:val="21"/>
          <w:highlight w:val="none"/>
        </w:rPr>
      </w:pPr>
      <w:r>
        <w:rPr>
          <w:rFonts w:hint="eastAsia" w:ascii="宋体" w:hAnsi="宋体" w:eastAsia="宋体" w:cs="宋体"/>
          <w:sz w:val="21"/>
          <w:szCs w:val="21"/>
          <w:highlight w:val="none"/>
        </w:rPr>
        <w:t>15、乙方员工发生被媒体曝光或影响甲方公众形象或违反采购人规章制度造成不良影响，而由此产生的损失及消除影响产生的费用，由乙方全部承担；甲方根据事件的轻重，将保留</w:t>
      </w:r>
      <w:r>
        <w:rPr>
          <w:rFonts w:hint="eastAsia" w:ascii="宋体" w:hAnsi="宋体" w:cs="宋体"/>
          <w:sz w:val="21"/>
          <w:szCs w:val="21"/>
          <w:highlight w:val="none"/>
          <w:lang w:val="en-US" w:eastAsia="zh-CN"/>
        </w:rPr>
        <w:t>部分合同款</w:t>
      </w:r>
      <w:r>
        <w:rPr>
          <w:rFonts w:hint="eastAsia" w:ascii="宋体" w:hAnsi="宋体" w:eastAsia="宋体" w:cs="宋体"/>
          <w:sz w:val="21"/>
          <w:szCs w:val="21"/>
          <w:highlight w:val="none"/>
        </w:rPr>
        <w:t>的权利，情节严重的，甲方还可以要求乙方赔偿损失或另处罚款。</w:t>
      </w:r>
    </w:p>
    <w:p w14:paraId="643131F7">
      <w:pPr>
        <w:keepNext w:val="0"/>
        <w:keepLines w:val="0"/>
        <w:pageBreakBefore w:val="0"/>
        <w:kinsoku/>
        <w:wordWrap/>
        <w:overflowPunct/>
        <w:topLinePunct w:val="0"/>
        <w:autoSpaceDE/>
        <w:autoSpaceDN/>
        <w:bidi w:val="0"/>
        <w:adjustRightInd/>
        <w:snapToGrid w:val="0"/>
        <w:spacing w:line="360" w:lineRule="auto"/>
        <w:ind w:firstLine="420"/>
        <w:textAlignment w:val="bottom"/>
        <w:rPr>
          <w:rFonts w:hint="eastAsia" w:ascii="宋体" w:hAnsi="宋体" w:eastAsia="宋体" w:cs="宋体"/>
          <w:sz w:val="21"/>
          <w:szCs w:val="21"/>
          <w:highlight w:val="none"/>
        </w:rPr>
      </w:pPr>
      <w:r>
        <w:rPr>
          <w:rFonts w:hint="eastAsia" w:ascii="宋体" w:hAnsi="宋体" w:eastAsia="宋体" w:cs="宋体"/>
          <w:sz w:val="21"/>
          <w:szCs w:val="21"/>
          <w:highlight w:val="none"/>
        </w:rPr>
        <w:t>16、乙方须按政府各部门有关规定为乙方的每位员工交纳各种社会保险及相关费用。在</w:t>
      </w:r>
      <w:r>
        <w:rPr>
          <w:rFonts w:hint="eastAsia" w:ascii="宋体" w:hAnsi="宋体" w:cs="宋体"/>
          <w:sz w:val="21"/>
          <w:szCs w:val="21"/>
          <w:highlight w:val="none"/>
          <w:lang w:eastAsia="zh-CN"/>
        </w:rPr>
        <w:t>服务</w:t>
      </w:r>
      <w:r>
        <w:rPr>
          <w:rFonts w:hint="eastAsia" w:ascii="宋体" w:hAnsi="宋体" w:eastAsia="宋体" w:cs="宋体"/>
          <w:sz w:val="21"/>
          <w:szCs w:val="21"/>
          <w:highlight w:val="none"/>
        </w:rPr>
        <w:t>期限内，乙方所有人员的安全事故由乙方自行全权负责，甲方不承担任何责任。</w:t>
      </w:r>
    </w:p>
    <w:p w14:paraId="27479F24">
      <w:pPr>
        <w:keepNext w:val="0"/>
        <w:keepLines w:val="0"/>
        <w:pageBreakBefore w:val="0"/>
        <w:kinsoku/>
        <w:wordWrap/>
        <w:overflowPunct/>
        <w:topLinePunct w:val="0"/>
        <w:autoSpaceDE/>
        <w:autoSpaceDN/>
        <w:bidi w:val="0"/>
        <w:adjustRightInd/>
        <w:snapToGrid w:val="0"/>
        <w:spacing w:line="360" w:lineRule="auto"/>
        <w:ind w:firstLine="420"/>
        <w:textAlignment w:val="bottom"/>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17、项目负责人作为本项目的联系人不得</w:t>
      </w:r>
      <w:r>
        <w:rPr>
          <w:rFonts w:hint="eastAsia" w:ascii="宋体" w:hAnsi="宋体" w:cs="宋体"/>
          <w:sz w:val="21"/>
          <w:szCs w:val="21"/>
          <w:highlight w:val="none"/>
          <w:lang w:val="en-US" w:eastAsia="zh-CN"/>
        </w:rPr>
        <w:t>随意</w:t>
      </w:r>
      <w:r>
        <w:rPr>
          <w:rFonts w:hint="eastAsia" w:ascii="宋体" w:hAnsi="宋体" w:eastAsia="宋体" w:cs="宋体"/>
          <w:sz w:val="21"/>
          <w:szCs w:val="21"/>
          <w:highlight w:val="none"/>
        </w:rPr>
        <w:t>变更，必须随时</w:t>
      </w:r>
      <w:r>
        <w:rPr>
          <w:rFonts w:hint="eastAsia" w:ascii="宋体" w:hAnsi="宋体" w:cs="宋体"/>
          <w:sz w:val="21"/>
          <w:szCs w:val="21"/>
          <w:highlight w:val="none"/>
          <w:lang w:val="en-US" w:eastAsia="zh-CN"/>
        </w:rPr>
        <w:t>响应甲方的指令</w:t>
      </w:r>
      <w:r>
        <w:rPr>
          <w:rFonts w:hint="eastAsia" w:ascii="宋体" w:hAnsi="宋体" w:eastAsia="宋体" w:cs="宋体"/>
          <w:sz w:val="21"/>
          <w:szCs w:val="21"/>
          <w:highlight w:val="none"/>
        </w:rPr>
        <w:t>、组织协调鉴定小组工作</w:t>
      </w:r>
      <w:r>
        <w:rPr>
          <w:rFonts w:hint="eastAsia" w:ascii="宋体" w:hAnsi="宋体" w:eastAsia="宋体" w:cs="宋体"/>
          <w:sz w:val="21"/>
          <w:szCs w:val="21"/>
          <w:highlight w:val="none"/>
          <w:lang w:eastAsia="zh-CN"/>
        </w:rPr>
        <w:t>。</w:t>
      </w:r>
    </w:p>
    <w:p w14:paraId="3B24FE12">
      <w:pPr>
        <w:keepNext w:val="0"/>
        <w:keepLines w:val="0"/>
        <w:pageBreakBefore w:val="0"/>
        <w:kinsoku/>
        <w:wordWrap/>
        <w:overflowPunct/>
        <w:topLinePunct w:val="0"/>
        <w:autoSpaceDE/>
        <w:autoSpaceDN/>
        <w:bidi w:val="0"/>
        <w:adjustRightInd/>
        <w:spacing w:line="360" w:lineRule="auto"/>
        <w:outlineLvl w:val="1"/>
        <w:rPr>
          <w:rFonts w:hint="default" w:ascii="宋体" w:hAnsi="宋体" w:eastAsia="宋体" w:cs="宋体"/>
          <w:b/>
          <w:bCs/>
          <w:sz w:val="21"/>
          <w:szCs w:val="21"/>
          <w:highlight w:val="none"/>
          <w:lang w:val="en-US" w:eastAsia="zh-CN"/>
        </w:rPr>
      </w:pPr>
      <w:r>
        <w:rPr>
          <w:rFonts w:hint="eastAsia" w:ascii="宋体" w:hAnsi="宋体" w:cs="宋体"/>
          <w:b/>
          <w:bCs/>
          <w:sz w:val="21"/>
          <w:szCs w:val="21"/>
          <w:highlight w:val="none"/>
          <w:lang w:val="en-US" w:eastAsia="zh-CN"/>
        </w:rPr>
        <w:t>七</w:t>
      </w:r>
      <w:r>
        <w:rPr>
          <w:rFonts w:hint="eastAsia" w:ascii="宋体" w:hAnsi="宋体" w:eastAsia="宋体" w:cs="宋体"/>
          <w:b/>
          <w:bCs/>
          <w:sz w:val="21"/>
          <w:szCs w:val="21"/>
          <w:highlight w:val="none"/>
        </w:rPr>
        <w:t>、违约</w:t>
      </w:r>
      <w:r>
        <w:rPr>
          <w:rFonts w:hint="eastAsia" w:ascii="宋体" w:hAnsi="宋体" w:cs="宋体"/>
          <w:b/>
          <w:bCs/>
          <w:sz w:val="21"/>
          <w:szCs w:val="21"/>
          <w:highlight w:val="none"/>
          <w:lang w:eastAsia="zh-CN"/>
        </w:rPr>
        <w:t>、</w:t>
      </w:r>
      <w:r>
        <w:rPr>
          <w:rFonts w:hint="eastAsia" w:ascii="宋体" w:hAnsi="宋体" w:cs="宋体"/>
          <w:b/>
          <w:bCs/>
          <w:sz w:val="21"/>
          <w:szCs w:val="21"/>
          <w:highlight w:val="none"/>
          <w:lang w:val="en-US" w:eastAsia="zh-CN"/>
        </w:rPr>
        <w:t>合同的终止及赔偿条款</w:t>
      </w:r>
    </w:p>
    <w:p w14:paraId="1C744FF6">
      <w:pPr>
        <w:keepNext w:val="0"/>
        <w:keepLines w:val="0"/>
        <w:pageBreakBefore w:val="0"/>
        <w:kinsoku/>
        <w:wordWrap/>
        <w:overflowPunct/>
        <w:topLinePunct w:val="0"/>
        <w:autoSpaceDE/>
        <w:autoSpaceDN/>
        <w:bidi w:val="0"/>
        <w:adjustRightInd/>
        <w:snapToGrid w:val="0"/>
        <w:spacing w:line="360" w:lineRule="auto"/>
        <w:ind w:firstLine="420"/>
        <w:textAlignment w:val="bottom"/>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rPr>
        <w:t>、乙方出现以下情形时，甲方有权解除本委托合同，</w:t>
      </w:r>
      <w:r>
        <w:rPr>
          <w:rFonts w:hint="eastAsia" w:ascii="宋体" w:hAnsi="宋体" w:cs="宋体"/>
          <w:sz w:val="21"/>
          <w:szCs w:val="21"/>
          <w:highlight w:val="none"/>
          <w:lang w:val="en-US" w:eastAsia="zh-CN"/>
        </w:rPr>
        <w:t>并</w:t>
      </w:r>
      <w:r>
        <w:rPr>
          <w:rFonts w:hint="eastAsia" w:ascii="宋体" w:hAnsi="宋体" w:eastAsia="宋体" w:cs="宋体"/>
          <w:sz w:val="21"/>
          <w:szCs w:val="21"/>
          <w:highlight w:val="none"/>
        </w:rPr>
        <w:t>有权要求乙方承担违约责任</w:t>
      </w:r>
      <w:r>
        <w:rPr>
          <w:rFonts w:hint="eastAsia" w:ascii="宋体" w:hAnsi="宋体" w:cs="宋体"/>
          <w:sz w:val="21"/>
          <w:szCs w:val="21"/>
          <w:highlight w:val="none"/>
          <w:lang w:eastAsia="zh-CN"/>
        </w:rPr>
        <w:t>：</w:t>
      </w:r>
    </w:p>
    <w:p w14:paraId="4D48B978">
      <w:pPr>
        <w:keepNext w:val="0"/>
        <w:keepLines w:val="0"/>
        <w:pageBreakBefore w:val="0"/>
        <w:kinsoku/>
        <w:wordWrap/>
        <w:overflowPunct/>
        <w:topLinePunct w:val="0"/>
        <w:autoSpaceDE/>
        <w:autoSpaceDN/>
        <w:bidi w:val="0"/>
        <w:adjustRightInd/>
        <w:snapToGrid w:val="0"/>
        <w:spacing w:line="360" w:lineRule="auto"/>
        <w:ind w:firstLine="420"/>
        <w:textAlignment w:val="bottom"/>
        <w:rPr>
          <w:rFonts w:hint="eastAsia" w:ascii="宋体" w:hAnsi="宋体" w:eastAsia="宋体" w:cs="宋体"/>
          <w:sz w:val="21"/>
          <w:szCs w:val="21"/>
          <w:highlight w:val="none"/>
        </w:rPr>
      </w:pPr>
      <w:r>
        <w:rPr>
          <w:rFonts w:hint="eastAsia" w:ascii="宋体" w:hAnsi="宋体" w:eastAsia="宋体" w:cs="宋体"/>
          <w:sz w:val="21"/>
          <w:szCs w:val="21"/>
          <w:highlight w:val="none"/>
        </w:rPr>
        <w:t>（1）乙方及其工作人员收受涉案人员财物；</w:t>
      </w:r>
    </w:p>
    <w:p w14:paraId="49D3CE5D">
      <w:pPr>
        <w:keepNext w:val="0"/>
        <w:keepLines w:val="0"/>
        <w:pageBreakBefore w:val="0"/>
        <w:kinsoku/>
        <w:wordWrap/>
        <w:overflowPunct/>
        <w:topLinePunct w:val="0"/>
        <w:autoSpaceDE/>
        <w:autoSpaceDN/>
        <w:bidi w:val="0"/>
        <w:adjustRightInd/>
        <w:snapToGrid w:val="0"/>
        <w:spacing w:line="360" w:lineRule="auto"/>
        <w:ind w:firstLine="420"/>
        <w:textAlignment w:val="bottom"/>
        <w:rPr>
          <w:rFonts w:hint="eastAsia" w:ascii="宋体" w:hAnsi="宋体" w:eastAsia="宋体" w:cs="宋体"/>
          <w:sz w:val="21"/>
          <w:szCs w:val="21"/>
          <w:highlight w:val="none"/>
        </w:rPr>
      </w:pPr>
      <w:r>
        <w:rPr>
          <w:rFonts w:hint="eastAsia" w:ascii="宋体" w:hAnsi="宋体" w:eastAsia="宋体" w:cs="宋体"/>
          <w:sz w:val="21"/>
          <w:szCs w:val="21"/>
          <w:highlight w:val="none"/>
        </w:rPr>
        <w:t>（2）乙方违反有关法律规定及行业准则；</w:t>
      </w:r>
    </w:p>
    <w:p w14:paraId="7C9E4DD6">
      <w:pPr>
        <w:keepNext w:val="0"/>
        <w:keepLines w:val="0"/>
        <w:pageBreakBefore w:val="0"/>
        <w:kinsoku/>
        <w:wordWrap/>
        <w:overflowPunct/>
        <w:topLinePunct w:val="0"/>
        <w:autoSpaceDE/>
        <w:autoSpaceDN/>
        <w:bidi w:val="0"/>
        <w:adjustRightInd/>
        <w:snapToGrid w:val="0"/>
        <w:spacing w:line="360" w:lineRule="auto"/>
        <w:ind w:firstLine="420"/>
        <w:textAlignment w:val="bottom"/>
        <w:rPr>
          <w:rFonts w:hint="eastAsia" w:ascii="宋体" w:hAnsi="宋体" w:eastAsia="宋体" w:cs="宋体"/>
          <w:sz w:val="21"/>
          <w:szCs w:val="21"/>
          <w:highlight w:val="none"/>
        </w:rPr>
      </w:pPr>
      <w:r>
        <w:rPr>
          <w:rFonts w:hint="eastAsia" w:ascii="宋体" w:hAnsi="宋体" w:eastAsia="宋体" w:cs="宋体"/>
          <w:sz w:val="21"/>
          <w:szCs w:val="21"/>
          <w:highlight w:val="none"/>
        </w:rPr>
        <w:t>（3）乙方不提供真实、客观的鉴证资料，或有意隐瞒真实</w:t>
      </w:r>
      <w:r>
        <w:rPr>
          <w:rFonts w:hint="eastAsia" w:ascii="宋体" w:hAnsi="宋体" w:cs="宋体"/>
          <w:sz w:val="21"/>
          <w:szCs w:val="21"/>
          <w:highlight w:val="none"/>
          <w:lang w:val="en-US" w:eastAsia="zh-CN"/>
        </w:rPr>
        <w:t>情况</w:t>
      </w:r>
      <w:r>
        <w:rPr>
          <w:rFonts w:hint="eastAsia" w:ascii="宋体" w:hAnsi="宋体" w:eastAsia="宋体" w:cs="宋体"/>
          <w:sz w:val="21"/>
          <w:szCs w:val="21"/>
          <w:highlight w:val="none"/>
        </w:rPr>
        <w:t>、提供虚假鉴定结果，出具</w:t>
      </w:r>
      <w:r>
        <w:rPr>
          <w:rFonts w:hint="eastAsia" w:ascii="宋体" w:hAnsi="宋体" w:cs="宋体"/>
          <w:sz w:val="21"/>
          <w:szCs w:val="21"/>
          <w:highlight w:val="none"/>
          <w:lang w:val="en-US" w:eastAsia="zh-CN"/>
        </w:rPr>
        <w:t>含有</w:t>
      </w:r>
      <w:r>
        <w:rPr>
          <w:rFonts w:hint="eastAsia" w:ascii="宋体" w:hAnsi="宋体" w:eastAsia="宋体" w:cs="宋体"/>
          <w:sz w:val="21"/>
          <w:szCs w:val="21"/>
          <w:highlight w:val="none"/>
        </w:rPr>
        <w:t>虚假记载、误导性陈述或重大遗漏的鉴定意见书；</w:t>
      </w:r>
    </w:p>
    <w:p w14:paraId="669819AF">
      <w:pPr>
        <w:keepNext w:val="0"/>
        <w:keepLines w:val="0"/>
        <w:pageBreakBefore w:val="0"/>
        <w:kinsoku/>
        <w:wordWrap/>
        <w:overflowPunct/>
        <w:topLinePunct w:val="0"/>
        <w:autoSpaceDE/>
        <w:autoSpaceDN/>
        <w:bidi w:val="0"/>
        <w:adjustRightInd/>
        <w:snapToGrid w:val="0"/>
        <w:spacing w:line="360" w:lineRule="auto"/>
        <w:ind w:firstLine="420"/>
        <w:textAlignment w:val="bottom"/>
        <w:rPr>
          <w:rFonts w:hint="eastAsia" w:ascii="宋体" w:hAnsi="宋体" w:eastAsia="宋体" w:cs="宋体"/>
          <w:sz w:val="21"/>
          <w:szCs w:val="21"/>
          <w:highlight w:val="none"/>
        </w:rPr>
      </w:pPr>
      <w:r>
        <w:rPr>
          <w:rFonts w:hint="eastAsia" w:ascii="宋体" w:hAnsi="宋体" w:eastAsia="宋体" w:cs="宋体"/>
          <w:sz w:val="21"/>
          <w:szCs w:val="21"/>
          <w:highlight w:val="none"/>
        </w:rPr>
        <w:t>（4）乙方有其他严重违约行为。</w:t>
      </w:r>
    </w:p>
    <w:p w14:paraId="3225EBB5">
      <w:pPr>
        <w:keepNext w:val="0"/>
        <w:keepLines w:val="0"/>
        <w:pageBreakBefore w:val="0"/>
        <w:kinsoku/>
        <w:wordWrap/>
        <w:overflowPunct/>
        <w:topLinePunct w:val="0"/>
        <w:autoSpaceDE/>
        <w:autoSpaceDN/>
        <w:bidi w:val="0"/>
        <w:adjustRightInd/>
        <w:snapToGrid w:val="0"/>
        <w:spacing w:line="360" w:lineRule="auto"/>
        <w:ind w:left="420" w:leftChars="200" w:firstLine="0" w:firstLineChars="0"/>
        <w:textAlignment w:val="bottom"/>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（5）</w:t>
      </w:r>
      <w:r>
        <w:rPr>
          <w:rFonts w:hint="eastAsia" w:ascii="宋体" w:hAnsi="宋体" w:eastAsia="宋体" w:cs="宋体"/>
          <w:sz w:val="21"/>
          <w:szCs w:val="21"/>
          <w:highlight w:val="none"/>
        </w:rPr>
        <w:t>在服务期限内，</w:t>
      </w:r>
      <w:r>
        <w:rPr>
          <w:rFonts w:hint="eastAsia" w:ascii="宋体" w:hAnsi="宋体" w:cs="宋体"/>
          <w:sz w:val="21"/>
          <w:szCs w:val="21"/>
          <w:highlight w:val="none"/>
          <w:lang w:val="en-US" w:eastAsia="zh-CN"/>
        </w:rPr>
        <w:t>因乙方原因导致泄密。</w:t>
      </w:r>
      <w:r>
        <w:rPr>
          <w:rFonts w:hint="eastAsia" w:ascii="宋体" w:hAnsi="宋体" w:cs="宋体"/>
          <w:sz w:val="21"/>
          <w:szCs w:val="21"/>
          <w:highlight w:val="none"/>
          <w:lang w:val="en-US" w:eastAsia="zh-CN"/>
        </w:rPr>
        <w:br w:type="textWrapping"/>
      </w:r>
      <w:r>
        <w:rPr>
          <w:rFonts w:hint="eastAsia" w:ascii="宋体" w:hAnsi="宋体" w:cs="宋体"/>
          <w:sz w:val="21"/>
          <w:szCs w:val="21"/>
          <w:highlight w:val="none"/>
          <w:lang w:val="en-US" w:eastAsia="zh-CN"/>
        </w:rPr>
        <w:t>（6）</w:t>
      </w:r>
      <w:r>
        <w:rPr>
          <w:rFonts w:hint="eastAsia" w:ascii="宋体" w:hAnsi="宋体" w:eastAsia="宋体" w:cs="宋体"/>
          <w:sz w:val="21"/>
          <w:szCs w:val="21"/>
          <w:highlight w:val="none"/>
        </w:rPr>
        <w:t>乙方员工发生被媒体曝光或影响甲方公众形象或违反</w:t>
      </w:r>
      <w:r>
        <w:rPr>
          <w:rFonts w:hint="eastAsia" w:ascii="宋体" w:hAnsi="宋体" w:cs="宋体"/>
          <w:sz w:val="21"/>
          <w:szCs w:val="21"/>
          <w:highlight w:val="none"/>
          <w:lang w:val="en-US" w:eastAsia="zh-CN"/>
        </w:rPr>
        <w:t>甲方</w:t>
      </w:r>
      <w:r>
        <w:rPr>
          <w:rFonts w:hint="eastAsia" w:ascii="宋体" w:hAnsi="宋体" w:eastAsia="宋体" w:cs="宋体"/>
          <w:sz w:val="21"/>
          <w:szCs w:val="21"/>
          <w:highlight w:val="none"/>
        </w:rPr>
        <w:t>规章制度造成不良影响</w:t>
      </w:r>
    </w:p>
    <w:p w14:paraId="1C914B37">
      <w:pPr>
        <w:pStyle w:val="2"/>
        <w:ind w:firstLine="420" w:firstLineChars="200"/>
        <w:rPr>
          <w:rFonts w:hint="default" w:eastAsia="宋体"/>
          <w:highlight w:val="none"/>
          <w:lang w:val="en-US" w:eastAsia="zh-CN"/>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7</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连续2季度考核不合格的</w:t>
      </w:r>
    </w:p>
    <w:p w14:paraId="61B28D4F">
      <w:pPr>
        <w:keepNext w:val="0"/>
        <w:keepLines w:val="0"/>
        <w:pageBreakBefore w:val="0"/>
        <w:kinsoku/>
        <w:wordWrap/>
        <w:overflowPunct/>
        <w:topLinePunct w:val="0"/>
        <w:autoSpaceDE/>
        <w:autoSpaceDN/>
        <w:bidi w:val="0"/>
        <w:adjustRightInd/>
        <w:snapToGrid w:val="0"/>
        <w:spacing w:line="360" w:lineRule="auto"/>
        <w:ind w:firstLine="420"/>
        <w:textAlignment w:val="bottom"/>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、如重新鉴定推翻乙方的鉴定结论，重新鉴定费用由乙方承担。引起诉讼的，乙方承担所有</w:t>
      </w:r>
      <w:r>
        <w:rPr>
          <w:rFonts w:hint="eastAsia" w:ascii="宋体" w:hAnsi="宋体" w:cs="宋体"/>
          <w:sz w:val="21"/>
          <w:szCs w:val="21"/>
          <w:highlight w:val="none"/>
          <w:lang w:val="en-US" w:eastAsia="zh-CN"/>
        </w:rPr>
        <w:t>相关</w:t>
      </w:r>
      <w:r>
        <w:rPr>
          <w:rFonts w:hint="eastAsia" w:ascii="宋体" w:hAnsi="宋体" w:eastAsia="宋体" w:cs="宋体"/>
          <w:sz w:val="21"/>
          <w:szCs w:val="21"/>
          <w:highlight w:val="none"/>
        </w:rPr>
        <w:t>费用</w:t>
      </w:r>
      <w:r>
        <w:rPr>
          <w:rFonts w:hint="eastAsia" w:ascii="宋体" w:hAnsi="宋体" w:eastAsia="宋体" w:cs="宋体"/>
          <w:sz w:val="21"/>
          <w:szCs w:val="21"/>
          <w:highlight w:val="none"/>
          <w:lang w:eastAsia="zh-CN"/>
        </w:rPr>
        <w:t>。</w:t>
      </w:r>
    </w:p>
    <w:p w14:paraId="6A33FA4F">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sz w:val="21"/>
          <w:szCs w:val="21"/>
          <w:highlight w:val="none"/>
          <w:lang w:eastAsia="zh-CN"/>
        </w:rPr>
      </w:pPr>
      <w:r>
        <w:rPr>
          <w:rFonts w:hint="eastAsia" w:ascii="宋体" w:hAnsi="宋体" w:cs="宋体"/>
          <w:sz w:val="21"/>
          <w:szCs w:val="21"/>
          <w:highlight w:val="none"/>
          <w:lang w:val="en-US" w:eastAsia="zh-CN"/>
        </w:rPr>
        <w:t>3</w:t>
      </w:r>
      <w:r>
        <w:rPr>
          <w:rFonts w:hint="eastAsia" w:ascii="宋体" w:hAnsi="宋体" w:eastAsia="宋体" w:cs="宋体"/>
          <w:sz w:val="21"/>
          <w:szCs w:val="21"/>
          <w:highlight w:val="none"/>
        </w:rPr>
        <w:t>、在服务期限内，若</w:t>
      </w:r>
      <w:r>
        <w:rPr>
          <w:rFonts w:hint="eastAsia" w:ascii="宋体" w:hAnsi="宋体" w:cs="宋体"/>
          <w:sz w:val="21"/>
          <w:szCs w:val="21"/>
          <w:highlight w:val="none"/>
          <w:lang w:val="en-US" w:eastAsia="zh-CN"/>
        </w:rPr>
        <w:t>乙方</w:t>
      </w:r>
      <w:r>
        <w:rPr>
          <w:rFonts w:hint="eastAsia" w:ascii="宋体" w:hAnsi="宋体" w:eastAsia="宋体" w:cs="宋体"/>
          <w:sz w:val="21"/>
          <w:szCs w:val="21"/>
          <w:highlight w:val="none"/>
        </w:rPr>
        <w:t>出具的鉴定报告未被当地法院采信，</w:t>
      </w:r>
      <w:r>
        <w:rPr>
          <w:rFonts w:hint="eastAsia" w:ascii="宋体" w:hAnsi="宋体" w:cs="宋体"/>
          <w:sz w:val="21"/>
          <w:szCs w:val="21"/>
          <w:highlight w:val="none"/>
          <w:lang w:val="en-US" w:eastAsia="zh-CN"/>
        </w:rPr>
        <w:t>甲方</w:t>
      </w:r>
      <w:r>
        <w:rPr>
          <w:rFonts w:hint="eastAsia" w:ascii="宋体" w:hAnsi="宋体" w:eastAsia="宋体" w:cs="宋体"/>
          <w:sz w:val="21"/>
          <w:szCs w:val="21"/>
          <w:highlight w:val="none"/>
        </w:rPr>
        <w:t>有权委托其他鉴定机构进行重新鉴定，</w:t>
      </w:r>
      <w:r>
        <w:rPr>
          <w:rFonts w:hint="eastAsia" w:ascii="宋体" w:hAnsi="宋体" w:cs="宋体"/>
          <w:sz w:val="21"/>
          <w:szCs w:val="21"/>
          <w:highlight w:val="none"/>
          <w:lang w:val="en-US" w:eastAsia="zh-CN"/>
        </w:rPr>
        <w:t>相关</w:t>
      </w:r>
      <w:r>
        <w:rPr>
          <w:rFonts w:hint="eastAsia" w:ascii="宋体" w:hAnsi="宋体" w:eastAsia="宋体" w:cs="宋体"/>
          <w:sz w:val="21"/>
          <w:szCs w:val="21"/>
          <w:highlight w:val="none"/>
        </w:rPr>
        <w:t>费用由</w:t>
      </w:r>
      <w:r>
        <w:rPr>
          <w:rFonts w:hint="eastAsia" w:ascii="宋体" w:hAnsi="宋体" w:cs="宋体"/>
          <w:sz w:val="21"/>
          <w:szCs w:val="21"/>
          <w:highlight w:val="none"/>
          <w:lang w:val="en-US" w:eastAsia="zh-CN"/>
        </w:rPr>
        <w:t>乙方</w:t>
      </w:r>
      <w:r>
        <w:rPr>
          <w:rFonts w:hint="eastAsia" w:ascii="宋体" w:hAnsi="宋体" w:eastAsia="宋体" w:cs="宋体"/>
          <w:sz w:val="21"/>
          <w:szCs w:val="21"/>
          <w:highlight w:val="none"/>
        </w:rPr>
        <w:t>承担</w:t>
      </w:r>
      <w:r>
        <w:rPr>
          <w:rFonts w:hint="eastAsia" w:ascii="宋体" w:hAnsi="宋体" w:cs="宋体"/>
          <w:sz w:val="21"/>
          <w:szCs w:val="21"/>
          <w:highlight w:val="none"/>
          <w:lang w:eastAsia="zh-CN"/>
        </w:rPr>
        <w:t>。</w:t>
      </w:r>
    </w:p>
    <w:p w14:paraId="3441C03E">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highlight w:val="none"/>
          <w:lang w:val="en-US" w:eastAsia="zh-CN"/>
        </w:rPr>
      </w:pPr>
      <w:r>
        <w:rPr>
          <w:rFonts w:hint="eastAsia" w:ascii="宋体" w:hAnsi="宋体" w:cs="宋体"/>
          <w:sz w:val="21"/>
          <w:szCs w:val="21"/>
          <w:highlight w:val="none"/>
          <w:lang w:val="en-US" w:eastAsia="zh-CN"/>
        </w:rPr>
        <w:t>4</w:t>
      </w:r>
      <w:r>
        <w:rPr>
          <w:rFonts w:hint="eastAsia" w:ascii="宋体" w:hAnsi="宋体" w:eastAsia="宋体" w:cs="宋体"/>
          <w:sz w:val="21"/>
          <w:szCs w:val="21"/>
          <w:highlight w:val="none"/>
        </w:rPr>
        <w:t>、在服务期限内，若</w:t>
      </w:r>
      <w:r>
        <w:rPr>
          <w:rFonts w:hint="eastAsia" w:ascii="宋体" w:hAnsi="宋体" w:cs="宋体"/>
          <w:sz w:val="21"/>
          <w:szCs w:val="21"/>
          <w:highlight w:val="none"/>
          <w:lang w:val="en-US" w:eastAsia="zh-CN"/>
        </w:rPr>
        <w:t>乙方</w:t>
      </w:r>
      <w:r>
        <w:rPr>
          <w:rFonts w:hint="eastAsia" w:ascii="宋体" w:hAnsi="宋体" w:eastAsia="宋体" w:cs="宋体"/>
          <w:sz w:val="21"/>
          <w:szCs w:val="21"/>
          <w:highlight w:val="none"/>
        </w:rPr>
        <w:t>出具的鉴定报告未被当地法院采信或鉴定结果对案件的评判方向出现指引性错误，且此类情形累计达到</w:t>
      </w:r>
      <w:r>
        <w:rPr>
          <w:rFonts w:hint="eastAsia" w:ascii="宋体" w:hAnsi="宋体" w:cs="宋体"/>
          <w:sz w:val="21"/>
          <w:szCs w:val="21"/>
          <w:highlight w:val="none"/>
          <w:lang w:val="en-US" w:eastAsia="zh-CN"/>
        </w:rPr>
        <w:t>2</w:t>
      </w:r>
      <w:r>
        <w:rPr>
          <w:rFonts w:hint="eastAsia" w:ascii="宋体" w:hAnsi="宋体" w:eastAsia="宋体" w:cs="宋体"/>
          <w:sz w:val="21"/>
          <w:szCs w:val="21"/>
          <w:highlight w:val="none"/>
        </w:rPr>
        <w:t>起，甲方有权终止合同，并停止支付服务经费。若因此对甲方造成损失，乙方应赔偿损失，并承担相关法律责任。</w:t>
      </w:r>
    </w:p>
    <w:p w14:paraId="1AC242D7">
      <w:pPr>
        <w:keepNext w:val="0"/>
        <w:keepLines w:val="0"/>
        <w:pageBreakBefore w:val="0"/>
        <w:widowControl w:val="0"/>
        <w:kinsoku/>
        <w:wordWrap/>
        <w:overflowPunct/>
        <w:topLinePunct w:val="0"/>
        <w:autoSpaceDE/>
        <w:autoSpaceDN/>
        <w:bidi w:val="0"/>
        <w:adjustRightInd/>
        <w:spacing w:line="360" w:lineRule="auto"/>
        <w:textAlignment w:val="auto"/>
        <w:outlineLvl w:val="1"/>
        <w:rPr>
          <w:rFonts w:hint="eastAsia" w:ascii="宋体" w:hAnsi="宋体" w:eastAsia="宋体" w:cs="宋体"/>
          <w:b/>
          <w:bCs/>
          <w:sz w:val="21"/>
          <w:szCs w:val="21"/>
          <w:highlight w:val="none"/>
        </w:rPr>
      </w:pPr>
      <w:r>
        <w:rPr>
          <w:rFonts w:hint="eastAsia" w:ascii="宋体" w:hAnsi="宋体" w:eastAsia="宋体" w:cs="宋体"/>
          <w:b/>
          <w:bCs/>
          <w:sz w:val="21"/>
          <w:szCs w:val="21"/>
          <w:highlight w:val="none"/>
          <w:lang w:val="en-US" w:eastAsia="zh-CN"/>
        </w:rPr>
        <w:t>七</w:t>
      </w:r>
      <w:r>
        <w:rPr>
          <w:rFonts w:hint="eastAsia" w:ascii="宋体" w:hAnsi="宋体" w:eastAsia="宋体" w:cs="宋体"/>
          <w:b/>
          <w:bCs/>
          <w:sz w:val="21"/>
          <w:szCs w:val="21"/>
          <w:highlight w:val="none"/>
        </w:rPr>
        <w:t>、不可抗力事件处理</w:t>
      </w:r>
    </w:p>
    <w:p w14:paraId="03683982">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在合同有效期内，任何一方因不可抗力事件导致不能履行合同，则合同履行期可延长，其延长期与不可抗力影响期相同。</w:t>
      </w:r>
    </w:p>
    <w:p w14:paraId="7B5FE5EB">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2</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不可抗力事件发生后，应立即通知对方，并寄送有关权威机构出具的证明。</w:t>
      </w:r>
    </w:p>
    <w:p w14:paraId="6E4E5283">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3</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不可抗力事件延续120天以上，双方应通过友好协商，确定是否继续履行合同。</w:t>
      </w:r>
    </w:p>
    <w:p w14:paraId="53673F9E">
      <w:pPr>
        <w:keepNext w:val="0"/>
        <w:keepLines w:val="0"/>
        <w:pageBreakBefore w:val="0"/>
        <w:widowControl w:val="0"/>
        <w:kinsoku/>
        <w:wordWrap/>
        <w:overflowPunct/>
        <w:topLinePunct w:val="0"/>
        <w:autoSpaceDE/>
        <w:autoSpaceDN/>
        <w:bidi w:val="0"/>
        <w:adjustRightInd/>
        <w:spacing w:line="360" w:lineRule="auto"/>
        <w:textAlignment w:val="auto"/>
        <w:outlineLvl w:val="1"/>
        <w:rPr>
          <w:rFonts w:hint="eastAsia" w:ascii="宋体" w:hAnsi="宋体" w:eastAsia="宋体" w:cs="宋体"/>
          <w:b/>
          <w:bCs/>
          <w:sz w:val="21"/>
          <w:szCs w:val="21"/>
          <w:highlight w:val="none"/>
        </w:rPr>
      </w:pPr>
      <w:r>
        <w:rPr>
          <w:rFonts w:hint="eastAsia" w:ascii="宋体" w:hAnsi="宋体" w:eastAsia="宋体" w:cs="宋体"/>
          <w:b/>
          <w:bCs/>
          <w:sz w:val="21"/>
          <w:szCs w:val="21"/>
          <w:highlight w:val="none"/>
          <w:lang w:val="en-US" w:eastAsia="zh-CN"/>
        </w:rPr>
        <w:t>八</w:t>
      </w:r>
      <w:r>
        <w:rPr>
          <w:rFonts w:hint="eastAsia" w:ascii="宋体" w:hAnsi="宋体" w:eastAsia="宋体" w:cs="宋体"/>
          <w:b/>
          <w:bCs/>
          <w:sz w:val="21"/>
          <w:szCs w:val="21"/>
          <w:highlight w:val="none"/>
        </w:rPr>
        <w:t>、争议解决方法</w:t>
      </w:r>
    </w:p>
    <w:p w14:paraId="5C76813C">
      <w:pPr>
        <w:pageBreakBefore w:val="0"/>
        <w:kinsoku/>
        <w:wordWrap/>
        <w:overflowPunct/>
        <w:topLinePunct w:val="0"/>
        <w:bidi w:val="0"/>
        <w:spacing w:line="360" w:lineRule="auto"/>
        <w:ind w:firstLine="420" w:firstLineChars="200"/>
        <w:rPr>
          <w:rFonts w:ascii="宋体" w:hAnsi="宋体" w:cs="宋体"/>
          <w:szCs w:val="21"/>
          <w:highlight w:val="none"/>
        </w:rPr>
      </w:pPr>
      <w:r>
        <w:rPr>
          <w:rFonts w:hint="eastAsia" w:ascii="宋体" w:hAnsi="宋体" w:cs="宋体"/>
          <w:szCs w:val="21"/>
          <w:highlight w:val="none"/>
        </w:rPr>
        <w:t>1、甲乙双方应通过友好协商，解决在执行本合同中所发生的或与本合同有关的一切争端，如果协商得不到解决，任何一方均可按《中华人民共和国民法典》规定提交诉讼，诉讼应在甲方所在地进行。</w:t>
      </w:r>
    </w:p>
    <w:p w14:paraId="06E4DBAF">
      <w:pPr>
        <w:pageBreakBefore w:val="0"/>
        <w:kinsoku/>
        <w:wordWrap/>
        <w:overflowPunct/>
        <w:topLinePunct w:val="0"/>
        <w:bidi w:val="0"/>
        <w:spacing w:line="360" w:lineRule="auto"/>
        <w:ind w:firstLine="420" w:firstLineChars="200"/>
        <w:rPr>
          <w:rFonts w:ascii="宋体" w:hAnsi="宋体" w:cs="宋体"/>
          <w:szCs w:val="21"/>
          <w:highlight w:val="none"/>
        </w:rPr>
      </w:pPr>
      <w:r>
        <w:rPr>
          <w:rFonts w:hint="eastAsia" w:ascii="宋体" w:hAnsi="宋体" w:cs="宋体"/>
          <w:szCs w:val="21"/>
          <w:highlight w:val="none"/>
        </w:rPr>
        <w:t>2、诉讼费应由败诉方负担。</w:t>
      </w:r>
    </w:p>
    <w:p w14:paraId="1F660774">
      <w:pPr>
        <w:keepNext w:val="0"/>
        <w:keepLines w:val="0"/>
        <w:pageBreakBefore w:val="0"/>
        <w:kinsoku/>
        <w:wordWrap/>
        <w:overflowPunct/>
        <w:topLinePunct w:val="0"/>
        <w:autoSpaceDE/>
        <w:autoSpaceDN/>
        <w:bidi w:val="0"/>
        <w:adjustRightInd/>
        <w:spacing w:line="360" w:lineRule="auto"/>
        <w:outlineLvl w:val="1"/>
        <w:rPr>
          <w:rFonts w:hint="eastAsia" w:ascii="宋体" w:hAnsi="宋体" w:eastAsia="宋体" w:cs="宋体"/>
          <w:b/>
          <w:bCs/>
          <w:sz w:val="21"/>
          <w:szCs w:val="21"/>
          <w:highlight w:val="none"/>
        </w:rPr>
      </w:pPr>
      <w:r>
        <w:rPr>
          <w:rFonts w:hint="eastAsia" w:ascii="宋体" w:hAnsi="宋体" w:eastAsia="宋体" w:cs="宋体"/>
          <w:b/>
          <w:bCs/>
          <w:sz w:val="21"/>
          <w:szCs w:val="21"/>
          <w:highlight w:val="none"/>
          <w:lang w:val="en-US" w:eastAsia="zh-CN"/>
        </w:rPr>
        <w:t>九</w:t>
      </w:r>
      <w:r>
        <w:rPr>
          <w:rFonts w:hint="eastAsia" w:ascii="宋体" w:hAnsi="宋体" w:eastAsia="宋体" w:cs="宋体"/>
          <w:b/>
          <w:bCs/>
          <w:sz w:val="21"/>
          <w:szCs w:val="21"/>
          <w:highlight w:val="none"/>
        </w:rPr>
        <w:t>、合同生效及其他</w:t>
      </w:r>
    </w:p>
    <w:p w14:paraId="4ED41F00">
      <w:pPr>
        <w:pageBreakBefore w:val="0"/>
        <w:kinsoku/>
        <w:wordWrap/>
        <w:overflowPunct/>
        <w:topLinePunct w:val="0"/>
        <w:bidi w:val="0"/>
        <w:spacing w:line="360" w:lineRule="auto"/>
        <w:ind w:firstLine="420" w:firstLineChars="200"/>
        <w:rPr>
          <w:rFonts w:ascii="宋体" w:hAnsi="宋体" w:cs="宋体"/>
          <w:szCs w:val="21"/>
          <w:highlight w:val="none"/>
        </w:rPr>
      </w:pPr>
      <w:r>
        <w:rPr>
          <w:rFonts w:hint="eastAsia" w:ascii="宋体" w:hAnsi="宋体" w:cs="宋体"/>
          <w:szCs w:val="21"/>
          <w:highlight w:val="none"/>
        </w:rPr>
        <w:t>1、合同经双方法定代表人或授权委托代理人签字并加盖单位公章后生效。</w:t>
      </w:r>
    </w:p>
    <w:p w14:paraId="4E2F52DA">
      <w:pPr>
        <w:pageBreakBefore w:val="0"/>
        <w:kinsoku/>
        <w:wordWrap/>
        <w:overflowPunct/>
        <w:topLinePunct w:val="0"/>
        <w:bidi w:val="0"/>
        <w:spacing w:line="360" w:lineRule="auto"/>
        <w:ind w:firstLine="420" w:firstLineChars="200"/>
        <w:rPr>
          <w:rFonts w:ascii="宋体" w:hAnsi="宋体" w:cs="宋体"/>
          <w:szCs w:val="21"/>
          <w:highlight w:val="none"/>
        </w:rPr>
      </w:pPr>
      <w:r>
        <w:rPr>
          <w:rFonts w:hint="eastAsia" w:ascii="宋体" w:hAnsi="宋体" w:cs="宋体"/>
          <w:szCs w:val="21"/>
          <w:highlight w:val="none"/>
        </w:rPr>
        <w:t>2、</w:t>
      </w:r>
      <w:r>
        <w:rPr>
          <w:rFonts w:hint="eastAsia" w:ascii="宋体" w:hAnsi="宋体" w:eastAsia="宋体" w:cs="宋体"/>
          <w:sz w:val="21"/>
          <w:szCs w:val="21"/>
          <w:highlight w:val="none"/>
        </w:rPr>
        <w:t>合同执行中涉及采购资金和采购内容修改或补充的，签书面补充协议方可作为主合同不可分割的一部分。</w:t>
      </w:r>
    </w:p>
    <w:p w14:paraId="1E69477E">
      <w:pPr>
        <w:keepNext w:val="0"/>
        <w:keepLines w:val="0"/>
        <w:pageBreakBefore w:val="0"/>
        <w:widowControl w:val="0"/>
        <w:kinsoku/>
        <w:wordWrap/>
        <w:overflowPunct/>
        <w:topLinePunct w:val="0"/>
        <w:autoSpaceDE/>
        <w:autoSpaceDN/>
        <w:bidi w:val="0"/>
        <w:adjustRightInd/>
        <w:snapToGrid w:val="0"/>
        <w:spacing w:line="360" w:lineRule="auto"/>
        <w:ind w:firstLine="411" w:firstLineChars="196"/>
        <w:textAlignment w:val="auto"/>
        <w:rPr>
          <w:rFonts w:ascii="宋体" w:hAnsi="宋体" w:cs="宋体"/>
          <w:szCs w:val="21"/>
          <w:highlight w:val="none"/>
        </w:rPr>
      </w:pPr>
      <w:r>
        <w:rPr>
          <w:rFonts w:hint="eastAsia" w:ascii="宋体" w:hAnsi="宋体" w:cs="宋体"/>
          <w:szCs w:val="21"/>
          <w:highlight w:val="none"/>
        </w:rPr>
        <w:t>3、本合同未尽事宜，遵照《中华人民共和国民法典》有关条文执行。</w:t>
      </w:r>
      <w:r>
        <w:rPr>
          <w:rFonts w:hint="eastAsia" w:ascii="宋体" w:hAnsi="宋体" w:eastAsia="宋体" w:cs="宋体"/>
          <w:sz w:val="21"/>
          <w:szCs w:val="21"/>
          <w:highlight w:val="none"/>
        </w:rPr>
        <w:t>经合同双方共同协商，可以做出补充规定，补充规定与本合同同具法律效力。</w:t>
      </w:r>
    </w:p>
    <w:p w14:paraId="30AEC5F7">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4、本合同正本一式</w:t>
      </w:r>
      <w:r>
        <w:rPr>
          <w:rFonts w:hint="eastAsia" w:ascii="宋体" w:hAnsi="宋体" w:cs="宋体"/>
          <w:szCs w:val="21"/>
          <w:highlight w:val="none"/>
          <w:u w:val="single"/>
          <w:lang w:val="en-US" w:eastAsia="zh-CN"/>
        </w:rPr>
        <w:t xml:space="preserve">    </w:t>
      </w:r>
      <w:r>
        <w:rPr>
          <w:rFonts w:hint="eastAsia" w:ascii="宋体" w:hAnsi="宋体" w:cs="宋体"/>
          <w:szCs w:val="21"/>
          <w:highlight w:val="none"/>
        </w:rPr>
        <w:t>份，具有同等法律效力，甲乙双方各执</w:t>
      </w:r>
      <w:r>
        <w:rPr>
          <w:rFonts w:hint="eastAsia" w:ascii="宋体" w:hAnsi="宋体" w:cs="宋体"/>
          <w:szCs w:val="21"/>
          <w:highlight w:val="none"/>
          <w:u w:val="single"/>
          <w:lang w:val="en-US" w:eastAsia="zh-CN"/>
        </w:rPr>
        <w:t xml:space="preserve">    </w:t>
      </w:r>
      <w:r>
        <w:rPr>
          <w:rFonts w:hint="eastAsia" w:ascii="宋体" w:hAnsi="宋体" w:cs="宋体"/>
          <w:szCs w:val="21"/>
          <w:highlight w:val="none"/>
        </w:rPr>
        <w:t>份，采购代理机构执</w:t>
      </w:r>
      <w:r>
        <w:rPr>
          <w:rFonts w:hint="eastAsia" w:ascii="宋体" w:hAnsi="宋体" w:cs="宋体"/>
          <w:szCs w:val="21"/>
          <w:highlight w:val="none"/>
          <w:u w:val="single"/>
          <w:lang w:val="en-US" w:eastAsia="zh-CN"/>
        </w:rPr>
        <w:t xml:space="preserve">    </w:t>
      </w:r>
      <w:r>
        <w:rPr>
          <w:rFonts w:hint="eastAsia" w:ascii="宋体" w:hAnsi="宋体" w:cs="宋体"/>
          <w:szCs w:val="21"/>
          <w:highlight w:val="none"/>
        </w:rPr>
        <w:t>份。</w:t>
      </w:r>
    </w:p>
    <w:p w14:paraId="03CA81B0">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outlineLvl w:val="1"/>
        <w:rPr>
          <w:rFonts w:hint="eastAsia" w:ascii="宋体" w:hAnsi="宋体" w:eastAsia="宋体" w:cs="宋体"/>
          <w:b/>
          <w:sz w:val="21"/>
          <w:szCs w:val="21"/>
          <w:highlight w:val="none"/>
        </w:rPr>
      </w:pPr>
      <w:r>
        <w:rPr>
          <w:rFonts w:hint="eastAsia" w:ascii="宋体" w:hAnsi="宋体" w:eastAsia="宋体" w:cs="宋体"/>
          <w:b/>
          <w:sz w:val="21"/>
          <w:szCs w:val="21"/>
          <w:highlight w:val="none"/>
          <w:lang w:val="en-US" w:eastAsia="zh-CN"/>
        </w:rPr>
        <w:t>十</w:t>
      </w:r>
      <w:r>
        <w:rPr>
          <w:rFonts w:hint="eastAsia" w:ascii="宋体" w:hAnsi="宋体" w:eastAsia="宋体" w:cs="宋体"/>
          <w:b/>
          <w:sz w:val="21"/>
          <w:szCs w:val="21"/>
          <w:highlight w:val="none"/>
        </w:rPr>
        <w:t>、中小企业预留合同</w:t>
      </w:r>
    </w:p>
    <w:p w14:paraId="1220B245">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本采购合同为中小企业预留合同。</w:t>
      </w:r>
    </w:p>
    <w:p w14:paraId="221A6C9B">
      <w:pPr>
        <w:keepNext w:val="0"/>
        <w:keepLines w:val="0"/>
        <w:pageBreakBefore w:val="0"/>
        <w:kinsoku/>
        <w:wordWrap/>
        <w:overflowPunct/>
        <w:topLinePunct w:val="0"/>
        <w:autoSpaceDE/>
        <w:autoSpaceDN/>
        <w:bidi w:val="0"/>
        <w:adjustRightInd/>
        <w:spacing w:line="360" w:lineRule="auto"/>
        <w:rPr>
          <w:rFonts w:hint="eastAsia" w:ascii="宋体" w:hAnsi="宋体" w:eastAsia="宋体" w:cs="宋体"/>
          <w:sz w:val="21"/>
          <w:szCs w:val="21"/>
          <w:highlight w:val="none"/>
        </w:rPr>
      </w:pPr>
    </w:p>
    <w:p w14:paraId="727EDA1A">
      <w:pPr>
        <w:keepNext w:val="0"/>
        <w:keepLines w:val="0"/>
        <w:pageBreakBefore w:val="0"/>
        <w:kinsoku/>
        <w:wordWrap/>
        <w:overflowPunct/>
        <w:topLinePunct w:val="0"/>
        <w:autoSpaceDE/>
        <w:autoSpaceDN/>
        <w:bidi w:val="0"/>
        <w:adjustRightInd/>
        <w:spacing w:line="360" w:lineRule="auto"/>
        <w:rPr>
          <w:rFonts w:hint="eastAsia" w:ascii="宋体" w:hAnsi="宋体" w:eastAsia="宋体" w:cs="宋体"/>
          <w:sz w:val="21"/>
          <w:szCs w:val="21"/>
          <w:highlight w:val="none"/>
        </w:rPr>
      </w:pPr>
    </w:p>
    <w:p w14:paraId="21FAD2E7">
      <w:pPr>
        <w:keepNext w:val="0"/>
        <w:keepLines w:val="0"/>
        <w:pageBreakBefore w:val="0"/>
        <w:kinsoku/>
        <w:wordWrap/>
        <w:overflowPunct/>
        <w:topLinePunct w:val="0"/>
        <w:autoSpaceDE/>
        <w:autoSpaceDN/>
        <w:bidi w:val="0"/>
        <w:adjustRightInd/>
        <w:spacing w:line="360" w:lineRule="auto"/>
        <w:rPr>
          <w:rFonts w:hint="eastAsia" w:ascii="宋体" w:hAnsi="宋体" w:eastAsia="宋体" w:cs="宋体"/>
          <w:sz w:val="21"/>
          <w:szCs w:val="21"/>
          <w:highlight w:val="none"/>
        </w:rPr>
      </w:pPr>
    </w:p>
    <w:p w14:paraId="61420EA5">
      <w:pPr>
        <w:keepNext w:val="0"/>
        <w:keepLines w:val="0"/>
        <w:pageBreakBefore w:val="0"/>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甲方：（盖章）                                 乙方：（盖章） </w:t>
      </w:r>
    </w:p>
    <w:p w14:paraId="4E4371E9">
      <w:pPr>
        <w:keepNext w:val="0"/>
        <w:keepLines w:val="0"/>
        <w:pageBreakBefore w:val="0"/>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地址：                                         地址： </w:t>
      </w:r>
    </w:p>
    <w:p w14:paraId="5182024F">
      <w:pPr>
        <w:keepNext w:val="0"/>
        <w:keepLines w:val="0"/>
        <w:pageBreakBefore w:val="0"/>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法定代表人或授权签字代表：（签字）             法定代表人或授权签字代表：（签字）</w:t>
      </w:r>
    </w:p>
    <w:p w14:paraId="19B3BE07">
      <w:pPr>
        <w:keepNext w:val="0"/>
        <w:keepLines w:val="0"/>
        <w:pageBreakBefore w:val="0"/>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签订日期：   年  月  日                        签订日期：   年  月  日</w:t>
      </w:r>
    </w:p>
    <w:p w14:paraId="4FFEB166">
      <w:pPr>
        <w:keepNext w:val="0"/>
        <w:keepLines w:val="0"/>
        <w:pageBreakBefore w:val="0"/>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甲方收款银行：                                 乙方收款银行：</w:t>
      </w:r>
    </w:p>
    <w:p w14:paraId="31F2E841">
      <w:pPr>
        <w:keepNext w:val="0"/>
        <w:keepLines w:val="0"/>
        <w:pageBreakBefore w:val="0"/>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甲方收款开户账号：                             乙方收款开户账号：</w:t>
      </w:r>
    </w:p>
    <w:p w14:paraId="5522AA7A">
      <w:pPr>
        <w:keepNext w:val="0"/>
        <w:keepLines w:val="0"/>
        <w:pageBreakBefore w:val="0"/>
        <w:kinsoku/>
        <w:wordWrap/>
        <w:overflowPunct/>
        <w:topLinePunct w:val="0"/>
        <w:autoSpaceDE/>
        <w:autoSpaceDN/>
        <w:bidi w:val="0"/>
        <w:adjustRightInd/>
        <w:spacing w:line="360" w:lineRule="auto"/>
        <w:contextualSpacing/>
        <w:textAlignment w:val="auto"/>
        <w:rPr>
          <w:rFonts w:hint="eastAsia" w:ascii="宋体" w:hAnsi="宋体" w:eastAsia="宋体" w:cs="宋体"/>
          <w:sz w:val="21"/>
          <w:szCs w:val="21"/>
          <w:highlight w:val="none"/>
        </w:rPr>
      </w:pPr>
    </w:p>
    <w:p w14:paraId="0597E8F9">
      <w:pPr>
        <w:keepNext w:val="0"/>
        <w:keepLines w:val="0"/>
        <w:pageBreakBefore w:val="0"/>
        <w:kinsoku/>
        <w:wordWrap/>
        <w:overflowPunct/>
        <w:topLinePunct w:val="0"/>
        <w:autoSpaceDE/>
        <w:autoSpaceDN/>
        <w:bidi w:val="0"/>
        <w:adjustRightInd/>
        <w:spacing w:line="360" w:lineRule="auto"/>
        <w:ind w:firstLine="420" w:firstLineChars="200"/>
        <w:contextualSpacing/>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鉴证方：（盖章）</w:t>
      </w:r>
    </w:p>
    <w:p w14:paraId="01DAD4F5">
      <w:pPr>
        <w:keepNext w:val="0"/>
        <w:keepLines w:val="0"/>
        <w:pageBreakBefore w:val="0"/>
        <w:kinsoku/>
        <w:wordWrap/>
        <w:overflowPunct/>
        <w:topLinePunct w:val="0"/>
        <w:autoSpaceDE/>
        <w:autoSpaceDN/>
        <w:bidi w:val="0"/>
        <w:adjustRightInd/>
        <w:snapToGrid w:val="0"/>
        <w:spacing w:line="360" w:lineRule="auto"/>
        <w:textAlignment w:val="auto"/>
        <w:rPr>
          <w:rFonts w:hint="eastAsia" w:ascii="宋体" w:hAnsi="宋体" w:eastAsia="宋体" w:cs="宋体"/>
          <w:color w:val="000000"/>
          <w:sz w:val="21"/>
          <w:szCs w:val="21"/>
          <w:highlight w:val="none"/>
        </w:rPr>
      </w:pPr>
    </w:p>
    <w:p w14:paraId="091F4BB2">
      <w:pPr>
        <w:keepNext w:val="0"/>
        <w:keepLines w:val="0"/>
        <w:pageBreakBefore w:val="0"/>
        <w:kinsoku/>
        <w:wordWrap/>
        <w:overflowPunct/>
        <w:topLinePunct w:val="0"/>
        <w:autoSpaceDE/>
        <w:autoSpaceDN/>
        <w:bidi w:val="0"/>
        <w:adjustRightInd/>
        <w:snapToGrid w:val="0"/>
        <w:spacing w:line="360" w:lineRule="auto"/>
        <w:textAlignment w:val="auto"/>
        <w:rPr>
          <w:rFonts w:hint="eastAsia" w:ascii="宋体" w:hAnsi="宋体" w:eastAsia="宋体" w:cs="宋体"/>
          <w:color w:val="000000"/>
          <w:sz w:val="21"/>
          <w:szCs w:val="21"/>
          <w:highlight w:val="none"/>
        </w:rPr>
      </w:pPr>
    </w:p>
    <w:p w14:paraId="2B7D2379">
      <w:pPr>
        <w:keepNext w:val="0"/>
        <w:keepLines w:val="0"/>
        <w:pageBreakBefore w:val="0"/>
        <w:kinsoku/>
        <w:wordWrap/>
        <w:overflowPunct/>
        <w:topLinePunct w:val="0"/>
        <w:autoSpaceDE/>
        <w:autoSpaceDN/>
        <w:bidi w:val="0"/>
        <w:adjustRightInd/>
        <w:snapToGrid w:val="0"/>
        <w:spacing w:line="360" w:lineRule="auto"/>
        <w:textAlignment w:val="auto"/>
        <w:rPr>
          <w:rFonts w:hint="eastAsia" w:ascii="宋体" w:hAnsi="宋体" w:eastAsia="宋体" w:cs="宋体"/>
          <w:color w:val="000000"/>
          <w:sz w:val="21"/>
          <w:szCs w:val="21"/>
          <w:highlight w:val="none"/>
        </w:rPr>
      </w:pPr>
    </w:p>
    <w:p w14:paraId="3E9DF772">
      <w:pPr>
        <w:keepNext w:val="0"/>
        <w:keepLines w:val="0"/>
        <w:pageBreakBefore w:val="0"/>
        <w:kinsoku/>
        <w:wordWrap/>
        <w:overflowPunct/>
        <w:topLinePunct w:val="0"/>
        <w:autoSpaceDE/>
        <w:autoSpaceDN/>
        <w:bidi w:val="0"/>
        <w:adjustRightInd/>
        <w:snapToGrid w:val="0"/>
        <w:spacing w:line="360" w:lineRule="auto"/>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注意事项：</w:t>
      </w:r>
    </w:p>
    <w:p w14:paraId="45877060">
      <w:pPr>
        <w:keepNext w:val="0"/>
        <w:keepLines w:val="0"/>
        <w:pageBreakBefore w:val="0"/>
        <w:kinsoku/>
        <w:wordWrap/>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1、用于政府采购信用融资的政府采购合同：</w:t>
      </w:r>
    </w:p>
    <w:p w14:paraId="3F117C4F">
      <w:pPr>
        <w:keepNext w:val="0"/>
        <w:keepLines w:val="0"/>
        <w:pageBreakBefore w:val="0"/>
        <w:kinsoku/>
        <w:wordWrap/>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（1）应当包含如下条款：</w:t>
      </w:r>
    </w:p>
    <w:p w14:paraId="7DC80797">
      <w:pPr>
        <w:keepNext w:val="0"/>
        <w:keepLines w:val="0"/>
        <w:pageBreakBefore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“第</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rPr>
        <w:t>条：政府采购合同贷款</w:t>
      </w:r>
    </w:p>
    <w:p w14:paraId="46BA41EC">
      <w:pPr>
        <w:keepNext w:val="0"/>
        <w:keepLines w:val="0"/>
        <w:pageBreakBefore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本合同同时用于乙方向</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rPr>
        <w:t>银行（金融机构）申请政府采购信用贷款。</w:t>
      </w:r>
    </w:p>
    <w:p w14:paraId="134D71CB">
      <w:pPr>
        <w:keepNext w:val="0"/>
        <w:keepLines w:val="0"/>
        <w:pageBreakBefore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本合同一经签订，原则上不得更改乙方收款账户信息。确须更改的，乙方应取得原合同收款账户开户银行书面同意，否则修改后的合同不予备案，采购资金不予支付。”</w:t>
      </w:r>
    </w:p>
    <w:p w14:paraId="586AE18C">
      <w:pPr>
        <w:keepNext w:val="0"/>
        <w:keepLines w:val="0"/>
        <w:pageBreakBefore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b/>
          <w:sz w:val="21"/>
          <w:szCs w:val="21"/>
          <w:highlight w:val="none"/>
        </w:rPr>
      </w:pPr>
      <w:r>
        <w:rPr>
          <w:rFonts w:hint="eastAsia" w:ascii="宋体" w:hAnsi="宋体" w:eastAsia="宋体" w:cs="宋体"/>
          <w:color w:val="000000"/>
          <w:sz w:val="21"/>
          <w:szCs w:val="21"/>
          <w:highlight w:val="none"/>
        </w:rPr>
        <w:t>（2）</w:t>
      </w:r>
      <w:r>
        <w:rPr>
          <w:rFonts w:hint="eastAsia" w:ascii="宋体" w:hAnsi="宋体" w:eastAsia="宋体" w:cs="宋体"/>
          <w:color w:val="000000"/>
          <w:sz w:val="21"/>
          <w:szCs w:val="21"/>
          <w:highlight w:val="none"/>
          <w:lang w:eastAsia="zh-CN"/>
        </w:rPr>
        <w:t>中标人</w:t>
      </w:r>
      <w:r>
        <w:rPr>
          <w:rFonts w:hint="eastAsia" w:ascii="宋体" w:hAnsi="宋体" w:eastAsia="宋体" w:cs="宋体"/>
          <w:color w:val="000000"/>
          <w:sz w:val="21"/>
          <w:szCs w:val="21"/>
          <w:highlight w:val="none"/>
        </w:rPr>
        <w:t>需确保政府采购合同的收款账户与融资银行开户账户一致。</w:t>
      </w:r>
    </w:p>
    <w:p w14:paraId="59A3936C">
      <w:pPr>
        <w:pStyle w:val="2"/>
        <w:keepNext w:val="0"/>
        <w:keepLines w:val="0"/>
        <w:pageBreakBefore w:val="0"/>
        <w:widowControl w:val="0"/>
        <w:kinsoku/>
        <w:wordWrap/>
        <w:overflowPunct/>
        <w:topLinePunct w:val="0"/>
        <w:autoSpaceDE/>
        <w:autoSpaceDN/>
        <w:bidi w:val="0"/>
        <w:adjustRightInd/>
        <w:snapToGrid/>
        <w:spacing w:after="0" w:line="360" w:lineRule="auto"/>
        <w:textAlignment w:val="auto"/>
        <w:rPr>
          <w:rFonts w:ascii="Calibri" w:hAnsi="Calibri"/>
          <w:b/>
          <w:sz w:val="28"/>
          <w:szCs w:val="28"/>
          <w:highlight w:val="none"/>
        </w:rPr>
      </w:pPr>
      <w:r>
        <w:rPr>
          <w:rFonts w:hint="eastAsia"/>
          <w:b/>
          <w:sz w:val="28"/>
          <w:szCs w:val="28"/>
          <w:highlight w:val="none"/>
        </w:rPr>
        <w:t>附件：</w:t>
      </w:r>
    </w:p>
    <w:p w14:paraId="10E87AB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考核方案</w:t>
      </w:r>
    </w:p>
    <w:p w14:paraId="4780D067">
      <w:pPr>
        <w:pStyle w:val="2"/>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为确保检验鉴定机构在时效性、质量和服务方面达到高标准要求，特制定本考核方案。</w:t>
      </w:r>
    </w:p>
    <w:p w14:paraId="70385237">
      <w:pPr>
        <w:pStyle w:val="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一、考核内容与评分标准</w:t>
      </w:r>
    </w:p>
    <w:tbl>
      <w:tblPr>
        <w:tblStyle w:val="29"/>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71"/>
        <w:gridCol w:w="2113"/>
        <w:gridCol w:w="5182"/>
        <w:gridCol w:w="1268"/>
      </w:tblGrid>
      <w:tr w14:paraId="643B1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75" w:type="pct"/>
            <w:vAlign w:val="center"/>
          </w:tcPr>
          <w:p w14:paraId="08124A42">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考核项目</w:t>
            </w:r>
          </w:p>
        </w:tc>
        <w:tc>
          <w:tcPr>
            <w:tcW w:w="1042" w:type="pct"/>
            <w:vAlign w:val="center"/>
          </w:tcPr>
          <w:p w14:paraId="7873EE07">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考核指标</w:t>
            </w:r>
          </w:p>
        </w:tc>
        <w:tc>
          <w:tcPr>
            <w:tcW w:w="2555" w:type="pct"/>
            <w:vAlign w:val="center"/>
          </w:tcPr>
          <w:p w14:paraId="4E17CB32">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评分细则</w:t>
            </w:r>
          </w:p>
        </w:tc>
        <w:tc>
          <w:tcPr>
            <w:tcW w:w="625" w:type="pct"/>
            <w:vAlign w:val="center"/>
          </w:tcPr>
          <w:p w14:paraId="446599F6">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分值</w:t>
            </w:r>
          </w:p>
        </w:tc>
      </w:tr>
      <w:tr w14:paraId="32BF4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pct"/>
            <w:vMerge w:val="restart"/>
            <w:vAlign w:val="center"/>
          </w:tcPr>
          <w:p w14:paraId="721D1D8C">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rPr>
            </w:pPr>
            <w:r>
              <w:rPr>
                <w:rFonts w:hint="eastAsia" w:ascii="宋体" w:hAnsi="宋体" w:eastAsia="宋体" w:cs="宋体"/>
                <w:sz w:val="21"/>
                <w:szCs w:val="21"/>
                <w:highlight w:val="none"/>
                <w:vertAlign w:val="baseline"/>
              </w:rPr>
              <w:t>时效性</w:t>
            </w:r>
          </w:p>
        </w:tc>
        <w:tc>
          <w:tcPr>
            <w:tcW w:w="1042" w:type="pct"/>
            <w:vMerge w:val="restart"/>
            <w:vAlign w:val="center"/>
          </w:tcPr>
          <w:p w14:paraId="17A5D2D9">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rPr>
            </w:pPr>
            <w:r>
              <w:rPr>
                <w:rFonts w:hint="eastAsia" w:ascii="宋体" w:hAnsi="宋体" w:eastAsia="宋体" w:cs="宋体"/>
                <w:sz w:val="21"/>
                <w:szCs w:val="21"/>
                <w:highlight w:val="none"/>
                <w:vertAlign w:val="baseline"/>
              </w:rPr>
              <w:t>按时完成率</w:t>
            </w:r>
          </w:p>
        </w:tc>
        <w:tc>
          <w:tcPr>
            <w:tcW w:w="2555" w:type="pct"/>
            <w:vAlign w:val="center"/>
          </w:tcPr>
          <w:p w14:paraId="510364A3">
            <w:pPr>
              <w:pStyle w:val="2"/>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未按约定时间受理委托，每发生一次扣10分。</w:t>
            </w:r>
          </w:p>
        </w:tc>
        <w:tc>
          <w:tcPr>
            <w:tcW w:w="625" w:type="pct"/>
            <w:vMerge w:val="restart"/>
            <w:vAlign w:val="center"/>
          </w:tcPr>
          <w:p w14:paraId="74F67950">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100分</w:t>
            </w:r>
          </w:p>
        </w:tc>
      </w:tr>
      <w:tr w14:paraId="7C490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pct"/>
            <w:vMerge w:val="continue"/>
            <w:vAlign w:val="center"/>
          </w:tcPr>
          <w:p w14:paraId="7E0DA36A">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rPr>
            </w:pPr>
          </w:p>
        </w:tc>
        <w:tc>
          <w:tcPr>
            <w:tcW w:w="1042" w:type="pct"/>
            <w:vMerge w:val="continue"/>
            <w:vAlign w:val="center"/>
          </w:tcPr>
          <w:p w14:paraId="6FE10FA3">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rPr>
            </w:pPr>
          </w:p>
        </w:tc>
        <w:tc>
          <w:tcPr>
            <w:tcW w:w="2555" w:type="pct"/>
            <w:vAlign w:val="center"/>
          </w:tcPr>
          <w:p w14:paraId="61E31622">
            <w:pPr>
              <w:pStyle w:val="2"/>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未按约定时间收集检材，每发生一次扣10分。</w:t>
            </w:r>
          </w:p>
        </w:tc>
        <w:tc>
          <w:tcPr>
            <w:tcW w:w="625" w:type="pct"/>
            <w:vMerge w:val="continue"/>
            <w:vAlign w:val="center"/>
          </w:tcPr>
          <w:p w14:paraId="65762A78">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lang w:val="en-US" w:eastAsia="zh-CN"/>
              </w:rPr>
            </w:pPr>
          </w:p>
        </w:tc>
      </w:tr>
      <w:tr w14:paraId="02EA6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pct"/>
            <w:vMerge w:val="continue"/>
            <w:vAlign w:val="center"/>
          </w:tcPr>
          <w:p w14:paraId="6486CB99">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rPr>
            </w:pPr>
          </w:p>
        </w:tc>
        <w:tc>
          <w:tcPr>
            <w:tcW w:w="1042" w:type="pct"/>
            <w:vMerge w:val="continue"/>
            <w:vAlign w:val="center"/>
          </w:tcPr>
          <w:p w14:paraId="0C523398">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rPr>
            </w:pPr>
          </w:p>
        </w:tc>
        <w:tc>
          <w:tcPr>
            <w:tcW w:w="2555" w:type="pct"/>
            <w:vAlign w:val="center"/>
          </w:tcPr>
          <w:p w14:paraId="21593682">
            <w:pPr>
              <w:pStyle w:val="2"/>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未按约定时间完成鉴定结果的出具，每发生一次扣10分。</w:t>
            </w:r>
          </w:p>
        </w:tc>
        <w:tc>
          <w:tcPr>
            <w:tcW w:w="625" w:type="pct"/>
            <w:vMerge w:val="continue"/>
            <w:vAlign w:val="center"/>
          </w:tcPr>
          <w:p w14:paraId="2E75EC49">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lang w:val="en-US" w:eastAsia="zh-CN"/>
              </w:rPr>
            </w:pPr>
          </w:p>
        </w:tc>
      </w:tr>
      <w:tr w14:paraId="68E63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pct"/>
            <w:vMerge w:val="restart"/>
            <w:vAlign w:val="center"/>
          </w:tcPr>
          <w:p w14:paraId="305166FF">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rPr>
            </w:pPr>
            <w:r>
              <w:rPr>
                <w:rFonts w:hint="eastAsia" w:ascii="宋体" w:hAnsi="宋体" w:eastAsia="宋体" w:cs="宋体"/>
                <w:sz w:val="21"/>
                <w:szCs w:val="21"/>
                <w:highlight w:val="none"/>
                <w:vertAlign w:val="baseline"/>
              </w:rPr>
              <w:t>质量</w:t>
            </w:r>
          </w:p>
        </w:tc>
        <w:tc>
          <w:tcPr>
            <w:tcW w:w="1042" w:type="pct"/>
            <w:vAlign w:val="center"/>
          </w:tcPr>
          <w:p w14:paraId="29A413D0">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rPr>
            </w:pPr>
            <w:r>
              <w:rPr>
                <w:rFonts w:hint="eastAsia" w:ascii="宋体" w:hAnsi="宋体" w:eastAsia="宋体" w:cs="宋体"/>
                <w:sz w:val="21"/>
                <w:szCs w:val="21"/>
                <w:highlight w:val="none"/>
                <w:vertAlign w:val="baseline"/>
              </w:rPr>
              <w:t>报告完整性</w:t>
            </w:r>
          </w:p>
        </w:tc>
        <w:tc>
          <w:tcPr>
            <w:tcW w:w="2555" w:type="pct"/>
            <w:vAlign w:val="center"/>
          </w:tcPr>
          <w:p w14:paraId="7B7FDAA8">
            <w:pPr>
              <w:pStyle w:val="2"/>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1"/>
                <w:szCs w:val="21"/>
                <w:highlight w:val="none"/>
                <w:vertAlign w:val="baseline"/>
              </w:rPr>
            </w:pPr>
            <w:r>
              <w:rPr>
                <w:rFonts w:hint="eastAsia" w:ascii="宋体" w:hAnsi="宋体" w:eastAsia="宋体" w:cs="宋体"/>
                <w:sz w:val="21"/>
                <w:szCs w:val="21"/>
                <w:highlight w:val="none"/>
                <w:vertAlign w:val="baseline"/>
              </w:rPr>
              <w:t>缺漏关键内容（如检验方法、数据）</w:t>
            </w:r>
          </w:p>
        </w:tc>
        <w:tc>
          <w:tcPr>
            <w:tcW w:w="625" w:type="pct"/>
            <w:vMerge w:val="continue"/>
            <w:vAlign w:val="center"/>
          </w:tcPr>
          <w:p w14:paraId="336C1C15">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rPr>
            </w:pPr>
          </w:p>
        </w:tc>
      </w:tr>
      <w:tr w14:paraId="3AA73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pct"/>
            <w:vMerge w:val="continue"/>
            <w:vAlign w:val="center"/>
          </w:tcPr>
          <w:p w14:paraId="772C7576">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rPr>
            </w:pPr>
          </w:p>
        </w:tc>
        <w:tc>
          <w:tcPr>
            <w:tcW w:w="1042" w:type="pct"/>
            <w:vAlign w:val="center"/>
          </w:tcPr>
          <w:p w14:paraId="545C10B4">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数据准确性</w:t>
            </w:r>
          </w:p>
        </w:tc>
        <w:tc>
          <w:tcPr>
            <w:tcW w:w="2555" w:type="pct"/>
            <w:vAlign w:val="center"/>
          </w:tcPr>
          <w:p w14:paraId="658B87EF">
            <w:pPr>
              <w:pStyle w:val="2"/>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1"/>
                <w:szCs w:val="21"/>
                <w:highlight w:val="none"/>
                <w:vertAlign w:val="baseline"/>
              </w:rPr>
            </w:pPr>
            <w:r>
              <w:rPr>
                <w:rFonts w:hint="eastAsia" w:ascii="宋体" w:hAnsi="宋体" w:eastAsia="宋体" w:cs="宋体"/>
                <w:sz w:val="21"/>
                <w:szCs w:val="21"/>
                <w:highlight w:val="none"/>
                <w:vertAlign w:val="baseline"/>
              </w:rPr>
              <w:t>数据错误或结论不科学每处</w:t>
            </w:r>
            <w:r>
              <w:rPr>
                <w:rFonts w:hint="eastAsia" w:ascii="宋体" w:hAnsi="宋体" w:eastAsia="宋体" w:cs="宋体"/>
                <w:sz w:val="21"/>
                <w:szCs w:val="21"/>
                <w:highlight w:val="none"/>
                <w:vertAlign w:val="baseline"/>
                <w:lang w:eastAsia="zh-CN"/>
              </w:rPr>
              <w:t>，</w:t>
            </w:r>
            <w:r>
              <w:rPr>
                <w:rFonts w:hint="eastAsia" w:ascii="宋体" w:hAnsi="宋体" w:eastAsia="宋体" w:cs="宋体"/>
                <w:sz w:val="21"/>
                <w:szCs w:val="21"/>
                <w:highlight w:val="none"/>
                <w:vertAlign w:val="baseline"/>
              </w:rPr>
              <w:t>导致案件复议</w:t>
            </w:r>
          </w:p>
        </w:tc>
        <w:tc>
          <w:tcPr>
            <w:tcW w:w="625" w:type="pct"/>
            <w:vMerge w:val="continue"/>
            <w:vAlign w:val="center"/>
          </w:tcPr>
          <w:p w14:paraId="565D6D10">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rPr>
            </w:pPr>
          </w:p>
        </w:tc>
      </w:tr>
      <w:tr w14:paraId="320DB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pct"/>
            <w:vMerge w:val="continue"/>
            <w:vAlign w:val="center"/>
          </w:tcPr>
          <w:p w14:paraId="113C971A">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rPr>
            </w:pPr>
          </w:p>
        </w:tc>
        <w:tc>
          <w:tcPr>
            <w:tcW w:w="1042" w:type="pct"/>
            <w:vAlign w:val="center"/>
          </w:tcPr>
          <w:p w14:paraId="2E6019B1">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rPr>
              <w:t>合规性</w:t>
            </w:r>
          </w:p>
        </w:tc>
        <w:tc>
          <w:tcPr>
            <w:tcW w:w="2555" w:type="pct"/>
            <w:vAlign w:val="center"/>
          </w:tcPr>
          <w:p w14:paraId="6976A7A7">
            <w:pPr>
              <w:pStyle w:val="2"/>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1"/>
                <w:szCs w:val="21"/>
                <w:highlight w:val="none"/>
                <w:vertAlign w:val="baseline"/>
              </w:rPr>
            </w:pPr>
            <w:r>
              <w:rPr>
                <w:rFonts w:hint="eastAsia" w:ascii="宋体" w:hAnsi="宋体" w:eastAsia="宋体" w:cs="宋体"/>
                <w:sz w:val="21"/>
                <w:szCs w:val="21"/>
                <w:highlight w:val="none"/>
                <w:vertAlign w:val="baseline"/>
                <w:lang w:val="en-US" w:eastAsia="zh-CN"/>
              </w:rPr>
              <w:t>明显</w:t>
            </w:r>
            <w:r>
              <w:rPr>
                <w:rFonts w:hint="eastAsia" w:ascii="宋体" w:hAnsi="宋体" w:eastAsia="宋体" w:cs="宋体"/>
                <w:sz w:val="21"/>
                <w:szCs w:val="21"/>
                <w:highlight w:val="none"/>
                <w:vertAlign w:val="baseline"/>
              </w:rPr>
              <w:t>不符合法律法规或行业标准</w:t>
            </w:r>
          </w:p>
        </w:tc>
        <w:tc>
          <w:tcPr>
            <w:tcW w:w="625" w:type="pct"/>
            <w:vMerge w:val="continue"/>
            <w:vAlign w:val="center"/>
          </w:tcPr>
          <w:p w14:paraId="2A2491D0">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rPr>
            </w:pPr>
          </w:p>
        </w:tc>
      </w:tr>
      <w:tr w14:paraId="128991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pct"/>
            <w:vMerge w:val="restart"/>
            <w:vAlign w:val="center"/>
          </w:tcPr>
          <w:p w14:paraId="736228A2">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rPr>
            </w:pPr>
            <w:r>
              <w:rPr>
                <w:rFonts w:hint="eastAsia" w:ascii="宋体" w:hAnsi="宋体" w:eastAsia="宋体" w:cs="宋体"/>
                <w:sz w:val="21"/>
                <w:szCs w:val="21"/>
                <w:highlight w:val="none"/>
                <w:vertAlign w:val="baseline"/>
              </w:rPr>
              <w:t>服务</w:t>
            </w:r>
          </w:p>
        </w:tc>
        <w:tc>
          <w:tcPr>
            <w:tcW w:w="1042" w:type="pct"/>
            <w:shd w:val="clear" w:color="auto" w:fill="auto"/>
            <w:vAlign w:val="center"/>
          </w:tcPr>
          <w:p w14:paraId="7F7F29DA">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vertAlign w:val="baseline"/>
              </w:rPr>
              <w:t>对接专人落实</w:t>
            </w:r>
          </w:p>
        </w:tc>
        <w:tc>
          <w:tcPr>
            <w:tcW w:w="2555" w:type="pct"/>
            <w:shd w:val="clear" w:color="auto" w:fill="auto"/>
            <w:vAlign w:val="center"/>
          </w:tcPr>
          <w:p w14:paraId="6AFFAD72">
            <w:pPr>
              <w:pStyle w:val="2"/>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vertAlign w:val="baseline"/>
              </w:rPr>
              <w:t>未指定专人对接</w:t>
            </w:r>
            <w:r>
              <w:rPr>
                <w:rFonts w:hint="eastAsia" w:ascii="宋体" w:hAnsi="宋体" w:eastAsia="宋体" w:cs="宋体"/>
                <w:sz w:val="21"/>
                <w:szCs w:val="21"/>
                <w:highlight w:val="none"/>
                <w:vertAlign w:val="baseline"/>
                <w:lang w:eastAsia="zh-CN"/>
              </w:rPr>
              <w:t>，</w:t>
            </w:r>
            <w:r>
              <w:rPr>
                <w:rFonts w:hint="eastAsia" w:ascii="宋体" w:hAnsi="宋体" w:eastAsia="宋体" w:cs="宋体"/>
                <w:sz w:val="21"/>
                <w:szCs w:val="21"/>
                <w:highlight w:val="none"/>
                <w:vertAlign w:val="baseline"/>
              </w:rPr>
              <w:t>更换未报备</w:t>
            </w:r>
            <w:r>
              <w:rPr>
                <w:rFonts w:hint="eastAsia" w:ascii="宋体" w:hAnsi="宋体" w:eastAsia="宋体" w:cs="宋体"/>
                <w:sz w:val="21"/>
                <w:szCs w:val="21"/>
                <w:highlight w:val="none"/>
                <w:vertAlign w:val="baseline"/>
                <w:lang w:eastAsia="zh-CN"/>
              </w:rPr>
              <w:t>，</w:t>
            </w:r>
            <w:r>
              <w:rPr>
                <w:rFonts w:hint="eastAsia" w:ascii="宋体" w:hAnsi="宋体" w:eastAsia="宋体" w:cs="宋体"/>
                <w:sz w:val="21"/>
                <w:szCs w:val="21"/>
                <w:highlight w:val="none"/>
                <w:vertAlign w:val="baseline"/>
                <w:lang w:val="en-US" w:eastAsia="zh-CN"/>
              </w:rPr>
              <w:t>每发生一次扣5分。</w:t>
            </w:r>
          </w:p>
        </w:tc>
        <w:tc>
          <w:tcPr>
            <w:tcW w:w="625" w:type="pct"/>
            <w:vMerge w:val="continue"/>
            <w:vAlign w:val="center"/>
          </w:tcPr>
          <w:p w14:paraId="4FFB622C">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rPr>
            </w:pPr>
          </w:p>
        </w:tc>
      </w:tr>
      <w:tr w14:paraId="42E5E4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775" w:type="pct"/>
            <w:vMerge w:val="continue"/>
            <w:vAlign w:val="center"/>
          </w:tcPr>
          <w:p w14:paraId="72A9836B">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rPr>
            </w:pPr>
          </w:p>
        </w:tc>
        <w:tc>
          <w:tcPr>
            <w:tcW w:w="1042" w:type="pct"/>
            <w:vAlign w:val="center"/>
          </w:tcPr>
          <w:p w14:paraId="51A549D2">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鉴定人员</w:t>
            </w:r>
          </w:p>
        </w:tc>
        <w:tc>
          <w:tcPr>
            <w:tcW w:w="2555" w:type="pct"/>
            <w:vAlign w:val="center"/>
          </w:tcPr>
          <w:p w14:paraId="1A8F8ABA">
            <w:pPr>
              <w:pStyle w:val="2"/>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rPr>
              <w:t>检验鉴定小组</w:t>
            </w:r>
            <w:r>
              <w:rPr>
                <w:rFonts w:hint="eastAsia" w:ascii="宋体" w:hAnsi="宋体" w:eastAsia="宋体" w:cs="宋体"/>
                <w:sz w:val="21"/>
                <w:szCs w:val="21"/>
                <w:highlight w:val="none"/>
                <w:lang w:val="en-US" w:eastAsia="zh-CN"/>
              </w:rPr>
              <w:t>未按规定派遣</w:t>
            </w:r>
            <w:r>
              <w:rPr>
                <w:rFonts w:hint="eastAsia" w:ascii="宋体" w:hAnsi="宋体" w:eastAsia="宋体" w:cs="宋体"/>
                <w:sz w:val="21"/>
                <w:szCs w:val="21"/>
                <w:highlight w:val="none"/>
              </w:rPr>
              <w:t>2名技术人员</w:t>
            </w:r>
            <w:r>
              <w:rPr>
                <w:rFonts w:hint="eastAsia" w:ascii="宋体" w:hAnsi="宋体" w:eastAsia="宋体" w:cs="宋体"/>
                <w:sz w:val="21"/>
                <w:szCs w:val="21"/>
                <w:highlight w:val="none"/>
                <w:lang w:val="en-US" w:eastAsia="zh-CN"/>
              </w:rPr>
              <w:t>进行的，</w:t>
            </w:r>
            <w:r>
              <w:rPr>
                <w:rFonts w:hint="eastAsia" w:ascii="宋体" w:hAnsi="宋体" w:eastAsia="宋体" w:cs="宋体"/>
                <w:sz w:val="21"/>
                <w:szCs w:val="21"/>
                <w:highlight w:val="none"/>
                <w:vertAlign w:val="baseline"/>
                <w:lang w:val="en-US" w:eastAsia="zh-CN"/>
              </w:rPr>
              <w:t>每发生一次扣10分</w:t>
            </w:r>
          </w:p>
        </w:tc>
        <w:tc>
          <w:tcPr>
            <w:tcW w:w="625" w:type="pct"/>
            <w:vMerge w:val="continue"/>
            <w:vAlign w:val="center"/>
          </w:tcPr>
          <w:p w14:paraId="2F8E3E00">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rPr>
            </w:pPr>
          </w:p>
        </w:tc>
      </w:tr>
      <w:tr w14:paraId="04C45E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775" w:type="pct"/>
            <w:vMerge w:val="continue"/>
            <w:vAlign w:val="center"/>
          </w:tcPr>
          <w:p w14:paraId="0A3015A9">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rPr>
            </w:pPr>
          </w:p>
        </w:tc>
        <w:tc>
          <w:tcPr>
            <w:tcW w:w="1042" w:type="pct"/>
            <w:vAlign w:val="center"/>
          </w:tcPr>
          <w:p w14:paraId="00B51936">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反馈及时性</w:t>
            </w:r>
          </w:p>
        </w:tc>
        <w:tc>
          <w:tcPr>
            <w:tcW w:w="2555" w:type="pct"/>
            <w:vAlign w:val="center"/>
          </w:tcPr>
          <w:p w14:paraId="2EE082A2">
            <w:pPr>
              <w:pStyle w:val="2"/>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对于无法正常鉴定的项目未及时反馈的，每发生一次扣10分。</w:t>
            </w:r>
          </w:p>
        </w:tc>
        <w:tc>
          <w:tcPr>
            <w:tcW w:w="625" w:type="pct"/>
            <w:vMerge w:val="continue"/>
            <w:vAlign w:val="center"/>
          </w:tcPr>
          <w:p w14:paraId="06B89CC5">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lang w:val="en-US" w:eastAsia="zh-CN"/>
              </w:rPr>
            </w:pPr>
          </w:p>
        </w:tc>
      </w:tr>
    </w:tbl>
    <w:p w14:paraId="54AE597A">
      <w:pPr>
        <w:pStyle w:val="2"/>
        <w:keepNext w:val="0"/>
        <w:keepLines w:val="0"/>
        <w:pageBreakBefore w:val="0"/>
        <w:widowControl w:val="0"/>
        <w:numPr>
          <w:ilvl w:val="0"/>
          <w:numId w:val="5"/>
        </w:numPr>
        <w:kinsoku/>
        <w:wordWrap/>
        <w:overflowPunct/>
        <w:topLinePunct w:val="0"/>
        <w:autoSpaceDE/>
        <w:autoSpaceDN/>
        <w:bidi w:val="0"/>
        <w:adjustRightInd/>
        <w:snapToGrid/>
        <w:spacing w:line="360" w:lineRule="auto"/>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综合评分与结果应用</w:t>
      </w:r>
    </w:p>
    <w:tbl>
      <w:tblPr>
        <w:tblStyle w:val="2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53"/>
        <w:gridCol w:w="1121"/>
        <w:gridCol w:w="7064"/>
      </w:tblGrid>
      <w:tr w14:paraId="4183B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3" w:type="pct"/>
            <w:vAlign w:val="center"/>
          </w:tcPr>
          <w:p w14:paraId="7AE74CD8">
            <w:pPr>
              <w:pStyle w:val="3"/>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总分范围</w:t>
            </w:r>
          </w:p>
        </w:tc>
        <w:tc>
          <w:tcPr>
            <w:tcW w:w="553" w:type="pct"/>
            <w:vAlign w:val="center"/>
          </w:tcPr>
          <w:p w14:paraId="7AD2C52F">
            <w:pPr>
              <w:pStyle w:val="3"/>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评级</w:t>
            </w:r>
          </w:p>
        </w:tc>
        <w:tc>
          <w:tcPr>
            <w:tcW w:w="3483" w:type="pct"/>
            <w:vAlign w:val="center"/>
          </w:tcPr>
          <w:p w14:paraId="0A3570F1">
            <w:pPr>
              <w:pStyle w:val="3"/>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奖惩措施</w:t>
            </w:r>
          </w:p>
        </w:tc>
      </w:tr>
      <w:tr w14:paraId="01511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3" w:type="pct"/>
            <w:vAlign w:val="center"/>
          </w:tcPr>
          <w:p w14:paraId="509CAF4E">
            <w:pPr>
              <w:pStyle w:val="3"/>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≥90分</w:t>
            </w:r>
          </w:p>
        </w:tc>
        <w:tc>
          <w:tcPr>
            <w:tcW w:w="553" w:type="pct"/>
            <w:vAlign w:val="center"/>
          </w:tcPr>
          <w:p w14:paraId="0420F20D">
            <w:pPr>
              <w:pStyle w:val="3"/>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优秀</w:t>
            </w:r>
          </w:p>
        </w:tc>
        <w:tc>
          <w:tcPr>
            <w:tcW w:w="3483" w:type="pct"/>
            <w:vAlign w:val="center"/>
          </w:tcPr>
          <w:p w14:paraId="5A3A90DD">
            <w:pPr>
              <w:pStyle w:val="3"/>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全额结算服务款</w:t>
            </w:r>
          </w:p>
        </w:tc>
      </w:tr>
      <w:tr w14:paraId="76E78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3" w:type="pct"/>
            <w:vAlign w:val="center"/>
          </w:tcPr>
          <w:p w14:paraId="40FE6285">
            <w:pPr>
              <w:pStyle w:val="3"/>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70-89分</w:t>
            </w:r>
          </w:p>
        </w:tc>
        <w:tc>
          <w:tcPr>
            <w:tcW w:w="553" w:type="pct"/>
            <w:vAlign w:val="center"/>
          </w:tcPr>
          <w:p w14:paraId="353C144A">
            <w:pPr>
              <w:pStyle w:val="3"/>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良好</w:t>
            </w:r>
          </w:p>
        </w:tc>
        <w:tc>
          <w:tcPr>
            <w:tcW w:w="3483" w:type="pct"/>
            <w:vAlign w:val="center"/>
          </w:tcPr>
          <w:p w14:paraId="54D9EA70">
            <w:pPr>
              <w:pStyle w:val="3"/>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扣除当季服务款10%，书面整改要求</w:t>
            </w:r>
          </w:p>
        </w:tc>
      </w:tr>
      <w:tr w14:paraId="7C780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3" w:type="pct"/>
            <w:vAlign w:val="center"/>
          </w:tcPr>
          <w:p w14:paraId="7B04FCC4">
            <w:pPr>
              <w:pStyle w:val="3"/>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＜70分</w:t>
            </w:r>
          </w:p>
        </w:tc>
        <w:tc>
          <w:tcPr>
            <w:tcW w:w="553" w:type="pct"/>
            <w:vAlign w:val="center"/>
          </w:tcPr>
          <w:p w14:paraId="45B52117">
            <w:pPr>
              <w:pStyle w:val="3"/>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不合格</w:t>
            </w:r>
          </w:p>
        </w:tc>
        <w:tc>
          <w:tcPr>
            <w:tcW w:w="3483" w:type="pct"/>
            <w:vAlign w:val="center"/>
          </w:tcPr>
          <w:p w14:paraId="03ABBD9B">
            <w:pPr>
              <w:pStyle w:val="3"/>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vertAlign w:val="baseline"/>
                <w:lang w:val="en-US" w:eastAsia="zh-CN"/>
              </w:rPr>
            </w:pPr>
            <w:r>
              <w:rPr>
                <w:rFonts w:hint="eastAsia" w:ascii="宋体" w:hAnsi="宋体" w:eastAsia="宋体" w:cs="宋体"/>
                <w:sz w:val="21"/>
                <w:szCs w:val="21"/>
                <w:highlight w:val="none"/>
                <w:vertAlign w:val="baseline"/>
                <w:lang w:val="en-US" w:eastAsia="zh-CN"/>
              </w:rPr>
              <w:t>扣除当季服务款30%，暂停服务并整改</w:t>
            </w:r>
          </w:p>
        </w:tc>
      </w:tr>
    </w:tbl>
    <w:p w14:paraId="00445D10">
      <w:pPr>
        <w:keepNext w:val="0"/>
        <w:keepLines w:val="0"/>
        <w:pageBreakBefore w:val="0"/>
        <w:kinsoku/>
        <w:wordWrap/>
        <w:overflowPunct/>
        <w:topLinePunct w:val="0"/>
        <w:autoSpaceDE/>
        <w:autoSpaceDN/>
        <w:bidi w:val="0"/>
        <w:adjustRightInd/>
        <w:spacing w:line="360" w:lineRule="auto"/>
        <w:textAlignment w:val="auto"/>
        <w:rPr>
          <w:rFonts w:hint="eastAsia" w:ascii="宋体" w:hAnsi="宋体" w:eastAsia="宋体" w:cs="宋体"/>
          <w:b/>
          <w:bCs/>
          <w:color w:val="000000"/>
          <w:sz w:val="21"/>
          <w:szCs w:val="21"/>
          <w:highlight w:val="none"/>
          <w:lang w:val="en-US" w:eastAsia="zh-CN"/>
        </w:rPr>
      </w:pPr>
      <w:r>
        <w:rPr>
          <w:rFonts w:hint="eastAsia" w:ascii="宋体" w:hAnsi="宋体" w:eastAsia="宋体" w:cs="宋体"/>
          <w:b/>
          <w:bCs/>
          <w:color w:val="000000"/>
          <w:sz w:val="21"/>
          <w:szCs w:val="21"/>
          <w:highlight w:val="none"/>
          <w:lang w:val="en-US" w:eastAsia="zh-CN"/>
        </w:rPr>
        <w:br w:type="page"/>
      </w:r>
    </w:p>
    <w:p w14:paraId="6891A935">
      <w:pPr>
        <w:keepNext w:val="0"/>
        <w:keepLines w:val="0"/>
        <w:pageBreakBefore w:val="0"/>
        <w:widowControl w:val="0"/>
        <w:kinsoku/>
        <w:wordWrap/>
        <w:overflowPunct/>
        <w:topLinePunct w:val="0"/>
        <w:autoSpaceDE/>
        <w:autoSpaceDN/>
        <w:bidi w:val="0"/>
        <w:adjustRightInd/>
        <w:spacing w:line="360" w:lineRule="auto"/>
        <w:jc w:val="center"/>
        <w:textAlignment w:val="auto"/>
        <w:outlineLvl w:val="0"/>
        <w:rPr>
          <w:rFonts w:hint="eastAsia" w:ascii="宋体" w:hAnsi="宋体" w:cs="宋体"/>
          <w:b/>
          <w:sz w:val="28"/>
          <w:szCs w:val="28"/>
          <w:highlight w:val="none"/>
        </w:rPr>
      </w:pPr>
      <w:r>
        <w:rPr>
          <w:rFonts w:hint="eastAsia" w:ascii="宋体" w:hAnsi="宋体" w:cs="宋体"/>
          <w:b/>
          <w:sz w:val="28"/>
          <w:szCs w:val="28"/>
          <w:highlight w:val="none"/>
        </w:rPr>
        <w:t xml:space="preserve">第六章  </w:t>
      </w:r>
      <w:r>
        <w:rPr>
          <w:rFonts w:hint="eastAsia" w:ascii="宋体" w:hAnsi="宋体" w:cs="宋体"/>
          <w:b/>
          <w:sz w:val="28"/>
          <w:szCs w:val="28"/>
          <w:highlight w:val="none"/>
          <w:lang w:val="en-US" w:eastAsia="zh-CN"/>
        </w:rPr>
        <w:t>响应</w:t>
      </w:r>
      <w:r>
        <w:rPr>
          <w:rFonts w:hint="eastAsia" w:ascii="宋体" w:hAnsi="宋体" w:cs="宋体"/>
          <w:b/>
          <w:sz w:val="28"/>
          <w:szCs w:val="28"/>
          <w:highlight w:val="none"/>
        </w:rPr>
        <w:t>文件组成</w:t>
      </w:r>
    </w:p>
    <w:p w14:paraId="25A95F3E">
      <w:pPr>
        <w:keepNext w:val="0"/>
        <w:keepLines w:val="0"/>
        <w:pageBreakBefore w:val="0"/>
        <w:widowControl w:val="0"/>
        <w:kinsoku/>
        <w:wordWrap/>
        <w:overflowPunct/>
        <w:topLinePunct w:val="0"/>
        <w:autoSpaceDE/>
        <w:autoSpaceDN/>
        <w:bidi w:val="0"/>
        <w:adjustRightInd/>
        <w:snapToGrid/>
        <w:spacing w:line="360" w:lineRule="auto"/>
        <w:ind w:firstLine="422" w:firstLineChars="200"/>
        <w:jc w:val="left"/>
        <w:textAlignment w:val="auto"/>
        <w:outlineLvl w:val="9"/>
        <w:rPr>
          <w:rFonts w:hint="eastAsia" w:ascii="宋体" w:hAnsi="宋体" w:eastAsia="宋体" w:cs="宋体"/>
          <w:b/>
          <w:sz w:val="21"/>
          <w:szCs w:val="21"/>
          <w:highlight w:val="none"/>
        </w:rPr>
      </w:pPr>
      <w:r>
        <w:rPr>
          <w:rFonts w:hint="eastAsia" w:ascii="宋体" w:hAnsi="宋体" w:cs="宋体"/>
          <w:b/>
          <w:sz w:val="21"/>
          <w:szCs w:val="21"/>
          <w:highlight w:val="none"/>
        </w:rPr>
        <w:t>响应文件由磋商报价文件、资格证明文件、</w:t>
      </w:r>
      <w:r>
        <w:rPr>
          <w:rFonts w:hint="eastAsia" w:ascii="宋体" w:hAnsi="宋体" w:eastAsia="宋体" w:cs="宋体"/>
          <w:b/>
          <w:sz w:val="21"/>
          <w:szCs w:val="21"/>
          <w:highlight w:val="none"/>
        </w:rPr>
        <w:t>商务文件、技术文件组成。响应文件中涉及的有关内容均须提供合法有效的证明材料复印件。（复印件未加盖公章作无效处理，特别注明的除外，有▲标识的条款为必须提交的资料）</w:t>
      </w:r>
    </w:p>
    <w:p w14:paraId="75879560">
      <w:pPr>
        <w:keepNext w:val="0"/>
        <w:keepLines w:val="0"/>
        <w:pageBreakBefore w:val="0"/>
        <w:widowControl w:val="0"/>
        <w:kinsoku/>
        <w:wordWrap/>
        <w:overflowPunct/>
        <w:topLinePunct w:val="0"/>
        <w:autoSpaceDE/>
        <w:autoSpaceDN/>
        <w:bidi w:val="0"/>
        <w:adjustRightInd/>
        <w:snapToGrid w:val="0"/>
        <w:spacing w:line="360" w:lineRule="auto"/>
        <w:textAlignment w:val="auto"/>
        <w:outlineLvl w:val="1"/>
        <w:rPr>
          <w:rFonts w:hint="eastAsia" w:ascii="宋体" w:hAnsi="宋体" w:eastAsia="宋体" w:cs="宋体"/>
          <w:b/>
          <w:szCs w:val="21"/>
          <w:highlight w:val="none"/>
        </w:rPr>
      </w:pPr>
      <w:r>
        <w:rPr>
          <w:rFonts w:hint="eastAsia" w:ascii="宋体" w:hAnsi="宋体" w:eastAsia="宋体" w:cs="宋体"/>
          <w:b/>
          <w:szCs w:val="21"/>
          <w:highlight w:val="none"/>
        </w:rPr>
        <w:t>▲1、磋商报价文件部分</w:t>
      </w:r>
    </w:p>
    <w:p w14:paraId="35D44CB1">
      <w:pPr>
        <w:keepNext w:val="0"/>
        <w:keepLines w:val="0"/>
        <w:pageBreakBefore w:val="0"/>
        <w:widowControl w:val="0"/>
        <w:kinsoku/>
        <w:wordWrap/>
        <w:overflowPunct/>
        <w:topLinePunct w:val="0"/>
        <w:autoSpaceDE/>
        <w:autoSpaceDN/>
        <w:bidi w:val="0"/>
        <w:adjustRightInd/>
        <w:snapToGrid w:val="0"/>
        <w:spacing w:line="360" w:lineRule="auto"/>
        <w:ind w:firstLine="422" w:firstLineChars="200"/>
        <w:textAlignment w:val="auto"/>
        <w:rPr>
          <w:rFonts w:hint="eastAsia" w:ascii="宋体" w:hAnsi="宋体" w:eastAsia="宋体" w:cs="宋体"/>
          <w:b/>
          <w:szCs w:val="21"/>
          <w:highlight w:val="none"/>
        </w:rPr>
      </w:pPr>
      <w:r>
        <w:rPr>
          <w:rFonts w:hint="eastAsia" w:ascii="宋体" w:hAnsi="宋体" w:eastAsia="宋体" w:cs="宋体"/>
          <w:b/>
          <w:szCs w:val="21"/>
          <w:highlight w:val="none"/>
        </w:rPr>
        <w:t>（磋商报价信息不得出现在资格证明、商务、技术文件中，否则将导致投标无效。）</w:t>
      </w:r>
    </w:p>
    <w:p w14:paraId="18C2464A">
      <w:pPr>
        <w:keepNext w:val="0"/>
        <w:keepLines w:val="0"/>
        <w:pageBreakBefore w:val="0"/>
        <w:widowControl w:val="0"/>
        <w:kinsoku/>
        <w:wordWrap/>
        <w:overflowPunct/>
        <w:topLinePunct w:val="0"/>
        <w:autoSpaceDE/>
        <w:autoSpaceDN/>
        <w:bidi w:val="0"/>
        <w:adjustRightInd/>
        <w:snapToGrid w:val="0"/>
        <w:spacing w:line="360" w:lineRule="auto"/>
        <w:ind w:firstLine="422" w:firstLineChars="200"/>
        <w:textAlignment w:val="auto"/>
        <w:rPr>
          <w:rFonts w:hint="eastAsia" w:ascii="宋体" w:hAnsi="宋体" w:eastAsia="宋体" w:cs="宋体"/>
          <w:b/>
          <w:szCs w:val="21"/>
          <w:highlight w:val="none"/>
        </w:rPr>
      </w:pPr>
      <w:r>
        <w:rPr>
          <w:rFonts w:hint="eastAsia" w:ascii="宋体" w:hAnsi="宋体" w:eastAsia="宋体" w:cs="宋体"/>
          <w:b/>
          <w:szCs w:val="21"/>
          <w:highlight w:val="none"/>
        </w:rPr>
        <w:t>1.1开标一览表；（格式一）</w:t>
      </w:r>
    </w:p>
    <w:p w14:paraId="52EE104E">
      <w:pPr>
        <w:keepNext w:val="0"/>
        <w:keepLines w:val="0"/>
        <w:pageBreakBefore w:val="0"/>
        <w:widowControl w:val="0"/>
        <w:kinsoku/>
        <w:wordWrap/>
        <w:overflowPunct/>
        <w:topLinePunct w:val="0"/>
        <w:autoSpaceDE/>
        <w:autoSpaceDN/>
        <w:bidi w:val="0"/>
        <w:adjustRightInd/>
        <w:snapToGrid w:val="0"/>
        <w:spacing w:line="360" w:lineRule="auto"/>
        <w:textAlignment w:val="auto"/>
        <w:outlineLvl w:val="1"/>
        <w:rPr>
          <w:rFonts w:hint="eastAsia" w:ascii="宋体" w:hAnsi="宋体" w:eastAsia="宋体" w:cs="宋体"/>
          <w:b/>
          <w:szCs w:val="21"/>
          <w:highlight w:val="none"/>
          <w:lang w:eastAsia="zh-CN"/>
        </w:rPr>
      </w:pPr>
      <w:r>
        <w:rPr>
          <w:rFonts w:hint="eastAsia" w:ascii="宋体" w:hAnsi="宋体" w:eastAsia="宋体" w:cs="宋体"/>
          <w:b/>
          <w:szCs w:val="21"/>
          <w:highlight w:val="none"/>
        </w:rPr>
        <w:t>▲2、</w:t>
      </w:r>
      <w:r>
        <w:rPr>
          <w:rFonts w:hint="eastAsia" w:ascii="宋体" w:hAnsi="宋体" w:eastAsia="宋体" w:cs="宋体"/>
          <w:b/>
          <w:color w:val="auto"/>
          <w:szCs w:val="21"/>
          <w:highlight w:val="none"/>
        </w:rPr>
        <w:t>资格证明文件部分</w:t>
      </w:r>
    </w:p>
    <w:p w14:paraId="34376FBA">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lang w:val="en-US" w:eastAsia="zh-CN"/>
        </w:rPr>
        <w:t>2.1</w:t>
      </w:r>
      <w:r>
        <w:rPr>
          <w:rFonts w:hint="eastAsia" w:ascii="宋体" w:hAnsi="宋体" w:eastAsia="宋体" w:cs="宋体"/>
          <w:b w:val="0"/>
          <w:bCs/>
          <w:szCs w:val="21"/>
          <w:highlight w:val="none"/>
        </w:rPr>
        <w:t>享受</w:t>
      </w:r>
      <w:r>
        <w:rPr>
          <w:rFonts w:hint="eastAsia" w:ascii="宋体" w:hAnsi="宋体" w:eastAsia="宋体" w:cs="宋体"/>
          <w:b w:val="0"/>
          <w:bCs/>
          <w:szCs w:val="21"/>
          <w:highlight w:val="none"/>
          <w:lang w:val="en-US" w:eastAsia="zh-CN"/>
        </w:rPr>
        <w:t>中小企业预留份额</w:t>
      </w:r>
      <w:r>
        <w:rPr>
          <w:rFonts w:hint="eastAsia" w:ascii="宋体" w:hAnsi="宋体" w:eastAsia="宋体" w:cs="宋体"/>
          <w:b w:val="0"/>
          <w:bCs/>
          <w:szCs w:val="21"/>
          <w:highlight w:val="none"/>
        </w:rPr>
        <w:t>政策相关证明文件</w:t>
      </w:r>
      <w:r>
        <w:rPr>
          <w:rFonts w:hint="eastAsia" w:ascii="宋体" w:hAnsi="宋体" w:eastAsia="宋体" w:cs="宋体"/>
          <w:b w:val="0"/>
          <w:bCs/>
          <w:sz w:val="21"/>
          <w:szCs w:val="21"/>
          <w:highlight w:val="none"/>
        </w:rPr>
        <w:t>（符合以下三个子项中的任意一项要求即可）</w:t>
      </w:r>
      <w:r>
        <w:rPr>
          <w:rFonts w:hint="eastAsia" w:ascii="宋体" w:hAnsi="宋体" w:eastAsia="宋体" w:cs="宋体"/>
          <w:b w:val="0"/>
          <w:bCs/>
          <w:sz w:val="21"/>
          <w:szCs w:val="21"/>
          <w:highlight w:val="none"/>
          <w:lang w:eastAsia="zh-CN"/>
        </w:rPr>
        <w:t>；</w:t>
      </w:r>
    </w:p>
    <w:p w14:paraId="6949AE42">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lang w:val="en-US" w:eastAsia="zh-CN"/>
        </w:rPr>
        <w:t>2.1</w:t>
      </w:r>
      <w:r>
        <w:rPr>
          <w:rFonts w:hint="eastAsia" w:ascii="宋体" w:hAnsi="宋体" w:eastAsia="宋体" w:cs="宋体"/>
          <w:b w:val="0"/>
          <w:bCs/>
          <w:sz w:val="21"/>
          <w:szCs w:val="21"/>
          <w:highlight w:val="none"/>
        </w:rPr>
        <w:t>.1小微企业：《中小企业声明函》</w:t>
      </w:r>
      <w:r>
        <w:rPr>
          <w:rFonts w:hint="eastAsia" w:ascii="宋体" w:hAnsi="宋体" w:cs="宋体"/>
          <w:b w:val="0"/>
          <w:bCs/>
          <w:sz w:val="21"/>
          <w:szCs w:val="21"/>
          <w:highlight w:val="none"/>
          <w:lang w:eastAsia="zh-CN"/>
        </w:rPr>
        <w:t>；</w:t>
      </w:r>
      <w:r>
        <w:rPr>
          <w:rFonts w:hint="eastAsia" w:ascii="宋体" w:hAnsi="宋体" w:eastAsia="宋体" w:cs="宋体"/>
          <w:b w:val="0"/>
          <w:bCs/>
          <w:sz w:val="21"/>
          <w:szCs w:val="21"/>
          <w:highlight w:val="none"/>
        </w:rPr>
        <w:t>（格式</w:t>
      </w:r>
      <w:r>
        <w:rPr>
          <w:rFonts w:hint="eastAsia" w:ascii="宋体" w:hAnsi="宋体" w:cs="宋体"/>
          <w:b w:val="0"/>
          <w:bCs/>
          <w:sz w:val="21"/>
          <w:szCs w:val="21"/>
          <w:highlight w:val="none"/>
          <w:lang w:val="en-US" w:eastAsia="zh-CN"/>
        </w:rPr>
        <w:t>二</w:t>
      </w:r>
      <w:r>
        <w:rPr>
          <w:rFonts w:hint="eastAsia" w:ascii="宋体" w:hAnsi="宋体" w:eastAsia="宋体" w:cs="宋体"/>
          <w:b w:val="0"/>
          <w:bCs/>
          <w:sz w:val="21"/>
          <w:szCs w:val="21"/>
          <w:highlight w:val="none"/>
        </w:rPr>
        <w:t>）</w:t>
      </w:r>
    </w:p>
    <w:p w14:paraId="17BC4847">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lang w:val="en-US" w:eastAsia="zh-CN"/>
        </w:rPr>
        <w:t>2.1</w:t>
      </w:r>
      <w:r>
        <w:rPr>
          <w:rFonts w:hint="eastAsia" w:ascii="宋体" w:hAnsi="宋体" w:eastAsia="宋体" w:cs="宋体"/>
          <w:b w:val="0"/>
          <w:bCs/>
          <w:sz w:val="21"/>
          <w:szCs w:val="21"/>
          <w:highlight w:val="none"/>
        </w:rPr>
        <w:t>.2监狱企业：由省级以上监狱管理局、戒毒管理局（含新疆生产建设兵团）出具的属于监狱企业的证明文件</w:t>
      </w:r>
      <w:r>
        <w:rPr>
          <w:rFonts w:hint="eastAsia" w:ascii="宋体" w:hAnsi="宋体" w:cs="宋体"/>
          <w:b w:val="0"/>
          <w:bCs/>
          <w:sz w:val="21"/>
          <w:szCs w:val="21"/>
          <w:highlight w:val="none"/>
          <w:lang w:eastAsia="zh-CN"/>
        </w:rPr>
        <w:t>；</w:t>
      </w:r>
    </w:p>
    <w:p w14:paraId="438F29A3">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lang w:val="en-US" w:eastAsia="zh-CN"/>
        </w:rPr>
        <w:t>2.1</w:t>
      </w:r>
      <w:r>
        <w:rPr>
          <w:rFonts w:hint="eastAsia" w:ascii="宋体" w:hAnsi="宋体" w:eastAsia="宋体" w:cs="宋体"/>
          <w:b w:val="0"/>
          <w:bCs/>
          <w:sz w:val="21"/>
          <w:szCs w:val="21"/>
          <w:highlight w:val="none"/>
        </w:rPr>
        <w:t>.3残疾人福利性单位：《残疾人福利性单位声明函》</w:t>
      </w:r>
      <w:r>
        <w:rPr>
          <w:rFonts w:hint="eastAsia" w:ascii="宋体" w:hAnsi="宋体" w:cs="宋体"/>
          <w:b w:val="0"/>
          <w:bCs/>
          <w:sz w:val="21"/>
          <w:szCs w:val="21"/>
          <w:highlight w:val="none"/>
          <w:lang w:eastAsia="zh-CN"/>
        </w:rPr>
        <w:t>；</w:t>
      </w:r>
      <w:r>
        <w:rPr>
          <w:rFonts w:hint="eastAsia" w:ascii="宋体" w:hAnsi="宋体" w:eastAsia="宋体" w:cs="宋体"/>
          <w:b w:val="0"/>
          <w:bCs/>
          <w:sz w:val="21"/>
          <w:szCs w:val="21"/>
          <w:highlight w:val="none"/>
        </w:rPr>
        <w:t>（格式</w:t>
      </w:r>
      <w:r>
        <w:rPr>
          <w:rFonts w:hint="eastAsia" w:ascii="宋体" w:hAnsi="宋体" w:cs="宋体"/>
          <w:b w:val="0"/>
          <w:bCs/>
          <w:sz w:val="21"/>
          <w:szCs w:val="21"/>
          <w:highlight w:val="none"/>
          <w:lang w:val="en-US" w:eastAsia="zh-CN"/>
        </w:rPr>
        <w:t>三</w:t>
      </w:r>
      <w:r>
        <w:rPr>
          <w:rFonts w:hint="eastAsia" w:ascii="宋体" w:hAnsi="宋体" w:eastAsia="宋体" w:cs="宋体"/>
          <w:b w:val="0"/>
          <w:bCs/>
          <w:sz w:val="21"/>
          <w:szCs w:val="21"/>
          <w:highlight w:val="none"/>
        </w:rPr>
        <w:t>）</w:t>
      </w:r>
    </w:p>
    <w:p w14:paraId="7FD86ADF">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rPr>
        <w:t>2.</w:t>
      </w:r>
      <w:r>
        <w:rPr>
          <w:rFonts w:hint="eastAsia" w:ascii="宋体" w:hAnsi="宋体" w:eastAsia="宋体" w:cs="宋体"/>
          <w:b w:val="0"/>
          <w:bCs/>
          <w:sz w:val="21"/>
          <w:szCs w:val="21"/>
          <w:highlight w:val="none"/>
          <w:lang w:val="en-US" w:eastAsia="zh-CN"/>
        </w:rPr>
        <w:t>2响应</w:t>
      </w:r>
      <w:r>
        <w:rPr>
          <w:rFonts w:hint="eastAsia" w:ascii="宋体" w:hAnsi="宋体" w:eastAsia="宋体" w:cs="宋体"/>
          <w:b w:val="0"/>
          <w:bCs/>
          <w:sz w:val="21"/>
          <w:szCs w:val="21"/>
          <w:highlight w:val="none"/>
        </w:rPr>
        <w:t>人</w:t>
      </w:r>
      <w:r>
        <w:rPr>
          <w:rFonts w:hint="eastAsia" w:ascii="宋体" w:hAnsi="宋体" w:eastAsia="宋体" w:cs="宋体"/>
          <w:b w:val="0"/>
          <w:bCs/>
          <w:sz w:val="21"/>
          <w:szCs w:val="21"/>
          <w:highlight w:val="none"/>
          <w:lang w:val="en-US" w:eastAsia="zh-CN"/>
        </w:rPr>
        <w:t>具有独立承担民事责任的能力证明资料</w:t>
      </w:r>
      <w:r>
        <w:rPr>
          <w:rFonts w:hint="eastAsia" w:ascii="宋体" w:hAnsi="宋体" w:eastAsia="宋体" w:cs="宋体"/>
          <w:b w:val="0"/>
          <w:bCs/>
          <w:sz w:val="21"/>
          <w:szCs w:val="21"/>
          <w:highlight w:val="none"/>
          <w:lang w:eastAsia="zh-CN"/>
        </w:rPr>
        <w:t>：</w:t>
      </w:r>
      <w:r>
        <w:rPr>
          <w:rFonts w:hint="eastAsia" w:ascii="宋体" w:hAnsi="宋体" w:eastAsia="宋体" w:cs="宋体"/>
          <w:b w:val="0"/>
          <w:bCs/>
          <w:sz w:val="21"/>
          <w:szCs w:val="21"/>
          <w:highlight w:val="none"/>
          <w:lang w:val="en-US" w:eastAsia="zh-CN"/>
        </w:rPr>
        <w:t>投标人须在投标文件中出具符合以下情况的证明材料复印件（五选一）</w:t>
      </w:r>
    </w:p>
    <w:p w14:paraId="6C8AA1C6">
      <w:pPr>
        <w:keepNext w:val="0"/>
        <w:keepLines w:val="0"/>
        <w:pageBreakBefore w:val="0"/>
        <w:widowControl w:val="0"/>
        <w:kinsoku/>
        <w:wordWrap/>
        <w:overflowPunct/>
        <w:topLinePunct w:val="0"/>
        <w:autoSpaceDE/>
        <w:autoSpaceDN/>
        <w:bidi w:val="0"/>
        <w:adjustRightInd/>
        <w:snapToGrid w:val="0"/>
        <w:spacing w:line="360" w:lineRule="auto"/>
        <w:ind w:firstLine="415" w:firstLineChars="198"/>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a)如供应商是企业（包括合伙企业），提供在工商部门注册的有效“企业法人营业执照”或“营业执照”；</w:t>
      </w:r>
    </w:p>
    <w:p w14:paraId="1E4AFE09">
      <w:pPr>
        <w:keepNext w:val="0"/>
        <w:keepLines w:val="0"/>
        <w:pageBreakBefore w:val="0"/>
        <w:widowControl w:val="0"/>
        <w:kinsoku/>
        <w:wordWrap/>
        <w:overflowPunct/>
        <w:topLinePunct w:val="0"/>
        <w:autoSpaceDE/>
        <w:autoSpaceDN/>
        <w:bidi w:val="0"/>
        <w:adjustRightInd/>
        <w:snapToGrid w:val="0"/>
        <w:spacing w:line="360" w:lineRule="auto"/>
        <w:ind w:firstLine="415" w:firstLineChars="198"/>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b)如供应商是事业单位，提供有效的“事业单位法人证书”；</w:t>
      </w:r>
    </w:p>
    <w:p w14:paraId="6D6CAF67">
      <w:pPr>
        <w:keepNext w:val="0"/>
        <w:keepLines w:val="0"/>
        <w:pageBreakBefore w:val="0"/>
        <w:widowControl w:val="0"/>
        <w:kinsoku/>
        <w:wordWrap/>
        <w:overflowPunct/>
        <w:topLinePunct w:val="0"/>
        <w:autoSpaceDE/>
        <w:autoSpaceDN/>
        <w:bidi w:val="0"/>
        <w:adjustRightInd/>
        <w:snapToGrid w:val="0"/>
        <w:spacing w:line="360" w:lineRule="auto"/>
        <w:ind w:firstLine="415" w:firstLineChars="198"/>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c)如供应商是非企业专业服务机构的，提供执业许可证等证明文件；</w:t>
      </w:r>
    </w:p>
    <w:p w14:paraId="687A343B">
      <w:pPr>
        <w:keepNext w:val="0"/>
        <w:keepLines w:val="0"/>
        <w:pageBreakBefore w:val="0"/>
        <w:widowControl w:val="0"/>
        <w:kinsoku/>
        <w:wordWrap/>
        <w:overflowPunct/>
        <w:topLinePunct w:val="0"/>
        <w:autoSpaceDE/>
        <w:autoSpaceDN/>
        <w:bidi w:val="0"/>
        <w:adjustRightInd/>
        <w:snapToGrid w:val="0"/>
        <w:spacing w:line="360" w:lineRule="auto"/>
        <w:ind w:firstLine="415" w:firstLineChars="198"/>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d)如供应商是个体工商户，提供有效的“个体工商户营业执照”；</w:t>
      </w:r>
    </w:p>
    <w:p w14:paraId="58518A80">
      <w:pPr>
        <w:keepNext w:val="0"/>
        <w:keepLines w:val="0"/>
        <w:pageBreakBefore w:val="0"/>
        <w:widowControl w:val="0"/>
        <w:kinsoku/>
        <w:wordWrap/>
        <w:overflowPunct/>
        <w:topLinePunct w:val="0"/>
        <w:autoSpaceDE/>
        <w:autoSpaceDN/>
        <w:bidi w:val="0"/>
        <w:adjustRightInd/>
        <w:snapToGrid w:val="0"/>
        <w:spacing w:line="360" w:lineRule="auto"/>
        <w:ind w:firstLine="415" w:firstLineChars="198"/>
        <w:textAlignment w:val="auto"/>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lang w:val="en-US" w:eastAsia="zh-CN"/>
        </w:rPr>
        <w:t>e)如供应商是自然人，提供有效的自然人身份证明（居民身份证正反面或公安机关出具的临时居民身份证正反面或港澳台胞证或证照）。</w:t>
      </w:r>
    </w:p>
    <w:p w14:paraId="1F5E526A">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2.</w:t>
      </w:r>
      <w:r>
        <w:rPr>
          <w:rFonts w:hint="eastAsia" w:ascii="宋体" w:hAnsi="宋体" w:eastAsia="宋体" w:cs="宋体"/>
          <w:b w:val="0"/>
          <w:bCs/>
          <w:sz w:val="21"/>
          <w:szCs w:val="21"/>
          <w:highlight w:val="none"/>
          <w:lang w:val="en-US" w:eastAsia="zh-CN"/>
        </w:rPr>
        <w:t>3响应</w:t>
      </w:r>
      <w:r>
        <w:rPr>
          <w:rFonts w:hint="eastAsia" w:ascii="宋体" w:hAnsi="宋体" w:eastAsia="宋体" w:cs="宋体"/>
          <w:b w:val="0"/>
          <w:bCs/>
          <w:sz w:val="21"/>
          <w:szCs w:val="21"/>
          <w:highlight w:val="none"/>
        </w:rPr>
        <w:t>人法定代表人身份证复印件；</w:t>
      </w:r>
    </w:p>
    <w:p w14:paraId="37607398">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rPr>
        <w:t>2.</w:t>
      </w:r>
      <w:r>
        <w:rPr>
          <w:rFonts w:hint="eastAsia" w:ascii="宋体" w:hAnsi="宋体" w:eastAsia="宋体" w:cs="宋体"/>
          <w:b w:val="0"/>
          <w:bCs/>
          <w:sz w:val="21"/>
          <w:szCs w:val="21"/>
          <w:highlight w:val="none"/>
          <w:lang w:val="en-US" w:eastAsia="zh-CN"/>
        </w:rPr>
        <w:t>4</w:t>
      </w:r>
      <w:r>
        <w:rPr>
          <w:rFonts w:hint="eastAsia" w:ascii="宋体" w:hAnsi="宋体" w:eastAsia="宋体" w:cs="宋体"/>
          <w:b w:val="0"/>
          <w:bCs/>
          <w:sz w:val="21"/>
          <w:szCs w:val="21"/>
          <w:highlight w:val="none"/>
        </w:rPr>
        <w:t>投标函；</w:t>
      </w:r>
      <w:r>
        <w:rPr>
          <w:rFonts w:hint="eastAsia" w:ascii="宋体" w:hAnsi="宋体" w:eastAsia="宋体" w:cs="宋体"/>
          <w:b w:val="0"/>
          <w:bCs/>
          <w:sz w:val="21"/>
          <w:szCs w:val="21"/>
          <w:highlight w:val="none"/>
          <w:lang w:eastAsia="zh-CN"/>
        </w:rPr>
        <w:t>（</w:t>
      </w:r>
      <w:r>
        <w:rPr>
          <w:rFonts w:hint="eastAsia" w:ascii="宋体" w:hAnsi="宋体" w:eastAsia="宋体" w:cs="宋体"/>
          <w:b w:val="0"/>
          <w:bCs/>
          <w:sz w:val="21"/>
          <w:szCs w:val="21"/>
          <w:highlight w:val="none"/>
          <w:lang w:val="en-US" w:eastAsia="zh-CN"/>
        </w:rPr>
        <w:t>格式</w:t>
      </w:r>
      <w:r>
        <w:rPr>
          <w:rFonts w:hint="eastAsia" w:ascii="宋体" w:hAnsi="宋体" w:cs="宋体"/>
          <w:b w:val="0"/>
          <w:bCs/>
          <w:sz w:val="21"/>
          <w:szCs w:val="21"/>
          <w:highlight w:val="none"/>
          <w:lang w:val="en-US" w:eastAsia="zh-CN"/>
        </w:rPr>
        <w:t>四</w:t>
      </w:r>
      <w:r>
        <w:rPr>
          <w:rFonts w:hint="eastAsia" w:ascii="宋体" w:hAnsi="宋体" w:eastAsia="宋体" w:cs="宋体"/>
          <w:b w:val="0"/>
          <w:bCs/>
          <w:sz w:val="21"/>
          <w:szCs w:val="21"/>
          <w:highlight w:val="none"/>
          <w:lang w:eastAsia="zh-CN"/>
        </w:rPr>
        <w:t>）</w:t>
      </w:r>
    </w:p>
    <w:p w14:paraId="62FE8683">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b w:val="0"/>
          <w:bCs/>
          <w:sz w:val="21"/>
          <w:szCs w:val="21"/>
          <w:highlight w:val="none"/>
        </w:rPr>
      </w:pPr>
      <w:r>
        <w:rPr>
          <w:rFonts w:hint="eastAsia" w:ascii="宋体" w:hAnsi="宋体" w:eastAsia="宋体" w:cs="宋体"/>
          <w:b w:val="0"/>
          <w:bCs/>
          <w:sz w:val="21"/>
          <w:szCs w:val="21"/>
          <w:highlight w:val="none"/>
        </w:rPr>
        <w:t>2.</w:t>
      </w:r>
      <w:r>
        <w:rPr>
          <w:rFonts w:hint="eastAsia" w:ascii="宋体" w:hAnsi="宋体" w:eastAsia="宋体" w:cs="宋体"/>
          <w:b w:val="0"/>
          <w:bCs/>
          <w:sz w:val="21"/>
          <w:szCs w:val="21"/>
          <w:highlight w:val="none"/>
          <w:lang w:val="en-US" w:eastAsia="zh-CN"/>
        </w:rPr>
        <w:t>5</w:t>
      </w:r>
      <w:r>
        <w:rPr>
          <w:rFonts w:hint="eastAsia" w:ascii="宋体" w:hAnsi="宋体" w:eastAsia="宋体" w:cs="宋体"/>
          <w:b w:val="0"/>
          <w:bCs/>
          <w:sz w:val="21"/>
          <w:szCs w:val="21"/>
          <w:highlight w:val="none"/>
        </w:rPr>
        <w:t>法定代表人授权函，非法定代表人参加</w:t>
      </w:r>
      <w:r>
        <w:rPr>
          <w:rFonts w:hint="eastAsia" w:ascii="宋体" w:hAnsi="宋体" w:eastAsia="宋体" w:cs="宋体"/>
          <w:b w:val="0"/>
          <w:bCs/>
          <w:sz w:val="21"/>
          <w:szCs w:val="21"/>
          <w:highlight w:val="none"/>
          <w:lang w:val="en-US" w:eastAsia="zh-CN"/>
        </w:rPr>
        <w:t>磋商</w:t>
      </w:r>
      <w:r>
        <w:rPr>
          <w:rFonts w:hint="eastAsia" w:ascii="宋体" w:hAnsi="宋体" w:eastAsia="宋体" w:cs="宋体"/>
          <w:b w:val="0"/>
          <w:bCs/>
          <w:sz w:val="21"/>
          <w:szCs w:val="21"/>
          <w:highlight w:val="none"/>
        </w:rPr>
        <w:t>时提供；</w:t>
      </w:r>
      <w:r>
        <w:rPr>
          <w:rFonts w:hint="eastAsia" w:ascii="宋体" w:hAnsi="宋体" w:eastAsia="宋体" w:cs="宋体"/>
          <w:b w:val="0"/>
          <w:bCs/>
          <w:sz w:val="21"/>
          <w:szCs w:val="21"/>
          <w:highlight w:val="none"/>
          <w:lang w:eastAsia="zh-CN"/>
        </w:rPr>
        <w:t>（</w:t>
      </w:r>
      <w:r>
        <w:rPr>
          <w:rFonts w:hint="eastAsia" w:ascii="宋体" w:hAnsi="宋体" w:eastAsia="宋体" w:cs="宋体"/>
          <w:b w:val="0"/>
          <w:bCs/>
          <w:sz w:val="21"/>
          <w:szCs w:val="21"/>
          <w:highlight w:val="none"/>
          <w:lang w:val="en-US" w:eastAsia="zh-CN"/>
        </w:rPr>
        <w:t>格式</w:t>
      </w:r>
      <w:r>
        <w:rPr>
          <w:rFonts w:hint="eastAsia" w:ascii="宋体" w:hAnsi="宋体" w:cs="宋体"/>
          <w:b w:val="0"/>
          <w:bCs/>
          <w:sz w:val="21"/>
          <w:szCs w:val="21"/>
          <w:highlight w:val="none"/>
          <w:lang w:val="en-US" w:eastAsia="zh-CN"/>
        </w:rPr>
        <w:t>五</w:t>
      </w:r>
      <w:r>
        <w:rPr>
          <w:rFonts w:hint="eastAsia" w:ascii="宋体" w:hAnsi="宋体" w:eastAsia="宋体" w:cs="宋体"/>
          <w:b w:val="0"/>
          <w:bCs/>
          <w:sz w:val="21"/>
          <w:szCs w:val="21"/>
          <w:highlight w:val="none"/>
          <w:lang w:eastAsia="zh-CN"/>
        </w:rPr>
        <w:t>）</w:t>
      </w:r>
    </w:p>
    <w:p w14:paraId="0D38A843">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9"/>
        <w:rPr>
          <w:rFonts w:hint="eastAsia" w:ascii="宋体" w:hAnsi="宋体" w:eastAsia="宋体" w:cs="宋体"/>
          <w:b w:val="0"/>
          <w:bCs/>
          <w:sz w:val="21"/>
          <w:szCs w:val="21"/>
          <w:highlight w:val="none"/>
          <w:lang w:eastAsia="zh-CN"/>
        </w:rPr>
      </w:pPr>
      <w:r>
        <w:rPr>
          <w:rFonts w:hint="eastAsia" w:ascii="宋体" w:hAnsi="宋体" w:eastAsia="宋体" w:cs="宋体"/>
          <w:b w:val="0"/>
          <w:bCs/>
          <w:sz w:val="21"/>
          <w:szCs w:val="21"/>
          <w:highlight w:val="none"/>
        </w:rPr>
        <w:t>2.</w:t>
      </w:r>
      <w:r>
        <w:rPr>
          <w:rFonts w:hint="eastAsia" w:ascii="宋体" w:hAnsi="宋体" w:eastAsia="宋体" w:cs="宋体"/>
          <w:b w:val="0"/>
          <w:bCs/>
          <w:sz w:val="21"/>
          <w:szCs w:val="21"/>
          <w:highlight w:val="none"/>
          <w:lang w:val="en-US" w:eastAsia="zh-CN"/>
        </w:rPr>
        <w:t>6响应</w:t>
      </w:r>
      <w:r>
        <w:rPr>
          <w:rFonts w:hint="eastAsia" w:ascii="宋体" w:hAnsi="宋体" w:eastAsia="宋体" w:cs="宋体"/>
          <w:b w:val="0"/>
          <w:bCs/>
          <w:sz w:val="21"/>
          <w:szCs w:val="21"/>
          <w:highlight w:val="none"/>
        </w:rPr>
        <w:t>人代表身份证复印件，非法定代表人参加</w:t>
      </w:r>
      <w:r>
        <w:rPr>
          <w:rFonts w:hint="eastAsia" w:ascii="宋体" w:hAnsi="宋体" w:eastAsia="宋体" w:cs="宋体"/>
          <w:b w:val="0"/>
          <w:bCs/>
          <w:sz w:val="21"/>
          <w:szCs w:val="21"/>
          <w:highlight w:val="none"/>
          <w:lang w:val="en-US" w:eastAsia="zh-CN"/>
        </w:rPr>
        <w:t>磋商</w:t>
      </w:r>
      <w:r>
        <w:rPr>
          <w:rFonts w:hint="eastAsia" w:ascii="宋体" w:hAnsi="宋体" w:eastAsia="宋体" w:cs="宋体"/>
          <w:b w:val="0"/>
          <w:bCs/>
          <w:sz w:val="21"/>
          <w:szCs w:val="21"/>
          <w:highlight w:val="none"/>
        </w:rPr>
        <w:t>时提供</w:t>
      </w:r>
      <w:r>
        <w:rPr>
          <w:rFonts w:hint="eastAsia" w:ascii="宋体" w:hAnsi="宋体" w:eastAsia="宋体" w:cs="宋体"/>
          <w:b w:val="0"/>
          <w:bCs/>
          <w:sz w:val="21"/>
          <w:szCs w:val="21"/>
          <w:highlight w:val="none"/>
          <w:lang w:eastAsia="zh-CN"/>
        </w:rPr>
        <w:t>；</w:t>
      </w:r>
    </w:p>
    <w:p w14:paraId="741419C3">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9"/>
        <w:rPr>
          <w:rFonts w:hint="default"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2.7响应</w:t>
      </w:r>
      <w:r>
        <w:rPr>
          <w:rFonts w:hint="eastAsia" w:ascii="宋体" w:hAnsi="宋体" w:eastAsia="宋体" w:cs="宋体"/>
          <w:b w:val="0"/>
          <w:bCs/>
          <w:sz w:val="21"/>
          <w:szCs w:val="21"/>
          <w:highlight w:val="none"/>
        </w:rPr>
        <w:t>人</w:t>
      </w:r>
      <w:r>
        <w:rPr>
          <w:rFonts w:hint="eastAsia" w:ascii="宋体" w:hAnsi="宋体" w:eastAsia="宋体" w:cs="宋体"/>
          <w:b w:val="0"/>
          <w:bCs/>
          <w:sz w:val="21"/>
          <w:szCs w:val="21"/>
          <w:highlight w:val="none"/>
          <w:lang w:val="en-US" w:eastAsia="zh-CN"/>
        </w:rPr>
        <w:t>特定资质：具备物证类鉴定（痕迹鉴定.机动车痕迹鉴定）资质，资质中必须包含：021101车辆安全技术状况鉴定、021103交通事故痕迹鉴定、021104车辆速度鉴定、021105交通事故痕迹物证综合鉴定四项子分类。</w:t>
      </w:r>
    </w:p>
    <w:p w14:paraId="303AEF78">
      <w:pPr>
        <w:keepNext w:val="0"/>
        <w:keepLines w:val="0"/>
        <w:pageBreakBefore w:val="0"/>
        <w:widowControl w:val="0"/>
        <w:kinsoku/>
        <w:wordWrap/>
        <w:overflowPunct/>
        <w:topLinePunct w:val="0"/>
        <w:autoSpaceDE/>
        <w:autoSpaceDN/>
        <w:bidi w:val="0"/>
        <w:adjustRightInd/>
        <w:snapToGrid w:val="0"/>
        <w:spacing w:line="360" w:lineRule="auto"/>
        <w:textAlignment w:val="auto"/>
        <w:outlineLvl w:val="1"/>
        <w:rPr>
          <w:rFonts w:hint="eastAsia" w:ascii="宋体" w:hAnsi="宋体" w:eastAsia="宋体" w:cs="宋体"/>
          <w:b/>
          <w:szCs w:val="21"/>
          <w:highlight w:val="none"/>
        </w:rPr>
      </w:pPr>
      <w:r>
        <w:rPr>
          <w:rFonts w:hint="eastAsia" w:ascii="宋体" w:hAnsi="宋体" w:eastAsia="宋体" w:cs="宋体"/>
          <w:b/>
          <w:szCs w:val="21"/>
          <w:highlight w:val="none"/>
        </w:rPr>
        <w:t>3、商务技术文件部分</w:t>
      </w:r>
    </w:p>
    <w:p w14:paraId="0C203FBE">
      <w:pPr>
        <w:keepNext w:val="0"/>
        <w:keepLines w:val="0"/>
        <w:pageBreakBefore w:val="0"/>
        <w:widowControl w:val="0"/>
        <w:kinsoku/>
        <w:wordWrap/>
        <w:overflowPunct/>
        <w:topLinePunct w:val="0"/>
        <w:autoSpaceDE/>
        <w:autoSpaceDN/>
        <w:bidi w:val="0"/>
        <w:adjustRightInd/>
        <w:snapToGrid w:val="0"/>
        <w:spacing w:line="360" w:lineRule="auto"/>
        <w:ind w:firstLine="415" w:firstLineChars="198"/>
        <w:textAlignment w:val="auto"/>
        <w:rPr>
          <w:rFonts w:hint="eastAsia" w:ascii="宋体" w:hAnsi="宋体" w:eastAsia="宋体" w:cs="宋体"/>
          <w:szCs w:val="21"/>
          <w:highlight w:val="none"/>
        </w:rPr>
      </w:pPr>
      <w:r>
        <w:rPr>
          <w:rFonts w:hint="eastAsia" w:ascii="宋体" w:hAnsi="宋体" w:eastAsia="宋体" w:cs="宋体"/>
          <w:szCs w:val="21"/>
          <w:highlight w:val="none"/>
        </w:rPr>
        <w:t>3.1评分标准页码索引；</w:t>
      </w:r>
    </w:p>
    <w:p w14:paraId="246ADFC7">
      <w:pPr>
        <w:keepNext w:val="0"/>
        <w:keepLines w:val="0"/>
        <w:pageBreakBefore w:val="0"/>
        <w:widowControl w:val="0"/>
        <w:kinsoku/>
        <w:wordWrap/>
        <w:overflowPunct/>
        <w:topLinePunct w:val="0"/>
        <w:autoSpaceDE/>
        <w:autoSpaceDN/>
        <w:bidi w:val="0"/>
        <w:adjustRightInd/>
        <w:snapToGrid w:val="0"/>
        <w:spacing w:line="360" w:lineRule="auto"/>
        <w:ind w:firstLine="415" w:firstLineChars="198"/>
        <w:textAlignment w:val="auto"/>
        <w:rPr>
          <w:rFonts w:hint="eastAsia" w:ascii="宋体" w:hAnsi="宋体" w:eastAsia="宋体" w:cs="宋体"/>
          <w:szCs w:val="21"/>
          <w:highlight w:val="none"/>
        </w:rPr>
      </w:pPr>
      <w:r>
        <w:rPr>
          <w:rFonts w:hint="eastAsia" w:ascii="宋体" w:hAnsi="宋体" w:eastAsia="宋体" w:cs="宋体"/>
          <w:szCs w:val="21"/>
          <w:highlight w:val="none"/>
        </w:rPr>
        <w:t>3.</w:t>
      </w:r>
      <w:r>
        <w:rPr>
          <w:rFonts w:hint="eastAsia" w:ascii="宋体" w:hAnsi="宋体" w:cs="宋体"/>
          <w:szCs w:val="21"/>
          <w:highlight w:val="none"/>
          <w:lang w:val="en-US" w:eastAsia="zh-CN"/>
        </w:rPr>
        <w:t>2</w:t>
      </w:r>
      <w:r>
        <w:rPr>
          <w:rFonts w:hint="eastAsia" w:ascii="宋体" w:hAnsi="宋体" w:eastAsia="宋体" w:cs="宋体"/>
          <w:szCs w:val="21"/>
          <w:highlight w:val="none"/>
        </w:rPr>
        <w:t>按评分标准依序提供相关材料、方案；（格式</w:t>
      </w:r>
      <w:r>
        <w:rPr>
          <w:rFonts w:hint="eastAsia" w:ascii="宋体" w:hAnsi="宋体" w:cs="宋体"/>
          <w:szCs w:val="21"/>
          <w:highlight w:val="none"/>
          <w:lang w:val="en-US" w:eastAsia="zh-CN"/>
        </w:rPr>
        <w:t>六</w:t>
      </w:r>
      <w:r>
        <w:rPr>
          <w:rFonts w:hint="eastAsia" w:ascii="宋体" w:hAnsi="宋体" w:eastAsia="宋体" w:cs="宋体"/>
          <w:szCs w:val="21"/>
          <w:highlight w:val="none"/>
        </w:rPr>
        <w:t>-</w:t>
      </w:r>
      <w:r>
        <w:rPr>
          <w:rFonts w:hint="eastAsia" w:ascii="宋体" w:hAnsi="宋体" w:cs="宋体"/>
          <w:szCs w:val="21"/>
          <w:highlight w:val="none"/>
          <w:lang w:val="en-US" w:eastAsia="zh-CN"/>
        </w:rPr>
        <w:t>九</w:t>
      </w:r>
      <w:r>
        <w:rPr>
          <w:rFonts w:hint="eastAsia" w:ascii="宋体" w:hAnsi="宋体" w:eastAsia="宋体" w:cs="宋体"/>
          <w:szCs w:val="21"/>
          <w:highlight w:val="none"/>
        </w:rPr>
        <w:t>）</w:t>
      </w:r>
    </w:p>
    <w:p w14:paraId="398E1ECF">
      <w:pPr>
        <w:keepNext w:val="0"/>
        <w:keepLines w:val="0"/>
        <w:pageBreakBefore w:val="0"/>
        <w:widowControl w:val="0"/>
        <w:kinsoku/>
        <w:wordWrap/>
        <w:overflowPunct/>
        <w:topLinePunct w:val="0"/>
        <w:autoSpaceDE/>
        <w:autoSpaceDN/>
        <w:bidi w:val="0"/>
        <w:adjustRightInd/>
        <w:snapToGrid w:val="0"/>
        <w:spacing w:line="360" w:lineRule="auto"/>
        <w:ind w:firstLine="415" w:firstLineChars="198"/>
        <w:jc w:val="both"/>
        <w:textAlignment w:val="auto"/>
        <w:rPr>
          <w:rFonts w:ascii="宋体" w:hAnsi="宋体" w:cs="宋体"/>
          <w:b/>
          <w:sz w:val="28"/>
          <w:szCs w:val="28"/>
          <w:highlight w:val="none"/>
        </w:rPr>
      </w:pPr>
      <w:r>
        <w:rPr>
          <w:rFonts w:hint="eastAsia" w:ascii="宋体" w:hAnsi="宋体" w:eastAsia="宋体" w:cs="宋体"/>
          <w:szCs w:val="21"/>
          <w:highlight w:val="none"/>
        </w:rPr>
        <w:t>3.</w:t>
      </w:r>
      <w:r>
        <w:rPr>
          <w:rFonts w:hint="eastAsia" w:ascii="宋体" w:hAnsi="宋体" w:cs="宋体"/>
          <w:szCs w:val="21"/>
          <w:highlight w:val="none"/>
          <w:lang w:val="en-US" w:eastAsia="zh-CN"/>
        </w:rPr>
        <w:t>3</w:t>
      </w:r>
      <w:r>
        <w:rPr>
          <w:rFonts w:hint="eastAsia" w:ascii="宋体" w:hAnsi="宋体" w:eastAsia="宋体" w:cs="宋体"/>
          <w:szCs w:val="21"/>
          <w:highlight w:val="none"/>
        </w:rPr>
        <w:t>本</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rPr>
        <w:t>文件要求提供的和投标人认为需要提供的其它说明和资料/文件。</w:t>
      </w:r>
      <w:r>
        <w:rPr>
          <w:rFonts w:hint="eastAsia" w:ascii="宋体" w:hAnsi="宋体" w:eastAsia="宋体" w:cs="宋体"/>
          <w:b/>
          <w:bCs/>
          <w:szCs w:val="21"/>
          <w:highlight w:val="none"/>
        </w:rPr>
        <w:br w:type="page"/>
      </w:r>
    </w:p>
    <w:p w14:paraId="6444213A">
      <w:pPr>
        <w:pageBreakBefore w:val="0"/>
        <w:kinsoku/>
        <w:wordWrap/>
        <w:overflowPunct/>
        <w:topLinePunct w:val="0"/>
        <w:bidi w:val="0"/>
        <w:snapToGrid w:val="0"/>
        <w:spacing w:before="50" w:after="50" w:line="360" w:lineRule="auto"/>
        <w:jc w:val="center"/>
        <w:outlineLvl w:val="1"/>
        <w:rPr>
          <w:rFonts w:hint="default" w:ascii="宋体" w:hAnsi="宋体" w:eastAsia="宋体" w:cs="宋体"/>
          <w:b/>
          <w:spacing w:val="20"/>
          <w:sz w:val="28"/>
          <w:szCs w:val="28"/>
          <w:highlight w:val="none"/>
          <w:lang w:val="en-US" w:eastAsia="zh-CN"/>
        </w:rPr>
      </w:pPr>
      <w:r>
        <w:rPr>
          <w:rFonts w:hint="eastAsia" w:ascii="宋体" w:hAnsi="宋体" w:cs="宋体"/>
          <w:b/>
          <w:spacing w:val="20"/>
          <w:sz w:val="28"/>
          <w:szCs w:val="28"/>
          <w:highlight w:val="none"/>
          <w:lang w:val="en-US" w:eastAsia="zh-CN"/>
        </w:rPr>
        <w:t>响应文件格式</w:t>
      </w:r>
    </w:p>
    <w:p w14:paraId="4D8B9CDA">
      <w:pPr>
        <w:pageBreakBefore w:val="0"/>
        <w:kinsoku/>
        <w:wordWrap/>
        <w:overflowPunct/>
        <w:topLinePunct w:val="0"/>
        <w:bidi w:val="0"/>
        <w:snapToGrid w:val="0"/>
        <w:spacing w:before="50" w:after="50" w:line="360" w:lineRule="auto"/>
        <w:outlineLvl w:val="9"/>
        <w:rPr>
          <w:rFonts w:hint="eastAsia" w:ascii="宋体" w:hAnsi="宋体" w:cs="宋体"/>
          <w:b/>
          <w:spacing w:val="20"/>
          <w:sz w:val="21"/>
          <w:szCs w:val="21"/>
          <w:highlight w:val="none"/>
        </w:rPr>
      </w:pPr>
    </w:p>
    <w:p w14:paraId="6FCD9484">
      <w:pPr>
        <w:pageBreakBefore w:val="0"/>
        <w:kinsoku/>
        <w:wordWrap/>
        <w:overflowPunct/>
        <w:topLinePunct w:val="0"/>
        <w:bidi w:val="0"/>
        <w:snapToGrid w:val="0"/>
        <w:spacing w:before="50" w:after="50" w:line="360" w:lineRule="auto"/>
        <w:outlineLvl w:val="2"/>
        <w:rPr>
          <w:rFonts w:ascii="宋体" w:hAnsi="宋体" w:cs="宋体"/>
          <w:b/>
          <w:spacing w:val="20"/>
          <w:sz w:val="21"/>
          <w:szCs w:val="21"/>
          <w:highlight w:val="none"/>
        </w:rPr>
      </w:pPr>
      <w:r>
        <w:rPr>
          <w:rFonts w:hint="eastAsia" w:ascii="宋体" w:hAnsi="宋体" w:cs="宋体"/>
          <w:b/>
          <w:spacing w:val="20"/>
          <w:sz w:val="21"/>
          <w:szCs w:val="21"/>
          <w:highlight w:val="none"/>
        </w:rPr>
        <w:t>格式一、开标一览表</w:t>
      </w:r>
    </w:p>
    <w:tbl>
      <w:tblPr>
        <w:tblStyle w:val="28"/>
        <w:tblW w:w="500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682"/>
        <w:gridCol w:w="8268"/>
      </w:tblGrid>
      <w:tr w14:paraId="2A0AF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34" w:hRule="atLeast"/>
          <w:jc w:val="center"/>
        </w:trPr>
        <w:tc>
          <w:tcPr>
            <w:tcW w:w="845" w:type="pct"/>
            <w:vAlign w:val="center"/>
          </w:tcPr>
          <w:p w14:paraId="194F3A47">
            <w:pPr>
              <w:keepNext w:val="0"/>
              <w:keepLines w:val="0"/>
              <w:pageBreakBefore w:val="0"/>
              <w:suppressLineNumbers w:val="0"/>
              <w:kinsoku/>
              <w:wordWrap/>
              <w:overflowPunct/>
              <w:topLinePunct w:val="0"/>
              <w:bidi w:val="0"/>
              <w:spacing w:before="240" w:beforeAutospacing="0" w:after="240" w:afterAutospacing="0" w:line="360" w:lineRule="auto"/>
              <w:ind w:left="0" w:right="0"/>
              <w:jc w:val="center"/>
              <w:rPr>
                <w:rFonts w:hint="default" w:ascii="宋体" w:hAnsi="宋体" w:cs="宋体"/>
                <w:sz w:val="21"/>
                <w:szCs w:val="21"/>
                <w:highlight w:val="none"/>
              </w:rPr>
            </w:pPr>
            <w:r>
              <w:rPr>
                <w:rFonts w:hint="eastAsia" w:ascii="宋体" w:hAnsi="宋体" w:cs="宋体"/>
                <w:sz w:val="21"/>
                <w:szCs w:val="21"/>
                <w:highlight w:val="none"/>
              </w:rPr>
              <w:t>项目名称</w:t>
            </w:r>
          </w:p>
        </w:tc>
        <w:tc>
          <w:tcPr>
            <w:tcW w:w="4154" w:type="pct"/>
            <w:vAlign w:val="center"/>
          </w:tcPr>
          <w:p w14:paraId="330247A7">
            <w:pPr>
              <w:keepNext w:val="0"/>
              <w:keepLines w:val="0"/>
              <w:pageBreakBefore w:val="0"/>
              <w:suppressLineNumbers w:val="0"/>
              <w:kinsoku/>
              <w:wordWrap/>
              <w:overflowPunct/>
              <w:topLinePunct w:val="0"/>
              <w:bidi w:val="0"/>
              <w:spacing w:before="240" w:beforeAutospacing="0" w:after="240" w:afterAutospacing="0" w:line="360" w:lineRule="auto"/>
              <w:ind w:left="0" w:right="0"/>
              <w:jc w:val="center"/>
              <w:rPr>
                <w:rFonts w:hint="eastAsia" w:ascii="宋体" w:hAnsi="宋体" w:eastAsia="宋体" w:cs="宋体"/>
                <w:b/>
                <w:sz w:val="21"/>
                <w:szCs w:val="21"/>
                <w:highlight w:val="none"/>
                <w:lang w:eastAsia="zh-CN"/>
              </w:rPr>
            </w:pPr>
            <w:r>
              <w:rPr>
                <w:rFonts w:hint="eastAsia" w:ascii="宋体" w:hAnsi="宋体" w:eastAsia="宋体" w:cs="宋体"/>
                <w:b w:val="0"/>
                <w:bCs/>
                <w:sz w:val="21"/>
                <w:szCs w:val="21"/>
                <w:highlight w:val="none"/>
                <w:lang w:eastAsia="zh-CN"/>
              </w:rPr>
              <w:t>2025年舟山交警司法鉴定服务项目</w:t>
            </w:r>
          </w:p>
        </w:tc>
      </w:tr>
      <w:tr w14:paraId="620A6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34" w:hRule="atLeast"/>
          <w:jc w:val="center"/>
        </w:trPr>
        <w:tc>
          <w:tcPr>
            <w:tcW w:w="845" w:type="pct"/>
            <w:vAlign w:val="center"/>
          </w:tcPr>
          <w:p w14:paraId="48124A49">
            <w:pPr>
              <w:keepNext w:val="0"/>
              <w:keepLines w:val="0"/>
              <w:pageBreakBefore w:val="0"/>
              <w:suppressLineNumbers w:val="0"/>
              <w:kinsoku/>
              <w:wordWrap/>
              <w:overflowPunct/>
              <w:topLinePunct w:val="0"/>
              <w:bidi w:val="0"/>
              <w:spacing w:before="240" w:beforeAutospacing="0" w:after="240" w:afterAutospacing="0" w:line="360" w:lineRule="auto"/>
              <w:ind w:left="0" w:right="0"/>
              <w:jc w:val="center"/>
              <w:rPr>
                <w:rFonts w:hint="default" w:ascii="宋体" w:hAnsi="宋体" w:cs="宋体"/>
                <w:sz w:val="21"/>
                <w:szCs w:val="21"/>
                <w:highlight w:val="none"/>
              </w:rPr>
            </w:pPr>
            <w:r>
              <w:rPr>
                <w:rFonts w:hint="eastAsia" w:ascii="宋体" w:hAnsi="宋体" w:cs="宋体"/>
                <w:sz w:val="21"/>
                <w:szCs w:val="21"/>
                <w:highlight w:val="none"/>
              </w:rPr>
              <w:t>投标内容</w:t>
            </w:r>
          </w:p>
        </w:tc>
        <w:tc>
          <w:tcPr>
            <w:tcW w:w="4154" w:type="pct"/>
            <w:vAlign w:val="center"/>
          </w:tcPr>
          <w:p w14:paraId="49B9E7B0">
            <w:pPr>
              <w:keepNext w:val="0"/>
              <w:keepLines w:val="0"/>
              <w:pageBreakBefore w:val="0"/>
              <w:suppressLineNumbers w:val="0"/>
              <w:kinsoku/>
              <w:wordWrap/>
              <w:overflowPunct/>
              <w:topLinePunct w:val="0"/>
              <w:bidi w:val="0"/>
              <w:spacing w:before="240" w:beforeAutospacing="0" w:after="240" w:afterAutospacing="0" w:line="360" w:lineRule="auto"/>
              <w:ind w:left="0" w:right="0"/>
              <w:jc w:val="center"/>
              <w:rPr>
                <w:rFonts w:hint="default" w:ascii="宋体" w:hAnsi="宋体" w:cs="宋体"/>
                <w:sz w:val="21"/>
                <w:szCs w:val="21"/>
                <w:highlight w:val="none"/>
                <w:lang w:val="en-US"/>
              </w:rPr>
            </w:pPr>
            <w:r>
              <w:rPr>
                <w:rFonts w:hint="eastAsia" w:ascii="宋体" w:hAnsi="宋体" w:eastAsia="宋体" w:cs="宋体"/>
                <w:b w:val="0"/>
                <w:bCs/>
                <w:sz w:val="21"/>
                <w:szCs w:val="21"/>
                <w:highlight w:val="none"/>
                <w:lang w:eastAsia="zh-CN"/>
              </w:rPr>
              <w:t>司法鉴定服务</w:t>
            </w:r>
          </w:p>
        </w:tc>
      </w:tr>
      <w:tr w14:paraId="379420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34" w:hRule="atLeast"/>
          <w:jc w:val="center"/>
        </w:trPr>
        <w:tc>
          <w:tcPr>
            <w:tcW w:w="845" w:type="pct"/>
            <w:vAlign w:val="center"/>
          </w:tcPr>
          <w:p w14:paraId="1ECF74E8">
            <w:pPr>
              <w:keepNext w:val="0"/>
              <w:keepLines w:val="0"/>
              <w:pageBreakBefore w:val="0"/>
              <w:kinsoku/>
              <w:wordWrap/>
              <w:overflowPunct/>
              <w:topLinePunct w:val="0"/>
              <w:bidi w:val="0"/>
              <w:spacing w:before="240" w:after="240" w:line="360" w:lineRule="auto"/>
              <w:jc w:val="center"/>
              <w:rPr>
                <w:rFonts w:hint="default" w:ascii="宋体" w:hAnsi="宋体" w:cs="宋体"/>
                <w:sz w:val="21"/>
                <w:szCs w:val="21"/>
                <w:highlight w:val="none"/>
              </w:rPr>
            </w:pPr>
            <w:r>
              <w:rPr>
                <w:rFonts w:hint="eastAsia" w:ascii="宋体" w:hAnsi="宋体" w:cs="宋体"/>
                <w:sz w:val="21"/>
                <w:szCs w:val="21"/>
                <w:highlight w:val="none"/>
                <w:lang w:val="en-US" w:eastAsia="zh-CN"/>
              </w:rPr>
              <w:t>折扣率</w:t>
            </w:r>
            <w:r>
              <w:rPr>
                <w:rFonts w:hint="eastAsia" w:ascii="宋体" w:hAnsi="宋体" w:cs="宋体"/>
                <w:sz w:val="21"/>
                <w:szCs w:val="21"/>
                <w:highlight w:val="none"/>
              </w:rPr>
              <w:t>（</w:t>
            </w:r>
            <w:r>
              <w:rPr>
                <w:rFonts w:hint="eastAsia" w:ascii="宋体" w:hAnsi="宋体" w:cs="宋体"/>
                <w:sz w:val="21"/>
                <w:szCs w:val="21"/>
                <w:highlight w:val="none"/>
                <w:lang w:eastAsia="zh-CN"/>
              </w:rPr>
              <w:t>%</w:t>
            </w:r>
            <w:r>
              <w:rPr>
                <w:rFonts w:hint="eastAsia" w:ascii="宋体" w:hAnsi="宋体" w:cs="宋体"/>
                <w:sz w:val="21"/>
                <w:szCs w:val="21"/>
                <w:highlight w:val="none"/>
              </w:rPr>
              <w:t>）</w:t>
            </w:r>
          </w:p>
        </w:tc>
        <w:tc>
          <w:tcPr>
            <w:tcW w:w="4154" w:type="pct"/>
            <w:vAlign w:val="center"/>
          </w:tcPr>
          <w:p w14:paraId="2313A872">
            <w:pPr>
              <w:keepNext w:val="0"/>
              <w:keepLines w:val="0"/>
              <w:pageBreakBefore w:val="0"/>
              <w:kinsoku/>
              <w:wordWrap/>
              <w:overflowPunct/>
              <w:topLinePunct w:val="0"/>
              <w:bidi w:val="0"/>
              <w:spacing w:before="240" w:after="240" w:line="360" w:lineRule="auto"/>
              <w:jc w:val="center"/>
              <w:rPr>
                <w:rFonts w:hint="eastAsia" w:ascii="宋体" w:hAnsi="宋体" w:cs="宋体"/>
                <w:sz w:val="21"/>
                <w:szCs w:val="21"/>
                <w:highlight w:val="none"/>
              </w:rPr>
            </w:pPr>
            <w:r>
              <w:rPr>
                <w:rFonts w:hint="eastAsia" w:ascii="宋体" w:hAnsi="宋体" w:cs="宋体"/>
                <w:szCs w:val="21"/>
                <w:highlight w:val="none"/>
                <w:u w:val="single"/>
              </w:rPr>
              <w:t xml:space="preserve">          </w:t>
            </w:r>
            <w:r>
              <w:rPr>
                <w:rFonts w:hint="eastAsia" w:ascii="宋体" w:hAnsi="宋体" w:cs="宋体"/>
                <w:szCs w:val="21"/>
                <w:highlight w:val="none"/>
              </w:rPr>
              <w:t>%</w:t>
            </w:r>
          </w:p>
        </w:tc>
      </w:tr>
    </w:tbl>
    <w:p w14:paraId="3A7D7C1D">
      <w:pPr>
        <w:pageBreakBefore w:val="0"/>
        <w:kinsoku/>
        <w:wordWrap/>
        <w:overflowPunct/>
        <w:topLinePunct w:val="0"/>
        <w:bidi w:val="0"/>
        <w:spacing w:line="360" w:lineRule="auto"/>
        <w:ind w:firstLine="514" w:firstLineChars="245"/>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 xml:space="preserve">  </w:t>
      </w:r>
    </w:p>
    <w:p w14:paraId="55A9CD71">
      <w:pPr>
        <w:pageBreakBefore w:val="0"/>
        <w:kinsoku/>
        <w:wordWrap/>
        <w:overflowPunct/>
        <w:topLinePunct w:val="0"/>
        <w:bidi w:val="0"/>
        <w:spacing w:line="360" w:lineRule="auto"/>
        <w:ind w:firstLine="514" w:firstLineChars="245"/>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rPr>
        <w:t>说明：</w:t>
      </w:r>
    </w:p>
    <w:p w14:paraId="7F700F09">
      <w:pPr>
        <w:pageBreakBefore w:val="0"/>
        <w:kinsoku/>
        <w:wordWrap/>
        <w:overflowPunct/>
        <w:topLinePunct w:val="0"/>
        <w:bidi w:val="0"/>
        <w:spacing w:line="360" w:lineRule="auto"/>
        <w:ind w:firstLine="517" w:firstLineChars="245"/>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1、报价是指供应商在各项鉴定项目</w:t>
      </w:r>
      <w:r>
        <w:rPr>
          <w:rFonts w:hint="eastAsia" w:ascii="宋体" w:hAnsi="宋体" w:cs="宋体"/>
          <w:b/>
          <w:bCs/>
          <w:sz w:val="21"/>
          <w:szCs w:val="21"/>
          <w:highlight w:val="none"/>
          <w:lang w:val="en-US" w:eastAsia="zh-CN"/>
        </w:rPr>
        <w:t>最高限价</w:t>
      </w:r>
      <w:r>
        <w:rPr>
          <w:rFonts w:hint="eastAsia" w:ascii="宋体" w:hAnsi="宋体" w:eastAsia="宋体" w:cs="宋体"/>
          <w:b/>
          <w:bCs/>
          <w:sz w:val="21"/>
          <w:szCs w:val="21"/>
          <w:highlight w:val="none"/>
        </w:rPr>
        <w:t>的基础上进行综合折扣率报价,所有的鉴定项目只报一个折扣率（整数）（例如：按预算价下浮20%的，其填写折扣率为80%）,否则按无效标处理。</w:t>
      </w:r>
    </w:p>
    <w:p w14:paraId="5808B0B2">
      <w:pPr>
        <w:pageBreakBefore w:val="0"/>
        <w:kinsoku/>
        <w:wordWrap/>
        <w:overflowPunct/>
        <w:topLinePunct w:val="0"/>
        <w:bidi w:val="0"/>
        <w:spacing w:line="360" w:lineRule="auto"/>
        <w:ind w:firstLine="514" w:firstLineChars="245"/>
        <w:rPr>
          <w:rFonts w:hint="eastAsia" w:ascii="宋体" w:hAnsi="宋体" w:eastAsia="宋体" w:cs="宋体"/>
          <w:bCs/>
          <w:sz w:val="21"/>
          <w:szCs w:val="21"/>
          <w:highlight w:val="none"/>
        </w:rPr>
      </w:pPr>
      <w:r>
        <w:rPr>
          <w:rFonts w:hint="eastAsia" w:ascii="宋体" w:hAnsi="宋体" w:eastAsia="宋体" w:cs="宋体"/>
          <w:bCs/>
          <w:sz w:val="21"/>
          <w:szCs w:val="21"/>
          <w:highlight w:val="none"/>
        </w:rPr>
        <w:t>2、各项鉴定项目的鉴定费用单价：该项鉴定</w:t>
      </w:r>
      <w:r>
        <w:rPr>
          <w:rFonts w:hint="eastAsia" w:ascii="宋体" w:hAnsi="宋体" w:cs="宋体"/>
          <w:bCs/>
          <w:sz w:val="21"/>
          <w:szCs w:val="21"/>
          <w:highlight w:val="none"/>
          <w:lang w:eastAsia="zh-CN"/>
        </w:rPr>
        <w:t>最高限价</w:t>
      </w:r>
      <w:r>
        <w:rPr>
          <w:rFonts w:hint="eastAsia" w:ascii="宋体" w:hAnsi="宋体" w:eastAsia="宋体" w:cs="宋体"/>
          <w:bCs/>
          <w:sz w:val="21"/>
          <w:szCs w:val="21"/>
          <w:highlight w:val="none"/>
        </w:rPr>
        <w:t>乘以折扣率为该项目鉴定最终鉴定费用单价。</w:t>
      </w:r>
    </w:p>
    <w:p w14:paraId="2C35B8EB">
      <w:pPr>
        <w:pageBreakBefore w:val="0"/>
        <w:kinsoku/>
        <w:wordWrap/>
        <w:overflowPunct/>
        <w:topLinePunct w:val="0"/>
        <w:bidi w:val="0"/>
        <w:spacing w:line="360" w:lineRule="auto"/>
        <w:ind w:firstLine="514" w:firstLineChars="245"/>
        <w:rPr>
          <w:rFonts w:hint="eastAsia" w:ascii="宋体" w:hAnsi="宋体" w:eastAsia="宋体" w:cs="宋体"/>
          <w:bCs/>
          <w:sz w:val="21"/>
          <w:szCs w:val="21"/>
          <w:highlight w:val="none"/>
        </w:rPr>
      </w:pPr>
      <w:r>
        <w:rPr>
          <w:rFonts w:hint="eastAsia" w:ascii="宋体" w:hAnsi="宋体" w:eastAsia="宋体" w:cs="宋体"/>
          <w:bCs/>
          <w:sz w:val="21"/>
          <w:szCs w:val="21"/>
          <w:highlight w:val="none"/>
        </w:rPr>
        <w:t>3、最终鉴定费用单价为固定综合单价。单价必须包括提供鉴定服务所需的一切人员的符合国家规定的工资、福利、各种加班费、误餐费、各种社会保险、食宿与交通、设备及工具、器材、服装、安全、维修、管理费用、税费、利润、完成合同所需的一切本身和不可或缺的所有工作开支、政策性文件规定及合同包含的所有风险、责任等各项全部费用并承担一切风险责任。在服务期内单价不得调整。</w:t>
      </w:r>
    </w:p>
    <w:p w14:paraId="77D84FA7">
      <w:pPr>
        <w:pageBreakBefore w:val="0"/>
        <w:kinsoku/>
        <w:wordWrap/>
        <w:overflowPunct/>
        <w:topLinePunct w:val="0"/>
        <w:bidi w:val="0"/>
        <w:spacing w:line="360" w:lineRule="auto"/>
        <w:ind w:firstLine="371" w:firstLineChars="177"/>
        <w:rPr>
          <w:rFonts w:ascii="宋体" w:hAnsi="宋体" w:cs="宋体"/>
          <w:sz w:val="21"/>
          <w:szCs w:val="21"/>
          <w:highlight w:val="none"/>
        </w:rPr>
      </w:pPr>
    </w:p>
    <w:p w14:paraId="3F1A626E">
      <w:pPr>
        <w:pageBreakBefore w:val="0"/>
        <w:kinsoku/>
        <w:wordWrap/>
        <w:overflowPunct/>
        <w:topLinePunct w:val="0"/>
        <w:bidi w:val="0"/>
        <w:spacing w:line="360" w:lineRule="auto"/>
        <w:rPr>
          <w:rFonts w:ascii="宋体" w:hAnsi="宋体" w:cs="宋体"/>
          <w:sz w:val="21"/>
          <w:szCs w:val="21"/>
          <w:highlight w:val="none"/>
        </w:rPr>
      </w:pPr>
    </w:p>
    <w:p w14:paraId="1EC5FB2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sz w:val="21"/>
          <w:szCs w:val="21"/>
          <w:highlight w:val="none"/>
        </w:rPr>
      </w:pPr>
      <w:r>
        <w:rPr>
          <w:rFonts w:hint="eastAsia" w:ascii="宋体" w:hAnsi="宋体" w:cs="宋体"/>
          <w:sz w:val="21"/>
          <w:szCs w:val="21"/>
          <w:highlight w:val="none"/>
        </w:rPr>
        <w:t>响应人名称：</w:t>
      </w:r>
      <w:r>
        <w:rPr>
          <w:rFonts w:hint="eastAsia" w:ascii="宋体" w:hAnsi="宋体" w:cs="宋体"/>
          <w:sz w:val="21"/>
          <w:szCs w:val="21"/>
          <w:highlight w:val="none"/>
          <w:u w:val="single"/>
        </w:rPr>
        <w:t xml:space="preserve">                </w:t>
      </w:r>
      <w:r>
        <w:rPr>
          <w:rFonts w:hint="eastAsia" w:ascii="宋体" w:hAnsi="宋体" w:cs="宋体"/>
          <w:sz w:val="21"/>
          <w:szCs w:val="21"/>
          <w:highlight w:val="none"/>
        </w:rPr>
        <w:t xml:space="preserve">（加盖公章）  </w:t>
      </w:r>
    </w:p>
    <w:p w14:paraId="43A1CEC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sz w:val="21"/>
          <w:szCs w:val="21"/>
          <w:highlight w:val="none"/>
        </w:rPr>
      </w:pPr>
      <w:r>
        <w:rPr>
          <w:rFonts w:hint="eastAsia" w:ascii="宋体" w:hAnsi="宋体" w:cs="宋体"/>
          <w:sz w:val="21"/>
          <w:szCs w:val="21"/>
          <w:highlight w:val="none"/>
        </w:rPr>
        <w:t>响应人代表：</w:t>
      </w:r>
      <w:r>
        <w:rPr>
          <w:rFonts w:hint="eastAsia" w:ascii="宋体" w:hAnsi="宋体" w:cs="宋体"/>
          <w:sz w:val="21"/>
          <w:szCs w:val="21"/>
          <w:highlight w:val="none"/>
          <w:u w:val="single"/>
        </w:rPr>
        <w:t xml:space="preserve">                </w:t>
      </w:r>
      <w:r>
        <w:rPr>
          <w:rFonts w:hint="eastAsia" w:ascii="宋体" w:hAnsi="宋体" w:cs="宋体"/>
          <w:sz w:val="21"/>
          <w:szCs w:val="21"/>
          <w:highlight w:val="none"/>
        </w:rPr>
        <w:t>（签字）</w:t>
      </w:r>
    </w:p>
    <w:p w14:paraId="177B610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sz w:val="21"/>
          <w:szCs w:val="21"/>
          <w:highlight w:val="none"/>
        </w:rPr>
      </w:pPr>
      <w:r>
        <w:rPr>
          <w:rFonts w:hint="eastAsia" w:ascii="宋体" w:hAnsi="宋体" w:cs="宋体"/>
          <w:sz w:val="21"/>
          <w:szCs w:val="21"/>
          <w:highlight w:val="none"/>
        </w:rPr>
        <w:t>日期：</w:t>
      </w:r>
      <w:r>
        <w:rPr>
          <w:rFonts w:hint="eastAsia" w:ascii="宋体" w:hAnsi="宋体" w:cs="宋体"/>
          <w:sz w:val="21"/>
          <w:szCs w:val="21"/>
          <w:highlight w:val="none"/>
          <w:u w:val="single"/>
        </w:rPr>
        <w:t xml:space="preserve">    </w:t>
      </w:r>
      <w:r>
        <w:rPr>
          <w:rFonts w:hint="eastAsia" w:ascii="宋体" w:hAnsi="宋体" w:cs="宋体"/>
          <w:sz w:val="21"/>
          <w:szCs w:val="21"/>
          <w:highlight w:val="none"/>
        </w:rPr>
        <w:t>年</w:t>
      </w:r>
      <w:r>
        <w:rPr>
          <w:rFonts w:hint="eastAsia" w:ascii="宋体" w:hAnsi="宋体" w:cs="宋体"/>
          <w:sz w:val="21"/>
          <w:szCs w:val="21"/>
          <w:highlight w:val="none"/>
          <w:u w:val="single"/>
        </w:rPr>
        <w:t xml:space="preserve">   </w:t>
      </w:r>
      <w:r>
        <w:rPr>
          <w:rFonts w:hint="eastAsia" w:ascii="宋体" w:hAnsi="宋体" w:cs="宋体"/>
          <w:sz w:val="21"/>
          <w:szCs w:val="21"/>
          <w:highlight w:val="none"/>
        </w:rPr>
        <w:t>月</w:t>
      </w:r>
      <w:r>
        <w:rPr>
          <w:rFonts w:hint="eastAsia" w:ascii="宋体" w:hAnsi="宋体" w:cs="宋体"/>
          <w:sz w:val="21"/>
          <w:szCs w:val="21"/>
          <w:highlight w:val="none"/>
          <w:u w:val="single"/>
        </w:rPr>
        <w:t xml:space="preserve">   </w:t>
      </w:r>
      <w:r>
        <w:rPr>
          <w:rFonts w:hint="eastAsia" w:ascii="宋体" w:hAnsi="宋体" w:cs="宋体"/>
          <w:sz w:val="21"/>
          <w:szCs w:val="21"/>
          <w:highlight w:val="none"/>
        </w:rPr>
        <w:t>日</w:t>
      </w:r>
    </w:p>
    <w:p w14:paraId="53CADFBB">
      <w:pPr>
        <w:pageBreakBefore w:val="0"/>
        <w:kinsoku/>
        <w:wordWrap/>
        <w:overflowPunct/>
        <w:topLinePunct w:val="0"/>
        <w:bidi w:val="0"/>
        <w:snapToGrid w:val="0"/>
        <w:spacing w:before="50" w:after="50" w:line="360" w:lineRule="auto"/>
        <w:rPr>
          <w:rFonts w:ascii="宋体" w:hAnsi="宋体" w:cs="宋体"/>
          <w:b/>
          <w:spacing w:val="20"/>
          <w:szCs w:val="21"/>
          <w:highlight w:val="none"/>
        </w:rPr>
      </w:pPr>
    </w:p>
    <w:p w14:paraId="3D435089">
      <w:pPr>
        <w:pageBreakBefore w:val="0"/>
        <w:kinsoku/>
        <w:wordWrap/>
        <w:overflowPunct/>
        <w:topLinePunct w:val="0"/>
        <w:bidi w:val="0"/>
        <w:snapToGrid w:val="0"/>
        <w:spacing w:before="50" w:after="50" w:line="360" w:lineRule="auto"/>
        <w:rPr>
          <w:rFonts w:ascii="宋体" w:hAnsi="宋体" w:cs="宋体"/>
          <w:b/>
          <w:spacing w:val="20"/>
          <w:szCs w:val="21"/>
          <w:highlight w:val="none"/>
        </w:rPr>
      </w:pPr>
    </w:p>
    <w:p w14:paraId="6563C191">
      <w:pPr>
        <w:pageBreakBefore w:val="0"/>
        <w:kinsoku/>
        <w:wordWrap/>
        <w:overflowPunct/>
        <w:topLinePunct w:val="0"/>
        <w:bidi w:val="0"/>
        <w:spacing w:line="360" w:lineRule="auto"/>
        <w:rPr>
          <w:rFonts w:hint="eastAsia" w:ascii="宋体" w:hAnsi="宋体" w:eastAsia="宋体" w:cs="宋体"/>
          <w:b/>
          <w:sz w:val="21"/>
          <w:szCs w:val="21"/>
          <w:highlight w:val="none"/>
        </w:rPr>
      </w:pPr>
      <w:r>
        <w:rPr>
          <w:rFonts w:hint="eastAsia" w:ascii="宋体" w:hAnsi="宋体" w:eastAsia="宋体" w:cs="宋体"/>
          <w:b/>
          <w:sz w:val="21"/>
          <w:szCs w:val="21"/>
          <w:highlight w:val="none"/>
        </w:rPr>
        <w:br w:type="page"/>
      </w:r>
    </w:p>
    <w:p w14:paraId="534286DE">
      <w:pPr>
        <w:keepNext w:val="0"/>
        <w:keepLines w:val="0"/>
        <w:pageBreakBefore w:val="0"/>
        <w:widowControl w:val="0"/>
        <w:kinsoku/>
        <w:wordWrap/>
        <w:overflowPunct/>
        <w:topLinePunct w:val="0"/>
        <w:autoSpaceDE/>
        <w:autoSpaceDN/>
        <w:bidi w:val="0"/>
        <w:adjustRightInd/>
        <w:snapToGrid/>
        <w:spacing w:line="348" w:lineRule="auto"/>
        <w:textAlignment w:val="auto"/>
        <w:outlineLvl w:val="2"/>
        <w:rPr>
          <w:rFonts w:hint="eastAsia" w:ascii="宋体" w:hAnsi="宋体" w:eastAsia="宋体" w:cs="宋体"/>
          <w:b/>
          <w:color w:val="000000"/>
          <w:kern w:val="0"/>
          <w:sz w:val="21"/>
          <w:szCs w:val="21"/>
          <w:highlight w:val="none"/>
          <w:lang w:bidi="ar"/>
        </w:rPr>
      </w:pPr>
      <w:r>
        <w:rPr>
          <w:rFonts w:hint="eastAsia" w:ascii="宋体" w:hAnsi="宋体" w:eastAsia="宋体" w:cs="宋体"/>
          <w:b/>
          <w:sz w:val="21"/>
          <w:szCs w:val="21"/>
          <w:highlight w:val="none"/>
        </w:rPr>
        <w:t>格式</w:t>
      </w:r>
      <w:r>
        <w:rPr>
          <w:rFonts w:hint="eastAsia" w:ascii="宋体" w:hAnsi="宋体" w:cs="宋体"/>
          <w:b/>
          <w:sz w:val="21"/>
          <w:szCs w:val="21"/>
          <w:highlight w:val="none"/>
          <w:lang w:val="en-US" w:eastAsia="zh-CN"/>
        </w:rPr>
        <w:t>二</w:t>
      </w:r>
      <w:r>
        <w:rPr>
          <w:rFonts w:hint="eastAsia" w:ascii="宋体" w:hAnsi="宋体" w:eastAsia="宋体" w:cs="宋体"/>
          <w:b/>
          <w:sz w:val="21"/>
          <w:szCs w:val="21"/>
          <w:highlight w:val="none"/>
        </w:rPr>
        <w:t>、中小企业声明函</w:t>
      </w:r>
    </w:p>
    <w:p w14:paraId="15948D53">
      <w:pPr>
        <w:keepNext w:val="0"/>
        <w:keepLines w:val="0"/>
        <w:pageBreakBefore w:val="0"/>
        <w:widowControl/>
        <w:kinsoku/>
        <w:wordWrap/>
        <w:overflowPunct/>
        <w:topLinePunct w:val="0"/>
        <w:autoSpaceDE/>
        <w:autoSpaceDN/>
        <w:bidi w:val="0"/>
        <w:adjustRightInd/>
        <w:spacing w:line="348" w:lineRule="auto"/>
        <w:jc w:val="center"/>
        <w:textAlignment w:val="auto"/>
        <w:rPr>
          <w:rFonts w:hint="eastAsia" w:ascii="宋体" w:hAnsi="宋体" w:eastAsia="宋体" w:cs="宋体"/>
          <w:sz w:val="21"/>
          <w:szCs w:val="21"/>
          <w:highlight w:val="none"/>
        </w:rPr>
      </w:pPr>
      <w:r>
        <w:rPr>
          <w:rFonts w:hint="eastAsia" w:ascii="宋体" w:hAnsi="宋体" w:eastAsia="宋体" w:cs="宋体"/>
          <w:b/>
          <w:color w:val="000000"/>
          <w:kern w:val="0"/>
          <w:sz w:val="21"/>
          <w:szCs w:val="21"/>
          <w:highlight w:val="none"/>
          <w:lang w:bidi="ar"/>
        </w:rPr>
        <w:t>中小企业声明函（</w:t>
      </w:r>
      <w:r>
        <w:rPr>
          <w:rFonts w:hint="eastAsia" w:ascii="宋体" w:hAnsi="宋体" w:eastAsia="宋体" w:cs="宋体"/>
          <w:b/>
          <w:color w:val="000000"/>
          <w:kern w:val="0"/>
          <w:sz w:val="21"/>
          <w:szCs w:val="21"/>
          <w:highlight w:val="none"/>
          <w:lang w:val="en-US" w:eastAsia="zh-CN" w:bidi="ar"/>
        </w:rPr>
        <w:t>服务</w:t>
      </w:r>
      <w:r>
        <w:rPr>
          <w:rFonts w:hint="eastAsia" w:ascii="宋体" w:hAnsi="宋体" w:eastAsia="宋体" w:cs="宋体"/>
          <w:b/>
          <w:color w:val="000000"/>
          <w:kern w:val="0"/>
          <w:sz w:val="21"/>
          <w:szCs w:val="21"/>
          <w:highlight w:val="none"/>
          <w:lang w:bidi="ar"/>
        </w:rPr>
        <w:t>）</w:t>
      </w:r>
    </w:p>
    <w:p w14:paraId="1EFDFFBC">
      <w:pPr>
        <w:keepNext w:val="0"/>
        <w:keepLines w:val="0"/>
        <w:pageBreakBefore w:val="0"/>
        <w:widowControl/>
        <w:kinsoku/>
        <w:wordWrap/>
        <w:overflowPunct/>
        <w:topLinePunct w:val="0"/>
        <w:autoSpaceDE/>
        <w:autoSpaceDN/>
        <w:bidi w:val="0"/>
        <w:adjustRightInd/>
        <w:spacing w:line="348" w:lineRule="auto"/>
        <w:ind w:firstLine="601"/>
        <w:jc w:val="both"/>
        <w:textAlignment w:val="auto"/>
        <w:rPr>
          <w:rFonts w:hint="eastAsia" w:ascii="宋体" w:hAnsi="宋体" w:eastAsia="宋体" w:cs="宋体"/>
          <w:spacing w:val="6"/>
          <w:sz w:val="21"/>
          <w:szCs w:val="21"/>
          <w:highlight w:val="none"/>
        </w:rPr>
      </w:pPr>
      <w:r>
        <w:rPr>
          <w:rFonts w:hint="eastAsia" w:ascii="宋体" w:hAnsi="宋体" w:eastAsia="宋体" w:cs="宋体"/>
          <w:spacing w:val="6"/>
          <w:sz w:val="21"/>
          <w:szCs w:val="21"/>
          <w:highlight w:val="none"/>
        </w:rPr>
        <w:t>本公司郑重声明，根据《政府采购促进中小企业发展管理办法》（财库﹝2020﹞46号）的规定，本公司（联合体）参加</w:t>
      </w:r>
      <w:r>
        <w:rPr>
          <w:rFonts w:hint="eastAsia" w:ascii="宋体" w:hAnsi="宋体" w:eastAsia="宋体" w:cs="宋体"/>
          <w:spacing w:val="6"/>
          <w:sz w:val="21"/>
          <w:szCs w:val="21"/>
          <w:highlight w:val="none"/>
          <w:u w:val="single"/>
        </w:rPr>
        <w:t>（单位名称）</w:t>
      </w:r>
      <w:r>
        <w:rPr>
          <w:rFonts w:hint="eastAsia" w:ascii="宋体" w:hAnsi="宋体" w:eastAsia="宋体" w:cs="宋体"/>
          <w:spacing w:val="6"/>
          <w:sz w:val="21"/>
          <w:szCs w:val="21"/>
          <w:highlight w:val="none"/>
        </w:rPr>
        <w:t>的</w:t>
      </w:r>
      <w:r>
        <w:rPr>
          <w:rFonts w:hint="eastAsia" w:ascii="宋体" w:hAnsi="宋体" w:eastAsia="宋体" w:cs="宋体"/>
          <w:spacing w:val="6"/>
          <w:sz w:val="21"/>
          <w:szCs w:val="21"/>
          <w:highlight w:val="none"/>
          <w:u w:val="single"/>
        </w:rPr>
        <w:t>（项目名称）</w:t>
      </w:r>
      <w:r>
        <w:rPr>
          <w:rFonts w:hint="eastAsia" w:ascii="宋体" w:hAnsi="宋体" w:eastAsia="宋体" w:cs="宋体"/>
          <w:spacing w:val="6"/>
          <w:sz w:val="21"/>
          <w:szCs w:val="21"/>
          <w:highlight w:val="none"/>
        </w:rPr>
        <w:t>采购活动，</w:t>
      </w:r>
      <w:r>
        <w:rPr>
          <w:rFonts w:hint="eastAsia" w:ascii="宋体" w:hAnsi="宋体" w:eastAsia="宋体" w:cs="宋体"/>
          <w:spacing w:val="6"/>
          <w:sz w:val="21"/>
          <w:szCs w:val="21"/>
          <w:highlight w:val="none"/>
          <w:lang w:val="en-US" w:eastAsia="zh-CN"/>
        </w:rPr>
        <w:t>服务</w:t>
      </w:r>
      <w:r>
        <w:rPr>
          <w:rFonts w:hint="eastAsia" w:ascii="宋体" w:hAnsi="宋体" w:eastAsia="宋体" w:cs="宋体"/>
          <w:spacing w:val="6"/>
          <w:sz w:val="21"/>
          <w:szCs w:val="21"/>
          <w:highlight w:val="none"/>
        </w:rPr>
        <w:t>全部由符合政策要求的中小企业</w:t>
      </w:r>
      <w:r>
        <w:rPr>
          <w:rFonts w:hint="eastAsia" w:ascii="宋体" w:hAnsi="宋体" w:eastAsia="宋体" w:cs="宋体"/>
          <w:spacing w:val="6"/>
          <w:sz w:val="21"/>
          <w:szCs w:val="21"/>
          <w:highlight w:val="none"/>
          <w:lang w:val="en-US" w:eastAsia="zh-CN"/>
        </w:rPr>
        <w:t>承接</w:t>
      </w:r>
      <w:r>
        <w:rPr>
          <w:rFonts w:hint="eastAsia" w:ascii="宋体" w:hAnsi="宋体" w:eastAsia="宋体" w:cs="宋体"/>
          <w:spacing w:val="6"/>
          <w:sz w:val="21"/>
          <w:szCs w:val="21"/>
          <w:highlight w:val="none"/>
        </w:rPr>
        <w:t>。相关企业（含联合体中的中小企业、签订分包意向协议的中小企业）的具体情况如下：</w:t>
      </w:r>
    </w:p>
    <w:p w14:paraId="6FA08380">
      <w:pPr>
        <w:keepNext w:val="0"/>
        <w:keepLines w:val="0"/>
        <w:pageBreakBefore w:val="0"/>
        <w:kinsoku/>
        <w:wordWrap/>
        <w:overflowPunct/>
        <w:topLinePunct w:val="0"/>
        <w:autoSpaceDE/>
        <w:autoSpaceDN/>
        <w:bidi w:val="0"/>
        <w:adjustRightInd/>
        <w:spacing w:line="348" w:lineRule="auto"/>
        <w:ind w:firstLine="444" w:firstLineChars="200"/>
        <w:jc w:val="both"/>
        <w:textAlignment w:val="auto"/>
        <w:rPr>
          <w:rFonts w:hint="eastAsia" w:ascii="宋体" w:hAnsi="宋体" w:eastAsia="宋体" w:cs="宋体"/>
          <w:spacing w:val="6"/>
          <w:sz w:val="21"/>
          <w:szCs w:val="21"/>
          <w:highlight w:val="none"/>
        </w:rPr>
      </w:pPr>
      <w:r>
        <w:rPr>
          <w:rFonts w:hint="eastAsia" w:ascii="宋体" w:hAnsi="宋体" w:eastAsia="宋体" w:cs="宋体"/>
          <w:spacing w:val="6"/>
          <w:sz w:val="21"/>
          <w:szCs w:val="21"/>
          <w:highlight w:val="none"/>
        </w:rPr>
        <w:t>1.</w:t>
      </w:r>
      <w:r>
        <w:rPr>
          <w:rFonts w:hint="eastAsia" w:ascii="宋体" w:hAnsi="宋体" w:eastAsia="宋体" w:cs="宋体"/>
          <w:spacing w:val="6"/>
          <w:sz w:val="21"/>
          <w:szCs w:val="21"/>
          <w:highlight w:val="none"/>
          <w:u w:val="single"/>
        </w:rPr>
        <w:t>（标的名称）</w:t>
      </w:r>
      <w:r>
        <w:rPr>
          <w:rFonts w:hint="eastAsia" w:ascii="宋体" w:hAnsi="宋体" w:eastAsia="宋体" w:cs="宋体"/>
          <w:spacing w:val="6"/>
          <w:sz w:val="21"/>
          <w:szCs w:val="21"/>
          <w:highlight w:val="none"/>
        </w:rPr>
        <w:t>，属于</w:t>
      </w:r>
      <w:r>
        <w:rPr>
          <w:rFonts w:hint="eastAsia" w:ascii="宋体" w:hAnsi="宋体" w:eastAsia="宋体" w:cs="宋体"/>
          <w:spacing w:val="6"/>
          <w:sz w:val="21"/>
          <w:szCs w:val="21"/>
          <w:highlight w:val="none"/>
          <w:u w:val="single"/>
        </w:rPr>
        <w:t>（采购文件中明确的所属行业）行业</w:t>
      </w:r>
      <w:r>
        <w:rPr>
          <w:rFonts w:hint="eastAsia" w:ascii="宋体" w:hAnsi="宋体" w:eastAsia="宋体" w:cs="宋体"/>
          <w:spacing w:val="6"/>
          <w:sz w:val="21"/>
          <w:szCs w:val="21"/>
          <w:highlight w:val="none"/>
        </w:rPr>
        <w:t>；</w:t>
      </w:r>
      <w:r>
        <w:rPr>
          <w:rFonts w:hint="eastAsia" w:ascii="宋体" w:hAnsi="宋体" w:eastAsia="宋体" w:cs="宋体"/>
          <w:spacing w:val="6"/>
          <w:sz w:val="21"/>
          <w:szCs w:val="21"/>
          <w:highlight w:val="none"/>
          <w:lang w:val="en-US" w:eastAsia="zh-CN"/>
        </w:rPr>
        <w:t>承建（承接）企业</w:t>
      </w:r>
      <w:r>
        <w:rPr>
          <w:rFonts w:hint="eastAsia" w:ascii="宋体" w:hAnsi="宋体" w:eastAsia="宋体" w:cs="宋体"/>
          <w:spacing w:val="6"/>
          <w:sz w:val="21"/>
          <w:szCs w:val="21"/>
          <w:highlight w:val="none"/>
        </w:rPr>
        <w:t>为</w:t>
      </w:r>
      <w:r>
        <w:rPr>
          <w:rFonts w:hint="eastAsia" w:ascii="宋体" w:hAnsi="宋体" w:eastAsia="宋体" w:cs="宋体"/>
          <w:spacing w:val="6"/>
          <w:sz w:val="21"/>
          <w:szCs w:val="21"/>
          <w:highlight w:val="none"/>
          <w:u w:val="single"/>
        </w:rPr>
        <w:t>（企业名称）</w:t>
      </w:r>
      <w:r>
        <w:rPr>
          <w:rFonts w:hint="eastAsia" w:ascii="宋体" w:hAnsi="宋体" w:eastAsia="宋体" w:cs="宋体"/>
          <w:spacing w:val="6"/>
          <w:sz w:val="21"/>
          <w:szCs w:val="21"/>
          <w:highlight w:val="none"/>
        </w:rPr>
        <w:t>，从业人员</w:t>
      </w:r>
      <w:r>
        <w:rPr>
          <w:rFonts w:hint="eastAsia" w:ascii="宋体" w:hAnsi="宋体" w:eastAsia="宋体" w:cs="宋体"/>
          <w:spacing w:val="6"/>
          <w:sz w:val="21"/>
          <w:szCs w:val="21"/>
          <w:highlight w:val="none"/>
          <w:u w:val="single"/>
        </w:rPr>
        <w:t xml:space="preserve">     </w:t>
      </w:r>
      <w:r>
        <w:rPr>
          <w:rFonts w:hint="eastAsia" w:ascii="宋体" w:hAnsi="宋体" w:eastAsia="宋体" w:cs="宋体"/>
          <w:spacing w:val="6"/>
          <w:sz w:val="21"/>
          <w:szCs w:val="21"/>
          <w:highlight w:val="none"/>
        </w:rPr>
        <w:t>人，营业收入为</w:t>
      </w:r>
      <w:r>
        <w:rPr>
          <w:rFonts w:hint="eastAsia" w:ascii="宋体" w:hAnsi="宋体" w:eastAsia="宋体" w:cs="宋体"/>
          <w:spacing w:val="6"/>
          <w:sz w:val="21"/>
          <w:szCs w:val="21"/>
          <w:highlight w:val="none"/>
          <w:u w:val="single"/>
        </w:rPr>
        <w:t xml:space="preserve">    </w:t>
      </w:r>
      <w:r>
        <w:rPr>
          <w:rFonts w:hint="eastAsia" w:ascii="宋体" w:hAnsi="宋体" w:eastAsia="宋体" w:cs="宋体"/>
          <w:spacing w:val="6"/>
          <w:sz w:val="21"/>
          <w:szCs w:val="21"/>
          <w:highlight w:val="none"/>
        </w:rPr>
        <w:t>万元，资产总额为</w:t>
      </w:r>
      <w:r>
        <w:rPr>
          <w:rFonts w:hint="eastAsia" w:ascii="宋体" w:hAnsi="宋体" w:eastAsia="宋体" w:cs="宋体"/>
          <w:spacing w:val="6"/>
          <w:sz w:val="21"/>
          <w:szCs w:val="21"/>
          <w:highlight w:val="none"/>
          <w:u w:val="single"/>
        </w:rPr>
        <w:t xml:space="preserve">    </w:t>
      </w:r>
      <w:r>
        <w:rPr>
          <w:rFonts w:hint="eastAsia" w:ascii="宋体" w:hAnsi="宋体" w:eastAsia="宋体" w:cs="宋体"/>
          <w:spacing w:val="6"/>
          <w:sz w:val="21"/>
          <w:szCs w:val="21"/>
          <w:highlight w:val="none"/>
        </w:rPr>
        <w:t>万元，属于</w:t>
      </w:r>
      <w:r>
        <w:rPr>
          <w:rFonts w:hint="eastAsia" w:ascii="宋体" w:hAnsi="宋体" w:eastAsia="宋体" w:cs="宋体"/>
          <w:spacing w:val="6"/>
          <w:sz w:val="21"/>
          <w:szCs w:val="21"/>
          <w:highlight w:val="none"/>
          <w:u w:val="single"/>
        </w:rPr>
        <w:t>（中型企业、小型企业、微型企业）</w:t>
      </w:r>
      <w:r>
        <w:rPr>
          <w:rFonts w:hint="eastAsia" w:ascii="宋体" w:hAnsi="宋体" w:eastAsia="宋体" w:cs="宋体"/>
          <w:spacing w:val="6"/>
          <w:sz w:val="21"/>
          <w:szCs w:val="21"/>
          <w:highlight w:val="none"/>
        </w:rPr>
        <w:t>；</w:t>
      </w:r>
    </w:p>
    <w:p w14:paraId="079E460E">
      <w:pPr>
        <w:keepNext w:val="0"/>
        <w:keepLines w:val="0"/>
        <w:pageBreakBefore w:val="0"/>
        <w:kinsoku/>
        <w:wordWrap/>
        <w:overflowPunct/>
        <w:topLinePunct w:val="0"/>
        <w:autoSpaceDE/>
        <w:autoSpaceDN/>
        <w:bidi w:val="0"/>
        <w:adjustRightInd/>
        <w:spacing w:line="348" w:lineRule="auto"/>
        <w:ind w:firstLine="444" w:firstLineChars="200"/>
        <w:jc w:val="both"/>
        <w:textAlignment w:val="auto"/>
        <w:rPr>
          <w:rFonts w:hint="eastAsia" w:ascii="宋体" w:hAnsi="宋体" w:eastAsia="宋体" w:cs="宋体"/>
          <w:spacing w:val="6"/>
          <w:sz w:val="21"/>
          <w:szCs w:val="21"/>
          <w:highlight w:val="none"/>
        </w:rPr>
      </w:pPr>
      <w:r>
        <w:rPr>
          <w:rFonts w:hint="eastAsia" w:ascii="宋体" w:hAnsi="宋体" w:eastAsia="宋体" w:cs="宋体"/>
          <w:spacing w:val="6"/>
          <w:sz w:val="21"/>
          <w:szCs w:val="21"/>
          <w:highlight w:val="none"/>
        </w:rPr>
        <w:t>2.</w:t>
      </w:r>
      <w:r>
        <w:rPr>
          <w:rFonts w:hint="eastAsia" w:ascii="宋体" w:hAnsi="宋体" w:eastAsia="宋体" w:cs="宋体"/>
          <w:spacing w:val="6"/>
          <w:sz w:val="21"/>
          <w:szCs w:val="21"/>
          <w:highlight w:val="none"/>
          <w:u w:val="single"/>
        </w:rPr>
        <w:t>（标的名称）</w:t>
      </w:r>
      <w:r>
        <w:rPr>
          <w:rFonts w:hint="eastAsia" w:ascii="宋体" w:hAnsi="宋体" w:eastAsia="宋体" w:cs="宋体"/>
          <w:spacing w:val="6"/>
          <w:sz w:val="21"/>
          <w:szCs w:val="21"/>
          <w:highlight w:val="none"/>
        </w:rPr>
        <w:t>，属于</w:t>
      </w:r>
      <w:r>
        <w:rPr>
          <w:rFonts w:hint="eastAsia" w:ascii="宋体" w:hAnsi="宋体" w:eastAsia="宋体" w:cs="宋体"/>
          <w:spacing w:val="6"/>
          <w:sz w:val="21"/>
          <w:szCs w:val="21"/>
          <w:highlight w:val="none"/>
          <w:u w:val="single"/>
        </w:rPr>
        <w:t>（采购文件中明确的所属行业）行业</w:t>
      </w:r>
      <w:r>
        <w:rPr>
          <w:rFonts w:hint="eastAsia" w:ascii="宋体" w:hAnsi="宋体" w:eastAsia="宋体" w:cs="宋体"/>
          <w:spacing w:val="6"/>
          <w:sz w:val="21"/>
          <w:szCs w:val="21"/>
          <w:highlight w:val="none"/>
        </w:rPr>
        <w:t>；</w:t>
      </w:r>
      <w:r>
        <w:rPr>
          <w:rFonts w:hint="eastAsia" w:ascii="宋体" w:hAnsi="宋体" w:eastAsia="宋体" w:cs="宋体"/>
          <w:spacing w:val="6"/>
          <w:sz w:val="21"/>
          <w:szCs w:val="21"/>
          <w:highlight w:val="none"/>
          <w:lang w:val="en-US" w:eastAsia="zh-CN"/>
        </w:rPr>
        <w:t>承建（承接）企业</w:t>
      </w:r>
      <w:r>
        <w:rPr>
          <w:rFonts w:hint="eastAsia" w:ascii="宋体" w:hAnsi="宋体" w:eastAsia="宋体" w:cs="宋体"/>
          <w:spacing w:val="6"/>
          <w:sz w:val="21"/>
          <w:szCs w:val="21"/>
          <w:highlight w:val="none"/>
        </w:rPr>
        <w:t>为</w:t>
      </w:r>
      <w:r>
        <w:rPr>
          <w:rFonts w:hint="eastAsia" w:ascii="宋体" w:hAnsi="宋体" w:eastAsia="宋体" w:cs="宋体"/>
          <w:spacing w:val="6"/>
          <w:sz w:val="21"/>
          <w:szCs w:val="21"/>
          <w:highlight w:val="none"/>
          <w:u w:val="single"/>
        </w:rPr>
        <w:t>（企业名称）</w:t>
      </w:r>
      <w:r>
        <w:rPr>
          <w:rFonts w:hint="eastAsia" w:ascii="宋体" w:hAnsi="宋体" w:eastAsia="宋体" w:cs="宋体"/>
          <w:spacing w:val="6"/>
          <w:sz w:val="21"/>
          <w:szCs w:val="21"/>
          <w:highlight w:val="none"/>
        </w:rPr>
        <w:t>，从业人员</w:t>
      </w:r>
      <w:r>
        <w:rPr>
          <w:rFonts w:hint="eastAsia" w:ascii="宋体" w:hAnsi="宋体" w:eastAsia="宋体" w:cs="宋体"/>
          <w:spacing w:val="6"/>
          <w:sz w:val="21"/>
          <w:szCs w:val="21"/>
          <w:highlight w:val="none"/>
          <w:u w:val="single"/>
        </w:rPr>
        <w:t xml:space="preserve">     </w:t>
      </w:r>
      <w:r>
        <w:rPr>
          <w:rFonts w:hint="eastAsia" w:ascii="宋体" w:hAnsi="宋体" w:eastAsia="宋体" w:cs="宋体"/>
          <w:spacing w:val="6"/>
          <w:sz w:val="21"/>
          <w:szCs w:val="21"/>
          <w:highlight w:val="none"/>
        </w:rPr>
        <w:t>人，营业收入为</w:t>
      </w:r>
      <w:r>
        <w:rPr>
          <w:rFonts w:hint="eastAsia" w:ascii="宋体" w:hAnsi="宋体" w:eastAsia="宋体" w:cs="宋体"/>
          <w:spacing w:val="6"/>
          <w:sz w:val="21"/>
          <w:szCs w:val="21"/>
          <w:highlight w:val="none"/>
          <w:u w:val="single"/>
        </w:rPr>
        <w:t xml:space="preserve">    </w:t>
      </w:r>
      <w:r>
        <w:rPr>
          <w:rFonts w:hint="eastAsia" w:ascii="宋体" w:hAnsi="宋体" w:eastAsia="宋体" w:cs="宋体"/>
          <w:spacing w:val="6"/>
          <w:sz w:val="21"/>
          <w:szCs w:val="21"/>
          <w:highlight w:val="none"/>
        </w:rPr>
        <w:t>万元，资产总额为</w:t>
      </w:r>
      <w:r>
        <w:rPr>
          <w:rFonts w:hint="eastAsia" w:ascii="宋体" w:hAnsi="宋体" w:eastAsia="宋体" w:cs="宋体"/>
          <w:spacing w:val="6"/>
          <w:sz w:val="21"/>
          <w:szCs w:val="21"/>
          <w:highlight w:val="none"/>
          <w:u w:val="single"/>
        </w:rPr>
        <w:t xml:space="preserve">    </w:t>
      </w:r>
      <w:r>
        <w:rPr>
          <w:rFonts w:hint="eastAsia" w:ascii="宋体" w:hAnsi="宋体" w:eastAsia="宋体" w:cs="宋体"/>
          <w:spacing w:val="6"/>
          <w:sz w:val="21"/>
          <w:szCs w:val="21"/>
          <w:highlight w:val="none"/>
        </w:rPr>
        <w:t>万元，属于</w:t>
      </w:r>
      <w:r>
        <w:rPr>
          <w:rFonts w:hint="eastAsia" w:ascii="宋体" w:hAnsi="宋体" w:eastAsia="宋体" w:cs="宋体"/>
          <w:spacing w:val="6"/>
          <w:sz w:val="21"/>
          <w:szCs w:val="21"/>
          <w:highlight w:val="none"/>
          <w:u w:val="single"/>
        </w:rPr>
        <w:t>（中型企业、小型 企业、微型企业）</w:t>
      </w:r>
      <w:r>
        <w:rPr>
          <w:rFonts w:hint="eastAsia" w:ascii="宋体" w:hAnsi="宋体" w:eastAsia="宋体" w:cs="宋体"/>
          <w:spacing w:val="6"/>
          <w:sz w:val="21"/>
          <w:szCs w:val="21"/>
          <w:highlight w:val="none"/>
        </w:rPr>
        <w:t xml:space="preserve">； </w:t>
      </w:r>
    </w:p>
    <w:p w14:paraId="79E9B48A">
      <w:pPr>
        <w:keepNext w:val="0"/>
        <w:keepLines w:val="0"/>
        <w:pageBreakBefore w:val="0"/>
        <w:kinsoku/>
        <w:wordWrap/>
        <w:overflowPunct/>
        <w:topLinePunct w:val="0"/>
        <w:autoSpaceDE/>
        <w:autoSpaceDN/>
        <w:bidi w:val="0"/>
        <w:adjustRightInd/>
        <w:spacing w:line="348" w:lineRule="auto"/>
        <w:ind w:firstLine="444" w:firstLineChars="200"/>
        <w:jc w:val="both"/>
        <w:textAlignment w:val="auto"/>
        <w:rPr>
          <w:rFonts w:hint="eastAsia" w:ascii="宋体" w:hAnsi="宋体" w:eastAsia="宋体" w:cs="宋体"/>
          <w:spacing w:val="6"/>
          <w:sz w:val="21"/>
          <w:szCs w:val="21"/>
          <w:highlight w:val="none"/>
        </w:rPr>
      </w:pPr>
      <w:r>
        <w:rPr>
          <w:rFonts w:hint="eastAsia" w:ascii="宋体" w:hAnsi="宋体" w:eastAsia="宋体" w:cs="宋体"/>
          <w:spacing w:val="6"/>
          <w:sz w:val="21"/>
          <w:szCs w:val="21"/>
          <w:highlight w:val="none"/>
        </w:rPr>
        <w:t>……</w:t>
      </w:r>
    </w:p>
    <w:p w14:paraId="0985F4EB">
      <w:pPr>
        <w:keepNext w:val="0"/>
        <w:keepLines w:val="0"/>
        <w:pageBreakBefore w:val="0"/>
        <w:kinsoku/>
        <w:wordWrap/>
        <w:overflowPunct/>
        <w:topLinePunct w:val="0"/>
        <w:autoSpaceDE/>
        <w:autoSpaceDN/>
        <w:bidi w:val="0"/>
        <w:adjustRightInd/>
        <w:spacing w:line="348" w:lineRule="auto"/>
        <w:ind w:firstLine="444" w:firstLineChars="200"/>
        <w:jc w:val="both"/>
        <w:textAlignment w:val="auto"/>
        <w:rPr>
          <w:rFonts w:hint="eastAsia" w:ascii="宋体" w:hAnsi="宋体" w:eastAsia="宋体" w:cs="宋体"/>
          <w:spacing w:val="6"/>
          <w:sz w:val="21"/>
          <w:szCs w:val="21"/>
          <w:highlight w:val="none"/>
        </w:rPr>
      </w:pPr>
      <w:r>
        <w:rPr>
          <w:rFonts w:hint="eastAsia" w:ascii="宋体" w:hAnsi="宋体" w:eastAsia="宋体" w:cs="宋体"/>
          <w:spacing w:val="6"/>
          <w:sz w:val="21"/>
          <w:szCs w:val="21"/>
          <w:highlight w:val="none"/>
        </w:rPr>
        <w:t>以上企业，不属于大企业的分支机构，不存在控股股东为大企业的情形，也不存在与大企业的负责人为同一人的情形。</w:t>
      </w:r>
    </w:p>
    <w:p w14:paraId="6013EBAB">
      <w:pPr>
        <w:keepNext w:val="0"/>
        <w:keepLines w:val="0"/>
        <w:pageBreakBefore w:val="0"/>
        <w:kinsoku/>
        <w:wordWrap/>
        <w:overflowPunct/>
        <w:topLinePunct w:val="0"/>
        <w:autoSpaceDE/>
        <w:autoSpaceDN/>
        <w:bidi w:val="0"/>
        <w:adjustRightInd/>
        <w:spacing w:line="348" w:lineRule="auto"/>
        <w:ind w:firstLine="444" w:firstLineChars="200"/>
        <w:jc w:val="both"/>
        <w:textAlignment w:val="auto"/>
        <w:rPr>
          <w:rFonts w:hint="eastAsia" w:ascii="宋体" w:hAnsi="宋体" w:eastAsia="宋体" w:cs="宋体"/>
          <w:spacing w:val="6"/>
          <w:sz w:val="21"/>
          <w:szCs w:val="21"/>
          <w:highlight w:val="none"/>
          <w:lang w:val="en-US" w:eastAsia="zh-CN"/>
        </w:rPr>
      </w:pPr>
      <w:r>
        <w:rPr>
          <w:rFonts w:hint="eastAsia" w:ascii="宋体" w:hAnsi="宋体" w:eastAsia="宋体" w:cs="宋体"/>
          <w:spacing w:val="6"/>
          <w:sz w:val="21"/>
          <w:szCs w:val="21"/>
          <w:highlight w:val="none"/>
        </w:rPr>
        <w:t xml:space="preserve">本企业对上述声明内容的真实性负责。如有虚假，将依法承担相应责任。 </w:t>
      </w:r>
      <w:r>
        <w:rPr>
          <w:rFonts w:hint="eastAsia" w:ascii="宋体" w:hAnsi="宋体" w:eastAsia="宋体" w:cs="宋体"/>
          <w:spacing w:val="6"/>
          <w:sz w:val="21"/>
          <w:szCs w:val="21"/>
          <w:highlight w:val="none"/>
          <w:lang w:val="en-US" w:eastAsia="zh-CN"/>
        </w:rPr>
        <w:t xml:space="preserve">   </w:t>
      </w:r>
    </w:p>
    <w:p w14:paraId="79A019E1">
      <w:pPr>
        <w:keepNext w:val="0"/>
        <w:keepLines w:val="0"/>
        <w:pageBreakBefore w:val="0"/>
        <w:kinsoku/>
        <w:wordWrap/>
        <w:overflowPunct/>
        <w:topLinePunct w:val="0"/>
        <w:autoSpaceDE/>
        <w:autoSpaceDN/>
        <w:bidi w:val="0"/>
        <w:adjustRightInd/>
        <w:spacing w:line="348" w:lineRule="auto"/>
        <w:ind w:firstLine="444" w:firstLineChars="200"/>
        <w:jc w:val="center"/>
        <w:textAlignment w:val="auto"/>
        <w:rPr>
          <w:rFonts w:hint="eastAsia" w:ascii="宋体" w:hAnsi="宋体" w:eastAsia="宋体" w:cs="宋体"/>
          <w:spacing w:val="6"/>
          <w:sz w:val="21"/>
          <w:szCs w:val="21"/>
          <w:highlight w:val="none"/>
        </w:rPr>
      </w:pPr>
      <w:r>
        <w:rPr>
          <w:rFonts w:hint="eastAsia" w:ascii="宋体" w:hAnsi="宋体" w:eastAsia="宋体" w:cs="宋体"/>
          <w:spacing w:val="6"/>
          <w:sz w:val="21"/>
          <w:szCs w:val="21"/>
          <w:highlight w:val="none"/>
        </w:rPr>
        <w:t>企业名称（盖章）：</w:t>
      </w:r>
    </w:p>
    <w:p w14:paraId="67DD5F40">
      <w:pPr>
        <w:keepNext w:val="0"/>
        <w:keepLines w:val="0"/>
        <w:pageBreakBefore w:val="0"/>
        <w:kinsoku/>
        <w:wordWrap/>
        <w:overflowPunct/>
        <w:topLinePunct w:val="0"/>
        <w:autoSpaceDE/>
        <w:autoSpaceDN/>
        <w:bidi w:val="0"/>
        <w:adjustRightInd/>
        <w:spacing w:line="348" w:lineRule="auto"/>
        <w:ind w:firstLine="4218" w:firstLineChars="1900"/>
        <w:jc w:val="both"/>
        <w:textAlignment w:val="auto"/>
        <w:rPr>
          <w:rFonts w:hint="eastAsia" w:ascii="宋体" w:hAnsi="宋体" w:eastAsia="宋体" w:cs="宋体"/>
          <w:b/>
          <w:spacing w:val="20"/>
          <w:sz w:val="21"/>
          <w:szCs w:val="21"/>
          <w:highlight w:val="none"/>
        </w:rPr>
      </w:pPr>
      <w:r>
        <w:rPr>
          <w:rFonts w:hint="eastAsia" w:ascii="宋体" w:hAnsi="宋体" w:eastAsia="宋体" w:cs="宋体"/>
          <w:spacing w:val="6"/>
          <w:sz w:val="21"/>
          <w:szCs w:val="21"/>
          <w:highlight w:val="none"/>
        </w:rPr>
        <w:t>日 期：</w:t>
      </w:r>
    </w:p>
    <w:p w14:paraId="605FF01E">
      <w:pPr>
        <w:keepNext w:val="0"/>
        <w:keepLines w:val="0"/>
        <w:pageBreakBefore w:val="0"/>
        <w:kinsoku/>
        <w:wordWrap/>
        <w:overflowPunct/>
        <w:topLinePunct w:val="0"/>
        <w:autoSpaceDE/>
        <w:autoSpaceDN/>
        <w:bidi w:val="0"/>
        <w:adjustRightInd/>
        <w:snapToGrid w:val="0"/>
        <w:spacing w:line="348" w:lineRule="auto"/>
        <w:ind w:firstLine="502" w:firstLineChars="200"/>
        <w:textAlignment w:val="auto"/>
        <w:rPr>
          <w:rFonts w:hint="eastAsia" w:ascii="宋体" w:hAnsi="宋体" w:eastAsia="宋体" w:cs="宋体"/>
          <w:b/>
          <w:spacing w:val="20"/>
          <w:sz w:val="21"/>
          <w:szCs w:val="21"/>
          <w:highlight w:val="none"/>
        </w:rPr>
      </w:pPr>
      <w:r>
        <w:rPr>
          <w:rFonts w:hint="eastAsia" w:ascii="宋体" w:hAnsi="宋体" w:eastAsia="宋体" w:cs="宋体"/>
          <w:b/>
          <w:spacing w:val="20"/>
          <w:sz w:val="21"/>
          <w:szCs w:val="21"/>
          <w:highlight w:val="none"/>
        </w:rPr>
        <w:t>注：1.从业人员、营业收入、资产总额填报上一年度数据，无上一年度数据的新成立企业可不填报。</w:t>
      </w:r>
    </w:p>
    <w:p w14:paraId="1752D40E">
      <w:pPr>
        <w:keepNext w:val="0"/>
        <w:keepLines w:val="0"/>
        <w:pageBreakBefore w:val="0"/>
        <w:kinsoku/>
        <w:wordWrap/>
        <w:overflowPunct/>
        <w:topLinePunct w:val="0"/>
        <w:autoSpaceDE/>
        <w:autoSpaceDN/>
        <w:bidi w:val="0"/>
        <w:adjustRightInd/>
        <w:snapToGrid w:val="0"/>
        <w:spacing w:line="348" w:lineRule="auto"/>
        <w:ind w:firstLine="502" w:firstLineChars="200"/>
        <w:textAlignment w:val="auto"/>
        <w:rPr>
          <w:rFonts w:hint="eastAsia" w:ascii="宋体" w:hAnsi="宋体" w:eastAsia="宋体" w:cs="宋体"/>
          <w:b/>
          <w:spacing w:val="20"/>
          <w:sz w:val="21"/>
          <w:szCs w:val="21"/>
          <w:highlight w:val="none"/>
        </w:rPr>
      </w:pPr>
      <w:r>
        <w:rPr>
          <w:rFonts w:hint="eastAsia" w:ascii="宋体" w:hAnsi="宋体" w:eastAsia="宋体" w:cs="宋体"/>
          <w:b/>
          <w:spacing w:val="20"/>
          <w:sz w:val="21"/>
          <w:szCs w:val="21"/>
          <w:highlight w:val="none"/>
        </w:rPr>
        <w:t>2.符合中小企业划分标准的个体工商户，在政府采购活动中视同中小企业。</w:t>
      </w:r>
    </w:p>
    <w:p w14:paraId="7C2B5F2B">
      <w:pPr>
        <w:keepNext w:val="0"/>
        <w:keepLines w:val="0"/>
        <w:pageBreakBefore w:val="0"/>
        <w:kinsoku/>
        <w:wordWrap/>
        <w:overflowPunct/>
        <w:topLinePunct w:val="0"/>
        <w:autoSpaceDE/>
        <w:autoSpaceDN/>
        <w:bidi w:val="0"/>
        <w:adjustRightInd/>
        <w:snapToGrid w:val="0"/>
        <w:spacing w:line="348" w:lineRule="auto"/>
        <w:ind w:firstLine="502" w:firstLineChars="200"/>
        <w:textAlignment w:val="auto"/>
        <w:rPr>
          <w:rFonts w:hint="eastAsia" w:ascii="宋体" w:hAnsi="宋体" w:eastAsia="宋体" w:cs="宋体"/>
          <w:b/>
          <w:spacing w:val="20"/>
          <w:sz w:val="21"/>
          <w:szCs w:val="21"/>
          <w:highlight w:val="none"/>
        </w:rPr>
      </w:pPr>
      <w:r>
        <w:rPr>
          <w:rFonts w:hint="eastAsia" w:ascii="宋体" w:hAnsi="宋体" w:eastAsia="宋体" w:cs="宋体"/>
          <w:b/>
          <w:spacing w:val="20"/>
          <w:sz w:val="21"/>
          <w:szCs w:val="21"/>
          <w:highlight w:val="none"/>
        </w:rPr>
        <w:t>3.符合财政部 司法部关于政府采购支持监狱企业发展有关问题的通知（财库〔2014〕68 号）的监狱企业、符合财政部 民政部 中国残疾人联合会关于促进残疾人就业政府采购政策的通知（财库〔2017〕141 号）的残疾人福利性单位，在政府采购活动中，视同小型、微型企业，享受《政府采购促进中小企业发展管理办法》（财库[2020]46号）规定的中小企业扶持政策。监狱企业、残疾人福利性单位属于小型、微型企业的，不重复享受政策。</w:t>
      </w:r>
    </w:p>
    <w:p w14:paraId="1D73162C">
      <w:pPr>
        <w:keepNext w:val="0"/>
        <w:keepLines w:val="0"/>
        <w:pageBreakBefore w:val="0"/>
        <w:kinsoku/>
        <w:wordWrap/>
        <w:overflowPunct/>
        <w:topLinePunct w:val="0"/>
        <w:autoSpaceDE/>
        <w:autoSpaceDN/>
        <w:bidi w:val="0"/>
        <w:adjustRightInd/>
        <w:snapToGrid w:val="0"/>
        <w:spacing w:line="348" w:lineRule="auto"/>
        <w:ind w:firstLine="502" w:firstLineChars="200"/>
        <w:textAlignment w:val="auto"/>
        <w:rPr>
          <w:rFonts w:hint="eastAsia" w:ascii="宋体" w:hAnsi="宋体" w:eastAsia="宋体" w:cs="宋体"/>
          <w:b/>
          <w:spacing w:val="20"/>
          <w:sz w:val="21"/>
          <w:szCs w:val="21"/>
          <w:highlight w:val="none"/>
        </w:rPr>
      </w:pPr>
      <w:r>
        <w:rPr>
          <w:rFonts w:hint="eastAsia" w:ascii="宋体" w:hAnsi="宋体" w:eastAsia="宋体" w:cs="宋体"/>
          <w:b/>
          <w:spacing w:val="20"/>
          <w:sz w:val="21"/>
          <w:szCs w:val="21"/>
          <w:highlight w:val="none"/>
        </w:rPr>
        <w:t>4.中标、成交供应商享受《政府采购促进中小企业发展管理办法》（财库[2020]46号）规定的中小企业扶持政策的，《中小企业声明函》随中标、成交结果公开。</w:t>
      </w:r>
    </w:p>
    <w:p w14:paraId="19571519">
      <w:pPr>
        <w:keepNext w:val="0"/>
        <w:keepLines w:val="0"/>
        <w:pageBreakBefore w:val="0"/>
        <w:kinsoku/>
        <w:wordWrap/>
        <w:overflowPunct/>
        <w:topLinePunct w:val="0"/>
        <w:autoSpaceDE/>
        <w:autoSpaceDN/>
        <w:bidi w:val="0"/>
        <w:adjustRightInd/>
        <w:snapToGrid w:val="0"/>
        <w:spacing w:line="348" w:lineRule="auto"/>
        <w:ind w:firstLine="502" w:firstLineChars="200"/>
        <w:textAlignment w:val="auto"/>
        <w:rPr>
          <w:rFonts w:hint="eastAsia" w:ascii="宋体" w:hAnsi="宋体" w:eastAsia="宋体" w:cs="宋体"/>
          <w:b/>
          <w:sz w:val="21"/>
          <w:szCs w:val="21"/>
          <w:highlight w:val="none"/>
        </w:rPr>
      </w:pPr>
      <w:r>
        <w:rPr>
          <w:rFonts w:hint="eastAsia" w:ascii="宋体" w:hAnsi="宋体" w:eastAsia="宋体" w:cs="宋体"/>
          <w:b/>
          <w:spacing w:val="20"/>
          <w:sz w:val="21"/>
          <w:szCs w:val="21"/>
          <w:highlight w:val="none"/>
        </w:rPr>
        <w:t>5.供应商应当按照《政府采购促进中小企业发展管理办法》（财库[2020]46号）规定和《中小企业划型标准规定》（工信部联企业〔2011〕300号），如实填写并提交《中小企业声明函》。供应商对其声明内容的真实性负责，声明函内容不实的，属于提供虚假材料谋取中标、成交，依照《中华人民共和国政府采购法》等国家有关规定追究相应责任。</w:t>
      </w:r>
    </w:p>
    <w:p w14:paraId="407D0D0A">
      <w:pPr>
        <w:keepNext w:val="0"/>
        <w:keepLines w:val="0"/>
        <w:pageBreakBefore w:val="0"/>
        <w:widowControl w:val="0"/>
        <w:kinsoku/>
        <w:wordWrap/>
        <w:overflowPunct/>
        <w:topLinePunct w:val="0"/>
        <w:autoSpaceDE/>
        <w:autoSpaceDN/>
        <w:bidi w:val="0"/>
        <w:adjustRightInd/>
        <w:spacing w:line="348" w:lineRule="auto"/>
        <w:ind w:firstLine="422" w:firstLineChars="200"/>
        <w:jc w:val="both"/>
        <w:textAlignment w:val="auto"/>
        <w:outlineLvl w:val="9"/>
        <w:rPr>
          <w:rFonts w:hint="eastAsia" w:ascii="宋体" w:hAnsi="宋体" w:eastAsia="宋体" w:cs="宋体"/>
          <w:b/>
          <w:bCs/>
          <w:sz w:val="21"/>
          <w:szCs w:val="21"/>
          <w:highlight w:val="none"/>
          <w:lang w:eastAsia="zh-CN"/>
        </w:rPr>
      </w:pPr>
      <w:r>
        <w:rPr>
          <w:rFonts w:hint="eastAsia" w:ascii="宋体" w:hAnsi="宋体" w:eastAsia="宋体" w:cs="宋体"/>
          <w:b/>
          <w:bCs/>
          <w:sz w:val="21"/>
          <w:szCs w:val="21"/>
          <w:highlight w:val="none"/>
          <w:lang w:val="en-US" w:eastAsia="zh-CN"/>
        </w:rPr>
        <w:t>6</w:t>
      </w:r>
      <w:r>
        <w:rPr>
          <w:rFonts w:hint="eastAsia" w:ascii="宋体" w:hAnsi="宋体" w:eastAsia="宋体" w:cs="宋体"/>
          <w:b/>
          <w:spacing w:val="20"/>
          <w:sz w:val="21"/>
          <w:szCs w:val="21"/>
          <w:highlight w:val="none"/>
        </w:rPr>
        <w:t>.</w:t>
      </w:r>
      <w:r>
        <w:rPr>
          <w:rFonts w:hint="eastAsia" w:ascii="宋体" w:hAnsi="宋体" w:eastAsia="宋体" w:cs="宋体"/>
          <w:b/>
          <w:bCs/>
          <w:sz w:val="21"/>
          <w:szCs w:val="21"/>
          <w:highlight w:val="none"/>
        </w:rPr>
        <w:t>本项目采购标的对应的中小企业划分标准所属行业：其他未列明行业</w:t>
      </w:r>
      <w:r>
        <w:rPr>
          <w:rFonts w:hint="eastAsia" w:ascii="宋体" w:hAnsi="宋体" w:eastAsia="宋体" w:cs="宋体"/>
          <w:b/>
          <w:bCs/>
          <w:sz w:val="21"/>
          <w:szCs w:val="21"/>
          <w:highlight w:val="none"/>
          <w:lang w:eastAsia="zh-CN"/>
        </w:rPr>
        <w:t>。</w:t>
      </w:r>
    </w:p>
    <w:p w14:paraId="3BACAF7A">
      <w:pPr>
        <w:keepNext w:val="0"/>
        <w:keepLines w:val="0"/>
        <w:pageBreakBefore w:val="0"/>
        <w:widowControl w:val="0"/>
        <w:kinsoku/>
        <w:wordWrap/>
        <w:overflowPunct/>
        <w:topLinePunct w:val="0"/>
        <w:autoSpaceDE/>
        <w:autoSpaceDN/>
        <w:bidi w:val="0"/>
        <w:adjustRightInd/>
        <w:spacing w:line="348" w:lineRule="auto"/>
        <w:ind w:firstLine="422" w:firstLineChars="200"/>
        <w:jc w:val="both"/>
        <w:textAlignment w:val="auto"/>
        <w:outlineLvl w:val="2"/>
        <w:rPr>
          <w:rFonts w:hint="eastAsia" w:ascii="宋体" w:hAnsi="宋体" w:eastAsia="宋体" w:cs="宋体"/>
          <w:b/>
          <w:sz w:val="21"/>
          <w:szCs w:val="21"/>
          <w:highlight w:val="none"/>
        </w:rPr>
      </w:pPr>
      <w:r>
        <w:rPr>
          <w:rFonts w:hint="eastAsia" w:ascii="宋体" w:hAnsi="宋体" w:eastAsia="宋体" w:cs="宋体"/>
          <w:b/>
          <w:sz w:val="21"/>
          <w:szCs w:val="21"/>
          <w:highlight w:val="none"/>
        </w:rPr>
        <w:br w:type="page"/>
      </w:r>
      <w:r>
        <w:rPr>
          <w:rFonts w:hint="eastAsia" w:ascii="宋体" w:hAnsi="宋体" w:eastAsia="宋体" w:cs="宋体"/>
          <w:b/>
          <w:sz w:val="21"/>
          <w:szCs w:val="21"/>
          <w:highlight w:val="none"/>
        </w:rPr>
        <w:t>格式</w:t>
      </w:r>
      <w:r>
        <w:rPr>
          <w:rFonts w:hint="eastAsia" w:ascii="宋体" w:hAnsi="宋体" w:cs="宋体"/>
          <w:b/>
          <w:sz w:val="21"/>
          <w:szCs w:val="21"/>
          <w:highlight w:val="none"/>
          <w:lang w:val="en-US" w:eastAsia="zh-CN"/>
        </w:rPr>
        <w:t>三</w:t>
      </w:r>
      <w:r>
        <w:rPr>
          <w:rFonts w:hint="eastAsia" w:ascii="宋体" w:hAnsi="宋体" w:eastAsia="宋体" w:cs="宋体"/>
          <w:b/>
          <w:sz w:val="21"/>
          <w:szCs w:val="21"/>
          <w:highlight w:val="none"/>
        </w:rPr>
        <w:t>、</w:t>
      </w:r>
      <w:bookmarkStart w:id="10" w:name="OLE_LINK14"/>
      <w:bookmarkStart w:id="11" w:name="OLE_LINK13"/>
      <w:r>
        <w:rPr>
          <w:rFonts w:hint="eastAsia" w:ascii="宋体" w:hAnsi="宋体" w:eastAsia="宋体" w:cs="宋体"/>
          <w:b/>
          <w:bCs/>
          <w:sz w:val="21"/>
          <w:szCs w:val="21"/>
          <w:highlight w:val="none"/>
        </w:rPr>
        <w:t>残疾人福利性单位声明函</w:t>
      </w:r>
    </w:p>
    <w:bookmarkEnd w:id="10"/>
    <w:bookmarkEnd w:id="11"/>
    <w:p w14:paraId="4E33B0CC">
      <w:pPr>
        <w:pageBreakBefore w:val="0"/>
        <w:widowControl/>
        <w:kinsoku/>
        <w:wordWrap/>
        <w:overflowPunct/>
        <w:topLinePunct w:val="0"/>
        <w:bidi w:val="0"/>
        <w:spacing w:line="360" w:lineRule="auto"/>
        <w:jc w:val="center"/>
        <w:rPr>
          <w:rFonts w:hint="eastAsia" w:ascii="宋体" w:hAnsi="宋体" w:eastAsia="宋体" w:cs="宋体"/>
          <w:b/>
          <w:spacing w:val="6"/>
          <w:kern w:val="0"/>
          <w:sz w:val="21"/>
          <w:szCs w:val="21"/>
          <w:highlight w:val="none"/>
        </w:rPr>
      </w:pPr>
    </w:p>
    <w:p w14:paraId="14A09F24">
      <w:pPr>
        <w:pageBreakBefore w:val="0"/>
        <w:widowControl/>
        <w:kinsoku/>
        <w:wordWrap/>
        <w:overflowPunct/>
        <w:topLinePunct w:val="0"/>
        <w:bidi w:val="0"/>
        <w:spacing w:line="360" w:lineRule="auto"/>
        <w:jc w:val="center"/>
        <w:rPr>
          <w:rFonts w:hint="eastAsia" w:ascii="宋体" w:hAnsi="宋体" w:eastAsia="宋体" w:cs="宋体"/>
          <w:b/>
          <w:spacing w:val="6"/>
          <w:kern w:val="0"/>
          <w:sz w:val="21"/>
          <w:szCs w:val="21"/>
          <w:highlight w:val="none"/>
        </w:rPr>
      </w:pPr>
      <w:r>
        <w:rPr>
          <w:rFonts w:hint="eastAsia" w:ascii="宋体" w:hAnsi="宋体" w:eastAsia="宋体" w:cs="宋体"/>
          <w:b/>
          <w:spacing w:val="6"/>
          <w:kern w:val="0"/>
          <w:sz w:val="21"/>
          <w:szCs w:val="21"/>
          <w:highlight w:val="none"/>
        </w:rPr>
        <w:t>残疾人福利性单位声明函（</w:t>
      </w:r>
      <w:r>
        <w:rPr>
          <w:rFonts w:hint="eastAsia" w:ascii="宋体" w:hAnsi="宋体" w:eastAsia="宋体" w:cs="宋体"/>
          <w:b/>
          <w:spacing w:val="6"/>
          <w:kern w:val="0"/>
          <w:sz w:val="21"/>
          <w:szCs w:val="21"/>
          <w:highlight w:val="none"/>
          <w:lang w:val="en-US" w:eastAsia="zh-CN"/>
        </w:rPr>
        <w:t>服务</w:t>
      </w:r>
      <w:r>
        <w:rPr>
          <w:rFonts w:hint="eastAsia" w:ascii="宋体" w:hAnsi="宋体" w:eastAsia="宋体" w:cs="宋体"/>
          <w:b/>
          <w:spacing w:val="6"/>
          <w:kern w:val="0"/>
          <w:sz w:val="21"/>
          <w:szCs w:val="21"/>
          <w:highlight w:val="none"/>
        </w:rPr>
        <w:t>）</w:t>
      </w:r>
    </w:p>
    <w:p w14:paraId="3EDCDF83">
      <w:pPr>
        <w:pageBreakBefore w:val="0"/>
        <w:widowControl/>
        <w:kinsoku/>
        <w:wordWrap/>
        <w:overflowPunct/>
        <w:topLinePunct w:val="0"/>
        <w:bidi w:val="0"/>
        <w:spacing w:line="360" w:lineRule="auto"/>
        <w:ind w:firstLine="600"/>
        <w:rPr>
          <w:rFonts w:hint="eastAsia" w:ascii="宋体" w:hAnsi="宋体" w:eastAsia="宋体" w:cs="宋体"/>
          <w:sz w:val="21"/>
          <w:szCs w:val="21"/>
          <w:highlight w:val="none"/>
        </w:rPr>
      </w:pPr>
      <w:r>
        <w:rPr>
          <w:rFonts w:hint="eastAsia" w:ascii="宋体" w:hAnsi="宋体" w:eastAsia="宋体" w:cs="宋体"/>
          <w:sz w:val="21"/>
          <w:szCs w:val="21"/>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中国残疾人联合会关于促进残疾人就业政府采购政策的通知》（财库〔2017〕141号）的规定，本单位为符合条件的残疾人福利性单位，且本单位参加______单位的______项目采购活动由本单位提供服务。</w:t>
      </w:r>
    </w:p>
    <w:p w14:paraId="212F10D4">
      <w:pPr>
        <w:pageBreakBefore w:val="0"/>
        <w:widowControl/>
        <w:kinsoku/>
        <w:wordWrap/>
        <w:overflowPunct/>
        <w:topLinePunct w:val="0"/>
        <w:bidi w:val="0"/>
        <w:spacing w:line="360" w:lineRule="auto"/>
        <w:ind w:firstLine="600"/>
        <w:rPr>
          <w:rFonts w:hint="eastAsia" w:ascii="宋体" w:hAnsi="宋体" w:eastAsia="宋体" w:cs="宋体"/>
          <w:sz w:val="21"/>
          <w:szCs w:val="21"/>
          <w:highlight w:val="none"/>
        </w:rPr>
      </w:pPr>
      <w:r>
        <w:rPr>
          <w:rFonts w:hint="eastAsia" w:ascii="宋体" w:hAnsi="宋体" w:eastAsia="宋体" w:cs="宋体"/>
          <w:sz w:val="21"/>
          <w:szCs w:val="21"/>
          <w:highlight w:val="none"/>
        </w:rPr>
        <w:t>本单位对上述声明的真实性负责。如有虚假，将依法承担相应责任。</w:t>
      </w:r>
    </w:p>
    <w:p w14:paraId="52FE2C46">
      <w:pPr>
        <w:pageBreakBefore w:val="0"/>
        <w:widowControl/>
        <w:kinsoku/>
        <w:wordWrap/>
        <w:overflowPunct/>
        <w:topLinePunct w:val="0"/>
        <w:bidi w:val="0"/>
        <w:spacing w:line="360" w:lineRule="auto"/>
        <w:ind w:firstLine="600"/>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                                   </w:t>
      </w:r>
    </w:p>
    <w:p w14:paraId="2C6DE695">
      <w:pPr>
        <w:pageBreakBefore w:val="0"/>
        <w:widowControl/>
        <w:kinsoku/>
        <w:wordWrap/>
        <w:overflowPunct/>
        <w:topLinePunct w:val="0"/>
        <w:bidi w:val="0"/>
        <w:spacing w:line="360" w:lineRule="auto"/>
        <w:ind w:firstLine="60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单位名称（盖章）：</w:t>
      </w:r>
    </w:p>
    <w:p w14:paraId="7854C238">
      <w:pPr>
        <w:pageBreakBefore w:val="0"/>
        <w:widowControl/>
        <w:kinsoku/>
        <w:wordWrap/>
        <w:overflowPunct/>
        <w:topLinePunct w:val="0"/>
        <w:bidi w:val="0"/>
        <w:spacing w:line="360" w:lineRule="auto"/>
        <w:ind w:firstLine="600"/>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                                    日  期：</w:t>
      </w:r>
    </w:p>
    <w:p w14:paraId="1BC18D46">
      <w:pPr>
        <w:pageBreakBefore w:val="0"/>
        <w:widowControl/>
        <w:kinsoku/>
        <w:wordWrap/>
        <w:overflowPunct/>
        <w:topLinePunct w:val="0"/>
        <w:bidi w:val="0"/>
        <w:spacing w:line="360" w:lineRule="auto"/>
        <w:rPr>
          <w:rFonts w:hint="eastAsia" w:ascii="宋体" w:hAnsi="宋体" w:eastAsia="宋体" w:cs="宋体"/>
          <w:spacing w:val="6"/>
          <w:kern w:val="0"/>
          <w:sz w:val="21"/>
          <w:szCs w:val="21"/>
          <w:highlight w:val="none"/>
        </w:rPr>
      </w:pPr>
    </w:p>
    <w:p w14:paraId="1DBBDEB7">
      <w:pPr>
        <w:pageBreakBefore w:val="0"/>
        <w:kinsoku/>
        <w:wordWrap/>
        <w:overflowPunct/>
        <w:topLinePunct w:val="0"/>
        <w:bidi w:val="0"/>
        <w:spacing w:before="312" w:beforeLines="100" w:line="360" w:lineRule="auto"/>
        <w:ind w:firstLine="444" w:firstLineChars="200"/>
        <w:rPr>
          <w:rFonts w:hint="eastAsia" w:ascii="宋体" w:hAnsi="宋体" w:eastAsia="宋体" w:cs="宋体"/>
          <w:spacing w:val="6"/>
          <w:sz w:val="21"/>
          <w:szCs w:val="21"/>
          <w:highlight w:val="none"/>
        </w:rPr>
      </w:pPr>
      <w:r>
        <w:rPr>
          <w:rFonts w:hint="eastAsia" w:ascii="宋体" w:hAnsi="宋体" w:eastAsia="宋体" w:cs="宋体"/>
          <w:spacing w:val="6"/>
          <w:kern w:val="0"/>
          <w:sz w:val="21"/>
          <w:szCs w:val="21"/>
          <w:highlight w:val="none"/>
        </w:rPr>
        <w:t xml:space="preserve">             </w:t>
      </w:r>
    </w:p>
    <w:p w14:paraId="3FEDA16A">
      <w:pPr>
        <w:keepNext w:val="0"/>
        <w:keepLines w:val="0"/>
        <w:pageBreakBefore w:val="0"/>
        <w:widowControl w:val="0"/>
        <w:kinsoku/>
        <w:wordWrap/>
        <w:overflowPunct/>
        <w:topLinePunct w:val="0"/>
        <w:autoSpaceDE/>
        <w:autoSpaceDN/>
        <w:bidi w:val="0"/>
        <w:adjustRightInd/>
        <w:spacing w:line="360" w:lineRule="auto"/>
        <w:textAlignment w:val="auto"/>
        <w:rPr>
          <w:rFonts w:hint="eastAsia" w:ascii="宋体" w:hAnsi="宋体" w:eastAsia="宋体" w:cs="宋体"/>
          <w:b/>
          <w:spacing w:val="20"/>
          <w:sz w:val="21"/>
          <w:szCs w:val="21"/>
          <w:highlight w:val="none"/>
        </w:rPr>
      </w:pPr>
      <w:r>
        <w:rPr>
          <w:rFonts w:hint="eastAsia" w:ascii="宋体" w:hAnsi="宋体" w:eastAsia="宋体" w:cs="宋体"/>
          <w:b/>
          <w:spacing w:val="20"/>
          <w:sz w:val="21"/>
          <w:szCs w:val="21"/>
          <w:highlight w:val="none"/>
        </w:rPr>
        <w:t>注：</w:t>
      </w:r>
    </w:p>
    <w:p w14:paraId="4C6C9EE4">
      <w:pPr>
        <w:keepNext w:val="0"/>
        <w:keepLines w:val="0"/>
        <w:pageBreakBefore w:val="0"/>
        <w:widowControl w:val="0"/>
        <w:kinsoku/>
        <w:wordWrap/>
        <w:overflowPunct/>
        <w:topLinePunct w:val="0"/>
        <w:autoSpaceDE/>
        <w:autoSpaceDN/>
        <w:bidi w:val="0"/>
        <w:adjustRightInd/>
        <w:snapToGrid w:val="0"/>
        <w:spacing w:line="360" w:lineRule="auto"/>
        <w:ind w:firstLine="422" w:firstLineChars="200"/>
        <w:jc w:val="left"/>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1.中标、成交供应商为残疾人福利性单位的，《残疾人福利性单位声明函》随中标、成交结果同时公告，接受社会监督。</w:t>
      </w:r>
    </w:p>
    <w:p w14:paraId="0A3AF1F6">
      <w:pPr>
        <w:keepNext w:val="0"/>
        <w:keepLines w:val="0"/>
        <w:pageBreakBefore w:val="0"/>
        <w:widowControl w:val="0"/>
        <w:kinsoku/>
        <w:wordWrap/>
        <w:overflowPunct/>
        <w:topLinePunct w:val="0"/>
        <w:autoSpaceDE/>
        <w:autoSpaceDN/>
        <w:bidi w:val="0"/>
        <w:adjustRightInd/>
        <w:snapToGrid w:val="0"/>
        <w:spacing w:line="360" w:lineRule="auto"/>
        <w:ind w:firstLine="422" w:firstLineChars="200"/>
        <w:jc w:val="left"/>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2.供应商提供的《残疾人福利性单位声明函》与事实不符的，依照《</w:t>
      </w:r>
      <w:r>
        <w:rPr>
          <w:rFonts w:hint="eastAsia" w:ascii="宋体" w:hAnsi="宋体" w:eastAsia="宋体" w:cs="宋体"/>
          <w:b/>
          <w:sz w:val="21"/>
          <w:szCs w:val="21"/>
          <w:highlight w:val="none"/>
          <w:lang w:eastAsia="zh-CN"/>
        </w:rPr>
        <w:t>中华人民共和国政府采购法</w:t>
      </w:r>
      <w:r>
        <w:rPr>
          <w:rFonts w:hint="eastAsia" w:ascii="宋体" w:hAnsi="宋体" w:eastAsia="宋体" w:cs="宋体"/>
          <w:b/>
          <w:sz w:val="21"/>
          <w:szCs w:val="21"/>
          <w:highlight w:val="none"/>
        </w:rPr>
        <w:t>》第七十七条第一款的规定追究法律责任。</w:t>
      </w:r>
    </w:p>
    <w:p w14:paraId="29FD1B3C">
      <w:pPr>
        <w:pageBreakBefore w:val="0"/>
        <w:kinsoku/>
        <w:wordWrap/>
        <w:overflowPunct/>
        <w:topLinePunct w:val="0"/>
        <w:bidi w:val="0"/>
        <w:spacing w:line="360" w:lineRule="auto"/>
        <w:outlineLvl w:val="2"/>
        <w:rPr>
          <w:rFonts w:hint="eastAsia" w:ascii="宋体" w:hAnsi="宋体" w:eastAsia="宋体" w:cs="宋体"/>
          <w:sz w:val="21"/>
          <w:szCs w:val="21"/>
          <w:highlight w:val="none"/>
        </w:rPr>
      </w:pPr>
      <w:r>
        <w:rPr>
          <w:rFonts w:hint="eastAsia" w:ascii="宋体" w:hAnsi="宋体" w:eastAsia="宋体" w:cs="宋体"/>
          <w:b/>
          <w:spacing w:val="20"/>
          <w:sz w:val="21"/>
          <w:szCs w:val="21"/>
          <w:highlight w:val="none"/>
        </w:rPr>
        <w:br w:type="page"/>
      </w:r>
      <w:r>
        <w:rPr>
          <w:rFonts w:hint="eastAsia" w:ascii="宋体" w:hAnsi="宋体" w:eastAsia="宋体" w:cs="宋体"/>
          <w:b/>
          <w:spacing w:val="20"/>
          <w:sz w:val="21"/>
          <w:szCs w:val="21"/>
          <w:highlight w:val="none"/>
          <w:lang w:val="en-US" w:eastAsia="zh-CN"/>
        </w:rPr>
        <w:t>格式</w:t>
      </w:r>
      <w:r>
        <w:rPr>
          <w:rFonts w:hint="eastAsia" w:ascii="宋体" w:hAnsi="宋体" w:cs="宋体"/>
          <w:b/>
          <w:spacing w:val="20"/>
          <w:sz w:val="21"/>
          <w:szCs w:val="21"/>
          <w:highlight w:val="none"/>
          <w:lang w:val="en-US" w:eastAsia="zh-CN"/>
        </w:rPr>
        <w:t>四</w:t>
      </w:r>
      <w:r>
        <w:rPr>
          <w:rFonts w:hint="eastAsia" w:ascii="宋体" w:hAnsi="宋体" w:eastAsia="宋体" w:cs="宋体"/>
          <w:b/>
          <w:spacing w:val="20"/>
          <w:sz w:val="21"/>
          <w:szCs w:val="21"/>
          <w:highlight w:val="none"/>
        </w:rPr>
        <w:t>、投标函</w:t>
      </w:r>
    </w:p>
    <w:p w14:paraId="636C0354">
      <w:pPr>
        <w:pageBreakBefore w:val="0"/>
        <w:kinsoku/>
        <w:wordWrap/>
        <w:overflowPunct/>
        <w:topLinePunct w:val="0"/>
        <w:bidi w:val="0"/>
        <w:spacing w:line="360" w:lineRule="auto"/>
        <w:jc w:val="left"/>
        <w:rPr>
          <w:rFonts w:hint="eastAsia" w:ascii="宋体" w:hAnsi="宋体" w:eastAsia="宋体" w:cs="宋体"/>
          <w:sz w:val="21"/>
          <w:szCs w:val="21"/>
          <w:highlight w:val="none"/>
          <w:lang w:val="en-US" w:eastAsia="zh-CN"/>
        </w:rPr>
      </w:pPr>
      <w:r>
        <w:rPr>
          <w:rFonts w:hint="eastAsia" w:ascii="宋体" w:hAnsi="宋体" w:eastAsia="宋体" w:cs="宋体"/>
          <w:spacing w:val="-4"/>
          <w:sz w:val="21"/>
          <w:szCs w:val="21"/>
          <w:highlight w:val="none"/>
        </w:rPr>
        <w:t>致：</w:t>
      </w:r>
      <w:r>
        <w:rPr>
          <w:rFonts w:hint="eastAsia" w:ascii="宋体" w:hAnsi="宋体" w:eastAsia="宋体" w:cs="宋体"/>
          <w:color w:val="auto"/>
          <w:sz w:val="21"/>
          <w:szCs w:val="21"/>
          <w:highlight w:val="none"/>
          <w:lang w:val="en-US" w:eastAsia="zh-CN"/>
        </w:rPr>
        <w:t>舟山市公安局交通警察支队</w:t>
      </w:r>
    </w:p>
    <w:p w14:paraId="01032355">
      <w:pPr>
        <w:pageBreakBefore w:val="0"/>
        <w:kinsoku/>
        <w:wordWrap/>
        <w:overflowPunct/>
        <w:topLinePunct w:val="0"/>
        <w:bidi w:val="0"/>
        <w:spacing w:line="360" w:lineRule="auto"/>
        <w:ind w:firstLine="420" w:firstLineChars="200"/>
        <w:jc w:val="left"/>
        <w:rPr>
          <w:rFonts w:hint="eastAsia" w:ascii="宋体" w:hAnsi="宋体" w:eastAsia="宋体" w:cs="宋体"/>
          <w:spacing w:val="-4"/>
          <w:sz w:val="21"/>
          <w:szCs w:val="21"/>
          <w:highlight w:val="none"/>
        </w:rPr>
      </w:pPr>
      <w:r>
        <w:rPr>
          <w:rFonts w:hint="eastAsia" w:ascii="宋体" w:hAnsi="宋体" w:eastAsia="宋体" w:cs="宋体"/>
          <w:sz w:val="21"/>
          <w:szCs w:val="21"/>
          <w:highlight w:val="none"/>
        </w:rPr>
        <w:t>中金招标有限责任公司</w:t>
      </w:r>
    </w:p>
    <w:p w14:paraId="77E710E7">
      <w:pPr>
        <w:pageBreakBefore w:val="0"/>
        <w:tabs>
          <w:tab w:val="left" w:pos="7140"/>
        </w:tabs>
        <w:kinsoku/>
        <w:wordWrap/>
        <w:overflowPunct/>
        <w:topLinePunct w:val="0"/>
        <w:bidi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我方</w:t>
      </w:r>
      <w:r>
        <w:rPr>
          <w:rFonts w:hint="eastAsia" w:ascii="宋体" w:hAnsi="宋体" w:eastAsia="宋体" w:cs="宋体"/>
          <w:b/>
          <w:sz w:val="21"/>
          <w:szCs w:val="21"/>
          <w:highlight w:val="none"/>
          <w:u w:val="single"/>
        </w:rPr>
        <w:t>（投标人名称）</w:t>
      </w:r>
      <w:r>
        <w:rPr>
          <w:rFonts w:hint="eastAsia" w:ascii="宋体" w:hAnsi="宋体" w:eastAsia="宋体" w:cs="宋体"/>
          <w:sz w:val="21"/>
          <w:szCs w:val="21"/>
          <w:highlight w:val="none"/>
        </w:rPr>
        <w:t>已详细审查了</w:t>
      </w:r>
      <w:r>
        <w:rPr>
          <w:rFonts w:hint="eastAsia" w:ascii="宋体" w:hAnsi="宋体" w:eastAsia="宋体" w:cs="宋体"/>
          <w:b/>
          <w:sz w:val="21"/>
          <w:szCs w:val="21"/>
          <w:highlight w:val="none"/>
          <w:u w:val="single"/>
        </w:rPr>
        <w:t xml:space="preserve">（项目编号）（项目名称）    </w:t>
      </w:r>
      <w:r>
        <w:rPr>
          <w:rFonts w:hint="eastAsia" w:ascii="宋体" w:hAnsi="宋体" w:eastAsia="宋体" w:cs="宋体"/>
          <w:sz w:val="21"/>
          <w:szCs w:val="21"/>
          <w:highlight w:val="none"/>
        </w:rPr>
        <w:t>的</w:t>
      </w:r>
      <w:r>
        <w:rPr>
          <w:rFonts w:hint="eastAsia" w:ascii="宋体" w:hAnsi="宋体" w:eastAsia="宋体" w:cs="宋体"/>
          <w:sz w:val="21"/>
          <w:szCs w:val="21"/>
          <w:highlight w:val="none"/>
          <w:lang w:val="en-US" w:eastAsia="zh-CN"/>
        </w:rPr>
        <w:t>磋商文件</w:t>
      </w:r>
      <w:r>
        <w:rPr>
          <w:rFonts w:hint="eastAsia" w:ascii="宋体" w:hAnsi="宋体" w:eastAsia="宋体" w:cs="宋体"/>
          <w:sz w:val="21"/>
          <w:szCs w:val="21"/>
          <w:highlight w:val="none"/>
        </w:rPr>
        <w:t>及其相关补充文件</w:t>
      </w:r>
      <w:r>
        <w:rPr>
          <w:rFonts w:hint="eastAsia" w:ascii="宋体" w:hAnsi="宋体" w:eastAsia="宋体" w:cs="宋体"/>
          <w:b/>
          <w:sz w:val="21"/>
          <w:szCs w:val="21"/>
          <w:highlight w:val="none"/>
        </w:rPr>
        <w:t>（若有）</w:t>
      </w:r>
      <w:r>
        <w:rPr>
          <w:rFonts w:hint="eastAsia" w:ascii="宋体" w:hAnsi="宋体" w:eastAsia="宋体" w:cs="宋体"/>
          <w:sz w:val="21"/>
          <w:szCs w:val="21"/>
          <w:highlight w:val="none"/>
        </w:rPr>
        <w:t>，并正式授权我公司的</w:t>
      </w:r>
      <w:r>
        <w:rPr>
          <w:rFonts w:hint="eastAsia" w:ascii="宋体" w:hAnsi="宋体" w:eastAsia="宋体" w:cs="宋体"/>
          <w:b/>
          <w:sz w:val="21"/>
          <w:szCs w:val="21"/>
          <w:highlight w:val="none"/>
          <w:u w:val="single"/>
        </w:rPr>
        <w:t>（被授权人姓名）</w:t>
      </w:r>
      <w:r>
        <w:rPr>
          <w:rFonts w:hint="eastAsia" w:ascii="宋体" w:hAnsi="宋体" w:eastAsia="宋体" w:cs="宋体"/>
          <w:sz w:val="21"/>
          <w:szCs w:val="21"/>
          <w:highlight w:val="none"/>
        </w:rPr>
        <w:t>以本公司名义，全权代表我方自愿参加上述采购项目的投标，现就有关事项向采购代理机构郑重承诺如下：</w:t>
      </w:r>
    </w:p>
    <w:p w14:paraId="21FE7D48">
      <w:pPr>
        <w:pageBreakBefore w:val="0"/>
        <w:kinsoku/>
        <w:wordWrap/>
        <w:overflowPunct/>
        <w:topLinePunct w:val="0"/>
        <w:bidi w:val="0"/>
        <w:spacing w:line="360" w:lineRule="auto"/>
        <w:ind w:right="-91"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1、我方已详细审查了</w:t>
      </w:r>
      <w:r>
        <w:rPr>
          <w:rFonts w:hint="eastAsia" w:ascii="宋体" w:hAnsi="宋体" w:eastAsia="宋体" w:cs="宋体"/>
          <w:sz w:val="21"/>
          <w:szCs w:val="21"/>
          <w:highlight w:val="none"/>
          <w:lang w:val="en-US" w:eastAsia="zh-CN"/>
        </w:rPr>
        <w:t>磋商文件</w:t>
      </w:r>
      <w:r>
        <w:rPr>
          <w:rFonts w:hint="eastAsia" w:ascii="宋体" w:hAnsi="宋体" w:eastAsia="宋体" w:cs="宋体"/>
          <w:sz w:val="21"/>
          <w:szCs w:val="21"/>
          <w:highlight w:val="none"/>
        </w:rPr>
        <w:t>的全部内容及其相关补充文件</w:t>
      </w:r>
      <w:r>
        <w:rPr>
          <w:rFonts w:hint="eastAsia" w:ascii="宋体" w:hAnsi="宋体" w:eastAsia="宋体" w:cs="宋体"/>
          <w:b/>
          <w:sz w:val="21"/>
          <w:szCs w:val="21"/>
          <w:highlight w:val="none"/>
        </w:rPr>
        <w:t>（若有）</w:t>
      </w:r>
      <w:r>
        <w:rPr>
          <w:rFonts w:hint="eastAsia" w:ascii="宋体" w:hAnsi="宋体" w:eastAsia="宋体" w:cs="宋体"/>
          <w:sz w:val="21"/>
          <w:szCs w:val="21"/>
          <w:highlight w:val="none"/>
        </w:rPr>
        <w:t>，并完全清晰理解全部内容及相关的补充文件</w:t>
      </w:r>
      <w:r>
        <w:rPr>
          <w:rFonts w:hint="eastAsia" w:ascii="宋体" w:hAnsi="宋体" w:eastAsia="宋体" w:cs="宋体"/>
          <w:b/>
          <w:sz w:val="21"/>
          <w:szCs w:val="21"/>
          <w:highlight w:val="none"/>
        </w:rPr>
        <w:t>（若有）</w:t>
      </w:r>
      <w:r>
        <w:rPr>
          <w:rFonts w:hint="eastAsia" w:ascii="宋体" w:hAnsi="宋体" w:eastAsia="宋体" w:cs="宋体"/>
          <w:sz w:val="21"/>
          <w:szCs w:val="21"/>
          <w:highlight w:val="none"/>
        </w:rPr>
        <w:t>，不存在任何误解之处，同意放弃提出异议和质疑的权利。</w:t>
      </w:r>
    </w:p>
    <w:p w14:paraId="403EC591">
      <w:pPr>
        <w:pageBreakBefore w:val="0"/>
        <w:kinsoku/>
        <w:wordWrap/>
        <w:overflowPunct/>
        <w:topLinePunct w:val="0"/>
        <w:bidi w:val="0"/>
        <w:spacing w:line="360" w:lineRule="auto"/>
        <w:ind w:right="-89" w:firstLine="404" w:firstLineChars="200"/>
        <w:jc w:val="left"/>
        <w:rPr>
          <w:rFonts w:hint="eastAsia" w:ascii="宋体" w:hAnsi="宋体" w:eastAsia="宋体" w:cs="宋体"/>
          <w:spacing w:val="-4"/>
          <w:sz w:val="21"/>
          <w:szCs w:val="21"/>
          <w:highlight w:val="none"/>
        </w:rPr>
      </w:pPr>
      <w:r>
        <w:rPr>
          <w:rFonts w:hint="eastAsia" w:ascii="宋体" w:hAnsi="宋体" w:eastAsia="宋体" w:cs="宋体"/>
          <w:spacing w:val="-4"/>
          <w:sz w:val="21"/>
          <w:szCs w:val="21"/>
          <w:highlight w:val="none"/>
        </w:rPr>
        <w:t>2、在项目实施过程中，我方完全响应</w:t>
      </w:r>
      <w:r>
        <w:rPr>
          <w:rFonts w:hint="eastAsia" w:ascii="宋体" w:hAnsi="宋体" w:eastAsia="宋体" w:cs="宋体"/>
          <w:spacing w:val="-4"/>
          <w:sz w:val="21"/>
          <w:szCs w:val="21"/>
          <w:highlight w:val="none"/>
          <w:lang w:val="en-US" w:eastAsia="zh-CN"/>
        </w:rPr>
        <w:t>磋商文件</w:t>
      </w:r>
      <w:r>
        <w:rPr>
          <w:rFonts w:hint="eastAsia" w:ascii="宋体" w:hAnsi="宋体" w:eastAsia="宋体" w:cs="宋体"/>
          <w:spacing w:val="-4"/>
          <w:sz w:val="21"/>
          <w:szCs w:val="21"/>
          <w:highlight w:val="none"/>
        </w:rPr>
        <w:t>的所有条款，履行合同义务。执行标准绝不低于</w:t>
      </w:r>
      <w:r>
        <w:rPr>
          <w:rFonts w:hint="eastAsia" w:ascii="宋体" w:hAnsi="宋体" w:eastAsia="宋体" w:cs="宋体"/>
          <w:spacing w:val="-4"/>
          <w:sz w:val="21"/>
          <w:szCs w:val="21"/>
          <w:highlight w:val="none"/>
          <w:lang w:eastAsia="zh-CN"/>
        </w:rPr>
        <w:t>磋商文件</w:t>
      </w:r>
      <w:r>
        <w:rPr>
          <w:rFonts w:hint="eastAsia" w:ascii="宋体" w:hAnsi="宋体" w:eastAsia="宋体" w:cs="宋体"/>
          <w:spacing w:val="-4"/>
          <w:sz w:val="21"/>
          <w:szCs w:val="21"/>
          <w:highlight w:val="none"/>
        </w:rPr>
        <w:t>的标准要求。</w:t>
      </w:r>
    </w:p>
    <w:p w14:paraId="3ECA3C0F">
      <w:pPr>
        <w:pageBreakBefore w:val="0"/>
        <w:kinsoku/>
        <w:wordWrap/>
        <w:overflowPunct/>
        <w:topLinePunct w:val="0"/>
        <w:bidi w:val="0"/>
        <w:spacing w:line="360" w:lineRule="auto"/>
        <w:ind w:right="-89" w:firstLine="404" w:firstLineChars="200"/>
        <w:jc w:val="left"/>
        <w:rPr>
          <w:rFonts w:hint="eastAsia" w:ascii="宋体" w:hAnsi="宋体" w:eastAsia="宋体" w:cs="宋体"/>
          <w:spacing w:val="-4"/>
          <w:sz w:val="21"/>
          <w:szCs w:val="21"/>
          <w:highlight w:val="none"/>
        </w:rPr>
      </w:pPr>
      <w:r>
        <w:rPr>
          <w:rFonts w:hint="eastAsia" w:ascii="宋体" w:hAnsi="宋体" w:eastAsia="宋体" w:cs="宋体"/>
          <w:spacing w:val="-4"/>
          <w:sz w:val="21"/>
          <w:szCs w:val="21"/>
          <w:highlight w:val="none"/>
        </w:rPr>
        <w:t>3、我方遵守《中华人民共和国政府采购法》及相关法律法规的规定。同意</w:t>
      </w:r>
      <w:r>
        <w:rPr>
          <w:rFonts w:hint="eastAsia" w:ascii="宋体" w:hAnsi="宋体" w:eastAsia="宋体" w:cs="宋体"/>
          <w:spacing w:val="-4"/>
          <w:sz w:val="21"/>
          <w:szCs w:val="21"/>
          <w:highlight w:val="none"/>
          <w:lang w:eastAsia="zh-CN"/>
        </w:rPr>
        <w:t>磋商文件</w:t>
      </w:r>
      <w:r>
        <w:rPr>
          <w:rFonts w:hint="eastAsia" w:ascii="宋体" w:hAnsi="宋体" w:eastAsia="宋体" w:cs="宋体"/>
          <w:spacing w:val="-4"/>
          <w:sz w:val="21"/>
          <w:szCs w:val="21"/>
          <w:highlight w:val="none"/>
        </w:rPr>
        <w:t>中所提到的无效标条款，并服从有关开标现场的会议纪律。否则，同意被废除投标资格。</w:t>
      </w:r>
    </w:p>
    <w:p w14:paraId="35DD3ED2">
      <w:pPr>
        <w:pageBreakBefore w:val="0"/>
        <w:kinsoku/>
        <w:wordWrap/>
        <w:overflowPunct/>
        <w:topLinePunct w:val="0"/>
        <w:bidi w:val="0"/>
        <w:spacing w:line="360" w:lineRule="auto"/>
        <w:ind w:right="-89" w:firstLine="404" w:firstLineChars="200"/>
        <w:jc w:val="left"/>
        <w:rPr>
          <w:rFonts w:hint="eastAsia" w:ascii="宋体" w:hAnsi="宋体" w:eastAsia="宋体" w:cs="宋体"/>
          <w:spacing w:val="-4"/>
          <w:sz w:val="21"/>
          <w:szCs w:val="21"/>
          <w:highlight w:val="none"/>
        </w:rPr>
      </w:pPr>
      <w:r>
        <w:rPr>
          <w:rFonts w:hint="eastAsia" w:ascii="宋体" w:hAnsi="宋体" w:eastAsia="宋体" w:cs="宋体"/>
          <w:spacing w:val="-4"/>
          <w:sz w:val="21"/>
          <w:szCs w:val="21"/>
          <w:highlight w:val="none"/>
        </w:rPr>
        <w:t>4、</w:t>
      </w:r>
      <w:r>
        <w:rPr>
          <w:rFonts w:hint="eastAsia" w:ascii="宋体" w:hAnsi="宋体" w:eastAsia="宋体" w:cs="宋体"/>
          <w:spacing w:val="-4"/>
          <w:sz w:val="21"/>
          <w:szCs w:val="21"/>
          <w:highlight w:val="none"/>
          <w:lang w:val="en-US" w:eastAsia="zh-CN"/>
        </w:rPr>
        <w:t>我方承诺具有良好的商业信誉和健全的财务会计制度；具备履行合同所必需的设备和专业技术能力；具</w:t>
      </w:r>
      <w:r>
        <w:rPr>
          <w:rFonts w:hint="eastAsia" w:ascii="宋体" w:hAnsi="宋体" w:eastAsia="宋体" w:cs="宋体"/>
          <w:spacing w:val="-4"/>
          <w:sz w:val="21"/>
          <w:szCs w:val="21"/>
          <w:highlight w:val="none"/>
        </w:rPr>
        <w:t>有依法缴纳税收和社会保障资金的良好记录；</w:t>
      </w:r>
      <w:r>
        <w:rPr>
          <w:rFonts w:hint="eastAsia" w:ascii="宋体" w:hAnsi="宋体" w:eastAsia="宋体" w:cs="宋体"/>
          <w:spacing w:val="-4"/>
          <w:sz w:val="21"/>
          <w:szCs w:val="21"/>
          <w:highlight w:val="none"/>
          <w:lang w:val="en-US" w:eastAsia="zh-CN"/>
        </w:rPr>
        <w:t>参加本次政府采购活动前3年内在经营活动中没有重大违法记录。</w:t>
      </w:r>
    </w:p>
    <w:p w14:paraId="18EC2D73">
      <w:pPr>
        <w:pageBreakBefore w:val="0"/>
        <w:kinsoku/>
        <w:wordWrap/>
        <w:overflowPunct/>
        <w:topLinePunct w:val="0"/>
        <w:bidi w:val="0"/>
        <w:spacing w:line="360" w:lineRule="auto"/>
        <w:ind w:right="-89" w:firstLine="404" w:firstLineChars="200"/>
        <w:jc w:val="left"/>
        <w:rPr>
          <w:rFonts w:hint="eastAsia" w:ascii="宋体" w:hAnsi="宋体" w:eastAsia="宋体" w:cs="宋体"/>
          <w:spacing w:val="-4"/>
          <w:sz w:val="21"/>
          <w:szCs w:val="21"/>
          <w:highlight w:val="none"/>
        </w:rPr>
      </w:pPr>
      <w:r>
        <w:rPr>
          <w:rFonts w:hint="eastAsia" w:ascii="宋体" w:hAnsi="宋体" w:eastAsia="宋体" w:cs="宋体"/>
          <w:spacing w:val="-4"/>
          <w:sz w:val="21"/>
          <w:szCs w:val="21"/>
          <w:highlight w:val="none"/>
        </w:rPr>
        <w:t>5、我方所提供的一次性投标报价具有充分的合理性和准确性，保证不存在低于成本的恶意报价行为，同时清楚理解到报价最低并非意味着必定获得合同授予资格。</w:t>
      </w:r>
    </w:p>
    <w:p w14:paraId="758F512B">
      <w:pPr>
        <w:pageBreakBefore w:val="0"/>
        <w:kinsoku/>
        <w:wordWrap/>
        <w:overflowPunct/>
        <w:topLinePunct w:val="0"/>
        <w:bidi w:val="0"/>
        <w:spacing w:line="360" w:lineRule="auto"/>
        <w:ind w:right="-89" w:firstLine="404" w:firstLineChars="200"/>
        <w:jc w:val="left"/>
        <w:rPr>
          <w:rFonts w:hint="eastAsia" w:ascii="宋体" w:hAnsi="宋体" w:eastAsia="宋体" w:cs="宋体"/>
          <w:spacing w:val="-4"/>
          <w:sz w:val="21"/>
          <w:szCs w:val="21"/>
          <w:highlight w:val="none"/>
        </w:rPr>
      </w:pPr>
      <w:r>
        <w:rPr>
          <w:rFonts w:hint="eastAsia" w:ascii="宋体" w:hAnsi="宋体" w:eastAsia="宋体" w:cs="宋体"/>
          <w:spacing w:val="-4"/>
          <w:sz w:val="21"/>
          <w:szCs w:val="21"/>
          <w:highlight w:val="none"/>
        </w:rPr>
        <w:t>6、投标有效期为自开标之日起90天内，如在投标有效期内撤回投标，我方同意被废除投标资格。</w:t>
      </w:r>
    </w:p>
    <w:p w14:paraId="77EEEBF0">
      <w:pPr>
        <w:pageBreakBefore w:val="0"/>
        <w:kinsoku/>
        <w:wordWrap/>
        <w:overflowPunct/>
        <w:topLinePunct w:val="0"/>
        <w:bidi w:val="0"/>
        <w:spacing w:line="360" w:lineRule="auto"/>
        <w:ind w:right="-89" w:firstLine="404" w:firstLineChars="200"/>
        <w:jc w:val="left"/>
        <w:rPr>
          <w:rFonts w:hint="eastAsia" w:ascii="宋体" w:hAnsi="宋体" w:cs="宋体"/>
          <w:spacing w:val="-4"/>
          <w:sz w:val="21"/>
          <w:szCs w:val="21"/>
          <w:highlight w:val="none"/>
          <w:lang w:eastAsia="zh-CN"/>
        </w:rPr>
      </w:pPr>
      <w:r>
        <w:rPr>
          <w:rFonts w:hint="eastAsia" w:ascii="宋体" w:hAnsi="宋体" w:eastAsia="宋体" w:cs="宋体"/>
          <w:spacing w:val="-4"/>
          <w:sz w:val="21"/>
          <w:szCs w:val="21"/>
          <w:highlight w:val="none"/>
          <w:lang w:val="en-US" w:eastAsia="zh-CN"/>
        </w:rPr>
        <w:t>7、</w:t>
      </w:r>
      <w:r>
        <w:rPr>
          <w:rFonts w:hint="eastAsia" w:ascii="宋体" w:hAnsi="宋体" w:eastAsia="宋体" w:cs="宋体"/>
          <w:spacing w:val="-4"/>
          <w:sz w:val="21"/>
          <w:szCs w:val="21"/>
          <w:highlight w:val="none"/>
        </w:rPr>
        <w:t>我方承诺所提供的一切投标文件</w:t>
      </w:r>
      <w:r>
        <w:rPr>
          <w:rFonts w:hint="eastAsia" w:ascii="宋体" w:hAnsi="宋体" w:eastAsia="宋体" w:cs="宋体"/>
          <w:spacing w:val="-4"/>
          <w:sz w:val="21"/>
          <w:szCs w:val="21"/>
          <w:highlight w:val="none"/>
          <w:lang w:val="en-US" w:eastAsia="zh-CN"/>
        </w:rPr>
        <w:t>均</w:t>
      </w:r>
      <w:r>
        <w:rPr>
          <w:rFonts w:hint="eastAsia" w:ascii="宋体" w:hAnsi="宋体" w:eastAsia="宋体" w:cs="宋体"/>
          <w:spacing w:val="-4"/>
          <w:sz w:val="21"/>
          <w:szCs w:val="21"/>
          <w:highlight w:val="none"/>
        </w:rPr>
        <w:t>已认真严格审核，内容均为全面真实、准确有效且毫无保留，绝无任何遗漏、虚假、伪造和夸大的成</w:t>
      </w:r>
      <w:r>
        <w:rPr>
          <w:rFonts w:hint="eastAsia" w:ascii="宋体" w:hAnsi="宋体" w:eastAsia="宋体" w:cs="宋体"/>
          <w:spacing w:val="-4"/>
          <w:sz w:val="21"/>
          <w:szCs w:val="21"/>
          <w:highlight w:val="none"/>
          <w:lang w:val="en-US" w:eastAsia="zh-CN"/>
        </w:rPr>
        <w:t>分</w:t>
      </w:r>
      <w:r>
        <w:rPr>
          <w:rFonts w:hint="eastAsia" w:ascii="宋体" w:hAnsi="宋体" w:eastAsia="宋体" w:cs="宋体"/>
          <w:spacing w:val="-4"/>
          <w:sz w:val="21"/>
          <w:szCs w:val="21"/>
          <w:highlight w:val="none"/>
        </w:rPr>
        <w:t>，若出现违背诚实信用和无如实告知之处，同意被废除投标资格和相关的处罚</w:t>
      </w:r>
      <w:r>
        <w:rPr>
          <w:rFonts w:hint="eastAsia" w:ascii="宋体" w:hAnsi="宋体" w:cs="宋体"/>
          <w:spacing w:val="-4"/>
          <w:sz w:val="21"/>
          <w:szCs w:val="21"/>
          <w:highlight w:val="none"/>
          <w:lang w:eastAsia="zh-CN"/>
        </w:rPr>
        <w:t>。</w:t>
      </w:r>
    </w:p>
    <w:p w14:paraId="101ACE4F">
      <w:pPr>
        <w:pageBreakBefore w:val="0"/>
        <w:kinsoku/>
        <w:wordWrap/>
        <w:overflowPunct/>
        <w:topLinePunct w:val="0"/>
        <w:bidi w:val="0"/>
        <w:spacing w:line="360" w:lineRule="auto"/>
        <w:ind w:right="-89" w:firstLine="404" w:firstLineChars="200"/>
        <w:jc w:val="left"/>
        <w:rPr>
          <w:rFonts w:hint="default" w:ascii="宋体" w:hAnsi="宋体" w:eastAsia="宋体" w:cs="宋体"/>
          <w:spacing w:val="-4"/>
          <w:kern w:val="2"/>
          <w:sz w:val="21"/>
          <w:szCs w:val="21"/>
          <w:highlight w:val="none"/>
          <w:lang w:val="en-US" w:eastAsia="zh-CN" w:bidi="ar-SA"/>
        </w:rPr>
      </w:pPr>
      <w:r>
        <w:rPr>
          <w:rFonts w:hint="eastAsia" w:ascii="宋体" w:hAnsi="宋体" w:eastAsia="宋体" w:cs="宋体"/>
          <w:spacing w:val="-4"/>
          <w:kern w:val="2"/>
          <w:sz w:val="21"/>
          <w:szCs w:val="21"/>
          <w:highlight w:val="none"/>
          <w:lang w:val="en-US" w:eastAsia="zh-CN" w:bidi="ar-SA"/>
        </w:rPr>
        <w:t>8、我方承诺在收到《中标(成交)通知书》时按本项目招标文件的规定，向贵公司一次性支付全额招标代理服务费，若中标、成交后放弃中标、成交资格导致重新采购的，承担支付代理费和专家评审费等费用在内的赔偿责任。</w:t>
      </w:r>
    </w:p>
    <w:p w14:paraId="17F94C28">
      <w:pPr>
        <w:pageBreakBefore w:val="0"/>
        <w:kinsoku/>
        <w:wordWrap/>
        <w:overflowPunct/>
        <w:topLinePunct w:val="0"/>
        <w:bidi w:val="0"/>
        <w:spacing w:line="360" w:lineRule="auto"/>
        <w:ind w:firstLine="404" w:firstLineChars="200"/>
        <w:jc w:val="left"/>
        <w:rPr>
          <w:rFonts w:hint="eastAsia" w:ascii="宋体" w:hAnsi="宋体" w:eastAsia="宋体" w:cs="宋体"/>
          <w:spacing w:val="-4"/>
          <w:sz w:val="21"/>
          <w:szCs w:val="21"/>
          <w:highlight w:val="none"/>
        </w:rPr>
      </w:pPr>
    </w:p>
    <w:p w14:paraId="4C2AD1A7">
      <w:pPr>
        <w:pageBreakBefore w:val="0"/>
        <w:kinsoku/>
        <w:wordWrap/>
        <w:overflowPunct/>
        <w:topLinePunct w:val="0"/>
        <w:bidi w:val="0"/>
        <w:spacing w:line="360" w:lineRule="auto"/>
        <w:ind w:firstLine="404" w:firstLineChars="200"/>
        <w:jc w:val="left"/>
        <w:rPr>
          <w:rFonts w:hint="eastAsia" w:ascii="宋体" w:hAnsi="宋体" w:eastAsia="宋体" w:cs="宋体"/>
          <w:spacing w:val="-4"/>
          <w:sz w:val="21"/>
          <w:szCs w:val="21"/>
          <w:highlight w:val="none"/>
        </w:rPr>
      </w:pPr>
      <w:r>
        <w:rPr>
          <w:rFonts w:hint="eastAsia" w:ascii="宋体" w:hAnsi="宋体" w:eastAsia="宋体" w:cs="宋体"/>
          <w:spacing w:val="-4"/>
          <w:sz w:val="21"/>
          <w:szCs w:val="21"/>
          <w:highlight w:val="none"/>
        </w:rPr>
        <w:t>响应人名称：</w:t>
      </w:r>
      <w:r>
        <w:rPr>
          <w:rFonts w:hint="eastAsia" w:ascii="宋体" w:hAnsi="宋体" w:eastAsia="宋体" w:cs="宋体"/>
          <w:spacing w:val="20"/>
          <w:sz w:val="21"/>
          <w:szCs w:val="21"/>
          <w:highlight w:val="none"/>
          <w:u w:val="single"/>
        </w:rPr>
        <w:t xml:space="preserve">                  </w:t>
      </w:r>
      <w:r>
        <w:rPr>
          <w:rFonts w:hint="eastAsia" w:ascii="宋体" w:hAnsi="宋体" w:eastAsia="宋体" w:cs="宋体"/>
          <w:spacing w:val="-4"/>
          <w:sz w:val="21"/>
          <w:szCs w:val="21"/>
          <w:highlight w:val="none"/>
        </w:rPr>
        <w:t xml:space="preserve">（加盖公章） </w:t>
      </w:r>
    </w:p>
    <w:p w14:paraId="05C9BA4C">
      <w:pPr>
        <w:pageBreakBefore w:val="0"/>
        <w:kinsoku/>
        <w:wordWrap/>
        <w:overflowPunct/>
        <w:topLinePunct w:val="0"/>
        <w:bidi w:val="0"/>
        <w:spacing w:line="360" w:lineRule="auto"/>
        <w:ind w:firstLine="404" w:firstLineChars="200"/>
        <w:rPr>
          <w:rFonts w:hint="eastAsia" w:ascii="宋体" w:hAnsi="宋体" w:eastAsia="宋体" w:cs="宋体"/>
          <w:sz w:val="21"/>
          <w:szCs w:val="21"/>
          <w:highlight w:val="none"/>
        </w:rPr>
      </w:pPr>
      <w:r>
        <w:rPr>
          <w:rFonts w:hint="eastAsia" w:ascii="宋体" w:hAnsi="宋体" w:eastAsia="宋体" w:cs="宋体"/>
          <w:spacing w:val="-4"/>
          <w:sz w:val="21"/>
          <w:szCs w:val="21"/>
          <w:highlight w:val="none"/>
        </w:rPr>
        <w:t>法定代表人</w:t>
      </w:r>
      <w:r>
        <w:rPr>
          <w:rFonts w:hint="eastAsia" w:ascii="宋体" w:hAnsi="宋体" w:eastAsia="宋体" w:cs="宋体"/>
          <w:sz w:val="21"/>
          <w:szCs w:val="21"/>
          <w:highlight w:val="none"/>
        </w:rPr>
        <w:t>：</w:t>
      </w:r>
      <w:r>
        <w:rPr>
          <w:rFonts w:hint="eastAsia" w:ascii="宋体" w:hAnsi="宋体" w:eastAsia="宋体" w:cs="宋体"/>
          <w:b/>
          <w:spacing w:val="20"/>
          <w:sz w:val="21"/>
          <w:szCs w:val="21"/>
          <w:highlight w:val="none"/>
          <w:u w:val="single"/>
        </w:rPr>
        <w:t xml:space="preserve">                  </w:t>
      </w:r>
      <w:r>
        <w:rPr>
          <w:rFonts w:hint="eastAsia" w:ascii="宋体" w:hAnsi="宋体" w:eastAsia="宋体" w:cs="宋体"/>
          <w:sz w:val="21"/>
          <w:szCs w:val="21"/>
          <w:highlight w:val="none"/>
        </w:rPr>
        <w:t>（签字或盖章）</w:t>
      </w:r>
    </w:p>
    <w:p w14:paraId="7CB77D8B">
      <w:pPr>
        <w:pageBreakBefore w:val="0"/>
        <w:kinsoku/>
        <w:wordWrap/>
        <w:overflowPunct/>
        <w:topLinePunct w:val="0"/>
        <w:bidi w:val="0"/>
        <w:spacing w:line="360" w:lineRule="auto"/>
        <w:ind w:firstLine="404" w:firstLineChars="200"/>
        <w:jc w:val="left"/>
        <w:rPr>
          <w:rFonts w:hint="eastAsia" w:ascii="宋体" w:hAnsi="宋体" w:eastAsia="宋体" w:cs="宋体"/>
          <w:spacing w:val="-4"/>
          <w:sz w:val="21"/>
          <w:szCs w:val="21"/>
          <w:highlight w:val="none"/>
        </w:rPr>
      </w:pPr>
      <w:r>
        <w:rPr>
          <w:rFonts w:hint="eastAsia" w:ascii="宋体" w:hAnsi="宋体" w:eastAsia="宋体" w:cs="宋体"/>
          <w:spacing w:val="-4"/>
          <w:sz w:val="21"/>
          <w:szCs w:val="21"/>
          <w:highlight w:val="none"/>
        </w:rPr>
        <w:t>响应人代表：</w:t>
      </w:r>
      <w:r>
        <w:rPr>
          <w:rFonts w:hint="eastAsia" w:ascii="宋体" w:hAnsi="宋体" w:eastAsia="宋体" w:cs="宋体"/>
          <w:spacing w:val="20"/>
          <w:sz w:val="21"/>
          <w:szCs w:val="21"/>
          <w:highlight w:val="none"/>
          <w:u w:val="single"/>
        </w:rPr>
        <w:t xml:space="preserve">                  </w:t>
      </w:r>
      <w:r>
        <w:rPr>
          <w:rFonts w:hint="eastAsia" w:ascii="宋体" w:hAnsi="宋体" w:eastAsia="宋体" w:cs="宋体"/>
          <w:spacing w:val="-4"/>
          <w:sz w:val="21"/>
          <w:szCs w:val="21"/>
          <w:highlight w:val="none"/>
        </w:rPr>
        <w:t xml:space="preserve">（签字） </w:t>
      </w:r>
    </w:p>
    <w:p w14:paraId="4FB3B6B8">
      <w:pPr>
        <w:pageBreakBefore w:val="0"/>
        <w:kinsoku/>
        <w:wordWrap/>
        <w:overflowPunct/>
        <w:topLinePunct w:val="0"/>
        <w:bidi w:val="0"/>
        <w:spacing w:line="360" w:lineRule="auto"/>
        <w:ind w:firstLine="404" w:firstLineChars="200"/>
        <w:rPr>
          <w:rFonts w:hint="eastAsia" w:ascii="宋体" w:hAnsi="宋体" w:eastAsia="宋体" w:cs="宋体"/>
          <w:spacing w:val="20"/>
          <w:sz w:val="21"/>
          <w:szCs w:val="21"/>
          <w:highlight w:val="none"/>
          <w:u w:val="single"/>
        </w:rPr>
      </w:pPr>
      <w:r>
        <w:rPr>
          <w:rFonts w:hint="eastAsia" w:ascii="宋体" w:hAnsi="宋体" w:eastAsia="宋体" w:cs="宋体"/>
          <w:spacing w:val="-4"/>
          <w:sz w:val="21"/>
          <w:szCs w:val="21"/>
          <w:highlight w:val="none"/>
        </w:rPr>
        <w:t>响应人地址：</w:t>
      </w:r>
      <w:r>
        <w:rPr>
          <w:rFonts w:hint="eastAsia" w:ascii="宋体" w:hAnsi="宋体" w:eastAsia="宋体" w:cs="宋体"/>
          <w:spacing w:val="20"/>
          <w:sz w:val="21"/>
          <w:szCs w:val="21"/>
          <w:highlight w:val="none"/>
          <w:u w:val="single"/>
        </w:rPr>
        <w:t xml:space="preserve">                  </w:t>
      </w:r>
    </w:p>
    <w:p w14:paraId="78648A54">
      <w:pPr>
        <w:pageBreakBefore w:val="0"/>
        <w:kinsoku/>
        <w:wordWrap/>
        <w:overflowPunct/>
        <w:topLinePunct w:val="0"/>
        <w:bidi w:val="0"/>
        <w:spacing w:line="360" w:lineRule="auto"/>
        <w:ind w:firstLine="404" w:firstLineChars="200"/>
        <w:rPr>
          <w:rFonts w:hint="eastAsia" w:ascii="宋体" w:hAnsi="宋体" w:eastAsia="宋体" w:cs="宋体"/>
          <w:b/>
          <w:spacing w:val="20"/>
          <w:sz w:val="21"/>
          <w:szCs w:val="21"/>
          <w:highlight w:val="none"/>
        </w:rPr>
      </w:pPr>
      <w:r>
        <w:rPr>
          <w:rFonts w:hint="eastAsia" w:ascii="宋体" w:hAnsi="宋体" w:eastAsia="宋体" w:cs="宋体"/>
          <w:spacing w:val="-4"/>
          <w:sz w:val="21"/>
          <w:szCs w:val="21"/>
          <w:highlight w:val="none"/>
        </w:rPr>
        <w:t>日期：</w:t>
      </w:r>
      <w:r>
        <w:rPr>
          <w:rFonts w:hint="eastAsia" w:ascii="宋体" w:hAnsi="宋体" w:eastAsia="宋体" w:cs="宋体"/>
          <w:spacing w:val="-4"/>
          <w:sz w:val="21"/>
          <w:szCs w:val="21"/>
          <w:highlight w:val="none"/>
          <w:u w:val="single"/>
        </w:rPr>
        <w:t xml:space="preserve">     </w:t>
      </w:r>
      <w:r>
        <w:rPr>
          <w:rFonts w:hint="eastAsia" w:ascii="宋体" w:hAnsi="宋体" w:eastAsia="宋体" w:cs="宋体"/>
          <w:spacing w:val="-4"/>
          <w:sz w:val="21"/>
          <w:szCs w:val="21"/>
          <w:highlight w:val="none"/>
        </w:rPr>
        <w:t>年</w:t>
      </w:r>
      <w:r>
        <w:rPr>
          <w:rFonts w:hint="eastAsia" w:ascii="宋体" w:hAnsi="宋体" w:eastAsia="宋体" w:cs="宋体"/>
          <w:spacing w:val="-4"/>
          <w:sz w:val="21"/>
          <w:szCs w:val="21"/>
          <w:highlight w:val="none"/>
          <w:u w:val="single"/>
        </w:rPr>
        <w:t xml:space="preserve">    </w:t>
      </w:r>
      <w:r>
        <w:rPr>
          <w:rFonts w:hint="eastAsia" w:ascii="宋体" w:hAnsi="宋体" w:eastAsia="宋体" w:cs="宋体"/>
          <w:spacing w:val="-4"/>
          <w:sz w:val="21"/>
          <w:szCs w:val="21"/>
          <w:highlight w:val="none"/>
        </w:rPr>
        <w:t>月</w:t>
      </w:r>
      <w:r>
        <w:rPr>
          <w:rFonts w:hint="eastAsia" w:ascii="宋体" w:hAnsi="宋体" w:eastAsia="宋体" w:cs="宋体"/>
          <w:spacing w:val="-4"/>
          <w:sz w:val="21"/>
          <w:szCs w:val="21"/>
          <w:highlight w:val="none"/>
          <w:u w:val="single"/>
        </w:rPr>
        <w:t xml:space="preserve">   </w:t>
      </w:r>
      <w:r>
        <w:rPr>
          <w:rFonts w:hint="eastAsia" w:ascii="宋体" w:hAnsi="宋体" w:eastAsia="宋体" w:cs="宋体"/>
          <w:spacing w:val="-4"/>
          <w:sz w:val="21"/>
          <w:szCs w:val="21"/>
          <w:highlight w:val="none"/>
        </w:rPr>
        <w:t xml:space="preserve">日 </w:t>
      </w:r>
    </w:p>
    <w:p w14:paraId="273CF295">
      <w:pPr>
        <w:pageBreakBefore w:val="0"/>
        <w:kinsoku/>
        <w:wordWrap/>
        <w:overflowPunct/>
        <w:topLinePunct w:val="0"/>
        <w:bidi w:val="0"/>
        <w:spacing w:line="360" w:lineRule="auto"/>
        <w:rPr>
          <w:rFonts w:hint="eastAsia" w:ascii="宋体" w:hAnsi="宋体" w:eastAsia="宋体" w:cs="宋体"/>
          <w:b/>
          <w:spacing w:val="20"/>
          <w:sz w:val="21"/>
          <w:szCs w:val="21"/>
          <w:highlight w:val="none"/>
        </w:rPr>
      </w:pPr>
      <w:r>
        <w:rPr>
          <w:rFonts w:hint="eastAsia" w:ascii="宋体" w:hAnsi="宋体" w:eastAsia="宋体" w:cs="宋体"/>
          <w:b/>
          <w:spacing w:val="20"/>
          <w:sz w:val="21"/>
          <w:szCs w:val="21"/>
          <w:highlight w:val="none"/>
        </w:rPr>
        <w:br w:type="page"/>
      </w:r>
    </w:p>
    <w:p w14:paraId="6B32B06E">
      <w:pPr>
        <w:pageBreakBefore w:val="0"/>
        <w:kinsoku/>
        <w:wordWrap/>
        <w:overflowPunct/>
        <w:topLinePunct w:val="0"/>
        <w:bidi w:val="0"/>
        <w:spacing w:line="360" w:lineRule="auto"/>
        <w:outlineLvl w:val="2"/>
        <w:rPr>
          <w:rFonts w:hint="eastAsia" w:ascii="宋体" w:hAnsi="宋体" w:eastAsia="宋体" w:cs="宋体"/>
          <w:b/>
          <w:sz w:val="21"/>
          <w:szCs w:val="21"/>
          <w:highlight w:val="none"/>
        </w:rPr>
      </w:pPr>
      <w:r>
        <w:rPr>
          <w:rFonts w:hint="eastAsia" w:ascii="宋体" w:hAnsi="宋体" w:eastAsia="宋体" w:cs="宋体"/>
          <w:b/>
          <w:spacing w:val="20"/>
          <w:sz w:val="21"/>
          <w:szCs w:val="21"/>
          <w:highlight w:val="none"/>
        </w:rPr>
        <w:t>格式</w:t>
      </w:r>
      <w:r>
        <w:rPr>
          <w:rFonts w:hint="eastAsia" w:ascii="宋体" w:hAnsi="宋体" w:cs="宋体"/>
          <w:b/>
          <w:spacing w:val="20"/>
          <w:sz w:val="21"/>
          <w:szCs w:val="21"/>
          <w:highlight w:val="none"/>
          <w:lang w:val="en-US" w:eastAsia="zh-CN"/>
        </w:rPr>
        <w:t>五</w:t>
      </w:r>
      <w:r>
        <w:rPr>
          <w:rFonts w:hint="eastAsia" w:ascii="宋体" w:hAnsi="宋体" w:eastAsia="宋体" w:cs="宋体"/>
          <w:b/>
          <w:spacing w:val="20"/>
          <w:sz w:val="21"/>
          <w:szCs w:val="21"/>
          <w:highlight w:val="none"/>
        </w:rPr>
        <w:t>、法定代表人授权函</w:t>
      </w:r>
    </w:p>
    <w:p w14:paraId="449A7E0F">
      <w:pPr>
        <w:pageBreakBefore w:val="0"/>
        <w:kinsoku/>
        <w:wordWrap/>
        <w:overflowPunct/>
        <w:topLinePunct w:val="0"/>
        <w:bidi w:val="0"/>
        <w:spacing w:line="360" w:lineRule="auto"/>
        <w:jc w:val="left"/>
        <w:rPr>
          <w:rFonts w:hint="eastAsia" w:ascii="宋体" w:hAnsi="宋体" w:eastAsia="宋体" w:cs="宋体"/>
          <w:spacing w:val="-4"/>
          <w:sz w:val="21"/>
          <w:szCs w:val="21"/>
          <w:highlight w:val="none"/>
          <w:lang w:val="en-US"/>
        </w:rPr>
      </w:pPr>
      <w:r>
        <w:rPr>
          <w:rFonts w:hint="eastAsia" w:ascii="宋体" w:hAnsi="宋体" w:eastAsia="宋体" w:cs="宋体"/>
          <w:spacing w:val="-4"/>
          <w:sz w:val="21"/>
          <w:szCs w:val="21"/>
          <w:highlight w:val="none"/>
        </w:rPr>
        <w:t>致：</w:t>
      </w:r>
      <w:r>
        <w:rPr>
          <w:rFonts w:hint="eastAsia" w:ascii="宋体" w:hAnsi="宋体" w:eastAsia="宋体" w:cs="宋体"/>
          <w:color w:val="auto"/>
          <w:sz w:val="21"/>
          <w:szCs w:val="21"/>
          <w:highlight w:val="none"/>
          <w:lang w:val="en-US" w:eastAsia="zh-CN"/>
        </w:rPr>
        <w:t>舟山市公安局交通警察支队</w:t>
      </w:r>
    </w:p>
    <w:p w14:paraId="7F8DADE4">
      <w:pPr>
        <w:pageBreakBefore w:val="0"/>
        <w:kinsoku/>
        <w:wordWrap/>
        <w:overflowPunct/>
        <w:topLinePunct w:val="0"/>
        <w:bidi w:val="0"/>
        <w:spacing w:line="360" w:lineRule="auto"/>
        <w:ind w:firstLine="420" w:firstLineChars="200"/>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中金招标有限责任公司</w:t>
      </w:r>
    </w:p>
    <w:p w14:paraId="26C1DB43">
      <w:pPr>
        <w:pageBreakBefore w:val="0"/>
        <w:kinsoku/>
        <w:wordWrap/>
        <w:overflowPunct/>
        <w:topLinePunct w:val="0"/>
        <w:bidi w:val="0"/>
        <w:spacing w:line="360" w:lineRule="auto"/>
        <w:ind w:firstLine="404" w:firstLineChars="200"/>
        <w:jc w:val="left"/>
        <w:rPr>
          <w:rFonts w:hint="eastAsia" w:ascii="宋体" w:hAnsi="宋体" w:eastAsia="宋体" w:cs="宋体"/>
          <w:spacing w:val="-4"/>
          <w:sz w:val="21"/>
          <w:szCs w:val="21"/>
          <w:highlight w:val="none"/>
        </w:rPr>
      </w:pPr>
      <w:r>
        <w:rPr>
          <w:rFonts w:hint="eastAsia" w:ascii="宋体" w:hAnsi="宋体" w:eastAsia="宋体" w:cs="宋体"/>
          <w:spacing w:val="-4"/>
          <w:sz w:val="21"/>
          <w:szCs w:val="21"/>
          <w:highlight w:val="none"/>
        </w:rPr>
        <w:t>我</w:t>
      </w:r>
      <w:r>
        <w:rPr>
          <w:rFonts w:hint="eastAsia" w:ascii="宋体" w:hAnsi="宋体" w:eastAsia="宋体" w:cs="宋体"/>
          <w:spacing w:val="-4"/>
          <w:sz w:val="21"/>
          <w:szCs w:val="21"/>
          <w:highlight w:val="none"/>
          <w:u w:val="single"/>
        </w:rPr>
        <w:t xml:space="preserve">              </w:t>
      </w:r>
      <w:r>
        <w:rPr>
          <w:rFonts w:hint="eastAsia" w:ascii="宋体" w:hAnsi="宋体" w:eastAsia="宋体" w:cs="宋体"/>
          <w:spacing w:val="-4"/>
          <w:sz w:val="21"/>
          <w:szCs w:val="21"/>
          <w:highlight w:val="none"/>
        </w:rPr>
        <w:t>（姓名）系</w:t>
      </w:r>
      <w:r>
        <w:rPr>
          <w:rFonts w:hint="eastAsia" w:ascii="宋体" w:hAnsi="宋体" w:eastAsia="宋体" w:cs="宋体"/>
          <w:spacing w:val="-4"/>
          <w:sz w:val="21"/>
          <w:szCs w:val="21"/>
          <w:highlight w:val="none"/>
          <w:u w:val="single"/>
        </w:rPr>
        <w:t xml:space="preserve">             </w:t>
      </w:r>
      <w:r>
        <w:rPr>
          <w:rFonts w:hint="eastAsia" w:ascii="宋体" w:hAnsi="宋体" w:eastAsia="宋体" w:cs="宋体"/>
          <w:spacing w:val="-4"/>
          <w:sz w:val="21"/>
          <w:szCs w:val="21"/>
          <w:highlight w:val="none"/>
        </w:rPr>
        <w:t>（投标人名称）的法定代表人，现授权委托本单位在职职工</w:t>
      </w:r>
      <w:r>
        <w:rPr>
          <w:rFonts w:hint="eastAsia" w:ascii="宋体" w:hAnsi="宋体" w:eastAsia="宋体" w:cs="宋体"/>
          <w:spacing w:val="-4"/>
          <w:sz w:val="21"/>
          <w:szCs w:val="21"/>
          <w:highlight w:val="none"/>
          <w:u w:val="single"/>
        </w:rPr>
        <w:t xml:space="preserve">                   </w:t>
      </w:r>
      <w:r>
        <w:rPr>
          <w:rFonts w:hint="eastAsia" w:ascii="宋体" w:hAnsi="宋体" w:eastAsia="宋体" w:cs="宋体"/>
          <w:spacing w:val="-4"/>
          <w:sz w:val="21"/>
          <w:szCs w:val="21"/>
          <w:highlight w:val="none"/>
        </w:rPr>
        <w:t>（姓名）(身份证号码：</w:t>
      </w:r>
      <w:r>
        <w:rPr>
          <w:rFonts w:hint="eastAsia" w:ascii="宋体" w:hAnsi="宋体" w:eastAsia="宋体" w:cs="宋体"/>
          <w:spacing w:val="-4"/>
          <w:sz w:val="21"/>
          <w:szCs w:val="21"/>
          <w:highlight w:val="none"/>
          <w:u w:val="single"/>
        </w:rPr>
        <w:t xml:space="preserve">                                </w:t>
      </w:r>
      <w:r>
        <w:rPr>
          <w:rFonts w:hint="eastAsia" w:ascii="宋体" w:hAnsi="宋体" w:eastAsia="宋体" w:cs="宋体"/>
          <w:spacing w:val="-4"/>
          <w:sz w:val="21"/>
          <w:szCs w:val="21"/>
          <w:highlight w:val="none"/>
        </w:rPr>
        <w:t>)以我方的名义参加</w:t>
      </w:r>
      <w:r>
        <w:rPr>
          <w:rFonts w:hint="eastAsia" w:ascii="宋体" w:hAnsi="宋体" w:eastAsia="宋体" w:cs="宋体"/>
          <w:spacing w:val="-4"/>
          <w:sz w:val="21"/>
          <w:szCs w:val="21"/>
          <w:highlight w:val="none"/>
          <w:u w:val="single"/>
        </w:rPr>
        <w:t xml:space="preserve">                           </w:t>
      </w:r>
      <w:r>
        <w:rPr>
          <w:rFonts w:hint="eastAsia" w:ascii="宋体" w:hAnsi="宋体" w:eastAsia="宋体" w:cs="宋体"/>
          <w:spacing w:val="-4"/>
          <w:sz w:val="21"/>
          <w:szCs w:val="21"/>
          <w:highlight w:val="none"/>
        </w:rPr>
        <w:t>（项目名称）（项目编号）的投标活动，并代表我方全权办理针对上述项目的投标、开标、评标、签约等具体事务和签署相关文件。</w:t>
      </w:r>
    </w:p>
    <w:p w14:paraId="5382155E">
      <w:pPr>
        <w:pageBreakBefore w:val="0"/>
        <w:kinsoku/>
        <w:wordWrap/>
        <w:overflowPunct/>
        <w:topLinePunct w:val="0"/>
        <w:bidi w:val="0"/>
        <w:spacing w:line="360" w:lineRule="auto"/>
        <w:ind w:right="-89" w:firstLine="404" w:firstLineChars="200"/>
        <w:jc w:val="left"/>
        <w:rPr>
          <w:rFonts w:hint="eastAsia" w:ascii="宋体" w:hAnsi="宋体" w:eastAsia="宋体" w:cs="宋体"/>
          <w:spacing w:val="-4"/>
          <w:sz w:val="21"/>
          <w:szCs w:val="21"/>
          <w:highlight w:val="none"/>
        </w:rPr>
      </w:pPr>
      <w:r>
        <w:rPr>
          <w:rFonts w:hint="eastAsia" w:ascii="宋体" w:hAnsi="宋体" w:eastAsia="宋体" w:cs="宋体"/>
          <w:spacing w:val="-4"/>
          <w:sz w:val="21"/>
          <w:szCs w:val="21"/>
          <w:highlight w:val="none"/>
        </w:rPr>
        <w:t>我方对被授权人的签名负全部责任。</w:t>
      </w:r>
    </w:p>
    <w:p w14:paraId="728144EC">
      <w:pPr>
        <w:pageBreakBefore w:val="0"/>
        <w:kinsoku/>
        <w:wordWrap/>
        <w:overflowPunct/>
        <w:topLinePunct w:val="0"/>
        <w:bidi w:val="0"/>
        <w:spacing w:line="360" w:lineRule="auto"/>
        <w:ind w:right="-89" w:firstLine="404" w:firstLineChars="200"/>
        <w:jc w:val="left"/>
        <w:rPr>
          <w:rFonts w:hint="eastAsia" w:ascii="宋体" w:hAnsi="宋体" w:eastAsia="宋体" w:cs="宋体"/>
          <w:spacing w:val="-4"/>
          <w:sz w:val="21"/>
          <w:szCs w:val="21"/>
          <w:highlight w:val="none"/>
        </w:rPr>
      </w:pPr>
      <w:r>
        <w:rPr>
          <w:rFonts w:hint="eastAsia" w:ascii="宋体" w:hAnsi="宋体" w:eastAsia="宋体" w:cs="宋体"/>
          <w:spacing w:val="-4"/>
          <w:sz w:val="21"/>
          <w:szCs w:val="21"/>
          <w:highlight w:val="none"/>
        </w:rPr>
        <w:t>在撤销授权的书面通知以前，本授权函一直有效。被授权人在授权函有效期内签署的所有文件不因授权的撤销而失效。</w:t>
      </w:r>
    </w:p>
    <w:p w14:paraId="027577E7">
      <w:pPr>
        <w:pageBreakBefore w:val="0"/>
        <w:kinsoku/>
        <w:wordWrap/>
        <w:overflowPunct/>
        <w:topLinePunct w:val="0"/>
        <w:bidi w:val="0"/>
        <w:spacing w:line="360" w:lineRule="auto"/>
        <w:ind w:right="-89" w:firstLine="404" w:firstLineChars="200"/>
        <w:jc w:val="left"/>
        <w:rPr>
          <w:rFonts w:hint="eastAsia" w:ascii="宋体" w:hAnsi="宋体" w:eastAsia="宋体" w:cs="宋体"/>
          <w:spacing w:val="-4"/>
          <w:sz w:val="21"/>
          <w:szCs w:val="21"/>
          <w:highlight w:val="none"/>
        </w:rPr>
      </w:pPr>
      <w:r>
        <w:rPr>
          <w:rFonts w:hint="eastAsia" w:ascii="宋体" w:hAnsi="宋体" w:eastAsia="宋体" w:cs="宋体"/>
          <w:spacing w:val="-4"/>
          <w:sz w:val="21"/>
          <w:szCs w:val="21"/>
          <w:highlight w:val="none"/>
        </w:rPr>
        <w:t>被授权人无转委托权，特此委托。</w:t>
      </w:r>
    </w:p>
    <w:p w14:paraId="79EC41EC">
      <w:pPr>
        <w:pageBreakBefore w:val="0"/>
        <w:kinsoku/>
        <w:wordWrap/>
        <w:overflowPunct/>
        <w:topLinePunct w:val="0"/>
        <w:bidi w:val="0"/>
        <w:spacing w:line="360" w:lineRule="auto"/>
        <w:ind w:right="-89" w:firstLine="404" w:firstLineChars="200"/>
        <w:jc w:val="left"/>
        <w:rPr>
          <w:rFonts w:hint="eastAsia" w:ascii="宋体" w:hAnsi="宋体" w:eastAsia="宋体" w:cs="宋体"/>
          <w:spacing w:val="-4"/>
          <w:sz w:val="21"/>
          <w:szCs w:val="21"/>
          <w:highlight w:val="none"/>
        </w:rPr>
      </w:pPr>
      <w:r>
        <w:rPr>
          <w:rFonts w:hint="eastAsia" w:ascii="宋体" w:hAnsi="宋体" w:eastAsia="宋体" w:cs="宋体"/>
          <w:spacing w:val="-4"/>
          <w:sz w:val="21"/>
          <w:szCs w:val="21"/>
          <w:highlight w:val="none"/>
        </w:rPr>
        <w:t xml:space="preserve">被授权人（签字）：                           法定代表人（签字或盖章）：          </w:t>
      </w:r>
    </w:p>
    <w:p w14:paraId="420A0011">
      <w:pPr>
        <w:pageBreakBefore w:val="0"/>
        <w:kinsoku/>
        <w:wordWrap/>
        <w:overflowPunct/>
        <w:topLinePunct w:val="0"/>
        <w:bidi w:val="0"/>
        <w:spacing w:line="360" w:lineRule="auto"/>
        <w:ind w:right="-89" w:firstLine="404" w:firstLineChars="200"/>
        <w:jc w:val="left"/>
        <w:rPr>
          <w:rFonts w:hint="eastAsia" w:ascii="宋体" w:hAnsi="宋体" w:eastAsia="宋体" w:cs="宋体"/>
          <w:spacing w:val="-4"/>
          <w:sz w:val="21"/>
          <w:szCs w:val="21"/>
          <w:highlight w:val="none"/>
        </w:rPr>
      </w:pPr>
      <w:r>
        <w:rPr>
          <w:rFonts w:hint="eastAsia" w:ascii="宋体" w:hAnsi="宋体" w:eastAsia="宋体" w:cs="宋体"/>
          <w:spacing w:val="-4"/>
          <w:sz w:val="21"/>
          <w:szCs w:val="21"/>
          <w:highlight w:val="none"/>
        </w:rPr>
        <w:t>被授权人联系电话：                           法定代表人联系电话：</w:t>
      </w:r>
    </w:p>
    <w:p w14:paraId="2CF1C720">
      <w:pPr>
        <w:pageBreakBefore w:val="0"/>
        <w:kinsoku/>
        <w:wordWrap/>
        <w:overflowPunct/>
        <w:topLinePunct w:val="0"/>
        <w:bidi w:val="0"/>
        <w:spacing w:line="360" w:lineRule="auto"/>
        <w:ind w:right="-89" w:firstLine="4444" w:firstLineChars="2200"/>
        <w:jc w:val="left"/>
        <w:rPr>
          <w:rFonts w:hint="eastAsia" w:ascii="宋体" w:hAnsi="宋体" w:eastAsia="宋体" w:cs="宋体"/>
          <w:spacing w:val="-4"/>
          <w:sz w:val="21"/>
          <w:szCs w:val="21"/>
          <w:highlight w:val="none"/>
        </w:rPr>
      </w:pPr>
    </w:p>
    <w:p w14:paraId="564C1F80">
      <w:pPr>
        <w:pageBreakBefore w:val="0"/>
        <w:kinsoku/>
        <w:wordWrap/>
        <w:overflowPunct/>
        <w:topLinePunct w:val="0"/>
        <w:bidi w:val="0"/>
        <w:spacing w:line="360" w:lineRule="auto"/>
        <w:ind w:right="-89" w:firstLine="4444" w:firstLineChars="2200"/>
        <w:jc w:val="left"/>
        <w:rPr>
          <w:rFonts w:hint="eastAsia" w:ascii="宋体" w:hAnsi="宋体" w:eastAsia="宋体" w:cs="宋体"/>
          <w:spacing w:val="-4"/>
          <w:sz w:val="21"/>
          <w:szCs w:val="21"/>
          <w:highlight w:val="none"/>
        </w:rPr>
      </w:pPr>
    </w:p>
    <w:p w14:paraId="3972EED0">
      <w:pPr>
        <w:pageBreakBefore w:val="0"/>
        <w:kinsoku/>
        <w:wordWrap/>
        <w:overflowPunct/>
        <w:topLinePunct w:val="0"/>
        <w:bidi w:val="0"/>
        <w:spacing w:line="360" w:lineRule="auto"/>
        <w:ind w:right="-89" w:firstLine="4444" w:firstLineChars="2200"/>
        <w:jc w:val="left"/>
        <w:rPr>
          <w:rFonts w:hint="eastAsia" w:ascii="宋体" w:hAnsi="宋体" w:eastAsia="宋体" w:cs="宋体"/>
          <w:spacing w:val="-4"/>
          <w:sz w:val="21"/>
          <w:szCs w:val="21"/>
          <w:highlight w:val="none"/>
        </w:rPr>
      </w:pPr>
      <w:r>
        <w:rPr>
          <w:rFonts w:hint="eastAsia" w:ascii="宋体" w:hAnsi="宋体" w:eastAsia="宋体" w:cs="宋体"/>
          <w:spacing w:val="-4"/>
          <w:sz w:val="21"/>
          <w:szCs w:val="21"/>
          <w:highlight w:val="none"/>
        </w:rPr>
        <w:t xml:space="preserve">                      响应人公章：</w:t>
      </w:r>
    </w:p>
    <w:p w14:paraId="64F2F387">
      <w:pPr>
        <w:pageBreakBefore w:val="0"/>
        <w:kinsoku/>
        <w:wordWrap/>
        <w:overflowPunct/>
        <w:topLinePunct w:val="0"/>
        <w:bidi w:val="0"/>
        <w:spacing w:line="360" w:lineRule="auto"/>
        <w:rPr>
          <w:rFonts w:hint="eastAsia" w:ascii="宋体" w:hAnsi="宋体" w:eastAsia="宋体" w:cs="宋体"/>
          <w:spacing w:val="-4"/>
          <w:sz w:val="21"/>
          <w:szCs w:val="21"/>
          <w:highlight w:val="none"/>
        </w:rPr>
      </w:pPr>
      <w:r>
        <w:rPr>
          <w:rFonts w:hint="eastAsia" w:ascii="宋体" w:hAnsi="宋体" w:eastAsia="宋体" w:cs="宋体"/>
          <w:spacing w:val="-4"/>
          <w:sz w:val="21"/>
          <w:szCs w:val="21"/>
          <w:highlight w:val="none"/>
        </w:rPr>
        <w:t xml:space="preserve">                                                                   </w:t>
      </w:r>
      <w:r>
        <w:rPr>
          <w:rFonts w:hint="eastAsia" w:ascii="宋体" w:hAnsi="宋体" w:eastAsia="宋体" w:cs="宋体"/>
          <w:spacing w:val="-4"/>
          <w:sz w:val="21"/>
          <w:szCs w:val="21"/>
          <w:highlight w:val="none"/>
          <w:u w:val="single"/>
        </w:rPr>
        <w:t xml:space="preserve">     </w:t>
      </w:r>
      <w:r>
        <w:rPr>
          <w:rFonts w:hint="eastAsia" w:ascii="宋体" w:hAnsi="宋体" w:eastAsia="宋体" w:cs="宋体"/>
          <w:spacing w:val="-4"/>
          <w:sz w:val="21"/>
          <w:szCs w:val="21"/>
          <w:highlight w:val="none"/>
        </w:rPr>
        <w:t xml:space="preserve"> 年</w:t>
      </w:r>
      <w:r>
        <w:rPr>
          <w:rFonts w:hint="eastAsia" w:ascii="宋体" w:hAnsi="宋体" w:eastAsia="宋体" w:cs="宋体"/>
          <w:spacing w:val="-4"/>
          <w:sz w:val="21"/>
          <w:szCs w:val="21"/>
          <w:highlight w:val="none"/>
          <w:u w:val="single"/>
        </w:rPr>
        <w:t xml:space="preserve">    </w:t>
      </w:r>
      <w:r>
        <w:rPr>
          <w:rFonts w:hint="eastAsia" w:ascii="宋体" w:hAnsi="宋体" w:eastAsia="宋体" w:cs="宋体"/>
          <w:spacing w:val="-4"/>
          <w:sz w:val="21"/>
          <w:szCs w:val="21"/>
          <w:highlight w:val="none"/>
        </w:rPr>
        <w:t>月</w:t>
      </w:r>
      <w:r>
        <w:rPr>
          <w:rFonts w:hint="eastAsia" w:ascii="宋体" w:hAnsi="宋体" w:eastAsia="宋体" w:cs="宋体"/>
          <w:spacing w:val="-4"/>
          <w:sz w:val="21"/>
          <w:szCs w:val="21"/>
          <w:highlight w:val="none"/>
          <w:u w:val="single"/>
        </w:rPr>
        <w:t xml:space="preserve">    </w:t>
      </w:r>
      <w:r>
        <w:rPr>
          <w:rFonts w:hint="eastAsia" w:ascii="宋体" w:hAnsi="宋体" w:eastAsia="宋体" w:cs="宋体"/>
          <w:spacing w:val="-4"/>
          <w:sz w:val="21"/>
          <w:szCs w:val="21"/>
          <w:highlight w:val="none"/>
        </w:rPr>
        <w:t>日</w:t>
      </w:r>
    </w:p>
    <w:p w14:paraId="693C454F">
      <w:pPr>
        <w:pageBreakBefore w:val="0"/>
        <w:kinsoku/>
        <w:wordWrap/>
        <w:overflowPunct/>
        <w:topLinePunct w:val="0"/>
        <w:bidi w:val="0"/>
        <w:spacing w:line="360" w:lineRule="auto"/>
        <w:rPr>
          <w:rFonts w:hint="eastAsia" w:ascii="宋体" w:hAnsi="宋体" w:eastAsia="宋体" w:cs="宋体"/>
          <w:spacing w:val="-4"/>
          <w:sz w:val="21"/>
          <w:szCs w:val="21"/>
          <w:highlight w:val="none"/>
        </w:rPr>
      </w:pPr>
    </w:p>
    <w:p w14:paraId="3C397373">
      <w:pPr>
        <w:pageBreakBefore w:val="0"/>
        <w:kinsoku/>
        <w:wordWrap/>
        <w:overflowPunct/>
        <w:topLinePunct w:val="0"/>
        <w:bidi w:val="0"/>
        <w:adjustRightInd w:val="0"/>
        <w:spacing w:line="360" w:lineRule="auto"/>
        <w:textAlignment w:val="baseline"/>
        <w:rPr>
          <w:rFonts w:hint="eastAsia" w:ascii="宋体" w:hAnsi="宋体" w:eastAsia="宋体" w:cs="宋体"/>
          <w:b/>
          <w:spacing w:val="20"/>
          <w:sz w:val="21"/>
          <w:szCs w:val="21"/>
          <w:highlight w:val="none"/>
        </w:rPr>
      </w:pPr>
    </w:p>
    <w:p w14:paraId="0E2397A0">
      <w:pPr>
        <w:pageBreakBefore w:val="0"/>
        <w:kinsoku/>
        <w:wordWrap/>
        <w:overflowPunct/>
        <w:topLinePunct w:val="0"/>
        <w:bidi w:val="0"/>
        <w:adjustRightInd w:val="0"/>
        <w:spacing w:line="360" w:lineRule="auto"/>
        <w:textAlignment w:val="baseline"/>
        <w:rPr>
          <w:rFonts w:hint="eastAsia" w:ascii="宋体" w:hAnsi="宋体" w:eastAsia="宋体" w:cs="宋体"/>
          <w:b/>
          <w:spacing w:val="20"/>
          <w:kern w:val="0"/>
          <w:sz w:val="21"/>
          <w:szCs w:val="21"/>
          <w:highlight w:val="none"/>
        </w:rPr>
      </w:pPr>
    </w:p>
    <w:p w14:paraId="58D46711">
      <w:pPr>
        <w:pageBreakBefore w:val="0"/>
        <w:kinsoku/>
        <w:wordWrap/>
        <w:overflowPunct/>
        <w:topLinePunct w:val="0"/>
        <w:bidi w:val="0"/>
        <w:snapToGrid w:val="0"/>
        <w:spacing w:line="360" w:lineRule="auto"/>
        <w:ind w:firstLine="415" w:firstLineChars="198"/>
        <w:rPr>
          <w:rFonts w:hint="eastAsia" w:ascii="宋体" w:hAnsi="宋体" w:eastAsia="宋体" w:cs="宋体"/>
          <w:sz w:val="21"/>
          <w:szCs w:val="21"/>
          <w:highlight w:val="none"/>
        </w:rPr>
      </w:pPr>
    </w:p>
    <w:p w14:paraId="071967F4">
      <w:pPr>
        <w:pageBreakBefore w:val="0"/>
        <w:kinsoku/>
        <w:wordWrap/>
        <w:overflowPunct/>
        <w:topLinePunct w:val="0"/>
        <w:bidi w:val="0"/>
        <w:adjustRightInd w:val="0"/>
        <w:spacing w:line="360" w:lineRule="auto"/>
        <w:textAlignment w:val="baseline"/>
        <w:rPr>
          <w:rFonts w:hint="eastAsia" w:ascii="宋体" w:hAnsi="宋体" w:eastAsia="宋体" w:cs="宋体"/>
          <w:b/>
          <w:spacing w:val="20"/>
          <w:kern w:val="0"/>
          <w:sz w:val="21"/>
          <w:szCs w:val="21"/>
          <w:highlight w:val="none"/>
        </w:rPr>
      </w:pPr>
    </w:p>
    <w:p w14:paraId="2E206198">
      <w:pPr>
        <w:pageBreakBefore w:val="0"/>
        <w:kinsoku/>
        <w:wordWrap/>
        <w:overflowPunct/>
        <w:topLinePunct w:val="0"/>
        <w:bidi w:val="0"/>
        <w:adjustRightInd w:val="0"/>
        <w:spacing w:line="360" w:lineRule="auto"/>
        <w:textAlignment w:val="baseline"/>
        <w:rPr>
          <w:rFonts w:hint="eastAsia" w:ascii="宋体" w:hAnsi="宋体" w:eastAsia="宋体" w:cs="宋体"/>
          <w:b/>
          <w:spacing w:val="20"/>
          <w:kern w:val="0"/>
          <w:sz w:val="21"/>
          <w:szCs w:val="21"/>
          <w:highlight w:val="none"/>
        </w:rPr>
      </w:pPr>
    </w:p>
    <w:p w14:paraId="43D858FF">
      <w:pPr>
        <w:pageBreakBefore w:val="0"/>
        <w:kinsoku/>
        <w:wordWrap/>
        <w:overflowPunct/>
        <w:topLinePunct w:val="0"/>
        <w:bidi w:val="0"/>
        <w:adjustRightInd w:val="0"/>
        <w:spacing w:line="360" w:lineRule="auto"/>
        <w:textAlignment w:val="baseline"/>
        <w:rPr>
          <w:rFonts w:hint="eastAsia" w:ascii="宋体" w:hAnsi="宋体" w:eastAsia="宋体" w:cs="宋体"/>
          <w:b/>
          <w:spacing w:val="20"/>
          <w:kern w:val="0"/>
          <w:sz w:val="21"/>
          <w:szCs w:val="21"/>
          <w:highlight w:val="none"/>
        </w:rPr>
      </w:pPr>
    </w:p>
    <w:p w14:paraId="1E2CD2CD">
      <w:pPr>
        <w:pageBreakBefore w:val="0"/>
        <w:kinsoku/>
        <w:wordWrap/>
        <w:overflowPunct/>
        <w:topLinePunct w:val="0"/>
        <w:bidi w:val="0"/>
        <w:spacing w:line="360" w:lineRule="auto"/>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br w:type="page"/>
      </w:r>
    </w:p>
    <w:p w14:paraId="1FA1B0F3">
      <w:pPr>
        <w:pageBreakBefore w:val="0"/>
        <w:kinsoku/>
        <w:wordWrap/>
        <w:overflowPunct/>
        <w:topLinePunct w:val="0"/>
        <w:bidi w:val="0"/>
        <w:snapToGrid w:val="0"/>
        <w:spacing w:before="50" w:after="156" w:afterLines="50" w:line="360" w:lineRule="auto"/>
        <w:outlineLvl w:val="2"/>
        <w:rPr>
          <w:rFonts w:hint="eastAsia" w:ascii="宋体" w:hAnsi="宋体" w:eastAsia="宋体" w:cs="宋体"/>
          <w:sz w:val="21"/>
          <w:szCs w:val="21"/>
          <w:highlight w:val="none"/>
        </w:rPr>
      </w:pPr>
      <w:r>
        <w:rPr>
          <w:rFonts w:hint="eastAsia" w:ascii="宋体" w:hAnsi="宋体" w:eastAsia="宋体" w:cs="宋体"/>
          <w:b/>
          <w:sz w:val="21"/>
          <w:szCs w:val="21"/>
          <w:highlight w:val="none"/>
        </w:rPr>
        <w:t>格式</w:t>
      </w:r>
      <w:r>
        <w:rPr>
          <w:rFonts w:hint="eastAsia" w:ascii="宋体" w:hAnsi="宋体" w:cs="宋体"/>
          <w:b/>
          <w:sz w:val="21"/>
          <w:szCs w:val="21"/>
          <w:highlight w:val="none"/>
          <w:lang w:val="en-US" w:eastAsia="zh-CN"/>
        </w:rPr>
        <w:t>六</w:t>
      </w:r>
      <w:r>
        <w:rPr>
          <w:rFonts w:hint="eastAsia" w:ascii="宋体" w:hAnsi="宋体" w:eastAsia="宋体" w:cs="宋体"/>
          <w:b/>
          <w:sz w:val="21"/>
          <w:szCs w:val="21"/>
          <w:highlight w:val="none"/>
        </w:rPr>
        <w:t>、项目负责人资格情况表</w:t>
      </w:r>
    </w:p>
    <w:tbl>
      <w:tblPr>
        <w:tblStyle w:val="28"/>
        <w:tblW w:w="4997" w:type="pct"/>
        <w:jc w:val="center"/>
        <w:tblLayout w:type="autofit"/>
        <w:tblCellMar>
          <w:top w:w="57" w:type="dxa"/>
          <w:left w:w="57" w:type="dxa"/>
          <w:bottom w:w="57" w:type="dxa"/>
          <w:right w:w="57" w:type="dxa"/>
        </w:tblCellMar>
      </w:tblPr>
      <w:tblGrid>
        <w:gridCol w:w="1474"/>
        <w:gridCol w:w="146"/>
        <w:gridCol w:w="1180"/>
        <w:gridCol w:w="1326"/>
        <w:gridCol w:w="70"/>
        <w:gridCol w:w="520"/>
        <w:gridCol w:w="1182"/>
        <w:gridCol w:w="1031"/>
        <w:gridCol w:w="1033"/>
        <w:gridCol w:w="2068"/>
      </w:tblGrid>
      <w:tr w14:paraId="769C5451">
        <w:tblPrEx>
          <w:tblCellMar>
            <w:top w:w="57" w:type="dxa"/>
            <w:left w:w="57" w:type="dxa"/>
            <w:bottom w:w="57" w:type="dxa"/>
            <w:right w:w="57" w:type="dxa"/>
          </w:tblCellMar>
        </w:tblPrEx>
        <w:trPr>
          <w:trHeight w:val="567" w:hRule="atLeast"/>
          <w:jc w:val="center"/>
        </w:trPr>
        <w:tc>
          <w:tcPr>
            <w:tcW w:w="808" w:type="pct"/>
            <w:gridSpan w:val="2"/>
            <w:tcBorders>
              <w:top w:val="single" w:color="auto" w:sz="4" w:space="0"/>
              <w:left w:val="single" w:color="auto" w:sz="4" w:space="0"/>
              <w:bottom w:val="single" w:color="auto" w:sz="4" w:space="0"/>
              <w:right w:val="single" w:color="auto" w:sz="4" w:space="0"/>
            </w:tcBorders>
            <w:noWrap w:val="0"/>
            <w:vAlign w:val="center"/>
          </w:tcPr>
          <w:p w14:paraId="429FAFAE">
            <w:pPr>
              <w:pageBreakBefore w:val="0"/>
              <w:kinsoku/>
              <w:wordWrap/>
              <w:overflowPunct/>
              <w:topLinePunct w:val="0"/>
              <w:bidi w:val="0"/>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项目负责人</w:t>
            </w:r>
          </w:p>
          <w:p w14:paraId="105D18B3">
            <w:pPr>
              <w:pageBreakBefore w:val="0"/>
              <w:kinsoku/>
              <w:wordWrap/>
              <w:overflowPunct/>
              <w:topLinePunct w:val="0"/>
              <w:bidi w:val="0"/>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姓名</w:t>
            </w:r>
          </w:p>
        </w:tc>
        <w:tc>
          <w:tcPr>
            <w:tcW w:w="588" w:type="pct"/>
            <w:tcBorders>
              <w:top w:val="single" w:color="auto" w:sz="4" w:space="0"/>
              <w:left w:val="single" w:color="auto" w:sz="4" w:space="0"/>
              <w:bottom w:val="single" w:color="auto" w:sz="4" w:space="0"/>
              <w:right w:val="single" w:color="auto" w:sz="4" w:space="0"/>
            </w:tcBorders>
            <w:noWrap w:val="0"/>
            <w:vAlign w:val="center"/>
          </w:tcPr>
          <w:p w14:paraId="0199C18B">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661" w:type="pct"/>
            <w:tcBorders>
              <w:top w:val="single" w:color="auto" w:sz="4" w:space="0"/>
              <w:left w:val="single" w:color="auto" w:sz="4" w:space="0"/>
              <w:bottom w:val="single" w:color="auto" w:sz="4" w:space="0"/>
              <w:right w:val="single" w:color="auto" w:sz="4" w:space="0"/>
            </w:tcBorders>
            <w:noWrap w:val="0"/>
            <w:vAlign w:val="center"/>
          </w:tcPr>
          <w:p w14:paraId="5AFCA935">
            <w:pPr>
              <w:pageBreakBefore w:val="0"/>
              <w:kinsoku/>
              <w:wordWrap/>
              <w:overflowPunct/>
              <w:topLinePunct w:val="0"/>
              <w:bidi w:val="0"/>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性别</w:t>
            </w:r>
          </w:p>
        </w:tc>
        <w:tc>
          <w:tcPr>
            <w:tcW w:w="294" w:type="pct"/>
            <w:gridSpan w:val="2"/>
            <w:tcBorders>
              <w:top w:val="single" w:color="auto" w:sz="4" w:space="0"/>
              <w:left w:val="single" w:color="auto" w:sz="4" w:space="0"/>
              <w:bottom w:val="single" w:color="auto" w:sz="4" w:space="0"/>
              <w:right w:val="single" w:color="auto" w:sz="4" w:space="0"/>
            </w:tcBorders>
            <w:noWrap w:val="0"/>
            <w:vAlign w:val="center"/>
          </w:tcPr>
          <w:p w14:paraId="16ED97D7">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588" w:type="pct"/>
            <w:tcBorders>
              <w:top w:val="single" w:color="auto" w:sz="4" w:space="0"/>
              <w:left w:val="single" w:color="auto" w:sz="4" w:space="0"/>
              <w:bottom w:val="single" w:color="auto" w:sz="4" w:space="0"/>
              <w:right w:val="single" w:color="auto" w:sz="4" w:space="0"/>
            </w:tcBorders>
            <w:noWrap w:val="0"/>
            <w:vAlign w:val="center"/>
          </w:tcPr>
          <w:p w14:paraId="6F7A7F75">
            <w:pPr>
              <w:pageBreakBefore w:val="0"/>
              <w:kinsoku/>
              <w:wordWrap/>
              <w:overflowPunct/>
              <w:topLinePunct w:val="0"/>
              <w:bidi w:val="0"/>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年龄</w:t>
            </w:r>
          </w:p>
        </w:tc>
        <w:tc>
          <w:tcPr>
            <w:tcW w:w="514" w:type="pct"/>
            <w:tcBorders>
              <w:top w:val="single" w:color="auto" w:sz="4" w:space="0"/>
              <w:left w:val="single" w:color="auto" w:sz="4" w:space="0"/>
              <w:bottom w:val="single" w:color="auto" w:sz="4" w:space="0"/>
              <w:right w:val="single" w:color="auto" w:sz="4" w:space="0"/>
            </w:tcBorders>
            <w:noWrap w:val="0"/>
            <w:vAlign w:val="center"/>
          </w:tcPr>
          <w:p w14:paraId="52D7E17B">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514" w:type="pct"/>
            <w:tcBorders>
              <w:top w:val="single" w:color="auto" w:sz="4" w:space="0"/>
              <w:left w:val="single" w:color="auto" w:sz="4" w:space="0"/>
              <w:bottom w:val="single" w:color="auto" w:sz="4" w:space="0"/>
              <w:right w:val="single" w:color="auto" w:sz="4" w:space="0"/>
            </w:tcBorders>
            <w:noWrap w:val="0"/>
            <w:vAlign w:val="center"/>
          </w:tcPr>
          <w:p w14:paraId="70417D6D">
            <w:pPr>
              <w:pageBreakBefore w:val="0"/>
              <w:kinsoku/>
              <w:wordWrap/>
              <w:overflowPunct/>
              <w:topLinePunct w:val="0"/>
              <w:bidi w:val="0"/>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学历</w:t>
            </w:r>
          </w:p>
        </w:tc>
        <w:tc>
          <w:tcPr>
            <w:tcW w:w="1029" w:type="pct"/>
            <w:tcBorders>
              <w:top w:val="single" w:color="auto" w:sz="4" w:space="0"/>
              <w:left w:val="single" w:color="auto" w:sz="4" w:space="0"/>
              <w:bottom w:val="single" w:color="auto" w:sz="4" w:space="0"/>
              <w:right w:val="single" w:color="auto" w:sz="4" w:space="0"/>
            </w:tcBorders>
            <w:noWrap w:val="0"/>
            <w:vAlign w:val="center"/>
          </w:tcPr>
          <w:p w14:paraId="5F5F4D28">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r>
      <w:tr w14:paraId="4633B186">
        <w:tblPrEx>
          <w:tblCellMar>
            <w:top w:w="57" w:type="dxa"/>
            <w:left w:w="57" w:type="dxa"/>
            <w:bottom w:w="57" w:type="dxa"/>
            <w:right w:w="57" w:type="dxa"/>
          </w:tblCellMar>
        </w:tblPrEx>
        <w:trPr>
          <w:trHeight w:val="567" w:hRule="atLeast"/>
          <w:jc w:val="center"/>
        </w:trPr>
        <w:tc>
          <w:tcPr>
            <w:tcW w:w="808" w:type="pct"/>
            <w:gridSpan w:val="2"/>
            <w:tcBorders>
              <w:top w:val="single" w:color="auto" w:sz="4" w:space="0"/>
              <w:left w:val="single" w:color="auto" w:sz="4" w:space="0"/>
              <w:bottom w:val="single" w:color="auto" w:sz="4" w:space="0"/>
              <w:right w:val="single" w:color="auto" w:sz="4" w:space="0"/>
            </w:tcBorders>
            <w:noWrap w:val="0"/>
            <w:vAlign w:val="center"/>
          </w:tcPr>
          <w:p w14:paraId="064014BC">
            <w:pPr>
              <w:pageBreakBefore w:val="0"/>
              <w:kinsoku/>
              <w:wordWrap/>
              <w:overflowPunct/>
              <w:topLinePunct w:val="0"/>
              <w:bidi w:val="0"/>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行政职务</w:t>
            </w:r>
          </w:p>
        </w:tc>
        <w:tc>
          <w:tcPr>
            <w:tcW w:w="588" w:type="pct"/>
            <w:tcBorders>
              <w:top w:val="single" w:color="auto" w:sz="4" w:space="0"/>
              <w:left w:val="single" w:color="auto" w:sz="4" w:space="0"/>
              <w:bottom w:val="single" w:color="auto" w:sz="4" w:space="0"/>
              <w:right w:val="single" w:color="auto" w:sz="4" w:space="0"/>
            </w:tcBorders>
            <w:noWrap w:val="0"/>
            <w:vAlign w:val="center"/>
          </w:tcPr>
          <w:p w14:paraId="3C672842">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661" w:type="pct"/>
            <w:tcBorders>
              <w:top w:val="single" w:color="auto" w:sz="4" w:space="0"/>
              <w:left w:val="single" w:color="auto" w:sz="4" w:space="0"/>
              <w:bottom w:val="single" w:color="auto" w:sz="4" w:space="0"/>
              <w:right w:val="single" w:color="auto" w:sz="4" w:space="0"/>
            </w:tcBorders>
            <w:noWrap w:val="0"/>
            <w:vAlign w:val="center"/>
          </w:tcPr>
          <w:p w14:paraId="17C75651">
            <w:pPr>
              <w:pageBreakBefore w:val="0"/>
              <w:kinsoku/>
              <w:wordWrap/>
              <w:overflowPunct/>
              <w:topLinePunct w:val="0"/>
              <w:bidi w:val="0"/>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专业职称</w:t>
            </w:r>
          </w:p>
        </w:tc>
        <w:tc>
          <w:tcPr>
            <w:tcW w:w="882" w:type="pct"/>
            <w:gridSpan w:val="3"/>
            <w:tcBorders>
              <w:top w:val="single" w:color="auto" w:sz="4" w:space="0"/>
              <w:left w:val="single" w:color="auto" w:sz="4" w:space="0"/>
              <w:bottom w:val="single" w:color="auto" w:sz="4" w:space="0"/>
              <w:right w:val="single" w:color="auto" w:sz="4" w:space="0"/>
            </w:tcBorders>
            <w:noWrap w:val="0"/>
            <w:vAlign w:val="center"/>
          </w:tcPr>
          <w:p w14:paraId="1FF85067">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029" w:type="pct"/>
            <w:gridSpan w:val="2"/>
            <w:tcBorders>
              <w:top w:val="single" w:color="auto" w:sz="4" w:space="0"/>
              <w:left w:val="single" w:color="auto" w:sz="4" w:space="0"/>
              <w:bottom w:val="single" w:color="auto" w:sz="4" w:space="0"/>
              <w:right w:val="single" w:color="auto" w:sz="4" w:space="0"/>
            </w:tcBorders>
            <w:noWrap w:val="0"/>
            <w:vAlign w:val="center"/>
          </w:tcPr>
          <w:p w14:paraId="1173006D">
            <w:pPr>
              <w:pageBreakBefore w:val="0"/>
              <w:kinsoku/>
              <w:wordWrap/>
              <w:overflowPunct/>
              <w:topLinePunct w:val="0"/>
              <w:bidi w:val="0"/>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专业年限</w:t>
            </w:r>
          </w:p>
        </w:tc>
        <w:tc>
          <w:tcPr>
            <w:tcW w:w="1029" w:type="pct"/>
            <w:tcBorders>
              <w:top w:val="single" w:color="auto" w:sz="4" w:space="0"/>
              <w:left w:val="single" w:color="auto" w:sz="4" w:space="0"/>
              <w:bottom w:val="single" w:color="auto" w:sz="4" w:space="0"/>
              <w:right w:val="single" w:color="auto" w:sz="4" w:space="0"/>
            </w:tcBorders>
            <w:noWrap w:val="0"/>
            <w:vAlign w:val="center"/>
          </w:tcPr>
          <w:p w14:paraId="0F788676">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r>
      <w:tr w14:paraId="494CF65B">
        <w:tblPrEx>
          <w:tblCellMar>
            <w:top w:w="57" w:type="dxa"/>
            <w:left w:w="57" w:type="dxa"/>
            <w:bottom w:w="57" w:type="dxa"/>
            <w:right w:w="57" w:type="dxa"/>
          </w:tblCellMar>
        </w:tblPrEx>
        <w:trPr>
          <w:cantSplit/>
          <w:trHeight w:val="567" w:hRule="atLeast"/>
          <w:jc w:val="center"/>
        </w:trPr>
        <w:tc>
          <w:tcPr>
            <w:tcW w:w="808" w:type="pct"/>
            <w:gridSpan w:val="2"/>
            <w:tcBorders>
              <w:top w:val="single" w:color="auto" w:sz="4" w:space="0"/>
              <w:left w:val="single" w:color="auto" w:sz="4" w:space="0"/>
              <w:bottom w:val="single" w:color="auto" w:sz="4" w:space="0"/>
              <w:right w:val="single" w:color="auto" w:sz="4" w:space="0"/>
            </w:tcBorders>
            <w:noWrap w:val="0"/>
            <w:vAlign w:val="center"/>
          </w:tcPr>
          <w:p w14:paraId="521D5552">
            <w:pPr>
              <w:pageBreakBefore w:val="0"/>
              <w:kinsoku/>
              <w:wordWrap/>
              <w:overflowPunct/>
              <w:topLinePunct w:val="0"/>
              <w:bidi w:val="0"/>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工作单位</w:t>
            </w:r>
          </w:p>
        </w:tc>
        <w:tc>
          <w:tcPr>
            <w:tcW w:w="2132" w:type="pct"/>
            <w:gridSpan w:val="5"/>
            <w:tcBorders>
              <w:top w:val="single" w:color="auto" w:sz="4" w:space="0"/>
              <w:left w:val="single" w:color="auto" w:sz="4" w:space="0"/>
              <w:bottom w:val="single" w:color="auto" w:sz="4" w:space="0"/>
              <w:right w:val="single" w:color="auto" w:sz="4" w:space="0"/>
            </w:tcBorders>
            <w:noWrap w:val="0"/>
            <w:vAlign w:val="center"/>
          </w:tcPr>
          <w:p w14:paraId="786FDB90">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029" w:type="pct"/>
            <w:gridSpan w:val="2"/>
            <w:tcBorders>
              <w:top w:val="single" w:color="auto" w:sz="4" w:space="0"/>
              <w:left w:val="single" w:color="auto" w:sz="4" w:space="0"/>
              <w:bottom w:val="single" w:color="auto" w:sz="4" w:space="0"/>
              <w:right w:val="single" w:color="auto" w:sz="4" w:space="0"/>
            </w:tcBorders>
            <w:noWrap w:val="0"/>
            <w:vAlign w:val="center"/>
          </w:tcPr>
          <w:p w14:paraId="32CEC30F">
            <w:pPr>
              <w:pageBreakBefore w:val="0"/>
              <w:kinsoku/>
              <w:wordWrap/>
              <w:overflowPunct/>
              <w:topLinePunct w:val="0"/>
              <w:bidi w:val="0"/>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电话</w:t>
            </w:r>
          </w:p>
        </w:tc>
        <w:tc>
          <w:tcPr>
            <w:tcW w:w="1029" w:type="pct"/>
            <w:tcBorders>
              <w:top w:val="single" w:color="auto" w:sz="4" w:space="0"/>
              <w:left w:val="single" w:color="auto" w:sz="4" w:space="0"/>
              <w:bottom w:val="single" w:color="auto" w:sz="4" w:space="0"/>
              <w:right w:val="single" w:color="auto" w:sz="4" w:space="0"/>
            </w:tcBorders>
            <w:noWrap w:val="0"/>
            <w:vAlign w:val="center"/>
          </w:tcPr>
          <w:p w14:paraId="0204C8BE">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r>
      <w:tr w14:paraId="79D677F2">
        <w:tblPrEx>
          <w:tblCellMar>
            <w:top w:w="57" w:type="dxa"/>
            <w:left w:w="57" w:type="dxa"/>
            <w:bottom w:w="57" w:type="dxa"/>
            <w:right w:w="57" w:type="dxa"/>
          </w:tblCellMar>
        </w:tblPrEx>
        <w:trPr>
          <w:trHeight w:val="567" w:hRule="atLeast"/>
          <w:jc w:val="center"/>
        </w:trPr>
        <w:tc>
          <w:tcPr>
            <w:tcW w:w="808" w:type="pct"/>
            <w:gridSpan w:val="2"/>
            <w:tcBorders>
              <w:top w:val="single" w:color="auto" w:sz="4" w:space="0"/>
              <w:left w:val="single" w:color="auto" w:sz="4" w:space="0"/>
              <w:bottom w:val="single" w:color="auto" w:sz="4" w:space="0"/>
              <w:right w:val="single" w:color="auto" w:sz="4" w:space="0"/>
            </w:tcBorders>
            <w:noWrap w:val="0"/>
            <w:vAlign w:val="center"/>
          </w:tcPr>
          <w:p w14:paraId="2840EE5B">
            <w:pPr>
              <w:pageBreakBefore w:val="0"/>
              <w:kinsoku/>
              <w:wordWrap/>
              <w:overflowPunct/>
              <w:topLinePunct w:val="0"/>
              <w:bidi w:val="0"/>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通讯地址</w:t>
            </w:r>
          </w:p>
        </w:tc>
        <w:tc>
          <w:tcPr>
            <w:tcW w:w="2132" w:type="pct"/>
            <w:gridSpan w:val="5"/>
            <w:tcBorders>
              <w:top w:val="single" w:color="auto" w:sz="4" w:space="0"/>
              <w:left w:val="single" w:color="auto" w:sz="4" w:space="0"/>
              <w:bottom w:val="single" w:color="auto" w:sz="4" w:space="0"/>
              <w:right w:val="single" w:color="auto" w:sz="4" w:space="0"/>
            </w:tcBorders>
            <w:noWrap w:val="0"/>
            <w:vAlign w:val="center"/>
          </w:tcPr>
          <w:p w14:paraId="5F72EEE4">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029" w:type="pct"/>
            <w:gridSpan w:val="2"/>
            <w:tcBorders>
              <w:top w:val="single" w:color="auto" w:sz="4" w:space="0"/>
              <w:left w:val="single" w:color="auto" w:sz="4" w:space="0"/>
              <w:bottom w:val="single" w:color="auto" w:sz="4" w:space="0"/>
              <w:right w:val="single" w:color="auto" w:sz="4" w:space="0"/>
            </w:tcBorders>
            <w:noWrap w:val="0"/>
            <w:vAlign w:val="center"/>
          </w:tcPr>
          <w:p w14:paraId="657178B0">
            <w:pPr>
              <w:pageBreakBefore w:val="0"/>
              <w:kinsoku/>
              <w:wordWrap/>
              <w:overflowPunct/>
              <w:topLinePunct w:val="0"/>
              <w:bidi w:val="0"/>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邮编</w:t>
            </w:r>
          </w:p>
        </w:tc>
        <w:tc>
          <w:tcPr>
            <w:tcW w:w="1029" w:type="pct"/>
            <w:tcBorders>
              <w:top w:val="single" w:color="auto" w:sz="4" w:space="0"/>
              <w:left w:val="single" w:color="auto" w:sz="4" w:space="0"/>
              <w:bottom w:val="single" w:color="auto" w:sz="4" w:space="0"/>
              <w:right w:val="single" w:color="auto" w:sz="4" w:space="0"/>
            </w:tcBorders>
            <w:noWrap w:val="0"/>
            <w:vAlign w:val="center"/>
          </w:tcPr>
          <w:p w14:paraId="2A6A7422">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r>
      <w:tr w14:paraId="291C91D5">
        <w:tblPrEx>
          <w:tblCellMar>
            <w:top w:w="57" w:type="dxa"/>
            <w:left w:w="57" w:type="dxa"/>
            <w:bottom w:w="57" w:type="dxa"/>
            <w:right w:w="57" w:type="dxa"/>
          </w:tblCellMar>
        </w:tblPrEx>
        <w:trPr>
          <w:cantSplit/>
          <w:trHeight w:val="567" w:hRule="atLeast"/>
          <w:jc w:val="center"/>
        </w:trPr>
        <w:tc>
          <w:tcPr>
            <w:tcW w:w="5000" w:type="pct"/>
            <w:gridSpan w:val="10"/>
            <w:tcBorders>
              <w:top w:val="single" w:color="auto" w:sz="4" w:space="0"/>
              <w:left w:val="single" w:color="auto" w:sz="4" w:space="0"/>
              <w:bottom w:val="single" w:color="auto" w:sz="4" w:space="0"/>
              <w:right w:val="single" w:color="auto" w:sz="4" w:space="0"/>
            </w:tcBorders>
            <w:noWrap w:val="0"/>
            <w:vAlign w:val="center"/>
          </w:tcPr>
          <w:p w14:paraId="5114066D">
            <w:pPr>
              <w:pageBreakBefore w:val="0"/>
              <w:kinsoku/>
              <w:wordWrap/>
              <w:overflowPunct/>
              <w:topLinePunct w:val="0"/>
              <w:bidi w:val="0"/>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类似项目工作经验</w:t>
            </w:r>
          </w:p>
        </w:tc>
      </w:tr>
      <w:tr w14:paraId="69B3BAF0">
        <w:tblPrEx>
          <w:tblCellMar>
            <w:top w:w="57" w:type="dxa"/>
            <w:left w:w="57" w:type="dxa"/>
            <w:bottom w:w="57" w:type="dxa"/>
            <w:right w:w="57" w:type="dxa"/>
          </w:tblCellMar>
        </w:tblPrEx>
        <w:trPr>
          <w:cantSplit/>
          <w:trHeight w:val="567" w:hRule="atLeast"/>
          <w:jc w:val="center"/>
        </w:trPr>
        <w:tc>
          <w:tcPr>
            <w:tcW w:w="735" w:type="pct"/>
            <w:tcBorders>
              <w:top w:val="single" w:color="auto" w:sz="4" w:space="0"/>
              <w:left w:val="single" w:color="auto" w:sz="4" w:space="0"/>
              <w:bottom w:val="single" w:color="auto" w:sz="4" w:space="0"/>
              <w:right w:val="single" w:color="auto" w:sz="4" w:space="0"/>
            </w:tcBorders>
            <w:noWrap w:val="0"/>
            <w:vAlign w:val="center"/>
          </w:tcPr>
          <w:p w14:paraId="23322DE4">
            <w:pPr>
              <w:pageBreakBefore w:val="0"/>
              <w:kinsoku/>
              <w:wordWrap/>
              <w:overflowPunct/>
              <w:topLinePunct w:val="0"/>
              <w:bidi w:val="0"/>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时间</w:t>
            </w:r>
          </w:p>
        </w:tc>
        <w:tc>
          <w:tcPr>
            <w:tcW w:w="1357" w:type="pct"/>
            <w:gridSpan w:val="4"/>
            <w:tcBorders>
              <w:top w:val="single" w:color="auto" w:sz="4" w:space="0"/>
              <w:left w:val="single" w:color="auto" w:sz="4" w:space="0"/>
              <w:bottom w:val="single" w:color="auto" w:sz="4" w:space="0"/>
              <w:right w:val="single" w:color="auto" w:sz="4" w:space="0"/>
            </w:tcBorders>
            <w:noWrap w:val="0"/>
            <w:vAlign w:val="center"/>
          </w:tcPr>
          <w:p w14:paraId="40C03369">
            <w:pPr>
              <w:pageBreakBefore w:val="0"/>
              <w:kinsoku/>
              <w:wordWrap/>
              <w:overflowPunct/>
              <w:topLinePunct w:val="0"/>
              <w:bidi w:val="0"/>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参加过的类似项目</w:t>
            </w:r>
          </w:p>
        </w:tc>
        <w:tc>
          <w:tcPr>
            <w:tcW w:w="847" w:type="pct"/>
            <w:gridSpan w:val="2"/>
            <w:tcBorders>
              <w:top w:val="single" w:color="auto" w:sz="4" w:space="0"/>
              <w:left w:val="single" w:color="auto" w:sz="4" w:space="0"/>
              <w:bottom w:val="single" w:color="auto" w:sz="4" w:space="0"/>
              <w:right w:val="single" w:color="auto" w:sz="4" w:space="0"/>
            </w:tcBorders>
            <w:noWrap w:val="0"/>
            <w:vAlign w:val="center"/>
          </w:tcPr>
          <w:p w14:paraId="098788CA">
            <w:pPr>
              <w:pageBreakBefore w:val="0"/>
              <w:kinsoku/>
              <w:wordWrap/>
              <w:overflowPunct/>
              <w:topLinePunct w:val="0"/>
              <w:bidi w:val="0"/>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担任职务</w:t>
            </w:r>
          </w:p>
        </w:tc>
        <w:tc>
          <w:tcPr>
            <w:tcW w:w="2058" w:type="pct"/>
            <w:gridSpan w:val="3"/>
            <w:tcBorders>
              <w:top w:val="single" w:color="auto" w:sz="4" w:space="0"/>
              <w:left w:val="single" w:color="auto" w:sz="4" w:space="0"/>
              <w:bottom w:val="single" w:color="auto" w:sz="4" w:space="0"/>
              <w:right w:val="single" w:color="auto" w:sz="4" w:space="0"/>
            </w:tcBorders>
            <w:noWrap w:val="0"/>
            <w:vAlign w:val="center"/>
          </w:tcPr>
          <w:p w14:paraId="3906D29F">
            <w:pPr>
              <w:pageBreakBefore w:val="0"/>
              <w:kinsoku/>
              <w:wordWrap/>
              <w:overflowPunct/>
              <w:topLinePunct w:val="0"/>
              <w:bidi w:val="0"/>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发包人及联系电话</w:t>
            </w:r>
          </w:p>
        </w:tc>
      </w:tr>
      <w:tr w14:paraId="75B0AFDA">
        <w:tblPrEx>
          <w:tblCellMar>
            <w:top w:w="57" w:type="dxa"/>
            <w:left w:w="57" w:type="dxa"/>
            <w:bottom w:w="57" w:type="dxa"/>
            <w:right w:w="57" w:type="dxa"/>
          </w:tblCellMar>
        </w:tblPrEx>
        <w:trPr>
          <w:cantSplit/>
          <w:trHeight w:val="567" w:hRule="atLeast"/>
          <w:jc w:val="center"/>
        </w:trPr>
        <w:tc>
          <w:tcPr>
            <w:tcW w:w="735" w:type="pct"/>
            <w:tcBorders>
              <w:top w:val="single" w:color="auto" w:sz="4" w:space="0"/>
              <w:left w:val="single" w:color="auto" w:sz="4" w:space="0"/>
              <w:bottom w:val="single" w:color="auto" w:sz="4" w:space="0"/>
              <w:right w:val="single" w:color="auto" w:sz="4" w:space="0"/>
            </w:tcBorders>
            <w:noWrap w:val="0"/>
            <w:vAlign w:val="center"/>
          </w:tcPr>
          <w:p w14:paraId="2C8A4424">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357" w:type="pct"/>
            <w:gridSpan w:val="4"/>
            <w:tcBorders>
              <w:top w:val="single" w:color="auto" w:sz="4" w:space="0"/>
              <w:left w:val="single" w:color="auto" w:sz="4" w:space="0"/>
              <w:bottom w:val="single" w:color="auto" w:sz="4" w:space="0"/>
              <w:right w:val="single" w:color="auto" w:sz="4" w:space="0"/>
            </w:tcBorders>
            <w:noWrap w:val="0"/>
            <w:vAlign w:val="center"/>
          </w:tcPr>
          <w:p w14:paraId="1A84E3F3">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847" w:type="pct"/>
            <w:gridSpan w:val="2"/>
            <w:tcBorders>
              <w:top w:val="single" w:color="auto" w:sz="4" w:space="0"/>
              <w:left w:val="single" w:color="auto" w:sz="4" w:space="0"/>
              <w:bottom w:val="single" w:color="auto" w:sz="4" w:space="0"/>
              <w:right w:val="single" w:color="auto" w:sz="4" w:space="0"/>
            </w:tcBorders>
            <w:noWrap w:val="0"/>
            <w:vAlign w:val="center"/>
          </w:tcPr>
          <w:p w14:paraId="12A6E22B">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2058" w:type="pct"/>
            <w:gridSpan w:val="3"/>
            <w:tcBorders>
              <w:top w:val="single" w:color="auto" w:sz="4" w:space="0"/>
              <w:left w:val="single" w:color="auto" w:sz="4" w:space="0"/>
              <w:bottom w:val="single" w:color="auto" w:sz="4" w:space="0"/>
              <w:right w:val="single" w:color="auto" w:sz="4" w:space="0"/>
            </w:tcBorders>
            <w:noWrap w:val="0"/>
            <w:vAlign w:val="center"/>
          </w:tcPr>
          <w:p w14:paraId="4837AEA5">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r>
      <w:tr w14:paraId="4DB7427F">
        <w:tblPrEx>
          <w:tblCellMar>
            <w:top w:w="57" w:type="dxa"/>
            <w:left w:w="57" w:type="dxa"/>
            <w:bottom w:w="57" w:type="dxa"/>
            <w:right w:w="57" w:type="dxa"/>
          </w:tblCellMar>
        </w:tblPrEx>
        <w:trPr>
          <w:cantSplit/>
          <w:trHeight w:val="567" w:hRule="atLeast"/>
          <w:jc w:val="center"/>
        </w:trPr>
        <w:tc>
          <w:tcPr>
            <w:tcW w:w="735" w:type="pct"/>
            <w:tcBorders>
              <w:top w:val="single" w:color="auto" w:sz="4" w:space="0"/>
              <w:left w:val="single" w:color="auto" w:sz="4" w:space="0"/>
              <w:bottom w:val="single" w:color="auto" w:sz="4" w:space="0"/>
              <w:right w:val="single" w:color="auto" w:sz="4" w:space="0"/>
            </w:tcBorders>
            <w:noWrap w:val="0"/>
            <w:vAlign w:val="center"/>
          </w:tcPr>
          <w:p w14:paraId="04E202F8">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357" w:type="pct"/>
            <w:gridSpan w:val="4"/>
            <w:tcBorders>
              <w:top w:val="single" w:color="auto" w:sz="4" w:space="0"/>
              <w:left w:val="single" w:color="auto" w:sz="4" w:space="0"/>
              <w:bottom w:val="single" w:color="auto" w:sz="4" w:space="0"/>
              <w:right w:val="single" w:color="auto" w:sz="4" w:space="0"/>
            </w:tcBorders>
            <w:noWrap w:val="0"/>
            <w:vAlign w:val="center"/>
          </w:tcPr>
          <w:p w14:paraId="1FD31BBC">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847" w:type="pct"/>
            <w:gridSpan w:val="2"/>
            <w:tcBorders>
              <w:top w:val="single" w:color="auto" w:sz="4" w:space="0"/>
              <w:left w:val="single" w:color="auto" w:sz="4" w:space="0"/>
              <w:bottom w:val="single" w:color="auto" w:sz="4" w:space="0"/>
              <w:right w:val="single" w:color="auto" w:sz="4" w:space="0"/>
            </w:tcBorders>
            <w:noWrap w:val="0"/>
            <w:vAlign w:val="center"/>
          </w:tcPr>
          <w:p w14:paraId="3A954637">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2058" w:type="pct"/>
            <w:gridSpan w:val="3"/>
            <w:tcBorders>
              <w:top w:val="single" w:color="auto" w:sz="4" w:space="0"/>
              <w:left w:val="single" w:color="auto" w:sz="4" w:space="0"/>
              <w:bottom w:val="single" w:color="auto" w:sz="4" w:space="0"/>
              <w:right w:val="single" w:color="auto" w:sz="4" w:space="0"/>
            </w:tcBorders>
            <w:noWrap w:val="0"/>
            <w:vAlign w:val="center"/>
          </w:tcPr>
          <w:p w14:paraId="3ED1039B">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r>
      <w:tr w14:paraId="55361E3F">
        <w:tblPrEx>
          <w:tblCellMar>
            <w:top w:w="57" w:type="dxa"/>
            <w:left w:w="57" w:type="dxa"/>
            <w:bottom w:w="57" w:type="dxa"/>
            <w:right w:w="57" w:type="dxa"/>
          </w:tblCellMar>
        </w:tblPrEx>
        <w:trPr>
          <w:cantSplit/>
          <w:trHeight w:val="567" w:hRule="atLeast"/>
          <w:jc w:val="center"/>
        </w:trPr>
        <w:tc>
          <w:tcPr>
            <w:tcW w:w="735" w:type="pct"/>
            <w:tcBorders>
              <w:top w:val="single" w:color="auto" w:sz="4" w:space="0"/>
              <w:left w:val="single" w:color="auto" w:sz="4" w:space="0"/>
              <w:bottom w:val="single" w:color="auto" w:sz="4" w:space="0"/>
              <w:right w:val="single" w:color="auto" w:sz="4" w:space="0"/>
            </w:tcBorders>
            <w:noWrap w:val="0"/>
            <w:vAlign w:val="center"/>
          </w:tcPr>
          <w:p w14:paraId="6680034B">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357" w:type="pct"/>
            <w:gridSpan w:val="4"/>
            <w:tcBorders>
              <w:top w:val="single" w:color="auto" w:sz="4" w:space="0"/>
              <w:left w:val="single" w:color="auto" w:sz="4" w:space="0"/>
              <w:bottom w:val="single" w:color="auto" w:sz="4" w:space="0"/>
              <w:right w:val="single" w:color="auto" w:sz="4" w:space="0"/>
            </w:tcBorders>
            <w:noWrap w:val="0"/>
            <w:vAlign w:val="center"/>
          </w:tcPr>
          <w:p w14:paraId="41934B54">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847" w:type="pct"/>
            <w:gridSpan w:val="2"/>
            <w:tcBorders>
              <w:top w:val="single" w:color="auto" w:sz="4" w:space="0"/>
              <w:left w:val="single" w:color="auto" w:sz="4" w:space="0"/>
              <w:bottom w:val="single" w:color="auto" w:sz="4" w:space="0"/>
              <w:right w:val="single" w:color="auto" w:sz="4" w:space="0"/>
            </w:tcBorders>
            <w:noWrap w:val="0"/>
            <w:vAlign w:val="center"/>
          </w:tcPr>
          <w:p w14:paraId="478620B0">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2058" w:type="pct"/>
            <w:gridSpan w:val="3"/>
            <w:tcBorders>
              <w:top w:val="single" w:color="auto" w:sz="4" w:space="0"/>
              <w:left w:val="single" w:color="auto" w:sz="4" w:space="0"/>
              <w:bottom w:val="single" w:color="auto" w:sz="4" w:space="0"/>
              <w:right w:val="single" w:color="auto" w:sz="4" w:space="0"/>
            </w:tcBorders>
            <w:noWrap w:val="0"/>
            <w:vAlign w:val="center"/>
          </w:tcPr>
          <w:p w14:paraId="04F4FA9F">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r>
    </w:tbl>
    <w:p w14:paraId="379BB91B">
      <w:pPr>
        <w:pageBreakBefore w:val="0"/>
        <w:kinsoku/>
        <w:wordWrap/>
        <w:overflowPunct/>
        <w:topLinePunct w:val="0"/>
        <w:bidi w:val="0"/>
        <w:spacing w:line="360" w:lineRule="auto"/>
        <w:ind w:left="424" w:leftChars="202"/>
        <w:rPr>
          <w:rFonts w:hint="eastAsia" w:ascii="宋体" w:hAnsi="宋体" w:eastAsia="宋体" w:cs="宋体"/>
          <w:sz w:val="21"/>
          <w:szCs w:val="21"/>
          <w:highlight w:val="none"/>
        </w:rPr>
      </w:pPr>
    </w:p>
    <w:p w14:paraId="498E1A4E">
      <w:pPr>
        <w:pageBreakBefore w:val="0"/>
        <w:kinsoku/>
        <w:wordWrap/>
        <w:overflowPunct/>
        <w:topLinePunct w:val="0"/>
        <w:bidi w:val="0"/>
        <w:spacing w:line="360" w:lineRule="auto"/>
        <w:ind w:left="424" w:leftChars="202"/>
        <w:rPr>
          <w:rFonts w:hint="eastAsia" w:ascii="宋体" w:hAnsi="宋体" w:eastAsia="宋体" w:cs="宋体"/>
          <w:sz w:val="21"/>
          <w:szCs w:val="21"/>
          <w:highlight w:val="none"/>
          <w:u w:val="single"/>
        </w:rPr>
      </w:pPr>
      <w:r>
        <w:rPr>
          <w:rFonts w:hint="eastAsia" w:ascii="宋体" w:hAnsi="宋体" w:eastAsia="宋体" w:cs="宋体"/>
          <w:sz w:val="21"/>
          <w:szCs w:val="21"/>
          <w:highlight w:val="none"/>
          <w:lang w:val="en-US" w:eastAsia="zh-CN"/>
        </w:rPr>
        <w:t>响应</w:t>
      </w:r>
      <w:r>
        <w:rPr>
          <w:rFonts w:hint="eastAsia" w:ascii="宋体" w:hAnsi="宋体" w:eastAsia="宋体" w:cs="宋体"/>
          <w:sz w:val="21"/>
          <w:szCs w:val="21"/>
          <w:highlight w:val="none"/>
        </w:rPr>
        <w:t>人名称：</w:t>
      </w:r>
      <w:r>
        <w:rPr>
          <w:rFonts w:hint="eastAsia" w:ascii="宋体" w:hAnsi="宋体" w:eastAsia="宋体" w:cs="宋体"/>
          <w:b/>
          <w:spacing w:val="20"/>
          <w:sz w:val="21"/>
          <w:szCs w:val="21"/>
          <w:highlight w:val="none"/>
          <w:u w:val="single"/>
        </w:rPr>
        <w:t xml:space="preserve">                </w:t>
      </w:r>
      <w:r>
        <w:rPr>
          <w:rFonts w:hint="eastAsia" w:ascii="宋体" w:hAnsi="宋体" w:eastAsia="宋体" w:cs="宋体"/>
          <w:sz w:val="21"/>
          <w:szCs w:val="21"/>
          <w:highlight w:val="none"/>
        </w:rPr>
        <w:t xml:space="preserve">（加盖公章）  </w:t>
      </w:r>
    </w:p>
    <w:p w14:paraId="0C84E91A">
      <w:pPr>
        <w:pageBreakBefore w:val="0"/>
        <w:kinsoku/>
        <w:wordWrap/>
        <w:overflowPunct/>
        <w:topLinePunct w:val="0"/>
        <w:bidi w:val="0"/>
        <w:spacing w:line="360" w:lineRule="auto"/>
        <w:ind w:left="424" w:leftChars="202"/>
        <w:rPr>
          <w:rFonts w:hint="eastAsia" w:ascii="宋体" w:hAnsi="宋体" w:eastAsia="宋体" w:cs="宋体"/>
          <w:sz w:val="21"/>
          <w:szCs w:val="21"/>
          <w:highlight w:val="none"/>
        </w:rPr>
      </w:pPr>
      <w:r>
        <w:rPr>
          <w:rFonts w:hint="eastAsia" w:ascii="宋体" w:hAnsi="宋体" w:eastAsia="宋体" w:cs="宋体"/>
          <w:spacing w:val="-4"/>
          <w:sz w:val="21"/>
          <w:szCs w:val="21"/>
          <w:highlight w:val="none"/>
          <w:lang w:val="en-US" w:eastAsia="zh-CN"/>
        </w:rPr>
        <w:t>响应</w:t>
      </w:r>
      <w:r>
        <w:rPr>
          <w:rFonts w:hint="eastAsia" w:ascii="宋体" w:hAnsi="宋体" w:eastAsia="宋体" w:cs="宋体"/>
          <w:spacing w:val="-4"/>
          <w:sz w:val="21"/>
          <w:szCs w:val="21"/>
          <w:highlight w:val="none"/>
        </w:rPr>
        <w:t>人代表</w:t>
      </w:r>
      <w:r>
        <w:rPr>
          <w:rFonts w:hint="eastAsia" w:ascii="宋体" w:hAnsi="宋体" w:eastAsia="宋体" w:cs="宋体"/>
          <w:sz w:val="21"/>
          <w:szCs w:val="21"/>
          <w:highlight w:val="none"/>
        </w:rPr>
        <w:t>：</w:t>
      </w:r>
      <w:r>
        <w:rPr>
          <w:rFonts w:hint="eastAsia" w:ascii="宋体" w:hAnsi="宋体" w:eastAsia="宋体" w:cs="宋体"/>
          <w:b/>
          <w:spacing w:val="20"/>
          <w:sz w:val="21"/>
          <w:szCs w:val="21"/>
          <w:highlight w:val="none"/>
          <w:u w:val="single"/>
        </w:rPr>
        <w:t xml:space="preserve">           </w:t>
      </w:r>
      <w:r>
        <w:rPr>
          <w:rFonts w:hint="eastAsia" w:ascii="宋体" w:hAnsi="宋体" w:eastAsia="宋体" w:cs="宋体"/>
          <w:sz w:val="21"/>
          <w:szCs w:val="21"/>
          <w:highlight w:val="none"/>
        </w:rPr>
        <w:t>（签字）</w:t>
      </w:r>
    </w:p>
    <w:p w14:paraId="35F5E178">
      <w:pPr>
        <w:pageBreakBefore w:val="0"/>
        <w:kinsoku/>
        <w:wordWrap/>
        <w:overflowPunct/>
        <w:topLinePunct w:val="0"/>
        <w:bidi w:val="0"/>
        <w:spacing w:line="360" w:lineRule="auto"/>
        <w:ind w:left="424" w:leftChars="202"/>
        <w:rPr>
          <w:rFonts w:hint="eastAsia" w:ascii="宋体" w:hAnsi="宋体" w:eastAsia="宋体" w:cs="宋体"/>
          <w:spacing w:val="20"/>
          <w:sz w:val="21"/>
          <w:szCs w:val="21"/>
          <w:highlight w:val="none"/>
        </w:rPr>
      </w:pPr>
      <w:r>
        <w:rPr>
          <w:rFonts w:hint="eastAsia" w:ascii="宋体" w:hAnsi="宋体" w:eastAsia="宋体" w:cs="宋体"/>
          <w:spacing w:val="20"/>
          <w:sz w:val="21"/>
          <w:szCs w:val="21"/>
          <w:highlight w:val="none"/>
        </w:rPr>
        <w:t>日期：</w:t>
      </w:r>
      <w:r>
        <w:rPr>
          <w:rFonts w:hint="eastAsia" w:ascii="宋体" w:hAnsi="宋体" w:eastAsia="宋体" w:cs="宋体"/>
          <w:spacing w:val="20"/>
          <w:sz w:val="21"/>
          <w:szCs w:val="21"/>
          <w:highlight w:val="none"/>
          <w:u w:val="single"/>
        </w:rPr>
        <w:t xml:space="preserve">    </w:t>
      </w:r>
      <w:r>
        <w:rPr>
          <w:rFonts w:hint="eastAsia" w:ascii="宋体" w:hAnsi="宋体" w:eastAsia="宋体" w:cs="宋体"/>
          <w:spacing w:val="20"/>
          <w:sz w:val="21"/>
          <w:szCs w:val="21"/>
          <w:highlight w:val="none"/>
        </w:rPr>
        <w:t>年</w:t>
      </w:r>
      <w:r>
        <w:rPr>
          <w:rFonts w:hint="eastAsia" w:ascii="宋体" w:hAnsi="宋体" w:eastAsia="宋体" w:cs="宋体"/>
          <w:spacing w:val="20"/>
          <w:sz w:val="21"/>
          <w:szCs w:val="21"/>
          <w:highlight w:val="none"/>
          <w:u w:val="single"/>
        </w:rPr>
        <w:t xml:space="preserve">   </w:t>
      </w:r>
      <w:r>
        <w:rPr>
          <w:rFonts w:hint="eastAsia" w:ascii="宋体" w:hAnsi="宋体" w:eastAsia="宋体" w:cs="宋体"/>
          <w:spacing w:val="20"/>
          <w:sz w:val="21"/>
          <w:szCs w:val="21"/>
          <w:highlight w:val="none"/>
        </w:rPr>
        <w:t>月</w:t>
      </w:r>
      <w:r>
        <w:rPr>
          <w:rFonts w:hint="eastAsia" w:ascii="宋体" w:hAnsi="宋体" w:eastAsia="宋体" w:cs="宋体"/>
          <w:spacing w:val="20"/>
          <w:sz w:val="21"/>
          <w:szCs w:val="21"/>
          <w:highlight w:val="none"/>
          <w:u w:val="single"/>
        </w:rPr>
        <w:t xml:space="preserve">   </w:t>
      </w:r>
      <w:r>
        <w:rPr>
          <w:rFonts w:hint="eastAsia" w:ascii="宋体" w:hAnsi="宋体" w:eastAsia="宋体" w:cs="宋体"/>
          <w:spacing w:val="20"/>
          <w:sz w:val="21"/>
          <w:szCs w:val="21"/>
          <w:highlight w:val="none"/>
        </w:rPr>
        <w:t>日</w:t>
      </w:r>
    </w:p>
    <w:p w14:paraId="7EFFAE37">
      <w:pPr>
        <w:pageBreakBefore w:val="0"/>
        <w:kinsoku/>
        <w:wordWrap/>
        <w:overflowPunct/>
        <w:topLinePunct w:val="0"/>
        <w:bidi w:val="0"/>
        <w:spacing w:line="360" w:lineRule="auto"/>
        <w:rPr>
          <w:rFonts w:hint="eastAsia" w:ascii="宋体" w:hAnsi="宋体" w:eastAsia="宋体" w:cs="宋体"/>
          <w:b/>
          <w:sz w:val="21"/>
          <w:szCs w:val="21"/>
          <w:highlight w:val="none"/>
        </w:rPr>
      </w:pPr>
      <w:r>
        <w:rPr>
          <w:rFonts w:hint="eastAsia" w:ascii="宋体" w:hAnsi="宋体" w:eastAsia="宋体" w:cs="宋体"/>
          <w:b/>
          <w:bCs/>
          <w:sz w:val="21"/>
          <w:szCs w:val="21"/>
          <w:highlight w:val="none"/>
        </w:rPr>
        <w:br w:type="page"/>
      </w:r>
    </w:p>
    <w:p w14:paraId="493172FE">
      <w:pPr>
        <w:keepNext w:val="0"/>
        <w:keepLines w:val="0"/>
        <w:pageBreakBefore w:val="0"/>
        <w:kinsoku/>
        <w:wordWrap/>
        <w:overflowPunct/>
        <w:topLinePunct w:val="0"/>
        <w:autoSpaceDE/>
        <w:autoSpaceDN/>
        <w:bidi w:val="0"/>
        <w:adjustRightInd/>
        <w:snapToGrid w:val="0"/>
        <w:spacing w:before="50" w:after="156" w:afterLines="50" w:line="360" w:lineRule="auto"/>
        <w:textAlignment w:val="auto"/>
        <w:outlineLvl w:val="2"/>
        <w:rPr>
          <w:rFonts w:hint="eastAsia" w:ascii="宋体" w:hAnsi="宋体" w:eastAsia="宋体" w:cs="宋体"/>
          <w:sz w:val="21"/>
          <w:szCs w:val="21"/>
          <w:highlight w:val="none"/>
        </w:rPr>
      </w:pPr>
      <w:r>
        <w:rPr>
          <w:rFonts w:hint="eastAsia" w:ascii="宋体" w:hAnsi="宋体" w:eastAsia="宋体" w:cs="宋体"/>
          <w:b/>
          <w:sz w:val="21"/>
          <w:szCs w:val="21"/>
          <w:highlight w:val="none"/>
        </w:rPr>
        <w:t>格式</w:t>
      </w:r>
      <w:r>
        <w:rPr>
          <w:rFonts w:hint="eastAsia" w:ascii="宋体" w:hAnsi="宋体" w:cs="宋体"/>
          <w:b/>
          <w:sz w:val="21"/>
          <w:szCs w:val="21"/>
          <w:highlight w:val="none"/>
          <w:lang w:val="en-US" w:eastAsia="zh-CN"/>
        </w:rPr>
        <w:t>七</w:t>
      </w:r>
      <w:r>
        <w:rPr>
          <w:rFonts w:hint="eastAsia" w:ascii="宋体" w:hAnsi="宋体" w:eastAsia="宋体" w:cs="宋体"/>
          <w:b/>
          <w:sz w:val="21"/>
          <w:szCs w:val="21"/>
          <w:highlight w:val="none"/>
        </w:rPr>
        <w:t>、项目实施人员一览表</w:t>
      </w:r>
    </w:p>
    <w:tbl>
      <w:tblPr>
        <w:tblStyle w:val="28"/>
        <w:tblW w:w="4998" w:type="pct"/>
        <w:jc w:val="center"/>
        <w:tblLayout w:type="autofit"/>
        <w:tblCellMar>
          <w:top w:w="57" w:type="dxa"/>
          <w:left w:w="57" w:type="dxa"/>
          <w:bottom w:w="57" w:type="dxa"/>
          <w:right w:w="57" w:type="dxa"/>
        </w:tblCellMar>
      </w:tblPr>
      <w:tblGrid>
        <w:gridCol w:w="592"/>
        <w:gridCol w:w="1311"/>
        <w:gridCol w:w="713"/>
        <w:gridCol w:w="855"/>
        <w:gridCol w:w="855"/>
        <w:gridCol w:w="998"/>
        <w:gridCol w:w="1141"/>
        <w:gridCol w:w="855"/>
        <w:gridCol w:w="1283"/>
        <w:gridCol w:w="1429"/>
      </w:tblGrid>
      <w:tr w14:paraId="2777D60D">
        <w:tblPrEx>
          <w:tblCellMar>
            <w:top w:w="57" w:type="dxa"/>
            <w:left w:w="57" w:type="dxa"/>
            <w:bottom w:w="57" w:type="dxa"/>
            <w:right w:w="57" w:type="dxa"/>
          </w:tblCellMar>
        </w:tblPrEx>
        <w:trPr>
          <w:cantSplit/>
          <w:trHeight w:val="567" w:hRule="atLeast"/>
          <w:jc w:val="center"/>
        </w:trPr>
        <w:tc>
          <w:tcPr>
            <w:tcW w:w="295" w:type="pct"/>
            <w:tcBorders>
              <w:top w:val="single" w:color="auto" w:sz="4" w:space="0"/>
              <w:left w:val="single" w:color="auto" w:sz="4" w:space="0"/>
              <w:bottom w:val="single" w:color="auto" w:sz="4" w:space="0"/>
              <w:right w:val="single" w:color="auto" w:sz="4" w:space="0"/>
            </w:tcBorders>
            <w:noWrap w:val="0"/>
            <w:vAlign w:val="center"/>
          </w:tcPr>
          <w:p w14:paraId="332F2C3A">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序号</w:t>
            </w:r>
          </w:p>
        </w:tc>
        <w:tc>
          <w:tcPr>
            <w:tcW w:w="653" w:type="pct"/>
            <w:tcBorders>
              <w:top w:val="single" w:color="auto" w:sz="4" w:space="0"/>
              <w:left w:val="single" w:color="auto" w:sz="4" w:space="0"/>
              <w:bottom w:val="single" w:color="auto" w:sz="4" w:space="0"/>
              <w:right w:val="single" w:color="auto" w:sz="4" w:space="0"/>
            </w:tcBorders>
            <w:noWrap w:val="0"/>
            <w:vAlign w:val="center"/>
          </w:tcPr>
          <w:p w14:paraId="05C82419">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姓 名</w:t>
            </w:r>
          </w:p>
        </w:tc>
        <w:tc>
          <w:tcPr>
            <w:tcW w:w="355" w:type="pct"/>
            <w:tcBorders>
              <w:top w:val="single" w:color="auto" w:sz="4" w:space="0"/>
              <w:left w:val="single" w:color="auto" w:sz="4" w:space="0"/>
              <w:bottom w:val="single" w:color="auto" w:sz="4" w:space="0"/>
              <w:right w:val="single" w:color="auto" w:sz="4" w:space="0"/>
            </w:tcBorders>
            <w:noWrap w:val="0"/>
            <w:vAlign w:val="center"/>
          </w:tcPr>
          <w:p w14:paraId="1961D28A">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性别</w:t>
            </w:r>
          </w:p>
        </w:tc>
        <w:tc>
          <w:tcPr>
            <w:tcW w:w="426" w:type="pct"/>
            <w:tcBorders>
              <w:top w:val="single" w:color="auto" w:sz="4" w:space="0"/>
              <w:left w:val="single" w:color="auto" w:sz="4" w:space="0"/>
              <w:bottom w:val="single" w:color="auto" w:sz="4" w:space="0"/>
              <w:right w:val="single" w:color="auto" w:sz="4" w:space="0"/>
            </w:tcBorders>
            <w:noWrap w:val="0"/>
            <w:vAlign w:val="center"/>
          </w:tcPr>
          <w:p w14:paraId="513064E7">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年龄</w:t>
            </w:r>
          </w:p>
        </w:tc>
        <w:tc>
          <w:tcPr>
            <w:tcW w:w="426" w:type="pct"/>
            <w:tcBorders>
              <w:top w:val="single" w:color="auto" w:sz="4" w:space="0"/>
              <w:left w:val="single" w:color="auto" w:sz="4" w:space="0"/>
              <w:bottom w:val="single" w:color="auto" w:sz="4" w:space="0"/>
              <w:right w:val="single" w:color="auto" w:sz="4" w:space="0"/>
            </w:tcBorders>
            <w:noWrap w:val="0"/>
            <w:vAlign w:val="center"/>
          </w:tcPr>
          <w:p w14:paraId="049FDBD3">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学 历</w:t>
            </w:r>
          </w:p>
        </w:tc>
        <w:tc>
          <w:tcPr>
            <w:tcW w:w="497" w:type="pct"/>
            <w:tcBorders>
              <w:top w:val="single" w:color="auto" w:sz="4" w:space="0"/>
              <w:left w:val="single" w:color="auto" w:sz="4" w:space="0"/>
              <w:bottom w:val="single" w:color="auto" w:sz="4" w:space="0"/>
              <w:right w:val="single" w:color="auto" w:sz="4" w:space="0"/>
            </w:tcBorders>
            <w:noWrap w:val="0"/>
            <w:vAlign w:val="center"/>
          </w:tcPr>
          <w:p w14:paraId="79886235">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专业技术资格</w:t>
            </w:r>
          </w:p>
        </w:tc>
        <w:tc>
          <w:tcPr>
            <w:tcW w:w="568" w:type="pct"/>
            <w:tcBorders>
              <w:top w:val="single" w:color="auto" w:sz="4" w:space="0"/>
              <w:left w:val="single" w:color="auto" w:sz="4" w:space="0"/>
              <w:bottom w:val="single" w:color="auto" w:sz="4" w:space="0"/>
              <w:right w:val="single" w:color="auto" w:sz="4" w:space="0"/>
            </w:tcBorders>
            <w:noWrap w:val="0"/>
            <w:vAlign w:val="center"/>
          </w:tcPr>
          <w:p w14:paraId="65971582">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证书编号</w:t>
            </w:r>
          </w:p>
        </w:tc>
        <w:tc>
          <w:tcPr>
            <w:tcW w:w="426" w:type="pct"/>
            <w:tcBorders>
              <w:top w:val="single" w:color="auto" w:sz="4" w:space="0"/>
              <w:left w:val="single" w:color="auto" w:sz="4" w:space="0"/>
              <w:bottom w:val="single" w:color="auto" w:sz="4" w:space="0"/>
              <w:right w:val="single" w:color="auto" w:sz="4" w:space="0"/>
            </w:tcBorders>
            <w:noWrap w:val="0"/>
            <w:vAlign w:val="center"/>
          </w:tcPr>
          <w:p w14:paraId="390E5954">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职称</w:t>
            </w:r>
          </w:p>
        </w:tc>
        <w:tc>
          <w:tcPr>
            <w:tcW w:w="639" w:type="pct"/>
            <w:tcBorders>
              <w:top w:val="single" w:color="auto" w:sz="4" w:space="0"/>
              <w:left w:val="single" w:color="auto" w:sz="4" w:space="0"/>
              <w:bottom w:val="single" w:color="auto" w:sz="4" w:space="0"/>
              <w:right w:val="single" w:color="auto" w:sz="4" w:space="0"/>
            </w:tcBorders>
            <w:noWrap w:val="0"/>
            <w:vAlign w:val="center"/>
          </w:tcPr>
          <w:p w14:paraId="16A31943">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拟任本项目职务</w:t>
            </w:r>
          </w:p>
        </w:tc>
        <w:tc>
          <w:tcPr>
            <w:tcW w:w="711" w:type="pct"/>
            <w:tcBorders>
              <w:top w:val="single" w:color="auto" w:sz="4" w:space="0"/>
              <w:left w:val="single" w:color="auto" w:sz="4" w:space="0"/>
              <w:bottom w:val="single" w:color="auto" w:sz="4" w:space="0"/>
              <w:right w:val="single" w:color="auto" w:sz="4" w:space="0"/>
            </w:tcBorders>
            <w:noWrap w:val="0"/>
            <w:vAlign w:val="center"/>
          </w:tcPr>
          <w:p w14:paraId="5786873C">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备注</w:t>
            </w:r>
          </w:p>
        </w:tc>
      </w:tr>
      <w:tr w14:paraId="2972CFBF">
        <w:tblPrEx>
          <w:tblCellMar>
            <w:top w:w="57" w:type="dxa"/>
            <w:left w:w="57" w:type="dxa"/>
            <w:bottom w:w="57" w:type="dxa"/>
            <w:right w:w="57" w:type="dxa"/>
          </w:tblCellMar>
        </w:tblPrEx>
        <w:trPr>
          <w:cantSplit/>
          <w:trHeight w:val="567" w:hRule="atLeast"/>
          <w:jc w:val="center"/>
        </w:trPr>
        <w:tc>
          <w:tcPr>
            <w:tcW w:w="295" w:type="pct"/>
            <w:tcBorders>
              <w:top w:val="single" w:color="auto" w:sz="4" w:space="0"/>
              <w:left w:val="single" w:color="auto" w:sz="4" w:space="0"/>
              <w:bottom w:val="single" w:color="auto" w:sz="4" w:space="0"/>
              <w:right w:val="single" w:color="auto" w:sz="4" w:space="0"/>
            </w:tcBorders>
            <w:noWrap w:val="0"/>
            <w:vAlign w:val="center"/>
          </w:tcPr>
          <w:p w14:paraId="17A56756">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653" w:type="pct"/>
            <w:tcBorders>
              <w:top w:val="single" w:color="auto" w:sz="4" w:space="0"/>
              <w:left w:val="single" w:color="auto" w:sz="4" w:space="0"/>
              <w:bottom w:val="single" w:color="auto" w:sz="4" w:space="0"/>
              <w:right w:val="single" w:color="auto" w:sz="4" w:space="0"/>
            </w:tcBorders>
            <w:noWrap w:val="0"/>
            <w:vAlign w:val="center"/>
          </w:tcPr>
          <w:p w14:paraId="2D4AF36E">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355" w:type="pct"/>
            <w:tcBorders>
              <w:top w:val="single" w:color="auto" w:sz="4" w:space="0"/>
              <w:left w:val="single" w:color="auto" w:sz="4" w:space="0"/>
              <w:bottom w:val="single" w:color="auto" w:sz="4" w:space="0"/>
              <w:right w:val="single" w:color="auto" w:sz="4" w:space="0"/>
            </w:tcBorders>
            <w:noWrap w:val="0"/>
            <w:vAlign w:val="center"/>
          </w:tcPr>
          <w:p w14:paraId="3BDAA47F">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577BC8CD">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3F44CC22">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497" w:type="pct"/>
            <w:tcBorders>
              <w:top w:val="single" w:color="auto" w:sz="4" w:space="0"/>
              <w:left w:val="single" w:color="auto" w:sz="4" w:space="0"/>
              <w:bottom w:val="single" w:color="auto" w:sz="4" w:space="0"/>
              <w:right w:val="single" w:color="auto" w:sz="4" w:space="0"/>
            </w:tcBorders>
            <w:noWrap w:val="0"/>
            <w:vAlign w:val="center"/>
          </w:tcPr>
          <w:p w14:paraId="34895D8C">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568" w:type="pct"/>
            <w:tcBorders>
              <w:top w:val="single" w:color="auto" w:sz="4" w:space="0"/>
              <w:left w:val="single" w:color="auto" w:sz="4" w:space="0"/>
              <w:bottom w:val="single" w:color="auto" w:sz="4" w:space="0"/>
              <w:right w:val="single" w:color="auto" w:sz="4" w:space="0"/>
            </w:tcBorders>
            <w:noWrap w:val="0"/>
            <w:vAlign w:val="center"/>
          </w:tcPr>
          <w:p w14:paraId="225A24AD">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5278995E">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639" w:type="pct"/>
            <w:tcBorders>
              <w:top w:val="single" w:color="auto" w:sz="4" w:space="0"/>
              <w:left w:val="single" w:color="auto" w:sz="4" w:space="0"/>
              <w:bottom w:val="single" w:color="auto" w:sz="4" w:space="0"/>
              <w:right w:val="single" w:color="auto" w:sz="4" w:space="0"/>
            </w:tcBorders>
            <w:noWrap w:val="0"/>
            <w:vAlign w:val="center"/>
          </w:tcPr>
          <w:p w14:paraId="0D369711">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711" w:type="pct"/>
            <w:tcBorders>
              <w:top w:val="single" w:color="auto" w:sz="4" w:space="0"/>
              <w:left w:val="single" w:color="auto" w:sz="4" w:space="0"/>
              <w:bottom w:val="single" w:color="auto" w:sz="4" w:space="0"/>
              <w:right w:val="single" w:color="auto" w:sz="4" w:space="0"/>
            </w:tcBorders>
            <w:noWrap w:val="0"/>
            <w:vAlign w:val="center"/>
          </w:tcPr>
          <w:p w14:paraId="2CBBE189">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r>
      <w:tr w14:paraId="1B0AA8B7">
        <w:tblPrEx>
          <w:tblCellMar>
            <w:top w:w="57" w:type="dxa"/>
            <w:left w:w="57" w:type="dxa"/>
            <w:bottom w:w="57" w:type="dxa"/>
            <w:right w:w="57" w:type="dxa"/>
          </w:tblCellMar>
        </w:tblPrEx>
        <w:trPr>
          <w:cantSplit/>
          <w:trHeight w:val="567" w:hRule="atLeast"/>
          <w:jc w:val="center"/>
        </w:trPr>
        <w:tc>
          <w:tcPr>
            <w:tcW w:w="295" w:type="pct"/>
            <w:tcBorders>
              <w:top w:val="single" w:color="auto" w:sz="4" w:space="0"/>
              <w:left w:val="single" w:color="auto" w:sz="4" w:space="0"/>
              <w:bottom w:val="single" w:color="auto" w:sz="4" w:space="0"/>
              <w:right w:val="single" w:color="auto" w:sz="4" w:space="0"/>
            </w:tcBorders>
            <w:noWrap w:val="0"/>
            <w:vAlign w:val="center"/>
          </w:tcPr>
          <w:p w14:paraId="1FB5007F">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653" w:type="pct"/>
            <w:tcBorders>
              <w:top w:val="single" w:color="auto" w:sz="4" w:space="0"/>
              <w:left w:val="single" w:color="auto" w:sz="4" w:space="0"/>
              <w:bottom w:val="single" w:color="auto" w:sz="4" w:space="0"/>
              <w:right w:val="single" w:color="auto" w:sz="4" w:space="0"/>
            </w:tcBorders>
            <w:noWrap w:val="0"/>
            <w:vAlign w:val="center"/>
          </w:tcPr>
          <w:p w14:paraId="3916CA7B">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355" w:type="pct"/>
            <w:tcBorders>
              <w:top w:val="single" w:color="auto" w:sz="4" w:space="0"/>
              <w:left w:val="single" w:color="auto" w:sz="4" w:space="0"/>
              <w:bottom w:val="single" w:color="auto" w:sz="4" w:space="0"/>
              <w:right w:val="single" w:color="auto" w:sz="4" w:space="0"/>
            </w:tcBorders>
            <w:noWrap w:val="0"/>
            <w:vAlign w:val="center"/>
          </w:tcPr>
          <w:p w14:paraId="1F6DEF6D">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79CDC66D">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75D93E61">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497" w:type="pct"/>
            <w:tcBorders>
              <w:top w:val="single" w:color="auto" w:sz="4" w:space="0"/>
              <w:left w:val="single" w:color="auto" w:sz="4" w:space="0"/>
              <w:bottom w:val="single" w:color="auto" w:sz="4" w:space="0"/>
              <w:right w:val="single" w:color="auto" w:sz="4" w:space="0"/>
            </w:tcBorders>
            <w:noWrap w:val="0"/>
            <w:vAlign w:val="center"/>
          </w:tcPr>
          <w:p w14:paraId="35F33A84">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568" w:type="pct"/>
            <w:tcBorders>
              <w:top w:val="single" w:color="auto" w:sz="4" w:space="0"/>
              <w:left w:val="single" w:color="auto" w:sz="4" w:space="0"/>
              <w:bottom w:val="single" w:color="auto" w:sz="4" w:space="0"/>
              <w:right w:val="single" w:color="auto" w:sz="4" w:space="0"/>
            </w:tcBorders>
            <w:noWrap w:val="0"/>
            <w:vAlign w:val="center"/>
          </w:tcPr>
          <w:p w14:paraId="24FF2459">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389FD895">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639" w:type="pct"/>
            <w:tcBorders>
              <w:top w:val="single" w:color="auto" w:sz="4" w:space="0"/>
              <w:left w:val="single" w:color="auto" w:sz="4" w:space="0"/>
              <w:bottom w:val="single" w:color="auto" w:sz="4" w:space="0"/>
              <w:right w:val="single" w:color="auto" w:sz="4" w:space="0"/>
            </w:tcBorders>
            <w:noWrap w:val="0"/>
            <w:vAlign w:val="center"/>
          </w:tcPr>
          <w:p w14:paraId="728A0D9B">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711" w:type="pct"/>
            <w:tcBorders>
              <w:top w:val="single" w:color="auto" w:sz="4" w:space="0"/>
              <w:left w:val="single" w:color="auto" w:sz="4" w:space="0"/>
              <w:bottom w:val="single" w:color="auto" w:sz="4" w:space="0"/>
              <w:right w:val="single" w:color="auto" w:sz="4" w:space="0"/>
            </w:tcBorders>
            <w:noWrap w:val="0"/>
            <w:vAlign w:val="center"/>
          </w:tcPr>
          <w:p w14:paraId="2AD17454">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r>
      <w:tr w14:paraId="5385E5F6">
        <w:tblPrEx>
          <w:tblCellMar>
            <w:top w:w="57" w:type="dxa"/>
            <w:left w:w="57" w:type="dxa"/>
            <w:bottom w:w="57" w:type="dxa"/>
            <w:right w:w="57" w:type="dxa"/>
          </w:tblCellMar>
        </w:tblPrEx>
        <w:trPr>
          <w:cantSplit/>
          <w:trHeight w:val="567" w:hRule="atLeast"/>
          <w:jc w:val="center"/>
        </w:trPr>
        <w:tc>
          <w:tcPr>
            <w:tcW w:w="295" w:type="pct"/>
            <w:tcBorders>
              <w:top w:val="single" w:color="auto" w:sz="4" w:space="0"/>
              <w:left w:val="single" w:color="auto" w:sz="4" w:space="0"/>
              <w:bottom w:val="single" w:color="auto" w:sz="4" w:space="0"/>
              <w:right w:val="single" w:color="auto" w:sz="4" w:space="0"/>
            </w:tcBorders>
            <w:noWrap w:val="0"/>
            <w:vAlign w:val="center"/>
          </w:tcPr>
          <w:p w14:paraId="25237521">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653" w:type="pct"/>
            <w:tcBorders>
              <w:top w:val="single" w:color="auto" w:sz="4" w:space="0"/>
              <w:left w:val="single" w:color="auto" w:sz="4" w:space="0"/>
              <w:bottom w:val="single" w:color="auto" w:sz="4" w:space="0"/>
              <w:right w:val="single" w:color="auto" w:sz="4" w:space="0"/>
            </w:tcBorders>
            <w:noWrap w:val="0"/>
            <w:vAlign w:val="center"/>
          </w:tcPr>
          <w:p w14:paraId="1E270283">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355" w:type="pct"/>
            <w:tcBorders>
              <w:top w:val="single" w:color="auto" w:sz="4" w:space="0"/>
              <w:left w:val="single" w:color="auto" w:sz="4" w:space="0"/>
              <w:bottom w:val="single" w:color="auto" w:sz="4" w:space="0"/>
              <w:right w:val="single" w:color="auto" w:sz="4" w:space="0"/>
            </w:tcBorders>
            <w:noWrap w:val="0"/>
            <w:vAlign w:val="center"/>
          </w:tcPr>
          <w:p w14:paraId="7C361918">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2FB06AA3">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2FC6CE07">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497" w:type="pct"/>
            <w:tcBorders>
              <w:top w:val="single" w:color="auto" w:sz="4" w:space="0"/>
              <w:left w:val="single" w:color="auto" w:sz="4" w:space="0"/>
              <w:bottom w:val="single" w:color="auto" w:sz="4" w:space="0"/>
              <w:right w:val="single" w:color="auto" w:sz="4" w:space="0"/>
            </w:tcBorders>
            <w:noWrap w:val="0"/>
            <w:vAlign w:val="center"/>
          </w:tcPr>
          <w:p w14:paraId="1B3ED528">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568" w:type="pct"/>
            <w:tcBorders>
              <w:top w:val="single" w:color="auto" w:sz="4" w:space="0"/>
              <w:left w:val="single" w:color="auto" w:sz="4" w:space="0"/>
              <w:bottom w:val="single" w:color="auto" w:sz="4" w:space="0"/>
              <w:right w:val="single" w:color="auto" w:sz="4" w:space="0"/>
            </w:tcBorders>
            <w:noWrap w:val="0"/>
            <w:vAlign w:val="center"/>
          </w:tcPr>
          <w:p w14:paraId="106DA61B">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5584FB42">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639" w:type="pct"/>
            <w:tcBorders>
              <w:top w:val="single" w:color="auto" w:sz="4" w:space="0"/>
              <w:left w:val="single" w:color="auto" w:sz="4" w:space="0"/>
              <w:bottom w:val="single" w:color="auto" w:sz="4" w:space="0"/>
              <w:right w:val="single" w:color="auto" w:sz="4" w:space="0"/>
            </w:tcBorders>
            <w:noWrap w:val="0"/>
            <w:vAlign w:val="center"/>
          </w:tcPr>
          <w:p w14:paraId="6276EC57">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711" w:type="pct"/>
            <w:tcBorders>
              <w:top w:val="single" w:color="auto" w:sz="4" w:space="0"/>
              <w:left w:val="single" w:color="auto" w:sz="4" w:space="0"/>
              <w:bottom w:val="single" w:color="auto" w:sz="4" w:space="0"/>
              <w:right w:val="single" w:color="auto" w:sz="4" w:space="0"/>
            </w:tcBorders>
            <w:noWrap w:val="0"/>
            <w:vAlign w:val="center"/>
          </w:tcPr>
          <w:p w14:paraId="02885331">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r>
      <w:tr w14:paraId="75D98A40">
        <w:tblPrEx>
          <w:tblCellMar>
            <w:top w:w="57" w:type="dxa"/>
            <w:left w:w="57" w:type="dxa"/>
            <w:bottom w:w="57" w:type="dxa"/>
            <w:right w:w="57" w:type="dxa"/>
          </w:tblCellMar>
        </w:tblPrEx>
        <w:trPr>
          <w:cantSplit/>
          <w:trHeight w:val="567" w:hRule="atLeast"/>
          <w:jc w:val="center"/>
        </w:trPr>
        <w:tc>
          <w:tcPr>
            <w:tcW w:w="295" w:type="pct"/>
            <w:tcBorders>
              <w:top w:val="single" w:color="auto" w:sz="4" w:space="0"/>
              <w:left w:val="single" w:color="auto" w:sz="4" w:space="0"/>
              <w:bottom w:val="single" w:color="auto" w:sz="4" w:space="0"/>
              <w:right w:val="single" w:color="auto" w:sz="4" w:space="0"/>
            </w:tcBorders>
            <w:noWrap w:val="0"/>
            <w:vAlign w:val="center"/>
          </w:tcPr>
          <w:p w14:paraId="500B14D3">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653" w:type="pct"/>
            <w:tcBorders>
              <w:top w:val="single" w:color="auto" w:sz="4" w:space="0"/>
              <w:left w:val="single" w:color="auto" w:sz="4" w:space="0"/>
              <w:bottom w:val="single" w:color="auto" w:sz="4" w:space="0"/>
              <w:right w:val="single" w:color="auto" w:sz="4" w:space="0"/>
            </w:tcBorders>
            <w:noWrap w:val="0"/>
            <w:vAlign w:val="center"/>
          </w:tcPr>
          <w:p w14:paraId="057F3CF8">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355" w:type="pct"/>
            <w:tcBorders>
              <w:top w:val="single" w:color="auto" w:sz="4" w:space="0"/>
              <w:left w:val="single" w:color="auto" w:sz="4" w:space="0"/>
              <w:bottom w:val="single" w:color="auto" w:sz="4" w:space="0"/>
              <w:right w:val="single" w:color="auto" w:sz="4" w:space="0"/>
            </w:tcBorders>
            <w:noWrap w:val="0"/>
            <w:vAlign w:val="center"/>
          </w:tcPr>
          <w:p w14:paraId="6702CA63">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26568F62">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6908000B">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497" w:type="pct"/>
            <w:tcBorders>
              <w:top w:val="single" w:color="auto" w:sz="4" w:space="0"/>
              <w:left w:val="single" w:color="auto" w:sz="4" w:space="0"/>
              <w:bottom w:val="single" w:color="auto" w:sz="4" w:space="0"/>
              <w:right w:val="single" w:color="auto" w:sz="4" w:space="0"/>
            </w:tcBorders>
            <w:noWrap w:val="0"/>
            <w:vAlign w:val="center"/>
          </w:tcPr>
          <w:p w14:paraId="75BF4FDB">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568" w:type="pct"/>
            <w:tcBorders>
              <w:top w:val="single" w:color="auto" w:sz="4" w:space="0"/>
              <w:left w:val="single" w:color="auto" w:sz="4" w:space="0"/>
              <w:bottom w:val="single" w:color="auto" w:sz="4" w:space="0"/>
              <w:right w:val="single" w:color="auto" w:sz="4" w:space="0"/>
            </w:tcBorders>
            <w:noWrap w:val="0"/>
            <w:vAlign w:val="center"/>
          </w:tcPr>
          <w:p w14:paraId="55789A6C">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4921F252">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639" w:type="pct"/>
            <w:tcBorders>
              <w:top w:val="single" w:color="auto" w:sz="4" w:space="0"/>
              <w:left w:val="single" w:color="auto" w:sz="4" w:space="0"/>
              <w:bottom w:val="single" w:color="auto" w:sz="4" w:space="0"/>
              <w:right w:val="single" w:color="auto" w:sz="4" w:space="0"/>
            </w:tcBorders>
            <w:noWrap w:val="0"/>
            <w:vAlign w:val="center"/>
          </w:tcPr>
          <w:p w14:paraId="09A3CE28">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711" w:type="pct"/>
            <w:tcBorders>
              <w:top w:val="single" w:color="auto" w:sz="4" w:space="0"/>
              <w:left w:val="single" w:color="auto" w:sz="4" w:space="0"/>
              <w:bottom w:val="single" w:color="auto" w:sz="4" w:space="0"/>
              <w:right w:val="single" w:color="auto" w:sz="4" w:space="0"/>
            </w:tcBorders>
            <w:noWrap w:val="0"/>
            <w:vAlign w:val="center"/>
          </w:tcPr>
          <w:p w14:paraId="7EBD7587">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r>
      <w:tr w14:paraId="0B15283B">
        <w:tblPrEx>
          <w:tblCellMar>
            <w:top w:w="57" w:type="dxa"/>
            <w:left w:w="57" w:type="dxa"/>
            <w:bottom w:w="57" w:type="dxa"/>
            <w:right w:w="57" w:type="dxa"/>
          </w:tblCellMar>
        </w:tblPrEx>
        <w:trPr>
          <w:cantSplit/>
          <w:trHeight w:val="567" w:hRule="atLeast"/>
          <w:jc w:val="center"/>
        </w:trPr>
        <w:tc>
          <w:tcPr>
            <w:tcW w:w="295" w:type="pct"/>
            <w:tcBorders>
              <w:top w:val="single" w:color="auto" w:sz="4" w:space="0"/>
              <w:left w:val="single" w:color="auto" w:sz="4" w:space="0"/>
              <w:bottom w:val="single" w:color="auto" w:sz="4" w:space="0"/>
              <w:right w:val="single" w:color="auto" w:sz="4" w:space="0"/>
            </w:tcBorders>
            <w:noWrap w:val="0"/>
            <w:vAlign w:val="center"/>
          </w:tcPr>
          <w:p w14:paraId="4F18F107">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653" w:type="pct"/>
            <w:tcBorders>
              <w:top w:val="single" w:color="auto" w:sz="4" w:space="0"/>
              <w:left w:val="single" w:color="auto" w:sz="4" w:space="0"/>
              <w:bottom w:val="single" w:color="auto" w:sz="4" w:space="0"/>
              <w:right w:val="single" w:color="auto" w:sz="4" w:space="0"/>
            </w:tcBorders>
            <w:noWrap w:val="0"/>
            <w:vAlign w:val="center"/>
          </w:tcPr>
          <w:p w14:paraId="2E492583">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355" w:type="pct"/>
            <w:tcBorders>
              <w:top w:val="single" w:color="auto" w:sz="4" w:space="0"/>
              <w:left w:val="single" w:color="auto" w:sz="4" w:space="0"/>
              <w:bottom w:val="single" w:color="auto" w:sz="4" w:space="0"/>
              <w:right w:val="single" w:color="auto" w:sz="4" w:space="0"/>
            </w:tcBorders>
            <w:noWrap w:val="0"/>
            <w:vAlign w:val="center"/>
          </w:tcPr>
          <w:p w14:paraId="191CCC39">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4D319DD0">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4B092571">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497" w:type="pct"/>
            <w:tcBorders>
              <w:top w:val="single" w:color="auto" w:sz="4" w:space="0"/>
              <w:left w:val="single" w:color="auto" w:sz="4" w:space="0"/>
              <w:bottom w:val="single" w:color="auto" w:sz="4" w:space="0"/>
              <w:right w:val="single" w:color="auto" w:sz="4" w:space="0"/>
            </w:tcBorders>
            <w:noWrap w:val="0"/>
            <w:vAlign w:val="center"/>
          </w:tcPr>
          <w:p w14:paraId="3F0D62DA">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568" w:type="pct"/>
            <w:tcBorders>
              <w:top w:val="single" w:color="auto" w:sz="4" w:space="0"/>
              <w:left w:val="single" w:color="auto" w:sz="4" w:space="0"/>
              <w:bottom w:val="single" w:color="auto" w:sz="4" w:space="0"/>
              <w:right w:val="single" w:color="auto" w:sz="4" w:space="0"/>
            </w:tcBorders>
            <w:noWrap w:val="0"/>
            <w:vAlign w:val="center"/>
          </w:tcPr>
          <w:p w14:paraId="3B6764CB">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4211A07A">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639" w:type="pct"/>
            <w:tcBorders>
              <w:top w:val="single" w:color="auto" w:sz="4" w:space="0"/>
              <w:left w:val="single" w:color="auto" w:sz="4" w:space="0"/>
              <w:bottom w:val="single" w:color="auto" w:sz="4" w:space="0"/>
              <w:right w:val="single" w:color="auto" w:sz="4" w:space="0"/>
            </w:tcBorders>
            <w:noWrap w:val="0"/>
            <w:vAlign w:val="center"/>
          </w:tcPr>
          <w:p w14:paraId="0959DCBA">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711" w:type="pct"/>
            <w:tcBorders>
              <w:top w:val="single" w:color="auto" w:sz="4" w:space="0"/>
              <w:left w:val="single" w:color="auto" w:sz="4" w:space="0"/>
              <w:bottom w:val="single" w:color="auto" w:sz="4" w:space="0"/>
              <w:right w:val="single" w:color="auto" w:sz="4" w:space="0"/>
            </w:tcBorders>
            <w:noWrap w:val="0"/>
            <w:vAlign w:val="center"/>
          </w:tcPr>
          <w:p w14:paraId="21FEE3A3">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r>
      <w:tr w14:paraId="20702C89">
        <w:tblPrEx>
          <w:tblCellMar>
            <w:top w:w="57" w:type="dxa"/>
            <w:left w:w="57" w:type="dxa"/>
            <w:bottom w:w="57" w:type="dxa"/>
            <w:right w:w="57" w:type="dxa"/>
          </w:tblCellMar>
        </w:tblPrEx>
        <w:trPr>
          <w:cantSplit/>
          <w:trHeight w:val="567" w:hRule="atLeast"/>
          <w:jc w:val="center"/>
        </w:trPr>
        <w:tc>
          <w:tcPr>
            <w:tcW w:w="295" w:type="pct"/>
            <w:tcBorders>
              <w:top w:val="single" w:color="auto" w:sz="4" w:space="0"/>
              <w:left w:val="single" w:color="auto" w:sz="4" w:space="0"/>
              <w:bottom w:val="single" w:color="auto" w:sz="4" w:space="0"/>
              <w:right w:val="single" w:color="auto" w:sz="4" w:space="0"/>
            </w:tcBorders>
            <w:noWrap w:val="0"/>
            <w:vAlign w:val="center"/>
          </w:tcPr>
          <w:p w14:paraId="70181C24">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653" w:type="pct"/>
            <w:tcBorders>
              <w:top w:val="single" w:color="auto" w:sz="4" w:space="0"/>
              <w:left w:val="single" w:color="auto" w:sz="4" w:space="0"/>
              <w:bottom w:val="single" w:color="auto" w:sz="4" w:space="0"/>
              <w:right w:val="single" w:color="auto" w:sz="4" w:space="0"/>
            </w:tcBorders>
            <w:noWrap w:val="0"/>
            <w:vAlign w:val="center"/>
          </w:tcPr>
          <w:p w14:paraId="116B12DD">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355" w:type="pct"/>
            <w:tcBorders>
              <w:top w:val="single" w:color="auto" w:sz="4" w:space="0"/>
              <w:left w:val="single" w:color="auto" w:sz="4" w:space="0"/>
              <w:bottom w:val="single" w:color="auto" w:sz="4" w:space="0"/>
              <w:right w:val="single" w:color="auto" w:sz="4" w:space="0"/>
            </w:tcBorders>
            <w:noWrap w:val="0"/>
            <w:vAlign w:val="center"/>
          </w:tcPr>
          <w:p w14:paraId="2D3FCD76">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148F5EBB">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17EF2C37">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497" w:type="pct"/>
            <w:tcBorders>
              <w:top w:val="single" w:color="auto" w:sz="4" w:space="0"/>
              <w:left w:val="single" w:color="auto" w:sz="4" w:space="0"/>
              <w:bottom w:val="single" w:color="auto" w:sz="4" w:space="0"/>
              <w:right w:val="single" w:color="auto" w:sz="4" w:space="0"/>
            </w:tcBorders>
            <w:noWrap w:val="0"/>
            <w:vAlign w:val="center"/>
          </w:tcPr>
          <w:p w14:paraId="04DCBAC6">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568" w:type="pct"/>
            <w:tcBorders>
              <w:top w:val="single" w:color="auto" w:sz="4" w:space="0"/>
              <w:left w:val="single" w:color="auto" w:sz="4" w:space="0"/>
              <w:bottom w:val="single" w:color="auto" w:sz="4" w:space="0"/>
              <w:right w:val="single" w:color="auto" w:sz="4" w:space="0"/>
            </w:tcBorders>
            <w:noWrap w:val="0"/>
            <w:vAlign w:val="center"/>
          </w:tcPr>
          <w:p w14:paraId="222BF885">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1F4C7A33">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639" w:type="pct"/>
            <w:tcBorders>
              <w:top w:val="single" w:color="auto" w:sz="4" w:space="0"/>
              <w:left w:val="single" w:color="auto" w:sz="4" w:space="0"/>
              <w:bottom w:val="single" w:color="auto" w:sz="4" w:space="0"/>
              <w:right w:val="single" w:color="auto" w:sz="4" w:space="0"/>
            </w:tcBorders>
            <w:noWrap w:val="0"/>
            <w:vAlign w:val="center"/>
          </w:tcPr>
          <w:p w14:paraId="61AA0A89">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711" w:type="pct"/>
            <w:tcBorders>
              <w:top w:val="single" w:color="auto" w:sz="4" w:space="0"/>
              <w:left w:val="single" w:color="auto" w:sz="4" w:space="0"/>
              <w:bottom w:val="single" w:color="auto" w:sz="4" w:space="0"/>
              <w:right w:val="single" w:color="auto" w:sz="4" w:space="0"/>
            </w:tcBorders>
            <w:noWrap w:val="0"/>
            <w:vAlign w:val="center"/>
          </w:tcPr>
          <w:p w14:paraId="656B36C3">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r>
      <w:tr w14:paraId="3DA8A6EA">
        <w:tblPrEx>
          <w:tblCellMar>
            <w:top w:w="57" w:type="dxa"/>
            <w:left w:w="57" w:type="dxa"/>
            <w:bottom w:w="57" w:type="dxa"/>
            <w:right w:w="57" w:type="dxa"/>
          </w:tblCellMar>
        </w:tblPrEx>
        <w:trPr>
          <w:cantSplit/>
          <w:trHeight w:val="567" w:hRule="atLeast"/>
          <w:jc w:val="center"/>
        </w:trPr>
        <w:tc>
          <w:tcPr>
            <w:tcW w:w="295" w:type="pct"/>
            <w:tcBorders>
              <w:top w:val="single" w:color="auto" w:sz="4" w:space="0"/>
              <w:left w:val="single" w:color="auto" w:sz="4" w:space="0"/>
              <w:bottom w:val="single" w:color="auto" w:sz="4" w:space="0"/>
              <w:right w:val="single" w:color="auto" w:sz="4" w:space="0"/>
            </w:tcBorders>
            <w:noWrap w:val="0"/>
            <w:vAlign w:val="center"/>
          </w:tcPr>
          <w:p w14:paraId="20C7D61C">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653" w:type="pct"/>
            <w:tcBorders>
              <w:top w:val="single" w:color="auto" w:sz="4" w:space="0"/>
              <w:left w:val="single" w:color="auto" w:sz="4" w:space="0"/>
              <w:bottom w:val="single" w:color="auto" w:sz="4" w:space="0"/>
              <w:right w:val="single" w:color="auto" w:sz="4" w:space="0"/>
            </w:tcBorders>
            <w:noWrap w:val="0"/>
            <w:vAlign w:val="center"/>
          </w:tcPr>
          <w:p w14:paraId="2BB93A48">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355" w:type="pct"/>
            <w:tcBorders>
              <w:top w:val="single" w:color="auto" w:sz="4" w:space="0"/>
              <w:left w:val="single" w:color="auto" w:sz="4" w:space="0"/>
              <w:bottom w:val="single" w:color="auto" w:sz="4" w:space="0"/>
              <w:right w:val="single" w:color="auto" w:sz="4" w:space="0"/>
            </w:tcBorders>
            <w:noWrap w:val="0"/>
            <w:vAlign w:val="center"/>
          </w:tcPr>
          <w:p w14:paraId="45A00795">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5151826B">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233A3A21">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497" w:type="pct"/>
            <w:tcBorders>
              <w:top w:val="single" w:color="auto" w:sz="4" w:space="0"/>
              <w:left w:val="single" w:color="auto" w:sz="4" w:space="0"/>
              <w:bottom w:val="single" w:color="auto" w:sz="4" w:space="0"/>
              <w:right w:val="single" w:color="auto" w:sz="4" w:space="0"/>
            </w:tcBorders>
            <w:noWrap w:val="0"/>
            <w:vAlign w:val="center"/>
          </w:tcPr>
          <w:p w14:paraId="4EBEEF9C">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568" w:type="pct"/>
            <w:tcBorders>
              <w:top w:val="single" w:color="auto" w:sz="4" w:space="0"/>
              <w:left w:val="single" w:color="auto" w:sz="4" w:space="0"/>
              <w:bottom w:val="single" w:color="auto" w:sz="4" w:space="0"/>
              <w:right w:val="single" w:color="auto" w:sz="4" w:space="0"/>
            </w:tcBorders>
            <w:noWrap w:val="0"/>
            <w:vAlign w:val="center"/>
          </w:tcPr>
          <w:p w14:paraId="72B0AA62">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4E1A2CA4">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639" w:type="pct"/>
            <w:tcBorders>
              <w:top w:val="single" w:color="auto" w:sz="4" w:space="0"/>
              <w:left w:val="single" w:color="auto" w:sz="4" w:space="0"/>
              <w:bottom w:val="single" w:color="auto" w:sz="4" w:space="0"/>
              <w:right w:val="single" w:color="auto" w:sz="4" w:space="0"/>
            </w:tcBorders>
            <w:noWrap w:val="0"/>
            <w:vAlign w:val="center"/>
          </w:tcPr>
          <w:p w14:paraId="6CDDE6A5">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711" w:type="pct"/>
            <w:tcBorders>
              <w:top w:val="single" w:color="auto" w:sz="4" w:space="0"/>
              <w:left w:val="single" w:color="auto" w:sz="4" w:space="0"/>
              <w:bottom w:val="single" w:color="auto" w:sz="4" w:space="0"/>
              <w:right w:val="single" w:color="auto" w:sz="4" w:space="0"/>
            </w:tcBorders>
            <w:noWrap w:val="0"/>
            <w:vAlign w:val="center"/>
          </w:tcPr>
          <w:p w14:paraId="14F4C906">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r>
    </w:tbl>
    <w:p w14:paraId="202E61D5">
      <w:pPr>
        <w:keepNext w:val="0"/>
        <w:keepLines w:val="0"/>
        <w:pageBreakBefore w:val="0"/>
        <w:kinsoku/>
        <w:wordWrap/>
        <w:overflowPunct/>
        <w:topLinePunct w:val="0"/>
        <w:autoSpaceDE/>
        <w:autoSpaceDN/>
        <w:bidi w:val="0"/>
        <w:adjustRightInd/>
        <w:spacing w:line="360" w:lineRule="auto"/>
        <w:textAlignment w:val="auto"/>
        <w:rPr>
          <w:rFonts w:hint="eastAsia" w:ascii="宋体" w:hAnsi="宋体" w:eastAsia="宋体" w:cs="宋体"/>
          <w:b/>
          <w:spacing w:val="20"/>
          <w:sz w:val="21"/>
          <w:szCs w:val="21"/>
          <w:highlight w:val="none"/>
        </w:rPr>
      </w:pPr>
      <w:r>
        <w:rPr>
          <w:rFonts w:hint="eastAsia" w:ascii="宋体" w:hAnsi="宋体" w:eastAsia="宋体" w:cs="宋体"/>
          <w:b/>
          <w:spacing w:val="20"/>
          <w:sz w:val="21"/>
          <w:szCs w:val="21"/>
          <w:highlight w:val="none"/>
        </w:rPr>
        <w:t>注：在填写时，如本表格不适合投标单位的实际情况，可根据本表格式自行划表填写。</w:t>
      </w:r>
    </w:p>
    <w:p w14:paraId="3D3911A2">
      <w:pPr>
        <w:keepNext w:val="0"/>
        <w:keepLines w:val="0"/>
        <w:pageBreakBefore w:val="0"/>
        <w:kinsoku/>
        <w:wordWrap/>
        <w:overflowPunct/>
        <w:topLinePunct w:val="0"/>
        <w:autoSpaceDE/>
        <w:autoSpaceDN/>
        <w:bidi w:val="0"/>
        <w:adjustRightInd/>
        <w:spacing w:line="360" w:lineRule="auto"/>
        <w:textAlignment w:val="auto"/>
        <w:rPr>
          <w:rFonts w:hint="eastAsia" w:ascii="宋体" w:hAnsi="宋体" w:eastAsia="宋体" w:cs="宋体"/>
          <w:b/>
          <w:spacing w:val="20"/>
          <w:sz w:val="21"/>
          <w:szCs w:val="21"/>
          <w:highlight w:val="none"/>
        </w:rPr>
      </w:pPr>
    </w:p>
    <w:p w14:paraId="04A3907D">
      <w:pPr>
        <w:keepNext w:val="0"/>
        <w:keepLines w:val="0"/>
        <w:pageBreakBefore w:val="0"/>
        <w:kinsoku/>
        <w:wordWrap/>
        <w:overflowPunct/>
        <w:topLinePunct w:val="0"/>
        <w:autoSpaceDE/>
        <w:autoSpaceDN/>
        <w:bidi w:val="0"/>
        <w:adjustRightInd/>
        <w:spacing w:line="360" w:lineRule="auto"/>
        <w:ind w:left="424" w:leftChars="202"/>
        <w:textAlignment w:val="auto"/>
        <w:rPr>
          <w:rFonts w:hint="eastAsia" w:ascii="宋体" w:hAnsi="宋体" w:eastAsia="宋体" w:cs="宋体"/>
          <w:sz w:val="21"/>
          <w:szCs w:val="21"/>
          <w:highlight w:val="none"/>
        </w:rPr>
      </w:pPr>
    </w:p>
    <w:p w14:paraId="2542A02B">
      <w:pPr>
        <w:keepNext w:val="0"/>
        <w:keepLines w:val="0"/>
        <w:pageBreakBefore w:val="0"/>
        <w:kinsoku/>
        <w:wordWrap/>
        <w:overflowPunct/>
        <w:topLinePunct w:val="0"/>
        <w:autoSpaceDE/>
        <w:autoSpaceDN/>
        <w:bidi w:val="0"/>
        <w:adjustRightInd/>
        <w:spacing w:line="360" w:lineRule="auto"/>
        <w:ind w:left="424" w:leftChars="202"/>
        <w:textAlignment w:val="auto"/>
        <w:rPr>
          <w:rFonts w:hint="eastAsia" w:ascii="宋体" w:hAnsi="宋体" w:eastAsia="宋体" w:cs="宋体"/>
          <w:sz w:val="21"/>
          <w:szCs w:val="21"/>
          <w:highlight w:val="none"/>
          <w:u w:val="single"/>
        </w:rPr>
      </w:pPr>
      <w:r>
        <w:rPr>
          <w:rFonts w:hint="eastAsia" w:ascii="宋体" w:hAnsi="宋体" w:eastAsia="宋体" w:cs="宋体"/>
          <w:sz w:val="21"/>
          <w:szCs w:val="21"/>
          <w:highlight w:val="none"/>
          <w:lang w:val="en-US" w:eastAsia="zh-CN"/>
        </w:rPr>
        <w:t>响应</w:t>
      </w:r>
      <w:r>
        <w:rPr>
          <w:rFonts w:hint="eastAsia" w:ascii="宋体" w:hAnsi="宋体" w:eastAsia="宋体" w:cs="宋体"/>
          <w:sz w:val="21"/>
          <w:szCs w:val="21"/>
          <w:highlight w:val="none"/>
        </w:rPr>
        <w:t>人名称：</w:t>
      </w:r>
      <w:r>
        <w:rPr>
          <w:rFonts w:hint="eastAsia" w:ascii="宋体" w:hAnsi="宋体" w:eastAsia="宋体" w:cs="宋体"/>
          <w:b/>
          <w:spacing w:val="20"/>
          <w:sz w:val="21"/>
          <w:szCs w:val="21"/>
          <w:highlight w:val="none"/>
          <w:u w:val="single"/>
        </w:rPr>
        <w:t xml:space="preserve">                </w:t>
      </w:r>
      <w:r>
        <w:rPr>
          <w:rFonts w:hint="eastAsia" w:ascii="宋体" w:hAnsi="宋体" w:eastAsia="宋体" w:cs="宋体"/>
          <w:sz w:val="21"/>
          <w:szCs w:val="21"/>
          <w:highlight w:val="none"/>
        </w:rPr>
        <w:t xml:space="preserve">（加盖公章）  </w:t>
      </w:r>
    </w:p>
    <w:p w14:paraId="726A680E">
      <w:pPr>
        <w:keepNext w:val="0"/>
        <w:keepLines w:val="0"/>
        <w:pageBreakBefore w:val="0"/>
        <w:kinsoku/>
        <w:wordWrap/>
        <w:overflowPunct/>
        <w:topLinePunct w:val="0"/>
        <w:autoSpaceDE/>
        <w:autoSpaceDN/>
        <w:bidi w:val="0"/>
        <w:adjustRightInd/>
        <w:spacing w:line="360" w:lineRule="auto"/>
        <w:ind w:left="424" w:leftChars="202"/>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响应</w:t>
      </w:r>
      <w:r>
        <w:rPr>
          <w:rFonts w:hint="eastAsia" w:ascii="宋体" w:hAnsi="宋体" w:eastAsia="宋体" w:cs="宋体"/>
          <w:sz w:val="21"/>
          <w:szCs w:val="21"/>
          <w:highlight w:val="none"/>
        </w:rPr>
        <w:t>人</w:t>
      </w:r>
      <w:r>
        <w:rPr>
          <w:rFonts w:hint="eastAsia" w:ascii="宋体" w:hAnsi="宋体" w:eastAsia="宋体" w:cs="宋体"/>
          <w:spacing w:val="-4"/>
          <w:sz w:val="21"/>
          <w:szCs w:val="21"/>
          <w:highlight w:val="none"/>
        </w:rPr>
        <w:t>代表</w:t>
      </w:r>
      <w:r>
        <w:rPr>
          <w:rFonts w:hint="eastAsia" w:ascii="宋体" w:hAnsi="宋体" w:eastAsia="宋体" w:cs="宋体"/>
          <w:sz w:val="21"/>
          <w:szCs w:val="21"/>
          <w:highlight w:val="none"/>
        </w:rPr>
        <w:t>：</w:t>
      </w:r>
      <w:r>
        <w:rPr>
          <w:rFonts w:hint="eastAsia" w:ascii="宋体" w:hAnsi="宋体" w:eastAsia="宋体" w:cs="宋体"/>
          <w:b/>
          <w:spacing w:val="20"/>
          <w:sz w:val="21"/>
          <w:szCs w:val="21"/>
          <w:highlight w:val="none"/>
          <w:u w:val="single"/>
        </w:rPr>
        <w:t xml:space="preserve">           </w:t>
      </w:r>
      <w:r>
        <w:rPr>
          <w:rFonts w:hint="eastAsia" w:ascii="宋体" w:hAnsi="宋体" w:eastAsia="宋体" w:cs="宋体"/>
          <w:sz w:val="21"/>
          <w:szCs w:val="21"/>
          <w:highlight w:val="none"/>
        </w:rPr>
        <w:t>（签字）</w:t>
      </w:r>
    </w:p>
    <w:p w14:paraId="0A4C5997">
      <w:pPr>
        <w:keepNext w:val="0"/>
        <w:keepLines w:val="0"/>
        <w:pageBreakBefore w:val="0"/>
        <w:kinsoku/>
        <w:wordWrap/>
        <w:overflowPunct/>
        <w:topLinePunct w:val="0"/>
        <w:autoSpaceDE/>
        <w:autoSpaceDN/>
        <w:bidi w:val="0"/>
        <w:adjustRightInd/>
        <w:spacing w:line="360" w:lineRule="auto"/>
        <w:ind w:left="424" w:leftChars="202"/>
        <w:textAlignment w:val="auto"/>
        <w:rPr>
          <w:rFonts w:hint="eastAsia" w:ascii="宋体" w:hAnsi="宋体" w:eastAsia="宋体" w:cs="宋体"/>
          <w:spacing w:val="20"/>
          <w:sz w:val="21"/>
          <w:szCs w:val="21"/>
          <w:highlight w:val="none"/>
        </w:rPr>
      </w:pPr>
      <w:r>
        <w:rPr>
          <w:rFonts w:hint="eastAsia" w:ascii="宋体" w:hAnsi="宋体" w:eastAsia="宋体" w:cs="宋体"/>
          <w:spacing w:val="20"/>
          <w:sz w:val="21"/>
          <w:szCs w:val="21"/>
          <w:highlight w:val="none"/>
        </w:rPr>
        <w:t>日期：</w:t>
      </w:r>
      <w:r>
        <w:rPr>
          <w:rFonts w:hint="eastAsia" w:ascii="宋体" w:hAnsi="宋体" w:eastAsia="宋体" w:cs="宋体"/>
          <w:spacing w:val="20"/>
          <w:sz w:val="21"/>
          <w:szCs w:val="21"/>
          <w:highlight w:val="none"/>
          <w:u w:val="single"/>
        </w:rPr>
        <w:t xml:space="preserve">    </w:t>
      </w:r>
      <w:r>
        <w:rPr>
          <w:rFonts w:hint="eastAsia" w:ascii="宋体" w:hAnsi="宋体" w:eastAsia="宋体" w:cs="宋体"/>
          <w:spacing w:val="20"/>
          <w:sz w:val="21"/>
          <w:szCs w:val="21"/>
          <w:highlight w:val="none"/>
        </w:rPr>
        <w:t>年</w:t>
      </w:r>
      <w:r>
        <w:rPr>
          <w:rFonts w:hint="eastAsia" w:ascii="宋体" w:hAnsi="宋体" w:eastAsia="宋体" w:cs="宋体"/>
          <w:spacing w:val="20"/>
          <w:sz w:val="21"/>
          <w:szCs w:val="21"/>
          <w:highlight w:val="none"/>
          <w:u w:val="single"/>
        </w:rPr>
        <w:t xml:space="preserve">   </w:t>
      </w:r>
      <w:r>
        <w:rPr>
          <w:rFonts w:hint="eastAsia" w:ascii="宋体" w:hAnsi="宋体" w:eastAsia="宋体" w:cs="宋体"/>
          <w:spacing w:val="20"/>
          <w:sz w:val="21"/>
          <w:szCs w:val="21"/>
          <w:highlight w:val="none"/>
        </w:rPr>
        <w:t>月</w:t>
      </w:r>
      <w:r>
        <w:rPr>
          <w:rFonts w:hint="eastAsia" w:ascii="宋体" w:hAnsi="宋体" w:eastAsia="宋体" w:cs="宋体"/>
          <w:spacing w:val="20"/>
          <w:sz w:val="21"/>
          <w:szCs w:val="21"/>
          <w:highlight w:val="none"/>
          <w:u w:val="single"/>
        </w:rPr>
        <w:t xml:space="preserve">   </w:t>
      </w:r>
      <w:r>
        <w:rPr>
          <w:rFonts w:hint="eastAsia" w:ascii="宋体" w:hAnsi="宋体" w:eastAsia="宋体" w:cs="宋体"/>
          <w:spacing w:val="20"/>
          <w:sz w:val="21"/>
          <w:szCs w:val="21"/>
          <w:highlight w:val="none"/>
        </w:rPr>
        <w:t>日</w:t>
      </w:r>
    </w:p>
    <w:p w14:paraId="41C8FF95">
      <w:pPr>
        <w:keepNext w:val="0"/>
        <w:keepLines w:val="0"/>
        <w:pageBreakBefore w:val="0"/>
        <w:kinsoku/>
        <w:wordWrap/>
        <w:overflowPunct/>
        <w:topLinePunct w:val="0"/>
        <w:autoSpaceDE/>
        <w:autoSpaceDN/>
        <w:bidi w:val="0"/>
        <w:adjustRightInd/>
        <w:spacing w:line="360" w:lineRule="auto"/>
        <w:textAlignment w:val="auto"/>
        <w:outlineLvl w:val="2"/>
        <w:rPr>
          <w:rFonts w:hint="eastAsia" w:ascii="宋体" w:hAnsi="宋体" w:eastAsia="宋体" w:cs="宋体"/>
          <w:sz w:val="21"/>
          <w:szCs w:val="21"/>
          <w:highlight w:val="none"/>
        </w:rPr>
      </w:pPr>
      <w:r>
        <w:rPr>
          <w:rFonts w:hint="eastAsia" w:ascii="宋体" w:hAnsi="宋体" w:eastAsia="宋体" w:cs="宋体"/>
          <w:b/>
          <w:sz w:val="21"/>
          <w:szCs w:val="21"/>
          <w:highlight w:val="none"/>
        </w:rPr>
        <w:br w:type="page"/>
      </w:r>
      <w:r>
        <w:rPr>
          <w:rFonts w:hint="eastAsia" w:ascii="宋体" w:hAnsi="宋体" w:eastAsia="宋体" w:cs="宋体"/>
          <w:b/>
          <w:sz w:val="21"/>
          <w:szCs w:val="21"/>
          <w:highlight w:val="none"/>
        </w:rPr>
        <w:t>格式</w:t>
      </w:r>
      <w:r>
        <w:rPr>
          <w:rFonts w:hint="eastAsia" w:ascii="宋体" w:hAnsi="宋体" w:cs="宋体"/>
          <w:b/>
          <w:sz w:val="21"/>
          <w:szCs w:val="21"/>
          <w:highlight w:val="none"/>
          <w:lang w:val="en-US" w:eastAsia="zh-CN"/>
        </w:rPr>
        <w:t>八</w:t>
      </w:r>
      <w:r>
        <w:rPr>
          <w:rFonts w:hint="eastAsia" w:ascii="宋体" w:hAnsi="宋体" w:eastAsia="宋体" w:cs="宋体"/>
          <w:b/>
          <w:sz w:val="21"/>
          <w:szCs w:val="21"/>
          <w:highlight w:val="none"/>
        </w:rPr>
        <w:t>、相关项目实施业绩一览表</w:t>
      </w:r>
    </w:p>
    <w:tbl>
      <w:tblPr>
        <w:tblStyle w:val="28"/>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7"/>
        <w:gridCol w:w="1906"/>
        <w:gridCol w:w="2468"/>
        <w:gridCol w:w="1898"/>
        <w:gridCol w:w="1328"/>
        <w:gridCol w:w="1757"/>
      </w:tblGrid>
      <w:tr w14:paraId="68856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83" w:type="pct"/>
            <w:noWrap w:val="0"/>
            <w:vAlign w:val="center"/>
          </w:tcPr>
          <w:p w14:paraId="61D3F67B">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序号</w:t>
            </w:r>
          </w:p>
        </w:tc>
        <w:tc>
          <w:tcPr>
            <w:tcW w:w="940" w:type="pct"/>
            <w:noWrap w:val="0"/>
            <w:vAlign w:val="center"/>
          </w:tcPr>
          <w:p w14:paraId="7E60DFA7">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采购单位</w:t>
            </w:r>
          </w:p>
        </w:tc>
        <w:tc>
          <w:tcPr>
            <w:tcW w:w="1217" w:type="pct"/>
            <w:noWrap w:val="0"/>
            <w:vAlign w:val="center"/>
          </w:tcPr>
          <w:p w14:paraId="32B9DB7C">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项目简要描述</w:t>
            </w:r>
          </w:p>
        </w:tc>
        <w:tc>
          <w:tcPr>
            <w:tcW w:w="936" w:type="pct"/>
            <w:noWrap w:val="0"/>
            <w:vAlign w:val="center"/>
          </w:tcPr>
          <w:p w14:paraId="68545C47">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项目金额</w:t>
            </w:r>
          </w:p>
          <w:p w14:paraId="405C2CE0">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（元）</w:t>
            </w:r>
          </w:p>
        </w:tc>
        <w:tc>
          <w:tcPr>
            <w:tcW w:w="655" w:type="pct"/>
            <w:noWrap w:val="0"/>
            <w:vAlign w:val="center"/>
          </w:tcPr>
          <w:p w14:paraId="02338BB2">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实施时间</w:t>
            </w:r>
          </w:p>
        </w:tc>
        <w:tc>
          <w:tcPr>
            <w:tcW w:w="866" w:type="pct"/>
            <w:noWrap w:val="0"/>
            <w:vAlign w:val="center"/>
          </w:tcPr>
          <w:p w14:paraId="1E94FE9E">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采购单位联系人及电话</w:t>
            </w:r>
          </w:p>
        </w:tc>
      </w:tr>
      <w:tr w14:paraId="4D04A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83" w:type="pct"/>
            <w:noWrap w:val="0"/>
            <w:vAlign w:val="center"/>
          </w:tcPr>
          <w:p w14:paraId="76555A3E">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w:t>
            </w:r>
          </w:p>
        </w:tc>
        <w:tc>
          <w:tcPr>
            <w:tcW w:w="940" w:type="pct"/>
            <w:noWrap w:val="0"/>
            <w:vAlign w:val="center"/>
          </w:tcPr>
          <w:p w14:paraId="6B4C1915">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1217" w:type="pct"/>
            <w:noWrap w:val="0"/>
            <w:vAlign w:val="center"/>
          </w:tcPr>
          <w:p w14:paraId="3F59CD1D">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936" w:type="pct"/>
            <w:noWrap w:val="0"/>
            <w:vAlign w:val="center"/>
          </w:tcPr>
          <w:p w14:paraId="1207513E">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655" w:type="pct"/>
            <w:noWrap w:val="0"/>
            <w:vAlign w:val="center"/>
          </w:tcPr>
          <w:p w14:paraId="0C4E5D92">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866" w:type="pct"/>
            <w:noWrap w:val="0"/>
            <w:vAlign w:val="center"/>
          </w:tcPr>
          <w:p w14:paraId="1CB7BD07">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r>
      <w:tr w14:paraId="1E63F5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83" w:type="pct"/>
            <w:noWrap w:val="0"/>
            <w:vAlign w:val="center"/>
          </w:tcPr>
          <w:p w14:paraId="55A12A2E">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2</w:t>
            </w:r>
          </w:p>
        </w:tc>
        <w:tc>
          <w:tcPr>
            <w:tcW w:w="940" w:type="pct"/>
            <w:noWrap w:val="0"/>
            <w:vAlign w:val="center"/>
          </w:tcPr>
          <w:p w14:paraId="0600F0BF">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1217" w:type="pct"/>
            <w:noWrap w:val="0"/>
            <w:vAlign w:val="center"/>
          </w:tcPr>
          <w:p w14:paraId="5D75B2B3">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936" w:type="pct"/>
            <w:noWrap w:val="0"/>
            <w:vAlign w:val="center"/>
          </w:tcPr>
          <w:p w14:paraId="47C43594">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655" w:type="pct"/>
            <w:noWrap w:val="0"/>
            <w:vAlign w:val="center"/>
          </w:tcPr>
          <w:p w14:paraId="154A5D09">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866" w:type="pct"/>
            <w:noWrap w:val="0"/>
            <w:vAlign w:val="center"/>
          </w:tcPr>
          <w:p w14:paraId="62DAE167">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r>
      <w:tr w14:paraId="47EB6C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83" w:type="pct"/>
            <w:noWrap w:val="0"/>
            <w:vAlign w:val="center"/>
          </w:tcPr>
          <w:p w14:paraId="5D9DDF62">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3</w:t>
            </w:r>
          </w:p>
        </w:tc>
        <w:tc>
          <w:tcPr>
            <w:tcW w:w="940" w:type="pct"/>
            <w:noWrap w:val="0"/>
            <w:vAlign w:val="center"/>
          </w:tcPr>
          <w:p w14:paraId="43606113">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1217" w:type="pct"/>
            <w:noWrap w:val="0"/>
            <w:vAlign w:val="center"/>
          </w:tcPr>
          <w:p w14:paraId="0609792A">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936" w:type="pct"/>
            <w:noWrap w:val="0"/>
            <w:vAlign w:val="center"/>
          </w:tcPr>
          <w:p w14:paraId="3887BBED">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655" w:type="pct"/>
            <w:noWrap w:val="0"/>
            <w:vAlign w:val="center"/>
          </w:tcPr>
          <w:p w14:paraId="2655C751">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866" w:type="pct"/>
            <w:noWrap w:val="0"/>
            <w:vAlign w:val="center"/>
          </w:tcPr>
          <w:p w14:paraId="0F816FDC">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r>
      <w:tr w14:paraId="5ED4C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83" w:type="pct"/>
            <w:noWrap w:val="0"/>
            <w:vAlign w:val="center"/>
          </w:tcPr>
          <w:p w14:paraId="5222EB5C">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w:t>
            </w:r>
          </w:p>
        </w:tc>
        <w:tc>
          <w:tcPr>
            <w:tcW w:w="940" w:type="pct"/>
            <w:noWrap w:val="0"/>
            <w:vAlign w:val="center"/>
          </w:tcPr>
          <w:p w14:paraId="1B9DFEB9">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1217" w:type="pct"/>
            <w:noWrap w:val="0"/>
            <w:vAlign w:val="center"/>
          </w:tcPr>
          <w:p w14:paraId="6AF6927A">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936" w:type="pct"/>
            <w:noWrap w:val="0"/>
            <w:vAlign w:val="center"/>
          </w:tcPr>
          <w:p w14:paraId="04D0897E">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655" w:type="pct"/>
            <w:noWrap w:val="0"/>
            <w:vAlign w:val="center"/>
          </w:tcPr>
          <w:p w14:paraId="7787C6EE">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866" w:type="pct"/>
            <w:noWrap w:val="0"/>
            <w:vAlign w:val="center"/>
          </w:tcPr>
          <w:p w14:paraId="2C601130">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r>
      <w:tr w14:paraId="7F1CE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83" w:type="pct"/>
            <w:noWrap w:val="0"/>
            <w:vAlign w:val="center"/>
          </w:tcPr>
          <w:p w14:paraId="131B6A7C">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940" w:type="pct"/>
            <w:noWrap w:val="0"/>
            <w:vAlign w:val="center"/>
          </w:tcPr>
          <w:p w14:paraId="18960E4C">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1217" w:type="pct"/>
            <w:noWrap w:val="0"/>
            <w:vAlign w:val="center"/>
          </w:tcPr>
          <w:p w14:paraId="50E74EB3">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936" w:type="pct"/>
            <w:noWrap w:val="0"/>
            <w:vAlign w:val="center"/>
          </w:tcPr>
          <w:p w14:paraId="51253B5D">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655" w:type="pct"/>
            <w:noWrap w:val="0"/>
            <w:vAlign w:val="center"/>
          </w:tcPr>
          <w:p w14:paraId="1BE3D25E">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866" w:type="pct"/>
            <w:noWrap w:val="0"/>
            <w:vAlign w:val="center"/>
          </w:tcPr>
          <w:p w14:paraId="30610DA5">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r>
      <w:tr w14:paraId="2BA5E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383" w:type="pct"/>
            <w:noWrap w:val="0"/>
            <w:vAlign w:val="center"/>
          </w:tcPr>
          <w:p w14:paraId="3BFF4EDE">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940" w:type="pct"/>
            <w:noWrap w:val="0"/>
            <w:vAlign w:val="center"/>
          </w:tcPr>
          <w:p w14:paraId="40DC48AB">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1217" w:type="pct"/>
            <w:noWrap w:val="0"/>
            <w:vAlign w:val="center"/>
          </w:tcPr>
          <w:p w14:paraId="5573DDCD">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936" w:type="pct"/>
            <w:noWrap w:val="0"/>
            <w:vAlign w:val="center"/>
          </w:tcPr>
          <w:p w14:paraId="4C53933A">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655" w:type="pct"/>
            <w:noWrap w:val="0"/>
            <w:vAlign w:val="center"/>
          </w:tcPr>
          <w:p w14:paraId="6328D8E0">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c>
          <w:tcPr>
            <w:tcW w:w="866" w:type="pct"/>
            <w:noWrap w:val="0"/>
            <w:vAlign w:val="center"/>
          </w:tcPr>
          <w:p w14:paraId="52EA0720">
            <w:pPr>
              <w:keepNext w:val="0"/>
              <w:keepLines w:val="0"/>
              <w:pageBreakBefore w:val="0"/>
              <w:kinsoku/>
              <w:wordWrap/>
              <w:overflowPunct/>
              <w:topLinePunct w:val="0"/>
              <w:autoSpaceDE/>
              <w:autoSpaceDN/>
              <w:bidi w:val="0"/>
              <w:adjustRightInd/>
              <w:spacing w:line="360" w:lineRule="auto"/>
              <w:jc w:val="center"/>
              <w:textAlignment w:val="auto"/>
              <w:rPr>
                <w:rFonts w:hint="eastAsia" w:ascii="宋体" w:hAnsi="宋体" w:eastAsia="宋体" w:cs="宋体"/>
                <w:sz w:val="21"/>
                <w:szCs w:val="21"/>
                <w:highlight w:val="none"/>
              </w:rPr>
            </w:pPr>
          </w:p>
        </w:tc>
      </w:tr>
    </w:tbl>
    <w:p w14:paraId="382E7ECF">
      <w:pPr>
        <w:keepNext w:val="0"/>
        <w:keepLines w:val="0"/>
        <w:pageBreakBefore w:val="0"/>
        <w:kinsoku/>
        <w:wordWrap/>
        <w:overflowPunct/>
        <w:topLinePunct w:val="0"/>
        <w:autoSpaceDE/>
        <w:autoSpaceDN/>
        <w:bidi w:val="0"/>
        <w:adjustRightInd/>
        <w:spacing w:line="360" w:lineRule="auto"/>
        <w:ind w:left="424" w:leftChars="202"/>
        <w:textAlignment w:val="auto"/>
        <w:rPr>
          <w:rFonts w:hint="eastAsia" w:ascii="宋体" w:hAnsi="宋体" w:eastAsia="宋体" w:cs="宋体"/>
          <w:sz w:val="21"/>
          <w:szCs w:val="21"/>
          <w:highlight w:val="none"/>
        </w:rPr>
      </w:pPr>
    </w:p>
    <w:p w14:paraId="0447808A">
      <w:pPr>
        <w:keepNext w:val="0"/>
        <w:keepLines w:val="0"/>
        <w:pageBreakBefore w:val="0"/>
        <w:kinsoku/>
        <w:wordWrap/>
        <w:overflowPunct/>
        <w:topLinePunct w:val="0"/>
        <w:autoSpaceDE/>
        <w:autoSpaceDN/>
        <w:bidi w:val="0"/>
        <w:adjustRightInd/>
        <w:spacing w:line="360" w:lineRule="auto"/>
        <w:ind w:left="424" w:leftChars="202"/>
        <w:textAlignment w:val="auto"/>
        <w:rPr>
          <w:rFonts w:hint="eastAsia" w:ascii="宋体" w:hAnsi="宋体" w:eastAsia="宋体" w:cs="宋体"/>
          <w:sz w:val="21"/>
          <w:szCs w:val="21"/>
          <w:highlight w:val="none"/>
          <w:u w:val="single"/>
        </w:rPr>
      </w:pPr>
      <w:r>
        <w:rPr>
          <w:rFonts w:hint="eastAsia" w:ascii="宋体" w:hAnsi="宋体" w:eastAsia="宋体" w:cs="宋体"/>
          <w:sz w:val="21"/>
          <w:szCs w:val="21"/>
          <w:highlight w:val="none"/>
          <w:lang w:val="en-US" w:eastAsia="zh-CN"/>
        </w:rPr>
        <w:t>响应</w:t>
      </w:r>
      <w:r>
        <w:rPr>
          <w:rFonts w:hint="eastAsia" w:ascii="宋体" w:hAnsi="宋体" w:eastAsia="宋体" w:cs="宋体"/>
          <w:sz w:val="21"/>
          <w:szCs w:val="21"/>
          <w:highlight w:val="none"/>
        </w:rPr>
        <w:t>人名称：</w:t>
      </w:r>
      <w:r>
        <w:rPr>
          <w:rFonts w:hint="eastAsia" w:ascii="宋体" w:hAnsi="宋体" w:eastAsia="宋体" w:cs="宋体"/>
          <w:b/>
          <w:spacing w:val="20"/>
          <w:sz w:val="21"/>
          <w:szCs w:val="21"/>
          <w:highlight w:val="none"/>
          <w:u w:val="single"/>
        </w:rPr>
        <w:t xml:space="preserve">                </w:t>
      </w:r>
      <w:r>
        <w:rPr>
          <w:rFonts w:hint="eastAsia" w:ascii="宋体" w:hAnsi="宋体" w:eastAsia="宋体" w:cs="宋体"/>
          <w:sz w:val="21"/>
          <w:szCs w:val="21"/>
          <w:highlight w:val="none"/>
        </w:rPr>
        <w:t xml:space="preserve">（加盖公章）  </w:t>
      </w:r>
    </w:p>
    <w:p w14:paraId="51E91402">
      <w:pPr>
        <w:keepNext w:val="0"/>
        <w:keepLines w:val="0"/>
        <w:pageBreakBefore w:val="0"/>
        <w:kinsoku/>
        <w:wordWrap/>
        <w:overflowPunct/>
        <w:topLinePunct w:val="0"/>
        <w:autoSpaceDE/>
        <w:autoSpaceDN/>
        <w:bidi w:val="0"/>
        <w:adjustRightInd/>
        <w:spacing w:line="360" w:lineRule="auto"/>
        <w:ind w:left="424" w:leftChars="202"/>
        <w:textAlignment w:val="auto"/>
        <w:rPr>
          <w:rFonts w:hint="eastAsia" w:ascii="宋体" w:hAnsi="宋体" w:eastAsia="宋体" w:cs="宋体"/>
          <w:sz w:val="21"/>
          <w:szCs w:val="21"/>
          <w:highlight w:val="none"/>
        </w:rPr>
      </w:pPr>
      <w:r>
        <w:rPr>
          <w:rFonts w:hint="eastAsia" w:ascii="宋体" w:hAnsi="宋体" w:eastAsia="宋体" w:cs="宋体"/>
          <w:spacing w:val="-4"/>
          <w:sz w:val="21"/>
          <w:szCs w:val="21"/>
          <w:highlight w:val="none"/>
          <w:lang w:val="en-US" w:eastAsia="zh-CN"/>
        </w:rPr>
        <w:t>响应</w:t>
      </w:r>
      <w:r>
        <w:rPr>
          <w:rFonts w:hint="eastAsia" w:ascii="宋体" w:hAnsi="宋体" w:eastAsia="宋体" w:cs="宋体"/>
          <w:spacing w:val="-4"/>
          <w:sz w:val="21"/>
          <w:szCs w:val="21"/>
          <w:highlight w:val="none"/>
        </w:rPr>
        <w:t>人代表</w:t>
      </w:r>
      <w:r>
        <w:rPr>
          <w:rFonts w:hint="eastAsia" w:ascii="宋体" w:hAnsi="宋体" w:eastAsia="宋体" w:cs="宋体"/>
          <w:sz w:val="21"/>
          <w:szCs w:val="21"/>
          <w:highlight w:val="none"/>
        </w:rPr>
        <w:t>：</w:t>
      </w:r>
      <w:r>
        <w:rPr>
          <w:rFonts w:hint="eastAsia" w:ascii="宋体" w:hAnsi="宋体" w:eastAsia="宋体" w:cs="宋体"/>
          <w:b/>
          <w:spacing w:val="20"/>
          <w:sz w:val="21"/>
          <w:szCs w:val="21"/>
          <w:highlight w:val="none"/>
          <w:u w:val="single"/>
        </w:rPr>
        <w:t xml:space="preserve">           </w:t>
      </w:r>
      <w:r>
        <w:rPr>
          <w:rFonts w:hint="eastAsia" w:ascii="宋体" w:hAnsi="宋体" w:eastAsia="宋体" w:cs="宋体"/>
          <w:sz w:val="21"/>
          <w:szCs w:val="21"/>
          <w:highlight w:val="none"/>
        </w:rPr>
        <w:t>（签字）</w:t>
      </w:r>
    </w:p>
    <w:p w14:paraId="5907F3FD">
      <w:pPr>
        <w:keepNext w:val="0"/>
        <w:keepLines w:val="0"/>
        <w:pageBreakBefore w:val="0"/>
        <w:kinsoku/>
        <w:wordWrap/>
        <w:overflowPunct/>
        <w:topLinePunct w:val="0"/>
        <w:autoSpaceDE/>
        <w:autoSpaceDN/>
        <w:bidi w:val="0"/>
        <w:adjustRightInd/>
        <w:spacing w:line="360" w:lineRule="auto"/>
        <w:ind w:left="424" w:leftChars="202"/>
        <w:textAlignment w:val="auto"/>
        <w:rPr>
          <w:rFonts w:hint="eastAsia" w:ascii="宋体" w:hAnsi="宋体" w:eastAsia="宋体" w:cs="宋体"/>
          <w:spacing w:val="20"/>
          <w:sz w:val="21"/>
          <w:szCs w:val="21"/>
          <w:highlight w:val="none"/>
        </w:rPr>
      </w:pPr>
      <w:r>
        <w:rPr>
          <w:rFonts w:hint="eastAsia" w:ascii="宋体" w:hAnsi="宋体" w:eastAsia="宋体" w:cs="宋体"/>
          <w:spacing w:val="20"/>
          <w:sz w:val="21"/>
          <w:szCs w:val="21"/>
          <w:highlight w:val="none"/>
        </w:rPr>
        <w:t>日期：</w:t>
      </w:r>
      <w:r>
        <w:rPr>
          <w:rFonts w:hint="eastAsia" w:ascii="宋体" w:hAnsi="宋体" w:eastAsia="宋体" w:cs="宋体"/>
          <w:spacing w:val="20"/>
          <w:sz w:val="21"/>
          <w:szCs w:val="21"/>
          <w:highlight w:val="none"/>
          <w:u w:val="single"/>
        </w:rPr>
        <w:t xml:space="preserve">    </w:t>
      </w:r>
      <w:r>
        <w:rPr>
          <w:rFonts w:hint="eastAsia" w:ascii="宋体" w:hAnsi="宋体" w:eastAsia="宋体" w:cs="宋体"/>
          <w:spacing w:val="20"/>
          <w:sz w:val="21"/>
          <w:szCs w:val="21"/>
          <w:highlight w:val="none"/>
        </w:rPr>
        <w:t>年</w:t>
      </w:r>
      <w:r>
        <w:rPr>
          <w:rFonts w:hint="eastAsia" w:ascii="宋体" w:hAnsi="宋体" w:eastAsia="宋体" w:cs="宋体"/>
          <w:spacing w:val="20"/>
          <w:sz w:val="21"/>
          <w:szCs w:val="21"/>
          <w:highlight w:val="none"/>
          <w:u w:val="single"/>
        </w:rPr>
        <w:t xml:space="preserve">   </w:t>
      </w:r>
      <w:r>
        <w:rPr>
          <w:rFonts w:hint="eastAsia" w:ascii="宋体" w:hAnsi="宋体" w:eastAsia="宋体" w:cs="宋体"/>
          <w:spacing w:val="20"/>
          <w:sz w:val="21"/>
          <w:szCs w:val="21"/>
          <w:highlight w:val="none"/>
        </w:rPr>
        <w:t>月</w:t>
      </w:r>
      <w:r>
        <w:rPr>
          <w:rFonts w:hint="eastAsia" w:ascii="宋体" w:hAnsi="宋体" w:eastAsia="宋体" w:cs="宋体"/>
          <w:spacing w:val="20"/>
          <w:sz w:val="21"/>
          <w:szCs w:val="21"/>
          <w:highlight w:val="none"/>
          <w:u w:val="single"/>
        </w:rPr>
        <w:t xml:space="preserve">   </w:t>
      </w:r>
      <w:r>
        <w:rPr>
          <w:rFonts w:hint="eastAsia" w:ascii="宋体" w:hAnsi="宋体" w:eastAsia="宋体" w:cs="宋体"/>
          <w:spacing w:val="20"/>
          <w:sz w:val="21"/>
          <w:szCs w:val="21"/>
          <w:highlight w:val="none"/>
        </w:rPr>
        <w:t>日</w:t>
      </w:r>
    </w:p>
    <w:p w14:paraId="1FCED273">
      <w:pPr>
        <w:keepNext w:val="0"/>
        <w:keepLines w:val="0"/>
        <w:pageBreakBefore w:val="0"/>
        <w:kinsoku/>
        <w:wordWrap/>
        <w:overflowPunct/>
        <w:topLinePunct w:val="0"/>
        <w:autoSpaceDE/>
        <w:autoSpaceDN/>
        <w:bidi w:val="0"/>
        <w:adjustRightInd/>
        <w:spacing w:line="360" w:lineRule="auto"/>
        <w:textAlignment w:val="auto"/>
        <w:rPr>
          <w:rFonts w:hint="eastAsia" w:ascii="宋体" w:hAnsi="宋体" w:eastAsia="宋体" w:cs="宋体"/>
          <w:sz w:val="21"/>
          <w:szCs w:val="21"/>
          <w:highlight w:val="none"/>
        </w:rPr>
      </w:pPr>
    </w:p>
    <w:p w14:paraId="194F608A">
      <w:pPr>
        <w:keepNext w:val="0"/>
        <w:keepLines w:val="0"/>
        <w:pageBreakBefore w:val="0"/>
        <w:kinsoku/>
        <w:wordWrap/>
        <w:overflowPunct/>
        <w:topLinePunct w:val="0"/>
        <w:autoSpaceDE/>
        <w:autoSpaceDN/>
        <w:bidi w:val="0"/>
        <w:adjustRightInd/>
        <w:spacing w:line="360" w:lineRule="auto"/>
        <w:textAlignment w:val="auto"/>
        <w:rPr>
          <w:rFonts w:hint="eastAsia" w:ascii="宋体" w:hAnsi="宋体" w:eastAsia="宋体" w:cs="宋体"/>
          <w:b/>
          <w:bCs/>
          <w:sz w:val="21"/>
          <w:szCs w:val="21"/>
          <w:highlight w:val="none"/>
        </w:rPr>
      </w:pPr>
    </w:p>
    <w:p w14:paraId="5716C8AB">
      <w:pPr>
        <w:keepNext w:val="0"/>
        <w:keepLines w:val="0"/>
        <w:pageBreakBefore w:val="0"/>
        <w:kinsoku/>
        <w:wordWrap/>
        <w:overflowPunct/>
        <w:topLinePunct w:val="0"/>
        <w:autoSpaceDE/>
        <w:autoSpaceDN/>
        <w:bidi w:val="0"/>
        <w:adjustRightInd/>
        <w:spacing w:line="360" w:lineRule="auto"/>
        <w:textAlignment w:val="auto"/>
        <w:rPr>
          <w:rFonts w:hint="eastAsia" w:ascii="宋体" w:hAnsi="宋体" w:eastAsia="宋体" w:cs="宋体"/>
          <w:b/>
          <w:bCs/>
          <w:sz w:val="21"/>
          <w:szCs w:val="21"/>
          <w:highlight w:val="none"/>
        </w:rPr>
      </w:pPr>
    </w:p>
    <w:p w14:paraId="3F1CAE21">
      <w:pPr>
        <w:keepNext w:val="0"/>
        <w:keepLines w:val="0"/>
        <w:pageBreakBefore w:val="0"/>
        <w:kinsoku/>
        <w:wordWrap/>
        <w:overflowPunct/>
        <w:topLinePunct w:val="0"/>
        <w:autoSpaceDE/>
        <w:autoSpaceDN/>
        <w:bidi w:val="0"/>
        <w:adjustRightInd/>
        <w:spacing w:line="360" w:lineRule="auto"/>
        <w:textAlignment w:val="auto"/>
        <w:rPr>
          <w:rFonts w:hint="eastAsia" w:ascii="宋体" w:hAnsi="宋体" w:eastAsia="宋体" w:cs="宋体"/>
          <w:b/>
          <w:bCs/>
          <w:sz w:val="21"/>
          <w:szCs w:val="21"/>
          <w:highlight w:val="none"/>
        </w:rPr>
      </w:pPr>
    </w:p>
    <w:p w14:paraId="0DEA923A">
      <w:pPr>
        <w:keepNext w:val="0"/>
        <w:keepLines w:val="0"/>
        <w:pageBreakBefore w:val="0"/>
        <w:kinsoku/>
        <w:wordWrap/>
        <w:overflowPunct/>
        <w:topLinePunct w:val="0"/>
        <w:autoSpaceDE/>
        <w:autoSpaceDN/>
        <w:bidi w:val="0"/>
        <w:adjustRightInd/>
        <w:spacing w:line="360" w:lineRule="auto"/>
        <w:textAlignment w:val="auto"/>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br w:type="page"/>
      </w:r>
    </w:p>
    <w:p w14:paraId="5823B653">
      <w:pPr>
        <w:pageBreakBefore w:val="0"/>
        <w:kinsoku/>
        <w:wordWrap/>
        <w:overflowPunct/>
        <w:topLinePunct w:val="0"/>
        <w:bidi w:val="0"/>
        <w:snapToGrid w:val="0"/>
        <w:spacing w:before="50" w:after="156" w:afterLines="50" w:line="360" w:lineRule="auto"/>
        <w:outlineLvl w:val="2"/>
        <w:rPr>
          <w:rFonts w:hint="eastAsia" w:ascii="宋体" w:hAnsi="宋体" w:eastAsia="宋体" w:cs="宋体"/>
          <w:sz w:val="21"/>
          <w:szCs w:val="21"/>
          <w:highlight w:val="none"/>
        </w:rPr>
      </w:pPr>
      <w:r>
        <w:rPr>
          <w:rFonts w:hint="eastAsia" w:ascii="宋体" w:hAnsi="宋体" w:eastAsia="宋体" w:cs="宋体"/>
          <w:b/>
          <w:sz w:val="21"/>
          <w:szCs w:val="21"/>
          <w:highlight w:val="none"/>
        </w:rPr>
        <w:t>格式</w:t>
      </w:r>
      <w:r>
        <w:rPr>
          <w:rFonts w:hint="eastAsia" w:ascii="宋体" w:hAnsi="宋体" w:cs="宋体"/>
          <w:b/>
          <w:sz w:val="21"/>
          <w:szCs w:val="21"/>
          <w:highlight w:val="none"/>
          <w:lang w:val="en-US" w:eastAsia="zh-CN"/>
        </w:rPr>
        <w:t>九</w:t>
      </w:r>
      <w:r>
        <w:rPr>
          <w:rFonts w:hint="eastAsia" w:ascii="宋体" w:hAnsi="宋体" w:eastAsia="宋体" w:cs="宋体"/>
          <w:b/>
          <w:sz w:val="21"/>
          <w:szCs w:val="21"/>
          <w:highlight w:val="none"/>
        </w:rPr>
        <w:t>、设备配置清单</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1"/>
        <w:gridCol w:w="1521"/>
        <w:gridCol w:w="1522"/>
        <w:gridCol w:w="2528"/>
        <w:gridCol w:w="1522"/>
        <w:gridCol w:w="1522"/>
      </w:tblGrid>
      <w:tr w14:paraId="1B281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521" w:type="dxa"/>
            <w:noWrap w:val="0"/>
            <w:vAlign w:val="center"/>
          </w:tcPr>
          <w:p w14:paraId="7399C871">
            <w:pPr>
              <w:pageBreakBefore w:val="0"/>
              <w:kinsoku/>
              <w:wordWrap/>
              <w:overflowPunct/>
              <w:topLinePunct w:val="0"/>
              <w:bidi w:val="0"/>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序号</w:t>
            </w:r>
          </w:p>
        </w:tc>
        <w:tc>
          <w:tcPr>
            <w:tcW w:w="1521" w:type="dxa"/>
            <w:noWrap w:val="0"/>
            <w:vAlign w:val="center"/>
          </w:tcPr>
          <w:p w14:paraId="61FA1C42">
            <w:pPr>
              <w:pageBreakBefore w:val="0"/>
              <w:kinsoku/>
              <w:wordWrap/>
              <w:overflowPunct/>
              <w:topLinePunct w:val="0"/>
              <w:bidi w:val="0"/>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名称</w:t>
            </w:r>
          </w:p>
        </w:tc>
        <w:tc>
          <w:tcPr>
            <w:tcW w:w="1522" w:type="dxa"/>
            <w:noWrap w:val="0"/>
            <w:vAlign w:val="center"/>
          </w:tcPr>
          <w:p w14:paraId="207E35ED">
            <w:pPr>
              <w:pageBreakBefore w:val="0"/>
              <w:kinsoku/>
              <w:wordWrap/>
              <w:overflowPunct/>
              <w:topLinePunct w:val="0"/>
              <w:bidi w:val="0"/>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品牌</w:t>
            </w:r>
          </w:p>
        </w:tc>
        <w:tc>
          <w:tcPr>
            <w:tcW w:w="2528" w:type="dxa"/>
            <w:noWrap w:val="0"/>
            <w:vAlign w:val="center"/>
          </w:tcPr>
          <w:p w14:paraId="0688B6C1">
            <w:pPr>
              <w:pageBreakBefore w:val="0"/>
              <w:kinsoku/>
              <w:wordWrap/>
              <w:overflowPunct/>
              <w:topLinePunct w:val="0"/>
              <w:bidi w:val="0"/>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规格型号</w:t>
            </w:r>
          </w:p>
        </w:tc>
        <w:tc>
          <w:tcPr>
            <w:tcW w:w="1522" w:type="dxa"/>
            <w:noWrap w:val="0"/>
            <w:vAlign w:val="center"/>
          </w:tcPr>
          <w:p w14:paraId="71273A2A">
            <w:pPr>
              <w:pageBreakBefore w:val="0"/>
              <w:kinsoku/>
              <w:wordWrap/>
              <w:overflowPunct/>
              <w:topLinePunct w:val="0"/>
              <w:bidi w:val="0"/>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产地</w:t>
            </w:r>
          </w:p>
        </w:tc>
        <w:tc>
          <w:tcPr>
            <w:tcW w:w="1522" w:type="dxa"/>
            <w:noWrap w:val="0"/>
            <w:vAlign w:val="center"/>
          </w:tcPr>
          <w:p w14:paraId="2F867A44">
            <w:pPr>
              <w:pageBreakBefore w:val="0"/>
              <w:kinsoku/>
              <w:wordWrap/>
              <w:overflowPunct/>
              <w:topLinePunct w:val="0"/>
              <w:bidi w:val="0"/>
              <w:spacing w:line="36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数量</w:t>
            </w:r>
          </w:p>
        </w:tc>
      </w:tr>
      <w:tr w14:paraId="5F8F0A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1" w:type="dxa"/>
            <w:noWrap w:val="0"/>
            <w:vAlign w:val="center"/>
          </w:tcPr>
          <w:p w14:paraId="2A364CC2">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1" w:type="dxa"/>
            <w:noWrap w:val="0"/>
            <w:vAlign w:val="center"/>
          </w:tcPr>
          <w:p w14:paraId="0E197EC2">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24162088">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2528" w:type="dxa"/>
            <w:noWrap w:val="0"/>
            <w:vAlign w:val="center"/>
          </w:tcPr>
          <w:p w14:paraId="3AF3B292">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60A97032">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29C00C26">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r>
      <w:tr w14:paraId="1BF27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1" w:type="dxa"/>
            <w:noWrap w:val="0"/>
            <w:vAlign w:val="center"/>
          </w:tcPr>
          <w:p w14:paraId="07A5D5B1">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1" w:type="dxa"/>
            <w:noWrap w:val="0"/>
            <w:vAlign w:val="center"/>
          </w:tcPr>
          <w:p w14:paraId="13DDBC8A">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0837C60E">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2528" w:type="dxa"/>
            <w:noWrap w:val="0"/>
            <w:vAlign w:val="center"/>
          </w:tcPr>
          <w:p w14:paraId="3BD990EA">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5C213529">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3E3D9B94">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r>
      <w:tr w14:paraId="52A8D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1" w:type="dxa"/>
            <w:noWrap w:val="0"/>
            <w:vAlign w:val="center"/>
          </w:tcPr>
          <w:p w14:paraId="168C4DC6">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1" w:type="dxa"/>
            <w:noWrap w:val="0"/>
            <w:vAlign w:val="center"/>
          </w:tcPr>
          <w:p w14:paraId="2C055812">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59308939">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2528" w:type="dxa"/>
            <w:noWrap w:val="0"/>
            <w:vAlign w:val="center"/>
          </w:tcPr>
          <w:p w14:paraId="7021AC1D">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11852718">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7D9047DD">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r>
      <w:tr w14:paraId="12491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1" w:type="dxa"/>
            <w:noWrap w:val="0"/>
            <w:vAlign w:val="center"/>
          </w:tcPr>
          <w:p w14:paraId="4FFCBB94">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1" w:type="dxa"/>
            <w:noWrap w:val="0"/>
            <w:vAlign w:val="center"/>
          </w:tcPr>
          <w:p w14:paraId="49C4D194">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400A1C94">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2528" w:type="dxa"/>
            <w:noWrap w:val="0"/>
            <w:vAlign w:val="center"/>
          </w:tcPr>
          <w:p w14:paraId="2BEDA486">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08027956">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17ACD203">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r>
      <w:tr w14:paraId="4895C5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1" w:type="dxa"/>
            <w:noWrap w:val="0"/>
            <w:vAlign w:val="center"/>
          </w:tcPr>
          <w:p w14:paraId="3B7B73DF">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1" w:type="dxa"/>
            <w:noWrap w:val="0"/>
            <w:vAlign w:val="center"/>
          </w:tcPr>
          <w:p w14:paraId="2527FFEC">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74C1C5FB">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2528" w:type="dxa"/>
            <w:noWrap w:val="0"/>
            <w:vAlign w:val="center"/>
          </w:tcPr>
          <w:p w14:paraId="02FFACA0">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6A10C4AE">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30870A4E">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r>
      <w:tr w14:paraId="243EB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1" w:type="dxa"/>
            <w:noWrap w:val="0"/>
            <w:vAlign w:val="center"/>
          </w:tcPr>
          <w:p w14:paraId="4DA99DA5">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1" w:type="dxa"/>
            <w:noWrap w:val="0"/>
            <w:vAlign w:val="center"/>
          </w:tcPr>
          <w:p w14:paraId="7895A29A">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71F54F0B">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2528" w:type="dxa"/>
            <w:noWrap w:val="0"/>
            <w:vAlign w:val="center"/>
          </w:tcPr>
          <w:p w14:paraId="2A6058A3">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316D619F">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1FE21B05">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r>
      <w:tr w14:paraId="680AB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1" w:type="dxa"/>
            <w:noWrap w:val="0"/>
            <w:vAlign w:val="center"/>
          </w:tcPr>
          <w:p w14:paraId="7832440C">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1" w:type="dxa"/>
            <w:noWrap w:val="0"/>
            <w:vAlign w:val="center"/>
          </w:tcPr>
          <w:p w14:paraId="6870DE8F">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2FA906C0">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2528" w:type="dxa"/>
            <w:noWrap w:val="0"/>
            <w:vAlign w:val="center"/>
          </w:tcPr>
          <w:p w14:paraId="275576B2">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01B05BD7">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7FC58F78">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r>
      <w:tr w14:paraId="4F50F9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1" w:type="dxa"/>
            <w:noWrap w:val="0"/>
            <w:vAlign w:val="center"/>
          </w:tcPr>
          <w:p w14:paraId="5AFBE407">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1" w:type="dxa"/>
            <w:noWrap w:val="0"/>
            <w:vAlign w:val="center"/>
          </w:tcPr>
          <w:p w14:paraId="4EC0E775">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3F1264FF">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2528" w:type="dxa"/>
            <w:noWrap w:val="0"/>
            <w:vAlign w:val="center"/>
          </w:tcPr>
          <w:p w14:paraId="01D21A10">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78101B60">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72F3C6AB">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r>
      <w:tr w14:paraId="77A42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1" w:type="dxa"/>
            <w:noWrap w:val="0"/>
            <w:vAlign w:val="center"/>
          </w:tcPr>
          <w:p w14:paraId="6AD12CD4">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1" w:type="dxa"/>
            <w:noWrap w:val="0"/>
            <w:vAlign w:val="center"/>
          </w:tcPr>
          <w:p w14:paraId="516E8228">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4EA27179">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2528" w:type="dxa"/>
            <w:noWrap w:val="0"/>
            <w:vAlign w:val="center"/>
          </w:tcPr>
          <w:p w14:paraId="0DE10DB4">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35E0119F">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07F4BD7D">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r>
      <w:tr w14:paraId="482AB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1" w:type="dxa"/>
            <w:noWrap w:val="0"/>
            <w:vAlign w:val="center"/>
          </w:tcPr>
          <w:p w14:paraId="5F73422F">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1" w:type="dxa"/>
            <w:noWrap w:val="0"/>
            <w:vAlign w:val="center"/>
          </w:tcPr>
          <w:p w14:paraId="2B1B1938">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4B8028A5">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2528" w:type="dxa"/>
            <w:noWrap w:val="0"/>
            <w:vAlign w:val="center"/>
          </w:tcPr>
          <w:p w14:paraId="68C0EC0A">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11AD6778">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c>
          <w:tcPr>
            <w:tcW w:w="1522" w:type="dxa"/>
            <w:noWrap w:val="0"/>
            <w:vAlign w:val="center"/>
          </w:tcPr>
          <w:p w14:paraId="5B5909AB">
            <w:pPr>
              <w:pageBreakBefore w:val="0"/>
              <w:kinsoku/>
              <w:wordWrap/>
              <w:overflowPunct/>
              <w:topLinePunct w:val="0"/>
              <w:bidi w:val="0"/>
              <w:spacing w:line="360" w:lineRule="auto"/>
              <w:jc w:val="center"/>
              <w:rPr>
                <w:rFonts w:hint="eastAsia" w:ascii="宋体" w:hAnsi="宋体" w:eastAsia="宋体" w:cs="宋体"/>
                <w:sz w:val="21"/>
                <w:szCs w:val="21"/>
                <w:highlight w:val="none"/>
              </w:rPr>
            </w:pPr>
          </w:p>
        </w:tc>
      </w:tr>
    </w:tbl>
    <w:p w14:paraId="154A9ED2">
      <w:pPr>
        <w:pageBreakBefore w:val="0"/>
        <w:kinsoku/>
        <w:wordWrap/>
        <w:overflowPunct/>
        <w:topLinePunct w:val="0"/>
        <w:bidi w:val="0"/>
        <w:spacing w:line="360" w:lineRule="auto"/>
        <w:rPr>
          <w:rFonts w:hint="eastAsia" w:ascii="宋体" w:hAnsi="宋体" w:eastAsia="宋体" w:cs="宋体"/>
          <w:b/>
          <w:spacing w:val="20"/>
          <w:sz w:val="21"/>
          <w:szCs w:val="21"/>
          <w:highlight w:val="none"/>
        </w:rPr>
      </w:pPr>
    </w:p>
    <w:p w14:paraId="2D25B937">
      <w:pPr>
        <w:pageBreakBefore w:val="0"/>
        <w:kinsoku/>
        <w:wordWrap/>
        <w:overflowPunct/>
        <w:topLinePunct w:val="0"/>
        <w:bidi w:val="0"/>
        <w:spacing w:line="360" w:lineRule="auto"/>
        <w:ind w:left="424" w:leftChars="202"/>
        <w:rPr>
          <w:rFonts w:hint="eastAsia" w:ascii="宋体" w:hAnsi="宋体" w:eastAsia="宋体" w:cs="宋体"/>
          <w:sz w:val="21"/>
          <w:szCs w:val="21"/>
          <w:highlight w:val="none"/>
        </w:rPr>
      </w:pPr>
    </w:p>
    <w:p w14:paraId="6E779CE8">
      <w:pPr>
        <w:pageBreakBefore w:val="0"/>
        <w:kinsoku/>
        <w:wordWrap/>
        <w:overflowPunct/>
        <w:topLinePunct w:val="0"/>
        <w:bidi w:val="0"/>
        <w:spacing w:line="360" w:lineRule="auto"/>
        <w:ind w:left="424" w:leftChars="202"/>
        <w:rPr>
          <w:rFonts w:hint="eastAsia" w:ascii="宋体" w:hAnsi="宋体" w:eastAsia="宋体" w:cs="宋体"/>
          <w:sz w:val="21"/>
          <w:szCs w:val="21"/>
          <w:highlight w:val="none"/>
          <w:u w:val="single"/>
        </w:rPr>
      </w:pPr>
      <w:r>
        <w:rPr>
          <w:rFonts w:hint="eastAsia" w:ascii="宋体" w:hAnsi="宋体" w:eastAsia="宋体" w:cs="宋体"/>
          <w:sz w:val="21"/>
          <w:szCs w:val="21"/>
          <w:highlight w:val="none"/>
          <w:lang w:val="en-US" w:eastAsia="zh-CN"/>
        </w:rPr>
        <w:t>响应</w:t>
      </w:r>
      <w:r>
        <w:rPr>
          <w:rFonts w:hint="eastAsia" w:ascii="宋体" w:hAnsi="宋体" w:eastAsia="宋体" w:cs="宋体"/>
          <w:sz w:val="21"/>
          <w:szCs w:val="21"/>
          <w:highlight w:val="none"/>
        </w:rPr>
        <w:t>人名称：</w:t>
      </w:r>
      <w:r>
        <w:rPr>
          <w:rFonts w:hint="eastAsia" w:ascii="宋体" w:hAnsi="宋体" w:eastAsia="宋体" w:cs="宋体"/>
          <w:b/>
          <w:spacing w:val="20"/>
          <w:sz w:val="21"/>
          <w:szCs w:val="21"/>
          <w:highlight w:val="none"/>
          <w:u w:val="single"/>
        </w:rPr>
        <w:t xml:space="preserve">                </w:t>
      </w:r>
      <w:r>
        <w:rPr>
          <w:rFonts w:hint="eastAsia" w:ascii="宋体" w:hAnsi="宋体" w:eastAsia="宋体" w:cs="宋体"/>
          <w:sz w:val="21"/>
          <w:szCs w:val="21"/>
          <w:highlight w:val="none"/>
        </w:rPr>
        <w:t xml:space="preserve">（加盖公章）  </w:t>
      </w:r>
    </w:p>
    <w:p w14:paraId="3C861477">
      <w:pPr>
        <w:pageBreakBefore w:val="0"/>
        <w:kinsoku/>
        <w:wordWrap/>
        <w:overflowPunct/>
        <w:topLinePunct w:val="0"/>
        <w:bidi w:val="0"/>
        <w:spacing w:line="360" w:lineRule="auto"/>
        <w:ind w:left="424" w:leftChars="202"/>
        <w:rPr>
          <w:rFonts w:hint="eastAsia" w:ascii="宋体" w:hAnsi="宋体" w:eastAsia="宋体" w:cs="宋体"/>
          <w:sz w:val="21"/>
          <w:szCs w:val="21"/>
          <w:highlight w:val="none"/>
        </w:rPr>
      </w:pPr>
      <w:r>
        <w:rPr>
          <w:rFonts w:hint="eastAsia" w:ascii="宋体" w:hAnsi="宋体" w:eastAsia="宋体" w:cs="宋体"/>
          <w:spacing w:val="-4"/>
          <w:sz w:val="21"/>
          <w:szCs w:val="21"/>
          <w:highlight w:val="none"/>
          <w:lang w:val="en-US" w:eastAsia="zh-CN"/>
        </w:rPr>
        <w:t>响应</w:t>
      </w:r>
      <w:r>
        <w:rPr>
          <w:rFonts w:hint="eastAsia" w:ascii="宋体" w:hAnsi="宋体" w:eastAsia="宋体" w:cs="宋体"/>
          <w:spacing w:val="-4"/>
          <w:sz w:val="21"/>
          <w:szCs w:val="21"/>
          <w:highlight w:val="none"/>
        </w:rPr>
        <w:t>人代表</w:t>
      </w:r>
      <w:r>
        <w:rPr>
          <w:rFonts w:hint="eastAsia" w:ascii="宋体" w:hAnsi="宋体" w:eastAsia="宋体" w:cs="宋体"/>
          <w:sz w:val="21"/>
          <w:szCs w:val="21"/>
          <w:highlight w:val="none"/>
        </w:rPr>
        <w:t>：</w:t>
      </w:r>
      <w:r>
        <w:rPr>
          <w:rFonts w:hint="eastAsia" w:ascii="宋体" w:hAnsi="宋体" w:eastAsia="宋体" w:cs="宋体"/>
          <w:b/>
          <w:spacing w:val="20"/>
          <w:sz w:val="21"/>
          <w:szCs w:val="21"/>
          <w:highlight w:val="none"/>
          <w:u w:val="single"/>
        </w:rPr>
        <w:t xml:space="preserve">           </w:t>
      </w:r>
      <w:r>
        <w:rPr>
          <w:rFonts w:hint="eastAsia" w:ascii="宋体" w:hAnsi="宋体" w:eastAsia="宋体" w:cs="宋体"/>
          <w:sz w:val="21"/>
          <w:szCs w:val="21"/>
          <w:highlight w:val="none"/>
        </w:rPr>
        <w:t>（签字）</w:t>
      </w:r>
    </w:p>
    <w:p w14:paraId="64F8831C">
      <w:pPr>
        <w:pageBreakBefore w:val="0"/>
        <w:kinsoku/>
        <w:wordWrap/>
        <w:overflowPunct/>
        <w:topLinePunct w:val="0"/>
        <w:bidi w:val="0"/>
        <w:spacing w:line="360" w:lineRule="auto"/>
        <w:ind w:left="424" w:leftChars="202"/>
        <w:rPr>
          <w:rFonts w:hint="eastAsia" w:ascii="宋体" w:hAnsi="宋体" w:eastAsia="宋体" w:cs="宋体"/>
          <w:spacing w:val="20"/>
          <w:sz w:val="21"/>
          <w:szCs w:val="21"/>
          <w:highlight w:val="none"/>
        </w:rPr>
      </w:pPr>
      <w:r>
        <w:rPr>
          <w:rFonts w:hint="eastAsia" w:ascii="宋体" w:hAnsi="宋体" w:eastAsia="宋体" w:cs="宋体"/>
          <w:spacing w:val="20"/>
          <w:sz w:val="21"/>
          <w:szCs w:val="21"/>
          <w:highlight w:val="none"/>
        </w:rPr>
        <w:t>日期：</w:t>
      </w:r>
      <w:r>
        <w:rPr>
          <w:rFonts w:hint="eastAsia" w:ascii="宋体" w:hAnsi="宋体" w:eastAsia="宋体" w:cs="宋体"/>
          <w:spacing w:val="20"/>
          <w:sz w:val="21"/>
          <w:szCs w:val="21"/>
          <w:highlight w:val="none"/>
          <w:u w:val="single"/>
        </w:rPr>
        <w:t xml:space="preserve">    </w:t>
      </w:r>
      <w:r>
        <w:rPr>
          <w:rFonts w:hint="eastAsia" w:ascii="宋体" w:hAnsi="宋体" w:eastAsia="宋体" w:cs="宋体"/>
          <w:spacing w:val="20"/>
          <w:sz w:val="21"/>
          <w:szCs w:val="21"/>
          <w:highlight w:val="none"/>
        </w:rPr>
        <w:t>年</w:t>
      </w:r>
      <w:r>
        <w:rPr>
          <w:rFonts w:hint="eastAsia" w:ascii="宋体" w:hAnsi="宋体" w:eastAsia="宋体" w:cs="宋体"/>
          <w:spacing w:val="20"/>
          <w:sz w:val="21"/>
          <w:szCs w:val="21"/>
          <w:highlight w:val="none"/>
          <w:u w:val="single"/>
        </w:rPr>
        <w:t xml:space="preserve">   </w:t>
      </w:r>
      <w:r>
        <w:rPr>
          <w:rFonts w:hint="eastAsia" w:ascii="宋体" w:hAnsi="宋体" w:eastAsia="宋体" w:cs="宋体"/>
          <w:spacing w:val="20"/>
          <w:sz w:val="21"/>
          <w:szCs w:val="21"/>
          <w:highlight w:val="none"/>
        </w:rPr>
        <w:t>月</w:t>
      </w:r>
      <w:r>
        <w:rPr>
          <w:rFonts w:hint="eastAsia" w:ascii="宋体" w:hAnsi="宋体" w:eastAsia="宋体" w:cs="宋体"/>
          <w:spacing w:val="20"/>
          <w:sz w:val="21"/>
          <w:szCs w:val="21"/>
          <w:highlight w:val="none"/>
          <w:u w:val="single"/>
        </w:rPr>
        <w:t xml:space="preserve">   </w:t>
      </w:r>
      <w:r>
        <w:rPr>
          <w:rFonts w:hint="eastAsia" w:ascii="宋体" w:hAnsi="宋体" w:eastAsia="宋体" w:cs="宋体"/>
          <w:spacing w:val="20"/>
          <w:sz w:val="21"/>
          <w:szCs w:val="21"/>
          <w:highlight w:val="none"/>
        </w:rPr>
        <w:t>日</w:t>
      </w:r>
    </w:p>
    <w:p w14:paraId="779B0684">
      <w:pPr>
        <w:pageBreakBefore w:val="0"/>
        <w:kinsoku/>
        <w:wordWrap/>
        <w:overflowPunct/>
        <w:topLinePunct w:val="0"/>
        <w:bidi w:val="0"/>
        <w:spacing w:line="360" w:lineRule="auto"/>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br w:type="page"/>
      </w:r>
    </w:p>
    <w:p w14:paraId="360D1124">
      <w:pPr>
        <w:keepNext w:val="0"/>
        <w:keepLines w:val="0"/>
        <w:pageBreakBefore w:val="0"/>
        <w:kinsoku/>
        <w:wordWrap/>
        <w:overflowPunct/>
        <w:topLinePunct w:val="0"/>
        <w:autoSpaceDE/>
        <w:autoSpaceDN/>
        <w:bidi w:val="0"/>
        <w:adjustRightInd/>
        <w:spacing w:line="360" w:lineRule="auto"/>
        <w:textAlignment w:val="auto"/>
        <w:outlineLvl w:val="2"/>
        <w:rPr>
          <w:rFonts w:ascii="宋体" w:cs="宋体"/>
          <w:b/>
          <w:bCs/>
          <w:sz w:val="21"/>
          <w:szCs w:val="21"/>
          <w:highlight w:val="none"/>
        </w:rPr>
      </w:pPr>
      <w:r>
        <w:rPr>
          <w:rFonts w:hint="eastAsia" w:ascii="宋体" w:cs="宋体"/>
          <w:b/>
          <w:bCs/>
          <w:sz w:val="21"/>
          <w:szCs w:val="21"/>
          <w:highlight w:val="none"/>
        </w:rPr>
        <w:t>格式十、质疑函（范本）</w:t>
      </w:r>
    </w:p>
    <w:p w14:paraId="2BC661C4">
      <w:pPr>
        <w:keepNext w:val="0"/>
        <w:keepLines w:val="0"/>
        <w:pageBreakBefore w:val="0"/>
        <w:kinsoku/>
        <w:wordWrap/>
        <w:overflowPunct/>
        <w:topLinePunct w:val="0"/>
        <w:autoSpaceDE/>
        <w:autoSpaceDN/>
        <w:bidi w:val="0"/>
        <w:adjustRightInd/>
        <w:spacing w:line="360" w:lineRule="auto"/>
        <w:jc w:val="center"/>
        <w:textAlignment w:val="auto"/>
        <w:rPr>
          <w:rFonts w:ascii="宋体" w:hAnsi="宋体"/>
          <w:sz w:val="21"/>
          <w:szCs w:val="21"/>
          <w:highlight w:val="none"/>
        </w:rPr>
      </w:pPr>
      <w:r>
        <w:rPr>
          <w:rFonts w:hint="eastAsia" w:ascii="宋体" w:hAnsi="宋体"/>
          <w:sz w:val="21"/>
          <w:szCs w:val="21"/>
          <w:highlight w:val="none"/>
        </w:rPr>
        <w:t>质疑函（范本）</w:t>
      </w:r>
    </w:p>
    <w:p w14:paraId="517DDE39">
      <w:pPr>
        <w:keepNext w:val="0"/>
        <w:keepLines w:val="0"/>
        <w:pageBreakBefore w:val="0"/>
        <w:widowControl/>
        <w:kinsoku/>
        <w:wordWrap/>
        <w:overflowPunct/>
        <w:topLinePunct w:val="0"/>
        <w:autoSpaceDE/>
        <w:autoSpaceDN/>
        <w:bidi w:val="0"/>
        <w:adjustRightInd/>
        <w:spacing w:before="100" w:beforeAutospacing="1" w:after="100" w:afterAutospacing="1" w:line="360" w:lineRule="auto"/>
        <w:jc w:val="left"/>
        <w:textAlignment w:val="auto"/>
        <w:rPr>
          <w:rFonts w:ascii="宋体" w:hAnsi="宋体" w:cs="宋体"/>
          <w:sz w:val="21"/>
          <w:szCs w:val="21"/>
          <w:highlight w:val="none"/>
        </w:rPr>
      </w:pPr>
      <w:r>
        <w:rPr>
          <w:rFonts w:hint="eastAsia" w:ascii="宋体" w:hAnsi="宋体" w:cs="仿宋"/>
          <w:kern w:val="0"/>
          <w:sz w:val="21"/>
          <w:szCs w:val="21"/>
          <w:highlight w:val="none"/>
          <w:shd w:val="clear" w:color="auto" w:fill="FFFFFF"/>
          <w:lang w:bidi="ar"/>
        </w:rPr>
        <w:t>质疑供应商：</w:t>
      </w:r>
      <w:r>
        <w:rPr>
          <w:rFonts w:hint="eastAsia" w:ascii="宋体" w:hAnsi="宋体" w:cs="Calibri"/>
          <w:kern w:val="0"/>
          <w:sz w:val="21"/>
          <w:szCs w:val="21"/>
          <w:highlight w:val="none"/>
          <w:u w:val="single"/>
          <w:shd w:val="clear" w:color="auto" w:fill="FFFFFF"/>
          <w:lang w:bidi="ar"/>
        </w:rPr>
        <w:t xml:space="preserve">                                                                           </w:t>
      </w:r>
    </w:p>
    <w:p w14:paraId="67CAD377">
      <w:pPr>
        <w:keepNext w:val="0"/>
        <w:keepLines w:val="0"/>
        <w:pageBreakBefore w:val="0"/>
        <w:widowControl/>
        <w:kinsoku/>
        <w:wordWrap/>
        <w:overflowPunct/>
        <w:topLinePunct w:val="0"/>
        <w:autoSpaceDE/>
        <w:autoSpaceDN/>
        <w:bidi w:val="0"/>
        <w:adjustRightInd/>
        <w:spacing w:before="100" w:beforeAutospacing="1" w:after="100" w:afterAutospacing="1" w:line="360" w:lineRule="auto"/>
        <w:jc w:val="left"/>
        <w:textAlignment w:val="auto"/>
        <w:rPr>
          <w:rFonts w:ascii="宋体" w:hAnsi="宋体" w:cs="宋体"/>
          <w:sz w:val="21"/>
          <w:szCs w:val="21"/>
          <w:highlight w:val="none"/>
        </w:rPr>
      </w:pPr>
      <w:r>
        <w:rPr>
          <w:rFonts w:hint="eastAsia" w:ascii="宋体" w:hAnsi="宋体" w:cs="仿宋"/>
          <w:kern w:val="0"/>
          <w:sz w:val="21"/>
          <w:szCs w:val="21"/>
          <w:highlight w:val="none"/>
          <w:shd w:val="clear" w:color="auto" w:fill="FFFFFF"/>
          <w:lang w:bidi="ar"/>
        </w:rPr>
        <w:t>地址：</w:t>
      </w:r>
      <w:r>
        <w:rPr>
          <w:rFonts w:hint="eastAsia" w:ascii="宋体" w:hAnsi="宋体" w:cs="Calibri"/>
          <w:kern w:val="0"/>
          <w:sz w:val="21"/>
          <w:szCs w:val="21"/>
          <w:highlight w:val="none"/>
          <w:u w:val="single"/>
          <w:shd w:val="clear" w:color="auto" w:fill="FFFFFF"/>
          <w:lang w:bidi="ar"/>
        </w:rPr>
        <w:t xml:space="preserve">                                                             </w:t>
      </w:r>
      <w:r>
        <w:rPr>
          <w:rFonts w:hint="eastAsia" w:ascii="宋体" w:hAnsi="宋体" w:cs="仿宋"/>
          <w:kern w:val="0"/>
          <w:sz w:val="21"/>
          <w:szCs w:val="21"/>
          <w:highlight w:val="none"/>
          <w:shd w:val="clear" w:color="auto" w:fill="FFFFFF"/>
          <w:lang w:bidi="ar"/>
        </w:rPr>
        <w:t>邮编：</w:t>
      </w:r>
      <w:r>
        <w:rPr>
          <w:rFonts w:hint="eastAsia" w:ascii="宋体" w:hAnsi="宋体" w:cs="Calibri"/>
          <w:kern w:val="0"/>
          <w:sz w:val="21"/>
          <w:szCs w:val="21"/>
          <w:highlight w:val="none"/>
          <w:u w:val="single"/>
          <w:shd w:val="clear" w:color="auto" w:fill="FFFFFF"/>
          <w:lang w:bidi="ar"/>
        </w:rPr>
        <w:t xml:space="preserve">             </w:t>
      </w:r>
    </w:p>
    <w:p w14:paraId="176D3554">
      <w:pPr>
        <w:keepNext w:val="0"/>
        <w:keepLines w:val="0"/>
        <w:pageBreakBefore w:val="0"/>
        <w:widowControl/>
        <w:kinsoku/>
        <w:wordWrap/>
        <w:overflowPunct/>
        <w:topLinePunct w:val="0"/>
        <w:autoSpaceDE/>
        <w:autoSpaceDN/>
        <w:bidi w:val="0"/>
        <w:adjustRightInd/>
        <w:spacing w:before="100" w:beforeAutospacing="1" w:after="100" w:afterAutospacing="1" w:line="360" w:lineRule="auto"/>
        <w:jc w:val="left"/>
        <w:textAlignment w:val="auto"/>
        <w:rPr>
          <w:rFonts w:ascii="宋体" w:hAnsi="宋体" w:cs="Calibri"/>
          <w:kern w:val="0"/>
          <w:sz w:val="21"/>
          <w:szCs w:val="21"/>
          <w:highlight w:val="none"/>
          <w:u w:val="single"/>
          <w:shd w:val="clear" w:color="auto" w:fill="FFFFFF"/>
          <w:lang w:bidi="ar"/>
        </w:rPr>
      </w:pPr>
      <w:r>
        <w:rPr>
          <w:rFonts w:hint="eastAsia" w:ascii="宋体" w:hAnsi="宋体" w:cs="仿宋"/>
          <w:kern w:val="0"/>
          <w:sz w:val="21"/>
          <w:szCs w:val="21"/>
          <w:highlight w:val="none"/>
          <w:shd w:val="clear" w:color="auto" w:fill="FFFFFF"/>
          <w:lang w:bidi="ar"/>
        </w:rPr>
        <w:t>联系人：</w:t>
      </w:r>
      <w:r>
        <w:rPr>
          <w:rFonts w:hint="eastAsia" w:ascii="宋体" w:hAnsi="宋体" w:cs="Calibri"/>
          <w:kern w:val="0"/>
          <w:sz w:val="21"/>
          <w:szCs w:val="21"/>
          <w:highlight w:val="none"/>
          <w:u w:val="single"/>
          <w:shd w:val="clear" w:color="auto" w:fill="FFFFFF"/>
          <w:lang w:bidi="ar"/>
        </w:rPr>
        <w:t xml:space="preserve">                                                                              </w:t>
      </w:r>
    </w:p>
    <w:p w14:paraId="77E03A69">
      <w:pPr>
        <w:keepNext w:val="0"/>
        <w:keepLines w:val="0"/>
        <w:pageBreakBefore w:val="0"/>
        <w:widowControl/>
        <w:kinsoku/>
        <w:wordWrap/>
        <w:overflowPunct/>
        <w:topLinePunct w:val="0"/>
        <w:autoSpaceDE/>
        <w:autoSpaceDN/>
        <w:bidi w:val="0"/>
        <w:adjustRightInd/>
        <w:spacing w:before="100" w:beforeAutospacing="1" w:after="100" w:afterAutospacing="1" w:line="360" w:lineRule="auto"/>
        <w:jc w:val="left"/>
        <w:textAlignment w:val="auto"/>
        <w:rPr>
          <w:rFonts w:ascii="宋体" w:hAnsi="宋体" w:cs="宋体"/>
          <w:sz w:val="21"/>
          <w:szCs w:val="21"/>
          <w:highlight w:val="none"/>
        </w:rPr>
      </w:pPr>
      <w:r>
        <w:rPr>
          <w:rFonts w:hint="eastAsia" w:ascii="宋体" w:hAnsi="宋体" w:cs="仿宋"/>
          <w:kern w:val="0"/>
          <w:sz w:val="21"/>
          <w:szCs w:val="21"/>
          <w:highlight w:val="none"/>
          <w:shd w:val="clear" w:color="auto" w:fill="FFFFFF"/>
          <w:lang w:bidi="ar"/>
        </w:rPr>
        <w:t>联系电话：</w:t>
      </w:r>
      <w:r>
        <w:rPr>
          <w:rFonts w:hint="eastAsia" w:ascii="宋体" w:hAnsi="宋体" w:cs="Calibri"/>
          <w:kern w:val="0"/>
          <w:sz w:val="21"/>
          <w:szCs w:val="21"/>
          <w:highlight w:val="none"/>
          <w:u w:val="single"/>
          <w:shd w:val="clear" w:color="auto" w:fill="FFFFFF"/>
          <w:lang w:bidi="ar"/>
        </w:rPr>
        <w:t xml:space="preserve">                                                                            </w:t>
      </w:r>
    </w:p>
    <w:p w14:paraId="7FC997DC">
      <w:pPr>
        <w:keepNext w:val="0"/>
        <w:keepLines w:val="0"/>
        <w:pageBreakBefore w:val="0"/>
        <w:widowControl/>
        <w:kinsoku/>
        <w:wordWrap/>
        <w:overflowPunct/>
        <w:topLinePunct w:val="0"/>
        <w:autoSpaceDE/>
        <w:autoSpaceDN/>
        <w:bidi w:val="0"/>
        <w:adjustRightInd/>
        <w:spacing w:before="100" w:beforeAutospacing="1" w:after="100" w:afterAutospacing="1" w:line="360" w:lineRule="auto"/>
        <w:jc w:val="left"/>
        <w:textAlignment w:val="auto"/>
        <w:rPr>
          <w:rFonts w:ascii="宋体" w:hAnsi="宋体" w:cs="Calibri"/>
          <w:kern w:val="0"/>
          <w:sz w:val="21"/>
          <w:szCs w:val="21"/>
          <w:highlight w:val="none"/>
          <w:u w:val="single"/>
          <w:shd w:val="clear" w:color="auto" w:fill="FFFFFF"/>
          <w:lang w:bidi="ar"/>
        </w:rPr>
      </w:pPr>
      <w:r>
        <w:rPr>
          <w:rFonts w:hint="eastAsia" w:ascii="宋体" w:hAnsi="宋体" w:cs="仿宋"/>
          <w:kern w:val="0"/>
          <w:sz w:val="21"/>
          <w:szCs w:val="21"/>
          <w:highlight w:val="none"/>
          <w:shd w:val="clear" w:color="auto" w:fill="FFFFFF"/>
          <w:lang w:bidi="ar"/>
        </w:rPr>
        <w:t>授权代表：</w:t>
      </w:r>
      <w:r>
        <w:rPr>
          <w:rFonts w:hint="eastAsia" w:ascii="宋体" w:hAnsi="宋体" w:cs="Calibri"/>
          <w:kern w:val="0"/>
          <w:sz w:val="21"/>
          <w:szCs w:val="21"/>
          <w:highlight w:val="none"/>
          <w:u w:val="single"/>
          <w:shd w:val="clear" w:color="auto" w:fill="FFFFFF"/>
          <w:lang w:bidi="ar"/>
        </w:rPr>
        <w:t xml:space="preserve">                                                                            </w:t>
      </w:r>
    </w:p>
    <w:p w14:paraId="5ADB68AE">
      <w:pPr>
        <w:keepNext w:val="0"/>
        <w:keepLines w:val="0"/>
        <w:pageBreakBefore w:val="0"/>
        <w:widowControl/>
        <w:kinsoku/>
        <w:wordWrap/>
        <w:overflowPunct/>
        <w:topLinePunct w:val="0"/>
        <w:autoSpaceDE/>
        <w:autoSpaceDN/>
        <w:bidi w:val="0"/>
        <w:adjustRightInd/>
        <w:spacing w:before="100" w:beforeAutospacing="1" w:after="100" w:afterAutospacing="1" w:line="360" w:lineRule="auto"/>
        <w:jc w:val="left"/>
        <w:textAlignment w:val="auto"/>
        <w:rPr>
          <w:rFonts w:ascii="宋体" w:hAnsi="宋体" w:cs="宋体"/>
          <w:sz w:val="21"/>
          <w:szCs w:val="21"/>
          <w:highlight w:val="none"/>
        </w:rPr>
      </w:pPr>
      <w:r>
        <w:rPr>
          <w:rFonts w:hint="eastAsia" w:ascii="宋体" w:hAnsi="宋体" w:cs="仿宋"/>
          <w:kern w:val="0"/>
          <w:sz w:val="21"/>
          <w:szCs w:val="21"/>
          <w:highlight w:val="none"/>
          <w:shd w:val="clear" w:color="auto" w:fill="FFFFFF"/>
          <w:lang w:bidi="ar"/>
        </w:rPr>
        <w:t>联系电话：</w:t>
      </w:r>
      <w:r>
        <w:rPr>
          <w:rFonts w:hint="eastAsia" w:ascii="宋体" w:hAnsi="宋体" w:cs="Calibri"/>
          <w:kern w:val="0"/>
          <w:sz w:val="21"/>
          <w:szCs w:val="21"/>
          <w:highlight w:val="none"/>
          <w:u w:val="single"/>
          <w:shd w:val="clear" w:color="auto" w:fill="FFFFFF"/>
          <w:lang w:bidi="ar"/>
        </w:rPr>
        <w:t xml:space="preserve">                                                                            </w:t>
      </w:r>
    </w:p>
    <w:p w14:paraId="5AE8FCEB">
      <w:pPr>
        <w:keepNext w:val="0"/>
        <w:keepLines w:val="0"/>
        <w:pageBreakBefore w:val="0"/>
        <w:widowControl/>
        <w:kinsoku/>
        <w:wordWrap/>
        <w:overflowPunct/>
        <w:topLinePunct w:val="0"/>
        <w:autoSpaceDE/>
        <w:autoSpaceDN/>
        <w:bidi w:val="0"/>
        <w:adjustRightInd/>
        <w:spacing w:before="100" w:beforeAutospacing="1" w:after="100" w:afterAutospacing="1" w:line="360" w:lineRule="auto"/>
        <w:jc w:val="left"/>
        <w:textAlignment w:val="auto"/>
        <w:rPr>
          <w:rFonts w:ascii="宋体" w:hAnsi="宋体" w:cs="宋体"/>
          <w:sz w:val="21"/>
          <w:szCs w:val="21"/>
          <w:highlight w:val="none"/>
        </w:rPr>
      </w:pPr>
      <w:r>
        <w:rPr>
          <w:rFonts w:hint="eastAsia" w:ascii="宋体" w:hAnsi="宋体" w:cs="仿宋"/>
          <w:kern w:val="0"/>
          <w:sz w:val="21"/>
          <w:szCs w:val="21"/>
          <w:highlight w:val="none"/>
          <w:shd w:val="clear" w:color="auto" w:fill="FFFFFF"/>
          <w:lang w:bidi="ar"/>
        </w:rPr>
        <w:t>地址：</w:t>
      </w:r>
      <w:r>
        <w:rPr>
          <w:rFonts w:hint="eastAsia" w:ascii="宋体" w:hAnsi="宋体" w:cs="Calibri"/>
          <w:kern w:val="0"/>
          <w:sz w:val="21"/>
          <w:szCs w:val="21"/>
          <w:highlight w:val="none"/>
          <w:u w:val="single"/>
          <w:shd w:val="clear" w:color="auto" w:fill="FFFFFF"/>
          <w:lang w:bidi="ar"/>
        </w:rPr>
        <w:t xml:space="preserve">                                                             </w:t>
      </w:r>
      <w:r>
        <w:rPr>
          <w:rFonts w:hint="eastAsia" w:ascii="宋体" w:hAnsi="宋体" w:cs="仿宋"/>
          <w:kern w:val="0"/>
          <w:sz w:val="21"/>
          <w:szCs w:val="21"/>
          <w:highlight w:val="none"/>
          <w:shd w:val="clear" w:color="auto" w:fill="FFFFFF"/>
          <w:lang w:bidi="ar"/>
        </w:rPr>
        <w:t>邮编：</w:t>
      </w:r>
      <w:r>
        <w:rPr>
          <w:rFonts w:hint="eastAsia" w:ascii="宋体" w:hAnsi="宋体" w:cs="Calibri"/>
          <w:kern w:val="0"/>
          <w:sz w:val="21"/>
          <w:szCs w:val="21"/>
          <w:highlight w:val="none"/>
          <w:u w:val="single"/>
          <w:shd w:val="clear" w:color="auto" w:fill="FFFFFF"/>
          <w:lang w:bidi="ar"/>
        </w:rPr>
        <w:t xml:space="preserve">             </w:t>
      </w:r>
    </w:p>
    <w:p w14:paraId="73246DE5">
      <w:pPr>
        <w:keepNext w:val="0"/>
        <w:keepLines w:val="0"/>
        <w:pageBreakBefore w:val="0"/>
        <w:widowControl/>
        <w:kinsoku/>
        <w:wordWrap/>
        <w:overflowPunct/>
        <w:topLinePunct w:val="0"/>
        <w:autoSpaceDE/>
        <w:autoSpaceDN/>
        <w:bidi w:val="0"/>
        <w:adjustRightInd/>
        <w:spacing w:before="100" w:beforeAutospacing="1" w:after="100" w:afterAutospacing="1" w:line="360" w:lineRule="auto"/>
        <w:jc w:val="left"/>
        <w:textAlignment w:val="auto"/>
        <w:rPr>
          <w:rFonts w:ascii="宋体" w:hAnsi="宋体" w:cs="黑体"/>
          <w:kern w:val="0"/>
          <w:sz w:val="21"/>
          <w:szCs w:val="21"/>
          <w:highlight w:val="none"/>
          <w:shd w:val="clear" w:color="auto" w:fill="FFFFFF"/>
          <w:lang w:bidi="ar"/>
        </w:rPr>
      </w:pPr>
    </w:p>
    <w:p w14:paraId="2BE54E76">
      <w:pPr>
        <w:keepNext w:val="0"/>
        <w:keepLines w:val="0"/>
        <w:pageBreakBefore w:val="0"/>
        <w:widowControl/>
        <w:kinsoku/>
        <w:wordWrap/>
        <w:overflowPunct/>
        <w:topLinePunct w:val="0"/>
        <w:autoSpaceDE/>
        <w:autoSpaceDN/>
        <w:bidi w:val="0"/>
        <w:adjustRightInd/>
        <w:spacing w:before="100" w:beforeAutospacing="1" w:after="100" w:afterAutospacing="1" w:line="360" w:lineRule="auto"/>
        <w:jc w:val="left"/>
        <w:textAlignment w:val="auto"/>
        <w:outlineLvl w:val="9"/>
        <w:rPr>
          <w:rFonts w:ascii="宋体" w:hAnsi="宋体" w:cs="宋体"/>
          <w:sz w:val="21"/>
          <w:szCs w:val="21"/>
          <w:highlight w:val="none"/>
        </w:rPr>
      </w:pPr>
      <w:r>
        <w:rPr>
          <w:rFonts w:ascii="宋体" w:hAnsi="宋体" w:cs="黑体"/>
          <w:kern w:val="0"/>
          <w:sz w:val="21"/>
          <w:szCs w:val="21"/>
          <w:highlight w:val="none"/>
          <w:shd w:val="clear" w:color="auto" w:fill="FFFFFF"/>
          <w:lang w:bidi="ar"/>
        </w:rPr>
        <w:t>二、质疑项目基本情况</w:t>
      </w:r>
    </w:p>
    <w:p w14:paraId="23468923">
      <w:pPr>
        <w:keepNext w:val="0"/>
        <w:keepLines w:val="0"/>
        <w:pageBreakBefore w:val="0"/>
        <w:widowControl/>
        <w:kinsoku/>
        <w:wordWrap/>
        <w:overflowPunct/>
        <w:topLinePunct w:val="0"/>
        <w:autoSpaceDE/>
        <w:autoSpaceDN/>
        <w:bidi w:val="0"/>
        <w:adjustRightInd/>
        <w:spacing w:before="100" w:beforeAutospacing="1" w:after="100" w:afterAutospacing="1" w:line="360" w:lineRule="auto"/>
        <w:jc w:val="left"/>
        <w:textAlignment w:val="auto"/>
        <w:rPr>
          <w:rFonts w:ascii="宋体" w:hAnsi="宋体" w:cs="宋体"/>
          <w:sz w:val="21"/>
          <w:szCs w:val="21"/>
          <w:highlight w:val="none"/>
        </w:rPr>
      </w:pPr>
      <w:r>
        <w:rPr>
          <w:rFonts w:hint="eastAsia" w:ascii="宋体" w:hAnsi="宋体" w:cs="仿宋"/>
          <w:kern w:val="0"/>
          <w:sz w:val="21"/>
          <w:szCs w:val="21"/>
          <w:highlight w:val="none"/>
          <w:shd w:val="clear" w:color="auto" w:fill="FFFFFF"/>
          <w:lang w:bidi="ar"/>
        </w:rPr>
        <w:t>质疑项目的名称：</w:t>
      </w:r>
      <w:r>
        <w:rPr>
          <w:rFonts w:hint="eastAsia" w:ascii="宋体" w:hAnsi="宋体" w:cs="Calibri"/>
          <w:kern w:val="0"/>
          <w:sz w:val="21"/>
          <w:szCs w:val="21"/>
          <w:highlight w:val="none"/>
          <w:u w:val="single"/>
          <w:shd w:val="clear" w:color="auto" w:fill="FFFFFF"/>
          <w:lang w:bidi="ar"/>
        </w:rPr>
        <w:t xml:space="preserve">                                                                            </w:t>
      </w:r>
    </w:p>
    <w:p w14:paraId="2DCF3195">
      <w:pPr>
        <w:keepNext w:val="0"/>
        <w:keepLines w:val="0"/>
        <w:pageBreakBefore w:val="0"/>
        <w:widowControl/>
        <w:kinsoku/>
        <w:wordWrap/>
        <w:overflowPunct/>
        <w:topLinePunct w:val="0"/>
        <w:autoSpaceDE/>
        <w:autoSpaceDN/>
        <w:bidi w:val="0"/>
        <w:adjustRightInd/>
        <w:spacing w:before="100" w:beforeAutospacing="1" w:after="100" w:afterAutospacing="1" w:line="360" w:lineRule="auto"/>
        <w:jc w:val="left"/>
        <w:textAlignment w:val="auto"/>
        <w:rPr>
          <w:rFonts w:ascii="宋体" w:hAnsi="宋体" w:cs="宋体"/>
          <w:sz w:val="21"/>
          <w:szCs w:val="21"/>
          <w:highlight w:val="none"/>
        </w:rPr>
      </w:pPr>
      <w:r>
        <w:rPr>
          <w:rFonts w:hint="eastAsia" w:ascii="宋体" w:hAnsi="宋体" w:cs="仿宋"/>
          <w:kern w:val="0"/>
          <w:sz w:val="21"/>
          <w:szCs w:val="21"/>
          <w:highlight w:val="none"/>
          <w:shd w:val="clear" w:color="auto" w:fill="FFFFFF"/>
          <w:lang w:bidi="ar"/>
        </w:rPr>
        <w:t>质疑项目的编号：</w:t>
      </w:r>
      <w:r>
        <w:rPr>
          <w:rFonts w:hint="eastAsia" w:ascii="宋体" w:hAnsi="宋体" w:cs="Calibri"/>
          <w:kern w:val="0"/>
          <w:sz w:val="21"/>
          <w:szCs w:val="21"/>
          <w:highlight w:val="none"/>
          <w:u w:val="single"/>
          <w:shd w:val="clear" w:color="auto" w:fill="FFFFFF"/>
          <w:lang w:bidi="ar"/>
        </w:rPr>
        <w:t xml:space="preserve">                                                                            </w:t>
      </w:r>
    </w:p>
    <w:p w14:paraId="78B8A3B8">
      <w:pPr>
        <w:keepNext w:val="0"/>
        <w:keepLines w:val="0"/>
        <w:pageBreakBefore w:val="0"/>
        <w:widowControl/>
        <w:kinsoku/>
        <w:wordWrap/>
        <w:overflowPunct/>
        <w:topLinePunct w:val="0"/>
        <w:autoSpaceDE/>
        <w:autoSpaceDN/>
        <w:bidi w:val="0"/>
        <w:adjustRightInd/>
        <w:spacing w:before="100" w:beforeAutospacing="1" w:after="100" w:afterAutospacing="1" w:line="360" w:lineRule="auto"/>
        <w:jc w:val="left"/>
        <w:textAlignment w:val="auto"/>
        <w:rPr>
          <w:rFonts w:ascii="宋体" w:hAnsi="宋体" w:cs="宋体"/>
          <w:sz w:val="21"/>
          <w:szCs w:val="21"/>
          <w:highlight w:val="none"/>
        </w:rPr>
      </w:pPr>
      <w:r>
        <w:rPr>
          <w:rFonts w:hint="eastAsia" w:ascii="宋体" w:hAnsi="宋体" w:cs="仿宋"/>
          <w:kern w:val="0"/>
          <w:sz w:val="21"/>
          <w:szCs w:val="21"/>
          <w:highlight w:val="none"/>
          <w:shd w:val="clear" w:color="auto" w:fill="FFFFFF"/>
          <w:lang w:bidi="ar"/>
        </w:rPr>
        <w:t>采购人名称：</w:t>
      </w:r>
      <w:r>
        <w:rPr>
          <w:rFonts w:hint="eastAsia" w:ascii="宋体" w:hAnsi="宋体" w:cs="Calibri"/>
          <w:kern w:val="0"/>
          <w:sz w:val="21"/>
          <w:szCs w:val="21"/>
          <w:highlight w:val="none"/>
          <w:u w:val="single"/>
          <w:shd w:val="clear" w:color="auto" w:fill="FFFFFF"/>
          <w:lang w:bidi="ar"/>
        </w:rPr>
        <w:t xml:space="preserve">                                                                                </w:t>
      </w:r>
    </w:p>
    <w:p w14:paraId="6A4C4484">
      <w:pPr>
        <w:keepNext w:val="0"/>
        <w:keepLines w:val="0"/>
        <w:pageBreakBefore w:val="0"/>
        <w:widowControl/>
        <w:kinsoku/>
        <w:wordWrap/>
        <w:overflowPunct/>
        <w:topLinePunct w:val="0"/>
        <w:autoSpaceDE/>
        <w:autoSpaceDN/>
        <w:bidi w:val="0"/>
        <w:adjustRightInd/>
        <w:spacing w:before="100" w:beforeAutospacing="1" w:after="100" w:afterAutospacing="1" w:line="360" w:lineRule="auto"/>
        <w:jc w:val="left"/>
        <w:textAlignment w:val="auto"/>
        <w:rPr>
          <w:rFonts w:ascii="宋体" w:hAnsi="宋体" w:cs="宋体"/>
          <w:sz w:val="21"/>
          <w:szCs w:val="21"/>
          <w:highlight w:val="none"/>
        </w:rPr>
      </w:pPr>
      <w:r>
        <w:rPr>
          <w:rFonts w:hint="eastAsia" w:ascii="宋体" w:hAnsi="宋体" w:cs="仿宋"/>
          <w:kern w:val="0"/>
          <w:sz w:val="21"/>
          <w:szCs w:val="21"/>
          <w:highlight w:val="none"/>
          <w:shd w:val="clear" w:color="auto" w:fill="FFFFFF"/>
          <w:lang w:bidi="ar"/>
        </w:rPr>
        <w:t>采购文件获取日期：</w:t>
      </w:r>
      <w:r>
        <w:rPr>
          <w:rFonts w:hint="eastAsia" w:ascii="宋体" w:hAnsi="宋体" w:cs="Calibri"/>
          <w:kern w:val="0"/>
          <w:sz w:val="21"/>
          <w:szCs w:val="21"/>
          <w:highlight w:val="none"/>
          <w:u w:val="single"/>
          <w:shd w:val="clear" w:color="auto" w:fill="FFFFFF"/>
          <w:lang w:bidi="ar"/>
        </w:rPr>
        <w:t xml:space="preserve">                                                                          </w:t>
      </w:r>
    </w:p>
    <w:p w14:paraId="713FB946">
      <w:pPr>
        <w:keepNext w:val="0"/>
        <w:keepLines w:val="0"/>
        <w:pageBreakBefore w:val="0"/>
        <w:widowControl/>
        <w:kinsoku/>
        <w:wordWrap/>
        <w:overflowPunct/>
        <w:topLinePunct w:val="0"/>
        <w:autoSpaceDE/>
        <w:autoSpaceDN/>
        <w:bidi w:val="0"/>
        <w:adjustRightInd/>
        <w:spacing w:before="100" w:beforeAutospacing="1" w:after="100" w:afterAutospacing="1" w:line="360" w:lineRule="auto"/>
        <w:jc w:val="left"/>
        <w:textAlignment w:val="auto"/>
        <w:outlineLvl w:val="9"/>
        <w:rPr>
          <w:rFonts w:ascii="宋体" w:hAnsi="宋体" w:cs="宋体"/>
          <w:sz w:val="21"/>
          <w:szCs w:val="21"/>
          <w:highlight w:val="none"/>
        </w:rPr>
      </w:pPr>
      <w:r>
        <w:rPr>
          <w:rFonts w:hint="eastAsia" w:ascii="宋体" w:hAnsi="宋体" w:cs="黑体"/>
          <w:kern w:val="0"/>
          <w:sz w:val="21"/>
          <w:szCs w:val="21"/>
          <w:highlight w:val="none"/>
          <w:shd w:val="clear" w:color="auto" w:fill="FFFFFF"/>
          <w:lang w:bidi="ar"/>
        </w:rPr>
        <w:t>三、质疑事项具体内容</w:t>
      </w:r>
    </w:p>
    <w:p w14:paraId="4759042A">
      <w:pPr>
        <w:keepNext w:val="0"/>
        <w:keepLines w:val="0"/>
        <w:pageBreakBefore w:val="0"/>
        <w:widowControl/>
        <w:kinsoku/>
        <w:wordWrap/>
        <w:overflowPunct/>
        <w:topLinePunct w:val="0"/>
        <w:autoSpaceDE/>
        <w:autoSpaceDN/>
        <w:bidi w:val="0"/>
        <w:adjustRightInd/>
        <w:spacing w:before="100" w:beforeAutospacing="1" w:after="100" w:afterAutospacing="1" w:line="360" w:lineRule="auto"/>
        <w:jc w:val="left"/>
        <w:textAlignment w:val="auto"/>
        <w:rPr>
          <w:rFonts w:ascii="宋体" w:hAnsi="宋体" w:cs="宋体"/>
          <w:sz w:val="21"/>
          <w:szCs w:val="21"/>
          <w:highlight w:val="none"/>
        </w:rPr>
      </w:pPr>
      <w:r>
        <w:rPr>
          <w:rFonts w:hint="eastAsia" w:ascii="宋体" w:hAnsi="宋体" w:cs="仿宋"/>
          <w:kern w:val="0"/>
          <w:sz w:val="21"/>
          <w:szCs w:val="21"/>
          <w:highlight w:val="none"/>
          <w:shd w:val="clear" w:color="auto" w:fill="FFFFFF"/>
          <w:lang w:bidi="ar"/>
        </w:rPr>
        <w:t>质疑事项1：</w:t>
      </w:r>
      <w:r>
        <w:rPr>
          <w:rFonts w:hint="eastAsia" w:ascii="宋体" w:hAnsi="宋体" w:cs="Calibri"/>
          <w:kern w:val="0"/>
          <w:sz w:val="21"/>
          <w:szCs w:val="21"/>
          <w:highlight w:val="none"/>
          <w:u w:val="single"/>
          <w:shd w:val="clear" w:color="auto" w:fill="FFFFFF"/>
          <w:lang w:bidi="ar"/>
        </w:rPr>
        <w:t xml:space="preserve">                                                                            </w:t>
      </w:r>
    </w:p>
    <w:p w14:paraId="765A0AFC">
      <w:pPr>
        <w:keepNext w:val="0"/>
        <w:keepLines w:val="0"/>
        <w:pageBreakBefore w:val="0"/>
        <w:widowControl/>
        <w:kinsoku/>
        <w:wordWrap/>
        <w:overflowPunct/>
        <w:topLinePunct w:val="0"/>
        <w:autoSpaceDE/>
        <w:autoSpaceDN/>
        <w:bidi w:val="0"/>
        <w:adjustRightInd/>
        <w:spacing w:before="100" w:beforeAutospacing="1" w:after="100" w:afterAutospacing="1" w:line="360" w:lineRule="auto"/>
        <w:jc w:val="left"/>
        <w:textAlignment w:val="auto"/>
        <w:rPr>
          <w:rFonts w:ascii="宋体" w:hAnsi="宋体" w:cs="宋体"/>
          <w:sz w:val="21"/>
          <w:szCs w:val="21"/>
          <w:highlight w:val="none"/>
        </w:rPr>
      </w:pPr>
      <w:r>
        <w:rPr>
          <w:rFonts w:hint="eastAsia" w:ascii="宋体" w:hAnsi="宋体" w:cs="仿宋"/>
          <w:kern w:val="0"/>
          <w:sz w:val="21"/>
          <w:szCs w:val="21"/>
          <w:highlight w:val="none"/>
          <w:shd w:val="clear" w:color="auto" w:fill="FFFFFF"/>
          <w:lang w:bidi="ar"/>
        </w:rPr>
        <w:t>事实依据：</w:t>
      </w:r>
      <w:r>
        <w:rPr>
          <w:rFonts w:hint="eastAsia" w:ascii="宋体" w:hAnsi="宋体" w:cs="Calibri"/>
          <w:kern w:val="0"/>
          <w:sz w:val="21"/>
          <w:szCs w:val="21"/>
          <w:highlight w:val="none"/>
          <w:u w:val="single"/>
          <w:shd w:val="clear" w:color="auto" w:fill="FFFFFF"/>
          <w:lang w:bidi="ar"/>
        </w:rPr>
        <w:t xml:space="preserve">                                                                            </w:t>
      </w:r>
    </w:p>
    <w:p w14:paraId="6A3CD466">
      <w:pPr>
        <w:keepNext w:val="0"/>
        <w:keepLines w:val="0"/>
        <w:pageBreakBefore w:val="0"/>
        <w:widowControl/>
        <w:kinsoku/>
        <w:wordWrap/>
        <w:overflowPunct/>
        <w:topLinePunct w:val="0"/>
        <w:autoSpaceDE/>
        <w:autoSpaceDN/>
        <w:bidi w:val="0"/>
        <w:adjustRightInd/>
        <w:spacing w:before="100" w:beforeAutospacing="1" w:after="100" w:afterAutospacing="1" w:line="360" w:lineRule="auto"/>
        <w:jc w:val="left"/>
        <w:textAlignment w:val="auto"/>
        <w:rPr>
          <w:rFonts w:ascii="宋体" w:hAnsi="宋体" w:cs="宋体"/>
          <w:sz w:val="21"/>
          <w:szCs w:val="21"/>
          <w:highlight w:val="none"/>
        </w:rPr>
      </w:pPr>
      <w:r>
        <w:rPr>
          <w:rFonts w:hint="eastAsia" w:ascii="宋体" w:hAnsi="宋体" w:cs="仿宋"/>
          <w:kern w:val="0"/>
          <w:sz w:val="21"/>
          <w:szCs w:val="21"/>
          <w:highlight w:val="none"/>
          <w:shd w:val="clear" w:color="auto" w:fill="FFFFFF"/>
          <w:lang w:bidi="ar"/>
        </w:rPr>
        <w:t>法律依据：</w:t>
      </w:r>
      <w:r>
        <w:rPr>
          <w:rFonts w:hint="eastAsia" w:ascii="宋体" w:hAnsi="宋体" w:cs="Calibri"/>
          <w:kern w:val="0"/>
          <w:sz w:val="21"/>
          <w:szCs w:val="21"/>
          <w:highlight w:val="none"/>
          <w:u w:val="single"/>
          <w:shd w:val="clear" w:color="auto" w:fill="FFFFFF"/>
          <w:lang w:bidi="ar"/>
        </w:rPr>
        <w:t xml:space="preserve">                                                                            </w:t>
      </w:r>
    </w:p>
    <w:p w14:paraId="166A1364">
      <w:pPr>
        <w:keepNext w:val="0"/>
        <w:keepLines w:val="0"/>
        <w:pageBreakBefore w:val="0"/>
        <w:widowControl/>
        <w:kinsoku/>
        <w:wordWrap/>
        <w:overflowPunct/>
        <w:topLinePunct w:val="0"/>
        <w:autoSpaceDE/>
        <w:autoSpaceDN/>
        <w:bidi w:val="0"/>
        <w:adjustRightInd/>
        <w:spacing w:before="100" w:beforeAutospacing="1" w:after="100" w:afterAutospacing="1" w:line="360" w:lineRule="auto"/>
        <w:jc w:val="left"/>
        <w:textAlignment w:val="auto"/>
        <w:rPr>
          <w:rFonts w:ascii="宋体" w:hAnsi="宋体" w:cs="宋体"/>
          <w:sz w:val="21"/>
          <w:szCs w:val="21"/>
          <w:highlight w:val="none"/>
        </w:rPr>
      </w:pPr>
      <w:r>
        <w:rPr>
          <w:rFonts w:hint="eastAsia" w:ascii="宋体" w:hAnsi="宋体" w:cs="仿宋"/>
          <w:kern w:val="0"/>
          <w:sz w:val="21"/>
          <w:szCs w:val="21"/>
          <w:highlight w:val="none"/>
          <w:shd w:val="clear" w:color="auto" w:fill="FFFFFF"/>
          <w:lang w:bidi="ar"/>
        </w:rPr>
        <w:t>质疑事项2</w:t>
      </w:r>
    </w:p>
    <w:p w14:paraId="0F750FBD">
      <w:pPr>
        <w:keepNext w:val="0"/>
        <w:keepLines w:val="0"/>
        <w:pageBreakBefore w:val="0"/>
        <w:widowControl/>
        <w:kinsoku/>
        <w:wordWrap/>
        <w:overflowPunct/>
        <w:topLinePunct w:val="0"/>
        <w:autoSpaceDE/>
        <w:autoSpaceDN/>
        <w:bidi w:val="0"/>
        <w:adjustRightInd/>
        <w:spacing w:before="100" w:beforeAutospacing="1" w:after="100" w:afterAutospacing="1" w:line="360" w:lineRule="auto"/>
        <w:jc w:val="left"/>
        <w:textAlignment w:val="auto"/>
        <w:rPr>
          <w:rFonts w:ascii="宋体" w:hAnsi="宋体" w:cs="宋体"/>
          <w:sz w:val="21"/>
          <w:szCs w:val="21"/>
          <w:highlight w:val="none"/>
        </w:rPr>
      </w:pPr>
      <w:r>
        <w:rPr>
          <w:rFonts w:hint="eastAsia" w:ascii="宋体" w:hAnsi="宋体" w:cs="仿宋"/>
          <w:kern w:val="0"/>
          <w:sz w:val="21"/>
          <w:szCs w:val="21"/>
          <w:highlight w:val="none"/>
          <w:shd w:val="clear" w:color="auto" w:fill="FFFFFF"/>
          <w:lang w:bidi="ar"/>
        </w:rPr>
        <w:t>……</w:t>
      </w:r>
    </w:p>
    <w:p w14:paraId="17465CFB">
      <w:pPr>
        <w:keepNext w:val="0"/>
        <w:keepLines w:val="0"/>
        <w:pageBreakBefore w:val="0"/>
        <w:widowControl/>
        <w:kinsoku/>
        <w:wordWrap/>
        <w:overflowPunct/>
        <w:topLinePunct w:val="0"/>
        <w:autoSpaceDE/>
        <w:autoSpaceDN/>
        <w:bidi w:val="0"/>
        <w:adjustRightInd/>
        <w:spacing w:before="100" w:beforeAutospacing="1" w:after="100" w:afterAutospacing="1" w:line="360" w:lineRule="auto"/>
        <w:jc w:val="left"/>
        <w:textAlignment w:val="auto"/>
        <w:outlineLvl w:val="9"/>
        <w:rPr>
          <w:rFonts w:ascii="宋体" w:hAnsi="宋体" w:cs="宋体"/>
          <w:sz w:val="21"/>
          <w:szCs w:val="21"/>
          <w:highlight w:val="none"/>
        </w:rPr>
      </w:pPr>
      <w:r>
        <w:rPr>
          <w:rFonts w:hint="eastAsia" w:ascii="宋体" w:hAnsi="宋体" w:cs="黑体"/>
          <w:kern w:val="0"/>
          <w:sz w:val="21"/>
          <w:szCs w:val="21"/>
          <w:highlight w:val="none"/>
          <w:shd w:val="clear" w:color="auto" w:fill="FFFFFF"/>
          <w:lang w:bidi="ar"/>
        </w:rPr>
        <w:t>四、与质疑事项相关的质疑请求</w:t>
      </w:r>
    </w:p>
    <w:p w14:paraId="0915DFFA">
      <w:pPr>
        <w:keepNext w:val="0"/>
        <w:keepLines w:val="0"/>
        <w:pageBreakBefore w:val="0"/>
        <w:widowControl/>
        <w:kinsoku/>
        <w:wordWrap/>
        <w:overflowPunct/>
        <w:topLinePunct w:val="0"/>
        <w:autoSpaceDE/>
        <w:autoSpaceDN/>
        <w:bidi w:val="0"/>
        <w:adjustRightInd/>
        <w:spacing w:before="100" w:beforeAutospacing="1" w:after="100" w:afterAutospacing="1" w:line="360" w:lineRule="auto"/>
        <w:jc w:val="left"/>
        <w:textAlignment w:val="auto"/>
        <w:rPr>
          <w:rFonts w:ascii="宋体" w:hAnsi="宋体" w:cs="Calibri"/>
          <w:kern w:val="0"/>
          <w:sz w:val="21"/>
          <w:szCs w:val="21"/>
          <w:highlight w:val="none"/>
          <w:u w:val="single"/>
          <w:shd w:val="clear" w:color="auto" w:fill="FFFFFF"/>
          <w:lang w:bidi="ar"/>
        </w:rPr>
      </w:pPr>
      <w:r>
        <w:rPr>
          <w:rFonts w:hint="eastAsia" w:ascii="宋体" w:hAnsi="宋体" w:cs="仿宋"/>
          <w:kern w:val="0"/>
          <w:sz w:val="21"/>
          <w:szCs w:val="21"/>
          <w:highlight w:val="none"/>
          <w:shd w:val="clear" w:color="auto" w:fill="FFFFFF"/>
          <w:lang w:bidi="ar"/>
        </w:rPr>
        <w:t>请求：</w:t>
      </w:r>
      <w:r>
        <w:rPr>
          <w:rFonts w:hint="eastAsia" w:ascii="宋体" w:hAnsi="宋体" w:cs="Calibri"/>
          <w:kern w:val="0"/>
          <w:sz w:val="21"/>
          <w:szCs w:val="21"/>
          <w:highlight w:val="none"/>
          <w:u w:val="single"/>
          <w:shd w:val="clear" w:color="auto" w:fill="FFFFFF"/>
          <w:lang w:bidi="ar"/>
        </w:rPr>
        <w:t xml:space="preserve">                                                                            </w:t>
      </w:r>
    </w:p>
    <w:p w14:paraId="3FFF6262">
      <w:pPr>
        <w:keepNext w:val="0"/>
        <w:keepLines w:val="0"/>
        <w:pageBreakBefore w:val="0"/>
        <w:widowControl/>
        <w:kinsoku/>
        <w:wordWrap/>
        <w:overflowPunct/>
        <w:topLinePunct w:val="0"/>
        <w:autoSpaceDE/>
        <w:autoSpaceDN/>
        <w:bidi w:val="0"/>
        <w:adjustRightInd/>
        <w:spacing w:before="100" w:beforeAutospacing="1" w:after="100" w:afterAutospacing="1" w:line="360" w:lineRule="auto"/>
        <w:jc w:val="left"/>
        <w:textAlignment w:val="auto"/>
        <w:rPr>
          <w:rFonts w:ascii="宋体" w:hAnsi="宋体" w:cs="宋体"/>
          <w:sz w:val="21"/>
          <w:szCs w:val="21"/>
          <w:highlight w:val="none"/>
        </w:rPr>
      </w:pPr>
    </w:p>
    <w:p w14:paraId="2F100B98">
      <w:pPr>
        <w:keepNext w:val="0"/>
        <w:keepLines w:val="0"/>
        <w:pageBreakBefore w:val="0"/>
        <w:widowControl/>
        <w:kinsoku/>
        <w:wordWrap/>
        <w:overflowPunct/>
        <w:topLinePunct w:val="0"/>
        <w:autoSpaceDE/>
        <w:autoSpaceDN/>
        <w:bidi w:val="0"/>
        <w:adjustRightInd/>
        <w:spacing w:before="100" w:beforeAutospacing="1" w:after="100" w:afterAutospacing="1" w:line="360" w:lineRule="auto"/>
        <w:jc w:val="left"/>
        <w:textAlignment w:val="auto"/>
        <w:rPr>
          <w:rFonts w:ascii="宋体" w:hAnsi="宋体" w:cs="仿宋_GB2312"/>
          <w:kern w:val="0"/>
          <w:sz w:val="21"/>
          <w:szCs w:val="21"/>
          <w:highlight w:val="none"/>
          <w:shd w:val="clear" w:color="auto" w:fill="FFFFFF"/>
          <w:lang w:bidi="ar"/>
        </w:rPr>
      </w:pPr>
      <w:r>
        <w:rPr>
          <w:rFonts w:ascii="宋体" w:hAnsi="宋体" w:cs="仿宋_GB2312"/>
          <w:kern w:val="0"/>
          <w:sz w:val="21"/>
          <w:szCs w:val="21"/>
          <w:highlight w:val="none"/>
          <w:shd w:val="clear" w:color="auto" w:fill="FFFFFF"/>
          <w:lang w:bidi="ar"/>
        </w:rPr>
        <w:t>签字(签章)：</w:t>
      </w:r>
    </w:p>
    <w:p w14:paraId="53C1D480">
      <w:pPr>
        <w:keepNext w:val="0"/>
        <w:keepLines w:val="0"/>
        <w:pageBreakBefore w:val="0"/>
        <w:widowControl/>
        <w:kinsoku/>
        <w:wordWrap/>
        <w:overflowPunct/>
        <w:topLinePunct w:val="0"/>
        <w:autoSpaceDE/>
        <w:autoSpaceDN/>
        <w:bidi w:val="0"/>
        <w:adjustRightInd/>
        <w:spacing w:before="100" w:beforeAutospacing="1" w:after="100" w:afterAutospacing="1" w:line="360" w:lineRule="auto"/>
        <w:jc w:val="left"/>
        <w:textAlignment w:val="auto"/>
        <w:rPr>
          <w:rFonts w:ascii="宋体" w:hAnsi="宋体" w:cs="宋体"/>
          <w:sz w:val="21"/>
          <w:szCs w:val="21"/>
          <w:highlight w:val="none"/>
        </w:rPr>
      </w:pPr>
      <w:r>
        <w:rPr>
          <w:rFonts w:ascii="宋体" w:hAnsi="宋体" w:cs="仿宋_GB2312"/>
          <w:kern w:val="0"/>
          <w:sz w:val="21"/>
          <w:szCs w:val="21"/>
          <w:highlight w:val="none"/>
          <w:shd w:val="clear" w:color="auto" w:fill="FFFFFF"/>
          <w:lang w:bidi="ar"/>
        </w:rPr>
        <w:t>公章：</w:t>
      </w:r>
    </w:p>
    <w:p w14:paraId="69F7EF8D">
      <w:pPr>
        <w:keepNext w:val="0"/>
        <w:keepLines w:val="0"/>
        <w:pageBreakBefore w:val="0"/>
        <w:widowControl/>
        <w:kinsoku/>
        <w:wordWrap/>
        <w:overflowPunct/>
        <w:topLinePunct w:val="0"/>
        <w:autoSpaceDE/>
        <w:autoSpaceDN/>
        <w:bidi w:val="0"/>
        <w:adjustRightInd/>
        <w:spacing w:before="100" w:beforeAutospacing="1" w:after="100" w:afterAutospacing="1" w:line="360" w:lineRule="auto"/>
        <w:jc w:val="left"/>
        <w:textAlignment w:val="auto"/>
        <w:rPr>
          <w:rFonts w:ascii="宋体" w:hAnsi="宋体" w:cs="Calibri"/>
          <w:kern w:val="0"/>
          <w:sz w:val="21"/>
          <w:szCs w:val="21"/>
          <w:highlight w:val="none"/>
          <w:shd w:val="clear" w:color="auto" w:fill="FFFFFF"/>
          <w:lang w:bidi="ar"/>
        </w:rPr>
      </w:pPr>
      <w:r>
        <w:rPr>
          <w:rFonts w:ascii="宋体" w:hAnsi="宋体" w:cs="仿宋_GB2312"/>
          <w:kern w:val="0"/>
          <w:sz w:val="21"/>
          <w:szCs w:val="21"/>
          <w:highlight w:val="none"/>
          <w:shd w:val="clear" w:color="auto" w:fill="FFFFFF"/>
          <w:lang w:bidi="ar"/>
        </w:rPr>
        <w:t>日期：</w:t>
      </w:r>
    </w:p>
    <w:p w14:paraId="2A1378F3">
      <w:pPr>
        <w:keepNext w:val="0"/>
        <w:keepLines w:val="0"/>
        <w:pageBreakBefore w:val="0"/>
        <w:widowControl/>
        <w:kinsoku/>
        <w:wordWrap/>
        <w:overflowPunct/>
        <w:topLinePunct w:val="0"/>
        <w:autoSpaceDE/>
        <w:autoSpaceDN/>
        <w:bidi w:val="0"/>
        <w:adjustRightInd/>
        <w:spacing w:before="100" w:beforeAutospacing="1" w:after="100" w:afterAutospacing="1" w:line="360" w:lineRule="auto"/>
        <w:jc w:val="left"/>
        <w:textAlignment w:val="auto"/>
        <w:rPr>
          <w:rFonts w:ascii="宋体" w:hAnsi="宋体" w:cs="宋体"/>
          <w:sz w:val="21"/>
          <w:szCs w:val="21"/>
          <w:highlight w:val="none"/>
        </w:rPr>
      </w:pPr>
    </w:p>
    <w:p w14:paraId="149993A9">
      <w:pPr>
        <w:keepNext w:val="0"/>
        <w:keepLines w:val="0"/>
        <w:pageBreakBefore w:val="0"/>
        <w:widowControl/>
        <w:kinsoku/>
        <w:wordWrap/>
        <w:overflowPunct/>
        <w:topLinePunct w:val="0"/>
        <w:autoSpaceDE/>
        <w:autoSpaceDN/>
        <w:bidi w:val="0"/>
        <w:adjustRightInd/>
        <w:spacing w:before="100" w:beforeAutospacing="1" w:after="100" w:afterAutospacing="1" w:line="360" w:lineRule="auto"/>
        <w:jc w:val="left"/>
        <w:textAlignment w:val="auto"/>
        <w:rPr>
          <w:rFonts w:ascii="宋体" w:hAnsi="宋体" w:cs="宋体"/>
          <w:sz w:val="21"/>
          <w:szCs w:val="21"/>
          <w:highlight w:val="none"/>
        </w:rPr>
      </w:pPr>
      <w:r>
        <w:rPr>
          <w:rFonts w:hint="eastAsia" w:ascii="宋体" w:hAnsi="宋体" w:cs="黑体"/>
          <w:b/>
          <w:kern w:val="0"/>
          <w:sz w:val="21"/>
          <w:szCs w:val="21"/>
          <w:highlight w:val="none"/>
          <w:shd w:val="clear" w:color="auto" w:fill="FFFFFF"/>
          <w:lang w:bidi="ar"/>
        </w:rPr>
        <w:t>质疑函制作说明：</w:t>
      </w:r>
    </w:p>
    <w:p w14:paraId="4AFD6161">
      <w:pPr>
        <w:keepNext w:val="0"/>
        <w:keepLines w:val="0"/>
        <w:pageBreakBefore w:val="0"/>
        <w:widowControl/>
        <w:kinsoku/>
        <w:wordWrap/>
        <w:overflowPunct/>
        <w:topLinePunct w:val="0"/>
        <w:autoSpaceDE/>
        <w:autoSpaceDN/>
        <w:bidi w:val="0"/>
        <w:adjustRightInd/>
        <w:spacing w:before="100" w:beforeAutospacing="1" w:after="100" w:afterAutospacing="1" w:line="360" w:lineRule="auto"/>
        <w:ind w:firstLine="640"/>
        <w:jc w:val="left"/>
        <w:textAlignment w:val="auto"/>
        <w:outlineLvl w:val="9"/>
        <w:rPr>
          <w:rFonts w:ascii="宋体" w:hAnsi="宋体" w:cs="宋体"/>
          <w:sz w:val="21"/>
          <w:szCs w:val="21"/>
          <w:highlight w:val="none"/>
        </w:rPr>
      </w:pPr>
      <w:r>
        <w:rPr>
          <w:rFonts w:ascii="宋体" w:hAnsi="宋体" w:cs="仿宋_GB2312"/>
          <w:kern w:val="0"/>
          <w:sz w:val="21"/>
          <w:szCs w:val="21"/>
          <w:highlight w:val="none"/>
          <w:shd w:val="clear" w:color="auto" w:fill="FFFFFF"/>
          <w:lang w:bidi="ar"/>
        </w:rPr>
        <w:t>1.供应商提出质疑时，应提交质疑函和必要的证明材料。</w:t>
      </w:r>
    </w:p>
    <w:p w14:paraId="5046DE94">
      <w:pPr>
        <w:keepNext w:val="0"/>
        <w:keepLines w:val="0"/>
        <w:pageBreakBefore w:val="0"/>
        <w:widowControl/>
        <w:kinsoku/>
        <w:wordWrap/>
        <w:overflowPunct/>
        <w:topLinePunct w:val="0"/>
        <w:autoSpaceDE/>
        <w:autoSpaceDN/>
        <w:bidi w:val="0"/>
        <w:adjustRightInd/>
        <w:spacing w:before="100" w:beforeAutospacing="1" w:after="100" w:afterAutospacing="1" w:line="360" w:lineRule="auto"/>
        <w:ind w:firstLine="640"/>
        <w:jc w:val="left"/>
        <w:textAlignment w:val="auto"/>
        <w:rPr>
          <w:rFonts w:ascii="宋体" w:hAnsi="宋体" w:cs="宋体"/>
          <w:sz w:val="21"/>
          <w:szCs w:val="21"/>
          <w:highlight w:val="none"/>
        </w:rPr>
      </w:pPr>
      <w:r>
        <w:rPr>
          <w:rFonts w:ascii="宋体" w:hAnsi="宋体" w:cs="仿宋_GB2312"/>
          <w:kern w:val="0"/>
          <w:sz w:val="21"/>
          <w:szCs w:val="21"/>
          <w:highlight w:val="none"/>
          <w:shd w:val="clear" w:color="auto" w:fill="FFFFFF"/>
          <w:lang w:bidi="ar"/>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280ABC95">
      <w:pPr>
        <w:keepNext w:val="0"/>
        <w:keepLines w:val="0"/>
        <w:pageBreakBefore w:val="0"/>
        <w:widowControl/>
        <w:kinsoku/>
        <w:wordWrap/>
        <w:overflowPunct/>
        <w:topLinePunct w:val="0"/>
        <w:autoSpaceDE/>
        <w:autoSpaceDN/>
        <w:bidi w:val="0"/>
        <w:adjustRightInd/>
        <w:spacing w:before="100" w:beforeAutospacing="1" w:after="100" w:afterAutospacing="1" w:line="360" w:lineRule="auto"/>
        <w:ind w:firstLine="640"/>
        <w:jc w:val="left"/>
        <w:textAlignment w:val="auto"/>
        <w:rPr>
          <w:rFonts w:ascii="宋体" w:hAnsi="宋体" w:cs="宋体"/>
          <w:sz w:val="21"/>
          <w:szCs w:val="21"/>
          <w:highlight w:val="none"/>
        </w:rPr>
      </w:pPr>
      <w:r>
        <w:rPr>
          <w:rFonts w:ascii="宋体" w:hAnsi="宋体" w:cs="仿宋_GB2312"/>
          <w:kern w:val="0"/>
          <w:sz w:val="21"/>
          <w:szCs w:val="21"/>
          <w:highlight w:val="none"/>
          <w:shd w:val="clear" w:color="auto" w:fill="FFFFFF"/>
          <w:lang w:bidi="ar"/>
        </w:rPr>
        <w:t>3.质疑供应商若对项目的某一</w:t>
      </w:r>
      <w:r>
        <w:rPr>
          <w:rFonts w:hint="eastAsia" w:ascii="宋体" w:hAnsi="宋体" w:cs="仿宋_GB2312"/>
          <w:kern w:val="0"/>
          <w:sz w:val="21"/>
          <w:szCs w:val="21"/>
          <w:highlight w:val="none"/>
          <w:shd w:val="clear" w:color="auto" w:fill="FFFFFF"/>
          <w:lang w:bidi="ar"/>
        </w:rPr>
        <w:t>标项</w:t>
      </w:r>
      <w:r>
        <w:rPr>
          <w:rFonts w:ascii="宋体" w:hAnsi="宋体" w:cs="仿宋_GB2312"/>
          <w:kern w:val="0"/>
          <w:sz w:val="21"/>
          <w:szCs w:val="21"/>
          <w:highlight w:val="none"/>
          <w:shd w:val="clear" w:color="auto" w:fill="FFFFFF"/>
          <w:lang w:bidi="ar"/>
        </w:rPr>
        <w:t>进行质疑，质疑函中应列明具体</w:t>
      </w:r>
      <w:r>
        <w:rPr>
          <w:rFonts w:hint="eastAsia" w:ascii="宋体" w:hAnsi="宋体" w:cs="仿宋_GB2312"/>
          <w:kern w:val="0"/>
          <w:sz w:val="21"/>
          <w:szCs w:val="21"/>
          <w:highlight w:val="none"/>
          <w:shd w:val="clear" w:color="auto" w:fill="FFFFFF"/>
          <w:lang w:bidi="ar"/>
        </w:rPr>
        <w:t>标项</w:t>
      </w:r>
      <w:r>
        <w:rPr>
          <w:rFonts w:ascii="宋体" w:hAnsi="宋体" w:cs="仿宋_GB2312"/>
          <w:kern w:val="0"/>
          <w:sz w:val="21"/>
          <w:szCs w:val="21"/>
          <w:highlight w:val="none"/>
          <w:shd w:val="clear" w:color="auto" w:fill="FFFFFF"/>
          <w:lang w:bidi="ar"/>
        </w:rPr>
        <w:t>。</w:t>
      </w:r>
    </w:p>
    <w:p w14:paraId="40501482">
      <w:pPr>
        <w:keepNext w:val="0"/>
        <w:keepLines w:val="0"/>
        <w:pageBreakBefore w:val="0"/>
        <w:widowControl/>
        <w:kinsoku/>
        <w:wordWrap/>
        <w:overflowPunct/>
        <w:topLinePunct w:val="0"/>
        <w:autoSpaceDE/>
        <w:autoSpaceDN/>
        <w:bidi w:val="0"/>
        <w:adjustRightInd/>
        <w:spacing w:before="100" w:beforeAutospacing="1" w:after="100" w:afterAutospacing="1" w:line="360" w:lineRule="auto"/>
        <w:ind w:firstLine="640"/>
        <w:jc w:val="left"/>
        <w:textAlignment w:val="auto"/>
        <w:rPr>
          <w:rFonts w:ascii="宋体" w:hAnsi="宋体" w:cs="宋体"/>
          <w:sz w:val="21"/>
          <w:szCs w:val="21"/>
          <w:highlight w:val="none"/>
        </w:rPr>
      </w:pPr>
      <w:r>
        <w:rPr>
          <w:rFonts w:ascii="宋体" w:hAnsi="宋体" w:cs="仿宋_GB2312"/>
          <w:kern w:val="0"/>
          <w:sz w:val="21"/>
          <w:szCs w:val="21"/>
          <w:highlight w:val="none"/>
          <w:shd w:val="clear" w:color="auto" w:fill="FFFFFF"/>
          <w:lang w:bidi="ar"/>
        </w:rPr>
        <w:t>4.质疑函的质疑事项应具体、明确，并有必要的事实依据和法律依据。</w:t>
      </w:r>
    </w:p>
    <w:p w14:paraId="323E3F5F">
      <w:pPr>
        <w:keepNext w:val="0"/>
        <w:keepLines w:val="0"/>
        <w:pageBreakBefore w:val="0"/>
        <w:widowControl/>
        <w:kinsoku/>
        <w:wordWrap/>
        <w:overflowPunct/>
        <w:topLinePunct w:val="0"/>
        <w:autoSpaceDE/>
        <w:autoSpaceDN/>
        <w:bidi w:val="0"/>
        <w:adjustRightInd/>
        <w:spacing w:before="100" w:beforeAutospacing="1" w:after="100" w:afterAutospacing="1" w:line="360" w:lineRule="auto"/>
        <w:ind w:firstLine="640"/>
        <w:jc w:val="left"/>
        <w:textAlignment w:val="auto"/>
        <w:outlineLvl w:val="9"/>
        <w:rPr>
          <w:rFonts w:ascii="宋体" w:hAnsi="宋体" w:cs="宋体"/>
          <w:sz w:val="21"/>
          <w:szCs w:val="21"/>
          <w:highlight w:val="none"/>
        </w:rPr>
      </w:pPr>
      <w:r>
        <w:rPr>
          <w:rFonts w:ascii="宋体" w:hAnsi="宋体" w:cs="仿宋_GB2312"/>
          <w:kern w:val="0"/>
          <w:sz w:val="21"/>
          <w:szCs w:val="21"/>
          <w:highlight w:val="none"/>
          <w:shd w:val="clear" w:color="auto" w:fill="FFFFFF"/>
          <w:lang w:bidi="ar"/>
        </w:rPr>
        <w:t>5.质疑函的质疑请求应与质疑事项相关。</w:t>
      </w:r>
    </w:p>
    <w:p w14:paraId="5F9AC66A">
      <w:pPr>
        <w:keepNext w:val="0"/>
        <w:keepLines w:val="0"/>
        <w:pageBreakBefore w:val="0"/>
        <w:widowControl/>
        <w:kinsoku/>
        <w:wordWrap/>
        <w:overflowPunct/>
        <w:topLinePunct w:val="0"/>
        <w:autoSpaceDE/>
        <w:autoSpaceDN/>
        <w:bidi w:val="0"/>
        <w:adjustRightInd/>
        <w:spacing w:before="100" w:beforeAutospacing="1" w:after="100" w:afterAutospacing="1" w:line="360" w:lineRule="auto"/>
        <w:ind w:firstLine="640"/>
        <w:jc w:val="left"/>
        <w:textAlignment w:val="auto"/>
        <w:rPr>
          <w:rFonts w:ascii="宋体" w:hAnsi="宋体" w:cs="宋体"/>
          <w:sz w:val="21"/>
          <w:szCs w:val="21"/>
          <w:highlight w:val="none"/>
        </w:rPr>
      </w:pPr>
      <w:r>
        <w:rPr>
          <w:rFonts w:ascii="宋体" w:hAnsi="宋体" w:cs="仿宋_GB2312"/>
          <w:kern w:val="0"/>
          <w:sz w:val="21"/>
          <w:szCs w:val="21"/>
          <w:highlight w:val="none"/>
          <w:shd w:val="clear" w:color="auto" w:fill="FFFFFF"/>
          <w:lang w:bidi="ar"/>
        </w:rPr>
        <w:t>6.质疑供应商为自然人的，质疑函应由本人签字；质疑供应商为法人或者其他组织的，质疑函应由法定代表人、主要负责人，或者其授权代表签字或者盖章，并加盖公章。</w:t>
      </w:r>
    </w:p>
    <w:p w14:paraId="49619EEF">
      <w:pPr>
        <w:pStyle w:val="13"/>
        <w:pageBreakBefore w:val="0"/>
        <w:kinsoku/>
        <w:wordWrap/>
        <w:overflowPunct/>
        <w:topLinePunct w:val="0"/>
        <w:bidi w:val="0"/>
        <w:snapToGrid w:val="0"/>
        <w:spacing w:line="360" w:lineRule="auto"/>
        <w:rPr>
          <w:rFonts w:hAnsi="宋体" w:eastAsia="宋体" w:cs="宋体"/>
          <w:sz w:val="21"/>
          <w:szCs w:val="21"/>
          <w:highlight w:val="none"/>
        </w:rPr>
      </w:pPr>
    </w:p>
    <w:sectPr>
      <w:headerReference r:id="rId5" w:type="default"/>
      <w:footerReference r:id="rId6" w:type="default"/>
      <w:pgSz w:w="11906" w:h="16838"/>
      <w:pgMar w:top="1531" w:right="992" w:bottom="1531" w:left="992" w:header="851" w:footer="584" w:gutter="0"/>
      <w:pgBorders>
        <w:top w:val="none" w:sz="0" w:space="0"/>
        <w:left w:val="none" w:sz="0" w:space="0"/>
        <w:bottom w:val="none" w:sz="0" w:space="0"/>
        <w:right w:val="none" w:sz="0" w:space="0"/>
      </w:pgBorders>
      <w:pgNumType w:fmt="decimal"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
    <w:altName w:val="Times New Roman"/>
    <w:panose1 w:val="00000000000000000000"/>
    <w:charset w:val="00"/>
    <w:family w:val="auto"/>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4261D6">
    <w:pPr>
      <w:pStyle w:val="1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E14CEFB">
                          <w:pPr>
                            <w:pStyle w:val="16"/>
                            <w:rPr>
                              <w:rFonts w:hint="eastAsia" w:ascii="宋体" w:hAnsi="宋体" w:eastAsia="宋体" w:cs="宋体"/>
                            </w:rPr>
                          </w:pPr>
                          <w:r>
                            <w:rPr>
                              <w:rFonts w:hint="eastAsia" w:ascii="宋体" w:hAnsi="宋体" w:eastAsia="宋体" w:cs="宋体"/>
                            </w:rPr>
                            <w:t xml:space="preserve">第 </w:t>
                          </w:r>
                          <w:r>
                            <w:rPr>
                              <w:rFonts w:hint="eastAsia" w:ascii="宋体" w:hAnsi="宋体" w:eastAsia="宋体" w:cs="宋体"/>
                            </w:rPr>
                            <w:fldChar w:fldCharType="begin"/>
                          </w:r>
                          <w:r>
                            <w:rPr>
                              <w:rFonts w:hint="eastAsia" w:ascii="宋体" w:hAnsi="宋体" w:eastAsia="宋体" w:cs="宋体"/>
                            </w:rPr>
                            <w:instrText xml:space="preserve"> PAGE  \* MERGEFORMAT </w:instrText>
                          </w:r>
                          <w:r>
                            <w:rPr>
                              <w:rFonts w:hint="eastAsia" w:ascii="宋体" w:hAnsi="宋体" w:eastAsia="宋体" w:cs="宋体"/>
                            </w:rPr>
                            <w:fldChar w:fldCharType="separate"/>
                          </w:r>
                          <w:r>
                            <w:rPr>
                              <w:rFonts w:hint="eastAsia" w:ascii="宋体" w:hAnsi="宋体" w:eastAsia="宋体" w:cs="宋体"/>
                            </w:rPr>
                            <w:t>1</w:t>
                          </w:r>
                          <w:r>
                            <w:rPr>
                              <w:rFonts w:hint="eastAsia" w:ascii="宋体" w:hAnsi="宋体" w:eastAsia="宋体" w:cs="宋体"/>
                            </w:rPr>
                            <w:fldChar w:fldCharType="end"/>
                          </w:r>
                          <w:r>
                            <w:rPr>
                              <w:rFonts w:hint="eastAsia" w:ascii="宋体" w:hAnsi="宋体" w:eastAsia="宋体" w:cs="宋体"/>
                            </w:rPr>
                            <w:t xml:space="preserve"> 页 共 </w:t>
                          </w:r>
                          <w:r>
                            <w:rPr>
                              <w:rFonts w:hint="eastAsia" w:ascii="宋体" w:hAnsi="宋体" w:eastAsia="宋体" w:cs="宋体"/>
                              <w:lang w:val="en-US" w:eastAsia="zh-CN"/>
                            </w:rPr>
                            <w:t>4</w:t>
                          </w:r>
                          <w:r>
                            <w:rPr>
                              <w:rFonts w:hint="eastAsia" w:ascii="宋体" w:hAnsi="宋体" w:cs="宋体"/>
                              <w:lang w:val="en-US" w:eastAsia="zh-CN"/>
                            </w:rPr>
                            <w:t>8</w:t>
                          </w:r>
                          <w:r>
                            <w:rPr>
                              <w:rFonts w:hint="eastAsia" w:ascii="宋体" w:hAnsi="宋体" w:eastAsia="宋体" w:cs="宋体"/>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1E14CEFB">
                    <w:pPr>
                      <w:pStyle w:val="16"/>
                      <w:rPr>
                        <w:rFonts w:hint="eastAsia" w:ascii="宋体" w:hAnsi="宋体" w:eastAsia="宋体" w:cs="宋体"/>
                      </w:rPr>
                    </w:pPr>
                    <w:r>
                      <w:rPr>
                        <w:rFonts w:hint="eastAsia" w:ascii="宋体" w:hAnsi="宋体" w:eastAsia="宋体" w:cs="宋体"/>
                      </w:rPr>
                      <w:t xml:space="preserve">第 </w:t>
                    </w:r>
                    <w:r>
                      <w:rPr>
                        <w:rFonts w:hint="eastAsia" w:ascii="宋体" w:hAnsi="宋体" w:eastAsia="宋体" w:cs="宋体"/>
                      </w:rPr>
                      <w:fldChar w:fldCharType="begin"/>
                    </w:r>
                    <w:r>
                      <w:rPr>
                        <w:rFonts w:hint="eastAsia" w:ascii="宋体" w:hAnsi="宋体" w:eastAsia="宋体" w:cs="宋体"/>
                      </w:rPr>
                      <w:instrText xml:space="preserve"> PAGE  \* MERGEFORMAT </w:instrText>
                    </w:r>
                    <w:r>
                      <w:rPr>
                        <w:rFonts w:hint="eastAsia" w:ascii="宋体" w:hAnsi="宋体" w:eastAsia="宋体" w:cs="宋体"/>
                      </w:rPr>
                      <w:fldChar w:fldCharType="separate"/>
                    </w:r>
                    <w:r>
                      <w:rPr>
                        <w:rFonts w:hint="eastAsia" w:ascii="宋体" w:hAnsi="宋体" w:eastAsia="宋体" w:cs="宋体"/>
                      </w:rPr>
                      <w:t>1</w:t>
                    </w:r>
                    <w:r>
                      <w:rPr>
                        <w:rFonts w:hint="eastAsia" w:ascii="宋体" w:hAnsi="宋体" w:eastAsia="宋体" w:cs="宋体"/>
                      </w:rPr>
                      <w:fldChar w:fldCharType="end"/>
                    </w:r>
                    <w:r>
                      <w:rPr>
                        <w:rFonts w:hint="eastAsia" w:ascii="宋体" w:hAnsi="宋体" w:eastAsia="宋体" w:cs="宋体"/>
                      </w:rPr>
                      <w:t xml:space="preserve"> 页 共 </w:t>
                    </w:r>
                    <w:r>
                      <w:rPr>
                        <w:rFonts w:hint="eastAsia" w:ascii="宋体" w:hAnsi="宋体" w:eastAsia="宋体" w:cs="宋体"/>
                        <w:lang w:val="en-US" w:eastAsia="zh-CN"/>
                      </w:rPr>
                      <w:t>4</w:t>
                    </w:r>
                    <w:r>
                      <w:rPr>
                        <w:rFonts w:hint="eastAsia" w:ascii="宋体" w:hAnsi="宋体" w:cs="宋体"/>
                        <w:lang w:val="en-US" w:eastAsia="zh-CN"/>
                      </w:rPr>
                      <w:t>8</w:t>
                    </w:r>
                    <w:r>
                      <w:rPr>
                        <w:rFonts w:hint="eastAsia" w:ascii="宋体" w:hAnsi="宋体" w:eastAsia="宋体" w:cs="宋体"/>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355479">
    <w:pPr>
      <w:pStyle w:val="18"/>
      <w:tabs>
        <w:tab w:val="right" w:pos="9040"/>
        <w:tab w:val="clear" w:pos="8306"/>
      </w:tabs>
      <w:ind w:left="1980" w:hanging="1980" w:hangingChars="1100"/>
      <w:jc w:val="both"/>
      <w:rPr>
        <w:rFonts w:hint="default" w:ascii="宋体" w:eastAsia="宋体"/>
        <w:lang w:val="en-US" w:eastAsia="zh-CN"/>
      </w:rPr>
    </w:pPr>
    <w:r>
      <w:rPr>
        <w:rFonts w:hint="eastAsia" w:ascii="宋体"/>
      </w:rPr>
      <w:drawing>
        <wp:inline distT="0" distB="0" distL="114300" distR="114300">
          <wp:extent cx="1602105" cy="293370"/>
          <wp:effectExtent l="0" t="0" r="17145" b="11430"/>
          <wp:docPr id="4" name="图片 2"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图片1"/>
                  <pic:cNvPicPr>
                    <a:picLocks noChangeAspect="1"/>
                  </pic:cNvPicPr>
                </pic:nvPicPr>
                <pic:blipFill>
                  <a:blip r:embed="rId1"/>
                  <a:stretch>
                    <a:fillRect/>
                  </a:stretch>
                </pic:blipFill>
                <pic:spPr>
                  <a:xfrm>
                    <a:off x="0" y="0"/>
                    <a:ext cx="1602105" cy="293370"/>
                  </a:xfrm>
                  <a:prstGeom prst="rect">
                    <a:avLst/>
                  </a:prstGeom>
                  <a:noFill/>
                  <a:ln>
                    <a:noFill/>
                  </a:ln>
                </pic:spPr>
              </pic:pic>
            </a:graphicData>
          </a:graphic>
        </wp:inline>
      </w:drawing>
    </w:r>
    <w:r>
      <w:rPr>
        <w:rFonts w:hint="eastAsia" w:ascii="宋体"/>
      </w:rPr>
      <w:t xml:space="preserve"> </w:t>
    </w:r>
    <w:r>
      <w:rPr>
        <w:rFonts w:hint="eastAsia" w:ascii="宋体"/>
        <w:lang w:val="en-US" w:eastAsia="zh-CN"/>
      </w:rPr>
      <w:t xml:space="preserve">                                                  2025年舟山交警司法鉴定服务项目</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771A24">
    <w:pPr>
      <w:pStyle w:val="18"/>
      <w:pBdr>
        <w:bottom w:val="none" w:color="auto" w:sz="0" w:space="1"/>
      </w:pBdr>
      <w:jc w:val="both"/>
    </w:pPr>
    <w:r>
      <w:rPr>
        <w:rFonts w:hint="eastAsia" w:ascii="宋体"/>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3006A0">
    <w:pPr>
      <w:pStyle w:val="18"/>
      <w:tabs>
        <w:tab w:val="right" w:pos="9040"/>
        <w:tab w:val="clear" w:pos="8306"/>
      </w:tabs>
      <w:ind w:left="1980" w:hanging="1980" w:hangingChars="1100"/>
      <w:jc w:val="both"/>
      <w:rPr>
        <w:rFonts w:hint="default" w:ascii="宋体" w:eastAsia="宋体"/>
        <w:lang w:val="en-US" w:eastAsia="zh-CN"/>
      </w:rPr>
    </w:pPr>
    <w:r>
      <w:rPr>
        <w:rFonts w:hint="eastAsia" w:ascii="宋体"/>
      </w:rPr>
      <w:drawing>
        <wp:inline distT="0" distB="0" distL="114300" distR="114300">
          <wp:extent cx="1602105" cy="293370"/>
          <wp:effectExtent l="0" t="0" r="17145" b="11430"/>
          <wp:docPr id="1" name="图片 2"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图片1"/>
                  <pic:cNvPicPr>
                    <a:picLocks noChangeAspect="1"/>
                  </pic:cNvPicPr>
                </pic:nvPicPr>
                <pic:blipFill>
                  <a:blip r:embed="rId1"/>
                  <a:stretch>
                    <a:fillRect/>
                  </a:stretch>
                </pic:blipFill>
                <pic:spPr>
                  <a:xfrm>
                    <a:off x="0" y="0"/>
                    <a:ext cx="1602105" cy="293370"/>
                  </a:xfrm>
                  <a:prstGeom prst="rect">
                    <a:avLst/>
                  </a:prstGeom>
                  <a:noFill/>
                  <a:ln>
                    <a:noFill/>
                  </a:ln>
                </pic:spPr>
              </pic:pic>
            </a:graphicData>
          </a:graphic>
        </wp:inline>
      </w:drawing>
    </w:r>
    <w:r>
      <w:rPr>
        <w:rFonts w:hint="eastAsia" w:ascii="宋体"/>
      </w:rPr>
      <w:t xml:space="preserve"> </w:t>
    </w:r>
    <w:r>
      <w:rPr>
        <w:rFonts w:hint="eastAsia" w:ascii="宋体"/>
        <w:lang w:val="en-US" w:eastAsia="zh-CN"/>
      </w:rPr>
      <w:t xml:space="preserve">                                                  2025年舟山交警司法鉴定服务项目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D77F6D7"/>
    <w:multiLevelType w:val="singleLevel"/>
    <w:tmpl w:val="9D77F6D7"/>
    <w:lvl w:ilvl="0" w:tentative="0">
      <w:start w:val="1"/>
      <w:numFmt w:val="decimal"/>
      <w:suff w:val="nothing"/>
      <w:lvlText w:val="%1、"/>
      <w:lvlJc w:val="left"/>
    </w:lvl>
  </w:abstractNum>
  <w:abstractNum w:abstractNumId="1">
    <w:nsid w:val="0C34DE15"/>
    <w:multiLevelType w:val="singleLevel"/>
    <w:tmpl w:val="0C34DE15"/>
    <w:lvl w:ilvl="0" w:tentative="0">
      <w:start w:val="1"/>
      <w:numFmt w:val="decimal"/>
      <w:lvlText w:val="%1."/>
      <w:lvlJc w:val="left"/>
      <w:pPr>
        <w:tabs>
          <w:tab w:val="left" w:pos="312"/>
        </w:tabs>
      </w:pPr>
    </w:lvl>
  </w:abstractNum>
  <w:abstractNum w:abstractNumId="2">
    <w:nsid w:val="0E940990"/>
    <w:multiLevelType w:val="singleLevel"/>
    <w:tmpl w:val="0E940990"/>
    <w:lvl w:ilvl="0" w:tentative="0">
      <w:start w:val="2"/>
      <w:numFmt w:val="chineseCounting"/>
      <w:suff w:val="nothing"/>
      <w:lvlText w:val="%1、"/>
      <w:lvlJc w:val="left"/>
      <w:rPr>
        <w:rFonts w:hint="eastAsia"/>
      </w:rPr>
    </w:lvl>
  </w:abstractNum>
  <w:abstractNum w:abstractNumId="3">
    <w:nsid w:val="225A8346"/>
    <w:multiLevelType w:val="singleLevel"/>
    <w:tmpl w:val="225A8346"/>
    <w:lvl w:ilvl="0" w:tentative="0">
      <w:start w:val="1"/>
      <w:numFmt w:val="decimal"/>
      <w:lvlText w:val="%1."/>
      <w:lvlJc w:val="left"/>
      <w:pPr>
        <w:tabs>
          <w:tab w:val="left" w:pos="312"/>
        </w:tabs>
      </w:pPr>
    </w:lvl>
  </w:abstractNum>
  <w:abstractNum w:abstractNumId="4">
    <w:nsid w:val="4DD4552D"/>
    <w:multiLevelType w:val="singleLevel"/>
    <w:tmpl w:val="4DD4552D"/>
    <w:lvl w:ilvl="0" w:tentative="0">
      <w:start w:val="1"/>
      <w:numFmt w:val="decimal"/>
      <w:lvlText w:val="%1."/>
      <w:lvlJc w:val="left"/>
      <w:pPr>
        <w:tabs>
          <w:tab w:val="left" w:pos="312"/>
        </w:tabs>
      </w:pPr>
    </w:lvl>
  </w:abstractNum>
  <w:num w:numId="1">
    <w:abstractNumId w:val="3"/>
  </w:num>
  <w:num w:numId="2">
    <w:abstractNumId w:val="4"/>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05"/>
  <w:drawingGridVerticalSpacing w:val="160"/>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E3ZjQwOGQ1OTliMGE2ZTFjMzY3YjI1NTM0NTljYmQifQ=="/>
  </w:docVars>
  <w:rsids>
    <w:rsidRoot w:val="00172A27"/>
    <w:rsid w:val="000008AE"/>
    <w:rsid w:val="00000DA0"/>
    <w:rsid w:val="0000107B"/>
    <w:rsid w:val="00001255"/>
    <w:rsid w:val="00001351"/>
    <w:rsid w:val="00001616"/>
    <w:rsid w:val="00002240"/>
    <w:rsid w:val="0000249F"/>
    <w:rsid w:val="000036AE"/>
    <w:rsid w:val="000053DD"/>
    <w:rsid w:val="000067D2"/>
    <w:rsid w:val="00006CD5"/>
    <w:rsid w:val="00010275"/>
    <w:rsid w:val="00011F5B"/>
    <w:rsid w:val="00012FC0"/>
    <w:rsid w:val="000131FB"/>
    <w:rsid w:val="00013F7B"/>
    <w:rsid w:val="000148CF"/>
    <w:rsid w:val="000150F2"/>
    <w:rsid w:val="00015267"/>
    <w:rsid w:val="00015B00"/>
    <w:rsid w:val="000161B6"/>
    <w:rsid w:val="00020487"/>
    <w:rsid w:val="00021229"/>
    <w:rsid w:val="00021CDE"/>
    <w:rsid w:val="00021CF2"/>
    <w:rsid w:val="000225BC"/>
    <w:rsid w:val="00022EFA"/>
    <w:rsid w:val="00023C49"/>
    <w:rsid w:val="00023E4C"/>
    <w:rsid w:val="0002452C"/>
    <w:rsid w:val="000260AD"/>
    <w:rsid w:val="000265C2"/>
    <w:rsid w:val="00026CC2"/>
    <w:rsid w:val="000273C7"/>
    <w:rsid w:val="00027CC8"/>
    <w:rsid w:val="00027CEC"/>
    <w:rsid w:val="00027D38"/>
    <w:rsid w:val="000303E1"/>
    <w:rsid w:val="00030AD8"/>
    <w:rsid w:val="000317CA"/>
    <w:rsid w:val="0003181C"/>
    <w:rsid w:val="00032134"/>
    <w:rsid w:val="000325CE"/>
    <w:rsid w:val="0003329B"/>
    <w:rsid w:val="00033641"/>
    <w:rsid w:val="00034D19"/>
    <w:rsid w:val="0003660B"/>
    <w:rsid w:val="000369D2"/>
    <w:rsid w:val="00037EE2"/>
    <w:rsid w:val="000407B3"/>
    <w:rsid w:val="0004111B"/>
    <w:rsid w:val="000415B1"/>
    <w:rsid w:val="00041BE4"/>
    <w:rsid w:val="0004279E"/>
    <w:rsid w:val="0004335D"/>
    <w:rsid w:val="00043AC8"/>
    <w:rsid w:val="00044AE2"/>
    <w:rsid w:val="00044B3F"/>
    <w:rsid w:val="00045883"/>
    <w:rsid w:val="00046374"/>
    <w:rsid w:val="00047114"/>
    <w:rsid w:val="0005095B"/>
    <w:rsid w:val="00050DEE"/>
    <w:rsid w:val="000516E3"/>
    <w:rsid w:val="00051B80"/>
    <w:rsid w:val="00052F70"/>
    <w:rsid w:val="00053F58"/>
    <w:rsid w:val="0005415C"/>
    <w:rsid w:val="00055835"/>
    <w:rsid w:val="00055B9A"/>
    <w:rsid w:val="00055C01"/>
    <w:rsid w:val="00055DD9"/>
    <w:rsid w:val="000566FC"/>
    <w:rsid w:val="00057A16"/>
    <w:rsid w:val="000601BC"/>
    <w:rsid w:val="0006107F"/>
    <w:rsid w:val="00061AE1"/>
    <w:rsid w:val="00061B2C"/>
    <w:rsid w:val="00063583"/>
    <w:rsid w:val="00064447"/>
    <w:rsid w:val="00064E63"/>
    <w:rsid w:val="00065112"/>
    <w:rsid w:val="00065300"/>
    <w:rsid w:val="0006586E"/>
    <w:rsid w:val="00065C18"/>
    <w:rsid w:val="00066224"/>
    <w:rsid w:val="000668F7"/>
    <w:rsid w:val="00067BAD"/>
    <w:rsid w:val="00070E4F"/>
    <w:rsid w:val="00070F6C"/>
    <w:rsid w:val="0007335F"/>
    <w:rsid w:val="000735C6"/>
    <w:rsid w:val="00074E0B"/>
    <w:rsid w:val="00074E62"/>
    <w:rsid w:val="00074FAC"/>
    <w:rsid w:val="00075588"/>
    <w:rsid w:val="0007669B"/>
    <w:rsid w:val="00076754"/>
    <w:rsid w:val="00077441"/>
    <w:rsid w:val="000779FD"/>
    <w:rsid w:val="0008040C"/>
    <w:rsid w:val="00080D08"/>
    <w:rsid w:val="00081A6F"/>
    <w:rsid w:val="00081C6F"/>
    <w:rsid w:val="00083162"/>
    <w:rsid w:val="000839AD"/>
    <w:rsid w:val="00083C5C"/>
    <w:rsid w:val="00085105"/>
    <w:rsid w:val="00086507"/>
    <w:rsid w:val="00086933"/>
    <w:rsid w:val="00086EEC"/>
    <w:rsid w:val="00087E11"/>
    <w:rsid w:val="00090784"/>
    <w:rsid w:val="000911CB"/>
    <w:rsid w:val="00091498"/>
    <w:rsid w:val="00091A59"/>
    <w:rsid w:val="00091E8E"/>
    <w:rsid w:val="0009261A"/>
    <w:rsid w:val="00094603"/>
    <w:rsid w:val="00094871"/>
    <w:rsid w:val="00096762"/>
    <w:rsid w:val="00096E45"/>
    <w:rsid w:val="00096F0A"/>
    <w:rsid w:val="00097D22"/>
    <w:rsid w:val="00097F86"/>
    <w:rsid w:val="000A0344"/>
    <w:rsid w:val="000A0956"/>
    <w:rsid w:val="000A0D2D"/>
    <w:rsid w:val="000A147D"/>
    <w:rsid w:val="000A258D"/>
    <w:rsid w:val="000A2631"/>
    <w:rsid w:val="000A40BB"/>
    <w:rsid w:val="000A4221"/>
    <w:rsid w:val="000A4912"/>
    <w:rsid w:val="000A4A6F"/>
    <w:rsid w:val="000A4C96"/>
    <w:rsid w:val="000A566A"/>
    <w:rsid w:val="000A59AD"/>
    <w:rsid w:val="000A693E"/>
    <w:rsid w:val="000B1196"/>
    <w:rsid w:val="000B123C"/>
    <w:rsid w:val="000B1E98"/>
    <w:rsid w:val="000B28DB"/>
    <w:rsid w:val="000B2A5F"/>
    <w:rsid w:val="000B2EA7"/>
    <w:rsid w:val="000B46A2"/>
    <w:rsid w:val="000B4C39"/>
    <w:rsid w:val="000B7447"/>
    <w:rsid w:val="000B7738"/>
    <w:rsid w:val="000C021F"/>
    <w:rsid w:val="000C0E70"/>
    <w:rsid w:val="000C0F1E"/>
    <w:rsid w:val="000C16D6"/>
    <w:rsid w:val="000C1DC6"/>
    <w:rsid w:val="000C4808"/>
    <w:rsid w:val="000C48DE"/>
    <w:rsid w:val="000C4B01"/>
    <w:rsid w:val="000C5A51"/>
    <w:rsid w:val="000C783F"/>
    <w:rsid w:val="000C7CF8"/>
    <w:rsid w:val="000D130E"/>
    <w:rsid w:val="000D1459"/>
    <w:rsid w:val="000D1936"/>
    <w:rsid w:val="000D1AA4"/>
    <w:rsid w:val="000D1DF0"/>
    <w:rsid w:val="000D291A"/>
    <w:rsid w:val="000D2B33"/>
    <w:rsid w:val="000D32EC"/>
    <w:rsid w:val="000D33F2"/>
    <w:rsid w:val="000D3438"/>
    <w:rsid w:val="000D3A03"/>
    <w:rsid w:val="000D4477"/>
    <w:rsid w:val="000D5E43"/>
    <w:rsid w:val="000D750F"/>
    <w:rsid w:val="000D79EB"/>
    <w:rsid w:val="000D7AF8"/>
    <w:rsid w:val="000D7E24"/>
    <w:rsid w:val="000E028B"/>
    <w:rsid w:val="000E02F2"/>
    <w:rsid w:val="000E1E85"/>
    <w:rsid w:val="000E2837"/>
    <w:rsid w:val="000E2BC0"/>
    <w:rsid w:val="000E3EEF"/>
    <w:rsid w:val="000E416C"/>
    <w:rsid w:val="000E56DE"/>
    <w:rsid w:val="000E706B"/>
    <w:rsid w:val="000F02E6"/>
    <w:rsid w:val="000F0550"/>
    <w:rsid w:val="000F1074"/>
    <w:rsid w:val="000F13AF"/>
    <w:rsid w:val="000F2A94"/>
    <w:rsid w:val="000F2E5E"/>
    <w:rsid w:val="000F3CA6"/>
    <w:rsid w:val="000F421C"/>
    <w:rsid w:val="000F4472"/>
    <w:rsid w:val="000F4C37"/>
    <w:rsid w:val="000F4F94"/>
    <w:rsid w:val="000F55ED"/>
    <w:rsid w:val="000F5680"/>
    <w:rsid w:val="000F5897"/>
    <w:rsid w:val="000F6027"/>
    <w:rsid w:val="000F6E50"/>
    <w:rsid w:val="001007C1"/>
    <w:rsid w:val="00101001"/>
    <w:rsid w:val="00101417"/>
    <w:rsid w:val="00102CD6"/>
    <w:rsid w:val="00103EDC"/>
    <w:rsid w:val="00103FBC"/>
    <w:rsid w:val="00105C54"/>
    <w:rsid w:val="001062C4"/>
    <w:rsid w:val="0010669E"/>
    <w:rsid w:val="00107048"/>
    <w:rsid w:val="0010765D"/>
    <w:rsid w:val="00107E23"/>
    <w:rsid w:val="00110878"/>
    <w:rsid w:val="00111204"/>
    <w:rsid w:val="001113A5"/>
    <w:rsid w:val="00111D5D"/>
    <w:rsid w:val="00112791"/>
    <w:rsid w:val="0011355D"/>
    <w:rsid w:val="0011384C"/>
    <w:rsid w:val="0011396E"/>
    <w:rsid w:val="00113E4C"/>
    <w:rsid w:val="00113FC6"/>
    <w:rsid w:val="0011495F"/>
    <w:rsid w:val="00115E32"/>
    <w:rsid w:val="0011602B"/>
    <w:rsid w:val="00116541"/>
    <w:rsid w:val="001172A3"/>
    <w:rsid w:val="00120EEE"/>
    <w:rsid w:val="00120F3A"/>
    <w:rsid w:val="00121115"/>
    <w:rsid w:val="00122049"/>
    <w:rsid w:val="001223F9"/>
    <w:rsid w:val="00122D30"/>
    <w:rsid w:val="00122D3E"/>
    <w:rsid w:val="00123169"/>
    <w:rsid w:val="001232C5"/>
    <w:rsid w:val="00124AFE"/>
    <w:rsid w:val="00124EF7"/>
    <w:rsid w:val="001258CD"/>
    <w:rsid w:val="00125A10"/>
    <w:rsid w:val="00126051"/>
    <w:rsid w:val="0012621D"/>
    <w:rsid w:val="00126F03"/>
    <w:rsid w:val="0012782B"/>
    <w:rsid w:val="00131683"/>
    <w:rsid w:val="00131B3F"/>
    <w:rsid w:val="00132E4D"/>
    <w:rsid w:val="00133D3A"/>
    <w:rsid w:val="00133F40"/>
    <w:rsid w:val="00135C96"/>
    <w:rsid w:val="00136020"/>
    <w:rsid w:val="001363C1"/>
    <w:rsid w:val="001375A8"/>
    <w:rsid w:val="00141886"/>
    <w:rsid w:val="00143FF7"/>
    <w:rsid w:val="00145C0D"/>
    <w:rsid w:val="001464CC"/>
    <w:rsid w:val="00146B1C"/>
    <w:rsid w:val="00150017"/>
    <w:rsid w:val="001504B3"/>
    <w:rsid w:val="0015086E"/>
    <w:rsid w:val="00150F5B"/>
    <w:rsid w:val="00150FD2"/>
    <w:rsid w:val="001517FA"/>
    <w:rsid w:val="001526CD"/>
    <w:rsid w:val="0015311C"/>
    <w:rsid w:val="001538AB"/>
    <w:rsid w:val="00153ACA"/>
    <w:rsid w:val="001543EB"/>
    <w:rsid w:val="0015506F"/>
    <w:rsid w:val="00155A65"/>
    <w:rsid w:val="00155F0F"/>
    <w:rsid w:val="0015624B"/>
    <w:rsid w:val="00156900"/>
    <w:rsid w:val="00156A6A"/>
    <w:rsid w:val="00156AD8"/>
    <w:rsid w:val="00156B04"/>
    <w:rsid w:val="00157751"/>
    <w:rsid w:val="00157978"/>
    <w:rsid w:val="0016017E"/>
    <w:rsid w:val="00160802"/>
    <w:rsid w:val="00163495"/>
    <w:rsid w:val="00163779"/>
    <w:rsid w:val="0016455C"/>
    <w:rsid w:val="00165846"/>
    <w:rsid w:val="00165BBD"/>
    <w:rsid w:val="00165C2B"/>
    <w:rsid w:val="00166238"/>
    <w:rsid w:val="001670C9"/>
    <w:rsid w:val="00167C19"/>
    <w:rsid w:val="00170FBD"/>
    <w:rsid w:val="00170FE9"/>
    <w:rsid w:val="001716ED"/>
    <w:rsid w:val="0017193F"/>
    <w:rsid w:val="00171E07"/>
    <w:rsid w:val="00171E68"/>
    <w:rsid w:val="00172A27"/>
    <w:rsid w:val="00172AB0"/>
    <w:rsid w:val="00172EC3"/>
    <w:rsid w:val="00173114"/>
    <w:rsid w:val="00174BF0"/>
    <w:rsid w:val="00174CD8"/>
    <w:rsid w:val="001756D5"/>
    <w:rsid w:val="00175E3B"/>
    <w:rsid w:val="001766C9"/>
    <w:rsid w:val="001777BF"/>
    <w:rsid w:val="0018014D"/>
    <w:rsid w:val="00180445"/>
    <w:rsid w:val="001811B0"/>
    <w:rsid w:val="00181604"/>
    <w:rsid w:val="0018175C"/>
    <w:rsid w:val="001822EE"/>
    <w:rsid w:val="001839A5"/>
    <w:rsid w:val="00183DFE"/>
    <w:rsid w:val="0018435A"/>
    <w:rsid w:val="00186E86"/>
    <w:rsid w:val="00191A11"/>
    <w:rsid w:val="00191BAF"/>
    <w:rsid w:val="00193AF0"/>
    <w:rsid w:val="00193D77"/>
    <w:rsid w:val="00196D89"/>
    <w:rsid w:val="00196E1C"/>
    <w:rsid w:val="00197723"/>
    <w:rsid w:val="001A06DA"/>
    <w:rsid w:val="001A0C59"/>
    <w:rsid w:val="001A0CC2"/>
    <w:rsid w:val="001A0D8E"/>
    <w:rsid w:val="001A11C6"/>
    <w:rsid w:val="001A12B0"/>
    <w:rsid w:val="001A174D"/>
    <w:rsid w:val="001A1A69"/>
    <w:rsid w:val="001A26B9"/>
    <w:rsid w:val="001A2735"/>
    <w:rsid w:val="001A4ED4"/>
    <w:rsid w:val="001A5A17"/>
    <w:rsid w:val="001A6013"/>
    <w:rsid w:val="001A60CD"/>
    <w:rsid w:val="001A6EE2"/>
    <w:rsid w:val="001A7817"/>
    <w:rsid w:val="001B0139"/>
    <w:rsid w:val="001B0528"/>
    <w:rsid w:val="001B1FF0"/>
    <w:rsid w:val="001B3018"/>
    <w:rsid w:val="001B37FC"/>
    <w:rsid w:val="001B3C2A"/>
    <w:rsid w:val="001B3E80"/>
    <w:rsid w:val="001B4EE8"/>
    <w:rsid w:val="001B5DD2"/>
    <w:rsid w:val="001B6AB2"/>
    <w:rsid w:val="001B700B"/>
    <w:rsid w:val="001C0AE0"/>
    <w:rsid w:val="001C10E7"/>
    <w:rsid w:val="001C1A4D"/>
    <w:rsid w:val="001C2753"/>
    <w:rsid w:val="001C2C2A"/>
    <w:rsid w:val="001C2C3B"/>
    <w:rsid w:val="001C3751"/>
    <w:rsid w:val="001C39CD"/>
    <w:rsid w:val="001C4002"/>
    <w:rsid w:val="001C44E0"/>
    <w:rsid w:val="001C45A6"/>
    <w:rsid w:val="001C46EA"/>
    <w:rsid w:val="001C57FE"/>
    <w:rsid w:val="001C62BD"/>
    <w:rsid w:val="001C6CAA"/>
    <w:rsid w:val="001C7CDF"/>
    <w:rsid w:val="001D063F"/>
    <w:rsid w:val="001D158D"/>
    <w:rsid w:val="001D1953"/>
    <w:rsid w:val="001D1C72"/>
    <w:rsid w:val="001D308A"/>
    <w:rsid w:val="001D34F9"/>
    <w:rsid w:val="001D35AA"/>
    <w:rsid w:val="001D39A1"/>
    <w:rsid w:val="001D4145"/>
    <w:rsid w:val="001D5538"/>
    <w:rsid w:val="001D6CC5"/>
    <w:rsid w:val="001D75C1"/>
    <w:rsid w:val="001D7BAA"/>
    <w:rsid w:val="001D7BB5"/>
    <w:rsid w:val="001E1A83"/>
    <w:rsid w:val="001E1E4B"/>
    <w:rsid w:val="001E27F2"/>
    <w:rsid w:val="001E2A03"/>
    <w:rsid w:val="001E4836"/>
    <w:rsid w:val="001E489E"/>
    <w:rsid w:val="001E4DD3"/>
    <w:rsid w:val="001E6C80"/>
    <w:rsid w:val="001E6F65"/>
    <w:rsid w:val="001E72E4"/>
    <w:rsid w:val="001E77DC"/>
    <w:rsid w:val="001F1468"/>
    <w:rsid w:val="001F2C36"/>
    <w:rsid w:val="001F2E29"/>
    <w:rsid w:val="001F32E1"/>
    <w:rsid w:val="001F5049"/>
    <w:rsid w:val="001F57E8"/>
    <w:rsid w:val="001F73E3"/>
    <w:rsid w:val="00200B8A"/>
    <w:rsid w:val="00202BAD"/>
    <w:rsid w:val="002033B0"/>
    <w:rsid w:val="00203813"/>
    <w:rsid w:val="00203CBD"/>
    <w:rsid w:val="00204173"/>
    <w:rsid w:val="00204255"/>
    <w:rsid w:val="00204E0B"/>
    <w:rsid w:val="0020572E"/>
    <w:rsid w:val="002074C7"/>
    <w:rsid w:val="002076B2"/>
    <w:rsid w:val="002077D4"/>
    <w:rsid w:val="00210917"/>
    <w:rsid w:val="002109CC"/>
    <w:rsid w:val="00210A2F"/>
    <w:rsid w:val="00210C93"/>
    <w:rsid w:val="00210FF5"/>
    <w:rsid w:val="00211F2E"/>
    <w:rsid w:val="002121FB"/>
    <w:rsid w:val="002131E2"/>
    <w:rsid w:val="002132F3"/>
    <w:rsid w:val="00213854"/>
    <w:rsid w:val="0021389D"/>
    <w:rsid w:val="00215118"/>
    <w:rsid w:val="00215256"/>
    <w:rsid w:val="002153EE"/>
    <w:rsid w:val="00215753"/>
    <w:rsid w:val="00216140"/>
    <w:rsid w:val="00217077"/>
    <w:rsid w:val="00217D2C"/>
    <w:rsid w:val="00220417"/>
    <w:rsid w:val="002214F8"/>
    <w:rsid w:val="002219DE"/>
    <w:rsid w:val="00221E2B"/>
    <w:rsid w:val="00222143"/>
    <w:rsid w:val="00222549"/>
    <w:rsid w:val="0022331B"/>
    <w:rsid w:val="002234D2"/>
    <w:rsid w:val="00223D20"/>
    <w:rsid w:val="002245E7"/>
    <w:rsid w:val="00225ED0"/>
    <w:rsid w:val="00232FE0"/>
    <w:rsid w:val="0023434B"/>
    <w:rsid w:val="0023487B"/>
    <w:rsid w:val="00234B90"/>
    <w:rsid w:val="00234DDF"/>
    <w:rsid w:val="00235302"/>
    <w:rsid w:val="0023545C"/>
    <w:rsid w:val="00235928"/>
    <w:rsid w:val="0023667C"/>
    <w:rsid w:val="002367A2"/>
    <w:rsid w:val="00236B19"/>
    <w:rsid w:val="00237206"/>
    <w:rsid w:val="00237FF3"/>
    <w:rsid w:val="0024050C"/>
    <w:rsid w:val="002416B2"/>
    <w:rsid w:val="00242A57"/>
    <w:rsid w:val="002458CA"/>
    <w:rsid w:val="00245F3C"/>
    <w:rsid w:val="0024774E"/>
    <w:rsid w:val="002478C0"/>
    <w:rsid w:val="00247A3F"/>
    <w:rsid w:val="00247CD9"/>
    <w:rsid w:val="00250461"/>
    <w:rsid w:val="002509F6"/>
    <w:rsid w:val="00252F64"/>
    <w:rsid w:val="002549ED"/>
    <w:rsid w:val="00254A27"/>
    <w:rsid w:val="00254C17"/>
    <w:rsid w:val="00255555"/>
    <w:rsid w:val="00255BF9"/>
    <w:rsid w:val="00256489"/>
    <w:rsid w:val="0025677D"/>
    <w:rsid w:val="00256852"/>
    <w:rsid w:val="00257583"/>
    <w:rsid w:val="00257B9B"/>
    <w:rsid w:val="00257C06"/>
    <w:rsid w:val="002600B8"/>
    <w:rsid w:val="00260567"/>
    <w:rsid w:val="002613F0"/>
    <w:rsid w:val="0026184C"/>
    <w:rsid w:val="00262C3E"/>
    <w:rsid w:val="00263D21"/>
    <w:rsid w:val="00265BF6"/>
    <w:rsid w:val="00267758"/>
    <w:rsid w:val="00267846"/>
    <w:rsid w:val="00267917"/>
    <w:rsid w:val="00270ABA"/>
    <w:rsid w:val="00270AC8"/>
    <w:rsid w:val="00270BEF"/>
    <w:rsid w:val="00271361"/>
    <w:rsid w:val="0027237A"/>
    <w:rsid w:val="00272DBA"/>
    <w:rsid w:val="00273D91"/>
    <w:rsid w:val="00275801"/>
    <w:rsid w:val="00276E78"/>
    <w:rsid w:val="00277869"/>
    <w:rsid w:val="00277FAD"/>
    <w:rsid w:val="00280E3D"/>
    <w:rsid w:val="00281426"/>
    <w:rsid w:val="00282A91"/>
    <w:rsid w:val="00282EDB"/>
    <w:rsid w:val="002839B4"/>
    <w:rsid w:val="00284A1F"/>
    <w:rsid w:val="00284B14"/>
    <w:rsid w:val="002855A8"/>
    <w:rsid w:val="002858CB"/>
    <w:rsid w:val="00285F68"/>
    <w:rsid w:val="002865E2"/>
    <w:rsid w:val="00287327"/>
    <w:rsid w:val="00287CC0"/>
    <w:rsid w:val="00287D61"/>
    <w:rsid w:val="00287F07"/>
    <w:rsid w:val="00290065"/>
    <w:rsid w:val="0029021B"/>
    <w:rsid w:val="00290724"/>
    <w:rsid w:val="00290767"/>
    <w:rsid w:val="00291273"/>
    <w:rsid w:val="0029289B"/>
    <w:rsid w:val="002935DA"/>
    <w:rsid w:val="00294734"/>
    <w:rsid w:val="00294C4F"/>
    <w:rsid w:val="0029596A"/>
    <w:rsid w:val="00297B9B"/>
    <w:rsid w:val="002A0A4D"/>
    <w:rsid w:val="002A143F"/>
    <w:rsid w:val="002A23F6"/>
    <w:rsid w:val="002A33CA"/>
    <w:rsid w:val="002A407B"/>
    <w:rsid w:val="002A40F4"/>
    <w:rsid w:val="002A4F61"/>
    <w:rsid w:val="002A5107"/>
    <w:rsid w:val="002A51D8"/>
    <w:rsid w:val="002A51F8"/>
    <w:rsid w:val="002A5465"/>
    <w:rsid w:val="002A56B4"/>
    <w:rsid w:val="002A6BF4"/>
    <w:rsid w:val="002A7308"/>
    <w:rsid w:val="002A787A"/>
    <w:rsid w:val="002B0084"/>
    <w:rsid w:val="002B0A91"/>
    <w:rsid w:val="002B0EFE"/>
    <w:rsid w:val="002B1551"/>
    <w:rsid w:val="002B1AA7"/>
    <w:rsid w:val="002B2125"/>
    <w:rsid w:val="002B2987"/>
    <w:rsid w:val="002B44A7"/>
    <w:rsid w:val="002B4F2E"/>
    <w:rsid w:val="002B5515"/>
    <w:rsid w:val="002B6782"/>
    <w:rsid w:val="002B6A7C"/>
    <w:rsid w:val="002B6AA8"/>
    <w:rsid w:val="002C01E9"/>
    <w:rsid w:val="002C49B8"/>
    <w:rsid w:val="002C4CBD"/>
    <w:rsid w:val="002C4F37"/>
    <w:rsid w:val="002C595B"/>
    <w:rsid w:val="002C68F3"/>
    <w:rsid w:val="002D0FFF"/>
    <w:rsid w:val="002D19BE"/>
    <w:rsid w:val="002D1CFB"/>
    <w:rsid w:val="002D255E"/>
    <w:rsid w:val="002D2A23"/>
    <w:rsid w:val="002D2B25"/>
    <w:rsid w:val="002D2E0E"/>
    <w:rsid w:val="002D307A"/>
    <w:rsid w:val="002D371F"/>
    <w:rsid w:val="002D3AA3"/>
    <w:rsid w:val="002D54A2"/>
    <w:rsid w:val="002D6618"/>
    <w:rsid w:val="002D68BE"/>
    <w:rsid w:val="002D759B"/>
    <w:rsid w:val="002D7D28"/>
    <w:rsid w:val="002E12A6"/>
    <w:rsid w:val="002E207D"/>
    <w:rsid w:val="002E2385"/>
    <w:rsid w:val="002E3A85"/>
    <w:rsid w:val="002E459C"/>
    <w:rsid w:val="002E4F10"/>
    <w:rsid w:val="002E5AE6"/>
    <w:rsid w:val="002E5B85"/>
    <w:rsid w:val="002F0DC9"/>
    <w:rsid w:val="002F142C"/>
    <w:rsid w:val="002F167A"/>
    <w:rsid w:val="002F1C69"/>
    <w:rsid w:val="002F1DA5"/>
    <w:rsid w:val="002F1FD6"/>
    <w:rsid w:val="002F21B8"/>
    <w:rsid w:val="002F2219"/>
    <w:rsid w:val="002F27E5"/>
    <w:rsid w:val="002F2931"/>
    <w:rsid w:val="002F39BA"/>
    <w:rsid w:val="002F425E"/>
    <w:rsid w:val="002F5531"/>
    <w:rsid w:val="002F55C4"/>
    <w:rsid w:val="002F5DBB"/>
    <w:rsid w:val="002F6266"/>
    <w:rsid w:val="002F6F34"/>
    <w:rsid w:val="002F7004"/>
    <w:rsid w:val="002F7C47"/>
    <w:rsid w:val="003004C0"/>
    <w:rsid w:val="00301093"/>
    <w:rsid w:val="003016A8"/>
    <w:rsid w:val="0030369D"/>
    <w:rsid w:val="00303D1E"/>
    <w:rsid w:val="003052B5"/>
    <w:rsid w:val="0030654F"/>
    <w:rsid w:val="00307176"/>
    <w:rsid w:val="00307C2B"/>
    <w:rsid w:val="0031128C"/>
    <w:rsid w:val="00311354"/>
    <w:rsid w:val="0031207F"/>
    <w:rsid w:val="00312A64"/>
    <w:rsid w:val="00312B07"/>
    <w:rsid w:val="00312C5E"/>
    <w:rsid w:val="00314869"/>
    <w:rsid w:val="003151F1"/>
    <w:rsid w:val="003156AE"/>
    <w:rsid w:val="00315782"/>
    <w:rsid w:val="00316D79"/>
    <w:rsid w:val="00317701"/>
    <w:rsid w:val="00317DFB"/>
    <w:rsid w:val="0032014A"/>
    <w:rsid w:val="00320BB5"/>
    <w:rsid w:val="00320E91"/>
    <w:rsid w:val="00321187"/>
    <w:rsid w:val="00322AC0"/>
    <w:rsid w:val="00322EB5"/>
    <w:rsid w:val="0032419F"/>
    <w:rsid w:val="00324515"/>
    <w:rsid w:val="00325465"/>
    <w:rsid w:val="00325DA0"/>
    <w:rsid w:val="00326083"/>
    <w:rsid w:val="0032642C"/>
    <w:rsid w:val="00327877"/>
    <w:rsid w:val="003304FC"/>
    <w:rsid w:val="0033072C"/>
    <w:rsid w:val="00332221"/>
    <w:rsid w:val="003327BC"/>
    <w:rsid w:val="00332FD6"/>
    <w:rsid w:val="00333CC4"/>
    <w:rsid w:val="00333FCA"/>
    <w:rsid w:val="0033425E"/>
    <w:rsid w:val="00335037"/>
    <w:rsid w:val="003361AE"/>
    <w:rsid w:val="00336C5A"/>
    <w:rsid w:val="00337523"/>
    <w:rsid w:val="00337B9F"/>
    <w:rsid w:val="003401CF"/>
    <w:rsid w:val="003401F3"/>
    <w:rsid w:val="00340FEB"/>
    <w:rsid w:val="0034131D"/>
    <w:rsid w:val="00341441"/>
    <w:rsid w:val="00341A4A"/>
    <w:rsid w:val="00341AF8"/>
    <w:rsid w:val="00342E67"/>
    <w:rsid w:val="003432E0"/>
    <w:rsid w:val="003445A6"/>
    <w:rsid w:val="00345011"/>
    <w:rsid w:val="00345641"/>
    <w:rsid w:val="00345DF5"/>
    <w:rsid w:val="00345FC9"/>
    <w:rsid w:val="003478E0"/>
    <w:rsid w:val="003516BA"/>
    <w:rsid w:val="00351820"/>
    <w:rsid w:val="00351D4D"/>
    <w:rsid w:val="003529BE"/>
    <w:rsid w:val="00353221"/>
    <w:rsid w:val="003538C4"/>
    <w:rsid w:val="003538CF"/>
    <w:rsid w:val="0035394B"/>
    <w:rsid w:val="00353BE7"/>
    <w:rsid w:val="00353C85"/>
    <w:rsid w:val="0035411A"/>
    <w:rsid w:val="0035478C"/>
    <w:rsid w:val="00354A83"/>
    <w:rsid w:val="00354C6E"/>
    <w:rsid w:val="003553E5"/>
    <w:rsid w:val="003564AB"/>
    <w:rsid w:val="00356676"/>
    <w:rsid w:val="00356AD4"/>
    <w:rsid w:val="00357928"/>
    <w:rsid w:val="00360699"/>
    <w:rsid w:val="00360913"/>
    <w:rsid w:val="00360D67"/>
    <w:rsid w:val="0036126C"/>
    <w:rsid w:val="00361720"/>
    <w:rsid w:val="00361CAE"/>
    <w:rsid w:val="003638A9"/>
    <w:rsid w:val="003648B6"/>
    <w:rsid w:val="00366A21"/>
    <w:rsid w:val="00366ED4"/>
    <w:rsid w:val="00367079"/>
    <w:rsid w:val="00370695"/>
    <w:rsid w:val="003711A1"/>
    <w:rsid w:val="00371AC2"/>
    <w:rsid w:val="00371E7B"/>
    <w:rsid w:val="00372D2E"/>
    <w:rsid w:val="00373488"/>
    <w:rsid w:val="00373B32"/>
    <w:rsid w:val="00373B73"/>
    <w:rsid w:val="003740C9"/>
    <w:rsid w:val="00375269"/>
    <w:rsid w:val="00375369"/>
    <w:rsid w:val="00375E48"/>
    <w:rsid w:val="00376C94"/>
    <w:rsid w:val="00377A80"/>
    <w:rsid w:val="00377AD2"/>
    <w:rsid w:val="00377D7E"/>
    <w:rsid w:val="0038009B"/>
    <w:rsid w:val="00380A86"/>
    <w:rsid w:val="00382058"/>
    <w:rsid w:val="003827E3"/>
    <w:rsid w:val="00382AA2"/>
    <w:rsid w:val="00383172"/>
    <w:rsid w:val="003847DC"/>
    <w:rsid w:val="00384B9C"/>
    <w:rsid w:val="00390A14"/>
    <w:rsid w:val="003916DE"/>
    <w:rsid w:val="00391B33"/>
    <w:rsid w:val="0039215F"/>
    <w:rsid w:val="00392486"/>
    <w:rsid w:val="0039593F"/>
    <w:rsid w:val="003A018D"/>
    <w:rsid w:val="003A060E"/>
    <w:rsid w:val="003A07D1"/>
    <w:rsid w:val="003A15E4"/>
    <w:rsid w:val="003A19DF"/>
    <w:rsid w:val="003A1A79"/>
    <w:rsid w:val="003A26FB"/>
    <w:rsid w:val="003A2C91"/>
    <w:rsid w:val="003A3B63"/>
    <w:rsid w:val="003A3CDF"/>
    <w:rsid w:val="003A50D4"/>
    <w:rsid w:val="003A5854"/>
    <w:rsid w:val="003A5FCF"/>
    <w:rsid w:val="003B06D3"/>
    <w:rsid w:val="003B1E64"/>
    <w:rsid w:val="003B2DD8"/>
    <w:rsid w:val="003B483E"/>
    <w:rsid w:val="003B4C85"/>
    <w:rsid w:val="003B5149"/>
    <w:rsid w:val="003B736A"/>
    <w:rsid w:val="003C04C3"/>
    <w:rsid w:val="003C16A3"/>
    <w:rsid w:val="003C1722"/>
    <w:rsid w:val="003C31BC"/>
    <w:rsid w:val="003C3482"/>
    <w:rsid w:val="003C34F4"/>
    <w:rsid w:val="003C50C9"/>
    <w:rsid w:val="003C5F35"/>
    <w:rsid w:val="003C5FCB"/>
    <w:rsid w:val="003C7AD3"/>
    <w:rsid w:val="003C7FF6"/>
    <w:rsid w:val="003D0389"/>
    <w:rsid w:val="003D073E"/>
    <w:rsid w:val="003D0B4C"/>
    <w:rsid w:val="003D1763"/>
    <w:rsid w:val="003D1CA3"/>
    <w:rsid w:val="003D2180"/>
    <w:rsid w:val="003D236F"/>
    <w:rsid w:val="003D3E78"/>
    <w:rsid w:val="003D421B"/>
    <w:rsid w:val="003D53D1"/>
    <w:rsid w:val="003D5C1F"/>
    <w:rsid w:val="003D61C1"/>
    <w:rsid w:val="003D6EA3"/>
    <w:rsid w:val="003E00F6"/>
    <w:rsid w:val="003E020A"/>
    <w:rsid w:val="003E09D5"/>
    <w:rsid w:val="003E2D93"/>
    <w:rsid w:val="003E3B68"/>
    <w:rsid w:val="003E461C"/>
    <w:rsid w:val="003E646C"/>
    <w:rsid w:val="003E78A4"/>
    <w:rsid w:val="003E7D84"/>
    <w:rsid w:val="003E7FAF"/>
    <w:rsid w:val="003F06A1"/>
    <w:rsid w:val="003F0CA2"/>
    <w:rsid w:val="003F0D00"/>
    <w:rsid w:val="003F0D5D"/>
    <w:rsid w:val="003F1C31"/>
    <w:rsid w:val="003F247F"/>
    <w:rsid w:val="003F287E"/>
    <w:rsid w:val="003F3ACD"/>
    <w:rsid w:val="003F498F"/>
    <w:rsid w:val="003F533D"/>
    <w:rsid w:val="003F54CB"/>
    <w:rsid w:val="003F6578"/>
    <w:rsid w:val="003F65BC"/>
    <w:rsid w:val="003F771B"/>
    <w:rsid w:val="004000E0"/>
    <w:rsid w:val="004006B3"/>
    <w:rsid w:val="00400784"/>
    <w:rsid w:val="00400CA4"/>
    <w:rsid w:val="00400FD2"/>
    <w:rsid w:val="00401676"/>
    <w:rsid w:val="004022E5"/>
    <w:rsid w:val="00402AEA"/>
    <w:rsid w:val="00404FFE"/>
    <w:rsid w:val="00405FF7"/>
    <w:rsid w:val="00406167"/>
    <w:rsid w:val="00406758"/>
    <w:rsid w:val="004074BA"/>
    <w:rsid w:val="00407D4B"/>
    <w:rsid w:val="004107B7"/>
    <w:rsid w:val="004114B0"/>
    <w:rsid w:val="004122A8"/>
    <w:rsid w:val="00413CD3"/>
    <w:rsid w:val="00413DDA"/>
    <w:rsid w:val="00414E41"/>
    <w:rsid w:val="004156DD"/>
    <w:rsid w:val="004156FF"/>
    <w:rsid w:val="00415A34"/>
    <w:rsid w:val="00415B66"/>
    <w:rsid w:val="004163D9"/>
    <w:rsid w:val="004169C1"/>
    <w:rsid w:val="00416DAC"/>
    <w:rsid w:val="00417314"/>
    <w:rsid w:val="00417C69"/>
    <w:rsid w:val="00420792"/>
    <w:rsid w:val="0042094D"/>
    <w:rsid w:val="00421108"/>
    <w:rsid w:val="004228CF"/>
    <w:rsid w:val="00423083"/>
    <w:rsid w:val="004233F5"/>
    <w:rsid w:val="00423638"/>
    <w:rsid w:val="00423920"/>
    <w:rsid w:val="0042395D"/>
    <w:rsid w:val="00423E04"/>
    <w:rsid w:val="004244A9"/>
    <w:rsid w:val="0042490A"/>
    <w:rsid w:val="004253BD"/>
    <w:rsid w:val="00425977"/>
    <w:rsid w:val="004260C1"/>
    <w:rsid w:val="004268E4"/>
    <w:rsid w:val="0043100F"/>
    <w:rsid w:val="004317E9"/>
    <w:rsid w:val="00431C92"/>
    <w:rsid w:val="00432F83"/>
    <w:rsid w:val="00433C5E"/>
    <w:rsid w:val="00433CC9"/>
    <w:rsid w:val="00434814"/>
    <w:rsid w:val="00434E86"/>
    <w:rsid w:val="00435A7C"/>
    <w:rsid w:val="00435DFB"/>
    <w:rsid w:val="00435FB9"/>
    <w:rsid w:val="00436B91"/>
    <w:rsid w:val="00441796"/>
    <w:rsid w:val="00443054"/>
    <w:rsid w:val="00444670"/>
    <w:rsid w:val="00444714"/>
    <w:rsid w:val="00444922"/>
    <w:rsid w:val="00444D36"/>
    <w:rsid w:val="004455F2"/>
    <w:rsid w:val="00446AAA"/>
    <w:rsid w:val="0045089C"/>
    <w:rsid w:val="004513AF"/>
    <w:rsid w:val="0045200D"/>
    <w:rsid w:val="00452A57"/>
    <w:rsid w:val="004537CC"/>
    <w:rsid w:val="004542B6"/>
    <w:rsid w:val="00454D8F"/>
    <w:rsid w:val="0045532A"/>
    <w:rsid w:val="004559F0"/>
    <w:rsid w:val="00457476"/>
    <w:rsid w:val="004576C3"/>
    <w:rsid w:val="00457A68"/>
    <w:rsid w:val="00457DA6"/>
    <w:rsid w:val="00461CF9"/>
    <w:rsid w:val="00463360"/>
    <w:rsid w:val="00463831"/>
    <w:rsid w:val="00463CD7"/>
    <w:rsid w:val="00464A12"/>
    <w:rsid w:val="00465688"/>
    <w:rsid w:val="00466FA9"/>
    <w:rsid w:val="004678CE"/>
    <w:rsid w:val="00471A96"/>
    <w:rsid w:val="00471B20"/>
    <w:rsid w:val="00472B4F"/>
    <w:rsid w:val="00473D97"/>
    <w:rsid w:val="00473DBD"/>
    <w:rsid w:val="00474317"/>
    <w:rsid w:val="004748C5"/>
    <w:rsid w:val="00474C0A"/>
    <w:rsid w:val="0047541A"/>
    <w:rsid w:val="0047549D"/>
    <w:rsid w:val="004757A0"/>
    <w:rsid w:val="00476392"/>
    <w:rsid w:val="004771A9"/>
    <w:rsid w:val="0047779B"/>
    <w:rsid w:val="00477D77"/>
    <w:rsid w:val="0048017D"/>
    <w:rsid w:val="00480CE0"/>
    <w:rsid w:val="00480F5D"/>
    <w:rsid w:val="00481577"/>
    <w:rsid w:val="00483E22"/>
    <w:rsid w:val="004846A0"/>
    <w:rsid w:val="00484835"/>
    <w:rsid w:val="00484931"/>
    <w:rsid w:val="00484DA3"/>
    <w:rsid w:val="0048502E"/>
    <w:rsid w:val="0048664D"/>
    <w:rsid w:val="00487B00"/>
    <w:rsid w:val="00487EE5"/>
    <w:rsid w:val="004903FD"/>
    <w:rsid w:val="00490645"/>
    <w:rsid w:val="0049084B"/>
    <w:rsid w:val="0049203C"/>
    <w:rsid w:val="0049250A"/>
    <w:rsid w:val="00492C8F"/>
    <w:rsid w:val="00493F47"/>
    <w:rsid w:val="004951C5"/>
    <w:rsid w:val="004960D5"/>
    <w:rsid w:val="004963AD"/>
    <w:rsid w:val="00496949"/>
    <w:rsid w:val="0049717B"/>
    <w:rsid w:val="0049728C"/>
    <w:rsid w:val="00497437"/>
    <w:rsid w:val="00497C57"/>
    <w:rsid w:val="004A0CB9"/>
    <w:rsid w:val="004A334D"/>
    <w:rsid w:val="004A33D3"/>
    <w:rsid w:val="004A3805"/>
    <w:rsid w:val="004A38F6"/>
    <w:rsid w:val="004A46D4"/>
    <w:rsid w:val="004A5077"/>
    <w:rsid w:val="004A5EA1"/>
    <w:rsid w:val="004A5EB2"/>
    <w:rsid w:val="004A6038"/>
    <w:rsid w:val="004A6150"/>
    <w:rsid w:val="004A74E8"/>
    <w:rsid w:val="004A7B81"/>
    <w:rsid w:val="004B0BEA"/>
    <w:rsid w:val="004B0EAA"/>
    <w:rsid w:val="004B21C0"/>
    <w:rsid w:val="004B2F0E"/>
    <w:rsid w:val="004B3151"/>
    <w:rsid w:val="004B3E6A"/>
    <w:rsid w:val="004B4C30"/>
    <w:rsid w:val="004B5716"/>
    <w:rsid w:val="004B587A"/>
    <w:rsid w:val="004B5F87"/>
    <w:rsid w:val="004B6317"/>
    <w:rsid w:val="004B6F83"/>
    <w:rsid w:val="004B7F74"/>
    <w:rsid w:val="004C0306"/>
    <w:rsid w:val="004C0428"/>
    <w:rsid w:val="004C0640"/>
    <w:rsid w:val="004C0919"/>
    <w:rsid w:val="004C09D9"/>
    <w:rsid w:val="004C0F2F"/>
    <w:rsid w:val="004C1522"/>
    <w:rsid w:val="004C2111"/>
    <w:rsid w:val="004C27D8"/>
    <w:rsid w:val="004C4283"/>
    <w:rsid w:val="004C45CB"/>
    <w:rsid w:val="004C49BA"/>
    <w:rsid w:val="004C517F"/>
    <w:rsid w:val="004C51B9"/>
    <w:rsid w:val="004C5250"/>
    <w:rsid w:val="004C526E"/>
    <w:rsid w:val="004C5293"/>
    <w:rsid w:val="004C5FF1"/>
    <w:rsid w:val="004C6BC5"/>
    <w:rsid w:val="004C73FD"/>
    <w:rsid w:val="004D10FC"/>
    <w:rsid w:val="004D2CED"/>
    <w:rsid w:val="004D2D38"/>
    <w:rsid w:val="004D35E5"/>
    <w:rsid w:val="004D3EAC"/>
    <w:rsid w:val="004D4263"/>
    <w:rsid w:val="004D47EA"/>
    <w:rsid w:val="004D4CE9"/>
    <w:rsid w:val="004D6673"/>
    <w:rsid w:val="004D781C"/>
    <w:rsid w:val="004E0B5F"/>
    <w:rsid w:val="004E15D5"/>
    <w:rsid w:val="004E1768"/>
    <w:rsid w:val="004E295D"/>
    <w:rsid w:val="004E2B00"/>
    <w:rsid w:val="004E306B"/>
    <w:rsid w:val="004E33C3"/>
    <w:rsid w:val="004E4054"/>
    <w:rsid w:val="004E5240"/>
    <w:rsid w:val="004E6FCF"/>
    <w:rsid w:val="004E7336"/>
    <w:rsid w:val="004F0711"/>
    <w:rsid w:val="004F094C"/>
    <w:rsid w:val="004F0FBF"/>
    <w:rsid w:val="004F2C39"/>
    <w:rsid w:val="004F2DC0"/>
    <w:rsid w:val="004F34A8"/>
    <w:rsid w:val="004F361E"/>
    <w:rsid w:val="004F38E6"/>
    <w:rsid w:val="004F3B51"/>
    <w:rsid w:val="004F3C21"/>
    <w:rsid w:val="004F4E0B"/>
    <w:rsid w:val="004F50B7"/>
    <w:rsid w:val="004F51DE"/>
    <w:rsid w:val="004F5522"/>
    <w:rsid w:val="004F567B"/>
    <w:rsid w:val="004F59CA"/>
    <w:rsid w:val="004F61A2"/>
    <w:rsid w:val="004F6217"/>
    <w:rsid w:val="004F6E63"/>
    <w:rsid w:val="004F6F73"/>
    <w:rsid w:val="004F76F7"/>
    <w:rsid w:val="00500405"/>
    <w:rsid w:val="005006C9"/>
    <w:rsid w:val="005014E8"/>
    <w:rsid w:val="005025E7"/>
    <w:rsid w:val="00502832"/>
    <w:rsid w:val="00502B6A"/>
    <w:rsid w:val="0050338F"/>
    <w:rsid w:val="005047D6"/>
    <w:rsid w:val="005050E1"/>
    <w:rsid w:val="00505997"/>
    <w:rsid w:val="00505CBF"/>
    <w:rsid w:val="005060D0"/>
    <w:rsid w:val="005064BC"/>
    <w:rsid w:val="00506725"/>
    <w:rsid w:val="00507386"/>
    <w:rsid w:val="005073EF"/>
    <w:rsid w:val="00510049"/>
    <w:rsid w:val="00510645"/>
    <w:rsid w:val="0051183C"/>
    <w:rsid w:val="00511A97"/>
    <w:rsid w:val="00512B55"/>
    <w:rsid w:val="00513DE8"/>
    <w:rsid w:val="00513FBD"/>
    <w:rsid w:val="00515A0E"/>
    <w:rsid w:val="00516030"/>
    <w:rsid w:val="005200FB"/>
    <w:rsid w:val="00520459"/>
    <w:rsid w:val="005207F6"/>
    <w:rsid w:val="00520FB2"/>
    <w:rsid w:val="00521563"/>
    <w:rsid w:val="00521BED"/>
    <w:rsid w:val="00521F94"/>
    <w:rsid w:val="00523D80"/>
    <w:rsid w:val="00524565"/>
    <w:rsid w:val="005246FB"/>
    <w:rsid w:val="005249E3"/>
    <w:rsid w:val="00525A86"/>
    <w:rsid w:val="0052613D"/>
    <w:rsid w:val="005262E2"/>
    <w:rsid w:val="005264F8"/>
    <w:rsid w:val="00526ADE"/>
    <w:rsid w:val="0052710A"/>
    <w:rsid w:val="00530EC7"/>
    <w:rsid w:val="00531BEE"/>
    <w:rsid w:val="00531E06"/>
    <w:rsid w:val="0053240B"/>
    <w:rsid w:val="00532A36"/>
    <w:rsid w:val="00532F8A"/>
    <w:rsid w:val="00533622"/>
    <w:rsid w:val="00533899"/>
    <w:rsid w:val="0053434A"/>
    <w:rsid w:val="00535762"/>
    <w:rsid w:val="00535DEF"/>
    <w:rsid w:val="00537069"/>
    <w:rsid w:val="00540025"/>
    <w:rsid w:val="0054015D"/>
    <w:rsid w:val="005412EE"/>
    <w:rsid w:val="00541D23"/>
    <w:rsid w:val="00543D14"/>
    <w:rsid w:val="005444CA"/>
    <w:rsid w:val="00544F85"/>
    <w:rsid w:val="00545565"/>
    <w:rsid w:val="00546038"/>
    <w:rsid w:val="00546343"/>
    <w:rsid w:val="0054687B"/>
    <w:rsid w:val="005477FA"/>
    <w:rsid w:val="00547A44"/>
    <w:rsid w:val="00547C05"/>
    <w:rsid w:val="00550B3C"/>
    <w:rsid w:val="005518FA"/>
    <w:rsid w:val="00551952"/>
    <w:rsid w:val="00551B51"/>
    <w:rsid w:val="00552A19"/>
    <w:rsid w:val="00553D3E"/>
    <w:rsid w:val="00553D47"/>
    <w:rsid w:val="0055443C"/>
    <w:rsid w:val="00554990"/>
    <w:rsid w:val="00554AB3"/>
    <w:rsid w:val="00556D8C"/>
    <w:rsid w:val="00556DDB"/>
    <w:rsid w:val="00556E0A"/>
    <w:rsid w:val="0055787B"/>
    <w:rsid w:val="00560B97"/>
    <w:rsid w:val="00560EE4"/>
    <w:rsid w:val="0056126A"/>
    <w:rsid w:val="00562046"/>
    <w:rsid w:val="005639C3"/>
    <w:rsid w:val="005645DA"/>
    <w:rsid w:val="00564D75"/>
    <w:rsid w:val="00565B91"/>
    <w:rsid w:val="00565E66"/>
    <w:rsid w:val="00565FB1"/>
    <w:rsid w:val="00566479"/>
    <w:rsid w:val="00566E53"/>
    <w:rsid w:val="005674FB"/>
    <w:rsid w:val="005710E6"/>
    <w:rsid w:val="00571D7C"/>
    <w:rsid w:val="00571FD2"/>
    <w:rsid w:val="0057477A"/>
    <w:rsid w:val="00575360"/>
    <w:rsid w:val="005754AC"/>
    <w:rsid w:val="00576111"/>
    <w:rsid w:val="005800DE"/>
    <w:rsid w:val="005809E3"/>
    <w:rsid w:val="005810FE"/>
    <w:rsid w:val="00581C05"/>
    <w:rsid w:val="005826A4"/>
    <w:rsid w:val="00582A41"/>
    <w:rsid w:val="00582B6E"/>
    <w:rsid w:val="00584270"/>
    <w:rsid w:val="005847BC"/>
    <w:rsid w:val="00584C94"/>
    <w:rsid w:val="00584D21"/>
    <w:rsid w:val="005851D0"/>
    <w:rsid w:val="00585A86"/>
    <w:rsid w:val="005860E4"/>
    <w:rsid w:val="00587B89"/>
    <w:rsid w:val="00587EC3"/>
    <w:rsid w:val="00591F70"/>
    <w:rsid w:val="00592210"/>
    <w:rsid w:val="005923D5"/>
    <w:rsid w:val="00592724"/>
    <w:rsid w:val="0059380A"/>
    <w:rsid w:val="00593B36"/>
    <w:rsid w:val="00594524"/>
    <w:rsid w:val="005947D2"/>
    <w:rsid w:val="005965AA"/>
    <w:rsid w:val="00596F5B"/>
    <w:rsid w:val="005976A6"/>
    <w:rsid w:val="005977CE"/>
    <w:rsid w:val="005979F2"/>
    <w:rsid w:val="005A00BC"/>
    <w:rsid w:val="005A053C"/>
    <w:rsid w:val="005A08E2"/>
    <w:rsid w:val="005A10AD"/>
    <w:rsid w:val="005A17C1"/>
    <w:rsid w:val="005A42B3"/>
    <w:rsid w:val="005A453B"/>
    <w:rsid w:val="005A485D"/>
    <w:rsid w:val="005A569C"/>
    <w:rsid w:val="005A7B38"/>
    <w:rsid w:val="005B0E97"/>
    <w:rsid w:val="005B1512"/>
    <w:rsid w:val="005B2691"/>
    <w:rsid w:val="005B30FB"/>
    <w:rsid w:val="005B3245"/>
    <w:rsid w:val="005B328A"/>
    <w:rsid w:val="005B6345"/>
    <w:rsid w:val="005B6DD2"/>
    <w:rsid w:val="005B6F56"/>
    <w:rsid w:val="005B6F5A"/>
    <w:rsid w:val="005B709A"/>
    <w:rsid w:val="005B7331"/>
    <w:rsid w:val="005B79EF"/>
    <w:rsid w:val="005B7B2A"/>
    <w:rsid w:val="005C01C6"/>
    <w:rsid w:val="005C0AA1"/>
    <w:rsid w:val="005C0B7A"/>
    <w:rsid w:val="005C0FAB"/>
    <w:rsid w:val="005C2B1C"/>
    <w:rsid w:val="005C3632"/>
    <w:rsid w:val="005C4125"/>
    <w:rsid w:val="005C4587"/>
    <w:rsid w:val="005C6EDC"/>
    <w:rsid w:val="005D1B3A"/>
    <w:rsid w:val="005D1E11"/>
    <w:rsid w:val="005D1E58"/>
    <w:rsid w:val="005D1FBF"/>
    <w:rsid w:val="005D28DF"/>
    <w:rsid w:val="005D454A"/>
    <w:rsid w:val="005D4821"/>
    <w:rsid w:val="005D4CA4"/>
    <w:rsid w:val="005D5B24"/>
    <w:rsid w:val="005D672F"/>
    <w:rsid w:val="005D750A"/>
    <w:rsid w:val="005D7AC9"/>
    <w:rsid w:val="005E033A"/>
    <w:rsid w:val="005E0941"/>
    <w:rsid w:val="005E09C7"/>
    <w:rsid w:val="005E1A5B"/>
    <w:rsid w:val="005E231B"/>
    <w:rsid w:val="005E2725"/>
    <w:rsid w:val="005E307C"/>
    <w:rsid w:val="005E36C4"/>
    <w:rsid w:val="005E647A"/>
    <w:rsid w:val="005E654B"/>
    <w:rsid w:val="005E6A86"/>
    <w:rsid w:val="005E6B00"/>
    <w:rsid w:val="005E708C"/>
    <w:rsid w:val="005E712E"/>
    <w:rsid w:val="005E79F5"/>
    <w:rsid w:val="005E7D01"/>
    <w:rsid w:val="005F1919"/>
    <w:rsid w:val="005F1D5C"/>
    <w:rsid w:val="005F232F"/>
    <w:rsid w:val="005F321F"/>
    <w:rsid w:val="005F4EBD"/>
    <w:rsid w:val="005F530B"/>
    <w:rsid w:val="005F590F"/>
    <w:rsid w:val="005F623C"/>
    <w:rsid w:val="005F6525"/>
    <w:rsid w:val="005F7BC5"/>
    <w:rsid w:val="006003D7"/>
    <w:rsid w:val="00600BB5"/>
    <w:rsid w:val="006014DB"/>
    <w:rsid w:val="006042FA"/>
    <w:rsid w:val="0060635D"/>
    <w:rsid w:val="00607924"/>
    <w:rsid w:val="006108EE"/>
    <w:rsid w:val="00611C7D"/>
    <w:rsid w:val="006121E6"/>
    <w:rsid w:val="00614CD6"/>
    <w:rsid w:val="00615A26"/>
    <w:rsid w:val="00615A2E"/>
    <w:rsid w:val="00620EE4"/>
    <w:rsid w:val="00623A9C"/>
    <w:rsid w:val="0062428C"/>
    <w:rsid w:val="0062429B"/>
    <w:rsid w:val="00624805"/>
    <w:rsid w:val="00625A02"/>
    <w:rsid w:val="00625AE7"/>
    <w:rsid w:val="00630415"/>
    <w:rsid w:val="006325C7"/>
    <w:rsid w:val="00633139"/>
    <w:rsid w:val="0063358D"/>
    <w:rsid w:val="006345CE"/>
    <w:rsid w:val="006353B1"/>
    <w:rsid w:val="006354F8"/>
    <w:rsid w:val="00637C2D"/>
    <w:rsid w:val="00640B08"/>
    <w:rsid w:val="00641F45"/>
    <w:rsid w:val="00642CC9"/>
    <w:rsid w:val="00644079"/>
    <w:rsid w:val="00644124"/>
    <w:rsid w:val="0064422E"/>
    <w:rsid w:val="00644768"/>
    <w:rsid w:val="00645926"/>
    <w:rsid w:val="0064648C"/>
    <w:rsid w:val="00646B58"/>
    <w:rsid w:val="00646BEB"/>
    <w:rsid w:val="00646CCB"/>
    <w:rsid w:val="00646E28"/>
    <w:rsid w:val="0065199F"/>
    <w:rsid w:val="006521B2"/>
    <w:rsid w:val="006532B4"/>
    <w:rsid w:val="0065351F"/>
    <w:rsid w:val="00653DAD"/>
    <w:rsid w:val="00655890"/>
    <w:rsid w:val="00656339"/>
    <w:rsid w:val="0065675E"/>
    <w:rsid w:val="00657030"/>
    <w:rsid w:val="006608F1"/>
    <w:rsid w:val="00660B06"/>
    <w:rsid w:val="00660C1B"/>
    <w:rsid w:val="00660E5B"/>
    <w:rsid w:val="0066119A"/>
    <w:rsid w:val="0066192D"/>
    <w:rsid w:val="00662C01"/>
    <w:rsid w:val="00663273"/>
    <w:rsid w:val="00663874"/>
    <w:rsid w:val="00663B24"/>
    <w:rsid w:val="00664167"/>
    <w:rsid w:val="00664EE2"/>
    <w:rsid w:val="00664EE4"/>
    <w:rsid w:val="00665C01"/>
    <w:rsid w:val="00665D6C"/>
    <w:rsid w:val="0066697F"/>
    <w:rsid w:val="006675A7"/>
    <w:rsid w:val="00667C59"/>
    <w:rsid w:val="0067002C"/>
    <w:rsid w:val="00670AEB"/>
    <w:rsid w:val="00670BB2"/>
    <w:rsid w:val="00670D99"/>
    <w:rsid w:val="00671837"/>
    <w:rsid w:val="00672D7C"/>
    <w:rsid w:val="00673AF8"/>
    <w:rsid w:val="00673B28"/>
    <w:rsid w:val="006741D7"/>
    <w:rsid w:val="00674F70"/>
    <w:rsid w:val="00675836"/>
    <w:rsid w:val="00675F43"/>
    <w:rsid w:val="00677315"/>
    <w:rsid w:val="00677720"/>
    <w:rsid w:val="00680304"/>
    <w:rsid w:val="00680AF4"/>
    <w:rsid w:val="006811EF"/>
    <w:rsid w:val="0068124D"/>
    <w:rsid w:val="00681E06"/>
    <w:rsid w:val="00681F3E"/>
    <w:rsid w:val="00682612"/>
    <w:rsid w:val="0068332B"/>
    <w:rsid w:val="00683A3A"/>
    <w:rsid w:val="00683DF4"/>
    <w:rsid w:val="00683F6B"/>
    <w:rsid w:val="006841B2"/>
    <w:rsid w:val="006851B1"/>
    <w:rsid w:val="0068575A"/>
    <w:rsid w:val="00685792"/>
    <w:rsid w:val="00685C63"/>
    <w:rsid w:val="006863DE"/>
    <w:rsid w:val="00686729"/>
    <w:rsid w:val="00687549"/>
    <w:rsid w:val="006879C6"/>
    <w:rsid w:val="00687C33"/>
    <w:rsid w:val="00693567"/>
    <w:rsid w:val="006936A2"/>
    <w:rsid w:val="00693826"/>
    <w:rsid w:val="00694C49"/>
    <w:rsid w:val="00694F01"/>
    <w:rsid w:val="006954FE"/>
    <w:rsid w:val="006955B0"/>
    <w:rsid w:val="006960E4"/>
    <w:rsid w:val="00696202"/>
    <w:rsid w:val="00696451"/>
    <w:rsid w:val="0069745E"/>
    <w:rsid w:val="006974A5"/>
    <w:rsid w:val="00697815"/>
    <w:rsid w:val="00697E55"/>
    <w:rsid w:val="00697F65"/>
    <w:rsid w:val="006A01AD"/>
    <w:rsid w:val="006A1957"/>
    <w:rsid w:val="006A29F4"/>
    <w:rsid w:val="006A2CB0"/>
    <w:rsid w:val="006A35D9"/>
    <w:rsid w:val="006A38D8"/>
    <w:rsid w:val="006A409E"/>
    <w:rsid w:val="006A42E4"/>
    <w:rsid w:val="006A48A0"/>
    <w:rsid w:val="006A49AE"/>
    <w:rsid w:val="006A4C36"/>
    <w:rsid w:val="006A4E0B"/>
    <w:rsid w:val="006A5922"/>
    <w:rsid w:val="006A5BDE"/>
    <w:rsid w:val="006A72DB"/>
    <w:rsid w:val="006B02B6"/>
    <w:rsid w:val="006B0C53"/>
    <w:rsid w:val="006B0CAA"/>
    <w:rsid w:val="006B12C4"/>
    <w:rsid w:val="006B1370"/>
    <w:rsid w:val="006B140F"/>
    <w:rsid w:val="006B22E3"/>
    <w:rsid w:val="006B25FF"/>
    <w:rsid w:val="006B2655"/>
    <w:rsid w:val="006B2E16"/>
    <w:rsid w:val="006B33B9"/>
    <w:rsid w:val="006B3A47"/>
    <w:rsid w:val="006B47E3"/>
    <w:rsid w:val="006B488E"/>
    <w:rsid w:val="006B4A48"/>
    <w:rsid w:val="006B4BB5"/>
    <w:rsid w:val="006B5229"/>
    <w:rsid w:val="006B531B"/>
    <w:rsid w:val="006B670E"/>
    <w:rsid w:val="006B703C"/>
    <w:rsid w:val="006B7D34"/>
    <w:rsid w:val="006B7F0A"/>
    <w:rsid w:val="006C085E"/>
    <w:rsid w:val="006C120F"/>
    <w:rsid w:val="006C1937"/>
    <w:rsid w:val="006C27E7"/>
    <w:rsid w:val="006C4B00"/>
    <w:rsid w:val="006C553A"/>
    <w:rsid w:val="006C5A9C"/>
    <w:rsid w:val="006C5FB5"/>
    <w:rsid w:val="006C62C2"/>
    <w:rsid w:val="006C66F7"/>
    <w:rsid w:val="006D0EA1"/>
    <w:rsid w:val="006D1D39"/>
    <w:rsid w:val="006D247B"/>
    <w:rsid w:val="006D2641"/>
    <w:rsid w:val="006D3A34"/>
    <w:rsid w:val="006D47E5"/>
    <w:rsid w:val="006D5035"/>
    <w:rsid w:val="006D5977"/>
    <w:rsid w:val="006D5CC1"/>
    <w:rsid w:val="006D64BD"/>
    <w:rsid w:val="006D670E"/>
    <w:rsid w:val="006D749F"/>
    <w:rsid w:val="006D7971"/>
    <w:rsid w:val="006D7E3B"/>
    <w:rsid w:val="006E075F"/>
    <w:rsid w:val="006E0F7E"/>
    <w:rsid w:val="006E10A3"/>
    <w:rsid w:val="006E20FB"/>
    <w:rsid w:val="006E23CE"/>
    <w:rsid w:val="006E2C5D"/>
    <w:rsid w:val="006E2F60"/>
    <w:rsid w:val="006E30F9"/>
    <w:rsid w:val="006E37D9"/>
    <w:rsid w:val="006E3A3C"/>
    <w:rsid w:val="006E3AB7"/>
    <w:rsid w:val="006E573E"/>
    <w:rsid w:val="006E7A2C"/>
    <w:rsid w:val="006F0DC7"/>
    <w:rsid w:val="006F2037"/>
    <w:rsid w:val="006F3688"/>
    <w:rsid w:val="006F6F59"/>
    <w:rsid w:val="006F7B4D"/>
    <w:rsid w:val="00700CFE"/>
    <w:rsid w:val="0070166C"/>
    <w:rsid w:val="0070179E"/>
    <w:rsid w:val="0070369F"/>
    <w:rsid w:val="0070413A"/>
    <w:rsid w:val="00704DDE"/>
    <w:rsid w:val="00704F07"/>
    <w:rsid w:val="007057DA"/>
    <w:rsid w:val="007064A9"/>
    <w:rsid w:val="00706BF8"/>
    <w:rsid w:val="00706F65"/>
    <w:rsid w:val="00713786"/>
    <w:rsid w:val="00714375"/>
    <w:rsid w:val="007150E0"/>
    <w:rsid w:val="0071570C"/>
    <w:rsid w:val="00716231"/>
    <w:rsid w:val="00716581"/>
    <w:rsid w:val="0071668F"/>
    <w:rsid w:val="00720741"/>
    <w:rsid w:val="00721CDE"/>
    <w:rsid w:val="0072397A"/>
    <w:rsid w:val="00723F5C"/>
    <w:rsid w:val="007248A2"/>
    <w:rsid w:val="00725BD0"/>
    <w:rsid w:val="007260FC"/>
    <w:rsid w:val="00726990"/>
    <w:rsid w:val="00726C7F"/>
    <w:rsid w:val="00727E80"/>
    <w:rsid w:val="007300B0"/>
    <w:rsid w:val="00730C03"/>
    <w:rsid w:val="007318FD"/>
    <w:rsid w:val="00731FF9"/>
    <w:rsid w:val="00732C61"/>
    <w:rsid w:val="0073344D"/>
    <w:rsid w:val="00735043"/>
    <w:rsid w:val="0073551E"/>
    <w:rsid w:val="00735886"/>
    <w:rsid w:val="007369F5"/>
    <w:rsid w:val="00736BF7"/>
    <w:rsid w:val="0073763A"/>
    <w:rsid w:val="0073783F"/>
    <w:rsid w:val="0074005B"/>
    <w:rsid w:val="00741379"/>
    <w:rsid w:val="00741518"/>
    <w:rsid w:val="0074192F"/>
    <w:rsid w:val="00741C93"/>
    <w:rsid w:val="00741EFF"/>
    <w:rsid w:val="007432EA"/>
    <w:rsid w:val="00743517"/>
    <w:rsid w:val="00744442"/>
    <w:rsid w:val="00745253"/>
    <w:rsid w:val="00745AA1"/>
    <w:rsid w:val="00745BB9"/>
    <w:rsid w:val="0074643A"/>
    <w:rsid w:val="00747049"/>
    <w:rsid w:val="00747412"/>
    <w:rsid w:val="00747972"/>
    <w:rsid w:val="00747D83"/>
    <w:rsid w:val="007509EF"/>
    <w:rsid w:val="00750D6E"/>
    <w:rsid w:val="00751ADB"/>
    <w:rsid w:val="00754F83"/>
    <w:rsid w:val="007555E4"/>
    <w:rsid w:val="00756074"/>
    <w:rsid w:val="00756F56"/>
    <w:rsid w:val="00757C04"/>
    <w:rsid w:val="00757CCB"/>
    <w:rsid w:val="007612AA"/>
    <w:rsid w:val="0076179F"/>
    <w:rsid w:val="00761866"/>
    <w:rsid w:val="007619FB"/>
    <w:rsid w:val="00761BE9"/>
    <w:rsid w:val="007626BD"/>
    <w:rsid w:val="00765666"/>
    <w:rsid w:val="007657DA"/>
    <w:rsid w:val="00766053"/>
    <w:rsid w:val="00766FA8"/>
    <w:rsid w:val="007703FE"/>
    <w:rsid w:val="00770B14"/>
    <w:rsid w:val="00771928"/>
    <w:rsid w:val="00771B62"/>
    <w:rsid w:val="00773AFA"/>
    <w:rsid w:val="0077449D"/>
    <w:rsid w:val="00774A2E"/>
    <w:rsid w:val="007803E6"/>
    <w:rsid w:val="0078270A"/>
    <w:rsid w:val="00782FD6"/>
    <w:rsid w:val="00783AA6"/>
    <w:rsid w:val="00783BE7"/>
    <w:rsid w:val="00783EC5"/>
    <w:rsid w:val="007856F9"/>
    <w:rsid w:val="0078571B"/>
    <w:rsid w:val="00785D24"/>
    <w:rsid w:val="007865C4"/>
    <w:rsid w:val="00786AAF"/>
    <w:rsid w:val="00787650"/>
    <w:rsid w:val="00787B67"/>
    <w:rsid w:val="00790169"/>
    <w:rsid w:val="007913AE"/>
    <w:rsid w:val="0079247D"/>
    <w:rsid w:val="007928E4"/>
    <w:rsid w:val="00793A0F"/>
    <w:rsid w:val="00796E2A"/>
    <w:rsid w:val="007A05E0"/>
    <w:rsid w:val="007A0C45"/>
    <w:rsid w:val="007A1061"/>
    <w:rsid w:val="007A2386"/>
    <w:rsid w:val="007A3F71"/>
    <w:rsid w:val="007A4712"/>
    <w:rsid w:val="007A703C"/>
    <w:rsid w:val="007A70ED"/>
    <w:rsid w:val="007B015F"/>
    <w:rsid w:val="007B0ECE"/>
    <w:rsid w:val="007B1EC1"/>
    <w:rsid w:val="007B3A08"/>
    <w:rsid w:val="007B4552"/>
    <w:rsid w:val="007B57F7"/>
    <w:rsid w:val="007B5E79"/>
    <w:rsid w:val="007B63C0"/>
    <w:rsid w:val="007B6CE6"/>
    <w:rsid w:val="007B7A72"/>
    <w:rsid w:val="007B7EA9"/>
    <w:rsid w:val="007B7F48"/>
    <w:rsid w:val="007C0C22"/>
    <w:rsid w:val="007C224F"/>
    <w:rsid w:val="007C2EFE"/>
    <w:rsid w:val="007C31F6"/>
    <w:rsid w:val="007C3D21"/>
    <w:rsid w:val="007C4906"/>
    <w:rsid w:val="007C4AA7"/>
    <w:rsid w:val="007C4CD5"/>
    <w:rsid w:val="007C505A"/>
    <w:rsid w:val="007C5632"/>
    <w:rsid w:val="007C5AA4"/>
    <w:rsid w:val="007C5D27"/>
    <w:rsid w:val="007C6900"/>
    <w:rsid w:val="007C786E"/>
    <w:rsid w:val="007C7F40"/>
    <w:rsid w:val="007D03F9"/>
    <w:rsid w:val="007D0D37"/>
    <w:rsid w:val="007D0DF3"/>
    <w:rsid w:val="007D24BF"/>
    <w:rsid w:val="007D273A"/>
    <w:rsid w:val="007D278B"/>
    <w:rsid w:val="007D2B30"/>
    <w:rsid w:val="007D45B8"/>
    <w:rsid w:val="007D4860"/>
    <w:rsid w:val="007D4885"/>
    <w:rsid w:val="007D4E72"/>
    <w:rsid w:val="007D6970"/>
    <w:rsid w:val="007E0C4D"/>
    <w:rsid w:val="007E0FF4"/>
    <w:rsid w:val="007E1A2D"/>
    <w:rsid w:val="007E3DE8"/>
    <w:rsid w:val="007E4194"/>
    <w:rsid w:val="007E45E0"/>
    <w:rsid w:val="007E49AE"/>
    <w:rsid w:val="007E4D96"/>
    <w:rsid w:val="007E4DFA"/>
    <w:rsid w:val="007E4EAF"/>
    <w:rsid w:val="007E5712"/>
    <w:rsid w:val="007E5AA3"/>
    <w:rsid w:val="007E6098"/>
    <w:rsid w:val="007E7615"/>
    <w:rsid w:val="007F0441"/>
    <w:rsid w:val="007F2FD1"/>
    <w:rsid w:val="007F45BE"/>
    <w:rsid w:val="007F4620"/>
    <w:rsid w:val="007F4B0E"/>
    <w:rsid w:val="007F4C67"/>
    <w:rsid w:val="007F52DF"/>
    <w:rsid w:val="007F5C8E"/>
    <w:rsid w:val="007F67F8"/>
    <w:rsid w:val="00800658"/>
    <w:rsid w:val="00800CCB"/>
    <w:rsid w:val="00801357"/>
    <w:rsid w:val="00801EB4"/>
    <w:rsid w:val="00802D21"/>
    <w:rsid w:val="00804137"/>
    <w:rsid w:val="00804285"/>
    <w:rsid w:val="00804C56"/>
    <w:rsid w:val="0080506B"/>
    <w:rsid w:val="00805370"/>
    <w:rsid w:val="008067E0"/>
    <w:rsid w:val="00806EE5"/>
    <w:rsid w:val="00807613"/>
    <w:rsid w:val="008103B5"/>
    <w:rsid w:val="00813BC7"/>
    <w:rsid w:val="008154A5"/>
    <w:rsid w:val="0081594D"/>
    <w:rsid w:val="00815B55"/>
    <w:rsid w:val="00815C56"/>
    <w:rsid w:val="00816250"/>
    <w:rsid w:val="00816AE5"/>
    <w:rsid w:val="00817711"/>
    <w:rsid w:val="00820522"/>
    <w:rsid w:val="00821544"/>
    <w:rsid w:val="008215CB"/>
    <w:rsid w:val="00821660"/>
    <w:rsid w:val="008218A6"/>
    <w:rsid w:val="0082272D"/>
    <w:rsid w:val="008227E3"/>
    <w:rsid w:val="008236B6"/>
    <w:rsid w:val="00823B78"/>
    <w:rsid w:val="00823D73"/>
    <w:rsid w:val="008240C2"/>
    <w:rsid w:val="00824428"/>
    <w:rsid w:val="00824ABE"/>
    <w:rsid w:val="008255BA"/>
    <w:rsid w:val="00825F0C"/>
    <w:rsid w:val="00826E27"/>
    <w:rsid w:val="00826EFD"/>
    <w:rsid w:val="008270C2"/>
    <w:rsid w:val="00827615"/>
    <w:rsid w:val="00827776"/>
    <w:rsid w:val="00830492"/>
    <w:rsid w:val="00830AED"/>
    <w:rsid w:val="008329E9"/>
    <w:rsid w:val="00832C00"/>
    <w:rsid w:val="008338DD"/>
    <w:rsid w:val="00834DE7"/>
    <w:rsid w:val="0083522C"/>
    <w:rsid w:val="008355D8"/>
    <w:rsid w:val="00835AC1"/>
    <w:rsid w:val="00836B07"/>
    <w:rsid w:val="0084018A"/>
    <w:rsid w:val="00841383"/>
    <w:rsid w:val="008416EC"/>
    <w:rsid w:val="008425EF"/>
    <w:rsid w:val="008427F7"/>
    <w:rsid w:val="008429B9"/>
    <w:rsid w:val="00842A3D"/>
    <w:rsid w:val="00843761"/>
    <w:rsid w:val="008446B6"/>
    <w:rsid w:val="0084540C"/>
    <w:rsid w:val="00847521"/>
    <w:rsid w:val="0084775A"/>
    <w:rsid w:val="00850323"/>
    <w:rsid w:val="00850874"/>
    <w:rsid w:val="00850CE9"/>
    <w:rsid w:val="00851001"/>
    <w:rsid w:val="008537D4"/>
    <w:rsid w:val="00855618"/>
    <w:rsid w:val="0085593E"/>
    <w:rsid w:val="00855AAA"/>
    <w:rsid w:val="00856168"/>
    <w:rsid w:val="00857114"/>
    <w:rsid w:val="0086039B"/>
    <w:rsid w:val="008608B6"/>
    <w:rsid w:val="00860F3C"/>
    <w:rsid w:val="00861146"/>
    <w:rsid w:val="00861399"/>
    <w:rsid w:val="00862ECE"/>
    <w:rsid w:val="0086354A"/>
    <w:rsid w:val="00864057"/>
    <w:rsid w:val="00864BF5"/>
    <w:rsid w:val="00867175"/>
    <w:rsid w:val="00867DAD"/>
    <w:rsid w:val="008702A6"/>
    <w:rsid w:val="008711F2"/>
    <w:rsid w:val="00872768"/>
    <w:rsid w:val="00872D74"/>
    <w:rsid w:val="0087300E"/>
    <w:rsid w:val="00873027"/>
    <w:rsid w:val="0087317C"/>
    <w:rsid w:val="00873B6A"/>
    <w:rsid w:val="00874155"/>
    <w:rsid w:val="0087498C"/>
    <w:rsid w:val="008749EA"/>
    <w:rsid w:val="008754C8"/>
    <w:rsid w:val="00875E33"/>
    <w:rsid w:val="00876282"/>
    <w:rsid w:val="0087684C"/>
    <w:rsid w:val="008778F3"/>
    <w:rsid w:val="008802FC"/>
    <w:rsid w:val="008808D8"/>
    <w:rsid w:val="00880C48"/>
    <w:rsid w:val="00880F2D"/>
    <w:rsid w:val="008812F3"/>
    <w:rsid w:val="00881A77"/>
    <w:rsid w:val="00881DDE"/>
    <w:rsid w:val="00882945"/>
    <w:rsid w:val="00883B74"/>
    <w:rsid w:val="00883D71"/>
    <w:rsid w:val="00886573"/>
    <w:rsid w:val="00886FCD"/>
    <w:rsid w:val="008872DC"/>
    <w:rsid w:val="0088764A"/>
    <w:rsid w:val="00887C5F"/>
    <w:rsid w:val="00891E82"/>
    <w:rsid w:val="008922D8"/>
    <w:rsid w:val="008925E0"/>
    <w:rsid w:val="00892BA5"/>
    <w:rsid w:val="008938A4"/>
    <w:rsid w:val="00893E42"/>
    <w:rsid w:val="00895C2D"/>
    <w:rsid w:val="0089605C"/>
    <w:rsid w:val="00897372"/>
    <w:rsid w:val="008A2C93"/>
    <w:rsid w:val="008A4E00"/>
    <w:rsid w:val="008A56BD"/>
    <w:rsid w:val="008A5FA4"/>
    <w:rsid w:val="008A6619"/>
    <w:rsid w:val="008A69C9"/>
    <w:rsid w:val="008A6ADE"/>
    <w:rsid w:val="008A6D39"/>
    <w:rsid w:val="008A7591"/>
    <w:rsid w:val="008B0B9E"/>
    <w:rsid w:val="008B1293"/>
    <w:rsid w:val="008B1B8A"/>
    <w:rsid w:val="008B29AD"/>
    <w:rsid w:val="008B4011"/>
    <w:rsid w:val="008B4106"/>
    <w:rsid w:val="008B422E"/>
    <w:rsid w:val="008B49AF"/>
    <w:rsid w:val="008B4BB7"/>
    <w:rsid w:val="008B7172"/>
    <w:rsid w:val="008B75C7"/>
    <w:rsid w:val="008B78D9"/>
    <w:rsid w:val="008C01FD"/>
    <w:rsid w:val="008C02ED"/>
    <w:rsid w:val="008C0E05"/>
    <w:rsid w:val="008C0EC4"/>
    <w:rsid w:val="008C10BE"/>
    <w:rsid w:val="008C2868"/>
    <w:rsid w:val="008C2A1D"/>
    <w:rsid w:val="008C2FE9"/>
    <w:rsid w:val="008C3394"/>
    <w:rsid w:val="008C3658"/>
    <w:rsid w:val="008C3EC4"/>
    <w:rsid w:val="008C49EC"/>
    <w:rsid w:val="008C4B84"/>
    <w:rsid w:val="008C6A51"/>
    <w:rsid w:val="008C6E51"/>
    <w:rsid w:val="008D138D"/>
    <w:rsid w:val="008D1B58"/>
    <w:rsid w:val="008D1F0A"/>
    <w:rsid w:val="008D29EF"/>
    <w:rsid w:val="008D2F73"/>
    <w:rsid w:val="008D3DA9"/>
    <w:rsid w:val="008D3E9A"/>
    <w:rsid w:val="008D45FC"/>
    <w:rsid w:val="008D5CBA"/>
    <w:rsid w:val="008D744B"/>
    <w:rsid w:val="008E0D26"/>
    <w:rsid w:val="008E1D82"/>
    <w:rsid w:val="008E2181"/>
    <w:rsid w:val="008E21AE"/>
    <w:rsid w:val="008E2EDB"/>
    <w:rsid w:val="008E311D"/>
    <w:rsid w:val="008E35EB"/>
    <w:rsid w:val="008E42AE"/>
    <w:rsid w:val="008E46A6"/>
    <w:rsid w:val="008E474D"/>
    <w:rsid w:val="008E4D7B"/>
    <w:rsid w:val="008E510F"/>
    <w:rsid w:val="008E56A7"/>
    <w:rsid w:val="008E5973"/>
    <w:rsid w:val="008E5A90"/>
    <w:rsid w:val="008E681A"/>
    <w:rsid w:val="008E732C"/>
    <w:rsid w:val="008E777D"/>
    <w:rsid w:val="008F0C20"/>
    <w:rsid w:val="008F170E"/>
    <w:rsid w:val="008F1DB7"/>
    <w:rsid w:val="008F263F"/>
    <w:rsid w:val="008F5B67"/>
    <w:rsid w:val="008F6E60"/>
    <w:rsid w:val="008F7329"/>
    <w:rsid w:val="008F76CC"/>
    <w:rsid w:val="00903446"/>
    <w:rsid w:val="00903B1C"/>
    <w:rsid w:val="009077E7"/>
    <w:rsid w:val="009100C1"/>
    <w:rsid w:val="0091029F"/>
    <w:rsid w:val="00910948"/>
    <w:rsid w:val="00910AA5"/>
    <w:rsid w:val="00910B90"/>
    <w:rsid w:val="00911456"/>
    <w:rsid w:val="00911AE9"/>
    <w:rsid w:val="009133FC"/>
    <w:rsid w:val="009143D9"/>
    <w:rsid w:val="009147B3"/>
    <w:rsid w:val="009159CE"/>
    <w:rsid w:val="009169F4"/>
    <w:rsid w:val="009171C5"/>
    <w:rsid w:val="00917FB9"/>
    <w:rsid w:val="00920B87"/>
    <w:rsid w:val="0092154F"/>
    <w:rsid w:val="009223B2"/>
    <w:rsid w:val="00922C9F"/>
    <w:rsid w:val="00923126"/>
    <w:rsid w:val="00923261"/>
    <w:rsid w:val="00923A7F"/>
    <w:rsid w:val="00924410"/>
    <w:rsid w:val="00924546"/>
    <w:rsid w:val="00925052"/>
    <w:rsid w:val="00926263"/>
    <w:rsid w:val="009262E9"/>
    <w:rsid w:val="009267D8"/>
    <w:rsid w:val="0092695C"/>
    <w:rsid w:val="00926BDC"/>
    <w:rsid w:val="00926D50"/>
    <w:rsid w:val="00930227"/>
    <w:rsid w:val="00931041"/>
    <w:rsid w:val="0093112A"/>
    <w:rsid w:val="009316BF"/>
    <w:rsid w:val="00931ACB"/>
    <w:rsid w:val="009323B9"/>
    <w:rsid w:val="00932D57"/>
    <w:rsid w:val="00932F88"/>
    <w:rsid w:val="009334CB"/>
    <w:rsid w:val="009358FD"/>
    <w:rsid w:val="0093685C"/>
    <w:rsid w:val="00936CD4"/>
    <w:rsid w:val="0093747B"/>
    <w:rsid w:val="00937ADD"/>
    <w:rsid w:val="00937B20"/>
    <w:rsid w:val="0094020D"/>
    <w:rsid w:val="009408AC"/>
    <w:rsid w:val="009409DE"/>
    <w:rsid w:val="0094232B"/>
    <w:rsid w:val="00942EEB"/>
    <w:rsid w:val="00943993"/>
    <w:rsid w:val="00943DBD"/>
    <w:rsid w:val="009440F9"/>
    <w:rsid w:val="00944DBA"/>
    <w:rsid w:val="0094564A"/>
    <w:rsid w:val="00945728"/>
    <w:rsid w:val="00945F5F"/>
    <w:rsid w:val="009466A0"/>
    <w:rsid w:val="0094685F"/>
    <w:rsid w:val="00946C22"/>
    <w:rsid w:val="00950AF3"/>
    <w:rsid w:val="009515F5"/>
    <w:rsid w:val="00952669"/>
    <w:rsid w:val="00952AC3"/>
    <w:rsid w:val="009532DF"/>
    <w:rsid w:val="00953431"/>
    <w:rsid w:val="0095348C"/>
    <w:rsid w:val="009534F1"/>
    <w:rsid w:val="00954629"/>
    <w:rsid w:val="0095511A"/>
    <w:rsid w:val="00955BC3"/>
    <w:rsid w:val="0095616F"/>
    <w:rsid w:val="009571A3"/>
    <w:rsid w:val="009614B1"/>
    <w:rsid w:val="00961F83"/>
    <w:rsid w:val="0096340A"/>
    <w:rsid w:val="00963E79"/>
    <w:rsid w:val="00965ABF"/>
    <w:rsid w:val="00965E11"/>
    <w:rsid w:val="0097064A"/>
    <w:rsid w:val="00970C52"/>
    <w:rsid w:val="00970C88"/>
    <w:rsid w:val="00972F12"/>
    <w:rsid w:val="0097469A"/>
    <w:rsid w:val="00975A7B"/>
    <w:rsid w:val="00976F29"/>
    <w:rsid w:val="0097761F"/>
    <w:rsid w:val="00980380"/>
    <w:rsid w:val="00980FC1"/>
    <w:rsid w:val="00981506"/>
    <w:rsid w:val="00982031"/>
    <w:rsid w:val="00983408"/>
    <w:rsid w:val="00983CC6"/>
    <w:rsid w:val="00984903"/>
    <w:rsid w:val="00984BDD"/>
    <w:rsid w:val="00984CDA"/>
    <w:rsid w:val="00984F9C"/>
    <w:rsid w:val="009862CF"/>
    <w:rsid w:val="00986C7D"/>
    <w:rsid w:val="00986E75"/>
    <w:rsid w:val="00987995"/>
    <w:rsid w:val="00990909"/>
    <w:rsid w:val="00990DAE"/>
    <w:rsid w:val="009917C9"/>
    <w:rsid w:val="00991978"/>
    <w:rsid w:val="0099252A"/>
    <w:rsid w:val="00993824"/>
    <w:rsid w:val="00994C63"/>
    <w:rsid w:val="00995BA0"/>
    <w:rsid w:val="009965F7"/>
    <w:rsid w:val="0099662F"/>
    <w:rsid w:val="009A04D3"/>
    <w:rsid w:val="009A07BE"/>
    <w:rsid w:val="009A23D0"/>
    <w:rsid w:val="009A55A8"/>
    <w:rsid w:val="009A59C2"/>
    <w:rsid w:val="009A59DD"/>
    <w:rsid w:val="009A6C67"/>
    <w:rsid w:val="009A766B"/>
    <w:rsid w:val="009A77C5"/>
    <w:rsid w:val="009A799A"/>
    <w:rsid w:val="009B03FC"/>
    <w:rsid w:val="009B065A"/>
    <w:rsid w:val="009B0D5F"/>
    <w:rsid w:val="009B10C7"/>
    <w:rsid w:val="009B1CF6"/>
    <w:rsid w:val="009B2260"/>
    <w:rsid w:val="009B2491"/>
    <w:rsid w:val="009B3573"/>
    <w:rsid w:val="009B3B52"/>
    <w:rsid w:val="009B48DA"/>
    <w:rsid w:val="009B505B"/>
    <w:rsid w:val="009B6659"/>
    <w:rsid w:val="009B7888"/>
    <w:rsid w:val="009B79E4"/>
    <w:rsid w:val="009C0B67"/>
    <w:rsid w:val="009C0DCA"/>
    <w:rsid w:val="009C16E3"/>
    <w:rsid w:val="009C1C9C"/>
    <w:rsid w:val="009C2838"/>
    <w:rsid w:val="009C3C63"/>
    <w:rsid w:val="009C47F4"/>
    <w:rsid w:val="009C48B3"/>
    <w:rsid w:val="009C4911"/>
    <w:rsid w:val="009C5600"/>
    <w:rsid w:val="009C5796"/>
    <w:rsid w:val="009C6442"/>
    <w:rsid w:val="009C65D5"/>
    <w:rsid w:val="009C6B72"/>
    <w:rsid w:val="009C7188"/>
    <w:rsid w:val="009C7865"/>
    <w:rsid w:val="009D00D8"/>
    <w:rsid w:val="009D1334"/>
    <w:rsid w:val="009D1C72"/>
    <w:rsid w:val="009D1D9C"/>
    <w:rsid w:val="009D21A2"/>
    <w:rsid w:val="009D24D4"/>
    <w:rsid w:val="009D2521"/>
    <w:rsid w:val="009D27B2"/>
    <w:rsid w:val="009D2D08"/>
    <w:rsid w:val="009D2ED5"/>
    <w:rsid w:val="009D4F3F"/>
    <w:rsid w:val="009D5DDE"/>
    <w:rsid w:val="009D61A5"/>
    <w:rsid w:val="009D66DE"/>
    <w:rsid w:val="009D71C7"/>
    <w:rsid w:val="009D79B4"/>
    <w:rsid w:val="009D7E26"/>
    <w:rsid w:val="009D7E68"/>
    <w:rsid w:val="009E042D"/>
    <w:rsid w:val="009E06AB"/>
    <w:rsid w:val="009E0DBB"/>
    <w:rsid w:val="009E1DEB"/>
    <w:rsid w:val="009E2896"/>
    <w:rsid w:val="009E3160"/>
    <w:rsid w:val="009E5536"/>
    <w:rsid w:val="009E56BA"/>
    <w:rsid w:val="009E5B96"/>
    <w:rsid w:val="009E63AF"/>
    <w:rsid w:val="009E7008"/>
    <w:rsid w:val="009E769C"/>
    <w:rsid w:val="009F0E77"/>
    <w:rsid w:val="009F0E8A"/>
    <w:rsid w:val="009F1367"/>
    <w:rsid w:val="009F1410"/>
    <w:rsid w:val="009F1B26"/>
    <w:rsid w:val="009F1DC9"/>
    <w:rsid w:val="009F2F2A"/>
    <w:rsid w:val="009F3BE9"/>
    <w:rsid w:val="009F58A7"/>
    <w:rsid w:val="009F61D7"/>
    <w:rsid w:val="009F6358"/>
    <w:rsid w:val="009F75CE"/>
    <w:rsid w:val="009F790B"/>
    <w:rsid w:val="009F7DA3"/>
    <w:rsid w:val="00A0095D"/>
    <w:rsid w:val="00A00976"/>
    <w:rsid w:val="00A00B1B"/>
    <w:rsid w:val="00A01847"/>
    <w:rsid w:val="00A020DC"/>
    <w:rsid w:val="00A02FF4"/>
    <w:rsid w:val="00A033E6"/>
    <w:rsid w:val="00A0406E"/>
    <w:rsid w:val="00A04C6C"/>
    <w:rsid w:val="00A05436"/>
    <w:rsid w:val="00A06924"/>
    <w:rsid w:val="00A07C15"/>
    <w:rsid w:val="00A104A5"/>
    <w:rsid w:val="00A112FF"/>
    <w:rsid w:val="00A12893"/>
    <w:rsid w:val="00A13881"/>
    <w:rsid w:val="00A13E52"/>
    <w:rsid w:val="00A14D04"/>
    <w:rsid w:val="00A15766"/>
    <w:rsid w:val="00A16E61"/>
    <w:rsid w:val="00A17B22"/>
    <w:rsid w:val="00A2064B"/>
    <w:rsid w:val="00A20B06"/>
    <w:rsid w:val="00A211B8"/>
    <w:rsid w:val="00A21E94"/>
    <w:rsid w:val="00A2325F"/>
    <w:rsid w:val="00A235A2"/>
    <w:rsid w:val="00A23749"/>
    <w:rsid w:val="00A24359"/>
    <w:rsid w:val="00A24594"/>
    <w:rsid w:val="00A25CCE"/>
    <w:rsid w:val="00A266B9"/>
    <w:rsid w:val="00A27AE0"/>
    <w:rsid w:val="00A30ED6"/>
    <w:rsid w:val="00A311E1"/>
    <w:rsid w:val="00A31DCE"/>
    <w:rsid w:val="00A33DEB"/>
    <w:rsid w:val="00A3401E"/>
    <w:rsid w:val="00A3405F"/>
    <w:rsid w:val="00A3445F"/>
    <w:rsid w:val="00A3507E"/>
    <w:rsid w:val="00A35471"/>
    <w:rsid w:val="00A35C4F"/>
    <w:rsid w:val="00A36880"/>
    <w:rsid w:val="00A36C44"/>
    <w:rsid w:val="00A377E9"/>
    <w:rsid w:val="00A40A4A"/>
    <w:rsid w:val="00A40E64"/>
    <w:rsid w:val="00A415C2"/>
    <w:rsid w:val="00A42685"/>
    <w:rsid w:val="00A42B99"/>
    <w:rsid w:val="00A4304F"/>
    <w:rsid w:val="00A439DD"/>
    <w:rsid w:val="00A43AC6"/>
    <w:rsid w:val="00A43B1E"/>
    <w:rsid w:val="00A447F7"/>
    <w:rsid w:val="00A44D01"/>
    <w:rsid w:val="00A44F96"/>
    <w:rsid w:val="00A45F9C"/>
    <w:rsid w:val="00A46B1A"/>
    <w:rsid w:val="00A46E38"/>
    <w:rsid w:val="00A50737"/>
    <w:rsid w:val="00A5104D"/>
    <w:rsid w:val="00A51B26"/>
    <w:rsid w:val="00A51CC4"/>
    <w:rsid w:val="00A51F48"/>
    <w:rsid w:val="00A5281F"/>
    <w:rsid w:val="00A52935"/>
    <w:rsid w:val="00A53466"/>
    <w:rsid w:val="00A536F5"/>
    <w:rsid w:val="00A53D38"/>
    <w:rsid w:val="00A544D8"/>
    <w:rsid w:val="00A54787"/>
    <w:rsid w:val="00A54BE6"/>
    <w:rsid w:val="00A55239"/>
    <w:rsid w:val="00A56355"/>
    <w:rsid w:val="00A565C8"/>
    <w:rsid w:val="00A57351"/>
    <w:rsid w:val="00A609DC"/>
    <w:rsid w:val="00A60CC6"/>
    <w:rsid w:val="00A61388"/>
    <w:rsid w:val="00A61AA8"/>
    <w:rsid w:val="00A61CE3"/>
    <w:rsid w:val="00A630D2"/>
    <w:rsid w:val="00A6445E"/>
    <w:rsid w:val="00A644BD"/>
    <w:rsid w:val="00A64FAE"/>
    <w:rsid w:val="00A65287"/>
    <w:rsid w:val="00A65746"/>
    <w:rsid w:val="00A65755"/>
    <w:rsid w:val="00A673AB"/>
    <w:rsid w:val="00A67AEE"/>
    <w:rsid w:val="00A70085"/>
    <w:rsid w:val="00A70B72"/>
    <w:rsid w:val="00A73508"/>
    <w:rsid w:val="00A74965"/>
    <w:rsid w:val="00A7712E"/>
    <w:rsid w:val="00A7741B"/>
    <w:rsid w:val="00A77C3D"/>
    <w:rsid w:val="00A80A0E"/>
    <w:rsid w:val="00A81DE9"/>
    <w:rsid w:val="00A81FF7"/>
    <w:rsid w:val="00A822EC"/>
    <w:rsid w:val="00A835F5"/>
    <w:rsid w:val="00A836A9"/>
    <w:rsid w:val="00A8507C"/>
    <w:rsid w:val="00A852C4"/>
    <w:rsid w:val="00A85519"/>
    <w:rsid w:val="00A867E6"/>
    <w:rsid w:val="00A87811"/>
    <w:rsid w:val="00A8791C"/>
    <w:rsid w:val="00A87EF0"/>
    <w:rsid w:val="00A91CF7"/>
    <w:rsid w:val="00A92250"/>
    <w:rsid w:val="00A94429"/>
    <w:rsid w:val="00A948BF"/>
    <w:rsid w:val="00A9556B"/>
    <w:rsid w:val="00A95637"/>
    <w:rsid w:val="00A95B87"/>
    <w:rsid w:val="00A95F7B"/>
    <w:rsid w:val="00A967D3"/>
    <w:rsid w:val="00A9709B"/>
    <w:rsid w:val="00A97AEC"/>
    <w:rsid w:val="00AA01F7"/>
    <w:rsid w:val="00AA165D"/>
    <w:rsid w:val="00AA1E21"/>
    <w:rsid w:val="00AA1FF5"/>
    <w:rsid w:val="00AA2D9D"/>
    <w:rsid w:val="00AA39B0"/>
    <w:rsid w:val="00AA3DD7"/>
    <w:rsid w:val="00AA75D4"/>
    <w:rsid w:val="00AA75DC"/>
    <w:rsid w:val="00AA79A1"/>
    <w:rsid w:val="00AA7E4C"/>
    <w:rsid w:val="00AB1856"/>
    <w:rsid w:val="00AB2572"/>
    <w:rsid w:val="00AB3785"/>
    <w:rsid w:val="00AB3C22"/>
    <w:rsid w:val="00AB4721"/>
    <w:rsid w:val="00AB4D1E"/>
    <w:rsid w:val="00AB5FF8"/>
    <w:rsid w:val="00AB6091"/>
    <w:rsid w:val="00AB7618"/>
    <w:rsid w:val="00AC03B1"/>
    <w:rsid w:val="00AC03BE"/>
    <w:rsid w:val="00AC0A86"/>
    <w:rsid w:val="00AC0C5D"/>
    <w:rsid w:val="00AC27D8"/>
    <w:rsid w:val="00AC3A6A"/>
    <w:rsid w:val="00AC3B94"/>
    <w:rsid w:val="00AC44F8"/>
    <w:rsid w:val="00AC4B70"/>
    <w:rsid w:val="00AC598D"/>
    <w:rsid w:val="00AC5A1C"/>
    <w:rsid w:val="00AC5A68"/>
    <w:rsid w:val="00AC6F82"/>
    <w:rsid w:val="00AC739B"/>
    <w:rsid w:val="00AC7E75"/>
    <w:rsid w:val="00AC7FC5"/>
    <w:rsid w:val="00AD0AE8"/>
    <w:rsid w:val="00AD1251"/>
    <w:rsid w:val="00AD2C66"/>
    <w:rsid w:val="00AD3BA1"/>
    <w:rsid w:val="00AD4D9F"/>
    <w:rsid w:val="00AD4FF5"/>
    <w:rsid w:val="00AD566F"/>
    <w:rsid w:val="00AD617C"/>
    <w:rsid w:val="00AD682C"/>
    <w:rsid w:val="00AD6DD7"/>
    <w:rsid w:val="00AD6F97"/>
    <w:rsid w:val="00AD7BC4"/>
    <w:rsid w:val="00AD7DDF"/>
    <w:rsid w:val="00AE07DA"/>
    <w:rsid w:val="00AE10AC"/>
    <w:rsid w:val="00AE1597"/>
    <w:rsid w:val="00AE1A74"/>
    <w:rsid w:val="00AE2077"/>
    <w:rsid w:val="00AE303D"/>
    <w:rsid w:val="00AE3412"/>
    <w:rsid w:val="00AE415B"/>
    <w:rsid w:val="00AE49C9"/>
    <w:rsid w:val="00AE4ACB"/>
    <w:rsid w:val="00AE5755"/>
    <w:rsid w:val="00AE5B84"/>
    <w:rsid w:val="00AE7EC6"/>
    <w:rsid w:val="00AF0E9D"/>
    <w:rsid w:val="00AF1F5D"/>
    <w:rsid w:val="00AF2034"/>
    <w:rsid w:val="00AF2BD4"/>
    <w:rsid w:val="00AF2D1E"/>
    <w:rsid w:val="00AF3ADA"/>
    <w:rsid w:val="00AF3C92"/>
    <w:rsid w:val="00AF4979"/>
    <w:rsid w:val="00AF4AEF"/>
    <w:rsid w:val="00AF51FC"/>
    <w:rsid w:val="00AF599A"/>
    <w:rsid w:val="00AF5C74"/>
    <w:rsid w:val="00AF5F82"/>
    <w:rsid w:val="00AF6CB0"/>
    <w:rsid w:val="00AF6F2E"/>
    <w:rsid w:val="00AF72C6"/>
    <w:rsid w:val="00B01423"/>
    <w:rsid w:val="00B02412"/>
    <w:rsid w:val="00B02819"/>
    <w:rsid w:val="00B04704"/>
    <w:rsid w:val="00B053FF"/>
    <w:rsid w:val="00B05C17"/>
    <w:rsid w:val="00B061AF"/>
    <w:rsid w:val="00B07342"/>
    <w:rsid w:val="00B07ABF"/>
    <w:rsid w:val="00B10719"/>
    <w:rsid w:val="00B108A4"/>
    <w:rsid w:val="00B11046"/>
    <w:rsid w:val="00B11217"/>
    <w:rsid w:val="00B1139B"/>
    <w:rsid w:val="00B11B9A"/>
    <w:rsid w:val="00B11EE4"/>
    <w:rsid w:val="00B13DD8"/>
    <w:rsid w:val="00B14687"/>
    <w:rsid w:val="00B146B3"/>
    <w:rsid w:val="00B15452"/>
    <w:rsid w:val="00B1623A"/>
    <w:rsid w:val="00B170C9"/>
    <w:rsid w:val="00B17A39"/>
    <w:rsid w:val="00B21476"/>
    <w:rsid w:val="00B21935"/>
    <w:rsid w:val="00B21E3A"/>
    <w:rsid w:val="00B21F7F"/>
    <w:rsid w:val="00B23FEC"/>
    <w:rsid w:val="00B2470C"/>
    <w:rsid w:val="00B256BE"/>
    <w:rsid w:val="00B25EB9"/>
    <w:rsid w:val="00B275AD"/>
    <w:rsid w:val="00B27989"/>
    <w:rsid w:val="00B3078E"/>
    <w:rsid w:val="00B3110C"/>
    <w:rsid w:val="00B31509"/>
    <w:rsid w:val="00B31A60"/>
    <w:rsid w:val="00B31BB3"/>
    <w:rsid w:val="00B325F4"/>
    <w:rsid w:val="00B3321A"/>
    <w:rsid w:val="00B33916"/>
    <w:rsid w:val="00B33C9D"/>
    <w:rsid w:val="00B344F9"/>
    <w:rsid w:val="00B35095"/>
    <w:rsid w:val="00B3605A"/>
    <w:rsid w:val="00B36A9C"/>
    <w:rsid w:val="00B36FEA"/>
    <w:rsid w:val="00B37743"/>
    <w:rsid w:val="00B3775A"/>
    <w:rsid w:val="00B3776A"/>
    <w:rsid w:val="00B402CD"/>
    <w:rsid w:val="00B406BE"/>
    <w:rsid w:val="00B41924"/>
    <w:rsid w:val="00B41C8E"/>
    <w:rsid w:val="00B42F98"/>
    <w:rsid w:val="00B43372"/>
    <w:rsid w:val="00B43E2B"/>
    <w:rsid w:val="00B44736"/>
    <w:rsid w:val="00B4592C"/>
    <w:rsid w:val="00B4698C"/>
    <w:rsid w:val="00B476FB"/>
    <w:rsid w:val="00B5238D"/>
    <w:rsid w:val="00B52D24"/>
    <w:rsid w:val="00B53753"/>
    <w:rsid w:val="00B53BCA"/>
    <w:rsid w:val="00B54AE0"/>
    <w:rsid w:val="00B54C2F"/>
    <w:rsid w:val="00B56112"/>
    <w:rsid w:val="00B566D5"/>
    <w:rsid w:val="00B56FFC"/>
    <w:rsid w:val="00B60ACA"/>
    <w:rsid w:val="00B61F8E"/>
    <w:rsid w:val="00B620AF"/>
    <w:rsid w:val="00B6246D"/>
    <w:rsid w:val="00B624D6"/>
    <w:rsid w:val="00B62813"/>
    <w:rsid w:val="00B62D29"/>
    <w:rsid w:val="00B6413E"/>
    <w:rsid w:val="00B642D8"/>
    <w:rsid w:val="00B647A9"/>
    <w:rsid w:val="00B65C18"/>
    <w:rsid w:val="00B66520"/>
    <w:rsid w:val="00B669AD"/>
    <w:rsid w:val="00B6797B"/>
    <w:rsid w:val="00B70AE3"/>
    <w:rsid w:val="00B71780"/>
    <w:rsid w:val="00B7272F"/>
    <w:rsid w:val="00B72EDB"/>
    <w:rsid w:val="00B7339A"/>
    <w:rsid w:val="00B739EC"/>
    <w:rsid w:val="00B73C6D"/>
    <w:rsid w:val="00B74C1D"/>
    <w:rsid w:val="00B7564E"/>
    <w:rsid w:val="00B75BF2"/>
    <w:rsid w:val="00B765B3"/>
    <w:rsid w:val="00B76B79"/>
    <w:rsid w:val="00B76BDB"/>
    <w:rsid w:val="00B77EBA"/>
    <w:rsid w:val="00B77F92"/>
    <w:rsid w:val="00B82084"/>
    <w:rsid w:val="00B8307A"/>
    <w:rsid w:val="00B83807"/>
    <w:rsid w:val="00B848F8"/>
    <w:rsid w:val="00B84A39"/>
    <w:rsid w:val="00B8529F"/>
    <w:rsid w:val="00B85639"/>
    <w:rsid w:val="00B85C69"/>
    <w:rsid w:val="00B86607"/>
    <w:rsid w:val="00B8681B"/>
    <w:rsid w:val="00B9075C"/>
    <w:rsid w:val="00B90F81"/>
    <w:rsid w:val="00B921D7"/>
    <w:rsid w:val="00B922AE"/>
    <w:rsid w:val="00B926AF"/>
    <w:rsid w:val="00B92C76"/>
    <w:rsid w:val="00B95099"/>
    <w:rsid w:val="00B9582E"/>
    <w:rsid w:val="00B96949"/>
    <w:rsid w:val="00B97053"/>
    <w:rsid w:val="00B9730E"/>
    <w:rsid w:val="00B97F42"/>
    <w:rsid w:val="00BA0519"/>
    <w:rsid w:val="00BA0C39"/>
    <w:rsid w:val="00BA1CB2"/>
    <w:rsid w:val="00BA1CB9"/>
    <w:rsid w:val="00BA395A"/>
    <w:rsid w:val="00BA40B7"/>
    <w:rsid w:val="00BA4397"/>
    <w:rsid w:val="00BA47B3"/>
    <w:rsid w:val="00BA538C"/>
    <w:rsid w:val="00BA581E"/>
    <w:rsid w:val="00BA5860"/>
    <w:rsid w:val="00BA6E9D"/>
    <w:rsid w:val="00BA721D"/>
    <w:rsid w:val="00BA7B0E"/>
    <w:rsid w:val="00BB00D2"/>
    <w:rsid w:val="00BB01D5"/>
    <w:rsid w:val="00BB020F"/>
    <w:rsid w:val="00BB06AF"/>
    <w:rsid w:val="00BB1793"/>
    <w:rsid w:val="00BB253B"/>
    <w:rsid w:val="00BB3C74"/>
    <w:rsid w:val="00BB46AD"/>
    <w:rsid w:val="00BB572D"/>
    <w:rsid w:val="00BB7003"/>
    <w:rsid w:val="00BB734A"/>
    <w:rsid w:val="00BB7974"/>
    <w:rsid w:val="00BC03CA"/>
    <w:rsid w:val="00BC0A06"/>
    <w:rsid w:val="00BC0D6E"/>
    <w:rsid w:val="00BC1CA0"/>
    <w:rsid w:val="00BC2486"/>
    <w:rsid w:val="00BC273A"/>
    <w:rsid w:val="00BC28A4"/>
    <w:rsid w:val="00BC2A74"/>
    <w:rsid w:val="00BC3D28"/>
    <w:rsid w:val="00BC4638"/>
    <w:rsid w:val="00BC49D8"/>
    <w:rsid w:val="00BC49EA"/>
    <w:rsid w:val="00BC5355"/>
    <w:rsid w:val="00BC6C48"/>
    <w:rsid w:val="00BC6F10"/>
    <w:rsid w:val="00BC7189"/>
    <w:rsid w:val="00BC74D7"/>
    <w:rsid w:val="00BD016F"/>
    <w:rsid w:val="00BD0C9F"/>
    <w:rsid w:val="00BD1165"/>
    <w:rsid w:val="00BD1461"/>
    <w:rsid w:val="00BD1DD9"/>
    <w:rsid w:val="00BD2B19"/>
    <w:rsid w:val="00BD2C07"/>
    <w:rsid w:val="00BD2D14"/>
    <w:rsid w:val="00BD3A45"/>
    <w:rsid w:val="00BD49E8"/>
    <w:rsid w:val="00BD5064"/>
    <w:rsid w:val="00BD5385"/>
    <w:rsid w:val="00BD6D2C"/>
    <w:rsid w:val="00BD726A"/>
    <w:rsid w:val="00BE079A"/>
    <w:rsid w:val="00BE08D9"/>
    <w:rsid w:val="00BE0BA2"/>
    <w:rsid w:val="00BE1888"/>
    <w:rsid w:val="00BE19B0"/>
    <w:rsid w:val="00BE2085"/>
    <w:rsid w:val="00BE27CC"/>
    <w:rsid w:val="00BE2D84"/>
    <w:rsid w:val="00BE2F95"/>
    <w:rsid w:val="00BE4AAB"/>
    <w:rsid w:val="00BE4F39"/>
    <w:rsid w:val="00BE692F"/>
    <w:rsid w:val="00BF0216"/>
    <w:rsid w:val="00BF0845"/>
    <w:rsid w:val="00BF08D2"/>
    <w:rsid w:val="00BF186E"/>
    <w:rsid w:val="00BF24B7"/>
    <w:rsid w:val="00BF270E"/>
    <w:rsid w:val="00BF340F"/>
    <w:rsid w:val="00BF37A7"/>
    <w:rsid w:val="00BF3B3A"/>
    <w:rsid w:val="00BF41D3"/>
    <w:rsid w:val="00BF4863"/>
    <w:rsid w:val="00BF7065"/>
    <w:rsid w:val="00BF78BE"/>
    <w:rsid w:val="00C003A2"/>
    <w:rsid w:val="00C00C4F"/>
    <w:rsid w:val="00C00C87"/>
    <w:rsid w:val="00C015A6"/>
    <w:rsid w:val="00C016D8"/>
    <w:rsid w:val="00C01DB2"/>
    <w:rsid w:val="00C02974"/>
    <w:rsid w:val="00C03225"/>
    <w:rsid w:val="00C05375"/>
    <w:rsid w:val="00C062C5"/>
    <w:rsid w:val="00C07260"/>
    <w:rsid w:val="00C07985"/>
    <w:rsid w:val="00C1011C"/>
    <w:rsid w:val="00C101D7"/>
    <w:rsid w:val="00C10D85"/>
    <w:rsid w:val="00C12974"/>
    <w:rsid w:val="00C12BD7"/>
    <w:rsid w:val="00C13D3A"/>
    <w:rsid w:val="00C1508A"/>
    <w:rsid w:val="00C1539D"/>
    <w:rsid w:val="00C158F5"/>
    <w:rsid w:val="00C1604C"/>
    <w:rsid w:val="00C16674"/>
    <w:rsid w:val="00C16891"/>
    <w:rsid w:val="00C170A7"/>
    <w:rsid w:val="00C179A2"/>
    <w:rsid w:val="00C20A57"/>
    <w:rsid w:val="00C21113"/>
    <w:rsid w:val="00C21987"/>
    <w:rsid w:val="00C2198E"/>
    <w:rsid w:val="00C21FD9"/>
    <w:rsid w:val="00C22557"/>
    <w:rsid w:val="00C22DAD"/>
    <w:rsid w:val="00C230ED"/>
    <w:rsid w:val="00C23766"/>
    <w:rsid w:val="00C24F95"/>
    <w:rsid w:val="00C25079"/>
    <w:rsid w:val="00C255D1"/>
    <w:rsid w:val="00C25C1D"/>
    <w:rsid w:val="00C2606D"/>
    <w:rsid w:val="00C319AF"/>
    <w:rsid w:val="00C3232D"/>
    <w:rsid w:val="00C3257C"/>
    <w:rsid w:val="00C330FF"/>
    <w:rsid w:val="00C3378F"/>
    <w:rsid w:val="00C3381F"/>
    <w:rsid w:val="00C34CFD"/>
    <w:rsid w:val="00C35391"/>
    <w:rsid w:val="00C35F5F"/>
    <w:rsid w:val="00C37E01"/>
    <w:rsid w:val="00C400B5"/>
    <w:rsid w:val="00C40158"/>
    <w:rsid w:val="00C40B78"/>
    <w:rsid w:val="00C412CC"/>
    <w:rsid w:val="00C43115"/>
    <w:rsid w:val="00C431BE"/>
    <w:rsid w:val="00C435FA"/>
    <w:rsid w:val="00C44600"/>
    <w:rsid w:val="00C453AD"/>
    <w:rsid w:val="00C4602D"/>
    <w:rsid w:val="00C4621D"/>
    <w:rsid w:val="00C471D3"/>
    <w:rsid w:val="00C47527"/>
    <w:rsid w:val="00C5077A"/>
    <w:rsid w:val="00C50A6A"/>
    <w:rsid w:val="00C50DB7"/>
    <w:rsid w:val="00C51460"/>
    <w:rsid w:val="00C51AA5"/>
    <w:rsid w:val="00C524AC"/>
    <w:rsid w:val="00C5351F"/>
    <w:rsid w:val="00C53E40"/>
    <w:rsid w:val="00C5465D"/>
    <w:rsid w:val="00C557EE"/>
    <w:rsid w:val="00C55CA5"/>
    <w:rsid w:val="00C56845"/>
    <w:rsid w:val="00C5685B"/>
    <w:rsid w:val="00C570A2"/>
    <w:rsid w:val="00C60664"/>
    <w:rsid w:val="00C60B61"/>
    <w:rsid w:val="00C61574"/>
    <w:rsid w:val="00C645E2"/>
    <w:rsid w:val="00C65232"/>
    <w:rsid w:val="00C6664C"/>
    <w:rsid w:val="00C6674B"/>
    <w:rsid w:val="00C66CCC"/>
    <w:rsid w:val="00C67D1F"/>
    <w:rsid w:val="00C67E5D"/>
    <w:rsid w:val="00C702C1"/>
    <w:rsid w:val="00C703AD"/>
    <w:rsid w:val="00C70B20"/>
    <w:rsid w:val="00C70C3A"/>
    <w:rsid w:val="00C70E1C"/>
    <w:rsid w:val="00C722A1"/>
    <w:rsid w:val="00C74E37"/>
    <w:rsid w:val="00C80AEE"/>
    <w:rsid w:val="00C811FC"/>
    <w:rsid w:val="00C8233D"/>
    <w:rsid w:val="00C82440"/>
    <w:rsid w:val="00C82535"/>
    <w:rsid w:val="00C831D5"/>
    <w:rsid w:val="00C83411"/>
    <w:rsid w:val="00C836C7"/>
    <w:rsid w:val="00C83B76"/>
    <w:rsid w:val="00C84CDC"/>
    <w:rsid w:val="00C8560A"/>
    <w:rsid w:val="00C86A40"/>
    <w:rsid w:val="00C87407"/>
    <w:rsid w:val="00C8745F"/>
    <w:rsid w:val="00C875F8"/>
    <w:rsid w:val="00C8767B"/>
    <w:rsid w:val="00C87DA2"/>
    <w:rsid w:val="00C87F28"/>
    <w:rsid w:val="00C903DA"/>
    <w:rsid w:val="00C903FF"/>
    <w:rsid w:val="00C90714"/>
    <w:rsid w:val="00C915AF"/>
    <w:rsid w:val="00C91B3D"/>
    <w:rsid w:val="00C92CA1"/>
    <w:rsid w:val="00C92D64"/>
    <w:rsid w:val="00C93592"/>
    <w:rsid w:val="00C94291"/>
    <w:rsid w:val="00C94306"/>
    <w:rsid w:val="00C948A7"/>
    <w:rsid w:val="00C958C3"/>
    <w:rsid w:val="00C9724B"/>
    <w:rsid w:val="00C97F4B"/>
    <w:rsid w:val="00CA065D"/>
    <w:rsid w:val="00CA1923"/>
    <w:rsid w:val="00CA34EE"/>
    <w:rsid w:val="00CA3D48"/>
    <w:rsid w:val="00CA40E2"/>
    <w:rsid w:val="00CA522B"/>
    <w:rsid w:val="00CA5C73"/>
    <w:rsid w:val="00CA5D02"/>
    <w:rsid w:val="00CA5EC8"/>
    <w:rsid w:val="00CA61F4"/>
    <w:rsid w:val="00CA745E"/>
    <w:rsid w:val="00CB001A"/>
    <w:rsid w:val="00CB00B8"/>
    <w:rsid w:val="00CB168A"/>
    <w:rsid w:val="00CB1717"/>
    <w:rsid w:val="00CB1924"/>
    <w:rsid w:val="00CB1E5F"/>
    <w:rsid w:val="00CB1F2D"/>
    <w:rsid w:val="00CB2DD0"/>
    <w:rsid w:val="00CB4755"/>
    <w:rsid w:val="00CB480B"/>
    <w:rsid w:val="00CB6057"/>
    <w:rsid w:val="00CB68FB"/>
    <w:rsid w:val="00CB6FC3"/>
    <w:rsid w:val="00CB74EF"/>
    <w:rsid w:val="00CB7772"/>
    <w:rsid w:val="00CB7FC7"/>
    <w:rsid w:val="00CC24F6"/>
    <w:rsid w:val="00CC3590"/>
    <w:rsid w:val="00CC3B30"/>
    <w:rsid w:val="00CC5D7C"/>
    <w:rsid w:val="00CC7BD3"/>
    <w:rsid w:val="00CD0D5A"/>
    <w:rsid w:val="00CD197F"/>
    <w:rsid w:val="00CD2980"/>
    <w:rsid w:val="00CD2DCB"/>
    <w:rsid w:val="00CD2FB3"/>
    <w:rsid w:val="00CD379D"/>
    <w:rsid w:val="00CD3AF1"/>
    <w:rsid w:val="00CD3E4D"/>
    <w:rsid w:val="00CD55CC"/>
    <w:rsid w:val="00CD573B"/>
    <w:rsid w:val="00CD5BAD"/>
    <w:rsid w:val="00CD601C"/>
    <w:rsid w:val="00CD625A"/>
    <w:rsid w:val="00CD65AB"/>
    <w:rsid w:val="00CD6B64"/>
    <w:rsid w:val="00CD6C75"/>
    <w:rsid w:val="00CD721B"/>
    <w:rsid w:val="00CD7DAB"/>
    <w:rsid w:val="00CE00F6"/>
    <w:rsid w:val="00CE05E7"/>
    <w:rsid w:val="00CE09F6"/>
    <w:rsid w:val="00CE12E9"/>
    <w:rsid w:val="00CE14AC"/>
    <w:rsid w:val="00CE1C09"/>
    <w:rsid w:val="00CE2153"/>
    <w:rsid w:val="00CE39C1"/>
    <w:rsid w:val="00CE4239"/>
    <w:rsid w:val="00CE53E8"/>
    <w:rsid w:val="00CE56EB"/>
    <w:rsid w:val="00CE6352"/>
    <w:rsid w:val="00CE73FB"/>
    <w:rsid w:val="00CE797F"/>
    <w:rsid w:val="00CF05F7"/>
    <w:rsid w:val="00CF0633"/>
    <w:rsid w:val="00CF1865"/>
    <w:rsid w:val="00CF2991"/>
    <w:rsid w:val="00CF38DD"/>
    <w:rsid w:val="00CF42F7"/>
    <w:rsid w:val="00CF5902"/>
    <w:rsid w:val="00CF687B"/>
    <w:rsid w:val="00CF74D4"/>
    <w:rsid w:val="00CF7A8E"/>
    <w:rsid w:val="00D00A46"/>
    <w:rsid w:val="00D012A4"/>
    <w:rsid w:val="00D0299D"/>
    <w:rsid w:val="00D02A0C"/>
    <w:rsid w:val="00D02B25"/>
    <w:rsid w:val="00D03721"/>
    <w:rsid w:val="00D042F0"/>
    <w:rsid w:val="00D0508F"/>
    <w:rsid w:val="00D057A7"/>
    <w:rsid w:val="00D06B5C"/>
    <w:rsid w:val="00D0748E"/>
    <w:rsid w:val="00D07887"/>
    <w:rsid w:val="00D07BCE"/>
    <w:rsid w:val="00D10939"/>
    <w:rsid w:val="00D10FCD"/>
    <w:rsid w:val="00D11349"/>
    <w:rsid w:val="00D12A55"/>
    <w:rsid w:val="00D13EF9"/>
    <w:rsid w:val="00D14B83"/>
    <w:rsid w:val="00D1515B"/>
    <w:rsid w:val="00D15241"/>
    <w:rsid w:val="00D15C25"/>
    <w:rsid w:val="00D17D9F"/>
    <w:rsid w:val="00D17DA4"/>
    <w:rsid w:val="00D224DB"/>
    <w:rsid w:val="00D25381"/>
    <w:rsid w:val="00D255D5"/>
    <w:rsid w:val="00D259ED"/>
    <w:rsid w:val="00D2635B"/>
    <w:rsid w:val="00D27035"/>
    <w:rsid w:val="00D27B65"/>
    <w:rsid w:val="00D301AC"/>
    <w:rsid w:val="00D30442"/>
    <w:rsid w:val="00D3057F"/>
    <w:rsid w:val="00D31B03"/>
    <w:rsid w:val="00D31D63"/>
    <w:rsid w:val="00D325E7"/>
    <w:rsid w:val="00D33081"/>
    <w:rsid w:val="00D339DE"/>
    <w:rsid w:val="00D33CC9"/>
    <w:rsid w:val="00D34801"/>
    <w:rsid w:val="00D3618F"/>
    <w:rsid w:val="00D368F1"/>
    <w:rsid w:val="00D37E51"/>
    <w:rsid w:val="00D43629"/>
    <w:rsid w:val="00D437C2"/>
    <w:rsid w:val="00D44664"/>
    <w:rsid w:val="00D458B9"/>
    <w:rsid w:val="00D46FFD"/>
    <w:rsid w:val="00D47089"/>
    <w:rsid w:val="00D47AA5"/>
    <w:rsid w:val="00D503E7"/>
    <w:rsid w:val="00D50F43"/>
    <w:rsid w:val="00D520F2"/>
    <w:rsid w:val="00D524AC"/>
    <w:rsid w:val="00D52F51"/>
    <w:rsid w:val="00D53320"/>
    <w:rsid w:val="00D54177"/>
    <w:rsid w:val="00D54216"/>
    <w:rsid w:val="00D556D8"/>
    <w:rsid w:val="00D56B5D"/>
    <w:rsid w:val="00D56D74"/>
    <w:rsid w:val="00D60A41"/>
    <w:rsid w:val="00D61205"/>
    <w:rsid w:val="00D61646"/>
    <w:rsid w:val="00D61CB8"/>
    <w:rsid w:val="00D6271F"/>
    <w:rsid w:val="00D634F9"/>
    <w:rsid w:val="00D6395F"/>
    <w:rsid w:val="00D640A7"/>
    <w:rsid w:val="00D642F1"/>
    <w:rsid w:val="00D65276"/>
    <w:rsid w:val="00D65D01"/>
    <w:rsid w:val="00D65D48"/>
    <w:rsid w:val="00D65E3C"/>
    <w:rsid w:val="00D65E53"/>
    <w:rsid w:val="00D66050"/>
    <w:rsid w:val="00D6750A"/>
    <w:rsid w:val="00D67F1A"/>
    <w:rsid w:val="00D67FE9"/>
    <w:rsid w:val="00D7098C"/>
    <w:rsid w:val="00D71B07"/>
    <w:rsid w:val="00D72629"/>
    <w:rsid w:val="00D732C5"/>
    <w:rsid w:val="00D7385D"/>
    <w:rsid w:val="00D752A6"/>
    <w:rsid w:val="00D756E7"/>
    <w:rsid w:val="00D759D1"/>
    <w:rsid w:val="00D76453"/>
    <w:rsid w:val="00D76723"/>
    <w:rsid w:val="00D76EAA"/>
    <w:rsid w:val="00D7720D"/>
    <w:rsid w:val="00D77743"/>
    <w:rsid w:val="00D77933"/>
    <w:rsid w:val="00D809A8"/>
    <w:rsid w:val="00D80ACF"/>
    <w:rsid w:val="00D80F74"/>
    <w:rsid w:val="00D81544"/>
    <w:rsid w:val="00D818B2"/>
    <w:rsid w:val="00D8272A"/>
    <w:rsid w:val="00D8290B"/>
    <w:rsid w:val="00D82CF1"/>
    <w:rsid w:val="00D82E97"/>
    <w:rsid w:val="00D8348B"/>
    <w:rsid w:val="00D8385F"/>
    <w:rsid w:val="00D850ED"/>
    <w:rsid w:val="00D865A8"/>
    <w:rsid w:val="00D86C5C"/>
    <w:rsid w:val="00D8761B"/>
    <w:rsid w:val="00D8771E"/>
    <w:rsid w:val="00D8777D"/>
    <w:rsid w:val="00D906F8"/>
    <w:rsid w:val="00D914C7"/>
    <w:rsid w:val="00D93172"/>
    <w:rsid w:val="00D9595D"/>
    <w:rsid w:val="00D95CE1"/>
    <w:rsid w:val="00D9673D"/>
    <w:rsid w:val="00D96B4F"/>
    <w:rsid w:val="00D97451"/>
    <w:rsid w:val="00DA02E4"/>
    <w:rsid w:val="00DA11A4"/>
    <w:rsid w:val="00DA16F7"/>
    <w:rsid w:val="00DA17EC"/>
    <w:rsid w:val="00DA1F4D"/>
    <w:rsid w:val="00DA26A6"/>
    <w:rsid w:val="00DA2BF0"/>
    <w:rsid w:val="00DA31DC"/>
    <w:rsid w:val="00DA3C22"/>
    <w:rsid w:val="00DA5849"/>
    <w:rsid w:val="00DA5D0A"/>
    <w:rsid w:val="00DA6052"/>
    <w:rsid w:val="00DA6AF4"/>
    <w:rsid w:val="00DA6B0C"/>
    <w:rsid w:val="00DA7F27"/>
    <w:rsid w:val="00DB078E"/>
    <w:rsid w:val="00DB2172"/>
    <w:rsid w:val="00DB25FA"/>
    <w:rsid w:val="00DB2F07"/>
    <w:rsid w:val="00DB3059"/>
    <w:rsid w:val="00DB3280"/>
    <w:rsid w:val="00DB42D4"/>
    <w:rsid w:val="00DB44B2"/>
    <w:rsid w:val="00DB5571"/>
    <w:rsid w:val="00DB6704"/>
    <w:rsid w:val="00DB6C9F"/>
    <w:rsid w:val="00DB6D9B"/>
    <w:rsid w:val="00DB6F89"/>
    <w:rsid w:val="00DC08D5"/>
    <w:rsid w:val="00DC1B53"/>
    <w:rsid w:val="00DC3471"/>
    <w:rsid w:val="00DC525E"/>
    <w:rsid w:val="00DC5B42"/>
    <w:rsid w:val="00DC680D"/>
    <w:rsid w:val="00DC68C7"/>
    <w:rsid w:val="00DC77EB"/>
    <w:rsid w:val="00DC7C57"/>
    <w:rsid w:val="00DD05AD"/>
    <w:rsid w:val="00DD11B3"/>
    <w:rsid w:val="00DD1401"/>
    <w:rsid w:val="00DD14E3"/>
    <w:rsid w:val="00DD1F4A"/>
    <w:rsid w:val="00DD1F9F"/>
    <w:rsid w:val="00DD2891"/>
    <w:rsid w:val="00DD3316"/>
    <w:rsid w:val="00DD3B19"/>
    <w:rsid w:val="00DD5EB4"/>
    <w:rsid w:val="00DD6E30"/>
    <w:rsid w:val="00DD751F"/>
    <w:rsid w:val="00DE06BA"/>
    <w:rsid w:val="00DE0750"/>
    <w:rsid w:val="00DE1C5C"/>
    <w:rsid w:val="00DE2939"/>
    <w:rsid w:val="00DE4615"/>
    <w:rsid w:val="00DE4CB3"/>
    <w:rsid w:val="00DE53E5"/>
    <w:rsid w:val="00DE5AC3"/>
    <w:rsid w:val="00DE6B87"/>
    <w:rsid w:val="00DE75A7"/>
    <w:rsid w:val="00DF0B5A"/>
    <w:rsid w:val="00DF139F"/>
    <w:rsid w:val="00DF1BAD"/>
    <w:rsid w:val="00DF362B"/>
    <w:rsid w:val="00DF397B"/>
    <w:rsid w:val="00DF3DBD"/>
    <w:rsid w:val="00DF504D"/>
    <w:rsid w:val="00DF63C0"/>
    <w:rsid w:val="00DF64BF"/>
    <w:rsid w:val="00DF7583"/>
    <w:rsid w:val="00DF7656"/>
    <w:rsid w:val="00E000DE"/>
    <w:rsid w:val="00E00332"/>
    <w:rsid w:val="00E00997"/>
    <w:rsid w:val="00E00A92"/>
    <w:rsid w:val="00E00FAB"/>
    <w:rsid w:val="00E032EF"/>
    <w:rsid w:val="00E03506"/>
    <w:rsid w:val="00E0403D"/>
    <w:rsid w:val="00E04986"/>
    <w:rsid w:val="00E04A9D"/>
    <w:rsid w:val="00E04BFC"/>
    <w:rsid w:val="00E05502"/>
    <w:rsid w:val="00E0596A"/>
    <w:rsid w:val="00E0667E"/>
    <w:rsid w:val="00E077AF"/>
    <w:rsid w:val="00E07BAD"/>
    <w:rsid w:val="00E10309"/>
    <w:rsid w:val="00E106CB"/>
    <w:rsid w:val="00E120EF"/>
    <w:rsid w:val="00E12274"/>
    <w:rsid w:val="00E137A5"/>
    <w:rsid w:val="00E13E96"/>
    <w:rsid w:val="00E1414F"/>
    <w:rsid w:val="00E1471B"/>
    <w:rsid w:val="00E14D56"/>
    <w:rsid w:val="00E15861"/>
    <w:rsid w:val="00E162F3"/>
    <w:rsid w:val="00E167CF"/>
    <w:rsid w:val="00E16DAC"/>
    <w:rsid w:val="00E20C11"/>
    <w:rsid w:val="00E2184A"/>
    <w:rsid w:val="00E2213B"/>
    <w:rsid w:val="00E249B8"/>
    <w:rsid w:val="00E24DAA"/>
    <w:rsid w:val="00E251BC"/>
    <w:rsid w:val="00E251D6"/>
    <w:rsid w:val="00E25454"/>
    <w:rsid w:val="00E25AA0"/>
    <w:rsid w:val="00E26A84"/>
    <w:rsid w:val="00E27C21"/>
    <w:rsid w:val="00E27D25"/>
    <w:rsid w:val="00E3018E"/>
    <w:rsid w:val="00E30884"/>
    <w:rsid w:val="00E31751"/>
    <w:rsid w:val="00E31B16"/>
    <w:rsid w:val="00E31E49"/>
    <w:rsid w:val="00E31FAE"/>
    <w:rsid w:val="00E32E1C"/>
    <w:rsid w:val="00E36165"/>
    <w:rsid w:val="00E36423"/>
    <w:rsid w:val="00E365BE"/>
    <w:rsid w:val="00E41920"/>
    <w:rsid w:val="00E42CE3"/>
    <w:rsid w:val="00E42F7F"/>
    <w:rsid w:val="00E438D6"/>
    <w:rsid w:val="00E43E5A"/>
    <w:rsid w:val="00E44F8E"/>
    <w:rsid w:val="00E46463"/>
    <w:rsid w:val="00E473C0"/>
    <w:rsid w:val="00E47804"/>
    <w:rsid w:val="00E47DE4"/>
    <w:rsid w:val="00E513DD"/>
    <w:rsid w:val="00E51C1E"/>
    <w:rsid w:val="00E51DCB"/>
    <w:rsid w:val="00E52D69"/>
    <w:rsid w:val="00E547CC"/>
    <w:rsid w:val="00E55277"/>
    <w:rsid w:val="00E5770B"/>
    <w:rsid w:val="00E5779A"/>
    <w:rsid w:val="00E60295"/>
    <w:rsid w:val="00E60650"/>
    <w:rsid w:val="00E6117C"/>
    <w:rsid w:val="00E61685"/>
    <w:rsid w:val="00E620CE"/>
    <w:rsid w:val="00E629F8"/>
    <w:rsid w:val="00E63105"/>
    <w:rsid w:val="00E6314E"/>
    <w:rsid w:val="00E633EC"/>
    <w:rsid w:val="00E63D6E"/>
    <w:rsid w:val="00E63DFE"/>
    <w:rsid w:val="00E645CA"/>
    <w:rsid w:val="00E64B4D"/>
    <w:rsid w:val="00E653FF"/>
    <w:rsid w:val="00E65971"/>
    <w:rsid w:val="00E66B0A"/>
    <w:rsid w:val="00E67314"/>
    <w:rsid w:val="00E70152"/>
    <w:rsid w:val="00E706BE"/>
    <w:rsid w:val="00E7266A"/>
    <w:rsid w:val="00E72B52"/>
    <w:rsid w:val="00E72D2D"/>
    <w:rsid w:val="00E73168"/>
    <w:rsid w:val="00E736C3"/>
    <w:rsid w:val="00E74641"/>
    <w:rsid w:val="00E74B22"/>
    <w:rsid w:val="00E74F37"/>
    <w:rsid w:val="00E775B5"/>
    <w:rsid w:val="00E77958"/>
    <w:rsid w:val="00E810C0"/>
    <w:rsid w:val="00E8178E"/>
    <w:rsid w:val="00E81E2A"/>
    <w:rsid w:val="00E83545"/>
    <w:rsid w:val="00E83BAA"/>
    <w:rsid w:val="00E84012"/>
    <w:rsid w:val="00E8535A"/>
    <w:rsid w:val="00E8547B"/>
    <w:rsid w:val="00E86593"/>
    <w:rsid w:val="00E86CC5"/>
    <w:rsid w:val="00E86E17"/>
    <w:rsid w:val="00E8702A"/>
    <w:rsid w:val="00E87305"/>
    <w:rsid w:val="00E87AB9"/>
    <w:rsid w:val="00E87F66"/>
    <w:rsid w:val="00E9114D"/>
    <w:rsid w:val="00E9127F"/>
    <w:rsid w:val="00E9168F"/>
    <w:rsid w:val="00E923DC"/>
    <w:rsid w:val="00E92AAC"/>
    <w:rsid w:val="00E92C43"/>
    <w:rsid w:val="00E94166"/>
    <w:rsid w:val="00E9554D"/>
    <w:rsid w:val="00E9598A"/>
    <w:rsid w:val="00E975AF"/>
    <w:rsid w:val="00E9793A"/>
    <w:rsid w:val="00E97CDA"/>
    <w:rsid w:val="00EA137D"/>
    <w:rsid w:val="00EA276D"/>
    <w:rsid w:val="00EA340D"/>
    <w:rsid w:val="00EA3EF7"/>
    <w:rsid w:val="00EA4426"/>
    <w:rsid w:val="00EA5999"/>
    <w:rsid w:val="00EA62B3"/>
    <w:rsid w:val="00EA63B3"/>
    <w:rsid w:val="00EA65F2"/>
    <w:rsid w:val="00EA6795"/>
    <w:rsid w:val="00EA6A80"/>
    <w:rsid w:val="00EA6EE3"/>
    <w:rsid w:val="00EA7666"/>
    <w:rsid w:val="00EA7C92"/>
    <w:rsid w:val="00EA7FC1"/>
    <w:rsid w:val="00EB0BD3"/>
    <w:rsid w:val="00EB0E92"/>
    <w:rsid w:val="00EB0F3C"/>
    <w:rsid w:val="00EB1A00"/>
    <w:rsid w:val="00EB1E2D"/>
    <w:rsid w:val="00EB1EFB"/>
    <w:rsid w:val="00EB2FDB"/>
    <w:rsid w:val="00EB4CA2"/>
    <w:rsid w:val="00EB5E63"/>
    <w:rsid w:val="00EB6BF8"/>
    <w:rsid w:val="00EB72BD"/>
    <w:rsid w:val="00EC1767"/>
    <w:rsid w:val="00EC302F"/>
    <w:rsid w:val="00EC4597"/>
    <w:rsid w:val="00EC4D86"/>
    <w:rsid w:val="00EC533A"/>
    <w:rsid w:val="00EC5369"/>
    <w:rsid w:val="00EC711C"/>
    <w:rsid w:val="00EC76E1"/>
    <w:rsid w:val="00ED183A"/>
    <w:rsid w:val="00ED2FF4"/>
    <w:rsid w:val="00ED37FE"/>
    <w:rsid w:val="00ED452A"/>
    <w:rsid w:val="00ED45D8"/>
    <w:rsid w:val="00ED46BE"/>
    <w:rsid w:val="00ED489D"/>
    <w:rsid w:val="00ED4B23"/>
    <w:rsid w:val="00ED55E0"/>
    <w:rsid w:val="00ED64C2"/>
    <w:rsid w:val="00ED7388"/>
    <w:rsid w:val="00ED7D95"/>
    <w:rsid w:val="00EE08EA"/>
    <w:rsid w:val="00EE2EB8"/>
    <w:rsid w:val="00EE3118"/>
    <w:rsid w:val="00EE410F"/>
    <w:rsid w:val="00EE4944"/>
    <w:rsid w:val="00EE5643"/>
    <w:rsid w:val="00EE5DAF"/>
    <w:rsid w:val="00EE60C0"/>
    <w:rsid w:val="00EE6A96"/>
    <w:rsid w:val="00EE7D0D"/>
    <w:rsid w:val="00EF0040"/>
    <w:rsid w:val="00EF0CE7"/>
    <w:rsid w:val="00EF18C0"/>
    <w:rsid w:val="00EF23BB"/>
    <w:rsid w:val="00EF3B2F"/>
    <w:rsid w:val="00EF48E9"/>
    <w:rsid w:val="00EF4CDF"/>
    <w:rsid w:val="00EF58A2"/>
    <w:rsid w:val="00EF6A1C"/>
    <w:rsid w:val="00EF74CB"/>
    <w:rsid w:val="00EF7589"/>
    <w:rsid w:val="00EF75AD"/>
    <w:rsid w:val="00EF79A7"/>
    <w:rsid w:val="00EF7EEF"/>
    <w:rsid w:val="00F00643"/>
    <w:rsid w:val="00F007D0"/>
    <w:rsid w:val="00F00EDE"/>
    <w:rsid w:val="00F01400"/>
    <w:rsid w:val="00F0189E"/>
    <w:rsid w:val="00F01A84"/>
    <w:rsid w:val="00F02C6E"/>
    <w:rsid w:val="00F04B43"/>
    <w:rsid w:val="00F04E7D"/>
    <w:rsid w:val="00F05C46"/>
    <w:rsid w:val="00F05C5E"/>
    <w:rsid w:val="00F062A8"/>
    <w:rsid w:val="00F06479"/>
    <w:rsid w:val="00F07D23"/>
    <w:rsid w:val="00F07E9A"/>
    <w:rsid w:val="00F10544"/>
    <w:rsid w:val="00F10B94"/>
    <w:rsid w:val="00F1121E"/>
    <w:rsid w:val="00F116C2"/>
    <w:rsid w:val="00F1194E"/>
    <w:rsid w:val="00F11F9B"/>
    <w:rsid w:val="00F12832"/>
    <w:rsid w:val="00F12861"/>
    <w:rsid w:val="00F12C74"/>
    <w:rsid w:val="00F13F1B"/>
    <w:rsid w:val="00F14021"/>
    <w:rsid w:val="00F14394"/>
    <w:rsid w:val="00F151A7"/>
    <w:rsid w:val="00F15CA1"/>
    <w:rsid w:val="00F16B71"/>
    <w:rsid w:val="00F175C6"/>
    <w:rsid w:val="00F21212"/>
    <w:rsid w:val="00F2145D"/>
    <w:rsid w:val="00F21666"/>
    <w:rsid w:val="00F23179"/>
    <w:rsid w:val="00F25647"/>
    <w:rsid w:val="00F25802"/>
    <w:rsid w:val="00F2718A"/>
    <w:rsid w:val="00F276DD"/>
    <w:rsid w:val="00F300E5"/>
    <w:rsid w:val="00F302E9"/>
    <w:rsid w:val="00F3070C"/>
    <w:rsid w:val="00F30E37"/>
    <w:rsid w:val="00F31DD6"/>
    <w:rsid w:val="00F32D9D"/>
    <w:rsid w:val="00F332D8"/>
    <w:rsid w:val="00F336A0"/>
    <w:rsid w:val="00F363C3"/>
    <w:rsid w:val="00F36D66"/>
    <w:rsid w:val="00F405B4"/>
    <w:rsid w:val="00F405D9"/>
    <w:rsid w:val="00F40B0B"/>
    <w:rsid w:val="00F40B79"/>
    <w:rsid w:val="00F40D47"/>
    <w:rsid w:val="00F42045"/>
    <w:rsid w:val="00F42F5A"/>
    <w:rsid w:val="00F4316A"/>
    <w:rsid w:val="00F43FB4"/>
    <w:rsid w:val="00F44571"/>
    <w:rsid w:val="00F44677"/>
    <w:rsid w:val="00F44DEA"/>
    <w:rsid w:val="00F45146"/>
    <w:rsid w:val="00F4641D"/>
    <w:rsid w:val="00F470B6"/>
    <w:rsid w:val="00F47655"/>
    <w:rsid w:val="00F47670"/>
    <w:rsid w:val="00F47B8A"/>
    <w:rsid w:val="00F47CAA"/>
    <w:rsid w:val="00F50163"/>
    <w:rsid w:val="00F507A9"/>
    <w:rsid w:val="00F51634"/>
    <w:rsid w:val="00F52257"/>
    <w:rsid w:val="00F534E9"/>
    <w:rsid w:val="00F538D8"/>
    <w:rsid w:val="00F53F45"/>
    <w:rsid w:val="00F54310"/>
    <w:rsid w:val="00F60849"/>
    <w:rsid w:val="00F6151C"/>
    <w:rsid w:val="00F6197D"/>
    <w:rsid w:val="00F629BD"/>
    <w:rsid w:val="00F63227"/>
    <w:rsid w:val="00F6356E"/>
    <w:rsid w:val="00F63807"/>
    <w:rsid w:val="00F63FD8"/>
    <w:rsid w:val="00F649F2"/>
    <w:rsid w:val="00F65319"/>
    <w:rsid w:val="00F6564F"/>
    <w:rsid w:val="00F65AAF"/>
    <w:rsid w:val="00F65D71"/>
    <w:rsid w:val="00F6636E"/>
    <w:rsid w:val="00F70CAE"/>
    <w:rsid w:val="00F71247"/>
    <w:rsid w:val="00F72D89"/>
    <w:rsid w:val="00F74D7E"/>
    <w:rsid w:val="00F74EF3"/>
    <w:rsid w:val="00F7620D"/>
    <w:rsid w:val="00F7687B"/>
    <w:rsid w:val="00F776C2"/>
    <w:rsid w:val="00F77A9B"/>
    <w:rsid w:val="00F80122"/>
    <w:rsid w:val="00F81CB4"/>
    <w:rsid w:val="00F82907"/>
    <w:rsid w:val="00F82C76"/>
    <w:rsid w:val="00F83BB4"/>
    <w:rsid w:val="00F85571"/>
    <w:rsid w:val="00F85A26"/>
    <w:rsid w:val="00F87057"/>
    <w:rsid w:val="00F8727D"/>
    <w:rsid w:val="00F87FAC"/>
    <w:rsid w:val="00F906CC"/>
    <w:rsid w:val="00F90EE3"/>
    <w:rsid w:val="00F92259"/>
    <w:rsid w:val="00F9231B"/>
    <w:rsid w:val="00F92326"/>
    <w:rsid w:val="00F93E3F"/>
    <w:rsid w:val="00F94BBD"/>
    <w:rsid w:val="00F9582D"/>
    <w:rsid w:val="00F95BC8"/>
    <w:rsid w:val="00F97511"/>
    <w:rsid w:val="00F9768E"/>
    <w:rsid w:val="00FA2B7C"/>
    <w:rsid w:val="00FA314C"/>
    <w:rsid w:val="00FA39CF"/>
    <w:rsid w:val="00FA5388"/>
    <w:rsid w:val="00FA6420"/>
    <w:rsid w:val="00FA71B2"/>
    <w:rsid w:val="00FA71FF"/>
    <w:rsid w:val="00FA75D1"/>
    <w:rsid w:val="00FA78C8"/>
    <w:rsid w:val="00FA7FD2"/>
    <w:rsid w:val="00FB02F2"/>
    <w:rsid w:val="00FB2169"/>
    <w:rsid w:val="00FB4183"/>
    <w:rsid w:val="00FB5BBE"/>
    <w:rsid w:val="00FB6BEC"/>
    <w:rsid w:val="00FB7876"/>
    <w:rsid w:val="00FB7E3D"/>
    <w:rsid w:val="00FC00B1"/>
    <w:rsid w:val="00FC05A3"/>
    <w:rsid w:val="00FC0E29"/>
    <w:rsid w:val="00FC0E42"/>
    <w:rsid w:val="00FC1180"/>
    <w:rsid w:val="00FC119D"/>
    <w:rsid w:val="00FC2C49"/>
    <w:rsid w:val="00FC354D"/>
    <w:rsid w:val="00FC3A62"/>
    <w:rsid w:val="00FC3B40"/>
    <w:rsid w:val="00FC3F05"/>
    <w:rsid w:val="00FC47A6"/>
    <w:rsid w:val="00FC53E9"/>
    <w:rsid w:val="00FC6E46"/>
    <w:rsid w:val="00FC704D"/>
    <w:rsid w:val="00FC71F0"/>
    <w:rsid w:val="00FC723D"/>
    <w:rsid w:val="00FC7C50"/>
    <w:rsid w:val="00FD0230"/>
    <w:rsid w:val="00FD0265"/>
    <w:rsid w:val="00FD0B8C"/>
    <w:rsid w:val="00FD177F"/>
    <w:rsid w:val="00FD1976"/>
    <w:rsid w:val="00FD1E19"/>
    <w:rsid w:val="00FD237C"/>
    <w:rsid w:val="00FD251D"/>
    <w:rsid w:val="00FD3056"/>
    <w:rsid w:val="00FD3D91"/>
    <w:rsid w:val="00FD4A18"/>
    <w:rsid w:val="00FD6C6B"/>
    <w:rsid w:val="00FD7C34"/>
    <w:rsid w:val="00FD7E2A"/>
    <w:rsid w:val="00FE00B7"/>
    <w:rsid w:val="00FE0287"/>
    <w:rsid w:val="00FE076D"/>
    <w:rsid w:val="00FE1134"/>
    <w:rsid w:val="00FE1ADB"/>
    <w:rsid w:val="00FE2A63"/>
    <w:rsid w:val="00FE2BF2"/>
    <w:rsid w:val="00FE3892"/>
    <w:rsid w:val="00FE39FC"/>
    <w:rsid w:val="00FE3AB2"/>
    <w:rsid w:val="00FE3E05"/>
    <w:rsid w:val="00FE4176"/>
    <w:rsid w:val="00FE4474"/>
    <w:rsid w:val="00FE5721"/>
    <w:rsid w:val="00FE6D8B"/>
    <w:rsid w:val="00FE72EE"/>
    <w:rsid w:val="00FE76C8"/>
    <w:rsid w:val="00FE77CC"/>
    <w:rsid w:val="00FF1DFD"/>
    <w:rsid w:val="00FF2ABA"/>
    <w:rsid w:val="00FF3967"/>
    <w:rsid w:val="00FF3EE4"/>
    <w:rsid w:val="00FF4058"/>
    <w:rsid w:val="00FF4534"/>
    <w:rsid w:val="00FF4886"/>
    <w:rsid w:val="00FF4F4C"/>
    <w:rsid w:val="00FF53A9"/>
    <w:rsid w:val="00FF53EE"/>
    <w:rsid w:val="00FF6BCA"/>
    <w:rsid w:val="010057A7"/>
    <w:rsid w:val="010F2882"/>
    <w:rsid w:val="01135302"/>
    <w:rsid w:val="01207B0A"/>
    <w:rsid w:val="01247755"/>
    <w:rsid w:val="01303F65"/>
    <w:rsid w:val="013121A7"/>
    <w:rsid w:val="01312F8E"/>
    <w:rsid w:val="013A09C4"/>
    <w:rsid w:val="013C246A"/>
    <w:rsid w:val="01404261"/>
    <w:rsid w:val="014C5266"/>
    <w:rsid w:val="014D4B6C"/>
    <w:rsid w:val="01677709"/>
    <w:rsid w:val="01683BB5"/>
    <w:rsid w:val="016F2703"/>
    <w:rsid w:val="0183453D"/>
    <w:rsid w:val="018351D3"/>
    <w:rsid w:val="018710A3"/>
    <w:rsid w:val="01A56A78"/>
    <w:rsid w:val="01A7086A"/>
    <w:rsid w:val="01A93A5A"/>
    <w:rsid w:val="01AD7D01"/>
    <w:rsid w:val="01B25A50"/>
    <w:rsid w:val="01E30120"/>
    <w:rsid w:val="01E462AD"/>
    <w:rsid w:val="02060918"/>
    <w:rsid w:val="02293759"/>
    <w:rsid w:val="02315727"/>
    <w:rsid w:val="02575AC1"/>
    <w:rsid w:val="02B43AAA"/>
    <w:rsid w:val="02BE18FE"/>
    <w:rsid w:val="02C32F68"/>
    <w:rsid w:val="02CB078C"/>
    <w:rsid w:val="02F21EEB"/>
    <w:rsid w:val="02FA132F"/>
    <w:rsid w:val="0334599F"/>
    <w:rsid w:val="0335287F"/>
    <w:rsid w:val="03470120"/>
    <w:rsid w:val="034B36B5"/>
    <w:rsid w:val="035C1E81"/>
    <w:rsid w:val="035D7D75"/>
    <w:rsid w:val="035E2DA8"/>
    <w:rsid w:val="035E5F74"/>
    <w:rsid w:val="0365592C"/>
    <w:rsid w:val="036B7E52"/>
    <w:rsid w:val="0372035D"/>
    <w:rsid w:val="037836BC"/>
    <w:rsid w:val="037C7C55"/>
    <w:rsid w:val="03831553"/>
    <w:rsid w:val="038A76A9"/>
    <w:rsid w:val="03B55068"/>
    <w:rsid w:val="03BD1568"/>
    <w:rsid w:val="03D60954"/>
    <w:rsid w:val="03D742FB"/>
    <w:rsid w:val="03ED2838"/>
    <w:rsid w:val="03F75236"/>
    <w:rsid w:val="04302795"/>
    <w:rsid w:val="043729FA"/>
    <w:rsid w:val="044C088B"/>
    <w:rsid w:val="04591A2E"/>
    <w:rsid w:val="0461422D"/>
    <w:rsid w:val="046A060F"/>
    <w:rsid w:val="046C6C01"/>
    <w:rsid w:val="046E7456"/>
    <w:rsid w:val="047D1ED6"/>
    <w:rsid w:val="047F3A66"/>
    <w:rsid w:val="04826CFA"/>
    <w:rsid w:val="04976926"/>
    <w:rsid w:val="04A05494"/>
    <w:rsid w:val="04A41713"/>
    <w:rsid w:val="04A9499D"/>
    <w:rsid w:val="04B45435"/>
    <w:rsid w:val="04D55D13"/>
    <w:rsid w:val="04DC666C"/>
    <w:rsid w:val="04EA5B3C"/>
    <w:rsid w:val="04EC78FC"/>
    <w:rsid w:val="04FF46D6"/>
    <w:rsid w:val="051211C6"/>
    <w:rsid w:val="051E62BF"/>
    <w:rsid w:val="05301C5F"/>
    <w:rsid w:val="053A139C"/>
    <w:rsid w:val="0544626D"/>
    <w:rsid w:val="05447943"/>
    <w:rsid w:val="054D67F1"/>
    <w:rsid w:val="05787CF3"/>
    <w:rsid w:val="057A69BF"/>
    <w:rsid w:val="057B0E62"/>
    <w:rsid w:val="0580785F"/>
    <w:rsid w:val="058571E6"/>
    <w:rsid w:val="0599432F"/>
    <w:rsid w:val="05A141DD"/>
    <w:rsid w:val="05B07478"/>
    <w:rsid w:val="05CB0E27"/>
    <w:rsid w:val="05CC0218"/>
    <w:rsid w:val="05D05124"/>
    <w:rsid w:val="05F33C03"/>
    <w:rsid w:val="0608114D"/>
    <w:rsid w:val="06175254"/>
    <w:rsid w:val="061E66A1"/>
    <w:rsid w:val="063302DF"/>
    <w:rsid w:val="063B4DE4"/>
    <w:rsid w:val="063C7A07"/>
    <w:rsid w:val="065036EF"/>
    <w:rsid w:val="066B151E"/>
    <w:rsid w:val="066E30C6"/>
    <w:rsid w:val="066F5174"/>
    <w:rsid w:val="06706E5D"/>
    <w:rsid w:val="06792D62"/>
    <w:rsid w:val="067D3DF4"/>
    <w:rsid w:val="069A4BAC"/>
    <w:rsid w:val="06A238AF"/>
    <w:rsid w:val="06AD4DCE"/>
    <w:rsid w:val="06C37B46"/>
    <w:rsid w:val="06CA5561"/>
    <w:rsid w:val="06D84107"/>
    <w:rsid w:val="06DA6645"/>
    <w:rsid w:val="06E930F9"/>
    <w:rsid w:val="06F339AF"/>
    <w:rsid w:val="070841B7"/>
    <w:rsid w:val="070E1192"/>
    <w:rsid w:val="07177301"/>
    <w:rsid w:val="073C3F5C"/>
    <w:rsid w:val="075E73A7"/>
    <w:rsid w:val="076707A0"/>
    <w:rsid w:val="076F5347"/>
    <w:rsid w:val="07783D1B"/>
    <w:rsid w:val="078A58ED"/>
    <w:rsid w:val="079429FD"/>
    <w:rsid w:val="07981A91"/>
    <w:rsid w:val="079B4158"/>
    <w:rsid w:val="07CB2146"/>
    <w:rsid w:val="07CE525D"/>
    <w:rsid w:val="07CF512D"/>
    <w:rsid w:val="07D04F64"/>
    <w:rsid w:val="07E17544"/>
    <w:rsid w:val="080001B0"/>
    <w:rsid w:val="0806636F"/>
    <w:rsid w:val="080E5F49"/>
    <w:rsid w:val="081661AF"/>
    <w:rsid w:val="083F0ECA"/>
    <w:rsid w:val="083F7DA7"/>
    <w:rsid w:val="084560A8"/>
    <w:rsid w:val="08456784"/>
    <w:rsid w:val="084C2272"/>
    <w:rsid w:val="084F213F"/>
    <w:rsid w:val="085066C7"/>
    <w:rsid w:val="08664345"/>
    <w:rsid w:val="08694136"/>
    <w:rsid w:val="086A7FB0"/>
    <w:rsid w:val="08723626"/>
    <w:rsid w:val="08725246"/>
    <w:rsid w:val="08730408"/>
    <w:rsid w:val="08805273"/>
    <w:rsid w:val="088505BC"/>
    <w:rsid w:val="08940F91"/>
    <w:rsid w:val="089A4646"/>
    <w:rsid w:val="089C5B28"/>
    <w:rsid w:val="08B82B5B"/>
    <w:rsid w:val="08C75AEE"/>
    <w:rsid w:val="08CA0369"/>
    <w:rsid w:val="08CE3215"/>
    <w:rsid w:val="08E23539"/>
    <w:rsid w:val="08E75733"/>
    <w:rsid w:val="08FE4DC1"/>
    <w:rsid w:val="090061C5"/>
    <w:rsid w:val="0906715B"/>
    <w:rsid w:val="090C2147"/>
    <w:rsid w:val="0926701B"/>
    <w:rsid w:val="0927512D"/>
    <w:rsid w:val="09573866"/>
    <w:rsid w:val="0960347E"/>
    <w:rsid w:val="09652590"/>
    <w:rsid w:val="097653E7"/>
    <w:rsid w:val="097C0DEA"/>
    <w:rsid w:val="097E16AA"/>
    <w:rsid w:val="09896468"/>
    <w:rsid w:val="09917881"/>
    <w:rsid w:val="099536FE"/>
    <w:rsid w:val="09A06A75"/>
    <w:rsid w:val="09A908B8"/>
    <w:rsid w:val="09B06FC4"/>
    <w:rsid w:val="09B4167D"/>
    <w:rsid w:val="09B708FD"/>
    <w:rsid w:val="09BA2AC6"/>
    <w:rsid w:val="09D26061"/>
    <w:rsid w:val="09F92B47"/>
    <w:rsid w:val="0A0E2098"/>
    <w:rsid w:val="0A43082F"/>
    <w:rsid w:val="0A6B56FC"/>
    <w:rsid w:val="0A7D168C"/>
    <w:rsid w:val="0A855FC6"/>
    <w:rsid w:val="0A9E02AD"/>
    <w:rsid w:val="0AA364AD"/>
    <w:rsid w:val="0AAB0902"/>
    <w:rsid w:val="0AB440A4"/>
    <w:rsid w:val="0AB55FCE"/>
    <w:rsid w:val="0ACA6D38"/>
    <w:rsid w:val="0AE4227C"/>
    <w:rsid w:val="0AE77A0C"/>
    <w:rsid w:val="0AE81B19"/>
    <w:rsid w:val="0AEB0BF0"/>
    <w:rsid w:val="0AFB755B"/>
    <w:rsid w:val="0B025290"/>
    <w:rsid w:val="0B043FBF"/>
    <w:rsid w:val="0B046039"/>
    <w:rsid w:val="0B0A4B64"/>
    <w:rsid w:val="0B0F299D"/>
    <w:rsid w:val="0B22198C"/>
    <w:rsid w:val="0B3643CE"/>
    <w:rsid w:val="0B6A78FF"/>
    <w:rsid w:val="0B821434"/>
    <w:rsid w:val="0B977C2D"/>
    <w:rsid w:val="0BA37CB5"/>
    <w:rsid w:val="0BC40744"/>
    <w:rsid w:val="0BDB342C"/>
    <w:rsid w:val="0BDC1CE9"/>
    <w:rsid w:val="0BE300B2"/>
    <w:rsid w:val="0BF16C73"/>
    <w:rsid w:val="0BF74AE8"/>
    <w:rsid w:val="0C0B6D68"/>
    <w:rsid w:val="0C0C3F82"/>
    <w:rsid w:val="0C1A3D59"/>
    <w:rsid w:val="0C257B40"/>
    <w:rsid w:val="0C281F69"/>
    <w:rsid w:val="0C2C064B"/>
    <w:rsid w:val="0C2F6564"/>
    <w:rsid w:val="0C3618C3"/>
    <w:rsid w:val="0C3E34A5"/>
    <w:rsid w:val="0C532240"/>
    <w:rsid w:val="0C546315"/>
    <w:rsid w:val="0C554E4C"/>
    <w:rsid w:val="0C5A52EC"/>
    <w:rsid w:val="0C812DED"/>
    <w:rsid w:val="0C8137C9"/>
    <w:rsid w:val="0C950BA6"/>
    <w:rsid w:val="0CA830A9"/>
    <w:rsid w:val="0CAC2B9A"/>
    <w:rsid w:val="0CAF695A"/>
    <w:rsid w:val="0CB12611"/>
    <w:rsid w:val="0CD67590"/>
    <w:rsid w:val="0CE42333"/>
    <w:rsid w:val="0CEF2175"/>
    <w:rsid w:val="0CF940F5"/>
    <w:rsid w:val="0D124D83"/>
    <w:rsid w:val="0D1D5845"/>
    <w:rsid w:val="0D203DB4"/>
    <w:rsid w:val="0D2E24AB"/>
    <w:rsid w:val="0D422A1C"/>
    <w:rsid w:val="0D43075A"/>
    <w:rsid w:val="0D434BB0"/>
    <w:rsid w:val="0D4E642E"/>
    <w:rsid w:val="0D5D17E3"/>
    <w:rsid w:val="0D5E1D12"/>
    <w:rsid w:val="0D8C68E2"/>
    <w:rsid w:val="0D9943EA"/>
    <w:rsid w:val="0DAF7142"/>
    <w:rsid w:val="0DB545D2"/>
    <w:rsid w:val="0DC7118E"/>
    <w:rsid w:val="0DD248BB"/>
    <w:rsid w:val="0DE56FE8"/>
    <w:rsid w:val="0DED34C2"/>
    <w:rsid w:val="0DF47AE0"/>
    <w:rsid w:val="0DF77F0D"/>
    <w:rsid w:val="0E1E3AB1"/>
    <w:rsid w:val="0E200581"/>
    <w:rsid w:val="0E245078"/>
    <w:rsid w:val="0E2529DA"/>
    <w:rsid w:val="0E331822"/>
    <w:rsid w:val="0E3F75E0"/>
    <w:rsid w:val="0E43752E"/>
    <w:rsid w:val="0E5B7068"/>
    <w:rsid w:val="0E671431"/>
    <w:rsid w:val="0E710B71"/>
    <w:rsid w:val="0E924011"/>
    <w:rsid w:val="0E9A3AF2"/>
    <w:rsid w:val="0EB72DE1"/>
    <w:rsid w:val="0EC341CA"/>
    <w:rsid w:val="0ED42113"/>
    <w:rsid w:val="0ED6340D"/>
    <w:rsid w:val="0EF04DE5"/>
    <w:rsid w:val="0EFF43BA"/>
    <w:rsid w:val="0F092CD6"/>
    <w:rsid w:val="0F143963"/>
    <w:rsid w:val="0F294770"/>
    <w:rsid w:val="0F2F4388"/>
    <w:rsid w:val="0F4425B0"/>
    <w:rsid w:val="0F5B6AB1"/>
    <w:rsid w:val="0F5F12CE"/>
    <w:rsid w:val="0F777651"/>
    <w:rsid w:val="0F7A203F"/>
    <w:rsid w:val="0F7A481C"/>
    <w:rsid w:val="0F7D20C6"/>
    <w:rsid w:val="0FA230CE"/>
    <w:rsid w:val="0FA37114"/>
    <w:rsid w:val="100C34AE"/>
    <w:rsid w:val="100D5F57"/>
    <w:rsid w:val="102D2243"/>
    <w:rsid w:val="103136FB"/>
    <w:rsid w:val="10345AC3"/>
    <w:rsid w:val="10454916"/>
    <w:rsid w:val="10534F50"/>
    <w:rsid w:val="10625DF6"/>
    <w:rsid w:val="10672A16"/>
    <w:rsid w:val="107F13A6"/>
    <w:rsid w:val="108537DF"/>
    <w:rsid w:val="10991687"/>
    <w:rsid w:val="109B49D8"/>
    <w:rsid w:val="10A76C07"/>
    <w:rsid w:val="10B4070D"/>
    <w:rsid w:val="10C20616"/>
    <w:rsid w:val="10E832B4"/>
    <w:rsid w:val="111369C6"/>
    <w:rsid w:val="111927C8"/>
    <w:rsid w:val="111934E7"/>
    <w:rsid w:val="112172C2"/>
    <w:rsid w:val="114A20A1"/>
    <w:rsid w:val="114D7618"/>
    <w:rsid w:val="115D35F1"/>
    <w:rsid w:val="116F6BC1"/>
    <w:rsid w:val="117C5F04"/>
    <w:rsid w:val="11941558"/>
    <w:rsid w:val="11983D3E"/>
    <w:rsid w:val="119E0A02"/>
    <w:rsid w:val="11AE39F8"/>
    <w:rsid w:val="11C53F61"/>
    <w:rsid w:val="11DA5EF4"/>
    <w:rsid w:val="11EC7CEB"/>
    <w:rsid w:val="11F8380E"/>
    <w:rsid w:val="12004D95"/>
    <w:rsid w:val="121767DB"/>
    <w:rsid w:val="122A6F54"/>
    <w:rsid w:val="12443ED2"/>
    <w:rsid w:val="12445E42"/>
    <w:rsid w:val="12465C21"/>
    <w:rsid w:val="12550B18"/>
    <w:rsid w:val="125B650A"/>
    <w:rsid w:val="12663BE0"/>
    <w:rsid w:val="12735753"/>
    <w:rsid w:val="129610C5"/>
    <w:rsid w:val="12CA084D"/>
    <w:rsid w:val="12DE6746"/>
    <w:rsid w:val="12E928B6"/>
    <w:rsid w:val="130E11A0"/>
    <w:rsid w:val="131C40E4"/>
    <w:rsid w:val="133D6799"/>
    <w:rsid w:val="13523247"/>
    <w:rsid w:val="136007E7"/>
    <w:rsid w:val="1360594A"/>
    <w:rsid w:val="136B6F88"/>
    <w:rsid w:val="136E327B"/>
    <w:rsid w:val="13723C23"/>
    <w:rsid w:val="1374228E"/>
    <w:rsid w:val="13757633"/>
    <w:rsid w:val="139E6C56"/>
    <w:rsid w:val="139F5206"/>
    <w:rsid w:val="13A07738"/>
    <w:rsid w:val="13AB36C5"/>
    <w:rsid w:val="13B43589"/>
    <w:rsid w:val="13BB0808"/>
    <w:rsid w:val="13BC175F"/>
    <w:rsid w:val="13C46A1B"/>
    <w:rsid w:val="13DE052A"/>
    <w:rsid w:val="13ED0E0A"/>
    <w:rsid w:val="14060571"/>
    <w:rsid w:val="141C70C5"/>
    <w:rsid w:val="1426082A"/>
    <w:rsid w:val="142A68E9"/>
    <w:rsid w:val="142C3534"/>
    <w:rsid w:val="14321BD6"/>
    <w:rsid w:val="1435380E"/>
    <w:rsid w:val="145A5FD6"/>
    <w:rsid w:val="1481614D"/>
    <w:rsid w:val="14851B53"/>
    <w:rsid w:val="14AE2250"/>
    <w:rsid w:val="14B856A7"/>
    <w:rsid w:val="14C66854"/>
    <w:rsid w:val="14DE0C0F"/>
    <w:rsid w:val="14E530ED"/>
    <w:rsid w:val="14EE1A04"/>
    <w:rsid w:val="14EE3384"/>
    <w:rsid w:val="14F10A6A"/>
    <w:rsid w:val="14F134BB"/>
    <w:rsid w:val="14F87960"/>
    <w:rsid w:val="1511621B"/>
    <w:rsid w:val="15202EE5"/>
    <w:rsid w:val="15367333"/>
    <w:rsid w:val="153C255C"/>
    <w:rsid w:val="153C2CB1"/>
    <w:rsid w:val="154304FD"/>
    <w:rsid w:val="154923E9"/>
    <w:rsid w:val="155115C7"/>
    <w:rsid w:val="156952E9"/>
    <w:rsid w:val="157D32D4"/>
    <w:rsid w:val="158D3253"/>
    <w:rsid w:val="158F5A0F"/>
    <w:rsid w:val="15924B9F"/>
    <w:rsid w:val="15953219"/>
    <w:rsid w:val="15957D8F"/>
    <w:rsid w:val="15B10392"/>
    <w:rsid w:val="15BD5E7C"/>
    <w:rsid w:val="15DA10CC"/>
    <w:rsid w:val="15FB47EE"/>
    <w:rsid w:val="160475A2"/>
    <w:rsid w:val="1606775E"/>
    <w:rsid w:val="16093598"/>
    <w:rsid w:val="160B549D"/>
    <w:rsid w:val="160D0514"/>
    <w:rsid w:val="161D2B21"/>
    <w:rsid w:val="162A1705"/>
    <w:rsid w:val="162C39B4"/>
    <w:rsid w:val="16462E87"/>
    <w:rsid w:val="16683B51"/>
    <w:rsid w:val="16807406"/>
    <w:rsid w:val="169F561C"/>
    <w:rsid w:val="16A90C06"/>
    <w:rsid w:val="16BC04A0"/>
    <w:rsid w:val="16C8192A"/>
    <w:rsid w:val="16D5087F"/>
    <w:rsid w:val="16D87950"/>
    <w:rsid w:val="16DD0A06"/>
    <w:rsid w:val="16E86EC4"/>
    <w:rsid w:val="171946A8"/>
    <w:rsid w:val="171A332F"/>
    <w:rsid w:val="17251EAC"/>
    <w:rsid w:val="172F5A62"/>
    <w:rsid w:val="17403859"/>
    <w:rsid w:val="174602F3"/>
    <w:rsid w:val="174B3433"/>
    <w:rsid w:val="17512B78"/>
    <w:rsid w:val="175201A4"/>
    <w:rsid w:val="17534A80"/>
    <w:rsid w:val="17581F6D"/>
    <w:rsid w:val="177A1481"/>
    <w:rsid w:val="177B2B64"/>
    <w:rsid w:val="17844E8E"/>
    <w:rsid w:val="17965B24"/>
    <w:rsid w:val="179914B3"/>
    <w:rsid w:val="17A116AE"/>
    <w:rsid w:val="17B263FE"/>
    <w:rsid w:val="17B33E4D"/>
    <w:rsid w:val="17BE3F72"/>
    <w:rsid w:val="17D252F9"/>
    <w:rsid w:val="17EF5266"/>
    <w:rsid w:val="17F8222E"/>
    <w:rsid w:val="18071B33"/>
    <w:rsid w:val="180E5A00"/>
    <w:rsid w:val="181B2BBC"/>
    <w:rsid w:val="183F3519"/>
    <w:rsid w:val="1841459E"/>
    <w:rsid w:val="1842267B"/>
    <w:rsid w:val="184A01D4"/>
    <w:rsid w:val="18574301"/>
    <w:rsid w:val="18610CDC"/>
    <w:rsid w:val="186F7BC5"/>
    <w:rsid w:val="188C47E4"/>
    <w:rsid w:val="189039E8"/>
    <w:rsid w:val="18AE1A47"/>
    <w:rsid w:val="18B157FE"/>
    <w:rsid w:val="18CD45C3"/>
    <w:rsid w:val="18D32F39"/>
    <w:rsid w:val="18DF6EA4"/>
    <w:rsid w:val="18E73329"/>
    <w:rsid w:val="19104A6E"/>
    <w:rsid w:val="191D5610"/>
    <w:rsid w:val="193208CA"/>
    <w:rsid w:val="194818B4"/>
    <w:rsid w:val="195C2DAE"/>
    <w:rsid w:val="196846B9"/>
    <w:rsid w:val="196F567B"/>
    <w:rsid w:val="1979599D"/>
    <w:rsid w:val="198411FB"/>
    <w:rsid w:val="19A65C35"/>
    <w:rsid w:val="19A86CE9"/>
    <w:rsid w:val="19B579D5"/>
    <w:rsid w:val="19C72EE6"/>
    <w:rsid w:val="19D55685"/>
    <w:rsid w:val="19D63097"/>
    <w:rsid w:val="19E26679"/>
    <w:rsid w:val="19F4792E"/>
    <w:rsid w:val="1A0D2A4A"/>
    <w:rsid w:val="1A124AD3"/>
    <w:rsid w:val="1A2F6045"/>
    <w:rsid w:val="1A3F3860"/>
    <w:rsid w:val="1A400204"/>
    <w:rsid w:val="1A400749"/>
    <w:rsid w:val="1A4C2D0F"/>
    <w:rsid w:val="1A535E7B"/>
    <w:rsid w:val="1A5A252A"/>
    <w:rsid w:val="1A685EB8"/>
    <w:rsid w:val="1A6A1556"/>
    <w:rsid w:val="1A6D729A"/>
    <w:rsid w:val="1A7412C9"/>
    <w:rsid w:val="1A817DEA"/>
    <w:rsid w:val="1A977783"/>
    <w:rsid w:val="1A994D33"/>
    <w:rsid w:val="1AB01352"/>
    <w:rsid w:val="1AB04C5B"/>
    <w:rsid w:val="1AB37F88"/>
    <w:rsid w:val="1ABE7DC8"/>
    <w:rsid w:val="1AC95E4E"/>
    <w:rsid w:val="1AD35B55"/>
    <w:rsid w:val="1AD47040"/>
    <w:rsid w:val="1AE43477"/>
    <w:rsid w:val="1AF23D6F"/>
    <w:rsid w:val="1B1D4C62"/>
    <w:rsid w:val="1B3D013C"/>
    <w:rsid w:val="1B3F0FB6"/>
    <w:rsid w:val="1B4B2DA3"/>
    <w:rsid w:val="1B571741"/>
    <w:rsid w:val="1B6F33E5"/>
    <w:rsid w:val="1B735557"/>
    <w:rsid w:val="1B757B2D"/>
    <w:rsid w:val="1B757CBC"/>
    <w:rsid w:val="1B7F2276"/>
    <w:rsid w:val="1B871004"/>
    <w:rsid w:val="1B8A585F"/>
    <w:rsid w:val="1B963FA6"/>
    <w:rsid w:val="1B9B5BFE"/>
    <w:rsid w:val="1BA04270"/>
    <w:rsid w:val="1BA94E24"/>
    <w:rsid w:val="1BAD2DBB"/>
    <w:rsid w:val="1BB362E2"/>
    <w:rsid w:val="1BBA15EF"/>
    <w:rsid w:val="1BC162E8"/>
    <w:rsid w:val="1BD83779"/>
    <w:rsid w:val="1BF1078A"/>
    <w:rsid w:val="1C000FBC"/>
    <w:rsid w:val="1C010D1D"/>
    <w:rsid w:val="1C033570"/>
    <w:rsid w:val="1C154BFE"/>
    <w:rsid w:val="1C282F6F"/>
    <w:rsid w:val="1C37427B"/>
    <w:rsid w:val="1C3B4A23"/>
    <w:rsid w:val="1C475483"/>
    <w:rsid w:val="1C4E0CFD"/>
    <w:rsid w:val="1C57773B"/>
    <w:rsid w:val="1C71130D"/>
    <w:rsid w:val="1C762B3D"/>
    <w:rsid w:val="1C7A583D"/>
    <w:rsid w:val="1C8D776B"/>
    <w:rsid w:val="1CA0383F"/>
    <w:rsid w:val="1CB21A03"/>
    <w:rsid w:val="1CB916D0"/>
    <w:rsid w:val="1CCC1EBA"/>
    <w:rsid w:val="1CD307C6"/>
    <w:rsid w:val="1CD62D09"/>
    <w:rsid w:val="1CFB7BD4"/>
    <w:rsid w:val="1D1D4E2E"/>
    <w:rsid w:val="1D306ECF"/>
    <w:rsid w:val="1D373AAF"/>
    <w:rsid w:val="1D52669D"/>
    <w:rsid w:val="1D5E4918"/>
    <w:rsid w:val="1D6447C7"/>
    <w:rsid w:val="1D8645B5"/>
    <w:rsid w:val="1DBB1C42"/>
    <w:rsid w:val="1DE103FA"/>
    <w:rsid w:val="1DE72F8B"/>
    <w:rsid w:val="1DEF223D"/>
    <w:rsid w:val="1DF41671"/>
    <w:rsid w:val="1E0E6467"/>
    <w:rsid w:val="1E2E6377"/>
    <w:rsid w:val="1E3104EB"/>
    <w:rsid w:val="1E35373B"/>
    <w:rsid w:val="1E4058C9"/>
    <w:rsid w:val="1E6D128D"/>
    <w:rsid w:val="1E722C69"/>
    <w:rsid w:val="1E723EB9"/>
    <w:rsid w:val="1EB072B1"/>
    <w:rsid w:val="1EB50BBD"/>
    <w:rsid w:val="1EC06BEC"/>
    <w:rsid w:val="1ECA606C"/>
    <w:rsid w:val="1EDF30BC"/>
    <w:rsid w:val="1EE833D9"/>
    <w:rsid w:val="1EEE4BFA"/>
    <w:rsid w:val="1EFA3FB6"/>
    <w:rsid w:val="1F1027A4"/>
    <w:rsid w:val="1F2831F7"/>
    <w:rsid w:val="1F4D5417"/>
    <w:rsid w:val="1F5A0233"/>
    <w:rsid w:val="1F5B5733"/>
    <w:rsid w:val="1F5B7E0D"/>
    <w:rsid w:val="1F5F2F92"/>
    <w:rsid w:val="1F645C46"/>
    <w:rsid w:val="1F677541"/>
    <w:rsid w:val="1F6F5384"/>
    <w:rsid w:val="1F745799"/>
    <w:rsid w:val="1F7532BF"/>
    <w:rsid w:val="1F7643A3"/>
    <w:rsid w:val="1FA31BDA"/>
    <w:rsid w:val="1FA31C4E"/>
    <w:rsid w:val="1FA75925"/>
    <w:rsid w:val="1FAA1EEE"/>
    <w:rsid w:val="1FAB0A8F"/>
    <w:rsid w:val="1FAF3A62"/>
    <w:rsid w:val="1FB03F7D"/>
    <w:rsid w:val="1FB20C2C"/>
    <w:rsid w:val="1FB42039"/>
    <w:rsid w:val="1FCD35E0"/>
    <w:rsid w:val="1FD02EE8"/>
    <w:rsid w:val="1FD2597E"/>
    <w:rsid w:val="1FE33CEA"/>
    <w:rsid w:val="1FF20FA0"/>
    <w:rsid w:val="1FFF6B0A"/>
    <w:rsid w:val="2004034F"/>
    <w:rsid w:val="200B13E8"/>
    <w:rsid w:val="201514DF"/>
    <w:rsid w:val="201E1EB2"/>
    <w:rsid w:val="202766B5"/>
    <w:rsid w:val="203F0AAD"/>
    <w:rsid w:val="2044159C"/>
    <w:rsid w:val="20492558"/>
    <w:rsid w:val="2052546C"/>
    <w:rsid w:val="2059673D"/>
    <w:rsid w:val="205E38F0"/>
    <w:rsid w:val="2075089D"/>
    <w:rsid w:val="208927BA"/>
    <w:rsid w:val="20A21E92"/>
    <w:rsid w:val="20AA0500"/>
    <w:rsid w:val="20AC4ABE"/>
    <w:rsid w:val="20AD3BEB"/>
    <w:rsid w:val="20BE47F2"/>
    <w:rsid w:val="20D90E52"/>
    <w:rsid w:val="20F80F7C"/>
    <w:rsid w:val="210920EF"/>
    <w:rsid w:val="210F5BFE"/>
    <w:rsid w:val="21392153"/>
    <w:rsid w:val="213D3995"/>
    <w:rsid w:val="213E63DA"/>
    <w:rsid w:val="21514B5B"/>
    <w:rsid w:val="21604585"/>
    <w:rsid w:val="216B0B49"/>
    <w:rsid w:val="217F7026"/>
    <w:rsid w:val="21992531"/>
    <w:rsid w:val="21A4757C"/>
    <w:rsid w:val="21B0008F"/>
    <w:rsid w:val="21B52099"/>
    <w:rsid w:val="21BD7A67"/>
    <w:rsid w:val="21D132BC"/>
    <w:rsid w:val="21E97FF2"/>
    <w:rsid w:val="21F0010E"/>
    <w:rsid w:val="21F268E0"/>
    <w:rsid w:val="22041B8C"/>
    <w:rsid w:val="221C350A"/>
    <w:rsid w:val="221D1804"/>
    <w:rsid w:val="223035ED"/>
    <w:rsid w:val="22333947"/>
    <w:rsid w:val="22517CE8"/>
    <w:rsid w:val="2253337B"/>
    <w:rsid w:val="22553676"/>
    <w:rsid w:val="22753104"/>
    <w:rsid w:val="22A50CDA"/>
    <w:rsid w:val="22AF6AE8"/>
    <w:rsid w:val="22C54964"/>
    <w:rsid w:val="22D81392"/>
    <w:rsid w:val="22DE7B73"/>
    <w:rsid w:val="22F310EC"/>
    <w:rsid w:val="22F335FD"/>
    <w:rsid w:val="230B3186"/>
    <w:rsid w:val="23272B22"/>
    <w:rsid w:val="232A7F55"/>
    <w:rsid w:val="235C4945"/>
    <w:rsid w:val="2363312E"/>
    <w:rsid w:val="236D19CB"/>
    <w:rsid w:val="236E0751"/>
    <w:rsid w:val="236E7FC9"/>
    <w:rsid w:val="23704814"/>
    <w:rsid w:val="237F3F46"/>
    <w:rsid w:val="2382592A"/>
    <w:rsid w:val="23A835D3"/>
    <w:rsid w:val="23C16492"/>
    <w:rsid w:val="23D67272"/>
    <w:rsid w:val="23DF4103"/>
    <w:rsid w:val="23E80019"/>
    <w:rsid w:val="23EB1DB1"/>
    <w:rsid w:val="23ED04BD"/>
    <w:rsid w:val="24055FBC"/>
    <w:rsid w:val="241271DB"/>
    <w:rsid w:val="241A54DB"/>
    <w:rsid w:val="242A1506"/>
    <w:rsid w:val="242F013F"/>
    <w:rsid w:val="24381601"/>
    <w:rsid w:val="246F722E"/>
    <w:rsid w:val="24811610"/>
    <w:rsid w:val="24944FF6"/>
    <w:rsid w:val="2498033F"/>
    <w:rsid w:val="249C22E1"/>
    <w:rsid w:val="24D77F2A"/>
    <w:rsid w:val="24D96ACF"/>
    <w:rsid w:val="24E36DCF"/>
    <w:rsid w:val="25116F24"/>
    <w:rsid w:val="25145328"/>
    <w:rsid w:val="251E464F"/>
    <w:rsid w:val="25334962"/>
    <w:rsid w:val="25493364"/>
    <w:rsid w:val="254F7A0F"/>
    <w:rsid w:val="255C378E"/>
    <w:rsid w:val="25871E1F"/>
    <w:rsid w:val="258A22CD"/>
    <w:rsid w:val="258C2F14"/>
    <w:rsid w:val="25916979"/>
    <w:rsid w:val="25975E02"/>
    <w:rsid w:val="259C58FE"/>
    <w:rsid w:val="259D4F40"/>
    <w:rsid w:val="25B152B5"/>
    <w:rsid w:val="25B862D0"/>
    <w:rsid w:val="25BA7C7E"/>
    <w:rsid w:val="25CB3A81"/>
    <w:rsid w:val="25DA3E7C"/>
    <w:rsid w:val="25E3006A"/>
    <w:rsid w:val="25F52A64"/>
    <w:rsid w:val="25F9257C"/>
    <w:rsid w:val="2623548B"/>
    <w:rsid w:val="26243349"/>
    <w:rsid w:val="262C5C6D"/>
    <w:rsid w:val="263B7E57"/>
    <w:rsid w:val="26431A21"/>
    <w:rsid w:val="265D48E5"/>
    <w:rsid w:val="266F480A"/>
    <w:rsid w:val="26755724"/>
    <w:rsid w:val="267D1FC5"/>
    <w:rsid w:val="26805560"/>
    <w:rsid w:val="26A06437"/>
    <w:rsid w:val="26A71D59"/>
    <w:rsid w:val="26A936BC"/>
    <w:rsid w:val="26C14A80"/>
    <w:rsid w:val="26CA79B1"/>
    <w:rsid w:val="26E36DA9"/>
    <w:rsid w:val="27005530"/>
    <w:rsid w:val="270216DD"/>
    <w:rsid w:val="27037402"/>
    <w:rsid w:val="270D444F"/>
    <w:rsid w:val="271916C3"/>
    <w:rsid w:val="27327218"/>
    <w:rsid w:val="273564F5"/>
    <w:rsid w:val="273A24AE"/>
    <w:rsid w:val="27456DDA"/>
    <w:rsid w:val="274704F7"/>
    <w:rsid w:val="27506187"/>
    <w:rsid w:val="27512C81"/>
    <w:rsid w:val="275766F1"/>
    <w:rsid w:val="27591CFC"/>
    <w:rsid w:val="27632C26"/>
    <w:rsid w:val="27684747"/>
    <w:rsid w:val="276F63C2"/>
    <w:rsid w:val="276F6648"/>
    <w:rsid w:val="27703BAC"/>
    <w:rsid w:val="27816204"/>
    <w:rsid w:val="278909E9"/>
    <w:rsid w:val="278D77E9"/>
    <w:rsid w:val="27900E5F"/>
    <w:rsid w:val="2796557B"/>
    <w:rsid w:val="27AE7775"/>
    <w:rsid w:val="27B039C8"/>
    <w:rsid w:val="27B44220"/>
    <w:rsid w:val="27CB356E"/>
    <w:rsid w:val="27DB14E9"/>
    <w:rsid w:val="27E11400"/>
    <w:rsid w:val="27E63708"/>
    <w:rsid w:val="27F95DF6"/>
    <w:rsid w:val="27FC68FC"/>
    <w:rsid w:val="28015AEC"/>
    <w:rsid w:val="280B7F29"/>
    <w:rsid w:val="280F6FAD"/>
    <w:rsid w:val="281F6326"/>
    <w:rsid w:val="28242737"/>
    <w:rsid w:val="28252058"/>
    <w:rsid w:val="2856314B"/>
    <w:rsid w:val="28627101"/>
    <w:rsid w:val="286D7EFB"/>
    <w:rsid w:val="286F2FA1"/>
    <w:rsid w:val="286F6445"/>
    <w:rsid w:val="28710571"/>
    <w:rsid w:val="2880029E"/>
    <w:rsid w:val="28872154"/>
    <w:rsid w:val="28AD4E25"/>
    <w:rsid w:val="28B214EF"/>
    <w:rsid w:val="28CA3CEF"/>
    <w:rsid w:val="28E47092"/>
    <w:rsid w:val="28EA46BB"/>
    <w:rsid w:val="28F8088B"/>
    <w:rsid w:val="290D4165"/>
    <w:rsid w:val="291E414A"/>
    <w:rsid w:val="292661E0"/>
    <w:rsid w:val="29297FAE"/>
    <w:rsid w:val="29326F94"/>
    <w:rsid w:val="293A5C24"/>
    <w:rsid w:val="29496672"/>
    <w:rsid w:val="296F6CA5"/>
    <w:rsid w:val="29704239"/>
    <w:rsid w:val="297059A6"/>
    <w:rsid w:val="297F5466"/>
    <w:rsid w:val="299507E6"/>
    <w:rsid w:val="299710B2"/>
    <w:rsid w:val="29C03002"/>
    <w:rsid w:val="29C341ED"/>
    <w:rsid w:val="29D17C06"/>
    <w:rsid w:val="29D3340F"/>
    <w:rsid w:val="29E13C7C"/>
    <w:rsid w:val="29E26806"/>
    <w:rsid w:val="29F146D7"/>
    <w:rsid w:val="29F4710C"/>
    <w:rsid w:val="29F57C6F"/>
    <w:rsid w:val="29F745EF"/>
    <w:rsid w:val="29FF0B07"/>
    <w:rsid w:val="2A016C92"/>
    <w:rsid w:val="2A0E00CA"/>
    <w:rsid w:val="2A1D4C7F"/>
    <w:rsid w:val="2A20564D"/>
    <w:rsid w:val="2A2D064F"/>
    <w:rsid w:val="2A497078"/>
    <w:rsid w:val="2A4B3C6C"/>
    <w:rsid w:val="2A615D77"/>
    <w:rsid w:val="2A630D17"/>
    <w:rsid w:val="2A770D67"/>
    <w:rsid w:val="2A791B21"/>
    <w:rsid w:val="2A7E12C0"/>
    <w:rsid w:val="2A815802"/>
    <w:rsid w:val="2A87357D"/>
    <w:rsid w:val="2A8B5FC9"/>
    <w:rsid w:val="2AA5169E"/>
    <w:rsid w:val="2AD625CD"/>
    <w:rsid w:val="2AE57AC4"/>
    <w:rsid w:val="2AED38FF"/>
    <w:rsid w:val="2AED40DA"/>
    <w:rsid w:val="2AF13218"/>
    <w:rsid w:val="2AFA0B1C"/>
    <w:rsid w:val="2AFD3174"/>
    <w:rsid w:val="2AFF3560"/>
    <w:rsid w:val="2B3524A1"/>
    <w:rsid w:val="2B496BCB"/>
    <w:rsid w:val="2B5934AE"/>
    <w:rsid w:val="2B626BBA"/>
    <w:rsid w:val="2B6A7E50"/>
    <w:rsid w:val="2B7663F5"/>
    <w:rsid w:val="2B7A5423"/>
    <w:rsid w:val="2B7C183F"/>
    <w:rsid w:val="2B853CF9"/>
    <w:rsid w:val="2B864D71"/>
    <w:rsid w:val="2B914B5D"/>
    <w:rsid w:val="2BA9469B"/>
    <w:rsid w:val="2BB73BD5"/>
    <w:rsid w:val="2BB845F6"/>
    <w:rsid w:val="2BDC3546"/>
    <w:rsid w:val="2BE279DD"/>
    <w:rsid w:val="2BE529C4"/>
    <w:rsid w:val="2BE772F2"/>
    <w:rsid w:val="2BF01FD0"/>
    <w:rsid w:val="2BF33EE9"/>
    <w:rsid w:val="2BF544D2"/>
    <w:rsid w:val="2C1856FE"/>
    <w:rsid w:val="2C3D1CE0"/>
    <w:rsid w:val="2C7E7C57"/>
    <w:rsid w:val="2C8640C1"/>
    <w:rsid w:val="2C95510A"/>
    <w:rsid w:val="2C9E0649"/>
    <w:rsid w:val="2CD17CCF"/>
    <w:rsid w:val="2CD8457F"/>
    <w:rsid w:val="2CEF722E"/>
    <w:rsid w:val="2CF81347"/>
    <w:rsid w:val="2D156B5B"/>
    <w:rsid w:val="2D1B36F8"/>
    <w:rsid w:val="2D1C517B"/>
    <w:rsid w:val="2D2824B2"/>
    <w:rsid w:val="2D284325"/>
    <w:rsid w:val="2D285E15"/>
    <w:rsid w:val="2D355A17"/>
    <w:rsid w:val="2D360531"/>
    <w:rsid w:val="2D3A420A"/>
    <w:rsid w:val="2D4068D1"/>
    <w:rsid w:val="2D4A2F3A"/>
    <w:rsid w:val="2D5160AE"/>
    <w:rsid w:val="2D6138B7"/>
    <w:rsid w:val="2D666BF9"/>
    <w:rsid w:val="2D833B32"/>
    <w:rsid w:val="2D896548"/>
    <w:rsid w:val="2D917EAF"/>
    <w:rsid w:val="2D9577C3"/>
    <w:rsid w:val="2DA07C21"/>
    <w:rsid w:val="2DA466A1"/>
    <w:rsid w:val="2DB0030F"/>
    <w:rsid w:val="2DCA0BF2"/>
    <w:rsid w:val="2DCC4F08"/>
    <w:rsid w:val="2DD02FC8"/>
    <w:rsid w:val="2DDA0933"/>
    <w:rsid w:val="2DE55A1E"/>
    <w:rsid w:val="2DEB6804"/>
    <w:rsid w:val="2E002321"/>
    <w:rsid w:val="2E0F5D64"/>
    <w:rsid w:val="2E127D0C"/>
    <w:rsid w:val="2E180404"/>
    <w:rsid w:val="2E1C647D"/>
    <w:rsid w:val="2E2F11E9"/>
    <w:rsid w:val="2E2F2C62"/>
    <w:rsid w:val="2E31194E"/>
    <w:rsid w:val="2E3C37AA"/>
    <w:rsid w:val="2E3F37FA"/>
    <w:rsid w:val="2E414B35"/>
    <w:rsid w:val="2E4A1CAE"/>
    <w:rsid w:val="2E580F8F"/>
    <w:rsid w:val="2E8639C6"/>
    <w:rsid w:val="2E883090"/>
    <w:rsid w:val="2EA339A5"/>
    <w:rsid w:val="2EA842FE"/>
    <w:rsid w:val="2EB3170E"/>
    <w:rsid w:val="2EB81807"/>
    <w:rsid w:val="2EC47A74"/>
    <w:rsid w:val="2ED9015F"/>
    <w:rsid w:val="2EDB7001"/>
    <w:rsid w:val="2F0A3A22"/>
    <w:rsid w:val="2F1456F6"/>
    <w:rsid w:val="2F164F71"/>
    <w:rsid w:val="2F5E0C25"/>
    <w:rsid w:val="2F5E5535"/>
    <w:rsid w:val="2F6E6EEE"/>
    <w:rsid w:val="2F7F38EF"/>
    <w:rsid w:val="2F841DC0"/>
    <w:rsid w:val="2F913643"/>
    <w:rsid w:val="2FAB044B"/>
    <w:rsid w:val="2FAC166C"/>
    <w:rsid w:val="2FBD1C02"/>
    <w:rsid w:val="2FBF5A9F"/>
    <w:rsid w:val="2FDA0122"/>
    <w:rsid w:val="2FDD7AA8"/>
    <w:rsid w:val="2FDF05E9"/>
    <w:rsid w:val="30004E27"/>
    <w:rsid w:val="302A451F"/>
    <w:rsid w:val="302E0A39"/>
    <w:rsid w:val="30407780"/>
    <w:rsid w:val="30587B21"/>
    <w:rsid w:val="305A76AB"/>
    <w:rsid w:val="305C2C5A"/>
    <w:rsid w:val="30614406"/>
    <w:rsid w:val="30676C54"/>
    <w:rsid w:val="306D7E85"/>
    <w:rsid w:val="30841252"/>
    <w:rsid w:val="30881645"/>
    <w:rsid w:val="30A62CFD"/>
    <w:rsid w:val="30AE5D9B"/>
    <w:rsid w:val="30BD5A46"/>
    <w:rsid w:val="30BE2D79"/>
    <w:rsid w:val="30C07EA5"/>
    <w:rsid w:val="30C670C4"/>
    <w:rsid w:val="30C67D12"/>
    <w:rsid w:val="30CA166B"/>
    <w:rsid w:val="30DD3846"/>
    <w:rsid w:val="30E87423"/>
    <w:rsid w:val="30ED1101"/>
    <w:rsid w:val="30F72E6E"/>
    <w:rsid w:val="30F857B9"/>
    <w:rsid w:val="31170894"/>
    <w:rsid w:val="31174C75"/>
    <w:rsid w:val="31382575"/>
    <w:rsid w:val="313A36E5"/>
    <w:rsid w:val="314F6742"/>
    <w:rsid w:val="31554AE7"/>
    <w:rsid w:val="315C7F7F"/>
    <w:rsid w:val="31660404"/>
    <w:rsid w:val="31785A4E"/>
    <w:rsid w:val="31791556"/>
    <w:rsid w:val="317C38D2"/>
    <w:rsid w:val="31B76FE1"/>
    <w:rsid w:val="31BE353D"/>
    <w:rsid w:val="31CB1CA1"/>
    <w:rsid w:val="31CF2D29"/>
    <w:rsid w:val="31E82675"/>
    <w:rsid w:val="31FE41EC"/>
    <w:rsid w:val="32157CE1"/>
    <w:rsid w:val="321B7E7B"/>
    <w:rsid w:val="321E6DA8"/>
    <w:rsid w:val="322D17D7"/>
    <w:rsid w:val="323A4620"/>
    <w:rsid w:val="324234D5"/>
    <w:rsid w:val="325869D8"/>
    <w:rsid w:val="32621481"/>
    <w:rsid w:val="326D7BCF"/>
    <w:rsid w:val="32715EE9"/>
    <w:rsid w:val="327A6BD0"/>
    <w:rsid w:val="32832ED6"/>
    <w:rsid w:val="328D3567"/>
    <w:rsid w:val="329862E4"/>
    <w:rsid w:val="32AC1117"/>
    <w:rsid w:val="32C31B6B"/>
    <w:rsid w:val="32D45531"/>
    <w:rsid w:val="32D96982"/>
    <w:rsid w:val="32E521E0"/>
    <w:rsid w:val="33050AAD"/>
    <w:rsid w:val="33074C5B"/>
    <w:rsid w:val="33116608"/>
    <w:rsid w:val="332130EA"/>
    <w:rsid w:val="332A668D"/>
    <w:rsid w:val="332C3F79"/>
    <w:rsid w:val="33392236"/>
    <w:rsid w:val="334530F3"/>
    <w:rsid w:val="335356E2"/>
    <w:rsid w:val="335A2AA0"/>
    <w:rsid w:val="336E02D4"/>
    <w:rsid w:val="33861D25"/>
    <w:rsid w:val="33BA5EC4"/>
    <w:rsid w:val="33BF2BC8"/>
    <w:rsid w:val="33C32064"/>
    <w:rsid w:val="33C96CCF"/>
    <w:rsid w:val="33D1513C"/>
    <w:rsid w:val="33D2161A"/>
    <w:rsid w:val="33E829AE"/>
    <w:rsid w:val="33E97899"/>
    <w:rsid w:val="33EF1DDB"/>
    <w:rsid w:val="33F30E32"/>
    <w:rsid w:val="33F84CB6"/>
    <w:rsid w:val="33F85143"/>
    <w:rsid w:val="340505DC"/>
    <w:rsid w:val="342041F4"/>
    <w:rsid w:val="34270AC1"/>
    <w:rsid w:val="342927FC"/>
    <w:rsid w:val="3431787C"/>
    <w:rsid w:val="34334E3E"/>
    <w:rsid w:val="343F154C"/>
    <w:rsid w:val="344469FD"/>
    <w:rsid w:val="34562F70"/>
    <w:rsid w:val="34660314"/>
    <w:rsid w:val="346F60D7"/>
    <w:rsid w:val="347E3539"/>
    <w:rsid w:val="34821147"/>
    <w:rsid w:val="34830369"/>
    <w:rsid w:val="34AC623C"/>
    <w:rsid w:val="34DB48B8"/>
    <w:rsid w:val="34F11CC9"/>
    <w:rsid w:val="350D407B"/>
    <w:rsid w:val="354237EC"/>
    <w:rsid w:val="354503F4"/>
    <w:rsid w:val="35453CE8"/>
    <w:rsid w:val="354740A6"/>
    <w:rsid w:val="35607689"/>
    <w:rsid w:val="35841377"/>
    <w:rsid w:val="358F1EC3"/>
    <w:rsid w:val="359029D2"/>
    <w:rsid w:val="359A09ED"/>
    <w:rsid w:val="359B1A01"/>
    <w:rsid w:val="359E17A7"/>
    <w:rsid w:val="35AA1BCA"/>
    <w:rsid w:val="35B33563"/>
    <w:rsid w:val="35BC4AB2"/>
    <w:rsid w:val="35D05A62"/>
    <w:rsid w:val="35E936E6"/>
    <w:rsid w:val="35EB0A3D"/>
    <w:rsid w:val="35F968B0"/>
    <w:rsid w:val="35FA1982"/>
    <w:rsid w:val="35FE2F69"/>
    <w:rsid w:val="36020E9C"/>
    <w:rsid w:val="360B0286"/>
    <w:rsid w:val="360C3486"/>
    <w:rsid w:val="36176D00"/>
    <w:rsid w:val="36441F53"/>
    <w:rsid w:val="364C0351"/>
    <w:rsid w:val="365F6E82"/>
    <w:rsid w:val="367E53BD"/>
    <w:rsid w:val="368045CB"/>
    <w:rsid w:val="368559A2"/>
    <w:rsid w:val="36995CF0"/>
    <w:rsid w:val="36A012BA"/>
    <w:rsid w:val="36B15DF4"/>
    <w:rsid w:val="36C070E9"/>
    <w:rsid w:val="36CB2FBF"/>
    <w:rsid w:val="36D121F1"/>
    <w:rsid w:val="371B60A2"/>
    <w:rsid w:val="37237201"/>
    <w:rsid w:val="37337890"/>
    <w:rsid w:val="37383C9E"/>
    <w:rsid w:val="37555369"/>
    <w:rsid w:val="375A58F9"/>
    <w:rsid w:val="375D0C35"/>
    <w:rsid w:val="376D0505"/>
    <w:rsid w:val="376D4567"/>
    <w:rsid w:val="37880510"/>
    <w:rsid w:val="37965470"/>
    <w:rsid w:val="37A058ED"/>
    <w:rsid w:val="37AB26BC"/>
    <w:rsid w:val="37B07E7F"/>
    <w:rsid w:val="37B1241A"/>
    <w:rsid w:val="37B8620F"/>
    <w:rsid w:val="37C73D61"/>
    <w:rsid w:val="37D22C05"/>
    <w:rsid w:val="37D56240"/>
    <w:rsid w:val="37E17558"/>
    <w:rsid w:val="37F33E6C"/>
    <w:rsid w:val="37F609F5"/>
    <w:rsid w:val="37F830B3"/>
    <w:rsid w:val="38142EE2"/>
    <w:rsid w:val="382968F9"/>
    <w:rsid w:val="382D35E2"/>
    <w:rsid w:val="38623388"/>
    <w:rsid w:val="38686BAC"/>
    <w:rsid w:val="387F6F98"/>
    <w:rsid w:val="38890DD2"/>
    <w:rsid w:val="38A914AA"/>
    <w:rsid w:val="38AB470E"/>
    <w:rsid w:val="38AC2771"/>
    <w:rsid w:val="38B22C79"/>
    <w:rsid w:val="38BA0113"/>
    <w:rsid w:val="38C966C7"/>
    <w:rsid w:val="38CF1737"/>
    <w:rsid w:val="38D97FC3"/>
    <w:rsid w:val="38EE54CC"/>
    <w:rsid w:val="391477F6"/>
    <w:rsid w:val="392245D3"/>
    <w:rsid w:val="393001B1"/>
    <w:rsid w:val="3937628D"/>
    <w:rsid w:val="395154C0"/>
    <w:rsid w:val="397054D7"/>
    <w:rsid w:val="397131B7"/>
    <w:rsid w:val="398C12A7"/>
    <w:rsid w:val="398E6FFF"/>
    <w:rsid w:val="39934692"/>
    <w:rsid w:val="39970912"/>
    <w:rsid w:val="399A5E03"/>
    <w:rsid w:val="39A76BCA"/>
    <w:rsid w:val="39C616EE"/>
    <w:rsid w:val="39CE69AB"/>
    <w:rsid w:val="39D178FD"/>
    <w:rsid w:val="39D20836"/>
    <w:rsid w:val="39E55C79"/>
    <w:rsid w:val="39EB1601"/>
    <w:rsid w:val="39F529BD"/>
    <w:rsid w:val="39FB0B42"/>
    <w:rsid w:val="39FC3CDD"/>
    <w:rsid w:val="39FF1CAB"/>
    <w:rsid w:val="3A0B68A2"/>
    <w:rsid w:val="3A0E4A66"/>
    <w:rsid w:val="3A0F5041"/>
    <w:rsid w:val="3A141BDE"/>
    <w:rsid w:val="3A15327D"/>
    <w:rsid w:val="3A1643B8"/>
    <w:rsid w:val="3A3616B3"/>
    <w:rsid w:val="3A370CF0"/>
    <w:rsid w:val="3A4458BD"/>
    <w:rsid w:val="3A462AA0"/>
    <w:rsid w:val="3A49697E"/>
    <w:rsid w:val="3A57248F"/>
    <w:rsid w:val="3A5930B4"/>
    <w:rsid w:val="3A6C5E85"/>
    <w:rsid w:val="3A751082"/>
    <w:rsid w:val="3AAA1FCB"/>
    <w:rsid w:val="3AAD114A"/>
    <w:rsid w:val="3AB13643"/>
    <w:rsid w:val="3AC22C8F"/>
    <w:rsid w:val="3ADE3FB6"/>
    <w:rsid w:val="3AE138E4"/>
    <w:rsid w:val="3AFB28D3"/>
    <w:rsid w:val="3B401F9F"/>
    <w:rsid w:val="3B501F79"/>
    <w:rsid w:val="3B596F6F"/>
    <w:rsid w:val="3B6C15C2"/>
    <w:rsid w:val="3B703203"/>
    <w:rsid w:val="3B754CFB"/>
    <w:rsid w:val="3B91770A"/>
    <w:rsid w:val="3B951E85"/>
    <w:rsid w:val="3B967E52"/>
    <w:rsid w:val="3BAB3D47"/>
    <w:rsid w:val="3BB56FEB"/>
    <w:rsid w:val="3BB8683C"/>
    <w:rsid w:val="3BD615AE"/>
    <w:rsid w:val="3BD76595"/>
    <w:rsid w:val="3BD90102"/>
    <w:rsid w:val="3BE03C86"/>
    <w:rsid w:val="3BED062E"/>
    <w:rsid w:val="3C055435"/>
    <w:rsid w:val="3C0D20A7"/>
    <w:rsid w:val="3C197B2E"/>
    <w:rsid w:val="3C1C1508"/>
    <w:rsid w:val="3C266A0E"/>
    <w:rsid w:val="3C404ADE"/>
    <w:rsid w:val="3C4D6189"/>
    <w:rsid w:val="3C5E0B64"/>
    <w:rsid w:val="3C612D1F"/>
    <w:rsid w:val="3C85139E"/>
    <w:rsid w:val="3C8E7AB6"/>
    <w:rsid w:val="3C9368AF"/>
    <w:rsid w:val="3CA337CC"/>
    <w:rsid w:val="3CAB1C76"/>
    <w:rsid w:val="3CB30A45"/>
    <w:rsid w:val="3CC84549"/>
    <w:rsid w:val="3CE05DC4"/>
    <w:rsid w:val="3D080961"/>
    <w:rsid w:val="3D2321D5"/>
    <w:rsid w:val="3D3F437B"/>
    <w:rsid w:val="3D404AB5"/>
    <w:rsid w:val="3D582333"/>
    <w:rsid w:val="3D631D18"/>
    <w:rsid w:val="3D84424D"/>
    <w:rsid w:val="3D853F47"/>
    <w:rsid w:val="3D9B0FF3"/>
    <w:rsid w:val="3D9E12A1"/>
    <w:rsid w:val="3DB836BF"/>
    <w:rsid w:val="3DB92275"/>
    <w:rsid w:val="3DBF54D1"/>
    <w:rsid w:val="3DD0070F"/>
    <w:rsid w:val="3DD0314B"/>
    <w:rsid w:val="3DD24540"/>
    <w:rsid w:val="3DFA21F0"/>
    <w:rsid w:val="3DFF6D97"/>
    <w:rsid w:val="3E0A6273"/>
    <w:rsid w:val="3E115461"/>
    <w:rsid w:val="3E13331B"/>
    <w:rsid w:val="3E2B7DC8"/>
    <w:rsid w:val="3E4C2268"/>
    <w:rsid w:val="3E5553EF"/>
    <w:rsid w:val="3E5D2E08"/>
    <w:rsid w:val="3E65120B"/>
    <w:rsid w:val="3E6825AB"/>
    <w:rsid w:val="3E990BCE"/>
    <w:rsid w:val="3EA74100"/>
    <w:rsid w:val="3EC4153C"/>
    <w:rsid w:val="3ECA6D2C"/>
    <w:rsid w:val="3ED71CC0"/>
    <w:rsid w:val="3EF350CD"/>
    <w:rsid w:val="3EF85A0C"/>
    <w:rsid w:val="3F042A7D"/>
    <w:rsid w:val="3F0C16B6"/>
    <w:rsid w:val="3F373E09"/>
    <w:rsid w:val="3F396430"/>
    <w:rsid w:val="3F3D51AB"/>
    <w:rsid w:val="3F4477A4"/>
    <w:rsid w:val="3F46049A"/>
    <w:rsid w:val="3F472EC2"/>
    <w:rsid w:val="3F483449"/>
    <w:rsid w:val="3F4C559B"/>
    <w:rsid w:val="3F6A7B5D"/>
    <w:rsid w:val="3F6B44A9"/>
    <w:rsid w:val="3F773B55"/>
    <w:rsid w:val="3F7A145A"/>
    <w:rsid w:val="3F7C1359"/>
    <w:rsid w:val="3F7D78FA"/>
    <w:rsid w:val="3F80503B"/>
    <w:rsid w:val="3F8C483D"/>
    <w:rsid w:val="3F9738B9"/>
    <w:rsid w:val="3FA91189"/>
    <w:rsid w:val="3FB54320"/>
    <w:rsid w:val="3FD40286"/>
    <w:rsid w:val="3FD85B95"/>
    <w:rsid w:val="3FE03F00"/>
    <w:rsid w:val="3FE1730C"/>
    <w:rsid w:val="3FEE7D66"/>
    <w:rsid w:val="3FF178F9"/>
    <w:rsid w:val="3FF611F8"/>
    <w:rsid w:val="40006203"/>
    <w:rsid w:val="400470FF"/>
    <w:rsid w:val="401A0A3D"/>
    <w:rsid w:val="402906F9"/>
    <w:rsid w:val="402E0D38"/>
    <w:rsid w:val="40322DDA"/>
    <w:rsid w:val="404439DB"/>
    <w:rsid w:val="40457334"/>
    <w:rsid w:val="404A1C06"/>
    <w:rsid w:val="404B5E62"/>
    <w:rsid w:val="405E6311"/>
    <w:rsid w:val="407C4056"/>
    <w:rsid w:val="40805696"/>
    <w:rsid w:val="40945BD7"/>
    <w:rsid w:val="40957C0F"/>
    <w:rsid w:val="40A47108"/>
    <w:rsid w:val="40BE0ADD"/>
    <w:rsid w:val="40C07E55"/>
    <w:rsid w:val="40D519B8"/>
    <w:rsid w:val="40E368A3"/>
    <w:rsid w:val="40EE50F7"/>
    <w:rsid w:val="40F9491B"/>
    <w:rsid w:val="40FE0F0E"/>
    <w:rsid w:val="410406EE"/>
    <w:rsid w:val="4114508A"/>
    <w:rsid w:val="411A2CA9"/>
    <w:rsid w:val="411B0C9D"/>
    <w:rsid w:val="411C1CDD"/>
    <w:rsid w:val="412239C6"/>
    <w:rsid w:val="413A7C8B"/>
    <w:rsid w:val="414C285D"/>
    <w:rsid w:val="4159217C"/>
    <w:rsid w:val="417F3C04"/>
    <w:rsid w:val="4180210E"/>
    <w:rsid w:val="418A2F70"/>
    <w:rsid w:val="41963683"/>
    <w:rsid w:val="41B33AA7"/>
    <w:rsid w:val="41BD7303"/>
    <w:rsid w:val="41BD7330"/>
    <w:rsid w:val="41DB349A"/>
    <w:rsid w:val="41E13113"/>
    <w:rsid w:val="41EE076D"/>
    <w:rsid w:val="41F50133"/>
    <w:rsid w:val="42102483"/>
    <w:rsid w:val="421D3B80"/>
    <w:rsid w:val="421E197A"/>
    <w:rsid w:val="42220C2D"/>
    <w:rsid w:val="423D1EF4"/>
    <w:rsid w:val="42500DFE"/>
    <w:rsid w:val="42553004"/>
    <w:rsid w:val="42596597"/>
    <w:rsid w:val="427113AE"/>
    <w:rsid w:val="427F1BDB"/>
    <w:rsid w:val="428B1BDB"/>
    <w:rsid w:val="428E0BC9"/>
    <w:rsid w:val="429121FE"/>
    <w:rsid w:val="42A20517"/>
    <w:rsid w:val="42B35F10"/>
    <w:rsid w:val="42BF495A"/>
    <w:rsid w:val="42E6012C"/>
    <w:rsid w:val="42E63401"/>
    <w:rsid w:val="42E64AEA"/>
    <w:rsid w:val="42F33C51"/>
    <w:rsid w:val="42FA5A16"/>
    <w:rsid w:val="4324415B"/>
    <w:rsid w:val="432B2BDD"/>
    <w:rsid w:val="433B24A0"/>
    <w:rsid w:val="434C6777"/>
    <w:rsid w:val="434E0A89"/>
    <w:rsid w:val="4354670C"/>
    <w:rsid w:val="43765934"/>
    <w:rsid w:val="4381452A"/>
    <w:rsid w:val="438172BC"/>
    <w:rsid w:val="438C3F40"/>
    <w:rsid w:val="438D7205"/>
    <w:rsid w:val="438E11E5"/>
    <w:rsid w:val="43A049F8"/>
    <w:rsid w:val="43A31501"/>
    <w:rsid w:val="43A51A0F"/>
    <w:rsid w:val="43A63ED9"/>
    <w:rsid w:val="43C64FAF"/>
    <w:rsid w:val="43CA4ED5"/>
    <w:rsid w:val="43D3039E"/>
    <w:rsid w:val="43DD7542"/>
    <w:rsid w:val="43E211B7"/>
    <w:rsid w:val="43FB73B9"/>
    <w:rsid w:val="440C749E"/>
    <w:rsid w:val="440F5CB7"/>
    <w:rsid w:val="4410164C"/>
    <w:rsid w:val="44135E3D"/>
    <w:rsid w:val="4421190E"/>
    <w:rsid w:val="44387A96"/>
    <w:rsid w:val="443F6059"/>
    <w:rsid w:val="4440389E"/>
    <w:rsid w:val="44404FD8"/>
    <w:rsid w:val="44465094"/>
    <w:rsid w:val="44467B33"/>
    <w:rsid w:val="44471594"/>
    <w:rsid w:val="44507687"/>
    <w:rsid w:val="4457742A"/>
    <w:rsid w:val="446108C6"/>
    <w:rsid w:val="446774AD"/>
    <w:rsid w:val="44792257"/>
    <w:rsid w:val="44850AB5"/>
    <w:rsid w:val="44983E14"/>
    <w:rsid w:val="44C1607A"/>
    <w:rsid w:val="44C75133"/>
    <w:rsid w:val="44D101C0"/>
    <w:rsid w:val="44D37D84"/>
    <w:rsid w:val="44D44F89"/>
    <w:rsid w:val="44E7070D"/>
    <w:rsid w:val="44E909DF"/>
    <w:rsid w:val="44E96140"/>
    <w:rsid w:val="45033F5E"/>
    <w:rsid w:val="45151EC2"/>
    <w:rsid w:val="452D6EC8"/>
    <w:rsid w:val="452E7CA8"/>
    <w:rsid w:val="453533CB"/>
    <w:rsid w:val="453D6EB5"/>
    <w:rsid w:val="45461E81"/>
    <w:rsid w:val="454C3C2C"/>
    <w:rsid w:val="455D6C0E"/>
    <w:rsid w:val="456237E3"/>
    <w:rsid w:val="45646473"/>
    <w:rsid w:val="45674650"/>
    <w:rsid w:val="457572C5"/>
    <w:rsid w:val="45785DAE"/>
    <w:rsid w:val="458D79A0"/>
    <w:rsid w:val="458F1616"/>
    <w:rsid w:val="45996092"/>
    <w:rsid w:val="45A20D7F"/>
    <w:rsid w:val="45A96BB7"/>
    <w:rsid w:val="45AA51C1"/>
    <w:rsid w:val="45B23381"/>
    <w:rsid w:val="45B70AB6"/>
    <w:rsid w:val="45BE1896"/>
    <w:rsid w:val="45C374F7"/>
    <w:rsid w:val="45CF5588"/>
    <w:rsid w:val="45D660FC"/>
    <w:rsid w:val="45E8693B"/>
    <w:rsid w:val="45F15FEC"/>
    <w:rsid w:val="45FD2A9F"/>
    <w:rsid w:val="46185997"/>
    <w:rsid w:val="463203C1"/>
    <w:rsid w:val="46480C46"/>
    <w:rsid w:val="464E5B22"/>
    <w:rsid w:val="465719BA"/>
    <w:rsid w:val="46591D60"/>
    <w:rsid w:val="466A2D2D"/>
    <w:rsid w:val="46967B36"/>
    <w:rsid w:val="46A01807"/>
    <w:rsid w:val="46A63BDA"/>
    <w:rsid w:val="46A9250B"/>
    <w:rsid w:val="46B2658C"/>
    <w:rsid w:val="46C53057"/>
    <w:rsid w:val="46C831B4"/>
    <w:rsid w:val="46DD6135"/>
    <w:rsid w:val="46EF36C1"/>
    <w:rsid w:val="46F000E9"/>
    <w:rsid w:val="46F138E0"/>
    <w:rsid w:val="46F63CD4"/>
    <w:rsid w:val="470D6DF4"/>
    <w:rsid w:val="471227C9"/>
    <w:rsid w:val="471609FC"/>
    <w:rsid w:val="472E03DA"/>
    <w:rsid w:val="47304268"/>
    <w:rsid w:val="47314B84"/>
    <w:rsid w:val="47332FF5"/>
    <w:rsid w:val="473F2635"/>
    <w:rsid w:val="4753398A"/>
    <w:rsid w:val="47537F64"/>
    <w:rsid w:val="476676F8"/>
    <w:rsid w:val="476A63AC"/>
    <w:rsid w:val="477E441C"/>
    <w:rsid w:val="477E64CE"/>
    <w:rsid w:val="478A2625"/>
    <w:rsid w:val="478D0FC4"/>
    <w:rsid w:val="47995509"/>
    <w:rsid w:val="479F0965"/>
    <w:rsid w:val="47AB2786"/>
    <w:rsid w:val="47B64E1A"/>
    <w:rsid w:val="47BA075C"/>
    <w:rsid w:val="47BE498F"/>
    <w:rsid w:val="47BE6D02"/>
    <w:rsid w:val="47CF6EED"/>
    <w:rsid w:val="47DA3EE6"/>
    <w:rsid w:val="47E80D20"/>
    <w:rsid w:val="47EF2A40"/>
    <w:rsid w:val="47F66132"/>
    <w:rsid w:val="47FE205C"/>
    <w:rsid w:val="48064ED6"/>
    <w:rsid w:val="48074D90"/>
    <w:rsid w:val="480F163E"/>
    <w:rsid w:val="48217EC1"/>
    <w:rsid w:val="48286180"/>
    <w:rsid w:val="48294664"/>
    <w:rsid w:val="4843730A"/>
    <w:rsid w:val="484636CE"/>
    <w:rsid w:val="484E10BE"/>
    <w:rsid w:val="485F529B"/>
    <w:rsid w:val="486503BD"/>
    <w:rsid w:val="48662799"/>
    <w:rsid w:val="48897354"/>
    <w:rsid w:val="488A4B91"/>
    <w:rsid w:val="4893018E"/>
    <w:rsid w:val="48945E7F"/>
    <w:rsid w:val="489770C9"/>
    <w:rsid w:val="489839F7"/>
    <w:rsid w:val="48B1073E"/>
    <w:rsid w:val="48CB623B"/>
    <w:rsid w:val="48DE33BE"/>
    <w:rsid w:val="48E555AD"/>
    <w:rsid w:val="490D0375"/>
    <w:rsid w:val="490F4371"/>
    <w:rsid w:val="493059FB"/>
    <w:rsid w:val="49413E94"/>
    <w:rsid w:val="4953099D"/>
    <w:rsid w:val="495B752B"/>
    <w:rsid w:val="495D5A00"/>
    <w:rsid w:val="49656C49"/>
    <w:rsid w:val="4968007F"/>
    <w:rsid w:val="497B7EDF"/>
    <w:rsid w:val="498474AC"/>
    <w:rsid w:val="49887BA1"/>
    <w:rsid w:val="4989236D"/>
    <w:rsid w:val="49AD5396"/>
    <w:rsid w:val="49AF5C87"/>
    <w:rsid w:val="49D62DD0"/>
    <w:rsid w:val="49D82CFA"/>
    <w:rsid w:val="49DF154D"/>
    <w:rsid w:val="49DF7B2A"/>
    <w:rsid w:val="49E577AC"/>
    <w:rsid w:val="49ED3805"/>
    <w:rsid w:val="49F444EB"/>
    <w:rsid w:val="49F4463F"/>
    <w:rsid w:val="4A285F26"/>
    <w:rsid w:val="4A3029FF"/>
    <w:rsid w:val="4A3F7033"/>
    <w:rsid w:val="4A495F64"/>
    <w:rsid w:val="4A54799B"/>
    <w:rsid w:val="4A5B1392"/>
    <w:rsid w:val="4A5F5DCB"/>
    <w:rsid w:val="4A6103B5"/>
    <w:rsid w:val="4A6361B0"/>
    <w:rsid w:val="4A697A5C"/>
    <w:rsid w:val="4A6D5817"/>
    <w:rsid w:val="4A6D5A21"/>
    <w:rsid w:val="4A764CF9"/>
    <w:rsid w:val="4A780E6E"/>
    <w:rsid w:val="4A7D61F3"/>
    <w:rsid w:val="4A82613E"/>
    <w:rsid w:val="4A833C14"/>
    <w:rsid w:val="4A9C4AA6"/>
    <w:rsid w:val="4ABC5926"/>
    <w:rsid w:val="4AC13BA7"/>
    <w:rsid w:val="4AD43CC2"/>
    <w:rsid w:val="4AD91448"/>
    <w:rsid w:val="4B03568E"/>
    <w:rsid w:val="4B054C48"/>
    <w:rsid w:val="4B073250"/>
    <w:rsid w:val="4B081AAA"/>
    <w:rsid w:val="4B157281"/>
    <w:rsid w:val="4B1B4D9A"/>
    <w:rsid w:val="4B244692"/>
    <w:rsid w:val="4B355D80"/>
    <w:rsid w:val="4B407DB7"/>
    <w:rsid w:val="4B43338C"/>
    <w:rsid w:val="4B475260"/>
    <w:rsid w:val="4B4B43B9"/>
    <w:rsid w:val="4B596AA2"/>
    <w:rsid w:val="4B6865B5"/>
    <w:rsid w:val="4B6D4929"/>
    <w:rsid w:val="4B8455EB"/>
    <w:rsid w:val="4B845D24"/>
    <w:rsid w:val="4B9506C1"/>
    <w:rsid w:val="4BA40904"/>
    <w:rsid w:val="4BA57A4B"/>
    <w:rsid w:val="4BBA1147"/>
    <w:rsid w:val="4C037012"/>
    <w:rsid w:val="4C1447CB"/>
    <w:rsid w:val="4C2C12C3"/>
    <w:rsid w:val="4C3008D0"/>
    <w:rsid w:val="4C3679C6"/>
    <w:rsid w:val="4C390B55"/>
    <w:rsid w:val="4C5C5F9D"/>
    <w:rsid w:val="4C7A5603"/>
    <w:rsid w:val="4C8111CA"/>
    <w:rsid w:val="4C8220ED"/>
    <w:rsid w:val="4C93647E"/>
    <w:rsid w:val="4C961F41"/>
    <w:rsid w:val="4CA334F9"/>
    <w:rsid w:val="4CAB4709"/>
    <w:rsid w:val="4CC37326"/>
    <w:rsid w:val="4CCF5635"/>
    <w:rsid w:val="4CD27DDB"/>
    <w:rsid w:val="4CD60F91"/>
    <w:rsid w:val="4CD90E26"/>
    <w:rsid w:val="4CD951A0"/>
    <w:rsid w:val="4CDD0DC9"/>
    <w:rsid w:val="4CE05184"/>
    <w:rsid w:val="4CE524B9"/>
    <w:rsid w:val="4CE61651"/>
    <w:rsid w:val="4CF2752F"/>
    <w:rsid w:val="4D271487"/>
    <w:rsid w:val="4D2A7EDF"/>
    <w:rsid w:val="4D2E3A04"/>
    <w:rsid w:val="4D4F28F0"/>
    <w:rsid w:val="4D636650"/>
    <w:rsid w:val="4D665A27"/>
    <w:rsid w:val="4D821B8C"/>
    <w:rsid w:val="4D890E9D"/>
    <w:rsid w:val="4D8F7DD5"/>
    <w:rsid w:val="4D901638"/>
    <w:rsid w:val="4D9F6363"/>
    <w:rsid w:val="4DB961EC"/>
    <w:rsid w:val="4DC7030A"/>
    <w:rsid w:val="4DD80CDF"/>
    <w:rsid w:val="4DDF5EBD"/>
    <w:rsid w:val="4DDF6B8F"/>
    <w:rsid w:val="4DF236E4"/>
    <w:rsid w:val="4DF75681"/>
    <w:rsid w:val="4DFA0703"/>
    <w:rsid w:val="4DFC0584"/>
    <w:rsid w:val="4DFC6802"/>
    <w:rsid w:val="4E253F05"/>
    <w:rsid w:val="4E2773C5"/>
    <w:rsid w:val="4E2B207B"/>
    <w:rsid w:val="4E2E6E41"/>
    <w:rsid w:val="4E634FF9"/>
    <w:rsid w:val="4E67354A"/>
    <w:rsid w:val="4E73266B"/>
    <w:rsid w:val="4E7929BA"/>
    <w:rsid w:val="4E7B6778"/>
    <w:rsid w:val="4E8C6E0D"/>
    <w:rsid w:val="4E8F6622"/>
    <w:rsid w:val="4EA847B3"/>
    <w:rsid w:val="4EB40E5E"/>
    <w:rsid w:val="4ED15497"/>
    <w:rsid w:val="4ED4741A"/>
    <w:rsid w:val="4EE315DE"/>
    <w:rsid w:val="4EEE643C"/>
    <w:rsid w:val="4EFA26B4"/>
    <w:rsid w:val="4EFD28C2"/>
    <w:rsid w:val="4F20586D"/>
    <w:rsid w:val="4F2E1296"/>
    <w:rsid w:val="4F382DF5"/>
    <w:rsid w:val="4F3B2DCB"/>
    <w:rsid w:val="4F3C0C95"/>
    <w:rsid w:val="4F4452A2"/>
    <w:rsid w:val="4F4E3061"/>
    <w:rsid w:val="4F7D3F49"/>
    <w:rsid w:val="4F7E44D9"/>
    <w:rsid w:val="4F874A20"/>
    <w:rsid w:val="4F964DDE"/>
    <w:rsid w:val="4FAF78E4"/>
    <w:rsid w:val="4FC4795B"/>
    <w:rsid w:val="4FD25C82"/>
    <w:rsid w:val="4FD6135A"/>
    <w:rsid w:val="4FE00F0B"/>
    <w:rsid w:val="4FF379A4"/>
    <w:rsid w:val="4FFF16B7"/>
    <w:rsid w:val="500217A5"/>
    <w:rsid w:val="50050787"/>
    <w:rsid w:val="50220E8F"/>
    <w:rsid w:val="50340163"/>
    <w:rsid w:val="5048540C"/>
    <w:rsid w:val="50500572"/>
    <w:rsid w:val="505C064C"/>
    <w:rsid w:val="50693ADF"/>
    <w:rsid w:val="506D5405"/>
    <w:rsid w:val="50926CEC"/>
    <w:rsid w:val="50950C9A"/>
    <w:rsid w:val="5095105C"/>
    <w:rsid w:val="509C604E"/>
    <w:rsid w:val="50A902A0"/>
    <w:rsid w:val="50AC4899"/>
    <w:rsid w:val="50B415EA"/>
    <w:rsid w:val="50B67110"/>
    <w:rsid w:val="50BE3330"/>
    <w:rsid w:val="50E920BD"/>
    <w:rsid w:val="50EE3B03"/>
    <w:rsid w:val="50F82A75"/>
    <w:rsid w:val="51053257"/>
    <w:rsid w:val="513149E8"/>
    <w:rsid w:val="5142037F"/>
    <w:rsid w:val="51634A9A"/>
    <w:rsid w:val="51695A58"/>
    <w:rsid w:val="517073FB"/>
    <w:rsid w:val="517D332A"/>
    <w:rsid w:val="51852DBA"/>
    <w:rsid w:val="518E3D0C"/>
    <w:rsid w:val="51906CB3"/>
    <w:rsid w:val="51985C27"/>
    <w:rsid w:val="51A26CE5"/>
    <w:rsid w:val="51A811F2"/>
    <w:rsid w:val="51A947E6"/>
    <w:rsid w:val="51B716DB"/>
    <w:rsid w:val="51CB7DF7"/>
    <w:rsid w:val="51D9122E"/>
    <w:rsid w:val="51F3033C"/>
    <w:rsid w:val="52000723"/>
    <w:rsid w:val="52003972"/>
    <w:rsid w:val="5201513B"/>
    <w:rsid w:val="52047653"/>
    <w:rsid w:val="521265C8"/>
    <w:rsid w:val="521C6DEF"/>
    <w:rsid w:val="52280F61"/>
    <w:rsid w:val="522B77E3"/>
    <w:rsid w:val="52302A73"/>
    <w:rsid w:val="52384E06"/>
    <w:rsid w:val="52387C4A"/>
    <w:rsid w:val="52535BCC"/>
    <w:rsid w:val="52595712"/>
    <w:rsid w:val="525F00AD"/>
    <w:rsid w:val="5261576A"/>
    <w:rsid w:val="52623D08"/>
    <w:rsid w:val="52757A71"/>
    <w:rsid w:val="527C7722"/>
    <w:rsid w:val="52863AC7"/>
    <w:rsid w:val="52923265"/>
    <w:rsid w:val="529E3592"/>
    <w:rsid w:val="529E7E5B"/>
    <w:rsid w:val="52A12B15"/>
    <w:rsid w:val="52BF212E"/>
    <w:rsid w:val="52D92354"/>
    <w:rsid w:val="52DD6E6C"/>
    <w:rsid w:val="52E6096C"/>
    <w:rsid w:val="52F6155C"/>
    <w:rsid w:val="52F9655C"/>
    <w:rsid w:val="53145A66"/>
    <w:rsid w:val="531460EC"/>
    <w:rsid w:val="5315385C"/>
    <w:rsid w:val="531600F1"/>
    <w:rsid w:val="53270126"/>
    <w:rsid w:val="533162A1"/>
    <w:rsid w:val="5342491C"/>
    <w:rsid w:val="53590888"/>
    <w:rsid w:val="5396277D"/>
    <w:rsid w:val="53A67021"/>
    <w:rsid w:val="53B86A58"/>
    <w:rsid w:val="53BC41A7"/>
    <w:rsid w:val="53C56D73"/>
    <w:rsid w:val="53CC7CB4"/>
    <w:rsid w:val="53D233D8"/>
    <w:rsid w:val="53DD44AD"/>
    <w:rsid w:val="53E002AC"/>
    <w:rsid w:val="53EE54EE"/>
    <w:rsid w:val="53F35FE1"/>
    <w:rsid w:val="53FF5EFB"/>
    <w:rsid w:val="54217E20"/>
    <w:rsid w:val="542875FB"/>
    <w:rsid w:val="544822BD"/>
    <w:rsid w:val="544A2FED"/>
    <w:rsid w:val="5471184B"/>
    <w:rsid w:val="54947768"/>
    <w:rsid w:val="5499178F"/>
    <w:rsid w:val="54A72BAF"/>
    <w:rsid w:val="54AF5270"/>
    <w:rsid w:val="54B1543D"/>
    <w:rsid w:val="54B96610"/>
    <w:rsid w:val="54C24136"/>
    <w:rsid w:val="54C27769"/>
    <w:rsid w:val="54D72DD5"/>
    <w:rsid w:val="54EF11F6"/>
    <w:rsid w:val="5511700B"/>
    <w:rsid w:val="55157F87"/>
    <w:rsid w:val="5519173E"/>
    <w:rsid w:val="552F5634"/>
    <w:rsid w:val="552F7491"/>
    <w:rsid w:val="5534121F"/>
    <w:rsid w:val="55390B69"/>
    <w:rsid w:val="55394479"/>
    <w:rsid w:val="553B71F6"/>
    <w:rsid w:val="553F1E51"/>
    <w:rsid w:val="555358A3"/>
    <w:rsid w:val="556C23A9"/>
    <w:rsid w:val="556D2EBB"/>
    <w:rsid w:val="5579725C"/>
    <w:rsid w:val="55890B98"/>
    <w:rsid w:val="55962D75"/>
    <w:rsid w:val="559F30F0"/>
    <w:rsid w:val="55A84BFE"/>
    <w:rsid w:val="55A90EEB"/>
    <w:rsid w:val="55AC0E8C"/>
    <w:rsid w:val="55B12039"/>
    <w:rsid w:val="55B16A87"/>
    <w:rsid w:val="55B45F63"/>
    <w:rsid w:val="55B90C0A"/>
    <w:rsid w:val="55BE344A"/>
    <w:rsid w:val="55D63591"/>
    <w:rsid w:val="55F50340"/>
    <w:rsid w:val="560A087F"/>
    <w:rsid w:val="56122C31"/>
    <w:rsid w:val="561974BB"/>
    <w:rsid w:val="561A6B08"/>
    <w:rsid w:val="56281E78"/>
    <w:rsid w:val="562A4387"/>
    <w:rsid w:val="56334986"/>
    <w:rsid w:val="563608EB"/>
    <w:rsid w:val="56392A3D"/>
    <w:rsid w:val="56394FFE"/>
    <w:rsid w:val="56533581"/>
    <w:rsid w:val="56556A86"/>
    <w:rsid w:val="565A2E32"/>
    <w:rsid w:val="567A23C9"/>
    <w:rsid w:val="568858B4"/>
    <w:rsid w:val="568E05E7"/>
    <w:rsid w:val="56AE6CD3"/>
    <w:rsid w:val="56CF1ADE"/>
    <w:rsid w:val="56D06D32"/>
    <w:rsid w:val="56DF5DDF"/>
    <w:rsid w:val="56E65CAA"/>
    <w:rsid w:val="56FA2C95"/>
    <w:rsid w:val="56FA5260"/>
    <w:rsid w:val="56FF69BB"/>
    <w:rsid w:val="570619B5"/>
    <w:rsid w:val="57062473"/>
    <w:rsid w:val="57075BF9"/>
    <w:rsid w:val="57082B77"/>
    <w:rsid w:val="570B33EC"/>
    <w:rsid w:val="57172D90"/>
    <w:rsid w:val="57260DE0"/>
    <w:rsid w:val="57313A9F"/>
    <w:rsid w:val="57386662"/>
    <w:rsid w:val="574F03D9"/>
    <w:rsid w:val="5752615F"/>
    <w:rsid w:val="575F76B1"/>
    <w:rsid w:val="576F699C"/>
    <w:rsid w:val="57715EA0"/>
    <w:rsid w:val="57850AAF"/>
    <w:rsid w:val="57866EBB"/>
    <w:rsid w:val="57A21B1B"/>
    <w:rsid w:val="57AC3CC3"/>
    <w:rsid w:val="57AD6121"/>
    <w:rsid w:val="57B123DF"/>
    <w:rsid w:val="57BC62D0"/>
    <w:rsid w:val="57DB7459"/>
    <w:rsid w:val="57EB5D12"/>
    <w:rsid w:val="580612DF"/>
    <w:rsid w:val="58290DC5"/>
    <w:rsid w:val="583170EE"/>
    <w:rsid w:val="58527FC8"/>
    <w:rsid w:val="58647470"/>
    <w:rsid w:val="58723020"/>
    <w:rsid w:val="587303D7"/>
    <w:rsid w:val="58806C98"/>
    <w:rsid w:val="58961943"/>
    <w:rsid w:val="58AE2DC2"/>
    <w:rsid w:val="58B45DE2"/>
    <w:rsid w:val="58BA52C3"/>
    <w:rsid w:val="58BE1F2C"/>
    <w:rsid w:val="58CB0566"/>
    <w:rsid w:val="58D411FE"/>
    <w:rsid w:val="58E40C92"/>
    <w:rsid w:val="58E57753"/>
    <w:rsid w:val="58EE5697"/>
    <w:rsid w:val="58F70910"/>
    <w:rsid w:val="590E217B"/>
    <w:rsid w:val="59121580"/>
    <w:rsid w:val="591433D5"/>
    <w:rsid w:val="59234152"/>
    <w:rsid w:val="59294B5B"/>
    <w:rsid w:val="59616C7A"/>
    <w:rsid w:val="59715673"/>
    <w:rsid w:val="597E05D4"/>
    <w:rsid w:val="5999312B"/>
    <w:rsid w:val="59A41CA5"/>
    <w:rsid w:val="59A801F0"/>
    <w:rsid w:val="59B2180F"/>
    <w:rsid w:val="59BE6FFE"/>
    <w:rsid w:val="59DD5217"/>
    <w:rsid w:val="59F82FAA"/>
    <w:rsid w:val="59FA6DBB"/>
    <w:rsid w:val="5A2F034B"/>
    <w:rsid w:val="5A334CA4"/>
    <w:rsid w:val="5A4C460E"/>
    <w:rsid w:val="5A4D497B"/>
    <w:rsid w:val="5A5046F7"/>
    <w:rsid w:val="5A805270"/>
    <w:rsid w:val="5A874A8D"/>
    <w:rsid w:val="5A97386D"/>
    <w:rsid w:val="5A9835E7"/>
    <w:rsid w:val="5A9A2F72"/>
    <w:rsid w:val="5AB250D9"/>
    <w:rsid w:val="5ABB4FF8"/>
    <w:rsid w:val="5ABB571F"/>
    <w:rsid w:val="5AC35820"/>
    <w:rsid w:val="5AC8519D"/>
    <w:rsid w:val="5AEB0ABF"/>
    <w:rsid w:val="5B045EB1"/>
    <w:rsid w:val="5B062A42"/>
    <w:rsid w:val="5B2A3919"/>
    <w:rsid w:val="5B3A093D"/>
    <w:rsid w:val="5B463F06"/>
    <w:rsid w:val="5B4C6B49"/>
    <w:rsid w:val="5B5A7AB3"/>
    <w:rsid w:val="5B691FD4"/>
    <w:rsid w:val="5B7C4AB2"/>
    <w:rsid w:val="5B926846"/>
    <w:rsid w:val="5BA57414"/>
    <w:rsid w:val="5BB02F60"/>
    <w:rsid w:val="5BB8544A"/>
    <w:rsid w:val="5BCF6A0C"/>
    <w:rsid w:val="5BE7551C"/>
    <w:rsid w:val="5BF46E77"/>
    <w:rsid w:val="5C1C73FB"/>
    <w:rsid w:val="5C2A2C70"/>
    <w:rsid w:val="5C2D1728"/>
    <w:rsid w:val="5C51394C"/>
    <w:rsid w:val="5C72662A"/>
    <w:rsid w:val="5C7B1930"/>
    <w:rsid w:val="5C8117D5"/>
    <w:rsid w:val="5C960E86"/>
    <w:rsid w:val="5CA75F8F"/>
    <w:rsid w:val="5CC0624D"/>
    <w:rsid w:val="5CC15D47"/>
    <w:rsid w:val="5CC826A5"/>
    <w:rsid w:val="5CCF109C"/>
    <w:rsid w:val="5CD94291"/>
    <w:rsid w:val="5CDA1AB9"/>
    <w:rsid w:val="5CDD1120"/>
    <w:rsid w:val="5CDE7166"/>
    <w:rsid w:val="5CE23177"/>
    <w:rsid w:val="5CE86B44"/>
    <w:rsid w:val="5CF3631E"/>
    <w:rsid w:val="5CFA65D6"/>
    <w:rsid w:val="5CFD25D5"/>
    <w:rsid w:val="5D033BE7"/>
    <w:rsid w:val="5D072237"/>
    <w:rsid w:val="5D3C2E5D"/>
    <w:rsid w:val="5D443C03"/>
    <w:rsid w:val="5D5B37D9"/>
    <w:rsid w:val="5D604509"/>
    <w:rsid w:val="5D703211"/>
    <w:rsid w:val="5D985CD5"/>
    <w:rsid w:val="5D9E1D99"/>
    <w:rsid w:val="5DA116D4"/>
    <w:rsid w:val="5DAA7B12"/>
    <w:rsid w:val="5DAD470E"/>
    <w:rsid w:val="5DC85EB7"/>
    <w:rsid w:val="5DCB715C"/>
    <w:rsid w:val="5DD33B7E"/>
    <w:rsid w:val="5DE03167"/>
    <w:rsid w:val="5DFC0FC1"/>
    <w:rsid w:val="5E005E6E"/>
    <w:rsid w:val="5E050024"/>
    <w:rsid w:val="5E0503F5"/>
    <w:rsid w:val="5E0D60E8"/>
    <w:rsid w:val="5E135FCC"/>
    <w:rsid w:val="5E1649E7"/>
    <w:rsid w:val="5E4D7B9D"/>
    <w:rsid w:val="5E7A21C6"/>
    <w:rsid w:val="5E8C001D"/>
    <w:rsid w:val="5E8D672F"/>
    <w:rsid w:val="5E8D747D"/>
    <w:rsid w:val="5E9138DC"/>
    <w:rsid w:val="5E963CA0"/>
    <w:rsid w:val="5EA51C4A"/>
    <w:rsid w:val="5EA762EA"/>
    <w:rsid w:val="5EA92062"/>
    <w:rsid w:val="5EC461DB"/>
    <w:rsid w:val="5EC64E6D"/>
    <w:rsid w:val="5EDD2454"/>
    <w:rsid w:val="5EE44A5F"/>
    <w:rsid w:val="5EE81D52"/>
    <w:rsid w:val="5EEB1665"/>
    <w:rsid w:val="5EEF0698"/>
    <w:rsid w:val="5F172ED3"/>
    <w:rsid w:val="5F2A0360"/>
    <w:rsid w:val="5F3D3A6B"/>
    <w:rsid w:val="5F635AAB"/>
    <w:rsid w:val="5F903222"/>
    <w:rsid w:val="5FB223E4"/>
    <w:rsid w:val="5FB34363"/>
    <w:rsid w:val="5FC32EFB"/>
    <w:rsid w:val="5FCB0E07"/>
    <w:rsid w:val="5FD62FEA"/>
    <w:rsid w:val="5FDD424F"/>
    <w:rsid w:val="5FDF6B44"/>
    <w:rsid w:val="5FE86D52"/>
    <w:rsid w:val="5FF13B6D"/>
    <w:rsid w:val="5FF31011"/>
    <w:rsid w:val="600F52EB"/>
    <w:rsid w:val="60152B0C"/>
    <w:rsid w:val="602F3A6C"/>
    <w:rsid w:val="60326087"/>
    <w:rsid w:val="603424E2"/>
    <w:rsid w:val="605C4EB2"/>
    <w:rsid w:val="606A0777"/>
    <w:rsid w:val="608655C1"/>
    <w:rsid w:val="608A1A1F"/>
    <w:rsid w:val="609465DD"/>
    <w:rsid w:val="60A10BD7"/>
    <w:rsid w:val="60A70C71"/>
    <w:rsid w:val="60AC1E26"/>
    <w:rsid w:val="60BB23E5"/>
    <w:rsid w:val="60EC31DD"/>
    <w:rsid w:val="60FF0995"/>
    <w:rsid w:val="6113109E"/>
    <w:rsid w:val="611C4400"/>
    <w:rsid w:val="611D6D37"/>
    <w:rsid w:val="6127216E"/>
    <w:rsid w:val="612826A2"/>
    <w:rsid w:val="61445488"/>
    <w:rsid w:val="614B240F"/>
    <w:rsid w:val="61767A26"/>
    <w:rsid w:val="6182292A"/>
    <w:rsid w:val="618F5965"/>
    <w:rsid w:val="61954B1F"/>
    <w:rsid w:val="61966006"/>
    <w:rsid w:val="61A41EF3"/>
    <w:rsid w:val="61AB0240"/>
    <w:rsid w:val="61C15EC5"/>
    <w:rsid w:val="61E37639"/>
    <w:rsid w:val="61E80983"/>
    <w:rsid w:val="61EF14EF"/>
    <w:rsid w:val="62205A89"/>
    <w:rsid w:val="62562501"/>
    <w:rsid w:val="62567799"/>
    <w:rsid w:val="62591006"/>
    <w:rsid w:val="625C154B"/>
    <w:rsid w:val="62612352"/>
    <w:rsid w:val="6267747A"/>
    <w:rsid w:val="62710306"/>
    <w:rsid w:val="627574D8"/>
    <w:rsid w:val="62812FAA"/>
    <w:rsid w:val="628759A7"/>
    <w:rsid w:val="628E5630"/>
    <w:rsid w:val="62903706"/>
    <w:rsid w:val="629358D4"/>
    <w:rsid w:val="62966942"/>
    <w:rsid w:val="62AC1B8A"/>
    <w:rsid w:val="62BC587D"/>
    <w:rsid w:val="62C551EA"/>
    <w:rsid w:val="62C570C0"/>
    <w:rsid w:val="62D17FA8"/>
    <w:rsid w:val="62D24915"/>
    <w:rsid w:val="62EB02B5"/>
    <w:rsid w:val="62EB04C8"/>
    <w:rsid w:val="62F77154"/>
    <w:rsid w:val="63077B2A"/>
    <w:rsid w:val="630F0EC2"/>
    <w:rsid w:val="6318550E"/>
    <w:rsid w:val="63203694"/>
    <w:rsid w:val="63353BCF"/>
    <w:rsid w:val="634509D9"/>
    <w:rsid w:val="6346028B"/>
    <w:rsid w:val="63461D37"/>
    <w:rsid w:val="6351368D"/>
    <w:rsid w:val="637D1ECB"/>
    <w:rsid w:val="638958B7"/>
    <w:rsid w:val="63A921DA"/>
    <w:rsid w:val="63B0199A"/>
    <w:rsid w:val="63BA052F"/>
    <w:rsid w:val="63BE0AD3"/>
    <w:rsid w:val="63CD3785"/>
    <w:rsid w:val="63DD029E"/>
    <w:rsid w:val="63E0115C"/>
    <w:rsid w:val="63F221BC"/>
    <w:rsid w:val="63F6567C"/>
    <w:rsid w:val="63FA2B04"/>
    <w:rsid w:val="64032C6B"/>
    <w:rsid w:val="64087A7B"/>
    <w:rsid w:val="640B57D3"/>
    <w:rsid w:val="641A5836"/>
    <w:rsid w:val="641D4AB5"/>
    <w:rsid w:val="64235A38"/>
    <w:rsid w:val="64421735"/>
    <w:rsid w:val="644C2AE2"/>
    <w:rsid w:val="64526450"/>
    <w:rsid w:val="645273BE"/>
    <w:rsid w:val="64585427"/>
    <w:rsid w:val="645B2788"/>
    <w:rsid w:val="646F5CE5"/>
    <w:rsid w:val="64807610"/>
    <w:rsid w:val="64AF56A1"/>
    <w:rsid w:val="64B72E0C"/>
    <w:rsid w:val="64B86B2D"/>
    <w:rsid w:val="64CB244A"/>
    <w:rsid w:val="64E216B1"/>
    <w:rsid w:val="64E31C9A"/>
    <w:rsid w:val="64FE0A7A"/>
    <w:rsid w:val="65042353"/>
    <w:rsid w:val="652314F5"/>
    <w:rsid w:val="652D26C7"/>
    <w:rsid w:val="65536BB1"/>
    <w:rsid w:val="65571136"/>
    <w:rsid w:val="65604F99"/>
    <w:rsid w:val="65682F42"/>
    <w:rsid w:val="6569254B"/>
    <w:rsid w:val="65772C72"/>
    <w:rsid w:val="6584208A"/>
    <w:rsid w:val="65947981"/>
    <w:rsid w:val="659A4539"/>
    <w:rsid w:val="65BD1F08"/>
    <w:rsid w:val="65C32871"/>
    <w:rsid w:val="65D51FB2"/>
    <w:rsid w:val="65DA4CF7"/>
    <w:rsid w:val="65DF0CA7"/>
    <w:rsid w:val="65E24BB0"/>
    <w:rsid w:val="65E56573"/>
    <w:rsid w:val="65FD42E0"/>
    <w:rsid w:val="66014227"/>
    <w:rsid w:val="660B3CDD"/>
    <w:rsid w:val="660E3E13"/>
    <w:rsid w:val="661632D0"/>
    <w:rsid w:val="661C5600"/>
    <w:rsid w:val="66206B4D"/>
    <w:rsid w:val="663658B2"/>
    <w:rsid w:val="663A7D46"/>
    <w:rsid w:val="66530A5C"/>
    <w:rsid w:val="665836A7"/>
    <w:rsid w:val="665F1CB9"/>
    <w:rsid w:val="66616803"/>
    <w:rsid w:val="666F643C"/>
    <w:rsid w:val="667E108E"/>
    <w:rsid w:val="66B0498A"/>
    <w:rsid w:val="66C34609"/>
    <w:rsid w:val="66CD3EC1"/>
    <w:rsid w:val="66F00016"/>
    <w:rsid w:val="66F44096"/>
    <w:rsid w:val="66FD571E"/>
    <w:rsid w:val="66FE0404"/>
    <w:rsid w:val="671604B0"/>
    <w:rsid w:val="67187ECE"/>
    <w:rsid w:val="671E6D8D"/>
    <w:rsid w:val="67313F47"/>
    <w:rsid w:val="67320624"/>
    <w:rsid w:val="673E76D0"/>
    <w:rsid w:val="674D58C9"/>
    <w:rsid w:val="67504513"/>
    <w:rsid w:val="677C68AC"/>
    <w:rsid w:val="678B6958"/>
    <w:rsid w:val="679B6147"/>
    <w:rsid w:val="67A16DDF"/>
    <w:rsid w:val="67AD71F1"/>
    <w:rsid w:val="67B21532"/>
    <w:rsid w:val="67B558B7"/>
    <w:rsid w:val="67B72B89"/>
    <w:rsid w:val="67B96881"/>
    <w:rsid w:val="67F72090"/>
    <w:rsid w:val="680500F2"/>
    <w:rsid w:val="680A12F6"/>
    <w:rsid w:val="681339B0"/>
    <w:rsid w:val="682928D9"/>
    <w:rsid w:val="6830025F"/>
    <w:rsid w:val="683318FD"/>
    <w:rsid w:val="683D77C1"/>
    <w:rsid w:val="68566D09"/>
    <w:rsid w:val="6859391B"/>
    <w:rsid w:val="686310AA"/>
    <w:rsid w:val="68675C25"/>
    <w:rsid w:val="68694A1F"/>
    <w:rsid w:val="687077F8"/>
    <w:rsid w:val="68727727"/>
    <w:rsid w:val="68786E71"/>
    <w:rsid w:val="687D65FA"/>
    <w:rsid w:val="688B4389"/>
    <w:rsid w:val="68A0671B"/>
    <w:rsid w:val="68B25BA3"/>
    <w:rsid w:val="68B47F81"/>
    <w:rsid w:val="68B93CC3"/>
    <w:rsid w:val="68B960C7"/>
    <w:rsid w:val="68DE2EBC"/>
    <w:rsid w:val="68E34A57"/>
    <w:rsid w:val="692C1C8F"/>
    <w:rsid w:val="69320D51"/>
    <w:rsid w:val="69384D87"/>
    <w:rsid w:val="694164B1"/>
    <w:rsid w:val="69452AD1"/>
    <w:rsid w:val="6949691B"/>
    <w:rsid w:val="694B590C"/>
    <w:rsid w:val="694F16CF"/>
    <w:rsid w:val="696B2CBA"/>
    <w:rsid w:val="696F7F2A"/>
    <w:rsid w:val="697069D6"/>
    <w:rsid w:val="698B577F"/>
    <w:rsid w:val="69972F92"/>
    <w:rsid w:val="69981827"/>
    <w:rsid w:val="69A60607"/>
    <w:rsid w:val="69B87748"/>
    <w:rsid w:val="69C23B52"/>
    <w:rsid w:val="69C67F6C"/>
    <w:rsid w:val="69E44896"/>
    <w:rsid w:val="69F15826"/>
    <w:rsid w:val="69FB21CE"/>
    <w:rsid w:val="6A033E82"/>
    <w:rsid w:val="6A096FA5"/>
    <w:rsid w:val="6A29758A"/>
    <w:rsid w:val="6A400097"/>
    <w:rsid w:val="6A426C8D"/>
    <w:rsid w:val="6A451B01"/>
    <w:rsid w:val="6A581C0D"/>
    <w:rsid w:val="6A5C592C"/>
    <w:rsid w:val="6A62775F"/>
    <w:rsid w:val="6A647822"/>
    <w:rsid w:val="6A68006A"/>
    <w:rsid w:val="6A6A371E"/>
    <w:rsid w:val="6A6E1944"/>
    <w:rsid w:val="6A6E23B2"/>
    <w:rsid w:val="6A8B285D"/>
    <w:rsid w:val="6A8F1412"/>
    <w:rsid w:val="6A903551"/>
    <w:rsid w:val="6A944812"/>
    <w:rsid w:val="6A9F203B"/>
    <w:rsid w:val="6AAF4D7F"/>
    <w:rsid w:val="6AB11699"/>
    <w:rsid w:val="6AB853DB"/>
    <w:rsid w:val="6AC537B8"/>
    <w:rsid w:val="6ADE3F6B"/>
    <w:rsid w:val="6AF705A5"/>
    <w:rsid w:val="6AFD6866"/>
    <w:rsid w:val="6AFF3CC9"/>
    <w:rsid w:val="6B0B793A"/>
    <w:rsid w:val="6B132234"/>
    <w:rsid w:val="6B2D7B77"/>
    <w:rsid w:val="6B3462B2"/>
    <w:rsid w:val="6B5670CE"/>
    <w:rsid w:val="6B782986"/>
    <w:rsid w:val="6B7B079E"/>
    <w:rsid w:val="6B7E1823"/>
    <w:rsid w:val="6B807383"/>
    <w:rsid w:val="6B902E71"/>
    <w:rsid w:val="6BA12017"/>
    <w:rsid w:val="6BA55399"/>
    <w:rsid w:val="6BAC3169"/>
    <w:rsid w:val="6BBC293F"/>
    <w:rsid w:val="6BC97482"/>
    <w:rsid w:val="6BDC781D"/>
    <w:rsid w:val="6BDE7AE6"/>
    <w:rsid w:val="6BEF1E2F"/>
    <w:rsid w:val="6C0B1393"/>
    <w:rsid w:val="6C11344C"/>
    <w:rsid w:val="6C20576E"/>
    <w:rsid w:val="6C33202D"/>
    <w:rsid w:val="6C380E3A"/>
    <w:rsid w:val="6C3E00B9"/>
    <w:rsid w:val="6C5A0E3F"/>
    <w:rsid w:val="6C6106EC"/>
    <w:rsid w:val="6C680298"/>
    <w:rsid w:val="6C6D5838"/>
    <w:rsid w:val="6C763848"/>
    <w:rsid w:val="6C7B0CBE"/>
    <w:rsid w:val="6C7B1D21"/>
    <w:rsid w:val="6C7B67DB"/>
    <w:rsid w:val="6C8A5926"/>
    <w:rsid w:val="6C952553"/>
    <w:rsid w:val="6C9F051B"/>
    <w:rsid w:val="6CAE5EF5"/>
    <w:rsid w:val="6CC20B71"/>
    <w:rsid w:val="6CC22FFA"/>
    <w:rsid w:val="6CC74771"/>
    <w:rsid w:val="6CD010B4"/>
    <w:rsid w:val="6CF03552"/>
    <w:rsid w:val="6CF879DA"/>
    <w:rsid w:val="6CFC6C1B"/>
    <w:rsid w:val="6CFE2E1D"/>
    <w:rsid w:val="6D1B0BFF"/>
    <w:rsid w:val="6D207157"/>
    <w:rsid w:val="6D3671B7"/>
    <w:rsid w:val="6D386EAE"/>
    <w:rsid w:val="6D3E5422"/>
    <w:rsid w:val="6D3F05CF"/>
    <w:rsid w:val="6D492790"/>
    <w:rsid w:val="6D55344D"/>
    <w:rsid w:val="6D5563A1"/>
    <w:rsid w:val="6D5859AA"/>
    <w:rsid w:val="6D77332B"/>
    <w:rsid w:val="6D7B66EA"/>
    <w:rsid w:val="6D7C5122"/>
    <w:rsid w:val="6D8222DF"/>
    <w:rsid w:val="6D9B34BE"/>
    <w:rsid w:val="6DA31C40"/>
    <w:rsid w:val="6DA41436"/>
    <w:rsid w:val="6DB51690"/>
    <w:rsid w:val="6DCA1943"/>
    <w:rsid w:val="6DCB4E90"/>
    <w:rsid w:val="6DDE5E7F"/>
    <w:rsid w:val="6DED0138"/>
    <w:rsid w:val="6DF74044"/>
    <w:rsid w:val="6E090523"/>
    <w:rsid w:val="6E0C6214"/>
    <w:rsid w:val="6E1556F6"/>
    <w:rsid w:val="6E205FD6"/>
    <w:rsid w:val="6E236EB2"/>
    <w:rsid w:val="6E2F26AE"/>
    <w:rsid w:val="6E471F93"/>
    <w:rsid w:val="6E4A4688"/>
    <w:rsid w:val="6E4B18D2"/>
    <w:rsid w:val="6E4E7458"/>
    <w:rsid w:val="6E585B4D"/>
    <w:rsid w:val="6E5E7234"/>
    <w:rsid w:val="6E6F2871"/>
    <w:rsid w:val="6E7921E8"/>
    <w:rsid w:val="6E871171"/>
    <w:rsid w:val="6E9B03C3"/>
    <w:rsid w:val="6E9F5E9B"/>
    <w:rsid w:val="6EAA17BE"/>
    <w:rsid w:val="6EB8323D"/>
    <w:rsid w:val="6EC34EA0"/>
    <w:rsid w:val="6ECE341F"/>
    <w:rsid w:val="6ECF6A6C"/>
    <w:rsid w:val="6ED22FAC"/>
    <w:rsid w:val="6EE91ECE"/>
    <w:rsid w:val="6EEB3AF6"/>
    <w:rsid w:val="6EEE4ED9"/>
    <w:rsid w:val="6EF62F3F"/>
    <w:rsid w:val="6EFD4DC3"/>
    <w:rsid w:val="6F222A98"/>
    <w:rsid w:val="6F2F0685"/>
    <w:rsid w:val="6F351203"/>
    <w:rsid w:val="6F523436"/>
    <w:rsid w:val="6F6052EA"/>
    <w:rsid w:val="6F7166F6"/>
    <w:rsid w:val="6F933322"/>
    <w:rsid w:val="6F940239"/>
    <w:rsid w:val="6FA27D4C"/>
    <w:rsid w:val="6FA74871"/>
    <w:rsid w:val="6FB241F8"/>
    <w:rsid w:val="6FCC5990"/>
    <w:rsid w:val="6FDC4FC3"/>
    <w:rsid w:val="6FDC65C4"/>
    <w:rsid w:val="6FEA46F4"/>
    <w:rsid w:val="6FFB7662"/>
    <w:rsid w:val="6FFE4791"/>
    <w:rsid w:val="6FFF779B"/>
    <w:rsid w:val="70073084"/>
    <w:rsid w:val="70094ED2"/>
    <w:rsid w:val="7014330B"/>
    <w:rsid w:val="70176BEA"/>
    <w:rsid w:val="703D7CE6"/>
    <w:rsid w:val="704863BD"/>
    <w:rsid w:val="70570FF5"/>
    <w:rsid w:val="705A7660"/>
    <w:rsid w:val="70894A34"/>
    <w:rsid w:val="709A0611"/>
    <w:rsid w:val="709C1327"/>
    <w:rsid w:val="70A13A33"/>
    <w:rsid w:val="70AF0B0E"/>
    <w:rsid w:val="70C86AB0"/>
    <w:rsid w:val="70DE6288"/>
    <w:rsid w:val="710A3193"/>
    <w:rsid w:val="711102D2"/>
    <w:rsid w:val="71136358"/>
    <w:rsid w:val="712004F5"/>
    <w:rsid w:val="71316600"/>
    <w:rsid w:val="7148570A"/>
    <w:rsid w:val="71535404"/>
    <w:rsid w:val="715541A6"/>
    <w:rsid w:val="7163442E"/>
    <w:rsid w:val="716B4A4F"/>
    <w:rsid w:val="717B05A6"/>
    <w:rsid w:val="71840E5C"/>
    <w:rsid w:val="7184489C"/>
    <w:rsid w:val="718E11EA"/>
    <w:rsid w:val="71902AE4"/>
    <w:rsid w:val="719961B4"/>
    <w:rsid w:val="719F428B"/>
    <w:rsid w:val="71A53B18"/>
    <w:rsid w:val="71A73234"/>
    <w:rsid w:val="71B06E02"/>
    <w:rsid w:val="71D05742"/>
    <w:rsid w:val="71D266D1"/>
    <w:rsid w:val="71D912D4"/>
    <w:rsid w:val="71E45DDB"/>
    <w:rsid w:val="71E65233"/>
    <w:rsid w:val="71EC44BB"/>
    <w:rsid w:val="71F20DEA"/>
    <w:rsid w:val="7229032E"/>
    <w:rsid w:val="723430FA"/>
    <w:rsid w:val="72357A4A"/>
    <w:rsid w:val="72693ACB"/>
    <w:rsid w:val="726D1B57"/>
    <w:rsid w:val="72953F04"/>
    <w:rsid w:val="72990018"/>
    <w:rsid w:val="72AC57F5"/>
    <w:rsid w:val="72B27CB2"/>
    <w:rsid w:val="72CA1C8E"/>
    <w:rsid w:val="72E47980"/>
    <w:rsid w:val="72F50F9C"/>
    <w:rsid w:val="72F62DED"/>
    <w:rsid w:val="730078FC"/>
    <w:rsid w:val="730A3E35"/>
    <w:rsid w:val="731B32C3"/>
    <w:rsid w:val="733A5DD6"/>
    <w:rsid w:val="733B309E"/>
    <w:rsid w:val="736C188B"/>
    <w:rsid w:val="736E2E36"/>
    <w:rsid w:val="73770931"/>
    <w:rsid w:val="73892A07"/>
    <w:rsid w:val="73894AC4"/>
    <w:rsid w:val="738C335A"/>
    <w:rsid w:val="73CA5314"/>
    <w:rsid w:val="73D24CA1"/>
    <w:rsid w:val="73DA31F2"/>
    <w:rsid w:val="73DA6821"/>
    <w:rsid w:val="73DF7FDA"/>
    <w:rsid w:val="740F1C62"/>
    <w:rsid w:val="74237620"/>
    <w:rsid w:val="742C2582"/>
    <w:rsid w:val="744E4DF4"/>
    <w:rsid w:val="74583EB6"/>
    <w:rsid w:val="74835319"/>
    <w:rsid w:val="74880490"/>
    <w:rsid w:val="74A01E17"/>
    <w:rsid w:val="74B61DDC"/>
    <w:rsid w:val="74BB2697"/>
    <w:rsid w:val="74BB3096"/>
    <w:rsid w:val="74C70189"/>
    <w:rsid w:val="74C84547"/>
    <w:rsid w:val="74CE2B0B"/>
    <w:rsid w:val="74CE3F4C"/>
    <w:rsid w:val="74D472B5"/>
    <w:rsid w:val="74E50E19"/>
    <w:rsid w:val="74F1655B"/>
    <w:rsid w:val="74F35FA9"/>
    <w:rsid w:val="74F41941"/>
    <w:rsid w:val="750758DC"/>
    <w:rsid w:val="751E00B5"/>
    <w:rsid w:val="752332B7"/>
    <w:rsid w:val="75292E35"/>
    <w:rsid w:val="752F1C4F"/>
    <w:rsid w:val="75341056"/>
    <w:rsid w:val="753D613E"/>
    <w:rsid w:val="753F14FE"/>
    <w:rsid w:val="75506001"/>
    <w:rsid w:val="755D5A0A"/>
    <w:rsid w:val="75670AA9"/>
    <w:rsid w:val="756D3B06"/>
    <w:rsid w:val="75724C91"/>
    <w:rsid w:val="75752FAA"/>
    <w:rsid w:val="75866981"/>
    <w:rsid w:val="7587423B"/>
    <w:rsid w:val="758A609D"/>
    <w:rsid w:val="759C3C2D"/>
    <w:rsid w:val="759E1D8F"/>
    <w:rsid w:val="75A35A28"/>
    <w:rsid w:val="75B81F99"/>
    <w:rsid w:val="75CF43C8"/>
    <w:rsid w:val="75DE1737"/>
    <w:rsid w:val="75EF43A6"/>
    <w:rsid w:val="75F8689A"/>
    <w:rsid w:val="75FA20BE"/>
    <w:rsid w:val="75FF7F78"/>
    <w:rsid w:val="76003BE2"/>
    <w:rsid w:val="760A29C7"/>
    <w:rsid w:val="760F2C9B"/>
    <w:rsid w:val="76343CA5"/>
    <w:rsid w:val="763D4F16"/>
    <w:rsid w:val="76514AC5"/>
    <w:rsid w:val="76564A88"/>
    <w:rsid w:val="76635A18"/>
    <w:rsid w:val="7684666A"/>
    <w:rsid w:val="768704C9"/>
    <w:rsid w:val="769431A0"/>
    <w:rsid w:val="769C0E3E"/>
    <w:rsid w:val="769C41AB"/>
    <w:rsid w:val="76A007D6"/>
    <w:rsid w:val="76A33DD6"/>
    <w:rsid w:val="76AF60AC"/>
    <w:rsid w:val="76B145E2"/>
    <w:rsid w:val="76BB69C2"/>
    <w:rsid w:val="76BC4508"/>
    <w:rsid w:val="76C23869"/>
    <w:rsid w:val="76D24148"/>
    <w:rsid w:val="76D46CA8"/>
    <w:rsid w:val="76DB2CAA"/>
    <w:rsid w:val="76ED78FA"/>
    <w:rsid w:val="76F26DE2"/>
    <w:rsid w:val="77016E10"/>
    <w:rsid w:val="770325C7"/>
    <w:rsid w:val="771016D8"/>
    <w:rsid w:val="7733706B"/>
    <w:rsid w:val="773A0EE5"/>
    <w:rsid w:val="77530965"/>
    <w:rsid w:val="77653B81"/>
    <w:rsid w:val="7769030A"/>
    <w:rsid w:val="777727FC"/>
    <w:rsid w:val="777D3BB6"/>
    <w:rsid w:val="778511BB"/>
    <w:rsid w:val="77877C60"/>
    <w:rsid w:val="778A36EA"/>
    <w:rsid w:val="77BA0EA6"/>
    <w:rsid w:val="77C2448A"/>
    <w:rsid w:val="77C822DD"/>
    <w:rsid w:val="77EC1A75"/>
    <w:rsid w:val="78174088"/>
    <w:rsid w:val="781836F9"/>
    <w:rsid w:val="7822163F"/>
    <w:rsid w:val="78283E40"/>
    <w:rsid w:val="782F13D2"/>
    <w:rsid w:val="78374B57"/>
    <w:rsid w:val="783C589D"/>
    <w:rsid w:val="784A3CD3"/>
    <w:rsid w:val="78576DA0"/>
    <w:rsid w:val="78615480"/>
    <w:rsid w:val="786D24FD"/>
    <w:rsid w:val="787B3CB6"/>
    <w:rsid w:val="78812164"/>
    <w:rsid w:val="78826FCA"/>
    <w:rsid w:val="788529EA"/>
    <w:rsid w:val="788C2661"/>
    <w:rsid w:val="78A07E89"/>
    <w:rsid w:val="78A703AF"/>
    <w:rsid w:val="78A85E7C"/>
    <w:rsid w:val="78AC1E9F"/>
    <w:rsid w:val="78BE211E"/>
    <w:rsid w:val="78C51852"/>
    <w:rsid w:val="78CD7A8E"/>
    <w:rsid w:val="78FC3F71"/>
    <w:rsid w:val="79063F3E"/>
    <w:rsid w:val="7927654D"/>
    <w:rsid w:val="79407621"/>
    <w:rsid w:val="79493484"/>
    <w:rsid w:val="794E03FE"/>
    <w:rsid w:val="79503A9F"/>
    <w:rsid w:val="795D308D"/>
    <w:rsid w:val="796850A8"/>
    <w:rsid w:val="79730CEE"/>
    <w:rsid w:val="79984D53"/>
    <w:rsid w:val="79A633BA"/>
    <w:rsid w:val="79AC79FB"/>
    <w:rsid w:val="79AD1192"/>
    <w:rsid w:val="79D37B8A"/>
    <w:rsid w:val="79FE700A"/>
    <w:rsid w:val="7A02599B"/>
    <w:rsid w:val="7A1547FF"/>
    <w:rsid w:val="7A1751EE"/>
    <w:rsid w:val="7A1A1242"/>
    <w:rsid w:val="7A481EBA"/>
    <w:rsid w:val="7A4C4C76"/>
    <w:rsid w:val="7A4F2B81"/>
    <w:rsid w:val="7A5507C4"/>
    <w:rsid w:val="7A58575B"/>
    <w:rsid w:val="7A8B1C79"/>
    <w:rsid w:val="7A9F1116"/>
    <w:rsid w:val="7AB42307"/>
    <w:rsid w:val="7AC02597"/>
    <w:rsid w:val="7ACD1F36"/>
    <w:rsid w:val="7AD62AFA"/>
    <w:rsid w:val="7ADC07B4"/>
    <w:rsid w:val="7AE9154A"/>
    <w:rsid w:val="7AF810EF"/>
    <w:rsid w:val="7AF9721F"/>
    <w:rsid w:val="7AFA5C24"/>
    <w:rsid w:val="7B097BDE"/>
    <w:rsid w:val="7B2677BD"/>
    <w:rsid w:val="7B2E06D9"/>
    <w:rsid w:val="7B376C34"/>
    <w:rsid w:val="7B3A0A78"/>
    <w:rsid w:val="7B4714E2"/>
    <w:rsid w:val="7B484A08"/>
    <w:rsid w:val="7B675BAF"/>
    <w:rsid w:val="7B7816E8"/>
    <w:rsid w:val="7B812DFB"/>
    <w:rsid w:val="7B845591"/>
    <w:rsid w:val="7B86755B"/>
    <w:rsid w:val="7B973A2E"/>
    <w:rsid w:val="7BA4035D"/>
    <w:rsid w:val="7BA62EDA"/>
    <w:rsid w:val="7BA65D51"/>
    <w:rsid w:val="7BB85132"/>
    <w:rsid w:val="7BBF53C8"/>
    <w:rsid w:val="7BC37918"/>
    <w:rsid w:val="7BC44B32"/>
    <w:rsid w:val="7BC709D2"/>
    <w:rsid w:val="7BC90C1C"/>
    <w:rsid w:val="7BC970DB"/>
    <w:rsid w:val="7BD16478"/>
    <w:rsid w:val="7BDD0E17"/>
    <w:rsid w:val="7BE04FE4"/>
    <w:rsid w:val="7BE85E4B"/>
    <w:rsid w:val="7BEE1BB0"/>
    <w:rsid w:val="7C021D23"/>
    <w:rsid w:val="7C047AE7"/>
    <w:rsid w:val="7C0C4CCC"/>
    <w:rsid w:val="7C0E1E70"/>
    <w:rsid w:val="7C15390B"/>
    <w:rsid w:val="7C1B3232"/>
    <w:rsid w:val="7C596A1E"/>
    <w:rsid w:val="7C602641"/>
    <w:rsid w:val="7C716C10"/>
    <w:rsid w:val="7C8D6CF0"/>
    <w:rsid w:val="7CA333D6"/>
    <w:rsid w:val="7CB138FF"/>
    <w:rsid w:val="7CC16371"/>
    <w:rsid w:val="7CC26FFD"/>
    <w:rsid w:val="7CDC699E"/>
    <w:rsid w:val="7CF521B3"/>
    <w:rsid w:val="7CFD2932"/>
    <w:rsid w:val="7D051146"/>
    <w:rsid w:val="7D0D36EE"/>
    <w:rsid w:val="7D1563E6"/>
    <w:rsid w:val="7D3E0B18"/>
    <w:rsid w:val="7D3E70D3"/>
    <w:rsid w:val="7D5C3EB4"/>
    <w:rsid w:val="7D5F0804"/>
    <w:rsid w:val="7D663E6F"/>
    <w:rsid w:val="7D715FE9"/>
    <w:rsid w:val="7D71615B"/>
    <w:rsid w:val="7D745762"/>
    <w:rsid w:val="7D912F29"/>
    <w:rsid w:val="7D9E00BD"/>
    <w:rsid w:val="7DB14677"/>
    <w:rsid w:val="7DBB030B"/>
    <w:rsid w:val="7DBD0F25"/>
    <w:rsid w:val="7DC46119"/>
    <w:rsid w:val="7DC5730E"/>
    <w:rsid w:val="7DCA57F6"/>
    <w:rsid w:val="7DCD5EDF"/>
    <w:rsid w:val="7DD64891"/>
    <w:rsid w:val="7DD73BA6"/>
    <w:rsid w:val="7DD74E45"/>
    <w:rsid w:val="7DDA1DE0"/>
    <w:rsid w:val="7DDC0ABF"/>
    <w:rsid w:val="7DE70E2F"/>
    <w:rsid w:val="7DF10515"/>
    <w:rsid w:val="7E015D51"/>
    <w:rsid w:val="7E1C6248"/>
    <w:rsid w:val="7E1C6CCF"/>
    <w:rsid w:val="7E2B263C"/>
    <w:rsid w:val="7E2B5B66"/>
    <w:rsid w:val="7E3D6F9A"/>
    <w:rsid w:val="7E3E37D9"/>
    <w:rsid w:val="7E5514BB"/>
    <w:rsid w:val="7E704832"/>
    <w:rsid w:val="7E761F9C"/>
    <w:rsid w:val="7E7933A7"/>
    <w:rsid w:val="7E800C15"/>
    <w:rsid w:val="7E865AC4"/>
    <w:rsid w:val="7E8F2119"/>
    <w:rsid w:val="7E953617"/>
    <w:rsid w:val="7EB37E4A"/>
    <w:rsid w:val="7EC23181"/>
    <w:rsid w:val="7ED06E49"/>
    <w:rsid w:val="7EF1686D"/>
    <w:rsid w:val="7F0A4EC1"/>
    <w:rsid w:val="7F0B7F23"/>
    <w:rsid w:val="7F183AC4"/>
    <w:rsid w:val="7F2D5F40"/>
    <w:rsid w:val="7F3948E4"/>
    <w:rsid w:val="7F3E07EB"/>
    <w:rsid w:val="7F4734A5"/>
    <w:rsid w:val="7F495CF9"/>
    <w:rsid w:val="7F541FBD"/>
    <w:rsid w:val="7F593177"/>
    <w:rsid w:val="7F651B80"/>
    <w:rsid w:val="7F675F3B"/>
    <w:rsid w:val="7F775663"/>
    <w:rsid w:val="7F96147F"/>
    <w:rsid w:val="7F9711EC"/>
    <w:rsid w:val="7F9814CA"/>
    <w:rsid w:val="7FAC48D8"/>
    <w:rsid w:val="7FB53AF5"/>
    <w:rsid w:val="7FC5136D"/>
    <w:rsid w:val="7FD3310D"/>
    <w:rsid w:val="7FDA10F0"/>
    <w:rsid w:val="7FDB3FB5"/>
    <w:rsid w:val="7FE972EC"/>
    <w:rsid w:val="7FFF5B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39" w:semiHidden="0" w:name="toc 2"/>
    <w:lsdException w:qFormat="1"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qFormat="1"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1"/>
    <w:basedOn w:val="1"/>
    <w:next w:val="1"/>
    <w:link w:val="42"/>
    <w:qFormat/>
    <w:uiPriority w:val="9"/>
    <w:pPr>
      <w:keepNext/>
      <w:keepLines/>
      <w:spacing w:before="340" w:after="330" w:line="578" w:lineRule="auto"/>
      <w:outlineLvl w:val="0"/>
    </w:pPr>
    <w:rPr>
      <w:b/>
      <w:bCs/>
      <w:kern w:val="44"/>
      <w:sz w:val="44"/>
      <w:szCs w:val="44"/>
    </w:rPr>
  </w:style>
  <w:style w:type="paragraph" w:styleId="5">
    <w:name w:val="heading 2"/>
    <w:basedOn w:val="1"/>
    <w:next w:val="1"/>
    <w:link w:val="43"/>
    <w:qFormat/>
    <w:uiPriority w:val="0"/>
    <w:pPr>
      <w:keepNext/>
      <w:keepLines/>
      <w:spacing w:before="260" w:after="260" w:line="412" w:lineRule="auto"/>
      <w:outlineLvl w:val="1"/>
    </w:pPr>
    <w:rPr>
      <w:rFonts w:ascii="Arial" w:hAnsi="Arial" w:eastAsia="??"/>
      <w:b/>
      <w:sz w:val="32"/>
      <w:szCs w:val="28"/>
    </w:rPr>
  </w:style>
  <w:style w:type="paragraph" w:styleId="6">
    <w:name w:val="heading 3"/>
    <w:basedOn w:val="1"/>
    <w:next w:val="1"/>
    <w:qFormat/>
    <w:uiPriority w:val="0"/>
    <w:pPr>
      <w:keepNext/>
      <w:keepLines/>
      <w:autoSpaceDE w:val="0"/>
      <w:autoSpaceDN w:val="0"/>
      <w:adjustRightInd w:val="0"/>
      <w:spacing w:before="360" w:after="120"/>
      <w:jc w:val="left"/>
      <w:outlineLvl w:val="2"/>
    </w:pPr>
    <w:rPr>
      <w:rFonts w:ascii="宋体" w:hAnsi="Tahoma"/>
      <w:b/>
      <w:kern w:val="0"/>
      <w:sz w:val="24"/>
      <w:u w:val="single"/>
    </w:rPr>
  </w:style>
  <w:style w:type="character" w:default="1" w:styleId="30">
    <w:name w:val="Default Paragraph Font"/>
    <w:semiHidden/>
    <w:unhideWhenUsed/>
    <w:qFormat/>
    <w:uiPriority w:val="1"/>
  </w:style>
  <w:style w:type="table" w:default="1" w:styleId="28">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41"/>
    <w:qFormat/>
    <w:uiPriority w:val="0"/>
    <w:pPr>
      <w:spacing w:after="120"/>
    </w:pPr>
    <w:rPr>
      <w:rFonts w:eastAsia="??"/>
      <w:sz w:val="28"/>
      <w:szCs w:val="28"/>
    </w:rPr>
  </w:style>
  <w:style w:type="paragraph" w:styleId="3">
    <w:name w:val="toc 8"/>
    <w:basedOn w:val="1"/>
    <w:next w:val="1"/>
    <w:qFormat/>
    <w:uiPriority w:val="0"/>
    <w:pPr>
      <w:ind w:left="1470"/>
    </w:pPr>
    <w:rPr>
      <w:rFonts w:ascii="仿宋_GB2312" w:hAnsi="Calibri" w:eastAsia="仿宋_GB2312"/>
      <w:sz w:val="18"/>
      <w:szCs w:val="18"/>
    </w:rPr>
  </w:style>
  <w:style w:type="paragraph" w:styleId="7">
    <w:name w:val="List Number"/>
    <w:basedOn w:val="1"/>
    <w:qFormat/>
    <w:uiPriority w:val="0"/>
    <w:pPr>
      <w:widowControl/>
      <w:tabs>
        <w:tab w:val="left" w:pos="360"/>
        <w:tab w:val="left" w:pos="454"/>
        <w:tab w:val="left" w:pos="720"/>
      </w:tabs>
      <w:spacing w:after="156" w:afterLines="50"/>
      <w:ind w:left="454" w:hanging="284"/>
      <w:jc w:val="left"/>
    </w:pPr>
    <w:rPr>
      <w:kern w:val="0"/>
      <w:sz w:val="24"/>
    </w:rPr>
  </w:style>
  <w:style w:type="paragraph" w:styleId="8">
    <w:name w:val="Normal Indent"/>
    <w:basedOn w:val="1"/>
    <w:next w:val="1"/>
    <w:qFormat/>
    <w:uiPriority w:val="0"/>
    <w:pPr>
      <w:spacing w:line="300" w:lineRule="auto"/>
      <w:ind w:firstLine="420"/>
    </w:pPr>
  </w:style>
  <w:style w:type="paragraph" w:styleId="9">
    <w:name w:val="annotation text"/>
    <w:basedOn w:val="1"/>
    <w:link w:val="44"/>
    <w:qFormat/>
    <w:uiPriority w:val="0"/>
    <w:pPr>
      <w:jc w:val="left"/>
    </w:pPr>
    <w:rPr>
      <w:szCs w:val="24"/>
    </w:rPr>
  </w:style>
  <w:style w:type="paragraph" w:styleId="10">
    <w:name w:val="Body Text Indent"/>
    <w:basedOn w:val="1"/>
    <w:next w:val="1"/>
    <w:link w:val="45"/>
    <w:qFormat/>
    <w:uiPriority w:val="0"/>
    <w:pPr>
      <w:spacing w:after="120"/>
      <w:ind w:left="420" w:leftChars="200"/>
    </w:pPr>
  </w:style>
  <w:style w:type="paragraph" w:styleId="11">
    <w:name w:val="Block Text"/>
    <w:basedOn w:val="1"/>
    <w:qFormat/>
    <w:uiPriority w:val="0"/>
    <w:pPr>
      <w:adjustRightInd w:val="0"/>
      <w:spacing w:line="300" w:lineRule="auto"/>
      <w:ind w:left="958" w:right="-120" w:rightChars="-120"/>
      <w:jc w:val="left"/>
    </w:pPr>
    <w:rPr>
      <w:rFonts w:ascii="宋体" w:hAnsi="宋体"/>
      <w:sz w:val="28"/>
    </w:rPr>
  </w:style>
  <w:style w:type="paragraph" w:styleId="12">
    <w:name w:val="toc 3"/>
    <w:basedOn w:val="1"/>
    <w:next w:val="1"/>
    <w:qFormat/>
    <w:uiPriority w:val="0"/>
    <w:pPr>
      <w:ind w:left="840" w:leftChars="400"/>
    </w:pPr>
  </w:style>
  <w:style w:type="paragraph" w:styleId="13">
    <w:name w:val="Plain Text"/>
    <w:basedOn w:val="1"/>
    <w:next w:val="1"/>
    <w:link w:val="46"/>
    <w:qFormat/>
    <w:uiPriority w:val="0"/>
    <w:rPr>
      <w:rFonts w:ascii="宋体" w:hAnsi="Courier New" w:eastAsia="仿宋_GB2312"/>
      <w:sz w:val="30"/>
    </w:rPr>
  </w:style>
  <w:style w:type="paragraph" w:styleId="14">
    <w:name w:val="Body Text Indent 2"/>
    <w:basedOn w:val="1"/>
    <w:link w:val="47"/>
    <w:qFormat/>
    <w:uiPriority w:val="0"/>
    <w:pPr>
      <w:spacing w:line="500" w:lineRule="exact"/>
      <w:ind w:left="105" w:firstLine="465" w:firstLineChars="166"/>
    </w:pPr>
    <w:rPr>
      <w:sz w:val="28"/>
    </w:rPr>
  </w:style>
  <w:style w:type="paragraph" w:styleId="15">
    <w:name w:val="Balloon Text"/>
    <w:basedOn w:val="1"/>
    <w:link w:val="48"/>
    <w:qFormat/>
    <w:uiPriority w:val="0"/>
    <w:rPr>
      <w:sz w:val="18"/>
      <w:szCs w:val="18"/>
    </w:rPr>
  </w:style>
  <w:style w:type="paragraph" w:styleId="16">
    <w:name w:val="footer"/>
    <w:basedOn w:val="1"/>
    <w:next w:val="17"/>
    <w:link w:val="49"/>
    <w:qFormat/>
    <w:uiPriority w:val="99"/>
    <w:pPr>
      <w:tabs>
        <w:tab w:val="center" w:pos="4153"/>
        <w:tab w:val="right" w:pos="8306"/>
      </w:tabs>
      <w:snapToGrid w:val="0"/>
      <w:jc w:val="left"/>
    </w:pPr>
    <w:rPr>
      <w:sz w:val="18"/>
      <w:szCs w:val="18"/>
    </w:rPr>
  </w:style>
  <w:style w:type="paragraph" w:styleId="17">
    <w:name w:val="toc 2"/>
    <w:basedOn w:val="1"/>
    <w:next w:val="1"/>
    <w:qFormat/>
    <w:uiPriority w:val="39"/>
    <w:pPr>
      <w:tabs>
        <w:tab w:val="right" w:leader="middleDot" w:pos="8948"/>
      </w:tabs>
      <w:spacing w:before="60" w:after="60"/>
      <w:ind w:left="210"/>
    </w:pPr>
    <w:rPr>
      <w:smallCaps/>
    </w:rPr>
  </w:style>
  <w:style w:type="paragraph" w:styleId="18">
    <w:name w:val="header"/>
    <w:basedOn w:val="1"/>
    <w:link w:val="50"/>
    <w:qFormat/>
    <w:uiPriority w:val="99"/>
    <w:pPr>
      <w:pBdr>
        <w:bottom w:val="single" w:color="auto" w:sz="6" w:space="1"/>
      </w:pBdr>
      <w:tabs>
        <w:tab w:val="center" w:pos="4153"/>
        <w:tab w:val="right" w:pos="8306"/>
      </w:tabs>
      <w:snapToGrid w:val="0"/>
      <w:jc w:val="center"/>
    </w:pPr>
    <w:rPr>
      <w:sz w:val="18"/>
      <w:szCs w:val="18"/>
    </w:rPr>
  </w:style>
  <w:style w:type="paragraph" w:styleId="19">
    <w:name w:val="toc 1"/>
    <w:basedOn w:val="1"/>
    <w:next w:val="1"/>
    <w:qFormat/>
    <w:uiPriority w:val="0"/>
  </w:style>
  <w:style w:type="paragraph" w:styleId="20">
    <w:name w:val="List"/>
    <w:basedOn w:val="1"/>
    <w:qFormat/>
    <w:uiPriority w:val="0"/>
    <w:pPr>
      <w:ind w:left="200" w:hanging="200" w:hangingChars="200"/>
    </w:pPr>
  </w:style>
  <w:style w:type="paragraph" w:styleId="21">
    <w:name w:val="toc 6"/>
    <w:basedOn w:val="1"/>
    <w:next w:val="1"/>
    <w:qFormat/>
    <w:uiPriority w:val="0"/>
    <w:pPr>
      <w:ind w:left="1000" w:leftChars="1000"/>
    </w:pPr>
  </w:style>
  <w:style w:type="paragraph" w:styleId="22">
    <w:name w:val="Body Text Indent 3"/>
    <w:basedOn w:val="1"/>
    <w:link w:val="51"/>
    <w:qFormat/>
    <w:uiPriority w:val="0"/>
    <w:pPr>
      <w:spacing w:after="120"/>
      <w:ind w:left="420" w:leftChars="200"/>
    </w:pPr>
    <w:rPr>
      <w:sz w:val="16"/>
      <w:szCs w:val="16"/>
    </w:rPr>
  </w:style>
  <w:style w:type="paragraph" w:styleId="23">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24">
    <w:name w:val="Title"/>
    <w:basedOn w:val="1"/>
    <w:link w:val="52"/>
    <w:qFormat/>
    <w:uiPriority w:val="0"/>
    <w:pPr>
      <w:jc w:val="center"/>
    </w:pPr>
    <w:rPr>
      <w:rFonts w:ascii="Calibri" w:hAnsi="Calibri"/>
      <w:sz w:val="30"/>
      <w:szCs w:val="30"/>
    </w:rPr>
  </w:style>
  <w:style w:type="paragraph" w:styleId="25">
    <w:name w:val="annotation subject"/>
    <w:basedOn w:val="9"/>
    <w:next w:val="9"/>
    <w:link w:val="53"/>
    <w:qFormat/>
    <w:uiPriority w:val="0"/>
    <w:rPr>
      <w:b/>
      <w:bCs/>
    </w:rPr>
  </w:style>
  <w:style w:type="paragraph" w:styleId="26">
    <w:name w:val="Body Text First Indent"/>
    <w:basedOn w:val="2"/>
    <w:next w:val="1"/>
    <w:qFormat/>
    <w:uiPriority w:val="0"/>
    <w:pPr>
      <w:ind w:firstLine="420" w:firstLineChars="100"/>
    </w:pPr>
    <w:rPr>
      <w:szCs w:val="24"/>
    </w:rPr>
  </w:style>
  <w:style w:type="paragraph" w:styleId="27">
    <w:name w:val="Body Text First Indent 2"/>
    <w:basedOn w:val="10"/>
    <w:link w:val="54"/>
    <w:qFormat/>
    <w:uiPriority w:val="0"/>
    <w:pPr>
      <w:ind w:firstLine="420" w:firstLineChars="200"/>
    </w:pPr>
  </w:style>
  <w:style w:type="table" w:styleId="29">
    <w:name w:val="Table Grid"/>
    <w:basedOn w:val="28"/>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Strong"/>
    <w:basedOn w:val="30"/>
    <w:qFormat/>
    <w:uiPriority w:val="22"/>
    <w:rPr>
      <w:b/>
      <w:bCs/>
    </w:rPr>
  </w:style>
  <w:style w:type="character" w:styleId="32">
    <w:name w:val="page number"/>
    <w:qFormat/>
    <w:uiPriority w:val="0"/>
  </w:style>
  <w:style w:type="character" w:styleId="33">
    <w:name w:val="Emphasis"/>
    <w:basedOn w:val="30"/>
    <w:qFormat/>
    <w:uiPriority w:val="0"/>
    <w:rPr>
      <w:i/>
    </w:rPr>
  </w:style>
  <w:style w:type="character" w:styleId="34">
    <w:name w:val="Hyperlink"/>
    <w:qFormat/>
    <w:uiPriority w:val="0"/>
    <w:rPr>
      <w:color w:val="0000FF"/>
      <w:u w:val="single"/>
    </w:rPr>
  </w:style>
  <w:style w:type="character" w:styleId="35">
    <w:name w:val="annotation reference"/>
    <w:qFormat/>
    <w:uiPriority w:val="0"/>
    <w:rPr>
      <w:sz w:val="21"/>
      <w:szCs w:val="21"/>
    </w:rPr>
  </w:style>
  <w:style w:type="character" w:styleId="36">
    <w:name w:val="HTML Sample"/>
    <w:basedOn w:val="30"/>
    <w:qFormat/>
    <w:uiPriority w:val="0"/>
    <w:rPr>
      <w:rFonts w:ascii="Courier New" w:hAnsi="Courier New"/>
    </w:rPr>
  </w:style>
  <w:style w:type="paragraph" w:customStyle="1" w:styleId="37">
    <w:name w:val="正文1"/>
    <w:next w:val="1"/>
    <w:qFormat/>
    <w:uiPriority w:val="0"/>
    <w:pPr>
      <w:jc w:val="both"/>
    </w:pPr>
    <w:rPr>
      <w:rFonts w:ascii="Calibri" w:hAnsi="Calibri" w:eastAsia="宋体" w:cs="宋体"/>
      <w:kern w:val="2"/>
      <w:sz w:val="21"/>
      <w:szCs w:val="21"/>
      <w:lang w:val="en-US" w:eastAsia="zh-CN" w:bidi="ar-SA"/>
    </w:rPr>
  </w:style>
  <w:style w:type="paragraph" w:customStyle="1" w:styleId="38">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39">
    <w:name w:val="正文首行缩进 21"/>
    <w:basedOn w:val="40"/>
    <w:qFormat/>
    <w:uiPriority w:val="0"/>
    <w:pPr>
      <w:ind w:firstLine="420"/>
    </w:pPr>
  </w:style>
  <w:style w:type="paragraph" w:customStyle="1" w:styleId="40">
    <w:name w:val="正文文本缩进1"/>
    <w:basedOn w:val="1"/>
    <w:qFormat/>
    <w:uiPriority w:val="0"/>
    <w:pPr>
      <w:ind w:firstLine="200"/>
    </w:pPr>
    <w:rPr>
      <w:rFonts w:ascii="仿宋_GB2312" w:eastAsia="仿宋_GB2312"/>
      <w:sz w:val="32"/>
    </w:rPr>
  </w:style>
  <w:style w:type="character" w:customStyle="1" w:styleId="41">
    <w:name w:val="正文文本 字符"/>
    <w:link w:val="2"/>
    <w:qFormat/>
    <w:uiPriority w:val="0"/>
    <w:rPr>
      <w:rFonts w:eastAsia="??"/>
      <w:kern w:val="2"/>
      <w:sz w:val="28"/>
      <w:szCs w:val="28"/>
      <w:lang w:val="en-US" w:eastAsia="zh-CN" w:bidi="ar-SA"/>
    </w:rPr>
  </w:style>
  <w:style w:type="character" w:customStyle="1" w:styleId="42">
    <w:name w:val="标题 1 字符"/>
    <w:link w:val="4"/>
    <w:qFormat/>
    <w:uiPriority w:val="9"/>
    <w:rPr>
      <w:b/>
      <w:bCs/>
      <w:kern w:val="44"/>
      <w:sz w:val="44"/>
      <w:szCs w:val="44"/>
    </w:rPr>
  </w:style>
  <w:style w:type="character" w:customStyle="1" w:styleId="43">
    <w:name w:val="标题 2 字符"/>
    <w:link w:val="5"/>
    <w:qFormat/>
    <w:uiPriority w:val="0"/>
    <w:rPr>
      <w:rFonts w:ascii="Arial" w:hAnsi="Arial" w:eastAsia="??"/>
      <w:b/>
      <w:kern w:val="2"/>
      <w:sz w:val="32"/>
      <w:szCs w:val="28"/>
      <w:lang w:val="en-US" w:eastAsia="zh-CN" w:bidi="ar-SA"/>
    </w:rPr>
  </w:style>
  <w:style w:type="character" w:customStyle="1" w:styleId="44">
    <w:name w:val="批注文字 字符"/>
    <w:link w:val="9"/>
    <w:qFormat/>
    <w:uiPriority w:val="0"/>
    <w:rPr>
      <w:kern w:val="2"/>
      <w:sz w:val="21"/>
      <w:szCs w:val="24"/>
    </w:rPr>
  </w:style>
  <w:style w:type="character" w:customStyle="1" w:styleId="45">
    <w:name w:val="正文文本缩进 字符"/>
    <w:link w:val="10"/>
    <w:qFormat/>
    <w:uiPriority w:val="0"/>
    <w:rPr>
      <w:kern w:val="2"/>
      <w:sz w:val="21"/>
    </w:rPr>
  </w:style>
  <w:style w:type="character" w:customStyle="1" w:styleId="46">
    <w:name w:val="纯文本 字符"/>
    <w:link w:val="13"/>
    <w:qFormat/>
    <w:uiPriority w:val="0"/>
    <w:rPr>
      <w:rFonts w:ascii="宋体" w:hAnsi="Courier New" w:eastAsia="仿宋_GB2312"/>
      <w:kern w:val="2"/>
      <w:sz w:val="30"/>
      <w:lang w:val="en-US" w:eastAsia="zh-CN" w:bidi="ar-SA"/>
    </w:rPr>
  </w:style>
  <w:style w:type="character" w:customStyle="1" w:styleId="47">
    <w:name w:val="正文文本缩进 2 字符"/>
    <w:link w:val="14"/>
    <w:qFormat/>
    <w:uiPriority w:val="0"/>
    <w:rPr>
      <w:kern w:val="2"/>
      <w:sz w:val="28"/>
    </w:rPr>
  </w:style>
  <w:style w:type="character" w:customStyle="1" w:styleId="48">
    <w:name w:val="批注框文本 字符"/>
    <w:link w:val="15"/>
    <w:qFormat/>
    <w:uiPriority w:val="0"/>
    <w:rPr>
      <w:kern w:val="2"/>
      <w:sz w:val="18"/>
      <w:szCs w:val="18"/>
    </w:rPr>
  </w:style>
  <w:style w:type="character" w:customStyle="1" w:styleId="49">
    <w:name w:val="页脚 字符"/>
    <w:link w:val="16"/>
    <w:qFormat/>
    <w:uiPriority w:val="99"/>
    <w:rPr>
      <w:kern w:val="2"/>
      <w:sz w:val="18"/>
      <w:szCs w:val="18"/>
    </w:rPr>
  </w:style>
  <w:style w:type="character" w:customStyle="1" w:styleId="50">
    <w:name w:val="页眉 字符"/>
    <w:link w:val="18"/>
    <w:qFormat/>
    <w:uiPriority w:val="99"/>
    <w:rPr>
      <w:kern w:val="2"/>
      <w:sz w:val="18"/>
      <w:szCs w:val="18"/>
    </w:rPr>
  </w:style>
  <w:style w:type="character" w:customStyle="1" w:styleId="51">
    <w:name w:val="正文文本缩进 3 字符"/>
    <w:link w:val="22"/>
    <w:qFormat/>
    <w:uiPriority w:val="0"/>
    <w:rPr>
      <w:kern w:val="2"/>
      <w:sz w:val="16"/>
      <w:szCs w:val="16"/>
    </w:rPr>
  </w:style>
  <w:style w:type="character" w:customStyle="1" w:styleId="52">
    <w:name w:val="标题 字符"/>
    <w:link w:val="24"/>
    <w:qFormat/>
    <w:uiPriority w:val="0"/>
    <w:rPr>
      <w:rFonts w:ascii="Calibri" w:hAnsi="Calibri"/>
      <w:kern w:val="2"/>
      <w:sz w:val="30"/>
      <w:szCs w:val="30"/>
    </w:rPr>
  </w:style>
  <w:style w:type="character" w:customStyle="1" w:styleId="53">
    <w:name w:val="批注主题 字符"/>
    <w:link w:val="25"/>
    <w:qFormat/>
    <w:uiPriority w:val="0"/>
    <w:rPr>
      <w:b/>
      <w:bCs/>
      <w:kern w:val="2"/>
      <w:sz w:val="21"/>
      <w:szCs w:val="24"/>
    </w:rPr>
  </w:style>
  <w:style w:type="character" w:customStyle="1" w:styleId="54">
    <w:name w:val="正文文本首行缩进 2 字符"/>
    <w:link w:val="27"/>
    <w:qFormat/>
    <w:uiPriority w:val="0"/>
  </w:style>
  <w:style w:type="paragraph" w:customStyle="1" w:styleId="55">
    <w:name w:val="表格文字"/>
    <w:basedOn w:val="13"/>
    <w:next w:val="2"/>
    <w:qFormat/>
    <w:uiPriority w:val="0"/>
    <w:pPr>
      <w:adjustRightInd w:val="0"/>
      <w:spacing w:line="420" w:lineRule="atLeast"/>
      <w:textAlignment w:val="baseline"/>
    </w:pPr>
    <w:rPr>
      <w:rFonts w:ascii="Calibri" w:hAnsi="Calibri"/>
      <w:sz w:val="28"/>
    </w:rPr>
  </w:style>
  <w:style w:type="character" w:customStyle="1" w:styleId="56">
    <w:name w:val="apple-style-span"/>
    <w:qFormat/>
    <w:uiPriority w:val="0"/>
    <w:rPr>
      <w:rFonts w:ascii="Tahoma" w:hAnsi="Tahoma"/>
      <w:sz w:val="24"/>
      <w:szCs w:val="20"/>
    </w:rPr>
  </w:style>
  <w:style w:type="character" w:customStyle="1" w:styleId="57">
    <w:name w:val="font51"/>
    <w:qFormat/>
    <w:uiPriority w:val="0"/>
    <w:rPr>
      <w:rFonts w:hint="eastAsia" w:ascii="宋体" w:hAnsi="宋体" w:eastAsia="宋体" w:cs="宋体"/>
      <w:color w:val="000000"/>
      <w:sz w:val="22"/>
      <w:szCs w:val="22"/>
      <w:u w:val="none"/>
    </w:rPr>
  </w:style>
  <w:style w:type="character" w:customStyle="1" w:styleId="58">
    <w:name w:val="NormalCharacter"/>
    <w:qFormat/>
    <w:uiPriority w:val="0"/>
    <w:rPr>
      <w:rFonts w:ascii="Calibri" w:hAnsi="Calibri" w:eastAsia="宋体"/>
    </w:rPr>
  </w:style>
  <w:style w:type="character" w:customStyle="1" w:styleId="59">
    <w:name w:val="font01"/>
    <w:qFormat/>
    <w:uiPriority w:val="0"/>
    <w:rPr>
      <w:rFonts w:hint="eastAsia" w:ascii="宋体" w:hAnsi="宋体" w:eastAsia="宋体" w:cs="宋体"/>
      <w:b/>
      <w:color w:val="000000"/>
      <w:sz w:val="40"/>
      <w:szCs w:val="40"/>
      <w:u w:val="none"/>
    </w:rPr>
  </w:style>
  <w:style w:type="character" w:customStyle="1" w:styleId="60">
    <w:name w:val="font91"/>
    <w:qFormat/>
    <w:uiPriority w:val="0"/>
    <w:rPr>
      <w:rFonts w:hint="eastAsia" w:ascii="宋体" w:hAnsi="宋体" w:eastAsia="宋体" w:cs="宋体"/>
      <w:color w:val="000000"/>
      <w:sz w:val="20"/>
      <w:szCs w:val="20"/>
      <w:u w:val="none"/>
    </w:rPr>
  </w:style>
  <w:style w:type="character" w:customStyle="1" w:styleId="61">
    <w:name w:val="font11"/>
    <w:qFormat/>
    <w:uiPriority w:val="0"/>
    <w:rPr>
      <w:rFonts w:hint="eastAsia" w:ascii="宋体" w:hAnsi="宋体" w:eastAsia="宋体" w:cs="宋体"/>
      <w:b/>
      <w:color w:val="000000"/>
      <w:sz w:val="22"/>
      <w:szCs w:val="22"/>
      <w:u w:val="none"/>
    </w:rPr>
  </w:style>
  <w:style w:type="character" w:customStyle="1" w:styleId="62">
    <w:name w:val="font112"/>
    <w:qFormat/>
    <w:uiPriority w:val="0"/>
    <w:rPr>
      <w:rFonts w:hint="eastAsia" w:ascii="宋体" w:hAnsi="宋体" w:eastAsia="宋体" w:cs="宋体"/>
      <w:color w:val="000000"/>
      <w:sz w:val="22"/>
      <w:szCs w:val="22"/>
      <w:u w:val="none"/>
    </w:rPr>
  </w:style>
  <w:style w:type="character" w:customStyle="1" w:styleId="63">
    <w:name w:val="font61"/>
    <w:qFormat/>
    <w:uiPriority w:val="0"/>
    <w:rPr>
      <w:rFonts w:hint="default" w:ascii="Times New Roman" w:hAnsi="Times New Roman" w:cs="Times New Roman"/>
      <w:color w:val="000000"/>
      <w:sz w:val="20"/>
      <w:szCs w:val="20"/>
      <w:u w:val="none"/>
    </w:rPr>
  </w:style>
  <w:style w:type="character" w:customStyle="1" w:styleId="64">
    <w:name w:val="font81"/>
    <w:qFormat/>
    <w:uiPriority w:val="0"/>
    <w:rPr>
      <w:rFonts w:hint="eastAsia" w:ascii="宋体" w:hAnsi="宋体" w:eastAsia="宋体" w:cs="宋体"/>
      <w:color w:val="000000"/>
      <w:sz w:val="20"/>
      <w:szCs w:val="20"/>
      <w:u w:val="none"/>
    </w:rPr>
  </w:style>
  <w:style w:type="character" w:customStyle="1" w:styleId="65">
    <w:name w:val="Char Char7"/>
    <w:qFormat/>
    <w:uiPriority w:val="0"/>
    <w:rPr>
      <w:rFonts w:ascii="??" w:hAnsi="??" w:eastAsia="??" w:cs="宋体"/>
      <w:kern w:val="2"/>
      <w:sz w:val="24"/>
      <w:szCs w:val="28"/>
    </w:rPr>
  </w:style>
  <w:style w:type="character" w:customStyle="1" w:styleId="66">
    <w:name w:val="font71"/>
    <w:qFormat/>
    <w:uiPriority w:val="0"/>
    <w:rPr>
      <w:rFonts w:ascii="Arial" w:hAnsi="Arial" w:cs="Arial"/>
      <w:color w:val="000000"/>
      <w:sz w:val="20"/>
      <w:szCs w:val="20"/>
      <w:u w:val="none"/>
    </w:rPr>
  </w:style>
  <w:style w:type="paragraph" w:customStyle="1" w:styleId="67">
    <w:name w:val="中等深浅列表 2 - 强调文字颜色 41"/>
    <w:basedOn w:val="1"/>
    <w:qFormat/>
    <w:uiPriority w:val="34"/>
    <w:pPr>
      <w:ind w:firstLine="420" w:firstLineChars="200"/>
    </w:pPr>
    <w:rPr>
      <w:rFonts w:ascii="Calibri" w:hAnsi="Calibri"/>
      <w:szCs w:val="22"/>
    </w:rPr>
  </w:style>
  <w:style w:type="paragraph" w:customStyle="1" w:styleId="68">
    <w:name w:val="正文样式"/>
    <w:basedOn w:val="1"/>
    <w:qFormat/>
    <w:uiPriority w:val="0"/>
    <w:pPr>
      <w:spacing w:before="156" w:beforeLines="50" w:line="312" w:lineRule="auto"/>
      <w:ind w:firstLine="200" w:firstLineChars="200"/>
    </w:pPr>
    <w:rPr>
      <w:rFonts w:ascii="Calibri" w:hAnsi="Calibri"/>
      <w:sz w:val="24"/>
      <w:szCs w:val="24"/>
    </w:rPr>
  </w:style>
  <w:style w:type="paragraph" w:customStyle="1" w:styleId="69">
    <w:name w:val="p16"/>
    <w:basedOn w:val="1"/>
    <w:qFormat/>
    <w:uiPriority w:val="0"/>
    <w:pPr>
      <w:widowControl/>
    </w:pPr>
    <w:rPr>
      <w:rFonts w:ascii="宋体" w:hAnsi="宋体" w:cs="宋体"/>
      <w:kern w:val="0"/>
      <w:sz w:val="30"/>
      <w:szCs w:val="30"/>
    </w:rPr>
  </w:style>
  <w:style w:type="paragraph" w:customStyle="1" w:styleId="70">
    <w:name w:val="_Style 8"/>
    <w:basedOn w:val="1"/>
    <w:next w:val="71"/>
    <w:qFormat/>
    <w:uiPriority w:val="34"/>
    <w:pPr>
      <w:ind w:firstLine="420" w:firstLineChars="200"/>
    </w:pPr>
    <w:rPr>
      <w:rFonts w:ascii="Calibri" w:hAnsi="Calibri"/>
      <w:szCs w:val="22"/>
    </w:rPr>
  </w:style>
  <w:style w:type="paragraph" w:styleId="71">
    <w:name w:val="List Paragraph"/>
    <w:basedOn w:val="1"/>
    <w:qFormat/>
    <w:uiPriority w:val="34"/>
    <w:pPr>
      <w:autoSpaceDE w:val="0"/>
      <w:autoSpaceDN w:val="0"/>
      <w:adjustRightInd w:val="0"/>
      <w:ind w:firstLine="200" w:firstLineChars="200"/>
      <w:jc w:val="left"/>
    </w:pPr>
    <w:rPr>
      <w:rFonts w:eastAsia="??"/>
      <w:kern w:val="0"/>
      <w:sz w:val="24"/>
      <w:szCs w:val="24"/>
    </w:rPr>
  </w:style>
  <w:style w:type="paragraph" w:customStyle="1" w:styleId="72">
    <w:name w:val="书籍标题1"/>
    <w:basedOn w:val="1"/>
    <w:next w:val="1"/>
    <w:qFormat/>
    <w:uiPriority w:val="0"/>
    <w:pPr>
      <w:pageBreakBefore/>
      <w:widowControl/>
      <w:tabs>
        <w:tab w:val="left" w:pos="360"/>
      </w:tabs>
      <w:spacing w:before="624" w:beforeLines="200" w:after="624" w:afterLines="200"/>
      <w:ind w:hanging="360"/>
      <w:jc w:val="center"/>
      <w:outlineLvl w:val="0"/>
    </w:pPr>
    <w:rPr>
      <w:rFonts w:eastAsia="黑体"/>
      <w:b/>
      <w:bCs/>
      <w:spacing w:val="20"/>
      <w:kern w:val="44"/>
      <w:sz w:val="44"/>
    </w:rPr>
  </w:style>
  <w:style w:type="paragraph" w:customStyle="1" w:styleId="73">
    <w:name w:val="newnewnewnew"/>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74">
    <w:name w:val="Default Text"/>
    <w:basedOn w:val="1"/>
    <w:qFormat/>
    <w:uiPriority w:val="0"/>
    <w:pPr>
      <w:widowControl/>
      <w:overflowPunct w:val="0"/>
      <w:autoSpaceDE w:val="0"/>
      <w:autoSpaceDN w:val="0"/>
      <w:adjustRightInd w:val="0"/>
      <w:jc w:val="left"/>
      <w:textAlignment w:val="baseline"/>
    </w:pPr>
    <w:rPr>
      <w:kern w:val="0"/>
      <w:sz w:val="24"/>
    </w:rPr>
  </w:style>
  <w:style w:type="paragraph" w:customStyle="1" w:styleId="75">
    <w:name w:val="newnew"/>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76">
    <w:name w:val="列出段落1"/>
    <w:basedOn w:val="1"/>
    <w:qFormat/>
    <w:uiPriority w:val="0"/>
    <w:pPr>
      <w:ind w:firstLine="420" w:firstLineChars="200"/>
    </w:pPr>
    <w:rPr>
      <w:rFonts w:ascii="Calibri" w:hAnsi="Calibri"/>
      <w:szCs w:val="22"/>
    </w:rPr>
  </w:style>
  <w:style w:type="paragraph" w:customStyle="1" w:styleId="77">
    <w:name w:val="4"/>
    <w:basedOn w:val="1"/>
    <w:qFormat/>
    <w:uiPriority w:val="0"/>
    <w:pPr>
      <w:widowControl/>
      <w:spacing w:before="100" w:beforeAutospacing="1" w:after="100" w:afterAutospacing="1"/>
      <w:jc w:val="left"/>
    </w:pPr>
    <w:rPr>
      <w:rFonts w:ascii="宋体" w:hAnsi="宋体" w:cs="宋体"/>
      <w:kern w:val="0"/>
      <w:sz w:val="24"/>
    </w:rPr>
  </w:style>
  <w:style w:type="paragraph" w:customStyle="1" w:styleId="78">
    <w:name w:val="Body text|1"/>
    <w:basedOn w:val="1"/>
    <w:qFormat/>
    <w:uiPriority w:val="0"/>
    <w:pPr>
      <w:spacing w:line="413" w:lineRule="auto"/>
    </w:pPr>
    <w:rPr>
      <w:rFonts w:ascii="宋体" w:hAnsi="宋体" w:cs="宋体"/>
      <w:sz w:val="20"/>
      <w:lang w:val="zh-CN" w:bidi="zh-CN"/>
    </w:rPr>
  </w:style>
  <w:style w:type="paragraph" w:customStyle="1" w:styleId="79">
    <w:name w:val="xl35"/>
    <w:basedOn w:val="1"/>
    <w:qFormat/>
    <w:uiPriority w:val="0"/>
    <w:pPr>
      <w:widowControl/>
      <w:spacing w:before="100" w:beforeAutospacing="1" w:after="100" w:afterAutospacing="1"/>
      <w:jc w:val="right"/>
      <w:textAlignment w:val="center"/>
    </w:pPr>
    <w:rPr>
      <w:rFonts w:ascii="宋体" w:hAnsi="宋体"/>
      <w:kern w:val="0"/>
      <w:sz w:val="18"/>
    </w:rPr>
  </w:style>
  <w:style w:type="paragraph" w:customStyle="1" w:styleId="80">
    <w:name w:val="正文2"/>
    <w:basedOn w:val="1"/>
    <w:qFormat/>
    <w:uiPriority w:val="0"/>
    <w:pPr>
      <w:adjustRightInd w:val="0"/>
      <w:spacing w:line="318" w:lineRule="atLeast"/>
      <w:ind w:left="369" w:firstLine="369"/>
      <w:textAlignment w:val="baseline"/>
    </w:pPr>
    <w:rPr>
      <w:rFonts w:ascii="宋体"/>
    </w:rPr>
  </w:style>
  <w:style w:type="paragraph" w:customStyle="1" w:styleId="81">
    <w:name w:val="List Paragraph1"/>
    <w:basedOn w:val="1"/>
    <w:qFormat/>
    <w:uiPriority w:val="34"/>
    <w:pPr>
      <w:ind w:firstLine="420" w:firstLineChars="200"/>
    </w:pPr>
  </w:style>
  <w:style w:type="paragraph" w:customStyle="1" w:styleId="82">
    <w:name w:val="reader-word-layer reader-word-s1-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83">
    <w:name w:val="font5"/>
    <w:basedOn w:val="1"/>
    <w:qFormat/>
    <w:uiPriority w:val="0"/>
    <w:pPr>
      <w:widowControl/>
      <w:spacing w:before="100" w:beforeAutospacing="1" w:after="100" w:afterAutospacing="1"/>
      <w:jc w:val="left"/>
    </w:pPr>
    <w:rPr>
      <w:rFonts w:hint="eastAsia" w:ascii="宋体" w:hAnsi="宋体"/>
      <w:kern w:val="0"/>
      <w:sz w:val="18"/>
    </w:rPr>
  </w:style>
  <w:style w:type="paragraph" w:customStyle="1" w:styleId="84">
    <w:name w:val="Char"/>
    <w:basedOn w:val="1"/>
    <w:qFormat/>
    <w:uiPriority w:val="0"/>
    <w:rPr>
      <w:szCs w:val="24"/>
    </w:rPr>
  </w:style>
  <w:style w:type="paragraph" w:customStyle="1" w:styleId="85">
    <w:name w:val="_Style 3"/>
    <w:basedOn w:val="1"/>
    <w:qFormat/>
    <w:uiPriority w:val="34"/>
    <w:pPr>
      <w:widowControl/>
      <w:spacing w:after="200" w:line="276" w:lineRule="auto"/>
      <w:ind w:left="720"/>
      <w:contextualSpacing/>
      <w:jc w:val="left"/>
    </w:pPr>
    <w:rPr>
      <w:rFonts w:ascii="Calibri" w:hAnsi="Calibri"/>
      <w:kern w:val="0"/>
      <w:sz w:val="22"/>
      <w:szCs w:val="22"/>
    </w:rPr>
  </w:style>
  <w:style w:type="paragraph" w:customStyle="1" w:styleId="86">
    <w:name w:val="xl30"/>
    <w:basedOn w:val="1"/>
    <w:qFormat/>
    <w:uiPriority w:val="0"/>
    <w:pPr>
      <w:widowControl/>
      <w:spacing w:before="100" w:beforeAutospacing="1" w:after="100" w:afterAutospacing="1"/>
      <w:jc w:val="center"/>
      <w:textAlignment w:val="center"/>
    </w:pPr>
    <w:rPr>
      <w:rFonts w:ascii="楷体_GB2312" w:hAnsi="宋体" w:eastAsia="楷体_GB2312"/>
      <w:b/>
      <w:kern w:val="0"/>
      <w:sz w:val="32"/>
    </w:rPr>
  </w:style>
  <w:style w:type="paragraph" w:customStyle="1" w:styleId="87">
    <w:name w:val="[Normal]"/>
    <w:qFormat/>
    <w:uiPriority w:val="0"/>
    <w:rPr>
      <w:rFonts w:ascii="宋体" w:hAnsi="宋体" w:eastAsia="宋体" w:cs="Times New Roman"/>
      <w:sz w:val="24"/>
      <w:szCs w:val="22"/>
      <w:lang w:val="zh-CN" w:eastAsia="zh-CN" w:bidi="ar-SA"/>
    </w:rPr>
  </w:style>
  <w:style w:type="paragraph" w:customStyle="1" w:styleId="88">
    <w:name w:val="p0"/>
    <w:basedOn w:val="1"/>
    <w:qFormat/>
    <w:uiPriority w:val="0"/>
    <w:pPr>
      <w:widowControl/>
    </w:pPr>
    <w:rPr>
      <w:kern w:val="0"/>
      <w:szCs w:val="21"/>
    </w:rPr>
  </w:style>
  <w:style w:type="table" w:customStyle="1" w:styleId="89">
    <w:name w:val="网格型1"/>
    <w:basedOn w:val="28"/>
    <w:qFormat/>
    <w:uiPriority w:val="59"/>
    <w:rPr>
      <w:rFonts w:ascii="Calibri" w:hAnsi="Calibri" w:cs="宋体"/>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customStyle="1" w:styleId="90">
    <w:name w:val="章正文"/>
    <w:basedOn w:val="1"/>
    <w:qFormat/>
    <w:uiPriority w:val="0"/>
    <w:pPr>
      <w:spacing w:before="156" w:beforeLines="50" w:after="120" w:line="300" w:lineRule="auto"/>
      <w:ind w:firstLine="480"/>
    </w:pPr>
    <w:rPr>
      <w:rFonts w:ascii="Helvetica" w:hAnsi="Helvetica"/>
      <w:kern w:val="0"/>
      <w:sz w:val="24"/>
      <w:szCs w:val="24"/>
    </w:rPr>
  </w:style>
  <w:style w:type="paragraph" w:customStyle="1" w:styleId="91">
    <w:name w:val="正文（首行缩进2字符）"/>
    <w:basedOn w:val="1"/>
    <w:qFormat/>
    <w:uiPriority w:val="0"/>
    <w:pPr>
      <w:spacing w:line="360" w:lineRule="auto"/>
      <w:ind w:firstLine="420" w:firstLineChars="200"/>
    </w:pPr>
    <w:rPr>
      <w:szCs w:val="21"/>
    </w:rPr>
  </w:style>
  <w:style w:type="paragraph" w:customStyle="1" w:styleId="92">
    <w:name w:val="文档正文"/>
    <w:basedOn w:val="1"/>
    <w:qFormat/>
    <w:uiPriority w:val="0"/>
    <w:rPr>
      <w:rFonts w:ascii="宋体" w:hAnsi="宋体" w:cs="Arial"/>
      <w:bCs/>
      <w:szCs w:val="21"/>
    </w:rPr>
  </w:style>
  <w:style w:type="paragraph" w:customStyle="1" w:styleId="93">
    <w:name w:val="ZY-A-正文内容"/>
    <w:basedOn w:val="1"/>
    <w:qFormat/>
    <w:uiPriority w:val="0"/>
    <w:pPr>
      <w:widowControl/>
      <w:tabs>
        <w:tab w:val="left" w:pos="0"/>
      </w:tabs>
      <w:spacing w:line="360" w:lineRule="auto"/>
      <w:ind w:firstLine="560" w:firstLineChars="200"/>
    </w:pPr>
    <w:rPr>
      <w:rFonts w:hint="eastAsia" w:eastAsia="仿宋_GB2312" w:cstheme="minorBidi"/>
      <w:szCs w:val="21"/>
    </w:rPr>
  </w:style>
  <w:style w:type="paragraph" w:customStyle="1" w:styleId="94">
    <w:name w:val="ZY-附录表格正文"/>
    <w:basedOn w:val="1"/>
    <w:qFormat/>
    <w:uiPriority w:val="0"/>
    <w:pPr>
      <w:widowControl/>
      <w:jc w:val="center"/>
    </w:pPr>
    <w:rPr>
      <w:rFonts w:hint="eastAsia" w:ascii="黑体" w:hAnsi="黑体" w:eastAsia="黑体" w:cs="宋体"/>
      <w:kern w:val="0"/>
      <w:sz w:val="20"/>
    </w:rPr>
  </w:style>
  <w:style w:type="paragraph" w:customStyle="1" w:styleId="95">
    <w:name w:val="Revision"/>
    <w:hidden/>
    <w:semiHidden/>
    <w:qFormat/>
    <w:uiPriority w:val="99"/>
    <w:rPr>
      <w:rFonts w:ascii="Times New Roman" w:hAnsi="Times New Roman" w:eastAsia="宋体" w:cs="Times New Roman"/>
      <w:kern w:val="2"/>
      <w:sz w:val="21"/>
      <w:lang w:val="en-US" w:eastAsia="zh-CN" w:bidi="ar-SA"/>
    </w:rPr>
  </w:style>
  <w:style w:type="paragraph" w:customStyle="1" w:styleId="96">
    <w:name w:val="Table Paragraph"/>
    <w:basedOn w:val="1"/>
    <w:qFormat/>
    <w:uiPriority w:val="0"/>
    <w:rPr>
      <w:rFonts w:ascii="宋体" w:hAnsi="宋体" w:cs="宋体"/>
      <w:lang w:val="zh-CN" w:bidi="zh-CN"/>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49</Pages>
  <Words>10534</Words>
  <Characters>11434</Characters>
  <Lines>1</Lines>
  <Paragraphs>1</Paragraphs>
  <TotalTime>63</TotalTime>
  <ScaleCrop>false</ScaleCrop>
  <LinksUpToDate>false</LinksUpToDate>
  <CharactersWithSpaces>11846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2022-08-11T18:00:00Z</dcterms:created>
  <dc:creator>Administrator</dc:creator>
  <cp:lastModifiedBy>mnnnn.</cp:lastModifiedBy>
  <cp:lastPrinted>2023-12-13T14:44:00Z</cp:lastPrinted>
  <dcterms:modified xsi:type="dcterms:W3CDTF">2025-04-17T02:27:05Z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00AC633FF7FA4A3CB82C674A9774DBF4_13</vt:lpwstr>
  </property>
  <property fmtid="{D5CDD505-2E9C-101B-9397-08002B2CF9AE}" pid="4" name="commondata">
    <vt:lpwstr>eyJoZGlkIjoiMTY3NmVmZDMzNjIyYzhhNDE2N2E5MmI0Mzg3OGM1YTYifQ==</vt:lpwstr>
  </property>
  <property fmtid="{D5CDD505-2E9C-101B-9397-08002B2CF9AE}" pid="5" name="KSOTemplateDocerSaveRecord">
    <vt:lpwstr>eyJoZGlkIjoiZTQ4ZGFlZmNiMTliMDVlMDljZTQ4NGI3Y2U0ZTkyNDgiLCJ1c2VySWQiOiIzODkxNTAyNTAifQ==</vt:lpwstr>
  </property>
</Properties>
</file>