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kern w:val="2"/>
          <w:sz w:val="21"/>
          <w:lang w:val="en-US" w:eastAsia="zh-CN" w:bidi="ar-SA"/>
        </w:rPr>
        <w:id w:val="147469433"/>
        <w:showingPlcHdr/>
        <w15:color w:val="DBDBDB"/>
        <w:docPartObj>
          <w:docPartGallery w:val="Table of Contents"/>
          <w:docPartUnique/>
        </w:docPartObj>
      </w:sdtPr>
      <w:sdtEndPr>
        <w:rPr>
          <w:rFonts w:ascii="宋体" w:hAnsi="宋体" w:eastAsia="宋体" w:cs="宋体"/>
          <w:b/>
          <w:bCs/>
          <w:spacing w:val="20"/>
          <w:kern w:val="2"/>
          <w:sz w:val="30"/>
          <w:szCs w:val="28"/>
          <w:lang w:val="en-US" w:eastAsia="zh-CN" w:bidi="ar-SA"/>
        </w:rPr>
      </w:sdtEndPr>
      <w:sdtContent>
        <w:p w14:paraId="417952FA">
          <w:pPr>
            <w:pStyle w:val="15"/>
            <w:snapToGrid w:val="0"/>
            <w:spacing w:before="120" w:after="120" w:line="360" w:lineRule="auto"/>
            <w:jc w:val="center"/>
            <w:rPr>
              <w:rFonts w:ascii="宋体" w:hAnsi="宋体" w:eastAsia="宋体" w:cs="宋体"/>
              <w:b/>
              <w:bCs/>
              <w:spacing w:val="20"/>
              <w:kern w:val="2"/>
              <w:sz w:val="30"/>
              <w:szCs w:val="28"/>
              <w:lang w:val="en-US" w:eastAsia="zh-CN" w:bidi="ar-SA"/>
            </w:rPr>
          </w:pPr>
          <w:r>
            <w:rPr>
              <w:rFonts w:hint="eastAsia" w:hAnsi="宋体" w:eastAsia="宋体" w:cs="Times New Roman"/>
              <w:kern w:val="2"/>
              <w:sz w:val="21"/>
              <w:lang w:val="en-US" w:eastAsia="zh-CN" w:bidi="ar-SA"/>
            </w:rPr>
            <w:t xml:space="preserve">     </w:t>
          </w:r>
        </w:p>
      </w:sdtContent>
    </w:sdt>
    <w:p w14:paraId="078ED6CF">
      <w:pPr>
        <w:pStyle w:val="16"/>
      </w:pPr>
    </w:p>
    <w:p w14:paraId="55D279C7">
      <w:pPr>
        <w:pStyle w:val="15"/>
        <w:snapToGrid w:val="0"/>
        <w:spacing w:before="120" w:after="120" w:line="360" w:lineRule="auto"/>
        <w:jc w:val="center"/>
        <w:outlineLvl w:val="0"/>
        <w:rPr>
          <w:rFonts w:hAnsi="宋体" w:eastAsia="宋体" w:cs="宋体"/>
          <w:bCs/>
          <w:sz w:val="84"/>
          <w:szCs w:val="84"/>
        </w:rPr>
      </w:pPr>
      <w:bookmarkStart w:id="0" w:name="_Toc31514"/>
      <w:r>
        <w:rPr>
          <w:rFonts w:hint="eastAsia" w:hAnsi="宋体" w:eastAsia="宋体" w:cs="宋体"/>
          <w:bCs/>
          <w:sz w:val="56"/>
          <w:szCs w:val="56"/>
          <w:lang w:eastAsia="zh-CN"/>
        </w:rPr>
        <w:t>定海区看守所综合用房设施提升改造廉政教育基地展厅文化打造建设项目</w:t>
      </w:r>
      <w:bookmarkEnd w:id="0"/>
    </w:p>
    <w:p w14:paraId="6197C07C">
      <w:pPr>
        <w:pStyle w:val="15"/>
        <w:snapToGrid w:val="0"/>
        <w:spacing w:before="120" w:after="120" w:line="360" w:lineRule="auto"/>
        <w:jc w:val="center"/>
        <w:rPr>
          <w:rFonts w:hint="eastAsia" w:hAnsi="宋体" w:eastAsia="宋体" w:cs="宋体"/>
          <w:bCs/>
          <w:sz w:val="84"/>
          <w:szCs w:val="84"/>
        </w:rPr>
      </w:pPr>
    </w:p>
    <w:p w14:paraId="123FE25C">
      <w:pPr>
        <w:pStyle w:val="15"/>
        <w:snapToGrid w:val="0"/>
        <w:spacing w:before="120" w:after="120" w:line="360" w:lineRule="auto"/>
        <w:jc w:val="center"/>
        <w:rPr>
          <w:rFonts w:hAnsi="宋体" w:eastAsia="宋体" w:cs="宋体"/>
          <w:b/>
          <w:sz w:val="84"/>
          <w:szCs w:val="84"/>
        </w:rPr>
      </w:pPr>
      <w:r>
        <w:rPr>
          <w:rFonts w:hint="eastAsia" w:hAnsi="宋体" w:eastAsia="宋体" w:cs="宋体"/>
          <w:bCs/>
          <w:sz w:val="84"/>
          <w:szCs w:val="84"/>
        </w:rPr>
        <w:t>招标文件</w:t>
      </w:r>
    </w:p>
    <w:p w14:paraId="3C40A518">
      <w:pPr>
        <w:snapToGrid w:val="0"/>
        <w:spacing w:before="120" w:after="120" w:line="360" w:lineRule="auto"/>
        <w:jc w:val="center"/>
        <w:rPr>
          <w:rFonts w:ascii="宋体" w:hAnsi="宋体" w:cs="宋体"/>
          <w:b/>
          <w:sz w:val="24"/>
          <w:szCs w:val="24"/>
        </w:rPr>
      </w:pPr>
    </w:p>
    <w:p w14:paraId="63239327">
      <w:pPr>
        <w:pStyle w:val="15"/>
        <w:snapToGrid w:val="0"/>
        <w:spacing w:before="120" w:after="120" w:line="360" w:lineRule="auto"/>
        <w:rPr>
          <w:rFonts w:hAnsi="宋体" w:eastAsia="宋体" w:cs="宋体"/>
          <w:b/>
          <w:sz w:val="24"/>
          <w:szCs w:val="24"/>
        </w:rPr>
      </w:pPr>
    </w:p>
    <w:p w14:paraId="1E48E3AE">
      <w:pPr>
        <w:pStyle w:val="98"/>
        <w:widowControl w:val="0"/>
        <w:spacing w:line="720" w:lineRule="auto"/>
        <w:ind w:firstLine="1400" w:firstLineChars="500"/>
        <w:rPr>
          <w:rFonts w:hint="default" w:ascii="宋体" w:hAnsi="宋体" w:eastAsia="宋体" w:cs="宋体"/>
          <w:sz w:val="28"/>
          <w:szCs w:val="28"/>
          <w:lang w:val="en-US" w:eastAsia="zh-CN"/>
        </w:rPr>
      </w:pPr>
      <w:r>
        <w:rPr>
          <w:rFonts w:hint="eastAsia" w:ascii="宋体" w:hAnsi="宋体" w:cs="宋体"/>
          <w:sz w:val="28"/>
          <w:szCs w:val="28"/>
        </w:rPr>
        <w:t>项目编号：0773-2541GNZS</w:t>
      </w:r>
      <w:r>
        <w:rPr>
          <w:rFonts w:hint="eastAsia" w:ascii="宋体" w:hAnsi="宋体" w:cs="宋体"/>
          <w:sz w:val="28"/>
          <w:szCs w:val="28"/>
          <w:lang w:val="en-US" w:eastAsia="zh-CN"/>
        </w:rPr>
        <w:t>H</w:t>
      </w:r>
      <w:r>
        <w:rPr>
          <w:rFonts w:hint="eastAsia" w:ascii="宋体" w:hAnsi="宋体" w:cs="宋体"/>
          <w:sz w:val="28"/>
          <w:szCs w:val="28"/>
        </w:rPr>
        <w:t>W</w:t>
      </w:r>
      <w:r>
        <w:rPr>
          <w:rFonts w:hint="eastAsia" w:ascii="宋体" w:hAnsi="宋体" w:cs="宋体"/>
          <w:sz w:val="28"/>
          <w:szCs w:val="28"/>
          <w:lang w:val="en-US" w:eastAsia="zh-CN"/>
        </w:rPr>
        <w:t>GK1688-1</w:t>
      </w:r>
    </w:p>
    <w:p w14:paraId="09DE8995">
      <w:pPr>
        <w:pStyle w:val="98"/>
        <w:widowControl w:val="0"/>
        <w:spacing w:line="720" w:lineRule="auto"/>
        <w:ind w:firstLine="1400" w:firstLineChars="500"/>
        <w:rPr>
          <w:rFonts w:hint="eastAsia" w:ascii="宋体" w:hAnsi="宋体" w:cs="宋体"/>
          <w:sz w:val="28"/>
          <w:szCs w:val="28"/>
        </w:rPr>
      </w:pPr>
      <w:r>
        <w:rPr>
          <w:rFonts w:hint="eastAsia" w:ascii="宋体" w:hAnsi="宋体" w:cs="宋体"/>
          <w:sz w:val="28"/>
          <w:szCs w:val="28"/>
        </w:rPr>
        <w:t>项目名称：定海区看守所综合用房设施提升改造廉政教育基地</w:t>
      </w:r>
    </w:p>
    <w:p w14:paraId="16FE7D14">
      <w:pPr>
        <w:pStyle w:val="98"/>
        <w:widowControl w:val="0"/>
        <w:spacing w:line="720" w:lineRule="auto"/>
        <w:ind w:left="0" w:leftChars="0" w:firstLine="2738" w:firstLineChars="978"/>
        <w:outlineLvl w:val="0"/>
        <w:rPr>
          <w:rFonts w:hint="eastAsia" w:ascii="宋体" w:hAnsi="宋体" w:eastAsia="宋体" w:cs="宋体"/>
          <w:sz w:val="28"/>
          <w:szCs w:val="28"/>
          <w:lang w:val="en-US" w:eastAsia="zh-CN"/>
        </w:rPr>
      </w:pPr>
      <w:bookmarkStart w:id="1" w:name="_Toc12030"/>
      <w:r>
        <w:rPr>
          <w:rFonts w:hint="eastAsia" w:ascii="宋体" w:hAnsi="宋体" w:cs="宋体"/>
          <w:sz w:val="28"/>
          <w:szCs w:val="28"/>
        </w:rPr>
        <w:t>展厅文化打造建设项目</w:t>
      </w:r>
      <w:bookmarkEnd w:id="1"/>
      <w:r>
        <w:rPr>
          <w:rFonts w:hint="eastAsia" w:ascii="宋体" w:hAnsi="宋体" w:cs="宋体"/>
          <w:sz w:val="28"/>
          <w:szCs w:val="28"/>
          <w:lang w:eastAsia="zh-CN"/>
        </w:rPr>
        <w:t>（</w:t>
      </w:r>
      <w:r>
        <w:rPr>
          <w:rFonts w:hint="eastAsia" w:ascii="宋体" w:hAnsi="宋体" w:cs="宋体"/>
          <w:sz w:val="28"/>
          <w:szCs w:val="28"/>
          <w:lang w:val="en-US" w:eastAsia="zh-CN"/>
        </w:rPr>
        <w:t>重新招标</w:t>
      </w:r>
      <w:r>
        <w:rPr>
          <w:rFonts w:hint="eastAsia" w:ascii="宋体" w:hAnsi="宋体" w:cs="宋体"/>
          <w:sz w:val="28"/>
          <w:szCs w:val="28"/>
          <w:lang w:eastAsia="zh-CN"/>
        </w:rPr>
        <w:t>）</w:t>
      </w:r>
    </w:p>
    <w:p w14:paraId="6A3AEFCF">
      <w:pPr>
        <w:spacing w:line="720" w:lineRule="auto"/>
        <w:ind w:firstLine="1400" w:firstLineChars="500"/>
        <w:rPr>
          <w:rFonts w:ascii="宋体" w:hAnsi="宋体" w:cs="宋体"/>
          <w:sz w:val="28"/>
          <w:szCs w:val="28"/>
        </w:rPr>
      </w:pPr>
      <w:r>
        <w:rPr>
          <w:rFonts w:hint="eastAsia" w:ascii="宋体" w:hAnsi="宋体" w:cs="宋体"/>
          <w:sz w:val="28"/>
          <w:szCs w:val="28"/>
        </w:rPr>
        <w:t>采 购 人：</w:t>
      </w:r>
      <w:r>
        <w:rPr>
          <w:rFonts w:hint="eastAsia" w:ascii="宋体" w:hAnsi="宋体" w:cs="宋体"/>
          <w:sz w:val="28"/>
          <w:szCs w:val="28"/>
          <w:lang w:eastAsia="zh-CN"/>
        </w:rPr>
        <w:t>舟山市公安局定海区分局</w:t>
      </w:r>
      <w:r>
        <w:rPr>
          <w:rFonts w:hint="eastAsia" w:ascii="宋体" w:hAnsi="宋体" w:cs="宋体"/>
          <w:sz w:val="28"/>
          <w:szCs w:val="28"/>
        </w:rPr>
        <w:t>（盖章）</w:t>
      </w:r>
    </w:p>
    <w:p w14:paraId="06D7A57D">
      <w:pPr>
        <w:spacing w:line="720" w:lineRule="auto"/>
        <w:ind w:firstLine="1400" w:firstLineChars="500"/>
        <w:rPr>
          <w:rFonts w:ascii="宋体" w:hAnsi="宋体" w:cs="宋体"/>
          <w:sz w:val="28"/>
          <w:szCs w:val="28"/>
        </w:rPr>
      </w:pPr>
      <w:r>
        <w:rPr>
          <w:rFonts w:hint="eastAsia" w:ascii="宋体" w:hAnsi="宋体" w:cs="宋体"/>
          <w:sz w:val="28"/>
          <w:szCs w:val="28"/>
        </w:rPr>
        <w:t>代理机构：中金招标有限责任公司（盖章）</w:t>
      </w:r>
    </w:p>
    <w:p w14:paraId="1B0F4640">
      <w:pPr>
        <w:spacing w:line="720" w:lineRule="auto"/>
        <w:ind w:firstLine="1400" w:firstLineChars="500"/>
        <w:rPr>
          <w:rFonts w:hint="eastAsia" w:ascii="宋体" w:hAnsi="宋体" w:eastAsia="宋体" w:cs="宋体"/>
          <w:bCs/>
          <w:sz w:val="28"/>
          <w:szCs w:val="28"/>
          <w:lang w:val="en-US"/>
        </w:rPr>
        <w:sectPr>
          <w:headerReference r:id="rId4" w:type="first"/>
          <w:footerReference r:id="rId6" w:type="first"/>
          <w:headerReference r:id="rId3" w:type="default"/>
          <w:footerReference r:id="rId5" w:type="default"/>
          <w:pgSz w:w="11906" w:h="16838"/>
          <w:pgMar w:top="992" w:right="1191" w:bottom="992" w:left="1191" w:header="851" w:footer="794" w:gutter="0"/>
          <w:pgNumType w:start="0"/>
          <w:cols w:space="720" w:num="1"/>
          <w:titlePg/>
          <w:docGrid w:type="lines" w:linePitch="312" w:charSpace="0"/>
        </w:sectPr>
      </w:pPr>
      <w:r>
        <w:rPr>
          <w:rFonts w:hint="eastAsia" w:ascii="宋体" w:hAnsi="宋体" w:eastAsia="宋体" w:cs="宋体"/>
          <w:bCs/>
          <w:sz w:val="28"/>
          <w:szCs w:val="28"/>
        </w:rPr>
        <w:t>日    期：二〇二</w:t>
      </w:r>
      <w:r>
        <w:rPr>
          <w:rFonts w:hint="eastAsia" w:ascii="宋体" w:hAnsi="宋体" w:eastAsia="宋体" w:cs="宋体"/>
          <w:bCs/>
          <w:sz w:val="28"/>
          <w:szCs w:val="28"/>
          <w:lang w:val="en-US" w:eastAsia="zh-CN"/>
        </w:rPr>
        <w:t>五</w:t>
      </w:r>
      <w:r>
        <w:rPr>
          <w:rFonts w:hint="eastAsia" w:ascii="宋体" w:hAnsi="宋体" w:eastAsia="宋体" w:cs="宋体"/>
          <w:bCs/>
          <w:sz w:val="28"/>
          <w:szCs w:val="28"/>
        </w:rPr>
        <w:t>年</w:t>
      </w:r>
      <w:r>
        <w:rPr>
          <w:rFonts w:hint="eastAsia" w:ascii="宋体" w:hAnsi="宋体" w:eastAsia="宋体" w:cs="宋体"/>
          <w:bCs/>
          <w:sz w:val="28"/>
          <w:szCs w:val="28"/>
          <w:lang w:val="en-US" w:eastAsia="zh-CN"/>
        </w:rPr>
        <w:t>三月</w:t>
      </w:r>
    </w:p>
    <w:p w14:paraId="36908254">
      <w:pPr>
        <w:pStyle w:val="15"/>
        <w:spacing w:before="120" w:after="120" w:line="600" w:lineRule="auto"/>
        <w:jc w:val="center"/>
        <w:outlineLvl w:val="0"/>
        <w:rPr>
          <w:rFonts w:hAnsi="宋体" w:eastAsia="宋体" w:cs="宋体"/>
          <w:sz w:val="36"/>
          <w:szCs w:val="36"/>
        </w:rPr>
      </w:pPr>
      <w:bookmarkStart w:id="2" w:name="_Toc16089"/>
      <w:r>
        <w:rPr>
          <w:rFonts w:hint="eastAsia" w:hAnsi="宋体" w:eastAsia="宋体" w:cs="宋体"/>
          <w:sz w:val="36"/>
          <w:szCs w:val="36"/>
        </w:rPr>
        <w:t>目    录</w:t>
      </w:r>
      <w:bookmarkEnd w:id="2"/>
    </w:p>
    <w:p w14:paraId="1160FC0D">
      <w:pPr>
        <w:spacing w:before="120" w:line="552" w:lineRule="auto"/>
        <w:ind w:firstLine="840" w:firstLineChars="300"/>
        <w:outlineLvl w:val="9"/>
        <w:rPr>
          <w:rFonts w:ascii="宋体" w:hAnsi="宋体" w:cs="宋体"/>
          <w:sz w:val="28"/>
          <w:szCs w:val="28"/>
        </w:rPr>
      </w:pPr>
      <w:bookmarkStart w:id="3" w:name="_Toc37"/>
      <w:r>
        <w:rPr>
          <w:rFonts w:hint="eastAsia" w:ascii="宋体" w:hAnsi="宋体" w:cs="宋体"/>
          <w:sz w:val="28"/>
          <w:szCs w:val="28"/>
        </w:rPr>
        <w:t>第一章  招标公告</w:t>
      </w:r>
      <w:bookmarkEnd w:id="3"/>
    </w:p>
    <w:p w14:paraId="1D399BDE">
      <w:pPr>
        <w:spacing w:before="120" w:line="552" w:lineRule="auto"/>
        <w:ind w:firstLine="840" w:firstLineChars="300"/>
        <w:rPr>
          <w:rFonts w:ascii="宋体" w:hAnsi="宋体" w:cs="宋体"/>
          <w:sz w:val="28"/>
          <w:szCs w:val="28"/>
        </w:rPr>
      </w:pPr>
      <w:r>
        <w:rPr>
          <w:rFonts w:hint="eastAsia" w:ascii="宋体" w:hAnsi="宋体" w:cs="宋体"/>
          <w:sz w:val="28"/>
          <w:szCs w:val="28"/>
        </w:rPr>
        <w:t>第二章  采购需求</w:t>
      </w:r>
    </w:p>
    <w:p w14:paraId="4A34B0BB">
      <w:pPr>
        <w:spacing w:before="120" w:line="552" w:lineRule="auto"/>
        <w:ind w:firstLine="840" w:firstLineChars="300"/>
        <w:rPr>
          <w:rFonts w:ascii="宋体" w:hAnsi="宋体" w:cs="宋体"/>
          <w:sz w:val="28"/>
          <w:szCs w:val="28"/>
        </w:rPr>
      </w:pPr>
      <w:r>
        <w:rPr>
          <w:rFonts w:hint="eastAsia" w:ascii="宋体" w:hAnsi="宋体" w:cs="宋体"/>
          <w:sz w:val="28"/>
          <w:szCs w:val="28"/>
        </w:rPr>
        <w:t>第三章  投标人须知</w:t>
      </w:r>
    </w:p>
    <w:p w14:paraId="20F77FFC">
      <w:pPr>
        <w:spacing w:before="120" w:line="552" w:lineRule="auto"/>
        <w:ind w:firstLine="1960" w:firstLineChars="700"/>
        <w:rPr>
          <w:rFonts w:ascii="宋体" w:hAnsi="宋体" w:cs="宋体"/>
          <w:sz w:val="28"/>
          <w:szCs w:val="28"/>
        </w:rPr>
      </w:pPr>
      <w:r>
        <w:rPr>
          <w:rFonts w:hint="eastAsia" w:ascii="宋体" w:hAnsi="宋体" w:cs="宋体"/>
          <w:sz w:val="28"/>
          <w:szCs w:val="28"/>
        </w:rPr>
        <w:t xml:space="preserve">前附表 </w:t>
      </w:r>
    </w:p>
    <w:p w14:paraId="3E785E7A">
      <w:pPr>
        <w:spacing w:before="120" w:line="552" w:lineRule="auto"/>
        <w:ind w:firstLine="1400" w:firstLineChars="500"/>
        <w:rPr>
          <w:rFonts w:ascii="宋体" w:hAnsi="宋体" w:cs="宋体"/>
          <w:sz w:val="28"/>
          <w:szCs w:val="28"/>
        </w:rPr>
      </w:pPr>
      <w:r>
        <w:rPr>
          <w:rFonts w:hint="eastAsia" w:ascii="宋体" w:hAnsi="宋体" w:cs="宋体"/>
          <w:sz w:val="28"/>
          <w:szCs w:val="28"/>
        </w:rPr>
        <w:t>一、总 则</w:t>
      </w:r>
    </w:p>
    <w:p w14:paraId="27C5E90E">
      <w:pPr>
        <w:spacing w:before="120" w:line="552" w:lineRule="auto"/>
        <w:ind w:firstLine="1400" w:firstLineChars="500"/>
        <w:rPr>
          <w:rFonts w:ascii="宋体" w:hAnsi="宋体" w:cs="宋体"/>
          <w:sz w:val="28"/>
          <w:szCs w:val="28"/>
        </w:rPr>
      </w:pPr>
      <w:r>
        <w:rPr>
          <w:rFonts w:hint="eastAsia" w:ascii="宋体" w:hAnsi="宋体" w:cs="宋体"/>
          <w:sz w:val="28"/>
          <w:szCs w:val="28"/>
        </w:rPr>
        <w:t>二、招标文件</w:t>
      </w:r>
    </w:p>
    <w:p w14:paraId="051B9990">
      <w:pPr>
        <w:spacing w:before="120" w:line="552" w:lineRule="auto"/>
        <w:ind w:firstLine="1400" w:firstLineChars="500"/>
        <w:rPr>
          <w:rFonts w:ascii="宋体" w:hAnsi="宋体" w:cs="宋体"/>
          <w:sz w:val="28"/>
          <w:szCs w:val="28"/>
        </w:rPr>
      </w:pPr>
      <w:r>
        <w:rPr>
          <w:rFonts w:hint="eastAsia" w:ascii="宋体" w:hAnsi="宋体" w:cs="宋体"/>
          <w:sz w:val="28"/>
          <w:szCs w:val="28"/>
        </w:rPr>
        <w:t>三、投标文件的编制</w:t>
      </w:r>
    </w:p>
    <w:p w14:paraId="1E7E18BE">
      <w:pPr>
        <w:spacing w:before="120" w:line="552" w:lineRule="auto"/>
        <w:ind w:firstLine="1400" w:firstLineChars="500"/>
        <w:rPr>
          <w:rFonts w:ascii="宋体" w:hAnsi="宋体" w:cs="宋体"/>
          <w:sz w:val="28"/>
          <w:szCs w:val="28"/>
        </w:rPr>
      </w:pPr>
      <w:r>
        <w:rPr>
          <w:rFonts w:hint="eastAsia" w:ascii="宋体" w:hAnsi="宋体" w:cs="宋体"/>
          <w:sz w:val="28"/>
          <w:szCs w:val="28"/>
        </w:rPr>
        <w:t>四、开标</w:t>
      </w:r>
    </w:p>
    <w:p w14:paraId="1117AE0B">
      <w:pPr>
        <w:spacing w:before="120" w:line="552" w:lineRule="auto"/>
        <w:ind w:firstLine="1400" w:firstLineChars="500"/>
        <w:rPr>
          <w:rFonts w:ascii="宋体" w:hAnsi="宋体" w:cs="宋体"/>
          <w:sz w:val="28"/>
          <w:szCs w:val="28"/>
        </w:rPr>
      </w:pPr>
      <w:r>
        <w:rPr>
          <w:rFonts w:hint="eastAsia" w:ascii="宋体" w:hAnsi="宋体" w:cs="宋体"/>
          <w:sz w:val="28"/>
          <w:szCs w:val="28"/>
        </w:rPr>
        <w:t>五、评标</w:t>
      </w:r>
    </w:p>
    <w:p w14:paraId="5147F735">
      <w:pPr>
        <w:spacing w:before="120" w:line="552" w:lineRule="auto"/>
        <w:ind w:firstLine="1400" w:firstLineChars="500"/>
        <w:rPr>
          <w:rFonts w:ascii="宋体" w:hAnsi="宋体" w:cs="宋体"/>
          <w:sz w:val="28"/>
          <w:szCs w:val="28"/>
        </w:rPr>
      </w:pPr>
      <w:r>
        <w:rPr>
          <w:rFonts w:hint="eastAsia" w:ascii="宋体" w:hAnsi="宋体" w:cs="宋体"/>
          <w:sz w:val="28"/>
          <w:szCs w:val="28"/>
        </w:rPr>
        <w:t>六、废标</w:t>
      </w:r>
    </w:p>
    <w:p w14:paraId="265E44CE">
      <w:pPr>
        <w:spacing w:before="120" w:line="552" w:lineRule="auto"/>
        <w:ind w:firstLine="1400" w:firstLineChars="500"/>
        <w:rPr>
          <w:rFonts w:ascii="宋体" w:hAnsi="宋体" w:cs="宋体"/>
          <w:sz w:val="28"/>
          <w:szCs w:val="28"/>
        </w:rPr>
      </w:pPr>
      <w:r>
        <w:rPr>
          <w:rFonts w:hint="eastAsia" w:ascii="宋体" w:hAnsi="宋体" w:cs="宋体"/>
          <w:sz w:val="28"/>
          <w:szCs w:val="28"/>
        </w:rPr>
        <w:t>七、定标</w:t>
      </w:r>
    </w:p>
    <w:p w14:paraId="47C26BDD">
      <w:pPr>
        <w:spacing w:before="120" w:line="552" w:lineRule="auto"/>
        <w:ind w:firstLine="1400" w:firstLineChars="500"/>
        <w:rPr>
          <w:rFonts w:ascii="宋体" w:hAnsi="宋体" w:cs="宋体"/>
          <w:sz w:val="28"/>
          <w:szCs w:val="28"/>
        </w:rPr>
      </w:pPr>
      <w:r>
        <w:rPr>
          <w:rFonts w:hint="eastAsia" w:ascii="宋体" w:hAnsi="宋体" w:cs="宋体"/>
          <w:sz w:val="28"/>
          <w:szCs w:val="28"/>
        </w:rPr>
        <w:t>八、合同授予</w:t>
      </w:r>
    </w:p>
    <w:p w14:paraId="6DF8EE1A">
      <w:pPr>
        <w:spacing w:before="120" w:line="552" w:lineRule="auto"/>
        <w:ind w:firstLine="840" w:firstLineChars="300"/>
        <w:rPr>
          <w:rFonts w:ascii="宋体" w:hAnsi="宋体" w:cs="宋体"/>
          <w:sz w:val="28"/>
          <w:szCs w:val="28"/>
        </w:rPr>
      </w:pPr>
      <w:r>
        <w:rPr>
          <w:rFonts w:hint="eastAsia" w:ascii="宋体" w:hAnsi="宋体" w:cs="宋体"/>
          <w:sz w:val="28"/>
          <w:szCs w:val="28"/>
        </w:rPr>
        <w:t>第四章  评标办法及标准</w:t>
      </w:r>
    </w:p>
    <w:p w14:paraId="7E32F121">
      <w:pPr>
        <w:spacing w:before="120" w:line="552" w:lineRule="auto"/>
        <w:ind w:firstLine="840" w:firstLineChars="300"/>
        <w:rPr>
          <w:rFonts w:ascii="宋体" w:hAnsi="宋体" w:cs="宋体"/>
          <w:sz w:val="28"/>
          <w:szCs w:val="28"/>
        </w:rPr>
      </w:pPr>
      <w:r>
        <w:rPr>
          <w:rFonts w:hint="eastAsia" w:ascii="宋体" w:hAnsi="宋体" w:cs="宋体"/>
          <w:sz w:val="28"/>
          <w:szCs w:val="28"/>
        </w:rPr>
        <w:t>第五章  合同主要条款</w:t>
      </w:r>
    </w:p>
    <w:p w14:paraId="7146ABE3">
      <w:pPr>
        <w:spacing w:before="120" w:line="552" w:lineRule="auto"/>
        <w:ind w:firstLine="840" w:firstLineChars="300"/>
        <w:rPr>
          <w:rFonts w:ascii="宋体" w:hAnsi="宋体" w:cs="宋体"/>
          <w:sz w:val="24"/>
          <w:szCs w:val="24"/>
        </w:rPr>
      </w:pPr>
      <w:r>
        <w:rPr>
          <w:rFonts w:hint="eastAsia" w:ascii="宋体" w:hAnsi="宋体" w:cs="宋体"/>
          <w:sz w:val="28"/>
          <w:szCs w:val="28"/>
        </w:rPr>
        <w:t>第六章  投标文件组成</w:t>
      </w:r>
    </w:p>
    <w:p w14:paraId="354239FF">
      <w:pPr>
        <w:jc w:val="center"/>
        <w:outlineLvl w:val="9"/>
        <w:rPr>
          <w:rFonts w:hint="eastAsia" w:ascii="宋体" w:hAnsi="宋体" w:cs="宋体"/>
          <w:b/>
          <w:sz w:val="28"/>
          <w:szCs w:val="28"/>
        </w:rPr>
        <w:sectPr>
          <w:headerReference r:id="rId7" w:type="first"/>
          <w:pgSz w:w="11906" w:h="16838"/>
          <w:pgMar w:top="992" w:right="1191" w:bottom="992" w:left="1191" w:header="851" w:footer="794" w:gutter="0"/>
          <w:pgNumType w:start="0"/>
          <w:cols w:space="720" w:num="1"/>
          <w:docGrid w:type="lines" w:linePitch="312" w:charSpace="0"/>
        </w:sectPr>
      </w:pPr>
      <w:bookmarkStart w:id="4" w:name="OLE_LINK1"/>
    </w:p>
    <w:p w14:paraId="381A36B9">
      <w:pPr>
        <w:jc w:val="center"/>
        <w:outlineLvl w:val="0"/>
        <w:rPr>
          <w:rFonts w:ascii="宋体" w:hAnsi="宋体" w:cs="宋体"/>
          <w:b/>
          <w:sz w:val="28"/>
          <w:szCs w:val="28"/>
        </w:rPr>
      </w:pPr>
      <w:bookmarkStart w:id="5" w:name="_Toc20313"/>
      <w:r>
        <w:rPr>
          <w:rFonts w:hint="eastAsia" w:ascii="宋体" w:hAnsi="宋体" w:cs="宋体"/>
          <w:b/>
          <w:sz w:val="28"/>
          <w:szCs w:val="28"/>
        </w:rPr>
        <w:t xml:space="preserve">第一章 </w:t>
      </w:r>
      <w:bookmarkStart w:id="6" w:name="OLE_LINK3"/>
      <w:bookmarkStart w:id="7" w:name="OLE_LINK4"/>
      <w:bookmarkStart w:id="8" w:name="OLE_LINK2"/>
      <w:r>
        <w:rPr>
          <w:rFonts w:hint="eastAsia" w:ascii="宋体" w:hAnsi="宋体" w:cs="宋体"/>
          <w:b/>
          <w:sz w:val="28"/>
          <w:szCs w:val="28"/>
        </w:rPr>
        <w:t xml:space="preserve"> 招标公告</w:t>
      </w:r>
      <w:bookmarkEnd w:id="5"/>
    </w:p>
    <w:bookmarkEnd w:id="4"/>
    <w:bookmarkEnd w:id="6"/>
    <w:bookmarkEnd w:id="7"/>
    <w:bookmarkEnd w:id="8"/>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0"/>
      </w:tblGrid>
      <w:tr w14:paraId="5B0D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0" w:type="dxa"/>
          </w:tcPr>
          <w:p w14:paraId="2E02DE64">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i w:val="0"/>
                <w:iCs w:val="0"/>
                <w:caps w:val="0"/>
                <w:color w:val="000000"/>
                <w:spacing w:val="0"/>
                <w:sz w:val="21"/>
                <w:szCs w:val="21"/>
              </w:rPr>
            </w:pPr>
            <w:r>
              <w:rPr>
                <w:rFonts w:hint="eastAsia" w:ascii="宋体" w:hAnsi="宋体" w:eastAsia="宋体" w:cs="宋体"/>
                <w:b/>
                <w:bCs/>
                <w:i w:val="0"/>
                <w:iCs w:val="0"/>
                <w:caps w:val="0"/>
                <w:color w:val="000000"/>
                <w:spacing w:val="0"/>
                <w:sz w:val="21"/>
                <w:szCs w:val="21"/>
              </w:rPr>
              <w:t>项目概况    </w:t>
            </w:r>
            <w:r>
              <w:rPr>
                <w:rFonts w:hint="eastAsia" w:ascii="宋体" w:hAnsi="宋体" w:eastAsia="宋体" w:cs="宋体"/>
                <w:i w:val="0"/>
                <w:iCs w:val="0"/>
                <w:caps w:val="0"/>
                <w:color w:val="000000"/>
                <w:spacing w:val="0"/>
                <w:sz w:val="21"/>
                <w:szCs w:val="21"/>
              </w:rPr>
              <w:t xml:space="preserve">    </w:t>
            </w:r>
          </w:p>
          <w:p w14:paraId="10A7139B">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b/>
                <w:bCs/>
                <w:i w:val="0"/>
                <w:iCs w:val="0"/>
                <w:caps w:val="0"/>
                <w:color w:val="000000"/>
                <w:spacing w:val="0"/>
                <w:sz w:val="21"/>
                <w:szCs w:val="21"/>
                <w:vertAlign w:val="baseline"/>
              </w:rPr>
            </w:pPr>
            <w:r>
              <w:rPr>
                <w:rFonts w:hint="eastAsia" w:ascii="宋体" w:hAnsi="宋体" w:eastAsia="宋体" w:cs="宋体"/>
                <w:i w:val="0"/>
                <w:iCs w:val="0"/>
                <w:caps w:val="0"/>
                <w:color w:val="000000"/>
                <w:spacing w:val="0"/>
                <w:sz w:val="21"/>
                <w:szCs w:val="21"/>
              </w:rPr>
              <w:t>定海区看守所综合用房设施提升改造廉政教育基地展厅文化打造建设项目（重新招标）招标项目的潜在投标人应在浙江政府采购网http://zfcg.czt.zj.gov.cn/（用“政采云”注册账号、密码登录系统后获取招标文件）获取（下载）招标文件，并于2025年04月01日 09:00（北京时间）前递交（上传）投标文件。   </w:t>
            </w:r>
          </w:p>
        </w:tc>
      </w:tr>
    </w:tbl>
    <w:p w14:paraId="78D09040">
      <w:pPr>
        <w:pStyle w:val="27"/>
        <w:keepNext w:val="0"/>
        <w:keepLines w:val="0"/>
        <w:pageBreakBefore w:val="0"/>
        <w:widowControl/>
        <w:suppressLineNumbers w:val="0"/>
        <w:kinsoku/>
        <w:wordWrap/>
        <w:overflowPunct/>
        <w:topLinePunct w:val="0"/>
        <w:autoSpaceDE/>
        <w:autoSpaceDN/>
        <w:bidi w:val="0"/>
        <w:adjustRightInd/>
        <w:snapToGrid/>
        <w:spacing w:before="300" w:beforeAutospacing="0" w:after="0" w:afterAutospacing="0" w:line="360" w:lineRule="auto"/>
        <w:ind w:left="0" w:right="0"/>
        <w:textAlignment w:val="auto"/>
        <w:rPr>
          <w:rFonts w:hint="eastAsia" w:ascii="宋体" w:hAnsi="宋体" w:eastAsia="宋体" w:cs="宋体"/>
          <w:b/>
          <w:bCs/>
          <w:sz w:val="21"/>
          <w:szCs w:val="21"/>
        </w:rPr>
      </w:pPr>
      <w:r>
        <w:rPr>
          <w:rFonts w:hint="eastAsia" w:ascii="宋体" w:hAnsi="宋体" w:eastAsia="宋体" w:cs="宋体"/>
          <w:b/>
          <w:bCs/>
          <w:i w:val="0"/>
          <w:iCs w:val="0"/>
          <w:caps w:val="0"/>
          <w:color w:val="000000"/>
          <w:spacing w:val="0"/>
          <w:sz w:val="21"/>
          <w:szCs w:val="21"/>
        </w:rPr>
        <w:t>一、项目基本情况</w:t>
      </w:r>
    </w:p>
    <w:p w14:paraId="0C6E518E">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项目编号：0773-2541GNZSHWGK1688-1</w:t>
      </w:r>
    </w:p>
    <w:p w14:paraId="37071A84">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项目名称：定海区看守所综合用房设施提升改造廉政教育基地展厅文化打造建设项目（重新招标）</w:t>
      </w:r>
    </w:p>
    <w:p w14:paraId="03A28D1A">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预算金额（元）：854276.98</w:t>
      </w:r>
    </w:p>
    <w:p w14:paraId="660251FD">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最高限价（元）：/</w:t>
      </w:r>
    </w:p>
    <w:p w14:paraId="1E8068AA">
      <w:pPr>
        <w:keepNext w:val="0"/>
        <w:keepLines w:val="0"/>
        <w:pageBreakBefore w:val="0"/>
        <w:widowControl/>
        <w:suppressLineNumbers w:val="0"/>
        <w:kinsoku/>
        <w:wordWrap/>
        <w:overflowPunct/>
        <w:topLinePunct w:val="0"/>
        <w:autoSpaceDE/>
        <w:autoSpaceDN/>
        <w:bidi w:val="0"/>
        <w:adjustRightInd/>
        <w:snapToGrid/>
        <w:spacing w:line="360" w:lineRule="auto"/>
        <w:ind w:left="0" w:firstLine="420"/>
        <w:jc w:val="left"/>
        <w:textAlignment w:val="auto"/>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lang w:val="en-US" w:eastAsia="zh-CN" w:bidi="ar"/>
        </w:rPr>
        <w:t>采购需求：  </w:t>
      </w:r>
    </w:p>
    <w:p w14:paraId="0BF970B9">
      <w:pPr>
        <w:pStyle w:val="27"/>
        <w:keepNext w:val="0"/>
        <w:keepLines w:val="0"/>
        <w:pageBreakBefore w:val="0"/>
        <w:widowControl/>
        <w:suppressLineNumbers w:val="0"/>
        <w:kinsoku/>
        <w:wordWrap/>
        <w:overflowPunct/>
        <w:topLinePunct w:val="0"/>
        <w:autoSpaceDE/>
        <w:autoSpaceDN/>
        <w:bidi w:val="0"/>
        <w:adjustRightInd/>
        <w:snapToGrid/>
        <w:spacing w:before="300" w:beforeAutospacing="0" w:after="300" w:afterAutospacing="0" w:line="360" w:lineRule="auto"/>
        <w:ind w:left="0" w:right="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shd w:val="clear" w:fill="F7F7F7"/>
        </w:rPr>
        <w:t>标项名称：</w:t>
      </w:r>
      <w:r>
        <w:rPr>
          <w:rFonts w:hint="eastAsia" w:ascii="宋体" w:hAnsi="宋体" w:eastAsia="宋体" w:cs="宋体"/>
          <w:b w:val="0"/>
          <w:bCs w:val="0"/>
          <w:i w:val="0"/>
          <w:iCs w:val="0"/>
          <w:caps w:val="0"/>
          <w:color w:val="000000"/>
          <w:spacing w:val="0"/>
          <w:sz w:val="21"/>
          <w:szCs w:val="21"/>
          <w:shd w:val="clear" w:fill="F7F7F7"/>
        </w:rPr>
        <w:t>定海区看守所综合用房设施提升改造廉政教育基地展厅文化打造建设项目（重新招标）</w:t>
      </w:r>
      <w:r>
        <w:rPr>
          <w:rFonts w:hint="eastAsia" w:ascii="宋体" w:hAnsi="宋体" w:eastAsia="宋体" w:cs="宋体"/>
          <w:i w:val="0"/>
          <w:iCs w:val="0"/>
          <w:caps w:val="0"/>
          <w:color w:val="000000"/>
          <w:spacing w:val="0"/>
          <w:sz w:val="21"/>
          <w:szCs w:val="21"/>
          <w:shd w:val="clear" w:fill="F7F7F7"/>
        </w:rPr>
        <w:t>    </w:t>
      </w:r>
    </w:p>
    <w:p w14:paraId="51FFA2AF">
      <w:pPr>
        <w:pStyle w:val="27"/>
        <w:keepNext w:val="0"/>
        <w:keepLines w:val="0"/>
        <w:pageBreakBefore w:val="0"/>
        <w:widowControl/>
        <w:suppressLineNumbers w:val="0"/>
        <w:kinsoku/>
        <w:wordWrap/>
        <w:overflowPunct/>
        <w:topLinePunct w:val="0"/>
        <w:autoSpaceDE/>
        <w:autoSpaceDN/>
        <w:bidi w:val="0"/>
        <w:adjustRightInd/>
        <w:snapToGrid/>
        <w:spacing w:before="300" w:beforeAutospacing="0" w:after="300" w:afterAutospacing="0" w:line="360" w:lineRule="auto"/>
        <w:ind w:left="0" w:right="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shd w:val="clear" w:fill="F7F7F7"/>
        </w:rPr>
        <w:t>数量：</w:t>
      </w:r>
      <w:r>
        <w:rPr>
          <w:rFonts w:hint="eastAsia" w:ascii="宋体" w:hAnsi="宋体" w:eastAsia="宋体" w:cs="宋体"/>
          <w:b w:val="0"/>
          <w:bCs w:val="0"/>
          <w:i w:val="0"/>
          <w:iCs w:val="0"/>
          <w:caps w:val="0"/>
          <w:color w:val="000000"/>
          <w:spacing w:val="0"/>
          <w:sz w:val="21"/>
          <w:szCs w:val="21"/>
          <w:shd w:val="clear" w:fill="F7F7F7"/>
        </w:rPr>
        <w:t>1</w:t>
      </w:r>
      <w:r>
        <w:rPr>
          <w:rFonts w:hint="eastAsia" w:ascii="宋体" w:hAnsi="宋体" w:eastAsia="宋体" w:cs="宋体"/>
          <w:i w:val="0"/>
          <w:iCs w:val="0"/>
          <w:caps w:val="0"/>
          <w:color w:val="000000"/>
          <w:spacing w:val="0"/>
          <w:sz w:val="21"/>
          <w:szCs w:val="21"/>
          <w:shd w:val="clear" w:fill="F7F7F7"/>
        </w:rPr>
        <w:t>    </w:t>
      </w:r>
    </w:p>
    <w:p w14:paraId="4E17B538">
      <w:pPr>
        <w:pStyle w:val="27"/>
        <w:keepNext w:val="0"/>
        <w:keepLines w:val="0"/>
        <w:pageBreakBefore w:val="0"/>
        <w:widowControl/>
        <w:suppressLineNumbers w:val="0"/>
        <w:kinsoku/>
        <w:wordWrap/>
        <w:overflowPunct/>
        <w:topLinePunct w:val="0"/>
        <w:autoSpaceDE/>
        <w:autoSpaceDN/>
        <w:bidi w:val="0"/>
        <w:adjustRightInd/>
        <w:snapToGrid/>
        <w:spacing w:before="300" w:beforeAutospacing="0" w:after="300" w:afterAutospacing="0" w:line="360" w:lineRule="auto"/>
        <w:ind w:left="0" w:right="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shd w:val="clear" w:fill="F7F7F7"/>
        </w:rPr>
        <w:t>预算金额（元）：</w:t>
      </w:r>
      <w:r>
        <w:rPr>
          <w:rFonts w:hint="eastAsia" w:ascii="宋体" w:hAnsi="宋体" w:eastAsia="宋体" w:cs="宋体"/>
          <w:b w:val="0"/>
          <w:bCs w:val="0"/>
          <w:i w:val="0"/>
          <w:iCs w:val="0"/>
          <w:caps w:val="0"/>
          <w:color w:val="000000"/>
          <w:spacing w:val="0"/>
          <w:sz w:val="21"/>
          <w:szCs w:val="21"/>
          <w:shd w:val="clear" w:fill="F7F7F7"/>
        </w:rPr>
        <w:t>854276.98</w:t>
      </w:r>
      <w:r>
        <w:rPr>
          <w:rFonts w:hint="eastAsia" w:ascii="宋体" w:hAnsi="宋体" w:eastAsia="宋体" w:cs="宋体"/>
          <w:i w:val="0"/>
          <w:iCs w:val="0"/>
          <w:caps w:val="0"/>
          <w:color w:val="000000"/>
          <w:spacing w:val="0"/>
          <w:sz w:val="21"/>
          <w:szCs w:val="21"/>
          <w:shd w:val="clear" w:fill="F7F7F7"/>
        </w:rPr>
        <w:t>    </w:t>
      </w:r>
    </w:p>
    <w:p w14:paraId="135A8F27">
      <w:pPr>
        <w:pStyle w:val="27"/>
        <w:keepNext w:val="0"/>
        <w:keepLines w:val="0"/>
        <w:pageBreakBefore w:val="0"/>
        <w:widowControl/>
        <w:suppressLineNumbers w:val="0"/>
        <w:kinsoku/>
        <w:wordWrap/>
        <w:overflowPunct/>
        <w:topLinePunct w:val="0"/>
        <w:autoSpaceDE/>
        <w:autoSpaceDN/>
        <w:bidi w:val="0"/>
        <w:adjustRightInd/>
        <w:snapToGrid/>
        <w:spacing w:before="300" w:beforeAutospacing="0" w:after="300" w:afterAutospacing="0" w:line="360" w:lineRule="auto"/>
        <w:ind w:left="0" w:right="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shd w:val="clear" w:fill="F7F7F7"/>
        </w:rPr>
        <w:t>简要规格描述或项目基本概况介绍、用途：</w:t>
      </w:r>
      <w:r>
        <w:rPr>
          <w:rFonts w:hint="eastAsia" w:ascii="宋体" w:hAnsi="宋体" w:eastAsia="宋体" w:cs="宋体"/>
          <w:b w:val="0"/>
          <w:bCs w:val="0"/>
          <w:i w:val="0"/>
          <w:iCs w:val="0"/>
          <w:caps w:val="0"/>
          <w:color w:val="000000"/>
          <w:spacing w:val="0"/>
          <w:sz w:val="21"/>
          <w:szCs w:val="21"/>
          <w:shd w:val="clear" w:fill="F7F7F7"/>
        </w:rPr>
        <w:t>详见采购文件</w:t>
      </w:r>
      <w:r>
        <w:rPr>
          <w:rFonts w:hint="eastAsia" w:ascii="宋体" w:hAnsi="宋体" w:eastAsia="宋体" w:cs="宋体"/>
          <w:i w:val="0"/>
          <w:iCs w:val="0"/>
          <w:caps w:val="0"/>
          <w:color w:val="000000"/>
          <w:spacing w:val="0"/>
          <w:sz w:val="21"/>
          <w:szCs w:val="21"/>
          <w:shd w:val="clear" w:fill="F7F7F7"/>
        </w:rPr>
        <w:t>    </w:t>
      </w:r>
    </w:p>
    <w:p w14:paraId="32830C78">
      <w:pPr>
        <w:pStyle w:val="27"/>
        <w:keepNext w:val="0"/>
        <w:keepLines w:val="0"/>
        <w:pageBreakBefore w:val="0"/>
        <w:widowControl/>
        <w:suppressLineNumbers w:val="0"/>
        <w:kinsoku/>
        <w:wordWrap/>
        <w:overflowPunct/>
        <w:topLinePunct w:val="0"/>
        <w:autoSpaceDE/>
        <w:autoSpaceDN/>
        <w:bidi w:val="0"/>
        <w:adjustRightInd/>
        <w:snapToGrid/>
        <w:spacing w:before="300" w:beforeAutospacing="0" w:after="300" w:afterAutospacing="0" w:line="360" w:lineRule="auto"/>
        <w:ind w:left="0" w:right="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shd w:val="clear" w:fill="F7F7F7"/>
        </w:rPr>
        <w:t>备注：    </w:t>
      </w:r>
    </w:p>
    <w:p w14:paraId="01AFABA5">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合同履约期限：标项 1，合同签订后2个月内完成项目的采购安装，并通过项目的初验；初验通过后试运行，试运行1个月后无任何问题进行终验</w:t>
      </w:r>
    </w:p>
    <w:p w14:paraId="6C52802D">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本项目（否）接受联合体投标。</w:t>
      </w:r>
    </w:p>
    <w:p w14:paraId="7E80BEBA">
      <w:pPr>
        <w:pStyle w:val="27"/>
        <w:keepNext w:val="0"/>
        <w:keepLines w:val="0"/>
        <w:pageBreakBefore w:val="0"/>
        <w:widowControl/>
        <w:suppressLineNumbers w:val="0"/>
        <w:kinsoku/>
        <w:wordWrap/>
        <w:overflowPunct/>
        <w:topLinePunct w:val="0"/>
        <w:autoSpaceDE/>
        <w:autoSpaceDN/>
        <w:bidi w:val="0"/>
        <w:adjustRightInd/>
        <w:snapToGrid/>
        <w:spacing w:before="300" w:beforeAutospacing="0" w:after="0" w:afterAutospacing="0" w:line="360" w:lineRule="auto"/>
        <w:ind w:left="0" w:right="0"/>
        <w:textAlignment w:val="auto"/>
        <w:rPr>
          <w:rFonts w:hint="eastAsia" w:ascii="宋体" w:hAnsi="宋体" w:eastAsia="宋体" w:cs="宋体"/>
          <w:b/>
          <w:bCs/>
          <w:sz w:val="21"/>
          <w:szCs w:val="21"/>
        </w:rPr>
      </w:pPr>
      <w:r>
        <w:rPr>
          <w:rFonts w:hint="eastAsia" w:ascii="宋体" w:hAnsi="宋体" w:eastAsia="宋体" w:cs="宋体"/>
          <w:b/>
          <w:bCs/>
          <w:i w:val="0"/>
          <w:iCs w:val="0"/>
          <w:caps w:val="0"/>
          <w:color w:val="000000"/>
          <w:spacing w:val="0"/>
          <w:sz w:val="21"/>
          <w:szCs w:val="21"/>
        </w:rPr>
        <w:t>二、申请人的资格要求：</w:t>
      </w:r>
    </w:p>
    <w:p w14:paraId="0ECCC3D3">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1.满足《中华人民共和国政府采购法》第二十二条规定；未被“信用中国”（www.creditchina.gov.cn)、中国政府采购网（www.ccgp.gov.cn）列入失信被执行人、重大税收违法失信主体、政府采购严重违法失信行为记录名单。</w:t>
      </w:r>
    </w:p>
    <w:p w14:paraId="41837C0C">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2.落实政府采购政策需满足的资格要求：标项1：本项目专门面向中小企业采购</w:t>
      </w:r>
    </w:p>
    <w:p w14:paraId="324CDA2C">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3.本项目的特定资格要求：无</w:t>
      </w:r>
    </w:p>
    <w:p w14:paraId="18B231AB">
      <w:pPr>
        <w:pStyle w:val="27"/>
        <w:keepNext w:val="0"/>
        <w:keepLines w:val="0"/>
        <w:pageBreakBefore w:val="0"/>
        <w:widowControl/>
        <w:suppressLineNumbers w:val="0"/>
        <w:kinsoku/>
        <w:wordWrap/>
        <w:overflowPunct/>
        <w:topLinePunct w:val="0"/>
        <w:autoSpaceDE/>
        <w:autoSpaceDN/>
        <w:bidi w:val="0"/>
        <w:adjustRightInd/>
        <w:snapToGrid/>
        <w:spacing w:before="300" w:beforeAutospacing="0" w:after="0" w:afterAutospacing="0" w:line="360" w:lineRule="auto"/>
        <w:ind w:left="0" w:right="0"/>
        <w:textAlignment w:val="auto"/>
        <w:rPr>
          <w:rFonts w:hint="eastAsia" w:ascii="宋体" w:hAnsi="宋体" w:eastAsia="宋体" w:cs="宋体"/>
          <w:b/>
          <w:bCs/>
          <w:sz w:val="21"/>
          <w:szCs w:val="21"/>
        </w:rPr>
      </w:pPr>
      <w:r>
        <w:rPr>
          <w:rFonts w:hint="eastAsia" w:ascii="宋体" w:hAnsi="宋体" w:eastAsia="宋体" w:cs="宋体"/>
          <w:b/>
          <w:bCs/>
          <w:i w:val="0"/>
          <w:iCs w:val="0"/>
          <w:caps w:val="0"/>
          <w:color w:val="000000"/>
          <w:spacing w:val="0"/>
          <w:sz w:val="21"/>
          <w:szCs w:val="21"/>
        </w:rPr>
        <w:t>三、获取招标文件</w:t>
      </w:r>
    </w:p>
    <w:p w14:paraId="4EBD048A">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时间：/至2025年04月01日 ，每天上午00:00至12:00 ，下午12:00至23:59（北京时间，线上获取法定节假日均可，线下获取文件法定节假日除外）</w:t>
      </w:r>
    </w:p>
    <w:p w14:paraId="667DBC0A">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地点（网址）：浙江政府采购网http://zfcg.czt.zj.gov.cn/（用“政采云”注册账号、密码登录系统后获取招标文件）</w:t>
      </w:r>
    </w:p>
    <w:p w14:paraId="79555CCE">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方式：网上获取。免费注册网址：浙江政府采购网（供应商注册页面）：https://middle.zcygov.cn/settle-front/#/registry“政采云”，已经注册成功的供应商无需重复注册，本项目实行电子投标。投标人在使用系统进行投标的过程中涉及平台使用的任何问题可致电政采云平台技术支持热线：95763</w:t>
      </w:r>
    </w:p>
    <w:p w14:paraId="53BFA550">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售价（元）：0</w:t>
      </w:r>
    </w:p>
    <w:p w14:paraId="315D624A">
      <w:pPr>
        <w:pStyle w:val="27"/>
        <w:keepNext w:val="0"/>
        <w:keepLines w:val="0"/>
        <w:pageBreakBefore w:val="0"/>
        <w:widowControl/>
        <w:suppressLineNumbers w:val="0"/>
        <w:kinsoku/>
        <w:wordWrap/>
        <w:overflowPunct/>
        <w:topLinePunct w:val="0"/>
        <w:autoSpaceDE/>
        <w:autoSpaceDN/>
        <w:bidi w:val="0"/>
        <w:adjustRightInd/>
        <w:snapToGrid/>
        <w:spacing w:before="300" w:beforeAutospacing="0" w:after="0" w:afterAutospacing="0" w:line="360" w:lineRule="auto"/>
        <w:ind w:left="0" w:right="0"/>
        <w:textAlignment w:val="auto"/>
        <w:rPr>
          <w:rFonts w:hint="eastAsia" w:ascii="宋体" w:hAnsi="宋体" w:eastAsia="宋体" w:cs="宋体"/>
          <w:b/>
          <w:bCs/>
          <w:sz w:val="21"/>
          <w:szCs w:val="21"/>
        </w:rPr>
      </w:pPr>
      <w:r>
        <w:rPr>
          <w:rFonts w:hint="eastAsia" w:ascii="宋体" w:hAnsi="宋体" w:eastAsia="宋体" w:cs="宋体"/>
          <w:b/>
          <w:bCs/>
          <w:i w:val="0"/>
          <w:iCs w:val="0"/>
          <w:caps w:val="0"/>
          <w:color w:val="000000"/>
          <w:spacing w:val="0"/>
          <w:sz w:val="21"/>
          <w:szCs w:val="21"/>
        </w:rPr>
        <w:t>四、提交投标文件截止时间、开标时间和地点</w:t>
      </w:r>
    </w:p>
    <w:p w14:paraId="31203D0B">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提交投标文件截止时间：2025年04月01日 09:00（北京时间）</w:t>
      </w:r>
    </w:p>
    <w:p w14:paraId="5E35AC40">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投标地点（网址）：①本项目不要求供应商授权代表参加现场开标、开启投标文件活动。②投标人将加密的电子版投标文件于投标截止时间前上传到政采云系统中。③投标人可以选择递交备份投标文件。备份投标文件须密封完好，注明投标人单位名称，并于投标截止时间前递交，否则采购代理机构将拒收。具体递交方式为开标日前通过邮寄、专人等形式送达采购代理机构地址或开标当天专人送达开标地点（联系人：龚思铮；联系方式：17377684037）。</w:t>
      </w:r>
    </w:p>
    <w:p w14:paraId="4E45ED7F">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开标时间：2025年04月01日 09:00</w:t>
      </w:r>
    </w:p>
    <w:p w14:paraId="735373A4">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开标地点（网址）：舟山市定海区海天大道998号中金招标四楼开标室</w:t>
      </w:r>
    </w:p>
    <w:p w14:paraId="6199A39C">
      <w:pPr>
        <w:pStyle w:val="27"/>
        <w:keepNext w:val="0"/>
        <w:keepLines w:val="0"/>
        <w:pageBreakBefore w:val="0"/>
        <w:widowControl/>
        <w:suppressLineNumbers w:val="0"/>
        <w:kinsoku/>
        <w:wordWrap/>
        <w:overflowPunct/>
        <w:topLinePunct w:val="0"/>
        <w:autoSpaceDE/>
        <w:autoSpaceDN/>
        <w:bidi w:val="0"/>
        <w:adjustRightInd/>
        <w:snapToGrid/>
        <w:spacing w:before="300" w:beforeAutospacing="0" w:after="0" w:afterAutospacing="0" w:line="360" w:lineRule="auto"/>
        <w:ind w:left="0" w:right="0"/>
        <w:textAlignment w:val="auto"/>
        <w:rPr>
          <w:rFonts w:hint="eastAsia" w:ascii="宋体" w:hAnsi="宋体" w:eastAsia="宋体" w:cs="宋体"/>
          <w:b/>
          <w:bCs/>
          <w:sz w:val="21"/>
          <w:szCs w:val="21"/>
        </w:rPr>
      </w:pPr>
      <w:r>
        <w:rPr>
          <w:rFonts w:hint="eastAsia" w:ascii="宋体" w:hAnsi="宋体" w:eastAsia="宋体" w:cs="宋体"/>
          <w:b/>
          <w:bCs/>
          <w:i w:val="0"/>
          <w:iCs w:val="0"/>
          <w:caps w:val="0"/>
          <w:color w:val="000000"/>
          <w:spacing w:val="0"/>
          <w:sz w:val="21"/>
          <w:szCs w:val="21"/>
        </w:rPr>
        <w:t>五、公告期限</w:t>
      </w:r>
    </w:p>
    <w:p w14:paraId="0E3E90B1">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自本公告发布之日起5个工作日。</w:t>
      </w:r>
    </w:p>
    <w:p w14:paraId="76C0AA41">
      <w:pPr>
        <w:pStyle w:val="27"/>
        <w:keepNext w:val="0"/>
        <w:keepLines w:val="0"/>
        <w:pageBreakBefore w:val="0"/>
        <w:widowControl/>
        <w:suppressLineNumbers w:val="0"/>
        <w:kinsoku/>
        <w:wordWrap/>
        <w:overflowPunct/>
        <w:topLinePunct w:val="0"/>
        <w:autoSpaceDE/>
        <w:autoSpaceDN/>
        <w:bidi w:val="0"/>
        <w:adjustRightInd/>
        <w:snapToGrid/>
        <w:spacing w:before="300" w:beforeAutospacing="0" w:after="0" w:afterAutospacing="0" w:line="360" w:lineRule="auto"/>
        <w:ind w:left="0" w:right="0"/>
        <w:textAlignment w:val="auto"/>
        <w:rPr>
          <w:rFonts w:hint="eastAsia" w:ascii="宋体" w:hAnsi="宋体" w:eastAsia="宋体" w:cs="宋体"/>
          <w:b/>
          <w:bCs/>
          <w:sz w:val="21"/>
          <w:szCs w:val="21"/>
        </w:rPr>
      </w:pPr>
      <w:r>
        <w:rPr>
          <w:rFonts w:hint="eastAsia" w:ascii="宋体" w:hAnsi="宋体" w:eastAsia="宋体" w:cs="宋体"/>
          <w:b/>
          <w:bCs/>
          <w:i w:val="0"/>
          <w:iCs w:val="0"/>
          <w:caps w:val="0"/>
          <w:color w:val="000000"/>
          <w:spacing w:val="0"/>
          <w:sz w:val="21"/>
          <w:szCs w:val="21"/>
        </w:rPr>
        <w:t>六、其他补充事宜</w:t>
      </w:r>
    </w:p>
    <w:p w14:paraId="6119EB92">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6AC2CBE7">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02F0C012">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05D5E04">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4.其他事项：（1）投标文件的制作及递交：1）投标人须在线获取CA数字证书（完成CA数字证书办理预计一周左右，建议各投标人自行把握时间），并登录“浙江政府采购网”（ http://zfcg.czt.zj.gov.cn/），进入“下载专区”下载“电子交易客户端”，制作投标文件。2）具体的投标文件加密上传等操作详见政采云平台操作指南（https://edu.zcygov.cn/luban/e-biding?utm=a0004.2ef5001f.0001.0109.da8b35e0da8611e98d8937b7ef8a3544）。3）根据《浙江省政府采购项目电子交易管理暂行办法》第二十条规定，本次投标允许投标人递交备份投标文件，仅提交备份投标文件的，投标无效。（2）投标人应在合同签订前成为浙江政府采购网正式注册供应商。</w:t>
      </w:r>
    </w:p>
    <w:p w14:paraId="0FE14018">
      <w:pPr>
        <w:pStyle w:val="27"/>
        <w:keepNext w:val="0"/>
        <w:keepLines w:val="0"/>
        <w:pageBreakBefore w:val="0"/>
        <w:widowControl/>
        <w:suppressLineNumbers w:val="0"/>
        <w:kinsoku/>
        <w:wordWrap/>
        <w:overflowPunct/>
        <w:topLinePunct w:val="0"/>
        <w:autoSpaceDE/>
        <w:autoSpaceDN/>
        <w:bidi w:val="0"/>
        <w:adjustRightInd/>
        <w:snapToGrid/>
        <w:spacing w:before="300" w:beforeAutospacing="0" w:after="0" w:afterAutospacing="0" w:line="360" w:lineRule="auto"/>
        <w:ind w:left="0" w:right="0"/>
        <w:textAlignment w:val="auto"/>
        <w:rPr>
          <w:rFonts w:hint="eastAsia" w:ascii="宋体" w:hAnsi="宋体" w:eastAsia="宋体" w:cs="宋体"/>
          <w:b/>
          <w:bCs/>
          <w:sz w:val="21"/>
          <w:szCs w:val="21"/>
        </w:rPr>
      </w:pPr>
      <w:r>
        <w:rPr>
          <w:rFonts w:hint="eastAsia" w:ascii="宋体" w:hAnsi="宋体" w:eastAsia="宋体" w:cs="宋体"/>
          <w:b/>
          <w:bCs/>
          <w:i w:val="0"/>
          <w:iCs w:val="0"/>
          <w:caps w:val="0"/>
          <w:color w:val="000000"/>
          <w:spacing w:val="0"/>
          <w:sz w:val="21"/>
          <w:szCs w:val="21"/>
        </w:rPr>
        <w:t>七、对本次采购提出询问、质疑、投诉，请按以下方式联系</w:t>
      </w:r>
    </w:p>
    <w:p w14:paraId="5F3F14AE">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1.采购人信息</w:t>
      </w:r>
    </w:p>
    <w:p w14:paraId="46C8FE34">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名    称：舟山市公安局定海区分局</w:t>
      </w:r>
    </w:p>
    <w:p w14:paraId="008F0403">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地    址：定海区新桥路361号</w:t>
      </w:r>
    </w:p>
    <w:p w14:paraId="04321940">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传    真：</w:t>
      </w:r>
    </w:p>
    <w:p w14:paraId="45AA5FCF">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项目联系人（询问）：张亮</w:t>
      </w:r>
    </w:p>
    <w:p w14:paraId="10DB9FC5">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项目联系方式（询问）：0580-2563721</w:t>
      </w:r>
    </w:p>
    <w:p w14:paraId="39A59EDC">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质疑联系人：包能伟</w:t>
      </w:r>
    </w:p>
    <w:p w14:paraId="54083D03">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质疑联系方式：13905802135</w:t>
      </w:r>
    </w:p>
    <w:p w14:paraId="2AC160A6">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2.采购代理机构信息</w:t>
      </w:r>
    </w:p>
    <w:p w14:paraId="71C77021">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名    称：中金招标有限责任公司</w:t>
      </w:r>
    </w:p>
    <w:p w14:paraId="4A5DBC73">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地    址：舟山市定海区海天大道998号四楼</w:t>
      </w:r>
    </w:p>
    <w:p w14:paraId="658A4937">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传    真：</w:t>
      </w:r>
    </w:p>
    <w:p w14:paraId="63BFD9B1">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项目联系人（询问）：张学睿</w:t>
      </w:r>
    </w:p>
    <w:p w14:paraId="73117651">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项目联系方式（询问）：0580-2260620/13758010405</w:t>
      </w:r>
    </w:p>
    <w:p w14:paraId="069FCC93">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质疑联系人：蔡真鹏</w:t>
      </w:r>
    </w:p>
    <w:p w14:paraId="75A07ACD">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质疑联系方式：19106800108</w:t>
      </w:r>
    </w:p>
    <w:p w14:paraId="436DC974">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3.</w:t>
      </w:r>
      <w:r>
        <w:rPr>
          <w:rStyle w:val="39"/>
          <w:rFonts w:hint="eastAsia" w:ascii="宋体" w:hAnsi="宋体" w:eastAsia="宋体" w:cs="宋体"/>
          <w:i w:val="0"/>
          <w:iCs w:val="0"/>
          <w:caps w:val="0"/>
          <w:color w:val="000000"/>
          <w:spacing w:val="0"/>
          <w:sz w:val="21"/>
          <w:szCs w:val="21"/>
        </w:rPr>
        <w:t>同级政府采购监督管理部门</w:t>
      </w:r>
    </w:p>
    <w:p w14:paraId="3714E857">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名    称：定海区财政局</w:t>
      </w:r>
    </w:p>
    <w:p w14:paraId="0998AEDF">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地    址：</w:t>
      </w:r>
    </w:p>
    <w:p w14:paraId="0DE99DCC">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传    真：</w:t>
      </w:r>
    </w:p>
    <w:p w14:paraId="62BEA9B2">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联 系 人：林秀奇</w:t>
      </w:r>
    </w:p>
    <w:p w14:paraId="6CADDE33">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监督投诉电话：0580-2027798</w:t>
      </w:r>
    </w:p>
    <w:p w14:paraId="17486CF0">
      <w:pPr>
        <w:widowControl/>
        <w:spacing w:line="360" w:lineRule="auto"/>
        <w:jc w:val="both"/>
        <w:outlineLvl w:val="9"/>
        <w:rPr>
          <w:rFonts w:hint="eastAsia" w:ascii="宋体" w:hAnsi="宋体" w:cs="宋体"/>
          <w:b/>
          <w:sz w:val="28"/>
          <w:szCs w:val="28"/>
        </w:rPr>
      </w:pPr>
    </w:p>
    <w:p w14:paraId="438C91EB">
      <w:pPr>
        <w:widowControl/>
        <w:spacing w:line="360" w:lineRule="auto"/>
        <w:ind w:firstLine="562" w:firstLineChars="200"/>
        <w:jc w:val="center"/>
        <w:outlineLvl w:val="0"/>
        <w:rPr>
          <w:rFonts w:ascii="宋体" w:hAnsi="宋体" w:cs="宋体"/>
          <w:kern w:val="0"/>
          <w:szCs w:val="21"/>
        </w:rPr>
      </w:pPr>
      <w:r>
        <w:rPr>
          <w:rFonts w:hint="eastAsia" w:ascii="宋体" w:hAnsi="宋体" w:cs="宋体"/>
          <w:b/>
          <w:sz w:val="28"/>
          <w:szCs w:val="28"/>
        </w:rPr>
        <w:br w:type="page"/>
      </w:r>
      <w:bookmarkStart w:id="9" w:name="_Toc24192"/>
      <w:bookmarkStart w:id="10" w:name="_Toc15530"/>
      <w:bookmarkStart w:id="11" w:name="_Toc6305"/>
      <w:bookmarkStart w:id="12" w:name="_Toc263083258"/>
      <w:bookmarkStart w:id="13" w:name="_Toc37423705"/>
      <w:bookmarkStart w:id="14" w:name="_Toc517442217"/>
      <w:r>
        <w:rPr>
          <w:rFonts w:hint="eastAsia" w:ascii="宋体" w:hAnsi="宋体" w:cs="宋体"/>
          <w:b/>
          <w:sz w:val="28"/>
          <w:szCs w:val="28"/>
        </w:rPr>
        <w:t>第二章  采购需求</w:t>
      </w:r>
      <w:bookmarkEnd w:id="9"/>
    </w:p>
    <w:bookmarkEnd w:id="10"/>
    <w:bookmarkEnd w:id="11"/>
    <w:bookmarkEnd w:id="12"/>
    <w:bookmarkEnd w:id="13"/>
    <w:bookmarkEnd w:id="14"/>
    <w:p w14:paraId="3A182DCD">
      <w:pPr>
        <w:outlineLvl w:val="1"/>
        <w:rPr>
          <w:rFonts w:hint="eastAsia" w:ascii="宋体" w:hAnsi="宋体" w:eastAsia="宋体" w:cs="宋体"/>
          <w:b/>
          <w:bCs/>
          <w:lang w:val="en-US" w:eastAsia="zh-CN"/>
        </w:rPr>
      </w:pPr>
      <w:bookmarkStart w:id="15" w:name="_Toc15361"/>
      <w:r>
        <w:rPr>
          <w:rFonts w:hint="eastAsia" w:ascii="宋体" w:hAnsi="宋体" w:eastAsia="宋体" w:cs="宋体"/>
          <w:b/>
          <w:bCs/>
          <w:lang w:val="en-US" w:eastAsia="zh-CN"/>
        </w:rPr>
        <w:t>一、建设目标</w:t>
      </w:r>
      <w:bookmarkEnd w:id="15"/>
    </w:p>
    <w:p w14:paraId="1C745CC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eastAsia="zh-CN"/>
        </w:rPr>
      </w:pPr>
      <w:r>
        <w:rPr>
          <w:rFonts w:hint="eastAsia" w:ascii="宋体" w:hAnsi="宋体" w:eastAsia="宋体" w:cs="宋体"/>
          <w:lang w:val="en-US" w:eastAsia="zh-CN"/>
        </w:rPr>
        <w:t>本项目位于定海区看守所行政办公楼二楼，建筑面积约560平方米。以习近平新时代中国特色社会主义思想为指引，大力强化新时代廉洁文化建设工作。以“合”为整体造型，打造定海区廉政教育基地，融合“阳明心学之知行合一”思想，以文化建设为核心载体，着力重塑罪犯价值观念体系，实现以文化人、以文育人目标。通过合理规划空间与细节排布整体打造，以演绎科技性、呼应先进性、体现严谨性和精密性的</w:t>
      </w:r>
      <w:r>
        <w:rPr>
          <w:rFonts w:hint="eastAsia" w:ascii="宋体" w:hAnsi="宋体" w:cs="宋体"/>
          <w:lang w:val="en-US" w:eastAsia="zh-CN"/>
        </w:rPr>
        <w:t>打造</w:t>
      </w:r>
      <w:r>
        <w:rPr>
          <w:rFonts w:hint="eastAsia" w:ascii="宋体" w:hAnsi="宋体" w:eastAsia="宋体" w:cs="宋体"/>
          <w:lang w:val="en-US" w:eastAsia="zh-CN"/>
        </w:rPr>
        <w:t>要求，打造沉浸式空间，达成画面入目，廉声入耳，警示入心的三维立体式体验效果。</w:t>
      </w:r>
    </w:p>
    <w:p w14:paraId="51629B5A">
      <w:pPr>
        <w:outlineLvl w:val="1"/>
        <w:rPr>
          <w:rFonts w:hint="eastAsia" w:ascii="宋体" w:hAnsi="宋体" w:eastAsia="宋体" w:cs="宋体"/>
          <w:b/>
          <w:bCs/>
          <w:lang w:val="en-US" w:eastAsia="zh-CN"/>
        </w:rPr>
      </w:pPr>
      <w:bookmarkStart w:id="16" w:name="_Toc12275"/>
      <w:r>
        <w:rPr>
          <w:rFonts w:hint="eastAsia" w:ascii="宋体" w:hAnsi="宋体" w:eastAsia="宋体" w:cs="宋体"/>
          <w:b/>
          <w:bCs/>
          <w:lang w:val="en-US" w:eastAsia="zh-CN"/>
        </w:rPr>
        <w:t>二、建设内容</w:t>
      </w:r>
      <w:bookmarkEnd w:id="16"/>
    </w:p>
    <w:p w14:paraId="249FD2E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将“警示之塔”、“引航之塔”、“重生之塔”三塔相贯通，加强警示教育。充分运用空间造型、平面构成，将文字、图片、实景等要因用最简明快捷的方式所呈现，以不同角度给公职人员乃至参观者有所思、有所省、有所悟、有所得。</w:t>
      </w:r>
    </w:p>
    <w:p w14:paraId="2A7551C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1、区域划分：统筹规划</w:t>
      </w:r>
      <w:r>
        <w:rPr>
          <w:rFonts w:hint="eastAsia" w:ascii="宋体" w:hAnsi="宋体" w:cs="宋体"/>
          <w:lang w:val="en-US" w:eastAsia="zh-CN"/>
        </w:rPr>
        <w:t>打造</w:t>
      </w:r>
      <w:r>
        <w:rPr>
          <w:rFonts w:hint="eastAsia" w:ascii="宋体" w:hAnsi="宋体" w:eastAsia="宋体" w:cs="宋体"/>
          <w:lang w:val="en-US" w:eastAsia="zh-CN"/>
        </w:rPr>
        <w:t>，主要包含以下三大区域：警示之塔、引航之塔和重生之塔。各区域将依据其独特的教育与展示功能进行细致布局，确保空间利用合理且主题鲜明，为参观者营造具有强烈感染力与教育意义的环境氛围。</w:t>
      </w:r>
    </w:p>
    <w:p w14:paraId="42992B7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2、流线规划：完善功能分区规划，打造合理的人流动线，优化观赏体验。精心</w:t>
      </w:r>
      <w:r>
        <w:rPr>
          <w:rFonts w:hint="eastAsia" w:ascii="宋体" w:hAnsi="宋体" w:cs="宋体"/>
          <w:lang w:val="en-US" w:eastAsia="zh-CN"/>
        </w:rPr>
        <w:t>打造</w:t>
      </w:r>
      <w:r>
        <w:rPr>
          <w:rFonts w:hint="eastAsia" w:ascii="宋体" w:hAnsi="宋体" w:eastAsia="宋体" w:cs="宋体"/>
          <w:lang w:val="en-US" w:eastAsia="zh-CN"/>
        </w:rPr>
        <w:t>参观路径，避免人流交叉，使参观者能够有序地穿梭于各个展示区域，顺畅地领略廉政文化的内涵与魅力，充分发挥展示空间的教育引导作用。</w:t>
      </w:r>
    </w:p>
    <w:p w14:paraId="16B3F90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方案策划：深度融合空间造型艺术与平面构成原理，以高效方式将文字、图片、实景等关键要素进行呈现，从多元视角为公职人员以及广大参观者提供深度思考、自我反省、深刻领悟以及知识收获的契机。通过创新的策划理念与表现手法，使廉政教育内容深入人心，激发参观者的内在共鸣与自我提升意识。</w:t>
      </w:r>
    </w:p>
    <w:p w14:paraId="029DCE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4、全方位制作：负责各版块标识标牌、立体人物造型、造型灯箱、不锈钢发光造型灯箱等定制产品的制作与精准安装工作。此过程涵盖但不限于原材料采购费用、制作加工费用、专业包装费用、运输配送费用、装卸搬运费用、安装施工费用（包含埋地基础构建等复杂工序）、产品保险费用以及各类税金等所有关联费用。制作过程严格遵循质量标准，确保产品的工艺精度与稳定性，为整体展示效果提供坚实的物质基础。</w:t>
      </w:r>
    </w:p>
    <w:p w14:paraId="51A3BE5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5、色彩运用：灯光颜色以低饱和度、高色差运用为主，整体空间明亮、简约、通透；灯光布局要连贯且均匀，需要与整体装修风格相呼应，与区域空间结构相融合。通过科学合理的灯光色彩搭配与布局</w:t>
      </w:r>
      <w:r>
        <w:rPr>
          <w:rFonts w:hint="eastAsia" w:ascii="宋体" w:hAnsi="宋体" w:cs="宋体"/>
          <w:lang w:val="en-US" w:eastAsia="zh-CN"/>
        </w:rPr>
        <w:t>上</w:t>
      </w:r>
      <w:r>
        <w:rPr>
          <w:rFonts w:hint="eastAsia" w:ascii="宋体" w:hAnsi="宋体" w:eastAsia="宋体" w:cs="宋体"/>
          <w:lang w:val="en-US" w:eastAsia="zh-CN"/>
        </w:rPr>
        <w:t>营造出舒适且富有层次感的视觉环境，增强廉政文化展示的艺术感染力与空间氛围感，</w:t>
      </w:r>
      <w:r>
        <w:rPr>
          <w:rFonts w:hint="eastAsia" w:ascii="宋体" w:hAnsi="宋体" w:cs="宋体"/>
          <w:lang w:val="en-US" w:eastAsia="zh-CN"/>
        </w:rPr>
        <w:t>为</w:t>
      </w:r>
      <w:r>
        <w:rPr>
          <w:rFonts w:hint="eastAsia" w:ascii="宋体" w:hAnsi="宋体" w:eastAsia="宋体" w:cs="宋体"/>
          <w:lang w:val="en-US" w:eastAsia="zh-CN"/>
        </w:rPr>
        <w:t>参观者在视觉享受中更好地接受教育。</w:t>
      </w:r>
    </w:p>
    <w:p w14:paraId="2C8B63D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6、创意空间：打造属地独有沉浸式交互艺术空间——净思屿，运用空间与时间的交织，让参观者沉浸其中，面对、感受、接受、理解廉政直观性和空间独有性。人形雕塑直面监室，成为在押人员之间情感共鸣的桥梁，让彼此在反思与悔改中找到共鸣。该创意空间将借助先进的交互技术与独特的艺术表现形式，为参观者带来前所未有的沉浸式体验，深刻感悟廉政文化的深刻内涵与警示意义。</w:t>
      </w:r>
    </w:p>
    <w:p w14:paraId="7B3E2B1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7、智能系统要求：结合整体</w:t>
      </w:r>
      <w:r>
        <w:rPr>
          <w:rFonts w:hint="eastAsia" w:ascii="宋体" w:hAnsi="宋体" w:cs="宋体"/>
          <w:lang w:val="en-US" w:eastAsia="zh-CN"/>
        </w:rPr>
        <w:t>打造</w:t>
      </w:r>
      <w:r>
        <w:rPr>
          <w:rFonts w:hint="eastAsia" w:ascii="宋体" w:hAnsi="宋体" w:eastAsia="宋体" w:cs="宋体"/>
          <w:lang w:val="en-US" w:eastAsia="zh-CN"/>
        </w:rPr>
        <w:t>风格与展陈内容的分布，集成控制灯光系统与屏幕系统，突出数字化、智能化的展区管理。通过智能控制系统，实现对灯光亮度、色彩变化以及屏幕展示内容的灵活调控，提升展区管理的便捷性与高效性，同时为参观者呈现出更具科技感与互动性的展示效果。</w:t>
      </w:r>
    </w:p>
    <w:p w14:paraId="4E1D478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p>
    <w:p w14:paraId="11F0371A">
      <w:pPr>
        <w:pStyle w:val="10"/>
        <w:widowControl/>
        <w:spacing w:before="0" w:line="360" w:lineRule="auto"/>
        <w:ind w:left="0" w:leftChars="0" w:firstLine="0" w:firstLineChars="0"/>
        <w:jc w:val="both"/>
        <w:outlineLvl w:val="9"/>
        <w:rPr>
          <w:rFonts w:hint="eastAsia" w:ascii="宋体" w:hAnsi="宋体" w:cs="宋体"/>
          <w:b/>
          <w:bCs/>
          <w:i w:val="0"/>
          <w:kern w:val="0"/>
          <w:sz w:val="21"/>
          <w:szCs w:val="21"/>
          <w:lang w:val="en-US" w:eastAsia="zh-CN"/>
        </w:rPr>
        <w:sectPr>
          <w:footerReference r:id="rId9" w:type="first"/>
          <w:footerReference r:id="rId8" w:type="default"/>
          <w:pgSz w:w="11906" w:h="16838"/>
          <w:pgMar w:top="992" w:right="1191" w:bottom="992" w:left="1191" w:header="851" w:footer="794" w:gutter="0"/>
          <w:pgNumType w:fmt="decimal" w:start="1"/>
          <w:cols w:space="720" w:num="1"/>
          <w:docGrid w:type="lines" w:linePitch="312" w:charSpace="0"/>
        </w:sectPr>
      </w:pPr>
    </w:p>
    <w:p w14:paraId="1045CC90">
      <w:pPr>
        <w:pStyle w:val="10"/>
        <w:widowControl/>
        <w:spacing w:before="0" w:line="360" w:lineRule="auto"/>
        <w:ind w:left="0" w:leftChars="0" w:firstLine="0" w:firstLineChars="0"/>
        <w:jc w:val="both"/>
        <w:outlineLvl w:val="1"/>
        <w:rPr>
          <w:rFonts w:hint="default" w:ascii="宋体" w:hAnsi="宋体" w:eastAsia="宋体" w:cs="宋体"/>
          <w:b/>
          <w:bCs/>
          <w:i w:val="0"/>
          <w:kern w:val="0"/>
          <w:sz w:val="21"/>
          <w:szCs w:val="21"/>
          <w:lang w:val="en-US" w:eastAsia="zh-CN"/>
        </w:rPr>
      </w:pPr>
      <w:bookmarkStart w:id="17" w:name="_Toc11054"/>
      <w:r>
        <w:rPr>
          <w:rFonts w:hint="eastAsia" w:ascii="宋体" w:hAnsi="宋体" w:cs="宋体"/>
          <w:b/>
          <w:bCs/>
          <w:i w:val="0"/>
          <w:kern w:val="0"/>
          <w:sz w:val="21"/>
          <w:szCs w:val="21"/>
          <w:lang w:val="en-US" w:eastAsia="zh-CN"/>
        </w:rPr>
        <w:t>三、采购清单及技术要求</w:t>
      </w:r>
      <w:bookmarkEnd w:id="17"/>
    </w:p>
    <w:tbl>
      <w:tblPr>
        <w:tblStyle w:val="31"/>
        <w:tblW w:w="1462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09"/>
        <w:gridCol w:w="1073"/>
        <w:gridCol w:w="2143"/>
        <w:gridCol w:w="2050"/>
        <w:gridCol w:w="512"/>
        <w:gridCol w:w="844"/>
        <w:gridCol w:w="4428"/>
        <w:gridCol w:w="2966"/>
      </w:tblGrid>
      <w:tr w14:paraId="79AEF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0" w:hRule="atLeast"/>
        </w:trPr>
        <w:tc>
          <w:tcPr>
            <w:tcW w:w="609" w:type="dxa"/>
            <w:vMerge w:val="restart"/>
            <w:shd w:val="clear" w:color="auto" w:fill="auto"/>
            <w:vAlign w:val="center"/>
          </w:tcPr>
          <w:p w14:paraId="7E48A26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073" w:type="dxa"/>
            <w:vMerge w:val="restart"/>
            <w:shd w:val="clear" w:color="auto" w:fill="auto"/>
            <w:noWrap/>
            <w:vAlign w:val="center"/>
          </w:tcPr>
          <w:p w14:paraId="04BF63C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版块</w:t>
            </w:r>
          </w:p>
        </w:tc>
        <w:tc>
          <w:tcPr>
            <w:tcW w:w="2143" w:type="dxa"/>
            <w:vMerge w:val="restart"/>
            <w:shd w:val="clear" w:color="auto" w:fill="auto"/>
            <w:vAlign w:val="center"/>
          </w:tcPr>
          <w:p w14:paraId="53FA9E8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名称</w:t>
            </w:r>
          </w:p>
        </w:tc>
        <w:tc>
          <w:tcPr>
            <w:tcW w:w="2050" w:type="dxa"/>
            <w:vMerge w:val="restart"/>
            <w:shd w:val="clear" w:color="auto" w:fill="auto"/>
            <w:vAlign w:val="center"/>
          </w:tcPr>
          <w:p w14:paraId="1F73221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w:t>
            </w:r>
          </w:p>
        </w:tc>
        <w:tc>
          <w:tcPr>
            <w:tcW w:w="512" w:type="dxa"/>
            <w:vMerge w:val="restart"/>
            <w:shd w:val="clear" w:color="auto" w:fill="auto"/>
            <w:vAlign w:val="center"/>
          </w:tcPr>
          <w:p w14:paraId="6A1AB10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844" w:type="dxa"/>
            <w:vMerge w:val="restart"/>
            <w:shd w:val="clear" w:color="auto" w:fill="auto"/>
            <w:vAlign w:val="center"/>
          </w:tcPr>
          <w:p w14:paraId="7F971DE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4428" w:type="dxa"/>
            <w:vMerge w:val="restart"/>
            <w:shd w:val="clear" w:color="auto" w:fill="auto"/>
            <w:vAlign w:val="center"/>
          </w:tcPr>
          <w:p w14:paraId="2D42CAF8">
            <w:pPr>
              <w:keepNext w:val="0"/>
              <w:keepLines w:val="0"/>
              <w:widowControl/>
              <w:suppressLineNumbers w:val="0"/>
              <w:jc w:val="center"/>
              <w:textAlignment w:val="center"/>
              <w:rPr>
                <w:rFonts w:hint="default" w:ascii="宋体" w:hAnsi="宋体" w:eastAsia="宋体" w:cs="宋体"/>
                <w:b/>
                <w:bCs/>
                <w:i w:val="0"/>
                <w:iCs w:val="0"/>
                <w:color w:val="000000"/>
                <w:sz w:val="20"/>
                <w:szCs w:val="20"/>
                <w:u w:val="none"/>
                <w:lang w:val="en-US" w:eastAsia="zh-CN"/>
              </w:rPr>
            </w:pPr>
            <w:r>
              <w:rPr>
                <w:rFonts w:hint="eastAsia" w:ascii="宋体" w:hAnsi="宋体" w:cs="宋体"/>
                <w:b/>
                <w:bCs/>
                <w:i w:val="0"/>
                <w:iCs w:val="0"/>
                <w:color w:val="000000"/>
                <w:sz w:val="20"/>
                <w:szCs w:val="20"/>
                <w:u w:val="none"/>
                <w:lang w:val="en-US" w:eastAsia="zh-CN"/>
              </w:rPr>
              <w:t>详细技术参数要求</w:t>
            </w:r>
          </w:p>
        </w:tc>
        <w:tc>
          <w:tcPr>
            <w:tcW w:w="2966" w:type="dxa"/>
            <w:vMerge w:val="restart"/>
            <w:shd w:val="clear" w:color="auto" w:fill="auto"/>
            <w:noWrap/>
            <w:vAlign w:val="center"/>
          </w:tcPr>
          <w:p w14:paraId="3D0AC3E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附图</w:t>
            </w:r>
          </w:p>
        </w:tc>
      </w:tr>
      <w:tr w14:paraId="72AD7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0" w:hRule="atLeast"/>
        </w:trPr>
        <w:tc>
          <w:tcPr>
            <w:tcW w:w="609" w:type="dxa"/>
            <w:vMerge w:val="continue"/>
            <w:shd w:val="clear" w:color="auto" w:fill="auto"/>
            <w:vAlign w:val="center"/>
          </w:tcPr>
          <w:p w14:paraId="4BBF8B3D">
            <w:pPr>
              <w:jc w:val="center"/>
              <w:rPr>
                <w:rFonts w:hint="eastAsia" w:ascii="宋体" w:hAnsi="宋体" w:eastAsia="宋体" w:cs="宋体"/>
                <w:i w:val="0"/>
                <w:iCs w:val="0"/>
                <w:color w:val="000000"/>
                <w:sz w:val="20"/>
                <w:szCs w:val="20"/>
                <w:u w:val="none"/>
              </w:rPr>
            </w:pPr>
          </w:p>
        </w:tc>
        <w:tc>
          <w:tcPr>
            <w:tcW w:w="1073" w:type="dxa"/>
            <w:vMerge w:val="continue"/>
            <w:shd w:val="clear" w:color="auto" w:fill="auto"/>
            <w:noWrap/>
            <w:vAlign w:val="center"/>
          </w:tcPr>
          <w:p w14:paraId="6B3A9F4C">
            <w:pPr>
              <w:jc w:val="center"/>
              <w:rPr>
                <w:rFonts w:hint="eastAsia" w:ascii="宋体" w:hAnsi="宋体" w:eastAsia="宋体" w:cs="宋体"/>
                <w:i w:val="0"/>
                <w:iCs w:val="0"/>
                <w:color w:val="000000"/>
                <w:sz w:val="20"/>
                <w:szCs w:val="20"/>
                <w:u w:val="none"/>
              </w:rPr>
            </w:pPr>
          </w:p>
        </w:tc>
        <w:tc>
          <w:tcPr>
            <w:tcW w:w="2143" w:type="dxa"/>
            <w:vMerge w:val="continue"/>
            <w:shd w:val="clear" w:color="auto" w:fill="auto"/>
            <w:vAlign w:val="center"/>
          </w:tcPr>
          <w:p w14:paraId="1011F42A">
            <w:pPr>
              <w:jc w:val="center"/>
              <w:rPr>
                <w:rFonts w:hint="eastAsia" w:ascii="宋体" w:hAnsi="宋体" w:eastAsia="宋体" w:cs="宋体"/>
                <w:i w:val="0"/>
                <w:iCs w:val="0"/>
                <w:color w:val="000000"/>
                <w:sz w:val="20"/>
                <w:szCs w:val="20"/>
                <w:u w:val="none"/>
              </w:rPr>
            </w:pPr>
          </w:p>
        </w:tc>
        <w:tc>
          <w:tcPr>
            <w:tcW w:w="2050" w:type="dxa"/>
            <w:vMerge w:val="continue"/>
            <w:shd w:val="clear" w:color="auto" w:fill="auto"/>
            <w:vAlign w:val="center"/>
          </w:tcPr>
          <w:p w14:paraId="62C1B8B0">
            <w:pPr>
              <w:jc w:val="center"/>
              <w:rPr>
                <w:rFonts w:hint="eastAsia" w:ascii="宋体" w:hAnsi="宋体" w:eastAsia="宋体" w:cs="宋体"/>
                <w:i w:val="0"/>
                <w:iCs w:val="0"/>
                <w:color w:val="000000"/>
                <w:sz w:val="20"/>
                <w:szCs w:val="20"/>
                <w:u w:val="none"/>
              </w:rPr>
            </w:pPr>
          </w:p>
        </w:tc>
        <w:tc>
          <w:tcPr>
            <w:tcW w:w="512" w:type="dxa"/>
            <w:vMerge w:val="continue"/>
            <w:shd w:val="clear" w:color="auto" w:fill="auto"/>
            <w:vAlign w:val="center"/>
          </w:tcPr>
          <w:p w14:paraId="04CFA5E2">
            <w:pPr>
              <w:jc w:val="center"/>
              <w:rPr>
                <w:rFonts w:hint="eastAsia" w:ascii="宋体" w:hAnsi="宋体" w:eastAsia="宋体" w:cs="宋体"/>
                <w:i w:val="0"/>
                <w:iCs w:val="0"/>
                <w:color w:val="000000"/>
                <w:sz w:val="20"/>
                <w:szCs w:val="20"/>
                <w:u w:val="none"/>
              </w:rPr>
            </w:pPr>
          </w:p>
        </w:tc>
        <w:tc>
          <w:tcPr>
            <w:tcW w:w="844" w:type="dxa"/>
            <w:vMerge w:val="continue"/>
            <w:shd w:val="clear" w:color="auto" w:fill="auto"/>
            <w:vAlign w:val="center"/>
          </w:tcPr>
          <w:p w14:paraId="2760C05E">
            <w:pPr>
              <w:jc w:val="center"/>
              <w:rPr>
                <w:rFonts w:hint="eastAsia" w:ascii="宋体" w:hAnsi="宋体" w:eastAsia="宋体" w:cs="宋体"/>
                <w:i w:val="0"/>
                <w:iCs w:val="0"/>
                <w:color w:val="000000"/>
                <w:sz w:val="20"/>
                <w:szCs w:val="20"/>
                <w:u w:val="none"/>
              </w:rPr>
            </w:pPr>
          </w:p>
        </w:tc>
        <w:tc>
          <w:tcPr>
            <w:tcW w:w="4428" w:type="dxa"/>
            <w:vMerge w:val="continue"/>
            <w:shd w:val="clear" w:color="auto" w:fill="auto"/>
            <w:vAlign w:val="center"/>
          </w:tcPr>
          <w:p w14:paraId="76334995">
            <w:pPr>
              <w:jc w:val="center"/>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5BF711C8">
            <w:pPr>
              <w:jc w:val="center"/>
              <w:rPr>
                <w:rFonts w:hint="eastAsia" w:ascii="宋体" w:hAnsi="宋体" w:eastAsia="宋体" w:cs="宋体"/>
                <w:i w:val="0"/>
                <w:iCs w:val="0"/>
                <w:color w:val="000000"/>
                <w:sz w:val="20"/>
                <w:szCs w:val="20"/>
                <w:u w:val="none"/>
              </w:rPr>
            </w:pPr>
          </w:p>
        </w:tc>
      </w:tr>
      <w:tr w14:paraId="3B735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60" w:hRule="atLeast"/>
        </w:trPr>
        <w:tc>
          <w:tcPr>
            <w:tcW w:w="609" w:type="dxa"/>
            <w:shd w:val="clear" w:color="auto" w:fill="auto"/>
            <w:noWrap/>
            <w:vAlign w:val="center"/>
          </w:tcPr>
          <w:p w14:paraId="5B5E98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73" w:type="dxa"/>
            <w:vMerge w:val="restart"/>
            <w:shd w:val="clear" w:color="auto" w:fill="auto"/>
            <w:vAlign w:val="center"/>
          </w:tcPr>
          <w:p w14:paraId="44AE5B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“一念之间”主题墙及入口过道</w:t>
            </w:r>
          </w:p>
        </w:tc>
        <w:tc>
          <w:tcPr>
            <w:tcW w:w="2143" w:type="dxa"/>
            <w:shd w:val="clear" w:color="auto" w:fill="auto"/>
            <w:noWrap/>
            <w:vAlign w:val="center"/>
          </w:tcPr>
          <w:p w14:paraId="1BE51F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弧形吊顶造型</w:t>
            </w:r>
          </w:p>
        </w:tc>
        <w:tc>
          <w:tcPr>
            <w:tcW w:w="2050" w:type="dxa"/>
            <w:shd w:val="clear" w:color="auto" w:fill="auto"/>
            <w:vAlign w:val="center"/>
          </w:tcPr>
          <w:p w14:paraId="564A22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（4.34*2.96M-1.12*2.5M）</w:t>
            </w:r>
          </w:p>
        </w:tc>
        <w:tc>
          <w:tcPr>
            <w:tcW w:w="512" w:type="dxa"/>
            <w:shd w:val="clear" w:color="auto" w:fill="FFFFFF"/>
            <w:vAlign w:val="center"/>
          </w:tcPr>
          <w:p w14:paraId="5F48D0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auto"/>
            <w:noWrap/>
            <w:vAlign w:val="center"/>
          </w:tcPr>
          <w:p w14:paraId="21D4C3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10.05</w:t>
            </w:r>
          </w:p>
        </w:tc>
        <w:tc>
          <w:tcPr>
            <w:tcW w:w="4428" w:type="dxa"/>
            <w:shd w:val="clear" w:color="auto" w:fill="auto"/>
            <w:vAlign w:val="center"/>
          </w:tcPr>
          <w:p w14:paraId="5330333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1.2.5MM异造型铝吊顶定制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2.整体多层喷涂汽车烤漆高温固化+纳米防护漆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3.嵌入式LED灯带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4.LED线性灯恒压电源。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1EEF86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71552" behindDoc="1" locked="0" layoutInCell="1" allowOverlap="1">
                  <wp:simplePos x="0" y="0"/>
                  <wp:positionH relativeFrom="column">
                    <wp:posOffset>15240</wp:posOffset>
                  </wp:positionH>
                  <wp:positionV relativeFrom="paragraph">
                    <wp:posOffset>493395</wp:posOffset>
                  </wp:positionV>
                  <wp:extent cx="1697990" cy="786765"/>
                  <wp:effectExtent l="0" t="0" r="8890" b="5715"/>
                  <wp:wrapTight wrapText="bothSides">
                    <wp:wrapPolygon>
                      <wp:start x="0" y="0"/>
                      <wp:lineTo x="0" y="21338"/>
                      <wp:lineTo x="21325" y="21338"/>
                      <wp:lineTo x="21325" y="0"/>
                      <wp:lineTo x="0" y="0"/>
                    </wp:wrapPolygon>
                  </wp:wrapTight>
                  <wp:docPr id="2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9"/>
                          <pic:cNvPicPr>
                            <a:picLocks noChangeAspect="1"/>
                          </pic:cNvPicPr>
                        </pic:nvPicPr>
                        <pic:blipFill>
                          <a:blip r:embed="rId15"/>
                          <a:srcRect t="27406" b="9259"/>
                          <a:stretch>
                            <a:fillRect/>
                          </a:stretch>
                        </pic:blipFill>
                        <pic:spPr>
                          <a:xfrm>
                            <a:off x="0" y="0"/>
                            <a:ext cx="1697990" cy="786765"/>
                          </a:xfrm>
                          <a:prstGeom prst="rect">
                            <a:avLst/>
                          </a:prstGeom>
                          <a:noFill/>
                          <a:ln w="9525">
                            <a:noFill/>
                          </a:ln>
                        </pic:spPr>
                      </pic:pic>
                    </a:graphicData>
                  </a:graphic>
                </wp:anchor>
              </w:drawing>
            </w:r>
          </w:p>
        </w:tc>
      </w:tr>
      <w:tr w14:paraId="10CFF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00" w:hRule="atLeast"/>
        </w:trPr>
        <w:tc>
          <w:tcPr>
            <w:tcW w:w="609" w:type="dxa"/>
            <w:shd w:val="clear" w:color="auto" w:fill="auto"/>
            <w:noWrap/>
            <w:vAlign w:val="center"/>
          </w:tcPr>
          <w:p w14:paraId="776DFB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073" w:type="dxa"/>
            <w:vMerge w:val="continue"/>
            <w:shd w:val="clear" w:color="auto" w:fill="auto"/>
            <w:vAlign w:val="center"/>
          </w:tcPr>
          <w:p w14:paraId="19A553D4">
            <w:pPr>
              <w:jc w:val="center"/>
              <w:rPr>
                <w:rFonts w:hint="eastAsia" w:ascii="宋体" w:hAnsi="宋体" w:eastAsia="宋体" w:cs="宋体"/>
                <w:i w:val="0"/>
                <w:iCs w:val="0"/>
                <w:color w:val="000000"/>
                <w:sz w:val="20"/>
                <w:szCs w:val="20"/>
                <w:u w:val="none"/>
              </w:rPr>
            </w:pPr>
          </w:p>
        </w:tc>
        <w:tc>
          <w:tcPr>
            <w:tcW w:w="2143" w:type="dxa"/>
            <w:shd w:val="clear" w:color="auto" w:fill="auto"/>
            <w:noWrap/>
            <w:vAlign w:val="center"/>
          </w:tcPr>
          <w:p w14:paraId="3F503C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廉字灯箱定制</w:t>
            </w:r>
          </w:p>
        </w:tc>
        <w:tc>
          <w:tcPr>
            <w:tcW w:w="2050" w:type="dxa"/>
            <w:shd w:val="clear" w:color="auto" w:fill="auto"/>
            <w:vAlign w:val="center"/>
          </w:tcPr>
          <w:p w14:paraId="433F85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（2.1*1M）</w:t>
            </w:r>
          </w:p>
        </w:tc>
        <w:tc>
          <w:tcPr>
            <w:tcW w:w="512" w:type="dxa"/>
            <w:shd w:val="clear" w:color="auto" w:fill="auto"/>
            <w:noWrap/>
            <w:vAlign w:val="center"/>
          </w:tcPr>
          <w:p w14:paraId="3D5C3C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44" w:type="dxa"/>
            <w:shd w:val="clear" w:color="auto" w:fill="auto"/>
            <w:noWrap/>
            <w:vAlign w:val="center"/>
          </w:tcPr>
          <w:p w14:paraId="207DB0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28" w:type="dxa"/>
            <w:shd w:val="clear" w:color="auto" w:fill="auto"/>
            <w:vAlign w:val="center"/>
          </w:tcPr>
          <w:p w14:paraId="41F733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1.成品高低错落造型定制，通体采用高透耐候亚克力发光灯箱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2.表面采用高清文字贴膜；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3.箱体内装LED蓝景模组灯源发光，色温5000K。</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continue"/>
            <w:shd w:val="clear" w:color="auto" w:fill="auto"/>
            <w:noWrap/>
            <w:vAlign w:val="center"/>
          </w:tcPr>
          <w:p w14:paraId="6E6EA18C">
            <w:pPr>
              <w:jc w:val="center"/>
              <w:rPr>
                <w:rFonts w:hint="eastAsia" w:ascii="宋体" w:hAnsi="宋体" w:eastAsia="宋体" w:cs="宋体"/>
                <w:i w:val="0"/>
                <w:iCs w:val="0"/>
                <w:color w:val="000000"/>
                <w:sz w:val="18"/>
                <w:szCs w:val="18"/>
                <w:u w:val="none"/>
              </w:rPr>
            </w:pPr>
          </w:p>
        </w:tc>
      </w:tr>
      <w:tr w14:paraId="71169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609" w:type="dxa"/>
            <w:shd w:val="clear" w:color="auto" w:fill="auto"/>
            <w:noWrap/>
            <w:vAlign w:val="center"/>
          </w:tcPr>
          <w:p w14:paraId="587178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73" w:type="dxa"/>
            <w:vMerge w:val="continue"/>
            <w:shd w:val="clear" w:color="auto" w:fill="auto"/>
            <w:vAlign w:val="center"/>
          </w:tcPr>
          <w:p w14:paraId="62661EC3">
            <w:pPr>
              <w:jc w:val="center"/>
              <w:rPr>
                <w:rFonts w:hint="eastAsia" w:ascii="宋体" w:hAnsi="宋体" w:eastAsia="宋体" w:cs="宋体"/>
                <w:i w:val="0"/>
                <w:iCs w:val="0"/>
                <w:color w:val="000000"/>
                <w:sz w:val="20"/>
                <w:szCs w:val="20"/>
                <w:u w:val="none"/>
              </w:rPr>
            </w:pPr>
          </w:p>
        </w:tc>
        <w:tc>
          <w:tcPr>
            <w:tcW w:w="2143" w:type="dxa"/>
            <w:shd w:val="clear" w:color="auto" w:fill="auto"/>
            <w:noWrap/>
            <w:vAlign w:val="center"/>
          </w:tcPr>
          <w:p w14:paraId="47C2A5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10MM高密安迪板喷漆</w:t>
            </w:r>
          </w:p>
        </w:tc>
        <w:tc>
          <w:tcPr>
            <w:tcW w:w="2050" w:type="dxa"/>
            <w:shd w:val="clear" w:color="auto" w:fill="auto"/>
            <w:vAlign w:val="center"/>
          </w:tcPr>
          <w:p w14:paraId="6B628D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（1.8*0.9M）</w:t>
            </w:r>
          </w:p>
        </w:tc>
        <w:tc>
          <w:tcPr>
            <w:tcW w:w="512" w:type="dxa"/>
            <w:shd w:val="clear" w:color="auto" w:fill="FFFFFF"/>
            <w:vAlign w:val="center"/>
          </w:tcPr>
          <w:p w14:paraId="7F6963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auto"/>
            <w:noWrap/>
            <w:vAlign w:val="center"/>
          </w:tcPr>
          <w:p w14:paraId="1B1C01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1.62</w:t>
            </w:r>
          </w:p>
        </w:tc>
        <w:tc>
          <w:tcPr>
            <w:tcW w:w="4428" w:type="dxa"/>
            <w:vMerge w:val="restart"/>
            <w:shd w:val="clear" w:color="auto" w:fill="auto"/>
            <w:vAlign w:val="center"/>
          </w:tcPr>
          <w:p w14:paraId="70520C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1.平语近人10MM高密安迪板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2.激光雕刻立体字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3.喷漆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2C9C04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inline distT="0" distB="0" distL="114300" distR="114300">
                  <wp:extent cx="1136015" cy="758825"/>
                  <wp:effectExtent l="0" t="0" r="6985" b="317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6"/>
                          <a:stretch>
                            <a:fillRect/>
                          </a:stretch>
                        </pic:blipFill>
                        <pic:spPr>
                          <a:xfrm>
                            <a:off x="0" y="0"/>
                            <a:ext cx="1136015" cy="758825"/>
                          </a:xfrm>
                          <a:prstGeom prst="rect">
                            <a:avLst/>
                          </a:prstGeom>
                          <a:noFill/>
                          <a:ln w="9525">
                            <a:noFill/>
                          </a:ln>
                        </pic:spPr>
                      </pic:pic>
                    </a:graphicData>
                  </a:graphic>
                </wp:inline>
              </w:drawing>
            </w:r>
          </w:p>
        </w:tc>
      </w:tr>
      <w:tr w14:paraId="7ACD5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609" w:type="dxa"/>
            <w:shd w:val="clear" w:color="auto" w:fill="auto"/>
            <w:noWrap/>
            <w:vAlign w:val="center"/>
          </w:tcPr>
          <w:p w14:paraId="2EBAB9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073" w:type="dxa"/>
            <w:vMerge w:val="continue"/>
            <w:shd w:val="clear" w:color="auto" w:fill="auto"/>
            <w:vAlign w:val="center"/>
          </w:tcPr>
          <w:p w14:paraId="4DD05502">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61772E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10MM高密安迪板喷漆立体字</w:t>
            </w:r>
          </w:p>
        </w:tc>
        <w:tc>
          <w:tcPr>
            <w:tcW w:w="2050" w:type="dxa"/>
            <w:shd w:val="clear" w:color="auto" w:fill="auto"/>
            <w:vAlign w:val="center"/>
          </w:tcPr>
          <w:p w14:paraId="002D57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13CM</w:t>
            </w:r>
          </w:p>
        </w:tc>
        <w:tc>
          <w:tcPr>
            <w:tcW w:w="512" w:type="dxa"/>
            <w:shd w:val="clear" w:color="auto" w:fill="FFFFFF"/>
            <w:vAlign w:val="center"/>
          </w:tcPr>
          <w:p w14:paraId="5D311C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auto"/>
            <w:noWrap/>
            <w:vAlign w:val="center"/>
          </w:tcPr>
          <w:p w14:paraId="604DC8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28" w:type="dxa"/>
            <w:vMerge w:val="continue"/>
            <w:shd w:val="clear" w:color="auto" w:fill="auto"/>
            <w:vAlign w:val="center"/>
          </w:tcPr>
          <w:p w14:paraId="3AFC52B2">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23151123">
            <w:pPr>
              <w:jc w:val="center"/>
              <w:rPr>
                <w:rFonts w:hint="eastAsia" w:ascii="宋体" w:hAnsi="宋体" w:eastAsia="宋体" w:cs="宋体"/>
                <w:i w:val="0"/>
                <w:iCs w:val="0"/>
                <w:color w:val="000000"/>
                <w:sz w:val="18"/>
                <w:szCs w:val="18"/>
                <w:u w:val="none"/>
              </w:rPr>
            </w:pPr>
          </w:p>
        </w:tc>
      </w:tr>
      <w:tr w14:paraId="611A9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609" w:type="dxa"/>
            <w:shd w:val="clear" w:color="auto" w:fill="auto"/>
            <w:noWrap/>
            <w:vAlign w:val="center"/>
          </w:tcPr>
          <w:p w14:paraId="30276A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073" w:type="dxa"/>
            <w:vMerge w:val="continue"/>
            <w:shd w:val="clear" w:color="auto" w:fill="auto"/>
            <w:vAlign w:val="center"/>
          </w:tcPr>
          <w:p w14:paraId="0E3E4409">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1D00BF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5MM高密安迪板喷漆立体字</w:t>
            </w:r>
          </w:p>
        </w:tc>
        <w:tc>
          <w:tcPr>
            <w:tcW w:w="2050" w:type="dxa"/>
            <w:shd w:val="clear" w:color="auto" w:fill="auto"/>
            <w:vAlign w:val="center"/>
          </w:tcPr>
          <w:p w14:paraId="682985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3CM</w:t>
            </w:r>
          </w:p>
        </w:tc>
        <w:tc>
          <w:tcPr>
            <w:tcW w:w="512" w:type="dxa"/>
            <w:shd w:val="clear" w:color="auto" w:fill="FFFFFF"/>
            <w:vAlign w:val="center"/>
          </w:tcPr>
          <w:p w14:paraId="203AEA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auto"/>
            <w:noWrap/>
            <w:vAlign w:val="center"/>
          </w:tcPr>
          <w:p w14:paraId="4373D0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w:t>
            </w:r>
          </w:p>
        </w:tc>
        <w:tc>
          <w:tcPr>
            <w:tcW w:w="4428" w:type="dxa"/>
            <w:vMerge w:val="continue"/>
            <w:shd w:val="clear" w:color="auto" w:fill="auto"/>
            <w:vAlign w:val="center"/>
          </w:tcPr>
          <w:p w14:paraId="473C0064">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769ABFF2">
            <w:pPr>
              <w:jc w:val="center"/>
              <w:rPr>
                <w:rFonts w:hint="eastAsia" w:ascii="宋体" w:hAnsi="宋体" w:eastAsia="宋体" w:cs="宋体"/>
                <w:i w:val="0"/>
                <w:iCs w:val="0"/>
                <w:color w:val="000000"/>
                <w:sz w:val="18"/>
                <w:szCs w:val="18"/>
                <w:u w:val="none"/>
              </w:rPr>
            </w:pPr>
          </w:p>
        </w:tc>
      </w:tr>
      <w:tr w14:paraId="31867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09" w:type="dxa"/>
            <w:shd w:val="clear" w:color="auto" w:fill="auto"/>
            <w:noWrap/>
            <w:vAlign w:val="center"/>
          </w:tcPr>
          <w:p w14:paraId="067F1C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073" w:type="dxa"/>
            <w:vMerge w:val="continue"/>
            <w:shd w:val="clear" w:color="auto" w:fill="auto"/>
            <w:vAlign w:val="center"/>
          </w:tcPr>
          <w:p w14:paraId="18E2A753">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55A58E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不锈钢精工发光字</w:t>
            </w:r>
          </w:p>
        </w:tc>
        <w:tc>
          <w:tcPr>
            <w:tcW w:w="2050" w:type="dxa"/>
            <w:shd w:val="clear" w:color="auto" w:fill="auto"/>
            <w:vAlign w:val="center"/>
          </w:tcPr>
          <w:p w14:paraId="2398B8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高：38cm</w:t>
            </w:r>
          </w:p>
        </w:tc>
        <w:tc>
          <w:tcPr>
            <w:tcW w:w="512" w:type="dxa"/>
            <w:shd w:val="clear" w:color="auto" w:fill="FFFFFF"/>
            <w:vAlign w:val="center"/>
          </w:tcPr>
          <w:p w14:paraId="0509B8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auto"/>
            <w:noWrap/>
            <w:vAlign w:val="center"/>
          </w:tcPr>
          <w:p w14:paraId="6C0025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28" w:type="dxa"/>
            <w:vMerge w:val="restart"/>
            <w:shd w:val="clear" w:color="auto" w:fill="auto"/>
            <w:vAlign w:val="center"/>
          </w:tcPr>
          <w:p w14:paraId="564010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1."一念之间"抗氧化不锈钢精工发光字定制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2.镭射激光焊接，边角抛光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w:t>
            </w:r>
            <w:r>
              <w:rPr>
                <w:rFonts w:hint="eastAsia" w:ascii="宋体" w:hAnsi="宋体" w:cs="宋体"/>
                <w:i w:val="0"/>
                <w:iCs w:val="0"/>
                <w:color w:val="000000"/>
                <w:kern w:val="0"/>
                <w:sz w:val="20"/>
                <w:szCs w:val="20"/>
                <w:u w:val="none"/>
                <w:lang w:val="en-US" w:eastAsia="zh-CN" w:bidi="ar"/>
              </w:rPr>
              <w:t>含</w:t>
            </w:r>
            <w:r>
              <w:rPr>
                <w:rFonts w:hint="eastAsia" w:ascii="宋体" w:hAnsi="宋体" w:eastAsia="宋体" w:cs="宋体"/>
                <w:i w:val="0"/>
                <w:iCs w:val="0"/>
                <w:color w:val="000000"/>
                <w:kern w:val="0"/>
                <w:sz w:val="20"/>
                <w:szCs w:val="20"/>
                <w:u w:val="none"/>
                <w:lang w:val="en-US" w:eastAsia="zh-CN" w:bidi="ar"/>
              </w:rPr>
              <w:t>恒压电源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10MM激光切割高透耐候亚克力立体字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01C928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inline distT="0" distB="0" distL="114300" distR="114300">
                  <wp:extent cx="1216025" cy="785495"/>
                  <wp:effectExtent l="0" t="0" r="3175" b="6985"/>
                  <wp:docPr id="3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0"/>
                          <pic:cNvPicPr>
                            <a:picLocks noChangeAspect="1"/>
                          </pic:cNvPicPr>
                        </pic:nvPicPr>
                        <pic:blipFill>
                          <a:blip r:embed="rId17"/>
                          <a:stretch>
                            <a:fillRect/>
                          </a:stretch>
                        </pic:blipFill>
                        <pic:spPr>
                          <a:xfrm>
                            <a:off x="0" y="0"/>
                            <a:ext cx="1216025" cy="785495"/>
                          </a:xfrm>
                          <a:prstGeom prst="rect">
                            <a:avLst/>
                          </a:prstGeom>
                          <a:noFill/>
                          <a:ln w="9525">
                            <a:noFill/>
                          </a:ln>
                        </pic:spPr>
                      </pic:pic>
                    </a:graphicData>
                  </a:graphic>
                </wp:inline>
              </w:drawing>
            </w:r>
          </w:p>
        </w:tc>
      </w:tr>
      <w:tr w14:paraId="1673C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09" w:type="dxa"/>
            <w:shd w:val="clear" w:color="auto" w:fill="auto"/>
            <w:noWrap/>
            <w:vAlign w:val="center"/>
          </w:tcPr>
          <w:p w14:paraId="5AF372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073" w:type="dxa"/>
            <w:vMerge w:val="continue"/>
            <w:shd w:val="clear" w:color="auto" w:fill="auto"/>
            <w:vAlign w:val="center"/>
          </w:tcPr>
          <w:p w14:paraId="3D148644">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5876C6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不锈钢精工发光字</w:t>
            </w:r>
          </w:p>
        </w:tc>
        <w:tc>
          <w:tcPr>
            <w:tcW w:w="2050" w:type="dxa"/>
            <w:shd w:val="clear" w:color="auto" w:fill="auto"/>
            <w:vAlign w:val="center"/>
          </w:tcPr>
          <w:p w14:paraId="45B7A8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高：15cm</w:t>
            </w:r>
          </w:p>
        </w:tc>
        <w:tc>
          <w:tcPr>
            <w:tcW w:w="512" w:type="dxa"/>
            <w:shd w:val="clear" w:color="auto" w:fill="FFFFFF"/>
            <w:vAlign w:val="center"/>
          </w:tcPr>
          <w:p w14:paraId="69076E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auto"/>
            <w:noWrap/>
            <w:vAlign w:val="center"/>
          </w:tcPr>
          <w:p w14:paraId="1D37CD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428" w:type="dxa"/>
            <w:vMerge w:val="continue"/>
            <w:shd w:val="clear" w:color="auto" w:fill="auto"/>
            <w:vAlign w:val="center"/>
          </w:tcPr>
          <w:p w14:paraId="7E2B7804">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589FF62C">
            <w:pPr>
              <w:jc w:val="center"/>
              <w:rPr>
                <w:rFonts w:hint="eastAsia" w:ascii="宋体" w:hAnsi="宋体" w:eastAsia="宋体" w:cs="宋体"/>
                <w:i w:val="0"/>
                <w:iCs w:val="0"/>
                <w:color w:val="000000"/>
                <w:sz w:val="18"/>
                <w:szCs w:val="18"/>
                <w:u w:val="none"/>
              </w:rPr>
            </w:pPr>
          </w:p>
        </w:tc>
      </w:tr>
      <w:tr w14:paraId="3DFE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trPr>
        <w:tc>
          <w:tcPr>
            <w:tcW w:w="609" w:type="dxa"/>
            <w:shd w:val="clear" w:color="auto" w:fill="auto"/>
            <w:noWrap/>
            <w:vAlign w:val="center"/>
          </w:tcPr>
          <w:p w14:paraId="62B80E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073" w:type="dxa"/>
            <w:vMerge w:val="continue"/>
            <w:shd w:val="clear" w:color="auto" w:fill="auto"/>
            <w:vAlign w:val="center"/>
          </w:tcPr>
          <w:p w14:paraId="464CB18A">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0F40DB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10MM亚克力立体字</w:t>
            </w:r>
          </w:p>
        </w:tc>
        <w:tc>
          <w:tcPr>
            <w:tcW w:w="2050" w:type="dxa"/>
            <w:shd w:val="clear" w:color="auto" w:fill="auto"/>
            <w:vAlign w:val="center"/>
          </w:tcPr>
          <w:p w14:paraId="62DCB6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高：12cm</w:t>
            </w:r>
          </w:p>
        </w:tc>
        <w:tc>
          <w:tcPr>
            <w:tcW w:w="512" w:type="dxa"/>
            <w:shd w:val="clear" w:color="auto" w:fill="FFFFFF"/>
            <w:vAlign w:val="center"/>
          </w:tcPr>
          <w:p w14:paraId="21745C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auto"/>
            <w:noWrap/>
            <w:vAlign w:val="center"/>
          </w:tcPr>
          <w:p w14:paraId="3321AA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428" w:type="dxa"/>
            <w:vMerge w:val="continue"/>
            <w:shd w:val="clear" w:color="auto" w:fill="auto"/>
            <w:vAlign w:val="center"/>
          </w:tcPr>
          <w:p w14:paraId="6433B03C">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3320A477">
            <w:pPr>
              <w:jc w:val="center"/>
              <w:rPr>
                <w:rFonts w:hint="eastAsia" w:ascii="宋体" w:hAnsi="宋体" w:eastAsia="宋体" w:cs="宋体"/>
                <w:i w:val="0"/>
                <w:iCs w:val="0"/>
                <w:color w:val="000000"/>
                <w:sz w:val="18"/>
                <w:szCs w:val="18"/>
                <w:u w:val="none"/>
              </w:rPr>
            </w:pPr>
          </w:p>
        </w:tc>
      </w:tr>
      <w:tr w14:paraId="4CD77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0" w:hRule="atLeast"/>
        </w:trPr>
        <w:tc>
          <w:tcPr>
            <w:tcW w:w="609" w:type="dxa"/>
            <w:shd w:val="clear" w:color="auto" w:fill="auto"/>
            <w:noWrap/>
            <w:vAlign w:val="center"/>
          </w:tcPr>
          <w:p w14:paraId="102666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073" w:type="dxa"/>
            <w:vMerge w:val="restart"/>
            <w:shd w:val="clear" w:color="auto" w:fill="auto"/>
            <w:vAlign w:val="center"/>
          </w:tcPr>
          <w:p w14:paraId="5CC6EC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前言</w:t>
            </w:r>
          </w:p>
        </w:tc>
        <w:tc>
          <w:tcPr>
            <w:tcW w:w="2143" w:type="dxa"/>
            <w:shd w:val="clear" w:color="auto" w:fill="auto"/>
            <w:vAlign w:val="center"/>
          </w:tcPr>
          <w:p w14:paraId="2158AE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立体画面基底造型</w:t>
            </w:r>
          </w:p>
        </w:tc>
        <w:tc>
          <w:tcPr>
            <w:tcW w:w="2050" w:type="dxa"/>
            <w:shd w:val="clear" w:color="auto" w:fill="FFFFFF"/>
            <w:vAlign w:val="center"/>
          </w:tcPr>
          <w:p w14:paraId="008EF7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2.6*2.95m</w:t>
            </w:r>
          </w:p>
        </w:tc>
        <w:tc>
          <w:tcPr>
            <w:tcW w:w="512" w:type="dxa"/>
            <w:shd w:val="clear" w:color="auto" w:fill="FFFFFF"/>
            <w:vAlign w:val="center"/>
          </w:tcPr>
          <w:p w14:paraId="4DAF27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vAlign w:val="center"/>
          </w:tcPr>
          <w:p w14:paraId="1CD862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7.67</w:t>
            </w:r>
          </w:p>
        </w:tc>
        <w:tc>
          <w:tcPr>
            <w:tcW w:w="4428" w:type="dxa"/>
            <w:vMerge w:val="restart"/>
            <w:shd w:val="clear" w:color="auto" w:fill="FFFFFF"/>
            <w:vAlign w:val="center"/>
          </w:tcPr>
          <w:p w14:paraId="125C55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1.前言画面造型：细木工板+石膏板造型基底+精细打磨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2.真丝布高清UV+专用基胶安装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3.LED灯带+恒压电源</w:t>
            </w:r>
            <w:r>
              <w:rPr>
                <w:rFonts w:hint="eastAsia" w:ascii="宋体" w:hAnsi="宋体" w:cs="宋体"/>
                <w:i w:val="0"/>
                <w:iCs w:val="0"/>
                <w:color w:val="000000"/>
                <w:kern w:val="0"/>
                <w:sz w:val="20"/>
                <w:szCs w:val="20"/>
                <w:u w:val="none"/>
                <w:lang w:val="en-US" w:eastAsia="zh-CN" w:bidi="ar"/>
              </w:rPr>
              <w:t>3M*2套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4.10MM高密安迪板立体激光雕刻字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60B75FD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rPr>
              <w:drawing>
                <wp:anchor distT="0" distB="0" distL="114300" distR="114300" simplePos="0" relativeHeight="251672576" behindDoc="1" locked="0" layoutInCell="1" allowOverlap="1">
                  <wp:simplePos x="0" y="0"/>
                  <wp:positionH relativeFrom="column">
                    <wp:posOffset>272415</wp:posOffset>
                  </wp:positionH>
                  <wp:positionV relativeFrom="paragraph">
                    <wp:posOffset>244475</wp:posOffset>
                  </wp:positionV>
                  <wp:extent cx="914400" cy="1105535"/>
                  <wp:effectExtent l="0" t="0" r="0" b="6985"/>
                  <wp:wrapTight wrapText="bothSides">
                    <wp:wrapPolygon>
                      <wp:start x="0" y="0"/>
                      <wp:lineTo x="0" y="21439"/>
                      <wp:lineTo x="21240" y="21439"/>
                      <wp:lineTo x="21240" y="0"/>
                      <wp:lineTo x="0" y="0"/>
                    </wp:wrapPolygon>
                  </wp:wrapTight>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18"/>
                          <a:stretch>
                            <a:fillRect/>
                          </a:stretch>
                        </pic:blipFill>
                        <pic:spPr>
                          <a:xfrm>
                            <a:off x="0" y="0"/>
                            <a:ext cx="914400" cy="1105535"/>
                          </a:xfrm>
                          <a:prstGeom prst="rect">
                            <a:avLst/>
                          </a:prstGeom>
                          <a:noFill/>
                          <a:ln w="9525">
                            <a:noFill/>
                          </a:ln>
                        </pic:spPr>
                      </pic:pic>
                    </a:graphicData>
                  </a:graphic>
                </wp:anchor>
              </w:drawing>
            </w:r>
          </w:p>
        </w:tc>
      </w:tr>
      <w:tr w14:paraId="3A267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09" w:type="dxa"/>
            <w:shd w:val="clear" w:color="auto" w:fill="auto"/>
            <w:noWrap/>
            <w:vAlign w:val="center"/>
          </w:tcPr>
          <w:p w14:paraId="52287E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073" w:type="dxa"/>
            <w:vMerge w:val="continue"/>
            <w:shd w:val="clear" w:color="auto" w:fill="auto"/>
            <w:vAlign w:val="center"/>
          </w:tcPr>
          <w:p w14:paraId="5196898E">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3B0550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真丝布高清UV</w:t>
            </w:r>
          </w:p>
        </w:tc>
        <w:tc>
          <w:tcPr>
            <w:tcW w:w="2050" w:type="dxa"/>
            <w:shd w:val="clear" w:color="auto" w:fill="FFFFFF"/>
            <w:vAlign w:val="center"/>
          </w:tcPr>
          <w:p w14:paraId="6113A7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2.6*2.95m</w:t>
            </w:r>
          </w:p>
        </w:tc>
        <w:tc>
          <w:tcPr>
            <w:tcW w:w="512" w:type="dxa"/>
            <w:shd w:val="clear" w:color="auto" w:fill="FFFFFF"/>
            <w:vAlign w:val="center"/>
          </w:tcPr>
          <w:p w14:paraId="365355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vAlign w:val="center"/>
          </w:tcPr>
          <w:p w14:paraId="04B995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7.67</w:t>
            </w:r>
          </w:p>
        </w:tc>
        <w:tc>
          <w:tcPr>
            <w:tcW w:w="4428" w:type="dxa"/>
            <w:vMerge w:val="continue"/>
            <w:shd w:val="clear" w:color="auto" w:fill="FFFFFF"/>
            <w:vAlign w:val="center"/>
          </w:tcPr>
          <w:p w14:paraId="08E6372C">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7DAF7C37">
            <w:pPr>
              <w:jc w:val="center"/>
              <w:rPr>
                <w:rFonts w:hint="eastAsia" w:ascii="宋体" w:hAnsi="宋体" w:eastAsia="宋体" w:cs="宋体"/>
                <w:b/>
                <w:bCs/>
                <w:i w:val="0"/>
                <w:iCs w:val="0"/>
                <w:color w:val="000000"/>
                <w:sz w:val="18"/>
                <w:szCs w:val="18"/>
                <w:u w:val="none"/>
              </w:rPr>
            </w:pPr>
          </w:p>
        </w:tc>
      </w:tr>
      <w:tr w14:paraId="14B6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09" w:type="dxa"/>
            <w:shd w:val="clear" w:color="auto" w:fill="auto"/>
            <w:noWrap/>
            <w:vAlign w:val="center"/>
          </w:tcPr>
          <w:p w14:paraId="3A72B2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073" w:type="dxa"/>
            <w:vMerge w:val="continue"/>
            <w:shd w:val="clear" w:color="auto" w:fill="auto"/>
            <w:vAlign w:val="center"/>
          </w:tcPr>
          <w:p w14:paraId="664BBDD2">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72F7F11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10MM高密安迪板</w:t>
            </w:r>
          </w:p>
          <w:p w14:paraId="4CAD04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立体字</w:t>
            </w:r>
          </w:p>
        </w:tc>
        <w:tc>
          <w:tcPr>
            <w:tcW w:w="2050" w:type="dxa"/>
            <w:shd w:val="clear" w:color="auto" w:fill="FFFFFF"/>
            <w:vAlign w:val="center"/>
          </w:tcPr>
          <w:p w14:paraId="21F7B0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高：20cm</w:t>
            </w:r>
          </w:p>
        </w:tc>
        <w:tc>
          <w:tcPr>
            <w:tcW w:w="512" w:type="dxa"/>
            <w:shd w:val="clear" w:color="auto" w:fill="FFFFFF"/>
            <w:vAlign w:val="center"/>
          </w:tcPr>
          <w:p w14:paraId="7B838A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vAlign w:val="center"/>
          </w:tcPr>
          <w:p w14:paraId="2B39BF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28" w:type="dxa"/>
            <w:vMerge w:val="continue"/>
            <w:shd w:val="clear" w:color="auto" w:fill="FFFFFF"/>
            <w:vAlign w:val="center"/>
          </w:tcPr>
          <w:p w14:paraId="35CD6D79">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2CD888BD">
            <w:pPr>
              <w:jc w:val="center"/>
              <w:rPr>
                <w:rFonts w:hint="eastAsia" w:ascii="宋体" w:hAnsi="宋体" w:eastAsia="宋体" w:cs="宋体"/>
                <w:b/>
                <w:bCs/>
                <w:i w:val="0"/>
                <w:iCs w:val="0"/>
                <w:color w:val="000000"/>
                <w:sz w:val="18"/>
                <w:szCs w:val="18"/>
                <w:u w:val="none"/>
              </w:rPr>
            </w:pPr>
          </w:p>
        </w:tc>
      </w:tr>
      <w:tr w14:paraId="1A78A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09" w:type="dxa"/>
            <w:shd w:val="clear" w:color="auto" w:fill="auto"/>
            <w:noWrap/>
            <w:vAlign w:val="center"/>
          </w:tcPr>
          <w:p w14:paraId="542055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073" w:type="dxa"/>
            <w:vMerge w:val="continue"/>
            <w:shd w:val="clear" w:color="auto" w:fill="auto"/>
            <w:vAlign w:val="center"/>
          </w:tcPr>
          <w:p w14:paraId="763BD705">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13AE08E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5MM高密安迪板</w:t>
            </w:r>
          </w:p>
          <w:p w14:paraId="282F03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立体字</w:t>
            </w:r>
          </w:p>
        </w:tc>
        <w:tc>
          <w:tcPr>
            <w:tcW w:w="2050" w:type="dxa"/>
            <w:shd w:val="clear" w:color="auto" w:fill="FFFFFF"/>
            <w:vAlign w:val="center"/>
          </w:tcPr>
          <w:p w14:paraId="18300B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高：5cm</w:t>
            </w:r>
          </w:p>
        </w:tc>
        <w:tc>
          <w:tcPr>
            <w:tcW w:w="512" w:type="dxa"/>
            <w:shd w:val="clear" w:color="auto" w:fill="FFFFFF"/>
            <w:vAlign w:val="center"/>
          </w:tcPr>
          <w:p w14:paraId="3511C7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vAlign w:val="center"/>
          </w:tcPr>
          <w:p w14:paraId="6B05AB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4428" w:type="dxa"/>
            <w:vMerge w:val="continue"/>
            <w:shd w:val="clear" w:color="auto" w:fill="FFFFFF"/>
            <w:vAlign w:val="center"/>
          </w:tcPr>
          <w:p w14:paraId="6EB618B4">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3D90D271">
            <w:pPr>
              <w:jc w:val="center"/>
              <w:rPr>
                <w:rFonts w:hint="eastAsia" w:ascii="宋体" w:hAnsi="宋体" w:eastAsia="宋体" w:cs="宋体"/>
                <w:b/>
                <w:bCs/>
                <w:i w:val="0"/>
                <w:iCs w:val="0"/>
                <w:color w:val="000000"/>
                <w:sz w:val="18"/>
                <w:szCs w:val="18"/>
                <w:u w:val="none"/>
              </w:rPr>
            </w:pPr>
          </w:p>
        </w:tc>
      </w:tr>
      <w:tr w14:paraId="19AC8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20" w:hRule="atLeast"/>
        </w:trPr>
        <w:tc>
          <w:tcPr>
            <w:tcW w:w="609" w:type="dxa"/>
            <w:shd w:val="clear" w:color="auto" w:fill="auto"/>
            <w:noWrap/>
            <w:vAlign w:val="center"/>
          </w:tcPr>
          <w:p w14:paraId="3BAF81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073" w:type="dxa"/>
            <w:vMerge w:val="restart"/>
            <w:shd w:val="clear" w:color="auto" w:fill="auto"/>
            <w:vAlign w:val="center"/>
          </w:tcPr>
          <w:p w14:paraId="049CDE7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警示之塔：立廉溯源党风廉政</w:t>
            </w:r>
          </w:p>
          <w:p w14:paraId="1E3736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版块</w:t>
            </w:r>
          </w:p>
        </w:tc>
        <w:tc>
          <w:tcPr>
            <w:tcW w:w="2143" w:type="dxa"/>
            <w:shd w:val="clear" w:color="auto" w:fill="FFFFFF"/>
            <w:vAlign w:val="center"/>
          </w:tcPr>
          <w:p w14:paraId="5FB943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“善”、“廉”隔断定制</w:t>
            </w:r>
          </w:p>
        </w:tc>
        <w:tc>
          <w:tcPr>
            <w:tcW w:w="2050" w:type="dxa"/>
            <w:shd w:val="clear" w:color="auto" w:fill="FFFFFF"/>
            <w:vAlign w:val="center"/>
          </w:tcPr>
          <w:p w14:paraId="7422D2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1.5*3.4M*2套</w:t>
            </w:r>
          </w:p>
        </w:tc>
        <w:tc>
          <w:tcPr>
            <w:tcW w:w="512" w:type="dxa"/>
            <w:shd w:val="clear" w:color="auto" w:fill="FFFFFF"/>
            <w:vAlign w:val="center"/>
          </w:tcPr>
          <w:p w14:paraId="15454D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FFFFFF"/>
            <w:noWrap/>
            <w:vAlign w:val="center"/>
          </w:tcPr>
          <w:p w14:paraId="5DB6DA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w:t>
            </w:r>
          </w:p>
        </w:tc>
        <w:tc>
          <w:tcPr>
            <w:tcW w:w="4428" w:type="dxa"/>
            <w:shd w:val="clear" w:color="auto" w:fill="auto"/>
            <w:vAlign w:val="center"/>
          </w:tcPr>
          <w:p w14:paraId="59D9AD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1.双面高强度防爆PVB夹层钢化玻璃（高压加热）+画面定制；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2.上下端抗氧化不锈钢金属卡槽；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3.高耐装饰灯带（包含电源）。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shd w:val="clear" w:color="auto" w:fill="auto"/>
            <w:noWrap/>
            <w:vAlign w:val="center"/>
          </w:tcPr>
          <w:p w14:paraId="6458B7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73600" behindDoc="1" locked="0" layoutInCell="1" allowOverlap="1">
                  <wp:simplePos x="0" y="0"/>
                  <wp:positionH relativeFrom="column">
                    <wp:posOffset>201295</wp:posOffset>
                  </wp:positionH>
                  <wp:positionV relativeFrom="paragraph">
                    <wp:posOffset>-21590</wp:posOffset>
                  </wp:positionV>
                  <wp:extent cx="407035" cy="809625"/>
                  <wp:effectExtent l="0" t="0" r="4445" b="13335"/>
                  <wp:wrapTight wrapText="bothSides">
                    <wp:wrapPolygon>
                      <wp:start x="0" y="0"/>
                      <wp:lineTo x="0" y="21143"/>
                      <wp:lineTo x="21027" y="21143"/>
                      <wp:lineTo x="21027" y="0"/>
                      <wp:lineTo x="0" y="0"/>
                    </wp:wrapPolygon>
                  </wp:wrapTight>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9"/>
                          <a:stretch>
                            <a:fillRect/>
                          </a:stretch>
                        </pic:blipFill>
                        <pic:spPr>
                          <a:xfrm>
                            <a:off x="0" y="0"/>
                            <a:ext cx="407035" cy="809625"/>
                          </a:xfrm>
                          <a:prstGeom prst="rect">
                            <a:avLst/>
                          </a:prstGeom>
                          <a:noFill/>
                          <a:ln w="9525">
                            <a:noFill/>
                          </a:ln>
                        </pic:spPr>
                      </pic:pic>
                    </a:graphicData>
                  </a:graphic>
                </wp:anchor>
              </w:drawing>
            </w:r>
          </w:p>
        </w:tc>
      </w:tr>
      <w:tr w14:paraId="3F83A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09" w:type="dxa"/>
            <w:shd w:val="clear" w:color="auto" w:fill="auto"/>
            <w:noWrap/>
            <w:vAlign w:val="center"/>
          </w:tcPr>
          <w:p w14:paraId="7015B9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073" w:type="dxa"/>
            <w:vMerge w:val="continue"/>
            <w:shd w:val="clear" w:color="auto" w:fill="auto"/>
            <w:vAlign w:val="center"/>
          </w:tcPr>
          <w:p w14:paraId="0E3AC908">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6F3BC2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画框隔板</w:t>
            </w:r>
          </w:p>
        </w:tc>
        <w:tc>
          <w:tcPr>
            <w:tcW w:w="2050" w:type="dxa"/>
            <w:shd w:val="clear" w:color="auto" w:fill="FFFFFF"/>
            <w:vAlign w:val="center"/>
          </w:tcPr>
          <w:p w14:paraId="2A3BB1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1.8M*3块</w:t>
            </w:r>
          </w:p>
        </w:tc>
        <w:tc>
          <w:tcPr>
            <w:tcW w:w="512" w:type="dxa"/>
            <w:shd w:val="clear" w:color="auto" w:fill="FFFFFF"/>
            <w:vAlign w:val="center"/>
          </w:tcPr>
          <w:p w14:paraId="68E222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44" w:type="dxa"/>
            <w:shd w:val="clear" w:color="auto" w:fill="FFFFFF"/>
            <w:noWrap/>
            <w:vAlign w:val="center"/>
          </w:tcPr>
          <w:p w14:paraId="1316AD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4428" w:type="dxa"/>
            <w:vMerge w:val="restart"/>
            <w:shd w:val="clear" w:color="auto" w:fill="auto"/>
            <w:vAlign w:val="center"/>
          </w:tcPr>
          <w:p w14:paraId="01DEE6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1.紫外线固化真丝布高清UV直印+专用基胶安装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2.背景墙立体画展示隔板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3.10MM高密安迪板立体激光雕刻字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4.非标画框定制及画面制作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5.上下金属磨砂边框，一体折边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62453D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60288" behindDoc="1" locked="0" layoutInCell="1" allowOverlap="1">
                  <wp:simplePos x="0" y="0"/>
                  <wp:positionH relativeFrom="column">
                    <wp:posOffset>71120</wp:posOffset>
                  </wp:positionH>
                  <wp:positionV relativeFrom="paragraph">
                    <wp:posOffset>458470</wp:posOffset>
                  </wp:positionV>
                  <wp:extent cx="1772285" cy="554990"/>
                  <wp:effectExtent l="0" t="0" r="10795" b="8890"/>
                  <wp:wrapTight wrapText="bothSides">
                    <wp:wrapPolygon>
                      <wp:start x="0" y="0"/>
                      <wp:lineTo x="0" y="20760"/>
                      <wp:lineTo x="21360" y="20760"/>
                      <wp:lineTo x="21360" y="0"/>
                      <wp:lineTo x="0" y="0"/>
                    </wp:wrapPolygon>
                  </wp:wrapTight>
                  <wp:docPr id="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20"/>
                          <a:stretch>
                            <a:fillRect/>
                          </a:stretch>
                        </pic:blipFill>
                        <pic:spPr>
                          <a:xfrm>
                            <a:off x="0" y="0"/>
                            <a:ext cx="1772285" cy="554990"/>
                          </a:xfrm>
                          <a:prstGeom prst="rect">
                            <a:avLst/>
                          </a:prstGeom>
                          <a:noFill/>
                          <a:ln w="9525">
                            <a:noFill/>
                          </a:ln>
                        </pic:spPr>
                      </pic:pic>
                    </a:graphicData>
                  </a:graphic>
                </wp:anchor>
              </w:drawing>
            </w:r>
          </w:p>
        </w:tc>
      </w:tr>
      <w:tr w14:paraId="63C29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9" w:type="dxa"/>
            <w:shd w:val="clear" w:color="auto" w:fill="auto"/>
            <w:noWrap/>
            <w:vAlign w:val="center"/>
          </w:tcPr>
          <w:p w14:paraId="13BC52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073" w:type="dxa"/>
            <w:vMerge w:val="continue"/>
            <w:shd w:val="clear" w:color="auto" w:fill="auto"/>
            <w:vAlign w:val="center"/>
          </w:tcPr>
          <w:p w14:paraId="61E2C79A">
            <w:pPr>
              <w:jc w:val="center"/>
              <w:rPr>
                <w:rFonts w:hint="eastAsia" w:ascii="宋体" w:hAnsi="宋体" w:eastAsia="宋体" w:cs="宋体"/>
                <w:i w:val="0"/>
                <w:iCs w:val="0"/>
                <w:color w:val="000000"/>
                <w:sz w:val="18"/>
                <w:szCs w:val="18"/>
                <w:u w:val="none"/>
              </w:rPr>
            </w:pPr>
          </w:p>
        </w:tc>
        <w:tc>
          <w:tcPr>
            <w:tcW w:w="2143" w:type="dxa"/>
            <w:shd w:val="clear" w:color="auto" w:fill="FFFFFF"/>
            <w:vAlign w:val="center"/>
          </w:tcPr>
          <w:p w14:paraId="03BF58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真丝布高清UV直印</w:t>
            </w:r>
          </w:p>
        </w:tc>
        <w:tc>
          <w:tcPr>
            <w:tcW w:w="2050" w:type="dxa"/>
            <w:shd w:val="clear" w:color="auto" w:fill="FFFFFF"/>
            <w:vAlign w:val="center"/>
          </w:tcPr>
          <w:p w14:paraId="0BF441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11.4*2.95M</w:t>
            </w:r>
          </w:p>
        </w:tc>
        <w:tc>
          <w:tcPr>
            <w:tcW w:w="512" w:type="dxa"/>
            <w:shd w:val="clear" w:color="auto" w:fill="FFFFFF"/>
            <w:vAlign w:val="center"/>
          </w:tcPr>
          <w:p w14:paraId="2E34CD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FFFFFF"/>
            <w:noWrap/>
            <w:vAlign w:val="center"/>
          </w:tcPr>
          <w:p w14:paraId="38F9EA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33.63</w:t>
            </w:r>
          </w:p>
        </w:tc>
        <w:tc>
          <w:tcPr>
            <w:tcW w:w="4428" w:type="dxa"/>
            <w:vMerge w:val="continue"/>
            <w:shd w:val="clear" w:color="auto" w:fill="auto"/>
            <w:vAlign w:val="center"/>
          </w:tcPr>
          <w:p w14:paraId="0CE14F40">
            <w:pPr>
              <w:jc w:val="left"/>
              <w:rPr>
                <w:rFonts w:hint="eastAsia" w:ascii="宋体" w:hAnsi="宋体" w:eastAsia="宋体" w:cs="宋体"/>
                <w:i w:val="0"/>
                <w:iCs w:val="0"/>
                <w:color w:val="000000"/>
                <w:sz w:val="18"/>
                <w:szCs w:val="18"/>
                <w:u w:val="none"/>
              </w:rPr>
            </w:pPr>
          </w:p>
        </w:tc>
        <w:tc>
          <w:tcPr>
            <w:tcW w:w="2966" w:type="dxa"/>
            <w:vMerge w:val="continue"/>
            <w:shd w:val="clear" w:color="auto" w:fill="auto"/>
            <w:noWrap/>
            <w:vAlign w:val="center"/>
          </w:tcPr>
          <w:p w14:paraId="5CBE8D06">
            <w:pPr>
              <w:jc w:val="center"/>
              <w:rPr>
                <w:rFonts w:hint="eastAsia" w:ascii="宋体" w:hAnsi="宋体" w:eastAsia="宋体" w:cs="宋体"/>
                <w:i w:val="0"/>
                <w:iCs w:val="0"/>
                <w:color w:val="000000"/>
                <w:sz w:val="18"/>
                <w:szCs w:val="18"/>
                <w:u w:val="none"/>
              </w:rPr>
            </w:pPr>
          </w:p>
        </w:tc>
      </w:tr>
      <w:tr w14:paraId="2F92A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9" w:type="dxa"/>
            <w:shd w:val="clear" w:color="auto" w:fill="auto"/>
            <w:noWrap/>
            <w:vAlign w:val="center"/>
          </w:tcPr>
          <w:p w14:paraId="293F57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73" w:type="dxa"/>
            <w:vMerge w:val="continue"/>
            <w:shd w:val="clear" w:color="auto" w:fill="auto"/>
            <w:vAlign w:val="center"/>
          </w:tcPr>
          <w:p w14:paraId="3840B76E">
            <w:pPr>
              <w:jc w:val="center"/>
              <w:rPr>
                <w:rFonts w:hint="eastAsia" w:ascii="宋体" w:hAnsi="宋体" w:eastAsia="宋体" w:cs="宋体"/>
                <w:i w:val="0"/>
                <w:iCs w:val="0"/>
                <w:color w:val="000000"/>
                <w:sz w:val="18"/>
                <w:szCs w:val="18"/>
                <w:u w:val="none"/>
              </w:rPr>
            </w:pPr>
          </w:p>
        </w:tc>
        <w:tc>
          <w:tcPr>
            <w:tcW w:w="2143" w:type="dxa"/>
            <w:shd w:val="clear" w:color="auto" w:fill="FFFFFF"/>
            <w:vAlign w:val="center"/>
          </w:tcPr>
          <w:p w14:paraId="2DA572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金属磨砂边框</w:t>
            </w:r>
          </w:p>
        </w:tc>
        <w:tc>
          <w:tcPr>
            <w:tcW w:w="2050" w:type="dxa"/>
            <w:shd w:val="clear" w:color="auto" w:fill="FFFFFF"/>
            <w:vAlign w:val="center"/>
          </w:tcPr>
          <w:p w14:paraId="4E46DC9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11.4M*2条</w:t>
            </w:r>
          </w:p>
          <w:p w14:paraId="4111AC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2.95M*2条</w:t>
            </w:r>
          </w:p>
        </w:tc>
        <w:tc>
          <w:tcPr>
            <w:tcW w:w="512" w:type="dxa"/>
            <w:shd w:val="clear" w:color="auto" w:fill="FFFFFF"/>
            <w:vAlign w:val="center"/>
          </w:tcPr>
          <w:p w14:paraId="5CFAD0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44" w:type="dxa"/>
            <w:shd w:val="clear" w:color="auto" w:fill="FFFFFF"/>
            <w:noWrap/>
            <w:vAlign w:val="center"/>
          </w:tcPr>
          <w:p w14:paraId="1BB6CF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28.7</w:t>
            </w:r>
          </w:p>
        </w:tc>
        <w:tc>
          <w:tcPr>
            <w:tcW w:w="4428" w:type="dxa"/>
            <w:vMerge w:val="continue"/>
            <w:shd w:val="clear" w:color="auto" w:fill="auto"/>
            <w:vAlign w:val="center"/>
          </w:tcPr>
          <w:p w14:paraId="618D68A3">
            <w:pPr>
              <w:jc w:val="left"/>
              <w:rPr>
                <w:rFonts w:hint="eastAsia" w:ascii="宋体" w:hAnsi="宋体" w:eastAsia="宋体" w:cs="宋体"/>
                <w:i w:val="0"/>
                <w:iCs w:val="0"/>
                <w:color w:val="000000"/>
                <w:sz w:val="18"/>
                <w:szCs w:val="18"/>
                <w:u w:val="none"/>
              </w:rPr>
            </w:pPr>
          </w:p>
        </w:tc>
        <w:tc>
          <w:tcPr>
            <w:tcW w:w="2966" w:type="dxa"/>
            <w:vMerge w:val="continue"/>
            <w:shd w:val="clear" w:color="auto" w:fill="auto"/>
            <w:noWrap/>
            <w:vAlign w:val="center"/>
          </w:tcPr>
          <w:p w14:paraId="731F25BF">
            <w:pPr>
              <w:jc w:val="center"/>
              <w:rPr>
                <w:rFonts w:hint="eastAsia" w:ascii="宋体" w:hAnsi="宋体" w:eastAsia="宋体" w:cs="宋体"/>
                <w:i w:val="0"/>
                <w:iCs w:val="0"/>
                <w:color w:val="000000"/>
                <w:sz w:val="18"/>
                <w:szCs w:val="18"/>
                <w:u w:val="none"/>
              </w:rPr>
            </w:pPr>
          </w:p>
        </w:tc>
      </w:tr>
      <w:tr w14:paraId="6489B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609" w:type="dxa"/>
            <w:shd w:val="clear" w:color="auto" w:fill="auto"/>
            <w:noWrap/>
            <w:vAlign w:val="center"/>
          </w:tcPr>
          <w:p w14:paraId="577C1A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073" w:type="dxa"/>
            <w:vMerge w:val="continue"/>
            <w:shd w:val="clear" w:color="auto" w:fill="auto"/>
            <w:vAlign w:val="center"/>
          </w:tcPr>
          <w:p w14:paraId="16659769">
            <w:pPr>
              <w:jc w:val="center"/>
              <w:rPr>
                <w:rFonts w:hint="eastAsia" w:ascii="宋体" w:hAnsi="宋体" w:eastAsia="宋体" w:cs="宋体"/>
                <w:i w:val="0"/>
                <w:iCs w:val="0"/>
                <w:color w:val="000000"/>
                <w:sz w:val="18"/>
                <w:szCs w:val="18"/>
                <w:u w:val="none"/>
              </w:rPr>
            </w:pPr>
          </w:p>
        </w:tc>
        <w:tc>
          <w:tcPr>
            <w:tcW w:w="2143" w:type="dxa"/>
            <w:shd w:val="clear" w:color="auto" w:fill="FFFFFF"/>
            <w:vAlign w:val="center"/>
          </w:tcPr>
          <w:p w14:paraId="3EBF21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画框定制</w:t>
            </w:r>
          </w:p>
        </w:tc>
        <w:tc>
          <w:tcPr>
            <w:tcW w:w="2050" w:type="dxa"/>
            <w:shd w:val="clear" w:color="auto" w:fill="FFFFFF"/>
            <w:vAlign w:val="center"/>
          </w:tcPr>
          <w:p w14:paraId="5913AAD2">
            <w:pPr>
              <w:jc w:val="center"/>
              <w:rPr>
                <w:rFonts w:hint="eastAsia" w:ascii="宋体" w:hAnsi="宋体" w:eastAsia="宋体" w:cs="宋体"/>
                <w:i w:val="0"/>
                <w:iCs w:val="0"/>
                <w:color w:val="000000"/>
                <w:sz w:val="20"/>
                <w:szCs w:val="20"/>
                <w:u w:val="none"/>
              </w:rPr>
            </w:pPr>
          </w:p>
        </w:tc>
        <w:tc>
          <w:tcPr>
            <w:tcW w:w="512" w:type="dxa"/>
            <w:shd w:val="clear" w:color="auto" w:fill="FFFFFF"/>
            <w:vAlign w:val="center"/>
          </w:tcPr>
          <w:p w14:paraId="5B4A3B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2905E2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4428" w:type="dxa"/>
            <w:vMerge w:val="continue"/>
            <w:shd w:val="clear" w:color="auto" w:fill="auto"/>
            <w:vAlign w:val="center"/>
          </w:tcPr>
          <w:p w14:paraId="7E4A6DC5">
            <w:pPr>
              <w:jc w:val="left"/>
              <w:rPr>
                <w:rFonts w:hint="eastAsia" w:ascii="宋体" w:hAnsi="宋体" w:eastAsia="宋体" w:cs="宋体"/>
                <w:i w:val="0"/>
                <w:iCs w:val="0"/>
                <w:color w:val="000000"/>
                <w:sz w:val="18"/>
                <w:szCs w:val="18"/>
                <w:u w:val="none"/>
              </w:rPr>
            </w:pPr>
          </w:p>
        </w:tc>
        <w:tc>
          <w:tcPr>
            <w:tcW w:w="2966" w:type="dxa"/>
            <w:vMerge w:val="continue"/>
            <w:shd w:val="clear" w:color="auto" w:fill="auto"/>
            <w:noWrap/>
            <w:vAlign w:val="center"/>
          </w:tcPr>
          <w:p w14:paraId="6516B91E">
            <w:pPr>
              <w:jc w:val="center"/>
              <w:rPr>
                <w:rFonts w:hint="eastAsia" w:ascii="宋体" w:hAnsi="宋体" w:eastAsia="宋体" w:cs="宋体"/>
                <w:i w:val="0"/>
                <w:iCs w:val="0"/>
                <w:color w:val="000000"/>
                <w:sz w:val="18"/>
                <w:szCs w:val="18"/>
                <w:u w:val="none"/>
              </w:rPr>
            </w:pPr>
          </w:p>
        </w:tc>
      </w:tr>
      <w:tr w14:paraId="6CB10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609" w:type="dxa"/>
            <w:shd w:val="clear" w:color="auto" w:fill="auto"/>
            <w:noWrap/>
            <w:vAlign w:val="center"/>
          </w:tcPr>
          <w:p w14:paraId="758322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073" w:type="dxa"/>
            <w:vMerge w:val="continue"/>
            <w:shd w:val="clear" w:color="auto" w:fill="auto"/>
            <w:vAlign w:val="center"/>
          </w:tcPr>
          <w:p w14:paraId="2F30C632">
            <w:pPr>
              <w:jc w:val="center"/>
              <w:rPr>
                <w:rFonts w:hint="eastAsia" w:ascii="宋体" w:hAnsi="宋体" w:eastAsia="宋体" w:cs="宋体"/>
                <w:i w:val="0"/>
                <w:iCs w:val="0"/>
                <w:color w:val="000000"/>
                <w:sz w:val="18"/>
                <w:szCs w:val="18"/>
                <w:u w:val="none"/>
              </w:rPr>
            </w:pPr>
          </w:p>
        </w:tc>
        <w:tc>
          <w:tcPr>
            <w:tcW w:w="2143" w:type="dxa"/>
            <w:shd w:val="clear" w:color="auto" w:fill="auto"/>
            <w:vAlign w:val="center"/>
          </w:tcPr>
          <w:p w14:paraId="2DD9F32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10MM高密安迪板</w:t>
            </w:r>
          </w:p>
          <w:p w14:paraId="56BF3B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立体字</w:t>
            </w:r>
          </w:p>
        </w:tc>
        <w:tc>
          <w:tcPr>
            <w:tcW w:w="2050" w:type="dxa"/>
            <w:shd w:val="clear" w:color="auto" w:fill="FFFFFF"/>
            <w:vAlign w:val="center"/>
          </w:tcPr>
          <w:p w14:paraId="48760C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16cm</w:t>
            </w:r>
          </w:p>
        </w:tc>
        <w:tc>
          <w:tcPr>
            <w:tcW w:w="512" w:type="dxa"/>
            <w:shd w:val="clear" w:color="auto" w:fill="FFFFFF"/>
            <w:vAlign w:val="center"/>
          </w:tcPr>
          <w:p w14:paraId="221F53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3DC1C9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428" w:type="dxa"/>
            <w:vMerge w:val="continue"/>
            <w:shd w:val="clear" w:color="auto" w:fill="auto"/>
            <w:vAlign w:val="center"/>
          </w:tcPr>
          <w:p w14:paraId="40C9DF7D">
            <w:pPr>
              <w:jc w:val="left"/>
              <w:rPr>
                <w:rFonts w:hint="eastAsia" w:ascii="宋体" w:hAnsi="宋体" w:eastAsia="宋体" w:cs="宋体"/>
                <w:i w:val="0"/>
                <w:iCs w:val="0"/>
                <w:color w:val="000000"/>
                <w:sz w:val="18"/>
                <w:szCs w:val="18"/>
                <w:u w:val="none"/>
              </w:rPr>
            </w:pPr>
          </w:p>
        </w:tc>
        <w:tc>
          <w:tcPr>
            <w:tcW w:w="2966" w:type="dxa"/>
            <w:vMerge w:val="continue"/>
            <w:shd w:val="clear" w:color="auto" w:fill="auto"/>
            <w:noWrap/>
            <w:vAlign w:val="center"/>
          </w:tcPr>
          <w:p w14:paraId="14919712">
            <w:pPr>
              <w:jc w:val="center"/>
              <w:rPr>
                <w:rFonts w:hint="eastAsia" w:ascii="宋体" w:hAnsi="宋体" w:eastAsia="宋体" w:cs="宋体"/>
                <w:i w:val="0"/>
                <w:iCs w:val="0"/>
                <w:color w:val="000000"/>
                <w:sz w:val="18"/>
                <w:szCs w:val="18"/>
                <w:u w:val="none"/>
              </w:rPr>
            </w:pPr>
          </w:p>
        </w:tc>
      </w:tr>
      <w:tr w14:paraId="662D5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8" w:hRule="atLeast"/>
        </w:trPr>
        <w:tc>
          <w:tcPr>
            <w:tcW w:w="609" w:type="dxa"/>
            <w:shd w:val="clear" w:color="auto" w:fill="auto"/>
            <w:noWrap/>
            <w:vAlign w:val="center"/>
          </w:tcPr>
          <w:p w14:paraId="442FA0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073" w:type="dxa"/>
            <w:vMerge w:val="continue"/>
            <w:shd w:val="clear" w:color="auto" w:fill="auto"/>
            <w:vAlign w:val="center"/>
          </w:tcPr>
          <w:p w14:paraId="7CDBD0D2">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57FD72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书脊造型定制</w:t>
            </w:r>
          </w:p>
        </w:tc>
        <w:tc>
          <w:tcPr>
            <w:tcW w:w="2050" w:type="dxa"/>
            <w:shd w:val="clear" w:color="auto" w:fill="FFFFFF"/>
            <w:vAlign w:val="center"/>
          </w:tcPr>
          <w:p w14:paraId="30A58C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2.6*2.95M</w:t>
            </w:r>
          </w:p>
        </w:tc>
        <w:tc>
          <w:tcPr>
            <w:tcW w:w="512" w:type="dxa"/>
            <w:shd w:val="clear" w:color="auto" w:fill="FFFFFF"/>
            <w:vAlign w:val="center"/>
          </w:tcPr>
          <w:p w14:paraId="5E63E6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FFFFFF"/>
            <w:noWrap/>
            <w:vAlign w:val="center"/>
          </w:tcPr>
          <w:p w14:paraId="0001FA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7.67</w:t>
            </w:r>
          </w:p>
        </w:tc>
        <w:tc>
          <w:tcPr>
            <w:tcW w:w="4428" w:type="dxa"/>
            <w:shd w:val="clear" w:color="auto" w:fill="auto"/>
            <w:vAlign w:val="center"/>
          </w:tcPr>
          <w:p w14:paraId="6791A7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1.整体1.2mm201耐腐蚀不锈钢整体圆弧焊接造型，表面电镀防腐处理，精工打磨，内置钢架结构支撑架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2.造型表面分色多层烤漆高温固化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3.书籍名称文字采用耐候亚克力激光雕刻立体字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shd w:val="clear" w:color="auto" w:fill="auto"/>
            <w:noWrap/>
            <w:vAlign w:val="center"/>
          </w:tcPr>
          <w:p w14:paraId="17FE7B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74624" behindDoc="1" locked="0" layoutInCell="1" allowOverlap="1">
                  <wp:simplePos x="0" y="0"/>
                  <wp:positionH relativeFrom="column">
                    <wp:posOffset>127000</wp:posOffset>
                  </wp:positionH>
                  <wp:positionV relativeFrom="paragraph">
                    <wp:posOffset>13970</wp:posOffset>
                  </wp:positionV>
                  <wp:extent cx="986790" cy="975995"/>
                  <wp:effectExtent l="0" t="0" r="3810" b="14605"/>
                  <wp:wrapTight wrapText="bothSides">
                    <wp:wrapPolygon>
                      <wp:start x="0" y="0"/>
                      <wp:lineTo x="0" y="21249"/>
                      <wp:lineTo x="21350" y="21249"/>
                      <wp:lineTo x="21350" y="0"/>
                      <wp:lineTo x="0" y="0"/>
                    </wp:wrapPolygon>
                  </wp:wrapTight>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1"/>
                          <a:stretch>
                            <a:fillRect/>
                          </a:stretch>
                        </pic:blipFill>
                        <pic:spPr>
                          <a:xfrm>
                            <a:off x="0" y="0"/>
                            <a:ext cx="986790" cy="975995"/>
                          </a:xfrm>
                          <a:prstGeom prst="rect">
                            <a:avLst/>
                          </a:prstGeom>
                          <a:noFill/>
                          <a:ln w="9525">
                            <a:noFill/>
                          </a:ln>
                        </pic:spPr>
                      </pic:pic>
                    </a:graphicData>
                  </a:graphic>
                </wp:anchor>
              </w:drawing>
            </w:r>
          </w:p>
        </w:tc>
      </w:tr>
      <w:tr w14:paraId="5C5A6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0" w:hRule="atLeast"/>
        </w:trPr>
        <w:tc>
          <w:tcPr>
            <w:tcW w:w="609" w:type="dxa"/>
            <w:shd w:val="clear" w:color="auto" w:fill="auto"/>
            <w:noWrap/>
            <w:vAlign w:val="center"/>
          </w:tcPr>
          <w:p w14:paraId="4EC0BC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073" w:type="dxa"/>
            <w:vMerge w:val="continue"/>
            <w:shd w:val="clear" w:color="auto" w:fill="auto"/>
            <w:vAlign w:val="center"/>
          </w:tcPr>
          <w:p w14:paraId="70DED5D3">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45804E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立体画面凹凸造型</w:t>
            </w:r>
          </w:p>
        </w:tc>
        <w:tc>
          <w:tcPr>
            <w:tcW w:w="2050" w:type="dxa"/>
            <w:shd w:val="clear" w:color="auto" w:fill="FFFFFF"/>
            <w:vAlign w:val="center"/>
          </w:tcPr>
          <w:p w14:paraId="1E9BC1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12.3*2.95M</w:t>
            </w:r>
          </w:p>
        </w:tc>
        <w:tc>
          <w:tcPr>
            <w:tcW w:w="512" w:type="dxa"/>
            <w:shd w:val="clear" w:color="auto" w:fill="FFFFFF"/>
            <w:vAlign w:val="center"/>
          </w:tcPr>
          <w:p w14:paraId="106B62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FFFFFF"/>
            <w:noWrap/>
            <w:vAlign w:val="center"/>
          </w:tcPr>
          <w:p w14:paraId="6ECCFC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36.29</w:t>
            </w:r>
          </w:p>
        </w:tc>
        <w:tc>
          <w:tcPr>
            <w:tcW w:w="4428" w:type="dxa"/>
            <w:vMerge w:val="restart"/>
            <w:shd w:val="clear" w:color="auto" w:fill="auto"/>
            <w:vAlign w:val="center"/>
          </w:tcPr>
          <w:p w14:paraId="636ACF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1.清廉是福：细木工板+石膏板凹凸造型基底+精细打磨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2.LED恒压灯带</w:t>
            </w:r>
            <w:r>
              <w:rPr>
                <w:rFonts w:hint="eastAsia" w:ascii="宋体" w:hAnsi="宋体" w:cs="宋体"/>
                <w:i w:val="0"/>
                <w:iCs w:val="0"/>
                <w:color w:val="000000"/>
                <w:kern w:val="0"/>
                <w:sz w:val="20"/>
                <w:szCs w:val="20"/>
                <w:u w:val="none"/>
                <w:lang w:val="en-US" w:eastAsia="zh-CN" w:bidi="ar"/>
              </w:rPr>
              <w:t>6条</w:t>
            </w:r>
            <w:r>
              <w:rPr>
                <w:rFonts w:hint="eastAsia" w:ascii="宋体" w:hAnsi="宋体" w:eastAsia="宋体" w:cs="宋体"/>
                <w:i w:val="0"/>
                <w:iCs w:val="0"/>
                <w:color w:val="000000"/>
                <w:kern w:val="0"/>
                <w:sz w:val="20"/>
                <w:szCs w:val="20"/>
                <w:u w:val="none"/>
                <w:lang w:val="en-US" w:eastAsia="zh-CN" w:bidi="ar"/>
              </w:rPr>
              <w:t>+铝合金灯槽</w:t>
            </w:r>
            <w:r>
              <w:rPr>
                <w:rFonts w:hint="eastAsia" w:ascii="宋体" w:hAnsi="宋体" w:cs="宋体"/>
                <w:i w:val="0"/>
                <w:iCs w:val="0"/>
                <w:color w:val="000000"/>
                <w:kern w:val="0"/>
                <w:sz w:val="20"/>
                <w:szCs w:val="20"/>
                <w:u w:val="none"/>
                <w:lang w:val="en-US" w:eastAsia="zh-CN" w:bidi="ar"/>
              </w:rPr>
              <w:t>条</w:t>
            </w:r>
            <w:r>
              <w:rPr>
                <w:rFonts w:hint="eastAsia" w:ascii="宋体" w:hAnsi="宋体" w:eastAsia="宋体" w:cs="宋体"/>
                <w:i w:val="0"/>
                <w:iCs w:val="0"/>
                <w:color w:val="000000"/>
                <w:kern w:val="0"/>
                <w:sz w:val="20"/>
                <w:szCs w:val="20"/>
                <w:u w:val="none"/>
                <w:lang w:val="en-US" w:eastAsia="zh-CN" w:bidi="ar"/>
              </w:rPr>
              <w:t>+环保PET宽色域紫外线固化高精度灯片</w:t>
            </w:r>
            <w:r>
              <w:rPr>
                <w:rFonts w:hint="eastAsia" w:ascii="宋体" w:hAnsi="宋体" w:cs="宋体"/>
                <w:i w:val="0"/>
                <w:iCs w:val="0"/>
                <w:color w:val="000000"/>
                <w:kern w:val="0"/>
                <w:sz w:val="20"/>
                <w:szCs w:val="20"/>
                <w:u w:val="none"/>
                <w:lang w:val="en-US" w:eastAsia="zh-CN" w:bidi="ar"/>
              </w:rPr>
              <w:t>6条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3.紫外线固化真丝布高清UV直印+专用基胶安装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4.高密安迪板激光雕刻+UV喷印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5.高密安迪板立体字UV喷印+激光雕刻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6.钛金激光雕刻贴片字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7.10MM耐候亚克力激光雕刻水晶立体字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8.10mm高密安迪板+5MM耐候亚克力激光雕刻立体字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761D01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75648" behindDoc="1" locked="0" layoutInCell="1" allowOverlap="1">
                  <wp:simplePos x="0" y="0"/>
                  <wp:positionH relativeFrom="column">
                    <wp:posOffset>57785</wp:posOffset>
                  </wp:positionH>
                  <wp:positionV relativeFrom="paragraph">
                    <wp:posOffset>909320</wp:posOffset>
                  </wp:positionV>
                  <wp:extent cx="1715770" cy="571500"/>
                  <wp:effectExtent l="0" t="0" r="6350" b="7620"/>
                  <wp:wrapTight wrapText="bothSides">
                    <wp:wrapPolygon>
                      <wp:start x="0" y="0"/>
                      <wp:lineTo x="0" y="21312"/>
                      <wp:lineTo x="21488" y="21312"/>
                      <wp:lineTo x="21488" y="0"/>
                      <wp:lineTo x="0" y="0"/>
                    </wp:wrapPolygon>
                  </wp:wrapTight>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22"/>
                          <a:srcRect t="40822"/>
                          <a:stretch>
                            <a:fillRect/>
                          </a:stretch>
                        </pic:blipFill>
                        <pic:spPr>
                          <a:xfrm>
                            <a:off x="0" y="0"/>
                            <a:ext cx="1715770" cy="571500"/>
                          </a:xfrm>
                          <a:prstGeom prst="rect">
                            <a:avLst/>
                          </a:prstGeom>
                          <a:noFill/>
                          <a:ln w="9525">
                            <a:noFill/>
                          </a:ln>
                        </pic:spPr>
                      </pic:pic>
                    </a:graphicData>
                  </a:graphic>
                </wp:anchor>
              </w:drawing>
            </w:r>
          </w:p>
        </w:tc>
      </w:tr>
      <w:tr w14:paraId="24C6D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09" w:type="dxa"/>
            <w:shd w:val="clear" w:color="auto" w:fill="auto"/>
            <w:noWrap/>
            <w:vAlign w:val="center"/>
          </w:tcPr>
          <w:p w14:paraId="2B3590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073" w:type="dxa"/>
            <w:vMerge w:val="continue"/>
            <w:shd w:val="clear" w:color="auto" w:fill="auto"/>
            <w:vAlign w:val="center"/>
          </w:tcPr>
          <w:p w14:paraId="2852754E">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0D1E54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真丝布高清UV直印</w:t>
            </w:r>
          </w:p>
        </w:tc>
        <w:tc>
          <w:tcPr>
            <w:tcW w:w="2050" w:type="dxa"/>
            <w:shd w:val="clear" w:color="auto" w:fill="FFFFFF"/>
            <w:vAlign w:val="center"/>
          </w:tcPr>
          <w:p w14:paraId="06CC1E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12.3*2.95M</w:t>
            </w:r>
          </w:p>
        </w:tc>
        <w:tc>
          <w:tcPr>
            <w:tcW w:w="512" w:type="dxa"/>
            <w:shd w:val="clear" w:color="auto" w:fill="FFFFFF"/>
            <w:vAlign w:val="center"/>
          </w:tcPr>
          <w:p w14:paraId="151A18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FFFFFF"/>
            <w:noWrap/>
            <w:vAlign w:val="center"/>
          </w:tcPr>
          <w:p w14:paraId="1453B5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36.29</w:t>
            </w:r>
          </w:p>
        </w:tc>
        <w:tc>
          <w:tcPr>
            <w:tcW w:w="4428" w:type="dxa"/>
            <w:vMerge w:val="continue"/>
            <w:shd w:val="clear" w:color="auto" w:fill="auto"/>
            <w:vAlign w:val="center"/>
          </w:tcPr>
          <w:p w14:paraId="12CCFF3F">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1F5E91D1">
            <w:pPr>
              <w:jc w:val="center"/>
              <w:rPr>
                <w:rFonts w:hint="eastAsia" w:ascii="宋体" w:hAnsi="宋体" w:eastAsia="宋体" w:cs="宋体"/>
                <w:i w:val="0"/>
                <w:iCs w:val="0"/>
                <w:color w:val="000000"/>
                <w:sz w:val="18"/>
                <w:szCs w:val="18"/>
                <w:u w:val="none"/>
              </w:rPr>
            </w:pPr>
          </w:p>
        </w:tc>
      </w:tr>
      <w:tr w14:paraId="5ABBA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09" w:type="dxa"/>
            <w:shd w:val="clear" w:color="auto" w:fill="auto"/>
            <w:noWrap/>
            <w:vAlign w:val="center"/>
          </w:tcPr>
          <w:p w14:paraId="0CBD89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073" w:type="dxa"/>
            <w:vMerge w:val="continue"/>
            <w:shd w:val="clear" w:color="auto" w:fill="auto"/>
            <w:vAlign w:val="center"/>
          </w:tcPr>
          <w:p w14:paraId="1931D6C3">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0FAB09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雪弗板立体画面UV</w:t>
            </w:r>
          </w:p>
        </w:tc>
        <w:tc>
          <w:tcPr>
            <w:tcW w:w="2050" w:type="dxa"/>
            <w:shd w:val="clear" w:color="auto" w:fill="FFFFFF"/>
            <w:vAlign w:val="center"/>
          </w:tcPr>
          <w:p w14:paraId="4BAD9386">
            <w:pPr>
              <w:jc w:val="center"/>
              <w:rPr>
                <w:rFonts w:hint="eastAsia" w:ascii="宋体" w:hAnsi="宋体" w:eastAsia="宋体" w:cs="宋体"/>
                <w:i w:val="0"/>
                <w:iCs w:val="0"/>
                <w:color w:val="000000"/>
                <w:sz w:val="20"/>
                <w:szCs w:val="20"/>
                <w:u w:val="none"/>
              </w:rPr>
            </w:pPr>
          </w:p>
        </w:tc>
        <w:tc>
          <w:tcPr>
            <w:tcW w:w="512" w:type="dxa"/>
            <w:shd w:val="clear" w:color="auto" w:fill="FFFFFF"/>
            <w:vAlign w:val="center"/>
          </w:tcPr>
          <w:p w14:paraId="287FD9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FFFFFF"/>
            <w:noWrap/>
            <w:vAlign w:val="center"/>
          </w:tcPr>
          <w:p w14:paraId="7DEC86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428" w:type="dxa"/>
            <w:vMerge w:val="continue"/>
            <w:shd w:val="clear" w:color="auto" w:fill="auto"/>
            <w:vAlign w:val="center"/>
          </w:tcPr>
          <w:p w14:paraId="41910006">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4D466A4D">
            <w:pPr>
              <w:jc w:val="center"/>
              <w:rPr>
                <w:rFonts w:hint="eastAsia" w:ascii="宋体" w:hAnsi="宋体" w:eastAsia="宋体" w:cs="宋体"/>
                <w:i w:val="0"/>
                <w:iCs w:val="0"/>
                <w:color w:val="000000"/>
                <w:sz w:val="18"/>
                <w:szCs w:val="18"/>
                <w:u w:val="none"/>
              </w:rPr>
            </w:pPr>
          </w:p>
        </w:tc>
      </w:tr>
      <w:tr w14:paraId="39D59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609" w:type="dxa"/>
            <w:shd w:val="clear" w:color="auto" w:fill="auto"/>
            <w:noWrap/>
            <w:vAlign w:val="center"/>
          </w:tcPr>
          <w:p w14:paraId="307728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1073" w:type="dxa"/>
            <w:vMerge w:val="continue"/>
            <w:shd w:val="clear" w:color="auto" w:fill="auto"/>
            <w:vAlign w:val="center"/>
          </w:tcPr>
          <w:p w14:paraId="15F48692">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5DB4BA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10mm高密安迪板+5MM亚克力立体字</w:t>
            </w:r>
          </w:p>
        </w:tc>
        <w:tc>
          <w:tcPr>
            <w:tcW w:w="2050" w:type="dxa"/>
            <w:shd w:val="clear" w:color="auto" w:fill="FFFFFF"/>
            <w:vAlign w:val="center"/>
          </w:tcPr>
          <w:p w14:paraId="3B4437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高：1.6m</w:t>
            </w:r>
          </w:p>
        </w:tc>
        <w:tc>
          <w:tcPr>
            <w:tcW w:w="512" w:type="dxa"/>
            <w:shd w:val="clear" w:color="auto" w:fill="FFFFFF"/>
            <w:vAlign w:val="center"/>
          </w:tcPr>
          <w:p w14:paraId="2C314A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588BC7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28" w:type="dxa"/>
            <w:vMerge w:val="continue"/>
            <w:shd w:val="clear" w:color="auto" w:fill="auto"/>
            <w:vAlign w:val="center"/>
          </w:tcPr>
          <w:p w14:paraId="5E7EF6A2">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4E26AFB2">
            <w:pPr>
              <w:jc w:val="center"/>
              <w:rPr>
                <w:rFonts w:hint="eastAsia" w:ascii="宋体" w:hAnsi="宋体" w:eastAsia="宋体" w:cs="宋体"/>
                <w:i w:val="0"/>
                <w:iCs w:val="0"/>
                <w:color w:val="000000"/>
                <w:sz w:val="18"/>
                <w:szCs w:val="18"/>
                <w:u w:val="none"/>
              </w:rPr>
            </w:pPr>
          </w:p>
        </w:tc>
      </w:tr>
      <w:tr w14:paraId="34F98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09" w:type="dxa"/>
            <w:shd w:val="clear" w:color="auto" w:fill="auto"/>
            <w:noWrap/>
            <w:vAlign w:val="center"/>
          </w:tcPr>
          <w:p w14:paraId="4B1118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073" w:type="dxa"/>
            <w:vMerge w:val="continue"/>
            <w:shd w:val="clear" w:color="auto" w:fill="auto"/>
            <w:vAlign w:val="center"/>
          </w:tcPr>
          <w:p w14:paraId="74079ADC">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0DA466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5mm高密安迪板立体字</w:t>
            </w:r>
          </w:p>
        </w:tc>
        <w:tc>
          <w:tcPr>
            <w:tcW w:w="2050" w:type="dxa"/>
            <w:shd w:val="clear" w:color="auto" w:fill="FFFFFF"/>
            <w:vAlign w:val="center"/>
          </w:tcPr>
          <w:p w14:paraId="2D352D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高：10cm</w:t>
            </w:r>
          </w:p>
        </w:tc>
        <w:tc>
          <w:tcPr>
            <w:tcW w:w="512" w:type="dxa"/>
            <w:shd w:val="clear" w:color="auto" w:fill="FFFFFF"/>
            <w:vAlign w:val="center"/>
          </w:tcPr>
          <w:p w14:paraId="0EDF0C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6823A4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428" w:type="dxa"/>
            <w:vMerge w:val="continue"/>
            <w:shd w:val="clear" w:color="auto" w:fill="auto"/>
            <w:vAlign w:val="center"/>
          </w:tcPr>
          <w:p w14:paraId="4A7788FC">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5F5A2F54">
            <w:pPr>
              <w:jc w:val="center"/>
              <w:rPr>
                <w:rFonts w:hint="eastAsia" w:ascii="宋体" w:hAnsi="宋体" w:eastAsia="宋体" w:cs="宋体"/>
                <w:i w:val="0"/>
                <w:iCs w:val="0"/>
                <w:color w:val="000000"/>
                <w:sz w:val="18"/>
                <w:szCs w:val="18"/>
                <w:u w:val="none"/>
              </w:rPr>
            </w:pPr>
          </w:p>
        </w:tc>
      </w:tr>
      <w:tr w14:paraId="496E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09" w:type="dxa"/>
            <w:shd w:val="clear" w:color="auto" w:fill="auto"/>
            <w:noWrap/>
            <w:vAlign w:val="center"/>
          </w:tcPr>
          <w:p w14:paraId="14A6EA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073" w:type="dxa"/>
            <w:vMerge w:val="continue"/>
            <w:shd w:val="clear" w:color="auto" w:fill="auto"/>
            <w:vAlign w:val="center"/>
          </w:tcPr>
          <w:p w14:paraId="1DFF8D81">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0D2C0A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钛金贴片字</w:t>
            </w:r>
          </w:p>
        </w:tc>
        <w:tc>
          <w:tcPr>
            <w:tcW w:w="2050" w:type="dxa"/>
            <w:shd w:val="clear" w:color="auto" w:fill="FFFFFF"/>
            <w:vAlign w:val="center"/>
          </w:tcPr>
          <w:p w14:paraId="045070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高：10cm</w:t>
            </w:r>
          </w:p>
        </w:tc>
        <w:tc>
          <w:tcPr>
            <w:tcW w:w="512" w:type="dxa"/>
            <w:shd w:val="clear" w:color="auto" w:fill="FFFFFF"/>
            <w:vAlign w:val="center"/>
          </w:tcPr>
          <w:p w14:paraId="3A2892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4E382A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428" w:type="dxa"/>
            <w:vMerge w:val="continue"/>
            <w:shd w:val="clear" w:color="auto" w:fill="auto"/>
            <w:vAlign w:val="center"/>
          </w:tcPr>
          <w:p w14:paraId="235F06AD">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54EABE15">
            <w:pPr>
              <w:jc w:val="center"/>
              <w:rPr>
                <w:rFonts w:hint="eastAsia" w:ascii="宋体" w:hAnsi="宋体" w:eastAsia="宋体" w:cs="宋体"/>
                <w:i w:val="0"/>
                <w:iCs w:val="0"/>
                <w:color w:val="000000"/>
                <w:sz w:val="18"/>
                <w:szCs w:val="18"/>
                <w:u w:val="none"/>
              </w:rPr>
            </w:pPr>
          </w:p>
        </w:tc>
      </w:tr>
      <w:tr w14:paraId="346B4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0" w:hRule="atLeast"/>
        </w:trPr>
        <w:tc>
          <w:tcPr>
            <w:tcW w:w="609" w:type="dxa"/>
            <w:shd w:val="clear" w:color="auto" w:fill="auto"/>
            <w:noWrap/>
            <w:vAlign w:val="center"/>
          </w:tcPr>
          <w:p w14:paraId="31179E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1073" w:type="dxa"/>
            <w:vMerge w:val="continue"/>
            <w:shd w:val="clear" w:color="auto" w:fill="auto"/>
            <w:vAlign w:val="center"/>
          </w:tcPr>
          <w:p w14:paraId="1A5A669B">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2B6BDA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10+5mm亚克力水晶立体字</w:t>
            </w:r>
          </w:p>
        </w:tc>
        <w:tc>
          <w:tcPr>
            <w:tcW w:w="2050" w:type="dxa"/>
            <w:shd w:val="clear" w:color="auto" w:fill="FFFFFF"/>
            <w:vAlign w:val="center"/>
          </w:tcPr>
          <w:p w14:paraId="55A37D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高：28cm</w:t>
            </w:r>
          </w:p>
        </w:tc>
        <w:tc>
          <w:tcPr>
            <w:tcW w:w="512" w:type="dxa"/>
            <w:shd w:val="clear" w:color="auto" w:fill="FFFFFF"/>
            <w:vAlign w:val="center"/>
          </w:tcPr>
          <w:p w14:paraId="3CA951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5D444C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28" w:type="dxa"/>
            <w:vMerge w:val="continue"/>
            <w:shd w:val="clear" w:color="auto" w:fill="auto"/>
            <w:vAlign w:val="center"/>
          </w:tcPr>
          <w:p w14:paraId="35EE25F6">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5AA5D9A9">
            <w:pPr>
              <w:jc w:val="center"/>
              <w:rPr>
                <w:rFonts w:hint="eastAsia" w:ascii="宋体" w:hAnsi="宋体" w:eastAsia="宋体" w:cs="宋体"/>
                <w:i w:val="0"/>
                <w:iCs w:val="0"/>
                <w:color w:val="000000"/>
                <w:sz w:val="18"/>
                <w:szCs w:val="18"/>
                <w:u w:val="none"/>
              </w:rPr>
            </w:pPr>
          </w:p>
        </w:tc>
      </w:tr>
      <w:tr w14:paraId="5AF09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09" w:type="dxa"/>
            <w:shd w:val="clear" w:color="auto" w:fill="auto"/>
            <w:noWrap/>
            <w:vAlign w:val="center"/>
          </w:tcPr>
          <w:p w14:paraId="01D5D8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1073" w:type="dxa"/>
            <w:vMerge w:val="continue"/>
            <w:shd w:val="clear" w:color="auto" w:fill="auto"/>
            <w:vAlign w:val="center"/>
          </w:tcPr>
          <w:p w14:paraId="79C0D9F9">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086E4D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纱帘隔断定制</w:t>
            </w:r>
          </w:p>
        </w:tc>
        <w:tc>
          <w:tcPr>
            <w:tcW w:w="2050" w:type="dxa"/>
            <w:shd w:val="clear" w:color="auto" w:fill="FFFFFF"/>
            <w:vAlign w:val="center"/>
          </w:tcPr>
          <w:p w14:paraId="4C6958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（1.5*2.95米*1条、0.8*2.95米*4条）</w:t>
            </w:r>
          </w:p>
        </w:tc>
        <w:tc>
          <w:tcPr>
            <w:tcW w:w="512" w:type="dxa"/>
            <w:shd w:val="clear" w:color="auto" w:fill="FFFFFF"/>
            <w:vAlign w:val="center"/>
          </w:tcPr>
          <w:p w14:paraId="5F121C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FFFFFF"/>
            <w:noWrap/>
            <w:vAlign w:val="center"/>
          </w:tcPr>
          <w:p w14:paraId="1CAA23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13.87</w:t>
            </w:r>
          </w:p>
        </w:tc>
        <w:tc>
          <w:tcPr>
            <w:tcW w:w="4428" w:type="dxa"/>
            <w:shd w:val="clear" w:color="auto" w:fill="FFFFFF"/>
            <w:vAlign w:val="center"/>
          </w:tcPr>
          <w:p w14:paraId="3C3D76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1.环保涤纶纤维半透景纱帘书法隔断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shd w:val="clear" w:color="auto" w:fill="auto"/>
            <w:noWrap/>
            <w:vAlign w:val="center"/>
          </w:tcPr>
          <w:p w14:paraId="247A8E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61312" behindDoc="1" locked="0" layoutInCell="1" allowOverlap="1">
                  <wp:simplePos x="0" y="0"/>
                  <wp:positionH relativeFrom="column">
                    <wp:posOffset>158115</wp:posOffset>
                  </wp:positionH>
                  <wp:positionV relativeFrom="paragraph">
                    <wp:posOffset>26035</wp:posOffset>
                  </wp:positionV>
                  <wp:extent cx="477520" cy="640715"/>
                  <wp:effectExtent l="0" t="0" r="10160" b="14605"/>
                  <wp:wrapTight wrapText="bothSides">
                    <wp:wrapPolygon>
                      <wp:start x="0" y="0"/>
                      <wp:lineTo x="0" y="21065"/>
                      <wp:lineTo x="20681" y="21065"/>
                      <wp:lineTo x="20681" y="0"/>
                      <wp:lineTo x="0" y="0"/>
                    </wp:wrapPolygon>
                  </wp:wrapTight>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3"/>
                          <a:stretch>
                            <a:fillRect/>
                          </a:stretch>
                        </pic:blipFill>
                        <pic:spPr>
                          <a:xfrm>
                            <a:off x="0" y="0"/>
                            <a:ext cx="477520" cy="640715"/>
                          </a:xfrm>
                          <a:prstGeom prst="rect">
                            <a:avLst/>
                          </a:prstGeom>
                          <a:noFill/>
                          <a:ln w="9525">
                            <a:noFill/>
                          </a:ln>
                        </pic:spPr>
                      </pic:pic>
                    </a:graphicData>
                  </a:graphic>
                </wp:anchor>
              </w:drawing>
            </w:r>
          </w:p>
        </w:tc>
      </w:tr>
      <w:tr w14:paraId="59EEB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40" w:hRule="atLeast"/>
        </w:trPr>
        <w:tc>
          <w:tcPr>
            <w:tcW w:w="609" w:type="dxa"/>
            <w:shd w:val="clear" w:color="auto" w:fill="auto"/>
            <w:noWrap/>
            <w:vAlign w:val="center"/>
          </w:tcPr>
          <w:p w14:paraId="3DE354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1073" w:type="dxa"/>
            <w:vMerge w:val="continue"/>
            <w:shd w:val="clear" w:color="auto" w:fill="auto"/>
            <w:vAlign w:val="center"/>
          </w:tcPr>
          <w:p w14:paraId="5E9E44FE">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222E8F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反腐倡廉顶灯</w:t>
            </w:r>
          </w:p>
        </w:tc>
        <w:tc>
          <w:tcPr>
            <w:tcW w:w="2050" w:type="dxa"/>
            <w:shd w:val="clear" w:color="auto" w:fill="FFFFFF"/>
            <w:vAlign w:val="center"/>
          </w:tcPr>
          <w:p w14:paraId="156A6D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0.86*0.86M</w:t>
            </w:r>
          </w:p>
        </w:tc>
        <w:tc>
          <w:tcPr>
            <w:tcW w:w="512" w:type="dxa"/>
            <w:shd w:val="clear" w:color="auto" w:fill="FFFFFF"/>
            <w:vAlign w:val="center"/>
          </w:tcPr>
          <w:p w14:paraId="4EAEDC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44" w:type="dxa"/>
            <w:shd w:val="clear" w:color="auto" w:fill="FFFFFF"/>
            <w:noWrap/>
            <w:vAlign w:val="center"/>
          </w:tcPr>
          <w:p w14:paraId="62DD03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28" w:type="dxa"/>
            <w:shd w:val="clear" w:color="auto" w:fill="FFFFFF"/>
            <w:vAlign w:val="center"/>
          </w:tcPr>
          <w:p w14:paraId="2535FF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1.1.2MM抗氧化不锈钢激光切割，精细打磨，焊接高温固化电镀烤漆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2.环保PET宽色域紫外线固化高精度灯片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3.LED恒压灯带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4.恒压电源+地面投影顶灯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shd w:val="clear" w:color="auto" w:fill="auto"/>
            <w:noWrap/>
            <w:vAlign w:val="center"/>
          </w:tcPr>
          <w:p w14:paraId="08E1C4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76672" behindDoc="1" locked="0" layoutInCell="1" allowOverlap="1">
                  <wp:simplePos x="0" y="0"/>
                  <wp:positionH relativeFrom="column">
                    <wp:posOffset>116205</wp:posOffset>
                  </wp:positionH>
                  <wp:positionV relativeFrom="paragraph">
                    <wp:posOffset>24130</wp:posOffset>
                  </wp:positionV>
                  <wp:extent cx="1407160" cy="847725"/>
                  <wp:effectExtent l="0" t="0" r="10160" b="5715"/>
                  <wp:wrapTight wrapText="bothSides">
                    <wp:wrapPolygon>
                      <wp:start x="0" y="0"/>
                      <wp:lineTo x="0" y="21357"/>
                      <wp:lineTo x="21288" y="21357"/>
                      <wp:lineTo x="21288" y="0"/>
                      <wp:lineTo x="0" y="0"/>
                    </wp:wrapPolygon>
                  </wp:wrapTight>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4"/>
                          <a:stretch>
                            <a:fillRect/>
                          </a:stretch>
                        </pic:blipFill>
                        <pic:spPr>
                          <a:xfrm>
                            <a:off x="0" y="0"/>
                            <a:ext cx="1407160" cy="847725"/>
                          </a:xfrm>
                          <a:prstGeom prst="rect">
                            <a:avLst/>
                          </a:prstGeom>
                          <a:noFill/>
                          <a:ln w="9525">
                            <a:noFill/>
                          </a:ln>
                        </pic:spPr>
                      </pic:pic>
                    </a:graphicData>
                  </a:graphic>
                </wp:anchor>
              </w:drawing>
            </w:r>
          </w:p>
        </w:tc>
      </w:tr>
      <w:tr w14:paraId="3E4F4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09" w:type="dxa"/>
            <w:shd w:val="clear" w:color="auto" w:fill="auto"/>
            <w:noWrap/>
            <w:vAlign w:val="center"/>
          </w:tcPr>
          <w:p w14:paraId="66686E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1073" w:type="dxa"/>
            <w:vMerge w:val="continue"/>
            <w:shd w:val="clear" w:color="auto" w:fill="auto"/>
            <w:vAlign w:val="center"/>
          </w:tcPr>
          <w:p w14:paraId="3C98D30D">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73D386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真丝布高清UV直印</w:t>
            </w:r>
          </w:p>
        </w:tc>
        <w:tc>
          <w:tcPr>
            <w:tcW w:w="2050" w:type="dxa"/>
            <w:shd w:val="clear" w:color="auto" w:fill="FFFFFF"/>
            <w:vAlign w:val="center"/>
          </w:tcPr>
          <w:p w14:paraId="0C4B8F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7.25*2.95M</w:t>
            </w:r>
          </w:p>
        </w:tc>
        <w:tc>
          <w:tcPr>
            <w:tcW w:w="512" w:type="dxa"/>
            <w:shd w:val="clear" w:color="auto" w:fill="FFFFFF"/>
            <w:vAlign w:val="center"/>
          </w:tcPr>
          <w:p w14:paraId="34B66E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FFFFFF"/>
            <w:noWrap/>
            <w:vAlign w:val="center"/>
          </w:tcPr>
          <w:p w14:paraId="19262C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21.39</w:t>
            </w:r>
          </w:p>
        </w:tc>
        <w:tc>
          <w:tcPr>
            <w:tcW w:w="4428" w:type="dxa"/>
            <w:vMerge w:val="restart"/>
            <w:shd w:val="clear" w:color="auto" w:fill="FFFFFF"/>
            <w:vAlign w:val="center"/>
          </w:tcPr>
          <w:p w14:paraId="0FF735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1.廉能正身清者自廉：高密安迪板UV喷印+激光雕刻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2.紫外线固化真丝布高清UV直印+专用基胶安装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3.10mm瓷白耐候亚克力立体激光雕刻字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2E8F4B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81280</wp:posOffset>
                  </wp:positionH>
                  <wp:positionV relativeFrom="paragraph">
                    <wp:posOffset>107950</wp:posOffset>
                  </wp:positionV>
                  <wp:extent cx="1286510" cy="783590"/>
                  <wp:effectExtent l="0" t="0" r="8890" b="8890"/>
                  <wp:wrapNone/>
                  <wp:docPr id="5" name="图片_31"/>
                  <wp:cNvGraphicFramePr/>
                  <a:graphic xmlns:a="http://schemas.openxmlformats.org/drawingml/2006/main">
                    <a:graphicData uri="http://schemas.openxmlformats.org/drawingml/2006/picture">
                      <pic:pic xmlns:pic="http://schemas.openxmlformats.org/drawingml/2006/picture">
                        <pic:nvPicPr>
                          <pic:cNvPr id="5" name="图片_31"/>
                          <pic:cNvPicPr/>
                        </pic:nvPicPr>
                        <pic:blipFill>
                          <a:blip r:embed="rId25"/>
                          <a:stretch>
                            <a:fillRect/>
                          </a:stretch>
                        </pic:blipFill>
                        <pic:spPr>
                          <a:xfrm>
                            <a:off x="0" y="0"/>
                            <a:ext cx="1286510" cy="783590"/>
                          </a:xfrm>
                          <a:prstGeom prst="rect">
                            <a:avLst/>
                          </a:prstGeom>
                          <a:noFill/>
                          <a:ln>
                            <a:noFill/>
                          </a:ln>
                        </pic:spPr>
                      </pic:pic>
                    </a:graphicData>
                  </a:graphic>
                </wp:anchor>
              </w:drawing>
            </w:r>
          </w:p>
        </w:tc>
      </w:tr>
      <w:tr w14:paraId="5DF76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09" w:type="dxa"/>
            <w:shd w:val="clear" w:color="auto" w:fill="auto"/>
            <w:noWrap/>
            <w:vAlign w:val="center"/>
          </w:tcPr>
          <w:p w14:paraId="779360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073" w:type="dxa"/>
            <w:vMerge w:val="continue"/>
            <w:shd w:val="clear" w:color="auto" w:fill="auto"/>
            <w:vAlign w:val="center"/>
          </w:tcPr>
          <w:p w14:paraId="71230CCA">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44319E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10mm高密安迪板UV</w:t>
            </w:r>
          </w:p>
        </w:tc>
        <w:tc>
          <w:tcPr>
            <w:tcW w:w="2050" w:type="dxa"/>
            <w:shd w:val="clear" w:color="auto" w:fill="FFFFFF"/>
            <w:vAlign w:val="center"/>
          </w:tcPr>
          <w:p w14:paraId="16E118D4">
            <w:pPr>
              <w:jc w:val="center"/>
              <w:rPr>
                <w:rFonts w:hint="eastAsia" w:ascii="宋体" w:hAnsi="宋体" w:eastAsia="宋体" w:cs="宋体"/>
                <w:i w:val="0"/>
                <w:iCs w:val="0"/>
                <w:color w:val="000000"/>
                <w:sz w:val="20"/>
                <w:szCs w:val="20"/>
                <w:u w:val="none"/>
              </w:rPr>
            </w:pPr>
          </w:p>
        </w:tc>
        <w:tc>
          <w:tcPr>
            <w:tcW w:w="512" w:type="dxa"/>
            <w:shd w:val="clear" w:color="auto" w:fill="FFFFFF"/>
            <w:vAlign w:val="center"/>
          </w:tcPr>
          <w:p w14:paraId="290FC2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FFFFFF"/>
            <w:noWrap/>
            <w:vAlign w:val="center"/>
          </w:tcPr>
          <w:p w14:paraId="5FED30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428" w:type="dxa"/>
            <w:vMerge w:val="continue"/>
            <w:shd w:val="clear" w:color="auto" w:fill="FFFFFF"/>
            <w:vAlign w:val="center"/>
          </w:tcPr>
          <w:p w14:paraId="6E25218B">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6BAB3585">
            <w:pPr>
              <w:jc w:val="center"/>
              <w:rPr>
                <w:rFonts w:hint="eastAsia" w:ascii="宋体" w:hAnsi="宋体" w:eastAsia="宋体" w:cs="宋体"/>
                <w:i w:val="0"/>
                <w:iCs w:val="0"/>
                <w:color w:val="000000"/>
                <w:sz w:val="18"/>
                <w:szCs w:val="18"/>
                <w:u w:val="none"/>
              </w:rPr>
            </w:pPr>
          </w:p>
        </w:tc>
      </w:tr>
      <w:tr w14:paraId="0F6FF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09" w:type="dxa"/>
            <w:shd w:val="clear" w:color="auto" w:fill="auto"/>
            <w:noWrap/>
            <w:vAlign w:val="center"/>
          </w:tcPr>
          <w:p w14:paraId="0AA39D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1073" w:type="dxa"/>
            <w:vMerge w:val="continue"/>
            <w:shd w:val="clear" w:color="auto" w:fill="auto"/>
            <w:vAlign w:val="center"/>
          </w:tcPr>
          <w:p w14:paraId="411D6DE0">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4B7781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10mm亚克力立体字</w:t>
            </w:r>
          </w:p>
        </w:tc>
        <w:tc>
          <w:tcPr>
            <w:tcW w:w="2050" w:type="dxa"/>
            <w:shd w:val="clear" w:color="auto" w:fill="FFFFFF"/>
            <w:vAlign w:val="center"/>
          </w:tcPr>
          <w:p w14:paraId="397E94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12cm</w:t>
            </w:r>
          </w:p>
        </w:tc>
        <w:tc>
          <w:tcPr>
            <w:tcW w:w="512" w:type="dxa"/>
            <w:shd w:val="clear" w:color="auto" w:fill="FFFFFF"/>
            <w:vAlign w:val="center"/>
          </w:tcPr>
          <w:p w14:paraId="080B9D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08FBCE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428" w:type="dxa"/>
            <w:vMerge w:val="continue"/>
            <w:shd w:val="clear" w:color="auto" w:fill="FFFFFF"/>
            <w:vAlign w:val="center"/>
          </w:tcPr>
          <w:p w14:paraId="02464369">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684B959E">
            <w:pPr>
              <w:jc w:val="center"/>
              <w:rPr>
                <w:rFonts w:hint="eastAsia" w:ascii="宋体" w:hAnsi="宋体" w:eastAsia="宋体" w:cs="宋体"/>
                <w:i w:val="0"/>
                <w:iCs w:val="0"/>
                <w:color w:val="000000"/>
                <w:sz w:val="18"/>
                <w:szCs w:val="18"/>
                <w:u w:val="none"/>
              </w:rPr>
            </w:pPr>
          </w:p>
        </w:tc>
      </w:tr>
      <w:tr w14:paraId="3B05F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60" w:hRule="atLeast"/>
        </w:trPr>
        <w:tc>
          <w:tcPr>
            <w:tcW w:w="609" w:type="dxa"/>
            <w:shd w:val="clear" w:color="auto" w:fill="auto"/>
            <w:noWrap/>
            <w:vAlign w:val="center"/>
          </w:tcPr>
          <w:p w14:paraId="2AF269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1073" w:type="dxa"/>
            <w:shd w:val="clear" w:color="auto" w:fill="auto"/>
            <w:vAlign w:val="center"/>
          </w:tcPr>
          <w:p w14:paraId="601D46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塔造型定制</w:t>
            </w:r>
          </w:p>
        </w:tc>
        <w:tc>
          <w:tcPr>
            <w:tcW w:w="2143" w:type="dxa"/>
            <w:shd w:val="clear" w:color="auto" w:fill="FFFFFF"/>
            <w:vAlign w:val="center"/>
          </w:tcPr>
          <w:p w14:paraId="633C65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警示之塔、引航之塔、重生之塔</w:t>
            </w:r>
          </w:p>
        </w:tc>
        <w:tc>
          <w:tcPr>
            <w:tcW w:w="2050" w:type="dxa"/>
            <w:shd w:val="clear" w:color="auto" w:fill="FFFFFF"/>
            <w:vAlign w:val="center"/>
          </w:tcPr>
          <w:p w14:paraId="70F979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2.95*1.26M*3套</w:t>
            </w:r>
          </w:p>
        </w:tc>
        <w:tc>
          <w:tcPr>
            <w:tcW w:w="512" w:type="dxa"/>
            <w:shd w:val="clear" w:color="auto" w:fill="FFFFFF"/>
            <w:vAlign w:val="center"/>
          </w:tcPr>
          <w:p w14:paraId="777E32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44" w:type="dxa"/>
            <w:shd w:val="clear" w:color="auto" w:fill="FFFFFF"/>
            <w:noWrap/>
            <w:vAlign w:val="center"/>
          </w:tcPr>
          <w:p w14:paraId="67AF28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428" w:type="dxa"/>
            <w:shd w:val="clear" w:color="auto" w:fill="FFFFFF"/>
            <w:vAlign w:val="center"/>
          </w:tcPr>
          <w:p w14:paraId="232EDC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1.整体1.2mm201不锈钢焊接，表面电镀防腐处理，内置高强度钢架结构支撑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2.顶部小窗灯箱造型，环保PET宽色域紫外线固化高精度灯片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3.灯箱内置恒压发光灯源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4.主体画面分色多层烤漆高温固化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5.主画面文字不锈钢镭射激光切割焊接，精工打磨抛光背光字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shd w:val="clear" w:color="auto" w:fill="auto"/>
            <w:noWrap/>
            <w:vAlign w:val="center"/>
          </w:tcPr>
          <w:p w14:paraId="2B024A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63360" behindDoc="0" locked="0" layoutInCell="1" allowOverlap="1">
                  <wp:simplePos x="0" y="0"/>
                  <wp:positionH relativeFrom="column">
                    <wp:posOffset>626745</wp:posOffset>
                  </wp:positionH>
                  <wp:positionV relativeFrom="paragraph">
                    <wp:posOffset>10160</wp:posOffset>
                  </wp:positionV>
                  <wp:extent cx="483870" cy="1211580"/>
                  <wp:effectExtent l="0" t="0" r="3810" b="7620"/>
                  <wp:wrapNone/>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6"/>
                          <a:stretch>
                            <a:fillRect/>
                          </a:stretch>
                        </pic:blipFill>
                        <pic:spPr>
                          <a:xfrm>
                            <a:off x="0" y="0"/>
                            <a:ext cx="483870" cy="1211580"/>
                          </a:xfrm>
                          <a:prstGeom prst="rect">
                            <a:avLst/>
                          </a:prstGeom>
                          <a:noFill/>
                          <a:ln w="9525">
                            <a:noFill/>
                          </a:ln>
                        </pic:spPr>
                      </pic:pic>
                    </a:graphicData>
                  </a:graphic>
                </wp:anchor>
              </w:drawing>
            </w:r>
            <w:r>
              <w:rPr>
                <w:rFonts w:hint="eastAsia" w:ascii="宋体" w:hAnsi="宋体" w:eastAsia="宋体" w:cs="宋体"/>
              </w:rPr>
              <w:drawing>
                <wp:anchor distT="0" distB="0" distL="114300" distR="114300" simplePos="0" relativeHeight="251664384" behindDoc="0" locked="0" layoutInCell="1" allowOverlap="1">
                  <wp:simplePos x="0" y="0"/>
                  <wp:positionH relativeFrom="column">
                    <wp:posOffset>1201420</wp:posOffset>
                  </wp:positionH>
                  <wp:positionV relativeFrom="paragraph">
                    <wp:posOffset>10795</wp:posOffset>
                  </wp:positionV>
                  <wp:extent cx="544830" cy="1210945"/>
                  <wp:effectExtent l="0" t="0" r="3810" b="8255"/>
                  <wp:wrapNone/>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7"/>
                          <a:stretch>
                            <a:fillRect/>
                          </a:stretch>
                        </pic:blipFill>
                        <pic:spPr>
                          <a:xfrm>
                            <a:off x="0" y="0"/>
                            <a:ext cx="544830" cy="1210945"/>
                          </a:xfrm>
                          <a:prstGeom prst="rect">
                            <a:avLst/>
                          </a:prstGeom>
                          <a:noFill/>
                          <a:ln w="9525">
                            <a:noFill/>
                          </a:ln>
                        </pic:spPr>
                      </pic:pic>
                    </a:graphicData>
                  </a:graphic>
                </wp:anchor>
              </w:drawing>
            </w:r>
            <w:r>
              <w:rPr>
                <w:rFonts w:hint="eastAsia" w:ascii="宋体" w:hAnsi="宋体" w:eastAsia="宋体" w:cs="宋体"/>
              </w:rPr>
              <w:drawing>
                <wp:anchor distT="0" distB="0" distL="114300" distR="114300" simplePos="0" relativeHeight="251662336" behindDoc="0" locked="0" layoutInCell="1" allowOverlap="1">
                  <wp:simplePos x="0" y="0"/>
                  <wp:positionH relativeFrom="column">
                    <wp:posOffset>0</wp:posOffset>
                  </wp:positionH>
                  <wp:positionV relativeFrom="paragraph">
                    <wp:posOffset>22225</wp:posOffset>
                  </wp:positionV>
                  <wp:extent cx="502285" cy="1194435"/>
                  <wp:effectExtent l="0" t="0" r="635" b="9525"/>
                  <wp:wrapNone/>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8"/>
                          <a:stretch>
                            <a:fillRect/>
                          </a:stretch>
                        </pic:blipFill>
                        <pic:spPr>
                          <a:xfrm>
                            <a:off x="0" y="0"/>
                            <a:ext cx="502285" cy="1194435"/>
                          </a:xfrm>
                          <a:prstGeom prst="rect">
                            <a:avLst/>
                          </a:prstGeom>
                          <a:noFill/>
                          <a:ln w="9525">
                            <a:noFill/>
                          </a:ln>
                        </pic:spPr>
                      </pic:pic>
                    </a:graphicData>
                  </a:graphic>
                </wp:anchor>
              </w:drawing>
            </w:r>
          </w:p>
        </w:tc>
      </w:tr>
      <w:tr w14:paraId="7C893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609" w:type="dxa"/>
            <w:shd w:val="clear" w:color="auto" w:fill="auto"/>
            <w:noWrap/>
            <w:vAlign w:val="center"/>
          </w:tcPr>
          <w:p w14:paraId="3F62B6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1073" w:type="dxa"/>
            <w:shd w:val="clear" w:color="auto" w:fill="auto"/>
            <w:vAlign w:val="center"/>
          </w:tcPr>
          <w:p w14:paraId="2C777A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主题版块整体定制</w:t>
            </w:r>
          </w:p>
        </w:tc>
        <w:tc>
          <w:tcPr>
            <w:tcW w:w="2143" w:type="dxa"/>
            <w:shd w:val="clear" w:color="auto" w:fill="FFFFFF"/>
            <w:vAlign w:val="center"/>
          </w:tcPr>
          <w:p w14:paraId="3B0898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版块主题造型</w:t>
            </w:r>
          </w:p>
        </w:tc>
        <w:tc>
          <w:tcPr>
            <w:tcW w:w="2050" w:type="dxa"/>
            <w:shd w:val="clear" w:color="auto" w:fill="FFFFFF"/>
            <w:vAlign w:val="center"/>
          </w:tcPr>
          <w:p w14:paraId="06CD1C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2.95*0.84*0.2M*6套</w:t>
            </w:r>
          </w:p>
        </w:tc>
        <w:tc>
          <w:tcPr>
            <w:tcW w:w="512" w:type="dxa"/>
            <w:shd w:val="clear" w:color="auto" w:fill="FFFFFF"/>
            <w:vAlign w:val="center"/>
          </w:tcPr>
          <w:p w14:paraId="40A71B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44" w:type="dxa"/>
            <w:shd w:val="clear" w:color="auto" w:fill="FFFFFF"/>
            <w:noWrap/>
            <w:vAlign w:val="center"/>
          </w:tcPr>
          <w:p w14:paraId="6029E2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428" w:type="dxa"/>
            <w:shd w:val="clear" w:color="auto" w:fill="auto"/>
            <w:vAlign w:val="center"/>
          </w:tcPr>
          <w:p w14:paraId="51454F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1.整体1.2mm201不锈钢焊接内置钢架结构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2.整体表面电镀防腐处理，颜色分色高温烤漆固化处理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3.表面文字耐候亚克力立体字激光雕刻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4.下面山峰中间间隔内安装柔性装饰灯带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5.灯箱内置恒压发光电源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6.安装方式贴墙安装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shd w:val="clear" w:color="auto" w:fill="auto"/>
            <w:noWrap/>
            <w:vAlign w:val="center"/>
          </w:tcPr>
          <w:p w14:paraId="54BDEF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65408" behindDoc="1" locked="0" layoutInCell="1" allowOverlap="1">
                  <wp:simplePos x="0" y="0"/>
                  <wp:positionH relativeFrom="column">
                    <wp:posOffset>313690</wp:posOffset>
                  </wp:positionH>
                  <wp:positionV relativeFrom="paragraph">
                    <wp:posOffset>-196850</wp:posOffset>
                  </wp:positionV>
                  <wp:extent cx="509905" cy="1297940"/>
                  <wp:effectExtent l="0" t="0" r="8255" b="12700"/>
                  <wp:wrapTight wrapText="bothSides">
                    <wp:wrapPolygon>
                      <wp:start x="0" y="0"/>
                      <wp:lineTo x="0" y="21304"/>
                      <wp:lineTo x="20659" y="21304"/>
                      <wp:lineTo x="20659" y="0"/>
                      <wp:lineTo x="0" y="0"/>
                    </wp:wrapPolygon>
                  </wp:wrapTight>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9"/>
                          <a:stretch>
                            <a:fillRect/>
                          </a:stretch>
                        </pic:blipFill>
                        <pic:spPr>
                          <a:xfrm>
                            <a:off x="0" y="0"/>
                            <a:ext cx="509905" cy="1297940"/>
                          </a:xfrm>
                          <a:prstGeom prst="rect">
                            <a:avLst/>
                          </a:prstGeom>
                          <a:noFill/>
                          <a:ln w="9525">
                            <a:noFill/>
                          </a:ln>
                        </pic:spPr>
                      </pic:pic>
                    </a:graphicData>
                  </a:graphic>
                </wp:anchor>
              </w:drawing>
            </w:r>
          </w:p>
        </w:tc>
      </w:tr>
      <w:tr w14:paraId="7738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9" w:type="dxa"/>
            <w:shd w:val="clear" w:color="auto" w:fill="auto"/>
            <w:noWrap/>
            <w:vAlign w:val="center"/>
          </w:tcPr>
          <w:p w14:paraId="2E998D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1073" w:type="dxa"/>
            <w:vMerge w:val="restart"/>
            <w:shd w:val="clear" w:color="auto" w:fill="FFFFFF"/>
            <w:vAlign w:val="center"/>
          </w:tcPr>
          <w:p w14:paraId="6594CE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警示之塔：读书角</w:t>
            </w:r>
          </w:p>
        </w:tc>
        <w:tc>
          <w:tcPr>
            <w:tcW w:w="2143" w:type="dxa"/>
            <w:shd w:val="clear" w:color="auto" w:fill="FFFFFF"/>
            <w:vAlign w:val="center"/>
          </w:tcPr>
          <w:p w14:paraId="380FDD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纳米级多孔硅藻矿物抗碱壁材</w:t>
            </w:r>
          </w:p>
        </w:tc>
        <w:tc>
          <w:tcPr>
            <w:tcW w:w="2050" w:type="dxa"/>
            <w:shd w:val="clear" w:color="auto" w:fill="FFFFFF"/>
            <w:vAlign w:val="center"/>
          </w:tcPr>
          <w:p w14:paraId="5F3BA85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2.1*2.95M</w:t>
            </w:r>
          </w:p>
          <w:p w14:paraId="754AAD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1.2*2.95M</w:t>
            </w:r>
          </w:p>
        </w:tc>
        <w:tc>
          <w:tcPr>
            <w:tcW w:w="512" w:type="dxa"/>
            <w:shd w:val="clear" w:color="auto" w:fill="auto"/>
            <w:vAlign w:val="center"/>
          </w:tcPr>
          <w:p w14:paraId="08FDFF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auto"/>
            <w:noWrap/>
            <w:vAlign w:val="center"/>
          </w:tcPr>
          <w:p w14:paraId="307926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9.74</w:t>
            </w:r>
          </w:p>
        </w:tc>
        <w:tc>
          <w:tcPr>
            <w:tcW w:w="4428" w:type="dxa"/>
            <w:vMerge w:val="restart"/>
            <w:shd w:val="clear" w:color="auto" w:fill="FFFFFF"/>
            <w:vAlign w:val="center"/>
          </w:tcPr>
          <w:p w14:paraId="496815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1.扫码听书墙面纳米级多孔硅藻矿物抗碱壁材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2.洞洞板装饰置物架定制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3.吊杆亚克力灯箱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4.10+5mm耐候亚克力高透水晶立体激光雕刻字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5.5mm耐候亚克力立体激光雕刻字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6.钛金激光雕刻贴片字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7.10mm高密安迪板UV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0E815CC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rPr>
              <w:drawing>
                <wp:anchor distT="0" distB="0" distL="114300" distR="114300" simplePos="0" relativeHeight="251666432" behindDoc="1" locked="0" layoutInCell="1" allowOverlap="1">
                  <wp:simplePos x="0" y="0"/>
                  <wp:positionH relativeFrom="column">
                    <wp:posOffset>58420</wp:posOffset>
                  </wp:positionH>
                  <wp:positionV relativeFrom="paragraph">
                    <wp:posOffset>546100</wp:posOffset>
                  </wp:positionV>
                  <wp:extent cx="1651000" cy="968375"/>
                  <wp:effectExtent l="0" t="0" r="10160" b="6985"/>
                  <wp:wrapTight wrapText="bothSides">
                    <wp:wrapPolygon>
                      <wp:start x="0" y="0"/>
                      <wp:lineTo x="0" y="21416"/>
                      <wp:lineTo x="21334" y="21416"/>
                      <wp:lineTo x="21334" y="0"/>
                      <wp:lineTo x="0" y="0"/>
                    </wp:wrapPolygon>
                  </wp:wrapTight>
                  <wp:docPr id="1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6"/>
                          <pic:cNvPicPr>
                            <a:picLocks noChangeAspect="1"/>
                          </pic:cNvPicPr>
                        </pic:nvPicPr>
                        <pic:blipFill>
                          <a:blip r:embed="rId30"/>
                          <a:srcRect t="21851"/>
                          <a:stretch>
                            <a:fillRect/>
                          </a:stretch>
                        </pic:blipFill>
                        <pic:spPr>
                          <a:xfrm>
                            <a:off x="0" y="0"/>
                            <a:ext cx="1651000" cy="968375"/>
                          </a:xfrm>
                          <a:prstGeom prst="rect">
                            <a:avLst/>
                          </a:prstGeom>
                          <a:noFill/>
                          <a:ln w="9525">
                            <a:noFill/>
                          </a:ln>
                        </pic:spPr>
                      </pic:pic>
                    </a:graphicData>
                  </a:graphic>
                </wp:anchor>
              </w:drawing>
            </w:r>
          </w:p>
        </w:tc>
      </w:tr>
      <w:tr w14:paraId="356FC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09" w:type="dxa"/>
            <w:shd w:val="clear" w:color="auto" w:fill="auto"/>
            <w:noWrap/>
            <w:vAlign w:val="center"/>
          </w:tcPr>
          <w:p w14:paraId="48C7FD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1073" w:type="dxa"/>
            <w:vMerge w:val="continue"/>
            <w:shd w:val="clear" w:color="auto" w:fill="FFFFFF"/>
            <w:vAlign w:val="center"/>
          </w:tcPr>
          <w:p w14:paraId="1C9EFCFD">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6E102E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洞洞板装饰置物架</w:t>
            </w:r>
          </w:p>
        </w:tc>
        <w:tc>
          <w:tcPr>
            <w:tcW w:w="2050" w:type="dxa"/>
            <w:shd w:val="clear" w:color="auto" w:fill="FFFFFF"/>
            <w:vAlign w:val="center"/>
          </w:tcPr>
          <w:p w14:paraId="7A02CD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1*1.6米</w:t>
            </w:r>
          </w:p>
        </w:tc>
        <w:tc>
          <w:tcPr>
            <w:tcW w:w="512" w:type="dxa"/>
            <w:shd w:val="clear" w:color="auto" w:fill="auto"/>
            <w:vAlign w:val="center"/>
          </w:tcPr>
          <w:p w14:paraId="144A29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auto"/>
            <w:noWrap/>
            <w:vAlign w:val="center"/>
          </w:tcPr>
          <w:p w14:paraId="551864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4428" w:type="dxa"/>
            <w:vMerge w:val="continue"/>
            <w:shd w:val="clear" w:color="auto" w:fill="FFFFFF"/>
            <w:vAlign w:val="center"/>
          </w:tcPr>
          <w:p w14:paraId="41E23E6D">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40151DF6">
            <w:pPr>
              <w:jc w:val="center"/>
              <w:rPr>
                <w:rFonts w:hint="eastAsia" w:ascii="宋体" w:hAnsi="宋体" w:eastAsia="宋体" w:cs="宋体"/>
                <w:b/>
                <w:bCs/>
                <w:i w:val="0"/>
                <w:iCs w:val="0"/>
                <w:color w:val="000000"/>
                <w:sz w:val="18"/>
                <w:szCs w:val="18"/>
                <w:u w:val="none"/>
              </w:rPr>
            </w:pPr>
          </w:p>
        </w:tc>
      </w:tr>
      <w:tr w14:paraId="32DE6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609" w:type="dxa"/>
            <w:shd w:val="clear" w:color="auto" w:fill="auto"/>
            <w:noWrap/>
            <w:vAlign w:val="center"/>
          </w:tcPr>
          <w:p w14:paraId="5D5FCE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1073" w:type="dxa"/>
            <w:vMerge w:val="continue"/>
            <w:shd w:val="clear" w:color="auto" w:fill="FFFFFF"/>
            <w:vAlign w:val="center"/>
          </w:tcPr>
          <w:p w14:paraId="321E320C">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5069E4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10mm高密安迪板UV</w:t>
            </w:r>
          </w:p>
        </w:tc>
        <w:tc>
          <w:tcPr>
            <w:tcW w:w="2050" w:type="dxa"/>
            <w:shd w:val="clear" w:color="auto" w:fill="FFFFFF"/>
            <w:vAlign w:val="center"/>
          </w:tcPr>
          <w:p w14:paraId="00A162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0.7*1.6米</w:t>
            </w:r>
          </w:p>
        </w:tc>
        <w:tc>
          <w:tcPr>
            <w:tcW w:w="512" w:type="dxa"/>
            <w:shd w:val="clear" w:color="auto" w:fill="auto"/>
            <w:vAlign w:val="center"/>
          </w:tcPr>
          <w:p w14:paraId="5A466D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auto"/>
            <w:noWrap/>
            <w:vAlign w:val="center"/>
          </w:tcPr>
          <w:p w14:paraId="2E54D2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w:t>
            </w:r>
          </w:p>
        </w:tc>
        <w:tc>
          <w:tcPr>
            <w:tcW w:w="4428" w:type="dxa"/>
            <w:vMerge w:val="continue"/>
            <w:shd w:val="clear" w:color="auto" w:fill="FFFFFF"/>
            <w:vAlign w:val="center"/>
          </w:tcPr>
          <w:p w14:paraId="35423E52">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631C4F4A">
            <w:pPr>
              <w:jc w:val="center"/>
              <w:rPr>
                <w:rFonts w:hint="eastAsia" w:ascii="宋体" w:hAnsi="宋体" w:eastAsia="宋体" w:cs="宋体"/>
                <w:b/>
                <w:bCs/>
                <w:i w:val="0"/>
                <w:iCs w:val="0"/>
                <w:color w:val="000000"/>
                <w:sz w:val="18"/>
                <w:szCs w:val="18"/>
                <w:u w:val="none"/>
              </w:rPr>
            </w:pPr>
          </w:p>
        </w:tc>
      </w:tr>
      <w:tr w14:paraId="5B2AC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0" w:hRule="atLeast"/>
        </w:trPr>
        <w:tc>
          <w:tcPr>
            <w:tcW w:w="609" w:type="dxa"/>
            <w:shd w:val="clear" w:color="auto" w:fill="auto"/>
            <w:noWrap/>
            <w:vAlign w:val="center"/>
          </w:tcPr>
          <w:p w14:paraId="20BE1E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1073" w:type="dxa"/>
            <w:vMerge w:val="continue"/>
            <w:shd w:val="clear" w:color="auto" w:fill="FFFFFF"/>
            <w:vAlign w:val="center"/>
          </w:tcPr>
          <w:p w14:paraId="4642E443">
            <w:pPr>
              <w:jc w:val="center"/>
              <w:rPr>
                <w:rFonts w:hint="eastAsia" w:ascii="宋体" w:hAnsi="宋体" w:eastAsia="宋体" w:cs="宋体"/>
                <w:i w:val="0"/>
                <w:iCs w:val="0"/>
                <w:color w:val="000000"/>
                <w:sz w:val="20"/>
                <w:szCs w:val="20"/>
                <w:u w:val="none"/>
              </w:rPr>
            </w:pPr>
          </w:p>
        </w:tc>
        <w:tc>
          <w:tcPr>
            <w:tcW w:w="2143" w:type="dxa"/>
            <w:vMerge w:val="restart"/>
            <w:shd w:val="clear" w:color="auto" w:fill="FFFFFF"/>
            <w:vAlign w:val="center"/>
          </w:tcPr>
          <w:p w14:paraId="5918524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10+5MM亚克力水晶</w:t>
            </w:r>
          </w:p>
          <w:p w14:paraId="0460F2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立体字</w:t>
            </w:r>
          </w:p>
        </w:tc>
        <w:tc>
          <w:tcPr>
            <w:tcW w:w="2050" w:type="dxa"/>
            <w:shd w:val="clear" w:color="auto" w:fill="FFFFFF"/>
            <w:vAlign w:val="center"/>
          </w:tcPr>
          <w:p w14:paraId="4EEA5A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高：12cm</w:t>
            </w:r>
          </w:p>
        </w:tc>
        <w:tc>
          <w:tcPr>
            <w:tcW w:w="512" w:type="dxa"/>
            <w:shd w:val="clear" w:color="auto" w:fill="auto"/>
            <w:vAlign w:val="center"/>
          </w:tcPr>
          <w:p w14:paraId="0C03AB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auto"/>
            <w:noWrap/>
            <w:vAlign w:val="center"/>
          </w:tcPr>
          <w:p w14:paraId="76035E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4428" w:type="dxa"/>
            <w:vMerge w:val="continue"/>
            <w:shd w:val="clear" w:color="auto" w:fill="FFFFFF"/>
            <w:vAlign w:val="center"/>
          </w:tcPr>
          <w:p w14:paraId="1D6579D2">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58E16DDA">
            <w:pPr>
              <w:jc w:val="center"/>
              <w:rPr>
                <w:rFonts w:hint="eastAsia" w:ascii="宋体" w:hAnsi="宋体" w:eastAsia="宋体" w:cs="宋体"/>
                <w:b/>
                <w:bCs/>
                <w:i w:val="0"/>
                <w:iCs w:val="0"/>
                <w:color w:val="000000"/>
                <w:sz w:val="18"/>
                <w:szCs w:val="18"/>
                <w:u w:val="none"/>
              </w:rPr>
            </w:pPr>
          </w:p>
        </w:tc>
      </w:tr>
      <w:tr w14:paraId="3CD5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09" w:type="dxa"/>
            <w:shd w:val="clear" w:color="auto" w:fill="auto"/>
            <w:noWrap/>
            <w:vAlign w:val="center"/>
          </w:tcPr>
          <w:p w14:paraId="319800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1073" w:type="dxa"/>
            <w:vMerge w:val="continue"/>
            <w:shd w:val="clear" w:color="auto" w:fill="FFFFFF"/>
            <w:vAlign w:val="center"/>
          </w:tcPr>
          <w:p w14:paraId="0B600BBD">
            <w:pPr>
              <w:jc w:val="center"/>
              <w:rPr>
                <w:rFonts w:hint="eastAsia" w:ascii="宋体" w:hAnsi="宋体" w:eastAsia="宋体" w:cs="宋体"/>
                <w:i w:val="0"/>
                <w:iCs w:val="0"/>
                <w:color w:val="000000"/>
                <w:sz w:val="20"/>
                <w:szCs w:val="20"/>
                <w:u w:val="none"/>
              </w:rPr>
            </w:pPr>
          </w:p>
        </w:tc>
        <w:tc>
          <w:tcPr>
            <w:tcW w:w="2143" w:type="dxa"/>
            <w:vMerge w:val="continue"/>
            <w:shd w:val="clear" w:color="auto" w:fill="FFFFFF"/>
            <w:vAlign w:val="center"/>
          </w:tcPr>
          <w:p w14:paraId="2E8ACEB4">
            <w:pPr>
              <w:jc w:val="center"/>
              <w:rPr>
                <w:rFonts w:hint="eastAsia" w:ascii="宋体" w:hAnsi="宋体" w:eastAsia="宋体" w:cs="宋体"/>
                <w:i w:val="0"/>
                <w:iCs w:val="0"/>
                <w:color w:val="000000"/>
                <w:sz w:val="20"/>
                <w:szCs w:val="20"/>
                <w:u w:val="none"/>
              </w:rPr>
            </w:pPr>
          </w:p>
        </w:tc>
        <w:tc>
          <w:tcPr>
            <w:tcW w:w="2050" w:type="dxa"/>
            <w:shd w:val="clear" w:color="auto" w:fill="FFFFFF"/>
            <w:vAlign w:val="center"/>
          </w:tcPr>
          <w:p w14:paraId="48030D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高：8cm</w:t>
            </w:r>
          </w:p>
        </w:tc>
        <w:tc>
          <w:tcPr>
            <w:tcW w:w="512" w:type="dxa"/>
            <w:shd w:val="clear" w:color="auto" w:fill="auto"/>
            <w:vAlign w:val="center"/>
          </w:tcPr>
          <w:p w14:paraId="7D61A6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auto"/>
            <w:noWrap/>
            <w:vAlign w:val="center"/>
          </w:tcPr>
          <w:p w14:paraId="159B91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4428" w:type="dxa"/>
            <w:vMerge w:val="continue"/>
            <w:shd w:val="clear" w:color="auto" w:fill="FFFFFF"/>
            <w:vAlign w:val="center"/>
          </w:tcPr>
          <w:p w14:paraId="01CD8B7D">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5D45DBFB">
            <w:pPr>
              <w:jc w:val="center"/>
              <w:rPr>
                <w:rFonts w:hint="eastAsia" w:ascii="宋体" w:hAnsi="宋体" w:eastAsia="宋体" w:cs="宋体"/>
                <w:b/>
                <w:bCs/>
                <w:i w:val="0"/>
                <w:iCs w:val="0"/>
                <w:color w:val="000000"/>
                <w:sz w:val="18"/>
                <w:szCs w:val="18"/>
                <w:u w:val="none"/>
              </w:rPr>
            </w:pPr>
          </w:p>
        </w:tc>
      </w:tr>
      <w:tr w14:paraId="0520D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09" w:type="dxa"/>
            <w:shd w:val="clear" w:color="auto" w:fill="auto"/>
            <w:noWrap/>
            <w:vAlign w:val="center"/>
          </w:tcPr>
          <w:p w14:paraId="015F4D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1073" w:type="dxa"/>
            <w:vMerge w:val="continue"/>
            <w:shd w:val="clear" w:color="auto" w:fill="FFFFFF"/>
            <w:vAlign w:val="center"/>
          </w:tcPr>
          <w:p w14:paraId="0222059A">
            <w:pPr>
              <w:jc w:val="center"/>
              <w:rPr>
                <w:rFonts w:hint="eastAsia" w:ascii="宋体" w:hAnsi="宋体" w:eastAsia="宋体" w:cs="宋体"/>
                <w:i w:val="0"/>
                <w:iCs w:val="0"/>
                <w:color w:val="000000"/>
                <w:sz w:val="20"/>
                <w:szCs w:val="20"/>
                <w:u w:val="none"/>
              </w:rPr>
            </w:pPr>
          </w:p>
        </w:tc>
        <w:tc>
          <w:tcPr>
            <w:tcW w:w="2143" w:type="dxa"/>
            <w:vMerge w:val="restart"/>
            <w:shd w:val="clear" w:color="auto" w:fill="FFFFFF"/>
            <w:vAlign w:val="center"/>
          </w:tcPr>
          <w:p w14:paraId="6E0CAE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钛金贴片字</w:t>
            </w:r>
          </w:p>
        </w:tc>
        <w:tc>
          <w:tcPr>
            <w:tcW w:w="2050" w:type="dxa"/>
            <w:shd w:val="clear" w:color="auto" w:fill="FFFFFF"/>
            <w:vAlign w:val="center"/>
          </w:tcPr>
          <w:p w14:paraId="4326AC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高：12cm</w:t>
            </w:r>
          </w:p>
        </w:tc>
        <w:tc>
          <w:tcPr>
            <w:tcW w:w="512" w:type="dxa"/>
            <w:shd w:val="clear" w:color="auto" w:fill="FFFFFF"/>
            <w:vAlign w:val="center"/>
          </w:tcPr>
          <w:p w14:paraId="11849E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1734D2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4428" w:type="dxa"/>
            <w:vMerge w:val="continue"/>
            <w:shd w:val="clear" w:color="auto" w:fill="FFFFFF"/>
            <w:vAlign w:val="center"/>
          </w:tcPr>
          <w:p w14:paraId="16E1BB30">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00B916AA">
            <w:pPr>
              <w:jc w:val="center"/>
              <w:rPr>
                <w:rFonts w:hint="eastAsia" w:ascii="宋体" w:hAnsi="宋体" w:eastAsia="宋体" w:cs="宋体"/>
                <w:b/>
                <w:bCs/>
                <w:i w:val="0"/>
                <w:iCs w:val="0"/>
                <w:color w:val="000000"/>
                <w:sz w:val="18"/>
                <w:szCs w:val="18"/>
                <w:u w:val="none"/>
              </w:rPr>
            </w:pPr>
          </w:p>
        </w:tc>
      </w:tr>
      <w:tr w14:paraId="7791B135">
        <w:tblPrEx>
          <w:tblCellMar>
            <w:top w:w="0" w:type="dxa"/>
            <w:left w:w="108" w:type="dxa"/>
            <w:bottom w:w="0" w:type="dxa"/>
            <w:right w:w="108" w:type="dxa"/>
          </w:tblCellMar>
        </w:tblPrEx>
        <w:trPr>
          <w:trHeight w:val="420" w:hRule="atLeast"/>
        </w:trPr>
        <w:tc>
          <w:tcPr>
            <w:tcW w:w="609" w:type="dxa"/>
            <w:shd w:val="clear" w:color="auto" w:fill="auto"/>
            <w:noWrap/>
            <w:vAlign w:val="center"/>
          </w:tcPr>
          <w:p w14:paraId="41693B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1073" w:type="dxa"/>
            <w:vMerge w:val="continue"/>
            <w:shd w:val="clear" w:color="auto" w:fill="FFFFFF"/>
            <w:vAlign w:val="center"/>
          </w:tcPr>
          <w:p w14:paraId="39FF6ED4">
            <w:pPr>
              <w:jc w:val="center"/>
              <w:rPr>
                <w:rFonts w:hint="eastAsia" w:ascii="宋体" w:hAnsi="宋体" w:eastAsia="宋体" w:cs="宋体"/>
                <w:i w:val="0"/>
                <w:iCs w:val="0"/>
                <w:color w:val="000000"/>
                <w:sz w:val="20"/>
                <w:szCs w:val="20"/>
                <w:u w:val="none"/>
              </w:rPr>
            </w:pPr>
          </w:p>
        </w:tc>
        <w:tc>
          <w:tcPr>
            <w:tcW w:w="2143" w:type="dxa"/>
            <w:vMerge w:val="continue"/>
            <w:shd w:val="clear" w:color="auto" w:fill="FFFFFF"/>
            <w:vAlign w:val="center"/>
          </w:tcPr>
          <w:p w14:paraId="1F2B98FF">
            <w:pPr>
              <w:jc w:val="center"/>
              <w:rPr>
                <w:rFonts w:hint="eastAsia" w:ascii="宋体" w:hAnsi="宋体" w:eastAsia="宋体" w:cs="宋体"/>
                <w:i w:val="0"/>
                <w:iCs w:val="0"/>
                <w:color w:val="000000"/>
                <w:sz w:val="20"/>
                <w:szCs w:val="20"/>
                <w:u w:val="none"/>
              </w:rPr>
            </w:pPr>
          </w:p>
        </w:tc>
        <w:tc>
          <w:tcPr>
            <w:tcW w:w="2050" w:type="dxa"/>
            <w:shd w:val="clear" w:color="auto" w:fill="FFFFFF"/>
            <w:vAlign w:val="center"/>
          </w:tcPr>
          <w:p w14:paraId="4FD100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高：8cm</w:t>
            </w:r>
          </w:p>
        </w:tc>
        <w:tc>
          <w:tcPr>
            <w:tcW w:w="512" w:type="dxa"/>
            <w:shd w:val="clear" w:color="auto" w:fill="FFFFFF"/>
            <w:vAlign w:val="center"/>
          </w:tcPr>
          <w:p w14:paraId="122D54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3803D1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4428" w:type="dxa"/>
            <w:vMerge w:val="continue"/>
            <w:shd w:val="clear" w:color="auto" w:fill="FFFFFF"/>
            <w:vAlign w:val="center"/>
          </w:tcPr>
          <w:p w14:paraId="0C2AF45F">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287F930D">
            <w:pPr>
              <w:jc w:val="center"/>
              <w:rPr>
                <w:rFonts w:hint="eastAsia" w:ascii="宋体" w:hAnsi="宋体" w:eastAsia="宋体" w:cs="宋体"/>
                <w:b/>
                <w:bCs/>
                <w:i w:val="0"/>
                <w:iCs w:val="0"/>
                <w:color w:val="000000"/>
                <w:sz w:val="18"/>
                <w:szCs w:val="18"/>
                <w:u w:val="none"/>
              </w:rPr>
            </w:pPr>
          </w:p>
        </w:tc>
      </w:tr>
      <w:tr w14:paraId="34B76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09" w:type="dxa"/>
            <w:shd w:val="clear" w:color="auto" w:fill="auto"/>
            <w:noWrap/>
            <w:vAlign w:val="center"/>
          </w:tcPr>
          <w:p w14:paraId="292008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1073" w:type="dxa"/>
            <w:vMerge w:val="continue"/>
            <w:shd w:val="clear" w:color="auto" w:fill="FFFFFF"/>
            <w:vAlign w:val="center"/>
          </w:tcPr>
          <w:p w14:paraId="45AF40D0">
            <w:pPr>
              <w:jc w:val="center"/>
              <w:rPr>
                <w:rFonts w:hint="eastAsia" w:ascii="宋体" w:hAnsi="宋体" w:eastAsia="宋体" w:cs="宋体"/>
                <w:i w:val="0"/>
                <w:iCs w:val="0"/>
                <w:color w:val="000000"/>
                <w:sz w:val="20"/>
                <w:szCs w:val="20"/>
                <w:u w:val="none"/>
              </w:rPr>
            </w:pPr>
          </w:p>
        </w:tc>
        <w:tc>
          <w:tcPr>
            <w:tcW w:w="2143" w:type="dxa"/>
            <w:vMerge w:val="restart"/>
            <w:shd w:val="clear" w:color="auto" w:fill="FFFFFF"/>
            <w:vAlign w:val="center"/>
          </w:tcPr>
          <w:p w14:paraId="6DBE8C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5mm亚克力立体字</w:t>
            </w:r>
          </w:p>
        </w:tc>
        <w:tc>
          <w:tcPr>
            <w:tcW w:w="2050" w:type="dxa"/>
            <w:shd w:val="clear" w:color="auto" w:fill="FFFFFF"/>
            <w:vAlign w:val="center"/>
          </w:tcPr>
          <w:p w14:paraId="46EED6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高：12cm</w:t>
            </w:r>
          </w:p>
        </w:tc>
        <w:tc>
          <w:tcPr>
            <w:tcW w:w="512" w:type="dxa"/>
            <w:shd w:val="clear" w:color="auto" w:fill="auto"/>
            <w:vAlign w:val="center"/>
          </w:tcPr>
          <w:p w14:paraId="6FE544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auto"/>
            <w:noWrap/>
            <w:vAlign w:val="center"/>
          </w:tcPr>
          <w:p w14:paraId="39AB3D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4428" w:type="dxa"/>
            <w:vMerge w:val="continue"/>
            <w:shd w:val="clear" w:color="auto" w:fill="FFFFFF"/>
            <w:vAlign w:val="center"/>
          </w:tcPr>
          <w:p w14:paraId="2428BE99">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2190E4AA">
            <w:pPr>
              <w:jc w:val="center"/>
              <w:rPr>
                <w:rFonts w:hint="eastAsia" w:ascii="宋体" w:hAnsi="宋体" w:eastAsia="宋体" w:cs="宋体"/>
                <w:b/>
                <w:bCs/>
                <w:i w:val="0"/>
                <w:iCs w:val="0"/>
                <w:color w:val="000000"/>
                <w:sz w:val="18"/>
                <w:szCs w:val="18"/>
                <w:u w:val="none"/>
              </w:rPr>
            </w:pPr>
          </w:p>
        </w:tc>
      </w:tr>
      <w:tr w14:paraId="79506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09" w:type="dxa"/>
            <w:shd w:val="clear" w:color="auto" w:fill="auto"/>
            <w:noWrap/>
            <w:vAlign w:val="center"/>
          </w:tcPr>
          <w:p w14:paraId="7D12C0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1073" w:type="dxa"/>
            <w:vMerge w:val="continue"/>
            <w:shd w:val="clear" w:color="auto" w:fill="FFFFFF"/>
            <w:vAlign w:val="center"/>
          </w:tcPr>
          <w:p w14:paraId="6AC518C9">
            <w:pPr>
              <w:jc w:val="center"/>
              <w:rPr>
                <w:rFonts w:hint="eastAsia" w:ascii="宋体" w:hAnsi="宋体" w:eastAsia="宋体" w:cs="宋体"/>
                <w:i w:val="0"/>
                <w:iCs w:val="0"/>
                <w:color w:val="000000"/>
                <w:sz w:val="20"/>
                <w:szCs w:val="20"/>
                <w:u w:val="none"/>
              </w:rPr>
            </w:pPr>
          </w:p>
        </w:tc>
        <w:tc>
          <w:tcPr>
            <w:tcW w:w="2143" w:type="dxa"/>
            <w:vMerge w:val="continue"/>
            <w:shd w:val="clear" w:color="auto" w:fill="FFFFFF"/>
            <w:vAlign w:val="center"/>
          </w:tcPr>
          <w:p w14:paraId="307DDAFE">
            <w:pPr>
              <w:jc w:val="center"/>
              <w:rPr>
                <w:rFonts w:hint="eastAsia" w:ascii="宋体" w:hAnsi="宋体" w:eastAsia="宋体" w:cs="宋体"/>
                <w:i w:val="0"/>
                <w:iCs w:val="0"/>
                <w:color w:val="000000"/>
                <w:sz w:val="20"/>
                <w:szCs w:val="20"/>
                <w:u w:val="none"/>
              </w:rPr>
            </w:pPr>
          </w:p>
        </w:tc>
        <w:tc>
          <w:tcPr>
            <w:tcW w:w="2050" w:type="dxa"/>
            <w:shd w:val="clear" w:color="auto" w:fill="FFFFFF"/>
            <w:vAlign w:val="center"/>
          </w:tcPr>
          <w:p w14:paraId="74E150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高：5cm</w:t>
            </w:r>
          </w:p>
        </w:tc>
        <w:tc>
          <w:tcPr>
            <w:tcW w:w="512" w:type="dxa"/>
            <w:shd w:val="clear" w:color="auto" w:fill="auto"/>
            <w:vAlign w:val="center"/>
          </w:tcPr>
          <w:p w14:paraId="30397E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auto"/>
            <w:noWrap/>
            <w:vAlign w:val="center"/>
          </w:tcPr>
          <w:p w14:paraId="59A145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4428" w:type="dxa"/>
            <w:vMerge w:val="continue"/>
            <w:shd w:val="clear" w:color="auto" w:fill="FFFFFF"/>
            <w:vAlign w:val="center"/>
          </w:tcPr>
          <w:p w14:paraId="16EC3453">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6C2FDCBA">
            <w:pPr>
              <w:jc w:val="center"/>
              <w:rPr>
                <w:rFonts w:hint="eastAsia" w:ascii="宋体" w:hAnsi="宋体" w:eastAsia="宋体" w:cs="宋体"/>
                <w:b/>
                <w:bCs/>
                <w:i w:val="0"/>
                <w:iCs w:val="0"/>
                <w:color w:val="000000"/>
                <w:sz w:val="18"/>
                <w:szCs w:val="18"/>
                <w:u w:val="none"/>
              </w:rPr>
            </w:pPr>
          </w:p>
        </w:tc>
      </w:tr>
      <w:tr w14:paraId="2F29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609" w:type="dxa"/>
            <w:shd w:val="clear" w:color="auto" w:fill="auto"/>
            <w:noWrap/>
            <w:vAlign w:val="center"/>
          </w:tcPr>
          <w:p w14:paraId="0EE509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1073" w:type="dxa"/>
            <w:vMerge w:val="continue"/>
            <w:shd w:val="clear" w:color="auto" w:fill="FFFFFF"/>
            <w:vAlign w:val="center"/>
          </w:tcPr>
          <w:p w14:paraId="29AF7047">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71F362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吊杆灯箱</w:t>
            </w:r>
          </w:p>
        </w:tc>
        <w:tc>
          <w:tcPr>
            <w:tcW w:w="2050" w:type="dxa"/>
            <w:shd w:val="clear" w:color="auto" w:fill="FFFFFF"/>
            <w:vAlign w:val="center"/>
          </w:tcPr>
          <w:p w14:paraId="7C55BB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1.68*0.94m</w:t>
            </w:r>
          </w:p>
        </w:tc>
        <w:tc>
          <w:tcPr>
            <w:tcW w:w="512" w:type="dxa"/>
            <w:shd w:val="clear" w:color="auto" w:fill="auto"/>
            <w:vAlign w:val="center"/>
          </w:tcPr>
          <w:p w14:paraId="3ED65B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44" w:type="dxa"/>
            <w:shd w:val="clear" w:color="auto" w:fill="auto"/>
            <w:noWrap/>
            <w:vAlign w:val="center"/>
          </w:tcPr>
          <w:p w14:paraId="7FA8C0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28" w:type="dxa"/>
            <w:vMerge w:val="continue"/>
            <w:shd w:val="clear" w:color="auto" w:fill="FFFFFF"/>
            <w:vAlign w:val="center"/>
          </w:tcPr>
          <w:p w14:paraId="3DDA107E">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00D842E5">
            <w:pPr>
              <w:jc w:val="center"/>
              <w:rPr>
                <w:rFonts w:hint="eastAsia" w:ascii="宋体" w:hAnsi="宋体" w:eastAsia="宋体" w:cs="宋体"/>
                <w:b/>
                <w:bCs/>
                <w:i w:val="0"/>
                <w:iCs w:val="0"/>
                <w:color w:val="000000"/>
                <w:sz w:val="18"/>
                <w:szCs w:val="18"/>
                <w:u w:val="none"/>
              </w:rPr>
            </w:pPr>
          </w:p>
        </w:tc>
      </w:tr>
      <w:tr w14:paraId="6DE0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trPr>
        <w:tc>
          <w:tcPr>
            <w:tcW w:w="609" w:type="dxa"/>
            <w:shd w:val="clear" w:color="auto" w:fill="auto"/>
            <w:noWrap/>
            <w:vAlign w:val="center"/>
          </w:tcPr>
          <w:p w14:paraId="5DBC98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1073" w:type="dxa"/>
            <w:vMerge w:val="continue"/>
            <w:shd w:val="clear" w:color="auto" w:fill="FFFFFF"/>
            <w:vAlign w:val="center"/>
          </w:tcPr>
          <w:p w14:paraId="7AE15B81">
            <w:pPr>
              <w:jc w:val="center"/>
              <w:rPr>
                <w:rFonts w:hint="eastAsia" w:ascii="宋体" w:hAnsi="宋体" w:eastAsia="宋体" w:cs="宋体"/>
                <w:i w:val="0"/>
                <w:iCs w:val="0"/>
                <w:color w:val="000000"/>
                <w:sz w:val="20"/>
                <w:szCs w:val="20"/>
                <w:u w:val="none"/>
              </w:rPr>
            </w:pPr>
          </w:p>
        </w:tc>
        <w:tc>
          <w:tcPr>
            <w:tcW w:w="2143" w:type="dxa"/>
            <w:shd w:val="clear" w:color="auto" w:fill="auto"/>
            <w:noWrap/>
            <w:vAlign w:val="center"/>
          </w:tcPr>
          <w:p w14:paraId="131118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书造型灯箱</w:t>
            </w:r>
          </w:p>
        </w:tc>
        <w:tc>
          <w:tcPr>
            <w:tcW w:w="2050" w:type="dxa"/>
            <w:shd w:val="clear" w:color="auto" w:fill="auto"/>
            <w:vAlign w:val="center"/>
          </w:tcPr>
          <w:p w14:paraId="09AF186C">
            <w:pPr>
              <w:jc w:val="center"/>
              <w:rPr>
                <w:rFonts w:hint="eastAsia" w:ascii="宋体" w:hAnsi="宋体" w:eastAsia="宋体" w:cs="宋体"/>
                <w:i w:val="0"/>
                <w:iCs w:val="0"/>
                <w:color w:val="000000"/>
                <w:sz w:val="20"/>
                <w:szCs w:val="20"/>
                <w:u w:val="none"/>
              </w:rPr>
            </w:pPr>
          </w:p>
        </w:tc>
        <w:tc>
          <w:tcPr>
            <w:tcW w:w="512" w:type="dxa"/>
            <w:shd w:val="clear" w:color="auto" w:fill="auto"/>
            <w:vAlign w:val="center"/>
          </w:tcPr>
          <w:p w14:paraId="4BD9DE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44" w:type="dxa"/>
            <w:shd w:val="clear" w:color="auto" w:fill="auto"/>
            <w:noWrap/>
            <w:vAlign w:val="center"/>
          </w:tcPr>
          <w:p w14:paraId="0A56B7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428" w:type="dxa"/>
            <w:shd w:val="clear" w:color="auto" w:fill="auto"/>
            <w:vAlign w:val="center"/>
          </w:tcPr>
          <w:p w14:paraId="4E5E44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1.1.2mm201抗氧化不锈钢精密焊接，精工打磨，表面烤漆高温固化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2.5mm亚克力面板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3.灯箱内置恒压发光电源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4.膨胀螺丝安装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04BFC2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94615</wp:posOffset>
                  </wp:positionH>
                  <wp:positionV relativeFrom="paragraph">
                    <wp:posOffset>183515</wp:posOffset>
                  </wp:positionV>
                  <wp:extent cx="1401445" cy="579755"/>
                  <wp:effectExtent l="0" t="0" r="635" b="14605"/>
                  <wp:wrapNone/>
                  <wp:docPr id="6" name="图片_35"/>
                  <wp:cNvGraphicFramePr/>
                  <a:graphic xmlns:a="http://schemas.openxmlformats.org/drawingml/2006/main">
                    <a:graphicData uri="http://schemas.openxmlformats.org/drawingml/2006/picture">
                      <pic:pic xmlns:pic="http://schemas.openxmlformats.org/drawingml/2006/picture">
                        <pic:nvPicPr>
                          <pic:cNvPr id="6" name="图片_35"/>
                          <pic:cNvPicPr/>
                        </pic:nvPicPr>
                        <pic:blipFill>
                          <a:blip r:embed="rId31"/>
                          <a:stretch>
                            <a:fillRect/>
                          </a:stretch>
                        </pic:blipFill>
                        <pic:spPr>
                          <a:xfrm>
                            <a:off x="0" y="0"/>
                            <a:ext cx="1401445" cy="57975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835025</wp:posOffset>
                  </wp:positionV>
                  <wp:extent cx="1282700" cy="849630"/>
                  <wp:effectExtent l="0" t="0" r="12700" b="3810"/>
                  <wp:wrapNone/>
                  <wp:docPr id="7" name="图片_41"/>
                  <wp:cNvGraphicFramePr/>
                  <a:graphic xmlns:a="http://schemas.openxmlformats.org/drawingml/2006/main">
                    <a:graphicData uri="http://schemas.openxmlformats.org/drawingml/2006/picture">
                      <pic:pic xmlns:pic="http://schemas.openxmlformats.org/drawingml/2006/picture">
                        <pic:nvPicPr>
                          <pic:cNvPr id="7" name="图片_41"/>
                          <pic:cNvPicPr/>
                        </pic:nvPicPr>
                        <pic:blipFill>
                          <a:blip r:embed="rId32"/>
                          <a:stretch>
                            <a:fillRect/>
                          </a:stretch>
                        </pic:blipFill>
                        <pic:spPr>
                          <a:xfrm>
                            <a:off x="0" y="0"/>
                            <a:ext cx="1282700" cy="849630"/>
                          </a:xfrm>
                          <a:prstGeom prst="rect">
                            <a:avLst/>
                          </a:prstGeom>
                          <a:noFill/>
                          <a:ln>
                            <a:noFill/>
                          </a:ln>
                        </pic:spPr>
                      </pic:pic>
                    </a:graphicData>
                  </a:graphic>
                </wp:anchor>
              </w:drawing>
            </w:r>
          </w:p>
        </w:tc>
      </w:tr>
      <w:tr w14:paraId="46442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18" w:hRule="atLeast"/>
        </w:trPr>
        <w:tc>
          <w:tcPr>
            <w:tcW w:w="609" w:type="dxa"/>
            <w:shd w:val="clear" w:color="auto" w:fill="auto"/>
            <w:noWrap/>
            <w:vAlign w:val="center"/>
          </w:tcPr>
          <w:p w14:paraId="091E5C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1073" w:type="dxa"/>
            <w:vMerge w:val="continue"/>
            <w:shd w:val="clear" w:color="auto" w:fill="FFFFFF"/>
            <w:vAlign w:val="center"/>
          </w:tcPr>
          <w:p w14:paraId="07CFEE70">
            <w:pPr>
              <w:jc w:val="center"/>
              <w:rPr>
                <w:rFonts w:hint="eastAsia" w:ascii="宋体" w:hAnsi="宋体" w:eastAsia="宋体" w:cs="宋体"/>
                <w:i w:val="0"/>
                <w:iCs w:val="0"/>
                <w:color w:val="000000"/>
                <w:sz w:val="20"/>
                <w:szCs w:val="20"/>
                <w:u w:val="none"/>
              </w:rPr>
            </w:pPr>
          </w:p>
        </w:tc>
        <w:tc>
          <w:tcPr>
            <w:tcW w:w="2143" w:type="dxa"/>
            <w:shd w:val="clear" w:color="auto" w:fill="auto"/>
            <w:noWrap/>
            <w:vAlign w:val="center"/>
          </w:tcPr>
          <w:p w14:paraId="5B80A2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长条吧台桌定制</w:t>
            </w:r>
          </w:p>
        </w:tc>
        <w:tc>
          <w:tcPr>
            <w:tcW w:w="2050" w:type="dxa"/>
            <w:shd w:val="clear" w:color="auto" w:fill="auto"/>
            <w:vAlign w:val="center"/>
          </w:tcPr>
          <w:p w14:paraId="2CB900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3.2*1.1米高</w:t>
            </w:r>
          </w:p>
        </w:tc>
        <w:tc>
          <w:tcPr>
            <w:tcW w:w="512" w:type="dxa"/>
            <w:shd w:val="clear" w:color="auto" w:fill="auto"/>
            <w:vAlign w:val="center"/>
          </w:tcPr>
          <w:p w14:paraId="00186F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44" w:type="dxa"/>
            <w:shd w:val="clear" w:color="auto" w:fill="auto"/>
            <w:noWrap/>
            <w:vAlign w:val="center"/>
          </w:tcPr>
          <w:p w14:paraId="265643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28" w:type="dxa"/>
            <w:shd w:val="clear" w:color="auto" w:fill="auto"/>
            <w:vAlign w:val="center"/>
          </w:tcPr>
          <w:p w14:paraId="0B2F9B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1.实木简易吧台桌。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continue"/>
            <w:shd w:val="clear" w:color="auto" w:fill="auto"/>
            <w:noWrap/>
            <w:vAlign w:val="center"/>
          </w:tcPr>
          <w:p w14:paraId="116E32F3">
            <w:pPr>
              <w:jc w:val="center"/>
              <w:rPr>
                <w:rFonts w:hint="eastAsia" w:ascii="宋体" w:hAnsi="宋体" w:eastAsia="宋体" w:cs="宋体"/>
                <w:i w:val="0"/>
                <w:iCs w:val="0"/>
                <w:color w:val="000000"/>
                <w:sz w:val="18"/>
                <w:szCs w:val="18"/>
                <w:u w:val="none"/>
              </w:rPr>
            </w:pPr>
          </w:p>
        </w:tc>
      </w:tr>
      <w:tr w14:paraId="71DDA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1" w:hRule="atLeast"/>
        </w:trPr>
        <w:tc>
          <w:tcPr>
            <w:tcW w:w="609" w:type="dxa"/>
            <w:shd w:val="clear" w:color="auto" w:fill="auto"/>
            <w:noWrap/>
            <w:vAlign w:val="center"/>
          </w:tcPr>
          <w:p w14:paraId="475C99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1073" w:type="dxa"/>
            <w:vMerge w:val="continue"/>
            <w:shd w:val="clear" w:color="auto" w:fill="FFFFFF"/>
            <w:vAlign w:val="center"/>
          </w:tcPr>
          <w:p w14:paraId="14A85138">
            <w:pPr>
              <w:jc w:val="center"/>
              <w:rPr>
                <w:rFonts w:hint="eastAsia" w:ascii="宋体" w:hAnsi="宋体" w:eastAsia="宋体" w:cs="宋体"/>
                <w:i w:val="0"/>
                <w:iCs w:val="0"/>
                <w:color w:val="000000"/>
                <w:sz w:val="20"/>
                <w:szCs w:val="20"/>
                <w:u w:val="none"/>
              </w:rPr>
            </w:pPr>
          </w:p>
        </w:tc>
        <w:tc>
          <w:tcPr>
            <w:tcW w:w="2143" w:type="dxa"/>
            <w:shd w:val="clear" w:color="auto" w:fill="auto"/>
            <w:noWrap/>
            <w:vAlign w:val="center"/>
          </w:tcPr>
          <w:p w14:paraId="243991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吧台椅</w:t>
            </w:r>
          </w:p>
        </w:tc>
        <w:tc>
          <w:tcPr>
            <w:tcW w:w="2050" w:type="dxa"/>
            <w:shd w:val="clear" w:color="auto" w:fill="auto"/>
            <w:vAlign w:val="center"/>
          </w:tcPr>
          <w:p w14:paraId="34614455">
            <w:pPr>
              <w:jc w:val="center"/>
              <w:rPr>
                <w:rFonts w:hint="eastAsia" w:ascii="宋体" w:hAnsi="宋体" w:eastAsia="宋体" w:cs="宋体"/>
                <w:i w:val="0"/>
                <w:iCs w:val="0"/>
                <w:color w:val="000000"/>
                <w:sz w:val="20"/>
                <w:szCs w:val="20"/>
                <w:u w:val="none"/>
              </w:rPr>
            </w:pPr>
          </w:p>
        </w:tc>
        <w:tc>
          <w:tcPr>
            <w:tcW w:w="512" w:type="dxa"/>
            <w:shd w:val="clear" w:color="auto" w:fill="auto"/>
            <w:vAlign w:val="center"/>
          </w:tcPr>
          <w:p w14:paraId="54206A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844" w:type="dxa"/>
            <w:shd w:val="clear" w:color="auto" w:fill="auto"/>
            <w:noWrap/>
            <w:vAlign w:val="center"/>
          </w:tcPr>
          <w:p w14:paraId="5EDBB9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28" w:type="dxa"/>
            <w:shd w:val="clear" w:color="auto" w:fill="auto"/>
            <w:vAlign w:val="center"/>
          </w:tcPr>
          <w:p w14:paraId="182EA4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1.实木吧台椅。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continue"/>
            <w:shd w:val="clear" w:color="auto" w:fill="auto"/>
            <w:noWrap/>
            <w:vAlign w:val="center"/>
          </w:tcPr>
          <w:p w14:paraId="6EC1FFCB">
            <w:pPr>
              <w:jc w:val="center"/>
              <w:rPr>
                <w:rFonts w:hint="eastAsia" w:ascii="宋体" w:hAnsi="宋体" w:eastAsia="宋体" w:cs="宋体"/>
                <w:i w:val="0"/>
                <w:iCs w:val="0"/>
                <w:color w:val="000000"/>
                <w:sz w:val="18"/>
                <w:szCs w:val="18"/>
                <w:u w:val="none"/>
              </w:rPr>
            </w:pPr>
          </w:p>
        </w:tc>
      </w:tr>
      <w:tr w14:paraId="39275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609" w:type="dxa"/>
            <w:shd w:val="clear" w:color="auto" w:fill="auto"/>
            <w:noWrap/>
            <w:vAlign w:val="center"/>
          </w:tcPr>
          <w:p w14:paraId="772187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w:t>
            </w:r>
          </w:p>
        </w:tc>
        <w:tc>
          <w:tcPr>
            <w:tcW w:w="1073" w:type="dxa"/>
            <w:vMerge w:val="restart"/>
            <w:shd w:val="clear" w:color="auto" w:fill="FFFFFF"/>
            <w:vAlign w:val="center"/>
          </w:tcPr>
          <w:p w14:paraId="71C458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警示之塔：廉政课堂</w:t>
            </w:r>
          </w:p>
        </w:tc>
        <w:tc>
          <w:tcPr>
            <w:tcW w:w="2143" w:type="dxa"/>
            <w:shd w:val="clear" w:color="auto" w:fill="auto"/>
            <w:vAlign w:val="center"/>
          </w:tcPr>
          <w:p w14:paraId="4694F5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书造型吊顶</w:t>
            </w:r>
          </w:p>
        </w:tc>
        <w:tc>
          <w:tcPr>
            <w:tcW w:w="2050" w:type="dxa"/>
            <w:shd w:val="clear" w:color="auto" w:fill="auto"/>
            <w:vAlign w:val="center"/>
          </w:tcPr>
          <w:p w14:paraId="0653F9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5.22*3.8米</w:t>
            </w:r>
          </w:p>
        </w:tc>
        <w:tc>
          <w:tcPr>
            <w:tcW w:w="512" w:type="dxa"/>
            <w:shd w:val="clear" w:color="auto" w:fill="auto"/>
            <w:vAlign w:val="center"/>
          </w:tcPr>
          <w:p w14:paraId="3513C7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auto"/>
            <w:noWrap/>
            <w:vAlign w:val="center"/>
          </w:tcPr>
          <w:p w14:paraId="31AFC9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19.84</w:t>
            </w:r>
          </w:p>
        </w:tc>
        <w:tc>
          <w:tcPr>
            <w:tcW w:w="4428" w:type="dxa"/>
            <w:shd w:val="clear" w:color="auto" w:fill="auto"/>
            <w:vAlign w:val="center"/>
          </w:tcPr>
          <w:p w14:paraId="6C7217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1.整体龙骨造型吊顶。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41657B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262255</wp:posOffset>
                  </wp:positionV>
                  <wp:extent cx="1415415" cy="765810"/>
                  <wp:effectExtent l="0" t="0" r="1905" b="11430"/>
                  <wp:wrapNone/>
                  <wp:docPr id="8" name="图片_9"/>
                  <wp:cNvGraphicFramePr/>
                  <a:graphic xmlns:a="http://schemas.openxmlformats.org/drawingml/2006/main">
                    <a:graphicData uri="http://schemas.openxmlformats.org/drawingml/2006/picture">
                      <pic:pic xmlns:pic="http://schemas.openxmlformats.org/drawingml/2006/picture">
                        <pic:nvPicPr>
                          <pic:cNvPr id="8" name="图片_9"/>
                          <pic:cNvPicPr/>
                        </pic:nvPicPr>
                        <pic:blipFill>
                          <a:blip r:embed="rId33"/>
                          <a:stretch>
                            <a:fillRect/>
                          </a:stretch>
                        </pic:blipFill>
                        <pic:spPr>
                          <a:xfrm>
                            <a:off x="0" y="0"/>
                            <a:ext cx="1415415" cy="765810"/>
                          </a:xfrm>
                          <a:prstGeom prst="rect">
                            <a:avLst/>
                          </a:prstGeom>
                          <a:noFill/>
                          <a:ln>
                            <a:noFill/>
                          </a:ln>
                        </pic:spPr>
                      </pic:pic>
                    </a:graphicData>
                  </a:graphic>
                </wp:anchor>
              </w:drawing>
            </w:r>
          </w:p>
        </w:tc>
      </w:tr>
      <w:tr w14:paraId="33F6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2" w:hRule="atLeast"/>
        </w:trPr>
        <w:tc>
          <w:tcPr>
            <w:tcW w:w="609" w:type="dxa"/>
            <w:shd w:val="clear" w:color="auto" w:fill="auto"/>
            <w:noWrap/>
            <w:vAlign w:val="center"/>
          </w:tcPr>
          <w:p w14:paraId="33452D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1073" w:type="dxa"/>
            <w:vMerge w:val="continue"/>
            <w:shd w:val="clear" w:color="auto" w:fill="FFFFFF"/>
            <w:vAlign w:val="center"/>
          </w:tcPr>
          <w:p w14:paraId="3B65EFBE">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5836A5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书造型顶灯定制</w:t>
            </w:r>
          </w:p>
        </w:tc>
        <w:tc>
          <w:tcPr>
            <w:tcW w:w="2050" w:type="dxa"/>
            <w:shd w:val="clear" w:color="auto" w:fill="auto"/>
            <w:vAlign w:val="center"/>
          </w:tcPr>
          <w:p w14:paraId="0114A0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1.52*1.13*0.41M</w:t>
            </w:r>
          </w:p>
        </w:tc>
        <w:tc>
          <w:tcPr>
            <w:tcW w:w="512" w:type="dxa"/>
            <w:shd w:val="clear" w:color="auto" w:fill="auto"/>
            <w:vAlign w:val="center"/>
          </w:tcPr>
          <w:p w14:paraId="25CE98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44" w:type="dxa"/>
            <w:shd w:val="clear" w:color="auto" w:fill="auto"/>
            <w:noWrap/>
            <w:vAlign w:val="center"/>
          </w:tcPr>
          <w:p w14:paraId="7A9CE4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28" w:type="dxa"/>
            <w:shd w:val="clear" w:color="auto" w:fill="auto"/>
            <w:vAlign w:val="center"/>
          </w:tcPr>
          <w:p w14:paraId="2BE060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1.1.2mm201抗氧化不锈钢精密焊接，精工打磨，表面烤漆固化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2.5mm耐候亚克力面板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3.灯箱内置恒压发光电源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4.膨胀螺丝安装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continue"/>
            <w:shd w:val="clear" w:color="auto" w:fill="auto"/>
            <w:noWrap/>
            <w:vAlign w:val="center"/>
          </w:tcPr>
          <w:p w14:paraId="661C7755">
            <w:pPr>
              <w:jc w:val="center"/>
              <w:rPr>
                <w:rFonts w:hint="eastAsia" w:ascii="宋体" w:hAnsi="宋体" w:eastAsia="宋体" w:cs="宋体"/>
                <w:i w:val="0"/>
                <w:iCs w:val="0"/>
                <w:color w:val="000000"/>
                <w:sz w:val="18"/>
                <w:szCs w:val="18"/>
                <w:u w:val="none"/>
              </w:rPr>
            </w:pPr>
          </w:p>
        </w:tc>
      </w:tr>
      <w:tr w14:paraId="32547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609" w:type="dxa"/>
            <w:shd w:val="clear" w:color="auto" w:fill="auto"/>
            <w:noWrap/>
            <w:vAlign w:val="center"/>
          </w:tcPr>
          <w:p w14:paraId="2AD33A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w:t>
            </w:r>
          </w:p>
        </w:tc>
        <w:tc>
          <w:tcPr>
            <w:tcW w:w="1073" w:type="dxa"/>
            <w:vMerge w:val="continue"/>
            <w:shd w:val="clear" w:color="auto" w:fill="FFFFFF"/>
            <w:vAlign w:val="center"/>
          </w:tcPr>
          <w:p w14:paraId="05D32631">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0FF481E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亚克力+钛金贴片</w:t>
            </w:r>
          </w:p>
          <w:p w14:paraId="381B4D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立体字</w:t>
            </w:r>
          </w:p>
        </w:tc>
        <w:tc>
          <w:tcPr>
            <w:tcW w:w="2050" w:type="dxa"/>
            <w:shd w:val="clear" w:color="auto" w:fill="auto"/>
            <w:vAlign w:val="center"/>
          </w:tcPr>
          <w:p w14:paraId="342311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高：12cm</w:t>
            </w:r>
          </w:p>
        </w:tc>
        <w:tc>
          <w:tcPr>
            <w:tcW w:w="512" w:type="dxa"/>
            <w:shd w:val="clear" w:color="auto" w:fill="auto"/>
            <w:vAlign w:val="center"/>
          </w:tcPr>
          <w:p w14:paraId="230974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auto"/>
            <w:noWrap/>
            <w:vAlign w:val="center"/>
          </w:tcPr>
          <w:p w14:paraId="2EC6EE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4428" w:type="dxa"/>
            <w:vMerge w:val="restart"/>
            <w:shd w:val="clear" w:color="auto" w:fill="auto"/>
            <w:vAlign w:val="center"/>
          </w:tcPr>
          <w:p w14:paraId="7F1428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1.抗氧化不锈钢钛金一体折边大屏包边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2.10mm亚克力+钛金立体激光雕刻贴片字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7AEA1B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78720" behindDoc="0" locked="0" layoutInCell="1" allowOverlap="1">
                  <wp:simplePos x="0" y="0"/>
                  <wp:positionH relativeFrom="column">
                    <wp:posOffset>53340</wp:posOffset>
                  </wp:positionH>
                  <wp:positionV relativeFrom="paragraph">
                    <wp:posOffset>240665</wp:posOffset>
                  </wp:positionV>
                  <wp:extent cx="596265" cy="569595"/>
                  <wp:effectExtent l="0" t="0" r="13335" b="9525"/>
                  <wp:wrapNone/>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34"/>
                          <a:stretch>
                            <a:fillRect/>
                          </a:stretch>
                        </pic:blipFill>
                        <pic:spPr>
                          <a:xfrm>
                            <a:off x="0" y="0"/>
                            <a:ext cx="596265" cy="569595"/>
                          </a:xfrm>
                          <a:prstGeom prst="rect">
                            <a:avLst/>
                          </a:prstGeom>
                          <a:noFill/>
                          <a:ln w="9525">
                            <a:noFill/>
                          </a:ln>
                        </pic:spPr>
                      </pic:pic>
                    </a:graphicData>
                  </a:graphic>
                </wp:anchor>
              </w:drawing>
            </w:r>
            <w:r>
              <w:rPr>
                <w:rFonts w:hint="eastAsia" w:ascii="宋体" w:hAnsi="宋体" w:eastAsia="宋体" w:cs="宋体"/>
              </w:rPr>
              <w:drawing>
                <wp:anchor distT="0" distB="0" distL="114300" distR="114300" simplePos="0" relativeHeight="251679744" behindDoc="0" locked="0" layoutInCell="1" allowOverlap="1">
                  <wp:simplePos x="0" y="0"/>
                  <wp:positionH relativeFrom="column">
                    <wp:posOffset>1053465</wp:posOffset>
                  </wp:positionH>
                  <wp:positionV relativeFrom="paragraph">
                    <wp:posOffset>305435</wp:posOffset>
                  </wp:positionV>
                  <wp:extent cx="716280" cy="349250"/>
                  <wp:effectExtent l="0" t="0" r="0" b="1270"/>
                  <wp:wrapNone/>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35"/>
                          <a:stretch>
                            <a:fillRect/>
                          </a:stretch>
                        </pic:blipFill>
                        <pic:spPr>
                          <a:xfrm>
                            <a:off x="0" y="0"/>
                            <a:ext cx="716280" cy="349250"/>
                          </a:xfrm>
                          <a:prstGeom prst="rect">
                            <a:avLst/>
                          </a:prstGeom>
                          <a:noFill/>
                          <a:ln w="9525">
                            <a:noFill/>
                          </a:ln>
                        </pic:spPr>
                      </pic:pic>
                    </a:graphicData>
                  </a:graphic>
                </wp:anchor>
              </w:drawing>
            </w:r>
            <w:r>
              <w:rPr>
                <w:rFonts w:hint="eastAsia" w:ascii="宋体" w:hAnsi="宋体" w:eastAsia="宋体" w:cs="宋体"/>
              </w:rPr>
              <w:drawing>
                <wp:anchor distT="0" distB="0" distL="114300" distR="114300" simplePos="0" relativeHeight="251677696" behindDoc="0" locked="0" layoutInCell="1" allowOverlap="1">
                  <wp:simplePos x="0" y="0"/>
                  <wp:positionH relativeFrom="column">
                    <wp:posOffset>748665</wp:posOffset>
                  </wp:positionH>
                  <wp:positionV relativeFrom="paragraph">
                    <wp:posOffset>222250</wp:posOffset>
                  </wp:positionV>
                  <wp:extent cx="261620" cy="587375"/>
                  <wp:effectExtent l="0" t="0" r="12700" b="6985"/>
                  <wp:wrapNone/>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36"/>
                          <a:stretch>
                            <a:fillRect/>
                          </a:stretch>
                        </pic:blipFill>
                        <pic:spPr>
                          <a:xfrm>
                            <a:off x="0" y="0"/>
                            <a:ext cx="261620" cy="587375"/>
                          </a:xfrm>
                          <a:prstGeom prst="rect">
                            <a:avLst/>
                          </a:prstGeom>
                          <a:noFill/>
                          <a:ln w="9525">
                            <a:noFill/>
                          </a:ln>
                        </pic:spPr>
                      </pic:pic>
                    </a:graphicData>
                  </a:graphic>
                </wp:anchor>
              </w:drawing>
            </w:r>
          </w:p>
        </w:tc>
      </w:tr>
      <w:tr w14:paraId="4CA5E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609" w:type="dxa"/>
            <w:shd w:val="clear" w:color="auto" w:fill="auto"/>
            <w:noWrap/>
            <w:vAlign w:val="center"/>
          </w:tcPr>
          <w:p w14:paraId="29006F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1073" w:type="dxa"/>
            <w:vMerge w:val="continue"/>
            <w:shd w:val="clear" w:color="auto" w:fill="FFFFFF"/>
            <w:vAlign w:val="center"/>
          </w:tcPr>
          <w:p w14:paraId="6EC8EDF2">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175C85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不锈钢包边</w:t>
            </w:r>
          </w:p>
        </w:tc>
        <w:tc>
          <w:tcPr>
            <w:tcW w:w="2050" w:type="dxa"/>
            <w:shd w:val="clear" w:color="auto" w:fill="auto"/>
            <w:vAlign w:val="center"/>
          </w:tcPr>
          <w:p w14:paraId="4BDF83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（6+2.95M）*2条</w:t>
            </w:r>
          </w:p>
        </w:tc>
        <w:tc>
          <w:tcPr>
            <w:tcW w:w="512" w:type="dxa"/>
            <w:shd w:val="clear" w:color="auto" w:fill="auto"/>
            <w:vAlign w:val="center"/>
          </w:tcPr>
          <w:p w14:paraId="0852F2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44" w:type="dxa"/>
            <w:shd w:val="clear" w:color="auto" w:fill="auto"/>
            <w:noWrap/>
            <w:vAlign w:val="center"/>
          </w:tcPr>
          <w:p w14:paraId="1C3152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17.9</w:t>
            </w:r>
          </w:p>
        </w:tc>
        <w:tc>
          <w:tcPr>
            <w:tcW w:w="4428" w:type="dxa"/>
            <w:vMerge w:val="continue"/>
            <w:shd w:val="clear" w:color="auto" w:fill="auto"/>
            <w:vAlign w:val="center"/>
          </w:tcPr>
          <w:p w14:paraId="712C77D3">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70D84A2C">
            <w:pPr>
              <w:jc w:val="center"/>
              <w:rPr>
                <w:rFonts w:hint="eastAsia" w:ascii="宋体" w:hAnsi="宋体" w:eastAsia="宋体" w:cs="宋体"/>
                <w:i w:val="0"/>
                <w:iCs w:val="0"/>
                <w:color w:val="000000"/>
                <w:sz w:val="18"/>
                <w:szCs w:val="18"/>
                <w:u w:val="none"/>
              </w:rPr>
            </w:pPr>
          </w:p>
        </w:tc>
      </w:tr>
      <w:tr w14:paraId="59707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09" w:type="dxa"/>
            <w:shd w:val="clear" w:color="auto" w:fill="auto"/>
            <w:noWrap/>
            <w:vAlign w:val="center"/>
          </w:tcPr>
          <w:p w14:paraId="3CF6BC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1073" w:type="dxa"/>
            <w:vMerge w:val="continue"/>
            <w:shd w:val="clear" w:color="auto" w:fill="FFFFFF"/>
            <w:vAlign w:val="center"/>
          </w:tcPr>
          <w:p w14:paraId="479D4FA5">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687734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廉洁知识造型陈列墙</w:t>
            </w:r>
          </w:p>
        </w:tc>
        <w:tc>
          <w:tcPr>
            <w:tcW w:w="2050" w:type="dxa"/>
            <w:shd w:val="clear" w:color="auto" w:fill="auto"/>
            <w:vAlign w:val="center"/>
          </w:tcPr>
          <w:p w14:paraId="5DBCC5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4.2*3M</w:t>
            </w:r>
          </w:p>
        </w:tc>
        <w:tc>
          <w:tcPr>
            <w:tcW w:w="512" w:type="dxa"/>
            <w:shd w:val="clear" w:color="auto" w:fill="auto"/>
            <w:vAlign w:val="center"/>
          </w:tcPr>
          <w:p w14:paraId="303D22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auto"/>
            <w:noWrap/>
            <w:vAlign w:val="center"/>
          </w:tcPr>
          <w:p w14:paraId="50E737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w:t>
            </w:r>
          </w:p>
        </w:tc>
        <w:tc>
          <w:tcPr>
            <w:tcW w:w="4428" w:type="dxa"/>
            <w:vMerge w:val="restart"/>
            <w:shd w:val="clear" w:color="auto" w:fill="auto"/>
            <w:vAlign w:val="center"/>
          </w:tcPr>
          <w:p w14:paraId="04305C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1.知识问答区玻璃展示柜造型基底：细木工板+膏板造型基底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2.高强度防爆高压加热钢化玻璃定制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3.卷轴定制+耐候亚克力立体雕刻字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4.纳米级多孔硅藻矿物抗碱壁材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5.10MM高密安迪板立体字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6.加厚玻璃透明转印膜UV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.木质烤漆展台定制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.互动屏圆环造型：10MM高密安迪板+5MM耐候亚克力UV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5993C4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67456" behindDoc="0" locked="0" layoutInCell="1" allowOverlap="1">
                  <wp:simplePos x="0" y="0"/>
                  <wp:positionH relativeFrom="column">
                    <wp:posOffset>138430</wp:posOffset>
                  </wp:positionH>
                  <wp:positionV relativeFrom="paragraph">
                    <wp:posOffset>1050925</wp:posOffset>
                  </wp:positionV>
                  <wp:extent cx="1597660" cy="920115"/>
                  <wp:effectExtent l="0" t="0" r="2540" b="9525"/>
                  <wp:wrapNone/>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37"/>
                          <a:stretch>
                            <a:fillRect/>
                          </a:stretch>
                        </pic:blipFill>
                        <pic:spPr>
                          <a:xfrm>
                            <a:off x="0" y="0"/>
                            <a:ext cx="1597660" cy="920115"/>
                          </a:xfrm>
                          <a:prstGeom prst="rect">
                            <a:avLst/>
                          </a:prstGeom>
                          <a:noFill/>
                          <a:ln w="9525">
                            <a:noFill/>
                          </a:ln>
                        </pic:spPr>
                      </pic:pic>
                    </a:graphicData>
                  </a:graphic>
                </wp:anchor>
              </w:drawing>
            </w:r>
            <w:r>
              <w:rPr>
                <w:rFonts w:hint="eastAsia" w:ascii="宋体" w:hAnsi="宋体" w:eastAsia="宋体" w:cs="宋体"/>
              </w:rPr>
              <w:drawing>
                <wp:anchor distT="0" distB="0" distL="114300" distR="114300" simplePos="0" relativeHeight="251668480" behindDoc="0" locked="0" layoutInCell="1" allowOverlap="1">
                  <wp:simplePos x="0" y="0"/>
                  <wp:positionH relativeFrom="column">
                    <wp:posOffset>127000</wp:posOffset>
                  </wp:positionH>
                  <wp:positionV relativeFrom="paragraph">
                    <wp:posOffset>201295</wp:posOffset>
                  </wp:positionV>
                  <wp:extent cx="1621155" cy="784860"/>
                  <wp:effectExtent l="0" t="0" r="9525" b="7620"/>
                  <wp:wrapNone/>
                  <wp:docPr id="1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5"/>
                          <pic:cNvPicPr>
                            <a:picLocks noChangeAspect="1"/>
                          </pic:cNvPicPr>
                        </pic:nvPicPr>
                        <pic:blipFill>
                          <a:blip r:embed="rId38"/>
                          <a:stretch>
                            <a:fillRect/>
                          </a:stretch>
                        </pic:blipFill>
                        <pic:spPr>
                          <a:xfrm>
                            <a:off x="0" y="0"/>
                            <a:ext cx="1621155" cy="784860"/>
                          </a:xfrm>
                          <a:prstGeom prst="rect">
                            <a:avLst/>
                          </a:prstGeom>
                          <a:noFill/>
                          <a:ln w="9525">
                            <a:noFill/>
                          </a:ln>
                        </pic:spPr>
                      </pic:pic>
                    </a:graphicData>
                  </a:graphic>
                </wp:anchor>
              </w:drawing>
            </w:r>
          </w:p>
        </w:tc>
      </w:tr>
      <w:tr w14:paraId="78152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09" w:type="dxa"/>
            <w:shd w:val="clear" w:color="auto" w:fill="auto"/>
            <w:noWrap/>
            <w:vAlign w:val="center"/>
          </w:tcPr>
          <w:p w14:paraId="0DE10D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1073" w:type="dxa"/>
            <w:vMerge w:val="continue"/>
            <w:shd w:val="clear" w:color="auto" w:fill="FFFFFF"/>
            <w:vAlign w:val="center"/>
          </w:tcPr>
          <w:p w14:paraId="3D0299A1">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21FE3E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纳米级多孔硅藻矿物抗碱壁材</w:t>
            </w:r>
          </w:p>
        </w:tc>
        <w:tc>
          <w:tcPr>
            <w:tcW w:w="2050" w:type="dxa"/>
            <w:shd w:val="clear" w:color="auto" w:fill="auto"/>
            <w:vAlign w:val="center"/>
          </w:tcPr>
          <w:p w14:paraId="2FD6A5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2.19*3m</w:t>
            </w:r>
          </w:p>
        </w:tc>
        <w:tc>
          <w:tcPr>
            <w:tcW w:w="512" w:type="dxa"/>
            <w:shd w:val="clear" w:color="auto" w:fill="auto"/>
            <w:vAlign w:val="center"/>
          </w:tcPr>
          <w:p w14:paraId="48143A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auto"/>
            <w:noWrap/>
            <w:vAlign w:val="center"/>
          </w:tcPr>
          <w:p w14:paraId="759F97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6.57</w:t>
            </w:r>
          </w:p>
        </w:tc>
        <w:tc>
          <w:tcPr>
            <w:tcW w:w="4428" w:type="dxa"/>
            <w:vMerge w:val="continue"/>
            <w:shd w:val="clear" w:color="auto" w:fill="auto"/>
            <w:vAlign w:val="center"/>
          </w:tcPr>
          <w:p w14:paraId="3DBD1B7C">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3DDF6E7A">
            <w:pPr>
              <w:jc w:val="center"/>
              <w:rPr>
                <w:rFonts w:hint="eastAsia" w:ascii="宋体" w:hAnsi="宋体" w:eastAsia="宋体" w:cs="宋体"/>
                <w:i w:val="0"/>
                <w:iCs w:val="0"/>
                <w:color w:val="000000"/>
                <w:sz w:val="18"/>
                <w:szCs w:val="18"/>
                <w:u w:val="none"/>
              </w:rPr>
            </w:pPr>
          </w:p>
        </w:tc>
      </w:tr>
      <w:tr w14:paraId="30163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609" w:type="dxa"/>
            <w:shd w:val="clear" w:color="auto" w:fill="auto"/>
            <w:noWrap/>
            <w:vAlign w:val="center"/>
          </w:tcPr>
          <w:p w14:paraId="22B692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w:t>
            </w:r>
          </w:p>
        </w:tc>
        <w:tc>
          <w:tcPr>
            <w:tcW w:w="1073" w:type="dxa"/>
            <w:vMerge w:val="continue"/>
            <w:shd w:val="clear" w:color="auto" w:fill="FFFFFF"/>
            <w:vAlign w:val="center"/>
          </w:tcPr>
          <w:p w14:paraId="23AA6D68">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2A159F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卷轴造型定制</w:t>
            </w:r>
          </w:p>
        </w:tc>
        <w:tc>
          <w:tcPr>
            <w:tcW w:w="2050" w:type="dxa"/>
            <w:shd w:val="clear" w:color="auto" w:fill="auto"/>
            <w:vAlign w:val="center"/>
          </w:tcPr>
          <w:p w14:paraId="3B9FE3B2">
            <w:pPr>
              <w:jc w:val="center"/>
              <w:rPr>
                <w:rFonts w:hint="eastAsia" w:ascii="宋体" w:hAnsi="宋体" w:eastAsia="宋体" w:cs="宋体"/>
                <w:i w:val="0"/>
                <w:iCs w:val="0"/>
                <w:color w:val="000000"/>
                <w:sz w:val="20"/>
                <w:szCs w:val="20"/>
                <w:u w:val="none"/>
              </w:rPr>
            </w:pPr>
          </w:p>
        </w:tc>
        <w:tc>
          <w:tcPr>
            <w:tcW w:w="512" w:type="dxa"/>
            <w:shd w:val="clear" w:color="auto" w:fill="auto"/>
            <w:vAlign w:val="center"/>
          </w:tcPr>
          <w:p w14:paraId="236840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44" w:type="dxa"/>
            <w:shd w:val="clear" w:color="auto" w:fill="auto"/>
            <w:noWrap/>
            <w:vAlign w:val="center"/>
          </w:tcPr>
          <w:p w14:paraId="4576BC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428" w:type="dxa"/>
            <w:vMerge w:val="continue"/>
            <w:shd w:val="clear" w:color="auto" w:fill="auto"/>
            <w:vAlign w:val="center"/>
          </w:tcPr>
          <w:p w14:paraId="2C55B641">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776896F4">
            <w:pPr>
              <w:jc w:val="center"/>
              <w:rPr>
                <w:rFonts w:hint="eastAsia" w:ascii="宋体" w:hAnsi="宋体" w:eastAsia="宋体" w:cs="宋体"/>
                <w:i w:val="0"/>
                <w:iCs w:val="0"/>
                <w:color w:val="000000"/>
                <w:sz w:val="18"/>
                <w:szCs w:val="18"/>
                <w:u w:val="none"/>
              </w:rPr>
            </w:pPr>
          </w:p>
        </w:tc>
      </w:tr>
      <w:tr w14:paraId="1A764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09" w:type="dxa"/>
            <w:shd w:val="clear" w:color="auto" w:fill="auto"/>
            <w:noWrap/>
            <w:vAlign w:val="center"/>
          </w:tcPr>
          <w:p w14:paraId="4200DC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w:t>
            </w:r>
          </w:p>
        </w:tc>
        <w:tc>
          <w:tcPr>
            <w:tcW w:w="1073" w:type="dxa"/>
            <w:vMerge w:val="continue"/>
            <w:shd w:val="clear" w:color="auto" w:fill="FFFFFF"/>
            <w:vAlign w:val="center"/>
          </w:tcPr>
          <w:p w14:paraId="707C3DBD">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7E59E3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加厚玻璃透明膜UV</w:t>
            </w:r>
          </w:p>
        </w:tc>
        <w:tc>
          <w:tcPr>
            <w:tcW w:w="2050" w:type="dxa"/>
            <w:shd w:val="clear" w:color="auto" w:fill="auto"/>
            <w:vAlign w:val="center"/>
          </w:tcPr>
          <w:p w14:paraId="7AE822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0.7*4M</w:t>
            </w:r>
          </w:p>
        </w:tc>
        <w:tc>
          <w:tcPr>
            <w:tcW w:w="512" w:type="dxa"/>
            <w:shd w:val="clear" w:color="auto" w:fill="auto"/>
            <w:vAlign w:val="center"/>
          </w:tcPr>
          <w:p w14:paraId="102BF9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auto"/>
            <w:noWrap/>
            <w:vAlign w:val="center"/>
          </w:tcPr>
          <w:p w14:paraId="4C2AD3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4428" w:type="dxa"/>
            <w:vMerge w:val="continue"/>
            <w:shd w:val="clear" w:color="auto" w:fill="auto"/>
            <w:vAlign w:val="center"/>
          </w:tcPr>
          <w:p w14:paraId="2B0DF6EC">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07C2B3D5">
            <w:pPr>
              <w:jc w:val="center"/>
              <w:rPr>
                <w:rFonts w:hint="eastAsia" w:ascii="宋体" w:hAnsi="宋体" w:eastAsia="宋体" w:cs="宋体"/>
                <w:i w:val="0"/>
                <w:iCs w:val="0"/>
                <w:color w:val="000000"/>
                <w:sz w:val="18"/>
                <w:szCs w:val="18"/>
                <w:u w:val="none"/>
              </w:rPr>
            </w:pPr>
          </w:p>
        </w:tc>
      </w:tr>
      <w:tr w14:paraId="2FF26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09" w:type="dxa"/>
            <w:shd w:val="clear" w:color="auto" w:fill="auto"/>
            <w:noWrap/>
            <w:vAlign w:val="center"/>
          </w:tcPr>
          <w:p w14:paraId="4E130B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c>
          <w:tcPr>
            <w:tcW w:w="1073" w:type="dxa"/>
            <w:vMerge w:val="continue"/>
            <w:shd w:val="clear" w:color="auto" w:fill="FFFFFF"/>
            <w:vAlign w:val="center"/>
          </w:tcPr>
          <w:p w14:paraId="7FFA3A57">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5CB5382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10MM高密安迪板</w:t>
            </w:r>
          </w:p>
          <w:p w14:paraId="5C5E47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立体字</w:t>
            </w:r>
          </w:p>
        </w:tc>
        <w:tc>
          <w:tcPr>
            <w:tcW w:w="2050" w:type="dxa"/>
            <w:shd w:val="clear" w:color="auto" w:fill="auto"/>
            <w:vAlign w:val="center"/>
          </w:tcPr>
          <w:p w14:paraId="0F68A0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高：15cm</w:t>
            </w:r>
          </w:p>
        </w:tc>
        <w:tc>
          <w:tcPr>
            <w:tcW w:w="512" w:type="dxa"/>
            <w:shd w:val="clear" w:color="auto" w:fill="auto"/>
            <w:vAlign w:val="center"/>
          </w:tcPr>
          <w:p w14:paraId="06F503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auto"/>
            <w:noWrap/>
            <w:vAlign w:val="center"/>
          </w:tcPr>
          <w:p w14:paraId="50A59E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4428" w:type="dxa"/>
            <w:vMerge w:val="continue"/>
            <w:shd w:val="clear" w:color="auto" w:fill="auto"/>
            <w:vAlign w:val="center"/>
          </w:tcPr>
          <w:p w14:paraId="3C4CEB15">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0A788D18">
            <w:pPr>
              <w:jc w:val="center"/>
              <w:rPr>
                <w:rFonts w:hint="eastAsia" w:ascii="宋体" w:hAnsi="宋体" w:eastAsia="宋体" w:cs="宋体"/>
                <w:i w:val="0"/>
                <w:iCs w:val="0"/>
                <w:color w:val="000000"/>
                <w:sz w:val="18"/>
                <w:szCs w:val="18"/>
                <w:u w:val="none"/>
              </w:rPr>
            </w:pPr>
          </w:p>
        </w:tc>
      </w:tr>
      <w:tr w14:paraId="0253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7" w:hRule="atLeast"/>
        </w:trPr>
        <w:tc>
          <w:tcPr>
            <w:tcW w:w="609" w:type="dxa"/>
            <w:shd w:val="clear" w:color="auto" w:fill="auto"/>
            <w:noWrap/>
            <w:vAlign w:val="center"/>
          </w:tcPr>
          <w:p w14:paraId="7AEA8E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1073" w:type="dxa"/>
            <w:vMerge w:val="continue"/>
            <w:shd w:val="clear" w:color="auto" w:fill="FFFFFF"/>
            <w:vAlign w:val="center"/>
          </w:tcPr>
          <w:p w14:paraId="63281C2E">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046673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展台定制</w:t>
            </w:r>
          </w:p>
        </w:tc>
        <w:tc>
          <w:tcPr>
            <w:tcW w:w="2050" w:type="dxa"/>
            <w:shd w:val="clear" w:color="auto" w:fill="auto"/>
            <w:vAlign w:val="center"/>
          </w:tcPr>
          <w:p w14:paraId="55E448B2">
            <w:pPr>
              <w:jc w:val="center"/>
              <w:rPr>
                <w:rFonts w:hint="eastAsia" w:ascii="宋体" w:hAnsi="宋体" w:eastAsia="宋体" w:cs="宋体"/>
                <w:i w:val="0"/>
                <w:iCs w:val="0"/>
                <w:color w:val="000000"/>
                <w:sz w:val="20"/>
                <w:szCs w:val="20"/>
                <w:u w:val="none"/>
              </w:rPr>
            </w:pPr>
          </w:p>
        </w:tc>
        <w:tc>
          <w:tcPr>
            <w:tcW w:w="512" w:type="dxa"/>
            <w:shd w:val="clear" w:color="auto" w:fill="auto"/>
            <w:vAlign w:val="center"/>
          </w:tcPr>
          <w:p w14:paraId="36869F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44" w:type="dxa"/>
            <w:shd w:val="clear" w:color="auto" w:fill="auto"/>
            <w:noWrap/>
            <w:vAlign w:val="center"/>
          </w:tcPr>
          <w:p w14:paraId="10CA80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428" w:type="dxa"/>
            <w:vMerge w:val="continue"/>
            <w:shd w:val="clear" w:color="auto" w:fill="auto"/>
            <w:vAlign w:val="center"/>
          </w:tcPr>
          <w:p w14:paraId="04B5F026">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6694F342">
            <w:pPr>
              <w:jc w:val="center"/>
              <w:rPr>
                <w:rFonts w:hint="eastAsia" w:ascii="宋体" w:hAnsi="宋体" w:eastAsia="宋体" w:cs="宋体"/>
                <w:i w:val="0"/>
                <w:iCs w:val="0"/>
                <w:color w:val="000000"/>
                <w:sz w:val="18"/>
                <w:szCs w:val="18"/>
                <w:u w:val="none"/>
              </w:rPr>
            </w:pPr>
          </w:p>
        </w:tc>
      </w:tr>
      <w:tr w14:paraId="47B13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09" w:type="dxa"/>
            <w:shd w:val="clear" w:color="auto" w:fill="auto"/>
            <w:noWrap/>
            <w:vAlign w:val="center"/>
          </w:tcPr>
          <w:p w14:paraId="29139A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w:t>
            </w:r>
          </w:p>
        </w:tc>
        <w:tc>
          <w:tcPr>
            <w:tcW w:w="1073" w:type="dxa"/>
            <w:vMerge w:val="continue"/>
            <w:shd w:val="clear" w:color="auto" w:fill="FFFFFF"/>
            <w:vAlign w:val="center"/>
          </w:tcPr>
          <w:p w14:paraId="4A706578">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345983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圆环造型</w:t>
            </w:r>
          </w:p>
        </w:tc>
        <w:tc>
          <w:tcPr>
            <w:tcW w:w="2050" w:type="dxa"/>
            <w:shd w:val="clear" w:color="auto" w:fill="auto"/>
            <w:vAlign w:val="center"/>
          </w:tcPr>
          <w:p w14:paraId="040C50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1.9*1.9M</w:t>
            </w:r>
          </w:p>
        </w:tc>
        <w:tc>
          <w:tcPr>
            <w:tcW w:w="512" w:type="dxa"/>
            <w:shd w:val="clear" w:color="auto" w:fill="auto"/>
            <w:vAlign w:val="center"/>
          </w:tcPr>
          <w:p w14:paraId="1B24C4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auto"/>
            <w:noWrap/>
            <w:vAlign w:val="center"/>
          </w:tcPr>
          <w:p w14:paraId="52563E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3.61</w:t>
            </w:r>
          </w:p>
        </w:tc>
        <w:tc>
          <w:tcPr>
            <w:tcW w:w="4428" w:type="dxa"/>
            <w:vMerge w:val="continue"/>
            <w:shd w:val="clear" w:color="auto" w:fill="auto"/>
            <w:vAlign w:val="center"/>
          </w:tcPr>
          <w:p w14:paraId="2F3F0155">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6FEF9686">
            <w:pPr>
              <w:jc w:val="center"/>
              <w:rPr>
                <w:rFonts w:hint="eastAsia" w:ascii="宋体" w:hAnsi="宋体" w:eastAsia="宋体" w:cs="宋体"/>
                <w:i w:val="0"/>
                <w:iCs w:val="0"/>
                <w:color w:val="000000"/>
                <w:sz w:val="18"/>
                <w:szCs w:val="18"/>
                <w:u w:val="none"/>
              </w:rPr>
            </w:pPr>
          </w:p>
        </w:tc>
      </w:tr>
      <w:tr w14:paraId="3D69D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609" w:type="dxa"/>
            <w:shd w:val="clear" w:color="auto" w:fill="auto"/>
            <w:noWrap/>
            <w:vAlign w:val="center"/>
          </w:tcPr>
          <w:p w14:paraId="24C4D6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1073" w:type="dxa"/>
            <w:vMerge w:val="continue"/>
            <w:shd w:val="clear" w:color="auto" w:fill="FFFFFF"/>
            <w:vAlign w:val="center"/>
          </w:tcPr>
          <w:p w14:paraId="0D59A7C6">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6EF8E4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真丝布高清UV直印</w:t>
            </w:r>
          </w:p>
        </w:tc>
        <w:tc>
          <w:tcPr>
            <w:tcW w:w="2050" w:type="dxa"/>
            <w:shd w:val="clear" w:color="auto" w:fill="auto"/>
            <w:vAlign w:val="center"/>
          </w:tcPr>
          <w:p w14:paraId="232E89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14*2.95M</w:t>
            </w:r>
          </w:p>
        </w:tc>
        <w:tc>
          <w:tcPr>
            <w:tcW w:w="512" w:type="dxa"/>
            <w:shd w:val="clear" w:color="auto" w:fill="FFFFFF"/>
            <w:vAlign w:val="center"/>
          </w:tcPr>
          <w:p w14:paraId="7D096E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auto"/>
            <w:noWrap/>
            <w:vAlign w:val="center"/>
          </w:tcPr>
          <w:p w14:paraId="353DF6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41.3</w:t>
            </w:r>
          </w:p>
        </w:tc>
        <w:tc>
          <w:tcPr>
            <w:tcW w:w="4428" w:type="dxa"/>
            <w:vMerge w:val="restart"/>
            <w:shd w:val="clear" w:color="auto" w:fill="auto"/>
            <w:vAlign w:val="center"/>
          </w:tcPr>
          <w:p w14:paraId="14608A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1.党建引廉、且润警心：紫外线固化真丝布高清UV直印+专用基胶安装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2.墙面环保艺术漆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3.10MM高密安迪板UV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4.10MM高密安迪板立体字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07F31A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inline distT="0" distB="0" distL="114300" distR="114300">
                  <wp:extent cx="2786380" cy="911860"/>
                  <wp:effectExtent l="0" t="0" r="2540" b="2540"/>
                  <wp:docPr id="4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7"/>
                          <pic:cNvPicPr>
                            <a:picLocks noChangeAspect="1"/>
                          </pic:cNvPicPr>
                        </pic:nvPicPr>
                        <pic:blipFill>
                          <a:blip r:embed="rId39"/>
                          <a:stretch>
                            <a:fillRect/>
                          </a:stretch>
                        </pic:blipFill>
                        <pic:spPr>
                          <a:xfrm>
                            <a:off x="0" y="0"/>
                            <a:ext cx="2786380" cy="911860"/>
                          </a:xfrm>
                          <a:prstGeom prst="rect">
                            <a:avLst/>
                          </a:prstGeom>
                          <a:noFill/>
                          <a:ln>
                            <a:noFill/>
                          </a:ln>
                        </pic:spPr>
                      </pic:pic>
                    </a:graphicData>
                  </a:graphic>
                </wp:inline>
              </w:drawing>
            </w:r>
          </w:p>
        </w:tc>
      </w:tr>
      <w:tr w14:paraId="341A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0" w:hRule="atLeast"/>
        </w:trPr>
        <w:tc>
          <w:tcPr>
            <w:tcW w:w="609" w:type="dxa"/>
            <w:shd w:val="clear" w:color="auto" w:fill="auto"/>
            <w:noWrap/>
            <w:vAlign w:val="center"/>
          </w:tcPr>
          <w:p w14:paraId="56C2B9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59</w:t>
            </w:r>
          </w:p>
        </w:tc>
        <w:tc>
          <w:tcPr>
            <w:tcW w:w="1073" w:type="dxa"/>
            <w:vMerge w:val="continue"/>
            <w:shd w:val="clear" w:color="auto" w:fill="FFFFFF"/>
            <w:vAlign w:val="center"/>
          </w:tcPr>
          <w:p w14:paraId="23B3DEDC">
            <w:pPr>
              <w:jc w:val="center"/>
              <w:rPr>
                <w:rFonts w:hint="eastAsia" w:ascii="宋体" w:hAnsi="宋体" w:eastAsia="宋体" w:cs="宋体"/>
                <w:i w:val="0"/>
                <w:iCs w:val="0"/>
                <w:color w:val="000000"/>
                <w:sz w:val="20"/>
                <w:szCs w:val="20"/>
                <w:u w:val="none"/>
              </w:rPr>
            </w:pPr>
          </w:p>
        </w:tc>
        <w:tc>
          <w:tcPr>
            <w:tcW w:w="2143" w:type="dxa"/>
            <w:vMerge w:val="restart"/>
            <w:shd w:val="clear" w:color="auto" w:fill="auto"/>
            <w:vAlign w:val="center"/>
          </w:tcPr>
          <w:p w14:paraId="5F502B9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10MM高密安迪板</w:t>
            </w:r>
          </w:p>
          <w:p w14:paraId="7E1BE9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立体字</w:t>
            </w:r>
          </w:p>
        </w:tc>
        <w:tc>
          <w:tcPr>
            <w:tcW w:w="2050" w:type="dxa"/>
            <w:shd w:val="clear" w:color="auto" w:fill="auto"/>
            <w:vAlign w:val="center"/>
          </w:tcPr>
          <w:p w14:paraId="0BAA8A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高：12cm</w:t>
            </w:r>
          </w:p>
        </w:tc>
        <w:tc>
          <w:tcPr>
            <w:tcW w:w="512" w:type="dxa"/>
            <w:shd w:val="clear" w:color="auto" w:fill="auto"/>
            <w:vAlign w:val="center"/>
          </w:tcPr>
          <w:p w14:paraId="2320E4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auto"/>
            <w:noWrap/>
            <w:vAlign w:val="center"/>
          </w:tcPr>
          <w:p w14:paraId="07EF75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28" w:type="dxa"/>
            <w:vMerge w:val="continue"/>
            <w:shd w:val="clear" w:color="auto" w:fill="auto"/>
            <w:vAlign w:val="center"/>
          </w:tcPr>
          <w:p w14:paraId="127A5FA0">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607B7BD5">
            <w:pPr>
              <w:jc w:val="center"/>
              <w:rPr>
                <w:rFonts w:hint="eastAsia" w:ascii="宋体" w:hAnsi="宋体" w:eastAsia="宋体" w:cs="宋体"/>
                <w:i w:val="0"/>
                <w:iCs w:val="0"/>
                <w:color w:val="000000"/>
                <w:sz w:val="18"/>
                <w:szCs w:val="18"/>
                <w:u w:val="none"/>
              </w:rPr>
            </w:pPr>
          </w:p>
        </w:tc>
      </w:tr>
      <w:tr w14:paraId="2617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0" w:hRule="atLeast"/>
        </w:trPr>
        <w:tc>
          <w:tcPr>
            <w:tcW w:w="609" w:type="dxa"/>
            <w:shd w:val="clear" w:color="auto" w:fill="auto"/>
            <w:noWrap/>
            <w:vAlign w:val="center"/>
          </w:tcPr>
          <w:p w14:paraId="6C3A43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1073" w:type="dxa"/>
            <w:vMerge w:val="continue"/>
            <w:shd w:val="clear" w:color="auto" w:fill="FFFFFF"/>
            <w:vAlign w:val="center"/>
          </w:tcPr>
          <w:p w14:paraId="75254C28">
            <w:pPr>
              <w:jc w:val="center"/>
              <w:rPr>
                <w:rFonts w:hint="eastAsia" w:ascii="宋体" w:hAnsi="宋体" w:eastAsia="宋体" w:cs="宋体"/>
                <w:i w:val="0"/>
                <w:iCs w:val="0"/>
                <w:color w:val="000000"/>
                <w:sz w:val="20"/>
                <w:szCs w:val="20"/>
                <w:u w:val="none"/>
              </w:rPr>
            </w:pPr>
          </w:p>
        </w:tc>
        <w:tc>
          <w:tcPr>
            <w:tcW w:w="2143" w:type="dxa"/>
            <w:vMerge w:val="continue"/>
            <w:shd w:val="clear" w:color="auto" w:fill="auto"/>
            <w:vAlign w:val="center"/>
          </w:tcPr>
          <w:p w14:paraId="082BFFAC">
            <w:pPr>
              <w:jc w:val="center"/>
              <w:rPr>
                <w:rFonts w:hint="eastAsia" w:ascii="宋体" w:hAnsi="宋体" w:eastAsia="宋体" w:cs="宋体"/>
                <w:i w:val="0"/>
                <w:iCs w:val="0"/>
                <w:color w:val="000000"/>
                <w:sz w:val="20"/>
                <w:szCs w:val="20"/>
                <w:u w:val="none"/>
              </w:rPr>
            </w:pPr>
          </w:p>
        </w:tc>
        <w:tc>
          <w:tcPr>
            <w:tcW w:w="2050" w:type="dxa"/>
            <w:shd w:val="clear" w:color="auto" w:fill="auto"/>
            <w:vAlign w:val="center"/>
          </w:tcPr>
          <w:p w14:paraId="51A87B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高：14cm</w:t>
            </w:r>
          </w:p>
        </w:tc>
        <w:tc>
          <w:tcPr>
            <w:tcW w:w="512" w:type="dxa"/>
            <w:shd w:val="clear" w:color="auto" w:fill="auto"/>
            <w:vAlign w:val="center"/>
          </w:tcPr>
          <w:p w14:paraId="6763AF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auto"/>
            <w:noWrap/>
            <w:vAlign w:val="center"/>
          </w:tcPr>
          <w:p w14:paraId="7D938E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28" w:type="dxa"/>
            <w:vMerge w:val="continue"/>
            <w:shd w:val="clear" w:color="auto" w:fill="auto"/>
            <w:vAlign w:val="center"/>
          </w:tcPr>
          <w:p w14:paraId="0DAC9956">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29954D4A">
            <w:pPr>
              <w:jc w:val="center"/>
              <w:rPr>
                <w:rFonts w:hint="eastAsia" w:ascii="宋体" w:hAnsi="宋体" w:eastAsia="宋体" w:cs="宋体"/>
                <w:i w:val="0"/>
                <w:iCs w:val="0"/>
                <w:color w:val="000000"/>
                <w:sz w:val="18"/>
                <w:szCs w:val="18"/>
                <w:u w:val="none"/>
              </w:rPr>
            </w:pPr>
          </w:p>
        </w:tc>
      </w:tr>
      <w:tr w14:paraId="4B28C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09" w:type="dxa"/>
            <w:shd w:val="clear" w:color="auto" w:fill="auto"/>
            <w:noWrap/>
            <w:vAlign w:val="center"/>
          </w:tcPr>
          <w:p w14:paraId="036AE5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w:t>
            </w:r>
          </w:p>
        </w:tc>
        <w:tc>
          <w:tcPr>
            <w:tcW w:w="1073" w:type="dxa"/>
            <w:vMerge w:val="continue"/>
            <w:shd w:val="clear" w:color="auto" w:fill="FFFFFF"/>
            <w:vAlign w:val="center"/>
          </w:tcPr>
          <w:p w14:paraId="6D543587">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6AC488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10mm高密安迪板UV</w:t>
            </w:r>
          </w:p>
        </w:tc>
        <w:tc>
          <w:tcPr>
            <w:tcW w:w="2050" w:type="dxa"/>
            <w:shd w:val="clear" w:color="auto" w:fill="auto"/>
            <w:vAlign w:val="center"/>
          </w:tcPr>
          <w:p w14:paraId="135153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0.76*0.53M*2、0.76*2.13*1</w:t>
            </w:r>
          </w:p>
        </w:tc>
        <w:tc>
          <w:tcPr>
            <w:tcW w:w="512" w:type="dxa"/>
            <w:shd w:val="clear" w:color="auto" w:fill="FFFFFF"/>
            <w:vAlign w:val="center"/>
          </w:tcPr>
          <w:p w14:paraId="4ECF39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auto"/>
            <w:noWrap/>
            <w:vAlign w:val="center"/>
          </w:tcPr>
          <w:p w14:paraId="4C035C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2.42</w:t>
            </w:r>
          </w:p>
        </w:tc>
        <w:tc>
          <w:tcPr>
            <w:tcW w:w="4428" w:type="dxa"/>
            <w:vMerge w:val="continue"/>
            <w:shd w:val="clear" w:color="auto" w:fill="auto"/>
            <w:vAlign w:val="center"/>
          </w:tcPr>
          <w:p w14:paraId="42CB30F0">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1215D7EB">
            <w:pPr>
              <w:jc w:val="center"/>
              <w:rPr>
                <w:rFonts w:hint="eastAsia" w:ascii="宋体" w:hAnsi="宋体" w:eastAsia="宋体" w:cs="宋体"/>
                <w:i w:val="0"/>
                <w:iCs w:val="0"/>
                <w:color w:val="000000"/>
                <w:sz w:val="18"/>
                <w:szCs w:val="18"/>
                <w:u w:val="none"/>
              </w:rPr>
            </w:pPr>
          </w:p>
        </w:tc>
      </w:tr>
      <w:tr w14:paraId="26C43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609" w:type="dxa"/>
            <w:shd w:val="clear" w:color="auto" w:fill="auto"/>
            <w:noWrap/>
            <w:vAlign w:val="center"/>
          </w:tcPr>
          <w:p w14:paraId="302C92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w:t>
            </w:r>
          </w:p>
        </w:tc>
        <w:tc>
          <w:tcPr>
            <w:tcW w:w="1073" w:type="dxa"/>
            <w:vMerge w:val="continue"/>
            <w:shd w:val="clear" w:color="auto" w:fill="FFFFFF"/>
            <w:vAlign w:val="center"/>
          </w:tcPr>
          <w:p w14:paraId="3354C489">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717022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会议椅</w:t>
            </w:r>
          </w:p>
        </w:tc>
        <w:tc>
          <w:tcPr>
            <w:tcW w:w="2050" w:type="dxa"/>
            <w:shd w:val="clear" w:color="auto" w:fill="auto"/>
            <w:vAlign w:val="center"/>
          </w:tcPr>
          <w:p w14:paraId="15FBC02E">
            <w:pPr>
              <w:jc w:val="center"/>
              <w:rPr>
                <w:rFonts w:hint="eastAsia" w:ascii="宋体" w:hAnsi="宋体" w:eastAsia="宋体" w:cs="宋体"/>
                <w:i w:val="0"/>
                <w:iCs w:val="0"/>
                <w:color w:val="000000"/>
                <w:sz w:val="20"/>
                <w:szCs w:val="20"/>
                <w:u w:val="none"/>
              </w:rPr>
            </w:pPr>
          </w:p>
        </w:tc>
        <w:tc>
          <w:tcPr>
            <w:tcW w:w="512" w:type="dxa"/>
            <w:shd w:val="clear" w:color="auto" w:fill="auto"/>
            <w:vAlign w:val="center"/>
          </w:tcPr>
          <w:p w14:paraId="18BED4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844" w:type="dxa"/>
            <w:shd w:val="clear" w:color="auto" w:fill="auto"/>
            <w:noWrap/>
            <w:vAlign w:val="center"/>
          </w:tcPr>
          <w:p w14:paraId="77B60D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428" w:type="dxa"/>
            <w:shd w:val="clear" w:color="auto" w:fill="auto"/>
            <w:vAlign w:val="center"/>
          </w:tcPr>
          <w:p w14:paraId="43F9E1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1.自带桌板折叠培训椅20把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shd w:val="clear" w:color="auto" w:fill="auto"/>
            <w:noWrap/>
            <w:vAlign w:val="center"/>
          </w:tcPr>
          <w:p w14:paraId="680B4C83">
            <w:pPr>
              <w:rPr>
                <w:rFonts w:hint="eastAsia" w:ascii="宋体" w:hAnsi="宋体" w:eastAsia="宋体" w:cs="宋体"/>
                <w:i w:val="0"/>
                <w:iCs w:val="0"/>
                <w:color w:val="000000"/>
                <w:sz w:val="18"/>
                <w:szCs w:val="18"/>
                <w:u w:val="none"/>
              </w:rPr>
            </w:pPr>
          </w:p>
        </w:tc>
      </w:tr>
      <w:tr w14:paraId="0EF0B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trPr>
        <w:tc>
          <w:tcPr>
            <w:tcW w:w="609" w:type="dxa"/>
            <w:shd w:val="clear" w:color="auto" w:fill="auto"/>
            <w:noWrap/>
            <w:vAlign w:val="center"/>
          </w:tcPr>
          <w:p w14:paraId="441535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w:t>
            </w:r>
          </w:p>
        </w:tc>
        <w:tc>
          <w:tcPr>
            <w:tcW w:w="1073" w:type="dxa"/>
            <w:vMerge w:val="restart"/>
            <w:shd w:val="clear" w:color="auto" w:fill="FFFFFF"/>
            <w:vAlign w:val="center"/>
          </w:tcPr>
          <w:p w14:paraId="750FBA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警示之塔：反面案例</w:t>
            </w:r>
          </w:p>
        </w:tc>
        <w:tc>
          <w:tcPr>
            <w:tcW w:w="2143" w:type="dxa"/>
            <w:shd w:val="clear" w:color="auto" w:fill="auto"/>
            <w:vAlign w:val="center"/>
          </w:tcPr>
          <w:p w14:paraId="51BA7A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非规软膜灯箱定制</w:t>
            </w:r>
          </w:p>
        </w:tc>
        <w:tc>
          <w:tcPr>
            <w:tcW w:w="2050" w:type="dxa"/>
            <w:shd w:val="clear" w:color="auto" w:fill="auto"/>
            <w:vAlign w:val="center"/>
          </w:tcPr>
          <w:p w14:paraId="18816B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2.7*5.9M</w:t>
            </w:r>
          </w:p>
        </w:tc>
        <w:tc>
          <w:tcPr>
            <w:tcW w:w="512" w:type="dxa"/>
            <w:shd w:val="clear" w:color="auto" w:fill="FFFFFF"/>
            <w:vAlign w:val="center"/>
          </w:tcPr>
          <w:p w14:paraId="78FEE9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r>
              <w:rPr>
                <w:rStyle w:val="119"/>
                <w:rFonts w:hint="eastAsia" w:ascii="宋体" w:hAnsi="宋体" w:eastAsia="宋体" w:cs="宋体"/>
                <w:color w:val="000000"/>
                <w:sz w:val="20"/>
                <w:szCs w:val="20"/>
                <w:lang w:val="en-US" w:eastAsia="zh-CN" w:bidi="ar"/>
              </w:rPr>
              <w:t>2</w:t>
            </w:r>
          </w:p>
        </w:tc>
        <w:tc>
          <w:tcPr>
            <w:tcW w:w="844" w:type="dxa"/>
            <w:shd w:val="clear" w:color="auto" w:fill="FFFFFF"/>
            <w:noWrap/>
            <w:vAlign w:val="center"/>
          </w:tcPr>
          <w:p w14:paraId="0CC812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15.93</w:t>
            </w:r>
          </w:p>
        </w:tc>
        <w:tc>
          <w:tcPr>
            <w:tcW w:w="4428" w:type="dxa"/>
            <w:shd w:val="clear" w:color="auto" w:fill="auto"/>
            <w:vAlign w:val="center"/>
          </w:tcPr>
          <w:p w14:paraId="27D845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1.非规定制化大尺寸柔性照明展示软膜灯箱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2.高强度钢架结构固定支架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3.不锈钢包边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5C86DF6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rPr>
              <w:drawing>
                <wp:anchor distT="0" distB="0" distL="114300" distR="114300" simplePos="0" relativeHeight="251680768" behindDoc="1" locked="0" layoutInCell="1" allowOverlap="1">
                  <wp:simplePos x="0" y="0"/>
                  <wp:positionH relativeFrom="column">
                    <wp:posOffset>54610</wp:posOffset>
                  </wp:positionH>
                  <wp:positionV relativeFrom="paragraph">
                    <wp:posOffset>357505</wp:posOffset>
                  </wp:positionV>
                  <wp:extent cx="1642745" cy="933450"/>
                  <wp:effectExtent l="0" t="0" r="3175" b="11430"/>
                  <wp:wrapTight wrapText="bothSides">
                    <wp:wrapPolygon>
                      <wp:start x="0" y="0"/>
                      <wp:lineTo x="0" y="21159"/>
                      <wp:lineTo x="21441" y="21159"/>
                      <wp:lineTo x="21441" y="0"/>
                      <wp:lineTo x="0" y="0"/>
                    </wp:wrapPolygon>
                  </wp:wrapTight>
                  <wp:docPr id="3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4"/>
                          <pic:cNvPicPr>
                            <a:picLocks noChangeAspect="1"/>
                          </pic:cNvPicPr>
                        </pic:nvPicPr>
                        <pic:blipFill>
                          <a:blip r:embed="rId40"/>
                          <a:srcRect l="441" t="206" r="2345" b="1884"/>
                          <a:stretch>
                            <a:fillRect/>
                          </a:stretch>
                        </pic:blipFill>
                        <pic:spPr>
                          <a:xfrm>
                            <a:off x="0" y="0"/>
                            <a:ext cx="1642745" cy="933450"/>
                          </a:xfrm>
                          <a:prstGeom prst="rect">
                            <a:avLst/>
                          </a:prstGeom>
                          <a:noFill/>
                          <a:ln w="9525">
                            <a:noFill/>
                          </a:ln>
                        </pic:spPr>
                      </pic:pic>
                    </a:graphicData>
                  </a:graphic>
                </wp:anchor>
              </w:drawing>
            </w:r>
          </w:p>
        </w:tc>
      </w:tr>
      <w:tr w14:paraId="6C776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0" w:hRule="atLeast"/>
        </w:trPr>
        <w:tc>
          <w:tcPr>
            <w:tcW w:w="609" w:type="dxa"/>
            <w:shd w:val="clear" w:color="auto" w:fill="auto"/>
            <w:noWrap/>
            <w:vAlign w:val="center"/>
          </w:tcPr>
          <w:p w14:paraId="5A8829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1073" w:type="dxa"/>
            <w:vMerge w:val="continue"/>
            <w:shd w:val="clear" w:color="auto" w:fill="FFFFFF"/>
            <w:vAlign w:val="center"/>
          </w:tcPr>
          <w:p w14:paraId="4DEB9C34">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6A7A31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重拳出击</w:t>
            </w:r>
          </w:p>
        </w:tc>
        <w:tc>
          <w:tcPr>
            <w:tcW w:w="2050" w:type="dxa"/>
            <w:shd w:val="clear" w:color="auto" w:fill="auto"/>
            <w:vAlign w:val="center"/>
          </w:tcPr>
          <w:p w14:paraId="5242E5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1.9*1.2m</w:t>
            </w:r>
          </w:p>
        </w:tc>
        <w:tc>
          <w:tcPr>
            <w:tcW w:w="512" w:type="dxa"/>
            <w:shd w:val="clear" w:color="auto" w:fill="auto"/>
            <w:vAlign w:val="center"/>
          </w:tcPr>
          <w:p w14:paraId="747934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44" w:type="dxa"/>
            <w:shd w:val="clear" w:color="auto" w:fill="auto"/>
            <w:noWrap/>
            <w:vAlign w:val="center"/>
          </w:tcPr>
          <w:p w14:paraId="084492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28" w:type="dxa"/>
            <w:shd w:val="clear" w:color="auto" w:fill="auto"/>
            <w:vAlign w:val="center"/>
          </w:tcPr>
          <w:p w14:paraId="5AD707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1.拳头雕塑造型+汽车专用油漆+固定支撑（1.9*1.2M）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2.加厚不锈钢烤漆立体字+表面喷纳米漆防护增亮（1.1米*1字、40cm*4字）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continue"/>
            <w:shd w:val="clear" w:color="auto" w:fill="auto"/>
            <w:noWrap/>
            <w:vAlign w:val="center"/>
          </w:tcPr>
          <w:p w14:paraId="39186575">
            <w:pPr>
              <w:jc w:val="center"/>
              <w:rPr>
                <w:rFonts w:hint="eastAsia" w:ascii="宋体" w:hAnsi="宋体" w:eastAsia="宋体" w:cs="宋体"/>
                <w:b/>
                <w:bCs/>
                <w:i w:val="0"/>
                <w:iCs w:val="0"/>
                <w:color w:val="000000"/>
                <w:sz w:val="18"/>
                <w:szCs w:val="18"/>
                <w:u w:val="none"/>
              </w:rPr>
            </w:pPr>
          </w:p>
        </w:tc>
      </w:tr>
      <w:tr w14:paraId="6AD85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609" w:type="dxa"/>
            <w:shd w:val="clear" w:color="auto" w:fill="auto"/>
            <w:noWrap/>
            <w:vAlign w:val="center"/>
          </w:tcPr>
          <w:p w14:paraId="6EDF8C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w:t>
            </w:r>
          </w:p>
        </w:tc>
        <w:tc>
          <w:tcPr>
            <w:tcW w:w="1073" w:type="dxa"/>
            <w:vMerge w:val="continue"/>
            <w:shd w:val="clear" w:color="auto" w:fill="FFFFFF"/>
            <w:vAlign w:val="center"/>
          </w:tcPr>
          <w:p w14:paraId="1437CD41">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4555F2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贪腐如墨以案说纪</w:t>
            </w:r>
          </w:p>
        </w:tc>
        <w:tc>
          <w:tcPr>
            <w:tcW w:w="2050" w:type="dxa"/>
            <w:shd w:val="clear" w:color="auto" w:fill="auto"/>
            <w:vAlign w:val="center"/>
          </w:tcPr>
          <w:p w14:paraId="33FDB4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6.85*2.95m+4*2.95m</w:t>
            </w:r>
          </w:p>
        </w:tc>
        <w:tc>
          <w:tcPr>
            <w:tcW w:w="512" w:type="dxa"/>
            <w:shd w:val="clear" w:color="auto" w:fill="FFFFFF"/>
            <w:vAlign w:val="center"/>
          </w:tcPr>
          <w:p w14:paraId="6EC697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auto"/>
            <w:noWrap/>
            <w:vAlign w:val="center"/>
          </w:tcPr>
          <w:p w14:paraId="40D0B1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428" w:type="dxa"/>
            <w:shd w:val="clear" w:color="auto" w:fill="auto"/>
            <w:vAlign w:val="center"/>
          </w:tcPr>
          <w:p w14:paraId="240936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1.整体造型背景：细木工板+膏板造型基底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2.抗氧化不锈钢装饰圆管支架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3.立邦环保墙面乳胶漆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4.10MM高密安迪板UV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continue"/>
            <w:shd w:val="clear" w:color="auto" w:fill="auto"/>
            <w:noWrap/>
            <w:vAlign w:val="center"/>
          </w:tcPr>
          <w:p w14:paraId="6ED55E8F">
            <w:pPr>
              <w:jc w:val="center"/>
              <w:rPr>
                <w:rFonts w:hint="eastAsia" w:ascii="宋体" w:hAnsi="宋体" w:eastAsia="宋体" w:cs="宋体"/>
                <w:b/>
                <w:bCs/>
                <w:i w:val="0"/>
                <w:iCs w:val="0"/>
                <w:color w:val="000000"/>
                <w:sz w:val="18"/>
                <w:szCs w:val="18"/>
                <w:u w:val="none"/>
              </w:rPr>
            </w:pPr>
          </w:p>
        </w:tc>
      </w:tr>
      <w:tr w14:paraId="1C4F8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66" w:hRule="atLeast"/>
        </w:trPr>
        <w:tc>
          <w:tcPr>
            <w:tcW w:w="609" w:type="dxa"/>
            <w:shd w:val="clear" w:color="auto" w:fill="auto"/>
            <w:noWrap/>
            <w:vAlign w:val="center"/>
          </w:tcPr>
          <w:p w14:paraId="22F2BD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1073" w:type="dxa"/>
            <w:vMerge w:val="restart"/>
            <w:shd w:val="clear" w:color="auto" w:fill="FFFFFF"/>
            <w:vAlign w:val="center"/>
          </w:tcPr>
          <w:p w14:paraId="470790F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引航之塔：合元肇启·</w:t>
            </w:r>
          </w:p>
          <w:p w14:paraId="34E22F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行远自迩</w:t>
            </w:r>
          </w:p>
        </w:tc>
        <w:tc>
          <w:tcPr>
            <w:tcW w:w="2143" w:type="dxa"/>
            <w:shd w:val="clear" w:color="auto" w:fill="FFFFFF"/>
            <w:vAlign w:val="center"/>
          </w:tcPr>
          <w:p w14:paraId="310D75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“悔”字墙</w:t>
            </w:r>
          </w:p>
        </w:tc>
        <w:tc>
          <w:tcPr>
            <w:tcW w:w="2050" w:type="dxa"/>
            <w:shd w:val="clear" w:color="auto" w:fill="FFFFFF"/>
            <w:vAlign w:val="center"/>
          </w:tcPr>
          <w:p w14:paraId="2EF64D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6.41*2.95M-3.5*2.4M</w:t>
            </w:r>
          </w:p>
        </w:tc>
        <w:tc>
          <w:tcPr>
            <w:tcW w:w="512" w:type="dxa"/>
            <w:shd w:val="clear" w:color="auto" w:fill="FFFFFF"/>
            <w:vAlign w:val="center"/>
          </w:tcPr>
          <w:p w14:paraId="081384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058CB5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10.51</w:t>
            </w:r>
          </w:p>
        </w:tc>
        <w:tc>
          <w:tcPr>
            <w:tcW w:w="4428" w:type="dxa"/>
            <w:shd w:val="clear" w:color="auto" w:fill="auto"/>
            <w:vAlign w:val="center"/>
          </w:tcPr>
          <w:p w14:paraId="759895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1.整体画面双层立体造型；细木工板造型基底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2.多层高密安迪板立体字喷漆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3.照片打印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shd w:val="clear" w:color="auto" w:fill="auto"/>
            <w:noWrap/>
            <w:vAlign w:val="center"/>
          </w:tcPr>
          <w:p w14:paraId="673A63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81792" behindDoc="0" locked="0" layoutInCell="1" allowOverlap="1">
                  <wp:simplePos x="0" y="0"/>
                  <wp:positionH relativeFrom="column">
                    <wp:posOffset>106045</wp:posOffset>
                  </wp:positionH>
                  <wp:positionV relativeFrom="paragraph">
                    <wp:posOffset>84455</wp:posOffset>
                  </wp:positionV>
                  <wp:extent cx="1281430" cy="688340"/>
                  <wp:effectExtent l="0" t="0" r="13970" b="12700"/>
                  <wp:wrapNone/>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41"/>
                          <a:stretch>
                            <a:fillRect/>
                          </a:stretch>
                        </pic:blipFill>
                        <pic:spPr>
                          <a:xfrm>
                            <a:off x="0" y="0"/>
                            <a:ext cx="1281430" cy="688340"/>
                          </a:xfrm>
                          <a:prstGeom prst="rect">
                            <a:avLst/>
                          </a:prstGeom>
                          <a:noFill/>
                          <a:ln w="9525">
                            <a:noFill/>
                          </a:ln>
                        </pic:spPr>
                      </pic:pic>
                    </a:graphicData>
                  </a:graphic>
                </wp:anchor>
              </w:drawing>
            </w:r>
          </w:p>
        </w:tc>
      </w:tr>
      <w:tr w14:paraId="6C2F4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609" w:type="dxa"/>
            <w:shd w:val="clear" w:color="auto" w:fill="auto"/>
            <w:noWrap/>
            <w:vAlign w:val="center"/>
          </w:tcPr>
          <w:p w14:paraId="7579A8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67</w:t>
            </w:r>
          </w:p>
        </w:tc>
        <w:tc>
          <w:tcPr>
            <w:tcW w:w="1073" w:type="dxa"/>
            <w:vMerge w:val="continue"/>
            <w:shd w:val="clear" w:color="auto" w:fill="FFFFFF"/>
            <w:vAlign w:val="center"/>
          </w:tcPr>
          <w:p w14:paraId="7F017434">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0D20A7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“家”字墙</w:t>
            </w:r>
          </w:p>
        </w:tc>
        <w:tc>
          <w:tcPr>
            <w:tcW w:w="2050" w:type="dxa"/>
            <w:shd w:val="clear" w:color="auto" w:fill="auto"/>
            <w:vAlign w:val="center"/>
          </w:tcPr>
          <w:p w14:paraId="131EB6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1.5*2.95M</w:t>
            </w:r>
          </w:p>
        </w:tc>
        <w:tc>
          <w:tcPr>
            <w:tcW w:w="512" w:type="dxa"/>
            <w:shd w:val="clear" w:color="auto" w:fill="auto"/>
            <w:vAlign w:val="center"/>
          </w:tcPr>
          <w:p w14:paraId="35EF74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auto"/>
            <w:noWrap/>
            <w:vAlign w:val="center"/>
          </w:tcPr>
          <w:p w14:paraId="5A7EB8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4428" w:type="dxa"/>
            <w:shd w:val="clear" w:color="auto" w:fill="auto"/>
            <w:vAlign w:val="center"/>
          </w:tcPr>
          <w:p w14:paraId="476F35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1.细木工板+石膏板造型基底＋精细打磨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2.真丝布高清画面UV+专用基胶安装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3.不锈钢U型上下卡槽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4.装饰灯带（包含电源）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5.金属链条造型定制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shd w:val="clear" w:color="auto" w:fill="auto"/>
            <w:noWrap/>
            <w:vAlign w:val="center"/>
          </w:tcPr>
          <w:p w14:paraId="1811FB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82816" behindDoc="0" locked="0" layoutInCell="1" allowOverlap="1">
                  <wp:simplePos x="0" y="0"/>
                  <wp:positionH relativeFrom="column">
                    <wp:posOffset>374015</wp:posOffset>
                  </wp:positionH>
                  <wp:positionV relativeFrom="paragraph">
                    <wp:posOffset>-30480</wp:posOffset>
                  </wp:positionV>
                  <wp:extent cx="506095" cy="974725"/>
                  <wp:effectExtent l="0" t="0" r="12065" b="635"/>
                  <wp:wrapNone/>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42"/>
                          <a:stretch>
                            <a:fillRect/>
                          </a:stretch>
                        </pic:blipFill>
                        <pic:spPr>
                          <a:xfrm>
                            <a:off x="0" y="0"/>
                            <a:ext cx="506095" cy="974725"/>
                          </a:xfrm>
                          <a:prstGeom prst="rect">
                            <a:avLst/>
                          </a:prstGeom>
                          <a:noFill/>
                          <a:ln w="9525">
                            <a:noFill/>
                          </a:ln>
                        </pic:spPr>
                      </pic:pic>
                    </a:graphicData>
                  </a:graphic>
                </wp:anchor>
              </w:drawing>
            </w:r>
          </w:p>
        </w:tc>
      </w:tr>
      <w:tr w14:paraId="7AB57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609" w:type="dxa"/>
            <w:shd w:val="clear" w:color="auto" w:fill="auto"/>
            <w:noWrap/>
            <w:vAlign w:val="center"/>
          </w:tcPr>
          <w:p w14:paraId="713BFB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68</w:t>
            </w:r>
          </w:p>
        </w:tc>
        <w:tc>
          <w:tcPr>
            <w:tcW w:w="1073" w:type="dxa"/>
            <w:vMerge w:val="restart"/>
            <w:shd w:val="clear" w:color="auto" w:fill="FFFFFF"/>
            <w:vAlign w:val="center"/>
          </w:tcPr>
          <w:p w14:paraId="4D14A7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引航之塔：净思屿</w:t>
            </w:r>
          </w:p>
        </w:tc>
        <w:tc>
          <w:tcPr>
            <w:tcW w:w="2143" w:type="dxa"/>
            <w:shd w:val="clear" w:color="auto" w:fill="FFFFFF"/>
            <w:vAlign w:val="center"/>
          </w:tcPr>
          <w:p w14:paraId="38156F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镂空人物雕塑</w:t>
            </w:r>
          </w:p>
        </w:tc>
        <w:tc>
          <w:tcPr>
            <w:tcW w:w="2050" w:type="dxa"/>
            <w:shd w:val="clear" w:color="auto" w:fill="FFFFFF"/>
            <w:vAlign w:val="center"/>
          </w:tcPr>
          <w:p w14:paraId="7EE23D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1.5M、0.8M*2</w:t>
            </w:r>
          </w:p>
        </w:tc>
        <w:tc>
          <w:tcPr>
            <w:tcW w:w="512" w:type="dxa"/>
            <w:shd w:val="clear" w:color="auto" w:fill="auto"/>
            <w:vAlign w:val="center"/>
          </w:tcPr>
          <w:p w14:paraId="0C0474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44" w:type="dxa"/>
            <w:shd w:val="clear" w:color="auto" w:fill="auto"/>
            <w:noWrap/>
            <w:vAlign w:val="center"/>
          </w:tcPr>
          <w:p w14:paraId="7BC9FC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28" w:type="dxa"/>
            <w:vMerge w:val="restart"/>
            <w:shd w:val="clear" w:color="auto" w:fill="auto"/>
            <w:vAlign w:val="center"/>
          </w:tcPr>
          <w:p w14:paraId="2D7279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1.TIG焊抗氧化不锈钢拉丝镂空人物雕塑定制，表面喷纳米漆防护增亮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2.抗氧化不锈钢手拷造型定制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3.高性能合成玻璃纤维层压常温固化人物雕塑定制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2ECE6C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83840" behindDoc="1" locked="0" layoutInCell="1" allowOverlap="1">
                  <wp:simplePos x="0" y="0"/>
                  <wp:positionH relativeFrom="column">
                    <wp:posOffset>81915</wp:posOffset>
                  </wp:positionH>
                  <wp:positionV relativeFrom="paragraph">
                    <wp:posOffset>371475</wp:posOffset>
                  </wp:positionV>
                  <wp:extent cx="1630045" cy="1306195"/>
                  <wp:effectExtent l="0" t="0" r="635" b="4445"/>
                  <wp:wrapTight wrapText="bothSides">
                    <wp:wrapPolygon>
                      <wp:start x="0" y="0"/>
                      <wp:lineTo x="0" y="21421"/>
                      <wp:lineTo x="21406" y="21421"/>
                      <wp:lineTo x="21406" y="0"/>
                      <wp:lineTo x="0" y="0"/>
                    </wp:wrapPolygon>
                  </wp:wrapTight>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43"/>
                          <a:stretch>
                            <a:fillRect/>
                          </a:stretch>
                        </pic:blipFill>
                        <pic:spPr>
                          <a:xfrm>
                            <a:off x="0" y="0"/>
                            <a:ext cx="1630045" cy="1306195"/>
                          </a:xfrm>
                          <a:prstGeom prst="rect">
                            <a:avLst/>
                          </a:prstGeom>
                          <a:noFill/>
                          <a:ln w="9525">
                            <a:noFill/>
                          </a:ln>
                        </pic:spPr>
                      </pic:pic>
                    </a:graphicData>
                  </a:graphic>
                </wp:anchor>
              </w:drawing>
            </w:r>
          </w:p>
        </w:tc>
      </w:tr>
      <w:tr w14:paraId="2D60A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rPr>
        <w:tc>
          <w:tcPr>
            <w:tcW w:w="609" w:type="dxa"/>
            <w:shd w:val="clear" w:color="auto" w:fill="auto"/>
            <w:noWrap/>
            <w:vAlign w:val="center"/>
          </w:tcPr>
          <w:p w14:paraId="09B8C4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1073" w:type="dxa"/>
            <w:vMerge w:val="continue"/>
            <w:shd w:val="clear" w:color="auto" w:fill="FFFFFF"/>
            <w:vAlign w:val="center"/>
          </w:tcPr>
          <w:p w14:paraId="2281F796">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4DF8DF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人物雕塑定制</w:t>
            </w:r>
          </w:p>
        </w:tc>
        <w:tc>
          <w:tcPr>
            <w:tcW w:w="2050" w:type="dxa"/>
            <w:shd w:val="clear" w:color="auto" w:fill="FFFFFF"/>
            <w:vAlign w:val="center"/>
          </w:tcPr>
          <w:p w14:paraId="666020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0.6CM*2</w:t>
            </w:r>
          </w:p>
        </w:tc>
        <w:tc>
          <w:tcPr>
            <w:tcW w:w="512" w:type="dxa"/>
            <w:shd w:val="clear" w:color="auto" w:fill="auto"/>
            <w:vAlign w:val="center"/>
          </w:tcPr>
          <w:p w14:paraId="2EA0CB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44" w:type="dxa"/>
            <w:shd w:val="clear" w:color="auto" w:fill="auto"/>
            <w:noWrap/>
            <w:vAlign w:val="center"/>
          </w:tcPr>
          <w:p w14:paraId="16A676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28" w:type="dxa"/>
            <w:vMerge w:val="continue"/>
            <w:shd w:val="clear" w:color="auto" w:fill="auto"/>
            <w:vAlign w:val="center"/>
          </w:tcPr>
          <w:p w14:paraId="29013991">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0647A608">
            <w:pPr>
              <w:jc w:val="center"/>
              <w:rPr>
                <w:rFonts w:hint="eastAsia" w:ascii="宋体" w:hAnsi="宋体" w:eastAsia="宋体" w:cs="宋体"/>
                <w:i w:val="0"/>
                <w:iCs w:val="0"/>
                <w:color w:val="000000"/>
                <w:sz w:val="18"/>
                <w:szCs w:val="18"/>
                <w:u w:val="none"/>
              </w:rPr>
            </w:pPr>
          </w:p>
        </w:tc>
      </w:tr>
      <w:tr w14:paraId="658B0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3" w:hRule="atLeast"/>
        </w:trPr>
        <w:tc>
          <w:tcPr>
            <w:tcW w:w="609" w:type="dxa"/>
            <w:shd w:val="clear" w:color="auto" w:fill="auto"/>
            <w:noWrap/>
            <w:vAlign w:val="center"/>
          </w:tcPr>
          <w:p w14:paraId="4FD824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w:t>
            </w:r>
          </w:p>
        </w:tc>
        <w:tc>
          <w:tcPr>
            <w:tcW w:w="1073" w:type="dxa"/>
            <w:vMerge w:val="continue"/>
            <w:shd w:val="clear" w:color="auto" w:fill="FFFFFF"/>
            <w:vAlign w:val="center"/>
          </w:tcPr>
          <w:p w14:paraId="3BD511F9">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403411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雕塑造型底座</w:t>
            </w:r>
          </w:p>
        </w:tc>
        <w:tc>
          <w:tcPr>
            <w:tcW w:w="2050" w:type="dxa"/>
            <w:shd w:val="clear" w:color="auto" w:fill="FFFFFF"/>
            <w:vAlign w:val="center"/>
          </w:tcPr>
          <w:p w14:paraId="7AF50E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Ф2.2M</w:t>
            </w:r>
          </w:p>
        </w:tc>
        <w:tc>
          <w:tcPr>
            <w:tcW w:w="512" w:type="dxa"/>
            <w:shd w:val="clear" w:color="auto" w:fill="FFFFFF"/>
            <w:vAlign w:val="center"/>
          </w:tcPr>
          <w:p w14:paraId="28E307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41CBC6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4.84</w:t>
            </w:r>
          </w:p>
        </w:tc>
        <w:tc>
          <w:tcPr>
            <w:tcW w:w="4428" w:type="dxa"/>
            <w:shd w:val="clear" w:color="auto" w:fill="auto"/>
            <w:vAlign w:val="center"/>
          </w:tcPr>
          <w:p w14:paraId="384606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1.加厚圆形抗氧化不锈钢耐腐蚀底座折边焊接+精工打磨+画面UV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2.不锈钢半环围栏堆叠造型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3.2个亚克力立牌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continue"/>
            <w:shd w:val="clear" w:color="auto" w:fill="auto"/>
            <w:noWrap/>
            <w:vAlign w:val="center"/>
          </w:tcPr>
          <w:p w14:paraId="72705F6C">
            <w:pPr>
              <w:jc w:val="center"/>
              <w:rPr>
                <w:rFonts w:hint="eastAsia" w:ascii="宋体" w:hAnsi="宋体" w:eastAsia="宋体" w:cs="宋体"/>
                <w:i w:val="0"/>
                <w:iCs w:val="0"/>
                <w:color w:val="000000"/>
                <w:sz w:val="18"/>
                <w:szCs w:val="18"/>
                <w:u w:val="none"/>
              </w:rPr>
            </w:pPr>
          </w:p>
        </w:tc>
      </w:tr>
      <w:tr w14:paraId="4709B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3" w:hRule="atLeast"/>
        </w:trPr>
        <w:tc>
          <w:tcPr>
            <w:tcW w:w="609" w:type="dxa"/>
            <w:shd w:val="clear" w:color="auto" w:fill="auto"/>
            <w:noWrap/>
            <w:vAlign w:val="center"/>
          </w:tcPr>
          <w:p w14:paraId="3E3ECE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71</w:t>
            </w:r>
          </w:p>
        </w:tc>
        <w:tc>
          <w:tcPr>
            <w:tcW w:w="1073" w:type="dxa"/>
            <w:vMerge w:val="continue"/>
            <w:shd w:val="clear" w:color="auto" w:fill="FFFFFF"/>
            <w:vAlign w:val="center"/>
          </w:tcPr>
          <w:p w14:paraId="6E5CE3F3">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0E1624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圆形吊顶灯定制</w:t>
            </w:r>
          </w:p>
        </w:tc>
        <w:tc>
          <w:tcPr>
            <w:tcW w:w="2050" w:type="dxa"/>
            <w:shd w:val="clear" w:color="auto" w:fill="FFFFFF"/>
            <w:vAlign w:val="center"/>
          </w:tcPr>
          <w:p w14:paraId="2D1EEA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Ф3.4M</w:t>
            </w:r>
          </w:p>
        </w:tc>
        <w:tc>
          <w:tcPr>
            <w:tcW w:w="512" w:type="dxa"/>
            <w:shd w:val="clear" w:color="auto" w:fill="FFFFFF"/>
            <w:vAlign w:val="center"/>
          </w:tcPr>
          <w:p w14:paraId="532B78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6C9743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11.56</w:t>
            </w:r>
          </w:p>
        </w:tc>
        <w:tc>
          <w:tcPr>
            <w:tcW w:w="4428" w:type="dxa"/>
            <w:shd w:val="clear" w:color="auto" w:fill="auto"/>
            <w:vAlign w:val="center"/>
          </w:tcPr>
          <w:p w14:paraId="3FE846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1.1.2mm201耐腐蚀不锈钢焊接，表面烤漆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2.5mm亚克力面板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3.灯箱内置恒压发光电源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4.膨胀螺丝安装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shd w:val="clear" w:color="auto" w:fill="auto"/>
            <w:noWrap/>
            <w:vAlign w:val="center"/>
          </w:tcPr>
          <w:p w14:paraId="56B49C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85888" behindDoc="1" locked="0" layoutInCell="1" allowOverlap="1">
                  <wp:simplePos x="0" y="0"/>
                  <wp:positionH relativeFrom="column">
                    <wp:posOffset>21590</wp:posOffset>
                  </wp:positionH>
                  <wp:positionV relativeFrom="paragraph">
                    <wp:posOffset>200660</wp:posOffset>
                  </wp:positionV>
                  <wp:extent cx="1554480" cy="567055"/>
                  <wp:effectExtent l="0" t="0" r="0" b="12065"/>
                  <wp:wrapTight wrapText="bothSides">
                    <wp:wrapPolygon>
                      <wp:start x="0" y="0"/>
                      <wp:lineTo x="0" y="20899"/>
                      <wp:lineTo x="21388" y="20899"/>
                      <wp:lineTo x="21388" y="0"/>
                      <wp:lineTo x="0" y="0"/>
                    </wp:wrapPolygon>
                  </wp:wrapTight>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1"/>
                          </pic:cNvPicPr>
                        </pic:nvPicPr>
                        <pic:blipFill>
                          <a:blip r:embed="rId44"/>
                          <a:srcRect r="23206"/>
                          <a:stretch>
                            <a:fillRect/>
                          </a:stretch>
                        </pic:blipFill>
                        <pic:spPr>
                          <a:xfrm>
                            <a:off x="0" y="0"/>
                            <a:ext cx="1554480" cy="567055"/>
                          </a:xfrm>
                          <a:prstGeom prst="rect">
                            <a:avLst/>
                          </a:prstGeom>
                          <a:noFill/>
                          <a:ln w="9525">
                            <a:noFill/>
                          </a:ln>
                        </pic:spPr>
                      </pic:pic>
                    </a:graphicData>
                  </a:graphic>
                </wp:anchor>
              </w:drawing>
            </w:r>
          </w:p>
        </w:tc>
      </w:tr>
      <w:tr w14:paraId="5C9EA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atLeast"/>
        </w:trPr>
        <w:tc>
          <w:tcPr>
            <w:tcW w:w="609" w:type="dxa"/>
            <w:shd w:val="clear" w:color="auto" w:fill="auto"/>
            <w:noWrap/>
            <w:vAlign w:val="center"/>
          </w:tcPr>
          <w:p w14:paraId="35E656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1073" w:type="dxa"/>
            <w:vMerge w:val="continue"/>
            <w:shd w:val="clear" w:color="auto" w:fill="FFFFFF"/>
            <w:vAlign w:val="center"/>
          </w:tcPr>
          <w:p w14:paraId="65F73DEC">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7F7D3C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亲情墙造型</w:t>
            </w:r>
          </w:p>
        </w:tc>
        <w:tc>
          <w:tcPr>
            <w:tcW w:w="2050" w:type="dxa"/>
            <w:shd w:val="clear" w:color="auto" w:fill="FFFFFF"/>
            <w:vAlign w:val="center"/>
          </w:tcPr>
          <w:p w14:paraId="4F1E5A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2.6*2.6M</w:t>
            </w:r>
          </w:p>
        </w:tc>
        <w:tc>
          <w:tcPr>
            <w:tcW w:w="512" w:type="dxa"/>
            <w:shd w:val="clear" w:color="auto" w:fill="FFFFFF"/>
            <w:vAlign w:val="center"/>
          </w:tcPr>
          <w:p w14:paraId="04B77A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79682B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6.76</w:t>
            </w:r>
          </w:p>
        </w:tc>
        <w:tc>
          <w:tcPr>
            <w:tcW w:w="4428" w:type="dxa"/>
            <w:shd w:val="clear" w:color="auto" w:fill="auto"/>
            <w:vAlign w:val="center"/>
          </w:tcPr>
          <w:p w14:paraId="3661F0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1.不锈钢圆形背景墙饰面+高清丝印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2.LED柔性灯带（包含恒压发光源）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shd w:val="clear" w:color="auto" w:fill="auto"/>
            <w:noWrap/>
            <w:vAlign w:val="center"/>
          </w:tcPr>
          <w:p w14:paraId="51C8E9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84864" behindDoc="1" locked="0" layoutInCell="1" allowOverlap="1">
                  <wp:simplePos x="0" y="0"/>
                  <wp:positionH relativeFrom="column">
                    <wp:posOffset>114300</wp:posOffset>
                  </wp:positionH>
                  <wp:positionV relativeFrom="paragraph">
                    <wp:posOffset>-225425</wp:posOffset>
                  </wp:positionV>
                  <wp:extent cx="727710" cy="716280"/>
                  <wp:effectExtent l="0" t="0" r="3810" b="0"/>
                  <wp:wrapTight wrapText="bothSides">
                    <wp:wrapPolygon>
                      <wp:start x="0" y="0"/>
                      <wp:lineTo x="0" y="21140"/>
                      <wp:lineTo x="21261" y="21140"/>
                      <wp:lineTo x="21261" y="0"/>
                      <wp:lineTo x="0" y="0"/>
                    </wp:wrapPolygon>
                  </wp:wrapTight>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45"/>
                          <a:stretch>
                            <a:fillRect/>
                          </a:stretch>
                        </pic:blipFill>
                        <pic:spPr>
                          <a:xfrm>
                            <a:off x="0" y="0"/>
                            <a:ext cx="727710" cy="716280"/>
                          </a:xfrm>
                          <a:prstGeom prst="rect">
                            <a:avLst/>
                          </a:prstGeom>
                          <a:noFill/>
                          <a:ln w="9525">
                            <a:noFill/>
                          </a:ln>
                        </pic:spPr>
                      </pic:pic>
                    </a:graphicData>
                  </a:graphic>
                </wp:anchor>
              </w:drawing>
            </w:r>
          </w:p>
        </w:tc>
      </w:tr>
      <w:tr w14:paraId="1E0C8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09" w:type="dxa"/>
            <w:shd w:val="clear" w:color="auto" w:fill="auto"/>
            <w:noWrap/>
            <w:vAlign w:val="center"/>
          </w:tcPr>
          <w:p w14:paraId="5BCBEFB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1"/>
                <w:szCs w:val="21"/>
                <w:u w:val="none"/>
                <w:lang w:val="en-US" w:eastAsia="zh-CN" w:bidi="ar"/>
              </w:rPr>
              <w:t>73</w:t>
            </w:r>
          </w:p>
        </w:tc>
        <w:tc>
          <w:tcPr>
            <w:tcW w:w="1073" w:type="dxa"/>
            <w:vMerge w:val="continue"/>
            <w:shd w:val="clear" w:color="auto" w:fill="FFFFFF"/>
            <w:vAlign w:val="center"/>
          </w:tcPr>
          <w:p w14:paraId="446D37E9">
            <w:pPr>
              <w:jc w:val="center"/>
              <w:rPr>
                <w:rFonts w:hint="eastAsia" w:ascii="宋体" w:hAnsi="宋体" w:eastAsia="宋体" w:cs="宋体"/>
                <w:i w:val="0"/>
                <w:iCs w:val="0"/>
                <w:color w:val="auto"/>
                <w:sz w:val="20"/>
                <w:szCs w:val="20"/>
                <w:u w:val="none"/>
              </w:rPr>
            </w:pPr>
          </w:p>
        </w:tc>
        <w:tc>
          <w:tcPr>
            <w:tcW w:w="2143" w:type="dxa"/>
            <w:shd w:val="clear" w:color="auto" w:fill="FFFFFF"/>
            <w:vAlign w:val="center"/>
          </w:tcPr>
          <w:p w14:paraId="251CAC9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圆环灯带定制</w:t>
            </w:r>
          </w:p>
        </w:tc>
        <w:tc>
          <w:tcPr>
            <w:tcW w:w="2050" w:type="dxa"/>
            <w:shd w:val="clear" w:color="auto" w:fill="FFFFFF"/>
            <w:vAlign w:val="center"/>
          </w:tcPr>
          <w:p w14:paraId="25ACDCC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圆环周长：（5.73+4.6M）*2</w:t>
            </w:r>
          </w:p>
        </w:tc>
        <w:tc>
          <w:tcPr>
            <w:tcW w:w="512" w:type="dxa"/>
            <w:shd w:val="clear" w:color="auto" w:fill="FFFFFF"/>
            <w:vAlign w:val="center"/>
          </w:tcPr>
          <w:p w14:paraId="754B7A2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44" w:type="dxa"/>
            <w:shd w:val="clear" w:color="auto" w:fill="FFFFFF"/>
            <w:noWrap/>
            <w:vAlign w:val="center"/>
          </w:tcPr>
          <w:p w14:paraId="6FE77E1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4428" w:type="dxa"/>
            <w:shd w:val="clear" w:color="auto" w:fill="auto"/>
            <w:vAlign w:val="center"/>
          </w:tcPr>
          <w:p w14:paraId="28F4D3F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1.LED灯带+灯槽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2.恒压电源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包含材料费、安装费、人工费等辅材的所有费用</w:t>
            </w:r>
          </w:p>
        </w:tc>
        <w:tc>
          <w:tcPr>
            <w:tcW w:w="2966" w:type="dxa"/>
            <w:shd w:val="clear" w:color="auto" w:fill="auto"/>
            <w:noWrap/>
            <w:vAlign w:val="center"/>
          </w:tcPr>
          <w:p w14:paraId="6CFA2551">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auto"/>
              </w:rPr>
              <w:drawing>
                <wp:anchor distT="0" distB="0" distL="114300" distR="114300" simplePos="0" relativeHeight="251686912" behindDoc="1" locked="0" layoutInCell="1" allowOverlap="1">
                  <wp:simplePos x="0" y="0"/>
                  <wp:positionH relativeFrom="column">
                    <wp:posOffset>99695</wp:posOffset>
                  </wp:positionH>
                  <wp:positionV relativeFrom="paragraph">
                    <wp:posOffset>-205740</wp:posOffset>
                  </wp:positionV>
                  <wp:extent cx="499745" cy="669925"/>
                  <wp:effectExtent l="0" t="0" r="3175" b="635"/>
                  <wp:wrapTight wrapText="bothSides">
                    <wp:wrapPolygon>
                      <wp:start x="0" y="0"/>
                      <wp:lineTo x="0" y="21129"/>
                      <wp:lineTo x="21079" y="21129"/>
                      <wp:lineTo x="21079" y="0"/>
                      <wp:lineTo x="0" y="0"/>
                    </wp:wrapPolygon>
                  </wp:wrapTight>
                  <wp:docPr id="3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2"/>
                          <pic:cNvPicPr>
                            <a:picLocks noChangeAspect="1"/>
                          </pic:cNvPicPr>
                        </pic:nvPicPr>
                        <pic:blipFill>
                          <a:blip r:embed="rId46"/>
                          <a:stretch>
                            <a:fillRect/>
                          </a:stretch>
                        </pic:blipFill>
                        <pic:spPr>
                          <a:xfrm>
                            <a:off x="0" y="0"/>
                            <a:ext cx="499745" cy="669925"/>
                          </a:xfrm>
                          <a:prstGeom prst="rect">
                            <a:avLst/>
                          </a:prstGeom>
                          <a:noFill/>
                          <a:ln w="9525">
                            <a:noFill/>
                          </a:ln>
                        </pic:spPr>
                      </pic:pic>
                    </a:graphicData>
                  </a:graphic>
                </wp:anchor>
              </w:drawing>
            </w:r>
          </w:p>
        </w:tc>
      </w:tr>
      <w:tr w14:paraId="035A1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09" w:type="dxa"/>
            <w:shd w:val="clear" w:color="auto" w:fill="auto"/>
            <w:noWrap/>
            <w:vAlign w:val="center"/>
          </w:tcPr>
          <w:p w14:paraId="10CE4F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w:t>
            </w:r>
          </w:p>
        </w:tc>
        <w:tc>
          <w:tcPr>
            <w:tcW w:w="1073" w:type="dxa"/>
            <w:vMerge w:val="restart"/>
            <w:shd w:val="clear" w:color="auto" w:fill="FFFFFF"/>
            <w:vAlign w:val="center"/>
          </w:tcPr>
          <w:p w14:paraId="5D3D16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引航之塔：廉政工作法文化呈现</w:t>
            </w:r>
          </w:p>
        </w:tc>
        <w:tc>
          <w:tcPr>
            <w:tcW w:w="2143" w:type="dxa"/>
            <w:shd w:val="clear" w:color="auto" w:fill="FFFFFF"/>
            <w:vAlign w:val="center"/>
          </w:tcPr>
          <w:p w14:paraId="7D5CCD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画面立体基础造型</w:t>
            </w:r>
          </w:p>
        </w:tc>
        <w:tc>
          <w:tcPr>
            <w:tcW w:w="2050" w:type="dxa"/>
            <w:shd w:val="clear" w:color="auto" w:fill="FFFFFF"/>
            <w:vAlign w:val="center"/>
          </w:tcPr>
          <w:p w14:paraId="1A9C88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7*2.95M</w:t>
            </w:r>
          </w:p>
        </w:tc>
        <w:tc>
          <w:tcPr>
            <w:tcW w:w="512" w:type="dxa"/>
            <w:shd w:val="clear" w:color="auto" w:fill="FFFFFF"/>
            <w:vAlign w:val="center"/>
          </w:tcPr>
          <w:p w14:paraId="1E4312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vAlign w:val="center"/>
          </w:tcPr>
          <w:p w14:paraId="3CD8BA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20.65</w:t>
            </w:r>
          </w:p>
        </w:tc>
        <w:tc>
          <w:tcPr>
            <w:tcW w:w="4428" w:type="dxa"/>
            <w:vMerge w:val="restart"/>
            <w:shd w:val="clear" w:color="auto" w:fill="FFFFFF"/>
            <w:vAlign w:val="center"/>
          </w:tcPr>
          <w:p w14:paraId="701868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1.画面立体基础造型：细木工板+石膏板双层造型基底+精细打磨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2.紫外线固化真丝布高清UV直印+专用基胶安装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3.纳米级多孔硅藻矿物抗碱壁材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.10MM高密安迪板UV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.20MM高密安迪板立体字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.5MM亚克力异形UV+激光雕刻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75A54DD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rPr>
              <w:drawing>
                <wp:inline distT="0" distB="0" distL="114300" distR="114300">
                  <wp:extent cx="1646555" cy="593725"/>
                  <wp:effectExtent l="0" t="0" r="14605" b="635"/>
                  <wp:docPr id="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pic:cNvPicPr>
                            <a:picLocks noChangeAspect="1"/>
                          </pic:cNvPicPr>
                        </pic:nvPicPr>
                        <pic:blipFill>
                          <a:blip r:embed="rId47"/>
                          <a:stretch>
                            <a:fillRect/>
                          </a:stretch>
                        </pic:blipFill>
                        <pic:spPr>
                          <a:xfrm>
                            <a:off x="0" y="0"/>
                            <a:ext cx="1646555" cy="593725"/>
                          </a:xfrm>
                          <a:prstGeom prst="rect">
                            <a:avLst/>
                          </a:prstGeom>
                          <a:noFill/>
                          <a:ln w="9525">
                            <a:noFill/>
                          </a:ln>
                        </pic:spPr>
                      </pic:pic>
                    </a:graphicData>
                  </a:graphic>
                </wp:inline>
              </w:drawing>
            </w:r>
          </w:p>
        </w:tc>
      </w:tr>
      <w:tr w14:paraId="24BB6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0" w:hRule="atLeast"/>
        </w:trPr>
        <w:tc>
          <w:tcPr>
            <w:tcW w:w="609" w:type="dxa"/>
            <w:shd w:val="clear" w:color="auto" w:fill="auto"/>
            <w:noWrap/>
            <w:vAlign w:val="center"/>
          </w:tcPr>
          <w:p w14:paraId="31B612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1073" w:type="dxa"/>
            <w:vMerge w:val="continue"/>
            <w:shd w:val="clear" w:color="auto" w:fill="FFFFFF"/>
            <w:vAlign w:val="center"/>
          </w:tcPr>
          <w:p w14:paraId="6D0F1066">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779160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真丝布高清UV直印</w:t>
            </w:r>
          </w:p>
        </w:tc>
        <w:tc>
          <w:tcPr>
            <w:tcW w:w="2050" w:type="dxa"/>
            <w:shd w:val="clear" w:color="auto" w:fill="FFFFFF"/>
            <w:vAlign w:val="center"/>
          </w:tcPr>
          <w:p w14:paraId="6B94D9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7*2.95M</w:t>
            </w:r>
          </w:p>
        </w:tc>
        <w:tc>
          <w:tcPr>
            <w:tcW w:w="512" w:type="dxa"/>
            <w:shd w:val="clear" w:color="auto" w:fill="FFFFFF"/>
            <w:vAlign w:val="center"/>
          </w:tcPr>
          <w:p w14:paraId="2C9E75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vAlign w:val="center"/>
          </w:tcPr>
          <w:p w14:paraId="34F5EF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20.65</w:t>
            </w:r>
          </w:p>
        </w:tc>
        <w:tc>
          <w:tcPr>
            <w:tcW w:w="4428" w:type="dxa"/>
            <w:vMerge w:val="continue"/>
            <w:shd w:val="clear" w:color="auto" w:fill="FFFFFF"/>
            <w:vAlign w:val="center"/>
          </w:tcPr>
          <w:p w14:paraId="1529ECBF">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18C2C81B">
            <w:pPr>
              <w:jc w:val="center"/>
              <w:rPr>
                <w:rFonts w:hint="eastAsia" w:ascii="宋体" w:hAnsi="宋体" w:eastAsia="宋体" w:cs="宋体"/>
                <w:b/>
                <w:bCs/>
                <w:i w:val="0"/>
                <w:iCs w:val="0"/>
                <w:color w:val="000000"/>
                <w:sz w:val="18"/>
                <w:szCs w:val="18"/>
                <w:u w:val="none"/>
              </w:rPr>
            </w:pPr>
          </w:p>
        </w:tc>
      </w:tr>
      <w:tr w14:paraId="3D657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09" w:type="dxa"/>
            <w:shd w:val="clear" w:color="auto" w:fill="auto"/>
            <w:noWrap/>
            <w:vAlign w:val="center"/>
          </w:tcPr>
          <w:p w14:paraId="5F50FF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76</w:t>
            </w:r>
          </w:p>
        </w:tc>
        <w:tc>
          <w:tcPr>
            <w:tcW w:w="1073" w:type="dxa"/>
            <w:vMerge w:val="continue"/>
            <w:shd w:val="clear" w:color="auto" w:fill="FFFFFF"/>
            <w:vAlign w:val="center"/>
          </w:tcPr>
          <w:p w14:paraId="2EA4F3C6">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4A6590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纳米级多孔硅藻矿物抗碱壁材</w:t>
            </w:r>
          </w:p>
        </w:tc>
        <w:tc>
          <w:tcPr>
            <w:tcW w:w="2050" w:type="dxa"/>
            <w:shd w:val="clear" w:color="auto" w:fill="FFFFFF"/>
            <w:vAlign w:val="center"/>
          </w:tcPr>
          <w:p w14:paraId="09C92D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8*0.5M</w:t>
            </w:r>
          </w:p>
        </w:tc>
        <w:tc>
          <w:tcPr>
            <w:tcW w:w="512" w:type="dxa"/>
            <w:shd w:val="clear" w:color="auto" w:fill="FFFFFF"/>
            <w:vAlign w:val="center"/>
          </w:tcPr>
          <w:p w14:paraId="023273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vAlign w:val="center"/>
          </w:tcPr>
          <w:p w14:paraId="6DB3F9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28" w:type="dxa"/>
            <w:vMerge w:val="continue"/>
            <w:shd w:val="clear" w:color="auto" w:fill="FFFFFF"/>
            <w:vAlign w:val="center"/>
          </w:tcPr>
          <w:p w14:paraId="0DE77D3A">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01804AA8">
            <w:pPr>
              <w:jc w:val="center"/>
              <w:rPr>
                <w:rFonts w:hint="eastAsia" w:ascii="宋体" w:hAnsi="宋体" w:eastAsia="宋体" w:cs="宋体"/>
                <w:b/>
                <w:bCs/>
                <w:i w:val="0"/>
                <w:iCs w:val="0"/>
                <w:color w:val="000000"/>
                <w:sz w:val="18"/>
                <w:szCs w:val="18"/>
                <w:u w:val="none"/>
              </w:rPr>
            </w:pPr>
          </w:p>
        </w:tc>
      </w:tr>
      <w:tr w14:paraId="1FE67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609" w:type="dxa"/>
            <w:shd w:val="clear" w:color="auto" w:fill="auto"/>
            <w:noWrap/>
            <w:vAlign w:val="center"/>
          </w:tcPr>
          <w:p w14:paraId="11C5C0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w:t>
            </w:r>
          </w:p>
        </w:tc>
        <w:tc>
          <w:tcPr>
            <w:tcW w:w="1073" w:type="dxa"/>
            <w:vMerge w:val="continue"/>
            <w:shd w:val="clear" w:color="auto" w:fill="FFFFFF"/>
            <w:vAlign w:val="center"/>
          </w:tcPr>
          <w:p w14:paraId="4751B3AB">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30BC86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10MM高密安迪板UV画面</w:t>
            </w:r>
          </w:p>
        </w:tc>
        <w:tc>
          <w:tcPr>
            <w:tcW w:w="2050" w:type="dxa"/>
            <w:shd w:val="clear" w:color="auto" w:fill="FFFFFF"/>
            <w:vAlign w:val="center"/>
          </w:tcPr>
          <w:p w14:paraId="4C7831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0.5*1.8、0.5*1.4、0.5*1.5、0.6*0.9M、1*2M</w:t>
            </w:r>
          </w:p>
        </w:tc>
        <w:tc>
          <w:tcPr>
            <w:tcW w:w="512" w:type="dxa"/>
            <w:shd w:val="clear" w:color="auto" w:fill="FFFFFF"/>
            <w:vAlign w:val="center"/>
          </w:tcPr>
          <w:p w14:paraId="749FD8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vAlign w:val="center"/>
          </w:tcPr>
          <w:p w14:paraId="5E5233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4.89</w:t>
            </w:r>
          </w:p>
        </w:tc>
        <w:tc>
          <w:tcPr>
            <w:tcW w:w="4428" w:type="dxa"/>
            <w:vMerge w:val="continue"/>
            <w:shd w:val="clear" w:color="auto" w:fill="FFFFFF"/>
            <w:vAlign w:val="center"/>
          </w:tcPr>
          <w:p w14:paraId="34502143">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1B8968C8">
            <w:pPr>
              <w:jc w:val="center"/>
              <w:rPr>
                <w:rFonts w:hint="eastAsia" w:ascii="宋体" w:hAnsi="宋体" w:eastAsia="宋体" w:cs="宋体"/>
                <w:b/>
                <w:bCs/>
                <w:i w:val="0"/>
                <w:iCs w:val="0"/>
                <w:color w:val="000000"/>
                <w:sz w:val="18"/>
                <w:szCs w:val="18"/>
                <w:u w:val="none"/>
              </w:rPr>
            </w:pPr>
          </w:p>
        </w:tc>
      </w:tr>
      <w:tr w14:paraId="3415C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0" w:hRule="atLeast"/>
        </w:trPr>
        <w:tc>
          <w:tcPr>
            <w:tcW w:w="609" w:type="dxa"/>
            <w:shd w:val="clear" w:color="auto" w:fill="auto"/>
            <w:noWrap/>
            <w:vAlign w:val="center"/>
          </w:tcPr>
          <w:p w14:paraId="55392B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78</w:t>
            </w:r>
          </w:p>
        </w:tc>
        <w:tc>
          <w:tcPr>
            <w:tcW w:w="1073" w:type="dxa"/>
            <w:vMerge w:val="continue"/>
            <w:shd w:val="clear" w:color="auto" w:fill="FFFFFF"/>
            <w:vAlign w:val="center"/>
          </w:tcPr>
          <w:p w14:paraId="5DBC0E14">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0C5302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5MM亚克力异形UV</w:t>
            </w:r>
          </w:p>
        </w:tc>
        <w:tc>
          <w:tcPr>
            <w:tcW w:w="2050" w:type="dxa"/>
            <w:shd w:val="clear" w:color="auto" w:fill="FFFFFF"/>
            <w:vAlign w:val="center"/>
          </w:tcPr>
          <w:p w14:paraId="4FCBE7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Φ0.8M</w:t>
            </w:r>
          </w:p>
        </w:tc>
        <w:tc>
          <w:tcPr>
            <w:tcW w:w="512" w:type="dxa"/>
            <w:shd w:val="clear" w:color="auto" w:fill="FFFFFF"/>
            <w:vAlign w:val="center"/>
          </w:tcPr>
          <w:p w14:paraId="4A74AA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vAlign w:val="center"/>
          </w:tcPr>
          <w:p w14:paraId="595FF0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0.64</w:t>
            </w:r>
          </w:p>
        </w:tc>
        <w:tc>
          <w:tcPr>
            <w:tcW w:w="4428" w:type="dxa"/>
            <w:vMerge w:val="continue"/>
            <w:shd w:val="clear" w:color="auto" w:fill="FFFFFF"/>
            <w:vAlign w:val="center"/>
          </w:tcPr>
          <w:p w14:paraId="6CD979EB">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25516308">
            <w:pPr>
              <w:jc w:val="center"/>
              <w:rPr>
                <w:rFonts w:hint="eastAsia" w:ascii="宋体" w:hAnsi="宋体" w:eastAsia="宋体" w:cs="宋体"/>
                <w:b/>
                <w:bCs/>
                <w:i w:val="0"/>
                <w:iCs w:val="0"/>
                <w:color w:val="000000"/>
                <w:sz w:val="18"/>
                <w:szCs w:val="18"/>
                <w:u w:val="none"/>
              </w:rPr>
            </w:pPr>
          </w:p>
        </w:tc>
      </w:tr>
      <w:tr w14:paraId="12229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09" w:type="dxa"/>
            <w:shd w:val="clear" w:color="auto" w:fill="auto"/>
            <w:noWrap/>
            <w:vAlign w:val="center"/>
          </w:tcPr>
          <w:p w14:paraId="0EBB67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79</w:t>
            </w:r>
          </w:p>
        </w:tc>
        <w:tc>
          <w:tcPr>
            <w:tcW w:w="1073" w:type="dxa"/>
            <w:vMerge w:val="continue"/>
            <w:shd w:val="clear" w:color="auto" w:fill="FFFFFF"/>
            <w:vAlign w:val="center"/>
          </w:tcPr>
          <w:p w14:paraId="7762687F">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4B3E847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20MM高密安迪板</w:t>
            </w:r>
          </w:p>
          <w:p w14:paraId="13D593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立体字</w:t>
            </w:r>
          </w:p>
        </w:tc>
        <w:tc>
          <w:tcPr>
            <w:tcW w:w="2050" w:type="dxa"/>
            <w:shd w:val="clear" w:color="auto" w:fill="FFFFFF"/>
            <w:vAlign w:val="center"/>
          </w:tcPr>
          <w:p w14:paraId="4EF063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27cm</w:t>
            </w:r>
          </w:p>
        </w:tc>
        <w:tc>
          <w:tcPr>
            <w:tcW w:w="512" w:type="dxa"/>
            <w:shd w:val="clear" w:color="auto" w:fill="FFFFFF"/>
            <w:vAlign w:val="center"/>
          </w:tcPr>
          <w:p w14:paraId="4A92B0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vAlign w:val="center"/>
          </w:tcPr>
          <w:p w14:paraId="2C8EE6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428" w:type="dxa"/>
            <w:vMerge w:val="continue"/>
            <w:shd w:val="clear" w:color="auto" w:fill="FFFFFF"/>
            <w:vAlign w:val="center"/>
          </w:tcPr>
          <w:p w14:paraId="5E39FC16">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195074A3">
            <w:pPr>
              <w:jc w:val="center"/>
              <w:rPr>
                <w:rFonts w:hint="eastAsia" w:ascii="宋体" w:hAnsi="宋体" w:eastAsia="宋体" w:cs="宋体"/>
                <w:b/>
                <w:bCs/>
                <w:i w:val="0"/>
                <w:iCs w:val="0"/>
                <w:color w:val="000000"/>
                <w:sz w:val="18"/>
                <w:szCs w:val="18"/>
                <w:u w:val="none"/>
              </w:rPr>
            </w:pPr>
          </w:p>
        </w:tc>
      </w:tr>
      <w:tr w14:paraId="608BC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0" w:hRule="atLeast"/>
        </w:trPr>
        <w:tc>
          <w:tcPr>
            <w:tcW w:w="609" w:type="dxa"/>
            <w:shd w:val="clear" w:color="auto" w:fill="auto"/>
            <w:noWrap/>
            <w:vAlign w:val="center"/>
          </w:tcPr>
          <w:p w14:paraId="31FBA0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1073" w:type="dxa"/>
            <w:vMerge w:val="restart"/>
            <w:shd w:val="clear" w:color="auto" w:fill="auto"/>
            <w:noWrap/>
            <w:vAlign w:val="center"/>
          </w:tcPr>
          <w:p w14:paraId="466305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重生之塔</w:t>
            </w:r>
          </w:p>
        </w:tc>
        <w:tc>
          <w:tcPr>
            <w:tcW w:w="2143" w:type="dxa"/>
            <w:shd w:val="clear" w:color="auto" w:fill="FFFFFF"/>
            <w:vAlign w:val="center"/>
          </w:tcPr>
          <w:p w14:paraId="2458DD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不锈钢精工发光字</w:t>
            </w:r>
          </w:p>
        </w:tc>
        <w:tc>
          <w:tcPr>
            <w:tcW w:w="2050" w:type="dxa"/>
            <w:shd w:val="clear" w:color="auto" w:fill="FFFFFF"/>
            <w:vAlign w:val="center"/>
          </w:tcPr>
          <w:p w14:paraId="295CB4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高：27cm</w:t>
            </w:r>
          </w:p>
        </w:tc>
        <w:tc>
          <w:tcPr>
            <w:tcW w:w="512" w:type="dxa"/>
            <w:shd w:val="clear" w:color="auto" w:fill="FFFFFF"/>
            <w:vAlign w:val="center"/>
          </w:tcPr>
          <w:p w14:paraId="5AD6BC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vAlign w:val="center"/>
          </w:tcPr>
          <w:p w14:paraId="70CF47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28" w:type="dxa"/>
            <w:vMerge w:val="restart"/>
            <w:shd w:val="clear" w:color="auto" w:fill="FFFFFF"/>
            <w:vAlign w:val="center"/>
          </w:tcPr>
          <w:p w14:paraId="08F1CF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1.“等我变好”抗氧化不锈钢精工发光字，镭射激光切割，精工打磨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2.10MM亚克力印章造型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3.恒压电源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71BCD6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1" locked="0" layoutInCell="1" allowOverlap="1">
                  <wp:simplePos x="0" y="0"/>
                  <wp:positionH relativeFrom="column">
                    <wp:posOffset>53975</wp:posOffset>
                  </wp:positionH>
                  <wp:positionV relativeFrom="paragraph">
                    <wp:posOffset>321945</wp:posOffset>
                  </wp:positionV>
                  <wp:extent cx="1570990" cy="631190"/>
                  <wp:effectExtent l="0" t="0" r="13970" b="8890"/>
                  <wp:wrapTight wrapText="bothSides">
                    <wp:wrapPolygon>
                      <wp:start x="0" y="0"/>
                      <wp:lineTo x="0" y="20861"/>
                      <wp:lineTo x="21373" y="20861"/>
                      <wp:lineTo x="21373" y="0"/>
                      <wp:lineTo x="0" y="0"/>
                    </wp:wrapPolygon>
                  </wp:wrapTight>
                  <wp:docPr id="4" name="图片_23"/>
                  <wp:cNvGraphicFramePr/>
                  <a:graphic xmlns:a="http://schemas.openxmlformats.org/drawingml/2006/main">
                    <a:graphicData uri="http://schemas.openxmlformats.org/drawingml/2006/picture">
                      <pic:pic xmlns:pic="http://schemas.openxmlformats.org/drawingml/2006/picture">
                        <pic:nvPicPr>
                          <pic:cNvPr id="4" name="图片_23"/>
                          <pic:cNvPicPr/>
                        </pic:nvPicPr>
                        <pic:blipFill>
                          <a:blip r:embed="rId48"/>
                          <a:stretch>
                            <a:fillRect/>
                          </a:stretch>
                        </pic:blipFill>
                        <pic:spPr>
                          <a:xfrm>
                            <a:off x="0" y="0"/>
                            <a:ext cx="1570990" cy="631190"/>
                          </a:xfrm>
                          <a:prstGeom prst="rect">
                            <a:avLst/>
                          </a:prstGeom>
                          <a:noFill/>
                          <a:ln>
                            <a:noFill/>
                          </a:ln>
                        </pic:spPr>
                      </pic:pic>
                    </a:graphicData>
                  </a:graphic>
                </wp:anchor>
              </w:drawing>
            </w:r>
          </w:p>
        </w:tc>
      </w:tr>
      <w:tr w14:paraId="74759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69" w:hRule="atLeast"/>
        </w:trPr>
        <w:tc>
          <w:tcPr>
            <w:tcW w:w="609" w:type="dxa"/>
            <w:shd w:val="clear" w:color="auto" w:fill="auto"/>
            <w:noWrap/>
            <w:vAlign w:val="center"/>
          </w:tcPr>
          <w:p w14:paraId="5CB5F0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w:t>
            </w:r>
          </w:p>
        </w:tc>
        <w:tc>
          <w:tcPr>
            <w:tcW w:w="1073" w:type="dxa"/>
            <w:vMerge w:val="continue"/>
            <w:shd w:val="clear" w:color="auto" w:fill="auto"/>
            <w:noWrap/>
            <w:vAlign w:val="center"/>
          </w:tcPr>
          <w:p w14:paraId="2641AE65">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23B158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10MM亚克力印章造型</w:t>
            </w:r>
          </w:p>
        </w:tc>
        <w:tc>
          <w:tcPr>
            <w:tcW w:w="2050" w:type="dxa"/>
            <w:shd w:val="clear" w:color="auto" w:fill="FFFFFF"/>
            <w:vAlign w:val="center"/>
          </w:tcPr>
          <w:p w14:paraId="2BAFA8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15*15CM</w:t>
            </w:r>
          </w:p>
        </w:tc>
        <w:tc>
          <w:tcPr>
            <w:tcW w:w="512" w:type="dxa"/>
            <w:shd w:val="clear" w:color="auto" w:fill="FFFFFF"/>
            <w:vAlign w:val="center"/>
          </w:tcPr>
          <w:p w14:paraId="0CD5A1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44" w:type="dxa"/>
            <w:shd w:val="clear" w:color="auto" w:fill="FFFFFF"/>
            <w:vAlign w:val="center"/>
          </w:tcPr>
          <w:p w14:paraId="2BF3AF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28" w:type="dxa"/>
            <w:vMerge w:val="continue"/>
            <w:shd w:val="clear" w:color="auto" w:fill="FFFFFF"/>
            <w:vAlign w:val="center"/>
          </w:tcPr>
          <w:p w14:paraId="2439E829">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5C6D3AA3">
            <w:pPr>
              <w:jc w:val="center"/>
              <w:rPr>
                <w:rFonts w:hint="eastAsia" w:ascii="宋体" w:hAnsi="宋体" w:eastAsia="宋体" w:cs="宋体"/>
                <w:i w:val="0"/>
                <w:iCs w:val="0"/>
                <w:color w:val="000000"/>
                <w:sz w:val="18"/>
                <w:szCs w:val="18"/>
                <w:u w:val="none"/>
              </w:rPr>
            </w:pPr>
          </w:p>
        </w:tc>
      </w:tr>
      <w:tr w14:paraId="65BD6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9" w:type="dxa"/>
            <w:shd w:val="clear" w:color="auto" w:fill="auto"/>
            <w:noWrap/>
            <w:vAlign w:val="center"/>
          </w:tcPr>
          <w:p w14:paraId="3CC967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w:t>
            </w:r>
          </w:p>
        </w:tc>
        <w:tc>
          <w:tcPr>
            <w:tcW w:w="1073" w:type="dxa"/>
            <w:vMerge w:val="continue"/>
            <w:shd w:val="clear" w:color="auto" w:fill="auto"/>
            <w:noWrap/>
            <w:vAlign w:val="center"/>
          </w:tcPr>
          <w:p w14:paraId="0B8F2F2A">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2444712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整体画面立体基础</w:t>
            </w:r>
          </w:p>
          <w:p w14:paraId="710A90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造型</w:t>
            </w:r>
          </w:p>
        </w:tc>
        <w:tc>
          <w:tcPr>
            <w:tcW w:w="2050" w:type="dxa"/>
            <w:shd w:val="clear" w:color="auto" w:fill="auto"/>
            <w:vAlign w:val="center"/>
          </w:tcPr>
          <w:p w14:paraId="286368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3.8*2.4M</w:t>
            </w:r>
          </w:p>
        </w:tc>
        <w:tc>
          <w:tcPr>
            <w:tcW w:w="512" w:type="dxa"/>
            <w:shd w:val="clear" w:color="auto" w:fill="FFFFFF"/>
            <w:vAlign w:val="center"/>
          </w:tcPr>
          <w:p w14:paraId="7C32BE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0D674C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9.12</w:t>
            </w:r>
          </w:p>
        </w:tc>
        <w:tc>
          <w:tcPr>
            <w:tcW w:w="4428" w:type="dxa"/>
            <w:vMerge w:val="restart"/>
            <w:shd w:val="clear" w:color="auto" w:fill="auto"/>
            <w:vAlign w:val="center"/>
          </w:tcPr>
          <w:p w14:paraId="6DDA90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1.等我变好、涤心如莲画面立体基础造型：细木工板+石膏板造型基底+精细打磨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2.纳米级多孔硅藻矿物抗碱壁材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3.紫外线固化真丝布高清UV直印+专用基胶安装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4.10MM高密安迪板画面UV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5.10MM亚克力立体字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5DE261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inline distT="0" distB="0" distL="114300" distR="114300">
                  <wp:extent cx="1731645" cy="637540"/>
                  <wp:effectExtent l="0" t="0" r="5715" b="2540"/>
                  <wp:docPr id="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pic:cNvPicPr>
                            <a:picLocks noChangeAspect="1"/>
                          </pic:cNvPicPr>
                        </pic:nvPicPr>
                        <pic:blipFill>
                          <a:blip r:embed="rId49"/>
                          <a:stretch>
                            <a:fillRect/>
                          </a:stretch>
                        </pic:blipFill>
                        <pic:spPr>
                          <a:xfrm>
                            <a:off x="0" y="0"/>
                            <a:ext cx="1731645" cy="637540"/>
                          </a:xfrm>
                          <a:prstGeom prst="rect">
                            <a:avLst/>
                          </a:prstGeom>
                          <a:noFill/>
                          <a:ln w="9525">
                            <a:noFill/>
                          </a:ln>
                        </pic:spPr>
                      </pic:pic>
                    </a:graphicData>
                  </a:graphic>
                </wp:inline>
              </w:drawing>
            </w:r>
          </w:p>
        </w:tc>
      </w:tr>
      <w:tr w14:paraId="2488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609" w:type="dxa"/>
            <w:shd w:val="clear" w:color="auto" w:fill="auto"/>
            <w:noWrap/>
            <w:vAlign w:val="center"/>
          </w:tcPr>
          <w:p w14:paraId="798837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w:t>
            </w:r>
          </w:p>
        </w:tc>
        <w:tc>
          <w:tcPr>
            <w:tcW w:w="1073" w:type="dxa"/>
            <w:vMerge w:val="continue"/>
            <w:shd w:val="clear" w:color="auto" w:fill="auto"/>
            <w:noWrap/>
            <w:vAlign w:val="center"/>
          </w:tcPr>
          <w:p w14:paraId="7FAE116E">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1ECF9B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纳米级多孔硅藻矿物抗碱壁材</w:t>
            </w:r>
          </w:p>
        </w:tc>
        <w:tc>
          <w:tcPr>
            <w:tcW w:w="2050" w:type="dxa"/>
            <w:shd w:val="clear" w:color="auto" w:fill="auto"/>
            <w:vAlign w:val="center"/>
          </w:tcPr>
          <w:p w14:paraId="45ECA7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7.3*2.4M</w:t>
            </w:r>
          </w:p>
        </w:tc>
        <w:tc>
          <w:tcPr>
            <w:tcW w:w="512" w:type="dxa"/>
            <w:shd w:val="clear" w:color="auto" w:fill="FFFFFF"/>
            <w:vAlign w:val="center"/>
          </w:tcPr>
          <w:p w14:paraId="053664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1C29D1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17.52</w:t>
            </w:r>
          </w:p>
        </w:tc>
        <w:tc>
          <w:tcPr>
            <w:tcW w:w="4428" w:type="dxa"/>
            <w:vMerge w:val="continue"/>
            <w:shd w:val="clear" w:color="auto" w:fill="auto"/>
            <w:vAlign w:val="center"/>
          </w:tcPr>
          <w:p w14:paraId="4494BCEC">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151730F0">
            <w:pPr>
              <w:jc w:val="center"/>
              <w:rPr>
                <w:rFonts w:hint="eastAsia" w:ascii="宋体" w:hAnsi="宋体" w:eastAsia="宋体" w:cs="宋体"/>
                <w:i w:val="0"/>
                <w:iCs w:val="0"/>
                <w:color w:val="000000"/>
                <w:sz w:val="18"/>
                <w:szCs w:val="18"/>
                <w:u w:val="none"/>
              </w:rPr>
            </w:pPr>
          </w:p>
        </w:tc>
      </w:tr>
      <w:tr w14:paraId="74232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9" w:type="dxa"/>
            <w:shd w:val="clear" w:color="auto" w:fill="auto"/>
            <w:noWrap/>
            <w:vAlign w:val="center"/>
          </w:tcPr>
          <w:p w14:paraId="650FC9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84</w:t>
            </w:r>
          </w:p>
        </w:tc>
        <w:tc>
          <w:tcPr>
            <w:tcW w:w="1073" w:type="dxa"/>
            <w:vMerge w:val="continue"/>
            <w:shd w:val="clear" w:color="auto" w:fill="auto"/>
            <w:noWrap/>
            <w:vAlign w:val="center"/>
          </w:tcPr>
          <w:p w14:paraId="68A01734">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2FB823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真丝布高清UV直印</w:t>
            </w:r>
          </w:p>
        </w:tc>
        <w:tc>
          <w:tcPr>
            <w:tcW w:w="2050" w:type="dxa"/>
            <w:shd w:val="clear" w:color="auto" w:fill="auto"/>
            <w:vAlign w:val="center"/>
          </w:tcPr>
          <w:p w14:paraId="1673C4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3.54*2.95M</w:t>
            </w:r>
          </w:p>
        </w:tc>
        <w:tc>
          <w:tcPr>
            <w:tcW w:w="512" w:type="dxa"/>
            <w:shd w:val="clear" w:color="auto" w:fill="FFFFFF"/>
            <w:vAlign w:val="center"/>
          </w:tcPr>
          <w:p w14:paraId="396043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36778D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10.44</w:t>
            </w:r>
          </w:p>
        </w:tc>
        <w:tc>
          <w:tcPr>
            <w:tcW w:w="4428" w:type="dxa"/>
            <w:vMerge w:val="continue"/>
            <w:shd w:val="clear" w:color="auto" w:fill="auto"/>
            <w:vAlign w:val="center"/>
          </w:tcPr>
          <w:p w14:paraId="4257C87F">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56E197C5">
            <w:pPr>
              <w:jc w:val="center"/>
              <w:rPr>
                <w:rFonts w:hint="eastAsia" w:ascii="宋体" w:hAnsi="宋体" w:eastAsia="宋体" w:cs="宋体"/>
                <w:i w:val="0"/>
                <w:iCs w:val="0"/>
                <w:color w:val="000000"/>
                <w:sz w:val="18"/>
                <w:szCs w:val="18"/>
                <w:u w:val="none"/>
              </w:rPr>
            </w:pPr>
          </w:p>
        </w:tc>
      </w:tr>
      <w:tr w14:paraId="73313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9" w:type="dxa"/>
            <w:shd w:val="clear" w:color="auto" w:fill="auto"/>
            <w:noWrap/>
            <w:vAlign w:val="center"/>
          </w:tcPr>
          <w:p w14:paraId="17290C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w:t>
            </w:r>
          </w:p>
        </w:tc>
        <w:tc>
          <w:tcPr>
            <w:tcW w:w="1073" w:type="dxa"/>
            <w:vMerge w:val="continue"/>
            <w:shd w:val="clear" w:color="auto" w:fill="auto"/>
            <w:noWrap/>
            <w:vAlign w:val="center"/>
          </w:tcPr>
          <w:p w14:paraId="63D4BA3E">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70D4FAE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10MM高密安迪板</w:t>
            </w:r>
          </w:p>
          <w:p w14:paraId="08E3FA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画面UV</w:t>
            </w:r>
          </w:p>
        </w:tc>
        <w:tc>
          <w:tcPr>
            <w:tcW w:w="2050" w:type="dxa"/>
            <w:shd w:val="clear" w:color="auto" w:fill="auto"/>
            <w:vAlign w:val="center"/>
          </w:tcPr>
          <w:p w14:paraId="23A4F0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1.8*0.7M、1.8*1.94M</w:t>
            </w:r>
          </w:p>
        </w:tc>
        <w:tc>
          <w:tcPr>
            <w:tcW w:w="512" w:type="dxa"/>
            <w:shd w:val="clear" w:color="auto" w:fill="FFFFFF"/>
            <w:vAlign w:val="center"/>
          </w:tcPr>
          <w:p w14:paraId="74DF1C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400671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5.57</w:t>
            </w:r>
          </w:p>
        </w:tc>
        <w:tc>
          <w:tcPr>
            <w:tcW w:w="4428" w:type="dxa"/>
            <w:vMerge w:val="continue"/>
            <w:shd w:val="clear" w:color="auto" w:fill="auto"/>
            <w:vAlign w:val="center"/>
          </w:tcPr>
          <w:p w14:paraId="6C7A717C">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02983402">
            <w:pPr>
              <w:jc w:val="center"/>
              <w:rPr>
                <w:rFonts w:hint="eastAsia" w:ascii="宋体" w:hAnsi="宋体" w:eastAsia="宋体" w:cs="宋体"/>
                <w:i w:val="0"/>
                <w:iCs w:val="0"/>
                <w:color w:val="000000"/>
                <w:sz w:val="18"/>
                <w:szCs w:val="18"/>
                <w:u w:val="none"/>
              </w:rPr>
            </w:pPr>
          </w:p>
        </w:tc>
      </w:tr>
      <w:tr w14:paraId="01233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9" w:type="dxa"/>
            <w:shd w:val="clear" w:color="auto" w:fill="auto"/>
            <w:noWrap/>
            <w:vAlign w:val="center"/>
          </w:tcPr>
          <w:p w14:paraId="6CE421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1073" w:type="dxa"/>
            <w:vMerge w:val="continue"/>
            <w:shd w:val="clear" w:color="auto" w:fill="auto"/>
            <w:noWrap/>
            <w:vAlign w:val="center"/>
          </w:tcPr>
          <w:p w14:paraId="12570083">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086FF8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5MM亚克力异形UV</w:t>
            </w:r>
          </w:p>
        </w:tc>
        <w:tc>
          <w:tcPr>
            <w:tcW w:w="2050" w:type="dxa"/>
            <w:shd w:val="clear" w:color="auto" w:fill="FFFFFF"/>
            <w:vAlign w:val="center"/>
          </w:tcPr>
          <w:p w14:paraId="2317E8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0.7*0.8M</w:t>
            </w:r>
          </w:p>
        </w:tc>
        <w:tc>
          <w:tcPr>
            <w:tcW w:w="512" w:type="dxa"/>
            <w:shd w:val="clear" w:color="auto" w:fill="FFFFFF"/>
            <w:vAlign w:val="center"/>
          </w:tcPr>
          <w:p w14:paraId="0F43AA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vAlign w:val="center"/>
          </w:tcPr>
          <w:p w14:paraId="451109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0.56</w:t>
            </w:r>
          </w:p>
        </w:tc>
        <w:tc>
          <w:tcPr>
            <w:tcW w:w="4428" w:type="dxa"/>
            <w:vMerge w:val="continue"/>
            <w:shd w:val="clear" w:color="auto" w:fill="auto"/>
            <w:vAlign w:val="center"/>
          </w:tcPr>
          <w:p w14:paraId="106F0979">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6FFD3A57">
            <w:pPr>
              <w:jc w:val="center"/>
              <w:rPr>
                <w:rFonts w:hint="eastAsia" w:ascii="宋体" w:hAnsi="宋体" w:eastAsia="宋体" w:cs="宋体"/>
                <w:i w:val="0"/>
                <w:iCs w:val="0"/>
                <w:color w:val="000000"/>
                <w:sz w:val="18"/>
                <w:szCs w:val="18"/>
                <w:u w:val="none"/>
              </w:rPr>
            </w:pPr>
          </w:p>
        </w:tc>
      </w:tr>
      <w:tr w14:paraId="6952A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609" w:type="dxa"/>
            <w:shd w:val="clear" w:color="auto" w:fill="auto"/>
            <w:noWrap/>
            <w:vAlign w:val="center"/>
          </w:tcPr>
          <w:p w14:paraId="39ACB8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87</w:t>
            </w:r>
          </w:p>
        </w:tc>
        <w:tc>
          <w:tcPr>
            <w:tcW w:w="1073" w:type="dxa"/>
            <w:vMerge w:val="continue"/>
            <w:shd w:val="clear" w:color="auto" w:fill="auto"/>
            <w:noWrap/>
            <w:vAlign w:val="center"/>
          </w:tcPr>
          <w:p w14:paraId="569ECA40">
            <w:pPr>
              <w:jc w:val="center"/>
              <w:rPr>
                <w:rFonts w:hint="eastAsia" w:ascii="宋体" w:hAnsi="宋体" w:eastAsia="宋体" w:cs="宋体"/>
                <w:i w:val="0"/>
                <w:iCs w:val="0"/>
                <w:color w:val="000000"/>
                <w:sz w:val="20"/>
                <w:szCs w:val="20"/>
                <w:u w:val="none"/>
              </w:rPr>
            </w:pPr>
          </w:p>
        </w:tc>
        <w:tc>
          <w:tcPr>
            <w:tcW w:w="2143" w:type="dxa"/>
            <w:vMerge w:val="restart"/>
            <w:shd w:val="clear" w:color="auto" w:fill="auto"/>
            <w:vAlign w:val="center"/>
          </w:tcPr>
          <w:p w14:paraId="71569C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10MM亚克力立体字</w:t>
            </w:r>
          </w:p>
        </w:tc>
        <w:tc>
          <w:tcPr>
            <w:tcW w:w="2050" w:type="dxa"/>
            <w:shd w:val="clear" w:color="auto" w:fill="auto"/>
            <w:vAlign w:val="center"/>
          </w:tcPr>
          <w:p w14:paraId="650D53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高：14cm</w:t>
            </w:r>
          </w:p>
        </w:tc>
        <w:tc>
          <w:tcPr>
            <w:tcW w:w="512" w:type="dxa"/>
            <w:shd w:val="clear" w:color="auto" w:fill="FFFFFF"/>
            <w:vAlign w:val="center"/>
          </w:tcPr>
          <w:p w14:paraId="05FD00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5D0B79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28" w:type="dxa"/>
            <w:vMerge w:val="continue"/>
            <w:shd w:val="clear" w:color="auto" w:fill="auto"/>
            <w:vAlign w:val="center"/>
          </w:tcPr>
          <w:p w14:paraId="1C3457C8">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04DF7A63">
            <w:pPr>
              <w:jc w:val="center"/>
              <w:rPr>
                <w:rFonts w:hint="eastAsia" w:ascii="宋体" w:hAnsi="宋体" w:eastAsia="宋体" w:cs="宋体"/>
                <w:i w:val="0"/>
                <w:iCs w:val="0"/>
                <w:color w:val="000000"/>
                <w:sz w:val="18"/>
                <w:szCs w:val="18"/>
                <w:u w:val="none"/>
              </w:rPr>
            </w:pPr>
          </w:p>
        </w:tc>
      </w:tr>
      <w:tr w14:paraId="7B568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09" w:type="dxa"/>
            <w:shd w:val="clear" w:color="auto" w:fill="auto"/>
            <w:noWrap/>
            <w:vAlign w:val="center"/>
          </w:tcPr>
          <w:p w14:paraId="41F8EA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88</w:t>
            </w:r>
          </w:p>
        </w:tc>
        <w:tc>
          <w:tcPr>
            <w:tcW w:w="1073" w:type="dxa"/>
            <w:vMerge w:val="continue"/>
            <w:shd w:val="clear" w:color="auto" w:fill="auto"/>
            <w:noWrap/>
            <w:vAlign w:val="center"/>
          </w:tcPr>
          <w:p w14:paraId="2E945D4F">
            <w:pPr>
              <w:jc w:val="center"/>
              <w:rPr>
                <w:rFonts w:hint="eastAsia" w:ascii="宋体" w:hAnsi="宋体" w:eastAsia="宋体" w:cs="宋体"/>
                <w:i w:val="0"/>
                <w:iCs w:val="0"/>
                <w:color w:val="000000"/>
                <w:sz w:val="20"/>
                <w:szCs w:val="20"/>
                <w:u w:val="none"/>
              </w:rPr>
            </w:pPr>
          </w:p>
        </w:tc>
        <w:tc>
          <w:tcPr>
            <w:tcW w:w="2143" w:type="dxa"/>
            <w:vMerge w:val="continue"/>
            <w:shd w:val="clear" w:color="auto" w:fill="auto"/>
            <w:vAlign w:val="center"/>
          </w:tcPr>
          <w:p w14:paraId="6DD1A110">
            <w:pPr>
              <w:jc w:val="center"/>
              <w:rPr>
                <w:rFonts w:hint="eastAsia" w:ascii="宋体" w:hAnsi="宋体" w:eastAsia="宋体" w:cs="宋体"/>
                <w:i w:val="0"/>
                <w:iCs w:val="0"/>
                <w:color w:val="000000"/>
                <w:sz w:val="20"/>
                <w:szCs w:val="20"/>
                <w:u w:val="none"/>
              </w:rPr>
            </w:pPr>
          </w:p>
        </w:tc>
        <w:tc>
          <w:tcPr>
            <w:tcW w:w="2050" w:type="dxa"/>
            <w:shd w:val="clear" w:color="auto" w:fill="auto"/>
            <w:vAlign w:val="center"/>
          </w:tcPr>
          <w:p w14:paraId="6A23EA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高：11cm</w:t>
            </w:r>
          </w:p>
        </w:tc>
        <w:tc>
          <w:tcPr>
            <w:tcW w:w="512" w:type="dxa"/>
            <w:shd w:val="clear" w:color="auto" w:fill="FFFFFF"/>
            <w:vAlign w:val="center"/>
          </w:tcPr>
          <w:p w14:paraId="3D048B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22D724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28" w:type="dxa"/>
            <w:vMerge w:val="continue"/>
            <w:shd w:val="clear" w:color="auto" w:fill="auto"/>
            <w:vAlign w:val="center"/>
          </w:tcPr>
          <w:p w14:paraId="5EF578EF">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16DF2106">
            <w:pPr>
              <w:jc w:val="center"/>
              <w:rPr>
                <w:rFonts w:hint="eastAsia" w:ascii="宋体" w:hAnsi="宋体" w:eastAsia="宋体" w:cs="宋体"/>
                <w:i w:val="0"/>
                <w:iCs w:val="0"/>
                <w:color w:val="000000"/>
                <w:sz w:val="18"/>
                <w:szCs w:val="18"/>
                <w:u w:val="none"/>
              </w:rPr>
            </w:pPr>
          </w:p>
        </w:tc>
      </w:tr>
      <w:tr w14:paraId="1E7B1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trPr>
        <w:tc>
          <w:tcPr>
            <w:tcW w:w="609" w:type="dxa"/>
            <w:shd w:val="clear" w:color="auto" w:fill="auto"/>
            <w:noWrap/>
            <w:vAlign w:val="center"/>
          </w:tcPr>
          <w:p w14:paraId="7971BF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89</w:t>
            </w:r>
          </w:p>
        </w:tc>
        <w:tc>
          <w:tcPr>
            <w:tcW w:w="1073" w:type="dxa"/>
            <w:vMerge w:val="continue"/>
            <w:shd w:val="clear" w:color="auto" w:fill="auto"/>
            <w:noWrap/>
            <w:vAlign w:val="center"/>
          </w:tcPr>
          <w:p w14:paraId="0B9EC9C6">
            <w:pPr>
              <w:jc w:val="center"/>
              <w:rPr>
                <w:rFonts w:hint="eastAsia" w:ascii="宋体" w:hAnsi="宋体" w:eastAsia="宋体" w:cs="宋体"/>
                <w:i w:val="0"/>
                <w:iCs w:val="0"/>
                <w:color w:val="000000"/>
                <w:sz w:val="20"/>
                <w:szCs w:val="20"/>
                <w:u w:val="none"/>
              </w:rPr>
            </w:pPr>
          </w:p>
        </w:tc>
        <w:tc>
          <w:tcPr>
            <w:tcW w:w="2143" w:type="dxa"/>
            <w:shd w:val="clear" w:color="auto" w:fill="auto"/>
            <w:noWrap/>
            <w:vAlign w:val="center"/>
          </w:tcPr>
          <w:p w14:paraId="7CAA64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电视机背景墙造型</w:t>
            </w:r>
          </w:p>
        </w:tc>
        <w:tc>
          <w:tcPr>
            <w:tcW w:w="2050" w:type="dxa"/>
            <w:shd w:val="clear" w:color="auto" w:fill="auto"/>
            <w:vAlign w:val="center"/>
          </w:tcPr>
          <w:p w14:paraId="3DD549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3.34*2.4m</w:t>
            </w:r>
          </w:p>
        </w:tc>
        <w:tc>
          <w:tcPr>
            <w:tcW w:w="512" w:type="dxa"/>
            <w:shd w:val="clear" w:color="auto" w:fill="FFFFFF"/>
            <w:vAlign w:val="center"/>
          </w:tcPr>
          <w:p w14:paraId="6A3574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111F6B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8.02</w:t>
            </w:r>
          </w:p>
        </w:tc>
        <w:tc>
          <w:tcPr>
            <w:tcW w:w="4428" w:type="dxa"/>
            <w:shd w:val="clear" w:color="auto" w:fill="auto"/>
            <w:vAlign w:val="center"/>
          </w:tcPr>
          <w:p w14:paraId="6D2794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1.墙面环保艺术漆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shd w:val="clear" w:color="auto" w:fill="auto"/>
            <w:noWrap/>
            <w:vAlign w:val="center"/>
          </w:tcPr>
          <w:p w14:paraId="6761188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57150</wp:posOffset>
                  </wp:positionV>
                  <wp:extent cx="892810" cy="589915"/>
                  <wp:effectExtent l="0" t="0" r="6350" b="4445"/>
                  <wp:wrapNone/>
                  <wp:docPr id="3" name="图片_17"/>
                  <wp:cNvGraphicFramePr/>
                  <a:graphic xmlns:a="http://schemas.openxmlformats.org/drawingml/2006/main">
                    <a:graphicData uri="http://schemas.openxmlformats.org/drawingml/2006/picture">
                      <pic:pic xmlns:pic="http://schemas.openxmlformats.org/drawingml/2006/picture">
                        <pic:nvPicPr>
                          <pic:cNvPr id="3" name="图片_17"/>
                          <pic:cNvPicPr/>
                        </pic:nvPicPr>
                        <pic:blipFill>
                          <a:blip r:embed="rId50"/>
                          <a:stretch>
                            <a:fillRect/>
                          </a:stretch>
                        </pic:blipFill>
                        <pic:spPr>
                          <a:xfrm>
                            <a:off x="0" y="0"/>
                            <a:ext cx="892810" cy="589915"/>
                          </a:xfrm>
                          <a:prstGeom prst="rect">
                            <a:avLst/>
                          </a:prstGeom>
                          <a:noFill/>
                          <a:ln>
                            <a:noFill/>
                          </a:ln>
                        </pic:spPr>
                      </pic:pic>
                    </a:graphicData>
                  </a:graphic>
                </wp:anchor>
              </w:drawing>
            </w:r>
          </w:p>
        </w:tc>
      </w:tr>
      <w:tr w14:paraId="6F031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0" w:hRule="atLeast"/>
        </w:trPr>
        <w:tc>
          <w:tcPr>
            <w:tcW w:w="609" w:type="dxa"/>
            <w:shd w:val="clear" w:color="auto" w:fill="auto"/>
            <w:noWrap/>
            <w:vAlign w:val="center"/>
          </w:tcPr>
          <w:p w14:paraId="0BD30D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w:t>
            </w:r>
          </w:p>
        </w:tc>
        <w:tc>
          <w:tcPr>
            <w:tcW w:w="1073" w:type="dxa"/>
            <w:vMerge w:val="continue"/>
            <w:shd w:val="clear" w:color="auto" w:fill="auto"/>
            <w:noWrap/>
            <w:vAlign w:val="center"/>
          </w:tcPr>
          <w:p w14:paraId="6140C1B5">
            <w:pPr>
              <w:jc w:val="center"/>
              <w:rPr>
                <w:rFonts w:hint="eastAsia" w:ascii="宋体" w:hAnsi="宋体" w:eastAsia="宋体" w:cs="宋体"/>
                <w:i w:val="0"/>
                <w:iCs w:val="0"/>
                <w:color w:val="000000"/>
                <w:sz w:val="20"/>
                <w:szCs w:val="20"/>
                <w:u w:val="none"/>
              </w:rPr>
            </w:pPr>
          </w:p>
        </w:tc>
        <w:tc>
          <w:tcPr>
            <w:tcW w:w="2143" w:type="dxa"/>
            <w:shd w:val="clear" w:color="auto" w:fill="auto"/>
            <w:noWrap/>
            <w:vAlign w:val="center"/>
          </w:tcPr>
          <w:p w14:paraId="0E0FEB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莲花灯造型定制</w:t>
            </w:r>
          </w:p>
        </w:tc>
        <w:tc>
          <w:tcPr>
            <w:tcW w:w="2050" w:type="dxa"/>
            <w:shd w:val="clear" w:color="auto" w:fill="auto"/>
            <w:vAlign w:val="center"/>
          </w:tcPr>
          <w:p w14:paraId="3334A0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2.1*2.1*0.12M</w:t>
            </w:r>
          </w:p>
        </w:tc>
        <w:tc>
          <w:tcPr>
            <w:tcW w:w="512" w:type="dxa"/>
            <w:shd w:val="clear" w:color="auto" w:fill="FFFFFF"/>
            <w:vAlign w:val="center"/>
          </w:tcPr>
          <w:p w14:paraId="2836F9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44" w:type="dxa"/>
            <w:shd w:val="clear" w:color="auto" w:fill="FFFFFF"/>
            <w:noWrap/>
            <w:vAlign w:val="center"/>
          </w:tcPr>
          <w:p w14:paraId="0C5081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28" w:type="dxa"/>
            <w:shd w:val="clear" w:color="auto" w:fill="auto"/>
            <w:vAlign w:val="center"/>
          </w:tcPr>
          <w:p w14:paraId="16CD61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1.灯罩表面1.2mm201不锈钢异形围边焊接烤漆+表面喷纳米漆防腐增亮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2.5mm亚克力面板；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3.内置灯源；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4、膨胀螺丝安装。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shd w:val="clear" w:color="auto" w:fill="auto"/>
            <w:noWrap/>
            <w:vAlign w:val="center"/>
          </w:tcPr>
          <w:p w14:paraId="27D46F1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120650</wp:posOffset>
                  </wp:positionV>
                  <wp:extent cx="1400175" cy="685165"/>
                  <wp:effectExtent l="0" t="0" r="1905" b="635"/>
                  <wp:wrapNone/>
                  <wp:docPr id="2" name="图片_43"/>
                  <wp:cNvGraphicFramePr/>
                  <a:graphic xmlns:a="http://schemas.openxmlformats.org/drawingml/2006/main">
                    <a:graphicData uri="http://schemas.openxmlformats.org/drawingml/2006/picture">
                      <pic:pic xmlns:pic="http://schemas.openxmlformats.org/drawingml/2006/picture">
                        <pic:nvPicPr>
                          <pic:cNvPr id="2" name="图片_43"/>
                          <pic:cNvPicPr/>
                        </pic:nvPicPr>
                        <pic:blipFill>
                          <a:blip r:embed="rId51"/>
                          <a:stretch>
                            <a:fillRect/>
                          </a:stretch>
                        </pic:blipFill>
                        <pic:spPr>
                          <a:xfrm>
                            <a:off x="0" y="0"/>
                            <a:ext cx="1400175" cy="685165"/>
                          </a:xfrm>
                          <a:prstGeom prst="rect">
                            <a:avLst/>
                          </a:prstGeom>
                          <a:noFill/>
                          <a:ln>
                            <a:noFill/>
                          </a:ln>
                        </pic:spPr>
                      </pic:pic>
                    </a:graphicData>
                  </a:graphic>
                </wp:anchor>
              </w:drawing>
            </w:r>
          </w:p>
        </w:tc>
      </w:tr>
      <w:tr w14:paraId="1AD88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3" w:hRule="atLeast"/>
        </w:trPr>
        <w:tc>
          <w:tcPr>
            <w:tcW w:w="609" w:type="dxa"/>
            <w:shd w:val="clear" w:color="auto" w:fill="auto"/>
            <w:noWrap/>
            <w:vAlign w:val="center"/>
          </w:tcPr>
          <w:p w14:paraId="1FF62F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w:t>
            </w:r>
          </w:p>
        </w:tc>
        <w:tc>
          <w:tcPr>
            <w:tcW w:w="1073" w:type="dxa"/>
            <w:vMerge w:val="continue"/>
            <w:shd w:val="clear" w:color="auto" w:fill="auto"/>
            <w:noWrap/>
            <w:vAlign w:val="center"/>
          </w:tcPr>
          <w:p w14:paraId="668BFFFD">
            <w:pPr>
              <w:jc w:val="center"/>
              <w:rPr>
                <w:rFonts w:hint="eastAsia" w:ascii="宋体" w:hAnsi="宋体" w:eastAsia="宋体" w:cs="宋体"/>
                <w:i w:val="0"/>
                <w:iCs w:val="0"/>
                <w:color w:val="000000"/>
                <w:sz w:val="20"/>
                <w:szCs w:val="20"/>
                <w:u w:val="none"/>
              </w:rPr>
            </w:pPr>
          </w:p>
        </w:tc>
        <w:tc>
          <w:tcPr>
            <w:tcW w:w="2143" w:type="dxa"/>
            <w:shd w:val="clear" w:color="auto" w:fill="auto"/>
            <w:noWrap/>
            <w:vAlign w:val="center"/>
          </w:tcPr>
          <w:p w14:paraId="786599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画面立体基础造型</w:t>
            </w:r>
          </w:p>
        </w:tc>
        <w:tc>
          <w:tcPr>
            <w:tcW w:w="2050" w:type="dxa"/>
            <w:shd w:val="clear" w:color="auto" w:fill="auto"/>
            <w:vAlign w:val="center"/>
          </w:tcPr>
          <w:p w14:paraId="4C7129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3*2.4M</w:t>
            </w:r>
          </w:p>
        </w:tc>
        <w:tc>
          <w:tcPr>
            <w:tcW w:w="512" w:type="dxa"/>
            <w:shd w:val="clear" w:color="auto" w:fill="FFFFFF"/>
            <w:vAlign w:val="center"/>
          </w:tcPr>
          <w:p w14:paraId="457405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6D1E4B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4428" w:type="dxa"/>
            <w:vMerge w:val="restart"/>
            <w:shd w:val="clear" w:color="auto" w:fill="auto"/>
            <w:vAlign w:val="center"/>
          </w:tcPr>
          <w:p w14:paraId="0208EE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1.画面立体基础造型：细木工板+石膏板造型基底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2.紫外线固化真丝布高清UV直印+专用基胶安装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3.10MM高密安迪板UV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4.10MM高密安迪板立体字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5.玻璃平开窗荣誉展示柜定制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0FFDDD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318770</wp:posOffset>
                  </wp:positionV>
                  <wp:extent cx="1459865" cy="635000"/>
                  <wp:effectExtent l="0" t="0" r="3175" b="5080"/>
                  <wp:wrapNone/>
                  <wp:docPr id="1" name="图片_28"/>
                  <wp:cNvGraphicFramePr/>
                  <a:graphic xmlns:a="http://schemas.openxmlformats.org/drawingml/2006/main">
                    <a:graphicData uri="http://schemas.openxmlformats.org/drawingml/2006/picture">
                      <pic:pic xmlns:pic="http://schemas.openxmlformats.org/drawingml/2006/picture">
                        <pic:nvPicPr>
                          <pic:cNvPr id="1" name="图片_28"/>
                          <pic:cNvPicPr/>
                        </pic:nvPicPr>
                        <pic:blipFill>
                          <a:blip r:embed="rId52"/>
                          <a:stretch>
                            <a:fillRect/>
                          </a:stretch>
                        </pic:blipFill>
                        <pic:spPr>
                          <a:xfrm>
                            <a:off x="0" y="0"/>
                            <a:ext cx="1459865" cy="635000"/>
                          </a:xfrm>
                          <a:prstGeom prst="rect">
                            <a:avLst/>
                          </a:prstGeom>
                          <a:noFill/>
                          <a:ln>
                            <a:noFill/>
                          </a:ln>
                        </pic:spPr>
                      </pic:pic>
                    </a:graphicData>
                  </a:graphic>
                </wp:anchor>
              </w:drawing>
            </w:r>
          </w:p>
        </w:tc>
      </w:tr>
      <w:tr w14:paraId="773D4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7" w:hRule="atLeast"/>
        </w:trPr>
        <w:tc>
          <w:tcPr>
            <w:tcW w:w="609" w:type="dxa"/>
            <w:shd w:val="clear" w:color="auto" w:fill="auto"/>
            <w:noWrap/>
            <w:vAlign w:val="center"/>
          </w:tcPr>
          <w:p w14:paraId="1171BA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1073" w:type="dxa"/>
            <w:vMerge w:val="continue"/>
            <w:shd w:val="clear" w:color="auto" w:fill="auto"/>
            <w:noWrap/>
            <w:vAlign w:val="center"/>
          </w:tcPr>
          <w:p w14:paraId="4DC75E1F">
            <w:pPr>
              <w:jc w:val="center"/>
              <w:rPr>
                <w:rFonts w:hint="eastAsia" w:ascii="宋体" w:hAnsi="宋体" w:eastAsia="宋体" w:cs="宋体"/>
                <w:i w:val="0"/>
                <w:iCs w:val="0"/>
                <w:color w:val="000000"/>
                <w:sz w:val="20"/>
                <w:szCs w:val="20"/>
                <w:u w:val="none"/>
              </w:rPr>
            </w:pPr>
          </w:p>
        </w:tc>
        <w:tc>
          <w:tcPr>
            <w:tcW w:w="2143" w:type="dxa"/>
            <w:shd w:val="clear" w:color="auto" w:fill="auto"/>
            <w:noWrap/>
            <w:vAlign w:val="center"/>
          </w:tcPr>
          <w:p w14:paraId="3FEEF9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真丝布高清UV直印</w:t>
            </w:r>
          </w:p>
        </w:tc>
        <w:tc>
          <w:tcPr>
            <w:tcW w:w="2050" w:type="dxa"/>
            <w:shd w:val="clear" w:color="auto" w:fill="auto"/>
            <w:vAlign w:val="center"/>
          </w:tcPr>
          <w:p w14:paraId="3D542B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6.1*2.4M</w:t>
            </w:r>
          </w:p>
        </w:tc>
        <w:tc>
          <w:tcPr>
            <w:tcW w:w="512" w:type="dxa"/>
            <w:shd w:val="clear" w:color="auto" w:fill="FFFFFF"/>
            <w:vAlign w:val="center"/>
          </w:tcPr>
          <w:p w14:paraId="36C4CE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1E5428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14.64</w:t>
            </w:r>
          </w:p>
        </w:tc>
        <w:tc>
          <w:tcPr>
            <w:tcW w:w="4428" w:type="dxa"/>
            <w:vMerge w:val="continue"/>
            <w:shd w:val="clear" w:color="auto" w:fill="auto"/>
            <w:vAlign w:val="center"/>
          </w:tcPr>
          <w:p w14:paraId="0BA6C517">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27F84009">
            <w:pPr>
              <w:jc w:val="center"/>
              <w:rPr>
                <w:rFonts w:hint="eastAsia" w:ascii="宋体" w:hAnsi="宋体" w:eastAsia="宋体" w:cs="宋体"/>
                <w:i w:val="0"/>
                <w:iCs w:val="0"/>
                <w:color w:val="000000"/>
                <w:sz w:val="18"/>
                <w:szCs w:val="18"/>
                <w:u w:val="none"/>
              </w:rPr>
            </w:pPr>
          </w:p>
        </w:tc>
      </w:tr>
      <w:tr w14:paraId="16D0A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09" w:type="dxa"/>
            <w:shd w:val="clear" w:color="auto" w:fill="auto"/>
            <w:noWrap/>
            <w:vAlign w:val="center"/>
          </w:tcPr>
          <w:p w14:paraId="08D2CB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w:t>
            </w:r>
          </w:p>
        </w:tc>
        <w:tc>
          <w:tcPr>
            <w:tcW w:w="1073" w:type="dxa"/>
            <w:vMerge w:val="continue"/>
            <w:shd w:val="clear" w:color="auto" w:fill="auto"/>
            <w:noWrap/>
            <w:vAlign w:val="center"/>
          </w:tcPr>
          <w:p w14:paraId="7C18D3FC">
            <w:pPr>
              <w:jc w:val="center"/>
              <w:rPr>
                <w:rFonts w:hint="eastAsia" w:ascii="宋体" w:hAnsi="宋体" w:eastAsia="宋体" w:cs="宋体"/>
                <w:i w:val="0"/>
                <w:iCs w:val="0"/>
                <w:color w:val="000000"/>
                <w:sz w:val="20"/>
                <w:szCs w:val="20"/>
                <w:u w:val="none"/>
              </w:rPr>
            </w:pPr>
          </w:p>
        </w:tc>
        <w:tc>
          <w:tcPr>
            <w:tcW w:w="2143" w:type="dxa"/>
            <w:shd w:val="clear" w:color="auto" w:fill="auto"/>
            <w:noWrap/>
            <w:vAlign w:val="center"/>
          </w:tcPr>
          <w:p w14:paraId="6693B45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5MM高密安迪板</w:t>
            </w:r>
          </w:p>
          <w:p w14:paraId="34F299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立体字</w:t>
            </w:r>
          </w:p>
        </w:tc>
        <w:tc>
          <w:tcPr>
            <w:tcW w:w="2050" w:type="dxa"/>
            <w:shd w:val="clear" w:color="auto" w:fill="auto"/>
            <w:vAlign w:val="center"/>
          </w:tcPr>
          <w:p w14:paraId="16BAE1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6CM</w:t>
            </w:r>
          </w:p>
        </w:tc>
        <w:tc>
          <w:tcPr>
            <w:tcW w:w="512" w:type="dxa"/>
            <w:shd w:val="clear" w:color="auto" w:fill="FFFFFF"/>
            <w:vAlign w:val="center"/>
          </w:tcPr>
          <w:p w14:paraId="39B2C8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4AA8BE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4428" w:type="dxa"/>
            <w:vMerge w:val="continue"/>
            <w:shd w:val="clear" w:color="auto" w:fill="auto"/>
            <w:vAlign w:val="center"/>
          </w:tcPr>
          <w:p w14:paraId="692CDAB8">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2355F2F1">
            <w:pPr>
              <w:jc w:val="center"/>
              <w:rPr>
                <w:rFonts w:hint="eastAsia" w:ascii="宋体" w:hAnsi="宋体" w:eastAsia="宋体" w:cs="宋体"/>
                <w:i w:val="0"/>
                <w:iCs w:val="0"/>
                <w:color w:val="000000"/>
                <w:sz w:val="18"/>
                <w:szCs w:val="18"/>
                <w:u w:val="none"/>
              </w:rPr>
            </w:pPr>
          </w:p>
        </w:tc>
      </w:tr>
      <w:tr w14:paraId="252BF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09" w:type="dxa"/>
            <w:shd w:val="clear" w:color="auto" w:fill="auto"/>
            <w:noWrap/>
            <w:vAlign w:val="center"/>
          </w:tcPr>
          <w:p w14:paraId="75EE0E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94</w:t>
            </w:r>
          </w:p>
        </w:tc>
        <w:tc>
          <w:tcPr>
            <w:tcW w:w="1073" w:type="dxa"/>
            <w:vMerge w:val="continue"/>
            <w:shd w:val="clear" w:color="auto" w:fill="auto"/>
            <w:noWrap/>
            <w:vAlign w:val="center"/>
          </w:tcPr>
          <w:p w14:paraId="14B8E94D">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152C7AF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10MM高密安迪板</w:t>
            </w:r>
          </w:p>
          <w:p w14:paraId="1E46CC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画面UV</w:t>
            </w:r>
          </w:p>
        </w:tc>
        <w:tc>
          <w:tcPr>
            <w:tcW w:w="2050" w:type="dxa"/>
            <w:shd w:val="clear" w:color="auto" w:fill="auto"/>
            <w:vAlign w:val="center"/>
          </w:tcPr>
          <w:p w14:paraId="0D8895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1.8*0.7M、1.8*1.94M</w:t>
            </w:r>
          </w:p>
        </w:tc>
        <w:tc>
          <w:tcPr>
            <w:tcW w:w="512" w:type="dxa"/>
            <w:shd w:val="clear" w:color="auto" w:fill="FFFFFF"/>
            <w:vAlign w:val="center"/>
          </w:tcPr>
          <w:p w14:paraId="3EC432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6AAAD8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5.57</w:t>
            </w:r>
          </w:p>
        </w:tc>
        <w:tc>
          <w:tcPr>
            <w:tcW w:w="4428" w:type="dxa"/>
            <w:vMerge w:val="continue"/>
            <w:shd w:val="clear" w:color="auto" w:fill="auto"/>
            <w:vAlign w:val="center"/>
          </w:tcPr>
          <w:p w14:paraId="6ACCCCC1">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6A02E3F5">
            <w:pPr>
              <w:jc w:val="center"/>
              <w:rPr>
                <w:rFonts w:hint="eastAsia" w:ascii="宋体" w:hAnsi="宋体" w:eastAsia="宋体" w:cs="宋体"/>
                <w:i w:val="0"/>
                <w:iCs w:val="0"/>
                <w:color w:val="000000"/>
                <w:sz w:val="18"/>
                <w:szCs w:val="18"/>
                <w:u w:val="none"/>
              </w:rPr>
            </w:pPr>
          </w:p>
        </w:tc>
      </w:tr>
      <w:tr w14:paraId="7E3F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09" w:type="dxa"/>
            <w:shd w:val="clear" w:color="auto" w:fill="auto"/>
            <w:noWrap/>
            <w:vAlign w:val="center"/>
          </w:tcPr>
          <w:p w14:paraId="3E9C95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w:t>
            </w:r>
          </w:p>
        </w:tc>
        <w:tc>
          <w:tcPr>
            <w:tcW w:w="1073" w:type="dxa"/>
            <w:vMerge w:val="continue"/>
            <w:shd w:val="clear" w:color="auto" w:fill="auto"/>
            <w:noWrap/>
            <w:vAlign w:val="center"/>
          </w:tcPr>
          <w:p w14:paraId="2CD15A1C">
            <w:pPr>
              <w:jc w:val="center"/>
              <w:rPr>
                <w:rFonts w:hint="eastAsia" w:ascii="宋体" w:hAnsi="宋体" w:eastAsia="宋体" w:cs="宋体"/>
                <w:i w:val="0"/>
                <w:iCs w:val="0"/>
                <w:color w:val="000000"/>
                <w:sz w:val="20"/>
                <w:szCs w:val="20"/>
                <w:u w:val="none"/>
              </w:rPr>
            </w:pPr>
          </w:p>
        </w:tc>
        <w:tc>
          <w:tcPr>
            <w:tcW w:w="2143" w:type="dxa"/>
            <w:shd w:val="clear" w:color="auto" w:fill="auto"/>
            <w:vAlign w:val="center"/>
          </w:tcPr>
          <w:p w14:paraId="5877A0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荣誉展示柜定制</w:t>
            </w:r>
          </w:p>
        </w:tc>
        <w:tc>
          <w:tcPr>
            <w:tcW w:w="2050" w:type="dxa"/>
            <w:shd w:val="clear" w:color="auto" w:fill="auto"/>
            <w:vAlign w:val="center"/>
          </w:tcPr>
          <w:p w14:paraId="6F1ED0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1.2*2.4M</w:t>
            </w:r>
          </w:p>
        </w:tc>
        <w:tc>
          <w:tcPr>
            <w:tcW w:w="512" w:type="dxa"/>
            <w:shd w:val="clear" w:color="auto" w:fill="FFFFFF"/>
            <w:vAlign w:val="center"/>
          </w:tcPr>
          <w:p w14:paraId="2CD3EA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362FA9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2.88</w:t>
            </w:r>
          </w:p>
        </w:tc>
        <w:tc>
          <w:tcPr>
            <w:tcW w:w="4428" w:type="dxa"/>
            <w:vMerge w:val="continue"/>
            <w:shd w:val="clear" w:color="auto" w:fill="auto"/>
            <w:vAlign w:val="center"/>
          </w:tcPr>
          <w:p w14:paraId="217E5E70">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50E3D1A7">
            <w:pPr>
              <w:jc w:val="center"/>
              <w:rPr>
                <w:rFonts w:hint="eastAsia" w:ascii="宋体" w:hAnsi="宋体" w:eastAsia="宋体" w:cs="宋体"/>
                <w:i w:val="0"/>
                <w:iCs w:val="0"/>
                <w:color w:val="000000"/>
                <w:sz w:val="18"/>
                <w:szCs w:val="18"/>
                <w:u w:val="none"/>
              </w:rPr>
            </w:pPr>
          </w:p>
        </w:tc>
      </w:tr>
      <w:tr w14:paraId="7966E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609" w:type="dxa"/>
            <w:shd w:val="clear" w:color="auto" w:fill="auto"/>
            <w:noWrap/>
            <w:vAlign w:val="center"/>
          </w:tcPr>
          <w:p w14:paraId="18AD46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1073" w:type="dxa"/>
            <w:vMerge w:val="restart"/>
            <w:shd w:val="clear" w:color="auto" w:fill="FFFFFF"/>
            <w:noWrap/>
            <w:vAlign w:val="center"/>
          </w:tcPr>
          <w:p w14:paraId="6ACD35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廉政承诺</w:t>
            </w:r>
          </w:p>
        </w:tc>
        <w:tc>
          <w:tcPr>
            <w:tcW w:w="2143" w:type="dxa"/>
            <w:shd w:val="clear" w:color="auto" w:fill="FFFFFF"/>
            <w:noWrap/>
            <w:vAlign w:val="center"/>
          </w:tcPr>
          <w:p w14:paraId="6766A5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画面立体基础造型</w:t>
            </w:r>
          </w:p>
        </w:tc>
        <w:tc>
          <w:tcPr>
            <w:tcW w:w="2050" w:type="dxa"/>
            <w:shd w:val="clear" w:color="auto" w:fill="FFFFFF"/>
            <w:vAlign w:val="center"/>
          </w:tcPr>
          <w:p w14:paraId="6DB513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2.35*2.4M、3.35*2.4M</w:t>
            </w:r>
          </w:p>
        </w:tc>
        <w:tc>
          <w:tcPr>
            <w:tcW w:w="512" w:type="dxa"/>
            <w:shd w:val="clear" w:color="auto" w:fill="FFFFFF"/>
            <w:vAlign w:val="center"/>
          </w:tcPr>
          <w:p w14:paraId="088D4D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5389EF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13.68</w:t>
            </w:r>
          </w:p>
        </w:tc>
        <w:tc>
          <w:tcPr>
            <w:tcW w:w="4428" w:type="dxa"/>
            <w:vMerge w:val="restart"/>
            <w:shd w:val="clear" w:color="auto" w:fill="FFFFFF"/>
            <w:vAlign w:val="center"/>
          </w:tcPr>
          <w:p w14:paraId="36FC9B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1.廉政承诺墙画面立体基础造型：细木工板+石膏板造型基底+精细打磨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2.立邦环保墙面漆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3.铝塑板饰面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4.多层高密高密安迪板立体带框喷漆字定制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5.10+5mm耐候亚克力水晶立体字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6.5MM高密安迪板立体字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78C3CF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66040</wp:posOffset>
                  </wp:positionH>
                  <wp:positionV relativeFrom="paragraph">
                    <wp:posOffset>476250</wp:posOffset>
                  </wp:positionV>
                  <wp:extent cx="1627505" cy="882650"/>
                  <wp:effectExtent l="0" t="0" r="3175" b="1270"/>
                  <wp:wrapNone/>
                  <wp:docPr id="9" name="图片_29"/>
                  <wp:cNvGraphicFramePr/>
                  <a:graphic xmlns:a="http://schemas.openxmlformats.org/drawingml/2006/main">
                    <a:graphicData uri="http://schemas.openxmlformats.org/drawingml/2006/picture">
                      <pic:pic xmlns:pic="http://schemas.openxmlformats.org/drawingml/2006/picture">
                        <pic:nvPicPr>
                          <pic:cNvPr id="9" name="图片_29"/>
                          <pic:cNvPicPr/>
                        </pic:nvPicPr>
                        <pic:blipFill>
                          <a:blip r:embed="rId53"/>
                          <a:stretch>
                            <a:fillRect/>
                          </a:stretch>
                        </pic:blipFill>
                        <pic:spPr>
                          <a:xfrm>
                            <a:off x="0" y="0"/>
                            <a:ext cx="1627505" cy="882650"/>
                          </a:xfrm>
                          <a:prstGeom prst="rect">
                            <a:avLst/>
                          </a:prstGeom>
                          <a:noFill/>
                          <a:ln>
                            <a:noFill/>
                          </a:ln>
                        </pic:spPr>
                      </pic:pic>
                    </a:graphicData>
                  </a:graphic>
                </wp:anchor>
              </w:drawing>
            </w:r>
          </w:p>
        </w:tc>
      </w:tr>
      <w:tr w14:paraId="74446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09" w:type="dxa"/>
            <w:shd w:val="clear" w:color="auto" w:fill="auto"/>
            <w:noWrap/>
            <w:vAlign w:val="center"/>
          </w:tcPr>
          <w:p w14:paraId="3127D7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w:t>
            </w:r>
          </w:p>
        </w:tc>
        <w:tc>
          <w:tcPr>
            <w:tcW w:w="1073" w:type="dxa"/>
            <w:vMerge w:val="continue"/>
            <w:shd w:val="clear" w:color="auto" w:fill="FFFFFF"/>
            <w:noWrap/>
            <w:vAlign w:val="center"/>
          </w:tcPr>
          <w:p w14:paraId="1343B398">
            <w:pPr>
              <w:jc w:val="center"/>
              <w:rPr>
                <w:rFonts w:hint="eastAsia" w:ascii="宋体" w:hAnsi="宋体" w:eastAsia="宋体" w:cs="宋体"/>
                <w:i w:val="0"/>
                <w:iCs w:val="0"/>
                <w:color w:val="000000"/>
                <w:sz w:val="20"/>
                <w:szCs w:val="20"/>
                <w:u w:val="none"/>
              </w:rPr>
            </w:pPr>
          </w:p>
        </w:tc>
        <w:tc>
          <w:tcPr>
            <w:tcW w:w="2143" w:type="dxa"/>
            <w:shd w:val="clear" w:color="auto" w:fill="FFFFFF"/>
            <w:noWrap/>
            <w:vAlign w:val="center"/>
          </w:tcPr>
          <w:p w14:paraId="6C7EB8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立邦环保墙面漆</w:t>
            </w:r>
          </w:p>
        </w:tc>
        <w:tc>
          <w:tcPr>
            <w:tcW w:w="2050" w:type="dxa"/>
            <w:shd w:val="clear" w:color="auto" w:fill="FFFFFF"/>
            <w:vAlign w:val="center"/>
          </w:tcPr>
          <w:p w14:paraId="2157DE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2.35*2.4M</w:t>
            </w:r>
          </w:p>
        </w:tc>
        <w:tc>
          <w:tcPr>
            <w:tcW w:w="512" w:type="dxa"/>
            <w:shd w:val="clear" w:color="auto" w:fill="FFFFFF"/>
            <w:vAlign w:val="center"/>
          </w:tcPr>
          <w:p w14:paraId="6E8BC8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2E075F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5.64</w:t>
            </w:r>
          </w:p>
        </w:tc>
        <w:tc>
          <w:tcPr>
            <w:tcW w:w="4428" w:type="dxa"/>
            <w:vMerge w:val="continue"/>
            <w:shd w:val="clear" w:color="auto" w:fill="FFFFFF"/>
            <w:vAlign w:val="center"/>
          </w:tcPr>
          <w:p w14:paraId="2EAD3BAD">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25360649">
            <w:pPr>
              <w:jc w:val="center"/>
              <w:rPr>
                <w:rFonts w:hint="eastAsia" w:ascii="宋体" w:hAnsi="宋体" w:eastAsia="宋体" w:cs="宋体"/>
                <w:i w:val="0"/>
                <w:iCs w:val="0"/>
                <w:color w:val="000000"/>
                <w:sz w:val="18"/>
                <w:szCs w:val="18"/>
                <w:u w:val="none"/>
              </w:rPr>
            </w:pPr>
          </w:p>
        </w:tc>
      </w:tr>
      <w:tr w14:paraId="1B685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trPr>
        <w:tc>
          <w:tcPr>
            <w:tcW w:w="609" w:type="dxa"/>
            <w:shd w:val="clear" w:color="auto" w:fill="auto"/>
            <w:noWrap/>
            <w:vAlign w:val="center"/>
          </w:tcPr>
          <w:p w14:paraId="36E5D4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98</w:t>
            </w:r>
          </w:p>
        </w:tc>
        <w:tc>
          <w:tcPr>
            <w:tcW w:w="1073" w:type="dxa"/>
            <w:vMerge w:val="continue"/>
            <w:shd w:val="clear" w:color="auto" w:fill="FFFFFF"/>
            <w:noWrap/>
            <w:vAlign w:val="center"/>
          </w:tcPr>
          <w:p w14:paraId="369A8D72">
            <w:pPr>
              <w:jc w:val="center"/>
              <w:rPr>
                <w:rFonts w:hint="eastAsia" w:ascii="宋体" w:hAnsi="宋体" w:eastAsia="宋体" w:cs="宋体"/>
                <w:i w:val="0"/>
                <w:iCs w:val="0"/>
                <w:color w:val="000000"/>
                <w:sz w:val="20"/>
                <w:szCs w:val="20"/>
                <w:u w:val="none"/>
              </w:rPr>
            </w:pPr>
          </w:p>
        </w:tc>
        <w:tc>
          <w:tcPr>
            <w:tcW w:w="2143" w:type="dxa"/>
            <w:shd w:val="clear" w:color="auto" w:fill="FFFFFF"/>
            <w:noWrap/>
            <w:vAlign w:val="center"/>
          </w:tcPr>
          <w:p w14:paraId="281378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铝塑板饰面</w:t>
            </w:r>
          </w:p>
        </w:tc>
        <w:tc>
          <w:tcPr>
            <w:tcW w:w="2050" w:type="dxa"/>
            <w:shd w:val="clear" w:color="auto" w:fill="FFFFFF"/>
            <w:vAlign w:val="center"/>
          </w:tcPr>
          <w:p w14:paraId="12E5B4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3.35*2.4M</w:t>
            </w:r>
          </w:p>
        </w:tc>
        <w:tc>
          <w:tcPr>
            <w:tcW w:w="512" w:type="dxa"/>
            <w:shd w:val="clear" w:color="auto" w:fill="FFFFFF"/>
            <w:vAlign w:val="center"/>
          </w:tcPr>
          <w:p w14:paraId="68F25A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019BE2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8.04</w:t>
            </w:r>
          </w:p>
        </w:tc>
        <w:tc>
          <w:tcPr>
            <w:tcW w:w="4428" w:type="dxa"/>
            <w:vMerge w:val="continue"/>
            <w:shd w:val="clear" w:color="auto" w:fill="FFFFFF"/>
            <w:vAlign w:val="center"/>
          </w:tcPr>
          <w:p w14:paraId="7DE5FD4E">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1E253489">
            <w:pPr>
              <w:jc w:val="center"/>
              <w:rPr>
                <w:rFonts w:hint="eastAsia" w:ascii="宋体" w:hAnsi="宋体" w:eastAsia="宋体" w:cs="宋体"/>
                <w:i w:val="0"/>
                <w:iCs w:val="0"/>
                <w:color w:val="000000"/>
                <w:sz w:val="18"/>
                <w:szCs w:val="18"/>
                <w:u w:val="none"/>
              </w:rPr>
            </w:pPr>
          </w:p>
        </w:tc>
      </w:tr>
      <w:tr w14:paraId="060B2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0" w:hRule="atLeast"/>
        </w:trPr>
        <w:tc>
          <w:tcPr>
            <w:tcW w:w="609" w:type="dxa"/>
            <w:shd w:val="clear" w:color="auto" w:fill="auto"/>
            <w:noWrap/>
            <w:vAlign w:val="center"/>
          </w:tcPr>
          <w:p w14:paraId="1CDBCD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99</w:t>
            </w:r>
          </w:p>
        </w:tc>
        <w:tc>
          <w:tcPr>
            <w:tcW w:w="1073" w:type="dxa"/>
            <w:vMerge w:val="continue"/>
            <w:shd w:val="clear" w:color="auto" w:fill="FFFFFF"/>
            <w:noWrap/>
            <w:vAlign w:val="center"/>
          </w:tcPr>
          <w:p w14:paraId="2347D75C">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1EB398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高密雪弗板立体喷漆字造型定制</w:t>
            </w:r>
          </w:p>
        </w:tc>
        <w:tc>
          <w:tcPr>
            <w:tcW w:w="2050" w:type="dxa"/>
            <w:shd w:val="clear" w:color="auto" w:fill="FFFFFF"/>
            <w:vAlign w:val="center"/>
          </w:tcPr>
          <w:p w14:paraId="2CA6BE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高：40cm</w:t>
            </w:r>
          </w:p>
        </w:tc>
        <w:tc>
          <w:tcPr>
            <w:tcW w:w="512" w:type="dxa"/>
            <w:shd w:val="clear" w:color="auto" w:fill="FFFFFF"/>
            <w:vAlign w:val="center"/>
          </w:tcPr>
          <w:p w14:paraId="1E78DC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62B3CA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4428" w:type="dxa"/>
            <w:vMerge w:val="continue"/>
            <w:shd w:val="clear" w:color="auto" w:fill="FFFFFF"/>
            <w:vAlign w:val="center"/>
          </w:tcPr>
          <w:p w14:paraId="5F2DE91D">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3A7651DE">
            <w:pPr>
              <w:jc w:val="center"/>
              <w:rPr>
                <w:rFonts w:hint="eastAsia" w:ascii="宋体" w:hAnsi="宋体" w:eastAsia="宋体" w:cs="宋体"/>
                <w:i w:val="0"/>
                <w:iCs w:val="0"/>
                <w:color w:val="000000"/>
                <w:sz w:val="18"/>
                <w:szCs w:val="18"/>
                <w:u w:val="none"/>
              </w:rPr>
            </w:pPr>
          </w:p>
        </w:tc>
      </w:tr>
      <w:tr w14:paraId="29FBD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09" w:type="dxa"/>
            <w:shd w:val="clear" w:color="auto" w:fill="auto"/>
            <w:noWrap/>
            <w:vAlign w:val="center"/>
          </w:tcPr>
          <w:p w14:paraId="6E5523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1073" w:type="dxa"/>
            <w:vMerge w:val="continue"/>
            <w:shd w:val="clear" w:color="auto" w:fill="FFFFFF"/>
            <w:noWrap/>
            <w:vAlign w:val="center"/>
          </w:tcPr>
          <w:p w14:paraId="74E8C3B6">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409A846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10+5mm亚克力水晶</w:t>
            </w:r>
          </w:p>
          <w:p w14:paraId="5AE163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立体字</w:t>
            </w:r>
          </w:p>
        </w:tc>
        <w:tc>
          <w:tcPr>
            <w:tcW w:w="2050" w:type="dxa"/>
            <w:shd w:val="clear" w:color="auto" w:fill="FFFFFF"/>
            <w:vAlign w:val="center"/>
          </w:tcPr>
          <w:p w14:paraId="1393E5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高22CM</w:t>
            </w:r>
          </w:p>
        </w:tc>
        <w:tc>
          <w:tcPr>
            <w:tcW w:w="512" w:type="dxa"/>
            <w:shd w:val="clear" w:color="auto" w:fill="FFFFFF"/>
            <w:vAlign w:val="center"/>
          </w:tcPr>
          <w:p w14:paraId="119848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6CD6C3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28" w:type="dxa"/>
            <w:vMerge w:val="continue"/>
            <w:shd w:val="clear" w:color="auto" w:fill="FFFFFF"/>
            <w:vAlign w:val="center"/>
          </w:tcPr>
          <w:p w14:paraId="52EFAFDF">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53EDF8A3">
            <w:pPr>
              <w:jc w:val="center"/>
              <w:rPr>
                <w:rFonts w:hint="eastAsia" w:ascii="宋体" w:hAnsi="宋体" w:eastAsia="宋体" w:cs="宋体"/>
                <w:i w:val="0"/>
                <w:iCs w:val="0"/>
                <w:color w:val="000000"/>
                <w:sz w:val="18"/>
                <w:szCs w:val="18"/>
                <w:u w:val="none"/>
              </w:rPr>
            </w:pPr>
          </w:p>
        </w:tc>
      </w:tr>
      <w:tr w14:paraId="1E9DB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trPr>
        <w:tc>
          <w:tcPr>
            <w:tcW w:w="609" w:type="dxa"/>
            <w:shd w:val="clear" w:color="auto" w:fill="auto"/>
            <w:noWrap/>
            <w:vAlign w:val="center"/>
          </w:tcPr>
          <w:p w14:paraId="1B78D4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101</w:t>
            </w:r>
          </w:p>
        </w:tc>
        <w:tc>
          <w:tcPr>
            <w:tcW w:w="1073" w:type="dxa"/>
            <w:vMerge w:val="continue"/>
            <w:shd w:val="clear" w:color="auto" w:fill="FFFFFF"/>
            <w:noWrap/>
            <w:vAlign w:val="center"/>
          </w:tcPr>
          <w:p w14:paraId="2FB26200">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4E095E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钟造型雪弗字</w:t>
            </w:r>
          </w:p>
        </w:tc>
        <w:tc>
          <w:tcPr>
            <w:tcW w:w="2050" w:type="dxa"/>
            <w:shd w:val="clear" w:color="auto" w:fill="FFFFFF"/>
            <w:vAlign w:val="center"/>
          </w:tcPr>
          <w:p w14:paraId="1F8930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1.47*1.96M</w:t>
            </w:r>
          </w:p>
        </w:tc>
        <w:tc>
          <w:tcPr>
            <w:tcW w:w="512" w:type="dxa"/>
            <w:shd w:val="clear" w:color="auto" w:fill="FFFFFF"/>
            <w:vAlign w:val="center"/>
          </w:tcPr>
          <w:p w14:paraId="52AA10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1D3AE6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2.88</w:t>
            </w:r>
          </w:p>
        </w:tc>
        <w:tc>
          <w:tcPr>
            <w:tcW w:w="4428" w:type="dxa"/>
            <w:vMerge w:val="continue"/>
            <w:shd w:val="clear" w:color="auto" w:fill="FFFFFF"/>
            <w:vAlign w:val="center"/>
          </w:tcPr>
          <w:p w14:paraId="49C53157">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12CBE04D">
            <w:pPr>
              <w:jc w:val="center"/>
              <w:rPr>
                <w:rFonts w:hint="eastAsia" w:ascii="宋体" w:hAnsi="宋体" w:eastAsia="宋体" w:cs="宋体"/>
                <w:i w:val="0"/>
                <w:iCs w:val="0"/>
                <w:color w:val="000000"/>
                <w:sz w:val="18"/>
                <w:szCs w:val="18"/>
                <w:u w:val="none"/>
              </w:rPr>
            </w:pPr>
          </w:p>
        </w:tc>
      </w:tr>
      <w:tr w14:paraId="65CA9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609" w:type="dxa"/>
            <w:shd w:val="clear" w:color="auto" w:fill="auto"/>
            <w:noWrap/>
            <w:vAlign w:val="center"/>
          </w:tcPr>
          <w:p w14:paraId="2507CB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102</w:t>
            </w:r>
          </w:p>
        </w:tc>
        <w:tc>
          <w:tcPr>
            <w:tcW w:w="1073" w:type="dxa"/>
            <w:vMerge w:val="continue"/>
            <w:shd w:val="clear" w:color="auto" w:fill="FFFFFF"/>
            <w:noWrap/>
            <w:vAlign w:val="center"/>
          </w:tcPr>
          <w:p w14:paraId="592E67FA">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2090C1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软膜灯箱定制</w:t>
            </w:r>
          </w:p>
        </w:tc>
        <w:tc>
          <w:tcPr>
            <w:tcW w:w="2050" w:type="dxa"/>
            <w:shd w:val="clear" w:color="auto" w:fill="FFFFFF"/>
            <w:vAlign w:val="center"/>
          </w:tcPr>
          <w:p w14:paraId="20CF58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0.8*6.95M</w:t>
            </w:r>
          </w:p>
        </w:tc>
        <w:tc>
          <w:tcPr>
            <w:tcW w:w="512" w:type="dxa"/>
            <w:shd w:val="clear" w:color="auto" w:fill="FFFFFF"/>
            <w:vAlign w:val="center"/>
          </w:tcPr>
          <w:p w14:paraId="2387F0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4CE052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5.56</w:t>
            </w:r>
          </w:p>
        </w:tc>
        <w:tc>
          <w:tcPr>
            <w:tcW w:w="4428" w:type="dxa"/>
            <w:shd w:val="clear" w:color="auto" w:fill="auto"/>
            <w:vAlign w:val="center"/>
          </w:tcPr>
          <w:p w14:paraId="227CA8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1.非规定制化柔性照明展示软膜灯箱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2.高强度钢架结构固定支架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shd w:val="clear" w:color="auto" w:fill="auto"/>
            <w:noWrap/>
            <w:vAlign w:val="center"/>
          </w:tcPr>
          <w:p w14:paraId="0D4F70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inline distT="0" distB="0" distL="114300" distR="114300">
                  <wp:extent cx="1476375" cy="467360"/>
                  <wp:effectExtent l="0" t="0" r="1905" b="5080"/>
                  <wp:docPr id="4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3"/>
                          <pic:cNvPicPr>
                            <a:picLocks noChangeAspect="1"/>
                          </pic:cNvPicPr>
                        </pic:nvPicPr>
                        <pic:blipFill>
                          <a:blip r:embed="rId54"/>
                          <a:stretch>
                            <a:fillRect/>
                          </a:stretch>
                        </pic:blipFill>
                        <pic:spPr>
                          <a:xfrm>
                            <a:off x="0" y="0"/>
                            <a:ext cx="1476375" cy="467360"/>
                          </a:xfrm>
                          <a:prstGeom prst="rect">
                            <a:avLst/>
                          </a:prstGeom>
                          <a:noFill/>
                          <a:ln w="9525">
                            <a:noFill/>
                          </a:ln>
                        </pic:spPr>
                      </pic:pic>
                    </a:graphicData>
                  </a:graphic>
                </wp:inline>
              </w:drawing>
            </w:r>
          </w:p>
        </w:tc>
      </w:tr>
      <w:tr w14:paraId="02648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trPr>
        <w:tc>
          <w:tcPr>
            <w:tcW w:w="609" w:type="dxa"/>
            <w:shd w:val="clear" w:color="auto" w:fill="auto"/>
            <w:noWrap/>
            <w:vAlign w:val="center"/>
          </w:tcPr>
          <w:p w14:paraId="0C3627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103</w:t>
            </w:r>
          </w:p>
        </w:tc>
        <w:tc>
          <w:tcPr>
            <w:tcW w:w="1073" w:type="dxa"/>
            <w:vMerge w:val="continue"/>
            <w:shd w:val="clear" w:color="auto" w:fill="FFFFFF"/>
            <w:noWrap/>
            <w:vAlign w:val="center"/>
          </w:tcPr>
          <w:p w14:paraId="1D24C753">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4D636EB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加厚背景画面基础</w:t>
            </w:r>
          </w:p>
          <w:p w14:paraId="6C1209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造型</w:t>
            </w:r>
          </w:p>
        </w:tc>
        <w:tc>
          <w:tcPr>
            <w:tcW w:w="2050" w:type="dxa"/>
            <w:shd w:val="clear" w:color="auto" w:fill="FFFFFF"/>
            <w:vAlign w:val="center"/>
          </w:tcPr>
          <w:p w14:paraId="0A5C01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1.3*2.95M</w:t>
            </w:r>
          </w:p>
        </w:tc>
        <w:tc>
          <w:tcPr>
            <w:tcW w:w="512" w:type="dxa"/>
            <w:shd w:val="clear" w:color="auto" w:fill="FFFFFF"/>
            <w:vAlign w:val="center"/>
          </w:tcPr>
          <w:p w14:paraId="301416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7442B8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3.83</w:t>
            </w:r>
          </w:p>
        </w:tc>
        <w:tc>
          <w:tcPr>
            <w:tcW w:w="4428" w:type="dxa"/>
            <w:vMerge w:val="restart"/>
            <w:shd w:val="clear" w:color="auto" w:fill="FFFFFF"/>
            <w:vAlign w:val="center"/>
          </w:tcPr>
          <w:p w14:paraId="649866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1.人生七本账过五关加厚画面立体基础造型：细木工板+石膏板造型基底+精细打磨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2.10MM高密安迪板画面高清UV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3.铝塑板异形定制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4.亚克力立体雕刻字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5.摆件+展台定制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6.玻璃钢螺旋杆定制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.线型亚克力杆定制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6B286F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69504" behindDoc="1" locked="0" layoutInCell="1" allowOverlap="1">
                  <wp:simplePos x="0" y="0"/>
                  <wp:positionH relativeFrom="column">
                    <wp:posOffset>82550</wp:posOffset>
                  </wp:positionH>
                  <wp:positionV relativeFrom="paragraph">
                    <wp:posOffset>734060</wp:posOffset>
                  </wp:positionV>
                  <wp:extent cx="1657985" cy="1046480"/>
                  <wp:effectExtent l="0" t="0" r="3175" b="5080"/>
                  <wp:wrapTight wrapText="bothSides">
                    <wp:wrapPolygon>
                      <wp:start x="0" y="0"/>
                      <wp:lineTo x="0" y="21390"/>
                      <wp:lineTo x="21443" y="21390"/>
                      <wp:lineTo x="21443" y="0"/>
                      <wp:lineTo x="0" y="0"/>
                    </wp:wrapPolygon>
                  </wp:wrapTight>
                  <wp:docPr id="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0"/>
                          <pic:cNvPicPr>
                            <a:picLocks noChangeAspect="1"/>
                          </pic:cNvPicPr>
                        </pic:nvPicPr>
                        <pic:blipFill>
                          <a:blip r:embed="rId55"/>
                          <a:stretch>
                            <a:fillRect/>
                          </a:stretch>
                        </pic:blipFill>
                        <pic:spPr>
                          <a:xfrm>
                            <a:off x="0" y="0"/>
                            <a:ext cx="1657985" cy="1046480"/>
                          </a:xfrm>
                          <a:prstGeom prst="rect">
                            <a:avLst/>
                          </a:prstGeom>
                          <a:noFill/>
                          <a:ln w="9525">
                            <a:noFill/>
                          </a:ln>
                        </pic:spPr>
                      </pic:pic>
                    </a:graphicData>
                  </a:graphic>
                </wp:anchor>
              </w:drawing>
            </w:r>
          </w:p>
        </w:tc>
      </w:tr>
      <w:tr w14:paraId="08AA3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09" w:type="dxa"/>
            <w:shd w:val="clear" w:color="auto" w:fill="auto"/>
            <w:noWrap/>
            <w:vAlign w:val="center"/>
          </w:tcPr>
          <w:p w14:paraId="36D49F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1073" w:type="dxa"/>
            <w:vMerge w:val="continue"/>
            <w:shd w:val="clear" w:color="auto" w:fill="FFFFFF"/>
            <w:noWrap/>
            <w:vAlign w:val="center"/>
          </w:tcPr>
          <w:p w14:paraId="0A8F10BB">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15AAF8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异形画面基础造型</w:t>
            </w:r>
          </w:p>
        </w:tc>
        <w:tc>
          <w:tcPr>
            <w:tcW w:w="2050" w:type="dxa"/>
            <w:shd w:val="clear" w:color="auto" w:fill="FFFFFF"/>
            <w:vAlign w:val="center"/>
          </w:tcPr>
          <w:p w14:paraId="0220FF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2.7*1.4M</w:t>
            </w:r>
          </w:p>
        </w:tc>
        <w:tc>
          <w:tcPr>
            <w:tcW w:w="512" w:type="dxa"/>
            <w:shd w:val="clear" w:color="auto" w:fill="FFFFFF"/>
            <w:vAlign w:val="center"/>
          </w:tcPr>
          <w:p w14:paraId="6B3F92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5E37AA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3.78</w:t>
            </w:r>
          </w:p>
        </w:tc>
        <w:tc>
          <w:tcPr>
            <w:tcW w:w="4428" w:type="dxa"/>
            <w:vMerge w:val="continue"/>
            <w:shd w:val="clear" w:color="auto" w:fill="FFFFFF"/>
            <w:vAlign w:val="center"/>
          </w:tcPr>
          <w:p w14:paraId="33AC4662">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6D7D4F6A">
            <w:pPr>
              <w:jc w:val="center"/>
              <w:rPr>
                <w:rFonts w:hint="eastAsia" w:ascii="宋体" w:hAnsi="宋体" w:eastAsia="宋体" w:cs="宋体"/>
                <w:i w:val="0"/>
                <w:iCs w:val="0"/>
                <w:color w:val="000000"/>
                <w:sz w:val="18"/>
                <w:szCs w:val="18"/>
                <w:u w:val="none"/>
              </w:rPr>
            </w:pPr>
          </w:p>
        </w:tc>
      </w:tr>
      <w:tr w14:paraId="200DD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09" w:type="dxa"/>
            <w:shd w:val="clear" w:color="auto" w:fill="auto"/>
            <w:noWrap/>
            <w:vAlign w:val="center"/>
          </w:tcPr>
          <w:p w14:paraId="5F3FC7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w:t>
            </w:r>
          </w:p>
        </w:tc>
        <w:tc>
          <w:tcPr>
            <w:tcW w:w="1073" w:type="dxa"/>
            <w:vMerge w:val="continue"/>
            <w:shd w:val="clear" w:color="auto" w:fill="FFFFFF"/>
            <w:noWrap/>
            <w:vAlign w:val="center"/>
          </w:tcPr>
          <w:p w14:paraId="1FA46962">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371BDB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铝塑板异形</w:t>
            </w:r>
          </w:p>
        </w:tc>
        <w:tc>
          <w:tcPr>
            <w:tcW w:w="2050" w:type="dxa"/>
            <w:shd w:val="clear" w:color="auto" w:fill="FFFFFF"/>
            <w:vAlign w:val="center"/>
          </w:tcPr>
          <w:p w14:paraId="532E42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2.7*1.4M</w:t>
            </w:r>
          </w:p>
        </w:tc>
        <w:tc>
          <w:tcPr>
            <w:tcW w:w="512" w:type="dxa"/>
            <w:shd w:val="clear" w:color="auto" w:fill="FFFFFF"/>
            <w:vAlign w:val="center"/>
          </w:tcPr>
          <w:p w14:paraId="5CB669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3FE832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3.78</w:t>
            </w:r>
          </w:p>
        </w:tc>
        <w:tc>
          <w:tcPr>
            <w:tcW w:w="4428" w:type="dxa"/>
            <w:vMerge w:val="continue"/>
            <w:shd w:val="clear" w:color="auto" w:fill="FFFFFF"/>
            <w:vAlign w:val="center"/>
          </w:tcPr>
          <w:p w14:paraId="5F2DF1AB">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2AFB458E">
            <w:pPr>
              <w:jc w:val="center"/>
              <w:rPr>
                <w:rFonts w:hint="eastAsia" w:ascii="宋体" w:hAnsi="宋体" w:eastAsia="宋体" w:cs="宋体"/>
                <w:i w:val="0"/>
                <w:iCs w:val="0"/>
                <w:color w:val="000000"/>
                <w:sz w:val="18"/>
                <w:szCs w:val="18"/>
                <w:u w:val="none"/>
              </w:rPr>
            </w:pPr>
          </w:p>
        </w:tc>
      </w:tr>
      <w:tr w14:paraId="7CA81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trPr>
        <w:tc>
          <w:tcPr>
            <w:tcW w:w="609" w:type="dxa"/>
            <w:shd w:val="clear" w:color="auto" w:fill="auto"/>
            <w:noWrap/>
            <w:vAlign w:val="center"/>
          </w:tcPr>
          <w:p w14:paraId="51BADB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106</w:t>
            </w:r>
          </w:p>
        </w:tc>
        <w:tc>
          <w:tcPr>
            <w:tcW w:w="1073" w:type="dxa"/>
            <w:vMerge w:val="continue"/>
            <w:shd w:val="clear" w:color="auto" w:fill="FFFFFF"/>
            <w:noWrap/>
            <w:vAlign w:val="center"/>
          </w:tcPr>
          <w:p w14:paraId="36029B3F">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3B95C04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10MM高密安迪板</w:t>
            </w:r>
          </w:p>
          <w:p w14:paraId="5D24F0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画面UV</w:t>
            </w:r>
          </w:p>
        </w:tc>
        <w:tc>
          <w:tcPr>
            <w:tcW w:w="2050" w:type="dxa"/>
            <w:shd w:val="clear" w:color="auto" w:fill="FFFFFF"/>
            <w:vAlign w:val="center"/>
          </w:tcPr>
          <w:p w14:paraId="014928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1.3*2.9M、1.14*0.07M*4块、1.03*0.07M*4块、0.88*0.24M*5块、0.18*0.04M*5块</w:t>
            </w:r>
          </w:p>
        </w:tc>
        <w:tc>
          <w:tcPr>
            <w:tcW w:w="512" w:type="dxa"/>
            <w:shd w:val="clear" w:color="auto" w:fill="FFFFFF"/>
            <w:vAlign w:val="center"/>
          </w:tcPr>
          <w:p w14:paraId="146FA5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5FDC63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5.47</w:t>
            </w:r>
          </w:p>
        </w:tc>
        <w:tc>
          <w:tcPr>
            <w:tcW w:w="4428" w:type="dxa"/>
            <w:vMerge w:val="continue"/>
            <w:shd w:val="clear" w:color="auto" w:fill="FFFFFF"/>
            <w:vAlign w:val="center"/>
          </w:tcPr>
          <w:p w14:paraId="05BDA2F5">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26C2F661">
            <w:pPr>
              <w:jc w:val="center"/>
              <w:rPr>
                <w:rFonts w:hint="eastAsia" w:ascii="宋体" w:hAnsi="宋体" w:eastAsia="宋体" w:cs="宋体"/>
                <w:i w:val="0"/>
                <w:iCs w:val="0"/>
                <w:color w:val="000000"/>
                <w:sz w:val="18"/>
                <w:szCs w:val="18"/>
                <w:u w:val="none"/>
              </w:rPr>
            </w:pPr>
          </w:p>
        </w:tc>
      </w:tr>
      <w:tr w14:paraId="252E1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09" w:type="dxa"/>
            <w:shd w:val="clear" w:color="auto" w:fill="auto"/>
            <w:noWrap/>
            <w:vAlign w:val="center"/>
          </w:tcPr>
          <w:p w14:paraId="568089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107</w:t>
            </w:r>
          </w:p>
        </w:tc>
        <w:tc>
          <w:tcPr>
            <w:tcW w:w="1073" w:type="dxa"/>
            <w:vMerge w:val="continue"/>
            <w:shd w:val="clear" w:color="auto" w:fill="FFFFFF"/>
            <w:noWrap/>
            <w:vAlign w:val="center"/>
          </w:tcPr>
          <w:p w14:paraId="50527CB6">
            <w:pPr>
              <w:jc w:val="center"/>
              <w:rPr>
                <w:rFonts w:hint="eastAsia" w:ascii="宋体" w:hAnsi="宋体" w:eastAsia="宋体" w:cs="宋体"/>
                <w:i w:val="0"/>
                <w:iCs w:val="0"/>
                <w:color w:val="000000"/>
                <w:sz w:val="20"/>
                <w:szCs w:val="20"/>
                <w:u w:val="none"/>
              </w:rPr>
            </w:pPr>
          </w:p>
        </w:tc>
        <w:tc>
          <w:tcPr>
            <w:tcW w:w="2143" w:type="dxa"/>
            <w:vMerge w:val="restart"/>
            <w:shd w:val="clear" w:color="auto" w:fill="FFFFFF"/>
            <w:vAlign w:val="center"/>
          </w:tcPr>
          <w:p w14:paraId="138EC92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10MM亚克力立体</w:t>
            </w:r>
          </w:p>
          <w:p w14:paraId="05C094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喷漆字</w:t>
            </w:r>
          </w:p>
        </w:tc>
        <w:tc>
          <w:tcPr>
            <w:tcW w:w="2050" w:type="dxa"/>
            <w:shd w:val="clear" w:color="auto" w:fill="FFFFFF"/>
            <w:vAlign w:val="center"/>
          </w:tcPr>
          <w:p w14:paraId="3E5278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10MM厚，高：15cm</w:t>
            </w:r>
          </w:p>
        </w:tc>
        <w:tc>
          <w:tcPr>
            <w:tcW w:w="512" w:type="dxa"/>
            <w:shd w:val="clear" w:color="auto" w:fill="FFFFFF"/>
            <w:vAlign w:val="center"/>
          </w:tcPr>
          <w:p w14:paraId="124796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44B825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28" w:type="dxa"/>
            <w:vMerge w:val="continue"/>
            <w:shd w:val="clear" w:color="auto" w:fill="FFFFFF"/>
            <w:vAlign w:val="center"/>
          </w:tcPr>
          <w:p w14:paraId="0D1131B1">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7D0FDC6C">
            <w:pPr>
              <w:jc w:val="center"/>
              <w:rPr>
                <w:rFonts w:hint="eastAsia" w:ascii="宋体" w:hAnsi="宋体" w:eastAsia="宋体" w:cs="宋体"/>
                <w:i w:val="0"/>
                <w:iCs w:val="0"/>
                <w:color w:val="000000"/>
                <w:sz w:val="18"/>
                <w:szCs w:val="18"/>
                <w:u w:val="none"/>
              </w:rPr>
            </w:pPr>
          </w:p>
        </w:tc>
      </w:tr>
      <w:tr w14:paraId="74D68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09" w:type="dxa"/>
            <w:shd w:val="clear" w:color="auto" w:fill="auto"/>
            <w:noWrap/>
            <w:vAlign w:val="center"/>
          </w:tcPr>
          <w:p w14:paraId="3FA8AA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108</w:t>
            </w:r>
          </w:p>
        </w:tc>
        <w:tc>
          <w:tcPr>
            <w:tcW w:w="1073" w:type="dxa"/>
            <w:vMerge w:val="continue"/>
            <w:shd w:val="clear" w:color="auto" w:fill="FFFFFF"/>
            <w:noWrap/>
            <w:vAlign w:val="center"/>
          </w:tcPr>
          <w:p w14:paraId="46B9468E">
            <w:pPr>
              <w:jc w:val="center"/>
              <w:rPr>
                <w:rFonts w:hint="eastAsia" w:ascii="宋体" w:hAnsi="宋体" w:eastAsia="宋体" w:cs="宋体"/>
                <w:i w:val="0"/>
                <w:iCs w:val="0"/>
                <w:color w:val="000000"/>
                <w:sz w:val="20"/>
                <w:szCs w:val="20"/>
                <w:u w:val="none"/>
              </w:rPr>
            </w:pPr>
          </w:p>
        </w:tc>
        <w:tc>
          <w:tcPr>
            <w:tcW w:w="2143" w:type="dxa"/>
            <w:vMerge w:val="continue"/>
            <w:shd w:val="clear" w:color="auto" w:fill="FFFFFF"/>
            <w:vAlign w:val="center"/>
          </w:tcPr>
          <w:p w14:paraId="4B3A2EF0">
            <w:pPr>
              <w:jc w:val="center"/>
              <w:rPr>
                <w:rFonts w:hint="eastAsia" w:ascii="宋体" w:hAnsi="宋体" w:eastAsia="宋体" w:cs="宋体"/>
                <w:i w:val="0"/>
                <w:iCs w:val="0"/>
                <w:color w:val="000000"/>
                <w:sz w:val="20"/>
                <w:szCs w:val="20"/>
                <w:u w:val="none"/>
              </w:rPr>
            </w:pPr>
          </w:p>
        </w:tc>
        <w:tc>
          <w:tcPr>
            <w:tcW w:w="2050" w:type="dxa"/>
            <w:shd w:val="clear" w:color="auto" w:fill="FFFFFF"/>
            <w:vAlign w:val="center"/>
          </w:tcPr>
          <w:p w14:paraId="4D5178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10MM厚，高：9cm</w:t>
            </w:r>
          </w:p>
        </w:tc>
        <w:tc>
          <w:tcPr>
            <w:tcW w:w="512" w:type="dxa"/>
            <w:shd w:val="clear" w:color="auto" w:fill="FFFFFF"/>
            <w:vAlign w:val="center"/>
          </w:tcPr>
          <w:p w14:paraId="07D92F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51CD50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4428" w:type="dxa"/>
            <w:vMerge w:val="continue"/>
            <w:shd w:val="clear" w:color="auto" w:fill="FFFFFF"/>
            <w:vAlign w:val="center"/>
          </w:tcPr>
          <w:p w14:paraId="5E754CE9">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045A9118">
            <w:pPr>
              <w:jc w:val="center"/>
              <w:rPr>
                <w:rFonts w:hint="eastAsia" w:ascii="宋体" w:hAnsi="宋体" w:eastAsia="宋体" w:cs="宋体"/>
                <w:i w:val="0"/>
                <w:iCs w:val="0"/>
                <w:color w:val="000000"/>
                <w:sz w:val="18"/>
                <w:szCs w:val="18"/>
                <w:u w:val="none"/>
              </w:rPr>
            </w:pPr>
          </w:p>
        </w:tc>
      </w:tr>
      <w:tr w14:paraId="2F4DC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09" w:type="dxa"/>
            <w:shd w:val="clear" w:color="auto" w:fill="auto"/>
            <w:noWrap/>
            <w:vAlign w:val="center"/>
          </w:tcPr>
          <w:p w14:paraId="72320D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109</w:t>
            </w:r>
          </w:p>
        </w:tc>
        <w:tc>
          <w:tcPr>
            <w:tcW w:w="1073" w:type="dxa"/>
            <w:vMerge w:val="continue"/>
            <w:shd w:val="clear" w:color="auto" w:fill="FFFFFF"/>
            <w:noWrap/>
            <w:vAlign w:val="center"/>
          </w:tcPr>
          <w:p w14:paraId="7E390D50">
            <w:pPr>
              <w:jc w:val="center"/>
              <w:rPr>
                <w:rFonts w:hint="eastAsia" w:ascii="宋体" w:hAnsi="宋体" w:eastAsia="宋体" w:cs="宋体"/>
                <w:i w:val="0"/>
                <w:iCs w:val="0"/>
                <w:color w:val="000000"/>
                <w:sz w:val="20"/>
                <w:szCs w:val="20"/>
                <w:u w:val="none"/>
              </w:rPr>
            </w:pPr>
          </w:p>
        </w:tc>
        <w:tc>
          <w:tcPr>
            <w:tcW w:w="2143" w:type="dxa"/>
            <w:vMerge w:val="restart"/>
            <w:shd w:val="clear" w:color="auto" w:fill="FFFFFF"/>
            <w:vAlign w:val="center"/>
          </w:tcPr>
          <w:p w14:paraId="6C7295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瓷白亚克力立体字</w:t>
            </w:r>
          </w:p>
        </w:tc>
        <w:tc>
          <w:tcPr>
            <w:tcW w:w="2050" w:type="dxa"/>
            <w:shd w:val="clear" w:color="auto" w:fill="FFFFFF"/>
            <w:vAlign w:val="center"/>
          </w:tcPr>
          <w:p w14:paraId="4857C1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20MM厚，高：19cm</w:t>
            </w:r>
          </w:p>
        </w:tc>
        <w:tc>
          <w:tcPr>
            <w:tcW w:w="512" w:type="dxa"/>
            <w:shd w:val="clear" w:color="auto" w:fill="FFFFFF"/>
            <w:vAlign w:val="center"/>
          </w:tcPr>
          <w:p w14:paraId="2DB454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6571C5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428" w:type="dxa"/>
            <w:vMerge w:val="continue"/>
            <w:shd w:val="clear" w:color="auto" w:fill="FFFFFF"/>
            <w:vAlign w:val="center"/>
          </w:tcPr>
          <w:p w14:paraId="774DBE3B">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00E6114E">
            <w:pPr>
              <w:jc w:val="center"/>
              <w:rPr>
                <w:rFonts w:hint="eastAsia" w:ascii="宋体" w:hAnsi="宋体" w:eastAsia="宋体" w:cs="宋体"/>
                <w:i w:val="0"/>
                <w:iCs w:val="0"/>
                <w:color w:val="000000"/>
                <w:sz w:val="18"/>
                <w:szCs w:val="18"/>
                <w:u w:val="none"/>
              </w:rPr>
            </w:pPr>
          </w:p>
        </w:tc>
      </w:tr>
      <w:tr w14:paraId="224032C4">
        <w:tblPrEx>
          <w:shd w:val="clear" w:color="auto" w:fill="auto"/>
          <w:tblCellMar>
            <w:top w:w="0" w:type="dxa"/>
            <w:left w:w="108" w:type="dxa"/>
            <w:bottom w:w="0" w:type="dxa"/>
            <w:right w:w="108" w:type="dxa"/>
          </w:tblCellMar>
        </w:tblPrEx>
        <w:trPr>
          <w:trHeight w:val="420" w:hRule="atLeast"/>
        </w:trPr>
        <w:tc>
          <w:tcPr>
            <w:tcW w:w="609" w:type="dxa"/>
            <w:shd w:val="clear" w:color="auto" w:fill="auto"/>
            <w:noWrap/>
            <w:vAlign w:val="center"/>
          </w:tcPr>
          <w:p w14:paraId="26B16D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w:t>
            </w:r>
          </w:p>
        </w:tc>
        <w:tc>
          <w:tcPr>
            <w:tcW w:w="1073" w:type="dxa"/>
            <w:vMerge w:val="continue"/>
            <w:shd w:val="clear" w:color="auto" w:fill="FFFFFF"/>
            <w:noWrap/>
            <w:vAlign w:val="center"/>
          </w:tcPr>
          <w:p w14:paraId="1E8ED509">
            <w:pPr>
              <w:jc w:val="center"/>
              <w:rPr>
                <w:rFonts w:hint="eastAsia" w:ascii="宋体" w:hAnsi="宋体" w:eastAsia="宋体" w:cs="宋体"/>
                <w:i w:val="0"/>
                <w:iCs w:val="0"/>
                <w:color w:val="000000"/>
                <w:sz w:val="20"/>
                <w:szCs w:val="20"/>
                <w:u w:val="none"/>
              </w:rPr>
            </w:pPr>
          </w:p>
        </w:tc>
        <w:tc>
          <w:tcPr>
            <w:tcW w:w="2143" w:type="dxa"/>
            <w:vMerge w:val="continue"/>
            <w:shd w:val="clear" w:color="auto" w:fill="FFFFFF"/>
            <w:vAlign w:val="center"/>
          </w:tcPr>
          <w:p w14:paraId="24215E7C">
            <w:pPr>
              <w:jc w:val="center"/>
              <w:rPr>
                <w:rFonts w:hint="eastAsia" w:ascii="宋体" w:hAnsi="宋体" w:eastAsia="宋体" w:cs="宋体"/>
                <w:i w:val="0"/>
                <w:iCs w:val="0"/>
                <w:color w:val="000000"/>
                <w:sz w:val="20"/>
                <w:szCs w:val="20"/>
                <w:u w:val="none"/>
              </w:rPr>
            </w:pPr>
          </w:p>
        </w:tc>
        <w:tc>
          <w:tcPr>
            <w:tcW w:w="2050" w:type="dxa"/>
            <w:shd w:val="clear" w:color="auto" w:fill="FFFFFF"/>
            <w:vAlign w:val="center"/>
          </w:tcPr>
          <w:p w14:paraId="12D70D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10MM厚，高：11cm</w:t>
            </w:r>
          </w:p>
        </w:tc>
        <w:tc>
          <w:tcPr>
            <w:tcW w:w="512" w:type="dxa"/>
            <w:shd w:val="clear" w:color="auto" w:fill="FFFFFF"/>
            <w:vAlign w:val="center"/>
          </w:tcPr>
          <w:p w14:paraId="7B5E3C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11EB60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28" w:type="dxa"/>
            <w:vMerge w:val="continue"/>
            <w:shd w:val="clear" w:color="auto" w:fill="FFFFFF"/>
            <w:vAlign w:val="center"/>
          </w:tcPr>
          <w:p w14:paraId="73E0ED82">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4C46F575">
            <w:pPr>
              <w:jc w:val="center"/>
              <w:rPr>
                <w:rFonts w:hint="eastAsia" w:ascii="宋体" w:hAnsi="宋体" w:eastAsia="宋体" w:cs="宋体"/>
                <w:i w:val="0"/>
                <w:iCs w:val="0"/>
                <w:color w:val="000000"/>
                <w:sz w:val="18"/>
                <w:szCs w:val="18"/>
                <w:u w:val="none"/>
              </w:rPr>
            </w:pPr>
          </w:p>
        </w:tc>
      </w:tr>
      <w:tr w14:paraId="795D7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09" w:type="dxa"/>
            <w:shd w:val="clear" w:color="auto" w:fill="auto"/>
            <w:noWrap/>
            <w:vAlign w:val="center"/>
          </w:tcPr>
          <w:p w14:paraId="37FDE1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w:t>
            </w:r>
          </w:p>
        </w:tc>
        <w:tc>
          <w:tcPr>
            <w:tcW w:w="1073" w:type="dxa"/>
            <w:vMerge w:val="continue"/>
            <w:shd w:val="clear" w:color="auto" w:fill="FFFFFF"/>
            <w:noWrap/>
            <w:vAlign w:val="center"/>
          </w:tcPr>
          <w:p w14:paraId="53F7945D">
            <w:pPr>
              <w:jc w:val="center"/>
              <w:rPr>
                <w:rFonts w:hint="eastAsia" w:ascii="宋体" w:hAnsi="宋体" w:eastAsia="宋体" w:cs="宋体"/>
                <w:i w:val="0"/>
                <w:iCs w:val="0"/>
                <w:color w:val="000000"/>
                <w:sz w:val="20"/>
                <w:szCs w:val="20"/>
                <w:u w:val="none"/>
              </w:rPr>
            </w:pPr>
          </w:p>
        </w:tc>
        <w:tc>
          <w:tcPr>
            <w:tcW w:w="2143" w:type="dxa"/>
            <w:vMerge w:val="continue"/>
            <w:shd w:val="clear" w:color="auto" w:fill="FFFFFF"/>
            <w:vAlign w:val="center"/>
          </w:tcPr>
          <w:p w14:paraId="56075D9E">
            <w:pPr>
              <w:jc w:val="center"/>
              <w:rPr>
                <w:rFonts w:hint="eastAsia" w:ascii="宋体" w:hAnsi="宋体" w:eastAsia="宋体" w:cs="宋体"/>
                <w:i w:val="0"/>
                <w:iCs w:val="0"/>
                <w:color w:val="000000"/>
                <w:sz w:val="20"/>
                <w:szCs w:val="20"/>
                <w:u w:val="none"/>
              </w:rPr>
            </w:pPr>
          </w:p>
        </w:tc>
        <w:tc>
          <w:tcPr>
            <w:tcW w:w="2050" w:type="dxa"/>
            <w:shd w:val="clear" w:color="auto" w:fill="FFFFFF"/>
            <w:vAlign w:val="center"/>
          </w:tcPr>
          <w:p w14:paraId="2162E0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5MM厚，高：7cm</w:t>
            </w:r>
          </w:p>
        </w:tc>
        <w:tc>
          <w:tcPr>
            <w:tcW w:w="512" w:type="dxa"/>
            <w:shd w:val="clear" w:color="auto" w:fill="FFFFFF"/>
            <w:vAlign w:val="center"/>
          </w:tcPr>
          <w:p w14:paraId="247548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0E4ECC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4428" w:type="dxa"/>
            <w:vMerge w:val="continue"/>
            <w:shd w:val="clear" w:color="auto" w:fill="FFFFFF"/>
            <w:vAlign w:val="center"/>
          </w:tcPr>
          <w:p w14:paraId="6DEDC06E">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703CC405">
            <w:pPr>
              <w:jc w:val="center"/>
              <w:rPr>
                <w:rFonts w:hint="eastAsia" w:ascii="宋体" w:hAnsi="宋体" w:eastAsia="宋体" w:cs="宋体"/>
                <w:i w:val="0"/>
                <w:iCs w:val="0"/>
                <w:color w:val="000000"/>
                <w:sz w:val="18"/>
                <w:szCs w:val="18"/>
                <w:u w:val="none"/>
              </w:rPr>
            </w:pPr>
          </w:p>
        </w:tc>
      </w:tr>
      <w:tr w14:paraId="61D58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09" w:type="dxa"/>
            <w:shd w:val="clear" w:color="auto" w:fill="auto"/>
            <w:noWrap/>
            <w:vAlign w:val="center"/>
          </w:tcPr>
          <w:p w14:paraId="63D85C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w:t>
            </w:r>
          </w:p>
        </w:tc>
        <w:tc>
          <w:tcPr>
            <w:tcW w:w="1073" w:type="dxa"/>
            <w:vMerge w:val="continue"/>
            <w:shd w:val="clear" w:color="auto" w:fill="FFFFFF"/>
            <w:noWrap/>
            <w:vAlign w:val="center"/>
          </w:tcPr>
          <w:p w14:paraId="4A96A04A">
            <w:pPr>
              <w:jc w:val="center"/>
              <w:rPr>
                <w:rFonts w:hint="eastAsia" w:ascii="宋体" w:hAnsi="宋体" w:eastAsia="宋体" w:cs="宋体"/>
                <w:i w:val="0"/>
                <w:iCs w:val="0"/>
                <w:color w:val="000000"/>
                <w:sz w:val="20"/>
                <w:szCs w:val="20"/>
                <w:u w:val="none"/>
              </w:rPr>
            </w:pPr>
          </w:p>
        </w:tc>
        <w:tc>
          <w:tcPr>
            <w:tcW w:w="2143" w:type="dxa"/>
            <w:vMerge w:val="continue"/>
            <w:shd w:val="clear" w:color="auto" w:fill="FFFFFF"/>
            <w:vAlign w:val="center"/>
          </w:tcPr>
          <w:p w14:paraId="2A3A2096">
            <w:pPr>
              <w:jc w:val="center"/>
              <w:rPr>
                <w:rFonts w:hint="eastAsia" w:ascii="宋体" w:hAnsi="宋体" w:eastAsia="宋体" w:cs="宋体"/>
                <w:i w:val="0"/>
                <w:iCs w:val="0"/>
                <w:color w:val="000000"/>
                <w:sz w:val="20"/>
                <w:szCs w:val="20"/>
                <w:u w:val="none"/>
              </w:rPr>
            </w:pPr>
          </w:p>
        </w:tc>
        <w:tc>
          <w:tcPr>
            <w:tcW w:w="2050" w:type="dxa"/>
            <w:shd w:val="clear" w:color="auto" w:fill="FFFFFF"/>
            <w:vAlign w:val="center"/>
          </w:tcPr>
          <w:p w14:paraId="0CEC3F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10MM厚，高：10cm</w:t>
            </w:r>
          </w:p>
        </w:tc>
        <w:tc>
          <w:tcPr>
            <w:tcW w:w="512" w:type="dxa"/>
            <w:shd w:val="clear" w:color="auto" w:fill="FFFFFF"/>
            <w:vAlign w:val="center"/>
          </w:tcPr>
          <w:p w14:paraId="26AB97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3C9CD3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4428" w:type="dxa"/>
            <w:vMerge w:val="continue"/>
            <w:shd w:val="clear" w:color="auto" w:fill="FFFFFF"/>
            <w:vAlign w:val="center"/>
          </w:tcPr>
          <w:p w14:paraId="5911E48E">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0A9CF4E2">
            <w:pPr>
              <w:jc w:val="center"/>
              <w:rPr>
                <w:rFonts w:hint="eastAsia" w:ascii="宋体" w:hAnsi="宋体" w:eastAsia="宋体" w:cs="宋体"/>
                <w:i w:val="0"/>
                <w:iCs w:val="0"/>
                <w:color w:val="000000"/>
                <w:sz w:val="18"/>
                <w:szCs w:val="18"/>
                <w:u w:val="none"/>
              </w:rPr>
            </w:pPr>
          </w:p>
        </w:tc>
      </w:tr>
      <w:tr w14:paraId="0CB7E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09" w:type="dxa"/>
            <w:shd w:val="clear" w:color="auto" w:fill="auto"/>
            <w:noWrap/>
            <w:vAlign w:val="center"/>
          </w:tcPr>
          <w:p w14:paraId="19C277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113</w:t>
            </w:r>
          </w:p>
        </w:tc>
        <w:tc>
          <w:tcPr>
            <w:tcW w:w="1073" w:type="dxa"/>
            <w:vMerge w:val="continue"/>
            <w:shd w:val="clear" w:color="auto" w:fill="FFFFFF"/>
            <w:noWrap/>
            <w:vAlign w:val="center"/>
          </w:tcPr>
          <w:p w14:paraId="51DD8A20">
            <w:pPr>
              <w:jc w:val="center"/>
              <w:rPr>
                <w:rFonts w:hint="eastAsia" w:ascii="宋体" w:hAnsi="宋体" w:eastAsia="宋体" w:cs="宋体"/>
                <w:i w:val="0"/>
                <w:iCs w:val="0"/>
                <w:color w:val="000000"/>
                <w:sz w:val="20"/>
                <w:szCs w:val="20"/>
                <w:u w:val="none"/>
              </w:rPr>
            </w:pPr>
          </w:p>
        </w:tc>
        <w:tc>
          <w:tcPr>
            <w:tcW w:w="2143" w:type="dxa"/>
            <w:vMerge w:val="continue"/>
            <w:shd w:val="clear" w:color="auto" w:fill="FFFFFF"/>
            <w:vAlign w:val="center"/>
          </w:tcPr>
          <w:p w14:paraId="76BF53BE">
            <w:pPr>
              <w:jc w:val="center"/>
              <w:rPr>
                <w:rFonts w:hint="eastAsia" w:ascii="宋体" w:hAnsi="宋体" w:eastAsia="宋体" w:cs="宋体"/>
                <w:i w:val="0"/>
                <w:iCs w:val="0"/>
                <w:color w:val="000000"/>
                <w:sz w:val="20"/>
                <w:szCs w:val="20"/>
                <w:u w:val="none"/>
              </w:rPr>
            </w:pPr>
          </w:p>
        </w:tc>
        <w:tc>
          <w:tcPr>
            <w:tcW w:w="2050" w:type="dxa"/>
            <w:shd w:val="clear" w:color="auto" w:fill="FFFFFF"/>
            <w:vAlign w:val="center"/>
          </w:tcPr>
          <w:p w14:paraId="497B3B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5MM厚，高：6cm</w:t>
            </w:r>
          </w:p>
        </w:tc>
        <w:tc>
          <w:tcPr>
            <w:tcW w:w="512" w:type="dxa"/>
            <w:shd w:val="clear" w:color="auto" w:fill="FFFFFF"/>
            <w:vAlign w:val="center"/>
          </w:tcPr>
          <w:p w14:paraId="5D0013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3EEC9D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4428" w:type="dxa"/>
            <w:vMerge w:val="continue"/>
            <w:shd w:val="clear" w:color="auto" w:fill="FFFFFF"/>
            <w:vAlign w:val="center"/>
          </w:tcPr>
          <w:p w14:paraId="54299E93">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41B7CB7A">
            <w:pPr>
              <w:jc w:val="center"/>
              <w:rPr>
                <w:rFonts w:hint="eastAsia" w:ascii="宋体" w:hAnsi="宋体" w:eastAsia="宋体" w:cs="宋体"/>
                <w:i w:val="0"/>
                <w:iCs w:val="0"/>
                <w:color w:val="000000"/>
                <w:sz w:val="18"/>
                <w:szCs w:val="18"/>
                <w:u w:val="none"/>
              </w:rPr>
            </w:pPr>
          </w:p>
        </w:tc>
      </w:tr>
      <w:tr w14:paraId="37772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09" w:type="dxa"/>
            <w:shd w:val="clear" w:color="auto" w:fill="auto"/>
            <w:noWrap/>
            <w:vAlign w:val="center"/>
          </w:tcPr>
          <w:p w14:paraId="4D2636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114</w:t>
            </w:r>
          </w:p>
        </w:tc>
        <w:tc>
          <w:tcPr>
            <w:tcW w:w="1073" w:type="dxa"/>
            <w:vMerge w:val="continue"/>
            <w:shd w:val="clear" w:color="auto" w:fill="FFFFFF"/>
            <w:noWrap/>
            <w:vAlign w:val="center"/>
          </w:tcPr>
          <w:p w14:paraId="1122DFE9">
            <w:pPr>
              <w:jc w:val="center"/>
              <w:rPr>
                <w:rFonts w:hint="eastAsia" w:ascii="宋体" w:hAnsi="宋体" w:eastAsia="宋体" w:cs="宋体"/>
                <w:i w:val="0"/>
                <w:iCs w:val="0"/>
                <w:color w:val="000000"/>
                <w:sz w:val="20"/>
                <w:szCs w:val="20"/>
                <w:u w:val="none"/>
              </w:rPr>
            </w:pPr>
          </w:p>
        </w:tc>
        <w:tc>
          <w:tcPr>
            <w:tcW w:w="2143" w:type="dxa"/>
            <w:vMerge w:val="continue"/>
            <w:shd w:val="clear" w:color="auto" w:fill="FFFFFF"/>
            <w:vAlign w:val="center"/>
          </w:tcPr>
          <w:p w14:paraId="17726B0B">
            <w:pPr>
              <w:jc w:val="center"/>
              <w:rPr>
                <w:rFonts w:hint="eastAsia" w:ascii="宋体" w:hAnsi="宋体" w:eastAsia="宋体" w:cs="宋体"/>
                <w:i w:val="0"/>
                <w:iCs w:val="0"/>
                <w:color w:val="000000"/>
                <w:sz w:val="20"/>
                <w:szCs w:val="20"/>
                <w:u w:val="none"/>
              </w:rPr>
            </w:pPr>
          </w:p>
        </w:tc>
        <w:tc>
          <w:tcPr>
            <w:tcW w:w="2050" w:type="dxa"/>
            <w:shd w:val="clear" w:color="auto" w:fill="FFFFFF"/>
            <w:vAlign w:val="center"/>
          </w:tcPr>
          <w:p w14:paraId="1B8FC5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5MM厚，高：4cm</w:t>
            </w:r>
          </w:p>
        </w:tc>
        <w:tc>
          <w:tcPr>
            <w:tcW w:w="512" w:type="dxa"/>
            <w:shd w:val="clear" w:color="auto" w:fill="FFFFFF"/>
            <w:vAlign w:val="center"/>
          </w:tcPr>
          <w:p w14:paraId="453B87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58B736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4428" w:type="dxa"/>
            <w:vMerge w:val="continue"/>
            <w:shd w:val="clear" w:color="auto" w:fill="FFFFFF"/>
            <w:vAlign w:val="center"/>
          </w:tcPr>
          <w:p w14:paraId="65659DEE">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1595FF8A">
            <w:pPr>
              <w:jc w:val="center"/>
              <w:rPr>
                <w:rFonts w:hint="eastAsia" w:ascii="宋体" w:hAnsi="宋体" w:eastAsia="宋体" w:cs="宋体"/>
                <w:i w:val="0"/>
                <w:iCs w:val="0"/>
                <w:color w:val="000000"/>
                <w:sz w:val="18"/>
                <w:szCs w:val="18"/>
                <w:u w:val="none"/>
              </w:rPr>
            </w:pPr>
          </w:p>
        </w:tc>
      </w:tr>
      <w:tr w14:paraId="5DB4E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09" w:type="dxa"/>
            <w:shd w:val="clear" w:color="auto" w:fill="auto"/>
            <w:noWrap/>
            <w:vAlign w:val="center"/>
          </w:tcPr>
          <w:p w14:paraId="3B0F0D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1073" w:type="dxa"/>
            <w:vMerge w:val="continue"/>
            <w:shd w:val="clear" w:color="auto" w:fill="FFFFFF"/>
            <w:noWrap/>
            <w:vAlign w:val="center"/>
          </w:tcPr>
          <w:p w14:paraId="6D9875D2">
            <w:pPr>
              <w:jc w:val="center"/>
              <w:rPr>
                <w:rFonts w:hint="eastAsia" w:ascii="宋体" w:hAnsi="宋体" w:eastAsia="宋体" w:cs="宋体"/>
                <w:i w:val="0"/>
                <w:iCs w:val="0"/>
                <w:color w:val="000000"/>
                <w:sz w:val="20"/>
                <w:szCs w:val="20"/>
                <w:u w:val="none"/>
              </w:rPr>
            </w:pPr>
          </w:p>
        </w:tc>
        <w:tc>
          <w:tcPr>
            <w:tcW w:w="2143" w:type="dxa"/>
            <w:vMerge w:val="continue"/>
            <w:shd w:val="clear" w:color="auto" w:fill="FFFFFF"/>
            <w:vAlign w:val="center"/>
          </w:tcPr>
          <w:p w14:paraId="2406DD1F">
            <w:pPr>
              <w:jc w:val="center"/>
              <w:rPr>
                <w:rFonts w:hint="eastAsia" w:ascii="宋体" w:hAnsi="宋体" w:eastAsia="宋体" w:cs="宋体"/>
                <w:i w:val="0"/>
                <w:iCs w:val="0"/>
                <w:color w:val="000000"/>
                <w:sz w:val="20"/>
                <w:szCs w:val="20"/>
                <w:u w:val="none"/>
              </w:rPr>
            </w:pPr>
          </w:p>
        </w:tc>
        <w:tc>
          <w:tcPr>
            <w:tcW w:w="2050" w:type="dxa"/>
            <w:shd w:val="clear" w:color="auto" w:fill="FFFFFF"/>
            <w:vAlign w:val="center"/>
          </w:tcPr>
          <w:p w14:paraId="30CD4F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10MM厚，高：17cm</w:t>
            </w:r>
          </w:p>
        </w:tc>
        <w:tc>
          <w:tcPr>
            <w:tcW w:w="512" w:type="dxa"/>
            <w:shd w:val="clear" w:color="auto" w:fill="FFFFFF"/>
            <w:vAlign w:val="center"/>
          </w:tcPr>
          <w:p w14:paraId="4C1EF0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37DD27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428" w:type="dxa"/>
            <w:vMerge w:val="continue"/>
            <w:shd w:val="clear" w:color="auto" w:fill="FFFFFF"/>
            <w:vAlign w:val="center"/>
          </w:tcPr>
          <w:p w14:paraId="5E14166A">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23C1DDE8">
            <w:pPr>
              <w:jc w:val="center"/>
              <w:rPr>
                <w:rFonts w:hint="eastAsia" w:ascii="宋体" w:hAnsi="宋体" w:eastAsia="宋体" w:cs="宋体"/>
                <w:i w:val="0"/>
                <w:iCs w:val="0"/>
                <w:color w:val="000000"/>
                <w:sz w:val="18"/>
                <w:szCs w:val="18"/>
                <w:u w:val="none"/>
              </w:rPr>
            </w:pPr>
          </w:p>
        </w:tc>
      </w:tr>
      <w:tr w14:paraId="0D8FE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09" w:type="dxa"/>
            <w:shd w:val="clear" w:color="auto" w:fill="auto"/>
            <w:noWrap/>
            <w:vAlign w:val="center"/>
          </w:tcPr>
          <w:p w14:paraId="3C9320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116</w:t>
            </w:r>
          </w:p>
        </w:tc>
        <w:tc>
          <w:tcPr>
            <w:tcW w:w="1073" w:type="dxa"/>
            <w:vMerge w:val="continue"/>
            <w:shd w:val="clear" w:color="auto" w:fill="FFFFFF"/>
            <w:noWrap/>
            <w:vAlign w:val="center"/>
          </w:tcPr>
          <w:p w14:paraId="4FEEEE9D">
            <w:pPr>
              <w:jc w:val="center"/>
              <w:rPr>
                <w:rFonts w:hint="eastAsia" w:ascii="宋体" w:hAnsi="宋体" w:eastAsia="宋体" w:cs="宋体"/>
                <w:i w:val="0"/>
                <w:iCs w:val="0"/>
                <w:color w:val="000000"/>
                <w:sz w:val="20"/>
                <w:szCs w:val="20"/>
                <w:u w:val="none"/>
              </w:rPr>
            </w:pPr>
          </w:p>
        </w:tc>
        <w:tc>
          <w:tcPr>
            <w:tcW w:w="2143" w:type="dxa"/>
            <w:vMerge w:val="continue"/>
            <w:shd w:val="clear" w:color="auto" w:fill="FFFFFF"/>
            <w:vAlign w:val="center"/>
          </w:tcPr>
          <w:p w14:paraId="381FB7C7">
            <w:pPr>
              <w:jc w:val="center"/>
              <w:rPr>
                <w:rFonts w:hint="eastAsia" w:ascii="宋体" w:hAnsi="宋体" w:eastAsia="宋体" w:cs="宋体"/>
                <w:i w:val="0"/>
                <w:iCs w:val="0"/>
                <w:color w:val="000000"/>
                <w:sz w:val="20"/>
                <w:szCs w:val="20"/>
                <w:u w:val="none"/>
              </w:rPr>
            </w:pPr>
          </w:p>
        </w:tc>
        <w:tc>
          <w:tcPr>
            <w:tcW w:w="2050" w:type="dxa"/>
            <w:shd w:val="clear" w:color="auto" w:fill="FFFFFF"/>
            <w:vAlign w:val="center"/>
          </w:tcPr>
          <w:p w14:paraId="35FEED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10MM厚，高：10cm</w:t>
            </w:r>
          </w:p>
        </w:tc>
        <w:tc>
          <w:tcPr>
            <w:tcW w:w="512" w:type="dxa"/>
            <w:shd w:val="clear" w:color="auto" w:fill="FFFFFF"/>
            <w:vAlign w:val="center"/>
          </w:tcPr>
          <w:p w14:paraId="6BC0F0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7BE6F2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28" w:type="dxa"/>
            <w:vMerge w:val="continue"/>
            <w:shd w:val="clear" w:color="auto" w:fill="FFFFFF"/>
            <w:vAlign w:val="center"/>
          </w:tcPr>
          <w:p w14:paraId="1737C9B7">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1B07B50E">
            <w:pPr>
              <w:jc w:val="center"/>
              <w:rPr>
                <w:rFonts w:hint="eastAsia" w:ascii="宋体" w:hAnsi="宋体" w:eastAsia="宋体" w:cs="宋体"/>
                <w:i w:val="0"/>
                <w:iCs w:val="0"/>
                <w:color w:val="000000"/>
                <w:sz w:val="18"/>
                <w:szCs w:val="18"/>
                <w:u w:val="none"/>
              </w:rPr>
            </w:pPr>
          </w:p>
        </w:tc>
      </w:tr>
      <w:tr w14:paraId="3E5C0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09" w:type="dxa"/>
            <w:shd w:val="clear" w:color="auto" w:fill="auto"/>
            <w:noWrap/>
            <w:vAlign w:val="center"/>
          </w:tcPr>
          <w:p w14:paraId="2F6D9808">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117</w:t>
            </w:r>
          </w:p>
        </w:tc>
        <w:tc>
          <w:tcPr>
            <w:tcW w:w="1073" w:type="dxa"/>
            <w:vMerge w:val="continue"/>
            <w:shd w:val="clear" w:color="auto" w:fill="FFFFFF"/>
            <w:noWrap/>
            <w:vAlign w:val="center"/>
          </w:tcPr>
          <w:p w14:paraId="0ED0F3F5">
            <w:pPr>
              <w:jc w:val="center"/>
              <w:rPr>
                <w:rFonts w:hint="eastAsia" w:ascii="宋体" w:hAnsi="宋体" w:eastAsia="宋体" w:cs="宋体"/>
                <w:i w:val="0"/>
                <w:iCs w:val="0"/>
                <w:color w:val="000000"/>
                <w:sz w:val="20"/>
                <w:szCs w:val="20"/>
                <w:u w:val="none"/>
              </w:rPr>
            </w:pPr>
          </w:p>
        </w:tc>
        <w:tc>
          <w:tcPr>
            <w:tcW w:w="2143" w:type="dxa"/>
            <w:vMerge w:val="continue"/>
            <w:shd w:val="clear" w:color="auto" w:fill="FFFFFF"/>
            <w:vAlign w:val="center"/>
          </w:tcPr>
          <w:p w14:paraId="19F7CA5C">
            <w:pPr>
              <w:jc w:val="center"/>
              <w:rPr>
                <w:rFonts w:hint="eastAsia" w:ascii="宋体" w:hAnsi="宋体" w:eastAsia="宋体" w:cs="宋体"/>
                <w:i w:val="0"/>
                <w:iCs w:val="0"/>
                <w:color w:val="000000"/>
                <w:sz w:val="20"/>
                <w:szCs w:val="20"/>
                <w:u w:val="none"/>
              </w:rPr>
            </w:pPr>
          </w:p>
        </w:tc>
        <w:tc>
          <w:tcPr>
            <w:tcW w:w="2050" w:type="dxa"/>
            <w:shd w:val="clear" w:color="auto" w:fill="FFFFFF"/>
            <w:vAlign w:val="center"/>
          </w:tcPr>
          <w:p w14:paraId="26CED2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10MM厚，高：10cm</w:t>
            </w:r>
          </w:p>
        </w:tc>
        <w:tc>
          <w:tcPr>
            <w:tcW w:w="512" w:type="dxa"/>
            <w:shd w:val="clear" w:color="auto" w:fill="FFFFFF"/>
            <w:vAlign w:val="center"/>
          </w:tcPr>
          <w:p w14:paraId="36FD2C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4" w:type="dxa"/>
            <w:shd w:val="clear" w:color="auto" w:fill="FFFFFF"/>
            <w:noWrap/>
            <w:vAlign w:val="center"/>
          </w:tcPr>
          <w:p w14:paraId="368845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428" w:type="dxa"/>
            <w:vMerge w:val="continue"/>
            <w:shd w:val="clear" w:color="auto" w:fill="FFFFFF"/>
            <w:vAlign w:val="center"/>
          </w:tcPr>
          <w:p w14:paraId="4CB2A9F1">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7BA66F1E">
            <w:pPr>
              <w:jc w:val="center"/>
              <w:rPr>
                <w:rFonts w:hint="eastAsia" w:ascii="宋体" w:hAnsi="宋体" w:eastAsia="宋体" w:cs="宋体"/>
                <w:i w:val="0"/>
                <w:iCs w:val="0"/>
                <w:color w:val="000000"/>
                <w:sz w:val="18"/>
                <w:szCs w:val="18"/>
                <w:u w:val="none"/>
              </w:rPr>
            </w:pPr>
          </w:p>
        </w:tc>
      </w:tr>
      <w:tr w14:paraId="27489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609" w:type="dxa"/>
            <w:shd w:val="clear" w:color="auto" w:fill="auto"/>
            <w:noWrap/>
            <w:vAlign w:val="center"/>
          </w:tcPr>
          <w:p w14:paraId="082A1F7B">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118</w:t>
            </w:r>
          </w:p>
        </w:tc>
        <w:tc>
          <w:tcPr>
            <w:tcW w:w="1073" w:type="dxa"/>
            <w:vMerge w:val="continue"/>
            <w:shd w:val="clear" w:color="auto" w:fill="FFFFFF"/>
            <w:noWrap/>
            <w:vAlign w:val="center"/>
          </w:tcPr>
          <w:p w14:paraId="0BDFC144">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23B7C9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玻璃钢螺旋杆定制</w:t>
            </w:r>
          </w:p>
        </w:tc>
        <w:tc>
          <w:tcPr>
            <w:tcW w:w="2050" w:type="dxa"/>
            <w:shd w:val="clear" w:color="auto" w:fill="FFFFFF"/>
            <w:vAlign w:val="center"/>
          </w:tcPr>
          <w:p w14:paraId="5C70EEDF">
            <w:pPr>
              <w:jc w:val="center"/>
              <w:rPr>
                <w:rFonts w:hint="eastAsia" w:ascii="宋体" w:hAnsi="宋体" w:eastAsia="宋体" w:cs="宋体"/>
                <w:i w:val="0"/>
                <w:iCs w:val="0"/>
                <w:color w:val="000000"/>
                <w:sz w:val="20"/>
                <w:szCs w:val="20"/>
                <w:u w:val="none"/>
              </w:rPr>
            </w:pPr>
          </w:p>
        </w:tc>
        <w:tc>
          <w:tcPr>
            <w:tcW w:w="512" w:type="dxa"/>
            <w:shd w:val="clear" w:color="auto" w:fill="FFFFFF"/>
            <w:vAlign w:val="center"/>
          </w:tcPr>
          <w:p w14:paraId="34C4E5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44" w:type="dxa"/>
            <w:shd w:val="clear" w:color="auto" w:fill="FFFFFF"/>
            <w:noWrap/>
            <w:vAlign w:val="center"/>
          </w:tcPr>
          <w:p w14:paraId="4D9FB9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428" w:type="dxa"/>
            <w:vMerge w:val="continue"/>
            <w:shd w:val="clear" w:color="auto" w:fill="FFFFFF"/>
            <w:vAlign w:val="center"/>
          </w:tcPr>
          <w:p w14:paraId="4BF42E31">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4AC8FCB5">
            <w:pPr>
              <w:jc w:val="center"/>
              <w:rPr>
                <w:rFonts w:hint="eastAsia" w:ascii="宋体" w:hAnsi="宋体" w:eastAsia="宋体" w:cs="宋体"/>
                <w:i w:val="0"/>
                <w:iCs w:val="0"/>
                <w:color w:val="000000"/>
                <w:sz w:val="18"/>
                <w:szCs w:val="18"/>
                <w:u w:val="none"/>
              </w:rPr>
            </w:pPr>
          </w:p>
        </w:tc>
      </w:tr>
      <w:tr w14:paraId="41B86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09" w:type="dxa"/>
            <w:shd w:val="clear" w:color="auto" w:fill="auto"/>
            <w:noWrap/>
            <w:vAlign w:val="center"/>
          </w:tcPr>
          <w:p w14:paraId="471A5395">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119</w:t>
            </w:r>
          </w:p>
        </w:tc>
        <w:tc>
          <w:tcPr>
            <w:tcW w:w="1073" w:type="dxa"/>
            <w:vMerge w:val="continue"/>
            <w:shd w:val="clear" w:color="auto" w:fill="FFFFFF"/>
            <w:noWrap/>
            <w:vAlign w:val="center"/>
          </w:tcPr>
          <w:p w14:paraId="0CA1D657">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7A2A82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摆件定制</w:t>
            </w:r>
          </w:p>
        </w:tc>
        <w:tc>
          <w:tcPr>
            <w:tcW w:w="2050" w:type="dxa"/>
            <w:shd w:val="clear" w:color="auto" w:fill="FFFFFF"/>
            <w:vAlign w:val="center"/>
          </w:tcPr>
          <w:p w14:paraId="7E8C1E20">
            <w:pPr>
              <w:jc w:val="center"/>
              <w:rPr>
                <w:rFonts w:hint="eastAsia" w:ascii="宋体" w:hAnsi="宋体" w:eastAsia="宋体" w:cs="宋体"/>
                <w:i w:val="0"/>
                <w:iCs w:val="0"/>
                <w:color w:val="000000"/>
                <w:sz w:val="20"/>
                <w:szCs w:val="20"/>
                <w:u w:val="none"/>
              </w:rPr>
            </w:pPr>
          </w:p>
        </w:tc>
        <w:tc>
          <w:tcPr>
            <w:tcW w:w="512" w:type="dxa"/>
            <w:shd w:val="clear" w:color="auto" w:fill="FFFFFF"/>
            <w:vAlign w:val="center"/>
          </w:tcPr>
          <w:p w14:paraId="6E4261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44" w:type="dxa"/>
            <w:shd w:val="clear" w:color="auto" w:fill="FFFFFF"/>
            <w:noWrap/>
            <w:vAlign w:val="center"/>
          </w:tcPr>
          <w:p w14:paraId="158774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428" w:type="dxa"/>
            <w:vMerge w:val="continue"/>
            <w:shd w:val="clear" w:color="auto" w:fill="FFFFFF"/>
            <w:vAlign w:val="center"/>
          </w:tcPr>
          <w:p w14:paraId="3FAA513F">
            <w:pPr>
              <w:jc w:val="left"/>
              <w:rPr>
                <w:rFonts w:hint="eastAsia" w:ascii="宋体" w:hAnsi="宋体" w:eastAsia="宋体" w:cs="宋体"/>
                <w:i w:val="0"/>
                <w:iCs w:val="0"/>
                <w:color w:val="000000"/>
                <w:sz w:val="20"/>
                <w:szCs w:val="20"/>
                <w:u w:val="none"/>
              </w:rPr>
            </w:pPr>
          </w:p>
        </w:tc>
        <w:tc>
          <w:tcPr>
            <w:tcW w:w="2966" w:type="dxa"/>
            <w:vMerge w:val="continue"/>
            <w:shd w:val="clear" w:color="auto" w:fill="auto"/>
            <w:noWrap/>
            <w:vAlign w:val="center"/>
          </w:tcPr>
          <w:p w14:paraId="72072CDC">
            <w:pPr>
              <w:jc w:val="center"/>
              <w:rPr>
                <w:rFonts w:hint="eastAsia" w:ascii="宋体" w:hAnsi="宋体" w:eastAsia="宋体" w:cs="宋体"/>
                <w:i w:val="0"/>
                <w:iCs w:val="0"/>
                <w:color w:val="000000"/>
                <w:sz w:val="18"/>
                <w:szCs w:val="18"/>
                <w:u w:val="none"/>
              </w:rPr>
            </w:pPr>
          </w:p>
        </w:tc>
      </w:tr>
      <w:tr w14:paraId="1A36C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0" w:hRule="atLeast"/>
        </w:trPr>
        <w:tc>
          <w:tcPr>
            <w:tcW w:w="609" w:type="dxa"/>
            <w:shd w:val="clear" w:color="auto" w:fill="auto"/>
            <w:noWrap/>
            <w:vAlign w:val="center"/>
          </w:tcPr>
          <w:p w14:paraId="4C5DAA77">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120</w:t>
            </w:r>
          </w:p>
        </w:tc>
        <w:tc>
          <w:tcPr>
            <w:tcW w:w="1073" w:type="dxa"/>
            <w:vMerge w:val="continue"/>
            <w:shd w:val="clear" w:color="auto" w:fill="FFFFFF"/>
            <w:noWrap/>
            <w:vAlign w:val="center"/>
          </w:tcPr>
          <w:p w14:paraId="3FAB83D8">
            <w:pPr>
              <w:jc w:val="center"/>
              <w:rPr>
                <w:rFonts w:hint="eastAsia" w:ascii="宋体" w:hAnsi="宋体" w:eastAsia="宋体" w:cs="宋体"/>
                <w:i w:val="0"/>
                <w:iCs w:val="0"/>
                <w:color w:val="000000"/>
                <w:sz w:val="20"/>
                <w:szCs w:val="20"/>
                <w:u w:val="none"/>
              </w:rPr>
            </w:pPr>
          </w:p>
        </w:tc>
        <w:tc>
          <w:tcPr>
            <w:tcW w:w="2143" w:type="dxa"/>
            <w:shd w:val="clear" w:color="auto" w:fill="FFFFFF"/>
            <w:vAlign w:val="center"/>
          </w:tcPr>
          <w:p w14:paraId="4E0993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软膜灯箱</w:t>
            </w:r>
          </w:p>
        </w:tc>
        <w:tc>
          <w:tcPr>
            <w:tcW w:w="2050" w:type="dxa"/>
            <w:shd w:val="clear" w:color="auto" w:fill="FFFFFF"/>
            <w:vAlign w:val="center"/>
          </w:tcPr>
          <w:p w14:paraId="504256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1.3*2.1M</w:t>
            </w:r>
          </w:p>
        </w:tc>
        <w:tc>
          <w:tcPr>
            <w:tcW w:w="512" w:type="dxa"/>
            <w:shd w:val="clear" w:color="auto" w:fill="FFFFFF"/>
            <w:vAlign w:val="center"/>
          </w:tcPr>
          <w:p w14:paraId="4A9018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44" w:type="dxa"/>
            <w:shd w:val="clear" w:color="auto" w:fill="FFFFFF"/>
            <w:noWrap/>
            <w:vAlign w:val="center"/>
          </w:tcPr>
          <w:p w14:paraId="59441C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2.73</w:t>
            </w:r>
          </w:p>
        </w:tc>
        <w:tc>
          <w:tcPr>
            <w:tcW w:w="4428" w:type="dxa"/>
            <w:vMerge w:val="restart"/>
            <w:shd w:val="clear" w:color="auto" w:fill="auto"/>
            <w:vAlign w:val="center"/>
          </w:tcPr>
          <w:p w14:paraId="5C3D61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1.柔性照明展示软膜灯箱定制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2.抗氧化不锈钢一体折边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包含材料费、安装费、人工费等辅材的所有费用</w:t>
            </w:r>
          </w:p>
        </w:tc>
        <w:tc>
          <w:tcPr>
            <w:tcW w:w="2966" w:type="dxa"/>
            <w:vMerge w:val="restart"/>
            <w:shd w:val="clear" w:color="auto" w:fill="auto"/>
            <w:noWrap/>
            <w:vAlign w:val="center"/>
          </w:tcPr>
          <w:p w14:paraId="337450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rPr>
              <w:drawing>
                <wp:anchor distT="0" distB="0" distL="114300" distR="114300" simplePos="0" relativeHeight="251670528" behindDoc="1" locked="0" layoutInCell="1" allowOverlap="1">
                  <wp:simplePos x="0" y="0"/>
                  <wp:positionH relativeFrom="column">
                    <wp:posOffset>276225</wp:posOffset>
                  </wp:positionH>
                  <wp:positionV relativeFrom="paragraph">
                    <wp:posOffset>78105</wp:posOffset>
                  </wp:positionV>
                  <wp:extent cx="552450" cy="846455"/>
                  <wp:effectExtent l="0" t="0" r="11430" b="6985"/>
                  <wp:wrapTight wrapText="bothSides">
                    <wp:wrapPolygon>
                      <wp:start x="0" y="0"/>
                      <wp:lineTo x="0" y="21389"/>
                      <wp:lineTo x="20855" y="21389"/>
                      <wp:lineTo x="20855" y="0"/>
                      <wp:lineTo x="0" y="0"/>
                    </wp:wrapPolygon>
                  </wp:wrapTight>
                  <wp:docPr id="2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2"/>
                          <pic:cNvPicPr>
                            <a:picLocks noChangeAspect="1"/>
                          </pic:cNvPicPr>
                        </pic:nvPicPr>
                        <pic:blipFill>
                          <a:blip r:embed="rId56"/>
                          <a:stretch>
                            <a:fillRect/>
                          </a:stretch>
                        </pic:blipFill>
                        <pic:spPr>
                          <a:xfrm>
                            <a:off x="0" y="0"/>
                            <a:ext cx="552450" cy="846455"/>
                          </a:xfrm>
                          <a:prstGeom prst="rect">
                            <a:avLst/>
                          </a:prstGeom>
                          <a:noFill/>
                          <a:ln w="9525">
                            <a:noFill/>
                          </a:ln>
                        </pic:spPr>
                      </pic:pic>
                    </a:graphicData>
                  </a:graphic>
                </wp:anchor>
              </w:drawing>
            </w:r>
          </w:p>
        </w:tc>
      </w:tr>
      <w:tr w14:paraId="0344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609" w:type="dxa"/>
            <w:shd w:val="clear" w:color="auto" w:fill="auto"/>
            <w:noWrap/>
            <w:vAlign w:val="center"/>
          </w:tcPr>
          <w:p w14:paraId="45FA9BFE">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121</w:t>
            </w:r>
          </w:p>
        </w:tc>
        <w:tc>
          <w:tcPr>
            <w:tcW w:w="1073" w:type="dxa"/>
            <w:vMerge w:val="continue"/>
            <w:shd w:val="clear" w:color="auto" w:fill="FFFFFF"/>
            <w:noWrap/>
            <w:vAlign w:val="center"/>
          </w:tcPr>
          <w:p w14:paraId="50E2216F">
            <w:pPr>
              <w:jc w:val="center"/>
              <w:rPr>
                <w:rFonts w:hint="eastAsia" w:ascii="宋体" w:hAnsi="宋体" w:eastAsia="宋体" w:cs="宋体"/>
                <w:i w:val="0"/>
                <w:iCs w:val="0"/>
                <w:color w:val="000000"/>
                <w:sz w:val="20"/>
                <w:szCs w:val="20"/>
                <w:u w:val="none"/>
              </w:rPr>
            </w:pPr>
          </w:p>
        </w:tc>
        <w:tc>
          <w:tcPr>
            <w:tcW w:w="2143" w:type="dxa"/>
            <w:shd w:val="clear" w:color="auto" w:fill="auto"/>
            <w:noWrap/>
            <w:vAlign w:val="center"/>
          </w:tcPr>
          <w:p w14:paraId="69144A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金属包边</w:t>
            </w:r>
          </w:p>
        </w:tc>
        <w:tc>
          <w:tcPr>
            <w:tcW w:w="2050" w:type="dxa"/>
            <w:shd w:val="clear" w:color="auto" w:fill="auto"/>
            <w:vAlign w:val="center"/>
          </w:tcPr>
          <w:p w14:paraId="3D3B8F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（1.3+2.1）*2条</w:t>
            </w:r>
          </w:p>
        </w:tc>
        <w:tc>
          <w:tcPr>
            <w:tcW w:w="512" w:type="dxa"/>
            <w:shd w:val="clear" w:color="auto" w:fill="FFFFFF"/>
            <w:vAlign w:val="center"/>
          </w:tcPr>
          <w:p w14:paraId="224E68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44" w:type="dxa"/>
            <w:shd w:val="clear" w:color="auto" w:fill="FFFFFF"/>
            <w:noWrap/>
            <w:vAlign w:val="center"/>
          </w:tcPr>
          <w:p w14:paraId="7A628C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4428" w:type="dxa"/>
            <w:vMerge w:val="continue"/>
            <w:shd w:val="clear" w:color="auto" w:fill="auto"/>
            <w:vAlign w:val="center"/>
          </w:tcPr>
          <w:p w14:paraId="055BF76C">
            <w:pPr>
              <w:jc w:val="left"/>
              <w:rPr>
                <w:rFonts w:hint="eastAsia" w:ascii="宋体" w:hAnsi="宋体" w:eastAsia="宋体" w:cs="宋体"/>
                <w:i w:val="0"/>
                <w:iCs w:val="0"/>
                <w:color w:val="000000"/>
                <w:sz w:val="18"/>
                <w:szCs w:val="18"/>
                <w:u w:val="none"/>
              </w:rPr>
            </w:pPr>
          </w:p>
        </w:tc>
        <w:tc>
          <w:tcPr>
            <w:tcW w:w="2966" w:type="dxa"/>
            <w:vMerge w:val="continue"/>
            <w:shd w:val="clear" w:color="auto" w:fill="auto"/>
            <w:noWrap/>
            <w:vAlign w:val="center"/>
          </w:tcPr>
          <w:p w14:paraId="78CBBE1F">
            <w:pPr>
              <w:jc w:val="center"/>
              <w:rPr>
                <w:rFonts w:hint="eastAsia" w:ascii="宋体" w:hAnsi="宋体" w:eastAsia="宋体" w:cs="宋体"/>
                <w:i w:val="0"/>
                <w:iCs w:val="0"/>
                <w:color w:val="000000"/>
                <w:sz w:val="18"/>
                <w:szCs w:val="18"/>
                <w:u w:val="none"/>
              </w:rPr>
            </w:pPr>
          </w:p>
        </w:tc>
      </w:tr>
    </w:tbl>
    <w:p w14:paraId="44054DCD">
      <w:pPr>
        <w:pStyle w:val="10"/>
        <w:widowControl/>
        <w:spacing w:before="0" w:line="360" w:lineRule="auto"/>
        <w:ind w:left="0" w:leftChars="0" w:firstLine="0" w:firstLineChars="0"/>
        <w:jc w:val="both"/>
        <w:rPr>
          <w:rFonts w:hint="default" w:ascii="宋体" w:hAnsi="宋体" w:eastAsia="宋体" w:cs="宋体"/>
          <w:b/>
          <w:bCs/>
          <w:i w:val="0"/>
          <w:kern w:val="0"/>
          <w:sz w:val="21"/>
          <w:szCs w:val="21"/>
          <w:lang w:val="en-US" w:eastAsia="zh-CN"/>
        </w:rPr>
      </w:pPr>
      <w:r>
        <w:rPr>
          <w:rFonts w:hint="eastAsia" w:ascii="宋体" w:hAnsi="宋体" w:eastAsia="宋体" w:cs="宋体"/>
          <w:b/>
          <w:bCs/>
          <w:i w:val="0"/>
          <w:kern w:val="0"/>
          <w:sz w:val="21"/>
          <w:szCs w:val="21"/>
          <w:lang w:val="en-US" w:eastAsia="zh-CN"/>
        </w:rPr>
        <w:t>上表所列的图片仅供各投标人参考。</w:t>
      </w:r>
    </w:p>
    <w:p w14:paraId="0E5BFC1B">
      <w:pPr>
        <w:spacing w:line="360" w:lineRule="auto"/>
        <w:rPr>
          <w:rFonts w:hint="eastAsia" w:ascii="宋体" w:hAnsi="宋体" w:eastAsia="宋体" w:cs="宋体"/>
          <w:b/>
          <w:bCs/>
          <w:i w:val="0"/>
          <w:kern w:val="0"/>
          <w:sz w:val="21"/>
          <w:szCs w:val="21"/>
          <w:lang w:val="en-US" w:eastAsia="zh-CN"/>
        </w:rPr>
      </w:pPr>
    </w:p>
    <w:p w14:paraId="312AB1D9">
      <w:pPr>
        <w:spacing w:line="360" w:lineRule="auto"/>
        <w:rPr>
          <w:rFonts w:hint="eastAsia" w:ascii="宋体" w:hAnsi="宋体" w:eastAsia="宋体" w:cs="宋体"/>
          <w:b/>
          <w:bCs/>
          <w:i w:val="0"/>
          <w:kern w:val="0"/>
          <w:sz w:val="21"/>
          <w:szCs w:val="21"/>
          <w:lang w:val="en-US" w:eastAsia="zh-CN"/>
        </w:rPr>
        <w:sectPr>
          <w:headerReference r:id="rId10" w:type="default"/>
          <w:footerReference r:id="rId11" w:type="default"/>
          <w:pgSz w:w="16838" w:h="11906" w:orient="landscape"/>
          <w:pgMar w:top="1191" w:right="992" w:bottom="1191" w:left="992" w:header="851" w:footer="794" w:gutter="0"/>
          <w:pgNumType w:fmt="decimal" w:start="7"/>
          <w:cols w:space="720" w:num="1"/>
          <w:docGrid w:type="lines" w:linePitch="312" w:charSpace="0"/>
        </w:sectPr>
      </w:pPr>
    </w:p>
    <w:p w14:paraId="079682FC">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lang w:val="en-US" w:eastAsia="zh-CN"/>
        </w:rPr>
      </w:pPr>
      <w:bookmarkStart w:id="18" w:name="_Toc32502"/>
      <w:r>
        <w:rPr>
          <w:rFonts w:hint="eastAsia" w:ascii="宋体" w:hAnsi="宋体" w:eastAsia="宋体" w:cs="宋体"/>
          <w:b/>
          <w:bCs/>
          <w:lang w:val="en-US" w:eastAsia="zh-CN"/>
        </w:rPr>
        <w:t>四、培训服务</w:t>
      </w:r>
      <w:bookmarkEnd w:id="18"/>
    </w:p>
    <w:p w14:paraId="7A20282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免费培训展示设施操作、维护及故障排查。可根据采购人需求灵活安排培训时间与内容，帮助采购人建立自主维护与管理的能力体系，保障展示空间的长期稳定运行。</w:t>
      </w:r>
    </w:p>
    <w:p w14:paraId="65D251F1">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lang w:val="en-US" w:eastAsia="zh-CN"/>
        </w:rPr>
      </w:pPr>
      <w:bookmarkStart w:id="19" w:name="_Toc4902"/>
      <w:r>
        <w:rPr>
          <w:rFonts w:hint="eastAsia" w:ascii="宋体" w:hAnsi="宋体" w:eastAsia="宋体" w:cs="宋体"/>
          <w:b/>
          <w:bCs/>
          <w:lang w:val="en-US" w:eastAsia="zh-CN"/>
        </w:rPr>
        <w:t>五、工艺要求</w:t>
      </w:r>
      <w:bookmarkEnd w:id="19"/>
    </w:p>
    <w:p w14:paraId="7578215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严格遵循行业先进工艺标准，从原材料加工到成品组装，每道工序均有专业质检把控。采用高精度加工设备，关键工艺环节，如焊接、涂装等，执行多道检测流程，保证工艺精湛无瑕疵，使展示设施不仅外观精美，且结构稳固耐用。</w:t>
      </w:r>
    </w:p>
    <w:p w14:paraId="66AE5D3C">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lang w:val="en-US" w:eastAsia="zh-CN"/>
        </w:rPr>
      </w:pPr>
      <w:bookmarkStart w:id="20" w:name="_Toc18472"/>
      <w:r>
        <w:rPr>
          <w:rFonts w:hint="eastAsia" w:ascii="宋体" w:hAnsi="宋体" w:eastAsia="宋体" w:cs="宋体"/>
          <w:b/>
          <w:bCs/>
          <w:lang w:val="en-US" w:eastAsia="zh-CN"/>
        </w:rPr>
        <w:t>六、安装调试</w:t>
      </w:r>
      <w:bookmarkEnd w:id="20"/>
    </w:p>
    <w:p w14:paraId="3494F24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派遣经验丰富的专业安装团队。安装前对现场进行详细勘察，制定精准安装方案，与采购人充分沟通协调施工进度与安全事项。安装过程中严格按照</w:t>
      </w:r>
      <w:r>
        <w:rPr>
          <w:rFonts w:hint="eastAsia" w:ascii="宋体" w:hAnsi="宋体" w:cs="宋体"/>
          <w:lang w:val="en-US" w:eastAsia="zh-CN"/>
        </w:rPr>
        <w:t>规定</w:t>
      </w:r>
      <w:r>
        <w:rPr>
          <w:rFonts w:hint="eastAsia" w:ascii="宋体" w:hAnsi="宋体" w:eastAsia="宋体" w:cs="宋体"/>
          <w:lang w:val="en-US" w:eastAsia="zh-CN"/>
        </w:rPr>
        <w:t>要求与工艺标准操作，运用专业安装工具与设备，安装完成后进行全面调试，包括电气系统、机械传动系统等，确保展示设施运行顺畅、各项功能正常。</w:t>
      </w:r>
    </w:p>
    <w:p w14:paraId="41A88711">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lang w:val="en-US" w:eastAsia="zh-CN"/>
        </w:rPr>
      </w:pPr>
      <w:bookmarkStart w:id="21" w:name="_Toc13278"/>
      <w:r>
        <w:rPr>
          <w:rFonts w:hint="eastAsia" w:ascii="宋体" w:hAnsi="宋体" w:eastAsia="宋体" w:cs="宋体"/>
          <w:b/>
          <w:bCs/>
          <w:lang w:val="en-US" w:eastAsia="zh-CN"/>
        </w:rPr>
        <w:t>七、定制服务</w:t>
      </w:r>
      <w:bookmarkEnd w:id="21"/>
    </w:p>
    <w:p w14:paraId="7D9E0E7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投标人需提供全方位定制化解决方案，根据采购人的场地空间、品牌形象、展示主题等特殊要求量身打造展示设施。无论是异形结构还是特殊材质需求，都能精准实现，满足采购人展示需求。并与采购人深度沟通，使采购人从概念到细节敲定全程参与。</w:t>
      </w:r>
    </w:p>
    <w:p w14:paraId="14906950">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lang w:val="en-US" w:eastAsia="zh-CN"/>
        </w:rPr>
      </w:pPr>
      <w:bookmarkStart w:id="22" w:name="_Toc29239"/>
      <w:r>
        <w:rPr>
          <w:rFonts w:hint="eastAsia" w:ascii="宋体" w:hAnsi="宋体" w:eastAsia="宋体" w:cs="宋体"/>
          <w:b/>
          <w:bCs/>
          <w:lang w:val="en-US" w:eastAsia="zh-CN"/>
        </w:rPr>
        <w:t>八、安全保障</w:t>
      </w:r>
      <w:bookmarkEnd w:id="22"/>
    </w:p>
    <w:p w14:paraId="68B8C3C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项目实施过程中，投标人需严格遵守国家安全生产法规与标准，制定完善的安全管理制度与应急预案。对施工人员进行全面的安全培训，配备必要的安全防护装备，确保施工过程零事故。针对展示设施的安装与运行，进行安全风险评估，设置相应的安全警示标识与防护设施，保障参观者的人身安全与参观体验，为整个项目营造安全可靠的环境。</w:t>
      </w:r>
    </w:p>
    <w:p w14:paraId="4FEF0070">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lang w:val="en-US" w:eastAsia="zh-CN"/>
        </w:rPr>
      </w:pPr>
      <w:bookmarkStart w:id="23" w:name="_Toc3503"/>
      <w:r>
        <w:rPr>
          <w:rFonts w:hint="eastAsia" w:ascii="宋体" w:hAnsi="宋体" w:eastAsia="宋体" w:cs="宋体"/>
          <w:b/>
          <w:bCs/>
          <w:lang w:val="en-US" w:eastAsia="zh-CN"/>
        </w:rPr>
        <w:t>九、环保要求</w:t>
      </w:r>
      <w:bookmarkEnd w:id="23"/>
    </w:p>
    <w:p w14:paraId="6D3CF6F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秉持绿色环保理念，供应商需在原材料采购环节优先选用环保型材料，确保产品符合国家相关环保标准。在制作加工过程中，需采用环保型生产工艺，减少废气、废水、废渣的排放。对包装材料进行合理回收利用，降低对环境的影响。通过全过程的环保措施，打造绿色环保的廉政文化展示空间，践行企业社会责任，为环境保护贡献力量。</w:t>
      </w:r>
    </w:p>
    <w:p w14:paraId="525DBC0D">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lang w:val="en-US" w:eastAsia="zh-CN"/>
        </w:rPr>
      </w:pPr>
      <w:bookmarkStart w:id="24" w:name="_Toc26353"/>
      <w:r>
        <w:rPr>
          <w:rFonts w:hint="eastAsia" w:ascii="宋体" w:hAnsi="宋体" w:eastAsia="宋体" w:cs="宋体"/>
          <w:b/>
          <w:bCs/>
          <w:lang w:val="en-US" w:eastAsia="zh-CN"/>
        </w:rPr>
        <w:t>十、项目验收</w:t>
      </w:r>
      <w:bookmarkEnd w:id="24"/>
    </w:p>
    <w:p w14:paraId="60D2B25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项目竣工后，按照验收标准与流程进行验收。验收内容包括展示设施的质量、安装工艺、功能实现、整体效果等方面。由采购人组织相关专家与人员进行验收，中标人积极配合提供验收所需的技术资料与文件。对于验收过程中发现的问题，及时进行整改完善，直至项目通过验收，确保交付给采购人一个符合预期、品质卓越的廉政文化展示项目成果。</w:t>
      </w:r>
    </w:p>
    <w:p w14:paraId="783C161C">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lang w:val="en-US" w:eastAsia="zh-CN"/>
        </w:rPr>
      </w:pPr>
      <w:bookmarkStart w:id="25" w:name="_Toc2716"/>
      <w:r>
        <w:rPr>
          <w:rFonts w:hint="eastAsia" w:ascii="宋体" w:hAnsi="宋体" w:eastAsia="宋体" w:cs="宋体"/>
          <w:b/>
          <w:bCs/>
          <w:lang w:val="en-US" w:eastAsia="zh-CN"/>
        </w:rPr>
        <w:t>十一、售后服务及要求</w:t>
      </w:r>
      <w:bookmarkEnd w:id="25"/>
    </w:p>
    <w:p w14:paraId="31092B05">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lang w:eastAsia="zh-CN"/>
        </w:rPr>
      </w:pPr>
      <w:r>
        <w:rPr>
          <w:rFonts w:hint="eastAsia" w:ascii="宋体" w:hAnsi="宋体" w:eastAsia="宋体" w:cs="宋体"/>
        </w:rPr>
        <w:t>▲1、</w:t>
      </w:r>
      <w:r>
        <w:rPr>
          <w:rFonts w:hint="eastAsia" w:ascii="宋体" w:hAnsi="宋体" w:eastAsia="宋体" w:cs="宋体"/>
          <w:lang w:eastAsia="zh-CN"/>
        </w:rPr>
        <w:t>投标人</w:t>
      </w:r>
      <w:r>
        <w:rPr>
          <w:rFonts w:hint="eastAsia" w:ascii="宋体" w:hAnsi="宋体" w:eastAsia="宋体" w:cs="宋体"/>
        </w:rPr>
        <w:t>应按</w:t>
      </w:r>
      <w:r>
        <w:rPr>
          <w:rFonts w:hint="eastAsia" w:ascii="宋体" w:hAnsi="宋体" w:eastAsia="宋体" w:cs="宋体"/>
          <w:lang w:eastAsia="zh-CN"/>
        </w:rPr>
        <w:t>采购人</w:t>
      </w:r>
      <w:r>
        <w:rPr>
          <w:rFonts w:hint="eastAsia" w:ascii="宋体" w:hAnsi="宋体" w:eastAsia="宋体" w:cs="宋体"/>
        </w:rPr>
        <w:t>的要求将所需货物免费送到</w:t>
      </w:r>
      <w:r>
        <w:rPr>
          <w:rFonts w:hint="eastAsia" w:ascii="宋体" w:hAnsi="宋体" w:eastAsia="宋体" w:cs="宋体"/>
          <w:lang w:eastAsia="zh-CN"/>
        </w:rPr>
        <w:t>采购人</w:t>
      </w:r>
      <w:r>
        <w:rPr>
          <w:rFonts w:hint="eastAsia" w:ascii="宋体" w:hAnsi="宋体" w:eastAsia="宋体" w:cs="宋体"/>
        </w:rPr>
        <w:t>指定的地点</w:t>
      </w:r>
      <w:r>
        <w:rPr>
          <w:rFonts w:hint="eastAsia" w:ascii="宋体" w:hAnsi="宋体" w:eastAsia="宋体" w:cs="宋体"/>
          <w:lang w:eastAsia="zh-CN"/>
        </w:rPr>
        <w:t>，</w:t>
      </w:r>
      <w:r>
        <w:rPr>
          <w:rFonts w:hint="eastAsia" w:ascii="宋体" w:hAnsi="宋体" w:eastAsia="宋体" w:cs="宋体"/>
        </w:rPr>
        <w:t>按双方约定的交付期限交付。本项目要求不低于</w:t>
      </w:r>
      <w:r>
        <w:rPr>
          <w:rFonts w:hint="eastAsia" w:ascii="宋体" w:hAnsi="宋体" w:eastAsia="宋体" w:cs="宋体"/>
          <w:lang w:val="en-US" w:eastAsia="zh-CN"/>
        </w:rPr>
        <w:t>1</w:t>
      </w:r>
      <w:r>
        <w:rPr>
          <w:rFonts w:hint="eastAsia" w:ascii="宋体" w:hAnsi="宋体" w:eastAsia="宋体" w:cs="宋体"/>
        </w:rPr>
        <w:t>年</w:t>
      </w:r>
      <w:r>
        <w:rPr>
          <w:rFonts w:hint="eastAsia" w:ascii="宋体" w:hAnsi="宋体" w:eastAsia="宋体" w:cs="宋体"/>
          <w:lang w:val="en-US" w:eastAsia="zh-CN"/>
        </w:rPr>
        <w:t>的</w:t>
      </w:r>
      <w:r>
        <w:rPr>
          <w:rFonts w:hint="eastAsia" w:ascii="宋体" w:hAnsi="宋体" w:eastAsia="宋体" w:cs="宋体"/>
        </w:rPr>
        <w:t>整体质保</w:t>
      </w:r>
      <w:r>
        <w:rPr>
          <w:rFonts w:hint="eastAsia" w:ascii="宋体" w:hAnsi="宋体" w:eastAsia="宋体" w:cs="宋体"/>
          <w:lang w:val="en-US" w:eastAsia="zh-CN"/>
        </w:rPr>
        <w:t>期</w:t>
      </w:r>
      <w:r>
        <w:rPr>
          <w:rFonts w:hint="eastAsia" w:ascii="宋体" w:hAnsi="宋体" w:eastAsia="宋体" w:cs="宋体"/>
        </w:rPr>
        <w:t>（项目终验通过之日起计算）</w:t>
      </w:r>
      <w:r>
        <w:rPr>
          <w:rFonts w:hint="eastAsia" w:ascii="宋体" w:hAnsi="宋体" w:eastAsia="宋体" w:cs="宋体"/>
          <w:lang w:eastAsia="zh-CN"/>
        </w:rPr>
        <w:t>。</w:t>
      </w:r>
      <w:r>
        <w:rPr>
          <w:rFonts w:hint="eastAsia" w:ascii="宋体" w:hAnsi="宋体" w:eastAsia="宋体" w:cs="宋体"/>
          <w:lang w:val="en-US" w:eastAsia="zh-CN"/>
        </w:rPr>
        <w:t>质保期内，对因产品质量问题或安装工艺缺陷导致的损坏或故障，免费维修或更换。定期回访检查展示设施的运行状况，及时处理潜在问题，确保整个展示空间始终保持良好的运行状态和展示效果。</w:t>
      </w:r>
    </w:p>
    <w:p w14:paraId="2C4ED0C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2、需要安装的产品，</w:t>
      </w:r>
      <w:r>
        <w:rPr>
          <w:rFonts w:hint="eastAsia" w:ascii="宋体" w:hAnsi="宋体" w:eastAsia="宋体" w:cs="宋体"/>
          <w:lang w:eastAsia="zh-CN"/>
        </w:rPr>
        <w:t>投标人</w:t>
      </w:r>
      <w:r>
        <w:rPr>
          <w:rFonts w:hint="eastAsia" w:ascii="宋体" w:hAnsi="宋体" w:eastAsia="宋体" w:cs="宋体"/>
        </w:rPr>
        <w:t>须派有经验的技术人员，自备安装工具到现场进行安装，直到货物正常使用，其费用由</w:t>
      </w:r>
      <w:r>
        <w:rPr>
          <w:rFonts w:hint="eastAsia" w:ascii="宋体" w:hAnsi="宋体" w:eastAsia="宋体" w:cs="宋体"/>
          <w:lang w:eastAsia="zh-CN"/>
        </w:rPr>
        <w:t>投标人</w:t>
      </w:r>
      <w:r>
        <w:rPr>
          <w:rFonts w:hint="eastAsia" w:ascii="宋体" w:hAnsi="宋体" w:eastAsia="宋体" w:cs="宋体"/>
          <w:lang w:val="en-US" w:eastAsia="zh-CN"/>
        </w:rPr>
        <w:t>承担</w:t>
      </w:r>
      <w:r>
        <w:rPr>
          <w:rFonts w:hint="eastAsia" w:ascii="宋体" w:hAnsi="宋体" w:eastAsia="宋体" w:cs="宋体"/>
        </w:rPr>
        <w:t>。产品安装完毕后，由</w:t>
      </w:r>
      <w:r>
        <w:rPr>
          <w:rFonts w:hint="eastAsia" w:ascii="宋体" w:hAnsi="宋体" w:eastAsia="宋体" w:cs="宋体"/>
          <w:lang w:eastAsia="zh-CN"/>
        </w:rPr>
        <w:t>采购人</w:t>
      </w:r>
      <w:r>
        <w:rPr>
          <w:rFonts w:hint="eastAsia" w:ascii="宋体" w:hAnsi="宋体" w:eastAsia="宋体" w:cs="宋体"/>
          <w:lang w:val="en-US" w:eastAsia="zh-CN"/>
        </w:rPr>
        <w:t>组织项目</w:t>
      </w:r>
      <w:r>
        <w:rPr>
          <w:rFonts w:hint="eastAsia" w:ascii="宋体" w:hAnsi="宋体" w:eastAsia="宋体" w:cs="宋体"/>
        </w:rPr>
        <w:t>验收，</w:t>
      </w:r>
      <w:r>
        <w:rPr>
          <w:rFonts w:hint="eastAsia" w:ascii="宋体" w:hAnsi="宋体" w:eastAsia="宋体" w:cs="宋体"/>
          <w:lang w:val="en-US" w:eastAsia="zh-CN"/>
        </w:rPr>
        <w:t>验收合格后</w:t>
      </w:r>
      <w:r>
        <w:rPr>
          <w:rFonts w:hint="eastAsia" w:ascii="宋体" w:hAnsi="宋体" w:eastAsia="宋体" w:cs="宋体"/>
          <w:lang w:eastAsia="zh-CN"/>
        </w:rPr>
        <w:t>采购人</w:t>
      </w:r>
      <w:r>
        <w:rPr>
          <w:rFonts w:hint="eastAsia" w:ascii="宋体" w:hAnsi="宋体" w:eastAsia="宋体" w:cs="宋体"/>
        </w:rPr>
        <w:t>向</w:t>
      </w:r>
      <w:r>
        <w:rPr>
          <w:rFonts w:hint="eastAsia" w:ascii="宋体" w:hAnsi="宋体" w:eastAsia="宋体" w:cs="宋体"/>
          <w:lang w:eastAsia="zh-CN"/>
        </w:rPr>
        <w:t>投标人</w:t>
      </w:r>
      <w:r>
        <w:rPr>
          <w:rFonts w:hint="eastAsia" w:ascii="宋体" w:hAnsi="宋体" w:eastAsia="宋体" w:cs="宋体"/>
        </w:rPr>
        <w:t>签具验收书。在投标货物质保期内，</w:t>
      </w:r>
      <w:r>
        <w:rPr>
          <w:rFonts w:hint="eastAsia" w:ascii="宋体" w:hAnsi="宋体" w:eastAsia="宋体" w:cs="宋体"/>
          <w:lang w:eastAsia="zh-CN"/>
        </w:rPr>
        <w:t>投标人</w:t>
      </w:r>
      <w:r>
        <w:rPr>
          <w:rFonts w:hint="eastAsia" w:ascii="宋体" w:hAnsi="宋体" w:eastAsia="宋体" w:cs="宋体"/>
        </w:rPr>
        <w:t>应</w:t>
      </w:r>
      <w:r>
        <w:rPr>
          <w:rFonts w:hint="eastAsia" w:ascii="宋体" w:hAnsi="宋体" w:eastAsia="宋体" w:cs="宋体"/>
          <w:lang w:val="en-US" w:eastAsia="zh-CN"/>
        </w:rPr>
        <w:t>提供</w:t>
      </w:r>
      <w:r>
        <w:rPr>
          <w:rFonts w:hint="eastAsia" w:ascii="宋体" w:hAnsi="宋体" w:eastAsia="宋体" w:cs="宋体"/>
        </w:rPr>
        <w:t>7*24小时的现场质保和技术支持服务，对故障能即时响应，1小时以内到现场，4小时以内解决问题；不能当场修复的，必须采取提供备品、备件等措施，以保证采购人的正常使用。</w:t>
      </w:r>
    </w:p>
    <w:p w14:paraId="5328BDF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免费处理售后期内发现的施工责任问题，按照建设及维护标准要求完成故障修复，并且不收取任何额外费用。具体以投标文件中的售后服务承诺提供售后服务。如果逾期未作出响应，投标人应承担由于故障所造成的全部损失。</w:t>
      </w:r>
    </w:p>
    <w:p w14:paraId="120B957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4、当投标货物发生非人为因素严重故障时，投标人应当免费在七日内将补充或者更换的货物运抵发生故障的货物所在地，由此产生的一切相关费用由投标人负担。</w:t>
      </w:r>
    </w:p>
    <w:p w14:paraId="35BE166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5、在质保期内，投标人有责任解决所提供的投标设备的任何问题，在质保期满后，当需要时，投标人仍须对因投标设备本身的固有缺陷和瑕疵承担相应责任。</w:t>
      </w:r>
    </w:p>
    <w:p w14:paraId="10A37BD1">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lang w:val="en-US" w:eastAsia="zh-CN"/>
        </w:rPr>
      </w:pPr>
      <w:bookmarkStart w:id="26" w:name="_Toc14836"/>
      <w:r>
        <w:rPr>
          <w:rFonts w:hint="eastAsia" w:ascii="宋体" w:hAnsi="宋体" w:eastAsia="宋体" w:cs="宋体"/>
          <w:b/>
          <w:bCs/>
          <w:lang w:val="en-US" w:eastAsia="zh-CN"/>
        </w:rPr>
        <w:t>十二、</w:t>
      </w:r>
      <w:r>
        <w:rPr>
          <w:rFonts w:hint="eastAsia" w:ascii="宋体" w:hAnsi="宋体" w:eastAsia="宋体" w:cs="宋体"/>
          <w:b/>
          <w:bCs/>
        </w:rPr>
        <w:t>工期及交货地点要求</w:t>
      </w:r>
      <w:bookmarkEnd w:id="26"/>
    </w:p>
    <w:p w14:paraId="5060D4C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lang w:val="en-US" w:eastAsia="zh-CN"/>
        </w:rPr>
        <w:t>1、合同签订后2个月内完成项目的采购安装，并通过项目的初验</w:t>
      </w:r>
      <w:r>
        <w:rPr>
          <w:rFonts w:hint="eastAsia" w:ascii="宋体" w:hAnsi="宋体" w:eastAsia="宋体" w:cs="宋体"/>
        </w:rPr>
        <w:t>；初验通过后试运行，试运行1个月后无任何问题进行终验。</w:t>
      </w:r>
    </w:p>
    <w:p w14:paraId="774BCC8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rPr>
        <w:t>2、交货地点要求:</w:t>
      </w:r>
      <w:r>
        <w:rPr>
          <w:rFonts w:hint="eastAsia" w:ascii="宋体" w:hAnsi="宋体" w:eastAsia="宋体" w:cs="宋体"/>
          <w:lang w:val="en-US" w:eastAsia="zh-CN"/>
        </w:rPr>
        <w:t>采购人</w:t>
      </w:r>
      <w:r>
        <w:rPr>
          <w:rFonts w:hint="eastAsia" w:ascii="宋体" w:hAnsi="宋体" w:eastAsia="宋体" w:cs="宋体"/>
        </w:rPr>
        <w:t>指定地点</w:t>
      </w:r>
      <w:r>
        <w:rPr>
          <w:rFonts w:hint="eastAsia" w:ascii="宋体" w:hAnsi="宋体" w:eastAsia="宋体" w:cs="宋体"/>
          <w:lang w:eastAsia="zh-CN"/>
        </w:rPr>
        <w:t>。</w:t>
      </w:r>
    </w:p>
    <w:p w14:paraId="59E3B8FA">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lang w:val="en-US" w:eastAsia="zh-CN"/>
        </w:rPr>
      </w:pPr>
      <w:bookmarkStart w:id="27" w:name="_Toc8914"/>
      <w:r>
        <w:rPr>
          <w:rFonts w:hint="eastAsia" w:ascii="宋体" w:hAnsi="宋体" w:eastAsia="宋体" w:cs="宋体"/>
          <w:b/>
          <w:bCs/>
          <w:lang w:val="en-US" w:eastAsia="zh-CN"/>
        </w:rPr>
        <w:t>十三、付款方式</w:t>
      </w:r>
      <w:bookmarkEnd w:id="27"/>
    </w:p>
    <w:p w14:paraId="295C05C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1、合同签订完成后，采购人收到中标人正规发票7个工作日内，支付合同总额的40%的预付款。</w:t>
      </w:r>
    </w:p>
    <w:p w14:paraId="4301E9B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2、项目建设完成并通过项目初验后，采购人收到中标人正规发票7个工作日内，支付合同总额的30%。</w:t>
      </w:r>
    </w:p>
    <w:p w14:paraId="03AFBC6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3、项目完成试运行并通过项目终验后，采购人收到中标人正规发票7个工作日内，支付合同总额的30%（最终决算按照第三方审计为准）。</w:t>
      </w:r>
    </w:p>
    <w:p w14:paraId="2933A059">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rPr>
      </w:pPr>
      <w:bookmarkStart w:id="28" w:name="_Toc29111"/>
      <w:r>
        <w:rPr>
          <w:rFonts w:hint="eastAsia" w:ascii="宋体" w:hAnsi="宋体" w:eastAsia="宋体" w:cs="宋体"/>
          <w:b/>
          <w:bCs/>
          <w:lang w:val="en-US" w:eastAsia="zh-CN"/>
        </w:rPr>
        <w:t>十四</w:t>
      </w:r>
      <w:r>
        <w:rPr>
          <w:rFonts w:hint="eastAsia" w:ascii="宋体" w:hAnsi="宋体" w:eastAsia="宋体" w:cs="宋体"/>
          <w:b/>
          <w:bCs/>
        </w:rPr>
        <w:t>、其他</w:t>
      </w:r>
      <w:bookmarkEnd w:id="28"/>
    </w:p>
    <w:p w14:paraId="563BBF9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1、投标人应对招标、实施、操作等过程中采取保密和安全措施，因投标人造成的不良影响和损失，投标人应承担相应责任。</w:t>
      </w:r>
    </w:p>
    <w:p w14:paraId="0CCE5A5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2、采购人认为投标人提供的产品和服务不能满足需求，可否决、终止本次采购。</w:t>
      </w:r>
    </w:p>
    <w:p w14:paraId="59259D9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Cs/>
          <w:szCs w:val="21"/>
          <w:lang w:val="en-US" w:eastAsia="zh-CN"/>
        </w:rPr>
      </w:pPr>
      <w:r>
        <w:rPr>
          <w:rFonts w:hint="eastAsia" w:ascii="宋体" w:hAnsi="宋体" w:cs="宋体"/>
          <w:lang w:val="en-US" w:eastAsia="zh-CN"/>
        </w:rPr>
        <w:t>3、本项目因使用环境为涉密场所，投标人如前期现场踏勘须联系采购人，并按采购人的管理规定进行现场踏勘。</w:t>
      </w:r>
    </w:p>
    <w:p w14:paraId="52460165">
      <w:pPr>
        <w:jc w:val="center"/>
        <w:outlineLvl w:val="0"/>
        <w:rPr>
          <w:rFonts w:ascii="宋体" w:hAnsi="宋体" w:cs="宋体"/>
          <w:b/>
          <w:sz w:val="28"/>
          <w:szCs w:val="28"/>
        </w:rPr>
      </w:pPr>
      <w:r>
        <w:rPr>
          <w:rFonts w:hint="eastAsia" w:ascii="宋体" w:hAnsi="宋体" w:cs="宋体"/>
          <w:b/>
          <w:sz w:val="28"/>
          <w:szCs w:val="28"/>
        </w:rPr>
        <w:br w:type="page"/>
      </w:r>
      <w:bookmarkStart w:id="29" w:name="_Toc24059"/>
      <w:r>
        <w:rPr>
          <w:rFonts w:hint="eastAsia" w:ascii="宋体" w:hAnsi="宋体" w:cs="宋体"/>
          <w:b/>
          <w:sz w:val="28"/>
          <w:szCs w:val="28"/>
        </w:rPr>
        <w:t>第三章  投标人须知</w:t>
      </w:r>
      <w:bookmarkEnd w:id="29"/>
    </w:p>
    <w:p w14:paraId="19E4E23E">
      <w:pPr>
        <w:snapToGrid w:val="0"/>
        <w:spacing w:line="276" w:lineRule="auto"/>
        <w:jc w:val="center"/>
        <w:outlineLvl w:val="1"/>
        <w:rPr>
          <w:rFonts w:ascii="宋体" w:hAnsi="宋体" w:cs="宋体"/>
          <w:b/>
          <w:szCs w:val="21"/>
        </w:rPr>
      </w:pPr>
      <w:bookmarkStart w:id="30" w:name="_Toc28163"/>
      <w:r>
        <w:rPr>
          <w:rFonts w:hint="eastAsia" w:ascii="宋体" w:hAnsi="宋体" w:cs="宋体"/>
          <w:b/>
          <w:szCs w:val="21"/>
        </w:rPr>
        <w:t>前附表</w:t>
      </w:r>
      <w:bookmarkEnd w:id="30"/>
    </w:p>
    <w:tbl>
      <w:tblPr>
        <w:tblStyle w:val="31"/>
        <w:tblW w:w="10081" w:type="dxa"/>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47"/>
        <w:gridCol w:w="1560"/>
        <w:gridCol w:w="7874"/>
      </w:tblGrid>
      <w:tr w14:paraId="1526C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E0E0E0"/>
            <w:noWrap/>
            <w:vAlign w:val="center"/>
          </w:tcPr>
          <w:p w14:paraId="15CE58A0">
            <w:pPr>
              <w:spacing w:line="300" w:lineRule="auto"/>
              <w:jc w:val="center"/>
              <w:rPr>
                <w:rFonts w:ascii="宋体" w:hAnsi="宋体" w:cs="宋体"/>
                <w:b/>
                <w:szCs w:val="21"/>
              </w:rPr>
            </w:pPr>
            <w:r>
              <w:rPr>
                <w:rFonts w:hint="eastAsia" w:ascii="宋体" w:hAnsi="宋体" w:cs="宋体"/>
                <w:b/>
                <w:szCs w:val="21"/>
              </w:rPr>
              <w:t>序号</w:t>
            </w:r>
          </w:p>
        </w:tc>
        <w:tc>
          <w:tcPr>
            <w:tcW w:w="9413" w:type="dxa"/>
            <w:gridSpan w:val="2"/>
            <w:shd w:val="clear" w:color="auto" w:fill="E0E0E0"/>
            <w:noWrap/>
            <w:vAlign w:val="center"/>
          </w:tcPr>
          <w:p w14:paraId="2489A7DA">
            <w:pPr>
              <w:spacing w:line="300" w:lineRule="auto"/>
              <w:jc w:val="center"/>
              <w:rPr>
                <w:rFonts w:ascii="宋体" w:hAnsi="宋体" w:cs="宋体"/>
                <w:b/>
                <w:szCs w:val="21"/>
              </w:rPr>
            </w:pPr>
            <w:r>
              <w:rPr>
                <w:rFonts w:hint="eastAsia" w:ascii="宋体" w:hAnsi="宋体" w:cs="宋体"/>
                <w:b/>
                <w:szCs w:val="21"/>
              </w:rPr>
              <w:t>内容说明及要求</w:t>
            </w:r>
          </w:p>
        </w:tc>
      </w:tr>
      <w:tr w14:paraId="547C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E0E0E0"/>
            <w:noWrap/>
            <w:vAlign w:val="center"/>
          </w:tcPr>
          <w:p w14:paraId="7142187F">
            <w:pPr>
              <w:spacing w:line="300" w:lineRule="auto"/>
              <w:jc w:val="center"/>
              <w:rPr>
                <w:rFonts w:ascii="宋体" w:hAnsi="宋体" w:cs="宋体"/>
                <w:b/>
                <w:szCs w:val="21"/>
              </w:rPr>
            </w:pPr>
            <w:r>
              <w:rPr>
                <w:rFonts w:hint="eastAsia" w:ascii="宋体" w:hAnsi="宋体" w:cs="宋体"/>
                <w:b/>
                <w:szCs w:val="21"/>
              </w:rPr>
              <w:t>1</w:t>
            </w:r>
          </w:p>
        </w:tc>
        <w:tc>
          <w:tcPr>
            <w:tcW w:w="1546" w:type="dxa"/>
            <w:shd w:val="clear" w:color="auto" w:fill="E0E0E0"/>
            <w:noWrap/>
            <w:vAlign w:val="center"/>
          </w:tcPr>
          <w:p w14:paraId="74CA58CF">
            <w:pPr>
              <w:spacing w:line="300" w:lineRule="auto"/>
              <w:jc w:val="center"/>
              <w:rPr>
                <w:rFonts w:ascii="宋体" w:hAnsi="宋体" w:cs="宋体"/>
                <w:b/>
                <w:szCs w:val="21"/>
              </w:rPr>
            </w:pPr>
            <w:r>
              <w:rPr>
                <w:rFonts w:hint="eastAsia" w:ascii="宋体" w:hAnsi="宋体" w:cs="宋体"/>
                <w:b/>
                <w:szCs w:val="21"/>
              </w:rPr>
              <w:t>项目名称</w:t>
            </w:r>
          </w:p>
        </w:tc>
        <w:tc>
          <w:tcPr>
            <w:tcW w:w="7853" w:type="dxa"/>
            <w:shd w:val="clear" w:color="auto" w:fill="FFFFFF"/>
            <w:noWrap/>
            <w:vAlign w:val="center"/>
          </w:tcPr>
          <w:p w14:paraId="1620C5D7">
            <w:pPr>
              <w:spacing w:line="300" w:lineRule="auto"/>
              <w:rPr>
                <w:rFonts w:hint="eastAsia" w:ascii="宋体" w:hAnsi="宋体" w:eastAsia="宋体" w:cs="宋体"/>
                <w:szCs w:val="21"/>
                <w:lang w:eastAsia="zh-CN"/>
              </w:rPr>
            </w:pPr>
            <w:r>
              <w:rPr>
                <w:rFonts w:hint="eastAsia" w:ascii="宋体" w:hAnsi="宋体" w:eastAsia="宋体" w:cs="宋体"/>
                <w:szCs w:val="21"/>
                <w:lang w:eastAsia="zh-CN"/>
              </w:rPr>
              <w:t>定海区看守所综合用房设施提升改造廉政教育基地展厅文化打造建设项目</w:t>
            </w:r>
          </w:p>
        </w:tc>
      </w:tr>
      <w:tr w14:paraId="2A1A3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E0E0E0"/>
            <w:noWrap/>
            <w:vAlign w:val="center"/>
          </w:tcPr>
          <w:p w14:paraId="2E4B7388">
            <w:pPr>
              <w:spacing w:line="300" w:lineRule="auto"/>
              <w:jc w:val="center"/>
              <w:rPr>
                <w:rFonts w:ascii="宋体" w:hAnsi="宋体" w:cs="宋体"/>
                <w:b/>
                <w:szCs w:val="21"/>
              </w:rPr>
            </w:pPr>
            <w:r>
              <w:rPr>
                <w:rFonts w:hint="eastAsia" w:ascii="宋体" w:hAnsi="宋体" w:cs="宋体"/>
                <w:b/>
                <w:szCs w:val="21"/>
              </w:rPr>
              <w:t>2</w:t>
            </w:r>
          </w:p>
        </w:tc>
        <w:tc>
          <w:tcPr>
            <w:tcW w:w="1546" w:type="dxa"/>
            <w:shd w:val="clear" w:color="auto" w:fill="E0E0E0"/>
            <w:noWrap/>
            <w:vAlign w:val="center"/>
          </w:tcPr>
          <w:p w14:paraId="09EA6CF7">
            <w:pPr>
              <w:spacing w:line="300" w:lineRule="auto"/>
              <w:jc w:val="center"/>
              <w:rPr>
                <w:rFonts w:ascii="宋体" w:hAnsi="宋体" w:cs="宋体"/>
                <w:b/>
                <w:szCs w:val="21"/>
              </w:rPr>
            </w:pPr>
            <w:r>
              <w:rPr>
                <w:rFonts w:hint="eastAsia" w:ascii="宋体" w:hAnsi="宋体" w:cs="宋体"/>
                <w:b/>
                <w:szCs w:val="21"/>
              </w:rPr>
              <w:t>采购人名称</w:t>
            </w:r>
          </w:p>
        </w:tc>
        <w:tc>
          <w:tcPr>
            <w:tcW w:w="7853" w:type="dxa"/>
            <w:shd w:val="clear" w:color="auto" w:fill="FFFFFF"/>
            <w:noWrap/>
            <w:vAlign w:val="center"/>
          </w:tcPr>
          <w:p w14:paraId="77885414">
            <w:pPr>
              <w:spacing w:line="300" w:lineRule="auto"/>
              <w:rPr>
                <w:rFonts w:hint="eastAsia" w:ascii="宋体" w:hAnsi="宋体" w:eastAsia="宋体" w:cs="宋体"/>
                <w:szCs w:val="21"/>
                <w:lang w:eastAsia="zh-CN"/>
              </w:rPr>
            </w:pPr>
            <w:r>
              <w:rPr>
                <w:rFonts w:hint="eastAsia" w:ascii="宋体" w:hAnsi="宋体" w:cs="宋体"/>
                <w:szCs w:val="21"/>
                <w:lang w:eastAsia="zh-CN"/>
              </w:rPr>
              <w:t>舟山市公安局定海区分局</w:t>
            </w:r>
          </w:p>
        </w:tc>
      </w:tr>
      <w:tr w14:paraId="38539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E0E0E0"/>
            <w:noWrap/>
            <w:vAlign w:val="center"/>
          </w:tcPr>
          <w:p w14:paraId="6CE75482">
            <w:pPr>
              <w:spacing w:line="300" w:lineRule="auto"/>
              <w:jc w:val="center"/>
              <w:rPr>
                <w:rFonts w:ascii="宋体" w:hAnsi="宋体" w:cs="宋体"/>
                <w:b/>
                <w:szCs w:val="21"/>
              </w:rPr>
            </w:pPr>
            <w:r>
              <w:rPr>
                <w:rFonts w:hint="eastAsia" w:ascii="宋体" w:hAnsi="宋体" w:cs="宋体"/>
                <w:b/>
                <w:szCs w:val="21"/>
              </w:rPr>
              <w:t>3</w:t>
            </w:r>
          </w:p>
        </w:tc>
        <w:tc>
          <w:tcPr>
            <w:tcW w:w="1546" w:type="dxa"/>
            <w:shd w:val="clear" w:color="auto" w:fill="E0E0E0"/>
            <w:noWrap/>
            <w:vAlign w:val="center"/>
          </w:tcPr>
          <w:p w14:paraId="32E91BB0">
            <w:pPr>
              <w:spacing w:line="300" w:lineRule="auto"/>
              <w:jc w:val="center"/>
              <w:rPr>
                <w:rFonts w:ascii="宋体" w:hAnsi="宋体" w:cs="宋体"/>
                <w:b/>
                <w:szCs w:val="21"/>
              </w:rPr>
            </w:pPr>
            <w:r>
              <w:rPr>
                <w:rFonts w:hint="eastAsia" w:ascii="宋体" w:hAnsi="宋体" w:cs="宋体"/>
                <w:b/>
                <w:szCs w:val="21"/>
              </w:rPr>
              <w:t>预算金额</w:t>
            </w:r>
          </w:p>
        </w:tc>
        <w:tc>
          <w:tcPr>
            <w:tcW w:w="7853" w:type="dxa"/>
            <w:shd w:val="clear" w:color="auto" w:fill="FFFFFF"/>
            <w:noWrap/>
            <w:vAlign w:val="center"/>
          </w:tcPr>
          <w:p w14:paraId="3A2A1317">
            <w:pPr>
              <w:spacing w:line="300" w:lineRule="auto"/>
              <w:rPr>
                <w:rFonts w:ascii="宋体" w:hAnsi="宋体" w:cs="宋体"/>
                <w:szCs w:val="21"/>
              </w:rPr>
            </w:pPr>
            <w:r>
              <w:rPr>
                <w:rFonts w:hint="eastAsia" w:ascii="宋体" w:hAnsi="宋体" w:cs="宋体"/>
                <w:szCs w:val="21"/>
                <w:lang w:val="en-US" w:eastAsia="zh-CN"/>
              </w:rPr>
              <w:t>854276.98元</w:t>
            </w:r>
          </w:p>
        </w:tc>
      </w:tr>
      <w:tr w14:paraId="379B4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E0E0E0"/>
            <w:noWrap/>
            <w:vAlign w:val="center"/>
          </w:tcPr>
          <w:p w14:paraId="4EAA2330">
            <w:pPr>
              <w:spacing w:line="300" w:lineRule="auto"/>
              <w:jc w:val="center"/>
              <w:rPr>
                <w:rFonts w:ascii="宋体" w:hAnsi="宋体" w:cs="宋体"/>
                <w:b/>
                <w:szCs w:val="21"/>
              </w:rPr>
            </w:pPr>
            <w:r>
              <w:rPr>
                <w:rFonts w:hint="eastAsia" w:ascii="宋体" w:hAnsi="宋体" w:cs="宋体"/>
                <w:b/>
                <w:szCs w:val="21"/>
              </w:rPr>
              <w:t>4</w:t>
            </w:r>
          </w:p>
        </w:tc>
        <w:tc>
          <w:tcPr>
            <w:tcW w:w="1546" w:type="dxa"/>
            <w:shd w:val="clear" w:color="auto" w:fill="E0E0E0"/>
            <w:noWrap/>
            <w:vAlign w:val="center"/>
          </w:tcPr>
          <w:p w14:paraId="786376E8">
            <w:pPr>
              <w:spacing w:line="300" w:lineRule="auto"/>
              <w:jc w:val="center"/>
              <w:rPr>
                <w:rFonts w:ascii="宋体" w:hAnsi="宋体" w:cs="宋体"/>
                <w:b/>
                <w:szCs w:val="21"/>
              </w:rPr>
            </w:pPr>
            <w:r>
              <w:rPr>
                <w:rFonts w:hint="eastAsia" w:ascii="宋体" w:hAnsi="宋体" w:cs="宋体"/>
                <w:b/>
                <w:szCs w:val="21"/>
              </w:rPr>
              <w:t>采购内容</w:t>
            </w:r>
          </w:p>
        </w:tc>
        <w:tc>
          <w:tcPr>
            <w:tcW w:w="7853" w:type="dxa"/>
            <w:shd w:val="clear" w:color="auto" w:fill="FFFFFF"/>
            <w:noWrap/>
            <w:vAlign w:val="center"/>
          </w:tcPr>
          <w:p w14:paraId="70E74642">
            <w:pPr>
              <w:spacing w:line="300" w:lineRule="auto"/>
              <w:rPr>
                <w:rFonts w:ascii="宋体" w:hAnsi="宋体"/>
                <w:bCs/>
                <w:szCs w:val="21"/>
              </w:rPr>
            </w:pPr>
            <w:r>
              <w:rPr>
                <w:rFonts w:hint="eastAsia" w:ascii="宋体" w:hAnsi="宋体"/>
                <w:bCs/>
                <w:szCs w:val="21"/>
              </w:rPr>
              <w:t>详见采购需求</w:t>
            </w:r>
          </w:p>
        </w:tc>
      </w:tr>
      <w:tr w14:paraId="79637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E0E0E0"/>
            <w:noWrap/>
            <w:vAlign w:val="center"/>
          </w:tcPr>
          <w:p w14:paraId="0377AB3E">
            <w:pPr>
              <w:spacing w:line="300" w:lineRule="auto"/>
              <w:jc w:val="center"/>
              <w:rPr>
                <w:rFonts w:ascii="宋体" w:hAnsi="宋体" w:cs="宋体"/>
                <w:b/>
                <w:szCs w:val="21"/>
              </w:rPr>
            </w:pPr>
            <w:r>
              <w:rPr>
                <w:rFonts w:hint="eastAsia" w:ascii="宋体" w:hAnsi="宋体" w:cs="宋体"/>
                <w:b/>
                <w:szCs w:val="21"/>
              </w:rPr>
              <w:t>5</w:t>
            </w:r>
          </w:p>
        </w:tc>
        <w:tc>
          <w:tcPr>
            <w:tcW w:w="1546" w:type="dxa"/>
            <w:shd w:val="clear" w:color="auto" w:fill="E0E0E0"/>
            <w:noWrap/>
            <w:vAlign w:val="center"/>
          </w:tcPr>
          <w:p w14:paraId="4FD2A114">
            <w:pPr>
              <w:spacing w:line="300" w:lineRule="auto"/>
              <w:jc w:val="center"/>
              <w:rPr>
                <w:rFonts w:hint="eastAsia" w:ascii="宋体" w:hAnsi="宋体" w:eastAsia="宋体" w:cs="宋体"/>
                <w:b/>
                <w:szCs w:val="21"/>
                <w:lang w:val="en-US" w:eastAsia="zh-CN"/>
              </w:rPr>
            </w:pPr>
            <w:r>
              <w:rPr>
                <w:rFonts w:hint="eastAsia" w:ascii="宋体" w:hAnsi="宋体" w:eastAsia="宋体" w:cs="宋体"/>
                <w:b/>
                <w:bCs/>
                <w:sz w:val="21"/>
                <w:szCs w:val="21"/>
              </w:rPr>
              <w:t>工期</w:t>
            </w:r>
            <w:r>
              <w:rPr>
                <w:rFonts w:hint="eastAsia" w:ascii="宋体" w:hAnsi="宋体" w:cs="宋体"/>
                <w:b/>
                <w:bCs/>
                <w:sz w:val="21"/>
                <w:szCs w:val="21"/>
                <w:lang w:val="en-US" w:eastAsia="zh-CN"/>
              </w:rPr>
              <w:t>要求</w:t>
            </w:r>
          </w:p>
        </w:tc>
        <w:tc>
          <w:tcPr>
            <w:tcW w:w="7853" w:type="dxa"/>
            <w:shd w:val="clear" w:color="auto" w:fill="FFFFFF"/>
            <w:noWrap/>
            <w:vAlign w:val="center"/>
          </w:tcPr>
          <w:p w14:paraId="32C6B6FF">
            <w:pPr>
              <w:spacing w:line="300" w:lineRule="auto"/>
              <w:rPr>
                <w:rFonts w:ascii="宋体" w:hAnsi="宋体" w:cs="宋体"/>
                <w:szCs w:val="21"/>
              </w:rPr>
            </w:pPr>
            <w:r>
              <w:rPr>
                <w:rFonts w:hint="eastAsia" w:ascii="宋体" w:hAnsi="宋体" w:cs="宋体"/>
                <w:szCs w:val="21"/>
                <w:lang w:val="en-US" w:eastAsia="zh-CN"/>
              </w:rPr>
              <w:t>合同签订后2个月内完成项目的采购安装，并通过项目的初验</w:t>
            </w:r>
            <w:r>
              <w:rPr>
                <w:rFonts w:hint="eastAsia" w:ascii="宋体" w:hAnsi="宋体" w:cs="宋体"/>
                <w:szCs w:val="21"/>
              </w:rPr>
              <w:t>；初验通过后试运行，试运行1个月后无任何问题进行终验。</w:t>
            </w:r>
          </w:p>
        </w:tc>
      </w:tr>
      <w:tr w14:paraId="607DB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E0E0E0"/>
            <w:noWrap/>
            <w:vAlign w:val="center"/>
          </w:tcPr>
          <w:p w14:paraId="3C3311B9">
            <w:pPr>
              <w:spacing w:line="300" w:lineRule="auto"/>
              <w:jc w:val="center"/>
              <w:rPr>
                <w:rFonts w:ascii="宋体" w:hAnsi="宋体" w:cs="宋体"/>
                <w:b/>
                <w:szCs w:val="21"/>
              </w:rPr>
            </w:pPr>
            <w:r>
              <w:rPr>
                <w:rFonts w:hint="eastAsia" w:ascii="宋体" w:hAnsi="宋体" w:cs="宋体"/>
                <w:b/>
                <w:szCs w:val="21"/>
              </w:rPr>
              <w:t>6</w:t>
            </w:r>
          </w:p>
        </w:tc>
        <w:tc>
          <w:tcPr>
            <w:tcW w:w="1546" w:type="dxa"/>
            <w:shd w:val="clear" w:color="auto" w:fill="E0E0E0"/>
            <w:noWrap/>
            <w:vAlign w:val="center"/>
          </w:tcPr>
          <w:p w14:paraId="30389F34">
            <w:pPr>
              <w:spacing w:line="300" w:lineRule="auto"/>
              <w:jc w:val="center"/>
              <w:rPr>
                <w:rFonts w:ascii="宋体" w:hAnsi="宋体" w:cs="宋体"/>
                <w:b/>
                <w:szCs w:val="21"/>
              </w:rPr>
            </w:pPr>
            <w:r>
              <w:rPr>
                <w:rFonts w:hint="eastAsia" w:ascii="宋体" w:hAnsi="宋体" w:cs="宋体"/>
                <w:b/>
                <w:szCs w:val="21"/>
              </w:rPr>
              <w:t>付款方式</w:t>
            </w:r>
          </w:p>
        </w:tc>
        <w:tc>
          <w:tcPr>
            <w:tcW w:w="7853" w:type="dxa"/>
            <w:shd w:val="clear" w:color="auto" w:fill="FFFFFF"/>
            <w:noWrap/>
            <w:vAlign w:val="center"/>
          </w:tcPr>
          <w:p w14:paraId="47CDDEC7">
            <w:pPr>
              <w:spacing w:line="300" w:lineRule="auto"/>
              <w:rPr>
                <w:rFonts w:ascii="宋体" w:hAnsi="宋体"/>
                <w:szCs w:val="21"/>
              </w:rPr>
            </w:pPr>
            <w:r>
              <w:rPr>
                <w:rFonts w:hint="eastAsia" w:ascii="宋体" w:hAnsi="宋体"/>
                <w:szCs w:val="21"/>
              </w:rPr>
              <w:t>详见采购需求</w:t>
            </w:r>
          </w:p>
        </w:tc>
      </w:tr>
      <w:tr w14:paraId="336C3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E0E0E0"/>
            <w:noWrap/>
            <w:vAlign w:val="center"/>
          </w:tcPr>
          <w:p w14:paraId="6F1DEAB5">
            <w:pPr>
              <w:spacing w:line="300" w:lineRule="auto"/>
              <w:jc w:val="center"/>
              <w:rPr>
                <w:rFonts w:ascii="宋体" w:hAnsi="宋体" w:cs="宋体"/>
                <w:b/>
                <w:szCs w:val="21"/>
              </w:rPr>
            </w:pPr>
            <w:r>
              <w:rPr>
                <w:rFonts w:hint="eastAsia" w:ascii="宋体" w:hAnsi="宋体" w:cs="宋体"/>
                <w:b/>
                <w:szCs w:val="21"/>
              </w:rPr>
              <w:t>7</w:t>
            </w:r>
          </w:p>
        </w:tc>
        <w:tc>
          <w:tcPr>
            <w:tcW w:w="1546" w:type="dxa"/>
            <w:shd w:val="clear" w:color="auto" w:fill="E0E0E0"/>
            <w:noWrap/>
            <w:vAlign w:val="center"/>
          </w:tcPr>
          <w:p w14:paraId="1E4A26BF">
            <w:pPr>
              <w:spacing w:line="300" w:lineRule="auto"/>
              <w:jc w:val="center"/>
              <w:rPr>
                <w:rFonts w:ascii="宋体" w:hAnsi="宋体" w:cs="宋体"/>
                <w:b/>
                <w:szCs w:val="21"/>
              </w:rPr>
            </w:pPr>
            <w:r>
              <w:rPr>
                <w:rFonts w:hint="eastAsia" w:ascii="宋体" w:hAnsi="宋体" w:cs="宋体"/>
                <w:b/>
                <w:szCs w:val="21"/>
              </w:rPr>
              <w:t>投标有效期</w:t>
            </w:r>
          </w:p>
        </w:tc>
        <w:tc>
          <w:tcPr>
            <w:tcW w:w="7853" w:type="dxa"/>
            <w:shd w:val="clear" w:color="auto" w:fill="FFFFFF"/>
            <w:noWrap/>
            <w:vAlign w:val="center"/>
          </w:tcPr>
          <w:p w14:paraId="6D05CFAE">
            <w:pPr>
              <w:spacing w:line="300" w:lineRule="auto"/>
              <w:rPr>
                <w:rFonts w:ascii="宋体" w:hAnsi="宋体" w:cs="宋体"/>
                <w:szCs w:val="21"/>
              </w:rPr>
            </w:pPr>
            <w:r>
              <w:rPr>
                <w:rFonts w:hint="eastAsia" w:ascii="宋体" w:hAnsi="宋体" w:cs="宋体"/>
                <w:szCs w:val="21"/>
                <w:u w:val="single"/>
              </w:rPr>
              <w:t>90日</w:t>
            </w:r>
            <w:r>
              <w:rPr>
                <w:rFonts w:hint="eastAsia" w:ascii="宋体" w:hAnsi="宋体" w:cs="宋体"/>
                <w:szCs w:val="21"/>
              </w:rPr>
              <w:t>历天。（从投标截止之日算起）</w:t>
            </w:r>
          </w:p>
        </w:tc>
      </w:tr>
      <w:tr w14:paraId="74475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E0E0E0"/>
            <w:noWrap/>
            <w:vAlign w:val="center"/>
          </w:tcPr>
          <w:p w14:paraId="4ECAA8D9">
            <w:pPr>
              <w:spacing w:line="300" w:lineRule="auto"/>
              <w:jc w:val="center"/>
              <w:rPr>
                <w:rFonts w:ascii="宋体" w:hAnsi="宋体" w:cs="宋体"/>
                <w:b/>
                <w:szCs w:val="21"/>
              </w:rPr>
            </w:pPr>
            <w:r>
              <w:rPr>
                <w:rFonts w:hint="eastAsia" w:ascii="宋体" w:hAnsi="宋体" w:cs="宋体"/>
                <w:b/>
                <w:szCs w:val="21"/>
              </w:rPr>
              <w:t>8</w:t>
            </w:r>
          </w:p>
        </w:tc>
        <w:tc>
          <w:tcPr>
            <w:tcW w:w="1546" w:type="dxa"/>
            <w:shd w:val="clear" w:color="auto" w:fill="E0E0E0"/>
            <w:noWrap/>
            <w:vAlign w:val="center"/>
          </w:tcPr>
          <w:p w14:paraId="6EE60B5C">
            <w:pPr>
              <w:spacing w:line="300" w:lineRule="auto"/>
              <w:jc w:val="center"/>
              <w:rPr>
                <w:rFonts w:ascii="宋体" w:hAnsi="宋体" w:cs="宋体"/>
                <w:b/>
                <w:szCs w:val="21"/>
              </w:rPr>
            </w:pPr>
            <w:r>
              <w:rPr>
                <w:rFonts w:hint="eastAsia" w:ascii="宋体" w:hAnsi="宋体" w:cs="宋体"/>
                <w:b/>
                <w:szCs w:val="21"/>
              </w:rPr>
              <w:t>评标办法</w:t>
            </w:r>
          </w:p>
        </w:tc>
        <w:tc>
          <w:tcPr>
            <w:tcW w:w="7853" w:type="dxa"/>
            <w:shd w:val="clear" w:color="auto" w:fill="FFFFFF"/>
            <w:noWrap/>
            <w:vAlign w:val="center"/>
          </w:tcPr>
          <w:p w14:paraId="0F2594F1">
            <w:pPr>
              <w:spacing w:line="300" w:lineRule="auto"/>
              <w:rPr>
                <w:rFonts w:ascii="宋体" w:hAnsi="宋体" w:cs="宋体"/>
                <w:szCs w:val="21"/>
              </w:rPr>
            </w:pPr>
            <w:r>
              <w:rPr>
                <w:rFonts w:hint="eastAsia" w:ascii="宋体" w:hAnsi="宋体" w:cs="宋体"/>
                <w:szCs w:val="21"/>
              </w:rPr>
              <w:t>综合评分法</w:t>
            </w:r>
          </w:p>
        </w:tc>
      </w:tr>
      <w:tr w14:paraId="5CCC7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E0E0E0"/>
            <w:noWrap/>
            <w:vAlign w:val="center"/>
          </w:tcPr>
          <w:p w14:paraId="4691D942">
            <w:pPr>
              <w:spacing w:line="300" w:lineRule="auto"/>
              <w:jc w:val="center"/>
              <w:rPr>
                <w:rFonts w:ascii="宋体" w:hAnsi="宋体" w:cs="宋体"/>
                <w:b/>
                <w:szCs w:val="21"/>
              </w:rPr>
            </w:pPr>
            <w:r>
              <w:rPr>
                <w:rFonts w:hint="eastAsia" w:ascii="宋体" w:hAnsi="宋体" w:cs="宋体"/>
                <w:b/>
                <w:szCs w:val="21"/>
              </w:rPr>
              <w:t>9</w:t>
            </w:r>
          </w:p>
        </w:tc>
        <w:tc>
          <w:tcPr>
            <w:tcW w:w="1546" w:type="dxa"/>
            <w:shd w:val="clear" w:color="auto" w:fill="E0E0E0"/>
            <w:noWrap/>
            <w:vAlign w:val="center"/>
          </w:tcPr>
          <w:p w14:paraId="3500BC70">
            <w:pPr>
              <w:spacing w:line="300" w:lineRule="auto"/>
              <w:jc w:val="center"/>
              <w:rPr>
                <w:rFonts w:ascii="宋体" w:hAnsi="宋体" w:cs="宋体"/>
                <w:b/>
                <w:szCs w:val="21"/>
              </w:rPr>
            </w:pPr>
            <w:r>
              <w:rPr>
                <w:rFonts w:hint="eastAsia" w:ascii="宋体" w:hAnsi="宋体" w:cs="宋体"/>
                <w:b/>
                <w:szCs w:val="21"/>
              </w:rPr>
              <w:t>投标报价</w:t>
            </w:r>
          </w:p>
          <w:p w14:paraId="42004BE5">
            <w:pPr>
              <w:spacing w:line="300" w:lineRule="auto"/>
              <w:jc w:val="center"/>
              <w:rPr>
                <w:rFonts w:ascii="宋体" w:hAnsi="宋体" w:cs="宋体"/>
                <w:b/>
                <w:szCs w:val="21"/>
              </w:rPr>
            </w:pPr>
            <w:r>
              <w:rPr>
                <w:rFonts w:hint="eastAsia" w:ascii="宋体" w:hAnsi="宋体" w:cs="宋体"/>
                <w:b/>
                <w:szCs w:val="21"/>
              </w:rPr>
              <w:t>与相关费用</w:t>
            </w:r>
          </w:p>
        </w:tc>
        <w:tc>
          <w:tcPr>
            <w:tcW w:w="7853" w:type="dxa"/>
            <w:shd w:val="clear" w:color="auto" w:fill="FFFFFF"/>
            <w:noWrap/>
            <w:vAlign w:val="center"/>
          </w:tcPr>
          <w:p w14:paraId="1CAB7D22">
            <w:pPr>
              <w:numPr>
                <w:ilvl w:val="0"/>
                <w:numId w:val="0"/>
              </w:numPr>
              <w:spacing w:line="300" w:lineRule="auto"/>
              <w:rPr>
                <w:rFonts w:ascii="宋体" w:hAnsi="宋体" w:cs="宋体"/>
                <w:szCs w:val="21"/>
                <w:lang w:val="zh-CN"/>
              </w:rPr>
            </w:pPr>
            <w:r>
              <w:rPr>
                <w:rFonts w:ascii="宋体" w:hAnsi="宋体" w:eastAsia="宋体" w:cs="宋体"/>
                <w:kern w:val="2"/>
                <w:sz w:val="21"/>
                <w:szCs w:val="21"/>
                <w:lang w:val="zh-CN" w:eastAsia="zh-CN" w:bidi="ar-SA"/>
              </w:rPr>
              <w:t>1.</w:t>
            </w:r>
            <w:r>
              <w:rPr>
                <w:rFonts w:hint="eastAsia" w:ascii="宋体" w:hAnsi="宋体" w:cs="宋体"/>
                <w:szCs w:val="21"/>
                <w:lang w:val="zh-CN"/>
              </w:rPr>
              <w:t>投标人所投报的投标报价为投标人所能承受的整个项目的一次性最终最低合同总价（包括</w:t>
            </w:r>
            <w:r>
              <w:rPr>
                <w:rFonts w:hint="eastAsia" w:ascii="宋体" w:hAnsi="宋体" w:cs="宋体"/>
                <w:szCs w:val="21"/>
                <w:lang w:val="en-US" w:eastAsia="zh-CN"/>
              </w:rPr>
              <w:t>但不限于勘查、制作、生产、保险、人工、运输等</w:t>
            </w:r>
            <w:r>
              <w:rPr>
                <w:rFonts w:hint="eastAsia" w:ascii="宋体" w:hAnsi="宋体" w:cs="宋体"/>
                <w:szCs w:val="21"/>
                <w:lang w:val="zh-CN"/>
              </w:rPr>
              <w:t>）完成本项目工作内容所需的一切费用。合同总价不得超过本项目对应的</w:t>
            </w:r>
            <w:r>
              <w:rPr>
                <w:rFonts w:hint="eastAsia" w:ascii="宋体" w:hAnsi="宋体" w:cs="宋体"/>
                <w:szCs w:val="21"/>
              </w:rPr>
              <w:t>预算金额</w:t>
            </w:r>
            <w:r>
              <w:rPr>
                <w:rFonts w:hint="eastAsia" w:ascii="宋体" w:hAnsi="宋体" w:cs="宋体"/>
                <w:szCs w:val="21"/>
                <w:lang w:eastAsia="zh-CN"/>
              </w:rPr>
              <w:t>。</w:t>
            </w:r>
          </w:p>
          <w:p w14:paraId="39598E6A">
            <w:pPr>
              <w:spacing w:line="300" w:lineRule="auto"/>
              <w:rPr>
                <w:rFonts w:ascii="宋体" w:hAnsi="宋体" w:cs="宋体"/>
                <w:szCs w:val="21"/>
                <w:lang w:val="zh-CN"/>
              </w:rPr>
            </w:pPr>
            <w:r>
              <w:rPr>
                <w:rFonts w:hint="eastAsia" w:ascii="宋体" w:hAnsi="宋体" w:cs="宋体"/>
                <w:szCs w:val="21"/>
              </w:rPr>
              <w:t>2</w:t>
            </w:r>
            <w:r>
              <w:rPr>
                <w:rFonts w:hint="eastAsia" w:ascii="宋体" w:hAnsi="宋体" w:cs="宋体"/>
                <w:szCs w:val="21"/>
                <w:lang w:val="zh-CN"/>
              </w:rPr>
              <w:t>.按国家规定由中标人缴纳的各种税收已包含在投标总价内，由中标人向税务机关缴纳相关费用。</w:t>
            </w:r>
          </w:p>
          <w:p w14:paraId="7777DFD4">
            <w:pPr>
              <w:spacing w:line="300" w:lineRule="auto"/>
              <w:rPr>
                <w:rFonts w:ascii="宋体" w:hAnsi="宋体" w:cs="宋体"/>
                <w:szCs w:val="21"/>
                <w:lang w:val="zh-CN"/>
              </w:rPr>
            </w:pPr>
            <w:r>
              <w:rPr>
                <w:rFonts w:hint="eastAsia" w:ascii="宋体" w:hAnsi="宋体" w:cs="宋体"/>
                <w:szCs w:val="21"/>
              </w:rPr>
              <w:t>3</w:t>
            </w:r>
            <w:r>
              <w:rPr>
                <w:rFonts w:hint="eastAsia" w:ascii="宋体" w:hAnsi="宋体" w:cs="宋体"/>
                <w:szCs w:val="21"/>
                <w:lang w:val="zh-CN"/>
              </w:rPr>
              <w:t>.投标人应承担其参加本招标活动自身所发生的费用。</w:t>
            </w:r>
          </w:p>
          <w:p w14:paraId="652ED1A7">
            <w:pPr>
              <w:spacing w:line="360" w:lineRule="auto"/>
              <w:rPr>
                <w:rFonts w:ascii="宋体" w:hAnsi="宋体" w:cs="宋体"/>
                <w:szCs w:val="21"/>
                <w:highlight w:val="none"/>
              </w:rPr>
            </w:pPr>
            <w:r>
              <w:rPr>
                <w:rFonts w:hint="eastAsia" w:ascii="宋体" w:hAnsi="宋体" w:cs="宋体"/>
                <w:szCs w:val="21"/>
              </w:rPr>
              <w:t>4.中标人须缴纳招标代理服务费，招标代理服务收费标准金额为</w:t>
            </w:r>
            <w:r>
              <w:rPr>
                <w:rFonts w:hint="eastAsia" w:ascii="宋体" w:hAnsi="宋体" w:cs="宋体"/>
                <w:szCs w:val="21"/>
                <w:highlight w:val="none"/>
              </w:rPr>
              <w:t>：</w:t>
            </w:r>
            <w:r>
              <w:rPr>
                <w:rFonts w:hint="eastAsia" w:ascii="宋体" w:hAnsi="宋体" w:eastAsia="宋体" w:cs="宋体"/>
                <w:sz w:val="21"/>
                <w:szCs w:val="21"/>
                <w:highlight w:val="none"/>
                <w:lang w:val="zh-CN"/>
              </w:rPr>
              <w:t>一次性收费</w:t>
            </w:r>
            <w:r>
              <w:rPr>
                <w:rFonts w:hint="eastAsia" w:ascii="宋体" w:hAnsi="宋体" w:cs="宋体"/>
                <w:sz w:val="21"/>
                <w:szCs w:val="21"/>
                <w:highlight w:val="none"/>
                <w:lang w:val="en-US" w:eastAsia="zh-CN"/>
              </w:rPr>
              <w:t>壹万贰仟元整</w:t>
            </w:r>
            <w:r>
              <w:rPr>
                <w:rFonts w:hint="eastAsia" w:ascii="宋体" w:hAnsi="宋体" w:eastAsia="宋体" w:cs="宋体"/>
                <w:sz w:val="21"/>
                <w:szCs w:val="21"/>
                <w:highlight w:val="none"/>
                <w:lang w:val="zh-CN"/>
              </w:rPr>
              <w:t>（¥</w:t>
            </w:r>
            <w:r>
              <w:rPr>
                <w:rFonts w:hint="eastAsia" w:ascii="宋体" w:hAnsi="宋体" w:cs="宋体"/>
                <w:sz w:val="21"/>
                <w:szCs w:val="21"/>
                <w:highlight w:val="none"/>
                <w:lang w:val="en-US" w:eastAsia="zh-CN"/>
              </w:rPr>
              <w:t>12000.00</w:t>
            </w:r>
            <w:r>
              <w:rPr>
                <w:rFonts w:hint="eastAsia" w:ascii="宋体" w:hAnsi="宋体" w:eastAsia="宋体" w:cs="宋体"/>
                <w:sz w:val="21"/>
                <w:szCs w:val="21"/>
                <w:highlight w:val="none"/>
                <w:lang w:val="zh-CN"/>
              </w:rPr>
              <w:t>）</w:t>
            </w:r>
            <w:r>
              <w:rPr>
                <w:rFonts w:hint="eastAsia" w:ascii="宋体" w:hAnsi="宋体" w:cs="宋体"/>
                <w:szCs w:val="21"/>
                <w:highlight w:val="none"/>
                <w:lang w:val="zh-CN"/>
              </w:rPr>
              <w:t>支付方式及时间为：中标通知书发出时一次性支付给招标代理机构。</w:t>
            </w:r>
            <w:bookmarkStart w:id="80" w:name="_GoBack"/>
            <w:bookmarkEnd w:id="80"/>
          </w:p>
          <w:p w14:paraId="20BB841E">
            <w:pPr>
              <w:spacing w:line="360" w:lineRule="auto"/>
              <w:rPr>
                <w:rFonts w:ascii="宋体" w:hAnsi="宋体" w:cs="宋体"/>
                <w:szCs w:val="21"/>
              </w:rPr>
            </w:pPr>
            <w:r>
              <w:rPr>
                <w:rFonts w:hint="eastAsia" w:ascii="宋体" w:hAnsi="宋体" w:cs="宋体"/>
                <w:szCs w:val="21"/>
              </w:rPr>
              <w:t>收款单位名称：中金招标有限责任公司舟山分公司</w:t>
            </w:r>
          </w:p>
          <w:p w14:paraId="35BCE374">
            <w:pPr>
              <w:spacing w:line="360" w:lineRule="auto"/>
              <w:rPr>
                <w:rFonts w:ascii="宋体" w:hAnsi="宋体" w:cs="宋体"/>
                <w:szCs w:val="21"/>
              </w:rPr>
            </w:pPr>
            <w:r>
              <w:rPr>
                <w:rFonts w:hint="eastAsia" w:ascii="宋体" w:hAnsi="宋体" w:cs="宋体"/>
                <w:szCs w:val="21"/>
              </w:rPr>
              <w:t>开户银行：中国建设银行股份有限公司舟山新城支行</w:t>
            </w:r>
          </w:p>
          <w:p w14:paraId="217F2EB9">
            <w:pPr>
              <w:spacing w:line="300" w:lineRule="auto"/>
              <w:rPr>
                <w:rFonts w:ascii="宋体" w:hAnsi="宋体" w:cs="宋体"/>
                <w:szCs w:val="21"/>
              </w:rPr>
            </w:pPr>
            <w:r>
              <w:rPr>
                <w:rFonts w:hint="eastAsia" w:ascii="宋体" w:hAnsi="宋体" w:cs="宋体"/>
                <w:szCs w:val="21"/>
              </w:rPr>
              <w:t>银行账号：3300 1706 2550 5300 3969</w:t>
            </w:r>
          </w:p>
          <w:p w14:paraId="4C82ACED">
            <w:pPr>
              <w:spacing w:line="300" w:lineRule="auto"/>
              <w:rPr>
                <w:rFonts w:ascii="宋体" w:hAnsi="宋体" w:cs="宋体"/>
                <w:szCs w:val="21"/>
              </w:rPr>
            </w:pPr>
            <w:r>
              <w:rPr>
                <w:rFonts w:hint="eastAsia" w:ascii="宋体" w:hAnsi="宋体" w:cs="宋体"/>
                <w:szCs w:val="21"/>
              </w:rPr>
              <w:t>5.中标、成交供应商放弃中标、成交资格导致重新采购的，承担支付代理费和专家评审费等费用在内的赔偿责任。</w:t>
            </w:r>
          </w:p>
        </w:tc>
      </w:tr>
      <w:tr w14:paraId="0A946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E0E0E0"/>
            <w:noWrap/>
            <w:vAlign w:val="center"/>
          </w:tcPr>
          <w:p w14:paraId="413A5A5C">
            <w:pPr>
              <w:spacing w:line="300" w:lineRule="auto"/>
              <w:jc w:val="center"/>
              <w:rPr>
                <w:rFonts w:ascii="宋体" w:hAnsi="宋体" w:cs="宋体"/>
                <w:b/>
                <w:szCs w:val="21"/>
              </w:rPr>
            </w:pPr>
            <w:r>
              <w:rPr>
                <w:rFonts w:hint="eastAsia" w:ascii="宋体" w:hAnsi="宋体" w:cs="宋体"/>
                <w:b/>
                <w:szCs w:val="21"/>
              </w:rPr>
              <w:t>10</w:t>
            </w:r>
          </w:p>
        </w:tc>
        <w:tc>
          <w:tcPr>
            <w:tcW w:w="1546" w:type="dxa"/>
            <w:shd w:val="clear" w:color="auto" w:fill="E0E0E0"/>
            <w:noWrap/>
            <w:vAlign w:val="center"/>
          </w:tcPr>
          <w:p w14:paraId="23A9F086">
            <w:pPr>
              <w:spacing w:line="300" w:lineRule="auto"/>
              <w:jc w:val="center"/>
              <w:rPr>
                <w:rFonts w:ascii="宋体" w:hAnsi="宋体" w:cs="宋体"/>
                <w:b/>
                <w:szCs w:val="21"/>
              </w:rPr>
            </w:pPr>
            <w:r>
              <w:rPr>
                <w:rFonts w:hint="eastAsia" w:ascii="宋体" w:hAnsi="宋体" w:cs="宋体"/>
                <w:b/>
                <w:szCs w:val="21"/>
              </w:rPr>
              <w:t>投标文件的组成</w:t>
            </w:r>
          </w:p>
        </w:tc>
        <w:tc>
          <w:tcPr>
            <w:tcW w:w="7853" w:type="dxa"/>
            <w:shd w:val="clear" w:color="auto" w:fill="FFFFFF"/>
            <w:noWrap/>
            <w:vAlign w:val="center"/>
          </w:tcPr>
          <w:p w14:paraId="2CF81920">
            <w:pPr>
              <w:spacing w:line="300" w:lineRule="auto"/>
              <w:rPr>
                <w:rFonts w:ascii="宋体" w:hAnsi="宋体" w:cs="宋体"/>
                <w:szCs w:val="21"/>
              </w:rPr>
            </w:pPr>
            <w:r>
              <w:rPr>
                <w:rFonts w:hint="eastAsia" w:ascii="宋体" w:hAnsi="宋体" w:cs="宋体"/>
                <w:szCs w:val="21"/>
              </w:rPr>
              <w:t>本项目实行网上投标。</w:t>
            </w:r>
          </w:p>
          <w:p w14:paraId="18FC886B">
            <w:pPr>
              <w:spacing w:line="300" w:lineRule="auto"/>
              <w:rPr>
                <w:rFonts w:ascii="宋体" w:hAnsi="宋体" w:cs="宋体"/>
                <w:szCs w:val="21"/>
              </w:rPr>
            </w:pPr>
            <w:r>
              <w:rPr>
                <w:rFonts w:hint="eastAsia" w:ascii="宋体" w:hAnsi="宋体" w:cs="宋体"/>
                <w:szCs w:val="21"/>
              </w:rPr>
              <w:t>投标人应准备电子投标文件、以介质存储的数据电文形式的备份投标文件：</w:t>
            </w:r>
          </w:p>
          <w:p w14:paraId="2750E1F4">
            <w:pPr>
              <w:spacing w:line="300" w:lineRule="auto"/>
              <w:rPr>
                <w:rFonts w:ascii="宋体" w:hAnsi="宋体" w:cs="宋体"/>
                <w:szCs w:val="21"/>
              </w:rPr>
            </w:pPr>
            <w:r>
              <w:rPr>
                <w:rFonts w:hint="eastAsia" w:ascii="宋体" w:hAnsi="宋体" w:cs="宋体"/>
                <w:szCs w:val="21"/>
              </w:rPr>
              <w:t>（1）电子投标文件，按政采云供应商项目采购-电子招投标操作指南及本招标文件要求制作，加密并递交。</w:t>
            </w:r>
          </w:p>
          <w:p w14:paraId="589D00D0">
            <w:pPr>
              <w:spacing w:line="300" w:lineRule="auto"/>
              <w:rPr>
                <w:rFonts w:ascii="宋体" w:hAnsi="宋体" w:cs="宋体"/>
                <w:b/>
                <w:szCs w:val="21"/>
              </w:rPr>
            </w:pPr>
            <w:r>
              <w:rPr>
                <w:rFonts w:hint="eastAsia" w:ascii="宋体" w:hAnsi="宋体" w:cs="宋体"/>
                <w:b/>
                <w:szCs w:val="21"/>
              </w:rPr>
              <w:t>（2）以介质存储的数据电文形式的备份投标文件，按政采云供应商项目采购-电子招投标操作指南中制作的电子投标文件，以光盘或U盘形式提供。数量为1份。</w:t>
            </w:r>
          </w:p>
        </w:tc>
      </w:tr>
      <w:tr w14:paraId="2AE5E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E0E0E0"/>
            <w:noWrap/>
            <w:vAlign w:val="center"/>
          </w:tcPr>
          <w:p w14:paraId="18479F6A">
            <w:pPr>
              <w:spacing w:line="300" w:lineRule="auto"/>
              <w:jc w:val="center"/>
              <w:rPr>
                <w:rFonts w:ascii="宋体" w:hAnsi="宋体" w:cs="宋体"/>
                <w:b/>
                <w:szCs w:val="21"/>
              </w:rPr>
            </w:pPr>
            <w:r>
              <w:rPr>
                <w:rFonts w:hint="eastAsia" w:ascii="宋体" w:hAnsi="宋体" w:cs="宋体"/>
                <w:b/>
                <w:szCs w:val="21"/>
              </w:rPr>
              <w:t>11</w:t>
            </w:r>
          </w:p>
        </w:tc>
        <w:tc>
          <w:tcPr>
            <w:tcW w:w="1546" w:type="dxa"/>
            <w:shd w:val="clear" w:color="auto" w:fill="E0E0E0"/>
            <w:noWrap/>
            <w:vAlign w:val="center"/>
          </w:tcPr>
          <w:p w14:paraId="23F69F74">
            <w:pPr>
              <w:spacing w:line="300" w:lineRule="auto"/>
              <w:jc w:val="center"/>
              <w:rPr>
                <w:rFonts w:ascii="宋体" w:hAnsi="宋体" w:cs="宋体"/>
                <w:b/>
                <w:szCs w:val="21"/>
              </w:rPr>
            </w:pPr>
            <w:r>
              <w:rPr>
                <w:rFonts w:hint="eastAsia" w:ascii="宋体" w:hAnsi="宋体" w:cs="宋体"/>
                <w:b/>
                <w:szCs w:val="21"/>
              </w:rPr>
              <w:t>开标地点</w:t>
            </w:r>
          </w:p>
        </w:tc>
        <w:tc>
          <w:tcPr>
            <w:tcW w:w="7853" w:type="dxa"/>
            <w:shd w:val="clear" w:color="auto" w:fill="FFFFFF"/>
            <w:noWrap/>
            <w:vAlign w:val="center"/>
          </w:tcPr>
          <w:p w14:paraId="666226F2">
            <w:pPr>
              <w:spacing w:line="300" w:lineRule="auto"/>
              <w:rPr>
                <w:rFonts w:ascii="宋体" w:hAnsi="宋体" w:cs="宋体"/>
                <w:szCs w:val="21"/>
              </w:rPr>
            </w:pPr>
            <w:r>
              <w:rPr>
                <w:rFonts w:hint="eastAsia" w:ascii="宋体" w:hAnsi="宋体" w:cs="宋体"/>
                <w:b/>
                <w:kern w:val="0"/>
                <w:szCs w:val="21"/>
              </w:rPr>
              <w:t>舟山市定海区海天大道998号中金招标四楼开标室</w:t>
            </w:r>
          </w:p>
        </w:tc>
      </w:tr>
      <w:tr w14:paraId="35FDB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E0E0E0"/>
            <w:noWrap/>
            <w:vAlign w:val="center"/>
          </w:tcPr>
          <w:p w14:paraId="1581744F">
            <w:pPr>
              <w:spacing w:line="300" w:lineRule="auto"/>
              <w:jc w:val="center"/>
              <w:rPr>
                <w:rFonts w:ascii="宋体" w:hAnsi="宋体" w:cs="宋体"/>
                <w:b/>
                <w:szCs w:val="21"/>
              </w:rPr>
            </w:pPr>
            <w:r>
              <w:rPr>
                <w:rFonts w:hint="eastAsia" w:ascii="宋体" w:hAnsi="宋体" w:cs="宋体"/>
                <w:b/>
                <w:szCs w:val="21"/>
              </w:rPr>
              <w:t>12</w:t>
            </w:r>
          </w:p>
        </w:tc>
        <w:tc>
          <w:tcPr>
            <w:tcW w:w="1546" w:type="dxa"/>
            <w:shd w:val="clear" w:color="auto" w:fill="E0E0E0"/>
            <w:noWrap/>
            <w:vAlign w:val="center"/>
          </w:tcPr>
          <w:p w14:paraId="775FC9DE">
            <w:pPr>
              <w:spacing w:line="300" w:lineRule="auto"/>
              <w:jc w:val="center"/>
              <w:rPr>
                <w:rFonts w:ascii="宋体" w:hAnsi="宋体" w:cs="宋体"/>
                <w:b/>
                <w:szCs w:val="21"/>
              </w:rPr>
            </w:pPr>
            <w:r>
              <w:rPr>
                <w:rFonts w:hint="eastAsia" w:ascii="宋体" w:hAnsi="宋体" w:cs="宋体"/>
                <w:b/>
                <w:szCs w:val="21"/>
              </w:rPr>
              <w:t>投标文件的递交</w:t>
            </w:r>
          </w:p>
        </w:tc>
        <w:tc>
          <w:tcPr>
            <w:tcW w:w="7853" w:type="dxa"/>
            <w:shd w:val="clear" w:color="auto" w:fill="FFFFFF"/>
            <w:noWrap/>
            <w:vAlign w:val="center"/>
          </w:tcPr>
          <w:p w14:paraId="08D28DEB">
            <w:pPr>
              <w:adjustRightInd w:val="0"/>
              <w:snapToGrid w:val="0"/>
              <w:spacing w:line="360" w:lineRule="auto"/>
              <w:rPr>
                <w:rFonts w:ascii="宋体" w:hAnsi="宋体" w:cs="宋体"/>
                <w:szCs w:val="21"/>
              </w:rPr>
            </w:pPr>
            <w:r>
              <w:rPr>
                <w:rFonts w:hint="eastAsia" w:ascii="宋体" w:hAnsi="宋体" w:cs="宋体"/>
                <w:szCs w:val="21"/>
              </w:rPr>
              <w:t>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响应截止时间后送达的投标、响应文件，将被政采云平台拒收。</w:t>
            </w:r>
          </w:p>
          <w:p w14:paraId="2E14BF2F">
            <w:pPr>
              <w:snapToGrid w:val="0"/>
              <w:spacing w:line="360" w:lineRule="auto"/>
              <w:jc w:val="left"/>
              <w:rPr>
                <w:rFonts w:ascii="宋体" w:hAnsi="宋体" w:cs="宋体"/>
                <w:szCs w:val="21"/>
              </w:rPr>
            </w:pPr>
            <w:r>
              <w:rPr>
                <w:rFonts w:hint="eastAsia" w:ascii="宋体" w:hAnsi="宋体" w:cs="宋体"/>
                <w:szCs w:val="21"/>
              </w:rPr>
              <w:t>投标人可以选择递交备份投标文件。备份投标文件须密封完好，注明投标人单位名称，并于投标截止时间前递交，否则采购代理机构将拒收。具体递交方式为开标日前通过邮寄、专人等形式送达采购代理机构地址或开标当天专人送达开标地点（联系人：龚思铮；联系方式：17377684037）</w:t>
            </w:r>
          </w:p>
          <w:p w14:paraId="639C5586">
            <w:pPr>
              <w:snapToGrid w:val="0"/>
              <w:spacing w:line="360" w:lineRule="auto"/>
              <w:jc w:val="left"/>
              <w:rPr>
                <w:rFonts w:ascii="宋体" w:hAnsi="宋体" w:cs="宋体"/>
                <w:szCs w:val="21"/>
              </w:rPr>
            </w:pPr>
            <w:r>
              <w:rPr>
                <w:rFonts w:hint="eastAsia" w:ascii="宋体" w:hAnsi="宋体" w:cs="宋体"/>
                <w:szCs w:val="21"/>
              </w:rPr>
              <w:t>投标人递交备份投标文件时，如出现下列情况之一的，将被拒收：</w:t>
            </w:r>
          </w:p>
          <w:p w14:paraId="09970B1D">
            <w:pPr>
              <w:snapToGrid w:val="0"/>
              <w:spacing w:line="360" w:lineRule="auto"/>
              <w:jc w:val="left"/>
              <w:rPr>
                <w:rFonts w:ascii="宋体" w:hAnsi="宋体" w:cs="宋体"/>
                <w:szCs w:val="21"/>
              </w:rPr>
            </w:pPr>
            <w:r>
              <w:rPr>
                <w:rFonts w:hint="eastAsia" w:ascii="宋体" w:hAnsi="宋体" w:cs="宋体"/>
                <w:szCs w:val="21"/>
              </w:rPr>
              <w:t>1、未按规定密封或标记的投标文件；</w:t>
            </w:r>
          </w:p>
          <w:p w14:paraId="1D3815F2">
            <w:pPr>
              <w:snapToGrid w:val="0"/>
              <w:spacing w:line="360" w:lineRule="auto"/>
              <w:jc w:val="left"/>
              <w:rPr>
                <w:rFonts w:ascii="宋体" w:hAnsi="宋体" w:cs="宋体"/>
                <w:szCs w:val="21"/>
              </w:rPr>
            </w:pPr>
            <w:r>
              <w:rPr>
                <w:rFonts w:hint="eastAsia" w:ascii="宋体" w:hAnsi="宋体" w:cs="宋体"/>
                <w:szCs w:val="21"/>
              </w:rPr>
              <w:t>2、由于包装不妥，在送交途中严重破损或失散的；</w:t>
            </w:r>
          </w:p>
          <w:p w14:paraId="2D814BD8">
            <w:pPr>
              <w:snapToGrid w:val="0"/>
              <w:spacing w:line="360" w:lineRule="auto"/>
              <w:jc w:val="left"/>
              <w:rPr>
                <w:rFonts w:ascii="宋体" w:hAnsi="宋体" w:cs="宋体"/>
                <w:szCs w:val="21"/>
              </w:rPr>
            </w:pPr>
            <w:r>
              <w:rPr>
                <w:rFonts w:hint="eastAsia" w:ascii="宋体" w:hAnsi="宋体" w:cs="宋体"/>
                <w:szCs w:val="21"/>
              </w:rPr>
              <w:t>3、超过投标截止时间送达的。</w:t>
            </w:r>
          </w:p>
          <w:p w14:paraId="304ED2E2">
            <w:pPr>
              <w:autoSpaceDE w:val="0"/>
              <w:autoSpaceDN w:val="0"/>
              <w:snapToGrid w:val="0"/>
              <w:spacing w:line="360" w:lineRule="auto"/>
              <w:jc w:val="left"/>
              <w:textAlignment w:val="bottom"/>
              <w:rPr>
                <w:rFonts w:ascii="宋体" w:hAnsi="宋体" w:cs="宋体"/>
                <w:szCs w:val="21"/>
              </w:rPr>
            </w:pPr>
            <w:r>
              <w:rPr>
                <w:rFonts w:hint="eastAsia" w:ascii="宋体" w:hAnsi="宋体" w:cs="宋体"/>
                <w:szCs w:val="21"/>
              </w:rPr>
              <w:t>4、仅提供备份投标文件的。</w:t>
            </w:r>
          </w:p>
          <w:p w14:paraId="06BFD9D4">
            <w:pPr>
              <w:spacing w:line="300" w:lineRule="auto"/>
              <w:rPr>
                <w:rFonts w:ascii="宋体" w:hAnsi="宋体" w:cs="宋体"/>
                <w:b/>
                <w:kern w:val="0"/>
                <w:szCs w:val="21"/>
              </w:rPr>
            </w:pPr>
            <w:r>
              <w:rPr>
                <w:rFonts w:hint="eastAsia" w:ascii="宋体" w:hAnsi="宋体" w:cs="宋体"/>
                <w:szCs w:val="21"/>
              </w:rPr>
              <w:t>当发生解密失败或未按时解密的，投标人提供了备份投标文件的，以备份投标文件为依据，否则视为投标文件撤回。投标文件已按时解密的，备份投标文件自动失效。</w:t>
            </w:r>
          </w:p>
        </w:tc>
      </w:tr>
      <w:tr w14:paraId="2C9CF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E0E0E0"/>
            <w:noWrap/>
            <w:vAlign w:val="center"/>
          </w:tcPr>
          <w:p w14:paraId="5A3D6A6B">
            <w:pPr>
              <w:spacing w:line="300" w:lineRule="auto"/>
              <w:jc w:val="center"/>
              <w:rPr>
                <w:rFonts w:hint="default" w:ascii="宋体" w:hAnsi="宋体" w:eastAsia="宋体" w:cs="宋体"/>
                <w:b/>
                <w:szCs w:val="21"/>
                <w:lang w:val="en-US" w:eastAsia="zh-CN"/>
              </w:rPr>
            </w:pPr>
            <w:r>
              <w:rPr>
                <w:rFonts w:hint="eastAsia" w:ascii="宋体" w:hAnsi="宋体" w:cs="宋体"/>
                <w:b/>
                <w:szCs w:val="21"/>
                <w:lang w:val="en-US" w:eastAsia="zh-CN"/>
              </w:rPr>
              <w:t>13</w:t>
            </w:r>
          </w:p>
        </w:tc>
        <w:tc>
          <w:tcPr>
            <w:tcW w:w="1546" w:type="dxa"/>
            <w:shd w:val="clear" w:color="auto" w:fill="D7D7D7" w:themeFill="background1" w:themeFillShade="D8"/>
            <w:noWrap/>
            <w:vAlign w:val="center"/>
          </w:tcPr>
          <w:p w14:paraId="658F780E">
            <w:pPr>
              <w:spacing w:line="360" w:lineRule="auto"/>
              <w:jc w:val="center"/>
              <w:rPr>
                <w:rFonts w:hint="eastAsia" w:ascii="宋体" w:hAnsi="宋体" w:eastAsia="宋体" w:cs="宋体"/>
                <w:b/>
                <w:kern w:val="2"/>
                <w:sz w:val="21"/>
                <w:szCs w:val="21"/>
                <w:lang w:val="en-US" w:eastAsia="zh-CN" w:bidi="ar-SA"/>
              </w:rPr>
            </w:pPr>
            <w:r>
              <w:rPr>
                <w:rFonts w:hint="eastAsia" w:ascii="宋体" w:hAnsi="宋体" w:eastAsia="宋体" w:cs="宋体"/>
                <w:b/>
                <w:sz w:val="21"/>
                <w:szCs w:val="21"/>
                <w:lang w:val="en-US" w:eastAsia="zh-CN"/>
              </w:rPr>
              <w:t>演示视频</w:t>
            </w:r>
          </w:p>
        </w:tc>
        <w:tc>
          <w:tcPr>
            <w:tcW w:w="7853" w:type="dxa"/>
            <w:shd w:val="clear" w:color="auto" w:fill="auto"/>
            <w:noWrap/>
            <w:vAlign w:val="center"/>
          </w:tcPr>
          <w:p w14:paraId="5F58F554">
            <w:pPr>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投标人将视频制作成U盘递交，须密封完好，注明投标人单位名称，并于投标截止时间前递交，否则采购代理机构将拒收。具体递交方式为开标日前通过邮寄、专人等形式送达采购代理机构地址或开标当天专人送达开标地点（联系人：</w:t>
            </w:r>
            <w:r>
              <w:rPr>
                <w:rFonts w:hint="eastAsia" w:ascii="宋体" w:hAnsi="宋体" w:cs="宋体"/>
                <w:szCs w:val="21"/>
              </w:rPr>
              <w:t>龚思铮</w:t>
            </w:r>
            <w:r>
              <w:rPr>
                <w:rFonts w:hint="eastAsia" w:ascii="宋体" w:hAnsi="宋体" w:eastAsia="宋体" w:cs="宋体"/>
                <w:kern w:val="0"/>
                <w:sz w:val="21"/>
                <w:szCs w:val="21"/>
              </w:rPr>
              <w:t>；联系方式：</w:t>
            </w:r>
            <w:r>
              <w:rPr>
                <w:rFonts w:hint="eastAsia" w:ascii="宋体" w:hAnsi="宋体" w:cs="宋体"/>
                <w:szCs w:val="21"/>
              </w:rPr>
              <w:t>17377684037</w:t>
            </w:r>
            <w:r>
              <w:rPr>
                <w:rFonts w:hint="eastAsia" w:ascii="宋体" w:hAnsi="宋体" w:eastAsia="宋体" w:cs="宋体"/>
                <w:kern w:val="0"/>
                <w:sz w:val="21"/>
                <w:szCs w:val="21"/>
              </w:rPr>
              <w:t>）。</w:t>
            </w:r>
          </w:p>
        </w:tc>
      </w:tr>
      <w:tr w14:paraId="6C0F4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shd w:val="clear" w:color="auto" w:fill="E0E0E0"/>
            <w:noWrap/>
            <w:vAlign w:val="center"/>
          </w:tcPr>
          <w:p w14:paraId="0F7DE5A1">
            <w:pPr>
              <w:spacing w:line="300" w:lineRule="auto"/>
              <w:jc w:val="center"/>
              <w:rPr>
                <w:rFonts w:hint="default" w:ascii="宋体" w:hAnsi="宋体" w:eastAsia="宋体" w:cs="宋体"/>
                <w:b/>
                <w:szCs w:val="21"/>
                <w:lang w:val="en-US" w:eastAsia="zh-CN"/>
              </w:rPr>
            </w:pPr>
            <w:r>
              <w:rPr>
                <w:rFonts w:hint="eastAsia" w:ascii="宋体" w:hAnsi="宋体" w:cs="宋体"/>
                <w:b/>
                <w:szCs w:val="21"/>
                <w:lang w:val="en-US" w:eastAsia="zh-CN"/>
              </w:rPr>
              <w:t>14</w:t>
            </w:r>
          </w:p>
        </w:tc>
        <w:tc>
          <w:tcPr>
            <w:tcW w:w="1546" w:type="dxa"/>
            <w:shd w:val="clear" w:color="auto" w:fill="E0E0E0"/>
            <w:noWrap/>
            <w:vAlign w:val="center"/>
          </w:tcPr>
          <w:p w14:paraId="29F4E33F">
            <w:pPr>
              <w:spacing w:line="300" w:lineRule="auto"/>
              <w:jc w:val="center"/>
              <w:rPr>
                <w:rFonts w:ascii="宋体" w:hAnsi="宋体" w:cs="宋体"/>
                <w:b/>
                <w:szCs w:val="21"/>
              </w:rPr>
            </w:pPr>
            <w:r>
              <w:rPr>
                <w:rFonts w:hint="eastAsia" w:ascii="宋体" w:hAnsi="宋体" w:cs="宋体"/>
                <w:b/>
                <w:szCs w:val="21"/>
              </w:rPr>
              <w:t>投标文件提交截止时间及开标时间</w:t>
            </w:r>
          </w:p>
        </w:tc>
        <w:tc>
          <w:tcPr>
            <w:tcW w:w="7853" w:type="dxa"/>
            <w:shd w:val="clear" w:color="auto" w:fill="FFFFFF"/>
            <w:noWrap/>
            <w:vAlign w:val="center"/>
          </w:tcPr>
          <w:p w14:paraId="30D1D7CF">
            <w:pPr>
              <w:spacing w:line="300" w:lineRule="auto"/>
              <w:jc w:val="left"/>
              <w:rPr>
                <w:rFonts w:ascii="宋体" w:hAnsi="宋体"/>
                <w:b/>
                <w:szCs w:val="21"/>
              </w:rPr>
            </w:pPr>
            <w:r>
              <w:rPr>
                <w:rFonts w:hint="eastAsia" w:ascii="宋体" w:hAnsi="宋体"/>
                <w:b/>
                <w:bCs/>
                <w:szCs w:val="21"/>
              </w:rPr>
              <w:t>2025年04月01日 09:00（北京时间）</w:t>
            </w:r>
          </w:p>
        </w:tc>
      </w:tr>
      <w:tr w14:paraId="0D0D8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vMerge w:val="restart"/>
            <w:shd w:val="clear" w:color="auto" w:fill="E0E0E0"/>
            <w:noWrap/>
            <w:vAlign w:val="center"/>
          </w:tcPr>
          <w:p w14:paraId="53398EEB">
            <w:pPr>
              <w:spacing w:line="300" w:lineRule="auto"/>
              <w:jc w:val="center"/>
              <w:rPr>
                <w:rFonts w:hint="default" w:ascii="宋体" w:hAnsi="宋体" w:eastAsia="宋体" w:cs="宋体"/>
                <w:b/>
                <w:szCs w:val="21"/>
                <w:lang w:val="en-US" w:eastAsia="zh-CN"/>
              </w:rPr>
            </w:pPr>
            <w:r>
              <w:rPr>
                <w:rFonts w:hint="eastAsia" w:ascii="宋体" w:hAnsi="宋体" w:cs="宋体"/>
                <w:b/>
                <w:szCs w:val="21"/>
                <w:lang w:val="en-US" w:eastAsia="zh-CN"/>
              </w:rPr>
              <w:t>15</w:t>
            </w:r>
          </w:p>
        </w:tc>
        <w:tc>
          <w:tcPr>
            <w:tcW w:w="1546" w:type="dxa"/>
            <w:vMerge w:val="restart"/>
            <w:shd w:val="clear" w:color="auto" w:fill="E0E0E0"/>
            <w:noWrap/>
            <w:vAlign w:val="center"/>
          </w:tcPr>
          <w:p w14:paraId="339013FD">
            <w:pPr>
              <w:spacing w:line="300" w:lineRule="auto"/>
              <w:jc w:val="center"/>
              <w:rPr>
                <w:rFonts w:ascii="宋体" w:hAnsi="宋体" w:cs="宋体"/>
                <w:b/>
                <w:szCs w:val="21"/>
              </w:rPr>
            </w:pPr>
            <w:r>
              <w:rPr>
                <w:rFonts w:hint="eastAsia" w:ascii="宋体" w:hAnsi="宋体" w:cs="宋体"/>
                <w:b/>
                <w:szCs w:val="21"/>
              </w:rPr>
              <w:t>中小企业</w:t>
            </w:r>
          </w:p>
          <w:p w14:paraId="628E6F1C">
            <w:pPr>
              <w:spacing w:line="300" w:lineRule="auto"/>
              <w:jc w:val="center"/>
              <w:rPr>
                <w:rFonts w:ascii="宋体" w:hAnsi="宋体" w:cs="宋体"/>
                <w:b/>
                <w:szCs w:val="21"/>
              </w:rPr>
            </w:pPr>
            <w:r>
              <w:rPr>
                <w:rFonts w:hint="eastAsia" w:ascii="宋体" w:hAnsi="宋体" w:cs="宋体"/>
                <w:b/>
                <w:szCs w:val="21"/>
              </w:rPr>
              <w:t>扶持政策</w:t>
            </w:r>
          </w:p>
        </w:tc>
        <w:tc>
          <w:tcPr>
            <w:tcW w:w="7853" w:type="dxa"/>
            <w:shd w:val="clear" w:color="auto" w:fill="FFFFFF"/>
            <w:noWrap/>
            <w:vAlign w:val="center"/>
          </w:tcPr>
          <w:p w14:paraId="292F32F9">
            <w:pPr>
              <w:spacing w:line="300" w:lineRule="auto"/>
              <w:jc w:val="left"/>
              <w:rPr>
                <w:rFonts w:ascii="宋体" w:hAnsi="宋体" w:cs="宋体"/>
                <w:b/>
                <w:kern w:val="0"/>
                <w:szCs w:val="21"/>
              </w:rPr>
            </w:pPr>
            <w:r>
              <w:rPr>
                <w:rFonts w:hint="eastAsia" w:ascii="宋体" w:hAnsi="宋体" w:cs="宋体"/>
                <w:b/>
                <w:kern w:val="0"/>
                <w:szCs w:val="21"/>
              </w:rPr>
              <w:t>本项目专门面向中小企业采购。</w:t>
            </w:r>
          </w:p>
        </w:tc>
      </w:tr>
      <w:tr w14:paraId="6D62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vMerge w:val="continue"/>
            <w:shd w:val="clear" w:color="auto" w:fill="E0E0E0"/>
            <w:noWrap/>
            <w:vAlign w:val="center"/>
          </w:tcPr>
          <w:p w14:paraId="51CD9BEF">
            <w:pPr>
              <w:spacing w:line="300" w:lineRule="auto"/>
              <w:jc w:val="center"/>
              <w:rPr>
                <w:rFonts w:ascii="宋体" w:hAnsi="宋体" w:cs="宋体"/>
                <w:b/>
                <w:szCs w:val="21"/>
              </w:rPr>
            </w:pPr>
          </w:p>
        </w:tc>
        <w:tc>
          <w:tcPr>
            <w:tcW w:w="1546" w:type="dxa"/>
            <w:vMerge w:val="continue"/>
            <w:shd w:val="clear" w:color="auto" w:fill="E0E0E0"/>
            <w:noWrap/>
            <w:vAlign w:val="center"/>
          </w:tcPr>
          <w:p w14:paraId="3B2C1B6C">
            <w:pPr>
              <w:spacing w:line="300" w:lineRule="auto"/>
              <w:jc w:val="center"/>
              <w:rPr>
                <w:rFonts w:ascii="宋体" w:hAnsi="宋体" w:cs="宋体"/>
                <w:b/>
                <w:szCs w:val="21"/>
              </w:rPr>
            </w:pPr>
          </w:p>
        </w:tc>
        <w:tc>
          <w:tcPr>
            <w:tcW w:w="7853" w:type="dxa"/>
            <w:shd w:val="clear" w:color="auto" w:fill="FFFFFF"/>
            <w:noWrap/>
            <w:vAlign w:val="center"/>
          </w:tcPr>
          <w:p w14:paraId="18132A12">
            <w:pPr>
              <w:spacing w:line="300" w:lineRule="auto"/>
              <w:jc w:val="left"/>
              <w:rPr>
                <w:rFonts w:ascii="宋体" w:hAnsi="宋体" w:cs="宋体"/>
                <w:b/>
                <w:kern w:val="0"/>
                <w:szCs w:val="21"/>
              </w:rPr>
            </w:pPr>
            <w:r>
              <w:rPr>
                <w:rFonts w:hint="eastAsia" w:ascii="宋体" w:hAnsi="宋体" w:cs="宋体"/>
                <w:b/>
                <w:kern w:val="0"/>
                <w:szCs w:val="21"/>
              </w:rPr>
              <w:t>本项目不接受联合体投标。</w:t>
            </w:r>
          </w:p>
        </w:tc>
      </w:tr>
      <w:tr w14:paraId="5227F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vMerge w:val="continue"/>
            <w:shd w:val="clear" w:color="auto" w:fill="E0E0E0"/>
            <w:noWrap/>
            <w:vAlign w:val="center"/>
          </w:tcPr>
          <w:p w14:paraId="31D9B6A0">
            <w:pPr>
              <w:spacing w:line="300" w:lineRule="auto"/>
              <w:jc w:val="center"/>
              <w:rPr>
                <w:rFonts w:ascii="宋体" w:hAnsi="宋体" w:cs="宋体"/>
                <w:b/>
                <w:szCs w:val="21"/>
              </w:rPr>
            </w:pPr>
          </w:p>
        </w:tc>
        <w:tc>
          <w:tcPr>
            <w:tcW w:w="1546" w:type="dxa"/>
            <w:vMerge w:val="continue"/>
            <w:shd w:val="clear" w:color="auto" w:fill="E0E0E0"/>
            <w:noWrap/>
            <w:vAlign w:val="center"/>
          </w:tcPr>
          <w:p w14:paraId="7D8B5531">
            <w:pPr>
              <w:spacing w:line="300" w:lineRule="auto"/>
              <w:jc w:val="center"/>
              <w:rPr>
                <w:rFonts w:ascii="宋体" w:hAnsi="宋体" w:cs="宋体"/>
                <w:b/>
                <w:szCs w:val="21"/>
              </w:rPr>
            </w:pPr>
          </w:p>
        </w:tc>
        <w:tc>
          <w:tcPr>
            <w:tcW w:w="7853" w:type="dxa"/>
            <w:shd w:val="clear" w:color="auto" w:fill="FFFFFF"/>
            <w:noWrap/>
            <w:vAlign w:val="center"/>
          </w:tcPr>
          <w:p w14:paraId="37C53D8E">
            <w:pPr>
              <w:spacing w:line="300" w:lineRule="auto"/>
              <w:jc w:val="left"/>
              <w:rPr>
                <w:rFonts w:ascii="宋体" w:hAnsi="宋体" w:cs="宋体"/>
                <w:b/>
                <w:kern w:val="0"/>
                <w:szCs w:val="21"/>
              </w:rPr>
            </w:pPr>
            <w:r>
              <w:rPr>
                <w:rFonts w:hint="eastAsia" w:ascii="宋体" w:hAnsi="宋体" w:cs="宋体"/>
                <w:b/>
                <w:kern w:val="0"/>
                <w:szCs w:val="21"/>
              </w:rPr>
              <w:t>本项目不允许分包、分包。</w:t>
            </w:r>
          </w:p>
        </w:tc>
      </w:tr>
      <w:tr w14:paraId="6FDFD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vMerge w:val="continue"/>
            <w:shd w:val="clear" w:color="auto" w:fill="E0E0E0"/>
            <w:noWrap/>
            <w:vAlign w:val="center"/>
          </w:tcPr>
          <w:p w14:paraId="6BC5B26C">
            <w:pPr>
              <w:spacing w:line="300" w:lineRule="auto"/>
              <w:jc w:val="center"/>
              <w:rPr>
                <w:rFonts w:ascii="宋体" w:hAnsi="宋体" w:cs="宋体"/>
                <w:b/>
                <w:szCs w:val="21"/>
              </w:rPr>
            </w:pPr>
          </w:p>
        </w:tc>
        <w:tc>
          <w:tcPr>
            <w:tcW w:w="1546" w:type="dxa"/>
            <w:vMerge w:val="continue"/>
            <w:shd w:val="clear" w:color="auto" w:fill="E0E0E0"/>
            <w:noWrap/>
            <w:vAlign w:val="center"/>
          </w:tcPr>
          <w:p w14:paraId="1384AACA">
            <w:pPr>
              <w:spacing w:line="300" w:lineRule="auto"/>
              <w:jc w:val="center"/>
              <w:rPr>
                <w:rFonts w:ascii="宋体" w:hAnsi="宋体" w:cs="宋体"/>
                <w:b/>
                <w:szCs w:val="21"/>
              </w:rPr>
            </w:pPr>
          </w:p>
        </w:tc>
        <w:tc>
          <w:tcPr>
            <w:tcW w:w="7853" w:type="dxa"/>
            <w:shd w:val="clear" w:color="auto" w:fill="FFFFFF"/>
            <w:noWrap/>
            <w:vAlign w:val="center"/>
          </w:tcPr>
          <w:p w14:paraId="5C54F090">
            <w:pPr>
              <w:spacing w:line="300" w:lineRule="auto"/>
              <w:jc w:val="left"/>
              <w:rPr>
                <w:rFonts w:ascii="宋体" w:hAnsi="宋体" w:cs="宋体"/>
                <w:b/>
                <w:kern w:val="0"/>
                <w:szCs w:val="21"/>
              </w:rPr>
            </w:pPr>
            <w:r>
              <w:rPr>
                <w:rFonts w:hint="eastAsia" w:ascii="宋体" w:hAnsi="宋体" w:cs="宋体"/>
                <w:b/>
                <w:kern w:val="0"/>
                <w:szCs w:val="21"/>
              </w:rPr>
              <w:t>本项目采购标的对应的中小企业划分标准所属行业：</w:t>
            </w:r>
            <w:r>
              <w:rPr>
                <w:rFonts w:hint="eastAsia" w:ascii="宋体" w:hAnsi="宋体" w:cs="宋体"/>
                <w:b/>
                <w:kern w:val="0"/>
                <w:szCs w:val="21"/>
                <w:lang w:val="en-US" w:eastAsia="zh-CN"/>
              </w:rPr>
              <w:t>工业</w:t>
            </w:r>
          </w:p>
        </w:tc>
      </w:tr>
      <w:tr w14:paraId="46E62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vMerge w:val="continue"/>
            <w:shd w:val="clear" w:color="auto" w:fill="E0E0E0"/>
            <w:noWrap/>
            <w:vAlign w:val="center"/>
          </w:tcPr>
          <w:p w14:paraId="40E1AFBD">
            <w:pPr>
              <w:spacing w:line="300" w:lineRule="auto"/>
              <w:jc w:val="center"/>
              <w:rPr>
                <w:rFonts w:ascii="宋体" w:hAnsi="宋体" w:cs="宋体"/>
                <w:b/>
                <w:szCs w:val="21"/>
              </w:rPr>
            </w:pPr>
          </w:p>
        </w:tc>
        <w:tc>
          <w:tcPr>
            <w:tcW w:w="1546" w:type="dxa"/>
            <w:vMerge w:val="continue"/>
            <w:shd w:val="clear" w:color="auto" w:fill="E0E0E0"/>
            <w:noWrap/>
            <w:vAlign w:val="center"/>
          </w:tcPr>
          <w:p w14:paraId="39EE534E">
            <w:pPr>
              <w:spacing w:line="300" w:lineRule="auto"/>
              <w:jc w:val="center"/>
              <w:rPr>
                <w:rFonts w:ascii="宋体" w:hAnsi="宋体" w:cs="宋体"/>
                <w:b/>
                <w:szCs w:val="21"/>
              </w:rPr>
            </w:pPr>
          </w:p>
        </w:tc>
        <w:tc>
          <w:tcPr>
            <w:tcW w:w="7853" w:type="dxa"/>
            <w:shd w:val="clear" w:color="auto" w:fill="FFFFFF"/>
            <w:noWrap/>
            <w:vAlign w:val="center"/>
          </w:tcPr>
          <w:p w14:paraId="60E91587">
            <w:pPr>
              <w:spacing w:line="300" w:lineRule="auto"/>
              <w:jc w:val="left"/>
              <w:rPr>
                <w:rFonts w:ascii="宋体" w:hAnsi="宋体" w:cs="宋体"/>
                <w:b/>
                <w:kern w:val="0"/>
                <w:szCs w:val="21"/>
              </w:rPr>
            </w:pPr>
            <w:r>
              <w:rPr>
                <w:rFonts w:hint="eastAsia" w:ascii="宋体" w:hAnsi="宋体" w:cs="宋体"/>
                <w:b/>
                <w:kern w:val="0"/>
                <w:szCs w:val="21"/>
              </w:rPr>
              <w:t>本项目为</w:t>
            </w:r>
            <w:r>
              <w:rPr>
                <w:rFonts w:hint="eastAsia" w:ascii="宋体" w:hAnsi="宋体" w:cs="宋体"/>
                <w:b/>
                <w:kern w:val="0"/>
                <w:szCs w:val="21"/>
                <w:lang w:val="en-US" w:eastAsia="zh-CN"/>
              </w:rPr>
              <w:t>货物</w:t>
            </w:r>
            <w:r>
              <w:rPr>
                <w:rFonts w:hint="eastAsia" w:ascii="宋体" w:hAnsi="宋体" w:cs="宋体"/>
                <w:b/>
                <w:kern w:val="0"/>
                <w:szCs w:val="21"/>
              </w:rPr>
              <w:t>类采购项目。</w:t>
            </w:r>
          </w:p>
        </w:tc>
      </w:tr>
      <w:tr w14:paraId="2C019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CellSpacing w:w="7" w:type="dxa"/>
          <w:jc w:val="center"/>
        </w:trPr>
        <w:tc>
          <w:tcPr>
            <w:tcW w:w="626" w:type="dxa"/>
            <w:vMerge w:val="continue"/>
            <w:shd w:val="clear" w:color="auto" w:fill="E0E0E0"/>
            <w:noWrap/>
            <w:vAlign w:val="center"/>
          </w:tcPr>
          <w:p w14:paraId="4C84CB64">
            <w:pPr>
              <w:spacing w:line="300" w:lineRule="auto"/>
              <w:jc w:val="center"/>
              <w:rPr>
                <w:rFonts w:ascii="宋体" w:hAnsi="宋体" w:cs="宋体"/>
                <w:b/>
                <w:szCs w:val="21"/>
              </w:rPr>
            </w:pPr>
          </w:p>
        </w:tc>
        <w:tc>
          <w:tcPr>
            <w:tcW w:w="1546" w:type="dxa"/>
            <w:vMerge w:val="continue"/>
            <w:shd w:val="clear" w:color="auto" w:fill="E0E0E0"/>
            <w:noWrap/>
            <w:vAlign w:val="center"/>
          </w:tcPr>
          <w:p w14:paraId="60DB6224">
            <w:pPr>
              <w:spacing w:line="300" w:lineRule="auto"/>
              <w:jc w:val="center"/>
              <w:rPr>
                <w:rFonts w:ascii="宋体" w:hAnsi="宋体" w:cs="宋体"/>
                <w:b/>
                <w:szCs w:val="21"/>
              </w:rPr>
            </w:pPr>
          </w:p>
        </w:tc>
        <w:tc>
          <w:tcPr>
            <w:tcW w:w="7853" w:type="dxa"/>
            <w:shd w:val="clear" w:color="auto" w:fill="FFFFFF"/>
            <w:noWrap/>
            <w:vAlign w:val="center"/>
          </w:tcPr>
          <w:p w14:paraId="348BDE1E">
            <w:pPr>
              <w:spacing w:line="360" w:lineRule="auto"/>
              <w:rPr>
                <w:rFonts w:ascii="宋体" w:hAnsi="宋体" w:cs="宋体"/>
                <w:b/>
                <w:kern w:val="0"/>
                <w:szCs w:val="21"/>
              </w:rPr>
            </w:pPr>
            <w:r>
              <w:rPr>
                <w:rFonts w:hint="eastAsia" w:ascii="宋体" w:hAnsi="宋体" w:cs="宋体"/>
                <w:b/>
                <w:kern w:val="0"/>
                <w:szCs w:val="21"/>
              </w:rPr>
              <w:t>根据《政府采购促进中小企业发展管理办法》（财库[2020]46号）规定：</w:t>
            </w:r>
          </w:p>
          <w:p w14:paraId="7E33BC27">
            <w:pPr>
              <w:spacing w:line="360" w:lineRule="auto"/>
              <w:ind w:firstLine="422" w:firstLineChars="200"/>
              <w:rPr>
                <w:rFonts w:ascii="宋体" w:hAnsi="宋体" w:cs="宋体"/>
                <w:b/>
                <w:kern w:val="0"/>
                <w:szCs w:val="21"/>
              </w:rPr>
            </w:pPr>
            <w:r>
              <w:rPr>
                <w:rFonts w:hint="eastAsia" w:ascii="宋体" w:hAnsi="宋体" w:cs="宋体"/>
                <w:b/>
                <w:kern w:val="0"/>
                <w:szCs w:val="21"/>
              </w:rPr>
              <w:t xml:space="preserve">一、本办法所称中小企业，是指在中华人民共和国境内依法设立，依据国务院批准的中小企业划分标准确定的中型企业、小型企业和微型企业，但与大企业的负责人为同一人，或者与大企业存在直接控股、管理关系的除外。 </w:t>
            </w:r>
          </w:p>
          <w:p w14:paraId="05D67AB0">
            <w:pPr>
              <w:spacing w:line="360" w:lineRule="auto"/>
              <w:ind w:firstLine="422" w:firstLineChars="200"/>
              <w:rPr>
                <w:rFonts w:ascii="宋体" w:hAnsi="宋体" w:cs="宋体"/>
                <w:b/>
                <w:kern w:val="0"/>
                <w:szCs w:val="21"/>
              </w:rPr>
            </w:pPr>
            <w:r>
              <w:rPr>
                <w:rFonts w:hint="eastAsia" w:ascii="宋体" w:hAnsi="宋体" w:cs="宋体"/>
                <w:b/>
                <w:kern w:val="0"/>
                <w:szCs w:val="21"/>
              </w:rPr>
              <w:t>符合中小企业划分标准的个体工商户，在政府采购活动中视同中小企业。</w:t>
            </w:r>
          </w:p>
          <w:p w14:paraId="06BCF2D9">
            <w:pPr>
              <w:spacing w:line="360" w:lineRule="auto"/>
              <w:ind w:firstLine="422" w:firstLineChars="200"/>
              <w:rPr>
                <w:rFonts w:ascii="宋体" w:hAnsi="宋体" w:cs="宋体"/>
                <w:b/>
                <w:kern w:val="0"/>
                <w:szCs w:val="21"/>
              </w:rPr>
            </w:pPr>
            <w:r>
              <w:rPr>
                <w:rFonts w:hint="eastAsia" w:ascii="宋体" w:hAnsi="宋体" w:cs="宋体"/>
                <w:b/>
                <w:kern w:val="0"/>
                <w:szCs w:val="21"/>
              </w:rPr>
              <w:t>二、在政府采购活动中，供应商提供的货物、工程或者服务符合下列情形的，享受本办法规定的中小企业扶持政策：</w:t>
            </w:r>
          </w:p>
          <w:p w14:paraId="3F2214E5">
            <w:pPr>
              <w:spacing w:line="360" w:lineRule="auto"/>
              <w:ind w:firstLine="422" w:firstLineChars="200"/>
              <w:rPr>
                <w:rFonts w:ascii="宋体" w:hAnsi="宋体" w:cs="宋体"/>
                <w:b/>
                <w:kern w:val="0"/>
                <w:szCs w:val="21"/>
              </w:rPr>
            </w:pPr>
            <w:r>
              <w:rPr>
                <w:rFonts w:hint="eastAsia" w:ascii="宋体" w:hAnsi="宋体" w:cs="宋体"/>
                <w:b/>
                <w:kern w:val="0"/>
                <w:szCs w:val="21"/>
              </w:rPr>
              <w:t xml:space="preserve">（一）在货物采购项目中，货物由中小企业制造，即货物由中小企业生产且使用该中小企业商号或者注册商标； </w:t>
            </w:r>
          </w:p>
          <w:p w14:paraId="3233A824">
            <w:pPr>
              <w:spacing w:line="360" w:lineRule="auto"/>
              <w:ind w:firstLine="422" w:firstLineChars="200"/>
              <w:rPr>
                <w:rFonts w:ascii="宋体" w:hAnsi="宋体" w:cs="宋体"/>
                <w:b/>
                <w:kern w:val="0"/>
                <w:szCs w:val="21"/>
              </w:rPr>
            </w:pPr>
            <w:r>
              <w:rPr>
                <w:rFonts w:hint="eastAsia" w:ascii="宋体" w:hAnsi="宋体" w:cs="宋体"/>
                <w:b/>
                <w:kern w:val="0"/>
                <w:szCs w:val="21"/>
              </w:rPr>
              <w:t xml:space="preserve">（二）在工程采购项目中，工程由中小企业承建，即工程施工单位为中小企业； </w:t>
            </w:r>
          </w:p>
          <w:p w14:paraId="4A9EAFC7">
            <w:pPr>
              <w:spacing w:line="360" w:lineRule="auto"/>
              <w:ind w:firstLine="422" w:firstLineChars="200"/>
              <w:rPr>
                <w:rFonts w:ascii="宋体" w:hAnsi="宋体" w:cs="宋体"/>
                <w:b/>
                <w:kern w:val="0"/>
                <w:szCs w:val="21"/>
              </w:rPr>
            </w:pPr>
            <w:r>
              <w:rPr>
                <w:rFonts w:hint="eastAsia" w:ascii="宋体" w:hAnsi="宋体" w:cs="宋体"/>
                <w:b/>
                <w:kern w:val="0"/>
                <w:szCs w:val="21"/>
              </w:rPr>
              <w:t xml:space="preserve">（三）在服务采购项目中，服务由中小企业承接，即提供服务的人员为中小企业依照《中华人民共和国劳动合同法》订立劳动合同的从业人员。 </w:t>
            </w:r>
          </w:p>
          <w:p w14:paraId="5E5F8878">
            <w:pPr>
              <w:spacing w:line="360" w:lineRule="auto"/>
              <w:ind w:firstLine="422" w:firstLineChars="200"/>
              <w:rPr>
                <w:rFonts w:ascii="宋体" w:hAnsi="宋体" w:cs="宋体"/>
                <w:b/>
                <w:kern w:val="0"/>
                <w:szCs w:val="21"/>
              </w:rPr>
            </w:pPr>
            <w:r>
              <w:rPr>
                <w:rFonts w:hint="eastAsia" w:ascii="宋体" w:hAnsi="宋体" w:cs="宋体"/>
                <w:b/>
                <w:kern w:val="0"/>
                <w:szCs w:val="21"/>
              </w:rPr>
              <w:t>在货物采购项目中，供应商提供的货物既有中小企业制造货物，也有大型企业制造货物的，不享受本办法规定的中小企业扶持政策。</w:t>
            </w:r>
          </w:p>
          <w:p w14:paraId="00FC1F26">
            <w:pPr>
              <w:spacing w:line="360" w:lineRule="auto"/>
              <w:ind w:firstLine="422" w:firstLineChars="200"/>
              <w:rPr>
                <w:rFonts w:ascii="宋体" w:hAnsi="宋体" w:cs="宋体"/>
                <w:b/>
                <w:kern w:val="0"/>
                <w:szCs w:val="21"/>
              </w:rPr>
            </w:pPr>
            <w:r>
              <w:rPr>
                <w:rFonts w:hint="eastAsia" w:ascii="宋体" w:hAnsi="宋体" w:cs="宋体"/>
                <w:b/>
                <w:kern w:val="0"/>
                <w:szCs w:val="21"/>
              </w:rPr>
              <w:t xml:space="preserve">以联合体形式参加政府采购活动，联合体各方均为中小企业的，联合体视同中小企业。其中，联合体各方均为小微企业的，联合体视同小微企业。 </w:t>
            </w:r>
          </w:p>
          <w:p w14:paraId="5DA54D30">
            <w:pPr>
              <w:spacing w:line="360" w:lineRule="auto"/>
              <w:ind w:firstLine="422" w:firstLineChars="200"/>
              <w:rPr>
                <w:rFonts w:ascii="宋体" w:hAnsi="宋体" w:cs="宋体"/>
                <w:b/>
                <w:kern w:val="0"/>
                <w:szCs w:val="21"/>
              </w:rPr>
            </w:pPr>
            <w:r>
              <w:rPr>
                <w:rFonts w:hint="eastAsia" w:ascii="宋体" w:hAnsi="宋体" w:cs="宋体"/>
                <w:b/>
                <w:kern w:val="0"/>
                <w:szCs w:val="21"/>
              </w:rPr>
              <w:t>三、符合财政部 司法部关于政府采购支持监狱企业发展有关问题的通知（财库〔2014〕68 号）的监狱企业、符合财政部 民政部 中国残疾人联合会关于促进残疾人就业政府采购政策的通知（财库〔2017〕141 号）的残疾人福利性单位，在政府采购活动中，视同小型、微型企业，享受本办法规定的中小企业扶持政策。监狱企业、残疾人福利性单位属于小型、微型企业的，不重复享受政策。</w:t>
            </w:r>
          </w:p>
          <w:p w14:paraId="29DF8063">
            <w:pPr>
              <w:spacing w:line="360" w:lineRule="auto"/>
              <w:ind w:firstLine="422" w:firstLineChars="200"/>
              <w:rPr>
                <w:rFonts w:ascii="宋体" w:hAnsi="宋体" w:cs="宋体"/>
                <w:b/>
                <w:kern w:val="0"/>
                <w:szCs w:val="21"/>
              </w:rPr>
            </w:pPr>
            <w:r>
              <w:rPr>
                <w:rFonts w:hint="eastAsia" w:ascii="宋体" w:hAnsi="宋体" w:cs="宋体"/>
                <w:b/>
                <w:kern w:val="0"/>
                <w:szCs w:val="21"/>
              </w:rPr>
              <w:t>四、依据本办法规定享受扶持政策获得政府采购合同的，小微企业不得将合同分包给大中型企业，中型企业不得将合同分包给大型企业。</w:t>
            </w:r>
          </w:p>
          <w:p w14:paraId="64BF91C3">
            <w:pPr>
              <w:spacing w:line="360" w:lineRule="auto"/>
              <w:ind w:firstLine="422" w:firstLineChars="200"/>
              <w:rPr>
                <w:rFonts w:ascii="宋体" w:hAnsi="宋体" w:cs="宋体"/>
                <w:b/>
                <w:kern w:val="0"/>
                <w:szCs w:val="21"/>
              </w:rPr>
            </w:pPr>
            <w:r>
              <w:rPr>
                <w:rFonts w:hint="eastAsia" w:ascii="宋体" w:hAnsi="宋体" w:cs="宋体"/>
                <w:b/>
                <w:kern w:val="0"/>
                <w:szCs w:val="21"/>
              </w:rPr>
              <w:t>五、本项目中小企业扶持政策</w:t>
            </w:r>
          </w:p>
          <w:p w14:paraId="22AF786D">
            <w:pPr>
              <w:spacing w:line="360" w:lineRule="auto"/>
              <w:ind w:firstLine="422" w:firstLineChars="200"/>
              <w:rPr>
                <w:rFonts w:ascii="宋体" w:hAnsi="宋体" w:cs="宋体"/>
                <w:b/>
                <w:kern w:val="0"/>
                <w:szCs w:val="21"/>
              </w:rPr>
            </w:pPr>
            <w:r>
              <w:rPr>
                <w:rFonts w:hint="eastAsia" w:ascii="宋体" w:hAnsi="宋体" w:cs="宋体"/>
                <w:b/>
                <w:kern w:val="0"/>
                <w:szCs w:val="21"/>
              </w:rPr>
              <w:t>【预留份额政策】本项目专门面向中小企业采购：</w:t>
            </w:r>
          </w:p>
          <w:p w14:paraId="144F3B04">
            <w:pPr>
              <w:spacing w:line="360" w:lineRule="auto"/>
              <w:ind w:firstLine="422" w:firstLineChars="200"/>
              <w:rPr>
                <w:rFonts w:ascii="宋体" w:hAnsi="宋体" w:cs="宋体"/>
                <w:b/>
                <w:kern w:val="0"/>
                <w:szCs w:val="21"/>
              </w:rPr>
            </w:pPr>
            <w:r>
              <w:rPr>
                <w:rFonts w:hint="eastAsia" w:ascii="宋体" w:hAnsi="宋体" w:cs="宋体"/>
                <w:b/>
                <w:kern w:val="0"/>
                <w:szCs w:val="21"/>
              </w:rPr>
              <w:t>投标人须提供《中小企业声明函》（监狱企业须提供由省级以上监狱管理局、戒毒管理局（含新疆生产建设兵团）出具的属于监狱企业的证明文件；残疾人福利性单位须提供《残疾人福利性单位声明函》）附在资格证明文件内，否则不享受预留份额政策。</w:t>
            </w:r>
          </w:p>
        </w:tc>
      </w:tr>
    </w:tbl>
    <w:p w14:paraId="464F7B14">
      <w:pPr>
        <w:snapToGrid w:val="0"/>
        <w:spacing w:line="276" w:lineRule="auto"/>
        <w:jc w:val="center"/>
        <w:rPr>
          <w:rFonts w:ascii="宋体" w:hAnsi="宋体" w:cs="宋体"/>
          <w:b/>
          <w:szCs w:val="21"/>
        </w:rPr>
      </w:pPr>
    </w:p>
    <w:p w14:paraId="7CE83217">
      <w:pPr>
        <w:snapToGrid w:val="0"/>
        <w:spacing w:line="276" w:lineRule="auto"/>
        <w:jc w:val="center"/>
        <w:outlineLvl w:val="1"/>
        <w:rPr>
          <w:rFonts w:ascii="宋体" w:hAnsi="宋体" w:cs="宋体"/>
          <w:b/>
          <w:szCs w:val="21"/>
        </w:rPr>
      </w:pPr>
      <w:bookmarkStart w:id="31" w:name="_Toc24672"/>
      <w:r>
        <w:rPr>
          <w:rFonts w:hint="eastAsia" w:ascii="宋体" w:hAnsi="宋体" w:cs="宋体"/>
          <w:b/>
          <w:szCs w:val="21"/>
        </w:rPr>
        <w:t>一、总  则</w:t>
      </w:r>
      <w:bookmarkEnd w:id="31"/>
    </w:p>
    <w:p w14:paraId="5F8E3373">
      <w:pPr>
        <w:pStyle w:val="15"/>
        <w:snapToGrid w:val="0"/>
        <w:spacing w:before="120" w:after="120" w:line="360" w:lineRule="auto"/>
        <w:ind w:firstLine="422" w:firstLineChars="200"/>
        <w:rPr>
          <w:rFonts w:hAnsi="宋体" w:eastAsia="宋体" w:cs="宋体"/>
          <w:b/>
          <w:sz w:val="21"/>
          <w:szCs w:val="21"/>
        </w:rPr>
      </w:pPr>
      <w:r>
        <w:rPr>
          <w:rFonts w:hint="eastAsia" w:hAnsi="宋体" w:eastAsia="宋体" w:cs="宋体"/>
          <w:b/>
          <w:sz w:val="21"/>
          <w:szCs w:val="21"/>
        </w:rPr>
        <w:t>（一）适用范围</w:t>
      </w:r>
    </w:p>
    <w:p w14:paraId="078BF3B9">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本招标文件适用于本次项目的评标、定标、验收、合同履约、付款等（法律、法规另有规定的，从其规定）。</w:t>
      </w:r>
    </w:p>
    <w:p w14:paraId="546EB5D1">
      <w:pPr>
        <w:snapToGrid w:val="0"/>
        <w:spacing w:line="360" w:lineRule="auto"/>
        <w:ind w:firstLine="422" w:firstLineChars="200"/>
        <w:jc w:val="left"/>
        <w:rPr>
          <w:rFonts w:ascii="宋体" w:hAnsi="宋体" w:cs="宋体"/>
          <w:b/>
          <w:szCs w:val="21"/>
        </w:rPr>
      </w:pPr>
      <w:r>
        <w:rPr>
          <w:rFonts w:hint="eastAsia" w:ascii="宋体" w:hAnsi="宋体" w:cs="宋体"/>
          <w:b/>
          <w:szCs w:val="21"/>
        </w:rPr>
        <w:t>（二）定义</w:t>
      </w:r>
    </w:p>
    <w:p w14:paraId="2280D5D2">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1、“采购人”、“招标人”系指组织本次采购的单位：</w:t>
      </w:r>
      <w:r>
        <w:rPr>
          <w:rFonts w:hint="eastAsia" w:hAnsi="宋体" w:eastAsia="宋体" w:cs="宋体"/>
          <w:sz w:val="21"/>
          <w:szCs w:val="21"/>
          <w:lang w:eastAsia="zh-CN"/>
        </w:rPr>
        <w:t>舟山市公安局定海区分局</w:t>
      </w:r>
      <w:r>
        <w:rPr>
          <w:rFonts w:hint="eastAsia" w:hAnsi="宋体" w:eastAsia="宋体" w:cs="宋体"/>
          <w:sz w:val="21"/>
          <w:szCs w:val="21"/>
        </w:rPr>
        <w:t>。</w:t>
      </w:r>
    </w:p>
    <w:p w14:paraId="5AC68CD2">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2、“采购代理机构”系指中金招标有限责任公司。</w:t>
      </w:r>
    </w:p>
    <w:p w14:paraId="045A0E83">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3、“投标人”系指向采购代理机构提交投标文件的供应商。</w:t>
      </w:r>
    </w:p>
    <w:p w14:paraId="3AD6AA3B">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4、“中标人”系指经评审小组评定，且审查通过，并经公示无异议的合格投标人。</w:t>
      </w:r>
    </w:p>
    <w:p w14:paraId="2B35FCD7">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5、“投标人代表”系指全权代表投标人参加本次投标活动并签署投标文件的人，如果投标人代表不是投标人的法定代表人，须提供《法定代表人授权函》。</w:t>
      </w:r>
    </w:p>
    <w:p w14:paraId="457649F4">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6、“产品”系指供方按招标文件规定，须向采购人提供的一切产品、保险、税金、备品备件、工具、手册及其它有关技术资料和材料。</w:t>
      </w:r>
    </w:p>
    <w:p w14:paraId="24202A80">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7、“服务”系指招标文件规定投标人须承担的</w:t>
      </w:r>
      <w:r>
        <w:rPr>
          <w:rFonts w:hint="eastAsia" w:hAnsi="宋体" w:eastAsia="宋体" w:cs="宋体"/>
          <w:sz w:val="21"/>
          <w:szCs w:val="21"/>
          <w:lang w:val="en-US" w:eastAsia="zh-CN"/>
        </w:rPr>
        <w:t>勘查、制作、运输、安装</w:t>
      </w:r>
      <w:r>
        <w:rPr>
          <w:rFonts w:hint="eastAsia" w:hAnsi="宋体" w:eastAsia="宋体" w:cs="宋体"/>
          <w:sz w:val="21"/>
          <w:szCs w:val="21"/>
        </w:rPr>
        <w:t>以及其他类似的义务。</w:t>
      </w:r>
    </w:p>
    <w:p w14:paraId="776A7694">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8、“项目”系指投标人按招标文件规定向采购人提供的产品和服务。</w:t>
      </w:r>
    </w:p>
    <w:p w14:paraId="78493847">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9、“书面形式”包括信函、传真、快递、电报等。</w:t>
      </w:r>
    </w:p>
    <w:p w14:paraId="56713F63">
      <w:pPr>
        <w:snapToGrid w:val="0"/>
        <w:spacing w:line="360" w:lineRule="auto"/>
        <w:ind w:firstLine="422" w:firstLineChars="200"/>
        <w:jc w:val="left"/>
        <w:rPr>
          <w:rFonts w:ascii="宋体" w:hAnsi="宋体" w:cs="宋体"/>
          <w:b/>
          <w:szCs w:val="21"/>
        </w:rPr>
      </w:pPr>
      <w:r>
        <w:rPr>
          <w:rFonts w:hint="eastAsia" w:ascii="宋体" w:hAnsi="宋体" w:cs="宋体"/>
          <w:b/>
          <w:szCs w:val="21"/>
        </w:rPr>
        <w:t>（三）采购方式</w:t>
      </w:r>
    </w:p>
    <w:p w14:paraId="3466C06C">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本次采用公开招标方式进行。</w:t>
      </w:r>
    </w:p>
    <w:p w14:paraId="50BA9DC6">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（四）预算金额</w:t>
      </w:r>
    </w:p>
    <w:p w14:paraId="77447545">
      <w:pPr>
        <w:snapToGrid w:val="0"/>
        <w:spacing w:line="360" w:lineRule="auto"/>
        <w:ind w:firstLine="422" w:firstLineChars="200"/>
        <w:jc w:val="left"/>
        <w:rPr>
          <w:rFonts w:ascii="宋体" w:hAnsi="宋体" w:cs="宋体"/>
          <w:b/>
          <w:szCs w:val="21"/>
        </w:rPr>
      </w:pPr>
      <w:r>
        <w:rPr>
          <w:rFonts w:hint="eastAsia" w:ascii="宋体" w:hAnsi="宋体" w:cs="宋体"/>
          <w:b/>
          <w:szCs w:val="21"/>
          <w:lang w:val="en-US" w:eastAsia="zh-CN"/>
        </w:rPr>
        <w:t>854276.98元</w:t>
      </w:r>
      <w:r>
        <w:rPr>
          <w:rFonts w:hint="eastAsia" w:ascii="宋体" w:hAnsi="宋体" w:cs="宋体"/>
          <w:b/>
          <w:szCs w:val="21"/>
        </w:rPr>
        <w:t>；超过作投标无效处理。</w:t>
      </w:r>
    </w:p>
    <w:p w14:paraId="1C45529D">
      <w:pPr>
        <w:snapToGrid w:val="0"/>
        <w:spacing w:line="360" w:lineRule="auto"/>
        <w:ind w:firstLine="422" w:firstLineChars="200"/>
        <w:jc w:val="left"/>
        <w:rPr>
          <w:rFonts w:ascii="宋体" w:hAnsi="宋体" w:cs="宋体"/>
          <w:b/>
          <w:szCs w:val="21"/>
        </w:rPr>
      </w:pPr>
      <w:r>
        <w:rPr>
          <w:rFonts w:hint="eastAsia" w:ascii="宋体" w:hAnsi="宋体" w:cs="宋体"/>
          <w:b/>
          <w:szCs w:val="21"/>
        </w:rPr>
        <w:t>（五）联合体投标</w:t>
      </w:r>
    </w:p>
    <w:p w14:paraId="3A334D40">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不接受联合体投标。</w:t>
      </w:r>
    </w:p>
    <w:p w14:paraId="53D19D84">
      <w:pPr>
        <w:snapToGrid w:val="0"/>
        <w:spacing w:line="360" w:lineRule="auto"/>
        <w:ind w:firstLine="422" w:firstLineChars="200"/>
        <w:jc w:val="left"/>
        <w:rPr>
          <w:rFonts w:ascii="宋体" w:hAnsi="宋体" w:cs="宋体"/>
          <w:b/>
          <w:szCs w:val="21"/>
        </w:rPr>
      </w:pPr>
      <w:r>
        <w:rPr>
          <w:rFonts w:hint="eastAsia" w:ascii="宋体" w:hAnsi="宋体" w:cs="宋体"/>
          <w:b/>
          <w:szCs w:val="21"/>
        </w:rPr>
        <w:t>（六）转包与分包</w:t>
      </w:r>
    </w:p>
    <w:p w14:paraId="787FB59E">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1.本项目不允许转包。</w:t>
      </w:r>
    </w:p>
    <w:p w14:paraId="68F98BFD">
      <w:pPr>
        <w:snapToGrid w:val="0"/>
        <w:spacing w:line="360" w:lineRule="auto"/>
        <w:ind w:firstLine="420" w:firstLineChars="200"/>
        <w:jc w:val="left"/>
        <w:rPr>
          <w:rFonts w:ascii="宋体" w:hAnsi="宋体" w:cs="宋体"/>
          <w:bCs/>
          <w:szCs w:val="21"/>
        </w:rPr>
      </w:pPr>
      <w:r>
        <w:rPr>
          <w:rFonts w:hint="eastAsia" w:ascii="宋体" w:hAnsi="宋体" w:cs="宋体"/>
          <w:bCs/>
          <w:szCs w:val="21"/>
        </w:rPr>
        <w:t>2.本项目不允许分包。</w:t>
      </w:r>
    </w:p>
    <w:p w14:paraId="12828D5D">
      <w:pPr>
        <w:snapToGrid w:val="0"/>
        <w:spacing w:line="360" w:lineRule="auto"/>
        <w:ind w:firstLine="422" w:firstLineChars="200"/>
        <w:jc w:val="left"/>
        <w:rPr>
          <w:rFonts w:ascii="宋体" w:hAnsi="宋体" w:cs="宋体"/>
          <w:b/>
          <w:szCs w:val="21"/>
        </w:rPr>
      </w:pPr>
      <w:r>
        <w:rPr>
          <w:rFonts w:hint="eastAsia" w:ascii="宋体" w:hAnsi="宋体" w:cs="宋体"/>
          <w:b/>
          <w:szCs w:val="21"/>
        </w:rPr>
        <w:t>（七）投标费用</w:t>
      </w:r>
    </w:p>
    <w:p w14:paraId="5AF4E1F5">
      <w:pPr>
        <w:snapToGrid w:val="0"/>
        <w:spacing w:line="360" w:lineRule="auto"/>
        <w:ind w:firstLine="420" w:firstLineChars="200"/>
        <w:jc w:val="left"/>
        <w:rPr>
          <w:rFonts w:ascii="宋体" w:hAnsi="宋体" w:cs="宋体"/>
          <w:szCs w:val="21"/>
        </w:rPr>
      </w:pPr>
      <w:r>
        <w:rPr>
          <w:rFonts w:hint="eastAsia" w:ascii="宋体" w:hAnsi="宋体" w:cs="宋体"/>
          <w:szCs w:val="21"/>
        </w:rPr>
        <w:t>不论投标结果如何，投标人均应自行承担所有与投标有关的全部费用。</w:t>
      </w:r>
    </w:p>
    <w:p w14:paraId="0CAECF50">
      <w:pPr>
        <w:pStyle w:val="15"/>
        <w:snapToGrid w:val="0"/>
        <w:spacing w:line="360" w:lineRule="auto"/>
        <w:ind w:firstLine="422" w:firstLineChars="200"/>
        <w:rPr>
          <w:rFonts w:hAnsi="宋体" w:eastAsia="宋体" w:cs="宋体"/>
          <w:b/>
          <w:kern w:val="0"/>
          <w:sz w:val="21"/>
          <w:szCs w:val="21"/>
        </w:rPr>
      </w:pPr>
      <w:r>
        <w:rPr>
          <w:rFonts w:hint="eastAsia" w:hAnsi="宋体" w:eastAsia="宋体" w:cs="宋体"/>
          <w:b/>
          <w:kern w:val="0"/>
          <w:sz w:val="21"/>
          <w:szCs w:val="21"/>
        </w:rPr>
        <w:t>（八）答疑与澄清</w:t>
      </w:r>
    </w:p>
    <w:p w14:paraId="47C98AEA">
      <w:pPr>
        <w:pStyle w:val="15"/>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投标人如认为招标文件表述不清晰、存在歧视性、排他性或者其他违法内容的，应当于202</w:t>
      </w:r>
      <w:r>
        <w:rPr>
          <w:rFonts w:hint="eastAsia" w:hAnsi="宋体" w:eastAsia="宋体" w:cs="宋体"/>
          <w:kern w:val="0"/>
          <w:sz w:val="21"/>
          <w:szCs w:val="21"/>
          <w:lang w:val="en-US" w:eastAsia="zh-CN"/>
        </w:rPr>
        <w:t>5</w:t>
      </w:r>
      <w:r>
        <w:rPr>
          <w:rFonts w:hint="eastAsia" w:hAnsi="宋体" w:eastAsia="宋体" w:cs="宋体"/>
          <w:kern w:val="0"/>
          <w:sz w:val="21"/>
          <w:szCs w:val="21"/>
        </w:rPr>
        <w:t>年</w:t>
      </w:r>
      <w:r>
        <w:rPr>
          <w:rFonts w:hint="eastAsia" w:hAnsi="宋体" w:eastAsia="宋体" w:cs="宋体"/>
          <w:kern w:val="0"/>
          <w:sz w:val="21"/>
          <w:szCs w:val="21"/>
          <w:lang w:val="en-US" w:eastAsia="zh-CN"/>
        </w:rPr>
        <w:t>03月27</w:t>
      </w:r>
      <w:r>
        <w:rPr>
          <w:rFonts w:hint="eastAsia" w:hAnsi="宋体" w:eastAsia="宋体" w:cs="宋体"/>
          <w:kern w:val="0"/>
          <w:sz w:val="21"/>
          <w:szCs w:val="21"/>
        </w:rPr>
        <w:t>日17：00（北京时间）前，以书面形式要求采购人作出书面解释、澄清或者向采购人提出一次性书面质疑；采购人将组织答疑；答疑内容是招标文件的组成部分，并将以书面形式送达所有已依法获取采购文件的投标人。</w:t>
      </w:r>
    </w:p>
    <w:p w14:paraId="328A14D5">
      <w:pPr>
        <w:pStyle w:val="15"/>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1、根据《中华人民共和国政府采购法实施条例》第五十三条：政府采购法第五十二条规定的供应商应知其权益受到损害之日，是指：</w:t>
      </w:r>
    </w:p>
    <w:p w14:paraId="06BA78ED">
      <w:pPr>
        <w:pStyle w:val="15"/>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①对可以质疑的采购文件提出质疑的，为收到采购文件之日或者采购文件公告期限届满之日；</w:t>
      </w:r>
    </w:p>
    <w:p w14:paraId="104FBD11">
      <w:pPr>
        <w:pStyle w:val="15"/>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②对采购过程提出质疑的，为各采购程序环节结束之日；</w:t>
      </w:r>
    </w:p>
    <w:p w14:paraId="78D38C1D">
      <w:pPr>
        <w:pStyle w:val="15"/>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③对中标或者成交结果提出质疑的，为中标或者成交结果公告期限届满之日。</w:t>
      </w:r>
    </w:p>
    <w:p w14:paraId="3CD1F1D3">
      <w:pPr>
        <w:pStyle w:val="15"/>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2、质疑书应包括下列主要内容：</w:t>
      </w:r>
    </w:p>
    <w:p w14:paraId="1480DC1E">
      <w:pPr>
        <w:pStyle w:val="15"/>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①质疑人的名称、地址、邮政编码、联系人、联系电话，以及被质疑人名称及联系方式；</w:t>
      </w:r>
    </w:p>
    <w:p w14:paraId="0B8FBD88">
      <w:pPr>
        <w:pStyle w:val="15"/>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②被质疑采购项目名称、编号及采购内容；</w:t>
      </w:r>
    </w:p>
    <w:p w14:paraId="437AC0E5">
      <w:pPr>
        <w:pStyle w:val="15"/>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③具体的质疑事项及事实依据；</w:t>
      </w:r>
    </w:p>
    <w:p w14:paraId="5D7B469F">
      <w:pPr>
        <w:pStyle w:val="15"/>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④认为自己合法权益受到损害或可能受到损害的相关证据材料；</w:t>
      </w:r>
    </w:p>
    <w:p w14:paraId="34898DFA">
      <w:pPr>
        <w:pStyle w:val="15"/>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⑤提出质疑的日期。</w:t>
      </w:r>
    </w:p>
    <w:p w14:paraId="055DADF7">
      <w:pPr>
        <w:pStyle w:val="15"/>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3、采购人或者采购代理机构应当在3个工作日内对供应商依法提出的询问作出答复。采购人或者采购代理机构应当在7个工作日内对供应商依法提出的质疑作出答复。供应商提出的询问或者质疑超出采购人对采购代理机构委托授权范围的，采购代理机构应当告知供应商向采购人提出。政府采购评审专家应当配合采购人或者采购代理机构答复供应商的询问和质疑。</w:t>
      </w:r>
    </w:p>
    <w:p w14:paraId="2C33D14F">
      <w:pPr>
        <w:pStyle w:val="15"/>
        <w:snapToGrid w:val="0"/>
        <w:spacing w:line="360" w:lineRule="auto"/>
        <w:ind w:firstLine="420" w:firstLineChars="200"/>
        <w:rPr>
          <w:rFonts w:hAnsi="宋体" w:eastAsia="宋体" w:cs="宋体"/>
          <w:kern w:val="0"/>
          <w:sz w:val="21"/>
          <w:szCs w:val="21"/>
        </w:rPr>
      </w:pPr>
      <w:r>
        <w:rPr>
          <w:rFonts w:hint="eastAsia" w:hAnsi="宋体" w:eastAsia="宋体" w:cs="宋体"/>
          <w:kern w:val="0"/>
          <w:sz w:val="21"/>
          <w:szCs w:val="21"/>
        </w:rPr>
        <w:t>4、质疑供应商对采购人、采购代理机构的答复不满意或者采购人、采购代理机构未在规定的时间内作出答复的，可以在答复期满后十五个工作日内向同级政府采购监督管理部门投诉。</w:t>
      </w:r>
    </w:p>
    <w:p w14:paraId="2B00C92E">
      <w:pPr>
        <w:pStyle w:val="15"/>
        <w:snapToGrid w:val="0"/>
        <w:spacing w:line="360" w:lineRule="auto"/>
        <w:ind w:firstLine="420" w:firstLineChars="200"/>
        <w:rPr>
          <w:rFonts w:hAnsi="宋体" w:eastAsia="宋体" w:cs="宋体"/>
          <w:b/>
          <w:kern w:val="0"/>
          <w:sz w:val="21"/>
          <w:szCs w:val="21"/>
        </w:rPr>
      </w:pPr>
      <w:r>
        <w:rPr>
          <w:rFonts w:hint="eastAsia" w:hAnsi="宋体" w:eastAsia="宋体" w:cs="宋体"/>
          <w:kern w:val="0"/>
          <w:sz w:val="21"/>
          <w:szCs w:val="21"/>
        </w:rPr>
        <w:t>5、供应商质疑、投诉应当有明确的请求和必要的证明材料。供应商投诉的事项不得超出已质疑事项的范围。投诉人捏造事实、提供虚假材料或者以非法手段取得证明材料进行投诉的，财政部门应当予以驳回。财政部门受理投诉后，投诉人书面申请撤回投诉的，财政部门应当终止投诉处理程序。</w:t>
      </w:r>
    </w:p>
    <w:p w14:paraId="4469AF33">
      <w:pPr>
        <w:snapToGrid w:val="0"/>
        <w:spacing w:line="360" w:lineRule="auto"/>
        <w:ind w:firstLine="422" w:firstLineChars="200"/>
        <w:jc w:val="left"/>
        <w:rPr>
          <w:rFonts w:ascii="宋体" w:hAnsi="宋体" w:cs="宋体"/>
          <w:b/>
          <w:szCs w:val="21"/>
        </w:rPr>
      </w:pPr>
      <w:r>
        <w:rPr>
          <w:rFonts w:hint="eastAsia" w:ascii="宋体" w:hAnsi="宋体" w:cs="宋体"/>
          <w:b/>
          <w:szCs w:val="21"/>
        </w:rPr>
        <w:t>（九）信用记录：</w:t>
      </w:r>
    </w:p>
    <w:p w14:paraId="70DAC356">
      <w:pPr>
        <w:snapToGrid w:val="0"/>
        <w:spacing w:line="360" w:lineRule="auto"/>
        <w:ind w:firstLine="420" w:firstLineChars="200"/>
        <w:jc w:val="left"/>
        <w:rPr>
          <w:rFonts w:ascii="宋体" w:hAnsi="宋体" w:cs="宋体"/>
          <w:szCs w:val="21"/>
        </w:rPr>
      </w:pPr>
      <w:r>
        <w:rPr>
          <w:rFonts w:hint="eastAsia" w:ascii="宋体" w:hAnsi="宋体" w:cs="宋体"/>
          <w:szCs w:val="21"/>
        </w:rPr>
        <w:t>根据财库[2016]125号《关于在政府采购活动中查询及使用信用记录有关问题的通知》要求，采购代理机构会对供应商信用记录进行查询并甄别。</w:t>
      </w:r>
    </w:p>
    <w:p w14:paraId="75D1EE49">
      <w:pPr>
        <w:snapToGrid w:val="0"/>
        <w:spacing w:line="360" w:lineRule="auto"/>
        <w:ind w:firstLine="420" w:firstLineChars="200"/>
        <w:jc w:val="left"/>
        <w:rPr>
          <w:rFonts w:ascii="宋体" w:hAnsi="宋体" w:cs="宋体"/>
          <w:szCs w:val="21"/>
        </w:rPr>
      </w:pPr>
      <w:r>
        <w:rPr>
          <w:rFonts w:hint="eastAsia" w:ascii="宋体" w:hAnsi="宋体" w:cs="宋体"/>
          <w:szCs w:val="21"/>
        </w:rPr>
        <w:t>1、信用信息查询的截止时点：投标截止时间前查询；</w:t>
      </w:r>
    </w:p>
    <w:p w14:paraId="0085642E">
      <w:pPr>
        <w:snapToGrid w:val="0"/>
        <w:spacing w:line="360" w:lineRule="auto"/>
        <w:ind w:firstLine="420" w:firstLineChars="200"/>
        <w:jc w:val="left"/>
        <w:rPr>
          <w:rFonts w:ascii="宋体" w:hAnsi="宋体" w:cs="宋体"/>
          <w:szCs w:val="21"/>
        </w:rPr>
      </w:pPr>
      <w:r>
        <w:rPr>
          <w:rFonts w:hint="eastAsia" w:ascii="宋体" w:hAnsi="宋体" w:cs="宋体"/>
          <w:szCs w:val="21"/>
        </w:rPr>
        <w:t>2、查询渠道：</w:t>
      </w:r>
    </w:p>
    <w:p w14:paraId="536415B9">
      <w:pPr>
        <w:snapToGrid w:val="0"/>
        <w:spacing w:line="360" w:lineRule="auto"/>
        <w:ind w:firstLine="420" w:firstLineChars="200"/>
        <w:jc w:val="left"/>
        <w:rPr>
          <w:rFonts w:ascii="宋体" w:hAnsi="宋体" w:cs="宋体"/>
          <w:szCs w:val="21"/>
        </w:rPr>
      </w:pPr>
      <w:r>
        <w:rPr>
          <w:rFonts w:hint="eastAsia" w:ascii="宋体" w:hAnsi="宋体" w:cs="宋体"/>
          <w:szCs w:val="21"/>
        </w:rPr>
        <w:t>信用中国（www.creditchina.gov.cn）；</w:t>
      </w:r>
    </w:p>
    <w:p w14:paraId="7889ABC2">
      <w:pPr>
        <w:snapToGrid w:val="0"/>
        <w:spacing w:line="360" w:lineRule="auto"/>
        <w:ind w:firstLine="420" w:firstLineChars="200"/>
        <w:jc w:val="left"/>
        <w:rPr>
          <w:rFonts w:ascii="宋体" w:hAnsi="宋体" w:cs="宋体"/>
          <w:szCs w:val="21"/>
        </w:rPr>
      </w:pPr>
      <w:r>
        <w:rPr>
          <w:rFonts w:hint="eastAsia" w:ascii="宋体" w:hAnsi="宋体" w:cs="宋体"/>
          <w:szCs w:val="21"/>
        </w:rPr>
        <w:t>中国政府采购网（www.ccgp.gov.cn）；</w:t>
      </w:r>
    </w:p>
    <w:p w14:paraId="0F09E402">
      <w:pPr>
        <w:snapToGrid w:val="0"/>
        <w:spacing w:line="360" w:lineRule="auto"/>
        <w:ind w:firstLine="420" w:firstLineChars="200"/>
        <w:jc w:val="left"/>
        <w:rPr>
          <w:rFonts w:ascii="宋体" w:hAnsi="宋体" w:cs="宋体"/>
          <w:szCs w:val="21"/>
        </w:rPr>
      </w:pPr>
      <w:r>
        <w:rPr>
          <w:rFonts w:hint="eastAsia" w:ascii="宋体" w:hAnsi="宋体" w:cs="宋体"/>
          <w:szCs w:val="21"/>
        </w:rPr>
        <w:t>3、信用信息查询记录和证据留存具体方式：采购代理机构经办人和监督人员将查询网页打印、签字与其他采购文件一并保存；</w:t>
      </w:r>
    </w:p>
    <w:p w14:paraId="378A1BEE">
      <w:pPr>
        <w:snapToGrid w:val="0"/>
        <w:spacing w:line="360" w:lineRule="auto"/>
        <w:ind w:firstLine="420" w:firstLineChars="200"/>
        <w:jc w:val="left"/>
        <w:rPr>
          <w:rFonts w:ascii="宋体" w:hAnsi="宋体" w:cs="宋体"/>
          <w:szCs w:val="21"/>
        </w:rPr>
      </w:pPr>
      <w:r>
        <w:rPr>
          <w:rFonts w:hint="eastAsia" w:ascii="宋体" w:hAnsi="宋体" w:cs="宋体"/>
          <w:szCs w:val="21"/>
        </w:rPr>
        <w:t>4、信用信息的使用规则：投标人存在不良信用记录的，其投标将被作为无效投标被拒绝。</w:t>
      </w:r>
    </w:p>
    <w:p w14:paraId="3833860C">
      <w:pPr>
        <w:snapToGrid w:val="0"/>
        <w:spacing w:line="360" w:lineRule="auto"/>
        <w:ind w:firstLine="420" w:firstLineChars="200"/>
        <w:jc w:val="left"/>
        <w:rPr>
          <w:rFonts w:ascii="宋体" w:hAnsi="宋体" w:cs="宋体"/>
          <w:szCs w:val="21"/>
        </w:rPr>
      </w:pPr>
      <w:r>
        <w:rPr>
          <w:rFonts w:hint="eastAsia" w:ascii="宋体" w:hAnsi="宋体" w:cs="宋体"/>
          <w:szCs w:val="21"/>
        </w:rPr>
        <w:t>不良信用记录指：被列入失信被执行人、重大税收违法案件当事人名单、政府采购严重违法失信行为记录名单。</w:t>
      </w:r>
    </w:p>
    <w:p w14:paraId="757F4D98">
      <w:pPr>
        <w:snapToGrid w:val="0"/>
        <w:spacing w:line="360" w:lineRule="auto"/>
        <w:ind w:firstLine="422" w:firstLineChars="200"/>
        <w:jc w:val="left"/>
        <w:rPr>
          <w:rFonts w:ascii="宋体" w:hAnsi="宋体" w:cs="宋体"/>
          <w:b/>
          <w:bCs/>
          <w:szCs w:val="21"/>
        </w:rPr>
      </w:pPr>
      <w:r>
        <w:rPr>
          <w:rFonts w:hint="eastAsia" w:ascii="宋体" w:hAnsi="宋体" w:cs="宋体"/>
          <w:b/>
          <w:bCs/>
          <w:szCs w:val="21"/>
        </w:rPr>
        <w:t>（十）信贷政策</w:t>
      </w:r>
    </w:p>
    <w:p w14:paraId="57945027">
      <w:pPr>
        <w:snapToGrid w:val="0"/>
        <w:spacing w:line="360" w:lineRule="auto"/>
        <w:ind w:firstLine="420" w:firstLineChars="200"/>
        <w:jc w:val="left"/>
        <w:rPr>
          <w:rFonts w:ascii="宋体" w:hAnsi="宋体" w:cs="宋体"/>
          <w:szCs w:val="21"/>
        </w:rPr>
      </w:pPr>
      <w:r>
        <w:rPr>
          <w:rFonts w:hint="eastAsia" w:ascii="宋体" w:hAnsi="宋体" w:cs="宋体"/>
          <w:szCs w:val="21"/>
        </w:rPr>
        <w:t>1．为有效破解当前中小微企业面临的“融资难、融资贵”困局，充分发挥好政府采购扶持小微企业发展的政策功能，属于舟山市内的各中小企业可凭政府采购项目中标通知书等材料向舟山市政府采购信用融资合作银行申请相关融资产品，有关的合作银行详见下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3975"/>
        <w:gridCol w:w="2220"/>
        <w:gridCol w:w="1908"/>
      </w:tblGrid>
      <w:tr w14:paraId="0DDB2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563" w:type="dxa"/>
            <w:gridSpan w:val="4"/>
            <w:noWrap/>
            <w:vAlign w:val="center"/>
          </w:tcPr>
          <w:p w14:paraId="5CD8FC48">
            <w:pPr>
              <w:contextualSpacing/>
              <w:rPr>
                <w:rFonts w:ascii="宋体" w:hAnsi="宋体"/>
                <w:szCs w:val="21"/>
              </w:rPr>
            </w:pPr>
            <w:r>
              <w:rPr>
                <w:rFonts w:hint="eastAsia" w:ascii="宋体" w:hAnsi="宋体"/>
                <w:szCs w:val="21"/>
              </w:rPr>
              <w:t>舟山市政府采购信用融资合作银行</w:t>
            </w:r>
          </w:p>
        </w:tc>
      </w:tr>
      <w:tr w14:paraId="3D7C5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460" w:type="dxa"/>
            <w:noWrap/>
            <w:vAlign w:val="center"/>
          </w:tcPr>
          <w:p w14:paraId="4B3A9398">
            <w:pPr>
              <w:contextualSpacing/>
              <w:jc w:val="center"/>
              <w:rPr>
                <w:rFonts w:ascii="宋体" w:hAnsi="宋体"/>
                <w:szCs w:val="21"/>
              </w:rPr>
            </w:pPr>
            <w:r>
              <w:rPr>
                <w:rFonts w:hint="eastAsia" w:ascii="宋体" w:hAnsi="宋体"/>
                <w:szCs w:val="21"/>
              </w:rPr>
              <w:t>银行名称</w:t>
            </w:r>
          </w:p>
        </w:tc>
        <w:tc>
          <w:tcPr>
            <w:tcW w:w="3975" w:type="dxa"/>
            <w:noWrap/>
            <w:vAlign w:val="center"/>
          </w:tcPr>
          <w:p w14:paraId="6EE20679">
            <w:pPr>
              <w:contextualSpacing/>
              <w:jc w:val="center"/>
              <w:rPr>
                <w:rFonts w:ascii="宋体" w:hAnsi="宋体"/>
                <w:szCs w:val="21"/>
              </w:rPr>
            </w:pPr>
            <w:r>
              <w:rPr>
                <w:rFonts w:hint="eastAsia" w:ascii="宋体" w:hAnsi="宋体"/>
                <w:szCs w:val="21"/>
              </w:rPr>
              <w:t>各银行介绍的产品特点</w:t>
            </w:r>
          </w:p>
        </w:tc>
        <w:tc>
          <w:tcPr>
            <w:tcW w:w="2220" w:type="dxa"/>
            <w:noWrap/>
            <w:vAlign w:val="center"/>
          </w:tcPr>
          <w:p w14:paraId="77C5C4BE">
            <w:pPr>
              <w:contextualSpacing/>
              <w:jc w:val="center"/>
              <w:rPr>
                <w:rFonts w:ascii="宋体" w:hAnsi="宋体"/>
                <w:szCs w:val="21"/>
              </w:rPr>
            </w:pPr>
            <w:r>
              <w:rPr>
                <w:rFonts w:hint="eastAsia" w:ascii="宋体" w:hAnsi="宋体"/>
                <w:szCs w:val="21"/>
              </w:rPr>
              <w:t>经办人</w:t>
            </w:r>
          </w:p>
        </w:tc>
        <w:tc>
          <w:tcPr>
            <w:tcW w:w="1908" w:type="dxa"/>
            <w:noWrap/>
            <w:vAlign w:val="center"/>
          </w:tcPr>
          <w:p w14:paraId="025241A5">
            <w:pPr>
              <w:contextualSpacing/>
              <w:jc w:val="center"/>
              <w:rPr>
                <w:rFonts w:ascii="宋体" w:hAnsi="宋体"/>
                <w:szCs w:val="21"/>
              </w:rPr>
            </w:pPr>
            <w:r>
              <w:rPr>
                <w:rFonts w:hint="eastAsia" w:ascii="宋体" w:hAnsi="宋体"/>
                <w:szCs w:val="21"/>
              </w:rPr>
              <w:t>联系方式</w:t>
            </w:r>
          </w:p>
        </w:tc>
      </w:tr>
      <w:tr w14:paraId="4A410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noWrap/>
            <w:vAlign w:val="center"/>
          </w:tcPr>
          <w:p w14:paraId="5C40F5AA">
            <w:pPr>
              <w:contextualSpacing/>
              <w:rPr>
                <w:rFonts w:ascii="宋体" w:hAnsi="宋体"/>
                <w:szCs w:val="21"/>
              </w:rPr>
            </w:pPr>
            <w:r>
              <w:rPr>
                <w:rFonts w:hint="eastAsia" w:ascii="宋体" w:hAnsi="宋体"/>
                <w:szCs w:val="21"/>
              </w:rPr>
              <w:t>中国工商银行股份有限公司舟山分行</w:t>
            </w:r>
          </w:p>
        </w:tc>
        <w:tc>
          <w:tcPr>
            <w:tcW w:w="3975" w:type="dxa"/>
            <w:noWrap/>
          </w:tcPr>
          <w:p w14:paraId="4A3B9F13">
            <w:pPr>
              <w:numPr>
                <w:ilvl w:val="0"/>
                <w:numId w:val="1"/>
              </w:numPr>
              <w:contextualSpacing/>
              <w:rPr>
                <w:rFonts w:ascii="宋体" w:hAnsi="宋体" w:cs="仿宋_GB2312"/>
                <w:szCs w:val="21"/>
              </w:rPr>
            </w:pPr>
            <w:r>
              <w:rPr>
                <w:rFonts w:hint="eastAsia" w:ascii="宋体" w:hAnsi="宋体" w:cs="仿宋_GB2312"/>
                <w:szCs w:val="21"/>
              </w:rPr>
              <w:t>融资额度高，融资金额最高可至订单金额70%，线上申请，随借随还。2.融资利率低，最低可至当期LPR利率。</w:t>
            </w:r>
          </w:p>
          <w:p w14:paraId="6BB877F1">
            <w:pPr>
              <w:contextualSpacing/>
              <w:rPr>
                <w:rFonts w:ascii="宋体" w:hAnsi="宋体"/>
                <w:szCs w:val="21"/>
              </w:rPr>
            </w:pPr>
            <w:r>
              <w:rPr>
                <w:rFonts w:hint="eastAsia" w:ascii="宋体" w:hAnsi="宋体" w:cs="仿宋_GB2312"/>
                <w:szCs w:val="21"/>
              </w:rPr>
              <w:t>3.担保方式灵活，以政府采购合同进行融资，无需另外抵押。</w:t>
            </w:r>
          </w:p>
        </w:tc>
        <w:tc>
          <w:tcPr>
            <w:tcW w:w="2220" w:type="dxa"/>
            <w:noWrap/>
            <w:vAlign w:val="center"/>
          </w:tcPr>
          <w:p w14:paraId="04662CB8">
            <w:pPr>
              <w:contextualSpacing/>
              <w:jc w:val="center"/>
              <w:rPr>
                <w:rFonts w:ascii="宋体" w:hAnsi="宋体"/>
                <w:szCs w:val="21"/>
              </w:rPr>
            </w:pPr>
            <w:r>
              <w:rPr>
                <w:rFonts w:hint="eastAsia" w:ascii="宋体" w:hAnsi="宋体"/>
                <w:szCs w:val="21"/>
              </w:rPr>
              <w:t>柳超颖</w:t>
            </w:r>
          </w:p>
        </w:tc>
        <w:tc>
          <w:tcPr>
            <w:tcW w:w="1908" w:type="dxa"/>
            <w:noWrap/>
            <w:vAlign w:val="center"/>
          </w:tcPr>
          <w:p w14:paraId="3144B3B7">
            <w:pPr>
              <w:contextualSpacing/>
              <w:jc w:val="center"/>
              <w:rPr>
                <w:rFonts w:ascii="宋体" w:hAnsi="宋体"/>
                <w:szCs w:val="21"/>
              </w:rPr>
            </w:pPr>
            <w:r>
              <w:rPr>
                <w:rFonts w:hint="eastAsia" w:ascii="宋体" w:hAnsi="宋体"/>
                <w:szCs w:val="21"/>
              </w:rPr>
              <w:t>0580-2166242, 15858076468</w:t>
            </w:r>
          </w:p>
        </w:tc>
      </w:tr>
      <w:tr w14:paraId="717A5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460" w:type="dxa"/>
            <w:noWrap/>
            <w:vAlign w:val="center"/>
          </w:tcPr>
          <w:p w14:paraId="5B29B7B9">
            <w:pPr>
              <w:contextualSpacing/>
              <w:rPr>
                <w:rFonts w:ascii="宋体" w:hAnsi="宋体"/>
                <w:szCs w:val="21"/>
              </w:rPr>
            </w:pPr>
            <w:r>
              <w:rPr>
                <w:rFonts w:hint="eastAsia" w:ascii="宋体" w:hAnsi="宋体"/>
                <w:szCs w:val="21"/>
              </w:rPr>
              <w:t>中国建设银行股份有限公司舟山分行</w:t>
            </w:r>
          </w:p>
        </w:tc>
        <w:tc>
          <w:tcPr>
            <w:tcW w:w="3975" w:type="dxa"/>
            <w:noWrap/>
          </w:tcPr>
          <w:p w14:paraId="4F4A79D1">
            <w:pPr>
              <w:numPr>
                <w:ilvl w:val="0"/>
                <w:numId w:val="2"/>
              </w:numPr>
              <w:contextualSpacing/>
              <w:rPr>
                <w:rFonts w:ascii="宋体" w:hAnsi="宋体"/>
                <w:szCs w:val="21"/>
              </w:rPr>
            </w:pPr>
            <w:r>
              <w:rPr>
                <w:rFonts w:hint="eastAsia" w:ascii="宋体" w:hAnsi="宋体"/>
                <w:szCs w:val="21"/>
              </w:rPr>
              <w:t>快速便捷：全流程线上操作，通过浙江省政府采购网数据审核信用额度，建行供应链平台快速放款。</w:t>
            </w:r>
          </w:p>
          <w:p w14:paraId="23118714">
            <w:pPr>
              <w:numPr>
                <w:ilvl w:val="0"/>
                <w:numId w:val="2"/>
              </w:numPr>
              <w:contextualSpacing/>
              <w:rPr>
                <w:rFonts w:ascii="宋体" w:hAnsi="宋体"/>
                <w:szCs w:val="21"/>
              </w:rPr>
            </w:pPr>
            <w:r>
              <w:rPr>
                <w:rFonts w:hint="eastAsia" w:ascii="宋体" w:hAnsi="宋体"/>
                <w:szCs w:val="21"/>
              </w:rPr>
              <w:t>申请额度高：单笔融资额度最高可达政府采购合同金额的90%，单户额度最高可达3000万。</w:t>
            </w:r>
          </w:p>
          <w:p w14:paraId="3F83D791">
            <w:pPr>
              <w:numPr>
                <w:ilvl w:val="0"/>
                <w:numId w:val="2"/>
              </w:numPr>
              <w:contextualSpacing/>
              <w:rPr>
                <w:rFonts w:ascii="宋体" w:hAnsi="宋体"/>
                <w:szCs w:val="21"/>
              </w:rPr>
            </w:pPr>
            <w:r>
              <w:rPr>
                <w:rFonts w:hint="eastAsia" w:ascii="宋体" w:hAnsi="宋体"/>
                <w:szCs w:val="21"/>
              </w:rPr>
              <w:t>无需额外抵押：以浙江省政府采购网备案公示的政府采购合同进行融资，无需额外抵押担保。</w:t>
            </w:r>
          </w:p>
          <w:p w14:paraId="3DBA7459">
            <w:pPr>
              <w:numPr>
                <w:ilvl w:val="0"/>
                <w:numId w:val="2"/>
              </w:numPr>
              <w:contextualSpacing/>
              <w:rPr>
                <w:rFonts w:ascii="宋体" w:hAnsi="宋体"/>
                <w:szCs w:val="21"/>
              </w:rPr>
            </w:pPr>
            <w:r>
              <w:rPr>
                <w:rFonts w:hint="eastAsia" w:ascii="宋体" w:hAnsi="宋体"/>
                <w:szCs w:val="21"/>
              </w:rPr>
              <w:t>利率优惠：给予流动资金贷款最优惠利率。</w:t>
            </w:r>
          </w:p>
        </w:tc>
        <w:tc>
          <w:tcPr>
            <w:tcW w:w="2220" w:type="dxa"/>
            <w:noWrap/>
            <w:vAlign w:val="center"/>
          </w:tcPr>
          <w:p w14:paraId="6A99918C">
            <w:pPr>
              <w:contextualSpacing/>
              <w:jc w:val="center"/>
              <w:rPr>
                <w:rFonts w:ascii="宋体" w:hAnsi="宋体"/>
                <w:szCs w:val="21"/>
              </w:rPr>
            </w:pPr>
            <w:r>
              <w:rPr>
                <w:rFonts w:hint="eastAsia" w:ascii="宋体" w:hAnsi="宋体"/>
                <w:szCs w:val="21"/>
              </w:rPr>
              <w:t>普陀片区：蔡妮妮</w:t>
            </w:r>
          </w:p>
          <w:p w14:paraId="7A3EDFF6">
            <w:pPr>
              <w:contextualSpacing/>
              <w:jc w:val="center"/>
              <w:rPr>
                <w:rFonts w:ascii="宋体" w:hAnsi="宋体"/>
                <w:szCs w:val="21"/>
              </w:rPr>
            </w:pPr>
            <w:r>
              <w:rPr>
                <w:rFonts w:hint="eastAsia" w:ascii="宋体" w:hAnsi="宋体"/>
                <w:szCs w:val="21"/>
              </w:rPr>
              <w:t>定海片区：杨莹</w:t>
            </w:r>
          </w:p>
          <w:p w14:paraId="621E93E4">
            <w:pPr>
              <w:contextualSpacing/>
              <w:jc w:val="center"/>
              <w:rPr>
                <w:rFonts w:ascii="宋体" w:hAnsi="宋体"/>
                <w:szCs w:val="21"/>
              </w:rPr>
            </w:pPr>
            <w:r>
              <w:rPr>
                <w:rFonts w:hint="eastAsia" w:ascii="宋体" w:hAnsi="宋体"/>
                <w:szCs w:val="21"/>
              </w:rPr>
              <w:t>自贸区片区：方晓</w:t>
            </w:r>
          </w:p>
        </w:tc>
        <w:tc>
          <w:tcPr>
            <w:tcW w:w="1908" w:type="dxa"/>
            <w:noWrap/>
            <w:vAlign w:val="center"/>
          </w:tcPr>
          <w:p w14:paraId="2261F858">
            <w:pPr>
              <w:contextualSpacing/>
              <w:jc w:val="center"/>
              <w:rPr>
                <w:rFonts w:ascii="宋体" w:hAnsi="宋体"/>
                <w:szCs w:val="21"/>
              </w:rPr>
            </w:pPr>
            <w:r>
              <w:rPr>
                <w:rFonts w:hint="eastAsia" w:ascii="宋体" w:hAnsi="宋体"/>
                <w:szCs w:val="21"/>
              </w:rPr>
              <w:t>普陀片区：13957201791</w:t>
            </w:r>
          </w:p>
          <w:p w14:paraId="768CF0D2">
            <w:pPr>
              <w:contextualSpacing/>
              <w:jc w:val="center"/>
              <w:rPr>
                <w:rFonts w:ascii="宋体" w:hAnsi="宋体"/>
                <w:szCs w:val="21"/>
              </w:rPr>
            </w:pPr>
            <w:r>
              <w:rPr>
                <w:rFonts w:hint="eastAsia" w:ascii="宋体" w:hAnsi="宋体"/>
                <w:szCs w:val="21"/>
              </w:rPr>
              <w:t>定海片区：13655803997</w:t>
            </w:r>
          </w:p>
          <w:p w14:paraId="564C1D26">
            <w:pPr>
              <w:contextualSpacing/>
              <w:jc w:val="center"/>
              <w:rPr>
                <w:rFonts w:ascii="宋体" w:hAnsi="宋体"/>
                <w:szCs w:val="21"/>
              </w:rPr>
            </w:pPr>
            <w:r>
              <w:rPr>
                <w:rFonts w:hint="eastAsia" w:ascii="宋体" w:hAnsi="宋体"/>
                <w:szCs w:val="21"/>
              </w:rPr>
              <w:t>自贸区片区：13587086324</w:t>
            </w:r>
          </w:p>
        </w:tc>
      </w:tr>
      <w:tr w14:paraId="767FF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noWrap/>
            <w:vAlign w:val="center"/>
          </w:tcPr>
          <w:p w14:paraId="4C0AEA79">
            <w:pPr>
              <w:contextualSpacing/>
              <w:rPr>
                <w:rFonts w:ascii="宋体" w:hAnsi="宋体"/>
                <w:szCs w:val="21"/>
              </w:rPr>
            </w:pPr>
            <w:r>
              <w:rPr>
                <w:rFonts w:hint="eastAsia" w:ascii="宋体" w:hAnsi="宋体"/>
                <w:szCs w:val="21"/>
              </w:rPr>
              <w:t>杭州银行股份有限公司舟山市分行</w:t>
            </w:r>
          </w:p>
        </w:tc>
        <w:tc>
          <w:tcPr>
            <w:tcW w:w="3975" w:type="dxa"/>
            <w:noWrap/>
          </w:tcPr>
          <w:p w14:paraId="1161894F">
            <w:pPr>
              <w:contextualSpacing/>
              <w:rPr>
                <w:rFonts w:ascii="宋体" w:hAnsi="宋体"/>
                <w:szCs w:val="21"/>
              </w:rPr>
            </w:pPr>
            <w:r>
              <w:rPr>
                <w:rFonts w:hint="eastAsia" w:ascii="宋体" w:hAnsi="宋体"/>
                <w:szCs w:val="21"/>
              </w:rPr>
              <w:t>“云采贷”是杭州银行为政府采购供应商提供的纯信用贷款产品。客户申请、签约、放款全流程线上化，平台注册入库并取得采购合同即可申请，融资比例最高达采购订单的80%，单户、单笔最高可达3000万，最长期限一年。</w:t>
            </w:r>
          </w:p>
        </w:tc>
        <w:tc>
          <w:tcPr>
            <w:tcW w:w="2220" w:type="dxa"/>
            <w:noWrap/>
            <w:vAlign w:val="center"/>
          </w:tcPr>
          <w:p w14:paraId="7CE015EA">
            <w:pPr>
              <w:contextualSpacing/>
              <w:jc w:val="center"/>
              <w:rPr>
                <w:rFonts w:ascii="宋体" w:hAnsi="宋体"/>
                <w:szCs w:val="21"/>
              </w:rPr>
            </w:pPr>
            <w:r>
              <w:rPr>
                <w:rFonts w:hint="eastAsia" w:ascii="宋体" w:hAnsi="宋体"/>
                <w:szCs w:val="21"/>
              </w:rPr>
              <w:t>方经理</w:t>
            </w:r>
          </w:p>
        </w:tc>
        <w:tc>
          <w:tcPr>
            <w:tcW w:w="1908" w:type="dxa"/>
            <w:noWrap/>
            <w:vAlign w:val="center"/>
          </w:tcPr>
          <w:p w14:paraId="2A0AA716">
            <w:pPr>
              <w:contextualSpacing/>
              <w:jc w:val="center"/>
              <w:rPr>
                <w:rFonts w:ascii="宋体" w:hAnsi="宋体"/>
                <w:szCs w:val="21"/>
              </w:rPr>
            </w:pPr>
            <w:r>
              <w:rPr>
                <w:rFonts w:hint="eastAsia" w:ascii="宋体" w:hAnsi="宋体"/>
                <w:szCs w:val="21"/>
              </w:rPr>
              <w:t>0580-2185201，18205800451</w:t>
            </w:r>
          </w:p>
        </w:tc>
      </w:tr>
      <w:tr w14:paraId="45E0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noWrap/>
            <w:vAlign w:val="center"/>
          </w:tcPr>
          <w:p w14:paraId="0B54D624">
            <w:pPr>
              <w:contextualSpacing/>
              <w:rPr>
                <w:rFonts w:ascii="宋体" w:hAnsi="宋体"/>
                <w:szCs w:val="21"/>
              </w:rPr>
            </w:pPr>
            <w:r>
              <w:rPr>
                <w:rFonts w:hint="eastAsia" w:ascii="宋体" w:hAnsi="宋体"/>
                <w:szCs w:val="21"/>
              </w:rPr>
              <w:t>招商银行股份有限公司浙江自贸试验区舟山分行</w:t>
            </w:r>
          </w:p>
        </w:tc>
        <w:tc>
          <w:tcPr>
            <w:tcW w:w="3975" w:type="dxa"/>
            <w:noWrap/>
          </w:tcPr>
          <w:p w14:paraId="6FE4EC18">
            <w:pPr>
              <w:rPr>
                <w:rFonts w:ascii="宋体" w:hAnsi="宋体"/>
                <w:szCs w:val="21"/>
              </w:rPr>
            </w:pPr>
            <w:r>
              <w:rPr>
                <w:rFonts w:hint="eastAsia" w:ascii="宋体" w:hAnsi="宋体" w:cs="仿宋_GB2312"/>
                <w:szCs w:val="21"/>
              </w:rPr>
              <w:t>小企业政采贷是招商银行为政府采购成交供应商提供的用于履行政府采购合同的专属融资产品。优势：一、额度高。根据企业上一年或近一年获得政府采购成交及成交通知的一定比例给予额度，最高可达3000万元，单笔提款金额最高至合同金额的90%。二、操作简便、模式丰富。客户通过我行一网通等渠道在线申请。支持线上用款，按日计息，随借随还，利率最低至当期LPR。三、担保方式灵活。实际控制人夫妇担保＋融资项下应收账款质押作为辅助，无需抵押，一次性签署合作协议。</w:t>
            </w:r>
          </w:p>
        </w:tc>
        <w:tc>
          <w:tcPr>
            <w:tcW w:w="2220" w:type="dxa"/>
            <w:noWrap/>
            <w:vAlign w:val="center"/>
          </w:tcPr>
          <w:p w14:paraId="0BD6265E">
            <w:pPr>
              <w:contextualSpacing/>
              <w:jc w:val="center"/>
              <w:rPr>
                <w:rFonts w:ascii="宋体" w:hAnsi="宋体"/>
                <w:szCs w:val="21"/>
              </w:rPr>
            </w:pPr>
            <w:r>
              <w:rPr>
                <w:rFonts w:hint="eastAsia" w:ascii="宋体" w:hAnsi="宋体"/>
                <w:szCs w:val="21"/>
              </w:rPr>
              <w:t>李玲</w:t>
            </w:r>
          </w:p>
        </w:tc>
        <w:tc>
          <w:tcPr>
            <w:tcW w:w="1908" w:type="dxa"/>
            <w:noWrap/>
            <w:vAlign w:val="center"/>
          </w:tcPr>
          <w:p w14:paraId="4ABC29A2">
            <w:pPr>
              <w:contextualSpacing/>
              <w:jc w:val="center"/>
              <w:rPr>
                <w:rFonts w:ascii="宋体" w:hAnsi="宋体"/>
                <w:szCs w:val="21"/>
              </w:rPr>
            </w:pPr>
            <w:r>
              <w:rPr>
                <w:rFonts w:hint="eastAsia" w:ascii="宋体" w:hAnsi="宋体"/>
                <w:szCs w:val="21"/>
              </w:rPr>
              <w:t>0580-2061710，13957227971</w:t>
            </w:r>
          </w:p>
        </w:tc>
      </w:tr>
      <w:tr w14:paraId="270F0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1460" w:type="dxa"/>
            <w:noWrap/>
            <w:vAlign w:val="center"/>
          </w:tcPr>
          <w:p w14:paraId="0B30D2BA">
            <w:pPr>
              <w:contextualSpacing/>
              <w:rPr>
                <w:rFonts w:ascii="宋体" w:hAnsi="宋体"/>
                <w:szCs w:val="21"/>
              </w:rPr>
            </w:pPr>
            <w:r>
              <w:rPr>
                <w:rFonts w:hint="eastAsia" w:ascii="宋体" w:hAnsi="宋体"/>
                <w:szCs w:val="21"/>
              </w:rPr>
              <w:t>温州银行股份有限公司舟山市分行</w:t>
            </w:r>
          </w:p>
        </w:tc>
        <w:tc>
          <w:tcPr>
            <w:tcW w:w="3975" w:type="dxa"/>
            <w:noWrap/>
          </w:tcPr>
          <w:p w14:paraId="7E5196B6">
            <w:pPr>
              <w:numPr>
                <w:ilvl w:val="0"/>
                <w:numId w:val="3"/>
              </w:numPr>
              <w:contextualSpacing/>
              <w:rPr>
                <w:rFonts w:ascii="宋体" w:hAnsi="宋体"/>
                <w:szCs w:val="21"/>
              </w:rPr>
            </w:pPr>
            <w:r>
              <w:rPr>
                <w:rFonts w:hint="eastAsia" w:ascii="宋体" w:hAnsi="宋体"/>
                <w:szCs w:val="21"/>
              </w:rPr>
              <w:t>单户授信敞口最高不超过1000万元，且最高额度核定一般不超过借款人（含实际控制人控制的其他经营实体）最近13个月合计有效中标合同金额的70%。</w:t>
            </w:r>
          </w:p>
          <w:p w14:paraId="66BB6A79">
            <w:pPr>
              <w:numPr>
                <w:ilvl w:val="0"/>
                <w:numId w:val="3"/>
              </w:numPr>
              <w:contextualSpacing/>
              <w:rPr>
                <w:rFonts w:ascii="宋体" w:hAnsi="宋体"/>
                <w:szCs w:val="21"/>
              </w:rPr>
            </w:pPr>
            <w:r>
              <w:rPr>
                <w:rFonts w:hint="eastAsia" w:ascii="宋体" w:hAnsi="宋体"/>
                <w:szCs w:val="21"/>
              </w:rPr>
              <w:t>单笔借款额度最高不超过1000万元，单笔业务授信额度不超过“政采云平台”提供的中标通知书承载的中标金额或本次申请授信提供的采购合同金额的80%，且用信金额不超过采购合同未付金额的80%。</w:t>
            </w:r>
          </w:p>
          <w:p w14:paraId="506929E8">
            <w:pPr>
              <w:numPr>
                <w:ilvl w:val="0"/>
                <w:numId w:val="3"/>
              </w:numPr>
              <w:contextualSpacing/>
              <w:rPr>
                <w:rFonts w:ascii="宋体" w:hAnsi="宋体"/>
                <w:szCs w:val="21"/>
              </w:rPr>
            </w:pPr>
            <w:r>
              <w:rPr>
                <w:rFonts w:hint="eastAsia" w:ascii="宋体" w:hAnsi="宋体"/>
                <w:szCs w:val="21"/>
              </w:rPr>
              <w:t>借款人中标采购人自行采购项目并向我行发起授信申请的，单笔业务授信敞口不超500万元，且不超过借款人中标通知书承载的中标金额或本次申请授信提供的采购合同的80%。</w:t>
            </w:r>
          </w:p>
          <w:p w14:paraId="1A6F9992">
            <w:pPr>
              <w:numPr>
                <w:ilvl w:val="0"/>
                <w:numId w:val="3"/>
              </w:numPr>
              <w:contextualSpacing/>
              <w:rPr>
                <w:rFonts w:ascii="宋体" w:hAnsi="宋体"/>
                <w:szCs w:val="21"/>
              </w:rPr>
            </w:pPr>
            <w:r>
              <w:rPr>
                <w:rFonts w:hint="eastAsia" w:ascii="宋体" w:hAnsi="宋体"/>
                <w:szCs w:val="21"/>
              </w:rPr>
              <w:t>符合我行采购人资质的，且负债率不超75%，配合应收账款质押登记确认的，并可出具确认函，单笔借款额度可按不超过采购合同的90%办理。</w:t>
            </w:r>
          </w:p>
        </w:tc>
        <w:tc>
          <w:tcPr>
            <w:tcW w:w="2220" w:type="dxa"/>
            <w:noWrap/>
            <w:vAlign w:val="center"/>
          </w:tcPr>
          <w:p w14:paraId="05E73FCB">
            <w:pPr>
              <w:contextualSpacing/>
              <w:jc w:val="center"/>
              <w:rPr>
                <w:rFonts w:ascii="宋体" w:hAnsi="宋体"/>
                <w:szCs w:val="21"/>
              </w:rPr>
            </w:pPr>
            <w:r>
              <w:rPr>
                <w:rFonts w:hint="eastAsia" w:ascii="宋体" w:hAnsi="宋体"/>
                <w:szCs w:val="21"/>
              </w:rPr>
              <w:t>郑贤栋</w:t>
            </w:r>
          </w:p>
        </w:tc>
        <w:tc>
          <w:tcPr>
            <w:tcW w:w="1908" w:type="dxa"/>
            <w:noWrap/>
            <w:vAlign w:val="center"/>
          </w:tcPr>
          <w:p w14:paraId="0FA7FAFB">
            <w:pPr>
              <w:contextualSpacing/>
              <w:jc w:val="center"/>
              <w:rPr>
                <w:rFonts w:ascii="宋体" w:hAnsi="宋体"/>
                <w:szCs w:val="21"/>
              </w:rPr>
            </w:pPr>
            <w:r>
              <w:rPr>
                <w:rFonts w:hint="eastAsia" w:ascii="宋体" w:hAnsi="宋体"/>
                <w:szCs w:val="21"/>
              </w:rPr>
              <w:t>058—8866086</w:t>
            </w:r>
          </w:p>
        </w:tc>
      </w:tr>
      <w:tr w14:paraId="6CB64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noWrap/>
            <w:vAlign w:val="center"/>
          </w:tcPr>
          <w:p w14:paraId="75F3B88C">
            <w:pPr>
              <w:contextualSpacing/>
              <w:rPr>
                <w:rFonts w:ascii="宋体" w:hAnsi="宋体"/>
                <w:szCs w:val="21"/>
              </w:rPr>
            </w:pPr>
            <w:r>
              <w:rPr>
                <w:rFonts w:hint="eastAsia" w:ascii="宋体" w:hAnsi="宋体"/>
                <w:szCs w:val="21"/>
              </w:rPr>
              <w:t>交通银行股份有限公司舟山分行</w:t>
            </w:r>
          </w:p>
        </w:tc>
        <w:tc>
          <w:tcPr>
            <w:tcW w:w="3975" w:type="dxa"/>
            <w:noWrap/>
          </w:tcPr>
          <w:p w14:paraId="16C3DD97">
            <w:pPr>
              <w:contextualSpacing/>
              <w:rPr>
                <w:rFonts w:ascii="宋体" w:hAnsi="宋体"/>
                <w:szCs w:val="21"/>
              </w:rPr>
            </w:pPr>
            <w:r>
              <w:rPr>
                <w:rFonts w:hint="eastAsia" w:ascii="宋体" w:hAnsi="宋体" w:cs="仿宋_GB2312"/>
                <w:szCs w:val="21"/>
              </w:rPr>
              <w:t>交通银行政采贷，线上版本最长期限1年，融资金额一般不超过1000万；线下版本期限最长两年，额度最高2,000万，单笔提款金额最高至采购合同金额的70%。担保方式为信用（附加该笔业务项下未来应收账款质押、实际控制人及配偶个人保证），随借随还，利率最低至当期L</w:t>
            </w:r>
            <w:r>
              <w:rPr>
                <w:rFonts w:hint="eastAsia" w:ascii="宋体" w:hAnsi="宋体"/>
                <w:szCs w:val="21"/>
              </w:rPr>
              <w:t>PR</w:t>
            </w:r>
            <w:r>
              <w:rPr>
                <w:rFonts w:ascii="宋体" w:hAnsi="宋体"/>
                <w:szCs w:val="21"/>
              </w:rPr>
              <w:t>。</w:t>
            </w:r>
          </w:p>
        </w:tc>
        <w:tc>
          <w:tcPr>
            <w:tcW w:w="2220" w:type="dxa"/>
            <w:noWrap/>
            <w:vAlign w:val="center"/>
          </w:tcPr>
          <w:p w14:paraId="69CBD90D">
            <w:pPr>
              <w:contextualSpacing/>
              <w:jc w:val="center"/>
              <w:rPr>
                <w:rFonts w:ascii="宋体" w:hAnsi="宋体"/>
                <w:szCs w:val="21"/>
              </w:rPr>
            </w:pPr>
            <w:r>
              <w:rPr>
                <w:rFonts w:hint="eastAsia" w:ascii="宋体" w:hAnsi="宋体"/>
                <w:szCs w:val="21"/>
              </w:rPr>
              <w:t>赵争艳</w:t>
            </w:r>
          </w:p>
        </w:tc>
        <w:tc>
          <w:tcPr>
            <w:tcW w:w="1908" w:type="dxa"/>
            <w:noWrap/>
            <w:vAlign w:val="center"/>
          </w:tcPr>
          <w:p w14:paraId="133A4698">
            <w:pPr>
              <w:contextualSpacing/>
              <w:jc w:val="center"/>
              <w:rPr>
                <w:rFonts w:ascii="宋体" w:hAnsi="宋体"/>
                <w:szCs w:val="21"/>
              </w:rPr>
            </w:pPr>
            <w:r>
              <w:rPr>
                <w:rFonts w:hint="eastAsia" w:ascii="宋体" w:hAnsi="宋体"/>
                <w:szCs w:val="21"/>
              </w:rPr>
              <w:t>0580-2260728</w:t>
            </w:r>
          </w:p>
          <w:p w14:paraId="5591A077">
            <w:pPr>
              <w:contextualSpacing/>
              <w:jc w:val="center"/>
              <w:rPr>
                <w:rFonts w:ascii="宋体" w:hAnsi="宋体"/>
                <w:szCs w:val="21"/>
              </w:rPr>
            </w:pPr>
            <w:r>
              <w:rPr>
                <w:rFonts w:hint="eastAsia" w:ascii="宋体" w:hAnsi="宋体"/>
                <w:szCs w:val="21"/>
              </w:rPr>
              <w:t>13758007280</w:t>
            </w:r>
          </w:p>
        </w:tc>
      </w:tr>
      <w:tr w14:paraId="58884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noWrap/>
            <w:vAlign w:val="center"/>
          </w:tcPr>
          <w:p w14:paraId="29A631C0">
            <w:pPr>
              <w:contextualSpacing/>
              <w:rPr>
                <w:rFonts w:ascii="宋体" w:hAnsi="宋体"/>
                <w:szCs w:val="21"/>
              </w:rPr>
            </w:pPr>
            <w:r>
              <w:rPr>
                <w:rFonts w:hint="eastAsia" w:ascii="宋体" w:hAnsi="宋体"/>
                <w:szCs w:val="21"/>
              </w:rPr>
              <w:t>中信银行股份有限公司舟山分行</w:t>
            </w:r>
          </w:p>
        </w:tc>
        <w:tc>
          <w:tcPr>
            <w:tcW w:w="3975" w:type="dxa"/>
            <w:noWrap/>
          </w:tcPr>
          <w:p w14:paraId="79194E78">
            <w:pPr>
              <w:contextualSpacing/>
              <w:rPr>
                <w:rFonts w:ascii="宋体" w:hAnsi="宋体"/>
                <w:szCs w:val="21"/>
              </w:rPr>
            </w:pPr>
            <w:r>
              <w:rPr>
                <w:rFonts w:hint="eastAsia" w:ascii="宋体" w:hAnsi="宋体"/>
                <w:szCs w:val="21"/>
              </w:rPr>
              <w:t>中信银行“政采e贷”产品特点：根据政府采购成交通知书或合同，以政府财政支付资金为主要还款来源，为成交小微企业提供流动资金贷款。产品实现预授信、贷款申请、应收账款质押、授信审批、自助提款等环节的线上化、自动化处理，操作便利，授信额度最高不超过1000万元，贷款期限最长1年，利率低。</w:t>
            </w:r>
          </w:p>
        </w:tc>
        <w:tc>
          <w:tcPr>
            <w:tcW w:w="2220" w:type="dxa"/>
            <w:noWrap/>
            <w:vAlign w:val="center"/>
          </w:tcPr>
          <w:p w14:paraId="3A4047FD">
            <w:pPr>
              <w:contextualSpacing/>
              <w:jc w:val="center"/>
              <w:rPr>
                <w:rFonts w:ascii="宋体" w:hAnsi="宋体"/>
                <w:szCs w:val="21"/>
              </w:rPr>
            </w:pPr>
            <w:r>
              <w:rPr>
                <w:rFonts w:ascii="宋体" w:hAnsi="宋体"/>
                <w:szCs w:val="21"/>
              </w:rPr>
              <w:t>黄丽</w:t>
            </w:r>
          </w:p>
        </w:tc>
        <w:tc>
          <w:tcPr>
            <w:tcW w:w="1908" w:type="dxa"/>
            <w:noWrap/>
            <w:vAlign w:val="center"/>
          </w:tcPr>
          <w:p w14:paraId="674749A3">
            <w:pPr>
              <w:contextualSpacing/>
              <w:jc w:val="center"/>
              <w:rPr>
                <w:rFonts w:ascii="宋体" w:hAnsi="宋体"/>
                <w:szCs w:val="21"/>
              </w:rPr>
            </w:pPr>
            <w:r>
              <w:rPr>
                <w:rFonts w:ascii="宋体" w:hAnsi="宋体"/>
                <w:szCs w:val="21"/>
              </w:rPr>
              <w:t>13905808032</w:t>
            </w:r>
          </w:p>
        </w:tc>
      </w:tr>
      <w:tr w14:paraId="16512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noWrap/>
            <w:vAlign w:val="center"/>
          </w:tcPr>
          <w:p w14:paraId="43B03F72">
            <w:pPr>
              <w:contextualSpacing/>
              <w:rPr>
                <w:rFonts w:ascii="宋体" w:hAnsi="宋体"/>
                <w:szCs w:val="21"/>
              </w:rPr>
            </w:pPr>
            <w:r>
              <w:rPr>
                <w:rFonts w:hint="eastAsia" w:ascii="宋体" w:hAnsi="宋体"/>
                <w:szCs w:val="21"/>
              </w:rPr>
              <w:t>泰隆银行舟山市分行</w:t>
            </w:r>
          </w:p>
        </w:tc>
        <w:tc>
          <w:tcPr>
            <w:tcW w:w="3975" w:type="dxa"/>
            <w:noWrap/>
          </w:tcPr>
          <w:p w14:paraId="7DFCFAB6">
            <w:pPr>
              <w:contextualSpacing/>
              <w:rPr>
                <w:rFonts w:ascii="宋体" w:hAnsi="宋体"/>
                <w:szCs w:val="21"/>
              </w:rPr>
            </w:pPr>
            <w:r>
              <w:rPr>
                <w:rFonts w:hint="eastAsia" w:ascii="宋体" w:hAnsi="宋体"/>
                <w:szCs w:val="21"/>
              </w:rPr>
              <w:t>符合我行基本准入，期限对照订单最长不超过1年，额度最高1000万，担保方式享受信用贷款执行，可由成交企业或其实际控制人出面申请，利率最低可至当期LPR ，对于合同期限确实超过一年的，可享受无还本续贷至合同付款日。</w:t>
            </w:r>
          </w:p>
        </w:tc>
        <w:tc>
          <w:tcPr>
            <w:tcW w:w="2220" w:type="dxa"/>
            <w:noWrap/>
            <w:vAlign w:val="center"/>
          </w:tcPr>
          <w:p w14:paraId="6F0DD591">
            <w:pPr>
              <w:contextualSpacing/>
              <w:jc w:val="center"/>
              <w:rPr>
                <w:rFonts w:ascii="宋体" w:hAnsi="宋体"/>
                <w:szCs w:val="21"/>
              </w:rPr>
            </w:pPr>
            <w:r>
              <w:rPr>
                <w:rFonts w:hint="eastAsia" w:ascii="宋体" w:hAnsi="宋体"/>
                <w:szCs w:val="21"/>
              </w:rPr>
              <w:t>胡亢宇</w:t>
            </w:r>
          </w:p>
        </w:tc>
        <w:tc>
          <w:tcPr>
            <w:tcW w:w="1908" w:type="dxa"/>
            <w:noWrap/>
            <w:vAlign w:val="center"/>
          </w:tcPr>
          <w:p w14:paraId="1A7A0204">
            <w:pPr>
              <w:contextualSpacing/>
              <w:jc w:val="center"/>
              <w:rPr>
                <w:rFonts w:ascii="宋体" w:hAnsi="宋体"/>
                <w:szCs w:val="21"/>
              </w:rPr>
            </w:pPr>
            <w:r>
              <w:rPr>
                <w:rFonts w:hint="eastAsia" w:ascii="宋体" w:hAnsi="宋体"/>
                <w:szCs w:val="21"/>
              </w:rPr>
              <w:t>17605868703</w:t>
            </w:r>
          </w:p>
        </w:tc>
      </w:tr>
      <w:tr w14:paraId="05426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noWrap/>
            <w:vAlign w:val="center"/>
          </w:tcPr>
          <w:p w14:paraId="34356910">
            <w:pPr>
              <w:contextualSpacing/>
              <w:rPr>
                <w:rFonts w:ascii="宋体" w:hAnsi="宋体"/>
                <w:szCs w:val="21"/>
              </w:rPr>
            </w:pPr>
            <w:r>
              <w:rPr>
                <w:rFonts w:hint="eastAsia" w:ascii="宋体" w:hAnsi="宋体"/>
                <w:szCs w:val="21"/>
              </w:rPr>
              <w:t>中国农业银行股份有限公司舟山分行</w:t>
            </w:r>
          </w:p>
        </w:tc>
        <w:tc>
          <w:tcPr>
            <w:tcW w:w="3975" w:type="dxa"/>
            <w:noWrap/>
          </w:tcPr>
          <w:p w14:paraId="06746A27">
            <w:pPr>
              <w:contextualSpacing/>
              <w:rPr>
                <w:rFonts w:ascii="宋体" w:hAnsi="宋体"/>
                <w:szCs w:val="21"/>
              </w:rPr>
            </w:pPr>
            <w:r>
              <w:rPr>
                <w:rFonts w:hint="eastAsia" w:ascii="宋体" w:hAnsi="宋体"/>
                <w:szCs w:val="21"/>
              </w:rPr>
              <w:t>“政采贷”业务原则上不超过政府采购合同实有金额的80%，单户借款额度不超过500万元。借款到期日不晚于合同约定付款日后90天，原则上不超过1年，最长可放宽至2年。应收账款形成前，可采用信用方式用信并追加供应商法定代表人或实际控制人连带责任保证担保；应收账款形成后，信用方式用信需变更为应收账款质押担保。</w:t>
            </w:r>
          </w:p>
        </w:tc>
        <w:tc>
          <w:tcPr>
            <w:tcW w:w="2220" w:type="dxa"/>
            <w:noWrap/>
            <w:vAlign w:val="center"/>
          </w:tcPr>
          <w:p w14:paraId="52902D8D">
            <w:pPr>
              <w:contextualSpacing/>
              <w:jc w:val="center"/>
              <w:rPr>
                <w:rFonts w:ascii="宋体" w:hAnsi="宋体"/>
                <w:szCs w:val="21"/>
              </w:rPr>
            </w:pPr>
            <w:r>
              <w:rPr>
                <w:rFonts w:hint="eastAsia" w:ascii="宋体" w:hAnsi="宋体"/>
                <w:szCs w:val="21"/>
              </w:rPr>
              <w:t>苏华瞻</w:t>
            </w:r>
          </w:p>
        </w:tc>
        <w:tc>
          <w:tcPr>
            <w:tcW w:w="1908" w:type="dxa"/>
            <w:noWrap/>
            <w:vAlign w:val="center"/>
          </w:tcPr>
          <w:p w14:paraId="416636AB">
            <w:pPr>
              <w:contextualSpacing/>
              <w:jc w:val="center"/>
              <w:rPr>
                <w:rFonts w:ascii="宋体" w:hAnsi="宋体"/>
                <w:szCs w:val="21"/>
              </w:rPr>
            </w:pPr>
            <w:r>
              <w:rPr>
                <w:rFonts w:hint="eastAsia" w:ascii="宋体" w:hAnsi="宋体"/>
                <w:szCs w:val="21"/>
              </w:rPr>
              <w:t>13967228926</w:t>
            </w:r>
          </w:p>
        </w:tc>
      </w:tr>
      <w:tr w14:paraId="6B9ED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noWrap/>
            <w:vAlign w:val="center"/>
          </w:tcPr>
          <w:p w14:paraId="306A8322">
            <w:pPr>
              <w:contextualSpacing/>
              <w:rPr>
                <w:rFonts w:ascii="宋体" w:hAnsi="宋体"/>
                <w:szCs w:val="21"/>
              </w:rPr>
            </w:pPr>
            <w:r>
              <w:rPr>
                <w:rFonts w:hint="eastAsia" w:ascii="宋体" w:hAnsi="宋体"/>
                <w:szCs w:val="21"/>
              </w:rPr>
              <w:t>中国邮政储蓄银行股份有限公司舟山市分行</w:t>
            </w:r>
          </w:p>
        </w:tc>
        <w:tc>
          <w:tcPr>
            <w:tcW w:w="3975" w:type="dxa"/>
            <w:noWrap/>
          </w:tcPr>
          <w:p w14:paraId="59AFC0CB">
            <w:pPr>
              <w:tabs>
                <w:tab w:val="left" w:pos="0"/>
              </w:tabs>
              <w:rPr>
                <w:rFonts w:ascii="宋体" w:hAnsi="宋体"/>
                <w:szCs w:val="21"/>
              </w:rPr>
            </w:pPr>
            <w:r>
              <w:rPr>
                <w:rFonts w:hint="eastAsia" w:ascii="宋体" w:hAnsi="宋体"/>
                <w:szCs w:val="21"/>
              </w:rPr>
              <w:t>符合我行基本准入，授信额度使用期最高为2年，单户授信最高为500万，担保方式享受信用贷款执行，利率最低可至当期LPR ，有无还本续贷，12月份线上产品可以自主自贷。</w:t>
            </w:r>
          </w:p>
        </w:tc>
        <w:tc>
          <w:tcPr>
            <w:tcW w:w="2220" w:type="dxa"/>
            <w:noWrap/>
            <w:vAlign w:val="center"/>
          </w:tcPr>
          <w:p w14:paraId="48AD30C2">
            <w:pPr>
              <w:contextualSpacing/>
              <w:jc w:val="center"/>
              <w:rPr>
                <w:rFonts w:ascii="宋体" w:hAnsi="宋体"/>
                <w:szCs w:val="21"/>
              </w:rPr>
            </w:pPr>
            <w:r>
              <w:rPr>
                <w:rFonts w:hint="eastAsia" w:ascii="宋体" w:hAnsi="宋体"/>
                <w:szCs w:val="21"/>
              </w:rPr>
              <w:t>蒋志燕</w:t>
            </w:r>
          </w:p>
        </w:tc>
        <w:tc>
          <w:tcPr>
            <w:tcW w:w="1908" w:type="dxa"/>
            <w:noWrap/>
            <w:vAlign w:val="center"/>
          </w:tcPr>
          <w:p w14:paraId="3001E0DE">
            <w:pPr>
              <w:contextualSpacing/>
              <w:jc w:val="center"/>
              <w:rPr>
                <w:rFonts w:ascii="宋体" w:hAnsi="宋体"/>
                <w:szCs w:val="21"/>
              </w:rPr>
            </w:pPr>
            <w:r>
              <w:rPr>
                <w:rFonts w:hint="eastAsia" w:ascii="宋体" w:hAnsi="宋体"/>
                <w:szCs w:val="21"/>
              </w:rPr>
              <w:t>13732527321</w:t>
            </w:r>
          </w:p>
        </w:tc>
      </w:tr>
    </w:tbl>
    <w:p w14:paraId="1390C6B4">
      <w:pPr>
        <w:snapToGrid w:val="0"/>
        <w:spacing w:line="360" w:lineRule="auto"/>
        <w:ind w:firstLine="420" w:firstLineChars="200"/>
        <w:jc w:val="left"/>
        <w:rPr>
          <w:rFonts w:ascii="宋体" w:hAnsi="宋体" w:cs="宋体"/>
          <w:szCs w:val="21"/>
        </w:rPr>
      </w:pPr>
      <w:r>
        <w:rPr>
          <w:rFonts w:hint="eastAsia" w:ascii="宋体" w:hAnsi="宋体" w:cs="宋体"/>
          <w:szCs w:val="21"/>
        </w:rPr>
        <w:t>2.一般步骤</w:t>
      </w:r>
    </w:p>
    <w:p w14:paraId="4B9068EA">
      <w:pPr>
        <w:snapToGrid w:val="0"/>
        <w:spacing w:line="360" w:lineRule="auto"/>
        <w:ind w:firstLine="420" w:firstLineChars="200"/>
        <w:jc w:val="left"/>
        <w:rPr>
          <w:rFonts w:ascii="宋体" w:hAnsi="宋体" w:cs="宋体"/>
          <w:szCs w:val="21"/>
        </w:rPr>
      </w:pPr>
      <w:r>
        <w:rPr>
          <w:rFonts w:hint="eastAsia" w:ascii="宋体" w:hAnsi="宋体" w:cs="宋体"/>
          <w:szCs w:val="21"/>
        </w:rPr>
        <w:t>（1）供应商先与银行对接，办理融资前期手续；</w:t>
      </w:r>
    </w:p>
    <w:p w14:paraId="68D905D4">
      <w:pPr>
        <w:snapToGrid w:val="0"/>
        <w:spacing w:line="360" w:lineRule="auto"/>
        <w:ind w:firstLine="420" w:firstLineChars="200"/>
        <w:jc w:val="left"/>
        <w:rPr>
          <w:rFonts w:ascii="宋体" w:hAnsi="宋体" w:cs="宋体"/>
          <w:szCs w:val="21"/>
        </w:rPr>
      </w:pPr>
      <w:r>
        <w:rPr>
          <w:rFonts w:hint="eastAsia" w:ascii="宋体" w:hAnsi="宋体" w:cs="宋体"/>
          <w:szCs w:val="21"/>
        </w:rPr>
        <w:t>（2）供应商中标后，凭中标通知书等材料，向相关合作银行发出融资申请；</w:t>
      </w:r>
    </w:p>
    <w:p w14:paraId="1DBFC24C">
      <w:pPr>
        <w:snapToGrid w:val="0"/>
        <w:spacing w:line="360" w:lineRule="auto"/>
        <w:ind w:firstLine="420" w:firstLineChars="200"/>
        <w:jc w:val="left"/>
        <w:rPr>
          <w:rFonts w:ascii="宋体" w:hAnsi="宋体" w:cs="宋体"/>
          <w:szCs w:val="21"/>
        </w:rPr>
      </w:pPr>
      <w:r>
        <w:rPr>
          <w:rFonts w:hint="eastAsia" w:ascii="宋体" w:hAnsi="宋体" w:cs="宋体"/>
          <w:szCs w:val="21"/>
        </w:rPr>
        <w:t>（3）银行、供应商线上办理审批、放贷事宜。</w:t>
      </w:r>
    </w:p>
    <w:p w14:paraId="7842FEE1">
      <w:pPr>
        <w:snapToGrid w:val="0"/>
        <w:spacing w:line="360" w:lineRule="auto"/>
        <w:ind w:firstLine="420" w:firstLineChars="200"/>
        <w:jc w:val="left"/>
        <w:rPr>
          <w:rFonts w:ascii="宋体" w:hAnsi="宋体" w:cs="宋体"/>
          <w:szCs w:val="21"/>
        </w:rPr>
      </w:pPr>
      <w:r>
        <w:rPr>
          <w:rFonts w:hint="eastAsia" w:ascii="宋体" w:hAnsi="宋体" w:cs="宋体"/>
          <w:szCs w:val="21"/>
        </w:rPr>
        <w:t>3.注意事项</w:t>
      </w:r>
    </w:p>
    <w:p w14:paraId="72D06714">
      <w:pPr>
        <w:snapToGrid w:val="0"/>
        <w:spacing w:line="360" w:lineRule="auto"/>
        <w:ind w:firstLine="420" w:firstLineChars="200"/>
        <w:jc w:val="left"/>
        <w:rPr>
          <w:rFonts w:ascii="宋体" w:hAnsi="宋体" w:cs="宋体"/>
          <w:szCs w:val="21"/>
        </w:rPr>
      </w:pPr>
      <w:r>
        <w:rPr>
          <w:rFonts w:hint="eastAsia" w:ascii="宋体" w:hAnsi="宋体" w:cs="宋体"/>
          <w:szCs w:val="21"/>
        </w:rPr>
        <w:t>（1）中标供应商需确保政府采购合同的收款账户与融资银行开户账户一致。</w:t>
      </w:r>
    </w:p>
    <w:p w14:paraId="15D1B95D">
      <w:pPr>
        <w:snapToGrid w:val="0"/>
        <w:spacing w:line="360" w:lineRule="auto"/>
        <w:ind w:firstLine="420" w:firstLineChars="200"/>
        <w:jc w:val="left"/>
        <w:rPr>
          <w:rFonts w:ascii="宋体" w:hAnsi="宋体" w:cs="宋体"/>
          <w:szCs w:val="21"/>
        </w:rPr>
      </w:pPr>
      <w:r>
        <w:rPr>
          <w:rFonts w:hint="eastAsia" w:ascii="宋体" w:hAnsi="宋体" w:cs="宋体"/>
          <w:szCs w:val="21"/>
        </w:rPr>
        <w:t>（2）用于政府采购信用融资的政府采购合同，应当包含如下条款：“第   条：政府采购合同贷款</w:t>
      </w:r>
    </w:p>
    <w:p w14:paraId="65124197">
      <w:pPr>
        <w:snapToGrid w:val="0"/>
        <w:spacing w:line="360" w:lineRule="auto"/>
        <w:ind w:firstLine="420" w:firstLineChars="200"/>
        <w:jc w:val="left"/>
        <w:rPr>
          <w:rFonts w:ascii="宋体" w:hAnsi="宋体" w:cs="宋体"/>
          <w:szCs w:val="21"/>
        </w:rPr>
      </w:pPr>
      <w:r>
        <w:rPr>
          <w:rFonts w:hint="eastAsia" w:ascii="宋体" w:hAnsi="宋体" w:cs="宋体"/>
          <w:szCs w:val="21"/>
        </w:rPr>
        <w:t>本合同同时用于乙方向      银行（金融机构）申请政府采购信用贷款。</w:t>
      </w:r>
    </w:p>
    <w:p w14:paraId="5C9341DE">
      <w:pPr>
        <w:snapToGrid w:val="0"/>
        <w:spacing w:line="360" w:lineRule="auto"/>
        <w:ind w:firstLine="420" w:firstLineChars="200"/>
        <w:jc w:val="left"/>
        <w:rPr>
          <w:rFonts w:ascii="宋体" w:hAnsi="宋体" w:cs="宋体"/>
          <w:szCs w:val="21"/>
        </w:rPr>
      </w:pPr>
      <w:r>
        <w:rPr>
          <w:rFonts w:hint="eastAsia" w:ascii="宋体" w:hAnsi="宋体" w:cs="宋体"/>
          <w:szCs w:val="21"/>
        </w:rPr>
        <w:t>本合同一经签订，原则上不得更改乙方收款账户信息。确需更改的，乙方应取得原合同收款账户开户银行书面同意，否则修改后的合同不予备案，采购资金不予支付。”</w:t>
      </w:r>
    </w:p>
    <w:p w14:paraId="3CF8C511">
      <w:pPr>
        <w:snapToGrid w:val="0"/>
        <w:spacing w:line="276" w:lineRule="auto"/>
        <w:ind w:firstLine="422" w:firstLineChars="200"/>
        <w:jc w:val="left"/>
        <w:rPr>
          <w:rFonts w:ascii="宋体" w:hAnsi="宋体" w:cs="宋体"/>
          <w:b/>
          <w:szCs w:val="21"/>
        </w:rPr>
      </w:pPr>
      <w:r>
        <w:rPr>
          <w:rFonts w:hint="eastAsia" w:ascii="宋体" w:hAnsi="宋体" w:cs="宋体"/>
          <w:b/>
          <w:szCs w:val="21"/>
        </w:rPr>
        <w:t>（十一）中金招标有限责任公司拥有本招标文件最终解释权。</w:t>
      </w:r>
    </w:p>
    <w:p w14:paraId="13539605">
      <w:pPr>
        <w:snapToGrid w:val="0"/>
        <w:spacing w:line="276" w:lineRule="auto"/>
        <w:jc w:val="center"/>
        <w:rPr>
          <w:rFonts w:ascii="宋体" w:hAnsi="宋体" w:cs="宋体"/>
          <w:b/>
          <w:szCs w:val="21"/>
        </w:rPr>
      </w:pPr>
    </w:p>
    <w:p w14:paraId="67960F47">
      <w:pPr>
        <w:snapToGrid w:val="0"/>
        <w:spacing w:line="276" w:lineRule="auto"/>
        <w:jc w:val="center"/>
        <w:outlineLvl w:val="1"/>
        <w:rPr>
          <w:rFonts w:ascii="宋体" w:hAnsi="宋体" w:cs="宋体"/>
          <w:b/>
          <w:szCs w:val="21"/>
        </w:rPr>
      </w:pPr>
      <w:bookmarkStart w:id="32" w:name="_Toc32536"/>
      <w:r>
        <w:rPr>
          <w:rFonts w:hint="eastAsia" w:ascii="宋体" w:hAnsi="宋体" w:cs="宋体"/>
          <w:b/>
          <w:szCs w:val="21"/>
        </w:rPr>
        <w:t>二、招标文件</w:t>
      </w:r>
      <w:bookmarkEnd w:id="32"/>
    </w:p>
    <w:p w14:paraId="5FDD372C">
      <w:pPr>
        <w:snapToGrid w:val="0"/>
        <w:spacing w:line="360" w:lineRule="auto"/>
        <w:ind w:firstLine="422" w:firstLineChars="200"/>
        <w:jc w:val="left"/>
        <w:rPr>
          <w:rFonts w:ascii="宋体" w:hAnsi="宋体" w:cs="宋体"/>
          <w:b/>
          <w:szCs w:val="21"/>
        </w:rPr>
      </w:pPr>
      <w:r>
        <w:rPr>
          <w:rFonts w:hint="eastAsia" w:ascii="宋体" w:hAnsi="宋体" w:cs="宋体"/>
          <w:b/>
          <w:szCs w:val="21"/>
        </w:rPr>
        <w:t>（一）招标文件的构成</w:t>
      </w:r>
    </w:p>
    <w:p w14:paraId="0CBC1230">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第一章  招标公告</w:t>
      </w:r>
    </w:p>
    <w:p w14:paraId="4FEF39E8">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第二章  采购需求</w:t>
      </w:r>
    </w:p>
    <w:p w14:paraId="585CCD17">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第三章  投标人须知</w:t>
      </w:r>
    </w:p>
    <w:p w14:paraId="7AB225DD">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第四章  评标办法及标准</w:t>
      </w:r>
    </w:p>
    <w:p w14:paraId="185418B3">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第五章  合同主要条款</w:t>
      </w:r>
    </w:p>
    <w:p w14:paraId="29EE9F20">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第六章  投标文件组成</w:t>
      </w:r>
    </w:p>
    <w:p w14:paraId="0ABE681E">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其他有关补充文件</w:t>
      </w:r>
    </w:p>
    <w:p w14:paraId="4004AF68">
      <w:pPr>
        <w:pStyle w:val="5"/>
        <w:widowControl w:val="0"/>
        <w:snapToGrid w:val="0"/>
        <w:spacing w:afterLines="0" w:line="360" w:lineRule="auto"/>
        <w:ind w:left="0" w:firstLine="422" w:firstLineChars="200"/>
        <w:rPr>
          <w:rFonts w:ascii="宋体" w:hAnsi="宋体" w:cs="宋体"/>
          <w:b/>
          <w:kern w:val="2"/>
          <w:sz w:val="21"/>
          <w:szCs w:val="21"/>
        </w:rPr>
      </w:pPr>
      <w:r>
        <w:rPr>
          <w:rFonts w:hint="eastAsia" w:ascii="宋体" w:hAnsi="宋体" w:cs="宋体"/>
          <w:b/>
          <w:sz w:val="21"/>
          <w:szCs w:val="21"/>
        </w:rPr>
        <w:t>（</w:t>
      </w:r>
      <w:r>
        <w:rPr>
          <w:rFonts w:hint="eastAsia" w:ascii="宋体" w:hAnsi="宋体" w:cs="宋体"/>
          <w:b/>
          <w:kern w:val="2"/>
          <w:sz w:val="21"/>
          <w:szCs w:val="21"/>
        </w:rPr>
        <w:t xml:space="preserve">二）招标文件的澄清与修改 </w:t>
      </w:r>
    </w:p>
    <w:p w14:paraId="45EDCACC">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投标人应认真阅读本招标文件，发现其中有误或有要求不合理的，投标人必须在投标截止前15天内以书面形式要求采购人澄清。采购人对已发出的招标文件进行必要澄清、答复、修改或补充的，应当在招标文件要求提交投标文件截止时间15天前，在相关的采购信息发布媒体上发布更正公告，并通知所有已依法获取采购文件的潜在投标人。</w:t>
      </w:r>
    </w:p>
    <w:p w14:paraId="701A7A15">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2、采购人以书面形式答复投标人要求澄清的问题，并将不包含问题来源的答复书面通知所有已依法获取采购文件的潜在投标人；除书面答复以外的其他澄清方式及澄清内容均无效。</w:t>
      </w:r>
    </w:p>
    <w:p w14:paraId="7820D0BF">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3、招标文件的答复、澄清、修改、补充通知实质上改变采购需求相关内容，且自招标文件的答复、澄清、修改、补充通知发出之日起至投标截止时间止不足15天的，采购人可视情况推迟投标截止时间和开标时间，按规定在相关的采购信息发布媒体上发布变更公告，并将变更后的时间通知所有已依法获取采购文件的潜在投标人。</w:t>
      </w:r>
    </w:p>
    <w:p w14:paraId="766C625F">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4、招标文件澄清、答复、修改、补充的内容为招标文件的组成部分。当招标文件与招标文件的答复、澄清、修改、补充通知就同一内容的表述不一致时，以最后发出的书面文件为准。</w:t>
      </w:r>
    </w:p>
    <w:p w14:paraId="140D875D">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5、招标文件的澄清、答复、修改或补充都应该通过本采购代理机构以法定形式发布，采购人非通过本采购代理机构的，不得擅自澄清、答复、修改或补充招标文件。</w:t>
      </w:r>
    </w:p>
    <w:p w14:paraId="753A2CE7">
      <w:pPr>
        <w:snapToGrid w:val="0"/>
        <w:spacing w:line="276" w:lineRule="auto"/>
        <w:jc w:val="center"/>
        <w:rPr>
          <w:rFonts w:ascii="宋体" w:hAnsi="宋体" w:cs="宋体"/>
          <w:b/>
          <w:szCs w:val="21"/>
        </w:rPr>
      </w:pPr>
    </w:p>
    <w:p w14:paraId="274D0DDA">
      <w:pPr>
        <w:snapToGrid w:val="0"/>
        <w:spacing w:line="276" w:lineRule="auto"/>
        <w:jc w:val="center"/>
        <w:outlineLvl w:val="1"/>
        <w:rPr>
          <w:rFonts w:ascii="宋体" w:hAnsi="宋体" w:cs="宋体"/>
          <w:b/>
          <w:szCs w:val="21"/>
        </w:rPr>
      </w:pPr>
      <w:bookmarkStart w:id="33" w:name="_Toc27122"/>
      <w:r>
        <w:rPr>
          <w:rFonts w:hint="eastAsia" w:ascii="宋体" w:hAnsi="宋体" w:cs="宋体"/>
          <w:b/>
          <w:szCs w:val="21"/>
        </w:rPr>
        <w:t>三、投标文件的编制</w:t>
      </w:r>
      <w:bookmarkEnd w:id="33"/>
    </w:p>
    <w:p w14:paraId="02F2F915">
      <w:pPr>
        <w:snapToGrid w:val="0"/>
        <w:spacing w:line="460" w:lineRule="exact"/>
        <w:ind w:firstLine="413" w:firstLineChars="196"/>
        <w:jc w:val="left"/>
        <w:rPr>
          <w:rFonts w:ascii="宋体" w:hAnsi="宋体" w:cs="宋体"/>
          <w:b/>
          <w:szCs w:val="21"/>
        </w:rPr>
      </w:pPr>
      <w:r>
        <w:rPr>
          <w:rFonts w:hint="eastAsia" w:ascii="宋体" w:hAnsi="宋体" w:cs="宋体"/>
          <w:b/>
          <w:szCs w:val="21"/>
        </w:rPr>
        <w:t>（一）投标文件的形式和效力</w:t>
      </w:r>
    </w:p>
    <w:p w14:paraId="226318CC">
      <w:pPr>
        <w:adjustRightInd w:val="0"/>
        <w:snapToGrid w:val="0"/>
        <w:spacing w:line="460" w:lineRule="exact"/>
        <w:ind w:firstLine="422" w:firstLineChars="200"/>
        <w:rPr>
          <w:rFonts w:ascii="宋体" w:hAnsi="宋体" w:cs="宋体"/>
          <w:b/>
          <w:szCs w:val="21"/>
        </w:rPr>
      </w:pPr>
      <w:r>
        <w:rPr>
          <w:rFonts w:hint="eastAsia" w:ascii="宋体" w:hAnsi="宋体" w:cs="宋体"/>
          <w:b/>
          <w:szCs w:val="21"/>
        </w:rPr>
        <w:t>投标文件分为电子投标文件以及备份投标文件，备份投标文件为以介质存储的数据电文形式的投标文件。</w:t>
      </w:r>
    </w:p>
    <w:p w14:paraId="196E93C3">
      <w:pPr>
        <w:adjustRightInd w:val="0"/>
        <w:snapToGrid w:val="0"/>
        <w:spacing w:line="460" w:lineRule="exact"/>
        <w:ind w:firstLine="422" w:firstLineChars="200"/>
        <w:rPr>
          <w:rFonts w:ascii="宋体" w:hAnsi="宋体" w:cs="宋体"/>
          <w:b/>
          <w:szCs w:val="21"/>
        </w:rPr>
      </w:pPr>
      <w:r>
        <w:rPr>
          <w:rFonts w:hint="eastAsia" w:ascii="宋体" w:hAnsi="宋体" w:cs="宋体"/>
          <w:b/>
          <w:szCs w:val="21"/>
        </w:rPr>
        <w:t>1、电子投标文件，按“政采云供应商项目采购-电子招投标操作指南”及本招标文件要求制作、加密并递交。</w:t>
      </w:r>
    </w:p>
    <w:p w14:paraId="072472F0">
      <w:pPr>
        <w:adjustRightInd w:val="0"/>
        <w:snapToGrid w:val="0"/>
        <w:spacing w:line="460" w:lineRule="exact"/>
        <w:ind w:firstLine="422" w:firstLineChars="200"/>
        <w:rPr>
          <w:rFonts w:ascii="宋体" w:hAnsi="宋体" w:cs="宋体"/>
          <w:b/>
          <w:szCs w:val="21"/>
        </w:rPr>
      </w:pPr>
      <w:r>
        <w:rPr>
          <w:rFonts w:hint="eastAsia" w:ascii="宋体" w:hAnsi="宋体" w:cs="宋体"/>
          <w:b/>
          <w:szCs w:val="21"/>
        </w:rPr>
        <w:t>2、以介质存储的数据电文形式的备份投标文件，按政采云供应商项目采购-电子招投标操作指南中制作的电子投标文件。</w:t>
      </w:r>
    </w:p>
    <w:p w14:paraId="064BDE8F">
      <w:pPr>
        <w:adjustRightInd w:val="0"/>
        <w:snapToGrid w:val="0"/>
        <w:spacing w:line="460" w:lineRule="exact"/>
        <w:ind w:firstLine="422" w:firstLineChars="200"/>
        <w:rPr>
          <w:rFonts w:ascii="宋体" w:hAnsi="宋体" w:cs="宋体"/>
          <w:b/>
          <w:szCs w:val="21"/>
        </w:rPr>
      </w:pPr>
      <w:r>
        <w:rPr>
          <w:rFonts w:hint="eastAsia" w:ascii="宋体" w:hAnsi="宋体" w:cs="宋体"/>
          <w:b/>
          <w:szCs w:val="21"/>
        </w:rPr>
        <w:t>投标文件的启用，按先后顺位分别为电子投标文件、以介质存储的数据电文形式的备份投标文件。在下一顺位的投标文件启用时，前一顺位的投标文件自动失效。</w:t>
      </w:r>
    </w:p>
    <w:p w14:paraId="59BC3CBA">
      <w:pPr>
        <w:snapToGrid w:val="0"/>
        <w:spacing w:line="360" w:lineRule="auto"/>
        <w:ind w:firstLine="413" w:firstLineChars="196"/>
        <w:jc w:val="left"/>
        <w:rPr>
          <w:rFonts w:ascii="宋体" w:hAnsi="宋体" w:cs="宋体"/>
          <w:b/>
          <w:szCs w:val="21"/>
        </w:rPr>
      </w:pPr>
      <w:r>
        <w:rPr>
          <w:rFonts w:hint="eastAsia" w:ascii="宋体" w:hAnsi="宋体" w:cs="宋体"/>
          <w:b/>
          <w:szCs w:val="21"/>
        </w:rPr>
        <w:t>（二）投标文件的组成</w:t>
      </w:r>
    </w:p>
    <w:p w14:paraId="6252A659">
      <w:pPr>
        <w:snapToGrid w:val="0"/>
        <w:spacing w:line="360" w:lineRule="auto"/>
        <w:ind w:firstLine="415" w:firstLineChars="198"/>
        <w:rPr>
          <w:rFonts w:ascii="宋体" w:hAnsi="宋体" w:cs="宋体"/>
          <w:szCs w:val="21"/>
        </w:rPr>
      </w:pPr>
      <w:r>
        <w:rPr>
          <w:rFonts w:hint="eastAsia" w:ascii="宋体" w:hAnsi="宋体" w:cs="宋体"/>
          <w:szCs w:val="21"/>
        </w:rPr>
        <w:t>投标文件由投标报价文件、资格证明文件、商务文件、技术文件组成。电子投标文件中所须加盖公章部分均采用CA签章。（具体要求详见第六章 投标文件组成）</w:t>
      </w:r>
    </w:p>
    <w:p w14:paraId="01E793FE">
      <w:pPr>
        <w:snapToGrid w:val="0"/>
        <w:spacing w:line="360" w:lineRule="auto"/>
        <w:ind w:firstLine="413" w:firstLineChars="196"/>
        <w:jc w:val="left"/>
        <w:rPr>
          <w:rFonts w:ascii="宋体" w:hAnsi="宋体" w:cs="宋体"/>
          <w:b/>
          <w:szCs w:val="21"/>
        </w:rPr>
      </w:pPr>
      <w:r>
        <w:rPr>
          <w:rFonts w:hint="eastAsia" w:ascii="宋体" w:hAnsi="宋体" w:cs="宋体"/>
          <w:b/>
          <w:szCs w:val="21"/>
        </w:rPr>
        <w:t>（三）投标文件的语言及计量</w:t>
      </w:r>
    </w:p>
    <w:p w14:paraId="20F376A5">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1、投标文件以及投标人与采购代理机构就有关投标事宜的所有来往函电，均应以中文汉语书写。除签名、盖章、专用名称、特殊证明材料等情形外，以中文汉语以外的文字表述的投标文件视同未提供。</w:t>
      </w:r>
    </w:p>
    <w:p w14:paraId="7A067B81">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2、投标计量单位，应采用中华人民共和国法定计量单位（货币单位：人民币元），否则视同未响应。</w:t>
      </w:r>
    </w:p>
    <w:p w14:paraId="5D8020CF">
      <w:pPr>
        <w:snapToGrid w:val="0"/>
        <w:spacing w:line="360" w:lineRule="auto"/>
        <w:ind w:firstLine="413" w:firstLineChars="196"/>
        <w:jc w:val="left"/>
        <w:rPr>
          <w:rFonts w:ascii="宋体" w:hAnsi="宋体" w:cs="宋体"/>
          <w:b/>
          <w:szCs w:val="21"/>
        </w:rPr>
      </w:pPr>
      <w:r>
        <w:rPr>
          <w:rFonts w:hint="eastAsia" w:ascii="宋体" w:hAnsi="宋体" w:cs="宋体"/>
          <w:b/>
          <w:szCs w:val="21"/>
        </w:rPr>
        <w:t>（四）投标报价与相关费用</w:t>
      </w:r>
    </w:p>
    <w:p w14:paraId="0FFA59E7">
      <w:pPr>
        <w:spacing w:line="360" w:lineRule="auto"/>
        <w:ind w:firstLine="420" w:firstLineChars="200"/>
        <w:rPr>
          <w:rFonts w:ascii="宋体" w:hAnsi="宋体" w:cs="宋体"/>
          <w:lang w:val="zh-CN"/>
        </w:rPr>
      </w:pPr>
      <w:r>
        <w:rPr>
          <w:rFonts w:hint="eastAsia" w:ascii="宋体" w:hAnsi="宋体" w:cs="宋体"/>
        </w:rPr>
        <w:t>1、</w:t>
      </w:r>
      <w:r>
        <w:rPr>
          <w:rFonts w:hint="eastAsia" w:ascii="宋体" w:hAnsi="宋体" w:cs="宋体"/>
          <w:lang w:val="zh-CN"/>
        </w:rPr>
        <w:t>投标人所投报的投标报价为投标人所能承受的整个项目的一次性最终最低合同总价，包括完成本项目工作内容所需的一切费用。合同总价不得超过本项目对应的</w:t>
      </w:r>
      <w:r>
        <w:rPr>
          <w:rFonts w:hint="eastAsia" w:ascii="宋体" w:hAnsi="宋体" w:cs="宋体"/>
        </w:rPr>
        <w:t>预算金额或最高限价</w:t>
      </w:r>
      <w:r>
        <w:rPr>
          <w:rFonts w:hint="eastAsia" w:ascii="宋体" w:hAnsi="宋体" w:cs="宋体"/>
          <w:lang w:val="zh-CN"/>
        </w:rPr>
        <w:t>。</w:t>
      </w:r>
    </w:p>
    <w:p w14:paraId="0DFDFC5B">
      <w:pPr>
        <w:spacing w:line="360" w:lineRule="auto"/>
        <w:ind w:firstLine="420" w:firstLineChars="200"/>
        <w:rPr>
          <w:rFonts w:ascii="宋体" w:hAnsi="宋体" w:cs="宋体"/>
          <w:lang w:val="zh-CN"/>
        </w:rPr>
      </w:pPr>
      <w:r>
        <w:rPr>
          <w:rFonts w:hint="eastAsia" w:ascii="宋体" w:hAnsi="宋体" w:cs="宋体"/>
        </w:rPr>
        <w:t>2、</w:t>
      </w:r>
      <w:r>
        <w:rPr>
          <w:rFonts w:hint="eastAsia" w:ascii="宋体" w:hAnsi="宋体" w:cs="宋体"/>
          <w:lang w:val="zh-CN"/>
        </w:rPr>
        <w:t>按国家规定由中标人缴纳的各种税收已包含在投标总价内，由中标人向税务机关缴纳相关费用。</w:t>
      </w:r>
    </w:p>
    <w:p w14:paraId="76D96B35">
      <w:pPr>
        <w:spacing w:line="360" w:lineRule="auto"/>
        <w:ind w:firstLine="420" w:firstLineChars="200"/>
        <w:rPr>
          <w:rFonts w:ascii="宋体" w:hAnsi="宋体" w:cs="宋体"/>
          <w:lang w:val="zh-CN"/>
        </w:rPr>
      </w:pPr>
      <w:r>
        <w:rPr>
          <w:rFonts w:hint="eastAsia" w:ascii="宋体" w:hAnsi="宋体" w:cs="宋体"/>
        </w:rPr>
        <w:t>3、</w:t>
      </w:r>
      <w:r>
        <w:rPr>
          <w:rFonts w:hint="eastAsia" w:ascii="宋体" w:hAnsi="宋体" w:cs="宋体"/>
          <w:lang w:val="zh-CN"/>
        </w:rPr>
        <w:t>投标人应承担其参加本招标活动自身所发生的费用。</w:t>
      </w:r>
    </w:p>
    <w:p w14:paraId="11EF198A">
      <w:pPr>
        <w:spacing w:line="360" w:lineRule="auto"/>
        <w:ind w:firstLine="420" w:firstLineChars="200"/>
        <w:rPr>
          <w:rFonts w:ascii="宋体" w:hAnsi="宋体" w:cs="宋体"/>
        </w:rPr>
      </w:pPr>
      <w:r>
        <w:rPr>
          <w:rFonts w:hint="eastAsia" w:ascii="宋体" w:hAnsi="宋体" w:cs="宋体"/>
        </w:rPr>
        <w:t>4、中标人须缴纳招标代理服务费，</w:t>
      </w:r>
    </w:p>
    <w:p w14:paraId="2656A935">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（五）投标文件的有效期</w:t>
      </w:r>
    </w:p>
    <w:p w14:paraId="5488EF29">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1、自投标截止日起90天投标文件应保持有效。有效期不足的投标文件将被拒绝。</w:t>
      </w:r>
    </w:p>
    <w:p w14:paraId="73265857">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2、在特殊情况下，采购人可与投标人协商延长投标文件的有效期，这种要求和答复均以书面形式进行。</w:t>
      </w:r>
    </w:p>
    <w:p w14:paraId="600768D1">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3、中标人的投标文件自开标之日起至合同履行完毕止均应保持有效。</w:t>
      </w:r>
    </w:p>
    <w:p w14:paraId="67133DAA">
      <w:pPr>
        <w:spacing w:line="360" w:lineRule="auto"/>
        <w:ind w:firstLine="422" w:firstLineChars="200"/>
        <w:rPr>
          <w:rFonts w:ascii="宋体" w:hAnsi="宋体" w:cs="宋体"/>
          <w:b/>
          <w:bCs/>
        </w:rPr>
      </w:pPr>
      <w:r>
        <w:rPr>
          <w:rFonts w:hint="eastAsia" w:ascii="宋体" w:hAnsi="宋体" w:cs="宋体"/>
          <w:b/>
          <w:bCs/>
        </w:rPr>
        <w:t>（六）投标文件的签署和编制</w:t>
      </w:r>
    </w:p>
    <w:p w14:paraId="240BF266">
      <w:pPr>
        <w:spacing w:line="360" w:lineRule="auto"/>
        <w:ind w:firstLine="420" w:firstLineChars="200"/>
        <w:rPr>
          <w:rFonts w:ascii="宋体" w:hAnsi="宋体" w:cs="宋体"/>
        </w:rPr>
      </w:pPr>
      <w:r>
        <w:rPr>
          <w:rFonts w:hint="eastAsia" w:ascii="宋体" w:hAnsi="宋体" w:cs="宋体"/>
        </w:rPr>
        <w:t>1、电子投标文件部分：</w:t>
      </w:r>
    </w:p>
    <w:p w14:paraId="003A9484">
      <w:pPr>
        <w:spacing w:line="360" w:lineRule="auto"/>
        <w:ind w:firstLine="420" w:firstLineChars="200"/>
        <w:rPr>
          <w:rFonts w:ascii="宋体" w:hAnsi="宋体" w:cs="宋体"/>
        </w:rPr>
      </w:pPr>
      <w:r>
        <w:rPr>
          <w:rFonts w:hint="eastAsia" w:ascii="宋体" w:hAnsi="宋体" w:cs="宋体"/>
        </w:rPr>
        <w:t>投标人应根据“政采云供应商项目采购-电子招投标操作指南”及本招标文件规定的格式和顺序编制电子投标文件并进行关联定位。</w:t>
      </w:r>
    </w:p>
    <w:p w14:paraId="654C564B">
      <w:pPr>
        <w:spacing w:line="360" w:lineRule="auto"/>
        <w:ind w:firstLine="420" w:firstLineChars="200"/>
        <w:rPr>
          <w:rFonts w:ascii="宋体" w:hAnsi="宋体" w:cs="宋体"/>
        </w:rPr>
      </w:pPr>
      <w:r>
        <w:rPr>
          <w:rFonts w:hint="eastAsia" w:ascii="宋体" w:hAnsi="宋体" w:cs="宋体"/>
        </w:rPr>
        <w:t>2、以介质存储的数据电文形式的备份投标文件部分：</w:t>
      </w:r>
    </w:p>
    <w:p w14:paraId="5F231B71">
      <w:pPr>
        <w:spacing w:line="360" w:lineRule="auto"/>
        <w:ind w:firstLine="420" w:firstLineChars="200"/>
        <w:rPr>
          <w:rFonts w:ascii="宋体" w:hAnsi="宋体" w:cs="宋体"/>
        </w:rPr>
      </w:pPr>
      <w:r>
        <w:rPr>
          <w:rFonts w:hint="eastAsia" w:ascii="宋体" w:hAnsi="宋体" w:cs="宋体"/>
        </w:rPr>
        <w:t>备份电子投标文件，以光盘或U盘形式存储。</w:t>
      </w:r>
    </w:p>
    <w:p w14:paraId="3EBD9AA0">
      <w:pPr>
        <w:spacing w:line="360" w:lineRule="auto"/>
        <w:ind w:firstLine="422" w:firstLineChars="200"/>
        <w:rPr>
          <w:rFonts w:ascii="宋体" w:hAnsi="宋体" w:cs="宋体"/>
          <w:b/>
          <w:bCs/>
        </w:rPr>
      </w:pPr>
      <w:r>
        <w:rPr>
          <w:rFonts w:hint="eastAsia" w:ascii="宋体" w:hAnsi="宋体" w:cs="宋体"/>
          <w:b/>
          <w:bCs/>
        </w:rPr>
        <w:t>（七）备份投标文件的修改和撤回</w:t>
      </w:r>
    </w:p>
    <w:p w14:paraId="72E58317">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投标人在投标截止时间之前，可以对已提交的投标文件进行修改或撤回，并书面形式（投标人代表签字）通知采购代理机构；投标截止时间后，投标人不得撤回、修改投标文件。修改后重新递交的投标文件应当按本招标文件的要求密封和签字。</w:t>
      </w:r>
    </w:p>
    <w:p w14:paraId="60191283">
      <w:pPr>
        <w:snapToGrid w:val="0"/>
        <w:spacing w:line="360" w:lineRule="auto"/>
        <w:ind w:firstLine="422" w:firstLineChars="200"/>
        <w:rPr>
          <w:rFonts w:ascii="宋体" w:hAnsi="宋体" w:cs="宋体"/>
          <w:b/>
          <w:szCs w:val="21"/>
        </w:rPr>
      </w:pPr>
      <w:r>
        <w:rPr>
          <w:rFonts w:hint="eastAsia" w:ascii="宋体" w:hAnsi="宋体" w:cs="宋体"/>
          <w:b/>
          <w:szCs w:val="21"/>
        </w:rPr>
        <w:t>（八）投标无效的情形</w:t>
      </w:r>
    </w:p>
    <w:p w14:paraId="3FCD815C">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实质上没有响应招标文件要求的投标将被视为无效投标。投标人不得通过修正或撤销不合要求的偏离或保留从而使其投标成为实质上响应的投标。经评审小组认定属于投标人笔误所造成的差错，应当允许其在评标结束之前进行修改或者补正（可以是复印件、传真件等）。修改或者补正投标文件必须以书面形式进行，并应在中标结果公告之前查核原件。限期内不补正或经补正后仍不符合招标文件要求的，应认定其投标无效。投标人修改、补正投标文件后，不影响评审小组对其投标文件所作的评价和评分结果。</w:t>
      </w:r>
    </w:p>
    <w:p w14:paraId="038C2E34">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1、在符合性审查和商务评审时，如发现下列情形之一的，投标文件将被视为无效投标：</w:t>
      </w:r>
    </w:p>
    <w:p w14:paraId="6F05A1C3">
      <w:pPr>
        <w:snapToGrid w:val="0"/>
        <w:spacing w:line="360" w:lineRule="auto"/>
        <w:ind w:firstLine="417" w:firstLineChars="198"/>
        <w:rPr>
          <w:rFonts w:ascii="宋体" w:hAnsi="宋体" w:cs="宋体"/>
          <w:b/>
          <w:szCs w:val="21"/>
        </w:rPr>
      </w:pPr>
      <w:r>
        <w:rPr>
          <w:rFonts w:hint="eastAsia" w:ascii="宋体" w:hAnsi="宋体" w:cs="宋体"/>
          <w:b/>
          <w:szCs w:val="21"/>
        </w:rPr>
        <w:t>1.1电子投标文件解密失败的，且未在规定时间内提交有效备份投标文件的；</w:t>
      </w:r>
    </w:p>
    <w:p w14:paraId="159590A5">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1.2未按招标文件要求密封、签字、盖章的；</w:t>
      </w:r>
    </w:p>
    <w:p w14:paraId="66863200">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1.3资格证明文件不全的，或者不符合招标文件标明的资格要求的；</w:t>
      </w:r>
    </w:p>
    <w:p w14:paraId="7591571E">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1.4投标文件组成不全的；</w:t>
      </w:r>
    </w:p>
    <w:p w14:paraId="21EAAE2F">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1.5投标文件的实质性内容未使用中文表述、意思表述不明确、前后矛盾或者使用计量单位不符合招标文件要求的；（经评审小组认定允许其当场更正的笔误除外）</w:t>
      </w:r>
    </w:p>
    <w:p w14:paraId="0E0200BC">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1.6投标文件的关键内容字迹模糊、无法辨认的，或者投标文件中经修正的内容字迹模糊难以辨认或者修改处未按规定签名盖章的；</w:t>
      </w:r>
    </w:p>
    <w:p w14:paraId="6DF1C3B9">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1.7实质性条款不能满足招标文件要求的；</w:t>
      </w:r>
    </w:p>
    <w:p w14:paraId="5D5A9048">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1.8不响应招标文件要求或者投标文件有采购人不能接受的附加条件的；</w:t>
      </w:r>
    </w:p>
    <w:p w14:paraId="4B368507">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1.9 投标文件没有按招标文件要求提供有标“▲”的条款的资料和材料的；</w:t>
      </w:r>
    </w:p>
    <w:p w14:paraId="7D78BE5A">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1.10投标文件资格证明、商务、技术部分中出现投标报价信息的。</w:t>
      </w:r>
    </w:p>
    <w:p w14:paraId="24B0EB04">
      <w:pPr>
        <w:pStyle w:val="15"/>
        <w:snapToGrid w:val="0"/>
        <w:spacing w:line="360" w:lineRule="auto"/>
        <w:ind w:firstLine="417" w:firstLineChars="198"/>
        <w:rPr>
          <w:rFonts w:hint="eastAsia" w:hAnsi="宋体" w:eastAsia="宋体" w:cs="宋体"/>
          <w:b/>
          <w:sz w:val="21"/>
          <w:szCs w:val="21"/>
        </w:rPr>
      </w:pPr>
      <w:r>
        <w:rPr>
          <w:rFonts w:hint="eastAsia" w:hAnsi="宋体" w:eastAsia="宋体" w:cs="宋体"/>
          <w:b/>
          <w:sz w:val="21"/>
          <w:szCs w:val="21"/>
        </w:rPr>
        <w:t>2、在不影响公平竞争的前提下，采购文件中参与同一标段(包)的供应商存在以下情形之一</w:t>
      </w:r>
      <w:r>
        <w:rPr>
          <w:rFonts w:hint="eastAsia" w:hAnsi="宋体" w:eastAsia="宋体" w:cs="宋体"/>
          <w:b/>
          <w:sz w:val="21"/>
          <w:szCs w:val="21"/>
          <w:lang w:val="en-US" w:eastAsia="zh-CN"/>
        </w:rPr>
        <w:t>且</w:t>
      </w:r>
      <w:r>
        <w:rPr>
          <w:rFonts w:hint="eastAsia" w:hAnsi="宋体" w:eastAsia="宋体" w:cs="宋体"/>
          <w:b/>
          <w:sz w:val="21"/>
          <w:szCs w:val="21"/>
        </w:rPr>
        <w:t>无法合理解释的，其投标(响应)文件无效:</w:t>
      </w:r>
    </w:p>
    <w:p w14:paraId="44D1147C">
      <w:pPr>
        <w:pStyle w:val="15"/>
        <w:snapToGrid w:val="0"/>
        <w:spacing w:line="360" w:lineRule="auto"/>
        <w:ind w:firstLine="415" w:firstLineChars="198"/>
        <w:rPr>
          <w:rFonts w:hint="eastAsia" w:hAnsi="宋体" w:eastAsia="宋体" w:cs="宋体"/>
          <w:b w:val="0"/>
          <w:bCs/>
          <w:sz w:val="21"/>
          <w:szCs w:val="21"/>
          <w:lang w:eastAsia="zh-CN"/>
        </w:rPr>
      </w:pPr>
      <w:r>
        <w:rPr>
          <w:rFonts w:hint="eastAsia" w:hAnsi="宋体" w:eastAsia="宋体" w:cs="宋体"/>
          <w:b w:val="0"/>
          <w:bCs/>
          <w:sz w:val="21"/>
          <w:szCs w:val="21"/>
        </w:rPr>
        <w:t>2.1不同供应商的电子投标(响应)文件上传计算机的网</w:t>
      </w:r>
      <w:r>
        <w:rPr>
          <w:rFonts w:hint="eastAsia" w:hAnsi="宋体" w:eastAsia="宋体" w:cs="宋体"/>
          <w:b w:val="0"/>
          <w:bCs/>
          <w:sz w:val="21"/>
          <w:szCs w:val="21"/>
          <w:highlight w:val="none"/>
        </w:rPr>
        <w:t>卡</w:t>
      </w:r>
      <w:r>
        <w:rPr>
          <w:rFonts w:hint="eastAsia" w:hAnsi="宋体" w:eastAsia="宋体" w:cs="宋体"/>
          <w:b w:val="0"/>
          <w:bCs/>
          <w:sz w:val="21"/>
          <w:szCs w:val="21"/>
          <w:highlight w:val="none"/>
          <w:lang w:val="en-US" w:eastAsia="zh-CN"/>
        </w:rPr>
        <w:t>MAC</w:t>
      </w:r>
      <w:r>
        <w:rPr>
          <w:rFonts w:hint="eastAsia" w:hAnsi="宋体" w:eastAsia="宋体" w:cs="宋体"/>
          <w:b w:val="0"/>
          <w:bCs/>
          <w:sz w:val="21"/>
          <w:szCs w:val="21"/>
          <w:highlight w:val="none"/>
        </w:rPr>
        <w:t>地址</w:t>
      </w:r>
      <w:r>
        <w:rPr>
          <w:rFonts w:hint="eastAsia" w:hAnsi="宋体" w:eastAsia="宋体" w:cs="宋体"/>
          <w:b w:val="0"/>
          <w:bCs/>
          <w:sz w:val="21"/>
          <w:szCs w:val="21"/>
        </w:rPr>
        <w:t>或硬盘序列号等硬件信息相同的</w:t>
      </w:r>
      <w:r>
        <w:rPr>
          <w:rFonts w:hint="eastAsia" w:hAnsi="宋体" w:eastAsia="宋体" w:cs="宋体"/>
          <w:b w:val="0"/>
          <w:bCs/>
          <w:sz w:val="21"/>
          <w:szCs w:val="21"/>
          <w:lang w:eastAsia="zh-CN"/>
        </w:rPr>
        <w:t>；</w:t>
      </w:r>
    </w:p>
    <w:p w14:paraId="2A85754C">
      <w:pPr>
        <w:pStyle w:val="15"/>
        <w:snapToGrid w:val="0"/>
        <w:spacing w:line="360" w:lineRule="auto"/>
        <w:ind w:firstLine="415" w:firstLineChars="198"/>
        <w:rPr>
          <w:rFonts w:hint="eastAsia" w:hAnsi="宋体" w:eastAsia="宋体" w:cs="宋体"/>
          <w:b w:val="0"/>
          <w:bCs/>
          <w:sz w:val="21"/>
          <w:szCs w:val="21"/>
          <w:lang w:eastAsia="zh-CN"/>
        </w:rPr>
      </w:pPr>
      <w:r>
        <w:rPr>
          <w:rFonts w:hint="eastAsia" w:hAnsi="宋体" w:eastAsia="宋体" w:cs="宋体"/>
          <w:b w:val="0"/>
          <w:bCs/>
          <w:sz w:val="21"/>
          <w:szCs w:val="21"/>
        </w:rPr>
        <w:t>2.2上传的电子投标(响应)文件若出现使用本项目其他投标(响应)供应商的数字证书加密的，或者加盖本项目其他投标(响应)供应商的电子印章的</w:t>
      </w:r>
      <w:r>
        <w:rPr>
          <w:rFonts w:hint="eastAsia" w:hAnsi="宋体" w:eastAsia="宋体" w:cs="宋体"/>
          <w:b w:val="0"/>
          <w:bCs/>
          <w:sz w:val="21"/>
          <w:szCs w:val="21"/>
          <w:lang w:eastAsia="zh-CN"/>
        </w:rPr>
        <w:t>；</w:t>
      </w:r>
    </w:p>
    <w:p w14:paraId="7C6B1389">
      <w:pPr>
        <w:pStyle w:val="15"/>
        <w:snapToGrid w:val="0"/>
        <w:spacing w:line="360" w:lineRule="auto"/>
        <w:ind w:firstLine="415" w:firstLineChars="198"/>
        <w:rPr>
          <w:rFonts w:hint="eastAsia" w:hAnsi="宋体" w:eastAsia="宋体" w:cs="宋体"/>
          <w:b w:val="0"/>
          <w:bCs/>
          <w:sz w:val="21"/>
          <w:szCs w:val="21"/>
          <w:lang w:eastAsia="zh-CN"/>
        </w:rPr>
      </w:pPr>
      <w:r>
        <w:rPr>
          <w:rFonts w:hint="eastAsia" w:hAnsi="宋体" w:eastAsia="宋体" w:cs="宋体"/>
          <w:b w:val="0"/>
          <w:bCs/>
          <w:sz w:val="21"/>
          <w:szCs w:val="21"/>
        </w:rPr>
        <w:t>2.3不同供应商的投标(响应)文件的内容存在3处(含)以上错误一致的</w:t>
      </w:r>
      <w:r>
        <w:rPr>
          <w:rFonts w:hint="eastAsia" w:hAnsi="宋体" w:eastAsia="宋体" w:cs="宋体"/>
          <w:b w:val="0"/>
          <w:bCs/>
          <w:sz w:val="21"/>
          <w:szCs w:val="21"/>
          <w:lang w:eastAsia="zh-CN"/>
        </w:rPr>
        <w:t>；</w:t>
      </w:r>
    </w:p>
    <w:p w14:paraId="33FFE396">
      <w:pPr>
        <w:pStyle w:val="15"/>
        <w:snapToGrid w:val="0"/>
        <w:spacing w:line="360" w:lineRule="auto"/>
        <w:ind w:firstLine="415" w:firstLineChars="198"/>
        <w:rPr>
          <w:rFonts w:hint="eastAsia" w:hAnsi="宋体" w:eastAsia="宋体" w:cs="宋体"/>
          <w:b/>
          <w:sz w:val="21"/>
          <w:szCs w:val="21"/>
        </w:rPr>
      </w:pPr>
      <w:r>
        <w:rPr>
          <w:rFonts w:hint="eastAsia" w:hAnsi="宋体" w:eastAsia="宋体" w:cs="宋体"/>
          <w:b w:val="0"/>
          <w:bCs/>
          <w:sz w:val="21"/>
          <w:szCs w:val="21"/>
        </w:rPr>
        <w:t>2.4不同供应商联系人为同一人或不同联系人的联系电话一致的。</w:t>
      </w:r>
    </w:p>
    <w:p w14:paraId="504D6203">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lang w:val="en-US" w:eastAsia="zh-CN"/>
        </w:rPr>
        <w:t>3</w:t>
      </w:r>
      <w:r>
        <w:rPr>
          <w:rFonts w:hint="eastAsia" w:hAnsi="宋体" w:eastAsia="宋体" w:cs="宋体"/>
          <w:b/>
          <w:sz w:val="21"/>
          <w:szCs w:val="21"/>
        </w:rPr>
        <w:t>、在技术评审时，如发现下列情形之一的，投标文件将被视为无效投标：</w:t>
      </w:r>
    </w:p>
    <w:p w14:paraId="1819EDA4">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lang w:val="en-US" w:eastAsia="zh-CN"/>
        </w:rPr>
        <w:t>3</w:t>
      </w:r>
      <w:r>
        <w:rPr>
          <w:rFonts w:hint="eastAsia" w:hAnsi="宋体" w:eastAsia="宋体" w:cs="宋体"/>
          <w:sz w:val="21"/>
          <w:szCs w:val="21"/>
        </w:rPr>
        <w:t>.1投标文件标明的响应或偏离与事实不符或虚假投标的；</w:t>
      </w:r>
    </w:p>
    <w:p w14:paraId="2A8ECD00">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lang w:val="en-US" w:eastAsia="zh-CN"/>
        </w:rPr>
        <w:t>3</w:t>
      </w:r>
      <w:r>
        <w:rPr>
          <w:rFonts w:hint="eastAsia" w:hAnsi="宋体" w:eastAsia="宋体" w:cs="宋体"/>
          <w:sz w:val="21"/>
          <w:szCs w:val="21"/>
        </w:rPr>
        <w:t>.2明显不符合招标文件中标“▲”的技术指标、主要功能项目发生实质性偏离的；</w:t>
      </w:r>
    </w:p>
    <w:p w14:paraId="46D38D82">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lang w:val="en-US" w:eastAsia="zh-CN"/>
        </w:rPr>
        <w:t>3</w:t>
      </w:r>
      <w:r>
        <w:rPr>
          <w:rFonts w:hint="eastAsia" w:hAnsi="宋体" w:eastAsia="宋体" w:cs="宋体"/>
          <w:sz w:val="21"/>
          <w:szCs w:val="21"/>
        </w:rPr>
        <w:t>.3投标技术方案不明确，存在一个或一个以上备选（替代）投标的；</w:t>
      </w:r>
    </w:p>
    <w:p w14:paraId="43745B45">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lang w:val="en-US" w:eastAsia="zh-CN"/>
        </w:rPr>
        <w:t>4</w:t>
      </w:r>
      <w:r>
        <w:rPr>
          <w:rFonts w:hint="eastAsia" w:hAnsi="宋体" w:eastAsia="宋体" w:cs="宋体"/>
          <w:b/>
          <w:sz w:val="21"/>
          <w:szCs w:val="21"/>
        </w:rPr>
        <w:t>、在投标报价文件评审时，如发现下列情形之一的，投标文件将被视为无效投标：</w:t>
      </w:r>
    </w:p>
    <w:p w14:paraId="76DE541C">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lang w:val="en-US" w:eastAsia="zh-CN"/>
        </w:rPr>
        <w:t>4</w:t>
      </w:r>
      <w:r>
        <w:rPr>
          <w:rFonts w:hint="eastAsia" w:hAnsi="宋体" w:eastAsia="宋体" w:cs="宋体"/>
          <w:b/>
          <w:sz w:val="21"/>
          <w:szCs w:val="21"/>
        </w:rPr>
        <w:t>.1超过项目的预算金额或最高限价的；</w:t>
      </w:r>
    </w:p>
    <w:p w14:paraId="4F2A5F3D">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lang w:val="en-US" w:eastAsia="zh-CN"/>
        </w:rPr>
        <w:t>4</w:t>
      </w:r>
      <w:r>
        <w:rPr>
          <w:rFonts w:hint="eastAsia" w:hAnsi="宋体" w:eastAsia="宋体" w:cs="宋体"/>
          <w:b/>
          <w:sz w:val="21"/>
          <w:szCs w:val="21"/>
        </w:rPr>
        <w:t>.2有选择或有条件的报价的；</w:t>
      </w:r>
    </w:p>
    <w:p w14:paraId="70EF4369">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lang w:val="en-US" w:eastAsia="zh-CN"/>
        </w:rPr>
        <w:t>4</w:t>
      </w:r>
      <w:r>
        <w:rPr>
          <w:rFonts w:hint="eastAsia" w:hAnsi="宋体" w:eastAsia="宋体" w:cs="宋体"/>
          <w:b/>
          <w:sz w:val="21"/>
          <w:szCs w:val="21"/>
        </w:rPr>
        <w:t>.3 报价文件中缺失报价的。</w:t>
      </w:r>
    </w:p>
    <w:p w14:paraId="65EFAB8C">
      <w:pPr>
        <w:snapToGrid w:val="0"/>
        <w:spacing w:line="360" w:lineRule="auto"/>
        <w:ind w:firstLine="417" w:firstLineChars="198"/>
        <w:rPr>
          <w:rFonts w:ascii="宋体" w:hAnsi="宋体" w:cs="宋体"/>
          <w:b/>
          <w:szCs w:val="21"/>
        </w:rPr>
      </w:pPr>
      <w:r>
        <w:rPr>
          <w:rFonts w:hint="eastAsia" w:ascii="宋体" w:hAnsi="宋体" w:cs="宋体"/>
          <w:b/>
          <w:szCs w:val="21"/>
          <w:lang w:val="en-US" w:eastAsia="zh-CN"/>
        </w:rPr>
        <w:t>5</w:t>
      </w:r>
      <w:r>
        <w:rPr>
          <w:rFonts w:hint="eastAsia" w:ascii="宋体" w:hAnsi="宋体" w:cs="宋体"/>
          <w:b/>
          <w:szCs w:val="21"/>
        </w:rPr>
        <w:t>、被拒绝的投标文件为无效。</w:t>
      </w:r>
    </w:p>
    <w:p w14:paraId="07A6782B">
      <w:pPr>
        <w:snapToGrid w:val="0"/>
        <w:spacing w:line="360" w:lineRule="auto"/>
        <w:ind w:firstLine="417" w:firstLineChars="198"/>
        <w:rPr>
          <w:rFonts w:ascii="宋体" w:hAnsi="宋体" w:cs="宋体"/>
          <w:b/>
          <w:szCs w:val="21"/>
        </w:rPr>
      </w:pPr>
      <w:r>
        <w:rPr>
          <w:rFonts w:hint="eastAsia" w:ascii="宋体" w:hAnsi="宋体" w:cs="宋体"/>
          <w:b/>
          <w:szCs w:val="21"/>
        </w:rPr>
        <w:t>（九）出现以下情形，导致电子交易平台无法正常运行，或者无法保证电子交易的公平、公正和安全时，中止电子交易活动：</w:t>
      </w:r>
    </w:p>
    <w:p w14:paraId="28602804">
      <w:pPr>
        <w:snapToGrid w:val="0"/>
        <w:spacing w:line="360" w:lineRule="auto"/>
        <w:ind w:firstLine="420" w:firstLineChars="200"/>
        <w:rPr>
          <w:rFonts w:ascii="宋体" w:hAnsi="宋体" w:cs="宋体"/>
          <w:bCs/>
          <w:szCs w:val="21"/>
        </w:rPr>
      </w:pPr>
      <w:r>
        <w:rPr>
          <w:rFonts w:hint="eastAsia" w:ascii="宋体" w:hAnsi="宋体" w:cs="宋体"/>
          <w:bCs/>
          <w:szCs w:val="21"/>
        </w:rPr>
        <w:t>1、电子交易平台发生故障而无法登录访问的；</w:t>
      </w:r>
    </w:p>
    <w:p w14:paraId="4415264F">
      <w:pPr>
        <w:snapToGrid w:val="0"/>
        <w:spacing w:line="360" w:lineRule="auto"/>
        <w:ind w:firstLine="420" w:firstLineChars="200"/>
        <w:rPr>
          <w:rFonts w:ascii="宋体" w:hAnsi="宋体" w:cs="宋体"/>
          <w:bCs/>
          <w:szCs w:val="21"/>
        </w:rPr>
      </w:pPr>
      <w:r>
        <w:rPr>
          <w:rFonts w:hint="eastAsia" w:ascii="宋体" w:hAnsi="宋体" w:cs="宋体"/>
          <w:bCs/>
          <w:szCs w:val="21"/>
        </w:rPr>
        <w:t>2、电子交易平台应用或数据库出现错误，不能进行正常操作的；</w:t>
      </w:r>
    </w:p>
    <w:p w14:paraId="49750CE0">
      <w:pPr>
        <w:snapToGrid w:val="0"/>
        <w:spacing w:line="360" w:lineRule="auto"/>
        <w:ind w:firstLine="420" w:firstLineChars="200"/>
        <w:rPr>
          <w:rFonts w:ascii="宋体" w:hAnsi="宋体" w:cs="宋体"/>
          <w:bCs/>
          <w:szCs w:val="21"/>
        </w:rPr>
      </w:pPr>
      <w:r>
        <w:rPr>
          <w:rFonts w:hint="eastAsia" w:ascii="宋体" w:hAnsi="宋体" w:cs="宋体"/>
          <w:bCs/>
          <w:szCs w:val="21"/>
        </w:rPr>
        <w:t>3、电子交易平台发现严重安全漏洞，有潜在泄密危险的；</w:t>
      </w:r>
    </w:p>
    <w:p w14:paraId="5DA0E23D">
      <w:pPr>
        <w:snapToGrid w:val="0"/>
        <w:spacing w:line="360" w:lineRule="auto"/>
        <w:ind w:firstLine="420" w:firstLineChars="200"/>
        <w:rPr>
          <w:rFonts w:ascii="宋体" w:hAnsi="宋体" w:cs="宋体"/>
          <w:bCs/>
          <w:szCs w:val="21"/>
        </w:rPr>
      </w:pPr>
      <w:r>
        <w:rPr>
          <w:rFonts w:hint="eastAsia" w:ascii="宋体" w:hAnsi="宋体" w:cs="宋体"/>
          <w:bCs/>
          <w:szCs w:val="21"/>
        </w:rPr>
        <w:t>4、病毒发作导致不能进行正常操作的；</w:t>
      </w:r>
    </w:p>
    <w:p w14:paraId="7BD0F091">
      <w:pPr>
        <w:snapToGrid w:val="0"/>
        <w:spacing w:line="360" w:lineRule="auto"/>
        <w:ind w:firstLine="420" w:firstLineChars="200"/>
        <w:rPr>
          <w:rFonts w:ascii="宋体" w:hAnsi="宋体" w:cs="宋体"/>
          <w:bCs/>
          <w:szCs w:val="21"/>
        </w:rPr>
      </w:pPr>
      <w:r>
        <w:rPr>
          <w:rFonts w:hint="eastAsia" w:ascii="宋体" w:hAnsi="宋体" w:cs="宋体"/>
          <w:bCs/>
          <w:szCs w:val="21"/>
        </w:rPr>
        <w:t>5、其他无法保证电子交易的公平、公正和安全的情况。</w:t>
      </w:r>
    </w:p>
    <w:p w14:paraId="4F7B4019">
      <w:pPr>
        <w:snapToGrid w:val="0"/>
        <w:spacing w:line="360" w:lineRule="auto"/>
        <w:ind w:firstLine="415" w:firstLineChars="198"/>
        <w:rPr>
          <w:rFonts w:ascii="宋体" w:hAnsi="宋体" w:cs="宋体"/>
          <w:bCs/>
          <w:szCs w:val="21"/>
        </w:rPr>
      </w:pPr>
      <w:r>
        <w:rPr>
          <w:rFonts w:hint="eastAsia" w:ascii="宋体" w:hAnsi="宋体" w:cs="宋体"/>
          <w:bCs/>
          <w:szCs w:val="21"/>
        </w:rPr>
        <w:t>出现前款规定情形，不影响采购公平、公正性的，采购代理机构可以待上述情形消除后继续组织电子交易活动，也可以决定某些环节以纸质形式进行；影响或可能影响采购公平、公正性的，重新采购。</w:t>
      </w:r>
    </w:p>
    <w:p w14:paraId="12C3A506">
      <w:pPr>
        <w:snapToGrid w:val="0"/>
        <w:spacing w:line="276" w:lineRule="auto"/>
        <w:jc w:val="center"/>
        <w:rPr>
          <w:rFonts w:ascii="宋体" w:hAnsi="宋体" w:cs="宋体"/>
          <w:b/>
          <w:szCs w:val="21"/>
        </w:rPr>
      </w:pPr>
    </w:p>
    <w:p w14:paraId="1BE0999B">
      <w:pPr>
        <w:snapToGrid w:val="0"/>
        <w:spacing w:line="276" w:lineRule="auto"/>
        <w:jc w:val="center"/>
        <w:outlineLvl w:val="1"/>
        <w:rPr>
          <w:rFonts w:ascii="宋体" w:hAnsi="宋体" w:cs="宋体"/>
          <w:b/>
          <w:szCs w:val="21"/>
        </w:rPr>
      </w:pPr>
      <w:bookmarkStart w:id="34" w:name="_Toc6928"/>
      <w:r>
        <w:rPr>
          <w:rFonts w:hint="eastAsia" w:ascii="宋体" w:hAnsi="宋体" w:cs="宋体"/>
          <w:b/>
          <w:szCs w:val="21"/>
        </w:rPr>
        <w:t>四、开标</w:t>
      </w:r>
      <w:bookmarkEnd w:id="34"/>
    </w:p>
    <w:p w14:paraId="4D5FCCE5">
      <w:pPr>
        <w:pStyle w:val="15"/>
        <w:snapToGrid w:val="0"/>
        <w:spacing w:line="360" w:lineRule="auto"/>
        <w:ind w:firstLine="422" w:firstLineChars="200"/>
        <w:rPr>
          <w:rFonts w:hAnsi="宋体" w:eastAsia="宋体" w:cs="宋体"/>
          <w:b/>
          <w:sz w:val="21"/>
          <w:szCs w:val="21"/>
        </w:rPr>
      </w:pPr>
      <w:r>
        <w:rPr>
          <w:rFonts w:hint="eastAsia" w:hAnsi="宋体" w:eastAsia="宋体" w:cs="宋体"/>
          <w:b/>
          <w:sz w:val="21"/>
          <w:szCs w:val="21"/>
        </w:rPr>
        <w:t>（一）开标准备</w:t>
      </w:r>
    </w:p>
    <w:p w14:paraId="3CC61AFD">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采购代理机构将在规定的时间和地点进行开标。本项目不要求供应商授权代表参加现场开标、开启响应文件活动。</w:t>
      </w:r>
    </w:p>
    <w:p w14:paraId="1197E343">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（二）开标程序</w:t>
      </w:r>
    </w:p>
    <w:p w14:paraId="51F06814">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1、开标会由采购代理机构相关工作人员主持，主持人宣布开标会议开始。</w:t>
      </w:r>
    </w:p>
    <w:p w14:paraId="4F6699D6">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2、介绍参加开标会的人员名单。</w:t>
      </w:r>
    </w:p>
    <w:p w14:paraId="19FF7C1E">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3、宣布开标纪律和有关事项，告知应当回避的情形，提请有关人员回避。</w:t>
      </w:r>
    </w:p>
    <w:p w14:paraId="36E8C11A">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4、电子招投标开标及评审程序</w:t>
      </w:r>
    </w:p>
    <w:p w14:paraId="04076CB8">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4.1投标截止时间后，投标人登录政采云平台，用“项目采购-开标评标”功能对电子投标文件进行在线解密。</w:t>
      </w:r>
    </w:p>
    <w:p w14:paraId="0DC63BBE">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4.2各投标人的资格由采购代理机构人员负责初审；</w:t>
      </w:r>
    </w:p>
    <w:p w14:paraId="212B8BC8">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4.3评标委员会对商务技术响应文件进行评审；</w:t>
      </w:r>
    </w:p>
    <w:p w14:paraId="0FAACD68">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4.4在系统上公开资格和商务技术评审结果；</w:t>
      </w:r>
    </w:p>
    <w:p w14:paraId="24064C1D">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4.5在系统上公开报价开标情况；</w:t>
      </w:r>
    </w:p>
    <w:p w14:paraId="071EA516">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4.6评标委员会对报价情况进行评审；</w:t>
      </w:r>
    </w:p>
    <w:p w14:paraId="5616DF02">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4.7在系统上公布评审结果。</w:t>
      </w:r>
    </w:p>
    <w:p w14:paraId="7171ED92">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特别说明：政采云公司如对电子化开标及评审程序有调整的，按调整后的程序操作。</w:t>
      </w:r>
    </w:p>
    <w:p w14:paraId="0A827D90">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5、如遇电子招投标系统故障的，启用备份投标文件</w:t>
      </w:r>
    </w:p>
    <w:p w14:paraId="3BA329DB">
      <w:pPr>
        <w:snapToGrid w:val="0"/>
        <w:spacing w:line="360" w:lineRule="auto"/>
        <w:ind w:firstLine="417" w:firstLineChars="198"/>
        <w:rPr>
          <w:rFonts w:ascii="宋体" w:hAnsi="宋体" w:cs="宋体"/>
          <w:b/>
          <w:bCs/>
          <w:szCs w:val="21"/>
        </w:rPr>
      </w:pPr>
      <w:r>
        <w:rPr>
          <w:rFonts w:hint="eastAsia" w:ascii="宋体" w:hAnsi="宋体" w:cs="宋体"/>
          <w:b/>
          <w:bCs/>
          <w:szCs w:val="21"/>
        </w:rPr>
        <w:t>6、本项目原则上采用政采云电子招投标开标及评审程序，但若投标人在规定时间内无法解密或解密失败，采购代理机构将开启未能在规定时间内解密的投标人递交的备份投标文件。</w:t>
      </w:r>
    </w:p>
    <w:p w14:paraId="58C77F4A">
      <w:pPr>
        <w:snapToGrid w:val="0"/>
        <w:spacing w:line="276" w:lineRule="auto"/>
        <w:jc w:val="center"/>
        <w:rPr>
          <w:rFonts w:ascii="宋体" w:hAnsi="宋体" w:cs="宋体"/>
          <w:b/>
          <w:szCs w:val="21"/>
        </w:rPr>
      </w:pPr>
    </w:p>
    <w:p w14:paraId="6429DB34">
      <w:pPr>
        <w:snapToGrid w:val="0"/>
        <w:spacing w:line="276" w:lineRule="auto"/>
        <w:jc w:val="center"/>
        <w:outlineLvl w:val="1"/>
        <w:rPr>
          <w:rFonts w:ascii="宋体" w:hAnsi="宋体" w:cs="宋体"/>
          <w:b/>
          <w:szCs w:val="21"/>
        </w:rPr>
      </w:pPr>
      <w:bookmarkStart w:id="35" w:name="_Toc7848"/>
      <w:r>
        <w:rPr>
          <w:rFonts w:hint="eastAsia" w:ascii="宋体" w:hAnsi="宋体" w:cs="宋体"/>
          <w:b/>
          <w:szCs w:val="21"/>
        </w:rPr>
        <w:t>五、评标</w:t>
      </w:r>
      <w:bookmarkEnd w:id="35"/>
    </w:p>
    <w:p w14:paraId="32434AFF">
      <w:pPr>
        <w:pStyle w:val="15"/>
        <w:snapToGrid w:val="0"/>
        <w:spacing w:line="360" w:lineRule="auto"/>
        <w:ind w:firstLine="422" w:firstLineChars="200"/>
        <w:rPr>
          <w:rFonts w:hAnsi="宋体" w:eastAsia="宋体" w:cs="宋体"/>
          <w:b/>
          <w:sz w:val="21"/>
          <w:szCs w:val="21"/>
        </w:rPr>
      </w:pPr>
      <w:r>
        <w:rPr>
          <w:rFonts w:hint="eastAsia" w:hAnsi="宋体" w:eastAsia="宋体" w:cs="宋体"/>
          <w:b/>
          <w:sz w:val="21"/>
          <w:szCs w:val="21"/>
        </w:rPr>
        <w:t>（一）组建评审小组</w:t>
      </w:r>
    </w:p>
    <w:p w14:paraId="7199BACE">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评标委员会由评审专家组成，成员人数为 5 人以上单数。</w:t>
      </w:r>
    </w:p>
    <w:p w14:paraId="5E24D4F8">
      <w:pPr>
        <w:pStyle w:val="15"/>
        <w:snapToGrid w:val="0"/>
        <w:spacing w:line="360" w:lineRule="auto"/>
        <w:ind w:firstLine="422" w:firstLineChars="200"/>
        <w:rPr>
          <w:rFonts w:hAnsi="宋体" w:eastAsia="宋体" w:cs="宋体"/>
          <w:b/>
          <w:sz w:val="21"/>
          <w:szCs w:val="21"/>
        </w:rPr>
      </w:pPr>
      <w:r>
        <w:rPr>
          <w:rFonts w:hint="eastAsia" w:hAnsi="宋体" w:eastAsia="宋体" w:cs="宋体"/>
          <w:b/>
          <w:sz w:val="21"/>
          <w:szCs w:val="21"/>
        </w:rPr>
        <w:t>（二）评标程序</w:t>
      </w:r>
    </w:p>
    <w:p w14:paraId="5885E68D">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1、资格审查</w:t>
      </w:r>
    </w:p>
    <w:p w14:paraId="1827FC54">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代理机构对投标人的资格进行审查。</w:t>
      </w:r>
    </w:p>
    <w:p w14:paraId="3A4C1C4A">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2、实质审查与比较</w:t>
      </w:r>
    </w:p>
    <w:p w14:paraId="18E73133">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2.1评审小组审查投标文件的实质性内容是否符合招标文件的实质性要求。</w:t>
      </w:r>
    </w:p>
    <w:p w14:paraId="0D49BAE0">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2.2评审小组将根据投标人的投标文件进行审查、核对，如有疑问，将对投标人进行询标，投标人要向评审小组澄清有关问题，并最终以书面形式进行答复。</w:t>
      </w:r>
    </w:p>
    <w:p w14:paraId="4142AE97">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2.3投标人代表未到场或者拒绝澄清或者澄清的内容改变了投标文件的实质性内容的，评审小组有权对该投标文件作出不利于投标人的评判。</w:t>
      </w:r>
    </w:p>
    <w:p w14:paraId="1B91C044">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2.4各投标人的商务技术得分由指定专人进行计算复核。</w:t>
      </w:r>
    </w:p>
    <w:p w14:paraId="5E1B71AA">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2.5各投标人报价得分根据评分标准计算。</w:t>
      </w:r>
    </w:p>
    <w:p w14:paraId="0CCB07D1">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2.6评审小组完成评标后，对各部分得分汇总，得出本项目最终得分，评审小组按评标原则推荐中标候选人同时起草评审报告。</w:t>
      </w:r>
    </w:p>
    <w:p w14:paraId="160ADFF6">
      <w:pPr>
        <w:snapToGrid w:val="0"/>
        <w:spacing w:line="360" w:lineRule="auto"/>
        <w:ind w:firstLine="422" w:firstLineChars="200"/>
        <w:rPr>
          <w:rFonts w:ascii="宋体" w:hAnsi="宋体" w:cs="宋体"/>
          <w:b/>
          <w:szCs w:val="21"/>
        </w:rPr>
      </w:pPr>
      <w:r>
        <w:rPr>
          <w:rFonts w:hint="eastAsia" w:ascii="宋体" w:hAnsi="宋体" w:cs="宋体"/>
          <w:b/>
          <w:szCs w:val="21"/>
        </w:rPr>
        <w:t>（三）澄清问题的形式</w:t>
      </w:r>
    </w:p>
    <w:p w14:paraId="4CD80C58">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对投标文件中含义不明确、同类问题表述不一致或者有明显文字和计算错误的内容，评审小组可要求投标人作出必要的澄清、说明或者纠正。投标人的澄清、说明或者补正应当采用书面形式，由其全权代表签字或盖章确认，并不得超出投标文件的范围或者改变投标文件的实质性内容。</w:t>
      </w:r>
    </w:p>
    <w:p w14:paraId="23B185F6">
      <w:pPr>
        <w:pStyle w:val="15"/>
        <w:snapToGrid w:val="0"/>
        <w:spacing w:line="360" w:lineRule="auto"/>
        <w:ind w:firstLine="420" w:firstLineChars="199"/>
        <w:rPr>
          <w:rFonts w:hAnsi="宋体" w:eastAsia="宋体" w:cs="宋体"/>
          <w:b/>
          <w:sz w:val="21"/>
          <w:szCs w:val="21"/>
        </w:rPr>
      </w:pPr>
      <w:r>
        <w:rPr>
          <w:rFonts w:hint="eastAsia" w:hAnsi="宋体" w:eastAsia="宋体" w:cs="宋体"/>
          <w:b/>
          <w:sz w:val="21"/>
          <w:szCs w:val="21"/>
        </w:rPr>
        <w:t>（四）报价错误修正</w:t>
      </w:r>
    </w:p>
    <w:p w14:paraId="7D802456">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投标文件如果出现计算或表达上的错误，修正错误的原则如下：</w:t>
      </w:r>
    </w:p>
    <w:p w14:paraId="5B268D50">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1、投标文件开标一览表（报价表）内容与投标文件中相应内容不一致的，以开标一览表（报价表）为准；</w:t>
      </w:r>
    </w:p>
    <w:p w14:paraId="6FD6DF27">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2、大写金额和小写金额不一致的，以大写金额为准；</w:t>
      </w:r>
    </w:p>
    <w:p w14:paraId="45394368">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3、单价金额小数点或者百分比有明显错位的，以开标一览表的总价为准，并修改单价；</w:t>
      </w:r>
    </w:p>
    <w:p w14:paraId="54FB95A7">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4、总价金额与按单价汇总金额不一致的，以单价金额计算结果为准；</w:t>
      </w:r>
    </w:p>
    <w:p w14:paraId="2D9E25FD">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5、电子交易平台客户端里开标一览表录入的信息与投标文件不一致的，以投标文件为准。</w:t>
      </w:r>
    </w:p>
    <w:p w14:paraId="6BFB74DE">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同时出现两种以上不一致的，按上述顺序修正；按上述修正错误的原则及方法调整或修正投标文件的投标报价，投标人同意并签字确认后，调整后的投标报价对投标人具有约束作用。如果投标人不接受修正后的报价，则其投标将作为无效投标处理。</w:t>
      </w:r>
    </w:p>
    <w:p w14:paraId="68B95D5A">
      <w:pPr>
        <w:pStyle w:val="15"/>
        <w:snapToGrid w:val="0"/>
        <w:spacing w:line="360" w:lineRule="auto"/>
        <w:ind w:firstLine="417" w:firstLineChars="198"/>
        <w:rPr>
          <w:rFonts w:hAnsi="宋体" w:eastAsia="宋体" w:cs="宋体"/>
          <w:b/>
          <w:sz w:val="21"/>
          <w:szCs w:val="21"/>
        </w:rPr>
      </w:pPr>
      <w:r>
        <w:rPr>
          <w:rFonts w:hint="eastAsia" w:hAnsi="宋体" w:eastAsia="宋体" w:cs="宋体"/>
          <w:b/>
          <w:sz w:val="21"/>
          <w:szCs w:val="21"/>
        </w:rPr>
        <w:t>（五）评标原则和评标办法</w:t>
      </w:r>
    </w:p>
    <w:p w14:paraId="3017199E">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1、评标委员会必须公平、公正、客观，不带任何倾向性和启发性；不得向外界透露任何与评标有关的内容；任何单位和个人不得干扰、影响评标的正常进行；评标委员会及有关工作人员不得私下与投标人接触。</w:t>
      </w:r>
    </w:p>
    <w:p w14:paraId="2D8CCE45">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2、评标办法。本项目评标办法是</w:t>
      </w:r>
      <w:r>
        <w:rPr>
          <w:rFonts w:hint="eastAsia" w:hAnsi="宋体" w:eastAsia="宋体" w:cs="宋体"/>
          <w:sz w:val="21"/>
          <w:szCs w:val="21"/>
          <w:u w:val="single"/>
        </w:rPr>
        <w:t>综合评分法</w:t>
      </w:r>
      <w:r>
        <w:rPr>
          <w:rFonts w:hint="eastAsia" w:hAnsi="宋体" w:eastAsia="宋体" w:cs="宋体"/>
          <w:sz w:val="21"/>
          <w:szCs w:val="21"/>
        </w:rPr>
        <w:t>，具体评标内容及评分标准等详见《第四章：评标办法及评分标准》。</w:t>
      </w:r>
    </w:p>
    <w:p w14:paraId="126A7F34">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3、《政府采购货物和服务招标投标管理办法》</w:t>
      </w:r>
    </w:p>
    <w:p w14:paraId="6FA31EA2">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第三十一条: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FA0D0A9">
      <w:pPr>
        <w:pStyle w:val="15"/>
        <w:shd w:val="clear" w:color="auto" w:fill="auto"/>
        <w:snapToGrid w:val="0"/>
        <w:spacing w:line="360" w:lineRule="auto"/>
        <w:ind w:firstLine="422" w:firstLineChars="200"/>
        <w:rPr>
          <w:rFonts w:hint="eastAsia" w:hAnsi="宋体" w:eastAsia="宋体" w:cs="宋体"/>
          <w:b/>
          <w:bCs/>
          <w:sz w:val="21"/>
          <w:szCs w:val="21"/>
        </w:rPr>
      </w:pPr>
      <w:r>
        <w:rPr>
          <w:rFonts w:hint="eastAsia" w:hAnsi="宋体" w:eastAsia="宋体" w:cs="宋体"/>
          <w:b/>
          <w:bCs/>
          <w:sz w:val="21"/>
          <w:szCs w:val="21"/>
          <w:highlight w:val="none"/>
        </w:rPr>
        <w:t>本项目核心产品</w:t>
      </w:r>
      <w:r>
        <w:rPr>
          <w:rFonts w:hint="eastAsia" w:hAnsi="宋体" w:eastAsia="宋体" w:cs="宋体"/>
          <w:b/>
          <w:bCs/>
          <w:sz w:val="21"/>
          <w:szCs w:val="21"/>
          <w:highlight w:val="none"/>
          <w:lang w:eastAsia="zh-CN"/>
        </w:rPr>
        <w:t>：</w:t>
      </w:r>
      <w:r>
        <w:rPr>
          <w:rFonts w:hint="eastAsia" w:hAnsi="宋体" w:eastAsia="宋体" w:cs="宋体"/>
          <w:b/>
          <w:bCs/>
          <w:sz w:val="21"/>
          <w:szCs w:val="21"/>
          <w:highlight w:val="none"/>
          <w:u w:val="single"/>
          <w:lang w:val="en-US" w:eastAsia="zh-CN"/>
        </w:rPr>
        <w:t>书脊造型定制</w:t>
      </w:r>
      <w:r>
        <w:rPr>
          <w:rFonts w:hint="eastAsia" w:hAnsi="宋体" w:eastAsia="宋体" w:cs="宋体"/>
          <w:b/>
          <w:bCs/>
          <w:sz w:val="21"/>
          <w:szCs w:val="21"/>
          <w:highlight w:val="none"/>
          <w:u w:val="single"/>
        </w:rPr>
        <w:t>；</w:t>
      </w:r>
      <w:r>
        <w:rPr>
          <w:rFonts w:hint="eastAsia" w:hAnsi="宋体" w:eastAsia="宋体" w:cs="宋体"/>
          <w:b/>
          <w:bCs/>
          <w:sz w:val="21"/>
          <w:szCs w:val="21"/>
          <w:highlight w:val="none"/>
        </w:rPr>
        <w:t>核心产品同时为相同品牌时，符合第三十一条的规定。</w:t>
      </w:r>
    </w:p>
    <w:p w14:paraId="7EF57D02">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第四十三条：公开招标数额标准以上的采购项目，投标截止后投标人不足3家或者通过资格审查或符合性审查的投标人不足3家的，除采购任务取消情形外，按照以下方式处理：</w:t>
      </w:r>
    </w:p>
    <w:p w14:paraId="2E7A82D9">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（一）招标文件存在不合理条款或者招标程序不符合规定的，采购人、采购代理机构改正后依法重新招标；</w:t>
      </w:r>
    </w:p>
    <w:p w14:paraId="6A2D9BAB">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（二）招标文件没有不合理条款、招标程序符合规定，需要采用其他采购方式采购的，采购人应当依法报财政部门批准。</w:t>
      </w:r>
    </w:p>
    <w:p w14:paraId="7B9E07FB">
      <w:pPr>
        <w:pStyle w:val="15"/>
        <w:snapToGrid w:val="0"/>
        <w:spacing w:line="360" w:lineRule="auto"/>
        <w:ind w:firstLine="422" w:firstLineChars="200"/>
        <w:rPr>
          <w:rFonts w:hAnsi="宋体" w:eastAsia="宋体" w:cs="宋体"/>
          <w:b/>
          <w:sz w:val="21"/>
          <w:szCs w:val="21"/>
        </w:rPr>
      </w:pPr>
      <w:r>
        <w:rPr>
          <w:rFonts w:hint="eastAsia" w:hAnsi="宋体" w:eastAsia="宋体" w:cs="宋体"/>
          <w:b/>
          <w:sz w:val="21"/>
          <w:szCs w:val="21"/>
        </w:rPr>
        <w:t>（六）评标过程的监控</w:t>
      </w:r>
    </w:p>
    <w:p w14:paraId="31D6AAB2">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本项目评标过程实行全程录音、录像监控，投标人在评标过程中所进行的试图影响评标结果的不公正活动，可能导致其投标被拒绝。</w:t>
      </w:r>
    </w:p>
    <w:p w14:paraId="4E14C1DB">
      <w:pPr>
        <w:snapToGrid w:val="0"/>
        <w:spacing w:line="276" w:lineRule="auto"/>
        <w:rPr>
          <w:rFonts w:ascii="宋体" w:hAnsi="宋体" w:cs="宋体"/>
          <w:b/>
          <w:szCs w:val="21"/>
        </w:rPr>
      </w:pPr>
    </w:p>
    <w:p w14:paraId="0CDEE5F9">
      <w:pPr>
        <w:snapToGrid w:val="0"/>
        <w:spacing w:line="276" w:lineRule="auto"/>
        <w:jc w:val="center"/>
        <w:outlineLvl w:val="1"/>
        <w:rPr>
          <w:rFonts w:ascii="宋体" w:hAnsi="宋体" w:cs="宋体"/>
          <w:b/>
          <w:szCs w:val="21"/>
        </w:rPr>
      </w:pPr>
      <w:bookmarkStart w:id="36" w:name="_Toc19259"/>
      <w:r>
        <w:rPr>
          <w:rFonts w:hint="eastAsia" w:ascii="宋体" w:hAnsi="宋体" w:cs="宋体"/>
          <w:b/>
          <w:szCs w:val="21"/>
        </w:rPr>
        <w:t>六、废标</w:t>
      </w:r>
      <w:bookmarkEnd w:id="36"/>
    </w:p>
    <w:p w14:paraId="3F31FCCD">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根据《中华人民共和国政府采购法》第三十六条，出现下列情形之一的，应予以废标：</w:t>
      </w:r>
    </w:p>
    <w:p w14:paraId="0D911BA8">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1、符合专业条件的供应商或者对招标文件作实质响应的供应商不足三家的；</w:t>
      </w:r>
    </w:p>
    <w:p w14:paraId="46A7CE9D">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2、出现影响采购公正的违法、违规行为的；</w:t>
      </w:r>
    </w:p>
    <w:p w14:paraId="1D4FB0EF">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3、投标人的报价均超过了采购预算，采购人不能支付的；</w:t>
      </w:r>
    </w:p>
    <w:p w14:paraId="1621BF48">
      <w:pPr>
        <w:pStyle w:val="15"/>
        <w:snapToGrid w:val="0"/>
        <w:spacing w:line="360" w:lineRule="auto"/>
        <w:ind w:firstLine="420" w:firstLineChars="200"/>
        <w:rPr>
          <w:rFonts w:hAnsi="宋体" w:eastAsia="宋体" w:cs="宋体"/>
          <w:sz w:val="21"/>
          <w:szCs w:val="21"/>
        </w:rPr>
      </w:pPr>
      <w:r>
        <w:rPr>
          <w:rFonts w:hint="eastAsia" w:hAnsi="宋体" w:eastAsia="宋体" w:cs="宋体"/>
          <w:sz w:val="21"/>
          <w:szCs w:val="21"/>
        </w:rPr>
        <w:t>4、因重大变故，采购任务取消的。</w:t>
      </w:r>
    </w:p>
    <w:p w14:paraId="08BBD30B">
      <w:pPr>
        <w:pStyle w:val="15"/>
        <w:snapToGrid w:val="0"/>
        <w:spacing w:line="360" w:lineRule="auto"/>
        <w:ind w:firstLine="420" w:firstLineChars="200"/>
        <w:rPr>
          <w:sz w:val="21"/>
          <w:szCs w:val="21"/>
        </w:rPr>
      </w:pPr>
      <w:r>
        <w:rPr>
          <w:rFonts w:hint="eastAsia" w:hAnsi="宋体" w:eastAsia="宋体" w:cs="宋体"/>
          <w:sz w:val="21"/>
          <w:szCs w:val="21"/>
        </w:rPr>
        <w:t>废标后，采购人应当将废标理由通知所有投标人，废标后，除采购任务取消情形外，应当重新组织招标。</w:t>
      </w:r>
    </w:p>
    <w:p w14:paraId="28E79D74">
      <w:pPr>
        <w:snapToGrid w:val="0"/>
        <w:spacing w:line="276" w:lineRule="auto"/>
        <w:jc w:val="center"/>
        <w:rPr>
          <w:rFonts w:ascii="宋体" w:hAnsi="宋体" w:cs="宋体"/>
          <w:b/>
          <w:szCs w:val="21"/>
        </w:rPr>
      </w:pPr>
    </w:p>
    <w:p w14:paraId="27171CB7">
      <w:pPr>
        <w:snapToGrid w:val="0"/>
        <w:spacing w:line="276" w:lineRule="auto"/>
        <w:jc w:val="center"/>
        <w:outlineLvl w:val="1"/>
        <w:rPr>
          <w:rFonts w:ascii="宋体" w:hAnsi="宋体" w:cs="宋体"/>
          <w:b/>
          <w:szCs w:val="21"/>
        </w:rPr>
      </w:pPr>
      <w:bookmarkStart w:id="37" w:name="_Toc27359"/>
      <w:r>
        <w:rPr>
          <w:rFonts w:hint="eastAsia" w:ascii="宋体" w:hAnsi="宋体" w:cs="宋体"/>
          <w:b/>
          <w:szCs w:val="21"/>
        </w:rPr>
        <w:t>七、定标</w:t>
      </w:r>
      <w:bookmarkEnd w:id="37"/>
    </w:p>
    <w:p w14:paraId="24B90770">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（一）确定中标人。本项目由采购人事先授权评审小组确定中标候选人3名。推荐第一名中标候选人为中标人，经采购人确认后，确定项目中标人，同时发布采购结果公告，发出中标通知书。</w:t>
      </w:r>
    </w:p>
    <w:p w14:paraId="7FFCD8CC">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1.采购代理机构在评标结束后在2个工作日内将评审报告交采购人确认。</w:t>
      </w:r>
    </w:p>
    <w:p w14:paraId="40715263">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2.采购人应当自收到评审报告之日起5个工作日内在评审报告推荐的中标或者成交候选人中按顺序确定中标或者成交供应商。</w:t>
      </w:r>
    </w:p>
    <w:p w14:paraId="384A1EB3">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3.采购代理机构应当自中标、成交供应商确定之日起2个工作日内，在省级以上人民政府财政部门指定的媒体上公告中标、成交结果，招标文件随中标、成交结果同时公告，并发出中标、成交通知书。</w:t>
      </w:r>
    </w:p>
    <w:p w14:paraId="5B44DE6A">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二）中标人因自身原因放弃中标或因不可抗力不能履行合同的；经质疑，采购代理机构审查确认因中标人在本次采购活动中存在违法违规行为或其他原因使质疑成立的，如发生上述两种情况的，采购人可以与排位在中标人之后第一位的中标候选人签订采购合同，以此类推。</w:t>
      </w:r>
    </w:p>
    <w:p w14:paraId="737BA91A">
      <w:pPr>
        <w:snapToGrid w:val="0"/>
        <w:spacing w:line="276" w:lineRule="auto"/>
        <w:jc w:val="center"/>
        <w:rPr>
          <w:rFonts w:ascii="宋体" w:hAnsi="宋体" w:cs="宋体"/>
          <w:b/>
          <w:szCs w:val="21"/>
        </w:rPr>
      </w:pPr>
    </w:p>
    <w:p w14:paraId="7B6CBC65">
      <w:pPr>
        <w:snapToGrid w:val="0"/>
        <w:spacing w:line="276" w:lineRule="auto"/>
        <w:jc w:val="center"/>
        <w:outlineLvl w:val="1"/>
        <w:rPr>
          <w:rFonts w:ascii="宋体" w:hAnsi="宋体" w:cs="宋体"/>
          <w:b/>
          <w:szCs w:val="21"/>
        </w:rPr>
      </w:pPr>
      <w:bookmarkStart w:id="38" w:name="_Toc31119"/>
      <w:r>
        <w:rPr>
          <w:rFonts w:hint="eastAsia" w:ascii="宋体" w:hAnsi="宋体" w:cs="宋体"/>
          <w:b/>
          <w:szCs w:val="21"/>
        </w:rPr>
        <w:t>八、合同授予</w:t>
      </w:r>
      <w:bookmarkEnd w:id="38"/>
    </w:p>
    <w:p w14:paraId="12D77B48">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（一）签订合同</w:t>
      </w:r>
    </w:p>
    <w:p w14:paraId="36C52547">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1、中标人应在中标通知书发出之日起30日内与采购人签订合同。同时，采购代理机构对合同内容进行审查，如发现与采购结果和投标承诺内容不一致的，应予以纠正。</w:t>
      </w:r>
    </w:p>
    <w:p w14:paraId="27234AB2">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2、中标人拖延、拒签合同的，将被取消中标资格。</w:t>
      </w:r>
    </w:p>
    <w:p w14:paraId="55A26F05">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3、中标人和采购人签订合同，按合同约定执行。</w:t>
      </w:r>
    </w:p>
    <w:p w14:paraId="04E15113">
      <w:pPr>
        <w:pStyle w:val="15"/>
        <w:snapToGrid w:val="0"/>
        <w:spacing w:line="360" w:lineRule="auto"/>
        <w:ind w:firstLine="415" w:firstLineChars="198"/>
        <w:rPr>
          <w:rFonts w:hAnsi="宋体" w:eastAsia="宋体" w:cs="宋体"/>
          <w:sz w:val="21"/>
          <w:szCs w:val="21"/>
        </w:rPr>
      </w:pPr>
      <w:r>
        <w:rPr>
          <w:rFonts w:hint="eastAsia" w:hAnsi="宋体" w:eastAsia="宋体" w:cs="宋体"/>
          <w:sz w:val="21"/>
          <w:szCs w:val="21"/>
        </w:rPr>
        <w:t>4、中标或者成交供应商拒绝与采购人签订合同的，采购人可以按照评审报告推荐的中标或者成交候选人名单排序，确定下一候选人为中标或者成交供应商，也可以重新开展政府采购活动。</w:t>
      </w:r>
    </w:p>
    <w:p w14:paraId="5E4F1578">
      <w:pPr>
        <w:pStyle w:val="15"/>
        <w:snapToGrid w:val="0"/>
        <w:spacing w:line="360" w:lineRule="auto"/>
        <w:ind w:firstLine="415" w:firstLineChars="198"/>
        <w:jc w:val="center"/>
        <w:outlineLvl w:val="9"/>
        <w:rPr>
          <w:rFonts w:hint="eastAsia" w:hAnsi="宋体" w:eastAsia="宋体" w:cs="宋体"/>
          <w:sz w:val="21"/>
          <w:szCs w:val="21"/>
        </w:rPr>
      </w:pPr>
      <w:r>
        <w:rPr>
          <w:rFonts w:hint="eastAsia" w:hAnsi="宋体" w:eastAsia="宋体" w:cs="宋体"/>
          <w:sz w:val="21"/>
          <w:szCs w:val="21"/>
        </w:rPr>
        <w:t>（二）合同公告：采购人应当自政府采购合同签订之日起2个工作日内，将政府采购合同在省级以上人民政府财政部门指定的媒体上公告，但政府采购合同中涉及国家秘密、商业秘密的内容除外。</w:t>
      </w:r>
    </w:p>
    <w:p w14:paraId="75D7A301">
      <w:pPr>
        <w:pStyle w:val="15"/>
        <w:snapToGrid w:val="0"/>
        <w:spacing w:line="360" w:lineRule="auto"/>
        <w:ind w:firstLine="557" w:firstLineChars="198"/>
        <w:jc w:val="center"/>
        <w:outlineLvl w:val="0"/>
        <w:rPr>
          <w:rFonts w:hAnsi="宋体" w:eastAsia="宋体" w:cs="宋体"/>
          <w:b/>
          <w:sz w:val="28"/>
          <w:szCs w:val="28"/>
        </w:rPr>
      </w:pPr>
      <w:r>
        <w:rPr>
          <w:rFonts w:hint="eastAsia" w:hAnsi="宋体" w:eastAsia="宋体" w:cs="宋体"/>
          <w:b/>
          <w:sz w:val="28"/>
          <w:szCs w:val="28"/>
        </w:rPr>
        <w:br w:type="page"/>
      </w:r>
      <w:bookmarkStart w:id="39" w:name="_Toc11161"/>
      <w:r>
        <w:rPr>
          <w:rFonts w:hint="eastAsia" w:hAnsi="宋体" w:eastAsia="宋体" w:cs="宋体"/>
          <w:b/>
          <w:sz w:val="28"/>
          <w:szCs w:val="28"/>
        </w:rPr>
        <w:t>第四章  评标办法及标准</w:t>
      </w:r>
      <w:bookmarkEnd w:id="39"/>
    </w:p>
    <w:p w14:paraId="1C279C20">
      <w:pPr>
        <w:spacing w:line="360" w:lineRule="auto"/>
        <w:ind w:firstLine="420" w:firstLineChars="200"/>
        <w:rPr>
          <w:rFonts w:ascii="宋体" w:hAnsi="宋体" w:cs="宋体"/>
          <w:szCs w:val="21"/>
        </w:rPr>
      </w:pPr>
      <w:r>
        <w:rPr>
          <w:rFonts w:hint="eastAsia" w:ascii="宋体" w:hAnsi="宋体" w:cs="宋体"/>
          <w:szCs w:val="21"/>
        </w:rPr>
        <w:t>为公正、公平、科学地选择中标人，根据《中华人民共和国政府采购法》等有关法律法规的规定，并结合本项目的实际，制定本办法，本办法适用本项目的评标。</w:t>
      </w:r>
    </w:p>
    <w:p w14:paraId="53B764CD">
      <w:pPr>
        <w:autoSpaceDE w:val="0"/>
        <w:autoSpaceDN w:val="0"/>
        <w:adjustRightInd w:val="0"/>
        <w:spacing w:line="360" w:lineRule="auto"/>
        <w:outlineLvl w:val="1"/>
        <w:rPr>
          <w:rFonts w:ascii="宋体" w:hAnsi="宋体" w:cs="宋体"/>
          <w:b/>
          <w:szCs w:val="21"/>
        </w:rPr>
      </w:pPr>
      <w:bookmarkStart w:id="40" w:name="_Toc18016"/>
      <w:r>
        <w:rPr>
          <w:rFonts w:hint="eastAsia" w:ascii="宋体" w:hAnsi="宋体" w:cs="宋体"/>
          <w:b/>
          <w:szCs w:val="21"/>
        </w:rPr>
        <w:t>一、资格审查</w:t>
      </w:r>
      <w:bookmarkEnd w:id="40"/>
    </w:p>
    <w:p w14:paraId="1CA56547">
      <w:pPr>
        <w:autoSpaceDE w:val="0"/>
        <w:autoSpaceDN w:val="0"/>
        <w:adjustRightInd w:val="0"/>
        <w:spacing w:line="360" w:lineRule="auto"/>
        <w:ind w:firstLine="420" w:firstLineChars="200"/>
        <w:rPr>
          <w:rFonts w:ascii="宋体" w:hAnsi="宋体" w:cs="宋体"/>
          <w:szCs w:val="21"/>
          <w:lang w:val="zh-CN"/>
        </w:rPr>
      </w:pPr>
      <w:r>
        <w:rPr>
          <w:rFonts w:hint="eastAsia" w:ascii="宋体" w:hAnsi="宋体" w:cs="宋体"/>
          <w:szCs w:val="21"/>
          <w:lang w:val="zh-CN"/>
        </w:rPr>
        <w:t>1、由招标代理机构对投标人的资格进行审查。</w:t>
      </w:r>
    </w:p>
    <w:p w14:paraId="22A66CA3">
      <w:pPr>
        <w:autoSpaceDE w:val="0"/>
        <w:autoSpaceDN w:val="0"/>
        <w:adjustRightInd w:val="0"/>
        <w:spacing w:line="360" w:lineRule="auto"/>
        <w:ind w:firstLine="420" w:firstLineChars="200"/>
        <w:rPr>
          <w:rFonts w:ascii="宋体" w:hAnsi="宋体" w:cs="宋体"/>
          <w:szCs w:val="21"/>
          <w:lang w:val="zh-CN"/>
        </w:rPr>
      </w:pPr>
      <w:r>
        <w:rPr>
          <w:rFonts w:hint="eastAsia" w:ascii="宋体" w:hAnsi="宋体" w:cs="宋体"/>
          <w:szCs w:val="21"/>
          <w:lang w:val="zh-CN"/>
        </w:rPr>
        <w:t>2、按以下内容审核投标文件是否符合招标文件的资格文件要求。</w:t>
      </w:r>
    </w:p>
    <w:tbl>
      <w:tblPr>
        <w:tblStyle w:val="31"/>
        <w:tblpPr w:leftFromText="180" w:rightFromText="180"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6675"/>
        <w:gridCol w:w="2137"/>
      </w:tblGrid>
      <w:tr w14:paraId="26270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trPr>
        <w:tc>
          <w:tcPr>
            <w:tcW w:w="1326" w:type="dxa"/>
            <w:noWrap/>
            <w:vAlign w:val="center"/>
          </w:tcPr>
          <w:p w14:paraId="7AF21584">
            <w:pPr>
              <w:spacing w:line="336" w:lineRule="auto"/>
              <w:jc w:val="center"/>
              <w:rPr>
                <w:rFonts w:ascii="宋体" w:hAnsi="宋体" w:cs="宋体"/>
                <w:b/>
                <w:szCs w:val="21"/>
              </w:rPr>
            </w:pPr>
            <w:r>
              <w:rPr>
                <w:rFonts w:hint="eastAsia" w:ascii="宋体" w:hAnsi="宋体" w:cs="宋体"/>
                <w:b/>
                <w:szCs w:val="21"/>
              </w:rPr>
              <w:t>序号</w:t>
            </w:r>
          </w:p>
        </w:tc>
        <w:tc>
          <w:tcPr>
            <w:tcW w:w="6675" w:type="dxa"/>
            <w:tcBorders>
              <w:tl2br w:val="single" w:color="auto" w:sz="4" w:space="0"/>
            </w:tcBorders>
            <w:noWrap/>
          </w:tcPr>
          <w:p w14:paraId="6F56617A">
            <w:pPr>
              <w:spacing w:line="336" w:lineRule="auto"/>
              <w:jc w:val="right"/>
              <w:rPr>
                <w:rFonts w:ascii="宋体" w:hAnsi="宋体" w:cs="宋体"/>
                <w:b/>
                <w:szCs w:val="21"/>
              </w:rPr>
            </w:pPr>
            <w:r>
              <w:rPr>
                <w:rFonts w:hint="eastAsia" w:ascii="宋体" w:hAnsi="宋体" w:cs="宋体"/>
                <w:b/>
                <w:szCs w:val="21"/>
              </w:rPr>
              <w:t>投标人</w:t>
            </w:r>
          </w:p>
          <w:p w14:paraId="27216D9A">
            <w:pPr>
              <w:spacing w:line="336" w:lineRule="auto"/>
              <w:rPr>
                <w:rFonts w:ascii="宋体" w:hAnsi="宋体" w:cs="宋体"/>
                <w:b/>
                <w:szCs w:val="21"/>
              </w:rPr>
            </w:pPr>
            <w:r>
              <w:rPr>
                <w:rFonts w:hint="eastAsia" w:ascii="宋体" w:hAnsi="宋体" w:cs="宋体"/>
                <w:b/>
                <w:szCs w:val="21"/>
              </w:rPr>
              <w:t>内容</w:t>
            </w:r>
          </w:p>
        </w:tc>
        <w:tc>
          <w:tcPr>
            <w:tcW w:w="2137" w:type="dxa"/>
            <w:noWrap/>
            <w:vAlign w:val="center"/>
          </w:tcPr>
          <w:p w14:paraId="48204D75">
            <w:pPr>
              <w:spacing w:line="336" w:lineRule="auto"/>
              <w:jc w:val="center"/>
              <w:rPr>
                <w:rFonts w:ascii="宋体" w:hAnsi="宋体" w:cs="宋体"/>
                <w:b/>
                <w:szCs w:val="21"/>
              </w:rPr>
            </w:pPr>
            <w:r>
              <w:rPr>
                <w:rFonts w:hint="eastAsia" w:ascii="宋体" w:hAnsi="宋体" w:cs="宋体"/>
                <w:b/>
                <w:szCs w:val="21"/>
              </w:rPr>
              <w:t>审核标准</w:t>
            </w:r>
          </w:p>
        </w:tc>
      </w:tr>
      <w:tr w14:paraId="15ECB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326" w:type="dxa"/>
            <w:noWrap/>
            <w:vAlign w:val="center"/>
          </w:tcPr>
          <w:p w14:paraId="236A64A6">
            <w:pPr>
              <w:spacing w:line="336" w:lineRule="auto"/>
              <w:jc w:val="center"/>
              <w:rPr>
                <w:rFonts w:ascii="宋体" w:hAnsi="宋体" w:cs="宋体"/>
                <w:szCs w:val="21"/>
              </w:rPr>
            </w:pPr>
            <w:r>
              <w:rPr>
                <w:rFonts w:ascii="宋体" w:hAnsi="宋体" w:cs="宋体"/>
                <w:szCs w:val="21"/>
              </w:rPr>
              <w:t>1</w:t>
            </w:r>
          </w:p>
        </w:tc>
        <w:tc>
          <w:tcPr>
            <w:tcW w:w="6675" w:type="dxa"/>
            <w:noWrap/>
            <w:vAlign w:val="center"/>
          </w:tcPr>
          <w:p w14:paraId="15C52D7F">
            <w:pPr>
              <w:rPr>
                <w:rFonts w:ascii="宋体" w:hAnsi="宋体" w:cs="宋体"/>
                <w:szCs w:val="21"/>
              </w:rPr>
            </w:pPr>
            <w:r>
              <w:rPr>
                <w:rFonts w:hint="eastAsia" w:ascii="宋体" w:hAnsi="宋体" w:cs="宋体"/>
                <w:szCs w:val="21"/>
              </w:rPr>
              <w:t>享受预留份额政策相关证明文件</w:t>
            </w:r>
          </w:p>
        </w:tc>
        <w:tc>
          <w:tcPr>
            <w:tcW w:w="2137" w:type="dxa"/>
            <w:noWrap/>
            <w:vAlign w:val="center"/>
          </w:tcPr>
          <w:p w14:paraId="2B7FF8C5">
            <w:pPr>
              <w:spacing w:line="336" w:lineRule="auto"/>
              <w:jc w:val="center"/>
              <w:rPr>
                <w:rFonts w:ascii="宋体" w:hAnsi="宋体" w:cs="宋体"/>
                <w:szCs w:val="21"/>
              </w:rPr>
            </w:pPr>
          </w:p>
        </w:tc>
      </w:tr>
      <w:tr w14:paraId="468F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326" w:type="dxa"/>
            <w:noWrap/>
            <w:vAlign w:val="center"/>
          </w:tcPr>
          <w:p w14:paraId="3D402672">
            <w:pPr>
              <w:spacing w:line="336" w:lineRule="auto"/>
              <w:jc w:val="center"/>
              <w:rPr>
                <w:rFonts w:ascii="宋体" w:hAnsi="宋体" w:cs="宋体"/>
                <w:szCs w:val="21"/>
              </w:rPr>
            </w:pPr>
            <w:r>
              <w:rPr>
                <w:rFonts w:ascii="宋体" w:hAnsi="宋体" w:cs="宋体"/>
                <w:szCs w:val="21"/>
              </w:rPr>
              <w:t>2</w:t>
            </w:r>
          </w:p>
        </w:tc>
        <w:tc>
          <w:tcPr>
            <w:tcW w:w="6675" w:type="dxa"/>
            <w:noWrap/>
            <w:vAlign w:val="center"/>
          </w:tcPr>
          <w:p w14:paraId="78005936">
            <w:pPr>
              <w:rPr>
                <w:rFonts w:ascii="宋体" w:hAnsi="宋体" w:cs="宋体"/>
                <w:szCs w:val="21"/>
              </w:rPr>
            </w:pPr>
            <w:r>
              <w:rPr>
                <w:rFonts w:hint="eastAsia" w:ascii="宋体" w:hAnsi="宋体" w:cs="宋体"/>
                <w:szCs w:val="21"/>
              </w:rPr>
              <w:t>投标人具有独立承担民事责任的能力证明资料</w:t>
            </w:r>
          </w:p>
        </w:tc>
        <w:tc>
          <w:tcPr>
            <w:tcW w:w="2137" w:type="dxa"/>
            <w:noWrap/>
            <w:vAlign w:val="center"/>
          </w:tcPr>
          <w:p w14:paraId="78C93A1E">
            <w:pPr>
              <w:spacing w:line="336" w:lineRule="auto"/>
              <w:jc w:val="center"/>
              <w:rPr>
                <w:rFonts w:ascii="宋体" w:hAnsi="宋体" w:cs="宋体"/>
                <w:szCs w:val="21"/>
              </w:rPr>
            </w:pPr>
          </w:p>
        </w:tc>
      </w:tr>
      <w:tr w14:paraId="5D05F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1326" w:type="dxa"/>
            <w:noWrap/>
            <w:vAlign w:val="center"/>
          </w:tcPr>
          <w:p w14:paraId="149C7807">
            <w:pPr>
              <w:spacing w:line="336" w:lineRule="auto"/>
              <w:jc w:val="center"/>
              <w:rPr>
                <w:rFonts w:ascii="宋体" w:hAnsi="宋体" w:cs="宋体"/>
                <w:szCs w:val="21"/>
              </w:rPr>
            </w:pPr>
            <w:r>
              <w:rPr>
                <w:rFonts w:ascii="宋体" w:hAnsi="宋体" w:cs="宋体"/>
                <w:szCs w:val="21"/>
              </w:rPr>
              <w:t>3</w:t>
            </w:r>
          </w:p>
        </w:tc>
        <w:tc>
          <w:tcPr>
            <w:tcW w:w="6675" w:type="dxa"/>
            <w:noWrap/>
            <w:vAlign w:val="center"/>
          </w:tcPr>
          <w:p w14:paraId="7FB75E9F">
            <w:pPr>
              <w:rPr>
                <w:rFonts w:ascii="宋体" w:hAnsi="宋体" w:cs="宋体"/>
                <w:szCs w:val="21"/>
              </w:rPr>
            </w:pPr>
            <w:r>
              <w:rPr>
                <w:rFonts w:hint="eastAsia" w:ascii="宋体" w:hAnsi="宋体" w:cs="宋体"/>
                <w:szCs w:val="21"/>
              </w:rPr>
              <w:t>投标人法定代表人身份证复印件</w:t>
            </w:r>
          </w:p>
        </w:tc>
        <w:tc>
          <w:tcPr>
            <w:tcW w:w="2137" w:type="dxa"/>
            <w:noWrap/>
            <w:vAlign w:val="center"/>
          </w:tcPr>
          <w:p w14:paraId="5E3A7BB8">
            <w:pPr>
              <w:spacing w:line="336" w:lineRule="auto"/>
              <w:jc w:val="center"/>
              <w:rPr>
                <w:rFonts w:ascii="宋体" w:hAnsi="宋体" w:cs="宋体"/>
                <w:szCs w:val="21"/>
              </w:rPr>
            </w:pPr>
          </w:p>
        </w:tc>
      </w:tr>
      <w:tr w14:paraId="20C53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1326" w:type="dxa"/>
            <w:noWrap/>
            <w:vAlign w:val="center"/>
          </w:tcPr>
          <w:p w14:paraId="72313EEF">
            <w:pPr>
              <w:spacing w:line="336" w:lineRule="auto"/>
              <w:jc w:val="center"/>
              <w:rPr>
                <w:rFonts w:ascii="宋体" w:hAnsi="宋体" w:cs="宋体"/>
                <w:szCs w:val="21"/>
              </w:rPr>
            </w:pPr>
            <w:r>
              <w:rPr>
                <w:rFonts w:ascii="宋体" w:hAnsi="宋体" w:cs="宋体"/>
                <w:szCs w:val="21"/>
              </w:rPr>
              <w:t>4</w:t>
            </w:r>
          </w:p>
        </w:tc>
        <w:tc>
          <w:tcPr>
            <w:tcW w:w="6675" w:type="dxa"/>
            <w:noWrap/>
            <w:vAlign w:val="center"/>
          </w:tcPr>
          <w:p w14:paraId="47B7AD6B">
            <w:pPr>
              <w:rPr>
                <w:rFonts w:hAnsi="宋体" w:cs="宋体"/>
                <w:szCs w:val="21"/>
              </w:rPr>
            </w:pPr>
            <w:r>
              <w:rPr>
                <w:rFonts w:hint="eastAsia" w:hAnsi="宋体" w:cs="宋体"/>
                <w:szCs w:val="21"/>
              </w:rPr>
              <w:t>投标函</w:t>
            </w:r>
          </w:p>
        </w:tc>
        <w:tc>
          <w:tcPr>
            <w:tcW w:w="2137" w:type="dxa"/>
            <w:noWrap/>
            <w:vAlign w:val="center"/>
          </w:tcPr>
          <w:p w14:paraId="22BEC42C">
            <w:pPr>
              <w:spacing w:line="336" w:lineRule="auto"/>
              <w:jc w:val="center"/>
              <w:rPr>
                <w:rFonts w:ascii="宋体" w:hAnsi="宋体" w:cs="宋体"/>
                <w:szCs w:val="21"/>
              </w:rPr>
            </w:pPr>
          </w:p>
        </w:tc>
      </w:tr>
      <w:tr w14:paraId="280F5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1326" w:type="dxa"/>
            <w:noWrap/>
            <w:vAlign w:val="center"/>
          </w:tcPr>
          <w:p w14:paraId="11F93CAB">
            <w:pPr>
              <w:spacing w:line="336" w:lineRule="auto"/>
              <w:jc w:val="center"/>
              <w:rPr>
                <w:rFonts w:ascii="宋体" w:hAnsi="宋体" w:cs="宋体"/>
                <w:szCs w:val="21"/>
              </w:rPr>
            </w:pPr>
            <w:r>
              <w:rPr>
                <w:rFonts w:ascii="宋体" w:hAnsi="宋体" w:cs="宋体"/>
                <w:szCs w:val="21"/>
              </w:rPr>
              <w:t>5</w:t>
            </w:r>
          </w:p>
        </w:tc>
        <w:tc>
          <w:tcPr>
            <w:tcW w:w="6675" w:type="dxa"/>
            <w:noWrap/>
            <w:vAlign w:val="center"/>
          </w:tcPr>
          <w:p w14:paraId="7FB6CBD1">
            <w:pPr>
              <w:rPr>
                <w:rFonts w:ascii="宋体" w:hAnsi="宋体" w:cs="宋体"/>
                <w:szCs w:val="21"/>
              </w:rPr>
            </w:pPr>
            <w:r>
              <w:rPr>
                <w:rFonts w:hint="eastAsia" w:ascii="宋体" w:hAnsi="宋体" w:cs="宋体"/>
                <w:szCs w:val="21"/>
              </w:rPr>
              <w:t>法定代表人授权函，非法定代表人参加投标时提供</w:t>
            </w:r>
          </w:p>
        </w:tc>
        <w:tc>
          <w:tcPr>
            <w:tcW w:w="2137" w:type="dxa"/>
            <w:noWrap/>
            <w:vAlign w:val="center"/>
          </w:tcPr>
          <w:p w14:paraId="35DB473B">
            <w:pPr>
              <w:spacing w:line="336" w:lineRule="auto"/>
              <w:jc w:val="center"/>
              <w:rPr>
                <w:rFonts w:ascii="宋体" w:hAnsi="宋体" w:cs="宋体"/>
                <w:szCs w:val="21"/>
              </w:rPr>
            </w:pPr>
          </w:p>
        </w:tc>
      </w:tr>
      <w:tr w14:paraId="737E5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1326" w:type="dxa"/>
            <w:noWrap/>
            <w:vAlign w:val="center"/>
          </w:tcPr>
          <w:p w14:paraId="22BC118A">
            <w:pPr>
              <w:spacing w:line="336" w:lineRule="auto"/>
              <w:jc w:val="center"/>
              <w:rPr>
                <w:rFonts w:ascii="宋体" w:hAnsi="宋体" w:cs="宋体"/>
                <w:szCs w:val="21"/>
              </w:rPr>
            </w:pPr>
            <w:r>
              <w:rPr>
                <w:rFonts w:hint="eastAsia" w:ascii="宋体" w:hAnsi="宋体" w:cs="宋体"/>
                <w:szCs w:val="21"/>
              </w:rPr>
              <w:t>6</w:t>
            </w:r>
          </w:p>
        </w:tc>
        <w:tc>
          <w:tcPr>
            <w:tcW w:w="6675" w:type="dxa"/>
            <w:noWrap/>
            <w:vAlign w:val="center"/>
          </w:tcPr>
          <w:p w14:paraId="57C433B4">
            <w:pPr>
              <w:rPr>
                <w:rFonts w:ascii="宋体" w:hAnsi="宋体" w:cs="宋体"/>
                <w:szCs w:val="21"/>
              </w:rPr>
            </w:pPr>
            <w:r>
              <w:rPr>
                <w:rFonts w:hint="eastAsia" w:ascii="宋体" w:hAnsi="宋体" w:cs="宋体"/>
                <w:szCs w:val="21"/>
              </w:rPr>
              <w:t>投标人代表身份证复印件，非法定代表人参加投标时提供</w:t>
            </w:r>
          </w:p>
        </w:tc>
        <w:tc>
          <w:tcPr>
            <w:tcW w:w="2137" w:type="dxa"/>
            <w:noWrap/>
            <w:vAlign w:val="center"/>
          </w:tcPr>
          <w:p w14:paraId="6A46151C">
            <w:pPr>
              <w:spacing w:line="336" w:lineRule="auto"/>
              <w:jc w:val="center"/>
              <w:rPr>
                <w:rFonts w:ascii="宋体" w:hAnsi="宋体" w:cs="宋体"/>
                <w:szCs w:val="21"/>
              </w:rPr>
            </w:pPr>
          </w:p>
        </w:tc>
      </w:tr>
      <w:tr w14:paraId="7597B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 w:hRule="atLeast"/>
        </w:trPr>
        <w:tc>
          <w:tcPr>
            <w:tcW w:w="8001" w:type="dxa"/>
            <w:gridSpan w:val="2"/>
            <w:noWrap/>
          </w:tcPr>
          <w:p w14:paraId="6D7900C6">
            <w:pPr>
              <w:pStyle w:val="17"/>
              <w:spacing w:line="336" w:lineRule="auto"/>
              <w:ind w:left="0" w:firstLine="0" w:firstLineChars="0"/>
              <w:jc w:val="center"/>
              <w:rPr>
                <w:rFonts w:ascii="宋体" w:hAnsi="宋体" w:cs="宋体"/>
                <w:b/>
                <w:sz w:val="21"/>
                <w:szCs w:val="21"/>
                <w:lang w:val="en-US" w:eastAsia="zh-CN"/>
              </w:rPr>
            </w:pPr>
            <w:r>
              <w:rPr>
                <w:rFonts w:hint="eastAsia" w:ascii="宋体" w:hAnsi="宋体" w:cs="宋体"/>
                <w:b/>
                <w:sz w:val="21"/>
                <w:szCs w:val="21"/>
                <w:lang w:val="en-US" w:eastAsia="zh-CN"/>
              </w:rPr>
              <w:t>结   论</w:t>
            </w:r>
          </w:p>
        </w:tc>
        <w:tc>
          <w:tcPr>
            <w:tcW w:w="2137" w:type="dxa"/>
            <w:noWrap/>
            <w:vAlign w:val="center"/>
          </w:tcPr>
          <w:p w14:paraId="784A1C5A">
            <w:pPr>
              <w:spacing w:line="336" w:lineRule="auto"/>
              <w:ind w:left="180"/>
              <w:jc w:val="center"/>
              <w:rPr>
                <w:rFonts w:ascii="宋体" w:hAnsi="宋体" w:cs="宋体"/>
                <w:b/>
                <w:szCs w:val="21"/>
              </w:rPr>
            </w:pPr>
          </w:p>
        </w:tc>
      </w:tr>
    </w:tbl>
    <w:p w14:paraId="2FC92842">
      <w:pPr>
        <w:autoSpaceDE w:val="0"/>
        <w:autoSpaceDN w:val="0"/>
        <w:adjustRightInd w:val="0"/>
        <w:spacing w:line="360" w:lineRule="auto"/>
        <w:ind w:firstLine="420" w:firstLineChars="200"/>
        <w:rPr>
          <w:rFonts w:ascii="宋体" w:hAnsi="宋体" w:cs="宋体"/>
          <w:szCs w:val="21"/>
        </w:rPr>
      </w:pPr>
      <w:r>
        <w:rPr>
          <w:rFonts w:hint="eastAsia" w:ascii="宋体" w:hAnsi="宋体" w:cs="宋体"/>
          <w:szCs w:val="21"/>
          <w:lang w:val="zh-CN"/>
        </w:rPr>
        <w:t>注：1、表中只需填写“√”或“×”；2、在结论栏中填写“合格”或“不合格”。</w:t>
      </w:r>
    </w:p>
    <w:p w14:paraId="0FD3C524">
      <w:pPr>
        <w:autoSpaceDE w:val="0"/>
        <w:autoSpaceDN w:val="0"/>
        <w:adjustRightInd w:val="0"/>
        <w:spacing w:line="360" w:lineRule="auto"/>
        <w:outlineLvl w:val="1"/>
        <w:rPr>
          <w:rFonts w:ascii="宋体" w:hAnsi="宋体" w:cs="宋体"/>
          <w:b/>
          <w:szCs w:val="21"/>
        </w:rPr>
      </w:pPr>
      <w:bookmarkStart w:id="41" w:name="_Toc16843"/>
      <w:r>
        <w:rPr>
          <w:rFonts w:hint="eastAsia" w:ascii="宋体" w:hAnsi="宋体" w:cs="宋体"/>
          <w:b/>
          <w:szCs w:val="21"/>
        </w:rPr>
        <w:t>二、中标候选人的选取</w:t>
      </w:r>
      <w:bookmarkEnd w:id="41"/>
    </w:p>
    <w:p w14:paraId="5715BEA1">
      <w:pPr>
        <w:spacing w:line="360" w:lineRule="auto"/>
        <w:ind w:firstLine="420" w:firstLineChars="200"/>
        <w:rPr>
          <w:rFonts w:ascii="宋体" w:hAnsi="宋体" w:cs="宋体"/>
          <w:b/>
          <w:szCs w:val="21"/>
          <w:lang w:val="zh-CN"/>
        </w:rPr>
      </w:pPr>
      <w:r>
        <w:rPr>
          <w:rFonts w:hint="eastAsia" w:ascii="宋体" w:hAnsi="宋体" w:cs="宋体"/>
          <w:szCs w:val="21"/>
        </w:rPr>
        <w:t>将综合评估分从高到低排序，得出投标人名次,按照综合评估分名次推荐中标候选人3名。综合评估分相同时，按投标报价由低到高顺序排列，综合评估分且投标报价相同的，抽签决定排序（弃权视为自动放弃中标资格）。</w:t>
      </w:r>
    </w:p>
    <w:p w14:paraId="09B04A4A">
      <w:pPr>
        <w:spacing w:line="360" w:lineRule="auto"/>
        <w:outlineLvl w:val="1"/>
        <w:rPr>
          <w:rFonts w:ascii="宋体" w:hAnsi="宋体" w:cs="宋体"/>
          <w:b/>
          <w:szCs w:val="21"/>
        </w:rPr>
      </w:pPr>
      <w:bookmarkStart w:id="42" w:name="_Toc4340"/>
      <w:r>
        <w:rPr>
          <w:rFonts w:hint="eastAsia" w:ascii="宋体" w:hAnsi="宋体" w:cs="宋体"/>
          <w:b/>
          <w:szCs w:val="21"/>
        </w:rPr>
        <w:t>三、中标人选取依据</w:t>
      </w:r>
      <w:bookmarkEnd w:id="42"/>
    </w:p>
    <w:p w14:paraId="7AF637B9">
      <w:pPr>
        <w:spacing w:line="360" w:lineRule="auto"/>
        <w:ind w:firstLine="420" w:firstLineChars="200"/>
        <w:rPr>
          <w:rFonts w:ascii="宋体" w:hAnsi="宋体" w:cs="宋体"/>
          <w:szCs w:val="21"/>
        </w:rPr>
      </w:pPr>
      <w:r>
        <w:rPr>
          <w:rFonts w:hint="eastAsia" w:ascii="宋体" w:hAnsi="宋体" w:cs="宋体"/>
          <w:szCs w:val="21"/>
        </w:rPr>
        <w:t>评审小组根据综合评估分得分排序，推荐第一名中标候选人为中标人，经采购人确认后，确定项目中标人，同时发布采购结果公告，发出中标通知书。</w:t>
      </w:r>
    </w:p>
    <w:p w14:paraId="7A839D76">
      <w:pPr>
        <w:spacing w:line="360" w:lineRule="auto"/>
        <w:outlineLvl w:val="1"/>
        <w:rPr>
          <w:rFonts w:ascii="宋体" w:hAnsi="宋体" w:cs="宋体"/>
          <w:b/>
          <w:szCs w:val="21"/>
        </w:rPr>
      </w:pPr>
      <w:bookmarkStart w:id="43" w:name="_Toc12582"/>
      <w:r>
        <w:rPr>
          <w:rFonts w:hint="eastAsia" w:ascii="宋体" w:hAnsi="宋体" w:cs="宋体"/>
          <w:b/>
          <w:szCs w:val="21"/>
        </w:rPr>
        <w:t>四、综合评估分计分方法</w:t>
      </w:r>
      <w:bookmarkEnd w:id="43"/>
    </w:p>
    <w:p w14:paraId="76861C1F">
      <w:pPr>
        <w:autoSpaceDE w:val="0"/>
        <w:autoSpaceDN w:val="0"/>
        <w:adjustRightInd w:val="0"/>
        <w:spacing w:line="360" w:lineRule="auto"/>
        <w:ind w:firstLine="420" w:firstLineChars="200"/>
        <w:rPr>
          <w:rFonts w:ascii="宋体" w:hAnsi="宋体" w:cs="宋体"/>
          <w:szCs w:val="21"/>
          <w:lang w:val="zh-CN"/>
        </w:rPr>
      </w:pPr>
      <w:r>
        <w:rPr>
          <w:rFonts w:hint="eastAsia" w:ascii="宋体" w:hAnsi="宋体" w:cs="宋体"/>
          <w:szCs w:val="21"/>
          <w:lang w:val="zh-CN"/>
        </w:rPr>
        <w:t>满足招标文件要求且投标价格最低的投标报价为评标基准价，其价格分为满分，其他投标人的价格分按下列公式计算：投标报价得分＝（评标基准价/投标报价）×价格权重×100。</w:t>
      </w:r>
    </w:p>
    <w:p w14:paraId="0448B264">
      <w:pPr>
        <w:autoSpaceDE w:val="0"/>
        <w:autoSpaceDN w:val="0"/>
        <w:adjustRightInd w:val="0"/>
        <w:spacing w:line="360" w:lineRule="auto"/>
        <w:ind w:firstLine="420" w:firstLineChars="200"/>
        <w:rPr>
          <w:rFonts w:ascii="宋体" w:hAnsi="宋体"/>
          <w:szCs w:val="21"/>
        </w:rPr>
      </w:pPr>
      <w:r>
        <w:rPr>
          <w:rFonts w:hint="eastAsia" w:ascii="宋体" w:hAnsi="宋体"/>
          <w:szCs w:val="21"/>
        </w:rPr>
        <w:t>根据《中华人民共和国财政部令第87号--政府采购货物和服务招标投标管理办法》第六十条的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239DF5E">
      <w:pPr>
        <w:autoSpaceDE w:val="0"/>
        <w:autoSpaceDN w:val="0"/>
        <w:adjustRightInd w:val="0"/>
        <w:spacing w:line="360" w:lineRule="auto"/>
        <w:ind w:firstLine="420" w:firstLineChars="200"/>
        <w:rPr>
          <w:rFonts w:ascii="宋体" w:hAnsi="宋体" w:cs="宋体"/>
          <w:szCs w:val="21"/>
          <w:lang w:val="zh-CN"/>
        </w:rPr>
      </w:pPr>
      <w:r>
        <w:rPr>
          <w:rFonts w:ascii="宋体" w:hAnsi="宋体"/>
          <w:szCs w:val="21"/>
        </w:rPr>
        <w:t>在评分时，</w:t>
      </w:r>
      <w:r>
        <w:rPr>
          <w:rFonts w:hint="eastAsia" w:ascii="宋体" w:hAnsi="宋体"/>
          <w:szCs w:val="21"/>
        </w:rPr>
        <w:t>评审专家打分准确到小数点后两位。商务技术部分得分为所有评委评分的算术平均值，得分保留小数点后两位，第三位四舍五入。</w:t>
      </w:r>
      <w:r>
        <w:rPr>
          <w:rFonts w:ascii="宋体" w:hAnsi="宋体"/>
          <w:szCs w:val="21"/>
        </w:rPr>
        <w:t>各投标人投标报价得分保留小数点后</w:t>
      </w:r>
      <w:r>
        <w:rPr>
          <w:rFonts w:hint="eastAsia" w:ascii="宋体" w:hAnsi="宋体"/>
          <w:szCs w:val="21"/>
        </w:rPr>
        <w:t>两</w:t>
      </w:r>
      <w:r>
        <w:rPr>
          <w:rFonts w:ascii="宋体" w:hAnsi="宋体"/>
          <w:szCs w:val="21"/>
        </w:rPr>
        <w:t>位，第三位四舍五入。</w:t>
      </w:r>
      <w:r>
        <w:rPr>
          <w:rFonts w:hint="eastAsia" w:ascii="宋体" w:hAnsi="宋体"/>
          <w:szCs w:val="21"/>
        </w:rPr>
        <w:t>综合评估分=商务技术部分得分＋投标报价得分。</w:t>
      </w:r>
    </w:p>
    <w:p w14:paraId="3A3B6579">
      <w:pPr>
        <w:autoSpaceDE w:val="0"/>
        <w:autoSpaceDN w:val="0"/>
        <w:adjustRightInd w:val="0"/>
        <w:spacing w:line="360" w:lineRule="auto"/>
        <w:outlineLvl w:val="1"/>
        <w:rPr>
          <w:rFonts w:ascii="宋体" w:hAnsi="宋体" w:cs="宋体"/>
          <w:b/>
          <w:szCs w:val="21"/>
          <w:lang w:val="zh-CN"/>
        </w:rPr>
      </w:pPr>
      <w:bookmarkStart w:id="44" w:name="_Toc29115"/>
      <w:r>
        <w:rPr>
          <w:rFonts w:hint="eastAsia" w:ascii="宋体" w:hAnsi="宋体" w:cs="宋体"/>
          <w:b/>
          <w:szCs w:val="21"/>
          <w:lang w:val="zh-CN"/>
        </w:rPr>
        <w:t>五、评分表</w:t>
      </w:r>
      <w:bookmarkEnd w:id="44"/>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1"/>
        <w:gridCol w:w="2480"/>
        <w:gridCol w:w="2480"/>
        <w:gridCol w:w="2485"/>
      </w:tblGrid>
      <w:tr w14:paraId="2D1D8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76" w:type="pct"/>
            <w:noWrap/>
            <w:vAlign w:val="center"/>
          </w:tcPr>
          <w:p w14:paraId="00EC78FF">
            <w:pPr>
              <w:jc w:val="center"/>
              <w:rPr>
                <w:rFonts w:ascii="宋体" w:hAnsi="宋体" w:cs="宋体"/>
                <w:szCs w:val="21"/>
              </w:rPr>
            </w:pPr>
            <w:r>
              <w:rPr>
                <w:rFonts w:hint="eastAsia" w:ascii="宋体" w:hAnsi="宋体" w:cs="宋体"/>
                <w:szCs w:val="21"/>
              </w:rPr>
              <w:t>评标指标</w:t>
            </w:r>
          </w:p>
        </w:tc>
        <w:tc>
          <w:tcPr>
            <w:tcW w:w="1273" w:type="pct"/>
            <w:noWrap/>
            <w:vAlign w:val="center"/>
          </w:tcPr>
          <w:p w14:paraId="71609B74">
            <w:pPr>
              <w:jc w:val="center"/>
              <w:rPr>
                <w:rFonts w:ascii="宋体" w:hAnsi="宋体" w:cs="宋体"/>
                <w:szCs w:val="21"/>
              </w:rPr>
            </w:pPr>
            <w:r>
              <w:rPr>
                <w:rFonts w:hint="eastAsia" w:ascii="宋体" w:hAnsi="宋体" w:cs="宋体"/>
                <w:szCs w:val="21"/>
              </w:rPr>
              <w:t>投标报价</w:t>
            </w:r>
          </w:p>
        </w:tc>
        <w:tc>
          <w:tcPr>
            <w:tcW w:w="1273" w:type="pct"/>
            <w:noWrap/>
            <w:vAlign w:val="center"/>
          </w:tcPr>
          <w:p w14:paraId="5BF1801A">
            <w:pPr>
              <w:jc w:val="center"/>
              <w:rPr>
                <w:rFonts w:ascii="宋体" w:hAnsi="宋体" w:cs="宋体"/>
                <w:szCs w:val="21"/>
              </w:rPr>
            </w:pPr>
            <w:r>
              <w:rPr>
                <w:rFonts w:hint="eastAsia" w:ascii="宋体" w:hAnsi="宋体" w:cs="宋体"/>
                <w:szCs w:val="21"/>
              </w:rPr>
              <w:t>商务技术部分</w:t>
            </w:r>
          </w:p>
        </w:tc>
        <w:tc>
          <w:tcPr>
            <w:tcW w:w="1275" w:type="pct"/>
            <w:noWrap/>
            <w:vAlign w:val="center"/>
          </w:tcPr>
          <w:p w14:paraId="461BA911">
            <w:pPr>
              <w:jc w:val="center"/>
              <w:rPr>
                <w:rFonts w:ascii="宋体" w:hAnsi="宋体" w:cs="宋体"/>
                <w:szCs w:val="21"/>
              </w:rPr>
            </w:pPr>
            <w:r>
              <w:rPr>
                <w:rFonts w:hint="eastAsia" w:ascii="宋体" w:hAnsi="宋体" w:cs="宋体"/>
                <w:szCs w:val="21"/>
              </w:rPr>
              <w:t>合计</w:t>
            </w:r>
          </w:p>
        </w:tc>
      </w:tr>
      <w:tr w14:paraId="51DA1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76" w:type="pct"/>
            <w:noWrap/>
            <w:vAlign w:val="center"/>
          </w:tcPr>
          <w:p w14:paraId="036AAE45">
            <w:pPr>
              <w:jc w:val="center"/>
              <w:rPr>
                <w:rFonts w:ascii="宋体" w:hAnsi="宋体" w:cs="宋体"/>
                <w:szCs w:val="21"/>
              </w:rPr>
            </w:pPr>
            <w:r>
              <w:rPr>
                <w:rFonts w:hint="eastAsia" w:ascii="宋体" w:hAnsi="宋体" w:cs="宋体"/>
                <w:szCs w:val="21"/>
              </w:rPr>
              <w:t>权重（%）</w:t>
            </w:r>
          </w:p>
        </w:tc>
        <w:tc>
          <w:tcPr>
            <w:tcW w:w="1273" w:type="pct"/>
            <w:noWrap/>
            <w:vAlign w:val="center"/>
          </w:tcPr>
          <w:p w14:paraId="6ED53C0D">
            <w:pPr>
              <w:jc w:val="center"/>
              <w:rPr>
                <w:rFonts w:hint="default" w:ascii="宋体" w:hAnsi="宋体" w:eastAsia="宋体" w:cs="宋体"/>
                <w:szCs w:val="21"/>
                <w:lang w:val="en-US" w:eastAsia="zh-CN"/>
              </w:rPr>
            </w:pPr>
            <w:r>
              <w:rPr>
                <w:rFonts w:hint="eastAsia" w:ascii="宋体" w:hAnsi="宋体" w:cs="宋体"/>
                <w:szCs w:val="21"/>
                <w:lang w:val="en-US" w:eastAsia="zh-CN"/>
              </w:rPr>
              <w:t>30</w:t>
            </w:r>
          </w:p>
        </w:tc>
        <w:tc>
          <w:tcPr>
            <w:tcW w:w="1273" w:type="pct"/>
            <w:noWrap/>
            <w:vAlign w:val="center"/>
          </w:tcPr>
          <w:p w14:paraId="14969116">
            <w:pPr>
              <w:jc w:val="center"/>
              <w:rPr>
                <w:rFonts w:hint="default" w:ascii="宋体" w:hAnsi="宋体" w:eastAsia="宋体" w:cs="宋体"/>
                <w:szCs w:val="21"/>
                <w:lang w:val="en-US" w:eastAsia="zh-CN"/>
              </w:rPr>
            </w:pPr>
            <w:r>
              <w:rPr>
                <w:rFonts w:hint="eastAsia" w:ascii="宋体" w:hAnsi="宋体" w:cs="宋体"/>
                <w:szCs w:val="21"/>
                <w:lang w:val="en-US" w:eastAsia="zh-CN"/>
              </w:rPr>
              <w:t>70</w:t>
            </w:r>
          </w:p>
        </w:tc>
        <w:tc>
          <w:tcPr>
            <w:tcW w:w="1275" w:type="pct"/>
            <w:noWrap/>
            <w:vAlign w:val="center"/>
          </w:tcPr>
          <w:p w14:paraId="2CE7928B">
            <w:pPr>
              <w:jc w:val="center"/>
              <w:rPr>
                <w:rFonts w:ascii="宋体" w:hAnsi="宋体" w:cs="宋体"/>
                <w:szCs w:val="21"/>
              </w:rPr>
            </w:pPr>
            <w:r>
              <w:rPr>
                <w:rFonts w:hint="eastAsia" w:ascii="宋体" w:hAnsi="宋体" w:cs="宋体"/>
                <w:szCs w:val="21"/>
              </w:rPr>
              <w:t>100</w:t>
            </w:r>
          </w:p>
        </w:tc>
      </w:tr>
    </w:tbl>
    <w:p w14:paraId="5F22AD6D">
      <w:pPr>
        <w:rPr>
          <w:b/>
          <w:bCs/>
        </w:rPr>
      </w:pPr>
    </w:p>
    <w:p w14:paraId="094BB962">
      <w:pPr>
        <w:rPr>
          <w:rFonts w:hint="eastAsia" w:ascii="宋体" w:hAnsi="宋体" w:cs="宋体"/>
          <w:b/>
          <w:sz w:val="28"/>
          <w:szCs w:val="28"/>
        </w:rPr>
      </w:pPr>
      <w:r>
        <w:rPr>
          <w:rFonts w:hint="eastAsia"/>
          <w:b/>
          <w:bCs/>
        </w:rPr>
        <w:t>定海区看守所综合用房设施提升改造廉政教育基地展厅文化打造建设项目商务技术评分表</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7"/>
        <w:gridCol w:w="1121"/>
        <w:gridCol w:w="6696"/>
        <w:gridCol w:w="736"/>
      </w:tblGrid>
      <w:tr w14:paraId="198B7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vAlign w:val="center"/>
          </w:tcPr>
          <w:p w14:paraId="1F7E974B">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1"/>
                <w:szCs w:val="21"/>
                <w:vertAlign w:val="baseline"/>
              </w:rPr>
            </w:pPr>
            <w:r>
              <w:rPr>
                <w:rFonts w:hint="eastAsia" w:ascii="宋体" w:hAnsi="宋体" w:eastAsia="宋体" w:cs="宋体"/>
                <w:b/>
                <w:bCs/>
                <w:color w:val="auto"/>
                <w:sz w:val="21"/>
                <w:szCs w:val="21"/>
                <w:highlight w:val="none"/>
              </w:rPr>
              <w:t>评分因素</w:t>
            </w:r>
          </w:p>
        </w:tc>
        <w:tc>
          <w:tcPr>
            <w:tcW w:w="1121" w:type="dxa"/>
            <w:vAlign w:val="center"/>
          </w:tcPr>
          <w:p w14:paraId="1C4735E8">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1"/>
                <w:szCs w:val="21"/>
                <w:vertAlign w:val="baseline"/>
              </w:rPr>
            </w:pPr>
            <w:r>
              <w:rPr>
                <w:rFonts w:hint="eastAsia" w:ascii="宋体" w:hAnsi="宋体" w:eastAsia="宋体" w:cs="宋体"/>
                <w:b/>
                <w:bCs/>
                <w:color w:val="auto"/>
                <w:sz w:val="21"/>
                <w:szCs w:val="21"/>
                <w:highlight w:val="none"/>
              </w:rPr>
              <w:t>类别</w:t>
            </w:r>
          </w:p>
        </w:tc>
        <w:tc>
          <w:tcPr>
            <w:tcW w:w="6696" w:type="dxa"/>
            <w:vAlign w:val="center"/>
          </w:tcPr>
          <w:p w14:paraId="3EA43F8E">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1"/>
                <w:szCs w:val="21"/>
                <w:vertAlign w:val="baseline"/>
              </w:rPr>
            </w:pPr>
            <w:r>
              <w:rPr>
                <w:rFonts w:hint="eastAsia" w:ascii="宋体" w:hAnsi="宋体" w:eastAsia="宋体" w:cs="宋体"/>
                <w:b/>
                <w:bCs/>
                <w:color w:val="auto"/>
                <w:sz w:val="21"/>
                <w:szCs w:val="21"/>
                <w:highlight w:val="none"/>
              </w:rPr>
              <w:t>评分标准</w:t>
            </w:r>
          </w:p>
        </w:tc>
        <w:tc>
          <w:tcPr>
            <w:tcW w:w="736" w:type="dxa"/>
            <w:vAlign w:val="center"/>
          </w:tcPr>
          <w:p w14:paraId="3959D7B7">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1"/>
                <w:szCs w:val="21"/>
                <w:vertAlign w:val="baseline"/>
              </w:rPr>
            </w:pPr>
            <w:r>
              <w:rPr>
                <w:rFonts w:hint="eastAsia" w:ascii="宋体" w:hAnsi="宋体" w:eastAsia="宋体" w:cs="宋体"/>
                <w:b/>
                <w:bCs/>
                <w:color w:val="auto"/>
                <w:sz w:val="21"/>
                <w:szCs w:val="21"/>
                <w:highlight w:val="none"/>
                <w:lang w:val="en-US" w:eastAsia="zh-CN"/>
              </w:rPr>
              <w:t>分值</w:t>
            </w:r>
          </w:p>
        </w:tc>
      </w:tr>
      <w:tr w14:paraId="573E0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vMerge w:val="restart"/>
            <w:vAlign w:val="center"/>
          </w:tcPr>
          <w:p w14:paraId="4A34D70E">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综合实力</w:t>
            </w:r>
          </w:p>
        </w:tc>
        <w:tc>
          <w:tcPr>
            <w:tcW w:w="1121" w:type="dxa"/>
            <w:vAlign w:val="center"/>
          </w:tcPr>
          <w:p w14:paraId="0B3EBCCE">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客观</w:t>
            </w:r>
          </w:p>
        </w:tc>
        <w:tc>
          <w:tcPr>
            <w:tcW w:w="6696" w:type="dxa"/>
            <w:vAlign w:val="center"/>
          </w:tcPr>
          <w:p w14:paraId="45469642">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leftChars="0" w:right="0" w:rightChars="0"/>
              <w:textAlignment w:val="auto"/>
              <w:rPr>
                <w:rFonts w:hint="default" w:ascii="宋体" w:hAnsi="宋体" w:eastAsia="宋体" w:cs="宋体"/>
                <w:b/>
                <w:bCs/>
                <w:color w:val="auto"/>
                <w:kern w:val="0"/>
                <w:sz w:val="21"/>
                <w:szCs w:val="21"/>
                <w:highlight w:val="none"/>
                <w:lang w:val="en-US" w:eastAsia="zh-CN"/>
              </w:rPr>
            </w:pPr>
            <w:r>
              <w:rPr>
                <w:rFonts w:hint="eastAsia" w:ascii="宋体" w:hAnsi="宋体" w:cs="宋体"/>
                <w:b w:val="0"/>
                <w:bCs w:val="0"/>
                <w:color w:val="auto"/>
                <w:kern w:val="0"/>
                <w:sz w:val="21"/>
                <w:szCs w:val="21"/>
                <w:highlight w:val="none"/>
                <w:lang w:val="en-US" w:eastAsia="zh-CN"/>
              </w:rPr>
              <w:t>投标人具有有效期内的</w:t>
            </w:r>
            <w:r>
              <w:rPr>
                <w:rFonts w:hint="eastAsia" w:ascii="宋体" w:hAnsi="宋体" w:eastAsia="宋体" w:cs="宋体"/>
                <w:b w:val="0"/>
                <w:bCs w:val="0"/>
                <w:i w:val="0"/>
                <w:iCs w:val="0"/>
                <w:color w:val="000000"/>
                <w:kern w:val="0"/>
                <w:sz w:val="21"/>
                <w:szCs w:val="21"/>
                <w:highlight w:val="none"/>
                <w:u w:val="none"/>
                <w:lang w:val="en-US" w:eastAsia="zh-CN" w:bidi="ar"/>
              </w:rPr>
              <w:t>质量管理体系、职业健康安全管理体系及环境管理体系</w:t>
            </w:r>
            <w:r>
              <w:rPr>
                <w:rFonts w:hint="eastAsia" w:ascii="宋体" w:hAnsi="宋体" w:cs="宋体"/>
                <w:b w:val="0"/>
                <w:bCs w:val="0"/>
                <w:i w:val="0"/>
                <w:iCs w:val="0"/>
                <w:color w:val="000000"/>
                <w:kern w:val="0"/>
                <w:sz w:val="21"/>
                <w:szCs w:val="21"/>
                <w:highlight w:val="none"/>
                <w:u w:val="none"/>
                <w:lang w:val="en-US" w:eastAsia="zh-CN" w:bidi="ar"/>
              </w:rPr>
              <w:t>认证的，每提供1本得1分，最高得3分。</w:t>
            </w:r>
            <w:r>
              <w:rPr>
                <w:rFonts w:hint="eastAsia" w:ascii="宋体" w:hAnsi="宋体" w:cs="宋体"/>
                <w:b w:val="0"/>
                <w:bCs w:val="0"/>
                <w:i w:val="0"/>
                <w:iCs w:val="0"/>
                <w:color w:val="000000"/>
                <w:kern w:val="0"/>
                <w:sz w:val="21"/>
                <w:szCs w:val="21"/>
                <w:highlight w:val="none"/>
                <w:u w:val="none"/>
                <w:lang w:val="en-US" w:eastAsia="zh-CN" w:bidi="ar"/>
              </w:rPr>
              <w:br w:type="textWrapping"/>
            </w:r>
            <w:r>
              <w:rPr>
                <w:rFonts w:hint="eastAsia" w:ascii="宋体" w:hAnsi="宋体" w:cs="宋体"/>
                <w:b/>
                <w:bCs/>
                <w:i w:val="0"/>
                <w:iCs w:val="0"/>
                <w:color w:val="000000"/>
                <w:kern w:val="0"/>
                <w:sz w:val="21"/>
                <w:szCs w:val="21"/>
                <w:highlight w:val="none"/>
                <w:u w:val="none"/>
                <w:lang w:val="en-US" w:eastAsia="zh-CN" w:bidi="ar"/>
              </w:rPr>
              <w:t>提供相关证书等证明材料并加盖投标人公章，否则不得分。</w:t>
            </w:r>
          </w:p>
        </w:tc>
        <w:tc>
          <w:tcPr>
            <w:tcW w:w="736" w:type="dxa"/>
            <w:vAlign w:val="center"/>
          </w:tcPr>
          <w:p w14:paraId="19F6730E">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r>
      <w:tr w14:paraId="429B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vMerge w:val="continue"/>
            <w:vAlign w:val="center"/>
          </w:tcPr>
          <w:p w14:paraId="690E7795">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color w:val="auto"/>
                <w:kern w:val="0"/>
                <w:sz w:val="21"/>
                <w:szCs w:val="21"/>
                <w:highlight w:val="none"/>
                <w:lang w:val="en-US" w:eastAsia="zh-CN"/>
              </w:rPr>
            </w:pPr>
          </w:p>
        </w:tc>
        <w:tc>
          <w:tcPr>
            <w:tcW w:w="1121" w:type="dxa"/>
            <w:vAlign w:val="center"/>
          </w:tcPr>
          <w:p w14:paraId="058E97BC">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客观</w:t>
            </w:r>
          </w:p>
        </w:tc>
        <w:tc>
          <w:tcPr>
            <w:tcW w:w="6696" w:type="dxa"/>
            <w:vAlign w:val="center"/>
          </w:tcPr>
          <w:p w14:paraId="16F6A7A1">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leftChars="0" w:right="0" w:rightChars="0"/>
              <w:textAlignment w:val="auto"/>
              <w:rPr>
                <w:rFonts w:hint="default" w:ascii="宋体" w:hAnsi="宋体" w:cs="宋体"/>
                <w:b w:val="0"/>
                <w:bCs w:val="0"/>
                <w:color w:val="auto"/>
                <w:kern w:val="0"/>
                <w:sz w:val="21"/>
                <w:szCs w:val="21"/>
                <w:highlight w:val="none"/>
                <w:lang w:val="en-US" w:eastAsia="zh-CN"/>
              </w:rPr>
            </w:pPr>
            <w:r>
              <w:rPr>
                <w:rFonts w:hint="eastAsia" w:ascii="宋体" w:hAnsi="宋体" w:cs="宋体"/>
                <w:b w:val="0"/>
                <w:bCs w:val="0"/>
                <w:color w:val="auto"/>
                <w:kern w:val="0"/>
                <w:sz w:val="21"/>
                <w:szCs w:val="21"/>
                <w:highlight w:val="none"/>
                <w:lang w:val="en-US" w:eastAsia="zh-CN"/>
              </w:rPr>
              <w:t>投标人具有</w:t>
            </w:r>
            <w:r>
              <w:rPr>
                <w:rFonts w:hint="eastAsia" w:ascii="宋体" w:hAnsi="宋体" w:eastAsia="宋体" w:cs="宋体"/>
                <w:i w:val="0"/>
                <w:iCs w:val="0"/>
                <w:color w:val="000000"/>
                <w:kern w:val="0"/>
                <w:sz w:val="21"/>
                <w:szCs w:val="21"/>
                <w:highlight w:val="none"/>
                <w:u w:val="none"/>
                <w:lang w:val="en-US" w:eastAsia="zh-CN" w:bidi="ar"/>
              </w:rPr>
              <w:t>绿色工厂、绿色供应链管理企业、绿色发展规划评价报告</w:t>
            </w:r>
            <w:r>
              <w:rPr>
                <w:rFonts w:hint="eastAsia" w:ascii="宋体" w:hAnsi="宋体" w:cs="宋体"/>
                <w:i w:val="0"/>
                <w:iCs w:val="0"/>
                <w:color w:val="000000"/>
                <w:kern w:val="0"/>
                <w:sz w:val="21"/>
                <w:szCs w:val="21"/>
                <w:highlight w:val="none"/>
                <w:u w:val="none"/>
                <w:lang w:val="en-US" w:eastAsia="zh-CN" w:bidi="ar"/>
              </w:rPr>
              <w:t>的，每提供一份得1分，最高得3分。</w:t>
            </w:r>
            <w:r>
              <w:rPr>
                <w:rFonts w:hint="eastAsia" w:ascii="宋体" w:hAnsi="宋体" w:cs="宋体"/>
                <w:i w:val="0"/>
                <w:iCs w:val="0"/>
                <w:color w:val="000000"/>
                <w:kern w:val="0"/>
                <w:sz w:val="21"/>
                <w:szCs w:val="21"/>
                <w:highlight w:val="none"/>
                <w:u w:val="none"/>
                <w:lang w:val="en-US" w:eastAsia="zh-CN" w:bidi="ar"/>
              </w:rPr>
              <w:br w:type="textWrapping"/>
            </w:r>
            <w:r>
              <w:rPr>
                <w:rFonts w:hint="eastAsia" w:ascii="宋体" w:hAnsi="宋体" w:cs="宋体"/>
                <w:b/>
                <w:bCs/>
                <w:i w:val="0"/>
                <w:iCs w:val="0"/>
                <w:color w:val="000000"/>
                <w:kern w:val="0"/>
                <w:sz w:val="21"/>
                <w:szCs w:val="21"/>
                <w:highlight w:val="none"/>
                <w:u w:val="none"/>
                <w:lang w:val="en-US" w:eastAsia="zh-CN" w:bidi="ar"/>
              </w:rPr>
              <w:t>提供相关证书等证明材料并加盖投标人公章，否则不得分。</w:t>
            </w:r>
          </w:p>
        </w:tc>
        <w:tc>
          <w:tcPr>
            <w:tcW w:w="736" w:type="dxa"/>
            <w:vAlign w:val="center"/>
          </w:tcPr>
          <w:p w14:paraId="721B6AE9">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r>
      <w:tr w14:paraId="2A4A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vAlign w:val="center"/>
          </w:tcPr>
          <w:p w14:paraId="6DA742F2">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1"/>
                <w:szCs w:val="21"/>
                <w:vertAlign w:val="baseline"/>
              </w:rPr>
            </w:pPr>
            <w:r>
              <w:rPr>
                <w:rFonts w:hint="eastAsia" w:ascii="宋体" w:hAnsi="宋体" w:eastAsia="宋体" w:cs="宋体"/>
                <w:color w:val="auto"/>
                <w:kern w:val="0"/>
                <w:sz w:val="21"/>
                <w:szCs w:val="21"/>
                <w:highlight w:val="none"/>
              </w:rPr>
              <w:t>项目案例</w:t>
            </w:r>
          </w:p>
        </w:tc>
        <w:tc>
          <w:tcPr>
            <w:tcW w:w="1121" w:type="dxa"/>
            <w:vAlign w:val="center"/>
          </w:tcPr>
          <w:p w14:paraId="08D5CC2A">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1"/>
                <w:szCs w:val="21"/>
                <w:highlight w:val="none"/>
                <w:vertAlign w:val="baseline"/>
              </w:rPr>
            </w:pPr>
            <w:r>
              <w:rPr>
                <w:rFonts w:hint="eastAsia" w:ascii="宋体" w:hAnsi="宋体" w:eastAsia="宋体" w:cs="宋体"/>
                <w:color w:val="auto"/>
                <w:kern w:val="0"/>
                <w:sz w:val="21"/>
                <w:szCs w:val="21"/>
                <w:highlight w:val="none"/>
              </w:rPr>
              <w:t>客观</w:t>
            </w:r>
          </w:p>
        </w:tc>
        <w:tc>
          <w:tcPr>
            <w:tcW w:w="6696" w:type="dxa"/>
            <w:vAlign w:val="center"/>
          </w:tcPr>
          <w:p w14:paraId="036DDDC2">
            <w:pPr>
              <w:widowControl/>
              <w:spacing w:beforeLines="0" w:afterLines="0" w:line="360" w:lineRule="auto"/>
              <w:textAlignment w:val="center"/>
              <w:rPr>
                <w:rFonts w:hint="eastAsia" w:ascii="宋体" w:hAnsi="宋体" w:eastAsia="宋体" w:cs="宋体"/>
                <w:bCs/>
                <w:sz w:val="21"/>
                <w:szCs w:val="21"/>
                <w:highlight w:val="none"/>
              </w:rPr>
            </w:pPr>
            <w:r>
              <w:rPr>
                <w:rFonts w:hint="eastAsia" w:ascii="宋体" w:hAnsi="宋体" w:eastAsia="宋体" w:cs="宋体"/>
                <w:color w:val="auto"/>
                <w:sz w:val="21"/>
                <w:szCs w:val="21"/>
                <w:highlight w:val="none"/>
                <w:lang w:val="en-US" w:eastAsia="zh-CN"/>
              </w:rPr>
              <w:t>根据投标人提供的自</w:t>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lang w:val="en-US" w:eastAsia="zh-CN"/>
              </w:rPr>
              <w:t>21</w:t>
            </w:r>
            <w:r>
              <w:rPr>
                <w:rFonts w:hint="eastAsia" w:ascii="宋体" w:hAnsi="宋体" w:eastAsia="宋体" w:cs="宋体"/>
                <w:color w:val="auto"/>
                <w:sz w:val="21"/>
                <w:szCs w:val="21"/>
                <w:highlight w:val="none"/>
              </w:rPr>
              <w:t>年1月1</w:t>
            </w:r>
            <w:r>
              <w:rPr>
                <w:rFonts w:hint="eastAsia" w:ascii="宋体" w:hAnsi="宋体" w:eastAsia="宋体" w:cs="宋体"/>
                <w:color w:val="auto"/>
                <w:sz w:val="21"/>
                <w:szCs w:val="21"/>
                <w:highlight w:val="none"/>
                <w:lang w:val="en-US" w:eastAsia="zh-CN"/>
              </w:rPr>
              <w:t>日以来（以合同签订时间为准）的展览</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展厅</w:t>
            </w:r>
            <w:r>
              <w:rPr>
                <w:rFonts w:hint="eastAsia" w:ascii="宋体" w:hAnsi="宋体" w:cs="宋体"/>
                <w:color w:val="auto"/>
                <w:sz w:val="21"/>
                <w:szCs w:val="21"/>
                <w:highlight w:val="none"/>
                <w:lang w:val="en-US" w:eastAsia="zh-CN"/>
              </w:rPr>
              <w:t>布置</w:t>
            </w:r>
            <w:r>
              <w:rPr>
                <w:rFonts w:hint="eastAsia" w:ascii="宋体" w:hAnsi="宋体" w:eastAsia="宋体" w:cs="宋体"/>
                <w:color w:val="auto"/>
                <w:sz w:val="21"/>
                <w:szCs w:val="21"/>
                <w:highlight w:val="none"/>
                <w:lang w:val="en-US" w:eastAsia="zh-CN"/>
              </w:rPr>
              <w:t>实施相关</w:t>
            </w:r>
            <w:r>
              <w:rPr>
                <w:rFonts w:hint="eastAsia" w:ascii="宋体" w:hAnsi="宋体" w:cs="宋体"/>
                <w:color w:val="auto"/>
                <w:sz w:val="21"/>
                <w:szCs w:val="21"/>
                <w:highlight w:val="none"/>
                <w:lang w:val="en-US" w:eastAsia="zh-CN"/>
              </w:rPr>
              <w:t>业绩并得到业主好评的</w:t>
            </w:r>
            <w:r>
              <w:rPr>
                <w:rFonts w:hint="eastAsia" w:ascii="宋体" w:hAnsi="宋体" w:eastAsia="宋体" w:cs="宋体"/>
                <w:color w:val="auto"/>
                <w:sz w:val="21"/>
                <w:szCs w:val="21"/>
                <w:highlight w:val="none"/>
                <w:lang w:val="en-US" w:eastAsia="zh-CN"/>
              </w:rPr>
              <w:t>，每个合同1分，最高得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w:t>
            </w:r>
            <w:r>
              <w:rPr>
                <w:rFonts w:hint="eastAsia" w:ascii="宋体" w:hAnsi="宋体" w:eastAsia="宋体" w:cs="宋体"/>
                <w:bCs/>
                <w:sz w:val="21"/>
                <w:szCs w:val="21"/>
                <w:highlight w:val="none"/>
              </w:rPr>
              <w:t>。</w:t>
            </w:r>
          </w:p>
          <w:p w14:paraId="38332F03">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leftChars="0" w:right="0" w:rightChars="0"/>
              <w:textAlignment w:val="auto"/>
              <w:rPr>
                <w:rFonts w:hint="eastAsia" w:ascii="宋体" w:hAnsi="宋体" w:cs="宋体"/>
                <w:b/>
                <w:sz w:val="21"/>
                <w:szCs w:val="21"/>
                <w:highlight w:val="none"/>
                <w:vertAlign w:val="baseline"/>
              </w:rPr>
            </w:pPr>
            <w:r>
              <w:rPr>
                <w:rFonts w:hint="eastAsia" w:ascii="宋体" w:hAnsi="宋体" w:eastAsia="宋体" w:cs="宋体"/>
                <w:b/>
                <w:bCs/>
                <w:color w:val="auto"/>
                <w:kern w:val="0"/>
                <w:sz w:val="21"/>
                <w:szCs w:val="21"/>
                <w:highlight w:val="none"/>
              </w:rPr>
              <w:t>提供</w:t>
            </w:r>
            <w:r>
              <w:rPr>
                <w:rFonts w:hint="eastAsia" w:ascii="宋体" w:hAnsi="宋体" w:eastAsia="宋体" w:cs="宋体"/>
                <w:b/>
                <w:bCs/>
                <w:color w:val="auto"/>
                <w:kern w:val="0"/>
                <w:sz w:val="21"/>
                <w:szCs w:val="21"/>
                <w:highlight w:val="none"/>
                <w:lang w:val="en-US" w:eastAsia="zh-CN"/>
              </w:rPr>
              <w:t>相关</w:t>
            </w:r>
            <w:r>
              <w:rPr>
                <w:rFonts w:hint="eastAsia" w:ascii="宋体" w:hAnsi="宋体" w:eastAsia="宋体" w:cs="宋体"/>
                <w:b/>
                <w:bCs/>
                <w:color w:val="auto"/>
                <w:kern w:val="0"/>
                <w:sz w:val="21"/>
                <w:szCs w:val="21"/>
                <w:highlight w:val="none"/>
              </w:rPr>
              <w:t>合同复印件</w:t>
            </w:r>
            <w:r>
              <w:rPr>
                <w:rFonts w:hint="eastAsia" w:ascii="宋体" w:hAnsi="宋体" w:cs="宋体"/>
                <w:b/>
                <w:bCs/>
                <w:color w:val="auto"/>
                <w:kern w:val="0"/>
                <w:sz w:val="21"/>
                <w:szCs w:val="21"/>
                <w:highlight w:val="none"/>
                <w:lang w:eastAsia="zh-CN"/>
              </w:rPr>
              <w:t>、</w:t>
            </w:r>
            <w:r>
              <w:rPr>
                <w:rFonts w:hint="eastAsia" w:ascii="宋体" w:hAnsi="宋体" w:cs="宋体"/>
                <w:b/>
                <w:bCs/>
                <w:color w:val="auto"/>
                <w:kern w:val="0"/>
                <w:sz w:val="21"/>
                <w:szCs w:val="21"/>
                <w:highlight w:val="none"/>
                <w:lang w:val="en-US" w:eastAsia="zh-CN"/>
              </w:rPr>
              <w:t>业主评价表</w:t>
            </w:r>
            <w:r>
              <w:rPr>
                <w:rFonts w:hint="eastAsia" w:ascii="宋体" w:hAnsi="宋体" w:eastAsia="宋体" w:cs="宋体"/>
                <w:b/>
                <w:bCs/>
                <w:kern w:val="0"/>
                <w:sz w:val="21"/>
                <w:szCs w:val="21"/>
                <w:highlight w:val="none"/>
                <w:lang w:val="en-US" w:eastAsia="zh-CN"/>
              </w:rPr>
              <w:t>并加盖投标人公章</w:t>
            </w:r>
            <w:r>
              <w:rPr>
                <w:rFonts w:hint="eastAsia" w:ascii="宋体" w:hAnsi="宋体" w:eastAsia="宋体" w:cs="宋体"/>
                <w:b/>
                <w:bCs/>
                <w:color w:val="auto"/>
                <w:kern w:val="0"/>
                <w:sz w:val="21"/>
                <w:szCs w:val="21"/>
                <w:highlight w:val="none"/>
              </w:rPr>
              <w:t>，</w:t>
            </w:r>
            <w:r>
              <w:rPr>
                <w:rFonts w:hint="eastAsia" w:ascii="宋体" w:hAnsi="宋体" w:eastAsia="宋体" w:cs="宋体"/>
                <w:b/>
                <w:bCs/>
                <w:kern w:val="0"/>
                <w:sz w:val="21"/>
                <w:szCs w:val="21"/>
                <w:highlight w:val="none"/>
                <w:lang w:bidi="ar"/>
              </w:rPr>
              <w:t>合同中须反映项目名称、签订时间、建设项目内容，未提供或提供不全的不得分</w:t>
            </w:r>
            <w:r>
              <w:rPr>
                <w:rFonts w:hint="eastAsia" w:ascii="宋体" w:hAnsi="宋体" w:eastAsia="宋体" w:cs="宋体"/>
                <w:b/>
                <w:bCs/>
                <w:color w:val="auto"/>
                <w:kern w:val="0"/>
                <w:sz w:val="21"/>
                <w:szCs w:val="21"/>
                <w:highlight w:val="none"/>
                <w:lang w:eastAsia="zh-CN"/>
              </w:rPr>
              <w:t>。</w:t>
            </w:r>
          </w:p>
        </w:tc>
        <w:tc>
          <w:tcPr>
            <w:tcW w:w="736" w:type="dxa"/>
            <w:vAlign w:val="center"/>
          </w:tcPr>
          <w:p w14:paraId="63934101">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1"/>
                <w:szCs w:val="21"/>
                <w:highlight w:val="none"/>
                <w:vertAlign w:val="baseline"/>
              </w:rPr>
            </w:pPr>
            <w:r>
              <w:rPr>
                <w:rFonts w:hint="eastAsia" w:ascii="宋体" w:hAnsi="宋体" w:cs="宋体"/>
                <w:color w:val="auto"/>
                <w:sz w:val="21"/>
                <w:szCs w:val="21"/>
                <w:highlight w:val="none"/>
                <w:lang w:val="en-US" w:eastAsia="zh-CN"/>
              </w:rPr>
              <w:t>3</w:t>
            </w:r>
          </w:p>
        </w:tc>
      </w:tr>
      <w:tr w14:paraId="5E542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vAlign w:val="center"/>
          </w:tcPr>
          <w:p w14:paraId="5300971E">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1"/>
                <w:szCs w:val="21"/>
                <w:highlight w:val="none"/>
                <w:vertAlign w:val="baseline"/>
              </w:rPr>
            </w:pPr>
            <w:r>
              <w:rPr>
                <w:rFonts w:hint="eastAsia" w:ascii="宋体" w:hAnsi="宋体" w:eastAsia="宋体" w:cs="宋体"/>
                <w:sz w:val="21"/>
                <w:szCs w:val="21"/>
                <w:highlight w:val="none"/>
              </w:rPr>
              <w:t>技术</w:t>
            </w:r>
            <w:r>
              <w:rPr>
                <w:rFonts w:hint="eastAsia" w:ascii="宋体" w:hAnsi="宋体" w:eastAsia="宋体" w:cs="宋体"/>
                <w:sz w:val="21"/>
                <w:szCs w:val="21"/>
                <w:highlight w:val="none"/>
                <w:lang w:val="en-US" w:eastAsia="zh-CN"/>
              </w:rPr>
              <w:t>参数</w:t>
            </w:r>
          </w:p>
        </w:tc>
        <w:tc>
          <w:tcPr>
            <w:tcW w:w="1121" w:type="dxa"/>
            <w:vAlign w:val="center"/>
          </w:tcPr>
          <w:p w14:paraId="6FA7494C">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1"/>
                <w:szCs w:val="21"/>
                <w:highlight w:val="none"/>
                <w:vertAlign w:val="baseline"/>
              </w:rPr>
            </w:pPr>
            <w:r>
              <w:rPr>
                <w:rFonts w:hint="eastAsia" w:ascii="宋体" w:hAnsi="宋体" w:eastAsia="宋体" w:cs="宋体"/>
                <w:color w:val="auto"/>
                <w:sz w:val="21"/>
                <w:szCs w:val="21"/>
                <w:highlight w:val="none"/>
                <w:lang w:val="en-US" w:eastAsia="zh-CN"/>
              </w:rPr>
              <w:t>客观</w:t>
            </w:r>
          </w:p>
        </w:tc>
        <w:tc>
          <w:tcPr>
            <w:tcW w:w="6696" w:type="dxa"/>
            <w:vAlign w:val="center"/>
          </w:tcPr>
          <w:p w14:paraId="0251D2B7">
            <w:pPr>
              <w:pStyle w:val="9"/>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rightChars="0"/>
              <w:textAlignment w:val="auto"/>
              <w:rPr>
                <w:rFonts w:hint="eastAsia" w:ascii="宋体" w:hAnsi="宋体" w:cs="宋体"/>
                <w:color w:val="000000"/>
                <w:kern w:val="0"/>
                <w:sz w:val="21"/>
                <w:szCs w:val="21"/>
              </w:rPr>
            </w:pPr>
            <w:r>
              <w:rPr>
                <w:rFonts w:hint="eastAsia" w:ascii="宋体" w:hAnsi="宋体" w:cs="宋体"/>
                <w:color w:val="000000"/>
                <w:kern w:val="0"/>
                <w:sz w:val="21"/>
                <w:szCs w:val="21"/>
              </w:rPr>
              <w:t>根据投标人的技术要求响应情况结合采购需求中的技术要求进行评分：</w:t>
            </w:r>
            <w:r>
              <w:rPr>
                <w:rFonts w:hint="eastAsia" w:ascii="宋体" w:hAnsi="宋体" w:cs="宋体"/>
                <w:color w:val="000000"/>
                <w:kern w:val="0"/>
                <w:sz w:val="21"/>
                <w:szCs w:val="21"/>
              </w:rPr>
              <w:br w:type="textWrapping"/>
            </w:r>
            <w:r>
              <w:rPr>
                <w:rFonts w:hint="eastAsia" w:ascii="宋体" w:hAnsi="宋体" w:cs="宋体"/>
                <w:color w:val="000000"/>
                <w:kern w:val="0"/>
                <w:sz w:val="21"/>
                <w:szCs w:val="21"/>
              </w:rPr>
              <w:t>共</w:t>
            </w:r>
            <w:r>
              <w:rPr>
                <w:rFonts w:hint="eastAsia" w:ascii="宋体" w:hAnsi="宋体" w:eastAsia="宋体" w:cs="宋体"/>
                <w:color w:val="000000"/>
                <w:kern w:val="0"/>
                <w:sz w:val="21"/>
                <w:szCs w:val="21"/>
                <w:lang w:val="en-US" w:eastAsia="zh-CN"/>
              </w:rPr>
              <w:t>288</w:t>
            </w:r>
            <w:r>
              <w:rPr>
                <w:rFonts w:hint="eastAsia" w:ascii="宋体" w:hAnsi="宋体" w:cs="宋体"/>
                <w:color w:val="000000"/>
                <w:kern w:val="0"/>
                <w:sz w:val="21"/>
                <w:szCs w:val="21"/>
              </w:rPr>
              <w:t>条，满分为</w:t>
            </w:r>
            <w:r>
              <w:rPr>
                <w:rFonts w:hint="eastAsia" w:ascii="宋体" w:hAnsi="宋体" w:eastAsia="宋体" w:cs="宋体"/>
                <w:color w:val="000000"/>
                <w:kern w:val="0"/>
                <w:sz w:val="21"/>
                <w:szCs w:val="21"/>
                <w:lang w:val="en-US" w:eastAsia="zh-CN"/>
              </w:rPr>
              <w:t>10分</w:t>
            </w:r>
            <w:r>
              <w:rPr>
                <w:rFonts w:hint="eastAsia" w:ascii="宋体" w:hAnsi="宋体" w:cs="宋体"/>
                <w:color w:val="000000"/>
                <w:kern w:val="0"/>
                <w:sz w:val="21"/>
                <w:szCs w:val="21"/>
              </w:rPr>
              <w:t>；投标人对于一般技术参数响应程度得分=（投标人满足一般技术参数的数量/一般技术参数要求条款的总数量）*</w:t>
            </w:r>
            <w:r>
              <w:rPr>
                <w:rFonts w:hint="eastAsia" w:ascii="宋体" w:hAnsi="宋体" w:cs="宋体"/>
                <w:color w:val="000000"/>
                <w:kern w:val="0"/>
                <w:sz w:val="21"/>
                <w:szCs w:val="21"/>
                <w:lang w:val="en-US" w:eastAsia="zh-CN"/>
              </w:rPr>
              <w:t>10</w:t>
            </w:r>
            <w:r>
              <w:rPr>
                <w:rFonts w:hint="eastAsia" w:ascii="宋体" w:hAnsi="宋体" w:cs="宋体"/>
                <w:color w:val="000000"/>
                <w:kern w:val="0"/>
                <w:sz w:val="21"/>
                <w:szCs w:val="21"/>
              </w:rPr>
              <w:t>；</w:t>
            </w:r>
          </w:p>
          <w:p w14:paraId="09939450">
            <w:pPr>
              <w:pStyle w:val="9"/>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rightChars="0"/>
              <w:textAlignment w:val="auto"/>
              <w:rPr>
                <w:rFonts w:hint="eastAsia" w:ascii="宋体" w:hAnsi="宋体" w:eastAsia="宋体" w:cs="宋体"/>
                <w:b w:val="0"/>
                <w:bCs w:val="0"/>
                <w:sz w:val="21"/>
                <w:szCs w:val="21"/>
                <w:highlight w:val="yellow"/>
                <w:vertAlign w:val="baseline"/>
                <w:lang w:eastAsia="zh-CN"/>
              </w:rPr>
            </w:pPr>
            <w:r>
              <w:rPr>
                <w:rFonts w:hint="eastAsia" w:ascii="宋体" w:hAnsi="宋体" w:cs="宋体"/>
                <w:b/>
                <w:bCs/>
                <w:color w:val="000000"/>
                <w:kern w:val="0"/>
                <w:sz w:val="21"/>
                <w:szCs w:val="21"/>
              </w:rPr>
              <w:t>评审依据：结合本项目技术参数进行评分</w:t>
            </w:r>
            <w:r>
              <w:rPr>
                <w:rFonts w:hint="eastAsia" w:ascii="宋体" w:hAnsi="宋体" w:eastAsia="宋体" w:cs="宋体"/>
                <w:b/>
                <w:bCs/>
                <w:color w:val="000000"/>
                <w:kern w:val="0"/>
                <w:sz w:val="21"/>
                <w:szCs w:val="21"/>
                <w:lang w:eastAsia="zh-CN"/>
              </w:rPr>
              <w:t>。</w:t>
            </w:r>
          </w:p>
        </w:tc>
        <w:tc>
          <w:tcPr>
            <w:tcW w:w="736" w:type="dxa"/>
            <w:vAlign w:val="center"/>
          </w:tcPr>
          <w:p w14:paraId="2541C7C7">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default" w:ascii="宋体" w:hAnsi="宋体" w:eastAsia="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10</w:t>
            </w:r>
          </w:p>
        </w:tc>
      </w:tr>
      <w:tr w14:paraId="32AD7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vAlign w:val="center"/>
          </w:tcPr>
          <w:p w14:paraId="50C1856F">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1"/>
                <w:szCs w:val="21"/>
                <w:vertAlign w:val="baseline"/>
              </w:rPr>
            </w:pPr>
            <w:r>
              <w:rPr>
                <w:rFonts w:hint="eastAsia" w:ascii="宋体" w:hAnsi="宋体" w:eastAsia="宋体" w:cs="宋体"/>
                <w:kern w:val="0"/>
                <w:sz w:val="21"/>
                <w:szCs w:val="21"/>
              </w:rPr>
              <w:t>项目实施团队</w:t>
            </w:r>
          </w:p>
        </w:tc>
        <w:tc>
          <w:tcPr>
            <w:tcW w:w="1121" w:type="dxa"/>
            <w:vAlign w:val="center"/>
          </w:tcPr>
          <w:p w14:paraId="04BCD9AF">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1"/>
                <w:szCs w:val="21"/>
                <w:vertAlign w:val="baseline"/>
              </w:rPr>
            </w:pPr>
            <w:r>
              <w:rPr>
                <w:rFonts w:hint="eastAsia" w:ascii="宋体" w:hAnsi="宋体" w:eastAsia="宋体" w:cs="宋体"/>
                <w:kern w:val="0"/>
                <w:sz w:val="21"/>
                <w:szCs w:val="21"/>
              </w:rPr>
              <w:t>主观</w:t>
            </w:r>
          </w:p>
        </w:tc>
        <w:tc>
          <w:tcPr>
            <w:tcW w:w="6696" w:type="dxa"/>
            <w:vAlign w:val="center"/>
          </w:tcPr>
          <w:p w14:paraId="5DB6DFEB">
            <w:pPr>
              <w:keepNext w:val="0"/>
              <w:keepLines w:val="0"/>
              <w:widowControl/>
              <w:suppressLineNumbers w:val="0"/>
              <w:tabs>
                <w:tab w:val="left" w:pos="1146"/>
              </w:tabs>
              <w:spacing w:before="0" w:beforeAutospacing="0" w:after="0" w:afterAutospacing="0" w:line="360" w:lineRule="auto"/>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根据</w:t>
            </w:r>
            <w:r>
              <w:rPr>
                <w:rFonts w:hint="eastAsia" w:ascii="宋体" w:hAnsi="宋体" w:eastAsia="宋体" w:cs="宋体"/>
                <w:color w:val="000000"/>
                <w:sz w:val="21"/>
                <w:szCs w:val="21"/>
                <w:lang w:val="en-US" w:eastAsia="zh-CN"/>
              </w:rPr>
              <w:t>投标人拟派</w:t>
            </w:r>
            <w:r>
              <w:rPr>
                <w:rFonts w:hint="eastAsia" w:ascii="宋体" w:hAnsi="宋体" w:eastAsia="宋体" w:cs="宋体"/>
                <w:color w:val="000000"/>
                <w:sz w:val="21"/>
                <w:szCs w:val="21"/>
              </w:rPr>
              <w:t>的团队人员的专业能力、综合素质等情况</w:t>
            </w:r>
            <w:r>
              <w:rPr>
                <w:rFonts w:hint="eastAsia" w:ascii="宋体" w:hAnsi="宋体" w:eastAsia="宋体" w:cs="宋体"/>
                <w:color w:val="000000"/>
                <w:sz w:val="21"/>
                <w:szCs w:val="21"/>
                <w:lang w:val="en-US" w:eastAsia="zh-CN"/>
              </w:rPr>
              <w:t>进行</w:t>
            </w:r>
            <w:r>
              <w:rPr>
                <w:rFonts w:hint="eastAsia" w:ascii="宋体" w:hAnsi="宋体" w:eastAsia="宋体" w:cs="宋体"/>
                <w:color w:val="000000"/>
                <w:sz w:val="21"/>
                <w:szCs w:val="21"/>
              </w:rPr>
              <w:t>综合评分：</w:t>
            </w:r>
          </w:p>
          <w:p w14:paraId="78B52B61">
            <w:pPr>
              <w:keepNext w:val="0"/>
              <w:keepLines w:val="0"/>
              <w:widowControl/>
              <w:suppressLineNumbers w:val="0"/>
              <w:tabs>
                <w:tab w:val="left" w:pos="1146"/>
              </w:tabs>
              <w:spacing w:before="0" w:beforeAutospacing="0" w:after="0" w:afterAutospacing="0" w:line="360" w:lineRule="auto"/>
              <w:ind w:left="0" w:leftChars="0" w:right="0" w:rightChars="0"/>
              <w:rPr>
                <w:rFonts w:hint="default" w:ascii="宋体" w:hAnsi="宋体" w:eastAsia="宋体" w:cs="宋体"/>
                <w:b w:val="0"/>
                <w:bCs w:val="0"/>
                <w:color w:val="000000"/>
                <w:sz w:val="21"/>
                <w:szCs w:val="21"/>
                <w:lang w:val="en-US" w:eastAsia="zh-CN"/>
              </w:rPr>
            </w:pPr>
            <w:r>
              <w:rPr>
                <w:rFonts w:hint="eastAsia" w:ascii="宋体" w:hAnsi="宋体" w:cs="宋体"/>
                <w:b w:val="0"/>
                <w:bCs w:val="0"/>
                <w:color w:val="000000"/>
                <w:sz w:val="21"/>
                <w:szCs w:val="21"/>
                <w:lang w:val="en-US" w:eastAsia="zh-CN"/>
              </w:rPr>
              <w:t>1、拟派团队人员专业能力强、综合素质高得2分；</w:t>
            </w:r>
            <w:r>
              <w:rPr>
                <w:rFonts w:hint="eastAsia" w:ascii="宋体" w:hAnsi="宋体" w:cs="宋体"/>
                <w:b w:val="0"/>
                <w:bCs w:val="0"/>
                <w:color w:val="000000"/>
                <w:sz w:val="21"/>
                <w:szCs w:val="21"/>
                <w:lang w:val="en-US" w:eastAsia="zh-CN"/>
              </w:rPr>
              <w:br w:type="textWrapping"/>
            </w:r>
            <w:r>
              <w:rPr>
                <w:rFonts w:hint="eastAsia" w:ascii="宋体" w:hAnsi="宋体" w:cs="宋体"/>
                <w:b w:val="0"/>
                <w:bCs w:val="0"/>
                <w:color w:val="000000"/>
                <w:sz w:val="21"/>
                <w:szCs w:val="21"/>
                <w:lang w:val="en-US" w:eastAsia="zh-CN"/>
              </w:rPr>
              <w:t>2、拟派团队人员专业能力尚可、综合素质尚可得1分；</w:t>
            </w:r>
            <w:r>
              <w:rPr>
                <w:rFonts w:hint="eastAsia" w:ascii="宋体" w:hAnsi="宋体" w:cs="宋体"/>
                <w:b w:val="0"/>
                <w:bCs w:val="0"/>
                <w:color w:val="000000"/>
                <w:sz w:val="21"/>
                <w:szCs w:val="21"/>
                <w:lang w:val="en-US" w:eastAsia="zh-CN"/>
              </w:rPr>
              <w:br w:type="textWrapping"/>
            </w:r>
            <w:r>
              <w:rPr>
                <w:rFonts w:hint="eastAsia" w:ascii="宋体" w:hAnsi="宋体" w:cs="宋体"/>
                <w:b w:val="0"/>
                <w:bCs w:val="0"/>
                <w:color w:val="000000"/>
                <w:sz w:val="21"/>
                <w:szCs w:val="21"/>
                <w:lang w:val="en-US" w:eastAsia="zh-CN"/>
              </w:rPr>
              <w:t>4、拟派团队人员专业能力较差或未提供不得分。</w:t>
            </w:r>
          </w:p>
          <w:p w14:paraId="5D0310CF">
            <w:pPr>
              <w:keepNext w:val="0"/>
              <w:keepLines w:val="0"/>
              <w:widowControl/>
              <w:suppressLineNumbers w:val="0"/>
              <w:tabs>
                <w:tab w:val="left" w:pos="1146"/>
              </w:tabs>
              <w:spacing w:before="0" w:beforeAutospacing="0" w:after="0" w:afterAutospacing="0" w:line="360" w:lineRule="auto"/>
              <w:ind w:left="0" w:leftChars="0" w:right="0" w:rightChars="0"/>
              <w:rPr>
                <w:rFonts w:hint="eastAsia" w:ascii="宋体" w:hAnsi="宋体" w:cs="宋体"/>
                <w:b/>
                <w:sz w:val="21"/>
                <w:szCs w:val="21"/>
                <w:vertAlign w:val="baseline"/>
              </w:rPr>
            </w:pPr>
            <w:r>
              <w:rPr>
                <w:rFonts w:hint="eastAsia" w:ascii="宋体" w:hAnsi="宋体" w:eastAsia="宋体" w:cs="宋体"/>
                <w:b/>
                <w:bCs/>
                <w:color w:val="000000"/>
                <w:sz w:val="21"/>
                <w:szCs w:val="21"/>
              </w:rPr>
              <w:t>提供专业证书等证明材料复印件及相关人员近</w:t>
            </w:r>
            <w:r>
              <w:rPr>
                <w:rFonts w:hint="eastAsia" w:ascii="宋体" w:hAnsi="宋体" w:cs="宋体"/>
                <w:b/>
                <w:bCs/>
                <w:color w:val="000000"/>
                <w:sz w:val="21"/>
                <w:szCs w:val="21"/>
                <w:lang w:val="en-US" w:eastAsia="zh-CN"/>
              </w:rPr>
              <w:t>三</w:t>
            </w:r>
            <w:r>
              <w:rPr>
                <w:rFonts w:hint="eastAsia" w:ascii="宋体" w:hAnsi="宋体" w:eastAsia="宋体" w:cs="宋体"/>
                <w:b/>
                <w:bCs/>
                <w:color w:val="000000"/>
                <w:sz w:val="21"/>
                <w:szCs w:val="21"/>
              </w:rPr>
              <w:t>个月内任意</w:t>
            </w:r>
            <w:r>
              <w:rPr>
                <w:rFonts w:hint="eastAsia" w:ascii="宋体" w:hAnsi="宋体" w:cs="宋体"/>
                <w:b/>
                <w:bCs/>
                <w:color w:val="000000"/>
                <w:sz w:val="21"/>
                <w:szCs w:val="21"/>
                <w:lang w:val="en-US" w:eastAsia="zh-CN"/>
              </w:rPr>
              <w:t>一</w:t>
            </w:r>
            <w:r>
              <w:rPr>
                <w:rFonts w:hint="eastAsia" w:ascii="宋体" w:hAnsi="宋体" w:eastAsia="宋体" w:cs="宋体"/>
                <w:b/>
                <w:bCs/>
                <w:color w:val="000000"/>
                <w:sz w:val="21"/>
                <w:szCs w:val="21"/>
              </w:rPr>
              <w:t>个月在本单位缴纳的社保证明，未提供不得分。</w:t>
            </w:r>
          </w:p>
        </w:tc>
        <w:tc>
          <w:tcPr>
            <w:tcW w:w="736" w:type="dxa"/>
            <w:vAlign w:val="center"/>
          </w:tcPr>
          <w:p w14:paraId="74F96CD0">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1"/>
                <w:szCs w:val="21"/>
                <w:highlight w:val="none"/>
                <w:vertAlign w:val="baseline"/>
              </w:rPr>
            </w:pPr>
            <w:r>
              <w:rPr>
                <w:rFonts w:hint="eastAsia" w:ascii="宋体" w:hAnsi="宋体" w:cs="宋体"/>
                <w:color w:val="auto"/>
                <w:kern w:val="2"/>
                <w:sz w:val="21"/>
                <w:szCs w:val="21"/>
                <w:highlight w:val="none"/>
                <w:lang w:val="en-US" w:eastAsia="zh-CN" w:bidi="ar-SA"/>
              </w:rPr>
              <w:t>2</w:t>
            </w:r>
          </w:p>
        </w:tc>
      </w:tr>
      <w:tr w14:paraId="79CB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vMerge w:val="restart"/>
            <w:vAlign w:val="center"/>
          </w:tcPr>
          <w:p w14:paraId="18A679C9">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1"/>
                <w:szCs w:val="21"/>
                <w:vertAlign w:val="baseline"/>
              </w:rPr>
            </w:pPr>
            <w:r>
              <w:rPr>
                <w:rFonts w:hint="eastAsia" w:ascii="宋体" w:hAnsi="宋体" w:eastAsia="宋体" w:cs="宋体"/>
                <w:sz w:val="21"/>
                <w:szCs w:val="21"/>
              </w:rPr>
              <w:t>项目方案</w:t>
            </w:r>
          </w:p>
        </w:tc>
        <w:tc>
          <w:tcPr>
            <w:tcW w:w="1121" w:type="dxa"/>
            <w:vAlign w:val="center"/>
          </w:tcPr>
          <w:p w14:paraId="46EC8DED">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1"/>
                <w:szCs w:val="21"/>
                <w:vertAlign w:val="baseline"/>
              </w:rPr>
            </w:pPr>
            <w:r>
              <w:rPr>
                <w:rFonts w:hint="eastAsia" w:ascii="宋体" w:hAnsi="宋体" w:eastAsia="宋体" w:cs="宋体"/>
                <w:kern w:val="0"/>
                <w:sz w:val="21"/>
                <w:szCs w:val="21"/>
              </w:rPr>
              <w:t>主观</w:t>
            </w:r>
          </w:p>
        </w:tc>
        <w:tc>
          <w:tcPr>
            <w:tcW w:w="6696" w:type="dxa"/>
            <w:vAlign w:val="center"/>
          </w:tcPr>
          <w:p w14:paraId="7CBFB1AA">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sz w:val="21"/>
                <w:szCs w:val="21"/>
              </w:rPr>
              <w:t>根据投标人针对本项目</w:t>
            </w:r>
            <w:r>
              <w:rPr>
                <w:rFonts w:hint="eastAsia" w:ascii="宋体" w:hAnsi="宋体" w:eastAsia="宋体" w:cs="宋体"/>
                <w:color w:val="000000"/>
                <w:sz w:val="21"/>
                <w:szCs w:val="21"/>
              </w:rPr>
              <w:t>策划方案的整体理念、创新、创意</w:t>
            </w:r>
            <w:r>
              <w:rPr>
                <w:rFonts w:hint="eastAsia" w:ascii="宋体" w:hAnsi="宋体" w:eastAsia="宋体" w:cs="宋体"/>
                <w:sz w:val="21"/>
                <w:szCs w:val="21"/>
              </w:rPr>
              <w:t>等方面进行综合评分：</w:t>
            </w:r>
          </w:p>
          <w:p w14:paraId="2F79E826">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shd w:val="clear" w:color="auto" w:fill="FFFFFF"/>
              </w:rPr>
              <w:t>投标人提供的</w:t>
            </w:r>
            <w:r>
              <w:rPr>
                <w:rFonts w:hint="eastAsia" w:ascii="宋体" w:hAnsi="宋体" w:eastAsia="宋体" w:cs="宋体"/>
                <w:sz w:val="21"/>
                <w:szCs w:val="21"/>
              </w:rPr>
              <w:t>策划方案的整体理念、创新、创意优于或完全满足于本项目需求得</w:t>
            </w:r>
            <w:r>
              <w:rPr>
                <w:rFonts w:hint="eastAsia" w:ascii="宋体" w:hAnsi="宋体" w:cs="宋体"/>
                <w:sz w:val="21"/>
                <w:szCs w:val="21"/>
                <w:lang w:val="en-US" w:eastAsia="zh-CN"/>
              </w:rPr>
              <w:t>5</w:t>
            </w:r>
            <w:r>
              <w:rPr>
                <w:rFonts w:hint="eastAsia" w:ascii="宋体" w:hAnsi="宋体" w:eastAsia="宋体" w:cs="宋体"/>
                <w:sz w:val="21"/>
                <w:szCs w:val="21"/>
              </w:rPr>
              <w:t>分；</w:t>
            </w:r>
          </w:p>
          <w:p w14:paraId="22BEC039">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shd w:val="clear" w:color="auto" w:fill="FFFFFF"/>
              </w:rPr>
              <w:t>投标人提供的</w:t>
            </w:r>
            <w:r>
              <w:rPr>
                <w:rFonts w:hint="eastAsia" w:ascii="宋体" w:hAnsi="宋体" w:eastAsia="宋体" w:cs="宋体"/>
                <w:sz w:val="21"/>
                <w:szCs w:val="21"/>
              </w:rPr>
              <w:t>策划方案的整体理念、创新、创意基本满足本项目需求得</w:t>
            </w:r>
            <w:r>
              <w:rPr>
                <w:rFonts w:hint="eastAsia" w:ascii="宋体" w:hAnsi="宋体" w:cs="宋体"/>
                <w:sz w:val="21"/>
                <w:szCs w:val="21"/>
                <w:lang w:val="en-US" w:eastAsia="zh-CN"/>
              </w:rPr>
              <w:t>3</w:t>
            </w:r>
            <w:r>
              <w:rPr>
                <w:rFonts w:hint="eastAsia" w:ascii="宋体" w:hAnsi="宋体" w:eastAsia="宋体" w:cs="宋体"/>
                <w:sz w:val="21"/>
                <w:szCs w:val="21"/>
              </w:rPr>
              <w:t>分；</w:t>
            </w:r>
          </w:p>
          <w:p w14:paraId="64D1A0F6">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shd w:val="clear" w:color="auto" w:fill="FFFFFF"/>
              </w:rPr>
              <w:t>投标人提供的</w:t>
            </w:r>
            <w:r>
              <w:rPr>
                <w:rFonts w:hint="eastAsia" w:ascii="宋体" w:hAnsi="宋体" w:eastAsia="宋体" w:cs="宋体"/>
                <w:sz w:val="21"/>
                <w:szCs w:val="21"/>
              </w:rPr>
              <w:t>策划方案的整体理念、创新、创意简单笼统，与本项目需求存在偏差得</w:t>
            </w:r>
            <w:r>
              <w:rPr>
                <w:rFonts w:hint="eastAsia" w:ascii="宋体" w:hAnsi="宋体" w:cs="宋体"/>
                <w:sz w:val="21"/>
                <w:szCs w:val="21"/>
                <w:lang w:val="en-US" w:eastAsia="zh-CN"/>
              </w:rPr>
              <w:t>1</w:t>
            </w:r>
            <w:r>
              <w:rPr>
                <w:rFonts w:hint="eastAsia" w:ascii="宋体" w:hAnsi="宋体" w:eastAsia="宋体" w:cs="宋体"/>
                <w:sz w:val="21"/>
                <w:szCs w:val="21"/>
              </w:rPr>
              <w:t>分；</w:t>
            </w:r>
          </w:p>
          <w:p w14:paraId="5318169F">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textAlignment w:val="auto"/>
              <w:rPr>
                <w:rFonts w:hint="eastAsia" w:ascii="宋体" w:hAnsi="宋体" w:cs="宋体"/>
                <w:b/>
                <w:sz w:val="21"/>
                <w:szCs w:val="21"/>
                <w:vertAlign w:val="baseline"/>
              </w:rPr>
            </w:pPr>
            <w:r>
              <w:rPr>
                <w:rFonts w:hint="eastAsia" w:ascii="宋体" w:hAnsi="宋体" w:eastAsia="宋体" w:cs="宋体"/>
                <w:sz w:val="21"/>
                <w:szCs w:val="21"/>
              </w:rPr>
              <w:t>4、未提供不得分。</w:t>
            </w:r>
          </w:p>
        </w:tc>
        <w:tc>
          <w:tcPr>
            <w:tcW w:w="736" w:type="dxa"/>
            <w:vAlign w:val="center"/>
          </w:tcPr>
          <w:p w14:paraId="686E1DB5">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1"/>
                <w:szCs w:val="21"/>
                <w:highlight w:val="none"/>
                <w:vertAlign w:val="baseline"/>
              </w:rPr>
            </w:pPr>
            <w:r>
              <w:rPr>
                <w:rFonts w:hint="eastAsia" w:ascii="宋体" w:hAnsi="宋体" w:cs="宋体"/>
                <w:color w:val="auto"/>
                <w:kern w:val="2"/>
                <w:sz w:val="21"/>
                <w:szCs w:val="21"/>
                <w:highlight w:val="none"/>
                <w:lang w:val="en-US" w:eastAsia="zh-CN" w:bidi="ar-SA"/>
              </w:rPr>
              <w:t>5</w:t>
            </w:r>
          </w:p>
        </w:tc>
      </w:tr>
      <w:tr w14:paraId="7D72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vMerge w:val="continue"/>
            <w:vAlign w:val="center"/>
          </w:tcPr>
          <w:p w14:paraId="31F8A017">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1"/>
                <w:szCs w:val="21"/>
                <w:vertAlign w:val="baseline"/>
              </w:rPr>
            </w:pPr>
          </w:p>
        </w:tc>
        <w:tc>
          <w:tcPr>
            <w:tcW w:w="1121" w:type="dxa"/>
            <w:vAlign w:val="center"/>
          </w:tcPr>
          <w:p w14:paraId="12DD2356">
            <w:pPr>
              <w:keepNext w:val="0"/>
              <w:keepLines w:val="0"/>
              <w:suppressLineNumbers w:val="0"/>
              <w:tabs>
                <w:tab w:val="left" w:pos="8789"/>
              </w:tabs>
              <w:spacing w:before="0" w:beforeAutospacing="0" w:after="0" w:afterAutospacing="0" w:line="360" w:lineRule="auto"/>
              <w:ind w:left="0" w:leftChars="0" w:right="0" w:rightChars="0"/>
              <w:jc w:val="center"/>
              <w:rPr>
                <w:rFonts w:hint="eastAsia" w:ascii="宋体" w:hAnsi="宋体" w:cs="宋体"/>
                <w:b/>
                <w:sz w:val="21"/>
                <w:szCs w:val="21"/>
                <w:vertAlign w:val="baseline"/>
              </w:rPr>
            </w:pPr>
            <w:r>
              <w:rPr>
                <w:rFonts w:hint="eastAsia" w:ascii="宋体" w:hAnsi="宋体" w:eastAsia="宋体" w:cs="宋体"/>
                <w:sz w:val="21"/>
                <w:szCs w:val="21"/>
              </w:rPr>
              <w:t>主观</w:t>
            </w:r>
          </w:p>
        </w:tc>
        <w:tc>
          <w:tcPr>
            <w:tcW w:w="6696" w:type="dxa"/>
            <w:vAlign w:val="center"/>
          </w:tcPr>
          <w:p w14:paraId="4EF86EE8">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sz w:val="21"/>
                <w:szCs w:val="21"/>
              </w:rPr>
              <w:t>根据投标人</w:t>
            </w:r>
            <w:r>
              <w:rPr>
                <w:rFonts w:hint="eastAsia" w:ascii="宋体" w:hAnsi="宋体" w:eastAsia="宋体" w:cs="宋体"/>
                <w:sz w:val="21"/>
                <w:szCs w:val="21"/>
                <w:lang w:val="en-US" w:eastAsia="zh-CN"/>
              </w:rPr>
              <w:t>提供的</w:t>
            </w:r>
            <w:r>
              <w:rPr>
                <w:rFonts w:hint="eastAsia" w:ascii="宋体" w:hAnsi="宋体" w:cs="宋体"/>
                <w:sz w:val="21"/>
                <w:szCs w:val="21"/>
                <w:lang w:val="en-US" w:eastAsia="zh-CN"/>
              </w:rPr>
              <w:t>展厅</w:t>
            </w:r>
            <w:r>
              <w:rPr>
                <w:rFonts w:hint="eastAsia" w:ascii="宋体" w:hAnsi="宋体" w:eastAsia="宋体" w:cs="宋体"/>
                <w:b w:val="0"/>
                <w:bCs w:val="0"/>
                <w:i w:val="0"/>
                <w:kern w:val="0"/>
                <w:sz w:val="21"/>
                <w:szCs w:val="21"/>
                <w:lang w:val="en-US" w:eastAsia="zh-CN"/>
              </w:rPr>
              <w:t>区域划分</w:t>
            </w:r>
            <w:r>
              <w:rPr>
                <w:rFonts w:hint="eastAsia" w:ascii="宋体" w:hAnsi="宋体" w:eastAsia="宋体" w:cs="宋体"/>
                <w:color w:val="000000"/>
                <w:sz w:val="21"/>
                <w:szCs w:val="21"/>
              </w:rPr>
              <w:t>、</w:t>
            </w:r>
            <w:r>
              <w:rPr>
                <w:rFonts w:hint="eastAsia" w:ascii="宋体" w:hAnsi="宋体" w:eastAsia="宋体" w:cs="宋体"/>
                <w:b w:val="0"/>
                <w:bCs w:val="0"/>
                <w:i w:val="0"/>
                <w:kern w:val="0"/>
                <w:sz w:val="21"/>
                <w:szCs w:val="21"/>
                <w:lang w:val="en-US" w:eastAsia="zh-CN"/>
              </w:rPr>
              <w:t>流线规划</w:t>
            </w:r>
            <w:r>
              <w:rPr>
                <w:rFonts w:hint="eastAsia" w:ascii="宋体" w:hAnsi="宋体" w:eastAsia="宋体" w:cs="宋体"/>
                <w:color w:val="000000"/>
                <w:sz w:val="21"/>
                <w:szCs w:val="21"/>
              </w:rPr>
              <w:t>、</w:t>
            </w:r>
            <w:r>
              <w:rPr>
                <w:rFonts w:hint="eastAsia" w:ascii="宋体" w:hAnsi="宋体" w:eastAsia="宋体" w:cs="宋体"/>
                <w:b w:val="0"/>
                <w:bCs w:val="0"/>
                <w:i w:val="0"/>
                <w:kern w:val="0"/>
                <w:sz w:val="21"/>
                <w:szCs w:val="21"/>
                <w:lang w:val="en-US" w:eastAsia="zh-CN"/>
              </w:rPr>
              <w:t>色彩运用</w:t>
            </w:r>
            <w:r>
              <w:rPr>
                <w:rFonts w:hint="eastAsia" w:ascii="宋体" w:hAnsi="宋体" w:eastAsia="宋体" w:cs="宋体"/>
                <w:color w:val="000000"/>
                <w:sz w:val="21"/>
                <w:szCs w:val="21"/>
              </w:rPr>
              <w:t>等</w:t>
            </w:r>
            <w:r>
              <w:rPr>
                <w:rFonts w:hint="eastAsia" w:ascii="宋体" w:hAnsi="宋体" w:eastAsia="宋体" w:cs="宋体"/>
                <w:sz w:val="21"/>
                <w:szCs w:val="21"/>
              </w:rPr>
              <w:t>方面进行综合评分：</w:t>
            </w:r>
          </w:p>
          <w:p w14:paraId="0F448B53">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sz w:val="21"/>
                <w:szCs w:val="21"/>
              </w:rPr>
              <w:t>1、方案详细完整、措施可行、保障措施全面</w:t>
            </w:r>
            <w:r>
              <w:rPr>
                <w:rFonts w:hint="eastAsia" w:ascii="宋体" w:hAnsi="宋体" w:eastAsia="宋体" w:cs="宋体"/>
                <w:sz w:val="21"/>
                <w:szCs w:val="21"/>
                <w:lang w:eastAsia="zh-CN"/>
              </w:rPr>
              <w:t>，</w:t>
            </w:r>
            <w:r>
              <w:rPr>
                <w:rFonts w:hint="eastAsia" w:ascii="宋体" w:hAnsi="宋体" w:eastAsia="宋体" w:cs="宋体"/>
                <w:sz w:val="21"/>
                <w:szCs w:val="21"/>
              </w:rPr>
              <w:t>有利于项目实施得</w:t>
            </w:r>
            <w:r>
              <w:rPr>
                <w:rFonts w:hint="eastAsia" w:ascii="宋体" w:hAnsi="宋体" w:cs="宋体"/>
                <w:sz w:val="21"/>
                <w:szCs w:val="21"/>
                <w:lang w:val="en-US" w:eastAsia="zh-CN"/>
              </w:rPr>
              <w:t>5</w:t>
            </w:r>
            <w:r>
              <w:rPr>
                <w:rFonts w:hint="eastAsia" w:ascii="宋体" w:hAnsi="宋体" w:eastAsia="宋体" w:cs="宋体"/>
                <w:sz w:val="21"/>
                <w:szCs w:val="21"/>
              </w:rPr>
              <w:t>分；</w:t>
            </w:r>
          </w:p>
          <w:p w14:paraId="2241BB6C">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kern w:val="0"/>
                <w:sz w:val="21"/>
                <w:szCs w:val="21"/>
              </w:rPr>
              <w:t>方案基本符合要求，措施可操作性较好</w:t>
            </w:r>
            <w:r>
              <w:rPr>
                <w:rFonts w:hint="eastAsia" w:ascii="宋体" w:hAnsi="宋体" w:eastAsia="宋体" w:cs="宋体"/>
                <w:sz w:val="21"/>
                <w:szCs w:val="21"/>
              </w:rPr>
              <w:t>，较利于项目实施得</w:t>
            </w:r>
            <w:r>
              <w:rPr>
                <w:rFonts w:hint="eastAsia" w:ascii="宋体" w:hAnsi="宋体" w:cs="宋体"/>
                <w:sz w:val="21"/>
                <w:szCs w:val="21"/>
                <w:lang w:val="en-US" w:eastAsia="zh-CN"/>
              </w:rPr>
              <w:t>3</w:t>
            </w:r>
            <w:r>
              <w:rPr>
                <w:rFonts w:hint="eastAsia" w:ascii="宋体" w:hAnsi="宋体" w:eastAsia="宋体" w:cs="宋体"/>
                <w:sz w:val="21"/>
                <w:szCs w:val="21"/>
              </w:rPr>
              <w:t>分；</w:t>
            </w:r>
          </w:p>
          <w:p w14:paraId="66F54121">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kern w:val="0"/>
                <w:sz w:val="21"/>
                <w:szCs w:val="21"/>
              </w:rPr>
              <w:t>方案合理</w:t>
            </w:r>
            <w:r>
              <w:rPr>
                <w:rFonts w:hint="eastAsia" w:ascii="宋体" w:hAnsi="宋体" w:eastAsia="宋体" w:cs="宋体"/>
                <w:kern w:val="0"/>
                <w:sz w:val="21"/>
                <w:szCs w:val="21"/>
                <w:lang w:val="en-US" w:eastAsia="zh-CN"/>
              </w:rPr>
              <w:t>性一般</w:t>
            </w:r>
            <w:r>
              <w:rPr>
                <w:rFonts w:hint="eastAsia" w:ascii="宋体" w:hAnsi="宋体" w:eastAsia="宋体" w:cs="宋体"/>
                <w:kern w:val="0"/>
                <w:sz w:val="21"/>
                <w:szCs w:val="21"/>
              </w:rPr>
              <w:t>，措施可操作性一般</w:t>
            </w:r>
            <w:r>
              <w:rPr>
                <w:rFonts w:hint="eastAsia" w:ascii="宋体" w:hAnsi="宋体" w:eastAsia="宋体" w:cs="宋体"/>
                <w:sz w:val="21"/>
                <w:szCs w:val="21"/>
              </w:rPr>
              <w:t>，各项内容有所欠缺得</w:t>
            </w:r>
            <w:r>
              <w:rPr>
                <w:rFonts w:hint="eastAsia" w:ascii="宋体" w:hAnsi="宋体" w:cs="宋体"/>
                <w:sz w:val="21"/>
                <w:szCs w:val="21"/>
                <w:lang w:val="en-US" w:eastAsia="zh-CN"/>
              </w:rPr>
              <w:t>1</w:t>
            </w:r>
            <w:r>
              <w:rPr>
                <w:rFonts w:hint="eastAsia" w:ascii="宋体" w:hAnsi="宋体" w:eastAsia="宋体" w:cs="宋体"/>
                <w:sz w:val="21"/>
                <w:szCs w:val="21"/>
              </w:rPr>
              <w:t>分；</w:t>
            </w:r>
          </w:p>
          <w:p w14:paraId="5A36C6FF">
            <w:pPr>
              <w:keepNext w:val="0"/>
              <w:keepLines w:val="0"/>
              <w:suppressLineNumbers w:val="0"/>
              <w:tabs>
                <w:tab w:val="left" w:pos="8789"/>
              </w:tabs>
              <w:spacing w:before="0" w:beforeAutospacing="0" w:after="0" w:afterAutospacing="0" w:line="360" w:lineRule="auto"/>
              <w:ind w:left="0" w:leftChars="0" w:right="0" w:rightChars="0"/>
              <w:rPr>
                <w:rFonts w:hint="eastAsia" w:ascii="宋体" w:hAnsi="宋体" w:cs="宋体"/>
                <w:b/>
                <w:sz w:val="21"/>
                <w:szCs w:val="21"/>
                <w:vertAlign w:val="baseline"/>
              </w:rPr>
            </w:pPr>
            <w:r>
              <w:rPr>
                <w:rFonts w:hint="eastAsia" w:ascii="宋体" w:hAnsi="宋体" w:eastAsia="宋体" w:cs="宋体"/>
                <w:sz w:val="21"/>
                <w:szCs w:val="21"/>
              </w:rPr>
              <w:t>4、未提供不得分。</w:t>
            </w:r>
          </w:p>
        </w:tc>
        <w:tc>
          <w:tcPr>
            <w:tcW w:w="736" w:type="dxa"/>
            <w:vAlign w:val="center"/>
          </w:tcPr>
          <w:p w14:paraId="2DA16ADD">
            <w:pPr>
              <w:keepNext w:val="0"/>
              <w:keepLines w:val="0"/>
              <w:suppressLineNumbers w:val="0"/>
              <w:tabs>
                <w:tab w:val="left" w:pos="8789"/>
              </w:tabs>
              <w:spacing w:before="0" w:beforeAutospacing="0" w:after="0" w:afterAutospacing="0" w:line="360" w:lineRule="auto"/>
              <w:ind w:left="0" w:leftChars="0" w:right="0" w:rightChars="0"/>
              <w:jc w:val="center"/>
              <w:rPr>
                <w:rFonts w:hint="eastAsia" w:ascii="宋体" w:hAnsi="宋体" w:cs="宋体"/>
                <w:b/>
                <w:sz w:val="21"/>
                <w:szCs w:val="21"/>
                <w:highlight w:val="none"/>
                <w:vertAlign w:val="baseline"/>
              </w:rPr>
            </w:pPr>
            <w:r>
              <w:rPr>
                <w:rFonts w:hint="eastAsia" w:ascii="宋体" w:hAnsi="宋体" w:cs="宋体"/>
                <w:color w:val="auto"/>
                <w:kern w:val="2"/>
                <w:sz w:val="21"/>
                <w:szCs w:val="21"/>
                <w:highlight w:val="none"/>
                <w:lang w:val="en-US" w:eastAsia="zh-CN" w:bidi="ar-SA"/>
              </w:rPr>
              <w:t>5</w:t>
            </w:r>
          </w:p>
        </w:tc>
      </w:tr>
      <w:tr w14:paraId="433FA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vMerge w:val="continue"/>
            <w:vAlign w:val="center"/>
          </w:tcPr>
          <w:p w14:paraId="200D62FE">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1"/>
                <w:szCs w:val="21"/>
                <w:vertAlign w:val="baseline"/>
              </w:rPr>
            </w:pPr>
          </w:p>
        </w:tc>
        <w:tc>
          <w:tcPr>
            <w:tcW w:w="1121" w:type="dxa"/>
            <w:vAlign w:val="center"/>
          </w:tcPr>
          <w:p w14:paraId="2BB4BFF1">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1"/>
                <w:szCs w:val="21"/>
                <w:vertAlign w:val="baseline"/>
              </w:rPr>
            </w:pPr>
            <w:r>
              <w:rPr>
                <w:rFonts w:hint="eastAsia" w:ascii="宋体" w:hAnsi="宋体" w:eastAsia="宋体" w:cs="宋体"/>
                <w:color w:val="auto"/>
                <w:sz w:val="21"/>
                <w:szCs w:val="21"/>
                <w:highlight w:val="none"/>
                <w:lang w:val="en-US" w:eastAsia="zh-CN"/>
              </w:rPr>
              <w:t>主观</w:t>
            </w:r>
          </w:p>
        </w:tc>
        <w:tc>
          <w:tcPr>
            <w:tcW w:w="6696" w:type="dxa"/>
            <w:vAlign w:val="center"/>
          </w:tcPr>
          <w:p w14:paraId="405B9C8C">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60" w:lineRule="auto"/>
              <w:ind w:left="0" w:right="0"/>
              <w:textAlignment w:val="auto"/>
              <w:rPr>
                <w:rFonts w:hint="eastAsia" w:ascii="宋体" w:hAnsi="宋体" w:eastAsia="宋体" w:cs="宋体"/>
                <w:color w:val="000000"/>
                <w:sz w:val="21"/>
                <w:szCs w:val="21"/>
                <w:lang w:val="zh-CN"/>
              </w:rPr>
            </w:pPr>
            <w:r>
              <w:rPr>
                <w:rFonts w:hint="eastAsia" w:ascii="宋体" w:hAnsi="宋体" w:eastAsia="宋体" w:cs="宋体"/>
                <w:color w:val="auto"/>
                <w:kern w:val="0"/>
                <w:sz w:val="21"/>
                <w:szCs w:val="21"/>
                <w:highlight w:val="none"/>
                <w:lang w:val="en-US" w:eastAsia="zh-CN"/>
              </w:rPr>
              <w:t>根据投标人提供的</w:t>
            </w:r>
            <w:r>
              <w:rPr>
                <w:rFonts w:hint="eastAsia" w:ascii="宋体" w:hAnsi="宋体" w:cs="宋体"/>
                <w:sz w:val="21"/>
                <w:szCs w:val="21"/>
                <w:lang w:val="en-US" w:eastAsia="zh-CN"/>
              </w:rPr>
              <w:t>展厅</w:t>
            </w:r>
            <w:r>
              <w:rPr>
                <w:rFonts w:hint="eastAsia" w:ascii="宋体" w:hAnsi="宋体" w:eastAsia="宋体" w:cs="宋体"/>
                <w:color w:val="auto"/>
                <w:kern w:val="0"/>
                <w:sz w:val="21"/>
                <w:szCs w:val="21"/>
                <w:highlight w:val="none"/>
                <w:lang w:val="en-US" w:eastAsia="zh-CN"/>
              </w:rPr>
              <w:t>智能系统</w:t>
            </w:r>
            <w:r>
              <w:rPr>
                <w:rFonts w:hint="eastAsia" w:ascii="宋体" w:hAnsi="宋体" w:eastAsia="宋体" w:cs="宋体"/>
                <w:color w:val="000000"/>
                <w:sz w:val="21"/>
                <w:szCs w:val="21"/>
              </w:rPr>
              <w:t>的策划、创意等综合展示效果进行综合评分</w:t>
            </w:r>
            <w:r>
              <w:rPr>
                <w:rFonts w:hint="eastAsia" w:ascii="宋体" w:hAnsi="宋体" w:eastAsia="宋体" w:cs="宋体"/>
                <w:color w:val="000000"/>
                <w:sz w:val="21"/>
                <w:szCs w:val="21"/>
                <w:lang w:val="zh-CN"/>
              </w:rPr>
              <w:t>：</w:t>
            </w:r>
          </w:p>
          <w:p w14:paraId="502992B7">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auto"/>
                <w:kern w:val="0"/>
                <w:sz w:val="21"/>
                <w:szCs w:val="21"/>
                <w:highlight w:val="none"/>
                <w:lang w:val="en-US" w:eastAsia="zh-CN"/>
              </w:rPr>
              <w:t>智能系统</w:t>
            </w:r>
            <w:r>
              <w:rPr>
                <w:rFonts w:hint="eastAsia" w:ascii="宋体" w:hAnsi="宋体" w:eastAsia="宋体" w:cs="宋体"/>
                <w:color w:val="000000"/>
                <w:sz w:val="21"/>
                <w:szCs w:val="21"/>
              </w:rPr>
              <w:t>的策划、创意等综合展示效果针对性强得</w:t>
            </w:r>
            <w:r>
              <w:rPr>
                <w:rFonts w:hint="eastAsia" w:ascii="宋体" w:hAnsi="宋体" w:cs="宋体"/>
                <w:color w:val="000000"/>
                <w:sz w:val="21"/>
                <w:szCs w:val="21"/>
                <w:lang w:val="en-US" w:eastAsia="zh-CN"/>
              </w:rPr>
              <w:t>5</w:t>
            </w:r>
            <w:r>
              <w:rPr>
                <w:rFonts w:hint="eastAsia" w:ascii="宋体" w:hAnsi="宋体" w:eastAsia="宋体" w:cs="宋体"/>
                <w:color w:val="000000"/>
                <w:sz w:val="21"/>
                <w:szCs w:val="21"/>
              </w:rPr>
              <w:t>分；</w:t>
            </w:r>
          </w:p>
          <w:p w14:paraId="7BB66A20">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2、</w:t>
            </w:r>
            <w:r>
              <w:rPr>
                <w:rFonts w:hint="eastAsia" w:ascii="宋体" w:hAnsi="宋体" w:eastAsia="宋体" w:cs="宋体"/>
                <w:color w:val="auto"/>
                <w:kern w:val="0"/>
                <w:sz w:val="21"/>
                <w:szCs w:val="21"/>
                <w:highlight w:val="none"/>
                <w:lang w:val="en-US" w:eastAsia="zh-CN"/>
              </w:rPr>
              <w:t>智能系统</w:t>
            </w:r>
            <w:r>
              <w:rPr>
                <w:rFonts w:hint="eastAsia" w:ascii="宋体" w:hAnsi="宋体" w:eastAsia="宋体" w:cs="宋体"/>
                <w:color w:val="000000"/>
                <w:sz w:val="21"/>
                <w:szCs w:val="21"/>
              </w:rPr>
              <w:t>的策划、创意等综合展示效果针对性</w:t>
            </w:r>
            <w:r>
              <w:rPr>
                <w:rFonts w:hint="eastAsia" w:ascii="宋体" w:hAnsi="宋体" w:eastAsia="宋体" w:cs="宋体"/>
                <w:color w:val="000000"/>
                <w:sz w:val="21"/>
                <w:szCs w:val="21"/>
                <w:lang w:val="en-US" w:eastAsia="zh-CN"/>
              </w:rPr>
              <w:t>一般</w:t>
            </w:r>
            <w:r>
              <w:rPr>
                <w:rFonts w:hint="eastAsia" w:ascii="宋体" w:hAnsi="宋体" w:eastAsia="宋体" w:cs="宋体"/>
                <w:color w:val="000000"/>
                <w:sz w:val="21"/>
                <w:szCs w:val="21"/>
              </w:rPr>
              <w:t>得</w:t>
            </w:r>
            <w:r>
              <w:rPr>
                <w:rFonts w:hint="eastAsia" w:ascii="宋体" w:hAnsi="宋体" w:cs="宋体"/>
                <w:color w:val="000000"/>
                <w:sz w:val="21"/>
                <w:szCs w:val="21"/>
                <w:lang w:val="en-US" w:eastAsia="zh-CN"/>
              </w:rPr>
              <w:t>3</w:t>
            </w:r>
            <w:r>
              <w:rPr>
                <w:rFonts w:hint="eastAsia" w:ascii="宋体" w:hAnsi="宋体" w:eastAsia="宋体" w:cs="宋体"/>
                <w:color w:val="000000"/>
                <w:sz w:val="21"/>
                <w:szCs w:val="21"/>
              </w:rPr>
              <w:t>分；</w:t>
            </w:r>
          </w:p>
          <w:p w14:paraId="6DD2F669">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w:t>
            </w:r>
            <w:r>
              <w:rPr>
                <w:rFonts w:hint="eastAsia" w:ascii="宋体" w:hAnsi="宋体" w:eastAsia="宋体" w:cs="宋体"/>
                <w:color w:val="auto"/>
                <w:kern w:val="0"/>
                <w:sz w:val="21"/>
                <w:szCs w:val="21"/>
                <w:highlight w:val="none"/>
                <w:lang w:val="en-US" w:eastAsia="zh-CN"/>
              </w:rPr>
              <w:t>智能系统</w:t>
            </w:r>
            <w:r>
              <w:rPr>
                <w:rFonts w:hint="eastAsia" w:ascii="宋体" w:hAnsi="宋体" w:eastAsia="宋体" w:cs="宋体"/>
                <w:color w:val="000000"/>
                <w:sz w:val="21"/>
                <w:szCs w:val="21"/>
              </w:rPr>
              <w:t>的策划、创意等综合展示效果针对性</w:t>
            </w:r>
            <w:r>
              <w:rPr>
                <w:rFonts w:hint="eastAsia" w:ascii="宋体" w:hAnsi="宋体" w:eastAsia="宋体" w:cs="宋体"/>
                <w:color w:val="000000"/>
                <w:sz w:val="21"/>
                <w:szCs w:val="21"/>
                <w:lang w:val="en-US" w:eastAsia="zh-CN"/>
              </w:rPr>
              <w:t>较弱</w:t>
            </w:r>
            <w:r>
              <w:rPr>
                <w:rFonts w:hint="eastAsia" w:ascii="宋体" w:hAnsi="宋体" w:eastAsia="宋体" w:cs="宋体"/>
                <w:color w:val="000000"/>
                <w:sz w:val="21"/>
                <w:szCs w:val="21"/>
              </w:rPr>
              <w:t>得</w:t>
            </w:r>
            <w:r>
              <w:rPr>
                <w:rFonts w:hint="eastAsia" w:ascii="宋体" w:hAnsi="宋体" w:cs="宋体"/>
                <w:color w:val="000000"/>
                <w:sz w:val="21"/>
                <w:szCs w:val="21"/>
                <w:lang w:val="en-US" w:eastAsia="zh-CN"/>
              </w:rPr>
              <w:t>1</w:t>
            </w:r>
            <w:r>
              <w:rPr>
                <w:rFonts w:hint="eastAsia" w:ascii="宋体" w:hAnsi="宋体" w:eastAsia="宋体" w:cs="宋体"/>
                <w:color w:val="000000"/>
                <w:sz w:val="21"/>
                <w:szCs w:val="21"/>
              </w:rPr>
              <w:t>分；</w:t>
            </w:r>
          </w:p>
          <w:p w14:paraId="18E37BC3">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rightChars="0"/>
              <w:textAlignment w:val="auto"/>
              <w:rPr>
                <w:rFonts w:hint="eastAsia" w:ascii="宋体" w:hAnsi="宋体" w:cs="宋体"/>
                <w:b/>
                <w:sz w:val="21"/>
                <w:szCs w:val="21"/>
                <w:vertAlign w:val="baseline"/>
              </w:rPr>
            </w:pP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、未提供不得分。</w:t>
            </w:r>
          </w:p>
        </w:tc>
        <w:tc>
          <w:tcPr>
            <w:tcW w:w="736" w:type="dxa"/>
            <w:vAlign w:val="center"/>
          </w:tcPr>
          <w:p w14:paraId="02C6A170">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1"/>
                <w:szCs w:val="21"/>
                <w:highlight w:val="none"/>
                <w:vertAlign w:val="baseline"/>
              </w:rPr>
            </w:pPr>
            <w:r>
              <w:rPr>
                <w:rFonts w:hint="eastAsia" w:ascii="宋体" w:hAnsi="宋体" w:cs="宋体"/>
                <w:color w:val="auto"/>
                <w:kern w:val="2"/>
                <w:sz w:val="21"/>
                <w:szCs w:val="21"/>
                <w:highlight w:val="none"/>
                <w:lang w:val="en-US" w:eastAsia="zh-CN" w:bidi="ar-SA"/>
              </w:rPr>
              <w:t>5</w:t>
            </w:r>
          </w:p>
        </w:tc>
      </w:tr>
      <w:tr w14:paraId="05A12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vMerge w:val="continue"/>
            <w:vAlign w:val="center"/>
          </w:tcPr>
          <w:p w14:paraId="0D034FF7">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1"/>
                <w:szCs w:val="21"/>
                <w:vertAlign w:val="baseline"/>
              </w:rPr>
            </w:pPr>
          </w:p>
        </w:tc>
        <w:tc>
          <w:tcPr>
            <w:tcW w:w="1121" w:type="dxa"/>
            <w:vAlign w:val="center"/>
          </w:tcPr>
          <w:p w14:paraId="19B49470">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1"/>
                <w:szCs w:val="21"/>
                <w:vertAlign w:val="baseline"/>
              </w:rPr>
            </w:pPr>
            <w:r>
              <w:rPr>
                <w:rFonts w:hint="eastAsia" w:ascii="宋体" w:hAnsi="宋体" w:eastAsia="宋体" w:cs="宋体"/>
                <w:color w:val="auto"/>
                <w:sz w:val="21"/>
                <w:szCs w:val="21"/>
                <w:highlight w:val="none"/>
                <w:lang w:val="en-US" w:eastAsia="zh-CN"/>
              </w:rPr>
              <w:t>主观</w:t>
            </w:r>
          </w:p>
        </w:tc>
        <w:tc>
          <w:tcPr>
            <w:tcW w:w="6696" w:type="dxa"/>
            <w:vAlign w:val="center"/>
          </w:tcPr>
          <w:p w14:paraId="476D17B8">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60" w:lineRule="auto"/>
              <w:ind w:left="0" w:right="0"/>
              <w:textAlignment w:val="auto"/>
              <w:rPr>
                <w:rFonts w:hint="eastAsia" w:ascii="宋体" w:hAnsi="宋体" w:eastAsia="宋体" w:cs="宋体"/>
                <w:color w:val="000000"/>
                <w:sz w:val="21"/>
                <w:szCs w:val="21"/>
                <w:lang w:val="zh-CN"/>
              </w:rPr>
            </w:pPr>
            <w:r>
              <w:rPr>
                <w:rFonts w:hint="eastAsia" w:ascii="宋体" w:hAnsi="宋体" w:eastAsia="宋体" w:cs="宋体"/>
                <w:color w:val="auto"/>
                <w:kern w:val="0"/>
                <w:sz w:val="21"/>
                <w:szCs w:val="21"/>
                <w:highlight w:val="none"/>
                <w:lang w:val="en-US" w:eastAsia="zh-CN"/>
              </w:rPr>
              <w:t>根据投标人提供的</w:t>
            </w:r>
            <w:r>
              <w:rPr>
                <w:rFonts w:hint="eastAsia" w:ascii="宋体" w:hAnsi="宋体" w:cs="宋体"/>
                <w:sz w:val="21"/>
                <w:szCs w:val="21"/>
                <w:lang w:val="en-US" w:eastAsia="zh-CN"/>
              </w:rPr>
              <w:t>展厅</w:t>
            </w:r>
            <w:r>
              <w:rPr>
                <w:rFonts w:hint="eastAsia" w:ascii="宋体" w:hAnsi="宋体" w:eastAsia="宋体" w:cs="宋体"/>
                <w:color w:val="auto"/>
                <w:kern w:val="0"/>
                <w:sz w:val="21"/>
                <w:szCs w:val="21"/>
                <w:highlight w:val="none"/>
                <w:lang w:val="en-US" w:eastAsia="zh-CN"/>
              </w:rPr>
              <w:t>创意空间</w:t>
            </w:r>
            <w:r>
              <w:rPr>
                <w:rFonts w:hint="eastAsia" w:ascii="宋体" w:hAnsi="宋体" w:eastAsia="宋体" w:cs="宋体"/>
                <w:color w:val="000000"/>
                <w:sz w:val="21"/>
                <w:szCs w:val="21"/>
              </w:rPr>
              <w:t>的</w:t>
            </w:r>
            <w:r>
              <w:rPr>
                <w:rFonts w:hint="eastAsia" w:ascii="宋体" w:hAnsi="宋体" w:eastAsia="宋体" w:cs="宋体"/>
                <w:sz w:val="21"/>
                <w:szCs w:val="21"/>
                <w:shd w:val="clear" w:color="auto" w:fill="FFFFFF"/>
              </w:rPr>
              <w:t>创意度</w:t>
            </w:r>
            <w:r>
              <w:rPr>
                <w:rFonts w:hint="eastAsia" w:ascii="宋体" w:hAnsi="宋体" w:eastAsia="宋体" w:cs="宋体"/>
                <w:color w:val="000000"/>
                <w:sz w:val="21"/>
                <w:szCs w:val="21"/>
              </w:rPr>
              <w:t>、</w:t>
            </w:r>
            <w:r>
              <w:rPr>
                <w:rFonts w:hint="eastAsia" w:ascii="宋体" w:hAnsi="宋体" w:eastAsia="宋体" w:cs="宋体"/>
                <w:sz w:val="21"/>
                <w:szCs w:val="21"/>
                <w:shd w:val="clear" w:color="auto" w:fill="FFFFFF"/>
              </w:rPr>
              <w:t>互动性</w:t>
            </w:r>
            <w:r>
              <w:rPr>
                <w:rFonts w:hint="eastAsia" w:ascii="宋体" w:hAnsi="宋体" w:eastAsia="宋体" w:cs="宋体"/>
                <w:color w:val="000000"/>
                <w:sz w:val="21"/>
                <w:szCs w:val="21"/>
              </w:rPr>
              <w:t>等综合展示效果进行综合评分</w:t>
            </w:r>
            <w:r>
              <w:rPr>
                <w:rFonts w:hint="eastAsia" w:ascii="宋体" w:hAnsi="宋体" w:eastAsia="宋体" w:cs="宋体"/>
                <w:color w:val="000000"/>
                <w:sz w:val="21"/>
                <w:szCs w:val="21"/>
                <w:lang w:val="zh-CN"/>
              </w:rPr>
              <w:t>：</w:t>
            </w:r>
          </w:p>
          <w:p w14:paraId="62566594">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auto"/>
                <w:kern w:val="0"/>
                <w:sz w:val="21"/>
                <w:szCs w:val="21"/>
                <w:highlight w:val="none"/>
                <w:lang w:val="en-US" w:eastAsia="zh-CN"/>
              </w:rPr>
              <w:t>创意空间</w:t>
            </w:r>
            <w:r>
              <w:rPr>
                <w:rFonts w:hint="eastAsia" w:ascii="宋体" w:hAnsi="宋体" w:eastAsia="宋体" w:cs="宋体"/>
                <w:color w:val="000000"/>
                <w:sz w:val="21"/>
                <w:szCs w:val="21"/>
              </w:rPr>
              <w:t>的</w:t>
            </w:r>
            <w:r>
              <w:rPr>
                <w:rFonts w:hint="eastAsia" w:ascii="宋体" w:hAnsi="宋体" w:eastAsia="宋体" w:cs="宋体"/>
                <w:sz w:val="21"/>
                <w:szCs w:val="21"/>
                <w:shd w:val="clear" w:color="auto" w:fill="FFFFFF"/>
              </w:rPr>
              <w:t>创意度</w:t>
            </w:r>
            <w:r>
              <w:rPr>
                <w:rFonts w:hint="eastAsia" w:ascii="宋体" w:hAnsi="宋体" w:eastAsia="宋体" w:cs="宋体"/>
                <w:color w:val="000000"/>
                <w:sz w:val="21"/>
                <w:szCs w:val="21"/>
              </w:rPr>
              <w:t>、</w:t>
            </w:r>
            <w:r>
              <w:rPr>
                <w:rFonts w:hint="eastAsia" w:ascii="宋体" w:hAnsi="宋体" w:eastAsia="宋体" w:cs="宋体"/>
                <w:sz w:val="21"/>
                <w:szCs w:val="21"/>
                <w:shd w:val="clear" w:color="auto" w:fill="FFFFFF"/>
              </w:rPr>
              <w:t>互动性</w:t>
            </w:r>
            <w:r>
              <w:rPr>
                <w:rFonts w:hint="eastAsia" w:ascii="宋体" w:hAnsi="宋体" w:eastAsia="宋体" w:cs="宋体"/>
                <w:color w:val="000000"/>
                <w:sz w:val="21"/>
                <w:szCs w:val="21"/>
              </w:rPr>
              <w:t>等综合展示效果针对性强得</w:t>
            </w:r>
            <w:r>
              <w:rPr>
                <w:rFonts w:hint="eastAsia" w:ascii="宋体" w:hAnsi="宋体" w:cs="宋体"/>
                <w:color w:val="000000"/>
                <w:sz w:val="21"/>
                <w:szCs w:val="21"/>
                <w:lang w:val="en-US" w:eastAsia="zh-CN"/>
              </w:rPr>
              <w:t>5</w:t>
            </w:r>
            <w:r>
              <w:rPr>
                <w:rFonts w:hint="eastAsia" w:ascii="宋体" w:hAnsi="宋体" w:eastAsia="宋体" w:cs="宋体"/>
                <w:color w:val="000000"/>
                <w:sz w:val="21"/>
                <w:szCs w:val="21"/>
              </w:rPr>
              <w:t>分；</w:t>
            </w:r>
          </w:p>
          <w:p w14:paraId="205DB74A">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2、</w:t>
            </w:r>
            <w:r>
              <w:rPr>
                <w:rFonts w:hint="eastAsia" w:ascii="宋体" w:hAnsi="宋体" w:eastAsia="宋体" w:cs="宋体"/>
                <w:color w:val="auto"/>
                <w:kern w:val="0"/>
                <w:sz w:val="21"/>
                <w:szCs w:val="21"/>
                <w:highlight w:val="none"/>
                <w:lang w:val="en-US" w:eastAsia="zh-CN"/>
              </w:rPr>
              <w:t>创意空间</w:t>
            </w:r>
            <w:r>
              <w:rPr>
                <w:rFonts w:hint="eastAsia" w:ascii="宋体" w:hAnsi="宋体" w:eastAsia="宋体" w:cs="宋体"/>
                <w:color w:val="000000"/>
                <w:sz w:val="21"/>
                <w:szCs w:val="21"/>
              </w:rPr>
              <w:t>的</w:t>
            </w:r>
            <w:r>
              <w:rPr>
                <w:rFonts w:hint="eastAsia" w:ascii="宋体" w:hAnsi="宋体" w:eastAsia="宋体" w:cs="宋体"/>
                <w:sz w:val="21"/>
                <w:szCs w:val="21"/>
                <w:shd w:val="clear" w:color="auto" w:fill="FFFFFF"/>
              </w:rPr>
              <w:t>创意度</w:t>
            </w:r>
            <w:r>
              <w:rPr>
                <w:rFonts w:hint="eastAsia" w:ascii="宋体" w:hAnsi="宋体" w:eastAsia="宋体" w:cs="宋体"/>
                <w:color w:val="000000"/>
                <w:sz w:val="21"/>
                <w:szCs w:val="21"/>
              </w:rPr>
              <w:t>、</w:t>
            </w:r>
            <w:r>
              <w:rPr>
                <w:rFonts w:hint="eastAsia" w:ascii="宋体" w:hAnsi="宋体" w:eastAsia="宋体" w:cs="宋体"/>
                <w:sz w:val="21"/>
                <w:szCs w:val="21"/>
                <w:shd w:val="clear" w:color="auto" w:fill="FFFFFF"/>
              </w:rPr>
              <w:t>互动性</w:t>
            </w:r>
            <w:r>
              <w:rPr>
                <w:rFonts w:hint="eastAsia" w:ascii="宋体" w:hAnsi="宋体" w:eastAsia="宋体" w:cs="宋体"/>
                <w:color w:val="000000"/>
                <w:sz w:val="21"/>
                <w:szCs w:val="21"/>
              </w:rPr>
              <w:t>等综合展示效果针对性</w:t>
            </w:r>
            <w:r>
              <w:rPr>
                <w:rFonts w:hint="eastAsia" w:ascii="宋体" w:hAnsi="宋体" w:eastAsia="宋体" w:cs="宋体"/>
                <w:color w:val="000000"/>
                <w:sz w:val="21"/>
                <w:szCs w:val="21"/>
                <w:lang w:val="en-US" w:eastAsia="zh-CN"/>
              </w:rPr>
              <w:t>一般</w:t>
            </w:r>
            <w:r>
              <w:rPr>
                <w:rFonts w:hint="eastAsia" w:ascii="宋体" w:hAnsi="宋体" w:eastAsia="宋体" w:cs="宋体"/>
                <w:color w:val="000000"/>
                <w:sz w:val="21"/>
                <w:szCs w:val="21"/>
              </w:rPr>
              <w:t>得</w:t>
            </w:r>
            <w:r>
              <w:rPr>
                <w:rFonts w:hint="eastAsia" w:ascii="宋体" w:hAnsi="宋体" w:cs="宋体"/>
                <w:color w:val="000000"/>
                <w:sz w:val="21"/>
                <w:szCs w:val="21"/>
                <w:lang w:val="en-US" w:eastAsia="zh-CN"/>
              </w:rPr>
              <w:t>3</w:t>
            </w:r>
            <w:r>
              <w:rPr>
                <w:rFonts w:hint="eastAsia" w:ascii="宋体" w:hAnsi="宋体" w:eastAsia="宋体" w:cs="宋体"/>
                <w:color w:val="000000"/>
                <w:sz w:val="21"/>
                <w:szCs w:val="21"/>
              </w:rPr>
              <w:t>分；</w:t>
            </w:r>
          </w:p>
          <w:p w14:paraId="29F5E18C">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w:t>
            </w:r>
            <w:r>
              <w:rPr>
                <w:rFonts w:hint="eastAsia" w:ascii="宋体" w:hAnsi="宋体" w:eastAsia="宋体" w:cs="宋体"/>
                <w:color w:val="auto"/>
                <w:kern w:val="0"/>
                <w:sz w:val="21"/>
                <w:szCs w:val="21"/>
                <w:highlight w:val="none"/>
                <w:lang w:val="en-US" w:eastAsia="zh-CN"/>
              </w:rPr>
              <w:t>创意空间</w:t>
            </w:r>
            <w:r>
              <w:rPr>
                <w:rFonts w:hint="eastAsia" w:ascii="宋体" w:hAnsi="宋体" w:eastAsia="宋体" w:cs="宋体"/>
                <w:color w:val="000000"/>
                <w:sz w:val="21"/>
                <w:szCs w:val="21"/>
              </w:rPr>
              <w:t>的</w:t>
            </w:r>
            <w:r>
              <w:rPr>
                <w:rFonts w:hint="eastAsia" w:ascii="宋体" w:hAnsi="宋体" w:eastAsia="宋体" w:cs="宋体"/>
                <w:sz w:val="21"/>
                <w:szCs w:val="21"/>
                <w:shd w:val="clear" w:color="auto" w:fill="FFFFFF"/>
              </w:rPr>
              <w:t>创意度</w:t>
            </w:r>
            <w:r>
              <w:rPr>
                <w:rFonts w:hint="eastAsia" w:ascii="宋体" w:hAnsi="宋体" w:eastAsia="宋体" w:cs="宋体"/>
                <w:color w:val="000000"/>
                <w:sz w:val="21"/>
                <w:szCs w:val="21"/>
              </w:rPr>
              <w:t>、</w:t>
            </w:r>
            <w:r>
              <w:rPr>
                <w:rFonts w:hint="eastAsia" w:ascii="宋体" w:hAnsi="宋体" w:eastAsia="宋体" w:cs="宋体"/>
                <w:sz w:val="21"/>
                <w:szCs w:val="21"/>
                <w:shd w:val="clear" w:color="auto" w:fill="FFFFFF"/>
              </w:rPr>
              <w:t>互动性</w:t>
            </w:r>
            <w:r>
              <w:rPr>
                <w:rFonts w:hint="eastAsia" w:ascii="宋体" w:hAnsi="宋体" w:eastAsia="宋体" w:cs="宋体"/>
                <w:color w:val="000000"/>
                <w:sz w:val="21"/>
                <w:szCs w:val="21"/>
              </w:rPr>
              <w:t>等综合展示效果针对性</w:t>
            </w:r>
            <w:r>
              <w:rPr>
                <w:rFonts w:hint="eastAsia" w:ascii="宋体" w:hAnsi="宋体" w:eastAsia="宋体" w:cs="宋体"/>
                <w:color w:val="000000"/>
                <w:sz w:val="21"/>
                <w:szCs w:val="21"/>
                <w:lang w:val="en-US" w:eastAsia="zh-CN"/>
              </w:rPr>
              <w:t>较弱</w:t>
            </w:r>
            <w:r>
              <w:rPr>
                <w:rFonts w:hint="eastAsia" w:ascii="宋体" w:hAnsi="宋体" w:eastAsia="宋体" w:cs="宋体"/>
                <w:color w:val="000000"/>
                <w:sz w:val="21"/>
                <w:szCs w:val="21"/>
              </w:rPr>
              <w:t>得</w:t>
            </w:r>
            <w:r>
              <w:rPr>
                <w:rFonts w:hint="eastAsia" w:ascii="宋体" w:hAnsi="宋体" w:cs="宋体"/>
                <w:color w:val="000000"/>
                <w:sz w:val="21"/>
                <w:szCs w:val="21"/>
                <w:lang w:val="en-US" w:eastAsia="zh-CN"/>
              </w:rPr>
              <w:t>1</w:t>
            </w:r>
            <w:r>
              <w:rPr>
                <w:rFonts w:hint="eastAsia" w:ascii="宋体" w:hAnsi="宋体" w:eastAsia="宋体" w:cs="宋体"/>
                <w:color w:val="000000"/>
                <w:sz w:val="21"/>
                <w:szCs w:val="21"/>
              </w:rPr>
              <w:t>分；</w:t>
            </w:r>
          </w:p>
          <w:p w14:paraId="4542B747">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leftChars="0" w:right="0" w:rightChars="0"/>
              <w:textAlignment w:val="auto"/>
              <w:rPr>
                <w:rFonts w:hint="eastAsia" w:ascii="宋体" w:hAnsi="宋体" w:cs="宋体"/>
                <w:b/>
                <w:sz w:val="21"/>
                <w:szCs w:val="21"/>
                <w:vertAlign w:val="baseline"/>
              </w:rPr>
            </w:pP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、未提供不得分。</w:t>
            </w:r>
          </w:p>
        </w:tc>
        <w:tc>
          <w:tcPr>
            <w:tcW w:w="736" w:type="dxa"/>
            <w:vAlign w:val="center"/>
          </w:tcPr>
          <w:p w14:paraId="14044929">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1"/>
                <w:szCs w:val="21"/>
                <w:highlight w:val="none"/>
                <w:vertAlign w:val="baseline"/>
              </w:rPr>
            </w:pPr>
            <w:r>
              <w:rPr>
                <w:rFonts w:hint="eastAsia" w:ascii="宋体" w:hAnsi="宋体" w:cs="宋体"/>
                <w:color w:val="auto"/>
                <w:kern w:val="0"/>
                <w:sz w:val="21"/>
                <w:szCs w:val="21"/>
                <w:highlight w:val="none"/>
                <w:lang w:val="en-US" w:eastAsia="zh-CN" w:bidi="ar-SA"/>
              </w:rPr>
              <w:t>5</w:t>
            </w:r>
          </w:p>
        </w:tc>
      </w:tr>
      <w:tr w14:paraId="0D1D1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vAlign w:val="center"/>
          </w:tcPr>
          <w:p w14:paraId="22B88977">
            <w:pPr>
              <w:snapToGrid w:val="0"/>
              <w:spacing w:line="360" w:lineRule="auto"/>
              <w:jc w:val="center"/>
              <w:rPr>
                <w:rFonts w:hint="eastAsia" w:ascii="宋体" w:hAnsi="宋体" w:cs="宋体"/>
                <w:b/>
                <w:sz w:val="21"/>
                <w:szCs w:val="21"/>
                <w:vertAlign w:val="baseline"/>
              </w:rPr>
            </w:pPr>
            <w:r>
              <w:rPr>
                <w:rFonts w:hint="eastAsia" w:ascii="宋体" w:hAnsi="宋体" w:eastAsia="宋体" w:cs="宋体"/>
                <w:kern w:val="0"/>
                <w:sz w:val="21"/>
                <w:szCs w:val="21"/>
                <w:lang w:val="zh-CN"/>
              </w:rPr>
              <w:t>实施方案</w:t>
            </w:r>
          </w:p>
        </w:tc>
        <w:tc>
          <w:tcPr>
            <w:tcW w:w="1121" w:type="dxa"/>
            <w:vAlign w:val="center"/>
          </w:tcPr>
          <w:p w14:paraId="326F678C">
            <w:pPr>
              <w:snapToGrid w:val="0"/>
              <w:spacing w:line="360" w:lineRule="auto"/>
              <w:jc w:val="center"/>
              <w:rPr>
                <w:rFonts w:hint="eastAsia" w:ascii="宋体" w:hAnsi="宋体" w:cs="宋体"/>
                <w:b/>
                <w:sz w:val="21"/>
                <w:szCs w:val="21"/>
                <w:vertAlign w:val="baseline"/>
              </w:rPr>
            </w:pPr>
            <w:r>
              <w:rPr>
                <w:rFonts w:hint="eastAsia" w:ascii="宋体" w:hAnsi="宋体" w:eastAsia="宋体" w:cs="宋体"/>
                <w:kern w:val="0"/>
                <w:sz w:val="21"/>
                <w:szCs w:val="21"/>
              </w:rPr>
              <w:t>主观</w:t>
            </w:r>
          </w:p>
        </w:tc>
        <w:tc>
          <w:tcPr>
            <w:tcW w:w="6696" w:type="dxa"/>
            <w:vAlign w:val="center"/>
          </w:tcPr>
          <w:p w14:paraId="2281C8F8">
            <w:pPr>
              <w:spacing w:line="360" w:lineRule="auto"/>
              <w:rPr>
                <w:rFonts w:hint="eastAsia" w:ascii="宋体" w:hAnsi="宋体" w:eastAsia="宋体" w:cs="宋体"/>
                <w:kern w:val="0"/>
                <w:sz w:val="21"/>
                <w:szCs w:val="21"/>
              </w:rPr>
            </w:pPr>
            <w:r>
              <w:rPr>
                <w:rFonts w:hint="eastAsia" w:ascii="宋体" w:hAnsi="宋体" w:eastAsia="宋体" w:cs="宋体"/>
                <w:kern w:val="0"/>
                <w:sz w:val="21"/>
                <w:szCs w:val="21"/>
              </w:rPr>
              <w:t>根据投标人提供的【①</w:t>
            </w:r>
            <w:r>
              <w:rPr>
                <w:rFonts w:hint="eastAsia" w:ascii="宋体" w:hAnsi="宋体" w:eastAsia="宋体" w:cs="宋体"/>
                <w:sz w:val="21"/>
                <w:szCs w:val="21"/>
                <w:lang w:val="en-US" w:eastAsia="zh-CN"/>
              </w:rPr>
              <w:t>项目安装调试</w:t>
            </w:r>
            <w:r>
              <w:rPr>
                <w:rFonts w:hint="eastAsia" w:ascii="宋体" w:hAnsi="宋体" w:eastAsia="宋体" w:cs="宋体"/>
                <w:sz w:val="21"/>
                <w:szCs w:val="21"/>
              </w:rPr>
              <w:t>方案</w:t>
            </w:r>
            <w:r>
              <w:rPr>
                <w:rFonts w:hint="eastAsia" w:ascii="宋体" w:hAnsi="宋体" w:eastAsia="宋体" w:cs="宋体"/>
                <w:kern w:val="0"/>
                <w:sz w:val="21"/>
                <w:szCs w:val="21"/>
              </w:rPr>
              <w:t>及</w:t>
            </w:r>
            <w:r>
              <w:rPr>
                <w:rFonts w:hint="eastAsia" w:ascii="宋体" w:hAnsi="宋体" w:eastAsia="宋体" w:cs="宋体"/>
                <w:sz w:val="21"/>
                <w:szCs w:val="21"/>
                <w:lang w:val="en-US" w:eastAsia="zh-CN"/>
              </w:rPr>
              <w:t>进度计划</w:t>
            </w:r>
            <w:r>
              <w:rPr>
                <w:rFonts w:hint="eastAsia" w:ascii="宋体" w:hAnsi="宋体" w:eastAsia="宋体" w:cs="宋体"/>
                <w:sz w:val="21"/>
                <w:szCs w:val="21"/>
              </w:rPr>
              <w:t>保障方案</w:t>
            </w:r>
            <w:r>
              <w:rPr>
                <w:rFonts w:hint="eastAsia" w:ascii="宋体" w:hAnsi="宋体" w:eastAsia="宋体" w:cs="宋体"/>
                <w:kern w:val="0"/>
                <w:sz w:val="21"/>
                <w:szCs w:val="21"/>
              </w:rPr>
              <w:t>②安装工艺技术服务方案及保障</w:t>
            </w:r>
            <w:r>
              <w:rPr>
                <w:rFonts w:hint="eastAsia" w:ascii="宋体" w:hAnsi="宋体" w:eastAsia="宋体" w:cs="宋体"/>
                <w:sz w:val="21"/>
                <w:szCs w:val="21"/>
              </w:rPr>
              <w:t>③</w:t>
            </w:r>
            <w:r>
              <w:rPr>
                <w:rFonts w:hint="eastAsia" w:ascii="宋体" w:hAnsi="宋体" w:eastAsia="宋体" w:cs="宋体"/>
                <w:sz w:val="21"/>
                <w:szCs w:val="21"/>
                <w:lang w:val="en-US" w:eastAsia="zh-CN"/>
              </w:rPr>
              <w:t>施工</w:t>
            </w:r>
            <w:r>
              <w:rPr>
                <w:rFonts w:hint="eastAsia" w:ascii="宋体" w:hAnsi="宋体" w:eastAsia="宋体" w:cs="宋体"/>
                <w:sz w:val="21"/>
                <w:szCs w:val="21"/>
              </w:rPr>
              <w:t>安全</w:t>
            </w:r>
            <w:r>
              <w:rPr>
                <w:rFonts w:hint="eastAsia" w:ascii="宋体" w:hAnsi="宋体" w:eastAsia="宋体" w:cs="宋体"/>
                <w:sz w:val="21"/>
                <w:szCs w:val="21"/>
                <w:lang w:val="en-US" w:eastAsia="zh-CN"/>
              </w:rPr>
              <w:t>保障</w:t>
            </w:r>
            <w:r>
              <w:rPr>
                <w:rFonts w:hint="eastAsia" w:ascii="宋体" w:hAnsi="宋体" w:eastAsia="宋体" w:cs="宋体"/>
                <w:sz w:val="21"/>
                <w:szCs w:val="21"/>
              </w:rPr>
              <w:t>措施】</w:t>
            </w:r>
            <w:r>
              <w:rPr>
                <w:rFonts w:hint="eastAsia" w:ascii="宋体" w:hAnsi="宋体" w:eastAsia="宋体" w:cs="宋体"/>
                <w:kern w:val="0"/>
                <w:sz w:val="21"/>
                <w:szCs w:val="21"/>
              </w:rPr>
              <w:t>进行综合评分：</w:t>
            </w:r>
          </w:p>
          <w:p w14:paraId="13951FA6">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sz w:val="21"/>
                <w:szCs w:val="21"/>
              </w:rPr>
              <w:t>1、方案详细完整、措施可行、保障措施全面</w:t>
            </w:r>
            <w:r>
              <w:rPr>
                <w:rFonts w:hint="eastAsia" w:ascii="宋体" w:hAnsi="宋体" w:eastAsia="宋体" w:cs="宋体"/>
                <w:sz w:val="21"/>
                <w:szCs w:val="21"/>
                <w:lang w:eastAsia="zh-CN"/>
              </w:rPr>
              <w:t>，</w:t>
            </w:r>
            <w:r>
              <w:rPr>
                <w:rFonts w:hint="eastAsia" w:ascii="宋体" w:hAnsi="宋体" w:eastAsia="宋体" w:cs="宋体"/>
                <w:sz w:val="21"/>
                <w:szCs w:val="21"/>
              </w:rPr>
              <w:t>有利于项目实施得</w:t>
            </w:r>
            <w:r>
              <w:rPr>
                <w:rFonts w:hint="eastAsia" w:ascii="宋体" w:hAnsi="宋体" w:cs="宋体"/>
                <w:sz w:val="21"/>
                <w:szCs w:val="21"/>
                <w:lang w:val="en-US" w:eastAsia="zh-CN"/>
              </w:rPr>
              <w:t>2</w:t>
            </w:r>
            <w:r>
              <w:rPr>
                <w:rFonts w:hint="eastAsia" w:ascii="宋体" w:hAnsi="宋体" w:eastAsia="宋体" w:cs="宋体"/>
                <w:sz w:val="21"/>
                <w:szCs w:val="21"/>
              </w:rPr>
              <w:t>分；</w:t>
            </w:r>
          </w:p>
          <w:p w14:paraId="68A2F444">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kern w:val="0"/>
                <w:sz w:val="21"/>
                <w:szCs w:val="21"/>
              </w:rPr>
              <w:t>方案基本符合要求，措施可操作性较好</w:t>
            </w:r>
            <w:r>
              <w:rPr>
                <w:rFonts w:hint="eastAsia" w:ascii="宋体" w:hAnsi="宋体" w:eastAsia="宋体" w:cs="宋体"/>
                <w:sz w:val="21"/>
                <w:szCs w:val="21"/>
              </w:rPr>
              <w:t>，较利于项目实施的得</w:t>
            </w:r>
            <w:r>
              <w:rPr>
                <w:rFonts w:hint="eastAsia" w:ascii="宋体" w:hAnsi="宋体" w:cs="宋体"/>
                <w:sz w:val="21"/>
                <w:szCs w:val="21"/>
                <w:lang w:val="en-US" w:eastAsia="zh-CN"/>
              </w:rPr>
              <w:t>1</w:t>
            </w:r>
            <w:r>
              <w:rPr>
                <w:rFonts w:hint="eastAsia" w:ascii="宋体" w:hAnsi="宋体" w:eastAsia="宋体" w:cs="宋体"/>
                <w:sz w:val="21"/>
                <w:szCs w:val="21"/>
              </w:rPr>
              <w:t>分；</w:t>
            </w:r>
          </w:p>
          <w:p w14:paraId="31D7222C">
            <w:pPr>
              <w:keepNext w:val="0"/>
              <w:keepLines w:val="0"/>
              <w:suppressLineNumbers w:val="0"/>
              <w:tabs>
                <w:tab w:val="left" w:pos="8789"/>
              </w:tabs>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kern w:val="0"/>
                <w:sz w:val="21"/>
                <w:szCs w:val="21"/>
              </w:rPr>
              <w:t>方案合理</w:t>
            </w:r>
            <w:r>
              <w:rPr>
                <w:rFonts w:hint="eastAsia" w:ascii="宋体" w:hAnsi="宋体" w:eastAsia="宋体" w:cs="宋体"/>
                <w:kern w:val="0"/>
                <w:sz w:val="21"/>
                <w:szCs w:val="21"/>
                <w:lang w:val="en-US" w:eastAsia="zh-CN"/>
              </w:rPr>
              <w:t>性一般</w:t>
            </w:r>
            <w:r>
              <w:rPr>
                <w:rFonts w:hint="eastAsia" w:ascii="宋体" w:hAnsi="宋体" w:eastAsia="宋体" w:cs="宋体"/>
                <w:kern w:val="0"/>
                <w:sz w:val="21"/>
                <w:szCs w:val="21"/>
              </w:rPr>
              <w:t>，措施可操作性一般</w:t>
            </w:r>
            <w:r>
              <w:rPr>
                <w:rFonts w:hint="eastAsia" w:ascii="宋体" w:hAnsi="宋体" w:eastAsia="宋体" w:cs="宋体"/>
                <w:sz w:val="21"/>
                <w:szCs w:val="21"/>
              </w:rPr>
              <w:t>，各项内容有所欠缺得</w:t>
            </w:r>
            <w:r>
              <w:rPr>
                <w:rFonts w:hint="eastAsia" w:ascii="宋体" w:hAnsi="宋体" w:cs="宋体"/>
                <w:sz w:val="21"/>
                <w:szCs w:val="21"/>
                <w:lang w:val="en-US" w:eastAsia="zh-CN"/>
              </w:rPr>
              <w:t>0.5</w:t>
            </w:r>
            <w:r>
              <w:rPr>
                <w:rFonts w:hint="eastAsia" w:ascii="宋体" w:hAnsi="宋体" w:eastAsia="宋体" w:cs="宋体"/>
                <w:sz w:val="21"/>
                <w:szCs w:val="21"/>
              </w:rPr>
              <w:t>分；</w:t>
            </w:r>
          </w:p>
          <w:p w14:paraId="64D51EF6">
            <w:pPr>
              <w:spacing w:line="360" w:lineRule="auto"/>
              <w:rPr>
                <w:rFonts w:hint="eastAsia" w:ascii="宋体" w:hAnsi="宋体" w:eastAsia="宋体" w:cs="宋体"/>
                <w:sz w:val="21"/>
                <w:szCs w:val="21"/>
              </w:rPr>
            </w:pPr>
            <w:r>
              <w:rPr>
                <w:rFonts w:hint="eastAsia" w:ascii="宋体" w:hAnsi="宋体" w:eastAsia="宋体" w:cs="宋体"/>
                <w:sz w:val="21"/>
                <w:szCs w:val="21"/>
              </w:rPr>
              <w:t>4、未提供不得分。</w:t>
            </w:r>
          </w:p>
          <w:p w14:paraId="46E91AF7">
            <w:pPr>
              <w:spacing w:line="360" w:lineRule="auto"/>
              <w:rPr>
                <w:rFonts w:hint="eastAsia" w:ascii="宋体" w:hAnsi="宋体" w:eastAsia="宋体" w:cs="宋体"/>
                <w:b/>
                <w:bCs/>
                <w:strike/>
                <w:dstrike w:val="0"/>
                <w:color w:val="FF0000"/>
                <w:kern w:val="0"/>
                <w:sz w:val="21"/>
                <w:szCs w:val="21"/>
              </w:rPr>
            </w:pPr>
            <w:r>
              <w:rPr>
                <w:rFonts w:hint="eastAsia" w:ascii="宋体" w:hAnsi="宋体" w:eastAsia="宋体" w:cs="宋体"/>
                <w:b/>
                <w:bCs/>
                <w:strike w:val="0"/>
                <w:dstrike w:val="0"/>
                <w:color w:val="000000" w:themeColor="text1"/>
                <w:kern w:val="0"/>
                <w:sz w:val="21"/>
                <w:szCs w:val="21"/>
                <w14:textFill>
                  <w14:solidFill>
                    <w14:schemeClr w14:val="tx1"/>
                  </w14:solidFill>
                </w14:textFill>
              </w:rPr>
              <w:t>注：以上①-</w:t>
            </w:r>
            <w:r>
              <w:rPr>
                <w:rFonts w:hint="eastAsia" w:ascii="宋体" w:hAnsi="宋体" w:eastAsia="宋体" w:cs="宋体"/>
                <w:b/>
                <w:bCs/>
                <w:sz w:val="21"/>
                <w:szCs w:val="21"/>
              </w:rPr>
              <w:t>③</w:t>
            </w:r>
            <w:r>
              <w:rPr>
                <w:rFonts w:hint="eastAsia" w:ascii="宋体" w:hAnsi="宋体" w:eastAsia="宋体" w:cs="宋体"/>
                <w:b/>
                <w:bCs/>
                <w:strike w:val="0"/>
                <w:dstrike w:val="0"/>
                <w:color w:val="000000" w:themeColor="text1"/>
                <w:kern w:val="0"/>
                <w:sz w:val="21"/>
                <w:szCs w:val="21"/>
                <w14:textFill>
                  <w14:solidFill>
                    <w14:schemeClr w14:val="tx1"/>
                  </w14:solidFill>
                </w14:textFill>
              </w:rPr>
              <w:t>项内容每项最高得</w:t>
            </w:r>
            <w:r>
              <w:rPr>
                <w:rFonts w:hint="eastAsia" w:ascii="宋体" w:hAnsi="宋体" w:cs="宋体"/>
                <w:b/>
                <w:bCs/>
                <w:strike w:val="0"/>
                <w:dstrike w:val="0"/>
                <w:color w:val="000000" w:themeColor="text1"/>
                <w:kern w:val="0"/>
                <w:sz w:val="21"/>
                <w:szCs w:val="21"/>
                <w:lang w:val="en-US" w:eastAsia="zh-CN"/>
                <w14:textFill>
                  <w14:solidFill>
                    <w14:schemeClr w14:val="tx1"/>
                  </w14:solidFill>
                </w14:textFill>
              </w:rPr>
              <w:t>2</w:t>
            </w:r>
            <w:r>
              <w:rPr>
                <w:rFonts w:hint="eastAsia" w:ascii="宋体" w:hAnsi="宋体" w:eastAsia="宋体" w:cs="宋体"/>
                <w:b/>
                <w:bCs/>
                <w:strike w:val="0"/>
                <w:dstrike w:val="0"/>
                <w:color w:val="000000" w:themeColor="text1"/>
                <w:kern w:val="0"/>
                <w:sz w:val="21"/>
                <w:szCs w:val="21"/>
                <w14:textFill>
                  <w14:solidFill>
                    <w14:schemeClr w14:val="tx1"/>
                  </w14:solidFill>
                </w14:textFill>
              </w:rPr>
              <w:t>分，本项最高得</w:t>
            </w:r>
            <w:r>
              <w:rPr>
                <w:rFonts w:hint="eastAsia" w:ascii="宋体" w:hAnsi="宋体" w:cs="宋体"/>
                <w:b/>
                <w:bCs/>
                <w:strike w:val="0"/>
                <w:dstrike w:val="0"/>
                <w:color w:val="000000" w:themeColor="text1"/>
                <w:kern w:val="0"/>
                <w:sz w:val="21"/>
                <w:szCs w:val="21"/>
                <w:lang w:val="en-US" w:eastAsia="zh-CN"/>
                <w14:textFill>
                  <w14:solidFill>
                    <w14:schemeClr w14:val="tx1"/>
                  </w14:solidFill>
                </w14:textFill>
              </w:rPr>
              <w:t>6</w:t>
            </w:r>
            <w:r>
              <w:rPr>
                <w:rFonts w:hint="eastAsia" w:ascii="宋体" w:hAnsi="宋体" w:eastAsia="宋体" w:cs="宋体"/>
                <w:b/>
                <w:bCs/>
                <w:strike w:val="0"/>
                <w:dstrike w:val="0"/>
                <w:color w:val="000000" w:themeColor="text1"/>
                <w:kern w:val="0"/>
                <w:sz w:val="21"/>
                <w:szCs w:val="21"/>
                <w14:textFill>
                  <w14:solidFill>
                    <w14:schemeClr w14:val="tx1"/>
                  </w14:solidFill>
                </w14:textFill>
              </w:rPr>
              <w:t>分。</w:t>
            </w:r>
          </w:p>
        </w:tc>
        <w:tc>
          <w:tcPr>
            <w:tcW w:w="736" w:type="dxa"/>
            <w:vAlign w:val="center"/>
          </w:tcPr>
          <w:p w14:paraId="6094E821">
            <w:pPr>
              <w:widowControl/>
              <w:spacing w:line="360" w:lineRule="auto"/>
              <w:jc w:val="center"/>
              <w:rPr>
                <w:rFonts w:hint="eastAsia" w:ascii="宋体" w:hAnsi="宋体" w:cs="宋体"/>
                <w:b/>
                <w:sz w:val="21"/>
                <w:szCs w:val="21"/>
                <w:vertAlign w:val="baseline"/>
              </w:rPr>
            </w:pPr>
            <w:r>
              <w:rPr>
                <w:rFonts w:hint="eastAsia" w:ascii="宋体" w:hAnsi="宋体" w:cs="宋体"/>
                <w:sz w:val="21"/>
                <w:szCs w:val="21"/>
                <w:lang w:val="en-US" w:eastAsia="zh-CN"/>
              </w:rPr>
              <w:t>6</w:t>
            </w:r>
          </w:p>
        </w:tc>
      </w:tr>
      <w:tr w14:paraId="677BF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vAlign w:val="center"/>
          </w:tcPr>
          <w:p w14:paraId="5C9102FB">
            <w:pPr>
              <w:snapToGrid w:val="0"/>
              <w:spacing w:line="360" w:lineRule="auto"/>
              <w:jc w:val="center"/>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文字方案设计</w:t>
            </w:r>
          </w:p>
        </w:tc>
        <w:tc>
          <w:tcPr>
            <w:tcW w:w="1121" w:type="dxa"/>
            <w:vAlign w:val="center"/>
          </w:tcPr>
          <w:p w14:paraId="3E94A227">
            <w:pPr>
              <w:snapToGrid w:val="0"/>
              <w:spacing w:line="360" w:lineRule="auto"/>
              <w:jc w:val="center"/>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主观</w:t>
            </w:r>
          </w:p>
        </w:tc>
        <w:tc>
          <w:tcPr>
            <w:tcW w:w="6696" w:type="dxa"/>
            <w:vAlign w:val="center"/>
          </w:tcPr>
          <w:p w14:paraId="0DF0AF0F">
            <w:pPr>
              <w:spacing w:line="360" w:lineRule="auto"/>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根据上墙文字</w:t>
            </w:r>
            <w:r>
              <w:rPr>
                <w:rFonts w:hint="eastAsia" w:ascii="宋体" w:hAnsi="宋体" w:cs="宋体"/>
                <w:b w:val="0"/>
                <w:bCs w:val="0"/>
                <w:strike w:val="0"/>
                <w:dstrike w:val="0"/>
                <w:color w:val="000000" w:themeColor="text1"/>
                <w:kern w:val="0"/>
                <w:sz w:val="21"/>
                <w:szCs w:val="21"/>
                <w:highlight w:val="none"/>
                <w:lang w:val="en-US" w:eastAsia="zh-CN"/>
                <w14:textFill>
                  <w14:solidFill>
                    <w14:schemeClr w14:val="tx1"/>
                  </w14:solidFill>
                </w14:textFill>
              </w:rPr>
              <w:t>是否</w:t>
            </w: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符合主题定位、文化内涵、功能说明的完整框架内容，框架文字进行综合评分：</w:t>
            </w:r>
          </w:p>
          <w:p w14:paraId="7C661872">
            <w:pPr>
              <w:spacing w:line="360" w:lineRule="auto"/>
              <w:rPr>
                <w:rFonts w:hint="eastAsia" w:ascii="宋体" w:hAnsi="宋体" w:eastAsia="宋体" w:cs="宋体"/>
                <w:b w:val="0"/>
                <w:bCs w:val="0"/>
                <w:strike w:val="0"/>
                <w:dstrike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1、框架符合整体方案设计，文字具有感染力、逻辑清晰表达精准、符合阅读动线、有利于项目实施得</w:t>
            </w:r>
            <w:r>
              <w:rPr>
                <w:rFonts w:hint="eastAsia" w:ascii="宋体" w:hAnsi="宋体" w:cs="宋体"/>
                <w:b w:val="0"/>
                <w:bCs w:val="0"/>
                <w:strike w:val="0"/>
                <w:dstrike w:val="0"/>
                <w:color w:val="000000" w:themeColor="text1"/>
                <w:kern w:val="0"/>
                <w:sz w:val="21"/>
                <w:szCs w:val="21"/>
                <w:highlight w:val="none"/>
                <w:lang w:val="en-US" w:eastAsia="zh-CN"/>
                <w14:textFill>
                  <w14:solidFill>
                    <w14:schemeClr w14:val="tx1"/>
                  </w14:solidFill>
                </w14:textFill>
              </w:rPr>
              <w:t>8</w:t>
            </w: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分；</w:t>
            </w:r>
          </w:p>
          <w:p w14:paraId="3295B4A3">
            <w:pPr>
              <w:spacing w:line="360" w:lineRule="auto"/>
              <w:rPr>
                <w:rFonts w:hint="default" w:ascii="宋体" w:hAnsi="宋体" w:eastAsia="宋体" w:cs="宋体"/>
                <w:b w:val="0"/>
                <w:bCs w:val="0"/>
                <w:strike w:val="0"/>
                <w:dstrike w:val="0"/>
                <w:color w:val="000000" w:themeColor="text1"/>
                <w:kern w:val="0"/>
                <w:sz w:val="21"/>
                <w:szCs w:val="21"/>
                <w:highlight w:val="none"/>
                <w:lang w:val="en-US" w:eastAsia="zh-CN"/>
                <w14:textFill>
                  <w14:solidFill>
                    <w14:schemeClr w14:val="tx1"/>
                  </w14:solidFill>
                </w14:textFill>
              </w:rPr>
            </w:pPr>
            <w:r>
              <w:rPr>
                <w:rFonts w:hint="eastAsia" w:ascii="宋体" w:hAnsi="宋体" w:cs="宋体"/>
                <w:b w:val="0"/>
                <w:bCs w:val="0"/>
                <w:strike w:val="0"/>
                <w:dstrike w:val="0"/>
                <w:color w:val="000000" w:themeColor="text1"/>
                <w:kern w:val="0"/>
                <w:sz w:val="21"/>
                <w:szCs w:val="21"/>
                <w:highlight w:val="none"/>
                <w:lang w:val="en-US" w:eastAsia="zh-CN"/>
                <w14:textFill>
                  <w14:solidFill>
                    <w14:schemeClr w14:val="tx1"/>
                  </w14:solidFill>
                </w14:textFill>
              </w:rPr>
              <w:t>2、框架较为符合整体设计，文字较具有感染力、逻辑表达较为精准、较为符合阅读动线、较利于项目实施得5分</w:t>
            </w:r>
          </w:p>
          <w:p w14:paraId="12371A49">
            <w:pPr>
              <w:spacing w:line="360" w:lineRule="auto"/>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2、框架合理性一般，措施可操作性一般，各项内容有所欠缺得</w:t>
            </w:r>
            <w:r>
              <w:rPr>
                <w:rFonts w:hint="eastAsia" w:ascii="宋体" w:hAnsi="宋体" w:cs="宋体"/>
                <w:b w:val="0"/>
                <w:bCs w:val="0"/>
                <w:strike w:val="0"/>
                <w:dstrike w:val="0"/>
                <w:color w:val="000000" w:themeColor="text1"/>
                <w:kern w:val="0"/>
                <w:sz w:val="21"/>
                <w:szCs w:val="21"/>
                <w:highlight w:val="none"/>
                <w:lang w:val="en-US" w:eastAsia="zh-CN"/>
                <w14:textFill>
                  <w14:solidFill>
                    <w14:schemeClr w14:val="tx1"/>
                  </w14:solidFill>
                </w14:textFill>
              </w:rPr>
              <w:t>2</w:t>
            </w: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分；</w:t>
            </w:r>
          </w:p>
          <w:p w14:paraId="70F9C478">
            <w:pPr>
              <w:spacing w:line="360" w:lineRule="auto"/>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3、未提供详细文字框架的不得分；</w:t>
            </w:r>
          </w:p>
        </w:tc>
        <w:tc>
          <w:tcPr>
            <w:tcW w:w="736" w:type="dxa"/>
            <w:vAlign w:val="center"/>
          </w:tcPr>
          <w:p w14:paraId="683635DD">
            <w:pPr>
              <w:widowControl/>
              <w:spacing w:line="360" w:lineRule="auto"/>
              <w:jc w:val="center"/>
              <w:rPr>
                <w:rFonts w:hint="default" w:ascii="宋体" w:hAnsi="宋体" w:cs="宋体"/>
                <w:b w:val="0"/>
                <w:bCs w:val="0"/>
                <w:sz w:val="21"/>
                <w:szCs w:val="21"/>
                <w:highlight w:val="none"/>
                <w:lang w:val="en-US" w:eastAsia="zh-CN"/>
              </w:rPr>
            </w:pPr>
            <w:r>
              <w:rPr>
                <w:rFonts w:hint="eastAsia" w:ascii="宋体" w:hAnsi="宋体" w:cs="宋体"/>
                <w:b w:val="0"/>
                <w:bCs w:val="0"/>
                <w:sz w:val="21"/>
                <w:szCs w:val="21"/>
                <w:highlight w:val="none"/>
                <w:lang w:val="en-US" w:eastAsia="zh-CN"/>
              </w:rPr>
              <w:t>8</w:t>
            </w:r>
          </w:p>
        </w:tc>
      </w:tr>
      <w:tr w14:paraId="28033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vAlign w:val="center"/>
          </w:tcPr>
          <w:p w14:paraId="66C163CA">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1"/>
                <w:szCs w:val="21"/>
                <w:vertAlign w:val="baseline"/>
              </w:rPr>
            </w:pPr>
            <w:r>
              <w:rPr>
                <w:rFonts w:hint="eastAsia" w:ascii="宋体" w:hAnsi="宋体" w:eastAsia="宋体" w:cs="宋体"/>
                <w:color w:val="auto"/>
                <w:kern w:val="0"/>
                <w:sz w:val="21"/>
                <w:szCs w:val="21"/>
                <w:highlight w:val="none"/>
              </w:rPr>
              <w:t>培训方案</w:t>
            </w:r>
            <w:r>
              <w:rPr>
                <w:rFonts w:hint="eastAsia" w:ascii="宋体" w:hAnsi="宋体" w:eastAsia="宋体" w:cs="宋体"/>
                <w:color w:val="auto"/>
                <w:kern w:val="0"/>
                <w:sz w:val="21"/>
                <w:szCs w:val="21"/>
                <w:highlight w:val="none"/>
                <w:lang w:val="en-US" w:eastAsia="zh-CN"/>
              </w:rPr>
              <w:t>及计划</w:t>
            </w:r>
          </w:p>
        </w:tc>
        <w:tc>
          <w:tcPr>
            <w:tcW w:w="1121" w:type="dxa"/>
            <w:vAlign w:val="center"/>
          </w:tcPr>
          <w:p w14:paraId="585FE33A">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cs="宋体"/>
                <w:b/>
                <w:sz w:val="21"/>
                <w:szCs w:val="21"/>
                <w:vertAlign w:val="baseline"/>
              </w:rPr>
            </w:pPr>
            <w:r>
              <w:rPr>
                <w:rFonts w:hint="eastAsia" w:ascii="宋体" w:hAnsi="宋体" w:eastAsia="宋体" w:cs="宋体"/>
                <w:color w:val="auto"/>
                <w:sz w:val="21"/>
                <w:szCs w:val="21"/>
                <w:highlight w:val="none"/>
              </w:rPr>
              <w:t>主观</w:t>
            </w:r>
          </w:p>
        </w:tc>
        <w:tc>
          <w:tcPr>
            <w:tcW w:w="6696" w:type="dxa"/>
            <w:vAlign w:val="center"/>
          </w:tcPr>
          <w:p w14:paraId="53D69278">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根据投标人提供的培训方案及计划</w:t>
            </w:r>
            <w:r>
              <w:rPr>
                <w:rFonts w:hint="eastAsia" w:ascii="宋体" w:hAnsi="宋体" w:eastAsia="宋体" w:cs="宋体"/>
                <w:color w:val="auto"/>
                <w:kern w:val="0"/>
                <w:sz w:val="21"/>
                <w:szCs w:val="21"/>
                <w:highlight w:val="none"/>
                <w:lang w:val="en-US" w:eastAsia="zh-CN"/>
              </w:rPr>
              <w:t>包括但不限于</w:t>
            </w:r>
            <w:r>
              <w:rPr>
                <w:rFonts w:hint="eastAsia" w:ascii="宋体" w:hAnsi="宋体" w:eastAsia="宋体" w:cs="宋体"/>
                <w:color w:val="auto"/>
                <w:kern w:val="0"/>
                <w:sz w:val="21"/>
                <w:szCs w:val="21"/>
                <w:highlight w:val="none"/>
              </w:rPr>
              <w:t>培训方式、培训参加人员、培训内容、日程、课程安排等进行综合评价：</w:t>
            </w:r>
          </w:p>
          <w:p w14:paraId="01D4EA5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contextualSpacing/>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1、培训方案</w:t>
            </w:r>
            <w:r>
              <w:rPr>
                <w:rFonts w:hint="eastAsia" w:ascii="宋体" w:hAnsi="宋体" w:eastAsia="宋体" w:cs="宋体"/>
                <w:color w:val="auto"/>
                <w:kern w:val="0"/>
                <w:sz w:val="21"/>
                <w:szCs w:val="21"/>
                <w:highlight w:val="none"/>
                <w:lang w:val="en-US" w:eastAsia="zh-CN"/>
              </w:rPr>
              <w:t>及计划</w:t>
            </w:r>
            <w:r>
              <w:rPr>
                <w:rFonts w:hint="eastAsia" w:ascii="宋体" w:hAnsi="宋体" w:eastAsia="宋体" w:cs="宋体"/>
                <w:color w:val="auto"/>
                <w:kern w:val="0"/>
                <w:sz w:val="21"/>
                <w:szCs w:val="21"/>
                <w:highlight w:val="none"/>
              </w:rPr>
              <w:t>明确、培训人员安排周到、培训内容丰富、课程安排合理得</w:t>
            </w:r>
            <w:r>
              <w:rPr>
                <w:rFonts w:hint="eastAsia" w:ascii="宋体"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分；</w:t>
            </w:r>
          </w:p>
          <w:p w14:paraId="207DE5D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contextualSpacing/>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2、培训方案</w:t>
            </w:r>
            <w:r>
              <w:rPr>
                <w:rFonts w:hint="eastAsia" w:ascii="宋体" w:hAnsi="宋体" w:eastAsia="宋体" w:cs="宋体"/>
                <w:color w:val="auto"/>
                <w:kern w:val="0"/>
                <w:sz w:val="21"/>
                <w:szCs w:val="21"/>
                <w:highlight w:val="none"/>
                <w:lang w:val="en-US" w:eastAsia="zh-CN"/>
              </w:rPr>
              <w:t>及计划</w:t>
            </w:r>
            <w:r>
              <w:rPr>
                <w:rFonts w:hint="eastAsia" w:ascii="宋体" w:hAnsi="宋体" w:eastAsia="宋体" w:cs="宋体"/>
                <w:color w:val="auto"/>
                <w:kern w:val="0"/>
                <w:sz w:val="21"/>
                <w:szCs w:val="21"/>
                <w:highlight w:val="none"/>
              </w:rPr>
              <w:t>较明确、培训人员安排较周到、培训内容较丰富、课程安排较合理得</w:t>
            </w: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分；</w:t>
            </w:r>
          </w:p>
          <w:p w14:paraId="1F6B8A5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contextualSpacing/>
              <w:textAlignment w:val="auto"/>
              <w:rPr>
                <w:rFonts w:hint="default" w:ascii="宋体" w:hAnsi="宋体" w:eastAsia="宋体" w:cs="宋体"/>
                <w:b/>
                <w:sz w:val="21"/>
                <w:szCs w:val="21"/>
                <w:vertAlign w:val="baseline"/>
                <w:lang w:val="en-US" w:eastAsia="zh-CN"/>
              </w:rPr>
            </w:pPr>
            <w:r>
              <w:rPr>
                <w:rFonts w:hint="eastAsia" w:ascii="宋体" w:hAnsi="宋体" w:eastAsia="宋体" w:cs="宋体"/>
                <w:color w:val="auto"/>
                <w:kern w:val="0"/>
                <w:sz w:val="21"/>
                <w:szCs w:val="21"/>
                <w:highlight w:val="none"/>
              </w:rPr>
              <w:t>3、培训方案</w:t>
            </w:r>
            <w:r>
              <w:rPr>
                <w:rFonts w:hint="eastAsia" w:ascii="宋体" w:hAnsi="宋体" w:eastAsia="宋体" w:cs="宋体"/>
                <w:color w:val="auto"/>
                <w:kern w:val="0"/>
                <w:sz w:val="21"/>
                <w:szCs w:val="21"/>
                <w:highlight w:val="none"/>
                <w:lang w:val="en-US" w:eastAsia="zh-CN"/>
              </w:rPr>
              <w:t>及计划</w:t>
            </w:r>
            <w:r>
              <w:rPr>
                <w:rFonts w:hint="eastAsia" w:ascii="宋体" w:hAnsi="宋体" w:eastAsia="宋体" w:cs="宋体"/>
                <w:color w:val="auto"/>
                <w:kern w:val="0"/>
                <w:sz w:val="21"/>
                <w:szCs w:val="21"/>
                <w:highlight w:val="none"/>
              </w:rPr>
              <w:t>不够明确、培训人员安排不够周到、培训内容不够丰富、课程安排不够合理</w:t>
            </w:r>
            <w:r>
              <w:rPr>
                <w:rFonts w:hint="eastAsia" w:ascii="宋体" w:hAnsi="宋体" w:cs="宋体"/>
                <w:color w:val="auto"/>
                <w:kern w:val="0"/>
                <w:sz w:val="21"/>
                <w:szCs w:val="21"/>
                <w:highlight w:val="none"/>
                <w:lang w:val="en-US" w:eastAsia="zh-CN"/>
              </w:rPr>
              <w:t>或未提供不得分。</w:t>
            </w:r>
          </w:p>
        </w:tc>
        <w:tc>
          <w:tcPr>
            <w:tcW w:w="736" w:type="dxa"/>
            <w:vAlign w:val="center"/>
          </w:tcPr>
          <w:p w14:paraId="0D080DE0">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leftChars="0" w:right="0" w:rightChars="0"/>
              <w:jc w:val="center"/>
              <w:textAlignment w:val="auto"/>
              <w:rPr>
                <w:rFonts w:hint="eastAsia" w:ascii="宋体" w:hAnsi="宋体" w:eastAsia="宋体" w:cs="宋体"/>
                <w:b/>
                <w:sz w:val="21"/>
                <w:szCs w:val="21"/>
                <w:highlight w:val="none"/>
                <w:vertAlign w:val="baseline"/>
                <w:lang w:eastAsia="zh-CN"/>
              </w:rPr>
            </w:pPr>
            <w:r>
              <w:rPr>
                <w:rFonts w:hint="eastAsia" w:ascii="宋体" w:hAnsi="宋体" w:cs="宋体"/>
                <w:color w:val="auto"/>
                <w:sz w:val="21"/>
                <w:szCs w:val="21"/>
                <w:highlight w:val="none"/>
                <w:lang w:val="en-US" w:eastAsia="zh-CN"/>
              </w:rPr>
              <w:t>2</w:t>
            </w:r>
          </w:p>
        </w:tc>
      </w:tr>
      <w:tr w14:paraId="3C588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vAlign w:val="center"/>
          </w:tcPr>
          <w:p w14:paraId="3D005C2C">
            <w:pPr>
              <w:ind w:firstLine="0" w:firstLineChars="0"/>
              <w:jc w:val="center"/>
              <w:rPr>
                <w:rFonts w:hint="eastAsia" w:ascii="宋体" w:hAnsi="宋体" w:eastAsia="宋体" w:cs="宋体"/>
                <w:kern w:val="0"/>
                <w:sz w:val="21"/>
                <w:szCs w:val="21"/>
                <w:highlight w:val="none"/>
              </w:rPr>
            </w:pPr>
            <w:r>
              <w:rPr>
                <w:rFonts w:hint="eastAsia" w:hAnsi="宋体" w:cs="宋体"/>
                <w:kern w:val="0"/>
                <w:szCs w:val="21"/>
                <w:highlight w:val="none"/>
              </w:rPr>
              <w:t>平时维护制作响应及达到时间评</w:t>
            </w:r>
          </w:p>
        </w:tc>
        <w:tc>
          <w:tcPr>
            <w:tcW w:w="1121" w:type="dxa"/>
            <w:vAlign w:val="center"/>
          </w:tcPr>
          <w:p w14:paraId="51DDB611">
            <w:pPr>
              <w:snapToGrid w:val="0"/>
              <w:spacing w:line="360" w:lineRule="auto"/>
              <w:jc w:val="center"/>
              <w:rPr>
                <w:rFonts w:hint="eastAsia"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客观</w:t>
            </w:r>
          </w:p>
        </w:tc>
        <w:tc>
          <w:tcPr>
            <w:tcW w:w="6696" w:type="dxa"/>
            <w:vAlign w:val="center"/>
          </w:tcPr>
          <w:p w14:paraId="1313649C">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textAlignment w:val="auto"/>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根据投标人承诺的日常</w:t>
            </w:r>
            <w:r>
              <w:rPr>
                <w:rFonts w:hint="eastAsia" w:ascii="宋体" w:hAnsi="宋体" w:eastAsia="宋体" w:cs="宋体"/>
                <w:color w:val="auto"/>
                <w:kern w:val="0"/>
                <w:sz w:val="21"/>
                <w:szCs w:val="21"/>
                <w:highlight w:val="none"/>
              </w:rPr>
              <w:t>维护制作响应及达到时间评价：</w:t>
            </w:r>
          </w:p>
          <w:p w14:paraId="77269D79">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cs="宋体"/>
                <w:color w:val="auto"/>
                <w:kern w:val="0"/>
                <w:sz w:val="21"/>
                <w:szCs w:val="21"/>
                <w:highlight w:val="none"/>
                <w:lang w:val="en-US" w:eastAsia="zh-CN"/>
              </w:rPr>
              <w:t>承诺对</w:t>
            </w:r>
            <w:r>
              <w:rPr>
                <w:rFonts w:hint="eastAsia" w:ascii="宋体" w:hAnsi="宋体" w:eastAsia="宋体" w:cs="宋体"/>
                <w:color w:val="auto"/>
                <w:kern w:val="0"/>
                <w:sz w:val="21"/>
                <w:szCs w:val="21"/>
                <w:highlight w:val="none"/>
              </w:rPr>
              <w:t>接能10分钟电话响应在30分钟内到达现场，得</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分；</w:t>
            </w:r>
          </w:p>
          <w:p w14:paraId="7604E8B5">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cs="宋体"/>
                <w:color w:val="auto"/>
                <w:kern w:val="0"/>
                <w:sz w:val="21"/>
                <w:szCs w:val="21"/>
                <w:highlight w:val="none"/>
                <w:lang w:val="en-US" w:eastAsia="zh-CN"/>
              </w:rPr>
              <w:t>承诺</w:t>
            </w:r>
            <w:r>
              <w:rPr>
                <w:rFonts w:hint="eastAsia" w:ascii="宋体" w:hAnsi="宋体" w:eastAsia="宋体" w:cs="宋体"/>
                <w:color w:val="auto"/>
                <w:kern w:val="0"/>
                <w:sz w:val="21"/>
                <w:szCs w:val="21"/>
                <w:highlight w:val="none"/>
              </w:rPr>
              <w:t>对接能15分钟电话响应在1小时内到达现场，得</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分；</w:t>
            </w:r>
          </w:p>
          <w:p w14:paraId="1125BA2C">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r>
              <w:rPr>
                <w:rFonts w:hint="eastAsia" w:ascii="宋体" w:hAnsi="宋体" w:cs="宋体"/>
                <w:color w:val="auto"/>
                <w:kern w:val="0"/>
                <w:sz w:val="21"/>
                <w:szCs w:val="21"/>
                <w:highlight w:val="none"/>
                <w:lang w:val="en-US" w:eastAsia="zh-CN"/>
              </w:rPr>
              <w:t>承诺</w:t>
            </w:r>
            <w:r>
              <w:rPr>
                <w:rFonts w:hint="eastAsia" w:ascii="宋体" w:hAnsi="宋体" w:eastAsia="宋体" w:cs="宋体"/>
                <w:color w:val="auto"/>
                <w:kern w:val="0"/>
                <w:sz w:val="21"/>
                <w:szCs w:val="21"/>
                <w:highlight w:val="none"/>
              </w:rPr>
              <w:t>对接能20分钟电话响应在1.5小时内到达现场，得</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分；</w:t>
            </w:r>
          </w:p>
          <w:p w14:paraId="31D15E1B">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4、其他情况不得分。</w:t>
            </w:r>
          </w:p>
        </w:tc>
        <w:tc>
          <w:tcPr>
            <w:tcW w:w="736" w:type="dxa"/>
            <w:vAlign w:val="center"/>
          </w:tcPr>
          <w:p w14:paraId="1CEFABAC">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w:t>
            </w:r>
          </w:p>
        </w:tc>
      </w:tr>
      <w:tr w14:paraId="5FDDD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vAlign w:val="center"/>
          </w:tcPr>
          <w:p w14:paraId="223C12EF">
            <w:pPr>
              <w:snapToGrid w:val="0"/>
              <w:spacing w:line="360" w:lineRule="auto"/>
              <w:jc w:val="center"/>
              <w:rPr>
                <w:rFonts w:hint="eastAsia" w:hAnsi="宋体" w:cs="宋体"/>
                <w:kern w:val="0"/>
                <w:szCs w:val="21"/>
              </w:rPr>
            </w:pPr>
            <w:r>
              <w:rPr>
                <w:rFonts w:hint="eastAsia" w:ascii="宋体" w:hAnsi="宋体" w:eastAsia="宋体" w:cs="宋体"/>
                <w:kern w:val="0"/>
                <w:sz w:val="21"/>
                <w:szCs w:val="21"/>
              </w:rPr>
              <w:t>售后</w:t>
            </w:r>
            <w:r>
              <w:rPr>
                <w:rFonts w:hint="eastAsia" w:ascii="宋体" w:hAnsi="宋体" w:eastAsia="宋体" w:cs="宋体"/>
                <w:kern w:val="0"/>
                <w:sz w:val="21"/>
                <w:szCs w:val="21"/>
                <w:lang w:val="zh-CN"/>
              </w:rPr>
              <w:t>服务和应急保障方案</w:t>
            </w:r>
          </w:p>
        </w:tc>
        <w:tc>
          <w:tcPr>
            <w:tcW w:w="1121" w:type="dxa"/>
            <w:vAlign w:val="center"/>
          </w:tcPr>
          <w:p w14:paraId="335F2B0C">
            <w:pPr>
              <w:snapToGrid w:val="0"/>
              <w:spacing w:line="360" w:lineRule="auto"/>
              <w:jc w:val="center"/>
              <w:rPr>
                <w:rFonts w:hint="eastAsia" w:ascii="宋体" w:hAnsi="宋体" w:cs="宋体"/>
                <w:kern w:val="0"/>
                <w:sz w:val="21"/>
                <w:szCs w:val="21"/>
                <w:lang w:val="en-US" w:eastAsia="zh-CN"/>
              </w:rPr>
            </w:pPr>
            <w:r>
              <w:rPr>
                <w:rFonts w:hint="eastAsia" w:ascii="宋体" w:hAnsi="宋体" w:eastAsia="宋体" w:cs="宋体"/>
                <w:kern w:val="0"/>
                <w:sz w:val="21"/>
                <w:szCs w:val="21"/>
              </w:rPr>
              <w:t>主观</w:t>
            </w:r>
          </w:p>
        </w:tc>
        <w:tc>
          <w:tcPr>
            <w:tcW w:w="6696" w:type="dxa"/>
            <w:vAlign w:val="center"/>
          </w:tcPr>
          <w:p w14:paraId="23346417">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根据投标人</w:t>
            </w:r>
            <w:r>
              <w:rPr>
                <w:rFonts w:hint="eastAsia" w:ascii="宋体" w:hAnsi="宋体" w:eastAsia="宋体" w:cs="宋体"/>
                <w:color w:val="auto"/>
                <w:kern w:val="0"/>
                <w:sz w:val="21"/>
                <w:szCs w:val="21"/>
                <w:highlight w:val="none"/>
                <w:lang w:val="en-US" w:eastAsia="zh-CN"/>
              </w:rPr>
              <w:t>提供的</w:t>
            </w:r>
            <w:r>
              <w:rPr>
                <w:rFonts w:hint="eastAsia" w:ascii="宋体" w:hAnsi="宋体" w:eastAsia="宋体" w:cs="宋体"/>
                <w:color w:val="auto"/>
                <w:kern w:val="0"/>
                <w:sz w:val="21"/>
                <w:szCs w:val="21"/>
                <w:highlight w:val="none"/>
              </w:rPr>
              <w:t>售后服务方案进行综合评价：</w:t>
            </w:r>
          </w:p>
          <w:p w14:paraId="61092117">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1、服务保障措施及承诺全面，可行性强，具有针对性和及时性，能够保障在规定的时间内保质保量提交成果得</w:t>
            </w: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分；</w:t>
            </w:r>
          </w:p>
          <w:p w14:paraId="698F571F">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2、服务保障措施及承诺较完整、可行性一般、针对性一般，能够保障在规定的时间内保质保量提交成果得</w:t>
            </w:r>
            <w:r>
              <w:rPr>
                <w:rFonts w:hint="eastAsia" w:ascii="宋体"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分；</w:t>
            </w:r>
          </w:p>
          <w:p w14:paraId="217E794E">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3、服务保障措施及承诺不完整、可行性</w:t>
            </w:r>
            <w:r>
              <w:rPr>
                <w:rFonts w:hint="eastAsia" w:ascii="宋体" w:hAnsi="宋体" w:cs="宋体"/>
                <w:color w:val="auto"/>
                <w:kern w:val="0"/>
                <w:sz w:val="21"/>
                <w:szCs w:val="21"/>
                <w:highlight w:val="none"/>
                <w:lang w:val="en-US" w:eastAsia="zh-CN"/>
              </w:rPr>
              <w:t>较</w:t>
            </w:r>
            <w:r>
              <w:rPr>
                <w:rFonts w:hint="eastAsia" w:ascii="宋体" w:hAnsi="宋体" w:eastAsia="宋体" w:cs="宋体"/>
                <w:color w:val="auto"/>
                <w:kern w:val="0"/>
                <w:sz w:val="21"/>
                <w:szCs w:val="21"/>
                <w:highlight w:val="none"/>
              </w:rPr>
              <w:t>差、针对性</w:t>
            </w:r>
            <w:r>
              <w:rPr>
                <w:rFonts w:hint="eastAsia" w:ascii="宋体" w:hAnsi="宋体" w:cs="宋体"/>
                <w:color w:val="auto"/>
                <w:kern w:val="0"/>
                <w:sz w:val="21"/>
                <w:szCs w:val="21"/>
                <w:highlight w:val="none"/>
                <w:lang w:val="en-US" w:eastAsia="zh-CN"/>
              </w:rPr>
              <w:t>较</w:t>
            </w:r>
            <w:r>
              <w:rPr>
                <w:rFonts w:hint="eastAsia" w:ascii="宋体" w:hAnsi="宋体" w:eastAsia="宋体" w:cs="宋体"/>
                <w:color w:val="auto"/>
                <w:kern w:val="0"/>
                <w:sz w:val="21"/>
                <w:szCs w:val="21"/>
                <w:highlight w:val="none"/>
              </w:rPr>
              <w:t>差，不能够保障在规定的时间内保质保量提交成果得1分；</w:t>
            </w:r>
          </w:p>
          <w:p w14:paraId="172A9A8C">
            <w:pPr>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4、未提供不得分。</w:t>
            </w:r>
          </w:p>
        </w:tc>
        <w:tc>
          <w:tcPr>
            <w:tcW w:w="736" w:type="dxa"/>
            <w:vAlign w:val="center"/>
          </w:tcPr>
          <w:p w14:paraId="49DAECE5">
            <w:pPr>
              <w:widowControl/>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2"/>
                <w:sz w:val="21"/>
                <w:szCs w:val="21"/>
                <w:highlight w:val="none"/>
                <w:lang w:val="en-US" w:eastAsia="zh-CN" w:bidi="ar-SA"/>
              </w:rPr>
              <w:t>3</w:t>
            </w:r>
          </w:p>
        </w:tc>
      </w:tr>
      <w:tr w14:paraId="43D7A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vAlign w:val="center"/>
          </w:tcPr>
          <w:p w14:paraId="6F24772F">
            <w:pPr>
              <w:snapToGrid w:val="0"/>
              <w:spacing w:line="360" w:lineRule="auto"/>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效果演示</w:t>
            </w:r>
          </w:p>
        </w:tc>
        <w:tc>
          <w:tcPr>
            <w:tcW w:w="1121" w:type="dxa"/>
            <w:vAlign w:val="center"/>
          </w:tcPr>
          <w:p w14:paraId="1432668F">
            <w:pPr>
              <w:snapToGrid w:val="0"/>
              <w:spacing w:line="360" w:lineRule="auto"/>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主观</w:t>
            </w:r>
          </w:p>
        </w:tc>
        <w:tc>
          <w:tcPr>
            <w:tcW w:w="6696" w:type="dxa"/>
            <w:vAlign w:val="center"/>
          </w:tcPr>
          <w:p w14:paraId="47993F6A">
            <w:pPr>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根据投标人提供的展厅创意空间整体氛围效果的沉浸式漫游视觉影像展示进行综合评分：</w:t>
            </w:r>
          </w:p>
          <w:p w14:paraId="0AB9A0EA">
            <w:pPr>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1、视频整体效果新颖、创意、针对性，优于或完全满足于项目需求的得</w:t>
            </w:r>
            <w:r>
              <w:rPr>
                <w:rFonts w:hint="eastAsia" w:ascii="宋体" w:hAnsi="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分；</w:t>
            </w:r>
          </w:p>
          <w:p w14:paraId="4E77DC4B">
            <w:pPr>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2、视频整体效果较新颖、创意、针对性，基本满足项目需求的得</w:t>
            </w: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分；3、视频整体效果与项目需求偏差较大的得</w:t>
            </w: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分；</w:t>
            </w:r>
          </w:p>
          <w:p w14:paraId="7D2085BB">
            <w:pPr>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4、未提供不得分。</w:t>
            </w:r>
          </w:p>
          <w:p w14:paraId="547678B3">
            <w:pPr>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注：展示视频或全景效果图制作成U盘形式递交，未提供不得分。</w:t>
            </w:r>
            <w:r>
              <w:rPr>
                <w:rFonts w:hint="eastAsia" w:ascii="宋体" w:hAnsi="宋体" w:eastAsia="宋体" w:cs="宋体"/>
                <w:color w:val="auto"/>
                <w:kern w:val="0"/>
                <w:sz w:val="21"/>
                <w:szCs w:val="21"/>
                <w:highlight w:val="none"/>
              </w:rPr>
              <w:br w:type="textWrapping"/>
            </w:r>
            <w:r>
              <w:rPr>
                <w:rFonts w:hint="eastAsia" w:ascii="宋体" w:hAnsi="宋体" w:eastAsia="宋体" w:cs="宋体"/>
                <w:b/>
                <w:bCs/>
                <w:color w:val="000000"/>
                <w:sz w:val="21"/>
                <w:szCs w:val="21"/>
              </w:rPr>
              <w:t>注：展示视频制作成U盘形式递交，未提供不得分。（具体递交方式详见第三章前附表1</w:t>
            </w:r>
            <w:r>
              <w:rPr>
                <w:rFonts w:hint="eastAsia" w:ascii="宋体" w:hAnsi="宋体" w:eastAsia="宋体" w:cs="宋体"/>
                <w:b/>
                <w:bCs/>
                <w:color w:val="000000"/>
                <w:sz w:val="21"/>
                <w:szCs w:val="21"/>
                <w:lang w:val="en-US" w:eastAsia="zh-CN"/>
              </w:rPr>
              <w:t>3</w:t>
            </w:r>
            <w:r>
              <w:rPr>
                <w:rFonts w:hint="eastAsia" w:ascii="宋体" w:hAnsi="宋体" w:eastAsia="宋体" w:cs="宋体"/>
                <w:b/>
                <w:bCs/>
                <w:color w:val="000000"/>
                <w:sz w:val="21"/>
                <w:szCs w:val="21"/>
              </w:rPr>
              <w:t>项）</w:t>
            </w:r>
          </w:p>
        </w:tc>
        <w:tc>
          <w:tcPr>
            <w:tcW w:w="736" w:type="dxa"/>
            <w:vAlign w:val="center"/>
          </w:tcPr>
          <w:p w14:paraId="1562A440">
            <w:pPr>
              <w:widowControl/>
              <w:spacing w:line="360" w:lineRule="auto"/>
              <w:jc w:val="center"/>
              <w:rPr>
                <w:rFonts w:hint="default" w:ascii="宋体" w:hAnsi="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5</w:t>
            </w:r>
          </w:p>
        </w:tc>
      </w:tr>
      <w:tr w14:paraId="01CFA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9004" w:type="dxa"/>
            <w:gridSpan w:val="3"/>
            <w:vAlign w:val="center"/>
          </w:tcPr>
          <w:p w14:paraId="45DEC2EE">
            <w:pPr>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合计</w:t>
            </w:r>
          </w:p>
        </w:tc>
        <w:tc>
          <w:tcPr>
            <w:tcW w:w="736" w:type="dxa"/>
            <w:vAlign w:val="center"/>
          </w:tcPr>
          <w:p w14:paraId="47416260">
            <w:pPr>
              <w:widowControl/>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70</w:t>
            </w:r>
          </w:p>
        </w:tc>
      </w:tr>
    </w:tbl>
    <w:p w14:paraId="4E422CF2">
      <w:pPr>
        <w:pStyle w:val="11"/>
        <w:snapToGrid w:val="0"/>
        <w:spacing w:after="0"/>
        <w:ind w:left="0" w:leftChars="0"/>
        <w:jc w:val="center"/>
        <w:outlineLvl w:val="0"/>
        <w:rPr>
          <w:rFonts w:hint="eastAsia" w:ascii="宋体" w:hAnsi="宋体" w:cs="宋体"/>
          <w:b/>
          <w:sz w:val="28"/>
          <w:szCs w:val="28"/>
        </w:rPr>
      </w:pPr>
      <w:r>
        <w:rPr>
          <w:rFonts w:hint="eastAsia" w:ascii="宋体" w:hAnsi="宋体" w:cs="宋体"/>
          <w:b/>
          <w:sz w:val="28"/>
          <w:szCs w:val="28"/>
        </w:rPr>
        <w:br w:type="page"/>
      </w:r>
      <w:bookmarkStart w:id="45" w:name="_Toc11760"/>
      <w:r>
        <w:rPr>
          <w:rFonts w:hint="eastAsia" w:ascii="宋体" w:hAnsi="宋体" w:cs="宋体"/>
          <w:b/>
          <w:sz w:val="28"/>
          <w:szCs w:val="28"/>
        </w:rPr>
        <w:t>第五章  合同主要条款</w:t>
      </w:r>
      <w:bookmarkEnd w:id="45"/>
    </w:p>
    <w:p w14:paraId="5437FC31">
      <w:pPr>
        <w:snapToGrid w:val="0"/>
        <w:jc w:val="center"/>
        <w:outlineLvl w:val="1"/>
        <w:rPr>
          <w:rFonts w:hint="eastAsia"/>
          <w:sz w:val="28"/>
          <w:szCs w:val="28"/>
        </w:rPr>
      </w:pPr>
      <w:bookmarkStart w:id="46" w:name="_Toc6951"/>
      <w:r>
        <w:rPr>
          <w:rFonts w:hint="eastAsia" w:ascii="宋体" w:hAnsi="宋体" w:cs="宋体"/>
          <w:b/>
          <w:sz w:val="28"/>
          <w:szCs w:val="28"/>
        </w:rPr>
        <w:t>（具体条款以甲方为主协商确定）</w:t>
      </w:r>
      <w:bookmarkEnd w:id="46"/>
    </w:p>
    <w:p w14:paraId="6FC6D267">
      <w:pPr>
        <w:spacing w:line="360" w:lineRule="auto"/>
        <w:jc w:val="center"/>
        <w:rPr>
          <w:rFonts w:ascii="宋体" w:hAnsi="宋体" w:cs="宋体"/>
          <w:w w:val="95"/>
          <w:sz w:val="22"/>
          <w:szCs w:val="22"/>
        </w:rPr>
      </w:pPr>
    </w:p>
    <w:p w14:paraId="5268BDB5">
      <w:pPr>
        <w:spacing w:line="360" w:lineRule="auto"/>
        <w:jc w:val="center"/>
        <w:rPr>
          <w:rFonts w:ascii="宋体" w:hAnsi="宋体" w:cs="宋体"/>
          <w:w w:val="95"/>
          <w:sz w:val="22"/>
          <w:szCs w:val="22"/>
        </w:rPr>
      </w:pPr>
    </w:p>
    <w:p w14:paraId="4C36AFF1">
      <w:pPr>
        <w:spacing w:line="360" w:lineRule="auto"/>
        <w:jc w:val="center"/>
        <w:rPr>
          <w:rFonts w:ascii="宋体" w:hAnsi="宋体" w:cs="宋体"/>
          <w:w w:val="95"/>
          <w:sz w:val="22"/>
          <w:szCs w:val="22"/>
        </w:rPr>
      </w:pPr>
    </w:p>
    <w:p w14:paraId="73FF1791">
      <w:pPr>
        <w:spacing w:line="360" w:lineRule="auto"/>
        <w:jc w:val="center"/>
        <w:rPr>
          <w:rFonts w:ascii="宋体" w:hAnsi="宋体" w:cs="宋体"/>
          <w:w w:val="95"/>
          <w:sz w:val="22"/>
          <w:szCs w:val="22"/>
        </w:rPr>
      </w:pPr>
    </w:p>
    <w:p w14:paraId="2DB50423">
      <w:pPr>
        <w:spacing w:line="360" w:lineRule="auto"/>
        <w:jc w:val="center"/>
        <w:rPr>
          <w:rFonts w:hint="eastAsia" w:ascii="宋体" w:hAnsi="宋体" w:cs="宋体"/>
          <w:sz w:val="44"/>
        </w:rPr>
      </w:pPr>
      <w:r>
        <w:rPr>
          <w:rFonts w:hint="eastAsia" w:ascii="宋体" w:hAnsi="宋体" w:cs="宋体"/>
          <w:sz w:val="44"/>
        </w:rPr>
        <w:t>项目合同</w:t>
      </w:r>
    </w:p>
    <w:p w14:paraId="5A58239A">
      <w:pPr>
        <w:spacing w:line="276" w:lineRule="auto"/>
        <w:jc w:val="center"/>
        <w:rPr>
          <w:rFonts w:hint="eastAsia" w:ascii="宋体" w:hAnsi="宋体" w:cs="宋体"/>
          <w:sz w:val="30"/>
          <w:szCs w:val="30"/>
        </w:rPr>
      </w:pPr>
    </w:p>
    <w:p w14:paraId="1AA3CF1C">
      <w:pPr>
        <w:spacing w:line="700" w:lineRule="exact"/>
        <w:ind w:firstLine="1026" w:firstLineChars="342"/>
        <w:rPr>
          <w:rFonts w:hint="eastAsia" w:ascii="宋体" w:hAnsi="宋体" w:cs="宋体"/>
          <w:sz w:val="30"/>
          <w:szCs w:val="30"/>
        </w:rPr>
      </w:pPr>
      <w:r>
        <w:rPr>
          <w:rFonts w:hint="eastAsia" w:ascii="宋体" w:hAnsi="宋体" w:cs="宋体"/>
          <w:sz w:val="30"/>
          <w:szCs w:val="30"/>
        </w:rPr>
        <w:t>项目名称：</w:t>
      </w:r>
      <w:r>
        <w:rPr>
          <w:rFonts w:hint="eastAsia" w:ascii="宋体" w:hAnsi="宋体" w:cs="宋体"/>
          <w:sz w:val="30"/>
          <w:szCs w:val="30"/>
          <w:u w:val="single"/>
        </w:rPr>
        <w:t xml:space="preserve">                                        </w:t>
      </w:r>
    </w:p>
    <w:p w14:paraId="1AC8664F">
      <w:pPr>
        <w:spacing w:line="500" w:lineRule="exact"/>
        <w:ind w:firstLine="354" w:firstLineChars="118"/>
        <w:rPr>
          <w:rFonts w:hint="eastAsia" w:ascii="宋体" w:hAnsi="宋体" w:cs="宋体"/>
          <w:sz w:val="30"/>
          <w:szCs w:val="30"/>
        </w:rPr>
      </w:pPr>
    </w:p>
    <w:p w14:paraId="0BFA31D9">
      <w:pPr>
        <w:spacing w:line="700" w:lineRule="exact"/>
        <w:ind w:firstLine="1026" w:firstLineChars="342"/>
        <w:rPr>
          <w:rFonts w:hint="eastAsia" w:ascii="宋体" w:hAnsi="宋体" w:cs="宋体"/>
          <w:sz w:val="30"/>
          <w:szCs w:val="30"/>
          <w:u w:val="single"/>
        </w:rPr>
      </w:pPr>
      <w:r>
        <w:rPr>
          <w:rFonts w:hint="eastAsia" w:ascii="宋体" w:hAnsi="宋体" w:cs="宋体"/>
          <w:sz w:val="30"/>
          <w:szCs w:val="30"/>
        </w:rPr>
        <w:t>项目编号：</w:t>
      </w:r>
      <w:r>
        <w:rPr>
          <w:rFonts w:hint="eastAsia" w:ascii="宋体" w:hAnsi="宋体" w:cs="宋体"/>
          <w:sz w:val="30"/>
          <w:szCs w:val="30"/>
          <w:u w:val="single"/>
        </w:rPr>
        <w:t xml:space="preserve">                                        </w:t>
      </w:r>
    </w:p>
    <w:p w14:paraId="49F5D6A2">
      <w:pPr>
        <w:spacing w:line="500" w:lineRule="exact"/>
        <w:rPr>
          <w:rFonts w:hint="eastAsia" w:ascii="宋体" w:hAnsi="宋体" w:cs="宋体"/>
          <w:sz w:val="28"/>
          <w:szCs w:val="28"/>
        </w:rPr>
      </w:pPr>
    </w:p>
    <w:p w14:paraId="1BEFB82D">
      <w:pPr>
        <w:spacing w:line="700" w:lineRule="exact"/>
        <w:rPr>
          <w:rFonts w:hint="eastAsia" w:ascii="宋体" w:hAnsi="宋体" w:cs="宋体"/>
          <w:sz w:val="30"/>
          <w:szCs w:val="30"/>
        </w:rPr>
      </w:pPr>
    </w:p>
    <w:p w14:paraId="1544345A">
      <w:pPr>
        <w:spacing w:line="700" w:lineRule="exact"/>
        <w:rPr>
          <w:rFonts w:hint="eastAsia" w:ascii="宋体" w:hAnsi="宋体" w:cs="宋体"/>
          <w:sz w:val="30"/>
          <w:szCs w:val="30"/>
        </w:rPr>
      </w:pPr>
    </w:p>
    <w:p w14:paraId="080979BE">
      <w:pPr>
        <w:spacing w:line="700" w:lineRule="exact"/>
        <w:rPr>
          <w:rFonts w:hint="eastAsia" w:ascii="宋体" w:hAnsi="宋体" w:cs="宋体"/>
          <w:sz w:val="30"/>
          <w:szCs w:val="30"/>
        </w:rPr>
      </w:pPr>
    </w:p>
    <w:p w14:paraId="758C6732">
      <w:pPr>
        <w:spacing w:line="700" w:lineRule="exact"/>
        <w:rPr>
          <w:rFonts w:hint="eastAsia" w:ascii="宋体" w:hAnsi="宋体" w:cs="宋体"/>
          <w:sz w:val="30"/>
          <w:szCs w:val="30"/>
        </w:rPr>
      </w:pPr>
    </w:p>
    <w:p w14:paraId="0AFEDF3F">
      <w:pPr>
        <w:spacing w:line="700" w:lineRule="exact"/>
        <w:ind w:firstLine="1026" w:firstLineChars="342"/>
        <w:rPr>
          <w:rFonts w:hint="eastAsia" w:ascii="宋体" w:hAnsi="宋体" w:cs="宋体"/>
          <w:sz w:val="30"/>
          <w:szCs w:val="30"/>
        </w:rPr>
      </w:pPr>
      <w:r>
        <w:rPr>
          <w:rFonts w:hint="eastAsia" w:ascii="宋体" w:hAnsi="宋体" w:cs="宋体"/>
          <w:sz w:val="30"/>
          <w:szCs w:val="30"/>
        </w:rPr>
        <w:t>采购人（甲方）：</w:t>
      </w:r>
      <w:r>
        <w:rPr>
          <w:rFonts w:hint="eastAsia" w:ascii="宋体" w:hAnsi="宋体" w:cs="宋体"/>
          <w:sz w:val="36"/>
          <w:szCs w:val="36"/>
          <w:u w:val="single"/>
        </w:rPr>
        <w:t xml:space="preserve">                              </w:t>
      </w:r>
    </w:p>
    <w:p w14:paraId="7F333113">
      <w:pPr>
        <w:spacing w:line="700" w:lineRule="exact"/>
        <w:ind w:firstLine="1026" w:firstLineChars="342"/>
        <w:rPr>
          <w:rFonts w:hint="eastAsia" w:ascii="宋体" w:hAnsi="宋体" w:cs="宋体"/>
          <w:sz w:val="30"/>
          <w:szCs w:val="30"/>
        </w:rPr>
      </w:pPr>
      <w:r>
        <w:rPr>
          <w:rFonts w:hint="eastAsia" w:ascii="宋体" w:hAnsi="宋体" w:cs="宋体"/>
          <w:sz w:val="30"/>
          <w:szCs w:val="30"/>
        </w:rPr>
        <w:t>中标人（乙方）：</w:t>
      </w:r>
      <w:r>
        <w:rPr>
          <w:rFonts w:hint="eastAsia" w:ascii="宋体" w:hAnsi="宋体" w:cs="宋体"/>
          <w:sz w:val="36"/>
          <w:szCs w:val="36"/>
          <w:u w:val="single"/>
        </w:rPr>
        <w:t xml:space="preserve">                              </w:t>
      </w:r>
    </w:p>
    <w:p w14:paraId="2279492F">
      <w:pPr>
        <w:spacing w:line="700" w:lineRule="exact"/>
        <w:ind w:firstLine="1026" w:firstLineChars="342"/>
        <w:rPr>
          <w:rFonts w:hint="eastAsia" w:ascii="宋体" w:hAnsi="宋体" w:cs="宋体"/>
          <w:sz w:val="30"/>
          <w:szCs w:val="30"/>
        </w:rPr>
      </w:pPr>
      <w:r>
        <w:rPr>
          <w:rFonts w:hint="eastAsia" w:ascii="宋体" w:hAnsi="宋体" w:cs="宋体"/>
          <w:sz w:val="30"/>
          <w:szCs w:val="30"/>
        </w:rPr>
        <w:t>合同签订日：</w:t>
      </w:r>
      <w:r>
        <w:rPr>
          <w:rFonts w:hint="eastAsia" w:ascii="宋体" w:hAnsi="宋体" w:cs="宋体"/>
          <w:sz w:val="30"/>
          <w:szCs w:val="30"/>
          <w:u w:val="single"/>
        </w:rPr>
        <w:t xml:space="preserve"> 20</w:t>
      </w:r>
      <w:r>
        <w:rPr>
          <w:rFonts w:ascii="宋体" w:hAnsi="宋体" w:cs="宋体"/>
          <w:sz w:val="30"/>
          <w:szCs w:val="30"/>
          <w:u w:val="single"/>
        </w:rPr>
        <w:t xml:space="preserve">  </w:t>
      </w:r>
      <w:r>
        <w:rPr>
          <w:rFonts w:hint="eastAsia" w:ascii="宋体" w:hAnsi="宋体" w:cs="宋体"/>
          <w:sz w:val="30"/>
          <w:szCs w:val="30"/>
          <w:u w:val="single"/>
        </w:rPr>
        <w:t xml:space="preserve">年   月   日                      </w:t>
      </w:r>
    </w:p>
    <w:p w14:paraId="67FF7A0F">
      <w:pPr>
        <w:spacing w:line="700" w:lineRule="exact"/>
        <w:ind w:firstLine="1026" w:firstLineChars="342"/>
        <w:rPr>
          <w:rFonts w:hint="eastAsia" w:ascii="宋体" w:hAnsi="宋体" w:cs="宋体"/>
          <w:sz w:val="30"/>
          <w:szCs w:val="30"/>
        </w:rPr>
      </w:pPr>
      <w:r>
        <w:rPr>
          <w:rFonts w:hint="eastAsia" w:ascii="宋体" w:hAnsi="宋体" w:cs="宋体"/>
          <w:sz w:val="30"/>
          <w:szCs w:val="30"/>
        </w:rPr>
        <w:t>合同签订地点：</w:t>
      </w:r>
      <w:r>
        <w:rPr>
          <w:rFonts w:hint="eastAsia" w:ascii="宋体" w:hAnsi="宋体" w:cs="宋体"/>
          <w:sz w:val="36"/>
          <w:szCs w:val="36"/>
          <w:u w:val="single"/>
        </w:rPr>
        <w:t xml:space="preserve">  </w:t>
      </w:r>
      <w:r>
        <w:rPr>
          <w:rFonts w:hint="eastAsia" w:ascii="宋体" w:hAnsi="宋体" w:cs="宋体"/>
          <w:sz w:val="28"/>
          <w:szCs w:val="36"/>
          <w:u w:val="single"/>
        </w:rPr>
        <w:t xml:space="preserve"> </w:t>
      </w:r>
      <w:r>
        <w:rPr>
          <w:rFonts w:hint="eastAsia" w:ascii="宋体" w:hAnsi="宋体" w:cs="宋体"/>
          <w:sz w:val="30"/>
          <w:szCs w:val="30"/>
          <w:u w:val="single"/>
        </w:rPr>
        <w:t>舟山市</w:t>
      </w:r>
      <w:r>
        <w:rPr>
          <w:rFonts w:hint="eastAsia" w:ascii="宋体" w:hAnsi="宋体" w:cs="宋体"/>
          <w:sz w:val="36"/>
          <w:szCs w:val="36"/>
          <w:u w:val="single"/>
        </w:rPr>
        <w:t xml:space="preserve">                       </w:t>
      </w:r>
    </w:p>
    <w:p w14:paraId="3DAEEE15">
      <w:pPr>
        <w:spacing w:line="360" w:lineRule="auto"/>
        <w:ind w:firstLine="436" w:firstLineChars="200"/>
        <w:rPr>
          <w:rFonts w:hint="eastAsia" w:ascii="宋体" w:hAnsi="宋体" w:cs="宋体"/>
          <w:spacing w:val="4"/>
          <w:szCs w:val="21"/>
        </w:rPr>
      </w:pPr>
      <w:r>
        <w:rPr>
          <w:rFonts w:hint="eastAsia" w:ascii="宋体" w:hAnsi="宋体" w:cs="宋体"/>
          <w:spacing w:val="4"/>
          <w:szCs w:val="21"/>
        </w:rPr>
        <w:br w:type="page"/>
      </w:r>
      <w:r>
        <w:rPr>
          <w:rFonts w:hint="eastAsia" w:ascii="宋体" w:hAnsi="宋体" w:cs="宋体"/>
          <w:spacing w:val="4"/>
          <w:szCs w:val="21"/>
        </w:rPr>
        <w:t>甲方对</w:t>
      </w:r>
      <w:r>
        <w:rPr>
          <w:rFonts w:hint="eastAsia" w:ascii="宋体" w:hAnsi="宋体" w:cs="宋体"/>
          <w:szCs w:val="21"/>
          <w:u w:val="single"/>
        </w:rPr>
        <w:t xml:space="preserve">                                                </w:t>
      </w:r>
      <w:r>
        <w:rPr>
          <w:rFonts w:hint="eastAsia" w:ascii="宋体" w:hAnsi="宋体" w:cs="宋体"/>
          <w:spacing w:val="4"/>
          <w:szCs w:val="21"/>
        </w:rPr>
        <w:t>进行公开招标。经评审小组评定并最终审核通过，确定乙方为本项采购项目的中标人。甲乙双方根据《中华人民共和国政府采购法》、《中华人民共和国民法典》等相关法律法规及本项目招标文件的规定，双方经平等协商达成一致意见，订立本合同。</w:t>
      </w:r>
    </w:p>
    <w:p w14:paraId="76BAE8C5">
      <w:pPr>
        <w:spacing w:line="360" w:lineRule="auto"/>
        <w:outlineLvl w:val="1"/>
        <w:rPr>
          <w:rFonts w:hint="eastAsia" w:ascii="宋体" w:hAnsi="宋体" w:cs="宋体"/>
          <w:b/>
          <w:szCs w:val="21"/>
        </w:rPr>
      </w:pPr>
      <w:bookmarkStart w:id="47" w:name="_Toc23279"/>
      <w:r>
        <w:rPr>
          <w:rFonts w:hint="eastAsia" w:ascii="宋体" w:hAnsi="宋体" w:cs="宋体"/>
          <w:b/>
          <w:szCs w:val="21"/>
        </w:rPr>
        <w:t>一、合同文件</w:t>
      </w:r>
      <w:bookmarkEnd w:id="47"/>
    </w:p>
    <w:p w14:paraId="393E2B86">
      <w:pPr>
        <w:spacing w:line="360" w:lineRule="auto"/>
        <w:ind w:firstLine="420" w:firstLineChars="200"/>
        <w:rPr>
          <w:rFonts w:hint="eastAsia" w:ascii="宋体" w:hAnsi="宋体" w:cs="宋体"/>
          <w:szCs w:val="21"/>
        </w:rPr>
      </w:pPr>
      <w:r>
        <w:rPr>
          <w:rFonts w:hint="eastAsia" w:ascii="宋体" w:hAnsi="宋体" w:cs="宋体"/>
          <w:szCs w:val="21"/>
        </w:rPr>
        <w:t>下列文件构成本合同的组成部分：</w:t>
      </w:r>
    </w:p>
    <w:p w14:paraId="442DC390">
      <w:pPr>
        <w:adjustRightInd w:val="0"/>
        <w:spacing w:line="360" w:lineRule="auto"/>
        <w:ind w:firstLine="420" w:firstLineChars="200"/>
        <w:textAlignment w:val="baseline"/>
        <w:rPr>
          <w:rFonts w:hint="eastAsia" w:ascii="宋体" w:hAnsi="宋体" w:cs="宋体"/>
          <w:szCs w:val="21"/>
        </w:rPr>
      </w:pPr>
      <w:r>
        <w:rPr>
          <w:rFonts w:hint="eastAsia" w:ascii="宋体" w:hAnsi="宋体" w:cs="宋体"/>
          <w:szCs w:val="21"/>
        </w:rPr>
        <w:t>1.招标文件</w:t>
      </w:r>
    </w:p>
    <w:p w14:paraId="5779C377">
      <w:pPr>
        <w:adjustRightInd w:val="0"/>
        <w:spacing w:line="360" w:lineRule="auto"/>
        <w:ind w:firstLine="420" w:firstLineChars="200"/>
        <w:textAlignment w:val="baseline"/>
        <w:rPr>
          <w:rFonts w:hint="eastAsia" w:ascii="宋体" w:hAnsi="宋体" w:cs="宋体"/>
          <w:szCs w:val="21"/>
        </w:rPr>
      </w:pPr>
      <w:r>
        <w:rPr>
          <w:rFonts w:hint="eastAsia" w:ascii="宋体" w:hAnsi="宋体" w:cs="宋体"/>
          <w:szCs w:val="21"/>
        </w:rPr>
        <w:t>2.中标文件</w:t>
      </w:r>
    </w:p>
    <w:p w14:paraId="1AF37411">
      <w:pPr>
        <w:adjustRightInd w:val="0"/>
        <w:spacing w:line="360" w:lineRule="auto"/>
        <w:ind w:firstLine="420" w:firstLineChars="200"/>
        <w:textAlignment w:val="baseline"/>
        <w:rPr>
          <w:rFonts w:hint="eastAsia" w:ascii="宋体" w:hAnsi="宋体" w:cs="宋体"/>
          <w:szCs w:val="21"/>
        </w:rPr>
      </w:pPr>
      <w:r>
        <w:rPr>
          <w:rFonts w:hint="eastAsia" w:ascii="宋体" w:hAnsi="宋体" w:cs="宋体"/>
          <w:szCs w:val="21"/>
        </w:rPr>
        <w:t>3.相关补充文件</w:t>
      </w:r>
    </w:p>
    <w:p w14:paraId="093C63E3">
      <w:pPr>
        <w:adjustRightInd w:val="0"/>
        <w:spacing w:line="360" w:lineRule="auto"/>
        <w:textAlignment w:val="baseline"/>
        <w:outlineLvl w:val="1"/>
        <w:rPr>
          <w:rFonts w:hint="eastAsia" w:ascii="宋体" w:hAnsi="宋体" w:cs="宋体"/>
          <w:szCs w:val="21"/>
        </w:rPr>
      </w:pPr>
      <w:bookmarkStart w:id="48" w:name="_Toc32386"/>
      <w:r>
        <w:rPr>
          <w:rFonts w:hint="eastAsia" w:ascii="宋体" w:hAnsi="宋体" w:cs="宋体"/>
          <w:b/>
          <w:szCs w:val="21"/>
        </w:rPr>
        <w:t>二、合同范围和条件</w:t>
      </w:r>
      <w:bookmarkEnd w:id="48"/>
    </w:p>
    <w:p w14:paraId="6AB797BE">
      <w:pPr>
        <w:spacing w:line="360" w:lineRule="auto"/>
        <w:ind w:firstLine="420" w:firstLineChars="200"/>
        <w:rPr>
          <w:rFonts w:hint="eastAsia" w:ascii="宋体" w:hAnsi="宋体" w:cs="宋体"/>
          <w:szCs w:val="21"/>
        </w:rPr>
      </w:pPr>
      <w:r>
        <w:rPr>
          <w:rFonts w:hint="eastAsia" w:ascii="宋体" w:hAnsi="宋体" w:cs="宋体"/>
          <w:szCs w:val="21"/>
        </w:rPr>
        <w:t>本合同的范围和条件与上述规定的合同文件内容一致。</w:t>
      </w:r>
    </w:p>
    <w:p w14:paraId="6C7E8203">
      <w:pPr>
        <w:spacing w:line="360" w:lineRule="auto"/>
        <w:outlineLvl w:val="1"/>
        <w:rPr>
          <w:rFonts w:hint="eastAsia" w:ascii="宋体" w:hAnsi="宋体" w:eastAsia="宋体" w:cs="宋体"/>
          <w:b/>
          <w:sz w:val="21"/>
          <w:szCs w:val="21"/>
        </w:rPr>
      </w:pPr>
      <w:bookmarkStart w:id="49" w:name="_Toc16248"/>
      <w:r>
        <w:rPr>
          <w:rFonts w:hint="eastAsia" w:ascii="宋体" w:hAnsi="宋体" w:eastAsia="宋体" w:cs="宋体"/>
          <w:b/>
          <w:sz w:val="21"/>
          <w:szCs w:val="21"/>
        </w:rPr>
        <w:t>三、合同金额</w:t>
      </w:r>
      <w:bookmarkEnd w:id="49"/>
    </w:p>
    <w:p w14:paraId="092DB980">
      <w:pPr>
        <w:spacing w:line="360" w:lineRule="auto"/>
        <w:ind w:firstLine="436" w:firstLineChars="200"/>
        <w:rPr>
          <w:rFonts w:hint="eastAsia" w:ascii="宋体" w:hAnsi="宋体" w:eastAsia="宋体" w:cs="宋体"/>
          <w:b/>
          <w:sz w:val="21"/>
          <w:szCs w:val="21"/>
        </w:rPr>
      </w:pPr>
      <w:r>
        <w:rPr>
          <w:rFonts w:hint="eastAsia" w:ascii="宋体" w:hAnsi="宋体" w:eastAsia="宋体" w:cs="宋体"/>
          <w:spacing w:val="4"/>
          <w:sz w:val="21"/>
          <w:szCs w:val="21"/>
        </w:rPr>
        <w:t>本项目的</w:t>
      </w:r>
      <w:r>
        <w:rPr>
          <w:rFonts w:hint="eastAsia" w:ascii="宋体" w:hAnsi="宋体" w:eastAsia="宋体" w:cs="宋体"/>
          <w:sz w:val="21"/>
          <w:szCs w:val="21"/>
        </w:rPr>
        <w:t>合同总价为</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元人民币。 </w:t>
      </w:r>
    </w:p>
    <w:p w14:paraId="73F8BEA6">
      <w:pPr>
        <w:spacing w:line="360" w:lineRule="auto"/>
        <w:outlineLvl w:val="1"/>
        <w:rPr>
          <w:rFonts w:hint="eastAsia" w:ascii="宋体" w:hAnsi="宋体" w:eastAsia="宋体" w:cs="宋体"/>
          <w:b/>
          <w:sz w:val="21"/>
          <w:szCs w:val="21"/>
        </w:rPr>
      </w:pPr>
      <w:bookmarkStart w:id="50" w:name="_Toc15410"/>
      <w:r>
        <w:rPr>
          <w:rFonts w:hint="eastAsia" w:ascii="宋体" w:hAnsi="宋体" w:eastAsia="宋体" w:cs="宋体"/>
          <w:b/>
          <w:sz w:val="21"/>
          <w:szCs w:val="21"/>
        </w:rPr>
        <w:t>四、付款方式</w:t>
      </w:r>
      <w:bookmarkEnd w:id="50"/>
    </w:p>
    <w:p w14:paraId="2DD324C9">
      <w:pPr>
        <w:spacing w:line="360" w:lineRule="auto"/>
        <w:ind w:firstLine="420" w:firstLineChars="200"/>
        <w:rPr>
          <w:rFonts w:hint="eastAsia" w:ascii="宋体" w:hAnsi="宋体" w:eastAsia="宋体" w:cs="宋体"/>
          <w:bCs w:val="0"/>
          <w:i w:val="0"/>
          <w:color w:val="000000"/>
          <w:kern w:val="0"/>
          <w:sz w:val="21"/>
          <w:szCs w:val="21"/>
          <w:lang w:val="en-US" w:eastAsia="zh-CN" w:bidi="ar-SA"/>
        </w:rPr>
      </w:pPr>
      <w:r>
        <w:rPr>
          <w:rFonts w:hint="eastAsia" w:ascii="宋体" w:hAnsi="宋体" w:eastAsia="宋体" w:cs="宋体"/>
          <w:bCs w:val="0"/>
          <w:i w:val="0"/>
          <w:color w:val="000000"/>
          <w:kern w:val="0"/>
          <w:sz w:val="21"/>
          <w:szCs w:val="21"/>
          <w:lang w:val="en-US" w:eastAsia="zh-CN" w:bidi="ar-SA"/>
        </w:rPr>
        <w:t>1、合同签订完成后，</w:t>
      </w:r>
      <w:r>
        <w:rPr>
          <w:rFonts w:hint="eastAsia" w:ascii="宋体" w:hAnsi="宋体" w:cs="宋体"/>
          <w:bCs w:val="0"/>
          <w:i w:val="0"/>
          <w:color w:val="000000"/>
          <w:kern w:val="0"/>
          <w:sz w:val="21"/>
          <w:szCs w:val="21"/>
          <w:lang w:val="en-US" w:eastAsia="zh-CN" w:bidi="ar-SA"/>
        </w:rPr>
        <w:t>甲方</w:t>
      </w:r>
      <w:r>
        <w:rPr>
          <w:rFonts w:hint="eastAsia" w:ascii="宋体" w:hAnsi="宋体" w:eastAsia="宋体" w:cs="宋体"/>
          <w:bCs w:val="0"/>
          <w:i w:val="0"/>
          <w:color w:val="000000"/>
          <w:kern w:val="0"/>
          <w:sz w:val="21"/>
          <w:szCs w:val="21"/>
          <w:lang w:val="en-US" w:eastAsia="zh-CN" w:bidi="ar-SA"/>
        </w:rPr>
        <w:t>收到</w:t>
      </w:r>
      <w:r>
        <w:rPr>
          <w:rFonts w:hint="eastAsia" w:ascii="宋体" w:hAnsi="宋体" w:cs="宋体"/>
          <w:bCs w:val="0"/>
          <w:i w:val="0"/>
          <w:color w:val="000000"/>
          <w:kern w:val="0"/>
          <w:sz w:val="21"/>
          <w:szCs w:val="21"/>
          <w:lang w:val="en-US" w:eastAsia="zh-CN" w:bidi="ar-SA"/>
        </w:rPr>
        <w:t>乙方</w:t>
      </w:r>
      <w:r>
        <w:rPr>
          <w:rFonts w:hint="eastAsia" w:ascii="宋体" w:hAnsi="宋体" w:eastAsia="宋体" w:cs="宋体"/>
          <w:bCs w:val="0"/>
          <w:i w:val="0"/>
          <w:color w:val="000000"/>
          <w:kern w:val="0"/>
          <w:sz w:val="21"/>
          <w:szCs w:val="21"/>
          <w:lang w:val="en-US" w:eastAsia="zh-CN" w:bidi="ar-SA"/>
        </w:rPr>
        <w:t>正规发票7个工作日内，支付合同总额的40%的预付款。</w:t>
      </w:r>
    </w:p>
    <w:p w14:paraId="4D3E4F96">
      <w:pPr>
        <w:spacing w:line="360" w:lineRule="auto"/>
        <w:ind w:firstLine="420" w:firstLineChars="200"/>
        <w:rPr>
          <w:rFonts w:hint="eastAsia" w:ascii="宋体" w:hAnsi="宋体" w:eastAsia="宋体" w:cs="宋体"/>
          <w:bCs w:val="0"/>
          <w:i w:val="0"/>
          <w:color w:val="000000"/>
          <w:kern w:val="0"/>
          <w:sz w:val="21"/>
          <w:szCs w:val="21"/>
          <w:lang w:val="en-US" w:eastAsia="zh-CN" w:bidi="ar-SA"/>
        </w:rPr>
      </w:pPr>
      <w:r>
        <w:rPr>
          <w:rFonts w:hint="eastAsia" w:ascii="宋体" w:hAnsi="宋体" w:eastAsia="宋体" w:cs="宋体"/>
          <w:bCs w:val="0"/>
          <w:i w:val="0"/>
          <w:color w:val="000000"/>
          <w:kern w:val="0"/>
          <w:sz w:val="21"/>
          <w:szCs w:val="21"/>
          <w:lang w:val="en-US" w:eastAsia="zh-CN" w:bidi="ar-SA"/>
        </w:rPr>
        <w:t>2、项目建设完成并通过项目初验后，</w:t>
      </w:r>
      <w:r>
        <w:rPr>
          <w:rFonts w:hint="eastAsia" w:ascii="宋体" w:hAnsi="宋体" w:cs="宋体"/>
          <w:bCs w:val="0"/>
          <w:i w:val="0"/>
          <w:color w:val="000000"/>
          <w:kern w:val="0"/>
          <w:sz w:val="21"/>
          <w:szCs w:val="21"/>
          <w:lang w:val="en-US" w:eastAsia="zh-CN" w:bidi="ar-SA"/>
        </w:rPr>
        <w:t>甲方</w:t>
      </w:r>
      <w:r>
        <w:rPr>
          <w:rFonts w:hint="eastAsia" w:ascii="宋体" w:hAnsi="宋体" w:eastAsia="宋体" w:cs="宋体"/>
          <w:bCs w:val="0"/>
          <w:i w:val="0"/>
          <w:color w:val="000000"/>
          <w:kern w:val="0"/>
          <w:sz w:val="21"/>
          <w:szCs w:val="21"/>
          <w:lang w:val="en-US" w:eastAsia="zh-CN" w:bidi="ar-SA"/>
        </w:rPr>
        <w:t>收到</w:t>
      </w:r>
      <w:r>
        <w:rPr>
          <w:rFonts w:hint="eastAsia" w:ascii="宋体" w:hAnsi="宋体" w:cs="宋体"/>
          <w:bCs w:val="0"/>
          <w:i w:val="0"/>
          <w:color w:val="000000"/>
          <w:kern w:val="0"/>
          <w:sz w:val="21"/>
          <w:szCs w:val="21"/>
          <w:lang w:val="en-US" w:eastAsia="zh-CN" w:bidi="ar-SA"/>
        </w:rPr>
        <w:t>乙方</w:t>
      </w:r>
      <w:r>
        <w:rPr>
          <w:rFonts w:hint="eastAsia" w:ascii="宋体" w:hAnsi="宋体" w:eastAsia="宋体" w:cs="宋体"/>
          <w:bCs w:val="0"/>
          <w:i w:val="0"/>
          <w:color w:val="000000"/>
          <w:kern w:val="0"/>
          <w:sz w:val="21"/>
          <w:szCs w:val="21"/>
          <w:lang w:val="en-US" w:eastAsia="zh-CN" w:bidi="ar-SA"/>
        </w:rPr>
        <w:t>正规发票7个工作日内，支付合同总额的30%。</w:t>
      </w:r>
    </w:p>
    <w:p w14:paraId="0709D7A4">
      <w:pPr>
        <w:spacing w:line="360" w:lineRule="auto"/>
        <w:ind w:firstLine="420" w:firstLineChars="200"/>
        <w:rPr>
          <w:rFonts w:hint="eastAsia" w:ascii="宋体" w:hAnsi="宋体" w:eastAsia="宋体" w:cs="宋体"/>
          <w:b/>
          <w:bCs/>
          <w:i w:val="0"/>
          <w:color w:val="000000"/>
          <w:kern w:val="0"/>
          <w:sz w:val="21"/>
          <w:szCs w:val="21"/>
          <w:lang w:val="en-US" w:eastAsia="zh-CN" w:bidi="ar-SA"/>
        </w:rPr>
      </w:pPr>
      <w:r>
        <w:rPr>
          <w:rFonts w:hint="eastAsia" w:ascii="宋体" w:hAnsi="宋体" w:eastAsia="宋体" w:cs="宋体"/>
          <w:bCs w:val="0"/>
          <w:i w:val="0"/>
          <w:color w:val="000000"/>
          <w:kern w:val="0"/>
          <w:sz w:val="21"/>
          <w:szCs w:val="21"/>
          <w:lang w:val="en-US" w:eastAsia="zh-CN" w:bidi="ar-SA"/>
        </w:rPr>
        <w:t>3、项目</w:t>
      </w:r>
      <w:r>
        <w:rPr>
          <w:rFonts w:hint="eastAsia" w:ascii="宋体" w:hAnsi="宋体" w:eastAsia="宋体" w:cs="宋体"/>
          <w:bCs w:val="0"/>
          <w:i w:val="0"/>
          <w:color w:val="000000"/>
          <w:kern w:val="0"/>
          <w:sz w:val="21"/>
          <w:szCs w:val="21"/>
          <w:highlight w:val="none"/>
          <w:lang w:val="en-US" w:eastAsia="zh-CN" w:bidi="ar-SA"/>
        </w:rPr>
        <w:t>完成试运行并通过项目终验后</w:t>
      </w:r>
      <w:r>
        <w:rPr>
          <w:rFonts w:hint="eastAsia" w:ascii="宋体" w:hAnsi="宋体" w:eastAsia="宋体" w:cs="宋体"/>
          <w:bCs w:val="0"/>
          <w:i w:val="0"/>
          <w:color w:val="000000"/>
          <w:kern w:val="0"/>
          <w:sz w:val="21"/>
          <w:szCs w:val="21"/>
          <w:lang w:val="en-US" w:eastAsia="zh-CN" w:bidi="ar-SA"/>
        </w:rPr>
        <w:t>，</w:t>
      </w:r>
      <w:r>
        <w:rPr>
          <w:rFonts w:hint="eastAsia" w:ascii="宋体" w:hAnsi="宋体" w:cs="宋体"/>
          <w:bCs w:val="0"/>
          <w:i w:val="0"/>
          <w:color w:val="000000"/>
          <w:kern w:val="0"/>
          <w:sz w:val="21"/>
          <w:szCs w:val="21"/>
          <w:lang w:val="en-US" w:eastAsia="zh-CN" w:bidi="ar-SA"/>
        </w:rPr>
        <w:t>甲方</w:t>
      </w:r>
      <w:r>
        <w:rPr>
          <w:rFonts w:hint="eastAsia" w:ascii="宋体" w:hAnsi="宋体" w:eastAsia="宋体" w:cs="宋体"/>
          <w:bCs w:val="0"/>
          <w:i w:val="0"/>
          <w:color w:val="000000"/>
          <w:kern w:val="0"/>
          <w:sz w:val="21"/>
          <w:szCs w:val="21"/>
          <w:lang w:val="en-US" w:eastAsia="zh-CN" w:bidi="ar-SA"/>
        </w:rPr>
        <w:t>收到</w:t>
      </w:r>
      <w:r>
        <w:rPr>
          <w:rFonts w:hint="eastAsia" w:ascii="宋体" w:hAnsi="宋体" w:cs="宋体"/>
          <w:bCs w:val="0"/>
          <w:i w:val="0"/>
          <w:color w:val="000000"/>
          <w:kern w:val="0"/>
          <w:sz w:val="21"/>
          <w:szCs w:val="21"/>
          <w:lang w:val="en-US" w:eastAsia="zh-CN" w:bidi="ar-SA"/>
        </w:rPr>
        <w:t>乙方</w:t>
      </w:r>
      <w:r>
        <w:rPr>
          <w:rFonts w:hint="eastAsia" w:ascii="宋体" w:hAnsi="宋体" w:eastAsia="宋体" w:cs="宋体"/>
          <w:bCs w:val="0"/>
          <w:i w:val="0"/>
          <w:color w:val="000000"/>
          <w:kern w:val="0"/>
          <w:sz w:val="21"/>
          <w:szCs w:val="21"/>
          <w:lang w:val="en-US" w:eastAsia="zh-CN" w:bidi="ar-SA"/>
        </w:rPr>
        <w:t>正规发票7个工作日内，支付合同总额的30%（最终决算按照第三方审计为准）。</w:t>
      </w:r>
    </w:p>
    <w:p w14:paraId="2BC4049F">
      <w:pPr>
        <w:numPr>
          <w:ilvl w:val="0"/>
          <w:numId w:val="0"/>
        </w:numPr>
        <w:spacing w:line="360" w:lineRule="auto"/>
        <w:outlineLvl w:val="1"/>
        <w:rPr>
          <w:rFonts w:hint="eastAsia" w:ascii="宋体" w:hAnsi="宋体" w:eastAsia="宋体" w:cs="宋体"/>
          <w:b/>
          <w:bCs/>
          <w:sz w:val="21"/>
          <w:szCs w:val="21"/>
          <w:lang w:val="en-US" w:eastAsia="zh-CN"/>
        </w:rPr>
      </w:pPr>
      <w:bookmarkStart w:id="51" w:name="_Toc32541"/>
      <w:r>
        <w:rPr>
          <w:rFonts w:hint="eastAsia" w:ascii="宋体" w:hAnsi="宋体" w:eastAsia="宋体" w:cs="宋体"/>
          <w:b/>
          <w:bCs/>
          <w:kern w:val="2"/>
          <w:sz w:val="21"/>
          <w:szCs w:val="21"/>
          <w:lang w:val="en-US" w:eastAsia="zh-CN" w:bidi="ar-SA"/>
        </w:rPr>
        <w:t>五、</w:t>
      </w:r>
      <w:r>
        <w:rPr>
          <w:rFonts w:hint="eastAsia" w:ascii="宋体" w:hAnsi="宋体" w:eastAsia="宋体" w:cs="宋体"/>
          <w:b/>
          <w:bCs/>
          <w:sz w:val="21"/>
          <w:szCs w:val="21"/>
        </w:rPr>
        <w:t>工期及交货地点要求</w:t>
      </w:r>
      <w:bookmarkEnd w:id="51"/>
    </w:p>
    <w:p w14:paraId="508D5DBF">
      <w:pPr>
        <w:pStyle w:val="27"/>
        <w:spacing w:before="0" w:beforeAutospacing="0" w:after="0" w:afterAutospacing="0" w:line="360" w:lineRule="auto"/>
        <w:ind w:firstLine="420" w:firstLineChars="200"/>
        <w:jc w:val="both"/>
        <w:rPr>
          <w:rFonts w:hint="eastAsia" w:ascii="宋体" w:hAnsi="宋体" w:eastAsia="宋体" w:cs="宋体"/>
          <w:sz w:val="21"/>
          <w:szCs w:val="21"/>
          <w:highlight w:val="red"/>
        </w:rPr>
      </w:pPr>
      <w:r>
        <w:rPr>
          <w:rFonts w:hint="eastAsia" w:ascii="宋体" w:hAnsi="宋体" w:eastAsia="宋体" w:cs="宋体"/>
          <w:bCs w:val="0"/>
          <w:i w:val="0"/>
          <w:color w:val="000000"/>
          <w:kern w:val="0"/>
          <w:sz w:val="21"/>
          <w:szCs w:val="21"/>
          <w:lang w:val="en-US" w:eastAsia="zh-CN" w:bidi="ar-SA"/>
        </w:rPr>
        <w:t>1、合同签订后2个月内完成项目的采购安装，并通过项目的初验</w:t>
      </w:r>
      <w:r>
        <w:rPr>
          <w:rFonts w:hint="eastAsia" w:ascii="宋体" w:hAnsi="宋体" w:eastAsia="宋体" w:cs="宋体"/>
          <w:sz w:val="21"/>
          <w:szCs w:val="21"/>
          <w:highlight w:val="none"/>
        </w:rPr>
        <w:t>；初验通过后试运行，试运行1个月后无任何问题进行终验。</w:t>
      </w:r>
    </w:p>
    <w:p w14:paraId="11BCE9F0">
      <w:pPr>
        <w:spacing w:line="360" w:lineRule="auto"/>
        <w:ind w:firstLine="400" w:firstLineChars="200"/>
        <w:rPr>
          <w:rFonts w:hint="eastAsia" w:ascii="宋体" w:hAnsi="宋体" w:eastAsia="宋体" w:cs="宋体"/>
          <w:bCs w:val="0"/>
          <w:i w:val="0"/>
          <w:color w:val="000000"/>
          <w:kern w:val="0"/>
          <w:sz w:val="21"/>
          <w:szCs w:val="21"/>
          <w:lang w:val="en-US" w:eastAsia="zh-CN" w:bidi="ar-SA"/>
        </w:rPr>
      </w:pPr>
      <w:r>
        <w:rPr>
          <w:rFonts w:hint="eastAsia" w:ascii="宋体" w:hAnsi="宋体" w:eastAsia="宋体" w:cs="宋体"/>
          <w:spacing w:val="-5"/>
          <w:kern w:val="0"/>
          <w:sz w:val="21"/>
          <w:szCs w:val="21"/>
        </w:rPr>
        <w:t>2、交货地点要求:</w:t>
      </w:r>
      <w:r>
        <w:rPr>
          <w:rFonts w:hint="eastAsia" w:ascii="宋体" w:hAnsi="宋体" w:eastAsia="宋体" w:cs="宋体"/>
          <w:spacing w:val="-5"/>
          <w:kern w:val="0"/>
          <w:sz w:val="21"/>
          <w:szCs w:val="21"/>
          <w:lang w:val="en-US" w:eastAsia="zh-CN"/>
        </w:rPr>
        <w:t>甲方</w:t>
      </w:r>
      <w:r>
        <w:rPr>
          <w:rFonts w:hint="eastAsia" w:ascii="宋体" w:hAnsi="宋体" w:eastAsia="宋体" w:cs="宋体"/>
          <w:spacing w:val="-5"/>
          <w:kern w:val="0"/>
          <w:sz w:val="21"/>
          <w:szCs w:val="21"/>
        </w:rPr>
        <w:t>指定地点</w:t>
      </w:r>
      <w:r>
        <w:rPr>
          <w:rFonts w:hint="eastAsia" w:ascii="宋体" w:hAnsi="宋体" w:eastAsia="宋体" w:cs="宋体"/>
          <w:spacing w:val="-5"/>
          <w:kern w:val="0"/>
          <w:sz w:val="21"/>
          <w:szCs w:val="21"/>
          <w:lang w:eastAsia="zh-CN"/>
        </w:rPr>
        <w:t>。</w:t>
      </w:r>
    </w:p>
    <w:p w14:paraId="568D8EB3">
      <w:pPr>
        <w:spacing w:line="360" w:lineRule="auto"/>
        <w:outlineLvl w:val="1"/>
        <w:rPr>
          <w:rFonts w:hint="eastAsia" w:ascii="宋体" w:hAnsi="宋体" w:eastAsia="宋体" w:cs="宋体"/>
          <w:b/>
          <w:sz w:val="21"/>
          <w:szCs w:val="21"/>
        </w:rPr>
      </w:pPr>
      <w:bookmarkStart w:id="52" w:name="_Toc25413"/>
      <w:r>
        <w:rPr>
          <w:rFonts w:hint="eastAsia" w:ascii="宋体" w:hAnsi="宋体" w:cs="宋体"/>
          <w:b/>
          <w:sz w:val="21"/>
          <w:szCs w:val="21"/>
          <w:lang w:val="en-US" w:eastAsia="zh-CN"/>
        </w:rPr>
        <w:t>六</w:t>
      </w:r>
      <w:r>
        <w:rPr>
          <w:rFonts w:hint="eastAsia" w:ascii="宋体" w:hAnsi="宋体" w:eastAsia="宋体" w:cs="宋体"/>
          <w:b/>
          <w:sz w:val="21"/>
          <w:szCs w:val="21"/>
        </w:rPr>
        <w:t>、合同明细</w:t>
      </w:r>
      <w:bookmarkEnd w:id="52"/>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1167"/>
        <w:gridCol w:w="971"/>
        <w:gridCol w:w="1125"/>
        <w:gridCol w:w="1125"/>
        <w:gridCol w:w="1125"/>
        <w:gridCol w:w="1134"/>
        <w:gridCol w:w="1201"/>
        <w:gridCol w:w="1053"/>
      </w:tblGrid>
      <w:tr w14:paraId="44562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8" w:type="pct"/>
            <w:tcBorders>
              <w:top w:val="single" w:color="auto" w:sz="4" w:space="0"/>
              <w:left w:val="single" w:color="auto" w:sz="4" w:space="0"/>
              <w:bottom w:val="single" w:color="auto" w:sz="4" w:space="0"/>
              <w:right w:val="single" w:color="auto" w:sz="4" w:space="0"/>
            </w:tcBorders>
            <w:noWrap w:val="0"/>
            <w:vAlign w:val="center"/>
          </w:tcPr>
          <w:p w14:paraId="7B1A06A0">
            <w:pPr>
              <w:keepNext w:val="0"/>
              <w:keepLines w:val="0"/>
              <w:suppressLineNumbers w:val="0"/>
              <w:spacing w:before="0" w:beforeAutospacing="0" w:after="0" w:afterAutospacing="0" w:line="360" w:lineRule="auto"/>
              <w:ind w:left="0" w:right="0"/>
              <w:jc w:val="center"/>
              <w:rPr>
                <w:rFonts w:hint="default" w:ascii="宋体" w:hAnsi="宋体" w:cs="宋体"/>
                <w:spacing w:val="4"/>
                <w:sz w:val="21"/>
                <w:szCs w:val="21"/>
                <w:lang w:val="en-US" w:eastAsia="zh-CN"/>
              </w:rPr>
            </w:pPr>
            <w:r>
              <w:rPr>
                <w:rFonts w:hint="eastAsia" w:ascii="宋体" w:hAnsi="宋体" w:cs="宋体"/>
                <w:spacing w:val="4"/>
                <w:sz w:val="21"/>
                <w:szCs w:val="21"/>
                <w:lang w:val="en-US" w:eastAsia="zh-CN"/>
              </w:rPr>
              <w:t>序号</w:t>
            </w:r>
          </w:p>
        </w:tc>
        <w:tc>
          <w:tcPr>
            <w:tcW w:w="599" w:type="pct"/>
            <w:tcBorders>
              <w:top w:val="single" w:color="auto" w:sz="4" w:space="0"/>
              <w:left w:val="single" w:color="auto" w:sz="4" w:space="0"/>
              <w:bottom w:val="single" w:color="auto" w:sz="4" w:space="0"/>
              <w:right w:val="single" w:color="auto" w:sz="4" w:space="0"/>
            </w:tcBorders>
            <w:noWrap w:val="0"/>
            <w:vAlign w:val="center"/>
          </w:tcPr>
          <w:p w14:paraId="6380C44D">
            <w:pPr>
              <w:keepNext w:val="0"/>
              <w:keepLines w:val="0"/>
              <w:suppressLineNumbers w:val="0"/>
              <w:spacing w:before="0" w:beforeAutospacing="0" w:after="0" w:afterAutospacing="0" w:line="360" w:lineRule="auto"/>
              <w:ind w:left="0" w:right="0"/>
              <w:jc w:val="center"/>
              <w:rPr>
                <w:rFonts w:hint="default" w:ascii="宋体" w:hAnsi="宋体" w:cs="宋体"/>
                <w:spacing w:val="4"/>
                <w:sz w:val="21"/>
                <w:szCs w:val="21"/>
                <w:lang w:val="en-US" w:eastAsia="zh-CN"/>
              </w:rPr>
            </w:pPr>
            <w:r>
              <w:rPr>
                <w:rFonts w:hint="eastAsia" w:ascii="宋体" w:hAnsi="宋体" w:cs="宋体"/>
                <w:spacing w:val="4"/>
                <w:sz w:val="21"/>
                <w:szCs w:val="21"/>
                <w:lang w:val="en-US" w:eastAsia="zh-CN"/>
              </w:rPr>
              <w:t>板块</w:t>
            </w:r>
          </w:p>
        </w:tc>
        <w:tc>
          <w:tcPr>
            <w:tcW w:w="498" w:type="pct"/>
            <w:tcBorders>
              <w:top w:val="single" w:color="auto" w:sz="4" w:space="0"/>
              <w:left w:val="single" w:color="auto" w:sz="4" w:space="0"/>
              <w:bottom w:val="single" w:color="auto" w:sz="4" w:space="0"/>
              <w:right w:val="single" w:color="auto" w:sz="4" w:space="0"/>
            </w:tcBorders>
            <w:noWrap w:val="0"/>
            <w:vAlign w:val="center"/>
          </w:tcPr>
          <w:p w14:paraId="06682E32">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r>
              <w:rPr>
                <w:rFonts w:hint="eastAsia" w:ascii="宋体" w:hAnsi="宋体" w:eastAsia="宋体" w:cs="宋体"/>
                <w:i w:val="0"/>
                <w:iCs w:val="0"/>
                <w:color w:val="000000"/>
                <w:kern w:val="0"/>
                <w:sz w:val="21"/>
                <w:szCs w:val="21"/>
                <w:u w:val="none"/>
                <w:lang w:val="en-US" w:eastAsia="zh-CN" w:bidi="ar"/>
              </w:rPr>
              <w:t>名称</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35527631">
            <w:pPr>
              <w:keepNext w:val="0"/>
              <w:keepLines w:val="0"/>
              <w:suppressLineNumbers w:val="0"/>
              <w:spacing w:before="0" w:beforeAutospacing="0" w:after="0" w:afterAutospacing="0" w:line="360" w:lineRule="auto"/>
              <w:ind w:left="0" w:right="0"/>
              <w:jc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规格</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3DB30343">
            <w:pPr>
              <w:keepNext w:val="0"/>
              <w:keepLines w:val="0"/>
              <w:suppressLineNumbers w:val="0"/>
              <w:spacing w:before="0" w:beforeAutospacing="0" w:after="0" w:afterAutospacing="0" w:line="360" w:lineRule="auto"/>
              <w:ind w:left="0" w:right="0"/>
              <w:jc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sz w:val="20"/>
                <w:szCs w:val="20"/>
                <w:u w:val="none"/>
                <w:lang w:val="en-US" w:eastAsia="zh-CN"/>
              </w:rPr>
              <w:t>详细技术参数要求</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5C4BED92">
            <w:pPr>
              <w:keepNext w:val="0"/>
              <w:keepLines w:val="0"/>
              <w:widowControl/>
              <w:suppressLineNumbers w:val="0"/>
              <w:spacing w:line="36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单位</w:t>
            </w:r>
          </w:p>
        </w:tc>
        <w:tc>
          <w:tcPr>
            <w:tcW w:w="582" w:type="pct"/>
            <w:tcBorders>
              <w:top w:val="single" w:color="auto" w:sz="4" w:space="0"/>
              <w:left w:val="single" w:color="auto" w:sz="4" w:space="0"/>
              <w:bottom w:val="single" w:color="auto" w:sz="4" w:space="0"/>
              <w:right w:val="single" w:color="auto" w:sz="4" w:space="0"/>
            </w:tcBorders>
            <w:noWrap w:val="0"/>
            <w:vAlign w:val="center"/>
          </w:tcPr>
          <w:p w14:paraId="3A1050F0">
            <w:pPr>
              <w:keepNext w:val="0"/>
              <w:keepLines w:val="0"/>
              <w:widowControl/>
              <w:suppressLineNumbers w:val="0"/>
              <w:spacing w:line="36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数量</w:t>
            </w:r>
          </w:p>
        </w:tc>
        <w:tc>
          <w:tcPr>
            <w:tcW w:w="616" w:type="pct"/>
            <w:tcBorders>
              <w:top w:val="single" w:color="auto" w:sz="4" w:space="0"/>
              <w:left w:val="single" w:color="auto" w:sz="4" w:space="0"/>
              <w:bottom w:val="single" w:color="auto" w:sz="4" w:space="0"/>
              <w:right w:val="single" w:color="auto" w:sz="4" w:space="0"/>
            </w:tcBorders>
            <w:noWrap w:val="0"/>
            <w:vAlign w:val="center"/>
          </w:tcPr>
          <w:p w14:paraId="3558A652">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单价（元）</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649942CD">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总价（元）</w:t>
            </w:r>
          </w:p>
        </w:tc>
      </w:tr>
      <w:tr w14:paraId="2CC9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8" w:type="pct"/>
            <w:tcBorders>
              <w:top w:val="single" w:color="auto" w:sz="4" w:space="0"/>
              <w:left w:val="single" w:color="auto" w:sz="4" w:space="0"/>
              <w:bottom w:val="single" w:color="auto" w:sz="4" w:space="0"/>
              <w:right w:val="single" w:color="auto" w:sz="4" w:space="0"/>
            </w:tcBorders>
            <w:noWrap w:val="0"/>
            <w:vAlign w:val="center"/>
          </w:tcPr>
          <w:p w14:paraId="5F149E40">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1</w:t>
            </w:r>
          </w:p>
        </w:tc>
        <w:tc>
          <w:tcPr>
            <w:tcW w:w="599" w:type="pct"/>
            <w:tcBorders>
              <w:top w:val="single" w:color="auto" w:sz="4" w:space="0"/>
              <w:left w:val="single" w:color="auto" w:sz="4" w:space="0"/>
              <w:bottom w:val="single" w:color="auto" w:sz="4" w:space="0"/>
              <w:right w:val="single" w:color="auto" w:sz="4" w:space="0"/>
            </w:tcBorders>
            <w:noWrap w:val="0"/>
            <w:vAlign w:val="center"/>
          </w:tcPr>
          <w:p w14:paraId="5E3DAEB9">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498" w:type="pct"/>
            <w:tcBorders>
              <w:top w:val="single" w:color="auto" w:sz="4" w:space="0"/>
              <w:left w:val="single" w:color="auto" w:sz="4" w:space="0"/>
              <w:bottom w:val="single" w:color="auto" w:sz="4" w:space="0"/>
              <w:right w:val="single" w:color="auto" w:sz="4" w:space="0"/>
            </w:tcBorders>
            <w:noWrap w:val="0"/>
            <w:vAlign w:val="center"/>
          </w:tcPr>
          <w:p w14:paraId="24B969A5">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77" w:type="pct"/>
            <w:tcBorders>
              <w:top w:val="single" w:color="auto" w:sz="4" w:space="0"/>
              <w:left w:val="single" w:color="auto" w:sz="4" w:space="0"/>
              <w:bottom w:val="single" w:color="auto" w:sz="4" w:space="0"/>
              <w:right w:val="single" w:color="auto" w:sz="4" w:space="0"/>
            </w:tcBorders>
            <w:noWrap w:val="0"/>
            <w:vAlign w:val="center"/>
          </w:tcPr>
          <w:p w14:paraId="1C7D6B9E">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77" w:type="pct"/>
            <w:tcBorders>
              <w:top w:val="single" w:color="auto" w:sz="4" w:space="0"/>
              <w:left w:val="single" w:color="auto" w:sz="4" w:space="0"/>
              <w:bottom w:val="single" w:color="auto" w:sz="4" w:space="0"/>
              <w:right w:val="single" w:color="auto" w:sz="4" w:space="0"/>
            </w:tcBorders>
            <w:noWrap w:val="0"/>
            <w:vAlign w:val="center"/>
          </w:tcPr>
          <w:p w14:paraId="24AC8066">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77" w:type="pct"/>
            <w:tcBorders>
              <w:top w:val="single" w:color="auto" w:sz="4" w:space="0"/>
              <w:left w:val="single" w:color="auto" w:sz="4" w:space="0"/>
              <w:bottom w:val="single" w:color="auto" w:sz="4" w:space="0"/>
              <w:right w:val="single" w:color="auto" w:sz="4" w:space="0"/>
            </w:tcBorders>
            <w:noWrap w:val="0"/>
            <w:vAlign w:val="center"/>
          </w:tcPr>
          <w:p w14:paraId="2366B484">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82" w:type="pct"/>
            <w:tcBorders>
              <w:top w:val="single" w:color="auto" w:sz="4" w:space="0"/>
              <w:left w:val="single" w:color="auto" w:sz="4" w:space="0"/>
              <w:bottom w:val="single" w:color="auto" w:sz="4" w:space="0"/>
              <w:right w:val="single" w:color="auto" w:sz="4" w:space="0"/>
            </w:tcBorders>
            <w:noWrap w:val="0"/>
            <w:vAlign w:val="center"/>
          </w:tcPr>
          <w:p w14:paraId="1C3D14F3">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616" w:type="pct"/>
            <w:tcBorders>
              <w:top w:val="single" w:color="auto" w:sz="4" w:space="0"/>
              <w:left w:val="single" w:color="auto" w:sz="4" w:space="0"/>
              <w:bottom w:val="single" w:color="auto" w:sz="4" w:space="0"/>
              <w:right w:val="single" w:color="auto" w:sz="4" w:space="0"/>
            </w:tcBorders>
            <w:noWrap w:val="0"/>
            <w:vAlign w:val="center"/>
          </w:tcPr>
          <w:p w14:paraId="6EF7C865">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40" w:type="pct"/>
            <w:tcBorders>
              <w:top w:val="single" w:color="auto" w:sz="4" w:space="0"/>
              <w:left w:val="single" w:color="auto" w:sz="4" w:space="0"/>
              <w:bottom w:val="single" w:color="auto" w:sz="4" w:space="0"/>
              <w:right w:val="single" w:color="auto" w:sz="4" w:space="0"/>
            </w:tcBorders>
            <w:noWrap w:val="0"/>
            <w:vAlign w:val="top"/>
          </w:tcPr>
          <w:p w14:paraId="0B01A590">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r>
      <w:tr w14:paraId="658BF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8" w:type="pct"/>
            <w:tcBorders>
              <w:top w:val="single" w:color="auto" w:sz="4" w:space="0"/>
              <w:left w:val="single" w:color="auto" w:sz="4" w:space="0"/>
              <w:bottom w:val="single" w:color="auto" w:sz="4" w:space="0"/>
              <w:right w:val="single" w:color="auto" w:sz="4" w:space="0"/>
            </w:tcBorders>
            <w:noWrap w:val="0"/>
            <w:vAlign w:val="center"/>
          </w:tcPr>
          <w:p w14:paraId="4C924C87">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2</w:t>
            </w:r>
          </w:p>
        </w:tc>
        <w:tc>
          <w:tcPr>
            <w:tcW w:w="599" w:type="pct"/>
            <w:tcBorders>
              <w:top w:val="single" w:color="auto" w:sz="4" w:space="0"/>
              <w:left w:val="single" w:color="auto" w:sz="4" w:space="0"/>
              <w:bottom w:val="single" w:color="auto" w:sz="4" w:space="0"/>
              <w:right w:val="single" w:color="auto" w:sz="4" w:space="0"/>
            </w:tcBorders>
            <w:noWrap w:val="0"/>
            <w:vAlign w:val="center"/>
          </w:tcPr>
          <w:p w14:paraId="32239B05">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498" w:type="pct"/>
            <w:tcBorders>
              <w:top w:val="single" w:color="auto" w:sz="4" w:space="0"/>
              <w:left w:val="single" w:color="auto" w:sz="4" w:space="0"/>
              <w:bottom w:val="single" w:color="auto" w:sz="4" w:space="0"/>
              <w:right w:val="single" w:color="auto" w:sz="4" w:space="0"/>
            </w:tcBorders>
            <w:noWrap w:val="0"/>
            <w:vAlign w:val="center"/>
          </w:tcPr>
          <w:p w14:paraId="06C3A555">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77" w:type="pct"/>
            <w:tcBorders>
              <w:top w:val="single" w:color="auto" w:sz="4" w:space="0"/>
              <w:left w:val="single" w:color="auto" w:sz="4" w:space="0"/>
              <w:bottom w:val="single" w:color="auto" w:sz="4" w:space="0"/>
              <w:right w:val="single" w:color="auto" w:sz="4" w:space="0"/>
            </w:tcBorders>
            <w:noWrap w:val="0"/>
            <w:vAlign w:val="center"/>
          </w:tcPr>
          <w:p w14:paraId="2D082C21">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77" w:type="pct"/>
            <w:tcBorders>
              <w:top w:val="single" w:color="auto" w:sz="4" w:space="0"/>
              <w:left w:val="single" w:color="auto" w:sz="4" w:space="0"/>
              <w:bottom w:val="single" w:color="auto" w:sz="4" w:space="0"/>
              <w:right w:val="single" w:color="auto" w:sz="4" w:space="0"/>
            </w:tcBorders>
            <w:noWrap w:val="0"/>
            <w:vAlign w:val="center"/>
          </w:tcPr>
          <w:p w14:paraId="2B5999E8">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77" w:type="pct"/>
            <w:tcBorders>
              <w:top w:val="single" w:color="auto" w:sz="4" w:space="0"/>
              <w:left w:val="single" w:color="auto" w:sz="4" w:space="0"/>
              <w:bottom w:val="single" w:color="auto" w:sz="4" w:space="0"/>
              <w:right w:val="single" w:color="auto" w:sz="4" w:space="0"/>
            </w:tcBorders>
            <w:noWrap w:val="0"/>
            <w:vAlign w:val="center"/>
          </w:tcPr>
          <w:p w14:paraId="242D8B24">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82" w:type="pct"/>
            <w:tcBorders>
              <w:top w:val="single" w:color="auto" w:sz="4" w:space="0"/>
              <w:left w:val="single" w:color="auto" w:sz="4" w:space="0"/>
              <w:bottom w:val="single" w:color="auto" w:sz="4" w:space="0"/>
              <w:right w:val="single" w:color="auto" w:sz="4" w:space="0"/>
            </w:tcBorders>
            <w:noWrap w:val="0"/>
            <w:vAlign w:val="center"/>
          </w:tcPr>
          <w:p w14:paraId="2D41A64E">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616" w:type="pct"/>
            <w:tcBorders>
              <w:top w:val="single" w:color="auto" w:sz="4" w:space="0"/>
              <w:left w:val="single" w:color="auto" w:sz="4" w:space="0"/>
              <w:bottom w:val="single" w:color="auto" w:sz="4" w:space="0"/>
              <w:right w:val="single" w:color="auto" w:sz="4" w:space="0"/>
            </w:tcBorders>
            <w:noWrap w:val="0"/>
            <w:vAlign w:val="center"/>
          </w:tcPr>
          <w:p w14:paraId="4CC6C76D">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40" w:type="pct"/>
            <w:tcBorders>
              <w:top w:val="single" w:color="auto" w:sz="4" w:space="0"/>
              <w:left w:val="single" w:color="auto" w:sz="4" w:space="0"/>
              <w:bottom w:val="single" w:color="auto" w:sz="4" w:space="0"/>
              <w:right w:val="single" w:color="auto" w:sz="4" w:space="0"/>
            </w:tcBorders>
            <w:noWrap w:val="0"/>
            <w:vAlign w:val="top"/>
          </w:tcPr>
          <w:p w14:paraId="2692388C">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r>
      <w:tr w14:paraId="3FFE3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8" w:type="pct"/>
            <w:tcBorders>
              <w:top w:val="single" w:color="auto" w:sz="4" w:space="0"/>
              <w:left w:val="single" w:color="auto" w:sz="4" w:space="0"/>
              <w:bottom w:val="single" w:color="auto" w:sz="4" w:space="0"/>
              <w:right w:val="single" w:color="auto" w:sz="4" w:space="0"/>
            </w:tcBorders>
            <w:noWrap w:val="0"/>
            <w:vAlign w:val="center"/>
          </w:tcPr>
          <w:p w14:paraId="47AED60E">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3</w:t>
            </w:r>
          </w:p>
        </w:tc>
        <w:tc>
          <w:tcPr>
            <w:tcW w:w="599" w:type="pct"/>
            <w:tcBorders>
              <w:top w:val="single" w:color="auto" w:sz="4" w:space="0"/>
              <w:left w:val="single" w:color="auto" w:sz="4" w:space="0"/>
              <w:bottom w:val="single" w:color="auto" w:sz="4" w:space="0"/>
              <w:right w:val="single" w:color="auto" w:sz="4" w:space="0"/>
            </w:tcBorders>
            <w:noWrap w:val="0"/>
            <w:vAlign w:val="center"/>
          </w:tcPr>
          <w:p w14:paraId="381AF90E">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498" w:type="pct"/>
            <w:tcBorders>
              <w:top w:val="single" w:color="auto" w:sz="4" w:space="0"/>
              <w:left w:val="single" w:color="auto" w:sz="4" w:space="0"/>
              <w:bottom w:val="single" w:color="auto" w:sz="4" w:space="0"/>
              <w:right w:val="single" w:color="auto" w:sz="4" w:space="0"/>
            </w:tcBorders>
            <w:noWrap w:val="0"/>
            <w:vAlign w:val="center"/>
          </w:tcPr>
          <w:p w14:paraId="16B29A14">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77" w:type="pct"/>
            <w:tcBorders>
              <w:top w:val="single" w:color="auto" w:sz="4" w:space="0"/>
              <w:left w:val="single" w:color="auto" w:sz="4" w:space="0"/>
              <w:bottom w:val="single" w:color="auto" w:sz="4" w:space="0"/>
              <w:right w:val="single" w:color="auto" w:sz="4" w:space="0"/>
            </w:tcBorders>
            <w:noWrap w:val="0"/>
            <w:vAlign w:val="center"/>
          </w:tcPr>
          <w:p w14:paraId="3098C5F0">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77" w:type="pct"/>
            <w:tcBorders>
              <w:top w:val="single" w:color="auto" w:sz="4" w:space="0"/>
              <w:left w:val="single" w:color="auto" w:sz="4" w:space="0"/>
              <w:bottom w:val="single" w:color="auto" w:sz="4" w:space="0"/>
              <w:right w:val="single" w:color="auto" w:sz="4" w:space="0"/>
            </w:tcBorders>
            <w:noWrap w:val="0"/>
            <w:vAlign w:val="center"/>
          </w:tcPr>
          <w:p w14:paraId="7BA48726">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77" w:type="pct"/>
            <w:tcBorders>
              <w:top w:val="single" w:color="auto" w:sz="4" w:space="0"/>
              <w:left w:val="single" w:color="auto" w:sz="4" w:space="0"/>
              <w:bottom w:val="single" w:color="auto" w:sz="4" w:space="0"/>
              <w:right w:val="single" w:color="auto" w:sz="4" w:space="0"/>
            </w:tcBorders>
            <w:noWrap w:val="0"/>
            <w:vAlign w:val="center"/>
          </w:tcPr>
          <w:p w14:paraId="200506EB">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82" w:type="pct"/>
            <w:tcBorders>
              <w:top w:val="single" w:color="auto" w:sz="4" w:space="0"/>
              <w:left w:val="single" w:color="auto" w:sz="4" w:space="0"/>
              <w:bottom w:val="single" w:color="auto" w:sz="4" w:space="0"/>
              <w:right w:val="single" w:color="auto" w:sz="4" w:space="0"/>
            </w:tcBorders>
            <w:noWrap w:val="0"/>
            <w:vAlign w:val="center"/>
          </w:tcPr>
          <w:p w14:paraId="2C801E94">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616" w:type="pct"/>
            <w:tcBorders>
              <w:top w:val="single" w:color="auto" w:sz="4" w:space="0"/>
              <w:left w:val="single" w:color="auto" w:sz="4" w:space="0"/>
              <w:bottom w:val="single" w:color="auto" w:sz="4" w:space="0"/>
              <w:right w:val="single" w:color="auto" w:sz="4" w:space="0"/>
            </w:tcBorders>
            <w:noWrap w:val="0"/>
            <w:vAlign w:val="center"/>
          </w:tcPr>
          <w:p w14:paraId="266919DD">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40" w:type="pct"/>
            <w:tcBorders>
              <w:top w:val="single" w:color="auto" w:sz="4" w:space="0"/>
              <w:left w:val="single" w:color="auto" w:sz="4" w:space="0"/>
              <w:bottom w:val="single" w:color="auto" w:sz="4" w:space="0"/>
              <w:right w:val="single" w:color="auto" w:sz="4" w:space="0"/>
            </w:tcBorders>
            <w:noWrap w:val="0"/>
            <w:vAlign w:val="top"/>
          </w:tcPr>
          <w:p w14:paraId="100EBA2E">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r>
      <w:tr w14:paraId="7BBC6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8" w:type="pct"/>
            <w:tcBorders>
              <w:top w:val="single" w:color="auto" w:sz="4" w:space="0"/>
              <w:left w:val="single" w:color="auto" w:sz="4" w:space="0"/>
              <w:bottom w:val="single" w:color="auto" w:sz="4" w:space="0"/>
              <w:right w:val="single" w:color="auto" w:sz="4" w:space="0"/>
            </w:tcBorders>
            <w:noWrap w:val="0"/>
            <w:vAlign w:val="center"/>
          </w:tcPr>
          <w:p w14:paraId="0AFDC3D7">
            <w:pPr>
              <w:keepNext w:val="0"/>
              <w:keepLines w:val="0"/>
              <w:suppressLineNumbers w:val="0"/>
              <w:spacing w:before="0" w:beforeAutospacing="0" w:after="0" w:afterAutospacing="0" w:line="360" w:lineRule="auto"/>
              <w:ind w:left="0" w:right="0"/>
              <w:jc w:val="center"/>
              <w:rPr>
                <w:rFonts w:hint="default"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w:t>
            </w:r>
          </w:p>
        </w:tc>
        <w:tc>
          <w:tcPr>
            <w:tcW w:w="599" w:type="pct"/>
            <w:tcBorders>
              <w:top w:val="single" w:color="auto" w:sz="4" w:space="0"/>
              <w:left w:val="single" w:color="auto" w:sz="4" w:space="0"/>
              <w:bottom w:val="single" w:color="auto" w:sz="4" w:space="0"/>
              <w:right w:val="single" w:color="auto" w:sz="4" w:space="0"/>
            </w:tcBorders>
            <w:noWrap w:val="0"/>
            <w:vAlign w:val="center"/>
          </w:tcPr>
          <w:p w14:paraId="52D5A669">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498" w:type="pct"/>
            <w:tcBorders>
              <w:top w:val="single" w:color="auto" w:sz="4" w:space="0"/>
              <w:left w:val="single" w:color="auto" w:sz="4" w:space="0"/>
              <w:bottom w:val="single" w:color="auto" w:sz="4" w:space="0"/>
              <w:right w:val="single" w:color="auto" w:sz="4" w:space="0"/>
            </w:tcBorders>
            <w:noWrap w:val="0"/>
            <w:vAlign w:val="center"/>
          </w:tcPr>
          <w:p w14:paraId="59998CAE">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77" w:type="pct"/>
            <w:tcBorders>
              <w:top w:val="single" w:color="auto" w:sz="4" w:space="0"/>
              <w:left w:val="single" w:color="auto" w:sz="4" w:space="0"/>
              <w:bottom w:val="single" w:color="auto" w:sz="4" w:space="0"/>
              <w:right w:val="single" w:color="auto" w:sz="4" w:space="0"/>
            </w:tcBorders>
            <w:noWrap w:val="0"/>
            <w:vAlign w:val="center"/>
          </w:tcPr>
          <w:p w14:paraId="3D443F67">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77" w:type="pct"/>
            <w:tcBorders>
              <w:top w:val="single" w:color="auto" w:sz="4" w:space="0"/>
              <w:left w:val="single" w:color="auto" w:sz="4" w:space="0"/>
              <w:bottom w:val="single" w:color="auto" w:sz="4" w:space="0"/>
              <w:right w:val="single" w:color="auto" w:sz="4" w:space="0"/>
            </w:tcBorders>
            <w:noWrap w:val="0"/>
            <w:vAlign w:val="center"/>
          </w:tcPr>
          <w:p w14:paraId="4B89DE4B">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77" w:type="pct"/>
            <w:tcBorders>
              <w:top w:val="single" w:color="auto" w:sz="4" w:space="0"/>
              <w:left w:val="single" w:color="auto" w:sz="4" w:space="0"/>
              <w:bottom w:val="single" w:color="auto" w:sz="4" w:space="0"/>
              <w:right w:val="single" w:color="auto" w:sz="4" w:space="0"/>
            </w:tcBorders>
            <w:noWrap w:val="0"/>
            <w:vAlign w:val="center"/>
          </w:tcPr>
          <w:p w14:paraId="2FF4A7A8">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82" w:type="pct"/>
            <w:tcBorders>
              <w:top w:val="single" w:color="auto" w:sz="4" w:space="0"/>
              <w:left w:val="single" w:color="auto" w:sz="4" w:space="0"/>
              <w:bottom w:val="single" w:color="auto" w:sz="4" w:space="0"/>
              <w:right w:val="single" w:color="auto" w:sz="4" w:space="0"/>
            </w:tcBorders>
            <w:noWrap w:val="0"/>
            <w:vAlign w:val="center"/>
          </w:tcPr>
          <w:p w14:paraId="335BE7BB">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616" w:type="pct"/>
            <w:tcBorders>
              <w:top w:val="single" w:color="auto" w:sz="4" w:space="0"/>
              <w:left w:val="single" w:color="auto" w:sz="4" w:space="0"/>
              <w:bottom w:val="single" w:color="auto" w:sz="4" w:space="0"/>
              <w:right w:val="single" w:color="auto" w:sz="4" w:space="0"/>
            </w:tcBorders>
            <w:noWrap w:val="0"/>
            <w:vAlign w:val="center"/>
          </w:tcPr>
          <w:p w14:paraId="33F6890E">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40" w:type="pct"/>
            <w:tcBorders>
              <w:top w:val="single" w:color="auto" w:sz="4" w:space="0"/>
              <w:left w:val="single" w:color="auto" w:sz="4" w:space="0"/>
              <w:bottom w:val="single" w:color="auto" w:sz="4" w:space="0"/>
              <w:right w:val="single" w:color="auto" w:sz="4" w:space="0"/>
            </w:tcBorders>
            <w:noWrap w:val="0"/>
            <w:vAlign w:val="top"/>
          </w:tcPr>
          <w:p w14:paraId="76FFE608">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r>
    </w:tbl>
    <w:p w14:paraId="1B6D8E29">
      <w:pPr>
        <w:pStyle w:val="10"/>
        <w:widowControl/>
        <w:numPr>
          <w:ilvl w:val="0"/>
          <w:numId w:val="0"/>
        </w:numPr>
        <w:spacing w:before="0" w:line="360" w:lineRule="auto"/>
        <w:jc w:val="both"/>
        <w:outlineLvl w:val="1"/>
        <w:rPr>
          <w:rFonts w:hint="eastAsia" w:ascii="宋体" w:hAnsi="宋体" w:eastAsia="宋体" w:cs="宋体"/>
          <w:b/>
          <w:bCs/>
          <w:i w:val="0"/>
          <w:color w:val="auto"/>
          <w:kern w:val="0"/>
          <w:sz w:val="21"/>
          <w:szCs w:val="21"/>
          <w:lang w:val="en-US" w:eastAsia="zh-CN"/>
        </w:rPr>
      </w:pPr>
      <w:bookmarkStart w:id="53" w:name="_Toc26504"/>
      <w:r>
        <w:rPr>
          <w:rFonts w:hint="eastAsia" w:ascii="宋体" w:hAnsi="宋体" w:cs="宋体"/>
          <w:b/>
          <w:bCs/>
          <w:i w:val="0"/>
          <w:color w:val="auto"/>
          <w:kern w:val="0"/>
          <w:sz w:val="21"/>
          <w:szCs w:val="21"/>
          <w:lang w:val="en-US" w:eastAsia="zh-CN" w:bidi="ar-SA"/>
        </w:rPr>
        <w:t>七</w:t>
      </w:r>
      <w:r>
        <w:rPr>
          <w:rFonts w:hint="eastAsia" w:ascii="宋体" w:hAnsi="宋体" w:eastAsia="宋体" w:cs="宋体"/>
          <w:b/>
          <w:bCs/>
          <w:i w:val="0"/>
          <w:color w:val="auto"/>
          <w:kern w:val="0"/>
          <w:sz w:val="21"/>
          <w:szCs w:val="21"/>
          <w:lang w:val="en-US" w:eastAsia="zh-CN" w:bidi="ar-SA"/>
        </w:rPr>
        <w:t>、</w:t>
      </w:r>
      <w:r>
        <w:rPr>
          <w:rFonts w:hint="eastAsia" w:ascii="宋体" w:hAnsi="宋体" w:eastAsia="宋体" w:cs="宋体"/>
          <w:b/>
          <w:bCs/>
          <w:i w:val="0"/>
          <w:color w:val="auto"/>
          <w:kern w:val="0"/>
          <w:sz w:val="21"/>
          <w:szCs w:val="21"/>
          <w:lang w:val="en-US" w:eastAsia="zh-CN"/>
        </w:rPr>
        <w:t>培训服务</w:t>
      </w:r>
      <w:bookmarkEnd w:id="53"/>
    </w:p>
    <w:p w14:paraId="0A6D8B14">
      <w:pPr>
        <w:pStyle w:val="10"/>
        <w:widowControl/>
        <w:numPr>
          <w:ilvl w:val="0"/>
          <w:numId w:val="0"/>
        </w:numPr>
        <w:spacing w:before="0" w:line="360" w:lineRule="auto"/>
        <w:ind w:firstLine="420" w:firstLineChars="200"/>
        <w:jc w:val="both"/>
        <w:rPr>
          <w:rFonts w:hint="eastAsia" w:ascii="宋体" w:hAnsi="宋体" w:eastAsia="宋体" w:cs="宋体"/>
          <w:b w:val="0"/>
          <w:bCs w:val="0"/>
          <w:i w:val="0"/>
          <w:color w:val="auto"/>
          <w:kern w:val="0"/>
          <w:sz w:val="21"/>
          <w:szCs w:val="21"/>
          <w:lang w:val="en-US" w:eastAsia="zh-CN"/>
        </w:rPr>
      </w:pPr>
      <w:r>
        <w:rPr>
          <w:rFonts w:hint="eastAsia" w:ascii="宋体" w:hAnsi="宋体" w:eastAsia="宋体" w:cs="宋体"/>
          <w:b w:val="0"/>
          <w:bCs w:val="0"/>
          <w:i w:val="0"/>
          <w:color w:val="auto"/>
          <w:kern w:val="0"/>
          <w:sz w:val="21"/>
          <w:szCs w:val="21"/>
          <w:lang w:val="en-US" w:eastAsia="zh-CN"/>
        </w:rPr>
        <w:t>免费培训展示设施操作、维护及故障排查。可根据</w:t>
      </w:r>
      <w:r>
        <w:rPr>
          <w:rFonts w:hint="eastAsia" w:ascii="宋体" w:hAnsi="宋体" w:cs="宋体"/>
          <w:b w:val="0"/>
          <w:bCs w:val="0"/>
          <w:i w:val="0"/>
          <w:color w:val="auto"/>
          <w:kern w:val="0"/>
          <w:sz w:val="21"/>
          <w:szCs w:val="21"/>
          <w:lang w:val="en-US" w:eastAsia="zh-CN"/>
        </w:rPr>
        <w:t>甲方</w:t>
      </w:r>
      <w:r>
        <w:rPr>
          <w:rFonts w:hint="eastAsia" w:ascii="宋体" w:hAnsi="宋体" w:eastAsia="宋体" w:cs="宋体"/>
          <w:b w:val="0"/>
          <w:bCs w:val="0"/>
          <w:i w:val="0"/>
          <w:color w:val="auto"/>
          <w:kern w:val="0"/>
          <w:sz w:val="21"/>
          <w:szCs w:val="21"/>
          <w:lang w:val="en-US" w:eastAsia="zh-CN"/>
        </w:rPr>
        <w:t>需求灵活安排培训时间与内容，帮助</w:t>
      </w:r>
      <w:r>
        <w:rPr>
          <w:rFonts w:hint="eastAsia" w:ascii="宋体" w:hAnsi="宋体" w:cs="宋体"/>
          <w:b w:val="0"/>
          <w:bCs w:val="0"/>
          <w:i w:val="0"/>
          <w:color w:val="auto"/>
          <w:kern w:val="0"/>
          <w:sz w:val="21"/>
          <w:szCs w:val="21"/>
          <w:lang w:val="en-US" w:eastAsia="zh-CN"/>
        </w:rPr>
        <w:t>甲方</w:t>
      </w:r>
      <w:r>
        <w:rPr>
          <w:rFonts w:hint="eastAsia" w:ascii="宋体" w:hAnsi="宋体" w:eastAsia="宋体" w:cs="宋体"/>
          <w:b w:val="0"/>
          <w:bCs w:val="0"/>
          <w:i w:val="0"/>
          <w:color w:val="auto"/>
          <w:kern w:val="0"/>
          <w:sz w:val="21"/>
          <w:szCs w:val="21"/>
          <w:lang w:val="en-US" w:eastAsia="zh-CN"/>
        </w:rPr>
        <w:t>建立自主维护与管理的能力体系，保障展示空间的长期稳定运行。</w:t>
      </w:r>
    </w:p>
    <w:p w14:paraId="521E8A70">
      <w:pPr>
        <w:pStyle w:val="10"/>
        <w:widowControl/>
        <w:numPr>
          <w:ilvl w:val="0"/>
          <w:numId w:val="0"/>
        </w:numPr>
        <w:spacing w:before="0" w:line="360" w:lineRule="auto"/>
        <w:jc w:val="both"/>
        <w:outlineLvl w:val="1"/>
        <w:rPr>
          <w:rFonts w:hint="eastAsia" w:ascii="宋体" w:hAnsi="宋体" w:eastAsia="宋体" w:cs="宋体"/>
          <w:b/>
          <w:bCs/>
          <w:i w:val="0"/>
          <w:color w:val="auto"/>
          <w:kern w:val="0"/>
          <w:sz w:val="21"/>
          <w:szCs w:val="21"/>
          <w:lang w:val="en-US" w:eastAsia="zh-CN"/>
        </w:rPr>
      </w:pPr>
      <w:bookmarkStart w:id="54" w:name="_Toc25149"/>
      <w:r>
        <w:rPr>
          <w:rFonts w:hint="eastAsia" w:ascii="宋体" w:hAnsi="宋体" w:eastAsia="宋体" w:cs="宋体"/>
          <w:b/>
          <w:bCs/>
          <w:i w:val="0"/>
          <w:color w:val="auto"/>
          <w:kern w:val="0"/>
          <w:sz w:val="21"/>
          <w:szCs w:val="21"/>
          <w:lang w:val="en-US" w:eastAsia="zh-CN" w:bidi="ar-SA"/>
        </w:rPr>
        <w:t>八、</w:t>
      </w:r>
      <w:r>
        <w:rPr>
          <w:rFonts w:hint="eastAsia" w:ascii="宋体" w:hAnsi="宋体" w:eastAsia="宋体" w:cs="宋体"/>
          <w:b/>
          <w:bCs/>
          <w:i w:val="0"/>
          <w:color w:val="auto"/>
          <w:kern w:val="0"/>
          <w:sz w:val="21"/>
          <w:szCs w:val="21"/>
          <w:lang w:val="en-US" w:eastAsia="zh-CN"/>
        </w:rPr>
        <w:t>工艺要求</w:t>
      </w:r>
      <w:bookmarkEnd w:id="54"/>
    </w:p>
    <w:p w14:paraId="741C738F">
      <w:pPr>
        <w:pStyle w:val="26"/>
        <w:bidi w:val="0"/>
        <w:spacing w:line="360" w:lineRule="auto"/>
        <w:ind w:firstLine="420" w:firstLineChars="200"/>
        <w:rPr>
          <w:rFonts w:hint="eastAsia" w:ascii="宋体" w:hAnsi="宋体" w:eastAsia="宋体" w:cs="宋体"/>
          <w:b w:val="0"/>
          <w:bCs w:val="0"/>
          <w:i w:val="0"/>
          <w:color w:val="000000"/>
          <w:kern w:val="0"/>
          <w:sz w:val="21"/>
          <w:szCs w:val="21"/>
          <w:lang w:val="en-US" w:eastAsia="zh-CN" w:bidi="ar-SA"/>
        </w:rPr>
      </w:pPr>
      <w:r>
        <w:rPr>
          <w:rFonts w:hint="eastAsia" w:ascii="宋体" w:hAnsi="宋体" w:eastAsia="宋体" w:cs="宋体"/>
          <w:b w:val="0"/>
          <w:bCs w:val="0"/>
          <w:i w:val="0"/>
          <w:color w:val="000000"/>
          <w:kern w:val="0"/>
          <w:sz w:val="21"/>
          <w:szCs w:val="21"/>
          <w:lang w:val="en-US" w:eastAsia="zh-CN" w:bidi="ar-SA"/>
        </w:rPr>
        <w:t>严格遵循行业先进工艺标准，从原材料加工到成品组装，每道工序均有专业质检把控。采用高精度加工设备，关键工艺环节，如焊接、涂装等，执行多道检测流程，保证工艺精湛无瑕疵，使展示设施不仅外观精美，且结构稳固耐用。</w:t>
      </w:r>
    </w:p>
    <w:p w14:paraId="338278CB">
      <w:pPr>
        <w:pStyle w:val="26"/>
        <w:numPr>
          <w:ilvl w:val="0"/>
          <w:numId w:val="0"/>
        </w:numPr>
        <w:bidi w:val="0"/>
        <w:spacing w:line="360" w:lineRule="auto"/>
        <w:outlineLvl w:val="1"/>
        <w:rPr>
          <w:rFonts w:hint="eastAsia" w:ascii="宋体" w:hAnsi="宋体" w:eastAsia="宋体" w:cs="宋体"/>
          <w:b/>
          <w:bCs/>
          <w:i w:val="0"/>
          <w:color w:val="000000"/>
          <w:kern w:val="0"/>
          <w:sz w:val="21"/>
          <w:szCs w:val="21"/>
          <w:lang w:val="en-US" w:eastAsia="zh-CN" w:bidi="ar-SA"/>
        </w:rPr>
      </w:pPr>
      <w:bookmarkStart w:id="55" w:name="_Toc20109"/>
      <w:r>
        <w:rPr>
          <w:rFonts w:hint="eastAsia" w:ascii="宋体" w:hAnsi="宋体" w:eastAsia="宋体" w:cs="宋体"/>
          <w:b/>
          <w:bCs/>
          <w:i w:val="0"/>
          <w:color w:val="000000"/>
          <w:kern w:val="0"/>
          <w:sz w:val="21"/>
          <w:szCs w:val="21"/>
          <w:lang w:val="en-US" w:eastAsia="zh-CN" w:bidi="ar-SA"/>
        </w:rPr>
        <w:t>九、安装调试</w:t>
      </w:r>
      <w:bookmarkEnd w:id="55"/>
    </w:p>
    <w:p w14:paraId="67206D12">
      <w:pPr>
        <w:pStyle w:val="26"/>
        <w:bidi w:val="0"/>
        <w:spacing w:line="360" w:lineRule="auto"/>
        <w:ind w:firstLine="420" w:firstLineChars="200"/>
        <w:rPr>
          <w:rFonts w:hint="eastAsia" w:ascii="宋体" w:hAnsi="宋体" w:eastAsia="宋体" w:cs="宋体"/>
          <w:b w:val="0"/>
          <w:bCs w:val="0"/>
          <w:i w:val="0"/>
          <w:color w:val="000000"/>
          <w:kern w:val="0"/>
          <w:sz w:val="21"/>
          <w:szCs w:val="21"/>
          <w:lang w:val="en-US" w:eastAsia="zh-CN" w:bidi="ar-SA"/>
        </w:rPr>
      </w:pPr>
      <w:r>
        <w:rPr>
          <w:rFonts w:hint="eastAsia" w:ascii="宋体" w:hAnsi="宋体" w:eastAsia="宋体" w:cs="宋体"/>
          <w:b w:val="0"/>
          <w:bCs w:val="0"/>
          <w:i w:val="0"/>
          <w:color w:val="000000"/>
          <w:kern w:val="0"/>
          <w:sz w:val="21"/>
          <w:szCs w:val="21"/>
          <w:lang w:val="en-US" w:eastAsia="zh-CN" w:bidi="ar-SA"/>
        </w:rPr>
        <w:t>派遣经验丰富的专业安装团队。安装前对现场进行详细勘察，制定精准安装方案，与</w:t>
      </w:r>
      <w:r>
        <w:rPr>
          <w:rFonts w:hint="eastAsia" w:ascii="宋体" w:hAnsi="宋体" w:cs="宋体"/>
          <w:b w:val="0"/>
          <w:bCs w:val="0"/>
          <w:i w:val="0"/>
          <w:color w:val="auto"/>
          <w:kern w:val="0"/>
          <w:sz w:val="21"/>
          <w:szCs w:val="21"/>
          <w:lang w:val="en-US" w:eastAsia="zh-CN"/>
        </w:rPr>
        <w:t>甲方</w:t>
      </w:r>
      <w:r>
        <w:rPr>
          <w:rFonts w:hint="eastAsia" w:ascii="宋体" w:hAnsi="宋体" w:eastAsia="宋体" w:cs="宋体"/>
          <w:b w:val="0"/>
          <w:bCs w:val="0"/>
          <w:i w:val="0"/>
          <w:color w:val="000000"/>
          <w:kern w:val="0"/>
          <w:sz w:val="21"/>
          <w:szCs w:val="21"/>
          <w:lang w:val="en-US" w:eastAsia="zh-CN" w:bidi="ar-SA"/>
        </w:rPr>
        <w:t>充分沟通协调施工进度与安全事项。安装过程中严格按照</w:t>
      </w:r>
      <w:r>
        <w:rPr>
          <w:rFonts w:hint="eastAsia" w:hAnsi="宋体" w:cs="宋体"/>
          <w:b w:val="0"/>
          <w:bCs w:val="0"/>
          <w:i w:val="0"/>
          <w:color w:val="000000"/>
          <w:kern w:val="0"/>
          <w:sz w:val="21"/>
          <w:szCs w:val="21"/>
          <w:lang w:val="en-US" w:eastAsia="zh-CN" w:bidi="ar-SA"/>
        </w:rPr>
        <w:t>规定</w:t>
      </w:r>
      <w:r>
        <w:rPr>
          <w:rFonts w:hint="eastAsia" w:ascii="宋体" w:hAnsi="宋体" w:eastAsia="宋体" w:cs="宋体"/>
          <w:b w:val="0"/>
          <w:bCs w:val="0"/>
          <w:i w:val="0"/>
          <w:color w:val="000000"/>
          <w:kern w:val="0"/>
          <w:sz w:val="21"/>
          <w:szCs w:val="21"/>
          <w:lang w:val="en-US" w:eastAsia="zh-CN" w:bidi="ar-SA"/>
        </w:rPr>
        <w:t>要求与工艺标准操作，运用专业安装工具与设备，安装完成后进行全面调试，包括电气系统、机械传动系统等，确保展示设施运行顺畅、各项功能正常。</w:t>
      </w:r>
    </w:p>
    <w:p w14:paraId="604399EC">
      <w:pPr>
        <w:pStyle w:val="10"/>
        <w:widowControl/>
        <w:numPr>
          <w:ilvl w:val="0"/>
          <w:numId w:val="0"/>
        </w:numPr>
        <w:spacing w:before="0" w:line="360" w:lineRule="auto"/>
        <w:jc w:val="both"/>
        <w:outlineLvl w:val="1"/>
        <w:rPr>
          <w:rFonts w:hint="eastAsia" w:ascii="宋体" w:hAnsi="宋体" w:eastAsia="宋体" w:cs="宋体"/>
          <w:b/>
          <w:bCs/>
          <w:i w:val="0"/>
          <w:color w:val="auto"/>
          <w:kern w:val="0"/>
          <w:sz w:val="21"/>
          <w:szCs w:val="21"/>
          <w:lang w:val="en-US" w:eastAsia="zh-CN"/>
        </w:rPr>
      </w:pPr>
      <w:bookmarkStart w:id="56" w:name="_Toc23422"/>
      <w:r>
        <w:rPr>
          <w:rFonts w:hint="eastAsia" w:ascii="宋体" w:hAnsi="宋体" w:eastAsia="宋体" w:cs="宋体"/>
          <w:b/>
          <w:bCs/>
          <w:i w:val="0"/>
          <w:color w:val="auto"/>
          <w:kern w:val="0"/>
          <w:sz w:val="21"/>
          <w:szCs w:val="21"/>
          <w:lang w:val="en-US" w:eastAsia="zh-CN" w:bidi="ar-SA"/>
        </w:rPr>
        <w:t>十、</w:t>
      </w:r>
      <w:r>
        <w:rPr>
          <w:rFonts w:hint="eastAsia" w:ascii="宋体" w:hAnsi="宋体" w:eastAsia="宋体" w:cs="宋体"/>
          <w:b/>
          <w:bCs/>
          <w:i w:val="0"/>
          <w:color w:val="auto"/>
          <w:kern w:val="0"/>
          <w:sz w:val="21"/>
          <w:szCs w:val="21"/>
          <w:lang w:val="en-US" w:eastAsia="zh-CN"/>
        </w:rPr>
        <w:t>定制服务</w:t>
      </w:r>
      <w:bookmarkEnd w:id="56"/>
    </w:p>
    <w:p w14:paraId="24D9DD45">
      <w:pPr>
        <w:pStyle w:val="10"/>
        <w:widowControl/>
        <w:numPr>
          <w:ilvl w:val="0"/>
          <w:numId w:val="0"/>
        </w:numPr>
        <w:spacing w:before="0" w:line="360" w:lineRule="auto"/>
        <w:ind w:firstLine="420" w:firstLineChars="200"/>
        <w:jc w:val="both"/>
        <w:rPr>
          <w:rFonts w:hint="eastAsia" w:ascii="宋体" w:hAnsi="宋体" w:eastAsia="宋体" w:cs="宋体"/>
          <w:b w:val="0"/>
          <w:bCs w:val="0"/>
          <w:i w:val="0"/>
          <w:kern w:val="0"/>
          <w:sz w:val="21"/>
          <w:szCs w:val="21"/>
          <w:highlight w:val="none"/>
          <w:lang w:val="en-US" w:eastAsia="zh-CN"/>
        </w:rPr>
      </w:pPr>
      <w:r>
        <w:rPr>
          <w:rFonts w:hint="eastAsia" w:ascii="宋体" w:hAnsi="宋体" w:cs="宋体"/>
          <w:b w:val="0"/>
          <w:bCs w:val="0"/>
          <w:i w:val="0"/>
          <w:kern w:val="0"/>
          <w:sz w:val="21"/>
          <w:szCs w:val="21"/>
          <w:highlight w:val="none"/>
          <w:lang w:val="en-US" w:eastAsia="zh-CN"/>
        </w:rPr>
        <w:t>乙方</w:t>
      </w:r>
      <w:r>
        <w:rPr>
          <w:rFonts w:hint="eastAsia" w:ascii="宋体" w:hAnsi="宋体" w:eastAsia="宋体" w:cs="宋体"/>
          <w:b w:val="0"/>
          <w:bCs w:val="0"/>
          <w:i w:val="0"/>
          <w:kern w:val="0"/>
          <w:sz w:val="21"/>
          <w:szCs w:val="21"/>
          <w:highlight w:val="none"/>
          <w:lang w:val="en-US" w:eastAsia="zh-CN"/>
        </w:rPr>
        <w:t>需提供全方位定制化解决方案，根据</w:t>
      </w:r>
      <w:r>
        <w:rPr>
          <w:rFonts w:hint="eastAsia" w:ascii="宋体" w:hAnsi="宋体" w:cs="宋体"/>
          <w:b w:val="0"/>
          <w:bCs w:val="0"/>
          <w:i w:val="0"/>
          <w:color w:val="auto"/>
          <w:kern w:val="0"/>
          <w:sz w:val="21"/>
          <w:szCs w:val="21"/>
          <w:highlight w:val="none"/>
          <w:lang w:val="en-US" w:eastAsia="zh-CN"/>
        </w:rPr>
        <w:t>甲方</w:t>
      </w:r>
      <w:r>
        <w:rPr>
          <w:rFonts w:hint="eastAsia" w:ascii="宋体" w:hAnsi="宋体" w:eastAsia="宋体" w:cs="宋体"/>
          <w:b w:val="0"/>
          <w:bCs w:val="0"/>
          <w:i w:val="0"/>
          <w:kern w:val="0"/>
          <w:sz w:val="21"/>
          <w:szCs w:val="21"/>
          <w:highlight w:val="none"/>
          <w:lang w:val="en-US" w:eastAsia="zh-CN"/>
        </w:rPr>
        <w:t>的场地空间、品牌形象、展示主题等特殊要求量身打造展示设施。无论是异形结构还是特殊材质需求，都能精准实现，满足</w:t>
      </w:r>
      <w:r>
        <w:rPr>
          <w:rFonts w:hint="eastAsia" w:ascii="宋体" w:hAnsi="宋体" w:cs="宋体"/>
          <w:b w:val="0"/>
          <w:bCs w:val="0"/>
          <w:i w:val="0"/>
          <w:color w:val="auto"/>
          <w:kern w:val="0"/>
          <w:sz w:val="21"/>
          <w:szCs w:val="21"/>
          <w:highlight w:val="none"/>
          <w:lang w:val="en-US" w:eastAsia="zh-CN"/>
        </w:rPr>
        <w:t>甲方</w:t>
      </w:r>
      <w:r>
        <w:rPr>
          <w:rFonts w:hint="eastAsia" w:ascii="宋体" w:hAnsi="宋体" w:eastAsia="宋体" w:cs="宋体"/>
          <w:b w:val="0"/>
          <w:bCs w:val="0"/>
          <w:i w:val="0"/>
          <w:kern w:val="0"/>
          <w:sz w:val="21"/>
          <w:szCs w:val="21"/>
          <w:highlight w:val="none"/>
          <w:lang w:val="en-US" w:eastAsia="zh-CN"/>
        </w:rPr>
        <w:t>展示需求。</w:t>
      </w:r>
    </w:p>
    <w:p w14:paraId="66BAC760">
      <w:pPr>
        <w:pStyle w:val="10"/>
        <w:widowControl/>
        <w:numPr>
          <w:ilvl w:val="0"/>
          <w:numId w:val="0"/>
        </w:numPr>
        <w:spacing w:before="0" w:line="360" w:lineRule="auto"/>
        <w:jc w:val="both"/>
        <w:outlineLvl w:val="1"/>
        <w:rPr>
          <w:rFonts w:hint="eastAsia" w:ascii="宋体" w:hAnsi="宋体" w:eastAsia="宋体" w:cs="宋体"/>
          <w:b/>
          <w:bCs/>
          <w:i w:val="0"/>
          <w:color w:val="auto"/>
          <w:kern w:val="0"/>
          <w:sz w:val="21"/>
          <w:szCs w:val="21"/>
          <w:lang w:val="en-US" w:eastAsia="zh-CN"/>
        </w:rPr>
      </w:pPr>
      <w:bookmarkStart w:id="57" w:name="_Toc18813"/>
      <w:r>
        <w:rPr>
          <w:rFonts w:hint="eastAsia" w:ascii="宋体" w:hAnsi="宋体" w:eastAsia="宋体" w:cs="宋体"/>
          <w:b/>
          <w:bCs/>
          <w:i w:val="0"/>
          <w:color w:val="auto"/>
          <w:kern w:val="0"/>
          <w:sz w:val="21"/>
          <w:szCs w:val="21"/>
          <w:lang w:val="en-US" w:eastAsia="zh-CN" w:bidi="ar-SA"/>
        </w:rPr>
        <w:t>十一、</w:t>
      </w:r>
      <w:r>
        <w:rPr>
          <w:rFonts w:hint="eastAsia" w:ascii="宋体" w:hAnsi="宋体" w:eastAsia="宋体" w:cs="宋体"/>
          <w:b/>
          <w:bCs/>
          <w:i w:val="0"/>
          <w:color w:val="auto"/>
          <w:kern w:val="0"/>
          <w:sz w:val="21"/>
          <w:szCs w:val="21"/>
          <w:lang w:val="en-US" w:eastAsia="zh-CN"/>
        </w:rPr>
        <w:t>安全保障</w:t>
      </w:r>
      <w:bookmarkEnd w:id="57"/>
    </w:p>
    <w:p w14:paraId="72414D9B">
      <w:pPr>
        <w:pStyle w:val="10"/>
        <w:widowControl/>
        <w:spacing w:before="0" w:line="360" w:lineRule="auto"/>
        <w:ind w:firstLine="420" w:firstLineChars="200"/>
        <w:jc w:val="both"/>
        <w:rPr>
          <w:rFonts w:hint="eastAsia" w:ascii="宋体" w:hAnsi="宋体" w:eastAsia="宋体" w:cs="宋体"/>
          <w:b w:val="0"/>
          <w:bCs w:val="0"/>
          <w:i w:val="0"/>
          <w:kern w:val="0"/>
          <w:sz w:val="21"/>
          <w:szCs w:val="21"/>
          <w:lang w:val="en-US" w:eastAsia="zh-CN"/>
        </w:rPr>
      </w:pPr>
      <w:r>
        <w:rPr>
          <w:rFonts w:hint="eastAsia" w:ascii="宋体" w:hAnsi="宋体" w:eastAsia="宋体" w:cs="宋体"/>
          <w:b w:val="0"/>
          <w:bCs w:val="0"/>
          <w:i w:val="0"/>
          <w:kern w:val="0"/>
          <w:sz w:val="21"/>
          <w:szCs w:val="21"/>
          <w:lang w:val="en-US" w:eastAsia="zh-CN"/>
        </w:rPr>
        <w:t>在项目实施过程中，</w:t>
      </w:r>
      <w:r>
        <w:rPr>
          <w:rFonts w:hint="eastAsia" w:ascii="宋体" w:hAnsi="宋体" w:cs="宋体"/>
          <w:b w:val="0"/>
          <w:bCs w:val="0"/>
          <w:i w:val="0"/>
          <w:kern w:val="0"/>
          <w:sz w:val="21"/>
          <w:szCs w:val="21"/>
          <w:lang w:val="en-US" w:eastAsia="zh-CN"/>
        </w:rPr>
        <w:t>乙方</w:t>
      </w:r>
      <w:r>
        <w:rPr>
          <w:rFonts w:hint="eastAsia" w:ascii="宋体" w:hAnsi="宋体" w:eastAsia="宋体" w:cs="宋体"/>
          <w:b w:val="0"/>
          <w:bCs w:val="0"/>
          <w:i w:val="0"/>
          <w:kern w:val="0"/>
          <w:sz w:val="21"/>
          <w:szCs w:val="21"/>
          <w:lang w:val="en-US" w:eastAsia="zh-CN"/>
        </w:rPr>
        <w:t>需严格遵守国家安全生产法规与标准，制定完善的安全管理制度与应急预案。对施工人员进行全面的安全培训，配备必要的安全防护装备，确保施工过程零事故。针对展示设施的安装与运行，进行安全风险评估，设置相应的安全警示标识与防护设施，保障参观者的人身安全与参观体验，为整个项目营造安全可靠的环境。</w:t>
      </w:r>
    </w:p>
    <w:p w14:paraId="27F44211">
      <w:pPr>
        <w:pStyle w:val="10"/>
        <w:widowControl/>
        <w:numPr>
          <w:ilvl w:val="0"/>
          <w:numId w:val="0"/>
        </w:numPr>
        <w:spacing w:before="0" w:line="360" w:lineRule="auto"/>
        <w:jc w:val="both"/>
        <w:outlineLvl w:val="1"/>
        <w:rPr>
          <w:rFonts w:hint="eastAsia" w:ascii="宋体" w:hAnsi="宋体" w:eastAsia="宋体" w:cs="宋体"/>
          <w:b/>
          <w:bCs/>
          <w:i w:val="0"/>
          <w:kern w:val="0"/>
          <w:sz w:val="21"/>
          <w:szCs w:val="21"/>
          <w:lang w:val="en-US" w:eastAsia="zh-CN"/>
        </w:rPr>
      </w:pPr>
      <w:bookmarkStart w:id="58" w:name="_Toc25021"/>
      <w:r>
        <w:rPr>
          <w:rFonts w:hint="eastAsia" w:ascii="宋体" w:hAnsi="宋体" w:eastAsia="宋体" w:cs="宋体"/>
          <w:b/>
          <w:bCs/>
          <w:i w:val="0"/>
          <w:color w:val="000000"/>
          <w:kern w:val="0"/>
          <w:sz w:val="21"/>
          <w:szCs w:val="21"/>
          <w:lang w:val="en-US" w:eastAsia="zh-CN" w:bidi="ar-SA"/>
        </w:rPr>
        <w:t>十二、</w:t>
      </w:r>
      <w:r>
        <w:rPr>
          <w:rFonts w:hint="eastAsia" w:ascii="宋体" w:hAnsi="宋体" w:eastAsia="宋体" w:cs="宋体"/>
          <w:b/>
          <w:bCs/>
          <w:i w:val="0"/>
          <w:color w:val="auto"/>
          <w:kern w:val="0"/>
          <w:sz w:val="21"/>
          <w:szCs w:val="21"/>
          <w:lang w:val="en-US" w:eastAsia="zh-CN"/>
        </w:rPr>
        <w:t>环保要求</w:t>
      </w:r>
      <w:bookmarkEnd w:id="58"/>
    </w:p>
    <w:p w14:paraId="2BEE313E">
      <w:pPr>
        <w:pStyle w:val="10"/>
        <w:widowControl/>
        <w:numPr>
          <w:ilvl w:val="0"/>
          <w:numId w:val="0"/>
        </w:numPr>
        <w:spacing w:before="0" w:line="360" w:lineRule="auto"/>
        <w:ind w:firstLine="420" w:firstLineChars="200"/>
        <w:jc w:val="both"/>
        <w:rPr>
          <w:rFonts w:hint="eastAsia" w:ascii="宋体" w:hAnsi="宋体" w:eastAsia="宋体" w:cs="宋体"/>
          <w:b w:val="0"/>
          <w:bCs w:val="0"/>
          <w:i w:val="0"/>
          <w:kern w:val="0"/>
          <w:sz w:val="21"/>
          <w:szCs w:val="21"/>
          <w:lang w:val="en-US" w:eastAsia="zh-CN"/>
        </w:rPr>
      </w:pPr>
      <w:r>
        <w:rPr>
          <w:rFonts w:hint="eastAsia" w:ascii="宋体" w:hAnsi="宋体" w:eastAsia="宋体" w:cs="宋体"/>
          <w:b w:val="0"/>
          <w:bCs w:val="0"/>
          <w:i w:val="0"/>
          <w:kern w:val="0"/>
          <w:sz w:val="21"/>
          <w:szCs w:val="21"/>
          <w:lang w:val="en-US" w:eastAsia="zh-CN"/>
        </w:rPr>
        <w:t>秉持绿色环保理念，供应商需在原材料采购环节优先选用环保型材料，确保产品符合国家相关环保标准。在制作加工过程中，需采用环保型生产工艺，减少废气、废水、废渣的排放。对包装材料进行合理回收利用，降低对环境的影响。通过全过程的环保措施，打造绿色环保的廉政文化展示空间，践行企业社会责任，为环境保护贡献力量。</w:t>
      </w:r>
    </w:p>
    <w:p w14:paraId="5537C31F">
      <w:pPr>
        <w:pStyle w:val="10"/>
        <w:widowControl/>
        <w:numPr>
          <w:ilvl w:val="0"/>
          <w:numId w:val="0"/>
        </w:numPr>
        <w:spacing w:before="0" w:line="360" w:lineRule="auto"/>
        <w:jc w:val="both"/>
        <w:outlineLvl w:val="1"/>
        <w:rPr>
          <w:rFonts w:hint="eastAsia" w:ascii="宋体" w:hAnsi="宋体" w:eastAsia="宋体" w:cs="宋体"/>
          <w:b/>
          <w:bCs/>
          <w:i w:val="0"/>
          <w:color w:val="auto"/>
          <w:kern w:val="0"/>
          <w:sz w:val="21"/>
          <w:szCs w:val="21"/>
          <w:lang w:val="en-US" w:eastAsia="zh-CN"/>
        </w:rPr>
      </w:pPr>
      <w:bookmarkStart w:id="59" w:name="_Toc20530"/>
      <w:r>
        <w:rPr>
          <w:rFonts w:hint="eastAsia" w:ascii="宋体" w:hAnsi="宋体" w:eastAsia="宋体" w:cs="宋体"/>
          <w:b/>
          <w:bCs/>
          <w:i w:val="0"/>
          <w:color w:val="auto"/>
          <w:kern w:val="0"/>
          <w:sz w:val="21"/>
          <w:szCs w:val="21"/>
          <w:lang w:val="en-US" w:eastAsia="zh-CN" w:bidi="ar-SA"/>
        </w:rPr>
        <w:t>十三、</w:t>
      </w:r>
      <w:r>
        <w:rPr>
          <w:rFonts w:hint="eastAsia" w:ascii="宋体" w:hAnsi="宋体" w:eastAsia="宋体" w:cs="宋体"/>
          <w:b/>
          <w:bCs/>
          <w:i w:val="0"/>
          <w:color w:val="auto"/>
          <w:kern w:val="0"/>
          <w:sz w:val="21"/>
          <w:szCs w:val="21"/>
          <w:lang w:val="en-US" w:eastAsia="zh-CN"/>
        </w:rPr>
        <w:t>项目验收</w:t>
      </w:r>
      <w:bookmarkEnd w:id="59"/>
    </w:p>
    <w:p w14:paraId="7AFED87A">
      <w:pPr>
        <w:pStyle w:val="26"/>
        <w:bidi w:val="0"/>
        <w:spacing w:line="360" w:lineRule="auto"/>
        <w:ind w:firstLine="420" w:firstLineChars="200"/>
        <w:rPr>
          <w:rFonts w:hint="eastAsia" w:ascii="宋体" w:hAnsi="宋体" w:cs="宋体"/>
          <w:b/>
          <w:bCs/>
          <w:i w:val="0"/>
          <w:color w:val="000000"/>
          <w:kern w:val="0"/>
          <w:sz w:val="21"/>
          <w:szCs w:val="21"/>
          <w:lang w:val="en-US" w:eastAsia="zh-CN" w:bidi="ar-SA"/>
        </w:rPr>
      </w:pPr>
      <w:r>
        <w:rPr>
          <w:rFonts w:hint="eastAsia" w:ascii="宋体" w:hAnsi="宋体" w:eastAsia="宋体" w:cs="宋体"/>
          <w:b w:val="0"/>
          <w:bCs w:val="0"/>
          <w:i w:val="0"/>
          <w:color w:val="000000"/>
          <w:kern w:val="0"/>
          <w:sz w:val="21"/>
          <w:szCs w:val="21"/>
          <w:lang w:val="en-US" w:eastAsia="zh-CN" w:bidi="ar-SA"/>
        </w:rPr>
        <w:t>项目竣工后，按照验收标准与流程进行验收。验收内容包括展示设施的质量、安装工艺、功能实现、整体效果等方面。由</w:t>
      </w:r>
      <w:r>
        <w:rPr>
          <w:rFonts w:hint="eastAsia" w:ascii="宋体" w:hAnsi="宋体" w:cs="宋体"/>
          <w:b w:val="0"/>
          <w:bCs w:val="0"/>
          <w:i w:val="0"/>
          <w:color w:val="auto"/>
          <w:kern w:val="0"/>
          <w:sz w:val="21"/>
          <w:szCs w:val="21"/>
          <w:lang w:val="en-US" w:eastAsia="zh-CN"/>
        </w:rPr>
        <w:t>甲方</w:t>
      </w:r>
      <w:r>
        <w:rPr>
          <w:rFonts w:hint="eastAsia" w:ascii="宋体" w:hAnsi="宋体" w:eastAsia="宋体" w:cs="宋体"/>
          <w:b w:val="0"/>
          <w:bCs w:val="0"/>
          <w:i w:val="0"/>
          <w:color w:val="000000"/>
          <w:kern w:val="0"/>
          <w:sz w:val="21"/>
          <w:szCs w:val="21"/>
          <w:lang w:val="en-US" w:eastAsia="zh-CN" w:bidi="ar-SA"/>
        </w:rPr>
        <w:t>组织相关专家与人员进行验收，</w:t>
      </w:r>
      <w:r>
        <w:rPr>
          <w:rFonts w:hint="eastAsia" w:ascii="宋体" w:hAnsi="宋体" w:cs="宋体"/>
          <w:b w:val="0"/>
          <w:bCs w:val="0"/>
          <w:i w:val="0"/>
          <w:color w:val="000000"/>
          <w:kern w:val="0"/>
          <w:sz w:val="21"/>
          <w:szCs w:val="21"/>
          <w:lang w:val="en-US" w:eastAsia="zh-CN" w:bidi="ar-SA"/>
        </w:rPr>
        <w:t>乙方</w:t>
      </w:r>
      <w:r>
        <w:rPr>
          <w:rFonts w:hint="eastAsia" w:ascii="宋体" w:hAnsi="宋体" w:eastAsia="宋体" w:cs="宋体"/>
          <w:b w:val="0"/>
          <w:bCs w:val="0"/>
          <w:i w:val="0"/>
          <w:color w:val="000000"/>
          <w:kern w:val="0"/>
          <w:sz w:val="21"/>
          <w:szCs w:val="21"/>
          <w:lang w:val="en-US" w:eastAsia="zh-CN" w:bidi="ar-SA"/>
        </w:rPr>
        <w:t>积极配合提供验收所需的技术资料与文件。对于验收过程中发现的问题，及时进行整改完善，直至项目通过验收，确保交付给</w:t>
      </w:r>
      <w:r>
        <w:rPr>
          <w:rFonts w:hint="eastAsia" w:ascii="宋体" w:hAnsi="宋体" w:cs="宋体"/>
          <w:b w:val="0"/>
          <w:bCs w:val="0"/>
          <w:i w:val="0"/>
          <w:color w:val="auto"/>
          <w:kern w:val="0"/>
          <w:sz w:val="21"/>
          <w:szCs w:val="21"/>
          <w:lang w:val="en-US" w:eastAsia="zh-CN"/>
        </w:rPr>
        <w:t>甲方</w:t>
      </w:r>
      <w:r>
        <w:rPr>
          <w:rFonts w:hint="eastAsia" w:ascii="宋体" w:hAnsi="宋体" w:eastAsia="宋体" w:cs="宋体"/>
          <w:b w:val="0"/>
          <w:bCs w:val="0"/>
          <w:i w:val="0"/>
          <w:color w:val="000000"/>
          <w:kern w:val="0"/>
          <w:sz w:val="21"/>
          <w:szCs w:val="21"/>
          <w:lang w:val="en-US" w:eastAsia="zh-CN" w:bidi="ar-SA"/>
        </w:rPr>
        <w:t>一个符合预期、品质卓越的廉政文化展示项目成果。</w:t>
      </w:r>
    </w:p>
    <w:p w14:paraId="77126DA6">
      <w:pPr>
        <w:pStyle w:val="10"/>
        <w:widowControl/>
        <w:numPr>
          <w:ilvl w:val="0"/>
          <w:numId w:val="0"/>
        </w:numPr>
        <w:spacing w:before="0" w:line="360" w:lineRule="auto"/>
        <w:jc w:val="both"/>
        <w:outlineLvl w:val="1"/>
        <w:rPr>
          <w:rFonts w:hint="eastAsia" w:ascii="宋体" w:hAnsi="宋体" w:eastAsia="宋体" w:cs="宋体"/>
          <w:b/>
          <w:bCs/>
          <w:i w:val="0"/>
          <w:color w:val="auto"/>
          <w:kern w:val="0"/>
          <w:sz w:val="21"/>
          <w:szCs w:val="21"/>
          <w:lang w:val="en-US" w:eastAsia="zh-CN" w:bidi="ar-SA"/>
        </w:rPr>
      </w:pPr>
      <w:bookmarkStart w:id="60" w:name="_Toc1385"/>
      <w:r>
        <w:rPr>
          <w:rFonts w:hint="eastAsia" w:ascii="宋体" w:hAnsi="宋体" w:eastAsia="宋体" w:cs="宋体"/>
          <w:b/>
          <w:bCs/>
          <w:i w:val="0"/>
          <w:color w:val="auto"/>
          <w:kern w:val="0"/>
          <w:sz w:val="21"/>
          <w:szCs w:val="21"/>
          <w:lang w:val="en-US" w:eastAsia="zh-CN" w:bidi="ar-SA"/>
        </w:rPr>
        <w:t>十四、售后服务及要求</w:t>
      </w:r>
      <w:bookmarkEnd w:id="60"/>
    </w:p>
    <w:p w14:paraId="0AACECBE">
      <w:pPr>
        <w:pStyle w:val="10"/>
        <w:widowControl/>
        <w:spacing w:before="0" w:line="360" w:lineRule="auto"/>
        <w:ind w:firstLine="420" w:firstLineChars="200"/>
        <w:jc w:val="both"/>
        <w:rPr>
          <w:rFonts w:hint="eastAsia" w:ascii="宋体" w:hAnsi="宋体" w:eastAsia="宋体" w:cs="宋体"/>
          <w:bCs w:val="0"/>
          <w:i w:val="0"/>
          <w:kern w:val="0"/>
          <w:sz w:val="21"/>
          <w:szCs w:val="21"/>
          <w:lang w:eastAsia="zh-CN"/>
        </w:rPr>
      </w:pPr>
      <w:r>
        <w:rPr>
          <w:rFonts w:hint="eastAsia" w:ascii="宋体" w:hAnsi="宋体" w:eastAsia="宋体" w:cs="宋体"/>
          <w:bCs w:val="0"/>
          <w:i w:val="0"/>
          <w:kern w:val="0"/>
          <w:sz w:val="21"/>
          <w:szCs w:val="21"/>
        </w:rPr>
        <w:t>1、</w:t>
      </w:r>
      <w:r>
        <w:rPr>
          <w:rFonts w:hint="eastAsia" w:ascii="宋体" w:hAnsi="宋体" w:cs="宋体"/>
          <w:bCs w:val="0"/>
          <w:i w:val="0"/>
          <w:kern w:val="0"/>
          <w:sz w:val="21"/>
          <w:szCs w:val="21"/>
          <w:lang w:eastAsia="zh-CN"/>
        </w:rPr>
        <w:t>乙方</w:t>
      </w:r>
      <w:r>
        <w:rPr>
          <w:rFonts w:hint="eastAsia" w:ascii="宋体" w:hAnsi="宋体" w:eastAsia="宋体" w:cs="宋体"/>
          <w:bCs w:val="0"/>
          <w:i w:val="0"/>
          <w:kern w:val="0"/>
          <w:sz w:val="21"/>
          <w:szCs w:val="21"/>
        </w:rPr>
        <w:t>应按</w:t>
      </w:r>
      <w:r>
        <w:rPr>
          <w:rFonts w:hint="eastAsia" w:ascii="宋体" w:hAnsi="宋体" w:cs="宋体"/>
          <w:bCs w:val="0"/>
          <w:i w:val="0"/>
          <w:kern w:val="0"/>
          <w:sz w:val="21"/>
          <w:szCs w:val="21"/>
          <w:lang w:eastAsia="zh-CN"/>
        </w:rPr>
        <w:t>甲方</w:t>
      </w:r>
      <w:r>
        <w:rPr>
          <w:rFonts w:hint="eastAsia" w:ascii="宋体" w:hAnsi="宋体" w:eastAsia="宋体" w:cs="宋体"/>
          <w:bCs w:val="0"/>
          <w:i w:val="0"/>
          <w:kern w:val="0"/>
          <w:sz w:val="21"/>
          <w:szCs w:val="21"/>
        </w:rPr>
        <w:t>的要求将所需货物免费送到</w:t>
      </w:r>
      <w:r>
        <w:rPr>
          <w:rFonts w:hint="eastAsia" w:ascii="宋体" w:hAnsi="宋体" w:cs="宋体"/>
          <w:bCs w:val="0"/>
          <w:i w:val="0"/>
          <w:kern w:val="0"/>
          <w:sz w:val="21"/>
          <w:szCs w:val="21"/>
          <w:lang w:eastAsia="zh-CN"/>
        </w:rPr>
        <w:t>甲方</w:t>
      </w:r>
      <w:r>
        <w:rPr>
          <w:rFonts w:hint="eastAsia" w:ascii="宋体" w:hAnsi="宋体" w:eastAsia="宋体" w:cs="宋体"/>
          <w:bCs w:val="0"/>
          <w:i w:val="0"/>
          <w:kern w:val="0"/>
          <w:sz w:val="21"/>
          <w:szCs w:val="21"/>
        </w:rPr>
        <w:t>指定的地点</w:t>
      </w:r>
      <w:r>
        <w:rPr>
          <w:rFonts w:hint="eastAsia" w:ascii="宋体" w:hAnsi="宋体" w:eastAsia="宋体" w:cs="宋体"/>
          <w:bCs w:val="0"/>
          <w:i w:val="0"/>
          <w:kern w:val="0"/>
          <w:sz w:val="21"/>
          <w:szCs w:val="21"/>
          <w:lang w:eastAsia="zh-CN"/>
        </w:rPr>
        <w:t>，</w:t>
      </w:r>
      <w:r>
        <w:rPr>
          <w:rFonts w:hint="eastAsia" w:ascii="宋体" w:hAnsi="宋体" w:eastAsia="宋体" w:cs="宋体"/>
          <w:bCs w:val="0"/>
          <w:i w:val="0"/>
          <w:kern w:val="0"/>
          <w:sz w:val="21"/>
          <w:szCs w:val="21"/>
        </w:rPr>
        <w:t>按双方约定的交付期限交付。本项目要求不低于</w:t>
      </w:r>
      <w:r>
        <w:rPr>
          <w:rFonts w:hint="eastAsia" w:ascii="宋体" w:hAnsi="宋体" w:eastAsia="宋体" w:cs="宋体"/>
          <w:bCs w:val="0"/>
          <w:i w:val="0"/>
          <w:kern w:val="0"/>
          <w:sz w:val="21"/>
          <w:szCs w:val="21"/>
          <w:lang w:val="en-US" w:eastAsia="zh-CN"/>
        </w:rPr>
        <w:t>1</w:t>
      </w:r>
      <w:r>
        <w:rPr>
          <w:rFonts w:hint="eastAsia" w:ascii="宋体" w:hAnsi="宋体" w:eastAsia="宋体" w:cs="宋体"/>
          <w:bCs w:val="0"/>
          <w:i w:val="0"/>
          <w:kern w:val="0"/>
          <w:sz w:val="21"/>
          <w:szCs w:val="21"/>
        </w:rPr>
        <w:t>年</w:t>
      </w:r>
      <w:r>
        <w:rPr>
          <w:rFonts w:hint="eastAsia" w:ascii="宋体" w:hAnsi="宋体" w:cs="宋体"/>
          <w:bCs w:val="0"/>
          <w:i w:val="0"/>
          <w:kern w:val="0"/>
          <w:sz w:val="21"/>
          <w:szCs w:val="21"/>
          <w:lang w:val="en-US" w:eastAsia="zh-CN"/>
        </w:rPr>
        <w:t>的</w:t>
      </w:r>
      <w:r>
        <w:rPr>
          <w:rFonts w:hint="eastAsia" w:ascii="宋体" w:hAnsi="宋体" w:eastAsia="宋体" w:cs="宋体"/>
          <w:bCs w:val="0"/>
          <w:i w:val="0"/>
          <w:kern w:val="0"/>
          <w:sz w:val="21"/>
          <w:szCs w:val="21"/>
        </w:rPr>
        <w:t>整体质保</w:t>
      </w:r>
      <w:r>
        <w:rPr>
          <w:rFonts w:hint="eastAsia" w:ascii="宋体" w:hAnsi="宋体" w:cs="宋体"/>
          <w:bCs w:val="0"/>
          <w:i w:val="0"/>
          <w:kern w:val="0"/>
          <w:sz w:val="21"/>
          <w:szCs w:val="21"/>
          <w:lang w:val="en-US" w:eastAsia="zh-CN"/>
        </w:rPr>
        <w:t>期</w:t>
      </w:r>
      <w:r>
        <w:rPr>
          <w:rFonts w:hint="eastAsia" w:ascii="宋体" w:hAnsi="宋体" w:eastAsia="宋体" w:cs="宋体"/>
          <w:bCs w:val="0"/>
          <w:i w:val="0"/>
          <w:kern w:val="0"/>
          <w:sz w:val="21"/>
          <w:szCs w:val="21"/>
        </w:rPr>
        <w:t>（项目终验通过之日起计算）</w:t>
      </w:r>
      <w:r>
        <w:rPr>
          <w:rFonts w:hint="eastAsia" w:ascii="宋体" w:hAnsi="宋体" w:eastAsia="宋体" w:cs="宋体"/>
          <w:bCs w:val="0"/>
          <w:i w:val="0"/>
          <w:kern w:val="0"/>
          <w:sz w:val="21"/>
          <w:szCs w:val="21"/>
          <w:lang w:eastAsia="zh-CN"/>
        </w:rPr>
        <w:t>。</w:t>
      </w:r>
      <w:r>
        <w:rPr>
          <w:rFonts w:hint="eastAsia" w:ascii="宋体" w:hAnsi="宋体" w:eastAsia="宋体" w:cs="宋体"/>
          <w:b w:val="0"/>
          <w:bCs w:val="0"/>
          <w:i w:val="0"/>
          <w:kern w:val="0"/>
          <w:sz w:val="21"/>
          <w:szCs w:val="21"/>
          <w:lang w:val="en-US" w:eastAsia="zh-CN"/>
        </w:rPr>
        <w:t>质保期内，对因产品质量问题或安装工艺缺陷导致的损坏或故障，免费维修或更换。定期回访检查展示设施的运行状况，及时处理潜在问题，确保整个展示空间始终保持良好的运行状态和展示效果。</w:t>
      </w:r>
    </w:p>
    <w:p w14:paraId="36904341">
      <w:pPr>
        <w:pStyle w:val="10"/>
        <w:widowControl/>
        <w:spacing w:before="0" w:line="360" w:lineRule="auto"/>
        <w:ind w:firstLine="420" w:firstLineChars="200"/>
        <w:jc w:val="both"/>
        <w:rPr>
          <w:rFonts w:hint="eastAsia" w:ascii="宋体" w:hAnsi="宋体" w:eastAsia="宋体" w:cs="宋体"/>
          <w:bCs w:val="0"/>
          <w:i w:val="0"/>
          <w:kern w:val="0"/>
          <w:sz w:val="21"/>
          <w:szCs w:val="21"/>
        </w:rPr>
      </w:pPr>
      <w:r>
        <w:rPr>
          <w:rFonts w:hint="eastAsia" w:ascii="宋体" w:hAnsi="宋体" w:eastAsia="宋体" w:cs="宋体"/>
          <w:bCs w:val="0"/>
          <w:i w:val="0"/>
          <w:kern w:val="0"/>
          <w:sz w:val="21"/>
          <w:szCs w:val="21"/>
        </w:rPr>
        <w:t>2、需要安装的产品，</w:t>
      </w:r>
      <w:r>
        <w:rPr>
          <w:rFonts w:hint="eastAsia" w:ascii="宋体" w:hAnsi="宋体" w:cs="宋体"/>
          <w:bCs w:val="0"/>
          <w:i w:val="0"/>
          <w:kern w:val="0"/>
          <w:sz w:val="21"/>
          <w:szCs w:val="21"/>
          <w:lang w:eastAsia="zh-CN"/>
        </w:rPr>
        <w:t>乙方</w:t>
      </w:r>
      <w:r>
        <w:rPr>
          <w:rFonts w:hint="eastAsia" w:ascii="宋体" w:hAnsi="宋体" w:eastAsia="宋体" w:cs="宋体"/>
          <w:bCs w:val="0"/>
          <w:i w:val="0"/>
          <w:kern w:val="0"/>
          <w:sz w:val="21"/>
          <w:szCs w:val="21"/>
        </w:rPr>
        <w:t>须派有经验的技术人员，自备安装工具到现场进行安装，直到货物正常使用，其费用由</w:t>
      </w:r>
      <w:r>
        <w:rPr>
          <w:rFonts w:hint="eastAsia" w:ascii="宋体" w:hAnsi="宋体" w:cs="宋体"/>
          <w:bCs w:val="0"/>
          <w:i w:val="0"/>
          <w:kern w:val="0"/>
          <w:sz w:val="21"/>
          <w:szCs w:val="21"/>
          <w:lang w:eastAsia="zh-CN"/>
        </w:rPr>
        <w:t>乙方</w:t>
      </w:r>
      <w:r>
        <w:rPr>
          <w:rFonts w:hint="eastAsia" w:ascii="宋体" w:hAnsi="宋体" w:cs="宋体"/>
          <w:bCs w:val="0"/>
          <w:i w:val="0"/>
          <w:kern w:val="0"/>
          <w:sz w:val="21"/>
          <w:szCs w:val="21"/>
          <w:lang w:val="en-US" w:eastAsia="zh-CN"/>
        </w:rPr>
        <w:t>承担</w:t>
      </w:r>
      <w:r>
        <w:rPr>
          <w:rFonts w:hint="eastAsia" w:ascii="宋体" w:hAnsi="宋体" w:eastAsia="宋体" w:cs="宋体"/>
          <w:bCs w:val="0"/>
          <w:i w:val="0"/>
          <w:kern w:val="0"/>
          <w:sz w:val="21"/>
          <w:szCs w:val="21"/>
        </w:rPr>
        <w:t>。产品安装完毕后，由</w:t>
      </w:r>
      <w:r>
        <w:rPr>
          <w:rFonts w:hint="eastAsia" w:ascii="宋体" w:hAnsi="宋体" w:cs="宋体"/>
          <w:bCs w:val="0"/>
          <w:i w:val="0"/>
          <w:kern w:val="0"/>
          <w:sz w:val="21"/>
          <w:szCs w:val="21"/>
          <w:lang w:eastAsia="zh-CN"/>
        </w:rPr>
        <w:t>甲方</w:t>
      </w:r>
      <w:r>
        <w:rPr>
          <w:rFonts w:hint="eastAsia" w:ascii="宋体" w:hAnsi="宋体" w:eastAsia="宋体" w:cs="宋体"/>
          <w:bCs w:val="0"/>
          <w:i w:val="0"/>
          <w:kern w:val="0"/>
          <w:sz w:val="21"/>
          <w:szCs w:val="21"/>
          <w:lang w:val="en-US" w:eastAsia="zh-CN"/>
        </w:rPr>
        <w:t>组织项目</w:t>
      </w:r>
      <w:r>
        <w:rPr>
          <w:rFonts w:hint="eastAsia" w:ascii="宋体" w:hAnsi="宋体" w:eastAsia="宋体" w:cs="宋体"/>
          <w:bCs w:val="0"/>
          <w:i w:val="0"/>
          <w:kern w:val="0"/>
          <w:sz w:val="21"/>
          <w:szCs w:val="21"/>
        </w:rPr>
        <w:t>验收，</w:t>
      </w:r>
      <w:r>
        <w:rPr>
          <w:rFonts w:hint="eastAsia" w:ascii="宋体" w:hAnsi="宋体" w:eastAsia="宋体" w:cs="宋体"/>
          <w:bCs w:val="0"/>
          <w:i w:val="0"/>
          <w:kern w:val="0"/>
          <w:sz w:val="21"/>
          <w:szCs w:val="21"/>
          <w:lang w:val="en-US" w:eastAsia="zh-CN"/>
        </w:rPr>
        <w:t>验收合格后</w:t>
      </w:r>
      <w:r>
        <w:rPr>
          <w:rFonts w:hint="eastAsia" w:ascii="宋体" w:hAnsi="宋体" w:cs="宋体"/>
          <w:bCs w:val="0"/>
          <w:i w:val="0"/>
          <w:kern w:val="0"/>
          <w:sz w:val="21"/>
          <w:szCs w:val="21"/>
          <w:lang w:eastAsia="zh-CN"/>
        </w:rPr>
        <w:t>甲方</w:t>
      </w:r>
      <w:r>
        <w:rPr>
          <w:rFonts w:hint="eastAsia" w:ascii="宋体" w:hAnsi="宋体" w:eastAsia="宋体" w:cs="宋体"/>
          <w:bCs w:val="0"/>
          <w:i w:val="0"/>
          <w:kern w:val="0"/>
          <w:sz w:val="21"/>
          <w:szCs w:val="21"/>
        </w:rPr>
        <w:t>向</w:t>
      </w:r>
      <w:r>
        <w:rPr>
          <w:rFonts w:hint="eastAsia" w:ascii="宋体" w:hAnsi="宋体" w:cs="宋体"/>
          <w:bCs w:val="0"/>
          <w:i w:val="0"/>
          <w:kern w:val="0"/>
          <w:sz w:val="21"/>
          <w:szCs w:val="21"/>
          <w:lang w:eastAsia="zh-CN"/>
        </w:rPr>
        <w:t>乙方</w:t>
      </w:r>
      <w:r>
        <w:rPr>
          <w:rFonts w:hint="eastAsia" w:ascii="宋体" w:hAnsi="宋体" w:eastAsia="宋体" w:cs="宋体"/>
          <w:bCs w:val="0"/>
          <w:i w:val="0"/>
          <w:kern w:val="0"/>
          <w:sz w:val="21"/>
          <w:szCs w:val="21"/>
        </w:rPr>
        <w:t>签具验收书。在投标货物质保期内，</w:t>
      </w:r>
      <w:r>
        <w:rPr>
          <w:rFonts w:hint="eastAsia" w:ascii="宋体" w:hAnsi="宋体" w:cs="宋体"/>
          <w:bCs w:val="0"/>
          <w:i w:val="0"/>
          <w:kern w:val="0"/>
          <w:sz w:val="21"/>
          <w:szCs w:val="21"/>
          <w:lang w:eastAsia="zh-CN"/>
        </w:rPr>
        <w:t>乙方</w:t>
      </w:r>
      <w:r>
        <w:rPr>
          <w:rFonts w:hint="eastAsia" w:ascii="宋体" w:hAnsi="宋体" w:eastAsia="宋体" w:cs="宋体"/>
          <w:bCs w:val="0"/>
          <w:i w:val="0"/>
          <w:kern w:val="0"/>
          <w:sz w:val="21"/>
          <w:szCs w:val="21"/>
        </w:rPr>
        <w:t>应</w:t>
      </w:r>
      <w:r>
        <w:rPr>
          <w:rFonts w:hint="eastAsia" w:ascii="宋体" w:hAnsi="宋体" w:cs="宋体"/>
          <w:bCs w:val="0"/>
          <w:i w:val="0"/>
          <w:kern w:val="0"/>
          <w:sz w:val="21"/>
          <w:szCs w:val="21"/>
          <w:lang w:val="en-US" w:eastAsia="zh-CN"/>
        </w:rPr>
        <w:t>提供</w:t>
      </w:r>
      <w:r>
        <w:rPr>
          <w:rFonts w:hint="eastAsia" w:ascii="宋体" w:hAnsi="宋体" w:eastAsia="宋体" w:cs="宋体"/>
          <w:bCs w:val="0"/>
          <w:i w:val="0"/>
          <w:kern w:val="0"/>
          <w:sz w:val="21"/>
          <w:szCs w:val="21"/>
        </w:rPr>
        <w:t>7*24小时的现场质保和技术支持服务，对故障能即时响应，1小时以内到现场，4小时以内解决问题；不能当场修复的，必须采取提供备品、备件等措施，以保证</w:t>
      </w:r>
      <w:r>
        <w:rPr>
          <w:rFonts w:hint="eastAsia" w:ascii="宋体" w:hAnsi="宋体" w:cs="宋体"/>
          <w:bCs w:val="0"/>
          <w:i w:val="0"/>
          <w:kern w:val="0"/>
          <w:sz w:val="21"/>
          <w:szCs w:val="21"/>
          <w:lang w:eastAsia="zh-CN"/>
        </w:rPr>
        <w:t>甲方</w:t>
      </w:r>
      <w:r>
        <w:rPr>
          <w:rFonts w:hint="eastAsia" w:ascii="宋体" w:hAnsi="宋体" w:eastAsia="宋体" w:cs="宋体"/>
          <w:bCs w:val="0"/>
          <w:i w:val="0"/>
          <w:kern w:val="0"/>
          <w:sz w:val="21"/>
          <w:szCs w:val="21"/>
        </w:rPr>
        <w:t>的正常使用。</w:t>
      </w:r>
    </w:p>
    <w:p w14:paraId="41CDD5DA">
      <w:pPr>
        <w:spacing w:line="360" w:lineRule="auto"/>
        <w:ind w:firstLine="420" w:firstLineChars="200"/>
        <w:rPr>
          <w:rFonts w:hint="eastAsia" w:ascii="宋体" w:hAnsi="宋体" w:eastAsia="宋体" w:cs="宋体"/>
          <w:bCs w:val="0"/>
          <w:i w:val="0"/>
          <w:color w:val="000000"/>
          <w:kern w:val="0"/>
          <w:sz w:val="21"/>
          <w:szCs w:val="21"/>
          <w:lang w:val="en-US" w:eastAsia="zh-CN" w:bidi="ar-SA"/>
        </w:rPr>
      </w:pPr>
      <w:r>
        <w:rPr>
          <w:rFonts w:hint="eastAsia" w:ascii="宋体" w:hAnsi="宋体" w:eastAsia="宋体" w:cs="宋体"/>
          <w:bCs w:val="0"/>
          <w:i w:val="0"/>
          <w:color w:val="000000"/>
          <w:kern w:val="0"/>
          <w:sz w:val="21"/>
          <w:szCs w:val="21"/>
          <w:lang w:val="en-US" w:eastAsia="zh-CN" w:bidi="ar-SA"/>
        </w:rPr>
        <w:t>3、免费处理售后期内发现的施工责任问题，按照建设及维护标准要求完成故障修复，并且不收取任何额外费用。具体以投标文件中的售后服务承诺提供售后服务。如果逾期未作出响应，</w:t>
      </w:r>
      <w:r>
        <w:rPr>
          <w:rFonts w:hint="eastAsia" w:ascii="宋体" w:hAnsi="宋体" w:cs="宋体"/>
          <w:bCs w:val="0"/>
          <w:i w:val="0"/>
          <w:color w:val="000000"/>
          <w:kern w:val="0"/>
          <w:sz w:val="21"/>
          <w:szCs w:val="21"/>
          <w:lang w:val="en-US" w:eastAsia="zh-CN" w:bidi="ar-SA"/>
        </w:rPr>
        <w:t>乙方</w:t>
      </w:r>
      <w:r>
        <w:rPr>
          <w:rFonts w:hint="eastAsia" w:ascii="宋体" w:hAnsi="宋体" w:eastAsia="宋体" w:cs="宋体"/>
          <w:bCs w:val="0"/>
          <w:i w:val="0"/>
          <w:color w:val="000000"/>
          <w:kern w:val="0"/>
          <w:sz w:val="21"/>
          <w:szCs w:val="21"/>
          <w:lang w:val="en-US" w:eastAsia="zh-CN" w:bidi="ar-SA"/>
        </w:rPr>
        <w:t>应承担由于故障所造成的全部损失。</w:t>
      </w:r>
    </w:p>
    <w:p w14:paraId="31C8292C">
      <w:pPr>
        <w:spacing w:line="360" w:lineRule="auto"/>
        <w:ind w:firstLine="420" w:firstLineChars="200"/>
        <w:rPr>
          <w:rFonts w:hint="eastAsia" w:ascii="宋体" w:hAnsi="宋体" w:eastAsia="宋体" w:cs="宋体"/>
          <w:bCs w:val="0"/>
          <w:i w:val="0"/>
          <w:color w:val="000000"/>
          <w:kern w:val="0"/>
          <w:sz w:val="21"/>
          <w:szCs w:val="21"/>
          <w:lang w:val="en-US" w:eastAsia="zh-CN" w:bidi="ar-SA"/>
        </w:rPr>
      </w:pPr>
      <w:r>
        <w:rPr>
          <w:rFonts w:hint="eastAsia" w:ascii="宋体" w:hAnsi="宋体" w:eastAsia="宋体" w:cs="宋体"/>
          <w:bCs w:val="0"/>
          <w:i w:val="0"/>
          <w:color w:val="000000"/>
          <w:kern w:val="0"/>
          <w:sz w:val="21"/>
          <w:szCs w:val="21"/>
          <w:lang w:val="en-US" w:eastAsia="zh-CN" w:bidi="ar-SA"/>
        </w:rPr>
        <w:t>4、当投标货物发生非人为因素严重故障时，</w:t>
      </w:r>
      <w:r>
        <w:rPr>
          <w:rFonts w:hint="eastAsia" w:ascii="宋体" w:hAnsi="宋体" w:cs="宋体"/>
          <w:bCs w:val="0"/>
          <w:i w:val="0"/>
          <w:color w:val="000000"/>
          <w:kern w:val="0"/>
          <w:sz w:val="21"/>
          <w:szCs w:val="21"/>
          <w:lang w:val="en-US" w:eastAsia="zh-CN" w:bidi="ar-SA"/>
        </w:rPr>
        <w:t>乙方</w:t>
      </w:r>
      <w:r>
        <w:rPr>
          <w:rFonts w:hint="eastAsia" w:ascii="宋体" w:hAnsi="宋体" w:eastAsia="宋体" w:cs="宋体"/>
          <w:bCs w:val="0"/>
          <w:i w:val="0"/>
          <w:color w:val="000000"/>
          <w:kern w:val="0"/>
          <w:sz w:val="21"/>
          <w:szCs w:val="21"/>
          <w:lang w:val="en-US" w:eastAsia="zh-CN" w:bidi="ar-SA"/>
        </w:rPr>
        <w:t>应当免费在七日内将补充或者更换的货物运抵发生故障的货物所在地，由此产生的一切相关费用由</w:t>
      </w:r>
      <w:r>
        <w:rPr>
          <w:rFonts w:hint="eastAsia" w:ascii="宋体" w:hAnsi="宋体" w:cs="宋体"/>
          <w:bCs w:val="0"/>
          <w:i w:val="0"/>
          <w:color w:val="000000"/>
          <w:kern w:val="0"/>
          <w:sz w:val="21"/>
          <w:szCs w:val="21"/>
          <w:lang w:val="en-US" w:eastAsia="zh-CN" w:bidi="ar-SA"/>
        </w:rPr>
        <w:t>乙方</w:t>
      </w:r>
      <w:r>
        <w:rPr>
          <w:rFonts w:hint="eastAsia" w:ascii="宋体" w:hAnsi="宋体" w:eastAsia="宋体" w:cs="宋体"/>
          <w:bCs w:val="0"/>
          <w:i w:val="0"/>
          <w:color w:val="000000"/>
          <w:kern w:val="0"/>
          <w:sz w:val="21"/>
          <w:szCs w:val="21"/>
          <w:lang w:val="en-US" w:eastAsia="zh-CN" w:bidi="ar-SA"/>
        </w:rPr>
        <w:t>负担。</w:t>
      </w:r>
    </w:p>
    <w:p w14:paraId="1619EE37">
      <w:pPr>
        <w:spacing w:line="360" w:lineRule="auto"/>
        <w:ind w:firstLine="420" w:firstLineChars="200"/>
        <w:rPr>
          <w:rFonts w:hint="eastAsia" w:ascii="宋体" w:hAnsi="宋体" w:eastAsia="宋体" w:cs="宋体"/>
          <w:b/>
          <w:bCs/>
          <w:i w:val="0"/>
          <w:kern w:val="0"/>
          <w:sz w:val="21"/>
          <w:szCs w:val="21"/>
          <w:lang w:val="en-US" w:eastAsia="zh-CN"/>
        </w:rPr>
      </w:pPr>
      <w:r>
        <w:rPr>
          <w:rFonts w:hint="eastAsia" w:ascii="宋体" w:hAnsi="宋体" w:eastAsia="宋体" w:cs="宋体"/>
          <w:bCs w:val="0"/>
          <w:i w:val="0"/>
          <w:color w:val="000000"/>
          <w:kern w:val="0"/>
          <w:sz w:val="21"/>
          <w:szCs w:val="21"/>
          <w:lang w:val="en-US" w:eastAsia="zh-CN" w:bidi="ar-SA"/>
        </w:rPr>
        <w:t>5、在质保期内，</w:t>
      </w:r>
      <w:r>
        <w:rPr>
          <w:rFonts w:hint="eastAsia" w:ascii="宋体" w:hAnsi="宋体" w:cs="宋体"/>
          <w:bCs w:val="0"/>
          <w:i w:val="0"/>
          <w:color w:val="000000"/>
          <w:kern w:val="0"/>
          <w:sz w:val="21"/>
          <w:szCs w:val="21"/>
          <w:lang w:val="en-US" w:eastAsia="zh-CN" w:bidi="ar-SA"/>
        </w:rPr>
        <w:t>乙方</w:t>
      </w:r>
      <w:r>
        <w:rPr>
          <w:rFonts w:hint="eastAsia" w:ascii="宋体" w:hAnsi="宋体" w:eastAsia="宋体" w:cs="宋体"/>
          <w:bCs w:val="0"/>
          <w:i w:val="0"/>
          <w:color w:val="000000"/>
          <w:kern w:val="0"/>
          <w:sz w:val="21"/>
          <w:szCs w:val="21"/>
          <w:lang w:val="en-US" w:eastAsia="zh-CN" w:bidi="ar-SA"/>
        </w:rPr>
        <w:t>有责任解决所提供的投标设备的任何问题，在质保期满后，当需要时，</w:t>
      </w:r>
      <w:r>
        <w:rPr>
          <w:rFonts w:hint="eastAsia" w:ascii="宋体" w:hAnsi="宋体" w:cs="宋体"/>
          <w:bCs w:val="0"/>
          <w:i w:val="0"/>
          <w:color w:val="000000"/>
          <w:kern w:val="0"/>
          <w:sz w:val="21"/>
          <w:szCs w:val="21"/>
          <w:lang w:val="en-US" w:eastAsia="zh-CN" w:bidi="ar-SA"/>
        </w:rPr>
        <w:t>乙方</w:t>
      </w:r>
      <w:r>
        <w:rPr>
          <w:rFonts w:hint="eastAsia" w:ascii="宋体" w:hAnsi="宋体" w:eastAsia="宋体" w:cs="宋体"/>
          <w:bCs w:val="0"/>
          <w:i w:val="0"/>
          <w:color w:val="000000"/>
          <w:kern w:val="0"/>
          <w:sz w:val="21"/>
          <w:szCs w:val="21"/>
          <w:lang w:val="en-US" w:eastAsia="zh-CN" w:bidi="ar-SA"/>
        </w:rPr>
        <w:t>仍须对因投标设备本身的固有缺陷和瑕疵承担相应责任。</w:t>
      </w:r>
    </w:p>
    <w:p w14:paraId="56D7D280">
      <w:pPr>
        <w:spacing w:line="360" w:lineRule="auto"/>
        <w:outlineLvl w:val="1"/>
        <w:rPr>
          <w:rFonts w:hint="eastAsia" w:ascii="宋体" w:hAnsi="宋体" w:cs="宋体"/>
          <w:b/>
          <w:szCs w:val="21"/>
        </w:rPr>
      </w:pPr>
      <w:bookmarkStart w:id="61" w:name="_Toc12662"/>
      <w:r>
        <w:rPr>
          <w:rFonts w:hint="eastAsia" w:ascii="宋体" w:hAnsi="宋体" w:cs="宋体"/>
          <w:b/>
          <w:szCs w:val="21"/>
          <w:lang w:val="en-US" w:eastAsia="zh-CN"/>
        </w:rPr>
        <w:t>十五</w:t>
      </w:r>
      <w:r>
        <w:rPr>
          <w:rFonts w:hint="eastAsia" w:ascii="宋体" w:hAnsi="宋体" w:cs="宋体"/>
          <w:b/>
          <w:szCs w:val="21"/>
        </w:rPr>
        <w:t>、专利权</w:t>
      </w:r>
      <w:bookmarkEnd w:id="61"/>
    </w:p>
    <w:p w14:paraId="0767A32E">
      <w:pPr>
        <w:spacing w:line="360" w:lineRule="auto"/>
        <w:ind w:firstLine="420" w:firstLineChars="200"/>
        <w:rPr>
          <w:rFonts w:hint="eastAsia" w:ascii="宋体" w:hAnsi="宋体" w:cs="宋体"/>
          <w:szCs w:val="21"/>
        </w:rPr>
      </w:pPr>
      <w:r>
        <w:rPr>
          <w:rFonts w:hint="eastAsia" w:ascii="宋体" w:hAnsi="宋体" w:cs="宋体"/>
          <w:szCs w:val="21"/>
        </w:rPr>
        <w:t>乙方应保护甲方在使用该设备和软件或其任何一部分时不受第三方提出侵犯专利权、商标权或工业设计权等知识产权等的指控。如果任何第三方提出侵权指控，乙方须与第三方交涉并承担可能发生的一切法律责任和费用。</w:t>
      </w:r>
    </w:p>
    <w:p w14:paraId="16366DE9">
      <w:pPr>
        <w:spacing w:line="360" w:lineRule="auto"/>
        <w:outlineLvl w:val="1"/>
        <w:rPr>
          <w:rFonts w:hint="eastAsia" w:ascii="宋体" w:hAnsi="宋体" w:cs="宋体"/>
          <w:szCs w:val="21"/>
        </w:rPr>
      </w:pPr>
      <w:bookmarkStart w:id="62" w:name="_Toc8680"/>
      <w:r>
        <w:rPr>
          <w:rFonts w:hint="eastAsia" w:ascii="宋体" w:hAnsi="宋体" w:cs="宋体"/>
          <w:b/>
          <w:szCs w:val="21"/>
          <w:lang w:val="en-US" w:eastAsia="zh-CN"/>
        </w:rPr>
        <w:t>十六</w:t>
      </w:r>
      <w:r>
        <w:rPr>
          <w:rFonts w:hint="eastAsia" w:ascii="宋体" w:hAnsi="宋体" w:cs="宋体"/>
          <w:b/>
          <w:szCs w:val="21"/>
        </w:rPr>
        <w:t>、追加设备或服务处理</w:t>
      </w:r>
      <w:bookmarkEnd w:id="62"/>
    </w:p>
    <w:p w14:paraId="1034F4C7">
      <w:pPr>
        <w:spacing w:line="360" w:lineRule="auto"/>
        <w:ind w:firstLine="420" w:firstLineChars="200"/>
        <w:rPr>
          <w:rFonts w:hint="eastAsia" w:ascii="宋体" w:hAnsi="宋体" w:cs="宋体"/>
          <w:szCs w:val="21"/>
        </w:rPr>
      </w:pPr>
      <w:r>
        <w:rPr>
          <w:rFonts w:hint="eastAsia" w:ascii="宋体" w:hAnsi="宋体" w:cs="宋体"/>
          <w:szCs w:val="21"/>
        </w:rPr>
        <w:t>合同履行过程中，甲方有权对合同中所列的设备及服务予以增加（不超过本合同金额的10%），但不对单价或其他的条款作任何改变。</w:t>
      </w:r>
    </w:p>
    <w:p w14:paraId="320B81EE">
      <w:pPr>
        <w:spacing w:line="360" w:lineRule="auto"/>
        <w:outlineLvl w:val="1"/>
        <w:rPr>
          <w:rFonts w:hint="eastAsia" w:ascii="宋体" w:hAnsi="宋体" w:cs="宋体"/>
          <w:szCs w:val="21"/>
        </w:rPr>
      </w:pPr>
      <w:bookmarkStart w:id="63" w:name="_Toc11188"/>
      <w:r>
        <w:rPr>
          <w:rFonts w:hint="eastAsia" w:ascii="宋体" w:hAnsi="宋体" w:cs="宋体"/>
          <w:b/>
          <w:szCs w:val="21"/>
          <w:lang w:val="en-US" w:eastAsia="zh-CN"/>
        </w:rPr>
        <w:t>十七</w:t>
      </w:r>
      <w:r>
        <w:rPr>
          <w:rFonts w:hint="eastAsia" w:ascii="宋体" w:hAnsi="宋体" w:cs="宋体"/>
          <w:b/>
          <w:szCs w:val="21"/>
        </w:rPr>
        <w:t>、延期交货</w:t>
      </w:r>
      <w:bookmarkEnd w:id="63"/>
    </w:p>
    <w:p w14:paraId="50C86223">
      <w:pPr>
        <w:spacing w:line="360" w:lineRule="auto"/>
        <w:ind w:firstLine="420" w:firstLineChars="200"/>
        <w:rPr>
          <w:rFonts w:hint="eastAsia" w:ascii="宋体" w:hAnsi="宋体" w:cs="宋体"/>
          <w:szCs w:val="21"/>
        </w:rPr>
      </w:pPr>
      <w:r>
        <w:rPr>
          <w:rFonts w:hint="eastAsia" w:ascii="宋体" w:hAnsi="宋体" w:cs="宋体"/>
          <w:szCs w:val="21"/>
        </w:rPr>
        <w:t>1、在履行合同过程中，如果乙方遇到不能按时交货或不能按时完成系统的安装、调试情况，应及时以书面形式将不能按时交货或不能按时完成系统的安装、调试情况的理由、延误时间通知甲方。甲方收到乙方的通知后，应进行分析，如果同意，可通过修改合同，酌情延长交货时间。</w:t>
      </w:r>
    </w:p>
    <w:p w14:paraId="7E59FCF3">
      <w:pPr>
        <w:spacing w:line="360" w:lineRule="auto"/>
        <w:ind w:firstLine="420" w:firstLineChars="200"/>
        <w:rPr>
          <w:rFonts w:hint="eastAsia" w:ascii="宋体" w:hAnsi="宋体" w:cs="宋体"/>
          <w:szCs w:val="21"/>
        </w:rPr>
      </w:pPr>
      <w:r>
        <w:rPr>
          <w:rFonts w:hint="eastAsia" w:ascii="宋体" w:hAnsi="宋体" w:cs="宋体"/>
          <w:szCs w:val="21"/>
        </w:rPr>
        <w:t>2、如果乙方无正当理由拖延交货或不按时完成系统的安装、调试，将承担违约损失赔偿。</w:t>
      </w:r>
    </w:p>
    <w:p w14:paraId="498E0A66">
      <w:pPr>
        <w:spacing w:line="360" w:lineRule="auto"/>
        <w:outlineLvl w:val="1"/>
        <w:rPr>
          <w:rFonts w:hint="eastAsia" w:ascii="宋体" w:hAnsi="宋体" w:cs="宋体"/>
          <w:szCs w:val="21"/>
        </w:rPr>
      </w:pPr>
      <w:bookmarkStart w:id="64" w:name="_Toc4629"/>
      <w:r>
        <w:rPr>
          <w:rFonts w:hint="eastAsia" w:ascii="宋体" w:hAnsi="宋体" w:cs="宋体"/>
          <w:b/>
          <w:szCs w:val="21"/>
          <w:lang w:val="en-US" w:eastAsia="zh-CN"/>
        </w:rPr>
        <w:t>十八</w:t>
      </w:r>
      <w:r>
        <w:rPr>
          <w:rFonts w:hint="eastAsia" w:ascii="宋体" w:hAnsi="宋体" w:cs="宋体"/>
          <w:b/>
          <w:szCs w:val="21"/>
        </w:rPr>
        <w:t>、违约责任</w:t>
      </w:r>
      <w:bookmarkEnd w:id="64"/>
    </w:p>
    <w:p w14:paraId="3D37A558">
      <w:pPr>
        <w:snapToGrid w:val="0"/>
        <w:spacing w:before="50" w:line="360" w:lineRule="auto"/>
        <w:ind w:firstLine="420"/>
        <w:rPr>
          <w:rFonts w:hint="eastAsia" w:ascii="宋体" w:hAnsi="宋体" w:cs="宋体"/>
          <w:szCs w:val="21"/>
        </w:rPr>
      </w:pPr>
      <w:r>
        <w:rPr>
          <w:rFonts w:hint="eastAsia" w:ascii="宋体" w:hAnsi="宋体" w:cs="宋体"/>
          <w:bCs/>
          <w:szCs w:val="21"/>
        </w:rPr>
        <w:t>1、乙方到</w:t>
      </w:r>
      <w:r>
        <w:rPr>
          <w:rFonts w:hint="eastAsia" w:ascii="宋体" w:hAnsi="宋体" w:cs="宋体"/>
          <w:szCs w:val="21"/>
        </w:rPr>
        <w:t>货或安装调试完毕时间每延期十日（不足十日按十日计），乙方须支付本项目合同总价的5‰作为赔偿，赔偿费用从合同支付款中扣除，但延期赔偿额最高不超过本合同总价的10%。如延期超过30日，甲方有权终止合同。乙方须承担由此造成的一切损失。</w:t>
      </w:r>
    </w:p>
    <w:p w14:paraId="309E7D8E">
      <w:pPr>
        <w:snapToGrid w:val="0"/>
        <w:spacing w:before="50" w:line="360" w:lineRule="auto"/>
        <w:ind w:firstLine="420"/>
        <w:rPr>
          <w:rFonts w:hint="eastAsia" w:ascii="宋体" w:hAnsi="宋体" w:cs="宋体"/>
          <w:szCs w:val="21"/>
        </w:rPr>
      </w:pPr>
      <w:r>
        <w:rPr>
          <w:rFonts w:hint="eastAsia" w:ascii="宋体" w:hAnsi="宋体" w:cs="宋体"/>
          <w:bCs/>
          <w:szCs w:val="21"/>
        </w:rPr>
        <w:t>2、若由于甲方的原因致使乙方不能按期安装调试完毕的，乙方不承担相应的违约责任。</w:t>
      </w:r>
    </w:p>
    <w:p w14:paraId="0A16593F">
      <w:pPr>
        <w:snapToGrid w:val="0"/>
        <w:spacing w:before="50" w:line="360" w:lineRule="auto"/>
        <w:ind w:firstLine="420"/>
        <w:rPr>
          <w:rFonts w:hint="eastAsia" w:ascii="宋体" w:hAnsi="宋体" w:cs="宋体"/>
          <w:szCs w:val="21"/>
        </w:rPr>
      </w:pPr>
      <w:r>
        <w:rPr>
          <w:rFonts w:hint="eastAsia" w:ascii="宋体" w:hAnsi="宋体" w:cs="宋体"/>
          <w:bCs/>
          <w:szCs w:val="21"/>
        </w:rPr>
        <w:t>3、经甲乙双方友好协商同意，</w:t>
      </w:r>
      <w:r>
        <w:rPr>
          <w:rFonts w:hint="eastAsia" w:ascii="宋体" w:hAnsi="宋体" w:cs="宋体"/>
          <w:szCs w:val="21"/>
        </w:rPr>
        <w:t>延期交货、安装调试、延期支付资金且无须罚款者可不受上述条款约束。</w:t>
      </w:r>
    </w:p>
    <w:p w14:paraId="18D0F26F">
      <w:pPr>
        <w:snapToGrid w:val="0"/>
        <w:spacing w:before="50" w:line="360" w:lineRule="auto"/>
        <w:ind w:firstLine="420"/>
        <w:rPr>
          <w:rFonts w:hint="eastAsia" w:ascii="宋体" w:hAnsi="宋体" w:cs="宋体"/>
          <w:szCs w:val="21"/>
        </w:rPr>
      </w:pPr>
      <w:r>
        <w:rPr>
          <w:rFonts w:hint="eastAsia" w:ascii="宋体" w:hAnsi="宋体" w:cs="宋体"/>
          <w:szCs w:val="21"/>
        </w:rPr>
        <w:t>4、在诉讼期间，除正在进行诉讼的部分外，本合同其它部分可继续执行。</w:t>
      </w:r>
    </w:p>
    <w:p w14:paraId="57564FFD">
      <w:pPr>
        <w:snapToGrid w:val="0"/>
        <w:spacing w:before="50" w:line="360" w:lineRule="auto"/>
        <w:ind w:firstLine="420"/>
        <w:rPr>
          <w:rFonts w:hint="eastAsia" w:ascii="宋体" w:hAnsi="宋体" w:cs="宋体"/>
          <w:szCs w:val="21"/>
        </w:rPr>
      </w:pPr>
      <w:r>
        <w:rPr>
          <w:rFonts w:hint="eastAsia" w:ascii="宋体" w:hAnsi="宋体" w:cs="宋体"/>
          <w:szCs w:val="21"/>
        </w:rPr>
        <w:t>5、如果在甲方发出索赔通知后10天内，乙方未作答复，上述索赔应视为</w:t>
      </w:r>
      <w:r>
        <w:rPr>
          <w:rFonts w:hint="eastAsia" w:ascii="宋体" w:hAnsi="宋体" w:cs="宋体"/>
          <w:szCs w:val="21"/>
          <w:lang w:eastAsia="zh-CN"/>
        </w:rPr>
        <w:t>已被</w:t>
      </w:r>
      <w:r>
        <w:rPr>
          <w:rFonts w:hint="eastAsia" w:ascii="宋体" w:hAnsi="宋体" w:cs="宋体"/>
          <w:szCs w:val="21"/>
        </w:rPr>
        <w:t>乙方接受。甲方有权在甲方需支付给乙方的合同金额中直接扣除。</w:t>
      </w:r>
    </w:p>
    <w:p w14:paraId="65DF22CF">
      <w:pPr>
        <w:spacing w:line="360" w:lineRule="auto"/>
        <w:outlineLvl w:val="1"/>
        <w:rPr>
          <w:rFonts w:hint="eastAsia" w:ascii="宋体" w:hAnsi="宋体" w:cs="宋体"/>
          <w:szCs w:val="21"/>
        </w:rPr>
      </w:pPr>
      <w:bookmarkStart w:id="65" w:name="_Toc21522"/>
      <w:r>
        <w:rPr>
          <w:rFonts w:hint="eastAsia" w:ascii="宋体" w:hAnsi="宋体" w:cs="宋体"/>
          <w:b/>
          <w:szCs w:val="21"/>
          <w:lang w:val="en-US" w:eastAsia="zh-CN"/>
        </w:rPr>
        <w:t>十九</w:t>
      </w:r>
      <w:r>
        <w:rPr>
          <w:rFonts w:hint="eastAsia" w:ascii="宋体" w:hAnsi="宋体" w:cs="宋体"/>
          <w:b/>
          <w:szCs w:val="21"/>
        </w:rPr>
        <w:t>、争议的解决</w:t>
      </w:r>
      <w:bookmarkEnd w:id="65"/>
    </w:p>
    <w:p w14:paraId="4E9B2C38">
      <w:pPr>
        <w:spacing w:line="360" w:lineRule="auto"/>
        <w:ind w:firstLine="359" w:firstLineChars="171"/>
        <w:rPr>
          <w:rFonts w:hint="eastAsia" w:ascii="宋体" w:hAnsi="宋体" w:cs="宋体"/>
          <w:szCs w:val="21"/>
        </w:rPr>
      </w:pPr>
      <w:r>
        <w:rPr>
          <w:rFonts w:hint="eastAsia" w:ascii="宋体" w:hAnsi="宋体" w:cs="宋体"/>
          <w:szCs w:val="21"/>
        </w:rPr>
        <w:t>1、甲乙双方应通过友好协商，解决在执行本合同中所发生的或与本合同有关的一切争端，如果协商得不到解决，任何一方均可按《中华人民共和国</w:t>
      </w:r>
      <w:r>
        <w:rPr>
          <w:rFonts w:hint="eastAsia" w:ascii="宋体" w:hAnsi="宋体" w:cs="宋体"/>
          <w:szCs w:val="21"/>
          <w:lang w:val="en-US" w:eastAsia="zh-CN"/>
        </w:rPr>
        <w:t>民事诉讼法</w:t>
      </w:r>
      <w:r>
        <w:rPr>
          <w:rFonts w:hint="eastAsia" w:ascii="宋体" w:hAnsi="宋体" w:cs="宋体"/>
          <w:szCs w:val="21"/>
        </w:rPr>
        <w:t>》规定提交诉讼，诉讼应在甲方所在地进行。</w:t>
      </w:r>
    </w:p>
    <w:p w14:paraId="01DA8C10">
      <w:pPr>
        <w:spacing w:line="360" w:lineRule="auto"/>
        <w:ind w:firstLine="359" w:firstLineChars="171"/>
        <w:rPr>
          <w:rFonts w:hint="eastAsia" w:ascii="宋体" w:hAnsi="宋体" w:cs="宋体"/>
          <w:szCs w:val="21"/>
        </w:rPr>
      </w:pPr>
      <w:r>
        <w:rPr>
          <w:rFonts w:hint="eastAsia" w:ascii="宋体" w:hAnsi="宋体" w:cs="宋体"/>
          <w:szCs w:val="21"/>
        </w:rPr>
        <w:t>2、诉讼费应由败诉方负担。</w:t>
      </w:r>
    </w:p>
    <w:p w14:paraId="3F8E3EE2">
      <w:pPr>
        <w:spacing w:line="360" w:lineRule="auto"/>
        <w:outlineLvl w:val="1"/>
        <w:rPr>
          <w:rFonts w:hint="eastAsia" w:ascii="宋体" w:hAnsi="宋体" w:cs="宋体"/>
          <w:szCs w:val="21"/>
        </w:rPr>
      </w:pPr>
      <w:bookmarkStart w:id="66" w:name="_Toc28012"/>
      <w:r>
        <w:rPr>
          <w:rFonts w:hint="eastAsia" w:ascii="宋体" w:hAnsi="宋体" w:cs="宋体"/>
          <w:b/>
          <w:szCs w:val="21"/>
          <w:lang w:val="en-US" w:eastAsia="zh-CN"/>
        </w:rPr>
        <w:t>二十</w:t>
      </w:r>
      <w:r>
        <w:rPr>
          <w:rFonts w:hint="eastAsia" w:ascii="宋体" w:hAnsi="宋体" w:cs="宋体"/>
          <w:b/>
          <w:szCs w:val="21"/>
        </w:rPr>
        <w:t>、合同修改</w:t>
      </w:r>
      <w:bookmarkEnd w:id="66"/>
    </w:p>
    <w:p w14:paraId="711627AD">
      <w:pPr>
        <w:spacing w:line="360" w:lineRule="auto"/>
        <w:ind w:firstLine="359" w:firstLineChars="171"/>
        <w:rPr>
          <w:rFonts w:hint="eastAsia" w:ascii="宋体" w:hAnsi="宋体" w:cs="宋体"/>
          <w:szCs w:val="21"/>
        </w:rPr>
      </w:pPr>
      <w:r>
        <w:rPr>
          <w:rFonts w:hint="eastAsia" w:ascii="宋体" w:hAnsi="宋体" w:cs="宋体"/>
          <w:szCs w:val="21"/>
        </w:rPr>
        <w:t>合同条款的任何改动，均须由合同签署双方签署合同修改书或合同补充协议。该合同修改或补充被视为本合同的组成部分，具有与本合同同等法律效力。</w:t>
      </w:r>
    </w:p>
    <w:p w14:paraId="65C33C9A">
      <w:pPr>
        <w:spacing w:line="360" w:lineRule="auto"/>
        <w:outlineLvl w:val="1"/>
        <w:rPr>
          <w:rFonts w:hint="eastAsia" w:ascii="宋体" w:hAnsi="宋体" w:cs="宋体"/>
          <w:szCs w:val="21"/>
        </w:rPr>
      </w:pPr>
      <w:bookmarkStart w:id="67" w:name="_Toc1885"/>
      <w:r>
        <w:rPr>
          <w:rFonts w:hint="eastAsia" w:ascii="宋体" w:hAnsi="宋体" w:cs="宋体"/>
          <w:b/>
          <w:szCs w:val="21"/>
          <w:lang w:val="en-US" w:eastAsia="zh-CN"/>
        </w:rPr>
        <w:t>二十一</w:t>
      </w:r>
      <w:r>
        <w:rPr>
          <w:rFonts w:hint="eastAsia" w:ascii="宋体" w:hAnsi="宋体" w:cs="宋体"/>
          <w:b/>
          <w:szCs w:val="21"/>
        </w:rPr>
        <w:t>、不可抗力的处理</w:t>
      </w:r>
      <w:bookmarkEnd w:id="67"/>
    </w:p>
    <w:p w14:paraId="47F9688F">
      <w:pPr>
        <w:spacing w:line="360" w:lineRule="auto"/>
        <w:ind w:firstLine="359" w:firstLineChars="171"/>
        <w:rPr>
          <w:rFonts w:hint="eastAsia" w:ascii="宋体" w:hAnsi="宋体" w:cs="宋体"/>
          <w:szCs w:val="21"/>
        </w:rPr>
      </w:pPr>
      <w:r>
        <w:rPr>
          <w:rFonts w:hint="eastAsia" w:ascii="宋体" w:hAnsi="宋体" w:cs="宋体"/>
          <w:szCs w:val="21"/>
        </w:rPr>
        <w:t>1、在合同有效期内，任何一方因不可抗力事件导致不能履行合同，则合同履行期可延长，其延长期与不可抗力影响期相同。</w:t>
      </w:r>
    </w:p>
    <w:p w14:paraId="75E80712">
      <w:pPr>
        <w:spacing w:line="360" w:lineRule="auto"/>
        <w:ind w:firstLine="359" w:firstLineChars="171"/>
        <w:rPr>
          <w:rFonts w:hint="eastAsia" w:ascii="宋体" w:hAnsi="宋体" w:cs="宋体"/>
          <w:szCs w:val="21"/>
        </w:rPr>
      </w:pPr>
      <w:r>
        <w:rPr>
          <w:rFonts w:hint="eastAsia" w:ascii="宋体" w:hAnsi="宋体" w:cs="宋体"/>
          <w:szCs w:val="21"/>
        </w:rPr>
        <w:t>2、不可抗力的事故发生后尽快通知另一方，将有关部门出具的证明文件用挂号信邮寄或派人送达另一方。</w:t>
      </w:r>
    </w:p>
    <w:p w14:paraId="05B1DC1B">
      <w:pPr>
        <w:spacing w:line="360" w:lineRule="auto"/>
        <w:outlineLvl w:val="1"/>
        <w:rPr>
          <w:rFonts w:hint="eastAsia" w:ascii="宋体" w:hAnsi="宋体" w:cs="宋体"/>
          <w:szCs w:val="21"/>
        </w:rPr>
      </w:pPr>
      <w:bookmarkStart w:id="68" w:name="_Toc15291"/>
      <w:r>
        <w:rPr>
          <w:rFonts w:hint="eastAsia" w:ascii="宋体" w:hAnsi="宋体" w:cs="宋体"/>
          <w:b/>
          <w:szCs w:val="21"/>
          <w:lang w:val="en-US" w:eastAsia="zh-CN"/>
        </w:rPr>
        <w:t>二十二</w:t>
      </w:r>
      <w:r>
        <w:rPr>
          <w:rFonts w:hint="eastAsia" w:ascii="宋体" w:hAnsi="宋体" w:cs="宋体"/>
          <w:b/>
          <w:szCs w:val="21"/>
        </w:rPr>
        <w:t>、适用法律</w:t>
      </w:r>
      <w:bookmarkEnd w:id="68"/>
    </w:p>
    <w:p w14:paraId="55CF05C2">
      <w:pPr>
        <w:spacing w:line="360" w:lineRule="auto"/>
        <w:ind w:firstLine="359" w:firstLineChars="171"/>
        <w:rPr>
          <w:rFonts w:hint="eastAsia" w:ascii="宋体" w:hAnsi="宋体" w:cs="宋体"/>
          <w:szCs w:val="21"/>
        </w:rPr>
      </w:pPr>
      <w:r>
        <w:rPr>
          <w:rFonts w:hint="eastAsia" w:ascii="宋体" w:hAnsi="宋体" w:cs="宋体"/>
          <w:szCs w:val="21"/>
        </w:rPr>
        <w:t>甲乙双方所订立的合同应按照中华人民共和国的法律进行解释。</w:t>
      </w:r>
    </w:p>
    <w:p w14:paraId="1F542B33">
      <w:pPr>
        <w:spacing w:line="360" w:lineRule="auto"/>
        <w:outlineLvl w:val="1"/>
        <w:rPr>
          <w:rFonts w:hint="eastAsia" w:ascii="宋体" w:hAnsi="宋体" w:cs="宋体"/>
          <w:szCs w:val="21"/>
        </w:rPr>
      </w:pPr>
      <w:bookmarkStart w:id="69" w:name="_Toc15227"/>
      <w:r>
        <w:rPr>
          <w:rFonts w:hint="eastAsia" w:ascii="宋体" w:hAnsi="宋体" w:cs="宋体"/>
          <w:b/>
          <w:szCs w:val="21"/>
          <w:lang w:val="en-US" w:eastAsia="zh-CN"/>
        </w:rPr>
        <w:t>二十三</w:t>
      </w:r>
      <w:r>
        <w:rPr>
          <w:rFonts w:hint="eastAsia" w:ascii="宋体" w:hAnsi="宋体" w:cs="宋体"/>
          <w:b/>
          <w:szCs w:val="21"/>
        </w:rPr>
        <w:t>、合同生效及其它</w:t>
      </w:r>
      <w:bookmarkEnd w:id="69"/>
    </w:p>
    <w:p w14:paraId="2B5A2205">
      <w:pPr>
        <w:spacing w:line="360" w:lineRule="auto"/>
        <w:ind w:firstLine="359" w:firstLineChars="171"/>
        <w:rPr>
          <w:rFonts w:hint="eastAsia" w:ascii="宋体" w:hAnsi="宋体" w:cs="宋体"/>
          <w:szCs w:val="21"/>
        </w:rPr>
      </w:pPr>
      <w:r>
        <w:rPr>
          <w:rFonts w:hint="eastAsia" w:ascii="宋体" w:hAnsi="宋体" w:cs="宋体"/>
          <w:szCs w:val="21"/>
        </w:rPr>
        <w:t>1、合同经双方法定代表人或授权委托代理人签字并加盖单位公章后生效。</w:t>
      </w:r>
    </w:p>
    <w:p w14:paraId="6430AA23">
      <w:pPr>
        <w:spacing w:line="360" w:lineRule="auto"/>
        <w:ind w:firstLine="359" w:firstLineChars="171"/>
        <w:rPr>
          <w:rFonts w:hint="eastAsia" w:ascii="宋体" w:hAnsi="宋体" w:cs="宋体"/>
          <w:szCs w:val="21"/>
        </w:rPr>
      </w:pPr>
      <w:r>
        <w:rPr>
          <w:rFonts w:hint="eastAsia" w:ascii="宋体" w:hAnsi="宋体" w:cs="宋体"/>
          <w:szCs w:val="21"/>
        </w:rPr>
        <w:t>2、合同执行中涉及采购资金和采购内容修改或补充的，须经财政部门审批，并</w:t>
      </w:r>
      <w:r>
        <w:rPr>
          <w:rFonts w:hint="eastAsia" w:ascii="宋体" w:hAnsi="宋体" w:cs="宋体"/>
          <w:szCs w:val="21"/>
          <w:lang w:eastAsia="zh-CN"/>
        </w:rPr>
        <w:t>签订</w:t>
      </w:r>
      <w:r>
        <w:rPr>
          <w:rFonts w:hint="eastAsia" w:ascii="宋体" w:hAnsi="宋体" w:cs="宋体"/>
          <w:szCs w:val="21"/>
        </w:rPr>
        <w:t>书面补充协议报政府采购监督管理部门备案，方可作为主合同不可分割的一部分。</w:t>
      </w:r>
    </w:p>
    <w:p w14:paraId="46B99CCC">
      <w:pPr>
        <w:spacing w:line="360" w:lineRule="auto"/>
        <w:ind w:firstLine="359" w:firstLineChars="171"/>
        <w:rPr>
          <w:rFonts w:hint="eastAsia" w:ascii="宋体" w:hAnsi="宋体" w:cs="宋体"/>
          <w:szCs w:val="21"/>
        </w:rPr>
      </w:pPr>
      <w:r>
        <w:rPr>
          <w:rFonts w:hint="eastAsia" w:ascii="宋体" w:hAnsi="宋体" w:cs="宋体"/>
          <w:szCs w:val="21"/>
        </w:rPr>
        <w:t>3、本合同未尽事宜，遵照中华人民共和国有关</w:t>
      </w:r>
      <w:r>
        <w:rPr>
          <w:rFonts w:hint="eastAsia" w:ascii="宋体" w:hAnsi="宋体" w:cs="宋体"/>
          <w:szCs w:val="21"/>
          <w:lang w:val="en-US" w:eastAsia="zh-CN"/>
        </w:rPr>
        <w:t>法律</w:t>
      </w:r>
      <w:r>
        <w:rPr>
          <w:rFonts w:hint="eastAsia" w:ascii="宋体" w:hAnsi="宋体" w:cs="宋体"/>
          <w:szCs w:val="21"/>
        </w:rPr>
        <w:t>条文执行。</w:t>
      </w:r>
    </w:p>
    <w:p w14:paraId="64C937F0">
      <w:pPr>
        <w:spacing w:line="360" w:lineRule="auto"/>
        <w:ind w:firstLine="359" w:firstLineChars="171"/>
        <w:rPr>
          <w:rFonts w:hint="eastAsia" w:ascii="宋体" w:hAnsi="宋体" w:cs="宋体"/>
          <w:szCs w:val="21"/>
        </w:rPr>
      </w:pPr>
      <w:r>
        <w:rPr>
          <w:rFonts w:hint="eastAsia" w:ascii="宋体" w:hAnsi="宋体" w:cs="宋体"/>
          <w:szCs w:val="21"/>
        </w:rPr>
        <w:t>4、本合同正本一式X份，具有同等法律效力，甲乙双方各执X份，中金招标有限责任公司执一份。</w:t>
      </w:r>
    </w:p>
    <w:p w14:paraId="6CF12E49">
      <w:pPr>
        <w:spacing w:line="360" w:lineRule="auto"/>
        <w:rPr>
          <w:rFonts w:hint="eastAsia" w:ascii="宋体" w:hAnsi="宋体" w:cs="宋体"/>
          <w:szCs w:val="21"/>
        </w:rPr>
      </w:pPr>
    </w:p>
    <w:p w14:paraId="72A5424E">
      <w:pPr>
        <w:bidi w:val="0"/>
        <w:rPr>
          <w:rFonts w:hint="eastAsia"/>
        </w:rPr>
      </w:pPr>
    </w:p>
    <w:p w14:paraId="3E6F623F">
      <w:pPr>
        <w:spacing w:line="360" w:lineRule="auto"/>
        <w:ind w:firstLine="420" w:firstLineChars="200"/>
        <w:rPr>
          <w:rFonts w:ascii="宋体" w:hAnsi="宋体" w:cs="宋体"/>
          <w:szCs w:val="21"/>
        </w:rPr>
      </w:pPr>
      <w:r>
        <w:rPr>
          <w:rFonts w:hint="eastAsia" w:ascii="宋体" w:hAnsi="宋体" w:cs="宋体"/>
          <w:szCs w:val="21"/>
        </w:rPr>
        <w:t xml:space="preserve">甲方：（盖章）                                 乙方：（盖章） </w:t>
      </w:r>
    </w:p>
    <w:p w14:paraId="359CD007">
      <w:pPr>
        <w:spacing w:line="360" w:lineRule="auto"/>
        <w:ind w:firstLine="420" w:firstLineChars="200"/>
        <w:rPr>
          <w:rFonts w:ascii="宋体" w:hAnsi="宋体" w:cs="宋体"/>
          <w:szCs w:val="21"/>
        </w:rPr>
      </w:pPr>
      <w:r>
        <w:rPr>
          <w:rFonts w:hint="eastAsia" w:ascii="宋体" w:hAnsi="宋体" w:cs="宋体"/>
          <w:szCs w:val="21"/>
        </w:rPr>
        <w:t xml:space="preserve">地址：                                         地址： </w:t>
      </w:r>
    </w:p>
    <w:p w14:paraId="0D68A85D">
      <w:pPr>
        <w:spacing w:line="360" w:lineRule="auto"/>
        <w:ind w:firstLine="420" w:firstLineChars="200"/>
        <w:rPr>
          <w:rFonts w:ascii="宋体" w:hAnsi="宋体" w:cs="宋体"/>
          <w:szCs w:val="21"/>
        </w:rPr>
      </w:pPr>
      <w:r>
        <w:rPr>
          <w:rFonts w:hint="eastAsia" w:ascii="宋体" w:hAnsi="宋体" w:cs="宋体"/>
          <w:szCs w:val="21"/>
        </w:rPr>
        <w:t>法定代表人或授权签字代表：（签字）             法定代表人或授权签字代表：（签字）</w:t>
      </w:r>
    </w:p>
    <w:p w14:paraId="28934592">
      <w:pPr>
        <w:spacing w:line="360" w:lineRule="auto"/>
        <w:ind w:firstLine="420" w:firstLineChars="200"/>
        <w:rPr>
          <w:rFonts w:ascii="宋体" w:hAnsi="宋体" w:cs="宋体"/>
          <w:szCs w:val="21"/>
        </w:rPr>
      </w:pPr>
      <w:r>
        <w:rPr>
          <w:rFonts w:hint="eastAsia" w:ascii="宋体" w:hAnsi="宋体" w:cs="宋体"/>
          <w:szCs w:val="21"/>
        </w:rPr>
        <w:t>签订日期：   年  月  日                        签订日期：   年  月  日</w:t>
      </w:r>
    </w:p>
    <w:p w14:paraId="38639DCC">
      <w:pPr>
        <w:spacing w:line="360" w:lineRule="auto"/>
        <w:ind w:firstLine="420" w:firstLineChars="200"/>
        <w:rPr>
          <w:rFonts w:ascii="宋体" w:hAnsi="宋体" w:cs="宋体"/>
          <w:szCs w:val="21"/>
        </w:rPr>
      </w:pPr>
      <w:r>
        <w:rPr>
          <w:rFonts w:hint="eastAsia" w:ascii="宋体" w:hAnsi="宋体" w:cs="宋体"/>
          <w:szCs w:val="21"/>
        </w:rPr>
        <w:t>甲方收款银行：                                 乙方收款银行：</w:t>
      </w:r>
    </w:p>
    <w:p w14:paraId="17F2CFB3">
      <w:pPr>
        <w:spacing w:line="360" w:lineRule="auto"/>
        <w:ind w:firstLine="420" w:firstLineChars="200"/>
        <w:rPr>
          <w:rFonts w:ascii="宋体" w:hAnsi="宋体" w:cs="宋体"/>
          <w:szCs w:val="21"/>
        </w:rPr>
      </w:pPr>
      <w:r>
        <w:rPr>
          <w:rFonts w:hint="eastAsia" w:ascii="宋体" w:hAnsi="宋体" w:cs="宋体"/>
          <w:szCs w:val="21"/>
        </w:rPr>
        <w:t>甲方收款开户账号：                             乙方收款开户账号：</w:t>
      </w:r>
    </w:p>
    <w:p w14:paraId="5C415039">
      <w:pPr>
        <w:tabs>
          <w:tab w:val="left" w:pos="2472"/>
        </w:tabs>
        <w:snapToGrid w:val="0"/>
        <w:spacing w:before="120" w:after="120"/>
        <w:ind w:firstLine="420" w:firstLineChars="200"/>
        <w:rPr>
          <w:rFonts w:hint="eastAsia" w:ascii="宋体" w:hAnsi="宋体" w:cs="宋体"/>
          <w:szCs w:val="21"/>
        </w:rPr>
      </w:pPr>
    </w:p>
    <w:p w14:paraId="2429692A">
      <w:pPr>
        <w:snapToGrid w:val="0"/>
        <w:spacing w:line="420" w:lineRule="atLeast"/>
        <w:rPr>
          <w:rFonts w:hint="eastAsia" w:ascii="宋体" w:hAnsi="宋体" w:cs="宋体"/>
          <w:szCs w:val="21"/>
        </w:rPr>
      </w:pPr>
    </w:p>
    <w:p w14:paraId="0C6F7404">
      <w:pPr>
        <w:snapToGrid w:val="0"/>
        <w:spacing w:line="420" w:lineRule="atLeast"/>
        <w:rPr>
          <w:rFonts w:hint="eastAsia" w:ascii="宋体" w:hAnsi="宋体" w:cs="宋体"/>
          <w:szCs w:val="21"/>
        </w:rPr>
      </w:pPr>
      <w:r>
        <w:rPr>
          <w:rFonts w:hint="eastAsia" w:ascii="宋体" w:hAnsi="宋体" w:cs="宋体"/>
          <w:szCs w:val="21"/>
        </w:rPr>
        <w:t>鉴证方：（盖章）</w:t>
      </w:r>
    </w:p>
    <w:p w14:paraId="3DB349B7">
      <w:pPr>
        <w:snapToGrid w:val="0"/>
        <w:spacing w:line="360" w:lineRule="auto"/>
        <w:jc w:val="center"/>
        <w:outlineLvl w:val="9"/>
        <w:rPr>
          <w:rFonts w:hint="eastAsia" w:ascii="宋体" w:hAnsi="宋体" w:cs="宋体"/>
          <w:b/>
          <w:sz w:val="28"/>
          <w:szCs w:val="28"/>
        </w:rPr>
      </w:pPr>
    </w:p>
    <w:p w14:paraId="5153E87E">
      <w:pPr>
        <w:snapToGrid w:val="0"/>
        <w:spacing w:line="360" w:lineRule="auto"/>
        <w:jc w:val="center"/>
        <w:outlineLvl w:val="9"/>
        <w:rPr>
          <w:rFonts w:hint="eastAsia" w:ascii="宋体" w:hAnsi="宋体" w:cs="宋体"/>
          <w:b/>
          <w:sz w:val="28"/>
          <w:szCs w:val="28"/>
        </w:rPr>
      </w:pPr>
    </w:p>
    <w:p w14:paraId="6037997B">
      <w:pPr>
        <w:snapToGrid w:val="0"/>
        <w:spacing w:line="360" w:lineRule="auto"/>
        <w:rPr>
          <w:rFonts w:ascii="宋体" w:hAnsi="宋体" w:cs="宋体"/>
          <w:color w:val="000000"/>
          <w:szCs w:val="21"/>
        </w:rPr>
      </w:pPr>
      <w:r>
        <w:rPr>
          <w:rFonts w:hint="eastAsia" w:ascii="宋体" w:hAnsi="宋体" w:cs="宋体"/>
          <w:color w:val="000000"/>
          <w:szCs w:val="21"/>
        </w:rPr>
        <w:t>注意事项：</w:t>
      </w:r>
    </w:p>
    <w:p w14:paraId="05BF436A">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1.用于政府采购信用融资的政府采购合同：</w:t>
      </w:r>
    </w:p>
    <w:p w14:paraId="1807379E">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（1）应当包含如下条款：</w:t>
      </w:r>
    </w:p>
    <w:p w14:paraId="1DA76F31">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“第</w:t>
      </w:r>
      <w:r>
        <w:rPr>
          <w:rFonts w:hint="eastAsia" w:ascii="宋体" w:hAnsi="宋体" w:cs="宋体"/>
          <w:color w:val="000000"/>
          <w:szCs w:val="21"/>
          <w:u w:val="single"/>
        </w:rPr>
        <w:t xml:space="preserve">   </w:t>
      </w:r>
      <w:r>
        <w:rPr>
          <w:rFonts w:hint="eastAsia" w:ascii="宋体" w:hAnsi="宋体" w:cs="宋体"/>
          <w:color w:val="000000"/>
          <w:szCs w:val="21"/>
        </w:rPr>
        <w:t>条：政府采购合同贷款</w:t>
      </w:r>
    </w:p>
    <w:p w14:paraId="7CE05134">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本合同同时用于乙方向</w:t>
      </w:r>
      <w:r>
        <w:rPr>
          <w:rFonts w:hint="eastAsia" w:ascii="宋体" w:hAnsi="宋体" w:cs="宋体"/>
          <w:color w:val="000000"/>
          <w:szCs w:val="21"/>
          <w:u w:val="single"/>
        </w:rPr>
        <w:t xml:space="preserve">      </w:t>
      </w:r>
      <w:r>
        <w:rPr>
          <w:rFonts w:hint="eastAsia" w:ascii="宋体" w:hAnsi="宋体" w:cs="宋体"/>
          <w:color w:val="000000"/>
          <w:szCs w:val="21"/>
        </w:rPr>
        <w:t>银行（金融机构）申请政府采购信用贷款。</w:t>
      </w:r>
    </w:p>
    <w:p w14:paraId="48F04B10">
      <w:pPr>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本合同一经签订，原则上不得更改乙方收款账户信息。确须更改的，乙方应取得原合同收款账户开户银行书面同意，否则修改后的合同不予备案，采购资金不予支付。”</w:t>
      </w:r>
    </w:p>
    <w:p w14:paraId="4918A463">
      <w:pPr>
        <w:snapToGrid w:val="0"/>
        <w:spacing w:line="360" w:lineRule="auto"/>
        <w:ind w:firstLine="420" w:firstLineChars="200"/>
        <w:rPr>
          <w:rFonts w:hint="eastAsia" w:ascii="宋体" w:hAnsi="宋体" w:cs="宋体"/>
          <w:b/>
          <w:sz w:val="28"/>
          <w:szCs w:val="28"/>
        </w:rPr>
      </w:pPr>
      <w:r>
        <w:rPr>
          <w:rFonts w:hint="eastAsia" w:ascii="宋体" w:hAnsi="宋体" w:cs="宋体"/>
          <w:color w:val="000000"/>
          <w:szCs w:val="21"/>
        </w:rPr>
        <w:t>（</w:t>
      </w:r>
      <w:r>
        <w:rPr>
          <w:rFonts w:hint="eastAsia" w:ascii="宋体" w:hAnsi="宋体" w:cs="宋体"/>
          <w:color w:val="000000"/>
          <w:szCs w:val="21"/>
          <w:lang w:val="en-US" w:eastAsia="zh-CN"/>
        </w:rPr>
        <w:t>2</w:t>
      </w:r>
      <w:r>
        <w:rPr>
          <w:rFonts w:hint="eastAsia" w:ascii="宋体" w:hAnsi="宋体" w:cs="宋体"/>
          <w:color w:val="000000"/>
          <w:szCs w:val="21"/>
        </w:rPr>
        <w:t>）乙方需确保政府采购合同的收款账户与融资银行开户账户一致。</w:t>
      </w:r>
    </w:p>
    <w:p w14:paraId="2AD31411">
      <w:pPr>
        <w:rPr>
          <w:rFonts w:ascii="宋体" w:hAnsi="宋体" w:cs="宋体"/>
          <w:szCs w:val="21"/>
        </w:rPr>
      </w:pPr>
    </w:p>
    <w:p w14:paraId="3471248B"/>
    <w:p w14:paraId="59692DB6">
      <w:pPr>
        <w:pStyle w:val="15"/>
        <w:snapToGrid w:val="0"/>
        <w:spacing w:before="120" w:after="120" w:line="360" w:lineRule="auto"/>
        <w:ind w:left="602" w:hanging="602" w:hangingChars="200"/>
        <w:jc w:val="center"/>
        <w:outlineLvl w:val="0"/>
        <w:rPr>
          <w:rFonts w:hAnsi="宋体" w:cs="宋体"/>
          <w:b/>
          <w:sz w:val="28"/>
          <w:szCs w:val="28"/>
        </w:rPr>
      </w:pPr>
      <w:r>
        <w:rPr>
          <w:rFonts w:hint="eastAsia" w:asciiTheme="minorEastAsia" w:hAnsiTheme="minorEastAsia" w:eastAsiaTheme="minorEastAsia"/>
          <w:b/>
        </w:rPr>
        <w:br w:type="page"/>
      </w:r>
      <w:bookmarkStart w:id="70" w:name="_Toc15200"/>
      <w:r>
        <w:rPr>
          <w:rFonts w:hint="eastAsia" w:hAnsi="宋体" w:eastAsia="宋体" w:cs="宋体"/>
          <w:b/>
          <w:sz w:val="28"/>
          <w:szCs w:val="28"/>
        </w:rPr>
        <w:t>第六章  投标文件组成</w:t>
      </w:r>
      <w:bookmarkEnd w:id="70"/>
    </w:p>
    <w:p w14:paraId="3EB311DA">
      <w:pPr>
        <w:snapToGrid w:val="0"/>
        <w:spacing w:line="360" w:lineRule="auto"/>
        <w:ind w:firstLine="417" w:firstLineChars="198"/>
        <w:rPr>
          <w:rFonts w:ascii="宋体" w:hAnsi="宋体" w:cs="宋体"/>
          <w:b/>
          <w:szCs w:val="21"/>
        </w:rPr>
      </w:pPr>
      <w:r>
        <w:rPr>
          <w:rFonts w:hint="eastAsia" w:ascii="宋体" w:hAnsi="宋体" w:cs="宋体"/>
          <w:b/>
          <w:szCs w:val="21"/>
        </w:rPr>
        <w:t>投标文件由投标报价文件、资格证明文件、商务文件、技术文件组成。投标文件中涉及的有关内容均须提供合法有效的证明材料复印件。（复印件未加盖公章作无效处理，特别注明的除外，有▲标识的条款为必须提交的资料）</w:t>
      </w:r>
    </w:p>
    <w:p w14:paraId="424B8417">
      <w:pPr>
        <w:snapToGrid w:val="0"/>
        <w:spacing w:line="360" w:lineRule="auto"/>
        <w:jc w:val="left"/>
        <w:outlineLvl w:val="1"/>
        <w:rPr>
          <w:rFonts w:ascii="宋体" w:hAnsi="宋体" w:cs="宋体"/>
          <w:b/>
          <w:szCs w:val="21"/>
        </w:rPr>
      </w:pPr>
      <w:bookmarkStart w:id="71" w:name="_Toc32054"/>
      <w:r>
        <w:rPr>
          <w:rFonts w:hint="eastAsia" w:ascii="宋体" w:hAnsi="宋体" w:cs="宋体"/>
          <w:b/>
          <w:szCs w:val="21"/>
        </w:rPr>
        <w:t>▲1、投标报价文件部分</w:t>
      </w:r>
      <w:bookmarkEnd w:id="71"/>
    </w:p>
    <w:p w14:paraId="7DB561BD">
      <w:pPr>
        <w:snapToGrid w:val="0"/>
        <w:spacing w:line="360" w:lineRule="auto"/>
        <w:jc w:val="left"/>
        <w:rPr>
          <w:rFonts w:ascii="宋体" w:hAnsi="宋体" w:cs="宋体"/>
          <w:b/>
          <w:szCs w:val="21"/>
        </w:rPr>
      </w:pPr>
      <w:r>
        <w:rPr>
          <w:rFonts w:hint="eastAsia" w:ascii="宋体" w:hAnsi="宋体" w:cs="宋体"/>
          <w:b/>
          <w:szCs w:val="21"/>
        </w:rPr>
        <w:t>（投标报价信息不得出现在资格证明、商务、技术文件中，否则将导致投标无效。）</w:t>
      </w:r>
    </w:p>
    <w:p w14:paraId="0DDD0CD9">
      <w:pPr>
        <w:snapToGrid w:val="0"/>
        <w:spacing w:line="360" w:lineRule="auto"/>
        <w:ind w:left="420" w:leftChars="200"/>
        <w:rPr>
          <w:rFonts w:ascii="宋体" w:hAnsi="宋体" w:cs="宋体"/>
          <w:b/>
          <w:szCs w:val="21"/>
        </w:rPr>
      </w:pPr>
      <w:r>
        <w:rPr>
          <w:rFonts w:hint="eastAsia" w:ascii="宋体" w:hAnsi="宋体" w:cs="宋体"/>
          <w:b/>
          <w:szCs w:val="21"/>
        </w:rPr>
        <w:t>1.1开标一览表；（格式一）</w:t>
      </w:r>
    </w:p>
    <w:p w14:paraId="4D5BFCFF">
      <w:pPr>
        <w:snapToGrid w:val="0"/>
        <w:spacing w:line="360" w:lineRule="auto"/>
        <w:ind w:left="420" w:leftChars="200"/>
        <w:rPr>
          <w:rFonts w:ascii="宋体" w:hAnsi="宋体" w:cs="宋体"/>
          <w:b/>
          <w:szCs w:val="21"/>
        </w:rPr>
      </w:pPr>
      <w:r>
        <w:rPr>
          <w:rFonts w:hint="eastAsia" w:ascii="宋体" w:hAnsi="宋体" w:cs="宋体"/>
          <w:b/>
          <w:szCs w:val="21"/>
        </w:rPr>
        <w:t>1.2报价明细标；（格式二）</w:t>
      </w:r>
    </w:p>
    <w:p w14:paraId="56E388C5">
      <w:pPr>
        <w:snapToGrid w:val="0"/>
        <w:spacing w:line="360" w:lineRule="auto"/>
        <w:outlineLvl w:val="1"/>
        <w:rPr>
          <w:rFonts w:ascii="宋体" w:hAnsi="宋体" w:cs="宋体"/>
          <w:b/>
          <w:szCs w:val="21"/>
        </w:rPr>
      </w:pPr>
      <w:bookmarkStart w:id="72" w:name="_Toc30288"/>
      <w:r>
        <w:rPr>
          <w:rFonts w:hint="eastAsia" w:ascii="宋体" w:hAnsi="宋体" w:cs="宋体"/>
          <w:b/>
          <w:szCs w:val="21"/>
        </w:rPr>
        <w:t>▲2、资格证明文件部分</w:t>
      </w:r>
      <w:bookmarkEnd w:id="72"/>
    </w:p>
    <w:p w14:paraId="2438ED11">
      <w:pPr>
        <w:snapToGrid w:val="0"/>
        <w:spacing w:line="360" w:lineRule="auto"/>
        <w:ind w:firstLine="417" w:firstLineChars="198"/>
        <w:rPr>
          <w:rFonts w:ascii="宋体" w:hAnsi="宋体" w:cs="宋体"/>
          <w:b/>
          <w:szCs w:val="21"/>
        </w:rPr>
      </w:pPr>
      <w:r>
        <w:rPr>
          <w:rFonts w:hint="eastAsia" w:ascii="宋体" w:hAnsi="宋体" w:cs="宋体"/>
          <w:b/>
          <w:szCs w:val="21"/>
        </w:rPr>
        <w:t>2.1享受预留份额政策相关证明文件：投标人须提供《中小企业声明函》（监狱企业须提供由省级以上监狱管理局、戒毒管理局（含新疆生产建设兵团）出具的属于监狱企业的证明文件；残疾人福利性单位须提供《残疾人福利性单位声明函》）（格式三-四）</w:t>
      </w:r>
    </w:p>
    <w:p w14:paraId="5519A93E">
      <w:pPr>
        <w:snapToGrid w:val="0"/>
        <w:spacing w:line="360" w:lineRule="auto"/>
        <w:ind w:firstLine="422" w:firstLineChars="200"/>
        <w:rPr>
          <w:rFonts w:ascii="宋体" w:hAnsi="宋体" w:cs="宋体"/>
          <w:b/>
          <w:szCs w:val="21"/>
        </w:rPr>
      </w:pPr>
      <w:r>
        <w:rPr>
          <w:rFonts w:hint="eastAsia" w:ascii="宋体" w:hAnsi="宋体" w:cs="宋体"/>
          <w:b/>
          <w:szCs w:val="21"/>
        </w:rPr>
        <w:t>2.2投标人具有独立承担民事责任的能力证明资料：投标人须在投标文件中出具符合以下情况的证明材料复印件（五选一）</w:t>
      </w:r>
    </w:p>
    <w:p w14:paraId="0018FC00">
      <w:pPr>
        <w:snapToGrid w:val="0"/>
        <w:spacing w:line="360" w:lineRule="auto"/>
        <w:ind w:firstLine="417" w:firstLineChars="198"/>
        <w:rPr>
          <w:rFonts w:ascii="宋体" w:hAnsi="宋体" w:cs="宋体"/>
          <w:b/>
          <w:szCs w:val="21"/>
        </w:rPr>
      </w:pPr>
      <w:r>
        <w:rPr>
          <w:rFonts w:hint="eastAsia" w:ascii="宋体" w:hAnsi="宋体" w:cs="宋体"/>
          <w:b/>
          <w:szCs w:val="21"/>
        </w:rPr>
        <w:t>a)如供应商是企业（包括合伙企业），提供在工商部门注册的有效“企业法人营业执照”或“营业执照”；</w:t>
      </w:r>
    </w:p>
    <w:p w14:paraId="3D6B3142">
      <w:pPr>
        <w:snapToGrid w:val="0"/>
        <w:spacing w:line="360" w:lineRule="auto"/>
        <w:ind w:firstLine="417" w:firstLineChars="198"/>
        <w:rPr>
          <w:rFonts w:ascii="宋体" w:hAnsi="宋体" w:cs="宋体"/>
          <w:b/>
          <w:szCs w:val="21"/>
        </w:rPr>
      </w:pPr>
      <w:r>
        <w:rPr>
          <w:rFonts w:hint="eastAsia" w:ascii="宋体" w:hAnsi="宋体" w:cs="宋体"/>
          <w:b/>
          <w:szCs w:val="21"/>
        </w:rPr>
        <w:t>b)如供应商是事业单位，提供有效的“事业单位法人证书”；</w:t>
      </w:r>
    </w:p>
    <w:p w14:paraId="78CF9782">
      <w:pPr>
        <w:snapToGrid w:val="0"/>
        <w:spacing w:line="360" w:lineRule="auto"/>
        <w:ind w:firstLine="417" w:firstLineChars="198"/>
        <w:rPr>
          <w:rFonts w:ascii="宋体" w:hAnsi="宋体" w:cs="宋体"/>
          <w:b/>
          <w:szCs w:val="21"/>
        </w:rPr>
      </w:pPr>
      <w:r>
        <w:rPr>
          <w:rFonts w:hint="eastAsia" w:ascii="宋体" w:hAnsi="宋体" w:cs="宋体"/>
          <w:b/>
          <w:szCs w:val="21"/>
        </w:rPr>
        <w:t>c)如供应商是非企业专业服务机构的，提供执业许可证等证明文件；</w:t>
      </w:r>
    </w:p>
    <w:p w14:paraId="27EE42F3">
      <w:pPr>
        <w:snapToGrid w:val="0"/>
        <w:spacing w:line="360" w:lineRule="auto"/>
        <w:ind w:firstLine="417" w:firstLineChars="198"/>
        <w:rPr>
          <w:rFonts w:ascii="宋体" w:hAnsi="宋体" w:cs="宋体"/>
          <w:b/>
          <w:szCs w:val="21"/>
        </w:rPr>
      </w:pPr>
      <w:r>
        <w:rPr>
          <w:rFonts w:hint="eastAsia" w:ascii="宋体" w:hAnsi="宋体" w:cs="宋体"/>
          <w:b/>
          <w:szCs w:val="21"/>
        </w:rPr>
        <w:t>d)如供应商是个体工商户，提供有效的“个体工商户营业执照”；</w:t>
      </w:r>
    </w:p>
    <w:p w14:paraId="38B5F494">
      <w:pPr>
        <w:snapToGrid w:val="0"/>
        <w:spacing w:line="360" w:lineRule="auto"/>
        <w:ind w:firstLine="417" w:firstLineChars="198"/>
        <w:rPr>
          <w:rFonts w:ascii="宋体" w:hAnsi="宋体" w:cs="宋体"/>
          <w:b/>
          <w:szCs w:val="21"/>
        </w:rPr>
      </w:pPr>
      <w:r>
        <w:rPr>
          <w:rFonts w:hint="eastAsia" w:ascii="宋体" w:hAnsi="宋体" w:cs="宋体"/>
          <w:b/>
          <w:szCs w:val="21"/>
        </w:rPr>
        <w:t>e)如供应商是自然人，提供有效的自然人身份证明（居民身份证正反面或公安机关出具的临时居民身份证正反面或港澳台胞证或证照）。</w:t>
      </w:r>
    </w:p>
    <w:p w14:paraId="0A730C12">
      <w:pPr>
        <w:snapToGrid w:val="0"/>
        <w:spacing w:line="360" w:lineRule="auto"/>
        <w:ind w:firstLine="417" w:firstLineChars="198"/>
        <w:rPr>
          <w:rFonts w:ascii="宋体" w:hAnsi="宋体" w:cs="宋体"/>
          <w:b/>
          <w:szCs w:val="21"/>
        </w:rPr>
      </w:pPr>
      <w:r>
        <w:rPr>
          <w:rFonts w:hint="eastAsia" w:ascii="宋体" w:hAnsi="宋体" w:cs="宋体"/>
          <w:b/>
          <w:szCs w:val="21"/>
        </w:rPr>
        <w:t>2.3投标人法定代表人身份证复印件；</w:t>
      </w:r>
    </w:p>
    <w:p w14:paraId="5C85E52B">
      <w:pPr>
        <w:snapToGrid w:val="0"/>
        <w:spacing w:line="360" w:lineRule="auto"/>
        <w:ind w:firstLine="417" w:firstLineChars="198"/>
        <w:rPr>
          <w:rFonts w:ascii="宋体" w:hAnsi="宋体" w:cs="宋体"/>
          <w:b/>
          <w:szCs w:val="21"/>
        </w:rPr>
      </w:pPr>
      <w:r>
        <w:rPr>
          <w:rFonts w:hint="eastAsia" w:ascii="宋体" w:hAnsi="宋体" w:cs="宋体"/>
          <w:b/>
          <w:szCs w:val="21"/>
        </w:rPr>
        <w:t>2.4投标函；（格式五）</w:t>
      </w:r>
    </w:p>
    <w:p w14:paraId="203A3321">
      <w:pPr>
        <w:snapToGrid w:val="0"/>
        <w:spacing w:line="360" w:lineRule="auto"/>
        <w:ind w:firstLine="417" w:firstLineChars="198"/>
        <w:rPr>
          <w:rFonts w:ascii="宋体" w:hAnsi="宋体" w:cs="宋体"/>
          <w:b/>
          <w:szCs w:val="21"/>
        </w:rPr>
      </w:pPr>
      <w:r>
        <w:rPr>
          <w:rFonts w:hint="eastAsia" w:ascii="宋体" w:hAnsi="宋体" w:cs="宋体"/>
          <w:b/>
          <w:szCs w:val="21"/>
        </w:rPr>
        <w:t>2.5法定代表人授权函，非法定代表人参加投标时提供；（格式六）</w:t>
      </w:r>
    </w:p>
    <w:p w14:paraId="721D6C30">
      <w:pPr>
        <w:snapToGrid w:val="0"/>
        <w:spacing w:line="360" w:lineRule="auto"/>
        <w:ind w:firstLine="417" w:firstLineChars="198"/>
        <w:rPr>
          <w:rFonts w:ascii="宋体" w:hAnsi="宋体" w:cs="宋体"/>
          <w:b/>
          <w:szCs w:val="21"/>
        </w:rPr>
      </w:pPr>
      <w:r>
        <w:rPr>
          <w:rFonts w:hint="eastAsia" w:ascii="宋体" w:hAnsi="宋体" w:cs="宋体"/>
          <w:b/>
          <w:szCs w:val="21"/>
        </w:rPr>
        <w:t>2.6投标人代表身份证复印件，非法定代表人参加投标时提供</w:t>
      </w:r>
      <w:r>
        <w:rPr>
          <w:rFonts w:ascii="宋体" w:hAnsi="宋体" w:cs="宋体"/>
          <w:b/>
          <w:szCs w:val="21"/>
        </w:rPr>
        <w:t>。</w:t>
      </w:r>
    </w:p>
    <w:p w14:paraId="136796C9">
      <w:pPr>
        <w:snapToGrid w:val="0"/>
        <w:spacing w:line="360" w:lineRule="auto"/>
        <w:ind w:firstLine="211" w:firstLineChars="100"/>
        <w:outlineLvl w:val="1"/>
        <w:rPr>
          <w:rFonts w:ascii="宋体" w:hAnsi="宋体" w:cs="宋体"/>
          <w:b/>
          <w:szCs w:val="21"/>
        </w:rPr>
      </w:pPr>
      <w:bookmarkStart w:id="73" w:name="_Toc1443"/>
      <w:r>
        <w:rPr>
          <w:rFonts w:hint="eastAsia" w:ascii="宋体" w:hAnsi="宋体" w:cs="宋体"/>
          <w:b/>
          <w:szCs w:val="21"/>
        </w:rPr>
        <w:t>3、商务技术文件部分</w:t>
      </w:r>
      <w:bookmarkEnd w:id="73"/>
    </w:p>
    <w:p w14:paraId="6D8E638D">
      <w:pPr>
        <w:keepNext w:val="0"/>
        <w:keepLines w:val="0"/>
        <w:pageBreakBefore w:val="0"/>
        <w:widowControl w:val="0"/>
        <w:kinsoku/>
        <w:wordWrap/>
        <w:overflowPunct/>
        <w:topLinePunct w:val="0"/>
        <w:autoSpaceDE/>
        <w:autoSpaceDN/>
        <w:bidi w:val="0"/>
        <w:adjustRightInd/>
        <w:snapToGrid w:val="0"/>
        <w:spacing w:line="360" w:lineRule="auto"/>
        <w:ind w:firstLine="211" w:firstLineChars="100"/>
        <w:textAlignment w:val="auto"/>
        <w:rPr>
          <w:rFonts w:hint="eastAsia" w:ascii="宋体" w:hAnsi="宋体" w:cs="宋体"/>
          <w:b/>
          <w:bCs/>
          <w:szCs w:val="21"/>
        </w:rPr>
      </w:pPr>
      <w:r>
        <w:rPr>
          <w:rFonts w:hint="eastAsia" w:ascii="宋体" w:hAnsi="宋体" w:cs="宋体"/>
          <w:b/>
          <w:bCs/>
          <w:szCs w:val="21"/>
        </w:rPr>
        <w:t>▲3.1</w:t>
      </w:r>
      <w:r>
        <w:rPr>
          <w:rFonts w:hint="eastAsia" w:ascii="宋体" w:hAnsi="宋体" w:eastAsia="宋体" w:cs="宋体"/>
          <w:b/>
          <w:bCs/>
        </w:rPr>
        <w:t>投标产品清单表</w:t>
      </w:r>
      <w:r>
        <w:rPr>
          <w:rFonts w:hint="eastAsia" w:ascii="宋体" w:hAnsi="宋体" w:cs="宋体"/>
          <w:b/>
          <w:bCs/>
          <w:szCs w:val="21"/>
        </w:rPr>
        <w:t>；（格式</w:t>
      </w:r>
      <w:r>
        <w:rPr>
          <w:rFonts w:hint="eastAsia" w:ascii="宋体" w:hAnsi="宋体" w:cs="宋体"/>
          <w:b/>
          <w:bCs/>
          <w:szCs w:val="21"/>
          <w:lang w:val="en-US" w:eastAsia="zh-CN"/>
        </w:rPr>
        <w:t>七</w:t>
      </w:r>
      <w:r>
        <w:rPr>
          <w:rFonts w:hint="eastAsia" w:ascii="宋体" w:hAnsi="宋体" w:cs="宋体"/>
          <w:b/>
          <w:bCs/>
          <w:szCs w:val="21"/>
        </w:rPr>
        <w:t>）</w:t>
      </w:r>
    </w:p>
    <w:p w14:paraId="67B3868B">
      <w:pPr>
        <w:keepNext w:val="0"/>
        <w:keepLines w:val="0"/>
        <w:pageBreakBefore w:val="0"/>
        <w:widowControl w:val="0"/>
        <w:kinsoku/>
        <w:wordWrap/>
        <w:overflowPunct/>
        <w:topLinePunct w:val="0"/>
        <w:autoSpaceDE/>
        <w:autoSpaceDN/>
        <w:bidi w:val="0"/>
        <w:adjustRightInd/>
        <w:snapToGrid w:val="0"/>
        <w:spacing w:line="360" w:lineRule="auto"/>
        <w:ind w:firstLine="211" w:firstLineChars="100"/>
        <w:textAlignment w:val="auto"/>
        <w:rPr>
          <w:rFonts w:hint="eastAsia" w:ascii="宋体" w:hAnsi="宋体" w:eastAsia="宋体" w:cs="宋体"/>
          <w:b/>
          <w:bCs/>
          <w:sz w:val="21"/>
          <w:szCs w:val="21"/>
        </w:rPr>
      </w:pPr>
      <w:r>
        <w:rPr>
          <w:rFonts w:hint="eastAsia" w:ascii="宋体" w:hAnsi="宋体" w:cs="宋体"/>
          <w:b/>
          <w:bCs/>
          <w:szCs w:val="21"/>
        </w:rPr>
        <w:t>▲3</w:t>
      </w:r>
      <w:r>
        <w:rPr>
          <w:rFonts w:hint="eastAsia" w:ascii="宋体" w:hAnsi="宋体" w:eastAsia="宋体" w:cs="宋体"/>
          <w:b/>
          <w:bCs/>
          <w:sz w:val="21"/>
          <w:szCs w:val="21"/>
        </w:rPr>
        <w:t>.2技术要求响应表；（格式</w:t>
      </w:r>
      <w:r>
        <w:rPr>
          <w:rFonts w:hint="eastAsia" w:ascii="宋体" w:hAnsi="宋体" w:cs="宋体"/>
          <w:b/>
          <w:bCs/>
          <w:sz w:val="21"/>
          <w:szCs w:val="21"/>
          <w:lang w:val="en-US" w:eastAsia="zh-CN"/>
        </w:rPr>
        <w:t>八</w:t>
      </w:r>
      <w:r>
        <w:rPr>
          <w:rFonts w:hint="eastAsia" w:ascii="宋体" w:hAnsi="宋体" w:eastAsia="宋体" w:cs="宋体"/>
          <w:b/>
          <w:bCs/>
          <w:sz w:val="21"/>
          <w:szCs w:val="21"/>
        </w:rPr>
        <w:t>）</w:t>
      </w:r>
    </w:p>
    <w:p w14:paraId="582732BF">
      <w:pPr>
        <w:keepNext w:val="0"/>
        <w:keepLines w:val="0"/>
        <w:pageBreakBefore w:val="0"/>
        <w:widowControl w:val="0"/>
        <w:kinsoku/>
        <w:wordWrap/>
        <w:overflowPunct/>
        <w:topLinePunct w:val="0"/>
        <w:autoSpaceDE/>
        <w:autoSpaceDN/>
        <w:bidi w:val="0"/>
        <w:adjustRightInd/>
        <w:snapToGrid w:val="0"/>
        <w:spacing w:line="360" w:lineRule="auto"/>
        <w:ind w:firstLine="211" w:firstLineChars="100"/>
        <w:textAlignment w:val="auto"/>
        <w:rPr>
          <w:rFonts w:hint="eastAsia" w:ascii="宋体" w:hAnsi="宋体" w:eastAsia="宋体" w:cs="宋体"/>
          <w:b/>
          <w:bCs/>
          <w:lang w:val="en-US" w:eastAsia="zh-CN"/>
        </w:rPr>
      </w:pPr>
      <w:r>
        <w:rPr>
          <w:rFonts w:hint="eastAsia" w:ascii="宋体" w:hAnsi="宋体" w:eastAsia="宋体" w:cs="宋体"/>
          <w:b/>
          <w:bCs/>
          <w:lang w:val="en-US" w:eastAsia="zh-CN"/>
        </w:rPr>
        <w:t>▲3.3规格</w:t>
      </w:r>
      <w:r>
        <w:rPr>
          <w:rFonts w:hint="eastAsia" w:ascii="宋体" w:hAnsi="宋体" w:eastAsia="宋体" w:cs="宋体"/>
          <w:b/>
          <w:bCs/>
        </w:rPr>
        <w:t>要求响应表</w:t>
      </w:r>
      <w:r>
        <w:rPr>
          <w:rFonts w:hint="eastAsia" w:ascii="宋体" w:hAnsi="宋体" w:cs="宋体"/>
          <w:b/>
          <w:bCs/>
          <w:lang w:eastAsia="zh-CN"/>
        </w:rPr>
        <w:t>；（</w:t>
      </w:r>
      <w:r>
        <w:rPr>
          <w:rFonts w:hint="eastAsia" w:ascii="宋体" w:hAnsi="宋体" w:cs="宋体"/>
          <w:b/>
          <w:bCs/>
          <w:lang w:val="en-US" w:eastAsia="zh-CN"/>
        </w:rPr>
        <w:t>格式九</w:t>
      </w:r>
      <w:r>
        <w:rPr>
          <w:rFonts w:hint="eastAsia" w:ascii="宋体" w:hAnsi="宋体" w:cs="宋体"/>
          <w:b/>
          <w:bCs/>
          <w:lang w:eastAsia="zh-CN"/>
        </w:rPr>
        <w:t>）</w:t>
      </w:r>
    </w:p>
    <w:p w14:paraId="18E0455D">
      <w:pPr>
        <w:pStyle w:val="10"/>
        <w:ind w:firstLine="422" w:firstLineChars="200"/>
        <w:rPr>
          <w:rFonts w:hint="eastAsia" w:ascii="宋体" w:hAnsi="宋体" w:eastAsia="宋体" w:cs="宋体"/>
          <w:b/>
          <w:sz w:val="21"/>
          <w:szCs w:val="21"/>
          <w:lang w:eastAsia="zh-CN"/>
        </w:rPr>
      </w:pPr>
      <w:r>
        <w:rPr>
          <w:rFonts w:hint="eastAsia" w:ascii="宋体" w:hAnsi="宋体" w:eastAsia="宋体" w:cs="宋体"/>
          <w:b/>
          <w:bCs/>
          <w:sz w:val="21"/>
          <w:szCs w:val="21"/>
          <w:lang w:val="en-US" w:eastAsia="zh-CN"/>
        </w:rPr>
        <w:t>3.4</w:t>
      </w:r>
      <w:r>
        <w:rPr>
          <w:rFonts w:hint="eastAsia" w:ascii="宋体" w:hAnsi="宋体" w:eastAsia="宋体" w:cs="宋体"/>
          <w:b/>
          <w:sz w:val="21"/>
          <w:szCs w:val="21"/>
        </w:rPr>
        <w:t>相关项目实施业绩一览表</w:t>
      </w:r>
      <w:r>
        <w:rPr>
          <w:rFonts w:hint="eastAsia" w:ascii="宋体" w:hAnsi="宋体" w:eastAsia="宋体" w:cs="宋体"/>
          <w:b/>
          <w:sz w:val="21"/>
          <w:szCs w:val="21"/>
          <w:lang w:eastAsia="zh-CN"/>
        </w:rPr>
        <w:t>；（</w:t>
      </w:r>
      <w:r>
        <w:rPr>
          <w:rFonts w:hint="eastAsia" w:ascii="宋体" w:hAnsi="宋体" w:eastAsia="宋体" w:cs="宋体"/>
          <w:b/>
          <w:sz w:val="21"/>
          <w:szCs w:val="21"/>
          <w:lang w:val="en-US" w:eastAsia="zh-CN"/>
        </w:rPr>
        <w:t>格式十</w:t>
      </w:r>
      <w:r>
        <w:rPr>
          <w:rFonts w:hint="eastAsia" w:ascii="宋体" w:hAnsi="宋体" w:eastAsia="宋体" w:cs="宋体"/>
          <w:b/>
          <w:sz w:val="21"/>
          <w:szCs w:val="21"/>
          <w:lang w:eastAsia="zh-CN"/>
        </w:rPr>
        <w:t>）</w:t>
      </w:r>
    </w:p>
    <w:p w14:paraId="0B8F7C86">
      <w:pPr>
        <w:pStyle w:val="10"/>
        <w:ind w:firstLine="422" w:firstLineChars="200"/>
        <w:rPr>
          <w:rFonts w:hint="eastAsia" w:ascii="宋体" w:hAnsi="宋体" w:cs="宋体"/>
          <w:szCs w:val="21"/>
        </w:rPr>
      </w:pPr>
      <w:r>
        <w:rPr>
          <w:rFonts w:hint="eastAsia" w:ascii="宋体" w:hAnsi="宋体" w:eastAsia="宋体" w:cs="宋体"/>
          <w:b/>
          <w:sz w:val="21"/>
          <w:szCs w:val="21"/>
          <w:lang w:val="en-US" w:eastAsia="zh-CN"/>
        </w:rPr>
        <w:t>3.5</w:t>
      </w:r>
      <w:r>
        <w:rPr>
          <w:rFonts w:hint="eastAsia" w:ascii="宋体" w:hAnsi="宋体" w:eastAsia="宋体" w:cs="宋体"/>
          <w:b/>
          <w:sz w:val="21"/>
          <w:szCs w:val="21"/>
        </w:rPr>
        <w:t>项目实施人员一览表</w:t>
      </w:r>
      <w:r>
        <w:rPr>
          <w:rFonts w:hint="eastAsia" w:ascii="宋体" w:hAnsi="宋体" w:eastAsia="宋体" w:cs="宋体"/>
          <w:b/>
          <w:sz w:val="21"/>
          <w:szCs w:val="21"/>
          <w:lang w:eastAsia="zh-CN"/>
        </w:rPr>
        <w:t>；（</w:t>
      </w:r>
      <w:r>
        <w:rPr>
          <w:rFonts w:hint="eastAsia" w:ascii="宋体" w:hAnsi="宋体" w:eastAsia="宋体" w:cs="宋体"/>
          <w:b/>
          <w:sz w:val="21"/>
          <w:szCs w:val="21"/>
          <w:lang w:val="en-US" w:eastAsia="zh-CN"/>
        </w:rPr>
        <w:t>格式十一</w:t>
      </w:r>
      <w:r>
        <w:rPr>
          <w:rFonts w:hint="eastAsia" w:ascii="宋体" w:hAnsi="宋体" w:eastAsia="宋体" w:cs="宋体"/>
          <w:b/>
          <w:sz w:val="21"/>
          <w:szCs w:val="21"/>
          <w:lang w:eastAsia="zh-CN"/>
        </w:rPr>
        <w:t>）</w:t>
      </w:r>
    </w:p>
    <w:p w14:paraId="19520042">
      <w:pPr>
        <w:snapToGrid w:val="0"/>
        <w:spacing w:line="360" w:lineRule="auto"/>
        <w:ind w:firstLine="415" w:firstLineChars="198"/>
        <w:rPr>
          <w:rFonts w:ascii="宋体" w:hAnsi="宋体" w:cs="宋体"/>
          <w:szCs w:val="21"/>
        </w:rPr>
      </w:pPr>
      <w:r>
        <w:rPr>
          <w:rFonts w:hint="eastAsia" w:ascii="宋体" w:hAnsi="宋体" w:cs="宋体"/>
          <w:szCs w:val="21"/>
        </w:rPr>
        <w:t>3.</w:t>
      </w:r>
      <w:r>
        <w:rPr>
          <w:rFonts w:hint="eastAsia" w:ascii="宋体" w:hAnsi="宋体" w:cs="宋体"/>
          <w:szCs w:val="21"/>
          <w:lang w:val="en-US" w:eastAsia="zh-CN"/>
        </w:rPr>
        <w:t>6</w:t>
      </w:r>
      <w:r>
        <w:rPr>
          <w:rFonts w:hint="eastAsia" w:ascii="宋体" w:hAnsi="宋体" w:cs="宋体"/>
          <w:szCs w:val="21"/>
        </w:rPr>
        <w:t>评分标准页码索引；</w:t>
      </w:r>
    </w:p>
    <w:p w14:paraId="578B8080">
      <w:pPr>
        <w:snapToGrid w:val="0"/>
        <w:spacing w:line="360" w:lineRule="auto"/>
        <w:ind w:firstLine="415" w:firstLineChars="198"/>
        <w:rPr>
          <w:rFonts w:ascii="宋体" w:hAnsi="宋体" w:cs="宋体"/>
          <w:szCs w:val="21"/>
        </w:rPr>
      </w:pPr>
      <w:r>
        <w:rPr>
          <w:rFonts w:hint="eastAsia" w:ascii="宋体" w:hAnsi="宋体" w:cs="宋体"/>
          <w:szCs w:val="21"/>
        </w:rPr>
        <w:t>3.</w:t>
      </w:r>
      <w:r>
        <w:rPr>
          <w:rFonts w:hint="eastAsia" w:ascii="宋体" w:hAnsi="宋体" w:cs="宋体"/>
          <w:szCs w:val="21"/>
          <w:lang w:val="en-US" w:eastAsia="zh-CN"/>
        </w:rPr>
        <w:t>7</w:t>
      </w:r>
      <w:r>
        <w:rPr>
          <w:rFonts w:hint="eastAsia" w:ascii="宋体" w:hAnsi="宋体" w:cs="宋体"/>
          <w:szCs w:val="21"/>
        </w:rPr>
        <w:t>按评分标准依序提供相关材料、方案；</w:t>
      </w:r>
    </w:p>
    <w:p w14:paraId="4DB5F2BC">
      <w:pPr>
        <w:snapToGrid w:val="0"/>
        <w:spacing w:line="360" w:lineRule="auto"/>
        <w:ind w:firstLine="415" w:firstLineChars="198"/>
        <w:rPr>
          <w:rFonts w:ascii="宋体" w:hAnsi="宋体" w:cs="宋体"/>
          <w:szCs w:val="21"/>
        </w:rPr>
      </w:pPr>
      <w:r>
        <w:rPr>
          <w:rFonts w:hint="eastAsia" w:ascii="宋体" w:hAnsi="宋体" w:cs="宋体"/>
          <w:szCs w:val="21"/>
        </w:rPr>
        <w:t>3.</w:t>
      </w:r>
      <w:r>
        <w:rPr>
          <w:rFonts w:hint="eastAsia" w:ascii="宋体" w:hAnsi="宋体" w:cs="宋体"/>
          <w:szCs w:val="21"/>
          <w:lang w:val="en-US" w:eastAsia="zh-CN"/>
        </w:rPr>
        <w:t>8</w:t>
      </w:r>
      <w:r>
        <w:rPr>
          <w:rFonts w:hint="eastAsia" w:ascii="宋体" w:hAnsi="宋体" w:cs="宋体"/>
          <w:szCs w:val="21"/>
        </w:rPr>
        <w:t>本招标文件要求提供的和投标人认为需要提供的其它说明和资料/文件。</w:t>
      </w:r>
    </w:p>
    <w:p w14:paraId="009DB8D5">
      <w:pPr>
        <w:snapToGrid w:val="0"/>
        <w:spacing w:before="120" w:after="120" w:line="360" w:lineRule="auto"/>
        <w:jc w:val="center"/>
        <w:outlineLvl w:val="1"/>
        <w:rPr>
          <w:rFonts w:ascii="宋体" w:hAnsi="宋体" w:cs="宋体"/>
          <w:b/>
          <w:sz w:val="28"/>
          <w:szCs w:val="28"/>
        </w:rPr>
      </w:pPr>
      <w:r>
        <w:rPr>
          <w:rFonts w:hint="eastAsia" w:ascii="宋体" w:hAnsi="宋体" w:cs="宋体"/>
          <w:b/>
          <w:sz w:val="28"/>
          <w:szCs w:val="28"/>
        </w:rPr>
        <w:br w:type="page"/>
      </w:r>
      <w:bookmarkStart w:id="74" w:name="_Toc1147"/>
      <w:r>
        <w:rPr>
          <w:rFonts w:hint="eastAsia" w:ascii="宋体" w:hAnsi="宋体" w:cs="宋体"/>
          <w:b/>
          <w:sz w:val="28"/>
          <w:szCs w:val="28"/>
        </w:rPr>
        <w:t>投标文件格式</w:t>
      </w:r>
      <w:bookmarkEnd w:id="74"/>
    </w:p>
    <w:p w14:paraId="11C50A90">
      <w:pPr>
        <w:snapToGrid w:val="0"/>
        <w:spacing w:before="50" w:after="50"/>
        <w:outlineLvl w:val="2"/>
        <w:rPr>
          <w:rFonts w:ascii="宋体" w:hAnsi="宋体" w:cs="宋体"/>
          <w:b/>
          <w:spacing w:val="20"/>
          <w:szCs w:val="21"/>
        </w:rPr>
      </w:pPr>
      <w:r>
        <w:rPr>
          <w:rFonts w:hint="eastAsia" w:ascii="宋体" w:hAnsi="宋体" w:cs="宋体"/>
          <w:b/>
          <w:spacing w:val="20"/>
          <w:szCs w:val="21"/>
        </w:rPr>
        <w:t>格式一、开标一览表</w:t>
      </w:r>
    </w:p>
    <w:p w14:paraId="369ECFD0">
      <w:pPr>
        <w:snapToGrid w:val="0"/>
        <w:spacing w:before="50" w:after="50"/>
        <w:rPr>
          <w:rFonts w:ascii="宋体" w:hAnsi="宋体" w:cs="宋体"/>
          <w:b/>
          <w:spacing w:val="20"/>
          <w:szCs w:val="21"/>
        </w:rPr>
      </w:pPr>
    </w:p>
    <w:p w14:paraId="0B7DB02E">
      <w:pPr>
        <w:spacing w:line="360" w:lineRule="auto"/>
        <w:jc w:val="right"/>
        <w:rPr>
          <w:rFonts w:ascii="宋体" w:hAnsi="宋体" w:cs="宋体"/>
          <w:b/>
          <w:spacing w:val="20"/>
          <w:szCs w:val="21"/>
        </w:rPr>
      </w:pPr>
      <w:r>
        <w:rPr>
          <w:rFonts w:hint="eastAsia" w:ascii="宋体" w:hAnsi="宋体" w:cs="宋体"/>
          <w:spacing w:val="20"/>
          <w:szCs w:val="21"/>
        </w:rPr>
        <w:t>金额单位：人民币元</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53"/>
        <w:gridCol w:w="7322"/>
      </w:tblGrid>
      <w:tr w14:paraId="7709E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9" w:hRule="atLeast"/>
          <w:jc w:val="center"/>
        </w:trPr>
        <w:tc>
          <w:tcPr>
            <w:tcW w:w="2353" w:type="dxa"/>
            <w:noWrap/>
            <w:vAlign w:val="center"/>
          </w:tcPr>
          <w:p w14:paraId="75995D99">
            <w:pPr>
              <w:spacing w:before="240" w:after="240"/>
              <w:jc w:val="center"/>
              <w:rPr>
                <w:rFonts w:ascii="宋体" w:hAnsi="宋体" w:cs="宋体"/>
                <w:szCs w:val="21"/>
              </w:rPr>
            </w:pPr>
            <w:r>
              <w:rPr>
                <w:rFonts w:hint="eastAsia" w:ascii="宋体" w:hAnsi="宋体" w:cs="宋体"/>
                <w:szCs w:val="21"/>
              </w:rPr>
              <w:t>项目名称</w:t>
            </w:r>
          </w:p>
        </w:tc>
        <w:tc>
          <w:tcPr>
            <w:tcW w:w="7322" w:type="dxa"/>
            <w:noWrap/>
            <w:vAlign w:val="center"/>
          </w:tcPr>
          <w:p w14:paraId="1C73AF25">
            <w:pPr>
              <w:spacing w:before="240" w:after="240"/>
              <w:jc w:val="center"/>
              <w:rPr>
                <w:rFonts w:hint="eastAsia" w:ascii="宋体" w:hAnsi="宋体" w:eastAsia="宋体" w:cs="宋体"/>
                <w:szCs w:val="21"/>
                <w:lang w:eastAsia="zh-CN"/>
              </w:rPr>
            </w:pPr>
            <w:r>
              <w:rPr>
                <w:rFonts w:hint="eastAsia" w:ascii="宋体" w:hAnsi="宋体" w:eastAsia="宋体" w:cs="宋体"/>
                <w:szCs w:val="21"/>
                <w:lang w:eastAsia="zh-CN"/>
              </w:rPr>
              <w:t>定海区看守所综合用房设施提升改造廉政教育基地展厅文化打造建设项目</w:t>
            </w:r>
          </w:p>
          <w:p w14:paraId="32DA3147">
            <w:pPr>
              <w:spacing w:before="240" w:after="240"/>
              <w:jc w:val="center"/>
              <w:rPr>
                <w:rFonts w:hint="eastAsia" w:ascii="宋体" w:hAnsi="宋体" w:eastAsia="宋体" w:cs="宋体"/>
                <w:b/>
                <w:szCs w:val="21"/>
                <w:lang w:eastAsia="zh-CN"/>
              </w:rPr>
            </w:pPr>
            <w:r>
              <w:rPr>
                <w:rFonts w:hint="eastAsia" w:ascii="宋体" w:hAnsi="宋体" w:cs="宋体"/>
                <w:szCs w:val="21"/>
                <w:lang w:eastAsia="zh-CN"/>
              </w:rPr>
              <w:t>（</w:t>
            </w:r>
            <w:r>
              <w:rPr>
                <w:rFonts w:hint="eastAsia" w:ascii="宋体" w:hAnsi="宋体" w:cs="宋体"/>
                <w:szCs w:val="21"/>
                <w:lang w:val="en-US" w:eastAsia="zh-CN"/>
              </w:rPr>
              <w:t>重新招标</w:t>
            </w:r>
            <w:r>
              <w:rPr>
                <w:rFonts w:hint="eastAsia" w:ascii="宋体" w:hAnsi="宋体" w:cs="宋体"/>
                <w:szCs w:val="21"/>
                <w:lang w:eastAsia="zh-CN"/>
              </w:rPr>
              <w:t>）</w:t>
            </w:r>
          </w:p>
        </w:tc>
      </w:tr>
      <w:tr w14:paraId="1908E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9" w:hRule="atLeast"/>
          <w:jc w:val="center"/>
        </w:trPr>
        <w:tc>
          <w:tcPr>
            <w:tcW w:w="2353" w:type="dxa"/>
            <w:noWrap/>
            <w:vAlign w:val="center"/>
          </w:tcPr>
          <w:p w14:paraId="7759B1A9">
            <w:pPr>
              <w:spacing w:before="240" w:after="240"/>
              <w:jc w:val="center"/>
              <w:rPr>
                <w:rFonts w:ascii="宋体" w:hAnsi="宋体" w:cs="宋体"/>
                <w:szCs w:val="21"/>
              </w:rPr>
            </w:pPr>
            <w:r>
              <w:rPr>
                <w:rFonts w:hint="eastAsia" w:ascii="宋体" w:hAnsi="宋体" w:cs="宋体"/>
                <w:szCs w:val="21"/>
              </w:rPr>
              <w:t>投标内容</w:t>
            </w:r>
          </w:p>
        </w:tc>
        <w:tc>
          <w:tcPr>
            <w:tcW w:w="7322" w:type="dxa"/>
            <w:noWrap/>
            <w:vAlign w:val="center"/>
          </w:tcPr>
          <w:p w14:paraId="17466755">
            <w:pPr>
              <w:spacing w:before="240" w:after="240"/>
              <w:jc w:val="center"/>
              <w:rPr>
                <w:rFonts w:ascii="宋体" w:hAnsi="宋体" w:cs="宋体"/>
                <w:szCs w:val="21"/>
              </w:rPr>
            </w:pPr>
            <w:r>
              <w:rPr>
                <w:rFonts w:hint="eastAsia" w:ascii="宋体" w:hAnsi="宋体" w:eastAsia="宋体" w:cs="宋体"/>
                <w:szCs w:val="21"/>
                <w:lang w:eastAsia="zh-CN"/>
              </w:rPr>
              <w:t>展厅文化打造建设</w:t>
            </w:r>
          </w:p>
        </w:tc>
      </w:tr>
      <w:tr w14:paraId="0911E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25" w:hRule="atLeast"/>
          <w:jc w:val="center"/>
        </w:trPr>
        <w:tc>
          <w:tcPr>
            <w:tcW w:w="2353" w:type="dxa"/>
            <w:noWrap/>
            <w:vAlign w:val="center"/>
          </w:tcPr>
          <w:p w14:paraId="65F8416F">
            <w:pPr>
              <w:spacing w:before="240" w:after="240"/>
              <w:jc w:val="center"/>
              <w:rPr>
                <w:rFonts w:ascii="宋体" w:hAnsi="宋体" w:cs="宋体"/>
                <w:szCs w:val="21"/>
              </w:rPr>
            </w:pPr>
            <w:r>
              <w:rPr>
                <w:rFonts w:hint="eastAsia" w:ascii="宋体" w:hAnsi="宋体" w:cs="宋体"/>
                <w:szCs w:val="21"/>
              </w:rPr>
              <w:t>投标报价（元）</w:t>
            </w:r>
          </w:p>
        </w:tc>
        <w:tc>
          <w:tcPr>
            <w:tcW w:w="7322" w:type="dxa"/>
            <w:noWrap/>
            <w:vAlign w:val="center"/>
          </w:tcPr>
          <w:p w14:paraId="4CB50AAA">
            <w:pPr>
              <w:spacing w:before="240" w:after="240"/>
              <w:jc w:val="center"/>
              <w:rPr>
                <w:rFonts w:ascii="宋体" w:hAnsi="宋体" w:cs="宋体"/>
                <w:szCs w:val="21"/>
              </w:rPr>
            </w:pPr>
            <w:r>
              <w:rPr>
                <w:rFonts w:hint="eastAsia" w:ascii="宋体" w:hAnsi="宋体" w:cs="宋体"/>
                <w:szCs w:val="21"/>
              </w:rPr>
              <w:t>大写：                   小写：</w:t>
            </w:r>
          </w:p>
        </w:tc>
      </w:tr>
    </w:tbl>
    <w:p w14:paraId="19134BAA">
      <w:pPr>
        <w:spacing w:line="360" w:lineRule="auto"/>
        <w:rPr>
          <w:rFonts w:ascii="宋体" w:hAnsi="宋体" w:cs="宋体"/>
          <w:szCs w:val="21"/>
        </w:rPr>
      </w:pPr>
    </w:p>
    <w:p w14:paraId="17185EA0">
      <w:pPr>
        <w:spacing w:line="480" w:lineRule="auto"/>
        <w:rPr>
          <w:rFonts w:ascii="宋体" w:hAnsi="宋体" w:cs="宋体"/>
          <w:szCs w:val="21"/>
        </w:rPr>
      </w:pPr>
    </w:p>
    <w:p w14:paraId="75766025">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r>
        <w:rPr>
          <w:rFonts w:hint="eastAsia" w:ascii="宋体" w:hAnsi="宋体" w:cs="宋体"/>
          <w:szCs w:val="21"/>
        </w:rPr>
        <w:t xml:space="preserve">（加盖公章）  </w:t>
      </w:r>
    </w:p>
    <w:p w14:paraId="0CBEBA71">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投标人代表：</w:t>
      </w:r>
      <w:r>
        <w:rPr>
          <w:rFonts w:hint="eastAsia" w:ascii="宋体" w:hAnsi="宋体" w:cs="宋体"/>
          <w:szCs w:val="21"/>
          <w:u w:val="single"/>
        </w:rPr>
        <w:t xml:space="preserve">                </w:t>
      </w:r>
      <w:r>
        <w:rPr>
          <w:rFonts w:hint="eastAsia" w:ascii="宋体" w:hAnsi="宋体" w:cs="宋体"/>
          <w:szCs w:val="21"/>
        </w:rPr>
        <w:t>（签字）</w:t>
      </w:r>
    </w:p>
    <w:p w14:paraId="659A68CD">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3D7D601A">
      <w:pPr>
        <w:spacing w:line="360" w:lineRule="auto"/>
        <w:rPr>
          <w:rFonts w:ascii="宋体" w:hAnsi="宋体" w:cs="宋体"/>
          <w:szCs w:val="21"/>
        </w:rPr>
      </w:pPr>
    </w:p>
    <w:p w14:paraId="1252BE16">
      <w:pPr>
        <w:spacing w:line="480" w:lineRule="auto"/>
        <w:outlineLvl w:val="2"/>
        <w:rPr>
          <w:rFonts w:ascii="宋体" w:hAnsi="宋体" w:cs="宋体"/>
          <w:b/>
          <w:szCs w:val="21"/>
        </w:rPr>
      </w:pPr>
      <w:r>
        <w:rPr>
          <w:rFonts w:hint="eastAsia" w:ascii="宋体" w:hAnsi="宋体" w:cs="宋体"/>
          <w:b/>
          <w:szCs w:val="21"/>
        </w:rPr>
        <w:br w:type="page"/>
      </w:r>
      <w:r>
        <w:rPr>
          <w:rFonts w:hint="eastAsia" w:ascii="宋体" w:hAnsi="宋体" w:cs="宋体"/>
          <w:b/>
          <w:szCs w:val="21"/>
        </w:rPr>
        <w:t>格式二、报价明细表</w:t>
      </w:r>
    </w:p>
    <w:p w14:paraId="47EB051B">
      <w:pPr>
        <w:spacing w:line="360" w:lineRule="auto"/>
        <w:jc w:val="right"/>
      </w:pPr>
      <w:r>
        <w:rPr>
          <w:rFonts w:hint="eastAsia" w:ascii="宋体" w:hAnsi="宋体" w:cs="宋体"/>
          <w:spacing w:val="20"/>
          <w:szCs w:val="21"/>
        </w:rPr>
        <w:t>金额单位：人民币元</w:t>
      </w:r>
    </w:p>
    <w:tbl>
      <w:tblPr>
        <w:tblStyle w:val="31"/>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1149"/>
        <w:gridCol w:w="2067"/>
        <w:gridCol w:w="1106"/>
        <w:gridCol w:w="1116"/>
        <w:gridCol w:w="1178"/>
        <w:gridCol w:w="1036"/>
        <w:gridCol w:w="1247"/>
      </w:tblGrid>
      <w:tr w14:paraId="2AAE0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3" w:type="pct"/>
            <w:tcBorders>
              <w:top w:val="single" w:color="auto" w:sz="4" w:space="0"/>
              <w:left w:val="single" w:color="auto" w:sz="4" w:space="0"/>
              <w:bottom w:val="single" w:color="auto" w:sz="4" w:space="0"/>
              <w:right w:val="single" w:color="auto" w:sz="4" w:space="0"/>
            </w:tcBorders>
            <w:noWrap w:val="0"/>
            <w:vAlign w:val="center"/>
          </w:tcPr>
          <w:p w14:paraId="05651874">
            <w:pPr>
              <w:keepNext w:val="0"/>
              <w:keepLines w:val="0"/>
              <w:suppressLineNumbers w:val="0"/>
              <w:spacing w:before="0" w:beforeAutospacing="0" w:after="0" w:afterAutospacing="0" w:line="360" w:lineRule="auto"/>
              <w:ind w:left="0" w:right="0"/>
              <w:jc w:val="center"/>
              <w:rPr>
                <w:rFonts w:hint="default" w:ascii="宋体" w:hAnsi="宋体" w:cs="宋体"/>
                <w:spacing w:val="4"/>
                <w:sz w:val="21"/>
                <w:szCs w:val="21"/>
                <w:lang w:val="en-US" w:eastAsia="zh-CN"/>
              </w:rPr>
            </w:pPr>
            <w:r>
              <w:rPr>
                <w:rFonts w:hint="eastAsia" w:ascii="宋体" w:hAnsi="宋体" w:cs="宋体"/>
                <w:spacing w:val="4"/>
                <w:sz w:val="21"/>
                <w:szCs w:val="21"/>
                <w:lang w:val="en-US" w:eastAsia="zh-CN"/>
              </w:rPr>
              <w:t>序号</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0ACDD995">
            <w:pPr>
              <w:keepNext w:val="0"/>
              <w:keepLines w:val="0"/>
              <w:suppressLineNumbers w:val="0"/>
              <w:spacing w:before="0" w:beforeAutospacing="0" w:after="0" w:afterAutospacing="0" w:line="360" w:lineRule="auto"/>
              <w:ind w:left="0" w:right="0"/>
              <w:jc w:val="center"/>
              <w:rPr>
                <w:rFonts w:hint="default" w:ascii="宋体" w:hAnsi="宋体" w:cs="宋体"/>
                <w:spacing w:val="4"/>
                <w:sz w:val="21"/>
                <w:szCs w:val="21"/>
                <w:lang w:val="en-US" w:eastAsia="zh-CN"/>
              </w:rPr>
            </w:pPr>
            <w:r>
              <w:rPr>
                <w:rFonts w:hint="eastAsia" w:ascii="宋体" w:hAnsi="宋体" w:cs="宋体"/>
                <w:spacing w:val="4"/>
                <w:sz w:val="21"/>
                <w:szCs w:val="21"/>
                <w:lang w:val="en-US" w:eastAsia="zh-CN"/>
              </w:rPr>
              <w:t>板块</w:t>
            </w:r>
          </w:p>
        </w:tc>
        <w:tc>
          <w:tcPr>
            <w:tcW w:w="1063" w:type="pct"/>
            <w:tcBorders>
              <w:top w:val="single" w:color="auto" w:sz="4" w:space="0"/>
              <w:left w:val="single" w:color="auto" w:sz="4" w:space="0"/>
              <w:bottom w:val="single" w:color="auto" w:sz="4" w:space="0"/>
              <w:right w:val="single" w:color="auto" w:sz="4" w:space="0"/>
            </w:tcBorders>
            <w:noWrap w:val="0"/>
            <w:vAlign w:val="center"/>
          </w:tcPr>
          <w:p w14:paraId="471555C4">
            <w:pPr>
              <w:keepNext w:val="0"/>
              <w:keepLines w:val="0"/>
              <w:suppressLineNumbers w:val="0"/>
              <w:spacing w:before="0" w:beforeAutospacing="0" w:after="0" w:afterAutospacing="0" w:line="360" w:lineRule="auto"/>
              <w:ind w:left="0" w:right="0"/>
              <w:jc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名称</w:t>
            </w:r>
          </w:p>
        </w:tc>
        <w:tc>
          <w:tcPr>
            <w:tcW w:w="569" w:type="pct"/>
            <w:tcBorders>
              <w:top w:val="single" w:color="auto" w:sz="4" w:space="0"/>
              <w:left w:val="single" w:color="auto" w:sz="4" w:space="0"/>
              <w:bottom w:val="single" w:color="auto" w:sz="4" w:space="0"/>
              <w:right w:val="single" w:color="auto" w:sz="4" w:space="0"/>
            </w:tcBorders>
            <w:noWrap w:val="0"/>
            <w:vAlign w:val="center"/>
          </w:tcPr>
          <w:p w14:paraId="397D36F4">
            <w:pPr>
              <w:keepNext w:val="0"/>
              <w:keepLines w:val="0"/>
              <w:widowControl/>
              <w:suppressLineNumbers w:val="0"/>
              <w:spacing w:line="36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单位</w:t>
            </w:r>
          </w:p>
        </w:tc>
        <w:tc>
          <w:tcPr>
            <w:tcW w:w="574" w:type="pct"/>
            <w:tcBorders>
              <w:top w:val="single" w:color="auto" w:sz="4" w:space="0"/>
              <w:left w:val="single" w:color="auto" w:sz="4" w:space="0"/>
              <w:bottom w:val="single" w:color="auto" w:sz="4" w:space="0"/>
              <w:right w:val="single" w:color="auto" w:sz="4" w:space="0"/>
            </w:tcBorders>
            <w:noWrap w:val="0"/>
            <w:vAlign w:val="center"/>
          </w:tcPr>
          <w:p w14:paraId="0796F110">
            <w:pPr>
              <w:keepNext w:val="0"/>
              <w:keepLines w:val="0"/>
              <w:widowControl/>
              <w:suppressLineNumbers w:val="0"/>
              <w:spacing w:line="36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数量</w:t>
            </w:r>
          </w:p>
        </w:tc>
        <w:tc>
          <w:tcPr>
            <w:tcW w:w="606" w:type="pct"/>
            <w:tcBorders>
              <w:top w:val="single" w:color="auto" w:sz="4" w:space="0"/>
              <w:left w:val="single" w:color="auto" w:sz="4" w:space="0"/>
              <w:bottom w:val="single" w:color="auto" w:sz="4" w:space="0"/>
              <w:right w:val="single" w:color="auto" w:sz="4" w:space="0"/>
            </w:tcBorders>
            <w:noWrap w:val="0"/>
            <w:vAlign w:val="center"/>
          </w:tcPr>
          <w:p w14:paraId="39491E84">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单价（元）</w:t>
            </w:r>
          </w:p>
        </w:tc>
        <w:tc>
          <w:tcPr>
            <w:tcW w:w="533" w:type="pct"/>
            <w:tcBorders>
              <w:top w:val="single" w:color="auto" w:sz="4" w:space="0"/>
              <w:left w:val="single" w:color="auto" w:sz="4" w:space="0"/>
              <w:bottom w:val="single" w:color="auto" w:sz="4" w:space="0"/>
              <w:right w:val="single" w:color="auto" w:sz="4" w:space="0"/>
            </w:tcBorders>
            <w:noWrap w:val="0"/>
            <w:vAlign w:val="center"/>
          </w:tcPr>
          <w:p w14:paraId="3E32C1A1">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总价（元）</w:t>
            </w:r>
          </w:p>
        </w:tc>
        <w:tc>
          <w:tcPr>
            <w:tcW w:w="635" w:type="pct"/>
            <w:tcBorders>
              <w:top w:val="single" w:color="auto" w:sz="4" w:space="0"/>
              <w:left w:val="single" w:color="auto" w:sz="4" w:space="0"/>
              <w:bottom w:val="single" w:color="auto" w:sz="4" w:space="0"/>
              <w:right w:val="single" w:color="auto" w:sz="4" w:space="0"/>
            </w:tcBorders>
            <w:noWrap w:val="0"/>
            <w:vAlign w:val="center"/>
          </w:tcPr>
          <w:p w14:paraId="49AFCD77">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质保期</w:t>
            </w:r>
          </w:p>
        </w:tc>
      </w:tr>
      <w:tr w14:paraId="04715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3" w:type="pct"/>
            <w:tcBorders>
              <w:top w:val="single" w:color="auto" w:sz="4" w:space="0"/>
              <w:left w:val="single" w:color="auto" w:sz="4" w:space="0"/>
              <w:bottom w:val="single" w:color="auto" w:sz="4" w:space="0"/>
              <w:right w:val="single" w:color="auto" w:sz="4" w:space="0"/>
            </w:tcBorders>
            <w:noWrap w:val="0"/>
            <w:vAlign w:val="center"/>
          </w:tcPr>
          <w:p w14:paraId="4B971341">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1</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40608D54">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1063" w:type="pct"/>
            <w:tcBorders>
              <w:top w:val="single" w:color="auto" w:sz="4" w:space="0"/>
              <w:left w:val="single" w:color="auto" w:sz="4" w:space="0"/>
              <w:bottom w:val="single" w:color="auto" w:sz="4" w:space="0"/>
              <w:right w:val="single" w:color="auto" w:sz="4" w:space="0"/>
            </w:tcBorders>
            <w:noWrap w:val="0"/>
            <w:vAlign w:val="center"/>
          </w:tcPr>
          <w:p w14:paraId="78477666">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14:paraId="251EA3C1">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74" w:type="pct"/>
            <w:tcBorders>
              <w:top w:val="single" w:color="auto" w:sz="4" w:space="0"/>
              <w:left w:val="single" w:color="auto" w:sz="4" w:space="0"/>
              <w:bottom w:val="single" w:color="auto" w:sz="4" w:space="0"/>
              <w:right w:val="single" w:color="auto" w:sz="4" w:space="0"/>
            </w:tcBorders>
            <w:noWrap w:val="0"/>
            <w:vAlign w:val="center"/>
          </w:tcPr>
          <w:p w14:paraId="7DFE2C4B">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606" w:type="pct"/>
            <w:tcBorders>
              <w:top w:val="single" w:color="auto" w:sz="4" w:space="0"/>
              <w:left w:val="single" w:color="auto" w:sz="4" w:space="0"/>
              <w:bottom w:val="single" w:color="auto" w:sz="4" w:space="0"/>
              <w:right w:val="single" w:color="auto" w:sz="4" w:space="0"/>
            </w:tcBorders>
            <w:noWrap w:val="0"/>
            <w:vAlign w:val="center"/>
          </w:tcPr>
          <w:p w14:paraId="1631C0BC">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33" w:type="pct"/>
            <w:tcBorders>
              <w:top w:val="single" w:color="auto" w:sz="4" w:space="0"/>
              <w:left w:val="single" w:color="auto" w:sz="4" w:space="0"/>
              <w:bottom w:val="single" w:color="auto" w:sz="4" w:space="0"/>
              <w:right w:val="single" w:color="auto" w:sz="4" w:space="0"/>
            </w:tcBorders>
            <w:noWrap w:val="0"/>
            <w:vAlign w:val="top"/>
          </w:tcPr>
          <w:p w14:paraId="4DCDA3FF">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635" w:type="pct"/>
            <w:tcBorders>
              <w:top w:val="single" w:color="auto" w:sz="4" w:space="0"/>
              <w:left w:val="single" w:color="auto" w:sz="4" w:space="0"/>
              <w:bottom w:val="single" w:color="auto" w:sz="4" w:space="0"/>
              <w:right w:val="single" w:color="auto" w:sz="4" w:space="0"/>
            </w:tcBorders>
            <w:noWrap w:val="0"/>
            <w:vAlign w:val="top"/>
          </w:tcPr>
          <w:p w14:paraId="1FDF6F4C">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r>
      <w:tr w14:paraId="51102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3" w:type="pct"/>
            <w:tcBorders>
              <w:top w:val="single" w:color="auto" w:sz="4" w:space="0"/>
              <w:left w:val="single" w:color="auto" w:sz="4" w:space="0"/>
              <w:bottom w:val="single" w:color="auto" w:sz="4" w:space="0"/>
              <w:right w:val="single" w:color="auto" w:sz="4" w:space="0"/>
            </w:tcBorders>
            <w:noWrap w:val="0"/>
            <w:vAlign w:val="center"/>
          </w:tcPr>
          <w:p w14:paraId="3F1B278F">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2</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72331B56">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1063" w:type="pct"/>
            <w:tcBorders>
              <w:top w:val="single" w:color="auto" w:sz="4" w:space="0"/>
              <w:left w:val="single" w:color="auto" w:sz="4" w:space="0"/>
              <w:bottom w:val="single" w:color="auto" w:sz="4" w:space="0"/>
              <w:right w:val="single" w:color="auto" w:sz="4" w:space="0"/>
            </w:tcBorders>
            <w:noWrap w:val="0"/>
            <w:vAlign w:val="center"/>
          </w:tcPr>
          <w:p w14:paraId="484413F1">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14:paraId="0248F0F3">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74" w:type="pct"/>
            <w:tcBorders>
              <w:top w:val="single" w:color="auto" w:sz="4" w:space="0"/>
              <w:left w:val="single" w:color="auto" w:sz="4" w:space="0"/>
              <w:bottom w:val="single" w:color="auto" w:sz="4" w:space="0"/>
              <w:right w:val="single" w:color="auto" w:sz="4" w:space="0"/>
            </w:tcBorders>
            <w:noWrap w:val="0"/>
            <w:vAlign w:val="center"/>
          </w:tcPr>
          <w:p w14:paraId="778E4CAC">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606" w:type="pct"/>
            <w:tcBorders>
              <w:top w:val="single" w:color="auto" w:sz="4" w:space="0"/>
              <w:left w:val="single" w:color="auto" w:sz="4" w:space="0"/>
              <w:bottom w:val="single" w:color="auto" w:sz="4" w:space="0"/>
              <w:right w:val="single" w:color="auto" w:sz="4" w:space="0"/>
            </w:tcBorders>
            <w:noWrap w:val="0"/>
            <w:vAlign w:val="center"/>
          </w:tcPr>
          <w:p w14:paraId="36383983">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33" w:type="pct"/>
            <w:tcBorders>
              <w:top w:val="single" w:color="auto" w:sz="4" w:space="0"/>
              <w:left w:val="single" w:color="auto" w:sz="4" w:space="0"/>
              <w:bottom w:val="single" w:color="auto" w:sz="4" w:space="0"/>
              <w:right w:val="single" w:color="auto" w:sz="4" w:space="0"/>
            </w:tcBorders>
            <w:noWrap w:val="0"/>
            <w:vAlign w:val="top"/>
          </w:tcPr>
          <w:p w14:paraId="12A98FB1">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635" w:type="pct"/>
            <w:tcBorders>
              <w:top w:val="single" w:color="auto" w:sz="4" w:space="0"/>
              <w:left w:val="single" w:color="auto" w:sz="4" w:space="0"/>
              <w:bottom w:val="single" w:color="auto" w:sz="4" w:space="0"/>
              <w:right w:val="single" w:color="auto" w:sz="4" w:space="0"/>
            </w:tcBorders>
            <w:noWrap w:val="0"/>
            <w:vAlign w:val="top"/>
          </w:tcPr>
          <w:p w14:paraId="69558A57">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r>
      <w:tr w14:paraId="3F75F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3" w:type="pct"/>
            <w:tcBorders>
              <w:top w:val="single" w:color="auto" w:sz="4" w:space="0"/>
              <w:left w:val="single" w:color="auto" w:sz="4" w:space="0"/>
              <w:bottom w:val="single" w:color="auto" w:sz="4" w:space="0"/>
              <w:right w:val="single" w:color="auto" w:sz="4" w:space="0"/>
            </w:tcBorders>
            <w:noWrap w:val="0"/>
            <w:vAlign w:val="center"/>
          </w:tcPr>
          <w:p w14:paraId="13853105">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3</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50F9A212">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1063" w:type="pct"/>
            <w:tcBorders>
              <w:top w:val="single" w:color="auto" w:sz="4" w:space="0"/>
              <w:left w:val="single" w:color="auto" w:sz="4" w:space="0"/>
              <w:bottom w:val="single" w:color="auto" w:sz="4" w:space="0"/>
              <w:right w:val="single" w:color="auto" w:sz="4" w:space="0"/>
            </w:tcBorders>
            <w:noWrap w:val="0"/>
            <w:vAlign w:val="center"/>
          </w:tcPr>
          <w:p w14:paraId="1CAB6745">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14:paraId="2A7005EA">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74" w:type="pct"/>
            <w:tcBorders>
              <w:top w:val="single" w:color="auto" w:sz="4" w:space="0"/>
              <w:left w:val="single" w:color="auto" w:sz="4" w:space="0"/>
              <w:bottom w:val="single" w:color="auto" w:sz="4" w:space="0"/>
              <w:right w:val="single" w:color="auto" w:sz="4" w:space="0"/>
            </w:tcBorders>
            <w:noWrap w:val="0"/>
            <w:vAlign w:val="center"/>
          </w:tcPr>
          <w:p w14:paraId="770B1C5E">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606" w:type="pct"/>
            <w:tcBorders>
              <w:top w:val="single" w:color="auto" w:sz="4" w:space="0"/>
              <w:left w:val="single" w:color="auto" w:sz="4" w:space="0"/>
              <w:bottom w:val="single" w:color="auto" w:sz="4" w:space="0"/>
              <w:right w:val="single" w:color="auto" w:sz="4" w:space="0"/>
            </w:tcBorders>
            <w:noWrap w:val="0"/>
            <w:vAlign w:val="center"/>
          </w:tcPr>
          <w:p w14:paraId="4722EE40">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33" w:type="pct"/>
            <w:tcBorders>
              <w:top w:val="single" w:color="auto" w:sz="4" w:space="0"/>
              <w:left w:val="single" w:color="auto" w:sz="4" w:space="0"/>
              <w:bottom w:val="single" w:color="auto" w:sz="4" w:space="0"/>
              <w:right w:val="single" w:color="auto" w:sz="4" w:space="0"/>
            </w:tcBorders>
            <w:noWrap w:val="0"/>
            <w:vAlign w:val="top"/>
          </w:tcPr>
          <w:p w14:paraId="0797F67D">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635" w:type="pct"/>
            <w:tcBorders>
              <w:top w:val="single" w:color="auto" w:sz="4" w:space="0"/>
              <w:left w:val="single" w:color="auto" w:sz="4" w:space="0"/>
              <w:bottom w:val="single" w:color="auto" w:sz="4" w:space="0"/>
              <w:right w:val="single" w:color="auto" w:sz="4" w:space="0"/>
            </w:tcBorders>
            <w:noWrap w:val="0"/>
            <w:vAlign w:val="top"/>
          </w:tcPr>
          <w:p w14:paraId="20EBFBD3">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r>
      <w:tr w14:paraId="1C99F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3" w:type="pct"/>
            <w:tcBorders>
              <w:top w:val="single" w:color="auto" w:sz="4" w:space="0"/>
              <w:left w:val="single" w:color="auto" w:sz="4" w:space="0"/>
              <w:bottom w:val="single" w:color="auto" w:sz="4" w:space="0"/>
              <w:right w:val="single" w:color="auto" w:sz="4" w:space="0"/>
            </w:tcBorders>
            <w:noWrap w:val="0"/>
            <w:vAlign w:val="center"/>
          </w:tcPr>
          <w:p w14:paraId="40D5C43F">
            <w:pPr>
              <w:keepNext w:val="0"/>
              <w:keepLines w:val="0"/>
              <w:suppressLineNumbers w:val="0"/>
              <w:spacing w:before="0" w:beforeAutospacing="0" w:after="0" w:afterAutospacing="0" w:line="360" w:lineRule="auto"/>
              <w:ind w:left="0" w:right="0"/>
              <w:jc w:val="center"/>
              <w:rPr>
                <w:rFonts w:hint="default"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7184B1F5">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1063" w:type="pct"/>
            <w:tcBorders>
              <w:top w:val="single" w:color="auto" w:sz="4" w:space="0"/>
              <w:left w:val="single" w:color="auto" w:sz="4" w:space="0"/>
              <w:bottom w:val="single" w:color="auto" w:sz="4" w:space="0"/>
              <w:right w:val="single" w:color="auto" w:sz="4" w:space="0"/>
            </w:tcBorders>
            <w:noWrap w:val="0"/>
            <w:vAlign w:val="center"/>
          </w:tcPr>
          <w:p w14:paraId="72D3CB88">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14:paraId="30FA4EA9">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74" w:type="pct"/>
            <w:tcBorders>
              <w:top w:val="single" w:color="auto" w:sz="4" w:space="0"/>
              <w:left w:val="single" w:color="auto" w:sz="4" w:space="0"/>
              <w:bottom w:val="single" w:color="auto" w:sz="4" w:space="0"/>
              <w:right w:val="single" w:color="auto" w:sz="4" w:space="0"/>
            </w:tcBorders>
            <w:noWrap w:val="0"/>
            <w:vAlign w:val="center"/>
          </w:tcPr>
          <w:p w14:paraId="22B635E2">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606" w:type="pct"/>
            <w:tcBorders>
              <w:top w:val="single" w:color="auto" w:sz="4" w:space="0"/>
              <w:left w:val="single" w:color="auto" w:sz="4" w:space="0"/>
              <w:bottom w:val="single" w:color="auto" w:sz="4" w:space="0"/>
              <w:right w:val="single" w:color="auto" w:sz="4" w:space="0"/>
            </w:tcBorders>
            <w:noWrap w:val="0"/>
            <w:vAlign w:val="center"/>
          </w:tcPr>
          <w:p w14:paraId="5C7F1F08">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533" w:type="pct"/>
            <w:tcBorders>
              <w:top w:val="single" w:color="auto" w:sz="4" w:space="0"/>
              <w:left w:val="single" w:color="auto" w:sz="4" w:space="0"/>
              <w:bottom w:val="single" w:color="auto" w:sz="4" w:space="0"/>
              <w:right w:val="single" w:color="auto" w:sz="4" w:space="0"/>
            </w:tcBorders>
            <w:noWrap w:val="0"/>
            <w:vAlign w:val="top"/>
          </w:tcPr>
          <w:p w14:paraId="1C66156D">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635" w:type="pct"/>
            <w:tcBorders>
              <w:top w:val="single" w:color="auto" w:sz="4" w:space="0"/>
              <w:left w:val="single" w:color="auto" w:sz="4" w:space="0"/>
              <w:bottom w:val="single" w:color="auto" w:sz="4" w:space="0"/>
              <w:right w:val="single" w:color="auto" w:sz="4" w:space="0"/>
            </w:tcBorders>
            <w:noWrap w:val="0"/>
            <w:vAlign w:val="top"/>
          </w:tcPr>
          <w:p w14:paraId="5DC4BE66">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r>
      <w:tr w14:paraId="4321D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000" w:type="pct"/>
            <w:gridSpan w:val="8"/>
            <w:tcBorders>
              <w:top w:val="single" w:color="auto" w:sz="4" w:space="0"/>
              <w:left w:val="single" w:color="auto" w:sz="4" w:space="0"/>
              <w:bottom w:val="single" w:color="auto" w:sz="4" w:space="0"/>
              <w:right w:val="single" w:color="auto" w:sz="4" w:space="0"/>
            </w:tcBorders>
            <w:noWrap w:val="0"/>
            <w:vAlign w:val="center"/>
          </w:tcPr>
          <w:p w14:paraId="2360F88F">
            <w:pPr>
              <w:keepNext w:val="0"/>
              <w:keepLines w:val="0"/>
              <w:suppressLineNumbers w:val="0"/>
              <w:spacing w:before="0" w:beforeAutospacing="0" w:after="0" w:afterAutospacing="0"/>
              <w:ind w:left="0" w:right="0"/>
              <w:jc w:val="left"/>
              <w:rPr>
                <w:rFonts w:hint="eastAsia" w:ascii="宋体" w:hAnsi="宋体" w:cs="宋体"/>
                <w:b/>
                <w:bCs/>
                <w:szCs w:val="21"/>
              </w:rPr>
            </w:pPr>
            <w:r>
              <w:rPr>
                <w:rFonts w:hint="eastAsia" w:ascii="宋体" w:hAnsi="宋体" w:cs="宋体"/>
                <w:b/>
                <w:bCs/>
                <w:szCs w:val="21"/>
              </w:rPr>
              <w:t>合计（小写）</w:t>
            </w:r>
          </w:p>
        </w:tc>
      </w:tr>
      <w:tr w14:paraId="76FAB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000" w:type="pct"/>
            <w:gridSpan w:val="8"/>
            <w:tcBorders>
              <w:top w:val="single" w:color="auto" w:sz="4" w:space="0"/>
              <w:left w:val="single" w:color="auto" w:sz="4" w:space="0"/>
              <w:bottom w:val="single" w:color="auto" w:sz="4" w:space="0"/>
              <w:right w:val="single" w:color="auto" w:sz="4" w:space="0"/>
            </w:tcBorders>
            <w:noWrap w:val="0"/>
            <w:vAlign w:val="center"/>
          </w:tcPr>
          <w:p w14:paraId="307039D1">
            <w:pPr>
              <w:keepNext w:val="0"/>
              <w:keepLines w:val="0"/>
              <w:suppressLineNumbers w:val="0"/>
              <w:spacing w:before="0" w:beforeAutospacing="0" w:after="0" w:afterAutospacing="0"/>
              <w:ind w:left="0" w:right="0"/>
              <w:jc w:val="left"/>
              <w:rPr>
                <w:rFonts w:hint="eastAsia" w:ascii="宋体" w:hAnsi="宋体" w:cs="宋体"/>
                <w:b/>
                <w:bCs/>
                <w:szCs w:val="21"/>
              </w:rPr>
            </w:pPr>
            <w:r>
              <w:rPr>
                <w:rFonts w:hint="eastAsia" w:ascii="宋体" w:hAnsi="宋体" w:cs="宋体"/>
                <w:b/>
                <w:bCs/>
                <w:szCs w:val="21"/>
              </w:rPr>
              <w:t>合计（大写）</w:t>
            </w:r>
          </w:p>
        </w:tc>
      </w:tr>
    </w:tbl>
    <w:p w14:paraId="4DDB9685">
      <w:pPr>
        <w:spacing w:line="480" w:lineRule="auto"/>
        <w:rPr>
          <w:rFonts w:ascii="宋体" w:hAnsi="宋体" w:cs="宋体"/>
          <w:szCs w:val="21"/>
        </w:rPr>
      </w:pPr>
    </w:p>
    <w:p w14:paraId="297AC811">
      <w:pPr>
        <w:spacing w:line="480" w:lineRule="auto"/>
        <w:rPr>
          <w:rFonts w:ascii="宋体" w:hAnsi="宋体" w:cs="宋体"/>
          <w:szCs w:val="21"/>
        </w:rPr>
      </w:pPr>
    </w:p>
    <w:p w14:paraId="0D01A3C6">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r>
        <w:rPr>
          <w:rFonts w:hint="eastAsia" w:ascii="宋体" w:hAnsi="宋体" w:cs="宋体"/>
          <w:szCs w:val="21"/>
        </w:rPr>
        <w:t xml:space="preserve">（加盖公章）  </w:t>
      </w:r>
    </w:p>
    <w:p w14:paraId="607A91D3">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投标人代表：</w:t>
      </w:r>
      <w:r>
        <w:rPr>
          <w:rFonts w:hint="eastAsia" w:ascii="宋体" w:hAnsi="宋体" w:cs="宋体"/>
          <w:szCs w:val="21"/>
          <w:u w:val="single"/>
        </w:rPr>
        <w:t xml:space="preserve">                </w:t>
      </w:r>
      <w:r>
        <w:rPr>
          <w:rFonts w:hint="eastAsia" w:ascii="宋体" w:hAnsi="宋体" w:cs="宋体"/>
          <w:szCs w:val="21"/>
        </w:rPr>
        <w:t>（签字）</w:t>
      </w:r>
    </w:p>
    <w:p w14:paraId="4AF0D6BC">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4018720C">
      <w:pPr>
        <w:spacing w:line="480" w:lineRule="auto"/>
        <w:rPr>
          <w:rFonts w:ascii="宋体" w:hAnsi="宋体" w:cs="宋体"/>
          <w:b/>
          <w:szCs w:val="21"/>
        </w:rPr>
      </w:pPr>
    </w:p>
    <w:p w14:paraId="536AB0F4">
      <w:pPr>
        <w:rPr>
          <w:rFonts w:ascii="宋体" w:hAnsi="宋体" w:cs="宋体"/>
          <w:b/>
          <w:szCs w:val="21"/>
        </w:rPr>
      </w:pPr>
      <w:r>
        <w:rPr>
          <w:rFonts w:hint="eastAsia" w:ascii="宋体" w:hAnsi="宋体" w:cs="宋体"/>
          <w:b/>
          <w:szCs w:val="21"/>
        </w:rPr>
        <w:br w:type="page"/>
      </w:r>
    </w:p>
    <w:p w14:paraId="7BEC5E62">
      <w:pPr>
        <w:spacing w:line="480" w:lineRule="auto"/>
        <w:outlineLvl w:val="2"/>
        <w:rPr>
          <w:rFonts w:ascii="宋体" w:hAnsi="宋体" w:cs="宋体"/>
          <w:b/>
          <w:szCs w:val="21"/>
        </w:rPr>
      </w:pPr>
      <w:r>
        <w:rPr>
          <w:rFonts w:hint="eastAsia" w:ascii="宋体" w:hAnsi="宋体" w:cs="宋体"/>
          <w:b/>
          <w:szCs w:val="21"/>
        </w:rPr>
        <w:t>格式三、中小企业声明函</w:t>
      </w:r>
    </w:p>
    <w:p w14:paraId="229E9661">
      <w:pPr>
        <w:widowControl/>
        <w:jc w:val="center"/>
        <w:rPr>
          <w:rFonts w:ascii="宋体" w:hAnsi="宋体" w:cs="宋体"/>
          <w:b/>
          <w:color w:val="000000"/>
          <w:kern w:val="0"/>
          <w:szCs w:val="21"/>
        </w:rPr>
      </w:pPr>
    </w:p>
    <w:p w14:paraId="3ADBAF50">
      <w:pPr>
        <w:widowControl/>
        <w:jc w:val="center"/>
        <w:rPr>
          <w:szCs w:val="21"/>
        </w:rPr>
      </w:pPr>
      <w:r>
        <w:rPr>
          <w:rFonts w:hint="eastAsia" w:ascii="宋体" w:hAnsi="宋体" w:cs="宋体"/>
          <w:b/>
          <w:color w:val="000000"/>
          <w:kern w:val="0"/>
          <w:szCs w:val="21"/>
          <w:lang w:bidi="ar"/>
        </w:rPr>
        <w:t>中小企业声明函（货物）</w:t>
      </w:r>
    </w:p>
    <w:p w14:paraId="3D46B656">
      <w:pPr>
        <w:widowControl/>
        <w:spacing w:line="360" w:lineRule="auto"/>
        <w:ind w:firstLine="420" w:firstLineChars="200"/>
        <w:rPr>
          <w:rFonts w:ascii="宋体" w:hAnsi="宋体" w:cs="宋体"/>
          <w:szCs w:val="21"/>
        </w:rPr>
      </w:pPr>
      <w:r>
        <w:rPr>
          <w:rFonts w:hint="eastAsia" w:ascii="宋体" w:hAnsi="宋体" w:cs="宋体"/>
          <w:color w:val="000000"/>
          <w:kern w:val="0"/>
          <w:szCs w:val="21"/>
          <w:lang w:bidi="ar"/>
        </w:rPr>
        <w:t>本公司郑重声明，根据《政府采购促进中小企业发展管理办法》（财库﹝2020﹞46 号）的规定，本公司参加</w:t>
      </w:r>
      <w:r>
        <w:rPr>
          <w:rFonts w:hint="eastAsia" w:ascii="宋体" w:hAnsi="宋体" w:cs="宋体"/>
          <w:color w:val="000000"/>
          <w:kern w:val="0"/>
          <w:szCs w:val="21"/>
          <w:u w:val="single"/>
          <w:lang w:bidi="ar"/>
        </w:rPr>
        <w:t>（单位名称）</w:t>
      </w:r>
      <w:r>
        <w:rPr>
          <w:rFonts w:hint="eastAsia" w:ascii="宋体" w:hAnsi="宋体" w:cs="宋体"/>
          <w:color w:val="000000"/>
          <w:kern w:val="0"/>
          <w:szCs w:val="21"/>
          <w:lang w:bidi="ar"/>
        </w:rPr>
        <w:t>的</w:t>
      </w:r>
      <w:r>
        <w:rPr>
          <w:rFonts w:hint="eastAsia" w:ascii="宋体" w:hAnsi="宋体" w:cs="宋体"/>
          <w:color w:val="000000"/>
          <w:kern w:val="0"/>
          <w:szCs w:val="21"/>
          <w:u w:val="single"/>
          <w:lang w:bidi="ar"/>
        </w:rPr>
        <w:t>（项目名称）</w:t>
      </w:r>
      <w:r>
        <w:rPr>
          <w:rFonts w:hint="eastAsia" w:ascii="宋体" w:hAnsi="宋体" w:cs="宋体"/>
          <w:color w:val="000000"/>
          <w:kern w:val="0"/>
          <w:szCs w:val="21"/>
          <w:lang w:bidi="ar"/>
        </w:rPr>
        <w:t>采购活动，提供的货物全部由符合政策要求的中小企业制造。相关企业的具体情况如下：</w:t>
      </w:r>
    </w:p>
    <w:p w14:paraId="63FAF5A6">
      <w:pPr>
        <w:widowControl/>
        <w:spacing w:line="360" w:lineRule="auto"/>
        <w:ind w:firstLine="420" w:firstLineChars="200"/>
        <w:rPr>
          <w:rFonts w:ascii="宋体" w:hAnsi="宋体" w:cs="宋体"/>
          <w:szCs w:val="21"/>
        </w:rPr>
      </w:pPr>
      <w:r>
        <w:rPr>
          <w:rFonts w:hint="eastAsia" w:ascii="宋体" w:hAnsi="宋体" w:cs="宋体"/>
          <w:color w:val="000000"/>
          <w:kern w:val="0"/>
          <w:szCs w:val="21"/>
          <w:lang w:bidi="ar"/>
        </w:rPr>
        <w:t>1、</w:t>
      </w:r>
      <w:r>
        <w:rPr>
          <w:rFonts w:hint="eastAsia" w:ascii="宋体" w:hAnsi="宋体" w:cs="宋体"/>
          <w:color w:val="000000"/>
          <w:kern w:val="0"/>
          <w:szCs w:val="21"/>
          <w:u w:val="single"/>
          <w:lang w:bidi="ar"/>
        </w:rPr>
        <w:t>（标的名称）</w:t>
      </w:r>
      <w:r>
        <w:rPr>
          <w:rFonts w:hint="eastAsia" w:ascii="宋体" w:hAnsi="宋体" w:cs="宋体"/>
          <w:color w:val="000000"/>
          <w:kern w:val="0"/>
          <w:szCs w:val="21"/>
          <w:lang w:bidi="ar"/>
        </w:rPr>
        <w:t>，属于</w:t>
      </w:r>
      <w:r>
        <w:rPr>
          <w:rFonts w:hint="eastAsia" w:ascii="宋体" w:hAnsi="宋体" w:cs="宋体"/>
          <w:color w:val="000000"/>
          <w:kern w:val="0"/>
          <w:szCs w:val="21"/>
          <w:u w:val="single"/>
          <w:lang w:bidi="ar"/>
        </w:rPr>
        <w:t>（采购文件中明确的所属行业）行业</w:t>
      </w:r>
      <w:r>
        <w:rPr>
          <w:rFonts w:hint="eastAsia" w:ascii="宋体" w:hAnsi="宋体" w:cs="宋体"/>
          <w:color w:val="000000"/>
          <w:kern w:val="0"/>
          <w:szCs w:val="21"/>
          <w:lang w:bidi="ar"/>
        </w:rPr>
        <w:t>；制造商为</w:t>
      </w:r>
      <w:r>
        <w:rPr>
          <w:rFonts w:hint="eastAsia" w:ascii="宋体" w:hAnsi="宋体" w:cs="宋体"/>
          <w:color w:val="000000"/>
          <w:kern w:val="0"/>
          <w:szCs w:val="21"/>
          <w:u w:val="single"/>
          <w:lang w:bidi="ar"/>
        </w:rPr>
        <w:t>（企业名称）</w:t>
      </w:r>
      <w:r>
        <w:rPr>
          <w:rFonts w:hint="eastAsia" w:ascii="宋体" w:hAnsi="宋体" w:cs="宋体"/>
          <w:color w:val="000000"/>
          <w:kern w:val="0"/>
          <w:szCs w:val="21"/>
          <w:lang w:bidi="ar"/>
        </w:rPr>
        <w:t>，从业人员</w:t>
      </w:r>
      <w:r>
        <w:rPr>
          <w:rFonts w:hint="eastAsia" w:ascii="宋体" w:hAnsi="宋体" w:cs="宋体"/>
          <w:color w:val="000000"/>
          <w:kern w:val="0"/>
          <w:szCs w:val="21"/>
          <w:u w:val="single"/>
          <w:lang w:bidi="ar"/>
        </w:rPr>
        <w:t xml:space="preserve">    </w:t>
      </w:r>
      <w:r>
        <w:rPr>
          <w:rFonts w:hint="eastAsia" w:ascii="宋体" w:hAnsi="宋体" w:cs="宋体"/>
          <w:color w:val="000000"/>
          <w:kern w:val="0"/>
          <w:szCs w:val="21"/>
          <w:lang w:bidi="ar"/>
        </w:rPr>
        <w:t>人，营业收入为</w:t>
      </w:r>
      <w:r>
        <w:rPr>
          <w:rFonts w:hint="eastAsia" w:ascii="宋体" w:hAnsi="宋体" w:cs="宋体"/>
          <w:color w:val="000000"/>
          <w:kern w:val="0"/>
          <w:szCs w:val="21"/>
          <w:u w:val="single"/>
          <w:lang w:bidi="ar"/>
        </w:rPr>
        <w:t xml:space="preserve">    </w:t>
      </w:r>
      <w:r>
        <w:rPr>
          <w:rFonts w:hint="eastAsia" w:ascii="宋体" w:hAnsi="宋体" w:cs="宋体"/>
          <w:color w:val="000000"/>
          <w:kern w:val="0"/>
          <w:szCs w:val="21"/>
          <w:lang w:bidi="ar"/>
        </w:rPr>
        <w:t>万元，资产总额为</w:t>
      </w:r>
      <w:r>
        <w:rPr>
          <w:rFonts w:hint="eastAsia" w:ascii="宋体" w:hAnsi="宋体" w:cs="宋体"/>
          <w:color w:val="000000"/>
          <w:kern w:val="0"/>
          <w:szCs w:val="21"/>
          <w:u w:val="single"/>
          <w:lang w:bidi="ar"/>
        </w:rPr>
        <w:t xml:space="preserve">    </w:t>
      </w:r>
      <w:r>
        <w:rPr>
          <w:rFonts w:hint="eastAsia" w:ascii="宋体" w:hAnsi="宋体" w:cs="宋体"/>
          <w:color w:val="000000"/>
          <w:kern w:val="0"/>
          <w:szCs w:val="21"/>
          <w:lang w:bidi="ar"/>
        </w:rPr>
        <w:t>万元，属于</w:t>
      </w:r>
      <w:r>
        <w:rPr>
          <w:rFonts w:hint="eastAsia" w:ascii="宋体" w:hAnsi="宋体" w:cs="宋体"/>
          <w:color w:val="000000"/>
          <w:kern w:val="0"/>
          <w:szCs w:val="21"/>
          <w:u w:val="single"/>
          <w:lang w:bidi="ar"/>
        </w:rPr>
        <w:t>（中型企业、小型企业、微型企业）</w:t>
      </w:r>
      <w:r>
        <w:rPr>
          <w:rFonts w:hint="eastAsia" w:ascii="宋体" w:hAnsi="宋体" w:cs="宋体"/>
          <w:color w:val="000000"/>
          <w:kern w:val="0"/>
          <w:szCs w:val="21"/>
          <w:lang w:bidi="ar"/>
        </w:rPr>
        <w:t xml:space="preserve">； </w:t>
      </w:r>
    </w:p>
    <w:p w14:paraId="042310BD">
      <w:pPr>
        <w:widowControl/>
        <w:spacing w:line="360" w:lineRule="auto"/>
        <w:ind w:firstLine="420" w:firstLineChars="200"/>
        <w:rPr>
          <w:rFonts w:ascii="宋体" w:hAnsi="宋体" w:cs="宋体"/>
          <w:szCs w:val="21"/>
        </w:rPr>
      </w:pPr>
      <w:r>
        <w:rPr>
          <w:rFonts w:hint="eastAsia" w:ascii="宋体" w:hAnsi="宋体" w:cs="宋体"/>
          <w:color w:val="000000"/>
          <w:kern w:val="0"/>
          <w:szCs w:val="21"/>
          <w:lang w:bidi="ar"/>
        </w:rPr>
        <w:t>2.</w:t>
      </w:r>
      <w:r>
        <w:rPr>
          <w:rFonts w:hint="eastAsia" w:ascii="宋体" w:hAnsi="宋体" w:cs="宋体"/>
          <w:color w:val="000000"/>
          <w:kern w:val="0"/>
          <w:szCs w:val="21"/>
          <w:u w:val="single"/>
          <w:lang w:bidi="ar"/>
        </w:rPr>
        <w:t>（标的名称）</w:t>
      </w:r>
      <w:r>
        <w:rPr>
          <w:rFonts w:hint="eastAsia" w:ascii="宋体" w:hAnsi="宋体" w:cs="宋体"/>
          <w:color w:val="000000"/>
          <w:kern w:val="0"/>
          <w:szCs w:val="21"/>
          <w:lang w:bidi="ar"/>
        </w:rPr>
        <w:t>，属于</w:t>
      </w:r>
      <w:r>
        <w:rPr>
          <w:rFonts w:hint="eastAsia" w:ascii="宋体" w:hAnsi="宋体" w:cs="宋体"/>
          <w:color w:val="000000"/>
          <w:kern w:val="0"/>
          <w:szCs w:val="21"/>
          <w:u w:val="single"/>
          <w:lang w:bidi="ar"/>
        </w:rPr>
        <w:t>（采购文件中明确的所属行业）行业</w:t>
      </w:r>
      <w:r>
        <w:rPr>
          <w:rFonts w:hint="eastAsia" w:ascii="宋体" w:hAnsi="宋体" w:cs="宋体"/>
          <w:color w:val="000000"/>
          <w:kern w:val="0"/>
          <w:szCs w:val="21"/>
          <w:lang w:bidi="ar"/>
        </w:rPr>
        <w:t>；制造商为</w:t>
      </w:r>
      <w:r>
        <w:rPr>
          <w:rFonts w:hint="eastAsia" w:ascii="宋体" w:hAnsi="宋体" w:cs="宋体"/>
          <w:color w:val="000000"/>
          <w:kern w:val="0"/>
          <w:szCs w:val="21"/>
          <w:u w:val="single"/>
          <w:lang w:bidi="ar"/>
        </w:rPr>
        <w:t>（企业名称）</w:t>
      </w:r>
      <w:r>
        <w:rPr>
          <w:rFonts w:hint="eastAsia" w:ascii="宋体" w:hAnsi="宋体" w:cs="宋体"/>
          <w:color w:val="000000"/>
          <w:kern w:val="0"/>
          <w:szCs w:val="21"/>
          <w:lang w:bidi="ar"/>
        </w:rPr>
        <w:t>，从业人员</w:t>
      </w:r>
      <w:r>
        <w:rPr>
          <w:rFonts w:hint="eastAsia" w:ascii="宋体" w:hAnsi="宋体" w:cs="宋体"/>
          <w:color w:val="000000"/>
          <w:kern w:val="0"/>
          <w:szCs w:val="21"/>
          <w:u w:val="single"/>
          <w:lang w:bidi="ar"/>
        </w:rPr>
        <w:t xml:space="preserve">    </w:t>
      </w:r>
      <w:r>
        <w:rPr>
          <w:rFonts w:hint="eastAsia" w:ascii="宋体" w:hAnsi="宋体" w:cs="宋体"/>
          <w:color w:val="000000"/>
          <w:kern w:val="0"/>
          <w:szCs w:val="21"/>
          <w:lang w:bidi="ar"/>
        </w:rPr>
        <w:t>人，营业收入为</w:t>
      </w:r>
      <w:r>
        <w:rPr>
          <w:rFonts w:hint="eastAsia" w:ascii="宋体" w:hAnsi="宋体" w:cs="宋体"/>
          <w:color w:val="000000"/>
          <w:kern w:val="0"/>
          <w:szCs w:val="21"/>
          <w:u w:val="single"/>
          <w:lang w:bidi="ar"/>
        </w:rPr>
        <w:t xml:space="preserve">    </w:t>
      </w:r>
      <w:r>
        <w:rPr>
          <w:rFonts w:hint="eastAsia" w:ascii="宋体" w:hAnsi="宋体" w:cs="宋体"/>
          <w:color w:val="000000"/>
          <w:kern w:val="0"/>
          <w:szCs w:val="21"/>
          <w:lang w:bidi="ar"/>
        </w:rPr>
        <w:t>万元，资产总额为</w:t>
      </w:r>
      <w:r>
        <w:rPr>
          <w:rFonts w:hint="eastAsia" w:ascii="宋体" w:hAnsi="宋体" w:cs="宋体"/>
          <w:color w:val="000000"/>
          <w:kern w:val="0"/>
          <w:szCs w:val="21"/>
          <w:u w:val="single"/>
          <w:lang w:bidi="ar"/>
        </w:rPr>
        <w:t xml:space="preserve">    </w:t>
      </w:r>
      <w:r>
        <w:rPr>
          <w:rFonts w:hint="eastAsia" w:ascii="宋体" w:hAnsi="宋体" w:cs="宋体"/>
          <w:color w:val="000000"/>
          <w:kern w:val="0"/>
          <w:szCs w:val="21"/>
          <w:lang w:bidi="ar"/>
        </w:rPr>
        <w:t>万元，属于</w:t>
      </w:r>
      <w:r>
        <w:rPr>
          <w:rFonts w:hint="eastAsia" w:ascii="宋体" w:hAnsi="宋体" w:cs="宋体"/>
          <w:color w:val="000000"/>
          <w:kern w:val="0"/>
          <w:szCs w:val="21"/>
          <w:u w:val="single"/>
          <w:lang w:bidi="ar"/>
        </w:rPr>
        <w:t>（中型企业、小型企业、微型企业）</w:t>
      </w:r>
      <w:r>
        <w:rPr>
          <w:rFonts w:hint="eastAsia" w:ascii="宋体" w:hAnsi="宋体" w:cs="宋体"/>
          <w:color w:val="000000"/>
          <w:kern w:val="0"/>
          <w:szCs w:val="21"/>
          <w:lang w:bidi="ar"/>
        </w:rPr>
        <w:t xml:space="preserve">； </w:t>
      </w:r>
    </w:p>
    <w:p w14:paraId="20E8797E">
      <w:pPr>
        <w:widowControl/>
        <w:spacing w:line="360" w:lineRule="auto"/>
        <w:ind w:firstLine="420" w:firstLineChars="200"/>
        <w:rPr>
          <w:rFonts w:hint="eastAsia" w:ascii="宋体" w:hAnsi="宋体" w:eastAsia="宋体" w:cs="宋体"/>
          <w:color w:val="000000"/>
          <w:kern w:val="0"/>
          <w:szCs w:val="21"/>
          <w:lang w:val="en-US" w:eastAsia="zh-CN" w:bidi="ar"/>
        </w:rPr>
      </w:pPr>
    </w:p>
    <w:p w14:paraId="43FE8828">
      <w:pPr>
        <w:widowControl/>
        <w:spacing w:line="360" w:lineRule="auto"/>
        <w:ind w:firstLine="420" w:firstLineChars="200"/>
        <w:rPr>
          <w:rFonts w:ascii="宋体" w:hAnsi="宋体" w:cs="宋体"/>
          <w:szCs w:val="21"/>
        </w:rPr>
      </w:pPr>
      <w:r>
        <w:rPr>
          <w:rFonts w:hint="eastAsia" w:ascii="宋体" w:hAnsi="宋体" w:cs="宋体"/>
          <w:color w:val="000000"/>
          <w:kern w:val="0"/>
          <w:szCs w:val="21"/>
          <w:lang w:bidi="ar"/>
        </w:rPr>
        <w:t>以上企业，不属于大企业的分支机构，不存在控股股东为大企业的情形，也不存在与大企业的负责人为同一人的情形。</w:t>
      </w:r>
    </w:p>
    <w:p w14:paraId="6942CAEF">
      <w:pPr>
        <w:widowControl/>
        <w:spacing w:line="360" w:lineRule="auto"/>
        <w:ind w:firstLine="420" w:firstLineChars="200"/>
        <w:rPr>
          <w:rFonts w:ascii="宋体" w:hAnsi="宋体" w:cs="宋体"/>
          <w:szCs w:val="21"/>
        </w:rPr>
      </w:pPr>
      <w:r>
        <w:rPr>
          <w:rFonts w:hint="eastAsia" w:ascii="宋体" w:hAnsi="宋体" w:cs="宋体"/>
          <w:color w:val="000000"/>
          <w:kern w:val="0"/>
          <w:szCs w:val="21"/>
          <w:lang w:bidi="ar"/>
        </w:rPr>
        <w:t xml:space="preserve">本企业对上述声明内容的真实性负责。如有虚假，将依法承担相应责任。 </w:t>
      </w:r>
    </w:p>
    <w:p w14:paraId="154DEACD">
      <w:pPr>
        <w:widowControl/>
        <w:spacing w:line="360" w:lineRule="auto"/>
        <w:ind w:firstLine="2520" w:firstLineChars="1200"/>
        <w:jc w:val="right"/>
        <w:rPr>
          <w:rFonts w:ascii="宋体" w:hAnsi="宋体" w:cs="宋体"/>
          <w:szCs w:val="21"/>
        </w:rPr>
      </w:pPr>
      <w:r>
        <w:rPr>
          <w:rFonts w:hint="eastAsia" w:ascii="宋体" w:hAnsi="宋体" w:cs="宋体"/>
          <w:color w:val="000000"/>
          <w:kern w:val="0"/>
          <w:szCs w:val="21"/>
          <w:lang w:bidi="ar"/>
        </w:rPr>
        <w:t xml:space="preserve">企业名称（盖章）： </w:t>
      </w:r>
    </w:p>
    <w:p w14:paraId="26D0C974">
      <w:pPr>
        <w:widowControl/>
        <w:spacing w:line="360" w:lineRule="auto"/>
        <w:ind w:firstLine="2520" w:firstLineChars="1200"/>
        <w:jc w:val="right"/>
        <w:rPr>
          <w:rFonts w:ascii="宋体" w:hAnsi="宋体" w:cs="宋体"/>
          <w:szCs w:val="21"/>
        </w:rPr>
      </w:pPr>
      <w:r>
        <w:rPr>
          <w:rFonts w:hint="eastAsia" w:ascii="宋体" w:hAnsi="宋体" w:cs="宋体"/>
          <w:color w:val="000000"/>
          <w:kern w:val="0"/>
          <w:szCs w:val="21"/>
          <w:lang w:bidi="ar"/>
        </w:rPr>
        <w:t xml:space="preserve">日 期： </w:t>
      </w:r>
    </w:p>
    <w:p w14:paraId="6C4E3FC8">
      <w:pPr>
        <w:spacing w:line="360" w:lineRule="auto"/>
        <w:rPr>
          <w:rFonts w:ascii="宋体" w:hAnsi="宋体" w:cs="宋体"/>
          <w:b/>
          <w:spacing w:val="20"/>
          <w:szCs w:val="21"/>
        </w:rPr>
      </w:pPr>
      <w:r>
        <w:rPr>
          <w:rFonts w:hint="eastAsia" w:ascii="宋体" w:hAnsi="宋体" w:cs="宋体"/>
          <w:b/>
          <w:spacing w:val="20"/>
          <w:szCs w:val="21"/>
        </w:rPr>
        <w:t>注：1.从业人员、营业收入、资产总额填报上一年度数据，无上一年度数据的新成立企业可不填报。</w:t>
      </w:r>
    </w:p>
    <w:p w14:paraId="7716DF12">
      <w:pPr>
        <w:snapToGrid w:val="0"/>
        <w:spacing w:line="360" w:lineRule="auto"/>
        <w:ind w:firstLine="422" w:firstLineChars="200"/>
        <w:rPr>
          <w:rFonts w:ascii="宋体" w:hAnsi="宋体" w:cs="宋体"/>
          <w:b/>
          <w:szCs w:val="21"/>
        </w:rPr>
      </w:pPr>
      <w:r>
        <w:rPr>
          <w:rFonts w:hint="eastAsia" w:ascii="宋体" w:hAnsi="宋体" w:cs="宋体"/>
          <w:b/>
          <w:szCs w:val="21"/>
        </w:rPr>
        <w:t>2.中标、成交供应商享受《政府采购促进中小企业发展管理办法》（财库[2020]46号）规定的中小企业扶持政策的，《中小企业声明函》随中标、成交结果公开。</w:t>
      </w:r>
    </w:p>
    <w:p w14:paraId="61224BFA">
      <w:pPr>
        <w:snapToGrid w:val="0"/>
        <w:spacing w:line="360" w:lineRule="auto"/>
        <w:ind w:firstLine="422" w:firstLineChars="200"/>
        <w:rPr>
          <w:rFonts w:ascii="宋体" w:hAnsi="宋体" w:cs="宋体"/>
          <w:b/>
          <w:szCs w:val="21"/>
        </w:rPr>
      </w:pPr>
      <w:r>
        <w:rPr>
          <w:rFonts w:hint="eastAsia" w:ascii="宋体" w:hAnsi="宋体" w:cs="宋体"/>
          <w:b/>
          <w:szCs w:val="21"/>
        </w:rPr>
        <w:t>3.供应商应当按照《政府采购促进中小企业发展管理办法》（财库[2020]46号）规定和《中小企业划型标准规定》（工信部联企业〔2011〕300号），如实填写并提交《中小企业声明函》。供应商对其声明内容的真实性负责，声明函内容不实的，属于提供虚假材料谋取中标、成交，依照《中华人民共和国政府采购法》等国家有关规定追究相应责任。</w:t>
      </w:r>
    </w:p>
    <w:p w14:paraId="12211FDD">
      <w:pPr>
        <w:snapToGrid w:val="0"/>
        <w:spacing w:line="360" w:lineRule="auto"/>
        <w:ind w:firstLine="422" w:firstLineChars="200"/>
        <w:outlineLvl w:val="9"/>
        <w:rPr>
          <w:rFonts w:hint="eastAsia" w:ascii="宋体" w:hAnsi="宋体" w:eastAsia="宋体" w:cs="宋体"/>
          <w:b/>
          <w:bCs/>
          <w:szCs w:val="21"/>
          <w:lang w:val="en-US" w:eastAsia="zh-CN"/>
        </w:rPr>
      </w:pPr>
      <w:bookmarkStart w:id="75" w:name="_Toc27501"/>
      <w:r>
        <w:rPr>
          <w:rFonts w:hint="eastAsia" w:ascii="宋体" w:hAnsi="宋体" w:cs="宋体"/>
          <w:b/>
          <w:bCs/>
          <w:szCs w:val="21"/>
          <w:lang w:val="en-US" w:eastAsia="zh-CN"/>
        </w:rPr>
        <w:t>4.一个采购项目或采购包含有多个采购标的的，则每个采购标的均应由中小企业制造。</w:t>
      </w:r>
    </w:p>
    <w:p w14:paraId="4673CAEA">
      <w:pPr>
        <w:snapToGrid w:val="0"/>
        <w:spacing w:line="360" w:lineRule="auto"/>
        <w:ind w:firstLine="422" w:firstLineChars="200"/>
        <w:outlineLvl w:val="9"/>
        <w:rPr>
          <w:rFonts w:ascii="宋体" w:hAnsi="宋体" w:cs="宋体"/>
          <w:b/>
          <w:bCs/>
          <w:szCs w:val="21"/>
        </w:rPr>
      </w:pPr>
      <w:r>
        <w:rPr>
          <w:rFonts w:hint="eastAsia" w:ascii="宋体" w:hAnsi="宋体" w:cs="宋体"/>
          <w:b/>
          <w:bCs/>
          <w:szCs w:val="21"/>
          <w:lang w:val="en-US" w:eastAsia="zh-CN"/>
        </w:rPr>
        <w:t>5</w:t>
      </w:r>
      <w:r>
        <w:rPr>
          <w:rFonts w:hint="eastAsia" w:ascii="宋体" w:hAnsi="宋体" w:cs="宋体"/>
          <w:b/>
          <w:spacing w:val="20"/>
          <w:szCs w:val="21"/>
        </w:rPr>
        <w:t>.</w:t>
      </w:r>
      <w:r>
        <w:rPr>
          <w:rFonts w:hint="eastAsia" w:ascii="宋体" w:hAnsi="宋体" w:cs="宋体"/>
          <w:b/>
          <w:bCs/>
          <w:szCs w:val="21"/>
        </w:rPr>
        <w:t>本项目采购标的对应的中小企业划分标准所属行业：</w:t>
      </w:r>
      <w:r>
        <w:rPr>
          <w:rFonts w:hint="eastAsia" w:ascii="宋体" w:hAnsi="宋体" w:cs="宋体"/>
          <w:b/>
          <w:szCs w:val="21"/>
        </w:rPr>
        <w:t>工业。</w:t>
      </w:r>
      <w:bookmarkEnd w:id="75"/>
    </w:p>
    <w:p w14:paraId="5347DA29">
      <w:pPr>
        <w:snapToGrid w:val="0"/>
        <w:spacing w:line="360" w:lineRule="auto"/>
        <w:outlineLvl w:val="2"/>
        <w:rPr>
          <w:rFonts w:ascii="宋体" w:hAnsi="宋体" w:cs="宋体"/>
          <w:b/>
          <w:szCs w:val="21"/>
        </w:rPr>
      </w:pPr>
      <w:r>
        <w:rPr>
          <w:rFonts w:hint="eastAsia" w:ascii="宋体" w:hAnsi="宋体" w:cs="宋体"/>
          <w:b/>
          <w:szCs w:val="21"/>
        </w:rPr>
        <w:br w:type="page"/>
      </w:r>
      <w:r>
        <w:rPr>
          <w:rFonts w:hint="eastAsia" w:ascii="宋体" w:hAnsi="宋体" w:cs="宋体"/>
          <w:b/>
          <w:szCs w:val="21"/>
        </w:rPr>
        <w:t>格式四、</w:t>
      </w:r>
      <w:bookmarkStart w:id="76" w:name="OLE_LINK14"/>
      <w:bookmarkStart w:id="77" w:name="OLE_LINK13"/>
      <w:r>
        <w:rPr>
          <w:rFonts w:hint="eastAsia" w:ascii="宋体" w:hAnsi="宋体" w:cs="宋体"/>
          <w:b/>
          <w:bCs/>
          <w:szCs w:val="21"/>
        </w:rPr>
        <w:t>残疾人福利性单位声明函</w:t>
      </w:r>
    </w:p>
    <w:bookmarkEnd w:id="76"/>
    <w:bookmarkEnd w:id="77"/>
    <w:p w14:paraId="726CCF57">
      <w:pPr>
        <w:spacing w:beforeLines="100" w:line="440" w:lineRule="atLeast"/>
        <w:ind w:firstLine="444" w:firstLineChars="200"/>
        <w:rPr>
          <w:rFonts w:ascii="宋体" w:hAnsi="宋体" w:cs="宋体"/>
          <w:spacing w:val="6"/>
          <w:szCs w:val="21"/>
        </w:rPr>
      </w:pPr>
    </w:p>
    <w:p w14:paraId="2EC48F4B">
      <w:pPr>
        <w:widowControl/>
        <w:spacing w:line="588" w:lineRule="atLeast"/>
        <w:jc w:val="center"/>
        <w:rPr>
          <w:rFonts w:hint="eastAsia" w:ascii="宋体" w:hAnsi="宋体" w:cs="宋体"/>
          <w:b/>
          <w:kern w:val="0"/>
          <w:szCs w:val="21"/>
        </w:rPr>
      </w:pPr>
      <w:r>
        <w:rPr>
          <w:rFonts w:hint="eastAsia" w:ascii="宋体" w:hAnsi="宋体" w:cs="宋体"/>
          <w:b/>
          <w:kern w:val="0"/>
          <w:szCs w:val="21"/>
        </w:rPr>
        <w:t>残疾人福利性单位声明函</w:t>
      </w:r>
      <w:r>
        <w:rPr>
          <w:rFonts w:hint="eastAsia" w:ascii="宋体" w:hAnsi="宋体" w:cs="宋体"/>
          <w:b/>
          <w:spacing w:val="6"/>
          <w:kern w:val="0"/>
          <w:szCs w:val="21"/>
        </w:rPr>
        <w:t>（货物）</w:t>
      </w:r>
    </w:p>
    <w:p w14:paraId="66E44EF4">
      <w:pPr>
        <w:widowControl/>
        <w:spacing w:before="312" w:beforeLines="100" w:line="500" w:lineRule="exact"/>
        <w:ind w:firstLine="601"/>
        <w:rPr>
          <w:rFonts w:hint="eastAsia" w:ascii="宋体" w:hAnsi="宋体" w:cs="宋体"/>
          <w:szCs w:val="21"/>
        </w:rPr>
      </w:pPr>
      <w:r>
        <w:rPr>
          <w:rFonts w:hint="eastAsia" w:ascii="宋体" w:hAnsi="宋体" w:cs="宋体"/>
          <w:szCs w:val="21"/>
        </w:rPr>
        <w:t>本单位郑重声明，根据《财政部 民政部 中国残疾人联合会关于促进残疾人就业政府采购政策的通知》（财库〔2017〕141号）的规定，本单位为符合条件的残疾人福利性单位，且本单位参加______单位的______项目采购活动由本单位提供服务。</w:t>
      </w:r>
    </w:p>
    <w:p w14:paraId="163FEE44">
      <w:pPr>
        <w:widowControl/>
        <w:spacing w:line="500" w:lineRule="exact"/>
        <w:ind w:firstLine="600"/>
        <w:rPr>
          <w:rFonts w:hint="eastAsia" w:ascii="宋体" w:hAnsi="宋体" w:cs="宋体"/>
          <w:szCs w:val="21"/>
        </w:rPr>
      </w:pPr>
      <w:r>
        <w:rPr>
          <w:rFonts w:hint="eastAsia" w:ascii="宋体" w:hAnsi="宋体" w:cs="宋体"/>
          <w:szCs w:val="21"/>
        </w:rPr>
        <w:t>本单位对上述声明的真实性负责。如有虚假，将依法承担相应责任。</w:t>
      </w:r>
    </w:p>
    <w:p w14:paraId="0AEAB3D6">
      <w:pPr>
        <w:widowControl/>
        <w:spacing w:line="500" w:lineRule="exact"/>
        <w:rPr>
          <w:rFonts w:hint="eastAsia" w:ascii="宋体" w:hAnsi="宋体" w:cs="宋体"/>
          <w:kern w:val="0"/>
          <w:szCs w:val="21"/>
        </w:rPr>
      </w:pPr>
    </w:p>
    <w:p w14:paraId="2255E986">
      <w:pPr>
        <w:widowControl/>
        <w:spacing w:line="500" w:lineRule="exact"/>
        <w:ind w:right="1560" w:firstLine="600"/>
        <w:jc w:val="center"/>
        <w:rPr>
          <w:rFonts w:hint="eastAsia" w:ascii="宋体" w:hAnsi="宋体" w:cs="宋体"/>
          <w:szCs w:val="21"/>
        </w:rPr>
      </w:pPr>
      <w:r>
        <w:rPr>
          <w:rFonts w:hint="eastAsia" w:ascii="宋体" w:hAnsi="宋体" w:cs="宋体"/>
          <w:kern w:val="0"/>
          <w:szCs w:val="21"/>
        </w:rPr>
        <w:t xml:space="preserve">               </w:t>
      </w:r>
      <w:r>
        <w:rPr>
          <w:rFonts w:hint="eastAsia" w:ascii="宋体" w:hAnsi="宋体" w:cs="宋体"/>
          <w:szCs w:val="21"/>
        </w:rPr>
        <w:t>单位名称（盖章）：</w:t>
      </w:r>
    </w:p>
    <w:p w14:paraId="42E4CEE7">
      <w:pPr>
        <w:widowControl/>
        <w:spacing w:line="500" w:lineRule="exact"/>
        <w:ind w:right="1560" w:firstLine="600"/>
        <w:jc w:val="center"/>
        <w:rPr>
          <w:rFonts w:hint="eastAsia" w:ascii="宋体" w:hAnsi="宋体" w:cs="宋体"/>
          <w:szCs w:val="21"/>
        </w:rPr>
      </w:pPr>
      <w:r>
        <w:rPr>
          <w:rFonts w:hint="eastAsia" w:ascii="宋体" w:hAnsi="宋体" w:cs="宋体"/>
          <w:szCs w:val="21"/>
        </w:rPr>
        <w:t xml:space="preserve">       日  期：</w:t>
      </w:r>
    </w:p>
    <w:p w14:paraId="46FAFF8A">
      <w:pPr>
        <w:widowControl/>
        <w:spacing w:line="500" w:lineRule="exact"/>
        <w:rPr>
          <w:rFonts w:ascii="宋体" w:hAnsi="宋体" w:cs="宋体"/>
          <w:spacing w:val="6"/>
          <w:kern w:val="0"/>
          <w:szCs w:val="21"/>
        </w:rPr>
      </w:pPr>
    </w:p>
    <w:p w14:paraId="6FB6D645">
      <w:pPr>
        <w:spacing w:beforeLines="100" w:line="440" w:lineRule="atLeast"/>
        <w:ind w:firstLine="444" w:firstLineChars="200"/>
        <w:rPr>
          <w:rFonts w:ascii="宋体" w:hAnsi="宋体" w:cs="宋体"/>
          <w:spacing w:val="6"/>
          <w:szCs w:val="21"/>
        </w:rPr>
      </w:pPr>
    </w:p>
    <w:p w14:paraId="67418C06">
      <w:pPr>
        <w:spacing w:line="360" w:lineRule="auto"/>
        <w:rPr>
          <w:rFonts w:ascii="宋体" w:hAnsi="宋体" w:cs="宋体"/>
          <w:b/>
          <w:spacing w:val="20"/>
          <w:szCs w:val="21"/>
        </w:rPr>
      </w:pPr>
      <w:r>
        <w:rPr>
          <w:rFonts w:hint="eastAsia" w:ascii="宋体" w:hAnsi="宋体" w:cs="宋体"/>
          <w:b/>
          <w:spacing w:val="20"/>
          <w:szCs w:val="21"/>
        </w:rPr>
        <w:t>注：</w:t>
      </w:r>
    </w:p>
    <w:p w14:paraId="7DB825D2">
      <w:pPr>
        <w:snapToGrid w:val="0"/>
        <w:spacing w:line="360" w:lineRule="auto"/>
        <w:ind w:firstLine="422" w:firstLineChars="200"/>
        <w:jc w:val="left"/>
        <w:rPr>
          <w:rFonts w:ascii="宋体" w:hAnsi="宋体" w:cs="宋体"/>
          <w:b/>
          <w:szCs w:val="21"/>
        </w:rPr>
      </w:pPr>
      <w:r>
        <w:rPr>
          <w:rFonts w:hint="eastAsia" w:ascii="宋体" w:hAnsi="宋体" w:cs="宋体"/>
          <w:b/>
          <w:szCs w:val="21"/>
        </w:rPr>
        <w:t>1.中标、成交供应商为残疾人福利性单位的，《残疾人福利性单位声明函》随中标、成交结果同时公告，接受社会监督。</w:t>
      </w:r>
    </w:p>
    <w:p w14:paraId="549082D2">
      <w:pPr>
        <w:snapToGrid w:val="0"/>
        <w:spacing w:line="360" w:lineRule="auto"/>
        <w:ind w:firstLine="422" w:firstLineChars="200"/>
        <w:rPr>
          <w:rFonts w:ascii="宋体" w:hAnsi="宋体" w:cs="宋体"/>
          <w:b/>
          <w:szCs w:val="21"/>
        </w:rPr>
      </w:pPr>
      <w:r>
        <w:rPr>
          <w:rFonts w:hint="eastAsia" w:ascii="宋体" w:hAnsi="宋体" w:cs="宋体"/>
          <w:b/>
          <w:szCs w:val="21"/>
        </w:rPr>
        <w:t>2.供应商提供的《残疾人福利性单位声明函》与事实不符的，依照《中华人民共和国政府采购法》第七十七条第一款的规定追究法律责任。</w:t>
      </w:r>
    </w:p>
    <w:p w14:paraId="21D1BC76">
      <w:pPr>
        <w:snapToGrid w:val="0"/>
        <w:spacing w:line="360" w:lineRule="auto"/>
        <w:ind w:firstLine="422" w:firstLineChars="200"/>
        <w:rPr>
          <w:rFonts w:ascii="宋体" w:hAnsi="宋体" w:cs="宋体"/>
          <w:b/>
          <w:szCs w:val="21"/>
        </w:rPr>
      </w:pPr>
      <w:r>
        <w:rPr>
          <w:rFonts w:hint="eastAsia" w:ascii="宋体" w:hAnsi="宋体" w:cs="宋体"/>
          <w:b/>
          <w:szCs w:val="21"/>
        </w:rPr>
        <w:t>3.符合财政部司法部关于政府采购支持监狱企业发展有关问题的通知（财库〔2014〕68号）的监狱企业、符合财政部民政部中国残疾人联合会关于促进残疾人就业政府采购政策的通知（财库〔2017〕141号）的残疾人福利性单位，在政府采购活动中，视同小型、微型企业，享受本办法规定的中小企业扶持政策。监狱企业、残疾人福利性单位属于小型、微型企业的，不重复享受政策。</w:t>
      </w:r>
    </w:p>
    <w:p w14:paraId="59E602D6">
      <w:pPr>
        <w:spacing w:line="360" w:lineRule="auto"/>
        <w:outlineLvl w:val="2"/>
        <w:rPr>
          <w:rFonts w:ascii="宋体" w:hAnsi="宋体" w:cs="宋体"/>
          <w:szCs w:val="21"/>
        </w:rPr>
      </w:pPr>
      <w:r>
        <w:rPr>
          <w:rFonts w:hint="eastAsia" w:ascii="宋体" w:hAnsi="宋体" w:cs="宋体"/>
          <w:b/>
          <w:spacing w:val="20"/>
          <w:szCs w:val="21"/>
        </w:rPr>
        <w:br w:type="page"/>
      </w:r>
      <w:r>
        <w:rPr>
          <w:rFonts w:hint="eastAsia" w:ascii="宋体" w:hAnsi="宋体" w:cs="宋体"/>
          <w:b/>
          <w:spacing w:val="20"/>
          <w:szCs w:val="21"/>
        </w:rPr>
        <w:t>格式五、投标函</w:t>
      </w:r>
    </w:p>
    <w:p w14:paraId="60592B22">
      <w:pPr>
        <w:spacing w:line="360" w:lineRule="auto"/>
        <w:jc w:val="left"/>
        <w:rPr>
          <w:rFonts w:hint="eastAsia" w:ascii="宋体" w:hAnsi="宋体" w:eastAsia="宋体" w:cs="宋体"/>
          <w:szCs w:val="21"/>
          <w:lang w:eastAsia="zh-CN"/>
        </w:rPr>
      </w:pPr>
      <w:r>
        <w:rPr>
          <w:rFonts w:hint="eastAsia" w:ascii="宋体" w:hAnsi="宋体" w:cs="宋体"/>
          <w:spacing w:val="-4"/>
          <w:szCs w:val="21"/>
        </w:rPr>
        <w:t>致：</w:t>
      </w:r>
      <w:r>
        <w:rPr>
          <w:rFonts w:hint="eastAsia" w:ascii="宋体" w:hAnsi="宋体" w:cs="宋体"/>
          <w:spacing w:val="-4"/>
          <w:szCs w:val="21"/>
          <w:lang w:eastAsia="zh-CN"/>
        </w:rPr>
        <w:t>舟山市公安局定海区分局</w:t>
      </w:r>
    </w:p>
    <w:p w14:paraId="39FEA0DE">
      <w:pPr>
        <w:spacing w:line="360" w:lineRule="auto"/>
        <w:ind w:firstLine="420" w:firstLineChars="200"/>
        <w:jc w:val="left"/>
        <w:rPr>
          <w:rFonts w:ascii="宋体" w:hAnsi="宋体" w:cs="宋体"/>
          <w:spacing w:val="-4"/>
          <w:szCs w:val="21"/>
        </w:rPr>
      </w:pPr>
      <w:r>
        <w:rPr>
          <w:rFonts w:hint="eastAsia" w:ascii="宋体" w:hAnsi="宋体" w:cs="宋体"/>
          <w:szCs w:val="21"/>
        </w:rPr>
        <w:t>中金招标有限责任公司</w:t>
      </w:r>
    </w:p>
    <w:p w14:paraId="79B83FDC">
      <w:pPr>
        <w:spacing w:line="360" w:lineRule="auto"/>
        <w:ind w:firstLine="420" w:firstLineChars="200"/>
        <w:rPr>
          <w:rFonts w:ascii="宋体" w:hAnsi="宋体" w:cs="宋体"/>
          <w:szCs w:val="21"/>
        </w:rPr>
      </w:pPr>
      <w:r>
        <w:rPr>
          <w:rFonts w:hint="eastAsia" w:ascii="宋体" w:hAnsi="宋体" w:cs="宋体"/>
          <w:szCs w:val="21"/>
        </w:rPr>
        <w:t>我方</w:t>
      </w:r>
      <w:r>
        <w:rPr>
          <w:rFonts w:hint="eastAsia" w:ascii="宋体" w:hAnsi="宋体" w:cs="宋体"/>
          <w:b/>
          <w:szCs w:val="21"/>
          <w:u w:val="single"/>
        </w:rPr>
        <w:t>（投标人名称）</w:t>
      </w:r>
      <w:r>
        <w:rPr>
          <w:rFonts w:hint="eastAsia" w:ascii="宋体" w:hAnsi="宋体" w:cs="宋体"/>
          <w:szCs w:val="21"/>
        </w:rPr>
        <w:t>已详细审查了</w:t>
      </w:r>
      <w:r>
        <w:rPr>
          <w:rFonts w:hint="eastAsia" w:ascii="宋体" w:hAnsi="宋体" w:cs="宋体"/>
          <w:b/>
          <w:szCs w:val="21"/>
          <w:u w:val="single"/>
        </w:rPr>
        <w:t xml:space="preserve">（项目编号）（项目名称）    </w:t>
      </w:r>
      <w:r>
        <w:rPr>
          <w:rFonts w:hint="eastAsia" w:ascii="宋体" w:hAnsi="宋体" w:cs="宋体"/>
          <w:szCs w:val="21"/>
        </w:rPr>
        <w:t>的招标文件及其相关补充文件</w:t>
      </w:r>
      <w:r>
        <w:rPr>
          <w:rFonts w:hint="eastAsia" w:ascii="宋体" w:hAnsi="宋体" w:cs="宋体"/>
          <w:b/>
          <w:szCs w:val="21"/>
        </w:rPr>
        <w:t>（若有）</w:t>
      </w:r>
      <w:r>
        <w:rPr>
          <w:rFonts w:hint="eastAsia" w:ascii="宋体" w:hAnsi="宋体" w:cs="宋体"/>
          <w:szCs w:val="21"/>
        </w:rPr>
        <w:t>，并正式授权我公司的</w:t>
      </w:r>
      <w:r>
        <w:rPr>
          <w:rFonts w:hint="eastAsia" w:ascii="宋体" w:hAnsi="宋体" w:cs="宋体"/>
          <w:b/>
          <w:szCs w:val="21"/>
          <w:u w:val="single"/>
        </w:rPr>
        <w:t>（被授权人姓名）</w:t>
      </w:r>
      <w:r>
        <w:rPr>
          <w:rFonts w:hint="eastAsia" w:ascii="宋体" w:hAnsi="宋体" w:cs="宋体"/>
          <w:szCs w:val="21"/>
        </w:rPr>
        <w:t>以本公司名义，全权代表我方自愿参加上述采购项目的投标，现就有关事项向采购代理机构郑重承诺如下：</w:t>
      </w:r>
    </w:p>
    <w:p w14:paraId="2222761B">
      <w:pPr>
        <w:spacing w:line="360" w:lineRule="auto"/>
        <w:ind w:right="-91" w:firstLine="420" w:firstLineChars="200"/>
        <w:rPr>
          <w:rFonts w:ascii="宋体" w:hAnsi="宋体" w:cs="宋体"/>
          <w:szCs w:val="21"/>
        </w:rPr>
      </w:pPr>
      <w:r>
        <w:rPr>
          <w:rFonts w:hint="eastAsia" w:ascii="宋体" w:hAnsi="宋体" w:cs="宋体"/>
          <w:szCs w:val="21"/>
        </w:rPr>
        <w:t>1、我方已详细审查了招标文件的全部内容及其相关补充文件</w:t>
      </w:r>
      <w:r>
        <w:rPr>
          <w:rFonts w:hint="eastAsia" w:ascii="宋体" w:hAnsi="宋体" w:cs="宋体"/>
          <w:b/>
          <w:szCs w:val="21"/>
        </w:rPr>
        <w:t>（若有）</w:t>
      </w:r>
      <w:r>
        <w:rPr>
          <w:rFonts w:hint="eastAsia" w:ascii="宋体" w:hAnsi="宋体" w:cs="宋体"/>
          <w:szCs w:val="21"/>
        </w:rPr>
        <w:t>，并完全清晰理解全部内容及相关的补充文件</w:t>
      </w:r>
      <w:r>
        <w:rPr>
          <w:rFonts w:hint="eastAsia" w:ascii="宋体" w:hAnsi="宋体" w:cs="宋体"/>
          <w:b/>
          <w:szCs w:val="21"/>
        </w:rPr>
        <w:t>（若有）</w:t>
      </w:r>
      <w:r>
        <w:rPr>
          <w:rFonts w:hint="eastAsia" w:ascii="宋体" w:hAnsi="宋体" w:cs="宋体"/>
          <w:szCs w:val="21"/>
        </w:rPr>
        <w:t>，不存在任何误解之处，同意放弃提出异议和质疑的权利。</w:t>
      </w:r>
    </w:p>
    <w:p w14:paraId="68E9ED08">
      <w:pPr>
        <w:spacing w:line="360" w:lineRule="auto"/>
        <w:ind w:right="-89" w:firstLine="404" w:firstLineChars="200"/>
        <w:jc w:val="left"/>
        <w:rPr>
          <w:rFonts w:ascii="宋体" w:hAnsi="宋体" w:cs="宋体"/>
          <w:spacing w:val="-4"/>
          <w:szCs w:val="21"/>
        </w:rPr>
      </w:pPr>
      <w:r>
        <w:rPr>
          <w:rFonts w:hint="eastAsia" w:ascii="宋体" w:hAnsi="宋体" w:cs="宋体"/>
          <w:spacing w:val="-4"/>
          <w:szCs w:val="21"/>
        </w:rPr>
        <w:t>2、我方遵守《中华人民共和国政府采购法》及相关法律法规的规定。同意招标文件中所提到的无效标条款，并服从有关开标现场的会议纪律。否则，同意被废除投标资格。</w:t>
      </w:r>
    </w:p>
    <w:p w14:paraId="6DB43771">
      <w:pPr>
        <w:spacing w:line="360" w:lineRule="auto"/>
        <w:ind w:firstLine="404" w:firstLineChars="200"/>
        <w:rPr>
          <w:rFonts w:ascii="宋体" w:hAnsi="宋体" w:cs="宋体"/>
          <w:spacing w:val="-4"/>
          <w:szCs w:val="21"/>
        </w:rPr>
      </w:pPr>
      <w:r>
        <w:rPr>
          <w:rFonts w:hint="eastAsia" w:ascii="宋体" w:hAnsi="宋体" w:cs="宋体"/>
          <w:spacing w:val="-4"/>
          <w:szCs w:val="21"/>
        </w:rPr>
        <w:t>3、我方承诺所提供的一切投标文件经已认真严格审核，内容均为全面真实、准确有效且毫无保留，绝无任何遗漏、虚假、伪造和夸大的成分，若出现违背诚实信用和无如实告知之处，同意被废除投标资格和相关的处罚。</w:t>
      </w:r>
    </w:p>
    <w:p w14:paraId="5A363E93">
      <w:pPr>
        <w:spacing w:line="360" w:lineRule="auto"/>
        <w:ind w:firstLine="404" w:firstLineChars="200"/>
        <w:rPr>
          <w:rFonts w:ascii="宋体" w:hAnsi="宋体" w:cs="宋体"/>
          <w:spacing w:val="-4"/>
          <w:szCs w:val="21"/>
        </w:rPr>
      </w:pPr>
      <w:r>
        <w:rPr>
          <w:rFonts w:hint="eastAsia" w:ascii="宋体" w:hAnsi="宋体" w:cs="宋体"/>
          <w:spacing w:val="-4"/>
          <w:szCs w:val="21"/>
        </w:rPr>
        <w:t>4、我方所提供的一次性投标报价具有充分的合理性和准确性，保证不存在低于成本的恶意报价行为，同时清楚理解到报价最低并非意味着必定获得合同授予资格。</w:t>
      </w:r>
    </w:p>
    <w:p w14:paraId="6D3D0C1E">
      <w:pPr>
        <w:spacing w:line="360" w:lineRule="auto"/>
        <w:ind w:firstLine="404" w:firstLineChars="200"/>
        <w:rPr>
          <w:rFonts w:ascii="宋体" w:hAnsi="宋体" w:cs="宋体"/>
          <w:spacing w:val="-4"/>
          <w:szCs w:val="21"/>
        </w:rPr>
      </w:pPr>
      <w:r>
        <w:rPr>
          <w:rFonts w:hint="eastAsia" w:ascii="宋体" w:hAnsi="宋体" w:cs="宋体"/>
          <w:spacing w:val="-4"/>
          <w:szCs w:val="21"/>
        </w:rPr>
        <w:t>5、投标有效期为自开标之日起</w:t>
      </w:r>
      <w:r>
        <w:rPr>
          <w:rFonts w:hint="eastAsia" w:ascii="宋体" w:hAnsi="宋体" w:cs="宋体"/>
          <w:spacing w:val="-4"/>
          <w:szCs w:val="21"/>
          <w:u w:val="single"/>
        </w:rPr>
        <w:t>90</w:t>
      </w:r>
      <w:r>
        <w:rPr>
          <w:rFonts w:hint="eastAsia" w:ascii="宋体" w:hAnsi="宋体" w:cs="宋体"/>
          <w:spacing w:val="-4"/>
          <w:szCs w:val="21"/>
        </w:rPr>
        <w:t>天内，如在投标有效期内撤回投标，我方同意被废除投标资格。</w:t>
      </w:r>
    </w:p>
    <w:p w14:paraId="4044A43C">
      <w:pPr>
        <w:spacing w:line="360" w:lineRule="auto"/>
        <w:ind w:firstLine="404" w:firstLineChars="200"/>
        <w:jc w:val="left"/>
        <w:rPr>
          <w:rFonts w:hint="eastAsia" w:ascii="宋体" w:hAnsi="宋体" w:cs="宋体"/>
          <w:spacing w:val="-4"/>
          <w:szCs w:val="21"/>
        </w:rPr>
      </w:pPr>
      <w:r>
        <w:rPr>
          <w:rFonts w:hint="eastAsia" w:ascii="宋体" w:hAnsi="宋体" w:cs="宋体"/>
          <w:spacing w:val="-4"/>
          <w:szCs w:val="21"/>
          <w:lang w:val="en-US" w:eastAsia="zh-CN"/>
        </w:rPr>
        <w:t>6</w:t>
      </w:r>
      <w:r>
        <w:rPr>
          <w:rFonts w:hint="eastAsia" w:ascii="宋体" w:hAnsi="宋体" w:cs="宋体"/>
          <w:spacing w:val="-4"/>
          <w:szCs w:val="21"/>
        </w:rPr>
        <w:t>、我方承诺具有良好的商业信誉和健全的财务会计制度；具备履行合同所必需的设备和专业技术能力；具有依法缴纳税收和社会保障资金的良好记录；参加本次政府采购活动前3年内在经营活动中没有重大违法记录。</w:t>
      </w:r>
    </w:p>
    <w:p w14:paraId="3E09FDD3">
      <w:pPr>
        <w:spacing w:line="360" w:lineRule="auto"/>
        <w:ind w:firstLine="404" w:firstLineChars="200"/>
        <w:jc w:val="left"/>
        <w:rPr>
          <w:rFonts w:hint="eastAsia" w:ascii="宋体" w:hAnsi="宋体" w:cs="宋体"/>
          <w:szCs w:val="21"/>
        </w:rPr>
      </w:pPr>
      <w:r>
        <w:rPr>
          <w:rFonts w:hint="eastAsia" w:ascii="宋体" w:hAnsi="宋体" w:cs="宋体"/>
          <w:spacing w:val="-4"/>
          <w:szCs w:val="21"/>
          <w:lang w:val="en-US" w:eastAsia="zh-CN"/>
        </w:rPr>
        <w:t>7、</w:t>
      </w:r>
      <w:r>
        <w:rPr>
          <w:rFonts w:hint="eastAsia" w:ascii="宋体" w:hAnsi="宋体" w:cs="宋体"/>
          <w:spacing w:val="-4"/>
          <w:szCs w:val="21"/>
          <w:highlight w:val="none"/>
          <w:lang w:val="en-US" w:eastAsia="zh-CN"/>
        </w:rPr>
        <w:t>我方承诺在收到《中标(成交)通知书》时按本项目招标文件的规定，向贵公司一次性支付全额招标代理服务费，若中标、成交后放弃中标、成交资格导致重新采购的，承担支付代理费和专家评审费等费用在内的赔偿责任。</w:t>
      </w:r>
    </w:p>
    <w:p w14:paraId="5225EEA6">
      <w:pPr>
        <w:spacing w:line="360" w:lineRule="auto"/>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8、我方承诺按采购人的要求将所需货物免费送到采购人指定的地点，按双方约定的交付期限交付。提供不低于</w:t>
      </w:r>
      <w:r>
        <w:rPr>
          <w:rFonts w:hint="eastAsia" w:ascii="宋体" w:hAnsi="宋体" w:cs="宋体"/>
          <w:szCs w:val="21"/>
          <w:u w:val="single"/>
          <w:lang w:val="en-US" w:eastAsia="zh-CN"/>
        </w:rPr>
        <w:t xml:space="preserve">   </w:t>
      </w:r>
      <w:r>
        <w:rPr>
          <w:rFonts w:hint="eastAsia" w:ascii="宋体" w:hAnsi="宋体" w:cs="宋体"/>
          <w:szCs w:val="21"/>
          <w:lang w:val="en-US" w:eastAsia="zh-CN"/>
        </w:rPr>
        <w:t>年的整体质保期（项目终验通过之日起计算）。质保期内，对因产品质量问题或安装工艺缺陷导致的损坏或故障，免费维修或更换。定期回访检查展示设施的运行状况，及时处理潜在问题，确保整个展示空间始终保持良好的运行状态和展示效果。</w:t>
      </w:r>
    </w:p>
    <w:p w14:paraId="044EE2A4">
      <w:pPr>
        <w:spacing w:line="360" w:lineRule="auto"/>
        <w:ind w:firstLine="420" w:firstLineChars="200"/>
        <w:jc w:val="left"/>
        <w:rPr>
          <w:rFonts w:hint="default" w:ascii="宋体" w:hAnsi="宋体" w:eastAsia="宋体" w:cs="宋体"/>
          <w:szCs w:val="21"/>
          <w:lang w:val="en-US" w:eastAsia="zh-CN"/>
        </w:rPr>
      </w:pPr>
      <w:r>
        <w:rPr>
          <w:rFonts w:hint="eastAsia" w:ascii="宋体" w:hAnsi="宋体" w:cs="宋体"/>
          <w:szCs w:val="21"/>
          <w:lang w:val="en-US" w:eastAsia="zh-CN"/>
        </w:rPr>
        <w:t>下无正文，为签字盖章页！</w:t>
      </w:r>
    </w:p>
    <w:p w14:paraId="6E0B964E">
      <w:pPr>
        <w:keepNext w:val="0"/>
        <w:keepLines w:val="0"/>
        <w:pageBreakBefore w:val="0"/>
        <w:widowControl w:val="0"/>
        <w:kinsoku/>
        <w:wordWrap/>
        <w:overflowPunct/>
        <w:topLinePunct w:val="0"/>
        <w:autoSpaceDE/>
        <w:autoSpaceDN/>
        <w:bidi w:val="0"/>
        <w:adjustRightInd/>
        <w:snapToGrid/>
        <w:spacing w:line="480" w:lineRule="auto"/>
        <w:ind w:firstLine="0" w:firstLineChars="0"/>
        <w:jc w:val="left"/>
        <w:textAlignment w:val="auto"/>
        <w:rPr>
          <w:rFonts w:hint="eastAsia" w:ascii="宋体" w:hAnsi="宋体" w:cs="宋体"/>
          <w:szCs w:val="21"/>
        </w:rPr>
      </w:pPr>
    </w:p>
    <w:p w14:paraId="26F3EB17">
      <w:pPr>
        <w:keepNext w:val="0"/>
        <w:keepLines w:val="0"/>
        <w:pageBreakBefore w:val="0"/>
        <w:widowControl w:val="0"/>
        <w:kinsoku/>
        <w:wordWrap/>
        <w:overflowPunct/>
        <w:topLinePunct w:val="0"/>
        <w:autoSpaceDE/>
        <w:autoSpaceDN/>
        <w:bidi w:val="0"/>
        <w:adjustRightInd/>
        <w:snapToGrid/>
        <w:spacing w:line="480" w:lineRule="auto"/>
        <w:ind w:firstLine="0" w:firstLineChars="0"/>
        <w:jc w:val="left"/>
        <w:textAlignment w:val="auto"/>
        <w:rPr>
          <w:rFonts w:hint="eastAsia" w:ascii="宋体" w:hAnsi="宋体" w:cs="宋体"/>
          <w:szCs w:val="21"/>
        </w:rPr>
      </w:pPr>
    </w:p>
    <w:p w14:paraId="2478D35C">
      <w:pPr>
        <w:keepNext w:val="0"/>
        <w:keepLines w:val="0"/>
        <w:pageBreakBefore w:val="0"/>
        <w:widowControl w:val="0"/>
        <w:kinsoku/>
        <w:wordWrap/>
        <w:overflowPunct/>
        <w:topLinePunct w:val="0"/>
        <w:autoSpaceDE/>
        <w:autoSpaceDN/>
        <w:bidi w:val="0"/>
        <w:adjustRightInd/>
        <w:snapToGrid/>
        <w:spacing w:line="480" w:lineRule="auto"/>
        <w:ind w:firstLine="0" w:firstLineChars="0"/>
        <w:jc w:val="left"/>
        <w:textAlignment w:val="auto"/>
        <w:rPr>
          <w:rFonts w:hint="eastAsia"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r>
        <w:rPr>
          <w:rFonts w:hint="eastAsia" w:ascii="宋体" w:hAnsi="宋体" w:cs="宋体"/>
          <w:szCs w:val="21"/>
        </w:rPr>
        <w:t xml:space="preserve">（加盖公章） </w:t>
      </w:r>
    </w:p>
    <w:p w14:paraId="3AD31497">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法定代表人：</w:t>
      </w:r>
      <w:r>
        <w:rPr>
          <w:rFonts w:hint="eastAsia" w:ascii="宋体" w:hAnsi="宋体" w:cs="宋体"/>
          <w:b/>
          <w:szCs w:val="21"/>
          <w:u w:val="single"/>
        </w:rPr>
        <w:t xml:space="preserve">                  </w:t>
      </w:r>
      <w:r>
        <w:rPr>
          <w:rFonts w:hint="eastAsia" w:ascii="宋体" w:hAnsi="宋体" w:cs="宋体"/>
          <w:szCs w:val="21"/>
        </w:rPr>
        <w:t>（签字或盖章）</w:t>
      </w:r>
    </w:p>
    <w:p w14:paraId="1B4E6C12">
      <w:pPr>
        <w:keepNext w:val="0"/>
        <w:keepLines w:val="0"/>
        <w:pageBreakBefore w:val="0"/>
        <w:widowControl w:val="0"/>
        <w:kinsoku/>
        <w:wordWrap/>
        <w:overflowPunct/>
        <w:topLinePunct w:val="0"/>
        <w:autoSpaceDE/>
        <w:autoSpaceDN/>
        <w:bidi w:val="0"/>
        <w:adjustRightInd/>
        <w:snapToGrid/>
        <w:spacing w:line="480" w:lineRule="auto"/>
        <w:ind w:firstLine="0" w:firstLineChars="0"/>
        <w:jc w:val="left"/>
        <w:textAlignment w:val="auto"/>
        <w:rPr>
          <w:rFonts w:hint="eastAsia" w:ascii="宋体" w:hAnsi="宋体" w:cs="宋体"/>
          <w:szCs w:val="21"/>
        </w:rPr>
      </w:pPr>
      <w:r>
        <w:rPr>
          <w:rFonts w:hint="eastAsia" w:ascii="宋体" w:hAnsi="宋体" w:cs="宋体"/>
          <w:szCs w:val="21"/>
        </w:rPr>
        <w:t>投标人代表：</w:t>
      </w:r>
      <w:r>
        <w:rPr>
          <w:rFonts w:hint="eastAsia" w:ascii="宋体" w:hAnsi="宋体" w:cs="宋体"/>
          <w:szCs w:val="21"/>
          <w:u w:val="single"/>
        </w:rPr>
        <w:t xml:space="preserve">                  </w:t>
      </w:r>
      <w:r>
        <w:rPr>
          <w:rFonts w:hint="eastAsia" w:ascii="宋体" w:hAnsi="宋体" w:cs="宋体"/>
          <w:szCs w:val="21"/>
        </w:rPr>
        <w:t xml:space="preserve">（签字） </w:t>
      </w:r>
    </w:p>
    <w:p w14:paraId="56DB89DC">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u w:val="single"/>
        </w:rPr>
      </w:pPr>
      <w:r>
        <w:rPr>
          <w:rFonts w:hint="eastAsia" w:ascii="宋体" w:hAnsi="宋体" w:cs="宋体"/>
          <w:szCs w:val="21"/>
        </w:rPr>
        <w:t>投标人地址：</w:t>
      </w:r>
      <w:r>
        <w:rPr>
          <w:rFonts w:hint="eastAsia" w:ascii="宋体" w:hAnsi="宋体" w:cs="宋体"/>
          <w:szCs w:val="21"/>
          <w:u w:val="single"/>
        </w:rPr>
        <w:t xml:space="preserve">                  </w:t>
      </w:r>
    </w:p>
    <w:p w14:paraId="5E78B5F3">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 xml:space="preserve">日 </w:t>
      </w:r>
    </w:p>
    <w:p w14:paraId="46204260">
      <w:pPr>
        <w:spacing w:line="360" w:lineRule="auto"/>
        <w:jc w:val="left"/>
        <w:outlineLvl w:val="2"/>
        <w:rPr>
          <w:rFonts w:ascii="宋体" w:hAnsi="宋体" w:cs="宋体"/>
          <w:b/>
          <w:szCs w:val="21"/>
        </w:rPr>
      </w:pPr>
      <w:r>
        <w:rPr>
          <w:rFonts w:hint="eastAsia" w:ascii="宋体" w:hAnsi="宋体" w:cs="宋体"/>
          <w:b/>
          <w:spacing w:val="20"/>
          <w:szCs w:val="21"/>
        </w:rPr>
        <w:br w:type="page"/>
      </w:r>
      <w:r>
        <w:rPr>
          <w:rFonts w:hint="eastAsia" w:ascii="宋体" w:hAnsi="宋体" w:cs="宋体"/>
          <w:b/>
          <w:spacing w:val="20"/>
          <w:szCs w:val="21"/>
        </w:rPr>
        <w:t>格式六、法定代表人授权函</w:t>
      </w:r>
    </w:p>
    <w:p w14:paraId="0A797DC9">
      <w:pPr>
        <w:spacing w:line="360" w:lineRule="auto"/>
        <w:jc w:val="left"/>
        <w:rPr>
          <w:rFonts w:hint="eastAsia" w:ascii="宋体" w:hAnsi="宋体" w:eastAsia="宋体" w:cs="宋体"/>
          <w:spacing w:val="-4"/>
          <w:szCs w:val="21"/>
          <w:lang w:eastAsia="zh-CN"/>
        </w:rPr>
      </w:pPr>
      <w:r>
        <w:rPr>
          <w:rFonts w:hint="eastAsia" w:ascii="宋体" w:hAnsi="宋体" w:cs="宋体"/>
          <w:spacing w:val="-4"/>
          <w:szCs w:val="21"/>
        </w:rPr>
        <w:t>致：</w:t>
      </w:r>
      <w:r>
        <w:rPr>
          <w:rFonts w:hint="eastAsia" w:ascii="宋体" w:hAnsi="宋体" w:cs="宋体"/>
          <w:spacing w:val="-4"/>
          <w:szCs w:val="21"/>
          <w:lang w:eastAsia="zh-CN"/>
        </w:rPr>
        <w:t>舟山市公安局定海区分局</w:t>
      </w:r>
    </w:p>
    <w:p w14:paraId="5DF3BDD2">
      <w:pPr>
        <w:spacing w:line="360" w:lineRule="auto"/>
        <w:ind w:right="-89" w:firstLine="420" w:firstLineChars="200"/>
        <w:jc w:val="left"/>
        <w:rPr>
          <w:rFonts w:ascii="宋体" w:hAnsi="宋体" w:cs="宋体"/>
          <w:szCs w:val="21"/>
        </w:rPr>
      </w:pPr>
      <w:r>
        <w:rPr>
          <w:rFonts w:hint="eastAsia" w:ascii="宋体" w:hAnsi="宋体" w:cs="宋体"/>
          <w:szCs w:val="21"/>
        </w:rPr>
        <w:t>中金招标有限责任公司</w:t>
      </w:r>
    </w:p>
    <w:p w14:paraId="1807C69A">
      <w:pPr>
        <w:spacing w:line="360" w:lineRule="auto"/>
        <w:ind w:right="-89" w:firstLine="404" w:firstLineChars="200"/>
        <w:jc w:val="left"/>
        <w:rPr>
          <w:rFonts w:ascii="宋体" w:hAnsi="宋体" w:cs="宋体"/>
          <w:spacing w:val="-4"/>
          <w:szCs w:val="21"/>
        </w:rPr>
      </w:pPr>
      <w:r>
        <w:rPr>
          <w:rFonts w:hint="eastAsia" w:ascii="宋体" w:hAnsi="宋体" w:cs="宋体"/>
          <w:spacing w:val="-4"/>
          <w:szCs w:val="21"/>
        </w:rPr>
        <w:t>我</w:t>
      </w:r>
      <w:r>
        <w:rPr>
          <w:rFonts w:hint="eastAsia" w:ascii="宋体" w:hAnsi="宋体" w:cs="宋体"/>
          <w:b/>
          <w:bCs/>
          <w:spacing w:val="-4"/>
          <w:szCs w:val="21"/>
          <w:u w:val="single"/>
        </w:rPr>
        <w:t>（姓名）</w:t>
      </w:r>
      <w:r>
        <w:rPr>
          <w:rFonts w:hint="eastAsia" w:ascii="宋体" w:hAnsi="宋体" w:cs="宋体"/>
          <w:spacing w:val="-4"/>
          <w:szCs w:val="21"/>
        </w:rPr>
        <w:t>系</w:t>
      </w:r>
      <w:r>
        <w:rPr>
          <w:rFonts w:hint="eastAsia" w:ascii="宋体" w:hAnsi="宋体" w:cs="宋体"/>
          <w:b/>
          <w:bCs/>
          <w:spacing w:val="-4"/>
          <w:szCs w:val="21"/>
          <w:u w:val="single"/>
        </w:rPr>
        <w:t>（投标人名称）</w:t>
      </w:r>
      <w:r>
        <w:rPr>
          <w:rFonts w:hint="eastAsia" w:ascii="宋体" w:hAnsi="宋体" w:cs="宋体"/>
          <w:spacing w:val="-4"/>
          <w:szCs w:val="21"/>
        </w:rPr>
        <w:t>的法定代表人，现授权委托本单位在职职工</w:t>
      </w:r>
      <w:r>
        <w:rPr>
          <w:rFonts w:hint="eastAsia" w:ascii="宋体" w:hAnsi="宋体" w:cs="宋体"/>
          <w:b/>
          <w:bCs/>
          <w:spacing w:val="-4"/>
          <w:szCs w:val="21"/>
          <w:u w:val="single"/>
        </w:rPr>
        <w:t>（姓名）(身份证号码：)</w:t>
      </w:r>
      <w:r>
        <w:rPr>
          <w:rFonts w:hint="eastAsia" w:ascii="宋体" w:hAnsi="宋体" w:cs="宋体"/>
          <w:spacing w:val="-4"/>
          <w:szCs w:val="21"/>
        </w:rPr>
        <w:t>以我方的名义参加</w:t>
      </w:r>
      <w:r>
        <w:rPr>
          <w:rFonts w:hint="eastAsia" w:ascii="宋体" w:hAnsi="宋体" w:cs="宋体"/>
          <w:b/>
          <w:bCs/>
          <w:spacing w:val="-4"/>
          <w:szCs w:val="21"/>
          <w:u w:val="single"/>
        </w:rPr>
        <w:t>（项目名称）（项目编号）</w:t>
      </w:r>
      <w:r>
        <w:rPr>
          <w:rFonts w:hint="eastAsia" w:ascii="宋体" w:hAnsi="宋体" w:cs="宋体"/>
          <w:spacing w:val="-4"/>
          <w:szCs w:val="21"/>
        </w:rPr>
        <w:t>的投标活动，并代表我方全权办理针对上述项目的投标、开标、评标、签约等具体事务和签署相关文件。</w:t>
      </w:r>
    </w:p>
    <w:p w14:paraId="2F0F2EDD">
      <w:pPr>
        <w:spacing w:line="360" w:lineRule="auto"/>
        <w:ind w:right="-89" w:firstLine="404" w:firstLineChars="200"/>
        <w:jc w:val="left"/>
        <w:rPr>
          <w:rFonts w:ascii="宋体" w:hAnsi="宋体" w:cs="宋体"/>
          <w:spacing w:val="-4"/>
          <w:szCs w:val="21"/>
        </w:rPr>
      </w:pPr>
      <w:r>
        <w:rPr>
          <w:rFonts w:hint="eastAsia" w:ascii="宋体" w:hAnsi="宋体" w:cs="宋体"/>
          <w:spacing w:val="-4"/>
          <w:szCs w:val="21"/>
        </w:rPr>
        <w:t>我方对被授权人的签名负全部责任。</w:t>
      </w:r>
    </w:p>
    <w:p w14:paraId="21A03F6F">
      <w:pPr>
        <w:spacing w:line="360" w:lineRule="auto"/>
        <w:ind w:right="-89" w:firstLine="404" w:firstLineChars="200"/>
        <w:jc w:val="left"/>
        <w:rPr>
          <w:rFonts w:ascii="宋体" w:hAnsi="宋体" w:cs="宋体"/>
          <w:spacing w:val="-4"/>
          <w:szCs w:val="21"/>
        </w:rPr>
      </w:pPr>
      <w:r>
        <w:rPr>
          <w:rFonts w:hint="eastAsia" w:ascii="宋体" w:hAnsi="宋体" w:cs="宋体"/>
          <w:spacing w:val="-4"/>
          <w:szCs w:val="21"/>
        </w:rPr>
        <w:t>在撤销授权的书面通知以前，本授权函一直有效。被授权人在授权函有效期内签署的所有文件不因授权的撤销而失效。</w:t>
      </w:r>
    </w:p>
    <w:p w14:paraId="0BA707EA">
      <w:pPr>
        <w:spacing w:line="360" w:lineRule="auto"/>
        <w:ind w:right="-89" w:firstLine="404" w:firstLineChars="200"/>
        <w:jc w:val="left"/>
        <w:rPr>
          <w:rFonts w:ascii="宋体" w:hAnsi="宋体" w:cs="宋体"/>
          <w:spacing w:val="-4"/>
          <w:szCs w:val="21"/>
        </w:rPr>
      </w:pPr>
      <w:r>
        <w:rPr>
          <w:rFonts w:hint="eastAsia" w:ascii="宋体" w:hAnsi="宋体" w:cs="宋体"/>
          <w:spacing w:val="-4"/>
          <w:szCs w:val="21"/>
        </w:rPr>
        <w:t>被授权人无转委托权，特此委托。</w:t>
      </w:r>
    </w:p>
    <w:p w14:paraId="28E958B5">
      <w:pPr>
        <w:spacing w:line="360" w:lineRule="auto"/>
        <w:ind w:right="-89" w:firstLine="404" w:firstLineChars="200"/>
        <w:jc w:val="left"/>
        <w:rPr>
          <w:rFonts w:ascii="宋体" w:hAnsi="宋体" w:cs="宋体"/>
          <w:spacing w:val="-4"/>
          <w:szCs w:val="21"/>
        </w:rPr>
      </w:pPr>
      <w:r>
        <w:rPr>
          <w:rFonts w:hint="eastAsia" w:ascii="宋体" w:hAnsi="宋体" w:cs="宋体"/>
          <w:spacing w:val="-4"/>
          <w:szCs w:val="21"/>
        </w:rPr>
        <w:t xml:space="preserve">被授权人（签字）：       </w:t>
      </w:r>
      <w:r>
        <w:rPr>
          <w:rFonts w:hint="eastAsia" w:ascii="宋体" w:hAnsi="宋体" w:cs="宋体"/>
          <w:spacing w:val="-4"/>
          <w:szCs w:val="21"/>
          <w:lang w:val="en-US" w:eastAsia="zh-CN"/>
        </w:rPr>
        <w:t xml:space="preserve">                                </w:t>
      </w:r>
      <w:r>
        <w:rPr>
          <w:rFonts w:hint="eastAsia" w:ascii="宋体" w:hAnsi="宋体" w:cs="宋体"/>
          <w:spacing w:val="-4"/>
          <w:szCs w:val="21"/>
        </w:rPr>
        <w:t xml:space="preserve">  法定代表人（签字或盖章）：</w:t>
      </w:r>
    </w:p>
    <w:p w14:paraId="4A1E96AE">
      <w:pPr>
        <w:spacing w:line="360" w:lineRule="auto"/>
        <w:ind w:right="-89" w:firstLine="404" w:firstLineChars="200"/>
        <w:jc w:val="left"/>
        <w:rPr>
          <w:rFonts w:ascii="宋体" w:hAnsi="宋体" w:cs="宋体"/>
          <w:spacing w:val="-4"/>
          <w:szCs w:val="21"/>
        </w:rPr>
      </w:pPr>
      <w:r>
        <w:rPr>
          <w:rFonts w:hint="eastAsia" w:ascii="宋体" w:hAnsi="宋体" w:cs="宋体"/>
          <w:spacing w:val="-4"/>
          <w:szCs w:val="21"/>
        </w:rPr>
        <w:t xml:space="preserve">被授权人联系电话：    </w:t>
      </w:r>
      <w:r>
        <w:rPr>
          <w:rFonts w:hint="eastAsia" w:ascii="宋体" w:hAnsi="宋体" w:cs="宋体"/>
          <w:spacing w:val="-4"/>
          <w:szCs w:val="21"/>
          <w:lang w:val="en-US" w:eastAsia="zh-CN"/>
        </w:rPr>
        <w:t xml:space="preserve">                                   </w:t>
      </w:r>
      <w:r>
        <w:rPr>
          <w:rFonts w:hint="eastAsia" w:ascii="宋体" w:hAnsi="宋体" w:cs="宋体"/>
          <w:spacing w:val="-4"/>
          <w:szCs w:val="21"/>
        </w:rPr>
        <w:t xml:space="preserve">  法定代表人联系电话：</w:t>
      </w:r>
    </w:p>
    <w:p w14:paraId="5A50040F">
      <w:pPr>
        <w:spacing w:line="360" w:lineRule="auto"/>
        <w:ind w:right="-89" w:firstLine="4444" w:firstLineChars="2200"/>
        <w:jc w:val="left"/>
        <w:rPr>
          <w:rFonts w:ascii="宋体" w:hAnsi="宋体" w:cs="宋体"/>
          <w:spacing w:val="-4"/>
          <w:szCs w:val="21"/>
        </w:rPr>
      </w:pPr>
    </w:p>
    <w:p w14:paraId="2645A018">
      <w:pPr>
        <w:spacing w:line="360" w:lineRule="auto"/>
        <w:ind w:right="-89" w:firstLine="4444" w:firstLineChars="2200"/>
        <w:jc w:val="left"/>
        <w:rPr>
          <w:rFonts w:ascii="宋体" w:hAnsi="宋体" w:cs="宋体"/>
          <w:spacing w:val="-4"/>
          <w:szCs w:val="21"/>
        </w:rPr>
      </w:pPr>
    </w:p>
    <w:p w14:paraId="1AA61E96">
      <w:pPr>
        <w:spacing w:line="360" w:lineRule="auto"/>
        <w:ind w:right="-89" w:firstLine="4444" w:firstLineChars="2200"/>
        <w:jc w:val="center"/>
        <w:rPr>
          <w:rFonts w:ascii="宋体" w:hAnsi="宋体" w:cs="宋体"/>
          <w:spacing w:val="-4"/>
          <w:szCs w:val="21"/>
        </w:rPr>
      </w:pPr>
      <w:r>
        <w:rPr>
          <w:rFonts w:hint="eastAsia" w:ascii="宋体" w:hAnsi="宋体" w:cs="宋体"/>
          <w:spacing w:val="-4"/>
          <w:szCs w:val="21"/>
        </w:rPr>
        <w:t>投标人公章：</w:t>
      </w:r>
    </w:p>
    <w:p w14:paraId="0BF61DB0">
      <w:pPr>
        <w:spacing w:line="360" w:lineRule="auto"/>
        <w:jc w:val="right"/>
        <w:rPr>
          <w:rFonts w:ascii="宋体" w:hAnsi="宋体" w:cs="宋体"/>
          <w:spacing w:val="-4"/>
          <w:szCs w:val="21"/>
        </w:rPr>
      </w:pPr>
      <w:r>
        <w:rPr>
          <w:rFonts w:hint="eastAsia" w:ascii="宋体" w:hAnsi="宋体" w:cs="宋体"/>
          <w:spacing w:val="-4"/>
          <w:szCs w:val="21"/>
        </w:rPr>
        <w:t>年月日</w:t>
      </w:r>
    </w:p>
    <w:p w14:paraId="32CE2EBB">
      <w:pPr>
        <w:spacing w:line="360" w:lineRule="auto"/>
        <w:rPr>
          <w:rFonts w:ascii="宋体" w:hAnsi="宋体" w:cs="宋体"/>
          <w:spacing w:val="20"/>
          <w:szCs w:val="21"/>
        </w:rPr>
      </w:pPr>
    </w:p>
    <w:p w14:paraId="4EE6D5C0">
      <w:pPr>
        <w:snapToGrid w:val="0"/>
        <w:jc w:val="left"/>
        <w:outlineLvl w:val="2"/>
        <w:rPr>
          <w:rFonts w:hint="eastAsia" w:ascii="宋体" w:hAnsi="宋体" w:cs="宋体"/>
          <w:b/>
          <w:szCs w:val="21"/>
        </w:rPr>
      </w:pPr>
      <w:r>
        <w:rPr>
          <w:rFonts w:hint="eastAsia" w:ascii="宋体" w:hAnsi="宋体" w:cs="宋体"/>
          <w:b/>
          <w:szCs w:val="21"/>
        </w:rPr>
        <w:br w:type="page"/>
      </w:r>
      <w:r>
        <w:rPr>
          <w:rFonts w:hint="eastAsia" w:ascii="宋体" w:hAnsi="宋体" w:cs="宋体"/>
          <w:b/>
          <w:szCs w:val="21"/>
        </w:rPr>
        <w:t>格式</w:t>
      </w:r>
      <w:r>
        <w:rPr>
          <w:rFonts w:hint="eastAsia" w:ascii="宋体" w:hAnsi="宋体" w:cs="宋体"/>
          <w:b/>
          <w:szCs w:val="21"/>
          <w:lang w:val="en-US" w:eastAsia="zh-CN"/>
        </w:rPr>
        <w:t>七</w:t>
      </w:r>
      <w:r>
        <w:rPr>
          <w:rFonts w:hint="eastAsia" w:ascii="宋体" w:hAnsi="宋体" w:cs="宋体"/>
          <w:b/>
          <w:szCs w:val="21"/>
        </w:rPr>
        <w:t>、投标产品清单表</w:t>
      </w:r>
    </w:p>
    <w:p w14:paraId="64BE7E87">
      <w:pPr>
        <w:bidi w:val="0"/>
        <w:rPr>
          <w:rFonts w:hint="eastAsia"/>
        </w:rPr>
      </w:pP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2"/>
        <w:gridCol w:w="1789"/>
        <w:gridCol w:w="1489"/>
        <w:gridCol w:w="1719"/>
        <w:gridCol w:w="1719"/>
        <w:gridCol w:w="1738"/>
      </w:tblGrid>
      <w:tr w14:paraId="5D52D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58" w:type="pct"/>
            <w:tcBorders>
              <w:top w:val="single" w:color="auto" w:sz="4" w:space="0"/>
              <w:left w:val="single" w:color="auto" w:sz="4" w:space="0"/>
              <w:bottom w:val="single" w:color="auto" w:sz="4" w:space="0"/>
              <w:right w:val="single" w:color="auto" w:sz="4" w:space="0"/>
            </w:tcBorders>
            <w:noWrap w:val="0"/>
            <w:vAlign w:val="center"/>
          </w:tcPr>
          <w:p w14:paraId="2E071072">
            <w:pPr>
              <w:keepNext w:val="0"/>
              <w:keepLines w:val="0"/>
              <w:suppressLineNumbers w:val="0"/>
              <w:spacing w:before="0" w:beforeAutospacing="0" w:after="0" w:afterAutospacing="0" w:line="360" w:lineRule="auto"/>
              <w:ind w:left="0" w:right="0"/>
              <w:jc w:val="center"/>
              <w:rPr>
                <w:rFonts w:hint="default" w:ascii="宋体" w:hAnsi="宋体" w:cs="宋体"/>
                <w:spacing w:val="4"/>
                <w:sz w:val="21"/>
                <w:szCs w:val="21"/>
                <w:lang w:val="en-US" w:eastAsia="zh-CN"/>
              </w:rPr>
            </w:pPr>
            <w:r>
              <w:rPr>
                <w:rFonts w:hint="eastAsia" w:ascii="宋体" w:hAnsi="宋体" w:cs="宋体"/>
                <w:spacing w:val="4"/>
                <w:sz w:val="21"/>
                <w:szCs w:val="21"/>
                <w:lang w:val="en-US" w:eastAsia="zh-CN"/>
              </w:rPr>
              <w:t>序号</w:t>
            </w:r>
          </w:p>
        </w:tc>
        <w:tc>
          <w:tcPr>
            <w:tcW w:w="918" w:type="pct"/>
            <w:tcBorders>
              <w:top w:val="single" w:color="auto" w:sz="4" w:space="0"/>
              <w:left w:val="single" w:color="auto" w:sz="4" w:space="0"/>
              <w:bottom w:val="single" w:color="auto" w:sz="4" w:space="0"/>
              <w:right w:val="single" w:color="auto" w:sz="4" w:space="0"/>
            </w:tcBorders>
            <w:noWrap w:val="0"/>
            <w:vAlign w:val="center"/>
          </w:tcPr>
          <w:p w14:paraId="7E916970">
            <w:pPr>
              <w:keepNext w:val="0"/>
              <w:keepLines w:val="0"/>
              <w:suppressLineNumbers w:val="0"/>
              <w:spacing w:before="0" w:beforeAutospacing="0" w:after="0" w:afterAutospacing="0" w:line="360" w:lineRule="auto"/>
              <w:ind w:left="0" w:right="0"/>
              <w:jc w:val="center"/>
              <w:rPr>
                <w:rFonts w:hint="default" w:ascii="宋体" w:hAnsi="宋体" w:cs="宋体"/>
                <w:spacing w:val="4"/>
                <w:sz w:val="21"/>
                <w:szCs w:val="21"/>
                <w:lang w:val="en-US" w:eastAsia="zh-CN"/>
              </w:rPr>
            </w:pPr>
            <w:r>
              <w:rPr>
                <w:rFonts w:hint="eastAsia" w:ascii="宋体" w:hAnsi="宋体" w:cs="宋体"/>
                <w:spacing w:val="4"/>
                <w:sz w:val="21"/>
                <w:szCs w:val="21"/>
                <w:lang w:val="en-US" w:eastAsia="zh-CN"/>
              </w:rPr>
              <w:t>板块</w:t>
            </w:r>
          </w:p>
        </w:tc>
        <w:tc>
          <w:tcPr>
            <w:tcW w:w="764" w:type="pct"/>
            <w:tcBorders>
              <w:top w:val="single" w:color="auto" w:sz="4" w:space="0"/>
              <w:left w:val="single" w:color="auto" w:sz="4" w:space="0"/>
              <w:bottom w:val="single" w:color="auto" w:sz="4" w:space="0"/>
              <w:right w:val="single" w:color="auto" w:sz="4" w:space="0"/>
            </w:tcBorders>
            <w:noWrap w:val="0"/>
            <w:vAlign w:val="center"/>
          </w:tcPr>
          <w:p w14:paraId="614B9691">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r>
              <w:rPr>
                <w:rFonts w:hint="eastAsia" w:ascii="宋体" w:hAnsi="宋体" w:eastAsia="宋体" w:cs="宋体"/>
                <w:i w:val="0"/>
                <w:iCs w:val="0"/>
                <w:color w:val="000000"/>
                <w:kern w:val="0"/>
                <w:sz w:val="21"/>
                <w:szCs w:val="21"/>
                <w:u w:val="none"/>
                <w:lang w:val="en-US" w:eastAsia="zh-CN" w:bidi="ar"/>
              </w:rPr>
              <w:t>名称</w:t>
            </w:r>
          </w:p>
        </w:tc>
        <w:tc>
          <w:tcPr>
            <w:tcW w:w="882" w:type="pct"/>
            <w:tcBorders>
              <w:top w:val="single" w:color="auto" w:sz="4" w:space="0"/>
              <w:left w:val="single" w:color="auto" w:sz="4" w:space="0"/>
              <w:bottom w:val="single" w:color="auto" w:sz="4" w:space="0"/>
              <w:right w:val="single" w:color="auto" w:sz="4" w:space="0"/>
            </w:tcBorders>
            <w:noWrap w:val="0"/>
            <w:vAlign w:val="center"/>
          </w:tcPr>
          <w:p w14:paraId="42C9F289">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pacing w:val="4"/>
                <w:sz w:val="21"/>
                <w:szCs w:val="21"/>
                <w:highlight w:val="none"/>
              </w:rPr>
              <w:t>品牌</w:t>
            </w:r>
          </w:p>
        </w:tc>
        <w:tc>
          <w:tcPr>
            <w:tcW w:w="882" w:type="pct"/>
            <w:tcBorders>
              <w:top w:val="single" w:color="auto" w:sz="4" w:space="0"/>
              <w:left w:val="single" w:color="auto" w:sz="4" w:space="0"/>
              <w:bottom w:val="single" w:color="auto" w:sz="4" w:space="0"/>
              <w:right w:val="single" w:color="auto" w:sz="4" w:space="0"/>
            </w:tcBorders>
            <w:noWrap w:val="0"/>
            <w:vAlign w:val="center"/>
          </w:tcPr>
          <w:p w14:paraId="4CF4AB2D">
            <w:pPr>
              <w:keepNext w:val="0"/>
              <w:keepLines w:val="0"/>
              <w:widowControl/>
              <w:suppressLineNumbers w:val="0"/>
              <w:spacing w:line="36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单位</w:t>
            </w:r>
          </w:p>
        </w:tc>
        <w:tc>
          <w:tcPr>
            <w:tcW w:w="892" w:type="pct"/>
            <w:tcBorders>
              <w:top w:val="single" w:color="auto" w:sz="4" w:space="0"/>
              <w:left w:val="single" w:color="auto" w:sz="4" w:space="0"/>
              <w:bottom w:val="single" w:color="auto" w:sz="4" w:space="0"/>
              <w:right w:val="single" w:color="auto" w:sz="4" w:space="0"/>
            </w:tcBorders>
            <w:noWrap w:val="0"/>
            <w:vAlign w:val="center"/>
          </w:tcPr>
          <w:p w14:paraId="39728958">
            <w:pPr>
              <w:keepNext w:val="0"/>
              <w:keepLines w:val="0"/>
              <w:widowControl/>
              <w:suppressLineNumbers w:val="0"/>
              <w:spacing w:line="36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数量</w:t>
            </w:r>
          </w:p>
        </w:tc>
      </w:tr>
      <w:tr w14:paraId="52119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58" w:type="pct"/>
            <w:tcBorders>
              <w:top w:val="single" w:color="auto" w:sz="4" w:space="0"/>
              <w:left w:val="single" w:color="auto" w:sz="4" w:space="0"/>
              <w:bottom w:val="single" w:color="auto" w:sz="4" w:space="0"/>
              <w:right w:val="single" w:color="auto" w:sz="4" w:space="0"/>
            </w:tcBorders>
            <w:noWrap w:val="0"/>
            <w:vAlign w:val="center"/>
          </w:tcPr>
          <w:p w14:paraId="2056B30B">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1</w:t>
            </w:r>
          </w:p>
        </w:tc>
        <w:tc>
          <w:tcPr>
            <w:tcW w:w="918" w:type="pct"/>
            <w:tcBorders>
              <w:top w:val="single" w:color="auto" w:sz="4" w:space="0"/>
              <w:left w:val="single" w:color="auto" w:sz="4" w:space="0"/>
              <w:bottom w:val="single" w:color="auto" w:sz="4" w:space="0"/>
              <w:right w:val="single" w:color="auto" w:sz="4" w:space="0"/>
            </w:tcBorders>
            <w:noWrap w:val="0"/>
            <w:vAlign w:val="center"/>
          </w:tcPr>
          <w:p w14:paraId="40359F6A">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764" w:type="pct"/>
            <w:tcBorders>
              <w:top w:val="single" w:color="auto" w:sz="4" w:space="0"/>
              <w:left w:val="single" w:color="auto" w:sz="4" w:space="0"/>
              <w:bottom w:val="single" w:color="auto" w:sz="4" w:space="0"/>
              <w:right w:val="single" w:color="auto" w:sz="4" w:space="0"/>
            </w:tcBorders>
            <w:noWrap w:val="0"/>
            <w:vAlign w:val="center"/>
          </w:tcPr>
          <w:p w14:paraId="6873AE00">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882" w:type="pct"/>
            <w:tcBorders>
              <w:top w:val="single" w:color="auto" w:sz="4" w:space="0"/>
              <w:left w:val="single" w:color="auto" w:sz="4" w:space="0"/>
              <w:bottom w:val="single" w:color="auto" w:sz="4" w:space="0"/>
              <w:right w:val="single" w:color="auto" w:sz="4" w:space="0"/>
            </w:tcBorders>
            <w:noWrap w:val="0"/>
            <w:vAlign w:val="center"/>
          </w:tcPr>
          <w:p w14:paraId="3DFBDF6E">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882" w:type="pct"/>
            <w:tcBorders>
              <w:top w:val="single" w:color="auto" w:sz="4" w:space="0"/>
              <w:left w:val="single" w:color="auto" w:sz="4" w:space="0"/>
              <w:bottom w:val="single" w:color="auto" w:sz="4" w:space="0"/>
              <w:right w:val="single" w:color="auto" w:sz="4" w:space="0"/>
            </w:tcBorders>
            <w:noWrap w:val="0"/>
            <w:vAlign w:val="center"/>
          </w:tcPr>
          <w:p w14:paraId="17F5562B">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892" w:type="pct"/>
            <w:tcBorders>
              <w:top w:val="single" w:color="auto" w:sz="4" w:space="0"/>
              <w:left w:val="single" w:color="auto" w:sz="4" w:space="0"/>
              <w:bottom w:val="single" w:color="auto" w:sz="4" w:space="0"/>
              <w:right w:val="single" w:color="auto" w:sz="4" w:space="0"/>
            </w:tcBorders>
            <w:noWrap w:val="0"/>
            <w:vAlign w:val="center"/>
          </w:tcPr>
          <w:p w14:paraId="47D29C5C">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r>
      <w:tr w14:paraId="0B6CC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58" w:type="pct"/>
            <w:tcBorders>
              <w:top w:val="single" w:color="auto" w:sz="4" w:space="0"/>
              <w:left w:val="single" w:color="auto" w:sz="4" w:space="0"/>
              <w:bottom w:val="single" w:color="auto" w:sz="4" w:space="0"/>
              <w:right w:val="single" w:color="auto" w:sz="4" w:space="0"/>
            </w:tcBorders>
            <w:noWrap w:val="0"/>
            <w:vAlign w:val="center"/>
          </w:tcPr>
          <w:p w14:paraId="0C9AB473">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2</w:t>
            </w:r>
          </w:p>
        </w:tc>
        <w:tc>
          <w:tcPr>
            <w:tcW w:w="918" w:type="pct"/>
            <w:tcBorders>
              <w:top w:val="single" w:color="auto" w:sz="4" w:space="0"/>
              <w:left w:val="single" w:color="auto" w:sz="4" w:space="0"/>
              <w:bottom w:val="single" w:color="auto" w:sz="4" w:space="0"/>
              <w:right w:val="single" w:color="auto" w:sz="4" w:space="0"/>
            </w:tcBorders>
            <w:noWrap w:val="0"/>
            <w:vAlign w:val="center"/>
          </w:tcPr>
          <w:p w14:paraId="0EAA5331">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764" w:type="pct"/>
            <w:tcBorders>
              <w:top w:val="single" w:color="auto" w:sz="4" w:space="0"/>
              <w:left w:val="single" w:color="auto" w:sz="4" w:space="0"/>
              <w:bottom w:val="single" w:color="auto" w:sz="4" w:space="0"/>
              <w:right w:val="single" w:color="auto" w:sz="4" w:space="0"/>
            </w:tcBorders>
            <w:noWrap w:val="0"/>
            <w:vAlign w:val="center"/>
          </w:tcPr>
          <w:p w14:paraId="20E887F9">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882" w:type="pct"/>
            <w:tcBorders>
              <w:top w:val="single" w:color="auto" w:sz="4" w:space="0"/>
              <w:left w:val="single" w:color="auto" w:sz="4" w:space="0"/>
              <w:bottom w:val="single" w:color="auto" w:sz="4" w:space="0"/>
              <w:right w:val="single" w:color="auto" w:sz="4" w:space="0"/>
            </w:tcBorders>
            <w:noWrap w:val="0"/>
            <w:vAlign w:val="center"/>
          </w:tcPr>
          <w:p w14:paraId="7025732B">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882" w:type="pct"/>
            <w:tcBorders>
              <w:top w:val="single" w:color="auto" w:sz="4" w:space="0"/>
              <w:left w:val="single" w:color="auto" w:sz="4" w:space="0"/>
              <w:bottom w:val="single" w:color="auto" w:sz="4" w:space="0"/>
              <w:right w:val="single" w:color="auto" w:sz="4" w:space="0"/>
            </w:tcBorders>
            <w:noWrap w:val="0"/>
            <w:vAlign w:val="center"/>
          </w:tcPr>
          <w:p w14:paraId="123199DB">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892" w:type="pct"/>
            <w:tcBorders>
              <w:top w:val="single" w:color="auto" w:sz="4" w:space="0"/>
              <w:left w:val="single" w:color="auto" w:sz="4" w:space="0"/>
              <w:bottom w:val="single" w:color="auto" w:sz="4" w:space="0"/>
              <w:right w:val="single" w:color="auto" w:sz="4" w:space="0"/>
            </w:tcBorders>
            <w:noWrap w:val="0"/>
            <w:vAlign w:val="center"/>
          </w:tcPr>
          <w:p w14:paraId="099074C5">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r>
      <w:tr w14:paraId="3F205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58" w:type="pct"/>
            <w:tcBorders>
              <w:top w:val="single" w:color="auto" w:sz="4" w:space="0"/>
              <w:left w:val="single" w:color="auto" w:sz="4" w:space="0"/>
              <w:bottom w:val="single" w:color="auto" w:sz="4" w:space="0"/>
              <w:right w:val="single" w:color="auto" w:sz="4" w:space="0"/>
            </w:tcBorders>
            <w:noWrap w:val="0"/>
            <w:vAlign w:val="center"/>
          </w:tcPr>
          <w:p w14:paraId="79A7EA4C">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3</w:t>
            </w:r>
          </w:p>
        </w:tc>
        <w:tc>
          <w:tcPr>
            <w:tcW w:w="918" w:type="pct"/>
            <w:tcBorders>
              <w:top w:val="single" w:color="auto" w:sz="4" w:space="0"/>
              <w:left w:val="single" w:color="auto" w:sz="4" w:space="0"/>
              <w:bottom w:val="single" w:color="auto" w:sz="4" w:space="0"/>
              <w:right w:val="single" w:color="auto" w:sz="4" w:space="0"/>
            </w:tcBorders>
            <w:noWrap w:val="0"/>
            <w:vAlign w:val="center"/>
          </w:tcPr>
          <w:p w14:paraId="1F9C2276">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764" w:type="pct"/>
            <w:tcBorders>
              <w:top w:val="single" w:color="auto" w:sz="4" w:space="0"/>
              <w:left w:val="single" w:color="auto" w:sz="4" w:space="0"/>
              <w:bottom w:val="single" w:color="auto" w:sz="4" w:space="0"/>
              <w:right w:val="single" w:color="auto" w:sz="4" w:space="0"/>
            </w:tcBorders>
            <w:noWrap w:val="0"/>
            <w:vAlign w:val="center"/>
          </w:tcPr>
          <w:p w14:paraId="744F6776">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882" w:type="pct"/>
            <w:tcBorders>
              <w:top w:val="single" w:color="auto" w:sz="4" w:space="0"/>
              <w:left w:val="single" w:color="auto" w:sz="4" w:space="0"/>
              <w:bottom w:val="single" w:color="auto" w:sz="4" w:space="0"/>
              <w:right w:val="single" w:color="auto" w:sz="4" w:space="0"/>
            </w:tcBorders>
            <w:noWrap w:val="0"/>
            <w:vAlign w:val="center"/>
          </w:tcPr>
          <w:p w14:paraId="3A9FFDA2">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882" w:type="pct"/>
            <w:tcBorders>
              <w:top w:val="single" w:color="auto" w:sz="4" w:space="0"/>
              <w:left w:val="single" w:color="auto" w:sz="4" w:space="0"/>
              <w:bottom w:val="single" w:color="auto" w:sz="4" w:space="0"/>
              <w:right w:val="single" w:color="auto" w:sz="4" w:space="0"/>
            </w:tcBorders>
            <w:noWrap w:val="0"/>
            <w:vAlign w:val="center"/>
          </w:tcPr>
          <w:p w14:paraId="18F6A3C2">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892" w:type="pct"/>
            <w:tcBorders>
              <w:top w:val="single" w:color="auto" w:sz="4" w:space="0"/>
              <w:left w:val="single" w:color="auto" w:sz="4" w:space="0"/>
              <w:bottom w:val="single" w:color="auto" w:sz="4" w:space="0"/>
              <w:right w:val="single" w:color="auto" w:sz="4" w:space="0"/>
            </w:tcBorders>
            <w:noWrap w:val="0"/>
            <w:vAlign w:val="center"/>
          </w:tcPr>
          <w:p w14:paraId="5EFC369D">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r>
      <w:tr w14:paraId="562F4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58" w:type="pct"/>
            <w:tcBorders>
              <w:top w:val="single" w:color="auto" w:sz="4" w:space="0"/>
              <w:left w:val="single" w:color="auto" w:sz="4" w:space="0"/>
              <w:bottom w:val="single" w:color="auto" w:sz="4" w:space="0"/>
              <w:right w:val="single" w:color="auto" w:sz="4" w:space="0"/>
            </w:tcBorders>
            <w:noWrap w:val="0"/>
            <w:vAlign w:val="center"/>
          </w:tcPr>
          <w:p w14:paraId="2234E230">
            <w:pPr>
              <w:keepNext w:val="0"/>
              <w:keepLines w:val="0"/>
              <w:suppressLineNumbers w:val="0"/>
              <w:spacing w:before="0" w:beforeAutospacing="0" w:after="0" w:afterAutospacing="0" w:line="360" w:lineRule="auto"/>
              <w:ind w:left="0" w:right="0"/>
              <w:jc w:val="center"/>
              <w:rPr>
                <w:rFonts w:hint="default"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w:t>
            </w:r>
          </w:p>
        </w:tc>
        <w:tc>
          <w:tcPr>
            <w:tcW w:w="918" w:type="pct"/>
            <w:tcBorders>
              <w:top w:val="single" w:color="auto" w:sz="4" w:space="0"/>
              <w:left w:val="single" w:color="auto" w:sz="4" w:space="0"/>
              <w:bottom w:val="single" w:color="auto" w:sz="4" w:space="0"/>
              <w:right w:val="single" w:color="auto" w:sz="4" w:space="0"/>
            </w:tcBorders>
            <w:noWrap w:val="0"/>
            <w:vAlign w:val="center"/>
          </w:tcPr>
          <w:p w14:paraId="63759A93">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764" w:type="pct"/>
            <w:tcBorders>
              <w:top w:val="single" w:color="auto" w:sz="4" w:space="0"/>
              <w:left w:val="single" w:color="auto" w:sz="4" w:space="0"/>
              <w:bottom w:val="single" w:color="auto" w:sz="4" w:space="0"/>
              <w:right w:val="single" w:color="auto" w:sz="4" w:space="0"/>
            </w:tcBorders>
            <w:noWrap w:val="0"/>
            <w:vAlign w:val="center"/>
          </w:tcPr>
          <w:p w14:paraId="22E6C629">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882" w:type="pct"/>
            <w:tcBorders>
              <w:top w:val="single" w:color="auto" w:sz="4" w:space="0"/>
              <w:left w:val="single" w:color="auto" w:sz="4" w:space="0"/>
              <w:bottom w:val="single" w:color="auto" w:sz="4" w:space="0"/>
              <w:right w:val="single" w:color="auto" w:sz="4" w:space="0"/>
            </w:tcBorders>
            <w:noWrap w:val="0"/>
            <w:vAlign w:val="center"/>
          </w:tcPr>
          <w:p w14:paraId="4E2EB3E3">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882" w:type="pct"/>
            <w:tcBorders>
              <w:top w:val="single" w:color="auto" w:sz="4" w:space="0"/>
              <w:left w:val="single" w:color="auto" w:sz="4" w:space="0"/>
              <w:bottom w:val="single" w:color="auto" w:sz="4" w:space="0"/>
              <w:right w:val="single" w:color="auto" w:sz="4" w:space="0"/>
            </w:tcBorders>
            <w:noWrap w:val="0"/>
            <w:vAlign w:val="center"/>
          </w:tcPr>
          <w:p w14:paraId="5EFBC77C">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c>
          <w:tcPr>
            <w:tcW w:w="892" w:type="pct"/>
            <w:tcBorders>
              <w:top w:val="single" w:color="auto" w:sz="4" w:space="0"/>
              <w:left w:val="single" w:color="auto" w:sz="4" w:space="0"/>
              <w:bottom w:val="single" w:color="auto" w:sz="4" w:space="0"/>
              <w:right w:val="single" w:color="auto" w:sz="4" w:space="0"/>
            </w:tcBorders>
            <w:noWrap w:val="0"/>
            <w:vAlign w:val="center"/>
          </w:tcPr>
          <w:p w14:paraId="17D007B6">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1"/>
                <w:szCs w:val="21"/>
              </w:rPr>
            </w:pPr>
          </w:p>
        </w:tc>
      </w:tr>
    </w:tbl>
    <w:p w14:paraId="6A561968">
      <w:pPr>
        <w:snapToGrid w:val="0"/>
        <w:jc w:val="left"/>
        <w:rPr>
          <w:rFonts w:hint="eastAsia" w:ascii="宋体" w:hAnsi="宋体" w:cs="宋体"/>
          <w:b/>
          <w:szCs w:val="21"/>
        </w:rPr>
      </w:pPr>
    </w:p>
    <w:p w14:paraId="365B7A73">
      <w:pPr>
        <w:spacing w:line="360" w:lineRule="auto"/>
        <w:ind w:left="424" w:leftChars="202"/>
        <w:rPr>
          <w:rFonts w:ascii="宋体" w:hAnsi="宋体" w:cs="宋体"/>
          <w:szCs w:val="21"/>
        </w:rPr>
      </w:pPr>
    </w:p>
    <w:p w14:paraId="395E6F1B">
      <w:pPr>
        <w:spacing w:line="360" w:lineRule="auto"/>
        <w:ind w:left="424" w:leftChars="202"/>
        <w:rPr>
          <w:rFonts w:ascii="宋体" w:hAnsi="宋体" w:cs="宋体"/>
          <w:szCs w:val="21"/>
        </w:rPr>
      </w:pPr>
    </w:p>
    <w:p w14:paraId="08E933CB">
      <w:pPr>
        <w:spacing w:line="360" w:lineRule="auto"/>
        <w:ind w:left="424" w:leftChars="202"/>
        <w:rPr>
          <w:rFonts w:ascii="宋体" w:hAnsi="宋体" w:cs="宋体"/>
          <w:szCs w:val="21"/>
        </w:rPr>
      </w:pPr>
    </w:p>
    <w:p w14:paraId="6CB53491">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r>
        <w:rPr>
          <w:rFonts w:hint="eastAsia" w:ascii="宋体" w:hAnsi="宋体" w:cs="宋体"/>
          <w:szCs w:val="21"/>
        </w:rPr>
        <w:t xml:space="preserve">（加盖公章）  </w:t>
      </w:r>
    </w:p>
    <w:p w14:paraId="22A4E5C1">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投标人代表：</w:t>
      </w:r>
      <w:r>
        <w:rPr>
          <w:rFonts w:hint="eastAsia" w:ascii="宋体" w:hAnsi="宋体" w:cs="宋体"/>
          <w:szCs w:val="21"/>
          <w:u w:val="single"/>
        </w:rPr>
        <w:t xml:space="preserve">                </w:t>
      </w:r>
      <w:r>
        <w:rPr>
          <w:rFonts w:hint="eastAsia" w:ascii="宋体" w:hAnsi="宋体" w:cs="宋体"/>
          <w:szCs w:val="21"/>
        </w:rPr>
        <w:t>（签字）</w:t>
      </w:r>
    </w:p>
    <w:p w14:paraId="176CB155">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76A759B2">
      <w:pPr>
        <w:snapToGrid w:val="0"/>
        <w:spacing w:before="50" w:after="156" w:afterLines="50"/>
        <w:jc w:val="left"/>
        <w:outlineLvl w:val="2"/>
        <w:rPr>
          <w:rFonts w:hint="eastAsia" w:ascii="宋体" w:hAnsi="宋体" w:cs="宋体"/>
          <w:b/>
          <w:szCs w:val="21"/>
        </w:rPr>
      </w:pPr>
      <w:r>
        <w:rPr>
          <w:rFonts w:hint="eastAsia" w:ascii="宋体" w:hAnsi="宋体" w:cs="宋体"/>
          <w:b/>
          <w:szCs w:val="21"/>
        </w:rPr>
        <w:br w:type="page"/>
      </w:r>
      <w:r>
        <w:rPr>
          <w:rFonts w:hint="eastAsia" w:ascii="宋体" w:hAnsi="宋体" w:cs="宋体"/>
          <w:b/>
          <w:szCs w:val="21"/>
        </w:rPr>
        <w:t>格式</w:t>
      </w:r>
      <w:r>
        <w:rPr>
          <w:rFonts w:hint="eastAsia" w:ascii="宋体" w:hAnsi="宋体" w:cs="宋体"/>
          <w:b/>
          <w:szCs w:val="21"/>
          <w:lang w:val="en-US" w:eastAsia="zh-CN"/>
        </w:rPr>
        <w:t>八</w:t>
      </w:r>
      <w:r>
        <w:rPr>
          <w:rFonts w:hint="eastAsia" w:ascii="宋体" w:hAnsi="宋体" w:cs="宋体"/>
          <w:b/>
          <w:szCs w:val="21"/>
        </w:rPr>
        <w:t>、</w:t>
      </w:r>
      <w:r>
        <w:rPr>
          <w:rFonts w:hint="eastAsia" w:ascii="宋体" w:hAnsi="宋体" w:cs="宋体"/>
          <w:b/>
          <w:sz w:val="21"/>
          <w:szCs w:val="21"/>
        </w:rPr>
        <w:t>技术要求响应表</w:t>
      </w:r>
    </w:p>
    <w:tbl>
      <w:tblPr>
        <w:tblStyle w:val="3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2109"/>
        <w:gridCol w:w="2181"/>
        <w:gridCol w:w="2251"/>
        <w:gridCol w:w="2192"/>
      </w:tblGrid>
      <w:tr w14:paraId="3AD0F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6" w:type="pct"/>
            <w:tcBorders>
              <w:top w:val="single" w:color="auto" w:sz="4" w:space="0"/>
              <w:left w:val="single" w:color="auto" w:sz="4" w:space="0"/>
              <w:bottom w:val="single" w:color="auto" w:sz="4" w:space="0"/>
              <w:right w:val="single" w:color="auto" w:sz="4" w:space="0"/>
            </w:tcBorders>
            <w:noWrap w:val="0"/>
            <w:vAlign w:val="center"/>
          </w:tcPr>
          <w:p w14:paraId="25F4B850">
            <w:pPr>
              <w:keepNext w:val="0"/>
              <w:keepLines w:val="0"/>
              <w:suppressLineNumbers w:val="0"/>
              <w:spacing w:before="0" w:beforeAutospacing="0" w:after="0" w:afterAutospacing="0"/>
              <w:ind w:left="0" w:right="0"/>
              <w:jc w:val="center"/>
              <w:rPr>
                <w:rFonts w:hint="eastAsia" w:ascii="宋体" w:hAnsi="宋体" w:cs="宋体"/>
                <w:b/>
                <w:bCs/>
                <w:spacing w:val="-4"/>
                <w:sz w:val="21"/>
                <w:szCs w:val="21"/>
              </w:rPr>
            </w:pPr>
            <w:r>
              <w:rPr>
                <w:rFonts w:hint="eastAsia" w:ascii="宋体" w:hAnsi="宋体" w:cs="宋体"/>
                <w:b/>
                <w:bCs/>
                <w:spacing w:val="-4"/>
                <w:sz w:val="21"/>
                <w:szCs w:val="21"/>
              </w:rPr>
              <w:t>序号</w:t>
            </w:r>
          </w:p>
        </w:tc>
        <w:tc>
          <w:tcPr>
            <w:tcW w:w="1082" w:type="pct"/>
            <w:tcBorders>
              <w:top w:val="single" w:color="auto" w:sz="4" w:space="0"/>
              <w:left w:val="nil"/>
              <w:bottom w:val="single" w:color="auto" w:sz="4" w:space="0"/>
              <w:right w:val="single" w:color="auto" w:sz="4" w:space="0"/>
            </w:tcBorders>
            <w:noWrap w:val="0"/>
            <w:vAlign w:val="center"/>
          </w:tcPr>
          <w:p w14:paraId="68B5121D">
            <w:pPr>
              <w:keepNext w:val="0"/>
              <w:keepLines w:val="0"/>
              <w:suppressLineNumbers w:val="0"/>
              <w:spacing w:before="0" w:beforeAutospacing="0" w:after="0" w:afterAutospacing="0"/>
              <w:ind w:left="0" w:right="0"/>
              <w:jc w:val="center"/>
              <w:rPr>
                <w:rFonts w:hint="eastAsia" w:ascii="宋体" w:hAnsi="宋体" w:cs="宋体"/>
                <w:b/>
                <w:bCs/>
                <w:spacing w:val="-4"/>
                <w:sz w:val="21"/>
                <w:szCs w:val="21"/>
              </w:rPr>
            </w:pPr>
            <w:r>
              <w:rPr>
                <w:rFonts w:hint="eastAsia" w:ascii="宋体" w:hAnsi="宋体" w:cs="宋体"/>
                <w:b/>
                <w:bCs/>
                <w:spacing w:val="-4"/>
                <w:sz w:val="21"/>
                <w:szCs w:val="21"/>
              </w:rPr>
              <w:t>产品名称</w:t>
            </w:r>
          </w:p>
        </w:tc>
        <w:tc>
          <w:tcPr>
            <w:tcW w:w="1119" w:type="pct"/>
            <w:tcBorders>
              <w:top w:val="single" w:color="auto" w:sz="4" w:space="0"/>
              <w:left w:val="nil"/>
              <w:bottom w:val="single" w:color="auto" w:sz="4" w:space="0"/>
              <w:right w:val="single" w:color="auto" w:sz="4" w:space="0"/>
            </w:tcBorders>
            <w:noWrap w:val="0"/>
            <w:vAlign w:val="center"/>
          </w:tcPr>
          <w:p w14:paraId="6EE30E52">
            <w:pPr>
              <w:keepNext w:val="0"/>
              <w:keepLines w:val="0"/>
              <w:suppressLineNumbers w:val="0"/>
              <w:spacing w:before="0" w:beforeAutospacing="0" w:after="0" w:afterAutospacing="0"/>
              <w:ind w:left="0" w:right="0"/>
              <w:jc w:val="center"/>
              <w:rPr>
                <w:rFonts w:hint="eastAsia" w:ascii="宋体" w:hAnsi="宋体" w:cs="宋体"/>
                <w:b/>
                <w:bCs/>
                <w:spacing w:val="-4"/>
                <w:sz w:val="21"/>
                <w:szCs w:val="21"/>
              </w:rPr>
            </w:pPr>
            <w:r>
              <w:rPr>
                <w:rFonts w:hint="eastAsia" w:ascii="宋体" w:hAnsi="宋体" w:cs="宋体"/>
                <w:b/>
                <w:bCs/>
                <w:spacing w:val="-4"/>
                <w:sz w:val="21"/>
                <w:szCs w:val="21"/>
              </w:rPr>
              <w:t>招标文件所需技术要求及性能说明</w:t>
            </w:r>
          </w:p>
        </w:tc>
        <w:tc>
          <w:tcPr>
            <w:tcW w:w="1155" w:type="pct"/>
            <w:tcBorders>
              <w:top w:val="single" w:color="auto" w:sz="4" w:space="0"/>
              <w:left w:val="nil"/>
              <w:bottom w:val="single" w:color="auto" w:sz="4" w:space="0"/>
              <w:right w:val="single" w:color="auto" w:sz="4" w:space="0"/>
            </w:tcBorders>
            <w:noWrap w:val="0"/>
            <w:vAlign w:val="center"/>
          </w:tcPr>
          <w:p w14:paraId="3F347A98">
            <w:pPr>
              <w:keepNext w:val="0"/>
              <w:keepLines w:val="0"/>
              <w:suppressLineNumbers w:val="0"/>
              <w:spacing w:before="0" w:beforeAutospacing="0" w:after="0" w:afterAutospacing="0"/>
              <w:ind w:left="0" w:right="0"/>
              <w:jc w:val="center"/>
              <w:rPr>
                <w:rFonts w:hint="eastAsia" w:ascii="宋体" w:hAnsi="宋体" w:cs="宋体"/>
                <w:sz w:val="21"/>
                <w:szCs w:val="21"/>
              </w:rPr>
            </w:pPr>
            <w:r>
              <w:rPr>
                <w:rFonts w:hint="eastAsia" w:ascii="宋体" w:hAnsi="宋体" w:cs="宋体"/>
                <w:b/>
                <w:bCs/>
                <w:spacing w:val="-4"/>
                <w:sz w:val="21"/>
                <w:szCs w:val="21"/>
              </w:rPr>
              <w:t>所投技术要求及性能说明</w:t>
            </w:r>
          </w:p>
        </w:tc>
        <w:tc>
          <w:tcPr>
            <w:tcW w:w="1125" w:type="pct"/>
            <w:tcBorders>
              <w:top w:val="single" w:color="auto" w:sz="4" w:space="0"/>
              <w:left w:val="nil"/>
              <w:bottom w:val="single" w:color="auto" w:sz="4" w:space="0"/>
              <w:right w:val="single" w:color="auto" w:sz="4" w:space="0"/>
            </w:tcBorders>
            <w:noWrap w:val="0"/>
            <w:vAlign w:val="center"/>
          </w:tcPr>
          <w:p w14:paraId="0D8E644E">
            <w:pPr>
              <w:keepNext w:val="0"/>
              <w:keepLines w:val="0"/>
              <w:suppressLineNumbers w:val="0"/>
              <w:spacing w:before="0" w:beforeAutospacing="0" w:after="0" w:afterAutospacing="0"/>
              <w:ind w:left="0" w:right="0"/>
              <w:jc w:val="center"/>
              <w:rPr>
                <w:rFonts w:hint="eastAsia" w:ascii="宋体" w:hAnsi="宋体" w:cs="宋体"/>
                <w:b/>
                <w:bCs/>
                <w:spacing w:val="-4"/>
                <w:sz w:val="21"/>
                <w:szCs w:val="21"/>
              </w:rPr>
            </w:pPr>
            <w:r>
              <w:rPr>
                <w:rFonts w:hint="eastAsia" w:ascii="宋体" w:hAnsi="宋体" w:cs="宋体"/>
                <w:b/>
                <w:bCs/>
                <w:spacing w:val="-4"/>
                <w:sz w:val="21"/>
                <w:szCs w:val="21"/>
              </w:rPr>
              <w:t>偏离情况及说明</w:t>
            </w:r>
          </w:p>
        </w:tc>
      </w:tr>
      <w:tr w14:paraId="16C5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16" w:type="pct"/>
            <w:tcBorders>
              <w:top w:val="single" w:color="auto" w:sz="4" w:space="0"/>
              <w:left w:val="single" w:color="auto" w:sz="4" w:space="0"/>
              <w:bottom w:val="single" w:color="auto" w:sz="4" w:space="0"/>
              <w:right w:val="single" w:color="auto" w:sz="4" w:space="0"/>
            </w:tcBorders>
            <w:noWrap w:val="0"/>
            <w:vAlign w:val="center"/>
          </w:tcPr>
          <w:p w14:paraId="2FAF3A3B">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r>
              <w:rPr>
                <w:rFonts w:hint="eastAsia" w:ascii="宋体" w:hAnsi="宋体" w:cs="宋体"/>
                <w:color w:val="000000"/>
                <w:sz w:val="21"/>
                <w:szCs w:val="21"/>
              </w:rPr>
              <w:t>1</w:t>
            </w:r>
          </w:p>
        </w:tc>
        <w:tc>
          <w:tcPr>
            <w:tcW w:w="1082" w:type="pct"/>
            <w:tcBorders>
              <w:top w:val="single" w:color="auto" w:sz="4" w:space="0"/>
              <w:left w:val="nil"/>
              <w:right w:val="single" w:color="auto" w:sz="4" w:space="0"/>
            </w:tcBorders>
            <w:noWrap w:val="0"/>
            <w:vAlign w:val="center"/>
          </w:tcPr>
          <w:p w14:paraId="46678B07">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 w:val="21"/>
                <w:szCs w:val="21"/>
                <w:lang w:bidi="ar"/>
              </w:rPr>
            </w:pPr>
          </w:p>
        </w:tc>
        <w:tc>
          <w:tcPr>
            <w:tcW w:w="1119" w:type="pct"/>
            <w:tcBorders>
              <w:top w:val="single" w:color="auto" w:sz="4" w:space="0"/>
              <w:left w:val="nil"/>
              <w:bottom w:val="single" w:color="auto" w:sz="4" w:space="0"/>
              <w:right w:val="single" w:color="auto" w:sz="4" w:space="0"/>
            </w:tcBorders>
            <w:noWrap w:val="0"/>
            <w:vAlign w:val="center"/>
          </w:tcPr>
          <w:p w14:paraId="1DDE49DF">
            <w:pPr>
              <w:keepNext w:val="0"/>
              <w:keepLines w:val="0"/>
              <w:suppressLineNumbers w:val="0"/>
              <w:spacing w:before="0" w:beforeAutospacing="0" w:after="0" w:afterAutospacing="0"/>
              <w:ind w:left="0" w:right="0"/>
              <w:jc w:val="center"/>
              <w:rPr>
                <w:rFonts w:hint="eastAsia" w:ascii="宋体" w:hAnsi="宋体" w:cs="宋体"/>
                <w:kern w:val="0"/>
                <w:sz w:val="21"/>
                <w:szCs w:val="21"/>
              </w:rPr>
            </w:pPr>
          </w:p>
        </w:tc>
        <w:tc>
          <w:tcPr>
            <w:tcW w:w="1155" w:type="pct"/>
            <w:tcBorders>
              <w:top w:val="single" w:color="auto" w:sz="4" w:space="0"/>
              <w:left w:val="nil"/>
              <w:bottom w:val="single" w:color="auto" w:sz="4" w:space="0"/>
              <w:right w:val="single" w:color="auto" w:sz="4" w:space="0"/>
            </w:tcBorders>
            <w:noWrap w:val="0"/>
            <w:vAlign w:val="center"/>
          </w:tcPr>
          <w:p w14:paraId="29390CEB">
            <w:pPr>
              <w:keepNext w:val="0"/>
              <w:keepLines w:val="0"/>
              <w:suppressLineNumbers w:val="0"/>
              <w:spacing w:before="0" w:beforeAutospacing="0" w:after="0" w:afterAutospacing="0"/>
              <w:ind w:left="0" w:right="0"/>
              <w:jc w:val="center"/>
              <w:rPr>
                <w:rFonts w:hint="eastAsia" w:ascii="宋体" w:hAnsi="宋体" w:cs="宋体"/>
                <w:sz w:val="21"/>
                <w:szCs w:val="21"/>
              </w:rPr>
            </w:pPr>
          </w:p>
        </w:tc>
        <w:tc>
          <w:tcPr>
            <w:tcW w:w="1125" w:type="pct"/>
            <w:tcBorders>
              <w:top w:val="single" w:color="auto" w:sz="4" w:space="0"/>
              <w:left w:val="nil"/>
              <w:bottom w:val="single" w:color="auto" w:sz="4" w:space="0"/>
              <w:right w:val="single" w:color="auto" w:sz="4" w:space="0"/>
            </w:tcBorders>
            <w:noWrap w:val="0"/>
            <w:vAlign w:val="center"/>
          </w:tcPr>
          <w:p w14:paraId="5AA38B9F">
            <w:pPr>
              <w:keepNext w:val="0"/>
              <w:keepLines w:val="0"/>
              <w:suppressLineNumbers w:val="0"/>
              <w:spacing w:before="0" w:beforeAutospacing="0" w:after="0" w:afterAutospacing="0"/>
              <w:ind w:left="0" w:right="0"/>
              <w:jc w:val="center"/>
              <w:rPr>
                <w:rFonts w:hint="eastAsia" w:ascii="宋体" w:hAnsi="宋体" w:cs="宋体"/>
                <w:sz w:val="21"/>
                <w:szCs w:val="21"/>
              </w:rPr>
            </w:pPr>
            <w:r>
              <w:rPr>
                <w:rFonts w:hint="eastAsia" w:ascii="宋体" w:hAnsi="宋体" w:cs="宋体"/>
                <w:sz w:val="21"/>
                <w:szCs w:val="21"/>
              </w:rPr>
              <w:t>正偏离/符合/负偏离</w:t>
            </w:r>
          </w:p>
        </w:tc>
      </w:tr>
      <w:tr w14:paraId="79F07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16" w:type="pct"/>
            <w:tcBorders>
              <w:top w:val="single" w:color="auto" w:sz="4" w:space="0"/>
              <w:left w:val="single" w:color="auto" w:sz="4" w:space="0"/>
              <w:bottom w:val="single" w:color="auto" w:sz="4" w:space="0"/>
              <w:right w:val="single" w:color="auto" w:sz="4" w:space="0"/>
            </w:tcBorders>
            <w:noWrap w:val="0"/>
            <w:vAlign w:val="center"/>
          </w:tcPr>
          <w:p w14:paraId="0ECE29B6">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r>
              <w:rPr>
                <w:rFonts w:hint="eastAsia" w:ascii="宋体" w:hAnsi="宋体" w:cs="宋体"/>
                <w:color w:val="000000"/>
                <w:sz w:val="21"/>
                <w:szCs w:val="21"/>
              </w:rPr>
              <w:t>2</w:t>
            </w:r>
          </w:p>
        </w:tc>
        <w:tc>
          <w:tcPr>
            <w:tcW w:w="1082" w:type="pct"/>
            <w:tcBorders>
              <w:left w:val="nil"/>
              <w:right w:val="single" w:color="auto" w:sz="4" w:space="0"/>
            </w:tcBorders>
            <w:noWrap w:val="0"/>
            <w:vAlign w:val="center"/>
          </w:tcPr>
          <w:p w14:paraId="500FB430">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119" w:type="pct"/>
            <w:tcBorders>
              <w:top w:val="single" w:color="auto" w:sz="4" w:space="0"/>
              <w:left w:val="nil"/>
              <w:bottom w:val="single" w:color="auto" w:sz="4" w:space="0"/>
              <w:right w:val="single" w:color="auto" w:sz="4" w:space="0"/>
            </w:tcBorders>
            <w:noWrap w:val="0"/>
            <w:vAlign w:val="center"/>
          </w:tcPr>
          <w:p w14:paraId="414833E8">
            <w:pPr>
              <w:keepNext w:val="0"/>
              <w:keepLines w:val="0"/>
              <w:suppressLineNumbers w:val="0"/>
              <w:spacing w:before="0" w:beforeAutospacing="0" w:after="0" w:afterAutospacing="0"/>
              <w:ind w:left="0" w:right="0"/>
              <w:jc w:val="center"/>
              <w:rPr>
                <w:rFonts w:hint="eastAsia" w:ascii="宋体" w:hAnsi="宋体" w:cs="宋体"/>
                <w:sz w:val="21"/>
                <w:szCs w:val="21"/>
              </w:rPr>
            </w:pPr>
          </w:p>
        </w:tc>
        <w:tc>
          <w:tcPr>
            <w:tcW w:w="1155" w:type="pct"/>
            <w:tcBorders>
              <w:top w:val="single" w:color="auto" w:sz="4" w:space="0"/>
              <w:left w:val="nil"/>
              <w:bottom w:val="single" w:color="auto" w:sz="4" w:space="0"/>
              <w:right w:val="single" w:color="auto" w:sz="4" w:space="0"/>
            </w:tcBorders>
            <w:noWrap w:val="0"/>
            <w:vAlign w:val="center"/>
          </w:tcPr>
          <w:p w14:paraId="784800A1">
            <w:pPr>
              <w:keepNext w:val="0"/>
              <w:keepLines w:val="0"/>
              <w:suppressLineNumbers w:val="0"/>
              <w:spacing w:before="0" w:beforeAutospacing="0" w:after="0" w:afterAutospacing="0"/>
              <w:ind w:left="0" w:right="0"/>
              <w:jc w:val="center"/>
              <w:rPr>
                <w:rFonts w:hint="eastAsia" w:ascii="宋体" w:hAnsi="宋体" w:cs="宋体"/>
                <w:sz w:val="21"/>
                <w:szCs w:val="21"/>
              </w:rPr>
            </w:pPr>
          </w:p>
        </w:tc>
        <w:tc>
          <w:tcPr>
            <w:tcW w:w="1125" w:type="pct"/>
            <w:tcBorders>
              <w:top w:val="single" w:color="auto" w:sz="4" w:space="0"/>
              <w:left w:val="nil"/>
              <w:bottom w:val="single" w:color="auto" w:sz="4" w:space="0"/>
              <w:right w:val="single" w:color="auto" w:sz="4" w:space="0"/>
            </w:tcBorders>
            <w:noWrap w:val="0"/>
            <w:vAlign w:val="center"/>
          </w:tcPr>
          <w:p w14:paraId="64D251BB">
            <w:pPr>
              <w:keepNext w:val="0"/>
              <w:keepLines w:val="0"/>
              <w:suppressLineNumbers w:val="0"/>
              <w:spacing w:before="0" w:beforeAutospacing="0" w:after="0" w:afterAutospacing="0"/>
              <w:ind w:left="0" w:right="0"/>
              <w:jc w:val="center"/>
              <w:rPr>
                <w:rFonts w:hint="eastAsia" w:ascii="宋体" w:hAnsi="宋体" w:cs="宋体"/>
                <w:sz w:val="21"/>
                <w:szCs w:val="21"/>
              </w:rPr>
            </w:pPr>
          </w:p>
        </w:tc>
      </w:tr>
      <w:tr w14:paraId="70BDC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16" w:type="pct"/>
            <w:tcBorders>
              <w:top w:val="single" w:color="auto" w:sz="4" w:space="0"/>
              <w:left w:val="single" w:color="auto" w:sz="4" w:space="0"/>
              <w:bottom w:val="single" w:color="auto" w:sz="4" w:space="0"/>
              <w:right w:val="single" w:color="auto" w:sz="4" w:space="0"/>
            </w:tcBorders>
            <w:noWrap w:val="0"/>
            <w:vAlign w:val="center"/>
          </w:tcPr>
          <w:p w14:paraId="3186C922">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r>
              <w:rPr>
                <w:rFonts w:hint="eastAsia" w:ascii="宋体" w:hAnsi="宋体" w:cs="宋体"/>
                <w:color w:val="000000"/>
                <w:sz w:val="21"/>
                <w:szCs w:val="21"/>
              </w:rPr>
              <w:t>3</w:t>
            </w:r>
          </w:p>
        </w:tc>
        <w:tc>
          <w:tcPr>
            <w:tcW w:w="1082" w:type="pct"/>
            <w:tcBorders>
              <w:left w:val="nil"/>
              <w:right w:val="single" w:color="auto" w:sz="4" w:space="0"/>
            </w:tcBorders>
            <w:noWrap w:val="0"/>
            <w:vAlign w:val="center"/>
          </w:tcPr>
          <w:p w14:paraId="4D834722">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119" w:type="pct"/>
            <w:tcBorders>
              <w:top w:val="single" w:color="auto" w:sz="4" w:space="0"/>
              <w:left w:val="nil"/>
              <w:bottom w:val="single" w:color="auto" w:sz="4" w:space="0"/>
              <w:right w:val="single" w:color="auto" w:sz="4" w:space="0"/>
            </w:tcBorders>
            <w:noWrap w:val="0"/>
            <w:vAlign w:val="center"/>
          </w:tcPr>
          <w:p w14:paraId="39B3C6C5">
            <w:pPr>
              <w:keepNext w:val="0"/>
              <w:keepLines w:val="0"/>
              <w:suppressLineNumbers w:val="0"/>
              <w:spacing w:before="0" w:beforeAutospacing="0" w:after="0" w:afterAutospacing="0"/>
              <w:ind w:left="0" w:right="0"/>
              <w:jc w:val="center"/>
              <w:rPr>
                <w:rFonts w:hint="eastAsia" w:ascii="宋体" w:hAnsi="宋体" w:cs="宋体"/>
                <w:kern w:val="0"/>
                <w:sz w:val="21"/>
                <w:szCs w:val="21"/>
              </w:rPr>
            </w:pPr>
          </w:p>
        </w:tc>
        <w:tc>
          <w:tcPr>
            <w:tcW w:w="1155" w:type="pct"/>
            <w:tcBorders>
              <w:top w:val="single" w:color="auto" w:sz="4" w:space="0"/>
              <w:left w:val="nil"/>
              <w:bottom w:val="single" w:color="auto" w:sz="4" w:space="0"/>
              <w:right w:val="single" w:color="auto" w:sz="4" w:space="0"/>
            </w:tcBorders>
            <w:noWrap w:val="0"/>
            <w:vAlign w:val="center"/>
          </w:tcPr>
          <w:p w14:paraId="1003BFFD">
            <w:pPr>
              <w:keepNext w:val="0"/>
              <w:keepLines w:val="0"/>
              <w:suppressLineNumbers w:val="0"/>
              <w:spacing w:before="0" w:beforeAutospacing="0" w:after="0" w:afterAutospacing="0"/>
              <w:ind w:left="0" w:right="0"/>
              <w:jc w:val="center"/>
              <w:rPr>
                <w:rFonts w:hint="eastAsia" w:ascii="宋体" w:hAnsi="宋体" w:cs="宋体"/>
                <w:sz w:val="21"/>
                <w:szCs w:val="21"/>
              </w:rPr>
            </w:pPr>
          </w:p>
        </w:tc>
        <w:tc>
          <w:tcPr>
            <w:tcW w:w="1125" w:type="pct"/>
            <w:tcBorders>
              <w:top w:val="single" w:color="auto" w:sz="4" w:space="0"/>
              <w:left w:val="nil"/>
              <w:bottom w:val="single" w:color="auto" w:sz="4" w:space="0"/>
              <w:right w:val="single" w:color="auto" w:sz="4" w:space="0"/>
            </w:tcBorders>
            <w:noWrap w:val="0"/>
            <w:vAlign w:val="center"/>
          </w:tcPr>
          <w:p w14:paraId="704F7832">
            <w:pPr>
              <w:keepNext w:val="0"/>
              <w:keepLines w:val="0"/>
              <w:suppressLineNumbers w:val="0"/>
              <w:spacing w:before="0" w:beforeAutospacing="0" w:after="0" w:afterAutospacing="0"/>
              <w:ind w:left="0" w:right="0"/>
              <w:jc w:val="center"/>
              <w:rPr>
                <w:rFonts w:hint="eastAsia" w:ascii="宋体" w:hAnsi="宋体" w:cs="宋体"/>
                <w:sz w:val="21"/>
                <w:szCs w:val="21"/>
              </w:rPr>
            </w:pPr>
          </w:p>
        </w:tc>
      </w:tr>
      <w:tr w14:paraId="139BF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16" w:type="pct"/>
            <w:tcBorders>
              <w:top w:val="single" w:color="auto" w:sz="4" w:space="0"/>
              <w:left w:val="single" w:color="auto" w:sz="4" w:space="0"/>
              <w:bottom w:val="single" w:color="auto" w:sz="4" w:space="0"/>
              <w:right w:val="single" w:color="auto" w:sz="4" w:space="0"/>
            </w:tcBorders>
            <w:noWrap w:val="0"/>
            <w:vAlign w:val="center"/>
          </w:tcPr>
          <w:p w14:paraId="7BAE7EA6">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r>
              <w:rPr>
                <w:rFonts w:hint="eastAsia" w:ascii="宋体" w:hAnsi="宋体" w:cs="宋体"/>
                <w:color w:val="000000"/>
                <w:sz w:val="21"/>
                <w:szCs w:val="21"/>
              </w:rPr>
              <w:t>……</w:t>
            </w:r>
          </w:p>
        </w:tc>
        <w:tc>
          <w:tcPr>
            <w:tcW w:w="1082" w:type="pct"/>
            <w:tcBorders>
              <w:left w:val="nil"/>
              <w:right w:val="single" w:color="auto" w:sz="4" w:space="0"/>
            </w:tcBorders>
            <w:noWrap w:val="0"/>
            <w:vAlign w:val="center"/>
          </w:tcPr>
          <w:p w14:paraId="146C9FCA">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119" w:type="pct"/>
            <w:tcBorders>
              <w:top w:val="single" w:color="auto" w:sz="4" w:space="0"/>
              <w:left w:val="nil"/>
              <w:bottom w:val="single" w:color="auto" w:sz="4" w:space="0"/>
              <w:right w:val="single" w:color="auto" w:sz="4" w:space="0"/>
            </w:tcBorders>
            <w:noWrap w:val="0"/>
            <w:vAlign w:val="center"/>
          </w:tcPr>
          <w:p w14:paraId="588F226D">
            <w:pPr>
              <w:keepNext w:val="0"/>
              <w:keepLines w:val="0"/>
              <w:suppressLineNumbers w:val="0"/>
              <w:spacing w:before="0" w:beforeAutospacing="0" w:after="0" w:afterAutospacing="0"/>
              <w:ind w:left="0" w:right="0"/>
              <w:jc w:val="center"/>
              <w:rPr>
                <w:rFonts w:hint="eastAsia" w:ascii="宋体" w:hAnsi="宋体" w:cs="宋体"/>
                <w:kern w:val="0"/>
                <w:sz w:val="21"/>
                <w:szCs w:val="21"/>
              </w:rPr>
            </w:pPr>
          </w:p>
        </w:tc>
        <w:tc>
          <w:tcPr>
            <w:tcW w:w="1155" w:type="pct"/>
            <w:tcBorders>
              <w:top w:val="single" w:color="auto" w:sz="4" w:space="0"/>
              <w:left w:val="nil"/>
              <w:bottom w:val="single" w:color="auto" w:sz="4" w:space="0"/>
              <w:right w:val="single" w:color="auto" w:sz="4" w:space="0"/>
            </w:tcBorders>
            <w:noWrap w:val="0"/>
            <w:vAlign w:val="center"/>
          </w:tcPr>
          <w:p w14:paraId="30B6056D">
            <w:pPr>
              <w:keepNext w:val="0"/>
              <w:keepLines w:val="0"/>
              <w:suppressLineNumbers w:val="0"/>
              <w:spacing w:before="0" w:beforeAutospacing="0" w:after="0" w:afterAutospacing="0"/>
              <w:ind w:left="0" w:right="0"/>
              <w:jc w:val="center"/>
              <w:rPr>
                <w:rFonts w:hint="eastAsia" w:ascii="宋体" w:hAnsi="宋体" w:cs="宋体"/>
                <w:sz w:val="21"/>
                <w:szCs w:val="21"/>
              </w:rPr>
            </w:pPr>
          </w:p>
        </w:tc>
        <w:tc>
          <w:tcPr>
            <w:tcW w:w="1125" w:type="pct"/>
            <w:tcBorders>
              <w:top w:val="single" w:color="auto" w:sz="4" w:space="0"/>
              <w:left w:val="nil"/>
              <w:bottom w:val="single" w:color="auto" w:sz="4" w:space="0"/>
              <w:right w:val="single" w:color="auto" w:sz="4" w:space="0"/>
            </w:tcBorders>
            <w:noWrap w:val="0"/>
            <w:vAlign w:val="center"/>
          </w:tcPr>
          <w:p w14:paraId="5D0EAC47">
            <w:pPr>
              <w:keepNext w:val="0"/>
              <w:keepLines w:val="0"/>
              <w:suppressLineNumbers w:val="0"/>
              <w:spacing w:before="0" w:beforeAutospacing="0" w:after="0" w:afterAutospacing="0"/>
              <w:ind w:left="0" w:right="0"/>
              <w:jc w:val="center"/>
              <w:rPr>
                <w:rFonts w:hint="eastAsia" w:ascii="宋体" w:hAnsi="宋体" w:cs="宋体"/>
                <w:sz w:val="21"/>
                <w:szCs w:val="21"/>
              </w:rPr>
            </w:pPr>
          </w:p>
        </w:tc>
      </w:tr>
      <w:tr w14:paraId="50315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16" w:type="pct"/>
            <w:tcBorders>
              <w:top w:val="single" w:color="auto" w:sz="4" w:space="0"/>
              <w:left w:val="single" w:color="auto" w:sz="4" w:space="0"/>
              <w:bottom w:val="single" w:color="auto" w:sz="4" w:space="0"/>
              <w:right w:val="single" w:color="auto" w:sz="4" w:space="0"/>
            </w:tcBorders>
            <w:noWrap w:val="0"/>
            <w:vAlign w:val="center"/>
          </w:tcPr>
          <w:p w14:paraId="725C1943">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082" w:type="pct"/>
            <w:tcBorders>
              <w:left w:val="nil"/>
              <w:right w:val="single" w:color="auto" w:sz="4" w:space="0"/>
            </w:tcBorders>
            <w:noWrap w:val="0"/>
            <w:vAlign w:val="center"/>
          </w:tcPr>
          <w:p w14:paraId="64C576F9">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119" w:type="pct"/>
            <w:tcBorders>
              <w:top w:val="single" w:color="auto" w:sz="4" w:space="0"/>
              <w:left w:val="nil"/>
              <w:bottom w:val="single" w:color="auto" w:sz="4" w:space="0"/>
              <w:right w:val="single" w:color="auto" w:sz="4" w:space="0"/>
            </w:tcBorders>
            <w:noWrap w:val="0"/>
            <w:vAlign w:val="center"/>
          </w:tcPr>
          <w:p w14:paraId="1755E745">
            <w:pPr>
              <w:keepNext w:val="0"/>
              <w:keepLines w:val="0"/>
              <w:suppressLineNumbers w:val="0"/>
              <w:spacing w:before="0" w:beforeAutospacing="0" w:after="0" w:afterAutospacing="0"/>
              <w:ind w:left="0" w:right="0"/>
              <w:jc w:val="center"/>
              <w:rPr>
                <w:rFonts w:hint="eastAsia" w:ascii="宋体" w:hAnsi="宋体" w:cs="宋体"/>
                <w:kern w:val="0"/>
                <w:sz w:val="21"/>
                <w:szCs w:val="21"/>
              </w:rPr>
            </w:pPr>
          </w:p>
        </w:tc>
        <w:tc>
          <w:tcPr>
            <w:tcW w:w="1155" w:type="pct"/>
            <w:tcBorders>
              <w:top w:val="single" w:color="auto" w:sz="4" w:space="0"/>
              <w:left w:val="nil"/>
              <w:bottom w:val="single" w:color="auto" w:sz="4" w:space="0"/>
              <w:right w:val="single" w:color="auto" w:sz="4" w:space="0"/>
            </w:tcBorders>
            <w:noWrap w:val="0"/>
            <w:vAlign w:val="center"/>
          </w:tcPr>
          <w:p w14:paraId="41E64507">
            <w:pPr>
              <w:keepNext w:val="0"/>
              <w:keepLines w:val="0"/>
              <w:suppressLineNumbers w:val="0"/>
              <w:spacing w:before="0" w:beforeAutospacing="0" w:after="0" w:afterAutospacing="0"/>
              <w:ind w:left="0" w:right="0"/>
              <w:jc w:val="center"/>
              <w:rPr>
                <w:rFonts w:hint="eastAsia" w:ascii="宋体" w:hAnsi="宋体" w:cs="宋体"/>
                <w:sz w:val="21"/>
                <w:szCs w:val="21"/>
              </w:rPr>
            </w:pPr>
          </w:p>
        </w:tc>
        <w:tc>
          <w:tcPr>
            <w:tcW w:w="1125" w:type="pct"/>
            <w:tcBorders>
              <w:top w:val="single" w:color="auto" w:sz="4" w:space="0"/>
              <w:left w:val="nil"/>
              <w:bottom w:val="single" w:color="auto" w:sz="4" w:space="0"/>
              <w:right w:val="single" w:color="auto" w:sz="4" w:space="0"/>
            </w:tcBorders>
            <w:noWrap w:val="0"/>
            <w:vAlign w:val="center"/>
          </w:tcPr>
          <w:p w14:paraId="1D3C4625">
            <w:pPr>
              <w:keepNext w:val="0"/>
              <w:keepLines w:val="0"/>
              <w:suppressLineNumbers w:val="0"/>
              <w:spacing w:before="0" w:beforeAutospacing="0" w:after="0" w:afterAutospacing="0"/>
              <w:ind w:left="0" w:right="0"/>
              <w:jc w:val="center"/>
              <w:rPr>
                <w:rFonts w:hint="eastAsia" w:ascii="宋体" w:hAnsi="宋体" w:cs="宋体"/>
                <w:sz w:val="21"/>
                <w:szCs w:val="21"/>
              </w:rPr>
            </w:pPr>
          </w:p>
        </w:tc>
      </w:tr>
      <w:tr w14:paraId="27E29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16" w:type="pct"/>
            <w:tcBorders>
              <w:top w:val="single" w:color="auto" w:sz="4" w:space="0"/>
              <w:left w:val="single" w:color="auto" w:sz="4" w:space="0"/>
              <w:bottom w:val="single" w:color="auto" w:sz="4" w:space="0"/>
              <w:right w:val="single" w:color="auto" w:sz="4" w:space="0"/>
            </w:tcBorders>
            <w:noWrap w:val="0"/>
            <w:vAlign w:val="center"/>
          </w:tcPr>
          <w:p w14:paraId="7FAD5238">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082" w:type="pct"/>
            <w:tcBorders>
              <w:left w:val="nil"/>
              <w:right w:val="single" w:color="auto" w:sz="4" w:space="0"/>
            </w:tcBorders>
            <w:noWrap w:val="0"/>
            <w:vAlign w:val="center"/>
          </w:tcPr>
          <w:p w14:paraId="1066257D">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119" w:type="pct"/>
            <w:tcBorders>
              <w:top w:val="single" w:color="auto" w:sz="4" w:space="0"/>
              <w:left w:val="nil"/>
              <w:bottom w:val="single" w:color="auto" w:sz="4" w:space="0"/>
              <w:right w:val="single" w:color="auto" w:sz="4" w:space="0"/>
            </w:tcBorders>
            <w:noWrap w:val="0"/>
            <w:vAlign w:val="center"/>
          </w:tcPr>
          <w:p w14:paraId="476D52EB">
            <w:pPr>
              <w:keepNext w:val="0"/>
              <w:keepLines w:val="0"/>
              <w:suppressLineNumbers w:val="0"/>
              <w:spacing w:before="0" w:beforeAutospacing="0" w:after="0" w:afterAutospacing="0"/>
              <w:ind w:left="0" w:right="0"/>
              <w:jc w:val="center"/>
              <w:rPr>
                <w:rFonts w:hint="eastAsia" w:ascii="宋体" w:hAnsi="宋体" w:cs="宋体"/>
                <w:kern w:val="0"/>
                <w:sz w:val="21"/>
                <w:szCs w:val="21"/>
              </w:rPr>
            </w:pPr>
          </w:p>
        </w:tc>
        <w:tc>
          <w:tcPr>
            <w:tcW w:w="1155" w:type="pct"/>
            <w:tcBorders>
              <w:top w:val="single" w:color="auto" w:sz="4" w:space="0"/>
              <w:left w:val="nil"/>
              <w:bottom w:val="single" w:color="auto" w:sz="4" w:space="0"/>
              <w:right w:val="single" w:color="auto" w:sz="4" w:space="0"/>
            </w:tcBorders>
            <w:noWrap w:val="0"/>
            <w:vAlign w:val="center"/>
          </w:tcPr>
          <w:p w14:paraId="0AEDE1DF">
            <w:pPr>
              <w:keepNext w:val="0"/>
              <w:keepLines w:val="0"/>
              <w:suppressLineNumbers w:val="0"/>
              <w:spacing w:before="0" w:beforeAutospacing="0" w:after="0" w:afterAutospacing="0"/>
              <w:ind w:left="0" w:right="0"/>
              <w:jc w:val="center"/>
              <w:rPr>
                <w:rFonts w:hint="eastAsia" w:ascii="宋体" w:hAnsi="宋体" w:cs="宋体"/>
                <w:sz w:val="21"/>
                <w:szCs w:val="21"/>
              </w:rPr>
            </w:pPr>
          </w:p>
        </w:tc>
        <w:tc>
          <w:tcPr>
            <w:tcW w:w="1125" w:type="pct"/>
            <w:tcBorders>
              <w:top w:val="single" w:color="auto" w:sz="4" w:space="0"/>
              <w:left w:val="nil"/>
              <w:bottom w:val="single" w:color="auto" w:sz="4" w:space="0"/>
              <w:right w:val="single" w:color="auto" w:sz="4" w:space="0"/>
            </w:tcBorders>
            <w:noWrap w:val="0"/>
            <w:vAlign w:val="center"/>
          </w:tcPr>
          <w:p w14:paraId="78849C64">
            <w:pPr>
              <w:keepNext w:val="0"/>
              <w:keepLines w:val="0"/>
              <w:suppressLineNumbers w:val="0"/>
              <w:spacing w:before="0" w:beforeAutospacing="0" w:after="0" w:afterAutospacing="0"/>
              <w:ind w:left="0" w:right="0"/>
              <w:jc w:val="center"/>
              <w:rPr>
                <w:rFonts w:hint="eastAsia" w:ascii="宋体" w:hAnsi="宋体" w:cs="宋体"/>
                <w:sz w:val="21"/>
                <w:szCs w:val="21"/>
              </w:rPr>
            </w:pPr>
          </w:p>
        </w:tc>
      </w:tr>
      <w:tr w14:paraId="5B1D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16" w:type="pct"/>
            <w:tcBorders>
              <w:top w:val="single" w:color="auto" w:sz="4" w:space="0"/>
              <w:left w:val="single" w:color="auto" w:sz="4" w:space="0"/>
              <w:bottom w:val="single" w:color="auto" w:sz="4" w:space="0"/>
              <w:right w:val="single" w:color="auto" w:sz="4" w:space="0"/>
            </w:tcBorders>
            <w:noWrap w:val="0"/>
            <w:vAlign w:val="center"/>
          </w:tcPr>
          <w:p w14:paraId="2B357E3B">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082" w:type="pct"/>
            <w:tcBorders>
              <w:left w:val="nil"/>
              <w:right w:val="single" w:color="auto" w:sz="4" w:space="0"/>
            </w:tcBorders>
            <w:noWrap w:val="0"/>
            <w:vAlign w:val="center"/>
          </w:tcPr>
          <w:p w14:paraId="18ADC3AC">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119" w:type="pct"/>
            <w:tcBorders>
              <w:top w:val="single" w:color="auto" w:sz="4" w:space="0"/>
              <w:left w:val="nil"/>
              <w:bottom w:val="single" w:color="auto" w:sz="4" w:space="0"/>
              <w:right w:val="single" w:color="auto" w:sz="4" w:space="0"/>
            </w:tcBorders>
            <w:noWrap w:val="0"/>
            <w:vAlign w:val="center"/>
          </w:tcPr>
          <w:p w14:paraId="2390D546">
            <w:pPr>
              <w:keepNext w:val="0"/>
              <w:keepLines w:val="0"/>
              <w:suppressLineNumbers w:val="0"/>
              <w:spacing w:before="0" w:beforeAutospacing="0" w:after="0" w:afterAutospacing="0"/>
              <w:ind w:left="0" w:right="0"/>
              <w:jc w:val="center"/>
              <w:rPr>
                <w:rFonts w:hint="eastAsia" w:ascii="宋体" w:hAnsi="宋体" w:cs="宋体"/>
                <w:kern w:val="0"/>
                <w:sz w:val="21"/>
                <w:szCs w:val="21"/>
              </w:rPr>
            </w:pPr>
          </w:p>
        </w:tc>
        <w:tc>
          <w:tcPr>
            <w:tcW w:w="1155" w:type="pct"/>
            <w:tcBorders>
              <w:top w:val="single" w:color="auto" w:sz="4" w:space="0"/>
              <w:left w:val="nil"/>
              <w:bottom w:val="single" w:color="auto" w:sz="4" w:space="0"/>
              <w:right w:val="single" w:color="auto" w:sz="4" w:space="0"/>
            </w:tcBorders>
            <w:noWrap w:val="0"/>
            <w:vAlign w:val="center"/>
          </w:tcPr>
          <w:p w14:paraId="7278456D">
            <w:pPr>
              <w:keepNext w:val="0"/>
              <w:keepLines w:val="0"/>
              <w:suppressLineNumbers w:val="0"/>
              <w:spacing w:before="0" w:beforeAutospacing="0" w:after="0" w:afterAutospacing="0"/>
              <w:ind w:left="0" w:right="0"/>
              <w:jc w:val="center"/>
              <w:rPr>
                <w:rFonts w:hint="eastAsia" w:ascii="宋体" w:hAnsi="宋体" w:cs="宋体"/>
                <w:sz w:val="21"/>
                <w:szCs w:val="21"/>
              </w:rPr>
            </w:pPr>
          </w:p>
        </w:tc>
        <w:tc>
          <w:tcPr>
            <w:tcW w:w="1125" w:type="pct"/>
            <w:tcBorders>
              <w:top w:val="single" w:color="auto" w:sz="4" w:space="0"/>
              <w:left w:val="nil"/>
              <w:bottom w:val="single" w:color="auto" w:sz="4" w:space="0"/>
              <w:right w:val="single" w:color="auto" w:sz="4" w:space="0"/>
            </w:tcBorders>
            <w:noWrap w:val="0"/>
            <w:vAlign w:val="center"/>
          </w:tcPr>
          <w:p w14:paraId="1E209F96">
            <w:pPr>
              <w:keepNext w:val="0"/>
              <w:keepLines w:val="0"/>
              <w:suppressLineNumbers w:val="0"/>
              <w:spacing w:before="0" w:beforeAutospacing="0" w:after="0" w:afterAutospacing="0"/>
              <w:ind w:left="0" w:right="0"/>
              <w:jc w:val="center"/>
              <w:rPr>
                <w:rFonts w:hint="eastAsia" w:ascii="宋体" w:hAnsi="宋体" w:cs="宋体"/>
                <w:sz w:val="21"/>
                <w:szCs w:val="21"/>
              </w:rPr>
            </w:pPr>
          </w:p>
        </w:tc>
      </w:tr>
    </w:tbl>
    <w:p w14:paraId="3BAC49B9">
      <w:pPr>
        <w:spacing w:line="360" w:lineRule="auto"/>
        <w:ind w:left="424" w:leftChars="202"/>
        <w:rPr>
          <w:rFonts w:ascii="宋体" w:hAnsi="宋体" w:cs="宋体"/>
          <w:b/>
          <w:szCs w:val="21"/>
        </w:rPr>
      </w:pPr>
    </w:p>
    <w:p w14:paraId="3F5355BC">
      <w:pPr>
        <w:spacing w:line="360" w:lineRule="auto"/>
        <w:ind w:left="424" w:leftChars="202"/>
        <w:rPr>
          <w:rFonts w:ascii="宋体" w:hAnsi="宋体" w:cs="宋体"/>
          <w:b/>
          <w:szCs w:val="21"/>
        </w:rPr>
      </w:pPr>
    </w:p>
    <w:p w14:paraId="7C2CB966">
      <w:pPr>
        <w:spacing w:line="360" w:lineRule="auto"/>
        <w:ind w:left="424" w:leftChars="202"/>
        <w:rPr>
          <w:rFonts w:ascii="宋体" w:hAnsi="宋体" w:cs="宋体"/>
          <w:b/>
          <w:szCs w:val="21"/>
        </w:rPr>
      </w:pPr>
    </w:p>
    <w:p w14:paraId="695FCD51">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r>
        <w:rPr>
          <w:rFonts w:hint="eastAsia" w:ascii="宋体" w:hAnsi="宋体" w:cs="宋体"/>
          <w:szCs w:val="21"/>
        </w:rPr>
        <w:t xml:space="preserve">（加盖公章）  </w:t>
      </w:r>
    </w:p>
    <w:p w14:paraId="399D0104">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投标人代表：</w:t>
      </w:r>
      <w:r>
        <w:rPr>
          <w:rFonts w:hint="eastAsia" w:ascii="宋体" w:hAnsi="宋体" w:cs="宋体"/>
          <w:szCs w:val="21"/>
          <w:u w:val="single"/>
        </w:rPr>
        <w:t xml:space="preserve">                </w:t>
      </w:r>
      <w:r>
        <w:rPr>
          <w:rFonts w:hint="eastAsia" w:ascii="宋体" w:hAnsi="宋体" w:cs="宋体"/>
          <w:szCs w:val="21"/>
        </w:rPr>
        <w:t>（签字）</w:t>
      </w:r>
    </w:p>
    <w:p w14:paraId="0506CBBA">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28145AA9">
      <w:pPr>
        <w:spacing w:line="360" w:lineRule="auto"/>
        <w:ind w:left="424" w:leftChars="202"/>
        <w:rPr>
          <w:rFonts w:ascii="宋体" w:hAnsi="宋体" w:cs="宋体"/>
          <w:b/>
          <w:szCs w:val="21"/>
        </w:rPr>
      </w:pPr>
    </w:p>
    <w:p w14:paraId="4130A5BF">
      <w:pPr>
        <w:spacing w:line="360" w:lineRule="auto"/>
        <w:ind w:left="424" w:leftChars="202"/>
        <w:rPr>
          <w:rFonts w:ascii="宋体" w:hAnsi="宋体" w:cs="宋体"/>
          <w:b/>
          <w:szCs w:val="21"/>
        </w:rPr>
      </w:pPr>
    </w:p>
    <w:p w14:paraId="1826A9F4">
      <w:pPr>
        <w:snapToGrid w:val="0"/>
        <w:spacing w:before="50" w:after="156" w:afterLines="50"/>
        <w:outlineLvl w:val="9"/>
        <w:rPr>
          <w:rFonts w:hint="eastAsia" w:ascii="宋体" w:hAnsi="宋体" w:cs="宋体"/>
          <w:b/>
          <w:szCs w:val="21"/>
        </w:rPr>
      </w:pPr>
      <w:r>
        <w:rPr>
          <w:rFonts w:hint="eastAsia" w:ascii="宋体" w:hAnsi="宋体" w:cs="宋体"/>
          <w:b/>
          <w:szCs w:val="21"/>
        </w:rPr>
        <w:br w:type="page"/>
      </w:r>
    </w:p>
    <w:p w14:paraId="5EF6E790">
      <w:pPr>
        <w:snapToGrid w:val="0"/>
        <w:spacing w:before="50" w:after="156" w:afterLines="50"/>
        <w:jc w:val="left"/>
        <w:outlineLvl w:val="2"/>
        <w:rPr>
          <w:rFonts w:hint="eastAsia" w:ascii="宋体" w:hAnsi="宋体" w:cs="宋体"/>
          <w:b/>
          <w:szCs w:val="21"/>
        </w:rPr>
      </w:pPr>
      <w:r>
        <w:rPr>
          <w:rFonts w:hint="eastAsia" w:ascii="宋体" w:hAnsi="宋体" w:cs="宋体"/>
          <w:b/>
          <w:szCs w:val="21"/>
        </w:rPr>
        <w:t>格式</w:t>
      </w:r>
      <w:r>
        <w:rPr>
          <w:rFonts w:hint="eastAsia" w:ascii="宋体" w:hAnsi="宋体" w:cs="宋体"/>
          <w:b/>
          <w:szCs w:val="21"/>
          <w:lang w:val="en-US" w:eastAsia="zh-CN"/>
        </w:rPr>
        <w:t>九</w:t>
      </w:r>
      <w:r>
        <w:rPr>
          <w:rFonts w:hint="eastAsia" w:ascii="宋体" w:hAnsi="宋体" w:cs="宋体"/>
          <w:b/>
          <w:szCs w:val="21"/>
        </w:rPr>
        <w:t>、</w:t>
      </w:r>
      <w:r>
        <w:rPr>
          <w:rFonts w:hint="eastAsia" w:ascii="宋体" w:hAnsi="宋体" w:cs="宋体"/>
          <w:b/>
          <w:sz w:val="21"/>
          <w:szCs w:val="21"/>
          <w:lang w:val="en-US" w:eastAsia="zh-CN"/>
        </w:rPr>
        <w:t>规格</w:t>
      </w:r>
      <w:r>
        <w:rPr>
          <w:rFonts w:hint="eastAsia" w:ascii="宋体" w:hAnsi="宋体" w:cs="宋体"/>
          <w:b/>
          <w:sz w:val="21"/>
          <w:szCs w:val="21"/>
        </w:rPr>
        <w:t>要求响应表</w:t>
      </w:r>
    </w:p>
    <w:tbl>
      <w:tblPr>
        <w:tblStyle w:val="3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2109"/>
        <w:gridCol w:w="2181"/>
        <w:gridCol w:w="2251"/>
        <w:gridCol w:w="2192"/>
      </w:tblGrid>
      <w:tr w14:paraId="04318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6" w:type="pct"/>
            <w:tcBorders>
              <w:top w:val="single" w:color="auto" w:sz="4" w:space="0"/>
              <w:left w:val="single" w:color="auto" w:sz="4" w:space="0"/>
              <w:bottom w:val="single" w:color="auto" w:sz="4" w:space="0"/>
              <w:right w:val="single" w:color="auto" w:sz="4" w:space="0"/>
            </w:tcBorders>
            <w:noWrap w:val="0"/>
            <w:vAlign w:val="center"/>
          </w:tcPr>
          <w:p w14:paraId="38055447">
            <w:pPr>
              <w:keepNext w:val="0"/>
              <w:keepLines w:val="0"/>
              <w:suppressLineNumbers w:val="0"/>
              <w:spacing w:before="0" w:beforeAutospacing="0" w:after="0" w:afterAutospacing="0"/>
              <w:ind w:left="0" w:right="0"/>
              <w:jc w:val="center"/>
              <w:rPr>
                <w:rFonts w:hint="eastAsia" w:ascii="宋体" w:hAnsi="宋体" w:cs="宋体"/>
                <w:b/>
                <w:bCs/>
                <w:spacing w:val="-4"/>
                <w:sz w:val="21"/>
                <w:szCs w:val="21"/>
              </w:rPr>
            </w:pPr>
            <w:r>
              <w:rPr>
                <w:rFonts w:hint="eastAsia" w:ascii="宋体" w:hAnsi="宋体" w:cs="宋体"/>
                <w:b/>
                <w:bCs/>
                <w:spacing w:val="-4"/>
                <w:sz w:val="21"/>
                <w:szCs w:val="21"/>
              </w:rPr>
              <w:t>序号</w:t>
            </w:r>
          </w:p>
        </w:tc>
        <w:tc>
          <w:tcPr>
            <w:tcW w:w="1082" w:type="pct"/>
            <w:tcBorders>
              <w:top w:val="single" w:color="auto" w:sz="4" w:space="0"/>
              <w:left w:val="nil"/>
              <w:bottom w:val="single" w:color="auto" w:sz="4" w:space="0"/>
              <w:right w:val="single" w:color="auto" w:sz="4" w:space="0"/>
            </w:tcBorders>
            <w:noWrap w:val="0"/>
            <w:vAlign w:val="center"/>
          </w:tcPr>
          <w:p w14:paraId="7F9573FF">
            <w:pPr>
              <w:keepNext w:val="0"/>
              <w:keepLines w:val="0"/>
              <w:suppressLineNumbers w:val="0"/>
              <w:spacing w:before="0" w:beforeAutospacing="0" w:after="0" w:afterAutospacing="0"/>
              <w:ind w:left="0" w:right="0"/>
              <w:jc w:val="center"/>
              <w:rPr>
                <w:rFonts w:hint="eastAsia" w:ascii="宋体" w:hAnsi="宋体" w:cs="宋体"/>
                <w:b/>
                <w:bCs/>
                <w:spacing w:val="-4"/>
                <w:sz w:val="21"/>
                <w:szCs w:val="21"/>
              </w:rPr>
            </w:pPr>
            <w:r>
              <w:rPr>
                <w:rFonts w:hint="eastAsia" w:ascii="宋体" w:hAnsi="宋体" w:cs="宋体"/>
                <w:b/>
                <w:bCs/>
                <w:spacing w:val="-4"/>
                <w:sz w:val="21"/>
                <w:szCs w:val="21"/>
              </w:rPr>
              <w:t>产品名称</w:t>
            </w:r>
          </w:p>
        </w:tc>
        <w:tc>
          <w:tcPr>
            <w:tcW w:w="1119" w:type="pct"/>
            <w:tcBorders>
              <w:top w:val="single" w:color="auto" w:sz="4" w:space="0"/>
              <w:left w:val="nil"/>
              <w:bottom w:val="single" w:color="auto" w:sz="4" w:space="0"/>
              <w:right w:val="single" w:color="auto" w:sz="4" w:space="0"/>
            </w:tcBorders>
            <w:noWrap w:val="0"/>
            <w:vAlign w:val="center"/>
          </w:tcPr>
          <w:p w14:paraId="4C17DDCA">
            <w:pPr>
              <w:keepNext w:val="0"/>
              <w:keepLines w:val="0"/>
              <w:suppressLineNumbers w:val="0"/>
              <w:spacing w:before="0" w:beforeAutospacing="0" w:after="0" w:afterAutospacing="0"/>
              <w:ind w:left="0" w:right="0"/>
              <w:jc w:val="center"/>
              <w:rPr>
                <w:rFonts w:hint="eastAsia" w:ascii="宋体" w:hAnsi="宋体" w:eastAsia="宋体" w:cs="宋体"/>
                <w:b/>
                <w:bCs/>
                <w:spacing w:val="-4"/>
                <w:sz w:val="21"/>
                <w:szCs w:val="21"/>
                <w:lang w:eastAsia="zh-CN"/>
              </w:rPr>
            </w:pPr>
            <w:r>
              <w:rPr>
                <w:rFonts w:hint="eastAsia" w:ascii="宋体" w:hAnsi="宋体" w:cs="宋体"/>
                <w:b/>
                <w:bCs/>
                <w:spacing w:val="-4"/>
                <w:sz w:val="21"/>
                <w:szCs w:val="21"/>
              </w:rPr>
              <w:t>招标文件所需</w:t>
            </w:r>
            <w:r>
              <w:rPr>
                <w:rFonts w:hint="eastAsia" w:ascii="宋体" w:hAnsi="宋体" w:cs="宋体"/>
                <w:b/>
                <w:bCs/>
                <w:spacing w:val="-4"/>
                <w:sz w:val="21"/>
                <w:szCs w:val="21"/>
                <w:lang w:val="en-US" w:eastAsia="zh-CN"/>
              </w:rPr>
              <w:t>规格</w:t>
            </w:r>
          </w:p>
        </w:tc>
        <w:tc>
          <w:tcPr>
            <w:tcW w:w="1155" w:type="pct"/>
            <w:tcBorders>
              <w:top w:val="single" w:color="auto" w:sz="4" w:space="0"/>
              <w:left w:val="nil"/>
              <w:bottom w:val="single" w:color="auto" w:sz="4" w:space="0"/>
              <w:right w:val="single" w:color="auto" w:sz="4" w:space="0"/>
            </w:tcBorders>
            <w:noWrap w:val="0"/>
            <w:vAlign w:val="center"/>
          </w:tcPr>
          <w:p w14:paraId="75903CC7">
            <w:pPr>
              <w:keepNext w:val="0"/>
              <w:keepLines w:val="0"/>
              <w:suppressLineNumbers w:val="0"/>
              <w:spacing w:before="0" w:beforeAutospacing="0" w:after="0" w:afterAutospacing="0"/>
              <w:ind w:left="0" w:right="0"/>
              <w:jc w:val="center"/>
              <w:rPr>
                <w:rFonts w:hint="eastAsia" w:ascii="宋体" w:hAnsi="宋体" w:cs="宋体"/>
                <w:sz w:val="21"/>
                <w:szCs w:val="21"/>
              </w:rPr>
            </w:pPr>
            <w:r>
              <w:rPr>
                <w:rFonts w:hint="eastAsia" w:ascii="宋体" w:hAnsi="宋体" w:cs="宋体"/>
                <w:b/>
                <w:bCs/>
                <w:spacing w:val="-4"/>
                <w:sz w:val="21"/>
                <w:szCs w:val="21"/>
              </w:rPr>
              <w:t>所投</w:t>
            </w:r>
            <w:r>
              <w:rPr>
                <w:rFonts w:hint="eastAsia" w:ascii="宋体" w:hAnsi="宋体" w:cs="宋体"/>
                <w:b/>
                <w:bCs/>
                <w:spacing w:val="-4"/>
                <w:sz w:val="21"/>
                <w:szCs w:val="21"/>
                <w:lang w:val="en-US" w:eastAsia="zh-CN"/>
              </w:rPr>
              <w:t>规格</w:t>
            </w:r>
          </w:p>
        </w:tc>
        <w:tc>
          <w:tcPr>
            <w:tcW w:w="1125" w:type="pct"/>
            <w:tcBorders>
              <w:top w:val="single" w:color="auto" w:sz="4" w:space="0"/>
              <w:left w:val="nil"/>
              <w:bottom w:val="single" w:color="auto" w:sz="4" w:space="0"/>
              <w:right w:val="single" w:color="auto" w:sz="4" w:space="0"/>
            </w:tcBorders>
            <w:noWrap w:val="0"/>
            <w:vAlign w:val="center"/>
          </w:tcPr>
          <w:p w14:paraId="5D628376">
            <w:pPr>
              <w:keepNext w:val="0"/>
              <w:keepLines w:val="0"/>
              <w:suppressLineNumbers w:val="0"/>
              <w:spacing w:before="0" w:beforeAutospacing="0" w:after="0" w:afterAutospacing="0"/>
              <w:ind w:left="0" w:right="0"/>
              <w:jc w:val="center"/>
              <w:rPr>
                <w:rFonts w:hint="eastAsia" w:ascii="宋体" w:hAnsi="宋体" w:cs="宋体"/>
                <w:b/>
                <w:bCs/>
                <w:spacing w:val="-4"/>
                <w:sz w:val="21"/>
                <w:szCs w:val="21"/>
              </w:rPr>
            </w:pPr>
            <w:r>
              <w:rPr>
                <w:rFonts w:hint="eastAsia" w:ascii="宋体" w:hAnsi="宋体" w:cs="宋体"/>
                <w:b/>
                <w:bCs/>
                <w:spacing w:val="-4"/>
                <w:sz w:val="21"/>
                <w:szCs w:val="21"/>
              </w:rPr>
              <w:t>偏离情况及说明</w:t>
            </w:r>
          </w:p>
        </w:tc>
      </w:tr>
      <w:tr w14:paraId="13D23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16" w:type="pct"/>
            <w:tcBorders>
              <w:top w:val="single" w:color="auto" w:sz="4" w:space="0"/>
              <w:left w:val="single" w:color="auto" w:sz="4" w:space="0"/>
              <w:bottom w:val="single" w:color="auto" w:sz="4" w:space="0"/>
              <w:right w:val="single" w:color="auto" w:sz="4" w:space="0"/>
            </w:tcBorders>
            <w:noWrap w:val="0"/>
            <w:vAlign w:val="center"/>
          </w:tcPr>
          <w:p w14:paraId="0AA5A12D">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r>
              <w:rPr>
                <w:rFonts w:hint="eastAsia" w:ascii="宋体" w:hAnsi="宋体" w:cs="宋体"/>
                <w:color w:val="000000"/>
                <w:sz w:val="21"/>
                <w:szCs w:val="21"/>
              </w:rPr>
              <w:t>1</w:t>
            </w:r>
          </w:p>
        </w:tc>
        <w:tc>
          <w:tcPr>
            <w:tcW w:w="1082" w:type="pct"/>
            <w:tcBorders>
              <w:top w:val="single" w:color="auto" w:sz="4" w:space="0"/>
              <w:left w:val="nil"/>
              <w:right w:val="single" w:color="auto" w:sz="4" w:space="0"/>
            </w:tcBorders>
            <w:noWrap w:val="0"/>
            <w:vAlign w:val="center"/>
          </w:tcPr>
          <w:p w14:paraId="44490B72">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 w:val="21"/>
                <w:szCs w:val="21"/>
                <w:lang w:bidi="ar"/>
              </w:rPr>
            </w:pPr>
          </w:p>
        </w:tc>
        <w:tc>
          <w:tcPr>
            <w:tcW w:w="1119" w:type="pct"/>
            <w:tcBorders>
              <w:top w:val="single" w:color="auto" w:sz="4" w:space="0"/>
              <w:left w:val="nil"/>
              <w:bottom w:val="single" w:color="auto" w:sz="4" w:space="0"/>
              <w:right w:val="single" w:color="auto" w:sz="4" w:space="0"/>
            </w:tcBorders>
            <w:noWrap w:val="0"/>
            <w:vAlign w:val="center"/>
          </w:tcPr>
          <w:p w14:paraId="450B9BB8">
            <w:pPr>
              <w:keepNext w:val="0"/>
              <w:keepLines w:val="0"/>
              <w:suppressLineNumbers w:val="0"/>
              <w:spacing w:before="0" w:beforeAutospacing="0" w:after="0" w:afterAutospacing="0"/>
              <w:ind w:left="0" w:right="0"/>
              <w:jc w:val="center"/>
              <w:rPr>
                <w:rFonts w:hint="eastAsia" w:ascii="宋体" w:hAnsi="宋体" w:cs="宋体"/>
                <w:kern w:val="0"/>
                <w:sz w:val="21"/>
                <w:szCs w:val="21"/>
              </w:rPr>
            </w:pPr>
          </w:p>
        </w:tc>
        <w:tc>
          <w:tcPr>
            <w:tcW w:w="1155" w:type="pct"/>
            <w:tcBorders>
              <w:top w:val="single" w:color="auto" w:sz="4" w:space="0"/>
              <w:left w:val="nil"/>
              <w:bottom w:val="single" w:color="auto" w:sz="4" w:space="0"/>
              <w:right w:val="single" w:color="auto" w:sz="4" w:space="0"/>
            </w:tcBorders>
            <w:noWrap w:val="0"/>
            <w:vAlign w:val="center"/>
          </w:tcPr>
          <w:p w14:paraId="3B5C177E">
            <w:pPr>
              <w:keepNext w:val="0"/>
              <w:keepLines w:val="0"/>
              <w:suppressLineNumbers w:val="0"/>
              <w:spacing w:before="0" w:beforeAutospacing="0" w:after="0" w:afterAutospacing="0"/>
              <w:ind w:left="0" w:right="0"/>
              <w:jc w:val="center"/>
              <w:rPr>
                <w:rFonts w:hint="eastAsia" w:ascii="宋体" w:hAnsi="宋体" w:cs="宋体"/>
                <w:sz w:val="21"/>
                <w:szCs w:val="21"/>
              </w:rPr>
            </w:pPr>
          </w:p>
        </w:tc>
        <w:tc>
          <w:tcPr>
            <w:tcW w:w="1125" w:type="pct"/>
            <w:tcBorders>
              <w:top w:val="single" w:color="auto" w:sz="4" w:space="0"/>
              <w:left w:val="nil"/>
              <w:bottom w:val="single" w:color="auto" w:sz="4" w:space="0"/>
              <w:right w:val="single" w:color="auto" w:sz="4" w:space="0"/>
            </w:tcBorders>
            <w:noWrap w:val="0"/>
            <w:vAlign w:val="center"/>
          </w:tcPr>
          <w:p w14:paraId="53CA31D1">
            <w:pPr>
              <w:keepNext w:val="0"/>
              <w:keepLines w:val="0"/>
              <w:suppressLineNumbers w:val="0"/>
              <w:spacing w:before="0" w:beforeAutospacing="0" w:after="0" w:afterAutospacing="0"/>
              <w:ind w:left="0" w:right="0"/>
              <w:jc w:val="center"/>
              <w:rPr>
                <w:rFonts w:hint="eastAsia" w:ascii="宋体" w:hAnsi="宋体" w:cs="宋体"/>
                <w:sz w:val="21"/>
                <w:szCs w:val="21"/>
              </w:rPr>
            </w:pPr>
            <w:r>
              <w:rPr>
                <w:rFonts w:hint="eastAsia" w:ascii="宋体" w:hAnsi="宋体" w:cs="宋体"/>
                <w:sz w:val="21"/>
                <w:szCs w:val="21"/>
              </w:rPr>
              <w:t>正偏离/符合/负偏离</w:t>
            </w:r>
          </w:p>
        </w:tc>
      </w:tr>
      <w:tr w14:paraId="215B8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16" w:type="pct"/>
            <w:tcBorders>
              <w:top w:val="single" w:color="auto" w:sz="4" w:space="0"/>
              <w:left w:val="single" w:color="auto" w:sz="4" w:space="0"/>
              <w:bottom w:val="single" w:color="auto" w:sz="4" w:space="0"/>
              <w:right w:val="single" w:color="auto" w:sz="4" w:space="0"/>
            </w:tcBorders>
            <w:noWrap w:val="0"/>
            <w:vAlign w:val="center"/>
          </w:tcPr>
          <w:p w14:paraId="1B0E08E7">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r>
              <w:rPr>
                <w:rFonts w:hint="eastAsia" w:ascii="宋体" w:hAnsi="宋体" w:cs="宋体"/>
                <w:color w:val="000000"/>
                <w:sz w:val="21"/>
                <w:szCs w:val="21"/>
              </w:rPr>
              <w:t>2</w:t>
            </w:r>
          </w:p>
        </w:tc>
        <w:tc>
          <w:tcPr>
            <w:tcW w:w="1082" w:type="pct"/>
            <w:tcBorders>
              <w:left w:val="nil"/>
              <w:right w:val="single" w:color="auto" w:sz="4" w:space="0"/>
            </w:tcBorders>
            <w:noWrap w:val="0"/>
            <w:vAlign w:val="center"/>
          </w:tcPr>
          <w:p w14:paraId="19FD64A7">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119" w:type="pct"/>
            <w:tcBorders>
              <w:top w:val="single" w:color="auto" w:sz="4" w:space="0"/>
              <w:left w:val="nil"/>
              <w:bottom w:val="single" w:color="auto" w:sz="4" w:space="0"/>
              <w:right w:val="single" w:color="auto" w:sz="4" w:space="0"/>
            </w:tcBorders>
            <w:noWrap w:val="0"/>
            <w:vAlign w:val="center"/>
          </w:tcPr>
          <w:p w14:paraId="476BCAB3">
            <w:pPr>
              <w:keepNext w:val="0"/>
              <w:keepLines w:val="0"/>
              <w:suppressLineNumbers w:val="0"/>
              <w:spacing w:before="0" w:beforeAutospacing="0" w:after="0" w:afterAutospacing="0"/>
              <w:ind w:left="0" w:right="0"/>
              <w:jc w:val="center"/>
              <w:rPr>
                <w:rFonts w:hint="eastAsia" w:ascii="宋体" w:hAnsi="宋体" w:cs="宋体"/>
                <w:sz w:val="21"/>
                <w:szCs w:val="21"/>
              </w:rPr>
            </w:pPr>
          </w:p>
        </w:tc>
        <w:tc>
          <w:tcPr>
            <w:tcW w:w="1155" w:type="pct"/>
            <w:tcBorders>
              <w:top w:val="single" w:color="auto" w:sz="4" w:space="0"/>
              <w:left w:val="nil"/>
              <w:bottom w:val="single" w:color="auto" w:sz="4" w:space="0"/>
              <w:right w:val="single" w:color="auto" w:sz="4" w:space="0"/>
            </w:tcBorders>
            <w:noWrap w:val="0"/>
            <w:vAlign w:val="center"/>
          </w:tcPr>
          <w:p w14:paraId="7503EFEA">
            <w:pPr>
              <w:keepNext w:val="0"/>
              <w:keepLines w:val="0"/>
              <w:suppressLineNumbers w:val="0"/>
              <w:spacing w:before="0" w:beforeAutospacing="0" w:after="0" w:afterAutospacing="0"/>
              <w:ind w:left="0" w:right="0"/>
              <w:jc w:val="center"/>
              <w:rPr>
                <w:rFonts w:hint="eastAsia" w:ascii="宋体" w:hAnsi="宋体" w:cs="宋体"/>
                <w:sz w:val="21"/>
                <w:szCs w:val="21"/>
              </w:rPr>
            </w:pPr>
          </w:p>
        </w:tc>
        <w:tc>
          <w:tcPr>
            <w:tcW w:w="1125" w:type="pct"/>
            <w:tcBorders>
              <w:top w:val="single" w:color="auto" w:sz="4" w:space="0"/>
              <w:left w:val="nil"/>
              <w:bottom w:val="single" w:color="auto" w:sz="4" w:space="0"/>
              <w:right w:val="single" w:color="auto" w:sz="4" w:space="0"/>
            </w:tcBorders>
            <w:noWrap w:val="0"/>
            <w:vAlign w:val="center"/>
          </w:tcPr>
          <w:p w14:paraId="6EABC826">
            <w:pPr>
              <w:keepNext w:val="0"/>
              <w:keepLines w:val="0"/>
              <w:suppressLineNumbers w:val="0"/>
              <w:spacing w:before="0" w:beforeAutospacing="0" w:after="0" w:afterAutospacing="0"/>
              <w:ind w:left="0" w:right="0"/>
              <w:jc w:val="center"/>
              <w:rPr>
                <w:rFonts w:hint="eastAsia" w:ascii="宋体" w:hAnsi="宋体" w:cs="宋体"/>
                <w:sz w:val="21"/>
                <w:szCs w:val="21"/>
              </w:rPr>
            </w:pPr>
          </w:p>
        </w:tc>
      </w:tr>
      <w:tr w14:paraId="3253F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16" w:type="pct"/>
            <w:tcBorders>
              <w:top w:val="single" w:color="auto" w:sz="4" w:space="0"/>
              <w:left w:val="single" w:color="auto" w:sz="4" w:space="0"/>
              <w:bottom w:val="single" w:color="auto" w:sz="4" w:space="0"/>
              <w:right w:val="single" w:color="auto" w:sz="4" w:space="0"/>
            </w:tcBorders>
            <w:noWrap w:val="0"/>
            <w:vAlign w:val="center"/>
          </w:tcPr>
          <w:p w14:paraId="14FF71A8">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r>
              <w:rPr>
                <w:rFonts w:hint="eastAsia" w:ascii="宋体" w:hAnsi="宋体" w:cs="宋体"/>
                <w:color w:val="000000"/>
                <w:sz w:val="21"/>
                <w:szCs w:val="21"/>
              </w:rPr>
              <w:t>3</w:t>
            </w:r>
          </w:p>
        </w:tc>
        <w:tc>
          <w:tcPr>
            <w:tcW w:w="1082" w:type="pct"/>
            <w:tcBorders>
              <w:left w:val="nil"/>
              <w:right w:val="single" w:color="auto" w:sz="4" w:space="0"/>
            </w:tcBorders>
            <w:noWrap w:val="0"/>
            <w:vAlign w:val="center"/>
          </w:tcPr>
          <w:p w14:paraId="3D2FDCA8">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119" w:type="pct"/>
            <w:tcBorders>
              <w:top w:val="single" w:color="auto" w:sz="4" w:space="0"/>
              <w:left w:val="nil"/>
              <w:bottom w:val="single" w:color="auto" w:sz="4" w:space="0"/>
              <w:right w:val="single" w:color="auto" w:sz="4" w:space="0"/>
            </w:tcBorders>
            <w:noWrap w:val="0"/>
            <w:vAlign w:val="center"/>
          </w:tcPr>
          <w:p w14:paraId="66CC8B6E">
            <w:pPr>
              <w:keepNext w:val="0"/>
              <w:keepLines w:val="0"/>
              <w:suppressLineNumbers w:val="0"/>
              <w:spacing w:before="0" w:beforeAutospacing="0" w:after="0" w:afterAutospacing="0"/>
              <w:ind w:left="0" w:right="0"/>
              <w:jc w:val="center"/>
              <w:rPr>
                <w:rFonts w:hint="eastAsia" w:ascii="宋体" w:hAnsi="宋体" w:cs="宋体"/>
                <w:kern w:val="0"/>
                <w:sz w:val="21"/>
                <w:szCs w:val="21"/>
              </w:rPr>
            </w:pPr>
          </w:p>
        </w:tc>
        <w:tc>
          <w:tcPr>
            <w:tcW w:w="1155" w:type="pct"/>
            <w:tcBorders>
              <w:top w:val="single" w:color="auto" w:sz="4" w:space="0"/>
              <w:left w:val="nil"/>
              <w:bottom w:val="single" w:color="auto" w:sz="4" w:space="0"/>
              <w:right w:val="single" w:color="auto" w:sz="4" w:space="0"/>
            </w:tcBorders>
            <w:noWrap w:val="0"/>
            <w:vAlign w:val="center"/>
          </w:tcPr>
          <w:p w14:paraId="45F3182F">
            <w:pPr>
              <w:keepNext w:val="0"/>
              <w:keepLines w:val="0"/>
              <w:suppressLineNumbers w:val="0"/>
              <w:spacing w:before="0" w:beforeAutospacing="0" w:after="0" w:afterAutospacing="0"/>
              <w:ind w:left="0" w:right="0"/>
              <w:jc w:val="center"/>
              <w:rPr>
                <w:rFonts w:hint="eastAsia" w:ascii="宋体" w:hAnsi="宋体" w:cs="宋体"/>
                <w:sz w:val="21"/>
                <w:szCs w:val="21"/>
              </w:rPr>
            </w:pPr>
          </w:p>
        </w:tc>
        <w:tc>
          <w:tcPr>
            <w:tcW w:w="1125" w:type="pct"/>
            <w:tcBorders>
              <w:top w:val="single" w:color="auto" w:sz="4" w:space="0"/>
              <w:left w:val="nil"/>
              <w:bottom w:val="single" w:color="auto" w:sz="4" w:space="0"/>
              <w:right w:val="single" w:color="auto" w:sz="4" w:space="0"/>
            </w:tcBorders>
            <w:noWrap w:val="0"/>
            <w:vAlign w:val="center"/>
          </w:tcPr>
          <w:p w14:paraId="2893383D">
            <w:pPr>
              <w:keepNext w:val="0"/>
              <w:keepLines w:val="0"/>
              <w:suppressLineNumbers w:val="0"/>
              <w:spacing w:before="0" w:beforeAutospacing="0" w:after="0" w:afterAutospacing="0"/>
              <w:ind w:left="0" w:right="0"/>
              <w:jc w:val="center"/>
              <w:rPr>
                <w:rFonts w:hint="eastAsia" w:ascii="宋体" w:hAnsi="宋体" w:cs="宋体"/>
                <w:sz w:val="21"/>
                <w:szCs w:val="21"/>
              </w:rPr>
            </w:pPr>
          </w:p>
        </w:tc>
      </w:tr>
      <w:tr w14:paraId="4623F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16" w:type="pct"/>
            <w:tcBorders>
              <w:top w:val="single" w:color="auto" w:sz="4" w:space="0"/>
              <w:left w:val="single" w:color="auto" w:sz="4" w:space="0"/>
              <w:bottom w:val="single" w:color="auto" w:sz="4" w:space="0"/>
              <w:right w:val="single" w:color="auto" w:sz="4" w:space="0"/>
            </w:tcBorders>
            <w:noWrap w:val="0"/>
            <w:vAlign w:val="center"/>
          </w:tcPr>
          <w:p w14:paraId="2D448BE6">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r>
              <w:rPr>
                <w:rFonts w:hint="eastAsia" w:ascii="宋体" w:hAnsi="宋体" w:cs="宋体"/>
                <w:color w:val="000000"/>
                <w:sz w:val="21"/>
                <w:szCs w:val="21"/>
              </w:rPr>
              <w:t>……</w:t>
            </w:r>
          </w:p>
        </w:tc>
        <w:tc>
          <w:tcPr>
            <w:tcW w:w="1082" w:type="pct"/>
            <w:tcBorders>
              <w:left w:val="nil"/>
              <w:right w:val="single" w:color="auto" w:sz="4" w:space="0"/>
            </w:tcBorders>
            <w:noWrap w:val="0"/>
            <w:vAlign w:val="center"/>
          </w:tcPr>
          <w:p w14:paraId="0309B37B">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119" w:type="pct"/>
            <w:tcBorders>
              <w:top w:val="single" w:color="auto" w:sz="4" w:space="0"/>
              <w:left w:val="nil"/>
              <w:bottom w:val="single" w:color="auto" w:sz="4" w:space="0"/>
              <w:right w:val="single" w:color="auto" w:sz="4" w:space="0"/>
            </w:tcBorders>
            <w:noWrap w:val="0"/>
            <w:vAlign w:val="center"/>
          </w:tcPr>
          <w:p w14:paraId="58D8AF76">
            <w:pPr>
              <w:keepNext w:val="0"/>
              <w:keepLines w:val="0"/>
              <w:suppressLineNumbers w:val="0"/>
              <w:spacing w:before="0" w:beforeAutospacing="0" w:after="0" w:afterAutospacing="0"/>
              <w:ind w:left="0" w:right="0"/>
              <w:jc w:val="center"/>
              <w:rPr>
                <w:rFonts w:hint="eastAsia" w:ascii="宋体" w:hAnsi="宋体" w:cs="宋体"/>
                <w:kern w:val="0"/>
                <w:sz w:val="21"/>
                <w:szCs w:val="21"/>
              </w:rPr>
            </w:pPr>
          </w:p>
        </w:tc>
        <w:tc>
          <w:tcPr>
            <w:tcW w:w="1155" w:type="pct"/>
            <w:tcBorders>
              <w:top w:val="single" w:color="auto" w:sz="4" w:space="0"/>
              <w:left w:val="nil"/>
              <w:bottom w:val="single" w:color="auto" w:sz="4" w:space="0"/>
              <w:right w:val="single" w:color="auto" w:sz="4" w:space="0"/>
            </w:tcBorders>
            <w:noWrap w:val="0"/>
            <w:vAlign w:val="center"/>
          </w:tcPr>
          <w:p w14:paraId="405881B7">
            <w:pPr>
              <w:keepNext w:val="0"/>
              <w:keepLines w:val="0"/>
              <w:suppressLineNumbers w:val="0"/>
              <w:spacing w:before="0" w:beforeAutospacing="0" w:after="0" w:afterAutospacing="0"/>
              <w:ind w:left="0" w:right="0"/>
              <w:jc w:val="center"/>
              <w:rPr>
                <w:rFonts w:hint="eastAsia" w:ascii="宋体" w:hAnsi="宋体" w:cs="宋体"/>
                <w:sz w:val="21"/>
                <w:szCs w:val="21"/>
              </w:rPr>
            </w:pPr>
          </w:p>
        </w:tc>
        <w:tc>
          <w:tcPr>
            <w:tcW w:w="1125" w:type="pct"/>
            <w:tcBorders>
              <w:top w:val="single" w:color="auto" w:sz="4" w:space="0"/>
              <w:left w:val="nil"/>
              <w:bottom w:val="single" w:color="auto" w:sz="4" w:space="0"/>
              <w:right w:val="single" w:color="auto" w:sz="4" w:space="0"/>
            </w:tcBorders>
            <w:noWrap w:val="0"/>
            <w:vAlign w:val="center"/>
          </w:tcPr>
          <w:p w14:paraId="7179F286">
            <w:pPr>
              <w:keepNext w:val="0"/>
              <w:keepLines w:val="0"/>
              <w:suppressLineNumbers w:val="0"/>
              <w:spacing w:before="0" w:beforeAutospacing="0" w:after="0" w:afterAutospacing="0"/>
              <w:ind w:left="0" w:right="0"/>
              <w:jc w:val="center"/>
              <w:rPr>
                <w:rFonts w:hint="eastAsia" w:ascii="宋体" w:hAnsi="宋体" w:cs="宋体"/>
                <w:sz w:val="21"/>
                <w:szCs w:val="21"/>
              </w:rPr>
            </w:pPr>
          </w:p>
        </w:tc>
      </w:tr>
      <w:tr w14:paraId="6F938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16" w:type="pct"/>
            <w:tcBorders>
              <w:top w:val="single" w:color="auto" w:sz="4" w:space="0"/>
              <w:left w:val="single" w:color="auto" w:sz="4" w:space="0"/>
              <w:bottom w:val="single" w:color="auto" w:sz="4" w:space="0"/>
              <w:right w:val="single" w:color="auto" w:sz="4" w:space="0"/>
            </w:tcBorders>
            <w:noWrap w:val="0"/>
            <w:vAlign w:val="center"/>
          </w:tcPr>
          <w:p w14:paraId="2C183B1D">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082" w:type="pct"/>
            <w:tcBorders>
              <w:left w:val="nil"/>
              <w:right w:val="single" w:color="auto" w:sz="4" w:space="0"/>
            </w:tcBorders>
            <w:noWrap w:val="0"/>
            <w:vAlign w:val="center"/>
          </w:tcPr>
          <w:p w14:paraId="296D0DF0">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119" w:type="pct"/>
            <w:tcBorders>
              <w:top w:val="single" w:color="auto" w:sz="4" w:space="0"/>
              <w:left w:val="nil"/>
              <w:bottom w:val="single" w:color="auto" w:sz="4" w:space="0"/>
              <w:right w:val="single" w:color="auto" w:sz="4" w:space="0"/>
            </w:tcBorders>
            <w:noWrap w:val="0"/>
            <w:vAlign w:val="center"/>
          </w:tcPr>
          <w:p w14:paraId="7367BEFF">
            <w:pPr>
              <w:keepNext w:val="0"/>
              <w:keepLines w:val="0"/>
              <w:suppressLineNumbers w:val="0"/>
              <w:spacing w:before="0" w:beforeAutospacing="0" w:after="0" w:afterAutospacing="0"/>
              <w:ind w:left="0" w:right="0"/>
              <w:jc w:val="center"/>
              <w:rPr>
                <w:rFonts w:hint="eastAsia" w:ascii="宋体" w:hAnsi="宋体" w:cs="宋体"/>
                <w:kern w:val="0"/>
                <w:sz w:val="21"/>
                <w:szCs w:val="21"/>
              </w:rPr>
            </w:pPr>
          </w:p>
        </w:tc>
        <w:tc>
          <w:tcPr>
            <w:tcW w:w="1155" w:type="pct"/>
            <w:tcBorders>
              <w:top w:val="single" w:color="auto" w:sz="4" w:space="0"/>
              <w:left w:val="nil"/>
              <w:bottom w:val="single" w:color="auto" w:sz="4" w:space="0"/>
              <w:right w:val="single" w:color="auto" w:sz="4" w:space="0"/>
            </w:tcBorders>
            <w:noWrap w:val="0"/>
            <w:vAlign w:val="center"/>
          </w:tcPr>
          <w:p w14:paraId="68A6A0CA">
            <w:pPr>
              <w:keepNext w:val="0"/>
              <w:keepLines w:val="0"/>
              <w:suppressLineNumbers w:val="0"/>
              <w:spacing w:before="0" w:beforeAutospacing="0" w:after="0" w:afterAutospacing="0"/>
              <w:ind w:left="0" w:right="0"/>
              <w:jc w:val="center"/>
              <w:rPr>
                <w:rFonts w:hint="eastAsia" w:ascii="宋体" w:hAnsi="宋体" w:cs="宋体"/>
                <w:sz w:val="21"/>
                <w:szCs w:val="21"/>
              </w:rPr>
            </w:pPr>
          </w:p>
        </w:tc>
        <w:tc>
          <w:tcPr>
            <w:tcW w:w="1125" w:type="pct"/>
            <w:tcBorders>
              <w:top w:val="single" w:color="auto" w:sz="4" w:space="0"/>
              <w:left w:val="nil"/>
              <w:bottom w:val="single" w:color="auto" w:sz="4" w:space="0"/>
              <w:right w:val="single" w:color="auto" w:sz="4" w:space="0"/>
            </w:tcBorders>
            <w:noWrap w:val="0"/>
            <w:vAlign w:val="center"/>
          </w:tcPr>
          <w:p w14:paraId="5DB273A1">
            <w:pPr>
              <w:keepNext w:val="0"/>
              <w:keepLines w:val="0"/>
              <w:suppressLineNumbers w:val="0"/>
              <w:spacing w:before="0" w:beforeAutospacing="0" w:after="0" w:afterAutospacing="0"/>
              <w:ind w:left="0" w:right="0"/>
              <w:jc w:val="center"/>
              <w:rPr>
                <w:rFonts w:hint="eastAsia" w:ascii="宋体" w:hAnsi="宋体" w:cs="宋体"/>
                <w:sz w:val="21"/>
                <w:szCs w:val="21"/>
              </w:rPr>
            </w:pPr>
          </w:p>
        </w:tc>
      </w:tr>
      <w:tr w14:paraId="58F35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16" w:type="pct"/>
            <w:tcBorders>
              <w:top w:val="single" w:color="auto" w:sz="4" w:space="0"/>
              <w:left w:val="single" w:color="auto" w:sz="4" w:space="0"/>
              <w:bottom w:val="single" w:color="auto" w:sz="4" w:space="0"/>
              <w:right w:val="single" w:color="auto" w:sz="4" w:space="0"/>
            </w:tcBorders>
            <w:noWrap w:val="0"/>
            <w:vAlign w:val="center"/>
          </w:tcPr>
          <w:p w14:paraId="18CD1FFB">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082" w:type="pct"/>
            <w:tcBorders>
              <w:left w:val="nil"/>
              <w:right w:val="single" w:color="auto" w:sz="4" w:space="0"/>
            </w:tcBorders>
            <w:noWrap w:val="0"/>
            <w:vAlign w:val="center"/>
          </w:tcPr>
          <w:p w14:paraId="6290932A">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119" w:type="pct"/>
            <w:tcBorders>
              <w:top w:val="single" w:color="auto" w:sz="4" w:space="0"/>
              <w:left w:val="nil"/>
              <w:bottom w:val="single" w:color="auto" w:sz="4" w:space="0"/>
              <w:right w:val="single" w:color="auto" w:sz="4" w:space="0"/>
            </w:tcBorders>
            <w:noWrap w:val="0"/>
            <w:vAlign w:val="center"/>
          </w:tcPr>
          <w:p w14:paraId="18299885">
            <w:pPr>
              <w:keepNext w:val="0"/>
              <w:keepLines w:val="0"/>
              <w:suppressLineNumbers w:val="0"/>
              <w:spacing w:before="0" w:beforeAutospacing="0" w:after="0" w:afterAutospacing="0"/>
              <w:ind w:left="0" w:right="0"/>
              <w:jc w:val="center"/>
              <w:rPr>
                <w:rFonts w:hint="eastAsia" w:ascii="宋体" w:hAnsi="宋体" w:cs="宋体"/>
                <w:kern w:val="0"/>
                <w:sz w:val="21"/>
                <w:szCs w:val="21"/>
              </w:rPr>
            </w:pPr>
          </w:p>
        </w:tc>
        <w:tc>
          <w:tcPr>
            <w:tcW w:w="1155" w:type="pct"/>
            <w:tcBorders>
              <w:top w:val="single" w:color="auto" w:sz="4" w:space="0"/>
              <w:left w:val="nil"/>
              <w:bottom w:val="single" w:color="auto" w:sz="4" w:space="0"/>
              <w:right w:val="single" w:color="auto" w:sz="4" w:space="0"/>
            </w:tcBorders>
            <w:noWrap w:val="0"/>
            <w:vAlign w:val="center"/>
          </w:tcPr>
          <w:p w14:paraId="2B7FF084">
            <w:pPr>
              <w:keepNext w:val="0"/>
              <w:keepLines w:val="0"/>
              <w:suppressLineNumbers w:val="0"/>
              <w:spacing w:before="0" w:beforeAutospacing="0" w:after="0" w:afterAutospacing="0"/>
              <w:ind w:left="0" w:right="0"/>
              <w:jc w:val="center"/>
              <w:rPr>
                <w:rFonts w:hint="eastAsia" w:ascii="宋体" w:hAnsi="宋体" w:cs="宋体"/>
                <w:sz w:val="21"/>
                <w:szCs w:val="21"/>
              </w:rPr>
            </w:pPr>
          </w:p>
        </w:tc>
        <w:tc>
          <w:tcPr>
            <w:tcW w:w="1125" w:type="pct"/>
            <w:tcBorders>
              <w:top w:val="single" w:color="auto" w:sz="4" w:space="0"/>
              <w:left w:val="nil"/>
              <w:bottom w:val="single" w:color="auto" w:sz="4" w:space="0"/>
              <w:right w:val="single" w:color="auto" w:sz="4" w:space="0"/>
            </w:tcBorders>
            <w:noWrap w:val="0"/>
            <w:vAlign w:val="center"/>
          </w:tcPr>
          <w:p w14:paraId="728B0A11">
            <w:pPr>
              <w:keepNext w:val="0"/>
              <w:keepLines w:val="0"/>
              <w:suppressLineNumbers w:val="0"/>
              <w:spacing w:before="0" w:beforeAutospacing="0" w:after="0" w:afterAutospacing="0"/>
              <w:ind w:left="0" w:right="0"/>
              <w:jc w:val="center"/>
              <w:rPr>
                <w:rFonts w:hint="eastAsia" w:ascii="宋体" w:hAnsi="宋体" w:cs="宋体"/>
                <w:sz w:val="21"/>
                <w:szCs w:val="21"/>
              </w:rPr>
            </w:pPr>
          </w:p>
        </w:tc>
      </w:tr>
      <w:tr w14:paraId="37A47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16" w:type="pct"/>
            <w:tcBorders>
              <w:top w:val="single" w:color="auto" w:sz="4" w:space="0"/>
              <w:left w:val="single" w:color="auto" w:sz="4" w:space="0"/>
              <w:bottom w:val="single" w:color="auto" w:sz="4" w:space="0"/>
              <w:right w:val="single" w:color="auto" w:sz="4" w:space="0"/>
            </w:tcBorders>
            <w:noWrap w:val="0"/>
            <w:vAlign w:val="center"/>
          </w:tcPr>
          <w:p w14:paraId="0B72EFCF">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082" w:type="pct"/>
            <w:tcBorders>
              <w:left w:val="nil"/>
              <w:right w:val="single" w:color="auto" w:sz="4" w:space="0"/>
            </w:tcBorders>
            <w:noWrap w:val="0"/>
            <w:vAlign w:val="center"/>
          </w:tcPr>
          <w:p w14:paraId="141CD262">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1"/>
                <w:szCs w:val="21"/>
              </w:rPr>
            </w:pPr>
          </w:p>
        </w:tc>
        <w:tc>
          <w:tcPr>
            <w:tcW w:w="1119" w:type="pct"/>
            <w:tcBorders>
              <w:top w:val="single" w:color="auto" w:sz="4" w:space="0"/>
              <w:left w:val="nil"/>
              <w:bottom w:val="single" w:color="auto" w:sz="4" w:space="0"/>
              <w:right w:val="single" w:color="auto" w:sz="4" w:space="0"/>
            </w:tcBorders>
            <w:noWrap w:val="0"/>
            <w:vAlign w:val="center"/>
          </w:tcPr>
          <w:p w14:paraId="4A9259F0">
            <w:pPr>
              <w:keepNext w:val="0"/>
              <w:keepLines w:val="0"/>
              <w:suppressLineNumbers w:val="0"/>
              <w:spacing w:before="0" w:beforeAutospacing="0" w:after="0" w:afterAutospacing="0"/>
              <w:ind w:left="0" w:right="0"/>
              <w:jc w:val="center"/>
              <w:rPr>
                <w:rFonts w:hint="eastAsia" w:ascii="宋体" w:hAnsi="宋体" w:cs="宋体"/>
                <w:kern w:val="0"/>
                <w:sz w:val="21"/>
                <w:szCs w:val="21"/>
              </w:rPr>
            </w:pPr>
          </w:p>
        </w:tc>
        <w:tc>
          <w:tcPr>
            <w:tcW w:w="1155" w:type="pct"/>
            <w:tcBorders>
              <w:top w:val="single" w:color="auto" w:sz="4" w:space="0"/>
              <w:left w:val="nil"/>
              <w:bottom w:val="single" w:color="auto" w:sz="4" w:space="0"/>
              <w:right w:val="single" w:color="auto" w:sz="4" w:space="0"/>
            </w:tcBorders>
            <w:noWrap w:val="0"/>
            <w:vAlign w:val="center"/>
          </w:tcPr>
          <w:p w14:paraId="2319D8AC">
            <w:pPr>
              <w:keepNext w:val="0"/>
              <w:keepLines w:val="0"/>
              <w:suppressLineNumbers w:val="0"/>
              <w:spacing w:before="0" w:beforeAutospacing="0" w:after="0" w:afterAutospacing="0"/>
              <w:ind w:left="0" w:right="0"/>
              <w:jc w:val="center"/>
              <w:rPr>
                <w:rFonts w:hint="eastAsia" w:ascii="宋体" w:hAnsi="宋体" w:cs="宋体"/>
                <w:sz w:val="21"/>
                <w:szCs w:val="21"/>
              </w:rPr>
            </w:pPr>
          </w:p>
        </w:tc>
        <w:tc>
          <w:tcPr>
            <w:tcW w:w="1125" w:type="pct"/>
            <w:tcBorders>
              <w:top w:val="single" w:color="auto" w:sz="4" w:space="0"/>
              <w:left w:val="nil"/>
              <w:bottom w:val="single" w:color="auto" w:sz="4" w:space="0"/>
              <w:right w:val="single" w:color="auto" w:sz="4" w:space="0"/>
            </w:tcBorders>
            <w:noWrap w:val="0"/>
            <w:vAlign w:val="center"/>
          </w:tcPr>
          <w:p w14:paraId="3217D30C">
            <w:pPr>
              <w:keepNext w:val="0"/>
              <w:keepLines w:val="0"/>
              <w:suppressLineNumbers w:val="0"/>
              <w:spacing w:before="0" w:beforeAutospacing="0" w:after="0" w:afterAutospacing="0"/>
              <w:ind w:left="0" w:right="0"/>
              <w:jc w:val="center"/>
              <w:rPr>
                <w:rFonts w:hint="eastAsia" w:ascii="宋体" w:hAnsi="宋体" w:cs="宋体"/>
                <w:sz w:val="21"/>
                <w:szCs w:val="21"/>
              </w:rPr>
            </w:pPr>
          </w:p>
        </w:tc>
      </w:tr>
    </w:tbl>
    <w:p w14:paraId="531D2A75">
      <w:pPr>
        <w:spacing w:line="360" w:lineRule="auto"/>
        <w:ind w:left="424" w:leftChars="202"/>
        <w:rPr>
          <w:rFonts w:ascii="宋体" w:hAnsi="宋体" w:cs="宋体"/>
          <w:b/>
          <w:szCs w:val="21"/>
        </w:rPr>
      </w:pPr>
    </w:p>
    <w:p w14:paraId="5F95D0A7">
      <w:pPr>
        <w:spacing w:line="360" w:lineRule="auto"/>
        <w:ind w:left="424" w:leftChars="202"/>
        <w:rPr>
          <w:rFonts w:ascii="宋体" w:hAnsi="宋体" w:cs="宋体"/>
          <w:b/>
          <w:szCs w:val="21"/>
        </w:rPr>
      </w:pPr>
    </w:p>
    <w:p w14:paraId="0E262DF8">
      <w:pPr>
        <w:spacing w:line="360" w:lineRule="auto"/>
        <w:ind w:left="424" w:leftChars="202"/>
        <w:rPr>
          <w:rFonts w:ascii="宋体" w:hAnsi="宋体" w:cs="宋体"/>
          <w:b/>
          <w:szCs w:val="21"/>
        </w:rPr>
      </w:pPr>
    </w:p>
    <w:p w14:paraId="220F96EA">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r>
        <w:rPr>
          <w:rFonts w:hint="eastAsia" w:ascii="宋体" w:hAnsi="宋体" w:cs="宋体"/>
          <w:szCs w:val="21"/>
        </w:rPr>
        <w:t xml:space="preserve">（加盖公章）  </w:t>
      </w:r>
    </w:p>
    <w:p w14:paraId="3929EF72">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投标人代表：</w:t>
      </w:r>
      <w:r>
        <w:rPr>
          <w:rFonts w:hint="eastAsia" w:ascii="宋体" w:hAnsi="宋体" w:cs="宋体"/>
          <w:szCs w:val="21"/>
          <w:u w:val="single"/>
        </w:rPr>
        <w:t xml:space="preserve">                </w:t>
      </w:r>
      <w:r>
        <w:rPr>
          <w:rFonts w:hint="eastAsia" w:ascii="宋体" w:hAnsi="宋体" w:cs="宋体"/>
          <w:szCs w:val="21"/>
        </w:rPr>
        <w:t>（签字）</w:t>
      </w:r>
    </w:p>
    <w:p w14:paraId="62D9E1AB">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480324C2">
      <w:pPr>
        <w:snapToGrid w:val="0"/>
        <w:spacing w:before="50" w:after="156" w:afterLines="50"/>
        <w:outlineLvl w:val="9"/>
        <w:rPr>
          <w:rFonts w:hint="eastAsia" w:ascii="宋体" w:hAnsi="宋体" w:cs="宋体"/>
          <w:b/>
          <w:szCs w:val="21"/>
        </w:rPr>
      </w:pPr>
    </w:p>
    <w:p w14:paraId="4BAEEA2A">
      <w:pPr>
        <w:snapToGrid w:val="0"/>
        <w:spacing w:before="50" w:after="156" w:afterLines="50"/>
        <w:outlineLvl w:val="9"/>
        <w:rPr>
          <w:rFonts w:hint="eastAsia" w:ascii="宋体" w:hAnsi="宋体" w:cs="宋体"/>
          <w:b/>
          <w:szCs w:val="21"/>
        </w:rPr>
      </w:pPr>
    </w:p>
    <w:p w14:paraId="5E0A0ABD">
      <w:pPr>
        <w:snapToGrid w:val="0"/>
        <w:spacing w:before="50" w:after="156" w:afterLines="50"/>
        <w:outlineLvl w:val="9"/>
        <w:rPr>
          <w:rFonts w:hint="eastAsia" w:ascii="宋体" w:hAnsi="宋体" w:cs="宋体"/>
          <w:b/>
          <w:szCs w:val="21"/>
        </w:rPr>
      </w:pPr>
    </w:p>
    <w:p w14:paraId="429540FF">
      <w:pPr>
        <w:snapToGrid w:val="0"/>
        <w:spacing w:before="50" w:after="156" w:afterLines="50"/>
        <w:outlineLvl w:val="9"/>
        <w:rPr>
          <w:rFonts w:hint="eastAsia" w:ascii="宋体" w:hAnsi="宋体" w:cs="宋体"/>
          <w:b/>
          <w:szCs w:val="21"/>
        </w:rPr>
      </w:pPr>
    </w:p>
    <w:p w14:paraId="7A7EAEDE">
      <w:pPr>
        <w:snapToGrid w:val="0"/>
        <w:spacing w:before="50" w:after="156" w:afterLines="50"/>
        <w:outlineLvl w:val="9"/>
        <w:rPr>
          <w:rFonts w:hint="eastAsia" w:ascii="宋体" w:hAnsi="宋体" w:cs="宋体"/>
          <w:b/>
          <w:szCs w:val="21"/>
        </w:rPr>
      </w:pPr>
    </w:p>
    <w:p w14:paraId="0A6E166C">
      <w:pPr>
        <w:rPr>
          <w:rFonts w:hint="eastAsia" w:ascii="宋体" w:hAnsi="宋体" w:cs="宋体"/>
          <w:b/>
          <w:szCs w:val="21"/>
        </w:rPr>
      </w:pPr>
      <w:r>
        <w:rPr>
          <w:rFonts w:hint="eastAsia" w:ascii="宋体" w:hAnsi="宋体" w:cs="宋体"/>
          <w:b/>
          <w:szCs w:val="21"/>
        </w:rPr>
        <w:br w:type="page"/>
      </w:r>
    </w:p>
    <w:p w14:paraId="50B4D4F2">
      <w:pPr>
        <w:snapToGrid w:val="0"/>
        <w:spacing w:before="50" w:after="156" w:afterLines="50"/>
        <w:outlineLvl w:val="2"/>
        <w:rPr>
          <w:rFonts w:ascii="宋体" w:hAnsi="宋体" w:cs="宋体"/>
          <w:b/>
          <w:szCs w:val="21"/>
        </w:rPr>
      </w:pPr>
      <w:r>
        <w:rPr>
          <w:rFonts w:hint="eastAsia" w:ascii="宋体" w:hAnsi="宋体" w:cs="宋体"/>
          <w:b/>
          <w:szCs w:val="21"/>
        </w:rPr>
        <w:t>格式</w:t>
      </w:r>
      <w:r>
        <w:rPr>
          <w:rFonts w:hint="eastAsia" w:ascii="宋体" w:hAnsi="宋体" w:cs="宋体"/>
          <w:b/>
          <w:szCs w:val="21"/>
          <w:lang w:val="en-US" w:eastAsia="zh-CN"/>
        </w:rPr>
        <w:t>十</w:t>
      </w:r>
      <w:r>
        <w:rPr>
          <w:rFonts w:hint="eastAsia" w:ascii="宋体" w:hAnsi="宋体" w:cs="宋体"/>
          <w:b/>
          <w:szCs w:val="21"/>
        </w:rPr>
        <w:t>、相关项目实施业绩一览表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1833"/>
        <w:gridCol w:w="2371"/>
        <w:gridCol w:w="1822"/>
        <w:gridCol w:w="1276"/>
        <w:gridCol w:w="1688"/>
      </w:tblGrid>
      <w:tr w14:paraId="53C6D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383" w:type="pct"/>
            <w:noWrap w:val="0"/>
            <w:vAlign w:val="center"/>
          </w:tcPr>
          <w:p w14:paraId="7F46B78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t>序号</w:t>
            </w:r>
          </w:p>
        </w:tc>
        <w:tc>
          <w:tcPr>
            <w:tcW w:w="941" w:type="pct"/>
            <w:noWrap w:val="0"/>
            <w:vAlign w:val="center"/>
          </w:tcPr>
          <w:p w14:paraId="7D22D630">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Cs w:val="21"/>
              </w:rPr>
            </w:pPr>
            <w:r>
              <w:rPr>
                <w:rFonts w:hint="eastAsia" w:ascii="宋体" w:hAnsi="宋体" w:eastAsia="宋体" w:cs="Times New Roman"/>
                <w:szCs w:val="21"/>
              </w:rPr>
              <w:t>采购单位</w:t>
            </w:r>
          </w:p>
        </w:tc>
        <w:tc>
          <w:tcPr>
            <w:tcW w:w="1217" w:type="pct"/>
            <w:noWrap w:val="0"/>
            <w:vAlign w:val="center"/>
          </w:tcPr>
          <w:p w14:paraId="7167743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t>项目简要描述</w:t>
            </w:r>
          </w:p>
        </w:tc>
        <w:tc>
          <w:tcPr>
            <w:tcW w:w="935" w:type="pct"/>
            <w:noWrap w:val="0"/>
            <w:vAlign w:val="center"/>
          </w:tcPr>
          <w:p w14:paraId="787CB95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t>项目金额</w:t>
            </w:r>
          </w:p>
          <w:p w14:paraId="5F923B8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t>（元）</w:t>
            </w:r>
          </w:p>
        </w:tc>
        <w:tc>
          <w:tcPr>
            <w:tcW w:w="655" w:type="pct"/>
            <w:noWrap w:val="0"/>
            <w:vAlign w:val="center"/>
          </w:tcPr>
          <w:p w14:paraId="776CE44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t>实施时间</w:t>
            </w:r>
          </w:p>
        </w:tc>
        <w:tc>
          <w:tcPr>
            <w:tcW w:w="866" w:type="pct"/>
            <w:noWrap w:val="0"/>
            <w:vAlign w:val="center"/>
          </w:tcPr>
          <w:p w14:paraId="31D605D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t>采购单位联系人及电话</w:t>
            </w:r>
          </w:p>
        </w:tc>
      </w:tr>
      <w:tr w14:paraId="30D7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383" w:type="pct"/>
            <w:noWrap w:val="0"/>
            <w:vAlign w:val="center"/>
          </w:tcPr>
          <w:p w14:paraId="2692C1D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1</w:t>
            </w:r>
          </w:p>
        </w:tc>
        <w:tc>
          <w:tcPr>
            <w:tcW w:w="941" w:type="pct"/>
            <w:noWrap w:val="0"/>
            <w:vAlign w:val="center"/>
          </w:tcPr>
          <w:p w14:paraId="3AFDECE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217" w:type="pct"/>
            <w:noWrap w:val="0"/>
            <w:vAlign w:val="center"/>
          </w:tcPr>
          <w:p w14:paraId="56E0AFE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935" w:type="pct"/>
            <w:noWrap w:val="0"/>
            <w:vAlign w:val="center"/>
          </w:tcPr>
          <w:p w14:paraId="14674EC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655" w:type="pct"/>
            <w:noWrap w:val="0"/>
            <w:vAlign w:val="center"/>
          </w:tcPr>
          <w:p w14:paraId="68507C2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66" w:type="pct"/>
            <w:noWrap w:val="0"/>
            <w:vAlign w:val="center"/>
          </w:tcPr>
          <w:p w14:paraId="67940D4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47288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383" w:type="pct"/>
            <w:noWrap w:val="0"/>
            <w:vAlign w:val="center"/>
          </w:tcPr>
          <w:p w14:paraId="1D329238">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2</w:t>
            </w:r>
          </w:p>
        </w:tc>
        <w:tc>
          <w:tcPr>
            <w:tcW w:w="941" w:type="pct"/>
            <w:noWrap w:val="0"/>
            <w:vAlign w:val="center"/>
          </w:tcPr>
          <w:p w14:paraId="278B729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217" w:type="pct"/>
            <w:noWrap w:val="0"/>
            <w:vAlign w:val="center"/>
          </w:tcPr>
          <w:p w14:paraId="008D82C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935" w:type="pct"/>
            <w:noWrap w:val="0"/>
            <w:vAlign w:val="center"/>
          </w:tcPr>
          <w:p w14:paraId="3DA8ED5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655" w:type="pct"/>
            <w:noWrap w:val="0"/>
            <w:vAlign w:val="center"/>
          </w:tcPr>
          <w:p w14:paraId="188D8D5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66" w:type="pct"/>
            <w:noWrap w:val="0"/>
            <w:vAlign w:val="center"/>
          </w:tcPr>
          <w:p w14:paraId="015D5D8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4392C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383" w:type="pct"/>
            <w:noWrap w:val="0"/>
            <w:vAlign w:val="center"/>
          </w:tcPr>
          <w:p w14:paraId="4E65F6D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3</w:t>
            </w:r>
          </w:p>
        </w:tc>
        <w:tc>
          <w:tcPr>
            <w:tcW w:w="941" w:type="pct"/>
            <w:noWrap w:val="0"/>
            <w:vAlign w:val="center"/>
          </w:tcPr>
          <w:p w14:paraId="0EC89E3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217" w:type="pct"/>
            <w:noWrap w:val="0"/>
            <w:vAlign w:val="center"/>
          </w:tcPr>
          <w:p w14:paraId="69EE601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935" w:type="pct"/>
            <w:noWrap w:val="0"/>
            <w:vAlign w:val="center"/>
          </w:tcPr>
          <w:p w14:paraId="4BE5FD3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655" w:type="pct"/>
            <w:noWrap w:val="0"/>
            <w:vAlign w:val="center"/>
          </w:tcPr>
          <w:p w14:paraId="27CD9F5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66" w:type="pct"/>
            <w:noWrap w:val="0"/>
            <w:vAlign w:val="center"/>
          </w:tcPr>
          <w:p w14:paraId="37EE9A4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3EA18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383" w:type="pct"/>
            <w:noWrap w:val="0"/>
            <w:vAlign w:val="center"/>
          </w:tcPr>
          <w:p w14:paraId="4EB7E25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t>…</w:t>
            </w:r>
          </w:p>
        </w:tc>
        <w:tc>
          <w:tcPr>
            <w:tcW w:w="941" w:type="pct"/>
            <w:noWrap w:val="0"/>
            <w:vAlign w:val="center"/>
          </w:tcPr>
          <w:p w14:paraId="3FA98B8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217" w:type="pct"/>
            <w:noWrap w:val="0"/>
            <w:vAlign w:val="center"/>
          </w:tcPr>
          <w:p w14:paraId="2A4DFC1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935" w:type="pct"/>
            <w:noWrap w:val="0"/>
            <w:vAlign w:val="center"/>
          </w:tcPr>
          <w:p w14:paraId="2784EA3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655" w:type="pct"/>
            <w:noWrap w:val="0"/>
            <w:vAlign w:val="center"/>
          </w:tcPr>
          <w:p w14:paraId="633BE46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66" w:type="pct"/>
            <w:noWrap w:val="0"/>
            <w:vAlign w:val="center"/>
          </w:tcPr>
          <w:p w14:paraId="63FDAF2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bl>
    <w:p w14:paraId="17ED5760">
      <w:pPr>
        <w:spacing w:line="360" w:lineRule="auto"/>
        <w:ind w:left="424" w:leftChars="202"/>
        <w:rPr>
          <w:rFonts w:hint="eastAsia" w:ascii="宋体" w:hAnsi="宋体" w:cs="宋体"/>
          <w:szCs w:val="21"/>
        </w:rPr>
      </w:pPr>
    </w:p>
    <w:p w14:paraId="03D65D1E">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cs="宋体"/>
          <w:szCs w:val="21"/>
        </w:rPr>
      </w:pPr>
    </w:p>
    <w:p w14:paraId="44A9A2C1">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cs="宋体"/>
          <w:szCs w:val="21"/>
        </w:rPr>
      </w:pPr>
    </w:p>
    <w:p w14:paraId="2B066BE6">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cs="宋体"/>
          <w:szCs w:val="21"/>
        </w:rPr>
      </w:pPr>
    </w:p>
    <w:p w14:paraId="65E4B806">
      <w:pPr>
        <w:keepNext w:val="0"/>
        <w:keepLines w:val="0"/>
        <w:pageBreakBefore w:val="0"/>
        <w:widowControl w:val="0"/>
        <w:kinsoku/>
        <w:wordWrap/>
        <w:overflowPunct/>
        <w:topLinePunct w:val="0"/>
        <w:autoSpaceDE/>
        <w:autoSpaceDN/>
        <w:bidi w:val="0"/>
        <w:adjustRightInd/>
        <w:snapToGrid/>
        <w:spacing w:line="480" w:lineRule="auto"/>
        <w:ind w:left="0" w:leftChars="0"/>
        <w:textAlignment w:val="auto"/>
        <w:rPr>
          <w:rFonts w:hint="eastAsia" w:ascii="宋体" w:hAnsi="宋体" w:cs="宋体"/>
          <w:szCs w:val="21"/>
          <w:u w:val="single"/>
        </w:rPr>
      </w:pPr>
      <w:r>
        <w:rPr>
          <w:rFonts w:hint="eastAsia" w:ascii="宋体" w:hAnsi="宋体" w:cs="宋体"/>
          <w:szCs w:val="21"/>
        </w:rPr>
        <w:t>投标人名称：</w:t>
      </w:r>
      <w:r>
        <w:rPr>
          <w:rFonts w:hint="eastAsia" w:ascii="宋体" w:hAnsi="宋体" w:cs="宋体"/>
          <w:b/>
          <w:szCs w:val="21"/>
          <w:u w:val="single"/>
        </w:rPr>
        <w:t xml:space="preserve">                </w:t>
      </w:r>
      <w:r>
        <w:rPr>
          <w:rFonts w:hint="eastAsia" w:ascii="宋体" w:hAnsi="宋体" w:cs="宋体"/>
          <w:szCs w:val="21"/>
        </w:rPr>
        <w:t xml:space="preserve">（加盖公章）  </w:t>
      </w:r>
    </w:p>
    <w:p w14:paraId="25940E3C">
      <w:pPr>
        <w:keepNext w:val="0"/>
        <w:keepLines w:val="0"/>
        <w:pageBreakBefore w:val="0"/>
        <w:widowControl w:val="0"/>
        <w:kinsoku/>
        <w:wordWrap/>
        <w:overflowPunct/>
        <w:topLinePunct w:val="0"/>
        <w:autoSpaceDE/>
        <w:autoSpaceDN/>
        <w:bidi w:val="0"/>
        <w:adjustRightInd/>
        <w:snapToGrid/>
        <w:spacing w:line="480" w:lineRule="auto"/>
        <w:ind w:left="0" w:leftChars="0"/>
        <w:textAlignment w:val="auto"/>
        <w:rPr>
          <w:rFonts w:hint="eastAsia" w:ascii="宋体" w:hAnsi="宋体" w:cs="宋体"/>
          <w:szCs w:val="21"/>
        </w:rPr>
      </w:pPr>
      <w:r>
        <w:rPr>
          <w:rFonts w:hint="eastAsia" w:ascii="宋体" w:hAnsi="宋体" w:cs="宋体"/>
          <w:szCs w:val="21"/>
        </w:rPr>
        <w:t>投标人代表：</w:t>
      </w:r>
      <w:r>
        <w:rPr>
          <w:rFonts w:hint="eastAsia" w:ascii="宋体" w:hAnsi="宋体" w:cs="宋体"/>
          <w:b/>
          <w:szCs w:val="21"/>
          <w:u w:val="single"/>
        </w:rPr>
        <w:t xml:space="preserve">           </w:t>
      </w:r>
      <w:r>
        <w:rPr>
          <w:rFonts w:hint="eastAsia" w:ascii="宋体" w:hAnsi="宋体" w:cs="宋体"/>
          <w:szCs w:val="21"/>
        </w:rPr>
        <w:t>（签字）</w:t>
      </w:r>
    </w:p>
    <w:p w14:paraId="06777743">
      <w:pPr>
        <w:keepNext w:val="0"/>
        <w:keepLines w:val="0"/>
        <w:pageBreakBefore w:val="0"/>
        <w:widowControl w:val="0"/>
        <w:kinsoku/>
        <w:wordWrap/>
        <w:overflowPunct/>
        <w:topLinePunct w:val="0"/>
        <w:autoSpaceDE/>
        <w:autoSpaceDN/>
        <w:bidi w:val="0"/>
        <w:adjustRightInd/>
        <w:snapToGrid/>
        <w:spacing w:line="480" w:lineRule="auto"/>
        <w:ind w:left="0" w:leftChars="0"/>
        <w:textAlignment w:val="auto"/>
        <w:rPr>
          <w:rFonts w:hint="eastAsia"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068371B5">
      <w:pPr>
        <w:snapToGrid w:val="0"/>
        <w:spacing w:before="50" w:afterLines="50"/>
        <w:jc w:val="left"/>
        <w:outlineLvl w:val="9"/>
        <w:rPr>
          <w:rFonts w:hint="eastAsia" w:ascii="宋体" w:hAnsi="宋体" w:cs="宋体"/>
          <w:b/>
          <w:szCs w:val="21"/>
        </w:rPr>
      </w:pPr>
    </w:p>
    <w:p w14:paraId="49D3D04B">
      <w:pPr>
        <w:snapToGrid w:val="0"/>
        <w:spacing w:before="50" w:afterLines="50"/>
        <w:jc w:val="left"/>
        <w:outlineLvl w:val="9"/>
        <w:rPr>
          <w:rFonts w:hint="eastAsia" w:ascii="宋体" w:hAnsi="宋体" w:cs="宋体"/>
          <w:b/>
          <w:szCs w:val="21"/>
        </w:rPr>
      </w:pPr>
    </w:p>
    <w:p w14:paraId="38FFEDA1">
      <w:pPr>
        <w:snapToGrid w:val="0"/>
        <w:spacing w:before="50" w:afterLines="50"/>
        <w:jc w:val="left"/>
        <w:outlineLvl w:val="9"/>
        <w:rPr>
          <w:rFonts w:hint="eastAsia" w:ascii="宋体" w:hAnsi="宋体" w:cs="宋体"/>
          <w:b/>
          <w:szCs w:val="21"/>
        </w:rPr>
      </w:pPr>
    </w:p>
    <w:p w14:paraId="6B698487">
      <w:pPr>
        <w:snapToGrid w:val="0"/>
        <w:spacing w:before="50" w:afterLines="50"/>
        <w:jc w:val="left"/>
        <w:outlineLvl w:val="9"/>
        <w:rPr>
          <w:rFonts w:hint="eastAsia" w:ascii="宋体" w:hAnsi="宋体" w:cs="宋体"/>
          <w:b/>
          <w:szCs w:val="21"/>
        </w:rPr>
        <w:sectPr>
          <w:footerReference r:id="rId13" w:type="first"/>
          <w:footerReference r:id="rId12" w:type="default"/>
          <w:pgSz w:w="11906" w:h="16838"/>
          <w:pgMar w:top="992" w:right="1191" w:bottom="992" w:left="1191" w:header="992" w:footer="992" w:gutter="0"/>
          <w:pgNumType w:fmt="decimal"/>
          <w:cols w:space="720" w:num="1"/>
          <w:docGrid w:type="lines" w:linePitch="312" w:charSpace="0"/>
        </w:sectPr>
      </w:pPr>
    </w:p>
    <w:p w14:paraId="601B3642">
      <w:pPr>
        <w:snapToGrid w:val="0"/>
        <w:spacing w:before="50" w:after="156" w:afterLines="50"/>
        <w:outlineLvl w:val="2"/>
        <w:rPr>
          <w:rFonts w:ascii="宋体" w:hAnsi="宋体" w:cs="宋体"/>
          <w:b/>
          <w:szCs w:val="21"/>
        </w:rPr>
      </w:pPr>
      <w:r>
        <w:rPr>
          <w:rFonts w:hint="eastAsia" w:ascii="宋体" w:hAnsi="宋体" w:cs="宋体"/>
          <w:b/>
          <w:szCs w:val="21"/>
        </w:rPr>
        <w:t>格式</w:t>
      </w:r>
      <w:r>
        <w:rPr>
          <w:rFonts w:hint="eastAsia" w:ascii="宋体" w:hAnsi="宋体" w:cs="宋体"/>
          <w:b/>
          <w:szCs w:val="21"/>
          <w:lang w:val="en-US" w:eastAsia="zh-CN"/>
        </w:rPr>
        <w:t>十一</w:t>
      </w:r>
      <w:r>
        <w:rPr>
          <w:rFonts w:hint="eastAsia" w:ascii="宋体" w:hAnsi="宋体" w:cs="宋体"/>
          <w:b/>
          <w:szCs w:val="21"/>
        </w:rPr>
        <w:t>、项目实施人员一览表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589"/>
        <w:gridCol w:w="1303"/>
        <w:gridCol w:w="709"/>
        <w:gridCol w:w="850"/>
        <w:gridCol w:w="851"/>
        <w:gridCol w:w="992"/>
        <w:gridCol w:w="1134"/>
        <w:gridCol w:w="851"/>
        <w:gridCol w:w="1275"/>
        <w:gridCol w:w="1418"/>
      </w:tblGrid>
      <w:tr w14:paraId="0701E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529" w:hRule="atLeast"/>
          <w:jc w:val="center"/>
        </w:trPr>
        <w:tc>
          <w:tcPr>
            <w:tcW w:w="589" w:type="dxa"/>
            <w:tcBorders>
              <w:tl2br w:val="nil"/>
              <w:tr2bl w:val="nil"/>
            </w:tcBorders>
            <w:noWrap w:val="0"/>
            <w:vAlign w:val="center"/>
          </w:tcPr>
          <w:p w14:paraId="11BD859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t>序号</w:t>
            </w:r>
          </w:p>
        </w:tc>
        <w:tc>
          <w:tcPr>
            <w:tcW w:w="1303" w:type="dxa"/>
            <w:tcBorders>
              <w:tl2br w:val="nil"/>
              <w:tr2bl w:val="nil"/>
            </w:tcBorders>
            <w:noWrap w:val="0"/>
            <w:vAlign w:val="center"/>
          </w:tcPr>
          <w:p w14:paraId="776E17D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t>姓 名</w:t>
            </w:r>
          </w:p>
        </w:tc>
        <w:tc>
          <w:tcPr>
            <w:tcW w:w="709" w:type="dxa"/>
            <w:tcBorders>
              <w:tl2br w:val="nil"/>
              <w:tr2bl w:val="nil"/>
            </w:tcBorders>
            <w:noWrap w:val="0"/>
            <w:vAlign w:val="center"/>
          </w:tcPr>
          <w:p w14:paraId="5734F7C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t>性别</w:t>
            </w:r>
          </w:p>
        </w:tc>
        <w:tc>
          <w:tcPr>
            <w:tcW w:w="850" w:type="dxa"/>
            <w:tcBorders>
              <w:tl2br w:val="nil"/>
              <w:tr2bl w:val="nil"/>
            </w:tcBorders>
            <w:noWrap w:val="0"/>
            <w:vAlign w:val="center"/>
          </w:tcPr>
          <w:p w14:paraId="2FCED74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t>年龄</w:t>
            </w:r>
          </w:p>
        </w:tc>
        <w:tc>
          <w:tcPr>
            <w:tcW w:w="851" w:type="dxa"/>
            <w:tcBorders>
              <w:tl2br w:val="nil"/>
              <w:tr2bl w:val="nil"/>
            </w:tcBorders>
            <w:noWrap w:val="0"/>
            <w:vAlign w:val="center"/>
          </w:tcPr>
          <w:p w14:paraId="479B150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t>学 历</w:t>
            </w:r>
          </w:p>
        </w:tc>
        <w:tc>
          <w:tcPr>
            <w:tcW w:w="992" w:type="dxa"/>
            <w:tcBorders>
              <w:tl2br w:val="nil"/>
              <w:tr2bl w:val="nil"/>
            </w:tcBorders>
            <w:noWrap w:val="0"/>
            <w:vAlign w:val="center"/>
          </w:tcPr>
          <w:p w14:paraId="31996E5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专业技术资格</w:t>
            </w:r>
          </w:p>
        </w:tc>
        <w:tc>
          <w:tcPr>
            <w:tcW w:w="1134" w:type="dxa"/>
            <w:tcBorders>
              <w:tl2br w:val="nil"/>
              <w:tr2bl w:val="nil"/>
            </w:tcBorders>
            <w:noWrap w:val="0"/>
            <w:vAlign w:val="center"/>
          </w:tcPr>
          <w:p w14:paraId="0533167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证书编号</w:t>
            </w:r>
          </w:p>
        </w:tc>
        <w:tc>
          <w:tcPr>
            <w:tcW w:w="851" w:type="dxa"/>
            <w:tcBorders>
              <w:tl2br w:val="nil"/>
              <w:tr2bl w:val="nil"/>
            </w:tcBorders>
            <w:noWrap w:val="0"/>
            <w:vAlign w:val="center"/>
          </w:tcPr>
          <w:p w14:paraId="72C0F92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t>职称</w:t>
            </w:r>
          </w:p>
        </w:tc>
        <w:tc>
          <w:tcPr>
            <w:tcW w:w="1275" w:type="dxa"/>
            <w:tcBorders>
              <w:tl2br w:val="nil"/>
              <w:tr2bl w:val="nil"/>
            </w:tcBorders>
            <w:noWrap w:val="0"/>
            <w:vAlign w:val="center"/>
          </w:tcPr>
          <w:p w14:paraId="4F40033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t>拟任本项目职务</w:t>
            </w:r>
          </w:p>
        </w:tc>
        <w:tc>
          <w:tcPr>
            <w:tcW w:w="1418" w:type="dxa"/>
            <w:tcBorders>
              <w:tl2br w:val="nil"/>
              <w:tr2bl w:val="nil"/>
            </w:tcBorders>
            <w:noWrap w:val="0"/>
            <w:vAlign w:val="center"/>
          </w:tcPr>
          <w:p w14:paraId="74D0F85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t>备注</w:t>
            </w:r>
          </w:p>
        </w:tc>
      </w:tr>
      <w:tr w14:paraId="0AA38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468" w:hRule="atLeast"/>
          <w:jc w:val="center"/>
        </w:trPr>
        <w:tc>
          <w:tcPr>
            <w:tcW w:w="589" w:type="dxa"/>
            <w:tcBorders>
              <w:tl2br w:val="nil"/>
              <w:tr2bl w:val="nil"/>
            </w:tcBorders>
            <w:noWrap w:val="0"/>
            <w:vAlign w:val="center"/>
          </w:tcPr>
          <w:p w14:paraId="60CA688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303" w:type="dxa"/>
            <w:tcBorders>
              <w:tl2br w:val="nil"/>
              <w:tr2bl w:val="nil"/>
            </w:tcBorders>
            <w:noWrap w:val="0"/>
            <w:vAlign w:val="center"/>
          </w:tcPr>
          <w:p w14:paraId="4DE06A9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709" w:type="dxa"/>
            <w:tcBorders>
              <w:tl2br w:val="nil"/>
              <w:tr2bl w:val="nil"/>
            </w:tcBorders>
            <w:noWrap w:val="0"/>
            <w:vAlign w:val="center"/>
          </w:tcPr>
          <w:p w14:paraId="085B461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0" w:type="dxa"/>
            <w:tcBorders>
              <w:tl2br w:val="nil"/>
              <w:tr2bl w:val="nil"/>
            </w:tcBorders>
            <w:noWrap w:val="0"/>
            <w:vAlign w:val="center"/>
          </w:tcPr>
          <w:p w14:paraId="07C34C3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1" w:type="dxa"/>
            <w:tcBorders>
              <w:tl2br w:val="nil"/>
              <w:tr2bl w:val="nil"/>
            </w:tcBorders>
            <w:noWrap w:val="0"/>
            <w:vAlign w:val="center"/>
          </w:tcPr>
          <w:p w14:paraId="6A9AB3A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992" w:type="dxa"/>
            <w:tcBorders>
              <w:tl2br w:val="nil"/>
              <w:tr2bl w:val="nil"/>
            </w:tcBorders>
            <w:noWrap w:val="0"/>
            <w:vAlign w:val="center"/>
          </w:tcPr>
          <w:p w14:paraId="05BB0B5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134" w:type="dxa"/>
            <w:tcBorders>
              <w:tl2br w:val="nil"/>
              <w:tr2bl w:val="nil"/>
            </w:tcBorders>
            <w:noWrap w:val="0"/>
            <w:vAlign w:val="center"/>
          </w:tcPr>
          <w:p w14:paraId="5EAD37A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1" w:type="dxa"/>
            <w:tcBorders>
              <w:tl2br w:val="nil"/>
              <w:tr2bl w:val="nil"/>
            </w:tcBorders>
            <w:noWrap w:val="0"/>
            <w:vAlign w:val="center"/>
          </w:tcPr>
          <w:p w14:paraId="1CD18E8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275" w:type="dxa"/>
            <w:tcBorders>
              <w:tl2br w:val="nil"/>
              <w:tr2bl w:val="nil"/>
            </w:tcBorders>
            <w:noWrap w:val="0"/>
            <w:vAlign w:val="center"/>
          </w:tcPr>
          <w:p w14:paraId="51405688">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418" w:type="dxa"/>
            <w:tcBorders>
              <w:tl2br w:val="nil"/>
              <w:tr2bl w:val="nil"/>
            </w:tcBorders>
            <w:noWrap w:val="0"/>
            <w:vAlign w:val="center"/>
          </w:tcPr>
          <w:p w14:paraId="1B263EB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51805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468" w:hRule="atLeast"/>
          <w:jc w:val="center"/>
        </w:trPr>
        <w:tc>
          <w:tcPr>
            <w:tcW w:w="589" w:type="dxa"/>
            <w:tcBorders>
              <w:tl2br w:val="nil"/>
              <w:tr2bl w:val="nil"/>
            </w:tcBorders>
            <w:noWrap w:val="0"/>
            <w:vAlign w:val="center"/>
          </w:tcPr>
          <w:p w14:paraId="3126171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303" w:type="dxa"/>
            <w:tcBorders>
              <w:tl2br w:val="nil"/>
              <w:tr2bl w:val="nil"/>
            </w:tcBorders>
            <w:noWrap w:val="0"/>
            <w:vAlign w:val="center"/>
          </w:tcPr>
          <w:p w14:paraId="0CD89C5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709" w:type="dxa"/>
            <w:tcBorders>
              <w:tl2br w:val="nil"/>
              <w:tr2bl w:val="nil"/>
            </w:tcBorders>
            <w:noWrap w:val="0"/>
            <w:vAlign w:val="center"/>
          </w:tcPr>
          <w:p w14:paraId="46AB90A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0" w:type="dxa"/>
            <w:tcBorders>
              <w:tl2br w:val="nil"/>
              <w:tr2bl w:val="nil"/>
            </w:tcBorders>
            <w:noWrap w:val="0"/>
            <w:vAlign w:val="center"/>
          </w:tcPr>
          <w:p w14:paraId="4FFAAAD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1" w:type="dxa"/>
            <w:tcBorders>
              <w:tl2br w:val="nil"/>
              <w:tr2bl w:val="nil"/>
            </w:tcBorders>
            <w:noWrap w:val="0"/>
            <w:vAlign w:val="center"/>
          </w:tcPr>
          <w:p w14:paraId="17D96C2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992" w:type="dxa"/>
            <w:tcBorders>
              <w:tl2br w:val="nil"/>
              <w:tr2bl w:val="nil"/>
            </w:tcBorders>
            <w:noWrap w:val="0"/>
            <w:vAlign w:val="center"/>
          </w:tcPr>
          <w:p w14:paraId="5B1D881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134" w:type="dxa"/>
            <w:tcBorders>
              <w:tl2br w:val="nil"/>
              <w:tr2bl w:val="nil"/>
            </w:tcBorders>
            <w:noWrap w:val="0"/>
            <w:vAlign w:val="center"/>
          </w:tcPr>
          <w:p w14:paraId="4482CA7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1" w:type="dxa"/>
            <w:tcBorders>
              <w:tl2br w:val="nil"/>
              <w:tr2bl w:val="nil"/>
            </w:tcBorders>
            <w:noWrap w:val="0"/>
            <w:vAlign w:val="center"/>
          </w:tcPr>
          <w:p w14:paraId="455C6F9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275" w:type="dxa"/>
            <w:tcBorders>
              <w:tl2br w:val="nil"/>
              <w:tr2bl w:val="nil"/>
            </w:tcBorders>
            <w:noWrap w:val="0"/>
            <w:vAlign w:val="center"/>
          </w:tcPr>
          <w:p w14:paraId="660C76B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418" w:type="dxa"/>
            <w:tcBorders>
              <w:tl2br w:val="nil"/>
              <w:tr2bl w:val="nil"/>
            </w:tcBorders>
            <w:noWrap w:val="0"/>
            <w:vAlign w:val="center"/>
          </w:tcPr>
          <w:p w14:paraId="0466021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0AA43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468" w:hRule="atLeast"/>
          <w:jc w:val="center"/>
        </w:trPr>
        <w:tc>
          <w:tcPr>
            <w:tcW w:w="589" w:type="dxa"/>
            <w:tcBorders>
              <w:tl2br w:val="nil"/>
              <w:tr2bl w:val="nil"/>
            </w:tcBorders>
            <w:noWrap w:val="0"/>
            <w:vAlign w:val="center"/>
          </w:tcPr>
          <w:p w14:paraId="0A4D95F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303" w:type="dxa"/>
            <w:tcBorders>
              <w:tl2br w:val="nil"/>
              <w:tr2bl w:val="nil"/>
            </w:tcBorders>
            <w:noWrap w:val="0"/>
            <w:vAlign w:val="center"/>
          </w:tcPr>
          <w:p w14:paraId="6BD6052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709" w:type="dxa"/>
            <w:tcBorders>
              <w:tl2br w:val="nil"/>
              <w:tr2bl w:val="nil"/>
            </w:tcBorders>
            <w:noWrap w:val="0"/>
            <w:vAlign w:val="center"/>
          </w:tcPr>
          <w:p w14:paraId="2104DB9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0" w:type="dxa"/>
            <w:tcBorders>
              <w:tl2br w:val="nil"/>
              <w:tr2bl w:val="nil"/>
            </w:tcBorders>
            <w:noWrap w:val="0"/>
            <w:vAlign w:val="center"/>
          </w:tcPr>
          <w:p w14:paraId="5B2D945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1" w:type="dxa"/>
            <w:tcBorders>
              <w:tl2br w:val="nil"/>
              <w:tr2bl w:val="nil"/>
            </w:tcBorders>
            <w:noWrap w:val="0"/>
            <w:vAlign w:val="center"/>
          </w:tcPr>
          <w:p w14:paraId="10DA8DA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992" w:type="dxa"/>
            <w:tcBorders>
              <w:tl2br w:val="nil"/>
              <w:tr2bl w:val="nil"/>
            </w:tcBorders>
            <w:noWrap w:val="0"/>
            <w:vAlign w:val="center"/>
          </w:tcPr>
          <w:p w14:paraId="4690973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134" w:type="dxa"/>
            <w:tcBorders>
              <w:tl2br w:val="nil"/>
              <w:tr2bl w:val="nil"/>
            </w:tcBorders>
            <w:noWrap w:val="0"/>
            <w:vAlign w:val="center"/>
          </w:tcPr>
          <w:p w14:paraId="0DE9F49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1" w:type="dxa"/>
            <w:tcBorders>
              <w:tl2br w:val="nil"/>
              <w:tr2bl w:val="nil"/>
            </w:tcBorders>
            <w:noWrap w:val="0"/>
            <w:vAlign w:val="center"/>
          </w:tcPr>
          <w:p w14:paraId="4B2E10F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275" w:type="dxa"/>
            <w:tcBorders>
              <w:tl2br w:val="nil"/>
              <w:tr2bl w:val="nil"/>
            </w:tcBorders>
            <w:noWrap w:val="0"/>
            <w:vAlign w:val="center"/>
          </w:tcPr>
          <w:p w14:paraId="4285F2E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418" w:type="dxa"/>
            <w:tcBorders>
              <w:tl2br w:val="nil"/>
              <w:tr2bl w:val="nil"/>
            </w:tcBorders>
            <w:noWrap w:val="0"/>
            <w:vAlign w:val="center"/>
          </w:tcPr>
          <w:p w14:paraId="03AFECF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1227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468" w:hRule="atLeast"/>
          <w:jc w:val="center"/>
        </w:trPr>
        <w:tc>
          <w:tcPr>
            <w:tcW w:w="589" w:type="dxa"/>
            <w:tcBorders>
              <w:tl2br w:val="nil"/>
              <w:tr2bl w:val="nil"/>
            </w:tcBorders>
            <w:noWrap w:val="0"/>
            <w:vAlign w:val="center"/>
          </w:tcPr>
          <w:p w14:paraId="69849D2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303" w:type="dxa"/>
            <w:tcBorders>
              <w:tl2br w:val="nil"/>
              <w:tr2bl w:val="nil"/>
            </w:tcBorders>
            <w:noWrap w:val="0"/>
            <w:vAlign w:val="center"/>
          </w:tcPr>
          <w:p w14:paraId="36244A6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709" w:type="dxa"/>
            <w:tcBorders>
              <w:tl2br w:val="nil"/>
              <w:tr2bl w:val="nil"/>
            </w:tcBorders>
            <w:noWrap w:val="0"/>
            <w:vAlign w:val="center"/>
          </w:tcPr>
          <w:p w14:paraId="2FB7C1E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0" w:type="dxa"/>
            <w:tcBorders>
              <w:tl2br w:val="nil"/>
              <w:tr2bl w:val="nil"/>
            </w:tcBorders>
            <w:noWrap w:val="0"/>
            <w:vAlign w:val="center"/>
          </w:tcPr>
          <w:p w14:paraId="4674943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1" w:type="dxa"/>
            <w:tcBorders>
              <w:tl2br w:val="nil"/>
              <w:tr2bl w:val="nil"/>
            </w:tcBorders>
            <w:noWrap w:val="0"/>
            <w:vAlign w:val="center"/>
          </w:tcPr>
          <w:p w14:paraId="741E7CA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992" w:type="dxa"/>
            <w:tcBorders>
              <w:tl2br w:val="nil"/>
              <w:tr2bl w:val="nil"/>
            </w:tcBorders>
            <w:noWrap w:val="0"/>
            <w:vAlign w:val="center"/>
          </w:tcPr>
          <w:p w14:paraId="223433A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134" w:type="dxa"/>
            <w:tcBorders>
              <w:tl2br w:val="nil"/>
              <w:tr2bl w:val="nil"/>
            </w:tcBorders>
            <w:noWrap w:val="0"/>
            <w:vAlign w:val="center"/>
          </w:tcPr>
          <w:p w14:paraId="60984A1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1" w:type="dxa"/>
            <w:tcBorders>
              <w:tl2br w:val="nil"/>
              <w:tr2bl w:val="nil"/>
            </w:tcBorders>
            <w:noWrap w:val="0"/>
            <w:vAlign w:val="center"/>
          </w:tcPr>
          <w:p w14:paraId="693393A8">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275" w:type="dxa"/>
            <w:tcBorders>
              <w:tl2br w:val="nil"/>
              <w:tr2bl w:val="nil"/>
            </w:tcBorders>
            <w:noWrap w:val="0"/>
            <w:vAlign w:val="center"/>
          </w:tcPr>
          <w:p w14:paraId="6C19A3E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418" w:type="dxa"/>
            <w:tcBorders>
              <w:tl2br w:val="nil"/>
              <w:tr2bl w:val="nil"/>
            </w:tcBorders>
            <w:noWrap w:val="0"/>
            <w:vAlign w:val="center"/>
          </w:tcPr>
          <w:p w14:paraId="18D7F27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09475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468" w:hRule="atLeast"/>
          <w:jc w:val="center"/>
        </w:trPr>
        <w:tc>
          <w:tcPr>
            <w:tcW w:w="589" w:type="dxa"/>
            <w:tcBorders>
              <w:tl2br w:val="nil"/>
              <w:tr2bl w:val="nil"/>
            </w:tcBorders>
            <w:noWrap w:val="0"/>
            <w:vAlign w:val="center"/>
          </w:tcPr>
          <w:p w14:paraId="513EB3B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303" w:type="dxa"/>
            <w:tcBorders>
              <w:tl2br w:val="nil"/>
              <w:tr2bl w:val="nil"/>
            </w:tcBorders>
            <w:noWrap w:val="0"/>
            <w:vAlign w:val="center"/>
          </w:tcPr>
          <w:p w14:paraId="6D66A69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709" w:type="dxa"/>
            <w:tcBorders>
              <w:tl2br w:val="nil"/>
              <w:tr2bl w:val="nil"/>
            </w:tcBorders>
            <w:noWrap w:val="0"/>
            <w:vAlign w:val="center"/>
          </w:tcPr>
          <w:p w14:paraId="0332836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0" w:type="dxa"/>
            <w:tcBorders>
              <w:tl2br w:val="nil"/>
              <w:tr2bl w:val="nil"/>
            </w:tcBorders>
            <w:noWrap w:val="0"/>
            <w:vAlign w:val="center"/>
          </w:tcPr>
          <w:p w14:paraId="557B0F9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1" w:type="dxa"/>
            <w:tcBorders>
              <w:tl2br w:val="nil"/>
              <w:tr2bl w:val="nil"/>
            </w:tcBorders>
            <w:noWrap w:val="0"/>
            <w:vAlign w:val="center"/>
          </w:tcPr>
          <w:p w14:paraId="199AB24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992" w:type="dxa"/>
            <w:tcBorders>
              <w:tl2br w:val="nil"/>
              <w:tr2bl w:val="nil"/>
            </w:tcBorders>
            <w:noWrap w:val="0"/>
            <w:vAlign w:val="center"/>
          </w:tcPr>
          <w:p w14:paraId="24116CD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134" w:type="dxa"/>
            <w:tcBorders>
              <w:tl2br w:val="nil"/>
              <w:tr2bl w:val="nil"/>
            </w:tcBorders>
            <w:noWrap w:val="0"/>
            <w:vAlign w:val="center"/>
          </w:tcPr>
          <w:p w14:paraId="45FB044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1" w:type="dxa"/>
            <w:tcBorders>
              <w:tl2br w:val="nil"/>
              <w:tr2bl w:val="nil"/>
            </w:tcBorders>
            <w:noWrap w:val="0"/>
            <w:vAlign w:val="center"/>
          </w:tcPr>
          <w:p w14:paraId="2B24995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275" w:type="dxa"/>
            <w:tcBorders>
              <w:tl2br w:val="nil"/>
              <w:tr2bl w:val="nil"/>
            </w:tcBorders>
            <w:noWrap w:val="0"/>
            <w:vAlign w:val="center"/>
          </w:tcPr>
          <w:p w14:paraId="469BC6B8">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418" w:type="dxa"/>
            <w:tcBorders>
              <w:tl2br w:val="nil"/>
              <w:tr2bl w:val="nil"/>
            </w:tcBorders>
            <w:noWrap w:val="0"/>
            <w:vAlign w:val="center"/>
          </w:tcPr>
          <w:p w14:paraId="2824FCA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0D4FB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468" w:hRule="atLeast"/>
          <w:jc w:val="center"/>
        </w:trPr>
        <w:tc>
          <w:tcPr>
            <w:tcW w:w="589" w:type="dxa"/>
            <w:tcBorders>
              <w:tl2br w:val="nil"/>
              <w:tr2bl w:val="nil"/>
            </w:tcBorders>
            <w:noWrap w:val="0"/>
            <w:vAlign w:val="center"/>
          </w:tcPr>
          <w:p w14:paraId="572A11B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303" w:type="dxa"/>
            <w:tcBorders>
              <w:tl2br w:val="nil"/>
              <w:tr2bl w:val="nil"/>
            </w:tcBorders>
            <w:noWrap w:val="0"/>
            <w:vAlign w:val="center"/>
          </w:tcPr>
          <w:p w14:paraId="3FA864D8">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709" w:type="dxa"/>
            <w:tcBorders>
              <w:tl2br w:val="nil"/>
              <w:tr2bl w:val="nil"/>
            </w:tcBorders>
            <w:noWrap w:val="0"/>
            <w:vAlign w:val="center"/>
          </w:tcPr>
          <w:p w14:paraId="1827C2A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0" w:type="dxa"/>
            <w:tcBorders>
              <w:tl2br w:val="nil"/>
              <w:tr2bl w:val="nil"/>
            </w:tcBorders>
            <w:noWrap w:val="0"/>
            <w:vAlign w:val="center"/>
          </w:tcPr>
          <w:p w14:paraId="60A5051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1" w:type="dxa"/>
            <w:tcBorders>
              <w:tl2br w:val="nil"/>
              <w:tr2bl w:val="nil"/>
            </w:tcBorders>
            <w:noWrap w:val="0"/>
            <w:vAlign w:val="center"/>
          </w:tcPr>
          <w:p w14:paraId="57D4804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992" w:type="dxa"/>
            <w:tcBorders>
              <w:tl2br w:val="nil"/>
              <w:tr2bl w:val="nil"/>
            </w:tcBorders>
            <w:noWrap w:val="0"/>
            <w:vAlign w:val="center"/>
          </w:tcPr>
          <w:p w14:paraId="4D316C5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134" w:type="dxa"/>
            <w:tcBorders>
              <w:tl2br w:val="nil"/>
              <w:tr2bl w:val="nil"/>
            </w:tcBorders>
            <w:noWrap w:val="0"/>
            <w:vAlign w:val="center"/>
          </w:tcPr>
          <w:p w14:paraId="15CEAFA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1" w:type="dxa"/>
            <w:tcBorders>
              <w:tl2br w:val="nil"/>
              <w:tr2bl w:val="nil"/>
            </w:tcBorders>
            <w:noWrap w:val="0"/>
            <w:vAlign w:val="center"/>
          </w:tcPr>
          <w:p w14:paraId="4E1837D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275" w:type="dxa"/>
            <w:tcBorders>
              <w:tl2br w:val="nil"/>
              <w:tr2bl w:val="nil"/>
            </w:tcBorders>
            <w:noWrap w:val="0"/>
            <w:vAlign w:val="center"/>
          </w:tcPr>
          <w:p w14:paraId="40AC728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418" w:type="dxa"/>
            <w:tcBorders>
              <w:tl2br w:val="nil"/>
              <w:tr2bl w:val="nil"/>
            </w:tcBorders>
            <w:noWrap w:val="0"/>
            <w:vAlign w:val="center"/>
          </w:tcPr>
          <w:p w14:paraId="01B484F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4D7E4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468" w:hRule="atLeast"/>
          <w:jc w:val="center"/>
        </w:trPr>
        <w:tc>
          <w:tcPr>
            <w:tcW w:w="589" w:type="dxa"/>
            <w:tcBorders>
              <w:tl2br w:val="nil"/>
              <w:tr2bl w:val="nil"/>
            </w:tcBorders>
            <w:noWrap w:val="0"/>
            <w:vAlign w:val="center"/>
          </w:tcPr>
          <w:p w14:paraId="507A5A4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303" w:type="dxa"/>
            <w:tcBorders>
              <w:tl2br w:val="nil"/>
              <w:tr2bl w:val="nil"/>
            </w:tcBorders>
            <w:noWrap w:val="0"/>
            <w:vAlign w:val="center"/>
          </w:tcPr>
          <w:p w14:paraId="014E00A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709" w:type="dxa"/>
            <w:tcBorders>
              <w:tl2br w:val="nil"/>
              <w:tr2bl w:val="nil"/>
            </w:tcBorders>
            <w:noWrap w:val="0"/>
            <w:vAlign w:val="center"/>
          </w:tcPr>
          <w:p w14:paraId="6228D6E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0" w:type="dxa"/>
            <w:tcBorders>
              <w:tl2br w:val="nil"/>
              <w:tr2bl w:val="nil"/>
            </w:tcBorders>
            <w:noWrap w:val="0"/>
            <w:vAlign w:val="center"/>
          </w:tcPr>
          <w:p w14:paraId="7D909C5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1" w:type="dxa"/>
            <w:tcBorders>
              <w:tl2br w:val="nil"/>
              <w:tr2bl w:val="nil"/>
            </w:tcBorders>
            <w:noWrap w:val="0"/>
            <w:vAlign w:val="center"/>
          </w:tcPr>
          <w:p w14:paraId="70F2919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992" w:type="dxa"/>
            <w:tcBorders>
              <w:tl2br w:val="nil"/>
              <w:tr2bl w:val="nil"/>
            </w:tcBorders>
            <w:noWrap w:val="0"/>
            <w:vAlign w:val="center"/>
          </w:tcPr>
          <w:p w14:paraId="4F19BE3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134" w:type="dxa"/>
            <w:tcBorders>
              <w:tl2br w:val="nil"/>
              <w:tr2bl w:val="nil"/>
            </w:tcBorders>
            <w:noWrap w:val="0"/>
            <w:vAlign w:val="center"/>
          </w:tcPr>
          <w:p w14:paraId="7956988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851" w:type="dxa"/>
            <w:tcBorders>
              <w:tl2br w:val="nil"/>
              <w:tr2bl w:val="nil"/>
            </w:tcBorders>
            <w:noWrap w:val="0"/>
            <w:vAlign w:val="center"/>
          </w:tcPr>
          <w:p w14:paraId="28A8907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275" w:type="dxa"/>
            <w:tcBorders>
              <w:tl2br w:val="nil"/>
              <w:tr2bl w:val="nil"/>
            </w:tcBorders>
            <w:noWrap w:val="0"/>
            <w:vAlign w:val="center"/>
          </w:tcPr>
          <w:p w14:paraId="153C5F7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418" w:type="dxa"/>
            <w:tcBorders>
              <w:tl2br w:val="nil"/>
              <w:tr2bl w:val="nil"/>
            </w:tcBorders>
            <w:noWrap w:val="0"/>
            <w:vAlign w:val="center"/>
          </w:tcPr>
          <w:p w14:paraId="21D72DB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bl>
    <w:p w14:paraId="5D1A82C0">
      <w:pPr>
        <w:snapToGrid w:val="0"/>
        <w:spacing w:line="48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注：1、在填写时，如本表格不适合投标单位的实际情况，可根据本表格式自行划表填写。</w:t>
      </w:r>
    </w:p>
    <w:p w14:paraId="59233BDD">
      <w:pPr>
        <w:snapToGrid w:val="0"/>
        <w:spacing w:line="480" w:lineRule="auto"/>
        <w:ind w:firstLine="422" w:firstLineChars="200"/>
        <w:rPr>
          <w:rFonts w:hint="eastAsia" w:ascii="宋体" w:hAnsi="宋体" w:eastAsia="宋体" w:cs="宋体"/>
          <w:b/>
          <w:szCs w:val="21"/>
          <w:lang w:eastAsia="zh-CN"/>
        </w:rPr>
      </w:pPr>
      <w:r>
        <w:rPr>
          <w:rFonts w:hint="eastAsia" w:ascii="宋体" w:hAnsi="宋体" w:eastAsia="宋体" w:cs="宋体"/>
          <w:b/>
          <w:bCs/>
          <w:sz w:val="21"/>
          <w:szCs w:val="21"/>
          <w:highlight w:val="none"/>
        </w:rPr>
        <w:t>2、需附人员学历证书、专业证书、职称证书、</w:t>
      </w:r>
      <w:r>
        <w:rPr>
          <w:rFonts w:hint="eastAsia" w:ascii="宋体" w:hAnsi="宋体" w:cs="宋体"/>
          <w:b/>
          <w:bCs/>
          <w:sz w:val="21"/>
          <w:szCs w:val="21"/>
          <w:highlight w:val="none"/>
          <w:lang w:eastAsia="zh-CN"/>
        </w:rPr>
        <w:t>投标人</w:t>
      </w:r>
      <w:r>
        <w:rPr>
          <w:rFonts w:hint="eastAsia" w:ascii="宋体" w:hAnsi="宋体" w:eastAsia="宋体" w:cs="宋体"/>
          <w:b/>
          <w:bCs/>
          <w:sz w:val="21"/>
          <w:szCs w:val="21"/>
          <w:highlight w:val="none"/>
        </w:rPr>
        <w:t>为其</w:t>
      </w:r>
      <w:r>
        <w:rPr>
          <w:rFonts w:hint="eastAsia" w:ascii="宋体" w:hAnsi="宋体" w:eastAsia="宋体" w:cs="宋体"/>
          <w:b/>
          <w:bCs/>
          <w:color w:val="auto"/>
          <w:sz w:val="21"/>
          <w:szCs w:val="21"/>
          <w:highlight w:val="none"/>
          <w:lang w:val="en-US" w:eastAsia="zh-CN"/>
        </w:rPr>
        <w:t>缴纳的</w:t>
      </w:r>
      <w:r>
        <w:rPr>
          <w:rFonts w:hint="eastAsia" w:ascii="宋体" w:hAnsi="宋体" w:eastAsia="宋体" w:cs="宋体"/>
          <w:b/>
          <w:bCs/>
          <w:color w:val="auto"/>
          <w:sz w:val="21"/>
          <w:szCs w:val="21"/>
          <w:highlight w:val="none"/>
        </w:rPr>
        <w:t>近三个月</w:t>
      </w:r>
      <w:r>
        <w:rPr>
          <w:rFonts w:hint="eastAsia" w:ascii="宋体" w:hAnsi="宋体" w:eastAsia="宋体" w:cs="宋体"/>
          <w:b/>
          <w:bCs/>
          <w:color w:val="auto"/>
          <w:sz w:val="21"/>
          <w:szCs w:val="21"/>
          <w:highlight w:val="none"/>
          <w:lang w:val="en-US" w:eastAsia="zh-CN"/>
        </w:rPr>
        <w:t>内</w:t>
      </w:r>
      <w:r>
        <w:rPr>
          <w:rFonts w:hint="eastAsia" w:ascii="宋体" w:hAnsi="宋体" w:eastAsia="宋体" w:cs="宋体"/>
          <w:b/>
          <w:bCs/>
          <w:color w:val="auto"/>
          <w:sz w:val="21"/>
          <w:szCs w:val="21"/>
          <w:highlight w:val="none"/>
        </w:rPr>
        <w:t>任意一个月社保证明</w:t>
      </w:r>
      <w:r>
        <w:rPr>
          <w:rFonts w:hint="eastAsia" w:ascii="宋体" w:hAnsi="宋体" w:eastAsia="宋体" w:cs="宋体"/>
          <w:b/>
          <w:bCs/>
          <w:color w:val="auto"/>
          <w:sz w:val="21"/>
          <w:szCs w:val="21"/>
          <w:highlight w:val="none"/>
          <w:lang w:val="en-US" w:eastAsia="zh-CN"/>
        </w:rPr>
        <w:t>材料</w:t>
      </w:r>
      <w:r>
        <w:rPr>
          <w:rFonts w:hint="eastAsia" w:ascii="宋体" w:hAnsi="宋体" w:eastAsia="宋体" w:cs="宋体"/>
          <w:b/>
          <w:bCs/>
          <w:color w:val="auto"/>
          <w:sz w:val="21"/>
          <w:szCs w:val="21"/>
          <w:highlight w:val="none"/>
        </w:rPr>
        <w:t>并加盖响应人公章</w:t>
      </w:r>
      <w:r>
        <w:rPr>
          <w:rFonts w:hint="eastAsia" w:ascii="宋体" w:hAnsi="宋体" w:cs="宋体"/>
          <w:b/>
          <w:bCs/>
          <w:color w:val="auto"/>
          <w:sz w:val="21"/>
          <w:szCs w:val="21"/>
          <w:highlight w:val="none"/>
          <w:lang w:eastAsia="zh-CN"/>
        </w:rPr>
        <w:t>。</w:t>
      </w:r>
    </w:p>
    <w:p w14:paraId="7313E1D2">
      <w:pPr>
        <w:spacing w:line="360" w:lineRule="auto"/>
        <w:ind w:left="424" w:leftChars="202"/>
        <w:rPr>
          <w:rFonts w:hint="eastAsia" w:ascii="宋体" w:hAnsi="宋体" w:cs="宋体"/>
          <w:szCs w:val="21"/>
        </w:rPr>
      </w:pPr>
    </w:p>
    <w:p w14:paraId="7B9DCD04">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cs="宋体"/>
          <w:szCs w:val="21"/>
        </w:rPr>
      </w:pPr>
    </w:p>
    <w:p w14:paraId="23004943">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cs="宋体"/>
          <w:szCs w:val="21"/>
        </w:rPr>
      </w:pPr>
    </w:p>
    <w:p w14:paraId="12AB768F">
      <w:pPr>
        <w:keepNext w:val="0"/>
        <w:keepLines w:val="0"/>
        <w:pageBreakBefore w:val="0"/>
        <w:widowControl w:val="0"/>
        <w:kinsoku/>
        <w:wordWrap/>
        <w:overflowPunct/>
        <w:topLinePunct w:val="0"/>
        <w:autoSpaceDE/>
        <w:autoSpaceDN/>
        <w:bidi w:val="0"/>
        <w:adjustRightInd/>
        <w:snapToGrid/>
        <w:spacing w:line="480" w:lineRule="auto"/>
        <w:ind w:left="0" w:leftChars="0"/>
        <w:textAlignment w:val="auto"/>
        <w:rPr>
          <w:rFonts w:hint="eastAsia" w:ascii="宋体" w:hAnsi="宋体" w:cs="宋体"/>
          <w:szCs w:val="21"/>
          <w:u w:val="single"/>
        </w:rPr>
      </w:pPr>
      <w:r>
        <w:rPr>
          <w:rFonts w:hint="eastAsia" w:ascii="宋体" w:hAnsi="宋体" w:cs="宋体"/>
          <w:szCs w:val="21"/>
        </w:rPr>
        <w:t>投标人名称：</w:t>
      </w:r>
      <w:r>
        <w:rPr>
          <w:rFonts w:hint="eastAsia" w:ascii="宋体" w:hAnsi="宋体" w:cs="宋体"/>
          <w:b/>
          <w:szCs w:val="21"/>
          <w:u w:val="single"/>
        </w:rPr>
        <w:t xml:space="preserve">                </w:t>
      </w:r>
      <w:r>
        <w:rPr>
          <w:rFonts w:hint="eastAsia" w:ascii="宋体" w:hAnsi="宋体" w:cs="宋体"/>
          <w:szCs w:val="21"/>
        </w:rPr>
        <w:t xml:space="preserve">（加盖公章）  </w:t>
      </w:r>
    </w:p>
    <w:p w14:paraId="2414C1F6">
      <w:pPr>
        <w:keepNext w:val="0"/>
        <w:keepLines w:val="0"/>
        <w:pageBreakBefore w:val="0"/>
        <w:widowControl w:val="0"/>
        <w:kinsoku/>
        <w:wordWrap/>
        <w:overflowPunct/>
        <w:topLinePunct w:val="0"/>
        <w:autoSpaceDE/>
        <w:autoSpaceDN/>
        <w:bidi w:val="0"/>
        <w:adjustRightInd/>
        <w:snapToGrid/>
        <w:spacing w:line="480" w:lineRule="auto"/>
        <w:ind w:left="0" w:leftChars="0"/>
        <w:textAlignment w:val="auto"/>
        <w:rPr>
          <w:rFonts w:hint="eastAsia" w:ascii="宋体" w:hAnsi="宋体" w:cs="宋体"/>
          <w:szCs w:val="21"/>
        </w:rPr>
      </w:pPr>
      <w:r>
        <w:rPr>
          <w:rFonts w:hint="eastAsia" w:ascii="宋体" w:hAnsi="宋体" w:cs="宋体"/>
          <w:szCs w:val="21"/>
        </w:rPr>
        <w:t>投标人代表：</w:t>
      </w:r>
      <w:r>
        <w:rPr>
          <w:rFonts w:hint="eastAsia" w:ascii="宋体" w:hAnsi="宋体" w:cs="宋体"/>
          <w:b/>
          <w:szCs w:val="21"/>
          <w:u w:val="single"/>
        </w:rPr>
        <w:t xml:space="preserve">           </w:t>
      </w:r>
      <w:r>
        <w:rPr>
          <w:rFonts w:hint="eastAsia" w:ascii="宋体" w:hAnsi="宋体" w:cs="宋体"/>
          <w:szCs w:val="21"/>
        </w:rPr>
        <w:t>（签字）</w:t>
      </w:r>
    </w:p>
    <w:p w14:paraId="29CCA42F">
      <w:pPr>
        <w:keepNext w:val="0"/>
        <w:keepLines w:val="0"/>
        <w:pageBreakBefore w:val="0"/>
        <w:widowControl w:val="0"/>
        <w:kinsoku/>
        <w:wordWrap/>
        <w:overflowPunct/>
        <w:topLinePunct w:val="0"/>
        <w:autoSpaceDE/>
        <w:autoSpaceDN/>
        <w:bidi w:val="0"/>
        <w:adjustRightInd/>
        <w:snapToGrid/>
        <w:spacing w:line="480" w:lineRule="auto"/>
        <w:ind w:left="0" w:leftChars="0"/>
        <w:textAlignment w:val="auto"/>
        <w:rPr>
          <w:rFonts w:hint="eastAsia"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384EDE7B">
      <w:pPr>
        <w:snapToGrid w:val="0"/>
        <w:spacing w:before="50" w:after="156" w:afterLines="50"/>
        <w:outlineLvl w:val="2"/>
        <w:rPr>
          <w:rFonts w:hint="eastAsia" w:ascii="宋体" w:hAnsi="宋体" w:cs="宋体"/>
          <w:szCs w:val="21"/>
        </w:rPr>
      </w:pPr>
      <w:r>
        <w:rPr>
          <w:rFonts w:hint="eastAsia" w:ascii="宋体" w:hAnsi="宋体" w:cs="宋体"/>
          <w:b/>
          <w:szCs w:val="21"/>
        </w:rPr>
        <w:br w:type="page"/>
      </w:r>
      <w:r>
        <w:rPr>
          <w:rFonts w:hint="eastAsia" w:ascii="宋体" w:hAnsi="宋体" w:cs="宋体"/>
          <w:b/>
          <w:szCs w:val="21"/>
        </w:rPr>
        <w:t>格式十</w:t>
      </w:r>
      <w:r>
        <w:rPr>
          <w:rFonts w:hint="eastAsia" w:ascii="宋体" w:hAnsi="宋体" w:cs="宋体"/>
          <w:b/>
          <w:szCs w:val="21"/>
          <w:lang w:val="en-US" w:eastAsia="zh-CN"/>
        </w:rPr>
        <w:t>二</w:t>
      </w:r>
      <w:r>
        <w:rPr>
          <w:rFonts w:hint="eastAsia" w:ascii="宋体" w:hAnsi="宋体" w:cs="宋体"/>
          <w:b/>
          <w:szCs w:val="21"/>
        </w:rPr>
        <w:t>、投标人最优售后服务网点情况表</w:t>
      </w:r>
    </w:p>
    <w:tbl>
      <w:tblPr>
        <w:tblStyle w:val="31"/>
        <w:tblW w:w="4999"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846"/>
        <w:gridCol w:w="1735"/>
        <w:gridCol w:w="205"/>
        <w:gridCol w:w="1539"/>
        <w:gridCol w:w="951"/>
        <w:gridCol w:w="1537"/>
        <w:gridCol w:w="1925"/>
      </w:tblGrid>
      <w:tr w14:paraId="327169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8" w:type="pct"/>
            <w:tcBorders>
              <w:top w:val="single" w:color="auto" w:sz="4" w:space="0"/>
              <w:left w:val="single" w:color="auto" w:sz="4" w:space="0"/>
              <w:bottom w:val="single" w:color="auto" w:sz="4" w:space="0"/>
              <w:right w:val="single" w:color="auto" w:sz="4" w:space="0"/>
            </w:tcBorders>
            <w:noWrap w:val="0"/>
            <w:vAlign w:val="center"/>
          </w:tcPr>
          <w:p w14:paraId="5232E5E5">
            <w:pPr>
              <w:keepNext w:val="0"/>
              <w:keepLines w:val="0"/>
              <w:suppressLineNumbers w:val="0"/>
              <w:snapToGrid w:val="0"/>
              <w:spacing w:before="50" w:beforeAutospacing="0" w:after="156" w:afterLines="50" w:afterAutospacing="0" w:line="400" w:lineRule="exact"/>
              <w:ind w:left="0" w:right="0"/>
              <w:rPr>
                <w:rFonts w:hint="eastAsia" w:ascii="宋体" w:hAnsi="宋体" w:eastAsia="宋体" w:cs="宋体"/>
                <w:szCs w:val="21"/>
              </w:rPr>
            </w:pPr>
            <w:r>
              <w:rPr>
                <w:rFonts w:hint="eastAsia" w:ascii="宋体" w:hAnsi="宋体" w:eastAsia="宋体" w:cs="宋体"/>
                <w:szCs w:val="21"/>
              </w:rPr>
              <w:t>服务网点名称</w:t>
            </w:r>
          </w:p>
        </w:tc>
        <w:tc>
          <w:tcPr>
            <w:tcW w:w="3063" w:type="pct"/>
            <w:gridSpan w:val="5"/>
            <w:tcBorders>
              <w:top w:val="single" w:color="auto" w:sz="4" w:space="0"/>
              <w:left w:val="single" w:color="auto" w:sz="4" w:space="0"/>
              <w:bottom w:val="single" w:color="auto" w:sz="4" w:space="0"/>
              <w:right w:val="single" w:color="auto" w:sz="4" w:space="0"/>
            </w:tcBorders>
            <w:noWrap w:val="0"/>
            <w:vAlign w:val="center"/>
          </w:tcPr>
          <w:p w14:paraId="0ED457BE">
            <w:pPr>
              <w:keepNext w:val="0"/>
              <w:keepLines w:val="0"/>
              <w:suppressLineNumbers w:val="0"/>
              <w:snapToGrid w:val="0"/>
              <w:spacing w:before="50" w:beforeAutospacing="0" w:after="156" w:afterLines="50" w:afterAutospacing="0" w:line="400" w:lineRule="exact"/>
              <w:ind w:left="0" w:right="0"/>
              <w:jc w:val="center"/>
              <w:rPr>
                <w:rFonts w:hint="eastAsia" w:ascii="宋体" w:hAnsi="宋体" w:eastAsia="宋体" w:cs="宋体"/>
                <w:szCs w:val="21"/>
              </w:rPr>
            </w:pPr>
          </w:p>
        </w:tc>
        <w:tc>
          <w:tcPr>
            <w:tcW w:w="988" w:type="pct"/>
            <w:vMerge w:val="restart"/>
            <w:tcBorders>
              <w:top w:val="single" w:color="auto" w:sz="4" w:space="0"/>
              <w:left w:val="single" w:color="auto" w:sz="4" w:space="0"/>
              <w:bottom w:val="single" w:color="auto" w:sz="4" w:space="0"/>
              <w:right w:val="single" w:color="auto" w:sz="4" w:space="0"/>
            </w:tcBorders>
            <w:noWrap w:val="0"/>
            <w:vAlign w:val="center"/>
          </w:tcPr>
          <w:p w14:paraId="445161FA">
            <w:pPr>
              <w:keepNext w:val="0"/>
              <w:keepLines w:val="0"/>
              <w:suppressLineNumbers w:val="0"/>
              <w:snapToGrid w:val="0"/>
              <w:spacing w:before="50" w:beforeAutospacing="0" w:after="156" w:afterLines="50" w:afterAutospacing="0" w:line="400" w:lineRule="exact"/>
              <w:ind w:left="0" w:right="0"/>
              <w:rPr>
                <w:rFonts w:hint="eastAsia" w:ascii="宋体" w:hAnsi="宋体" w:eastAsia="宋体" w:cs="宋体"/>
                <w:szCs w:val="21"/>
              </w:rPr>
            </w:pPr>
            <w:r>
              <w:rPr>
                <w:rFonts w:hint="eastAsia" w:ascii="宋体" w:hAnsi="宋体" w:eastAsia="宋体" w:cs="宋体"/>
                <w:szCs w:val="21"/>
              </w:rPr>
              <w:t>投标文件页码</w:t>
            </w:r>
          </w:p>
        </w:tc>
      </w:tr>
      <w:tr w14:paraId="577671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8" w:type="pct"/>
            <w:tcBorders>
              <w:top w:val="single" w:color="auto" w:sz="4" w:space="0"/>
              <w:left w:val="single" w:color="auto" w:sz="4" w:space="0"/>
              <w:bottom w:val="single" w:color="auto" w:sz="4" w:space="0"/>
              <w:right w:val="single" w:color="auto" w:sz="4" w:space="0"/>
            </w:tcBorders>
            <w:noWrap w:val="0"/>
            <w:vAlign w:val="center"/>
          </w:tcPr>
          <w:p w14:paraId="7E6EEFF9">
            <w:pPr>
              <w:keepNext w:val="0"/>
              <w:keepLines w:val="0"/>
              <w:suppressLineNumbers w:val="0"/>
              <w:snapToGrid w:val="0"/>
              <w:spacing w:before="50" w:beforeAutospacing="0" w:after="156" w:afterLines="50" w:afterAutospacing="0" w:line="400" w:lineRule="exact"/>
              <w:ind w:left="0" w:right="0"/>
              <w:rPr>
                <w:rFonts w:hint="eastAsia" w:ascii="宋体" w:hAnsi="宋体" w:eastAsia="宋体" w:cs="宋体"/>
                <w:szCs w:val="21"/>
              </w:rPr>
            </w:pPr>
            <w:r>
              <w:rPr>
                <w:rFonts w:hint="eastAsia" w:ascii="宋体" w:hAnsi="宋体" w:eastAsia="宋体" w:cs="宋体"/>
                <w:szCs w:val="21"/>
              </w:rPr>
              <w:t>地址</w:t>
            </w:r>
          </w:p>
        </w:tc>
        <w:tc>
          <w:tcPr>
            <w:tcW w:w="3063" w:type="pct"/>
            <w:gridSpan w:val="5"/>
            <w:tcBorders>
              <w:top w:val="single" w:color="auto" w:sz="4" w:space="0"/>
              <w:left w:val="single" w:color="auto" w:sz="4" w:space="0"/>
              <w:bottom w:val="single" w:color="auto" w:sz="4" w:space="0"/>
              <w:right w:val="single" w:color="auto" w:sz="4" w:space="0"/>
            </w:tcBorders>
            <w:noWrap w:val="0"/>
            <w:vAlign w:val="center"/>
          </w:tcPr>
          <w:p w14:paraId="66DB4511">
            <w:pPr>
              <w:keepNext w:val="0"/>
              <w:keepLines w:val="0"/>
              <w:suppressLineNumbers w:val="0"/>
              <w:snapToGrid w:val="0"/>
              <w:spacing w:before="50" w:beforeAutospacing="0" w:after="156" w:afterLines="50" w:afterAutospacing="0" w:line="400" w:lineRule="exact"/>
              <w:ind w:left="0" w:right="0"/>
              <w:jc w:val="center"/>
              <w:rPr>
                <w:rFonts w:hint="eastAsia" w:ascii="宋体" w:hAnsi="宋体" w:eastAsia="宋体" w:cs="宋体"/>
                <w:szCs w:val="21"/>
              </w:rPr>
            </w:pPr>
          </w:p>
        </w:tc>
        <w:tc>
          <w:tcPr>
            <w:tcW w:w="988" w:type="pct"/>
            <w:vMerge w:val="continue"/>
            <w:tcBorders>
              <w:top w:val="single" w:color="auto" w:sz="4" w:space="0"/>
              <w:left w:val="single" w:color="auto" w:sz="4" w:space="0"/>
              <w:bottom w:val="single" w:color="auto" w:sz="4" w:space="0"/>
              <w:right w:val="single" w:color="auto" w:sz="4" w:space="0"/>
            </w:tcBorders>
            <w:noWrap w:val="0"/>
            <w:vAlign w:val="center"/>
          </w:tcPr>
          <w:p w14:paraId="5C40084A">
            <w:pPr>
              <w:keepNext w:val="0"/>
              <w:keepLines w:val="0"/>
              <w:suppressLineNumbers w:val="0"/>
              <w:spacing w:before="0" w:beforeAutospacing="0" w:after="0" w:afterAutospacing="0"/>
              <w:ind w:left="0" w:right="0"/>
              <w:jc w:val="center"/>
              <w:rPr>
                <w:rFonts w:hint="eastAsia" w:ascii="宋体" w:hAnsi="宋体" w:eastAsia="宋体" w:cs="宋体"/>
                <w:szCs w:val="21"/>
              </w:rPr>
            </w:pPr>
          </w:p>
        </w:tc>
      </w:tr>
      <w:tr w14:paraId="09B541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8" w:type="pct"/>
            <w:tcBorders>
              <w:top w:val="single" w:color="auto" w:sz="4" w:space="0"/>
              <w:left w:val="single" w:color="auto" w:sz="4" w:space="0"/>
              <w:bottom w:val="single" w:color="auto" w:sz="4" w:space="0"/>
              <w:right w:val="single" w:color="auto" w:sz="4" w:space="0"/>
            </w:tcBorders>
            <w:noWrap w:val="0"/>
            <w:vAlign w:val="top"/>
          </w:tcPr>
          <w:p w14:paraId="54DD32A0">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r>
              <w:rPr>
                <w:rFonts w:hint="eastAsia" w:ascii="宋体" w:hAnsi="宋体" w:eastAsia="宋体" w:cs="宋体"/>
                <w:szCs w:val="21"/>
              </w:rPr>
              <w:t>注册资本金</w:t>
            </w:r>
          </w:p>
        </w:tc>
        <w:tc>
          <w:tcPr>
            <w:tcW w:w="891" w:type="pct"/>
            <w:tcBorders>
              <w:top w:val="single" w:color="auto" w:sz="4" w:space="0"/>
              <w:left w:val="single" w:color="auto" w:sz="4" w:space="0"/>
              <w:bottom w:val="single" w:color="auto" w:sz="4" w:space="0"/>
              <w:right w:val="single" w:color="auto" w:sz="4" w:space="0"/>
            </w:tcBorders>
            <w:noWrap w:val="0"/>
            <w:vAlign w:val="top"/>
          </w:tcPr>
          <w:p w14:paraId="6BBDB78B">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c>
          <w:tcPr>
            <w:tcW w:w="1383" w:type="pct"/>
            <w:gridSpan w:val="3"/>
            <w:tcBorders>
              <w:top w:val="single" w:color="auto" w:sz="4" w:space="0"/>
              <w:left w:val="single" w:color="auto" w:sz="4" w:space="0"/>
              <w:bottom w:val="single" w:color="auto" w:sz="4" w:space="0"/>
              <w:right w:val="single" w:color="auto" w:sz="4" w:space="0"/>
            </w:tcBorders>
            <w:noWrap w:val="0"/>
            <w:vAlign w:val="top"/>
          </w:tcPr>
          <w:p w14:paraId="3A7AB9C8">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r>
              <w:rPr>
                <w:rFonts w:hint="eastAsia" w:ascii="宋体" w:hAnsi="宋体" w:eastAsia="宋体" w:cs="宋体"/>
                <w:szCs w:val="21"/>
              </w:rPr>
              <w:t>其中：投标人出资比例</w:t>
            </w:r>
          </w:p>
        </w:tc>
        <w:tc>
          <w:tcPr>
            <w:tcW w:w="788" w:type="pct"/>
            <w:tcBorders>
              <w:top w:val="single" w:color="auto" w:sz="4" w:space="0"/>
              <w:left w:val="single" w:color="auto" w:sz="4" w:space="0"/>
              <w:bottom w:val="single" w:color="auto" w:sz="4" w:space="0"/>
              <w:right w:val="single" w:color="auto" w:sz="4" w:space="0"/>
            </w:tcBorders>
            <w:noWrap w:val="0"/>
            <w:vAlign w:val="top"/>
          </w:tcPr>
          <w:p w14:paraId="3C729FA1">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c>
          <w:tcPr>
            <w:tcW w:w="988" w:type="pct"/>
            <w:tcBorders>
              <w:top w:val="single" w:color="auto" w:sz="4" w:space="0"/>
              <w:left w:val="single" w:color="auto" w:sz="4" w:space="0"/>
              <w:bottom w:val="single" w:color="auto" w:sz="4" w:space="0"/>
              <w:right w:val="single" w:color="auto" w:sz="4" w:space="0"/>
            </w:tcBorders>
            <w:noWrap w:val="0"/>
            <w:vAlign w:val="top"/>
          </w:tcPr>
          <w:p w14:paraId="572294BC">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r>
      <w:tr w14:paraId="6E1069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8" w:type="pct"/>
            <w:tcBorders>
              <w:top w:val="single" w:color="auto" w:sz="4" w:space="0"/>
              <w:left w:val="single" w:color="auto" w:sz="4" w:space="0"/>
              <w:bottom w:val="single" w:color="auto" w:sz="4" w:space="0"/>
              <w:right w:val="single" w:color="auto" w:sz="4" w:space="0"/>
            </w:tcBorders>
            <w:noWrap w:val="0"/>
            <w:vAlign w:val="top"/>
          </w:tcPr>
          <w:p w14:paraId="170F6A7F">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r>
              <w:rPr>
                <w:rFonts w:hint="eastAsia" w:ascii="宋体" w:hAnsi="宋体" w:eastAsia="宋体" w:cs="宋体"/>
                <w:szCs w:val="21"/>
              </w:rPr>
              <w:t>员工总人数</w:t>
            </w:r>
          </w:p>
        </w:tc>
        <w:tc>
          <w:tcPr>
            <w:tcW w:w="891" w:type="pct"/>
            <w:tcBorders>
              <w:top w:val="single" w:color="auto" w:sz="4" w:space="0"/>
              <w:left w:val="single" w:color="auto" w:sz="4" w:space="0"/>
              <w:bottom w:val="single" w:color="auto" w:sz="4" w:space="0"/>
              <w:right w:val="single" w:color="auto" w:sz="4" w:space="0"/>
            </w:tcBorders>
            <w:noWrap w:val="0"/>
            <w:vAlign w:val="top"/>
          </w:tcPr>
          <w:p w14:paraId="63886AE7">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c>
          <w:tcPr>
            <w:tcW w:w="1383" w:type="pct"/>
            <w:gridSpan w:val="3"/>
            <w:tcBorders>
              <w:top w:val="single" w:color="auto" w:sz="4" w:space="0"/>
              <w:left w:val="single" w:color="auto" w:sz="4" w:space="0"/>
              <w:bottom w:val="single" w:color="auto" w:sz="4" w:space="0"/>
              <w:right w:val="single" w:color="auto" w:sz="4" w:space="0"/>
            </w:tcBorders>
            <w:noWrap w:val="0"/>
            <w:vAlign w:val="top"/>
          </w:tcPr>
          <w:p w14:paraId="0E412DA3">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r>
              <w:rPr>
                <w:rFonts w:hint="eastAsia" w:ascii="宋体" w:hAnsi="宋体" w:eastAsia="宋体" w:cs="宋体"/>
                <w:szCs w:val="21"/>
              </w:rPr>
              <w:t>其中：技术人员数</w:t>
            </w:r>
          </w:p>
        </w:tc>
        <w:tc>
          <w:tcPr>
            <w:tcW w:w="788" w:type="pct"/>
            <w:tcBorders>
              <w:top w:val="single" w:color="auto" w:sz="4" w:space="0"/>
              <w:left w:val="single" w:color="auto" w:sz="4" w:space="0"/>
              <w:bottom w:val="single" w:color="auto" w:sz="4" w:space="0"/>
              <w:right w:val="single" w:color="auto" w:sz="4" w:space="0"/>
            </w:tcBorders>
            <w:noWrap w:val="0"/>
            <w:vAlign w:val="top"/>
          </w:tcPr>
          <w:p w14:paraId="590C0AE3">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c>
          <w:tcPr>
            <w:tcW w:w="988" w:type="pct"/>
            <w:tcBorders>
              <w:top w:val="single" w:color="auto" w:sz="4" w:space="0"/>
              <w:left w:val="single" w:color="auto" w:sz="4" w:space="0"/>
              <w:bottom w:val="single" w:color="auto" w:sz="4" w:space="0"/>
              <w:right w:val="single" w:color="auto" w:sz="4" w:space="0"/>
            </w:tcBorders>
            <w:noWrap w:val="0"/>
            <w:vAlign w:val="top"/>
          </w:tcPr>
          <w:p w14:paraId="6949C17A">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r>
      <w:tr w14:paraId="1259F3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8" w:type="pct"/>
            <w:tcBorders>
              <w:top w:val="single" w:color="auto" w:sz="4" w:space="0"/>
              <w:left w:val="single" w:color="auto" w:sz="4" w:space="0"/>
              <w:bottom w:val="single" w:color="auto" w:sz="4" w:space="0"/>
              <w:right w:val="single" w:color="auto" w:sz="4" w:space="0"/>
            </w:tcBorders>
            <w:noWrap w:val="0"/>
            <w:vAlign w:val="top"/>
          </w:tcPr>
          <w:p w14:paraId="38CE765F">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r>
              <w:rPr>
                <w:rFonts w:hint="eastAsia" w:ascii="宋体" w:hAnsi="宋体" w:eastAsia="宋体" w:cs="宋体"/>
                <w:szCs w:val="21"/>
              </w:rPr>
              <w:t>经营期限</w:t>
            </w:r>
          </w:p>
        </w:tc>
        <w:tc>
          <w:tcPr>
            <w:tcW w:w="3063" w:type="pct"/>
            <w:gridSpan w:val="5"/>
            <w:tcBorders>
              <w:top w:val="single" w:color="auto" w:sz="4" w:space="0"/>
              <w:left w:val="single" w:color="auto" w:sz="4" w:space="0"/>
              <w:bottom w:val="single" w:color="auto" w:sz="4" w:space="0"/>
              <w:right w:val="single" w:color="auto" w:sz="4" w:space="0"/>
            </w:tcBorders>
            <w:noWrap w:val="0"/>
            <w:vAlign w:val="top"/>
          </w:tcPr>
          <w:p w14:paraId="32975C6B">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c>
          <w:tcPr>
            <w:tcW w:w="988" w:type="pct"/>
            <w:tcBorders>
              <w:top w:val="single" w:color="auto" w:sz="4" w:space="0"/>
              <w:left w:val="single" w:color="auto" w:sz="4" w:space="0"/>
              <w:bottom w:val="single" w:color="auto" w:sz="4" w:space="0"/>
              <w:right w:val="single" w:color="auto" w:sz="4" w:space="0"/>
            </w:tcBorders>
            <w:noWrap w:val="0"/>
            <w:vAlign w:val="top"/>
          </w:tcPr>
          <w:p w14:paraId="65F1A69D">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r>
      <w:tr w14:paraId="4600FA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8" w:type="pct"/>
            <w:tcBorders>
              <w:top w:val="single" w:color="auto" w:sz="4" w:space="0"/>
              <w:left w:val="single" w:color="auto" w:sz="4" w:space="0"/>
              <w:bottom w:val="single" w:color="auto" w:sz="4" w:space="0"/>
              <w:right w:val="single" w:color="auto" w:sz="4" w:space="0"/>
            </w:tcBorders>
            <w:noWrap w:val="0"/>
            <w:vAlign w:val="top"/>
          </w:tcPr>
          <w:p w14:paraId="0887CCE9">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r>
              <w:rPr>
                <w:rFonts w:hint="eastAsia" w:ascii="宋体" w:hAnsi="宋体" w:eastAsia="宋体" w:cs="宋体"/>
                <w:szCs w:val="21"/>
              </w:rPr>
              <w:t>服务协议</w:t>
            </w:r>
          </w:p>
        </w:tc>
        <w:tc>
          <w:tcPr>
            <w:tcW w:w="3063" w:type="pct"/>
            <w:gridSpan w:val="5"/>
            <w:tcBorders>
              <w:top w:val="single" w:color="auto" w:sz="4" w:space="0"/>
              <w:left w:val="single" w:color="auto" w:sz="4" w:space="0"/>
              <w:bottom w:val="single" w:color="auto" w:sz="4" w:space="0"/>
              <w:right w:val="single" w:color="auto" w:sz="4" w:space="0"/>
            </w:tcBorders>
            <w:noWrap w:val="0"/>
            <w:vAlign w:val="top"/>
          </w:tcPr>
          <w:p w14:paraId="340ED8C0">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c>
          <w:tcPr>
            <w:tcW w:w="988" w:type="pct"/>
            <w:tcBorders>
              <w:top w:val="single" w:color="auto" w:sz="4" w:space="0"/>
              <w:left w:val="single" w:color="auto" w:sz="4" w:space="0"/>
              <w:bottom w:val="single" w:color="auto" w:sz="4" w:space="0"/>
              <w:right w:val="single" w:color="auto" w:sz="4" w:space="0"/>
            </w:tcBorders>
            <w:noWrap w:val="0"/>
            <w:vAlign w:val="top"/>
          </w:tcPr>
          <w:p w14:paraId="1E88764D">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r>
      <w:tr w14:paraId="577053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8" w:type="pct"/>
            <w:tcBorders>
              <w:top w:val="single" w:color="auto" w:sz="4" w:space="0"/>
              <w:left w:val="single" w:color="auto" w:sz="4" w:space="0"/>
              <w:bottom w:val="single" w:color="auto" w:sz="4" w:space="0"/>
              <w:right w:val="single" w:color="auto" w:sz="4" w:space="0"/>
            </w:tcBorders>
            <w:noWrap w:val="0"/>
            <w:vAlign w:val="top"/>
          </w:tcPr>
          <w:p w14:paraId="56EBCD40">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r>
              <w:rPr>
                <w:rFonts w:hint="eastAsia" w:ascii="宋体" w:hAnsi="宋体" w:eastAsia="宋体" w:cs="宋体"/>
                <w:szCs w:val="21"/>
              </w:rPr>
              <w:t>服务内容</w:t>
            </w:r>
          </w:p>
        </w:tc>
        <w:tc>
          <w:tcPr>
            <w:tcW w:w="3063" w:type="pct"/>
            <w:gridSpan w:val="5"/>
            <w:tcBorders>
              <w:top w:val="single" w:color="auto" w:sz="4" w:space="0"/>
              <w:left w:val="single" w:color="auto" w:sz="4" w:space="0"/>
              <w:bottom w:val="single" w:color="auto" w:sz="4" w:space="0"/>
              <w:right w:val="single" w:color="auto" w:sz="4" w:space="0"/>
            </w:tcBorders>
            <w:noWrap w:val="0"/>
            <w:vAlign w:val="top"/>
          </w:tcPr>
          <w:p w14:paraId="45260628">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c>
          <w:tcPr>
            <w:tcW w:w="988" w:type="pct"/>
            <w:tcBorders>
              <w:top w:val="single" w:color="auto" w:sz="4" w:space="0"/>
              <w:left w:val="single" w:color="auto" w:sz="4" w:space="0"/>
              <w:bottom w:val="single" w:color="auto" w:sz="4" w:space="0"/>
              <w:right w:val="single" w:color="auto" w:sz="4" w:space="0"/>
            </w:tcBorders>
            <w:noWrap w:val="0"/>
            <w:vAlign w:val="top"/>
          </w:tcPr>
          <w:p w14:paraId="677C9905">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r>
      <w:tr w14:paraId="7C600D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8" w:type="pct"/>
            <w:tcBorders>
              <w:top w:val="single" w:color="auto" w:sz="4" w:space="0"/>
              <w:left w:val="single" w:color="auto" w:sz="4" w:space="0"/>
              <w:bottom w:val="single" w:color="auto" w:sz="4" w:space="0"/>
              <w:right w:val="single" w:color="auto" w:sz="4" w:space="0"/>
            </w:tcBorders>
            <w:noWrap w:val="0"/>
            <w:vAlign w:val="top"/>
          </w:tcPr>
          <w:p w14:paraId="427E73AE">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r>
              <w:rPr>
                <w:rFonts w:hint="eastAsia" w:ascii="宋体" w:hAnsi="宋体" w:eastAsia="宋体" w:cs="宋体"/>
                <w:szCs w:val="21"/>
              </w:rPr>
              <w:t>工作业绩</w:t>
            </w:r>
          </w:p>
        </w:tc>
        <w:tc>
          <w:tcPr>
            <w:tcW w:w="3063" w:type="pct"/>
            <w:gridSpan w:val="5"/>
            <w:tcBorders>
              <w:top w:val="single" w:color="auto" w:sz="4" w:space="0"/>
              <w:left w:val="single" w:color="auto" w:sz="4" w:space="0"/>
              <w:bottom w:val="single" w:color="auto" w:sz="4" w:space="0"/>
              <w:right w:val="single" w:color="auto" w:sz="4" w:space="0"/>
            </w:tcBorders>
            <w:noWrap w:val="0"/>
            <w:vAlign w:val="top"/>
          </w:tcPr>
          <w:p w14:paraId="3B8AB73B">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c>
          <w:tcPr>
            <w:tcW w:w="988" w:type="pct"/>
            <w:tcBorders>
              <w:top w:val="single" w:color="auto" w:sz="4" w:space="0"/>
              <w:left w:val="single" w:color="auto" w:sz="4" w:space="0"/>
              <w:bottom w:val="single" w:color="auto" w:sz="4" w:space="0"/>
              <w:right w:val="single" w:color="auto" w:sz="4" w:space="0"/>
            </w:tcBorders>
            <w:noWrap w:val="0"/>
            <w:vAlign w:val="top"/>
          </w:tcPr>
          <w:p w14:paraId="0BA0715A">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r>
      <w:tr w14:paraId="1EA19B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8" w:type="pct"/>
            <w:tcBorders>
              <w:top w:val="single" w:color="auto" w:sz="4" w:space="0"/>
              <w:left w:val="single" w:color="auto" w:sz="4" w:space="0"/>
              <w:bottom w:val="single" w:color="auto" w:sz="4" w:space="0"/>
              <w:right w:val="single" w:color="auto" w:sz="4" w:space="0"/>
            </w:tcBorders>
            <w:noWrap w:val="0"/>
            <w:vAlign w:val="top"/>
          </w:tcPr>
          <w:p w14:paraId="59D1F064">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r>
              <w:rPr>
                <w:rFonts w:hint="eastAsia" w:ascii="宋体" w:hAnsi="宋体" w:eastAsia="宋体" w:cs="宋体"/>
                <w:szCs w:val="21"/>
              </w:rPr>
              <w:t>服务承诺</w:t>
            </w:r>
          </w:p>
        </w:tc>
        <w:tc>
          <w:tcPr>
            <w:tcW w:w="3063" w:type="pct"/>
            <w:gridSpan w:val="5"/>
            <w:tcBorders>
              <w:top w:val="single" w:color="auto" w:sz="4" w:space="0"/>
              <w:left w:val="single" w:color="auto" w:sz="4" w:space="0"/>
              <w:bottom w:val="single" w:color="auto" w:sz="4" w:space="0"/>
              <w:right w:val="single" w:color="auto" w:sz="4" w:space="0"/>
            </w:tcBorders>
            <w:noWrap w:val="0"/>
            <w:vAlign w:val="top"/>
          </w:tcPr>
          <w:p w14:paraId="1EDEF2C6">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c>
          <w:tcPr>
            <w:tcW w:w="988" w:type="pct"/>
            <w:tcBorders>
              <w:top w:val="single" w:color="auto" w:sz="4" w:space="0"/>
              <w:left w:val="single" w:color="auto" w:sz="4" w:space="0"/>
              <w:bottom w:val="single" w:color="auto" w:sz="4" w:space="0"/>
              <w:right w:val="single" w:color="auto" w:sz="4" w:space="0"/>
            </w:tcBorders>
            <w:noWrap w:val="0"/>
            <w:vAlign w:val="top"/>
          </w:tcPr>
          <w:p w14:paraId="43CB7768">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r>
      <w:tr w14:paraId="1E9E55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8" w:type="pct"/>
            <w:tcBorders>
              <w:top w:val="single" w:color="auto" w:sz="4" w:space="0"/>
              <w:left w:val="single" w:color="auto" w:sz="4" w:space="0"/>
              <w:bottom w:val="single" w:color="auto" w:sz="4" w:space="0"/>
              <w:right w:val="single" w:color="auto" w:sz="4" w:space="0"/>
            </w:tcBorders>
            <w:noWrap w:val="0"/>
            <w:vAlign w:val="top"/>
          </w:tcPr>
          <w:p w14:paraId="715B489B">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r>
              <w:rPr>
                <w:rFonts w:hint="eastAsia" w:ascii="宋体" w:hAnsi="宋体" w:eastAsia="宋体" w:cs="宋体"/>
                <w:szCs w:val="21"/>
              </w:rPr>
              <w:t>业务咨询电话</w:t>
            </w:r>
          </w:p>
        </w:tc>
        <w:tc>
          <w:tcPr>
            <w:tcW w:w="996" w:type="pct"/>
            <w:gridSpan w:val="2"/>
            <w:tcBorders>
              <w:top w:val="single" w:color="auto" w:sz="4" w:space="0"/>
              <w:left w:val="single" w:color="auto" w:sz="4" w:space="0"/>
              <w:bottom w:val="single" w:color="auto" w:sz="4" w:space="0"/>
              <w:right w:val="single" w:color="auto" w:sz="2" w:space="0"/>
            </w:tcBorders>
            <w:noWrap w:val="0"/>
            <w:vAlign w:val="top"/>
          </w:tcPr>
          <w:p w14:paraId="0825A2B1">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c>
          <w:tcPr>
            <w:tcW w:w="790" w:type="pct"/>
            <w:tcBorders>
              <w:top w:val="single" w:color="auto" w:sz="4" w:space="0"/>
              <w:left w:val="single" w:color="auto" w:sz="2" w:space="0"/>
              <w:bottom w:val="single" w:color="auto" w:sz="4" w:space="0"/>
              <w:right w:val="single" w:color="auto" w:sz="2" w:space="0"/>
            </w:tcBorders>
            <w:noWrap w:val="0"/>
            <w:vAlign w:val="top"/>
          </w:tcPr>
          <w:p w14:paraId="6888A8E6">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r>
              <w:rPr>
                <w:rFonts w:hint="eastAsia" w:ascii="宋体" w:hAnsi="宋体" w:eastAsia="宋体" w:cs="宋体"/>
                <w:szCs w:val="21"/>
              </w:rPr>
              <w:t>传 真</w:t>
            </w:r>
          </w:p>
        </w:tc>
        <w:tc>
          <w:tcPr>
            <w:tcW w:w="1277" w:type="pct"/>
            <w:gridSpan w:val="2"/>
            <w:tcBorders>
              <w:top w:val="single" w:color="auto" w:sz="4" w:space="0"/>
              <w:left w:val="single" w:color="auto" w:sz="2" w:space="0"/>
              <w:bottom w:val="single" w:color="auto" w:sz="4" w:space="0"/>
              <w:right w:val="single" w:color="auto" w:sz="2" w:space="0"/>
            </w:tcBorders>
            <w:noWrap w:val="0"/>
            <w:vAlign w:val="top"/>
          </w:tcPr>
          <w:p w14:paraId="1932EA6C">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c>
          <w:tcPr>
            <w:tcW w:w="988" w:type="pct"/>
            <w:tcBorders>
              <w:top w:val="single" w:color="auto" w:sz="4" w:space="0"/>
              <w:left w:val="single" w:color="auto" w:sz="2" w:space="0"/>
              <w:bottom w:val="single" w:color="auto" w:sz="4" w:space="0"/>
              <w:right w:val="single" w:color="auto" w:sz="4" w:space="0"/>
            </w:tcBorders>
            <w:noWrap w:val="0"/>
            <w:vAlign w:val="top"/>
          </w:tcPr>
          <w:p w14:paraId="293B83CC">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r>
      <w:tr w14:paraId="7652C2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8" w:type="pct"/>
            <w:tcBorders>
              <w:top w:val="single" w:color="auto" w:sz="4" w:space="0"/>
              <w:left w:val="single" w:color="auto" w:sz="4" w:space="0"/>
              <w:bottom w:val="single" w:color="auto" w:sz="4" w:space="0"/>
              <w:right w:val="single" w:color="auto" w:sz="4" w:space="0"/>
            </w:tcBorders>
            <w:noWrap w:val="0"/>
            <w:vAlign w:val="top"/>
          </w:tcPr>
          <w:p w14:paraId="0EEA448C">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r>
              <w:rPr>
                <w:rFonts w:hint="eastAsia" w:ascii="宋体" w:hAnsi="宋体" w:eastAsia="宋体" w:cs="宋体"/>
                <w:szCs w:val="21"/>
              </w:rPr>
              <w:t>负责人</w:t>
            </w:r>
          </w:p>
        </w:tc>
        <w:tc>
          <w:tcPr>
            <w:tcW w:w="996" w:type="pct"/>
            <w:gridSpan w:val="2"/>
            <w:tcBorders>
              <w:top w:val="single" w:color="auto" w:sz="4" w:space="0"/>
              <w:left w:val="single" w:color="auto" w:sz="4" w:space="0"/>
              <w:bottom w:val="single" w:color="auto" w:sz="4" w:space="0"/>
              <w:right w:val="single" w:color="auto" w:sz="2" w:space="0"/>
            </w:tcBorders>
            <w:noWrap w:val="0"/>
            <w:vAlign w:val="top"/>
          </w:tcPr>
          <w:p w14:paraId="427ED830">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c>
          <w:tcPr>
            <w:tcW w:w="790" w:type="pct"/>
            <w:tcBorders>
              <w:top w:val="single" w:color="auto" w:sz="4" w:space="0"/>
              <w:left w:val="single" w:color="auto" w:sz="2" w:space="0"/>
              <w:bottom w:val="single" w:color="auto" w:sz="4" w:space="0"/>
              <w:right w:val="single" w:color="auto" w:sz="2" w:space="0"/>
            </w:tcBorders>
            <w:noWrap w:val="0"/>
            <w:vAlign w:val="top"/>
          </w:tcPr>
          <w:p w14:paraId="303264B7">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r>
              <w:rPr>
                <w:rFonts w:hint="eastAsia" w:ascii="宋体" w:hAnsi="宋体" w:eastAsia="宋体" w:cs="宋体"/>
                <w:szCs w:val="21"/>
              </w:rPr>
              <w:t>联系电话</w:t>
            </w:r>
          </w:p>
        </w:tc>
        <w:tc>
          <w:tcPr>
            <w:tcW w:w="1277" w:type="pct"/>
            <w:gridSpan w:val="2"/>
            <w:tcBorders>
              <w:top w:val="single" w:color="auto" w:sz="4" w:space="0"/>
              <w:left w:val="single" w:color="auto" w:sz="2" w:space="0"/>
              <w:bottom w:val="single" w:color="auto" w:sz="4" w:space="0"/>
              <w:right w:val="single" w:color="auto" w:sz="4" w:space="0"/>
            </w:tcBorders>
            <w:noWrap w:val="0"/>
            <w:vAlign w:val="top"/>
          </w:tcPr>
          <w:p w14:paraId="61665C59">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c>
          <w:tcPr>
            <w:tcW w:w="988" w:type="pct"/>
            <w:tcBorders>
              <w:top w:val="single" w:color="auto" w:sz="4" w:space="0"/>
              <w:left w:val="single" w:color="auto" w:sz="4" w:space="0"/>
              <w:bottom w:val="single" w:color="auto" w:sz="4" w:space="0"/>
              <w:right w:val="single" w:color="auto" w:sz="4" w:space="0"/>
            </w:tcBorders>
            <w:noWrap w:val="0"/>
            <w:vAlign w:val="top"/>
          </w:tcPr>
          <w:p w14:paraId="1DDE8DAB">
            <w:pPr>
              <w:keepNext w:val="0"/>
              <w:keepLines w:val="0"/>
              <w:suppressLineNumbers w:val="0"/>
              <w:snapToGrid w:val="0"/>
              <w:spacing w:before="50" w:beforeAutospacing="0" w:after="156" w:afterLines="50" w:afterAutospacing="0" w:line="400" w:lineRule="exact"/>
              <w:ind w:left="0" w:right="0"/>
              <w:jc w:val="left"/>
              <w:rPr>
                <w:rFonts w:hint="eastAsia" w:ascii="宋体" w:hAnsi="宋体" w:eastAsia="宋体" w:cs="宋体"/>
                <w:szCs w:val="21"/>
              </w:rPr>
            </w:pPr>
          </w:p>
        </w:tc>
      </w:tr>
    </w:tbl>
    <w:p w14:paraId="74AF9CFB">
      <w:pPr>
        <w:snapToGrid w:val="0"/>
        <w:spacing w:before="50" w:after="156" w:afterLines="50"/>
        <w:jc w:val="left"/>
        <w:rPr>
          <w:rFonts w:hint="eastAsia" w:ascii="宋体" w:hAnsi="宋体" w:cs="宋体"/>
          <w:szCs w:val="21"/>
        </w:rPr>
      </w:pPr>
    </w:p>
    <w:p w14:paraId="447403DC">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cs="宋体"/>
          <w:szCs w:val="21"/>
        </w:rPr>
      </w:pPr>
    </w:p>
    <w:p w14:paraId="3CD3C90C">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cs="宋体"/>
          <w:szCs w:val="21"/>
        </w:rPr>
      </w:pPr>
    </w:p>
    <w:p w14:paraId="73ABE853">
      <w:pPr>
        <w:keepNext w:val="0"/>
        <w:keepLines w:val="0"/>
        <w:pageBreakBefore w:val="0"/>
        <w:widowControl w:val="0"/>
        <w:kinsoku/>
        <w:wordWrap/>
        <w:overflowPunct/>
        <w:topLinePunct w:val="0"/>
        <w:autoSpaceDE/>
        <w:autoSpaceDN/>
        <w:bidi w:val="0"/>
        <w:adjustRightInd/>
        <w:snapToGrid/>
        <w:spacing w:line="480" w:lineRule="auto"/>
        <w:ind w:left="0" w:leftChars="0"/>
        <w:textAlignment w:val="auto"/>
        <w:rPr>
          <w:rFonts w:hint="eastAsia" w:ascii="宋体" w:hAnsi="宋体" w:cs="宋体"/>
          <w:szCs w:val="21"/>
          <w:u w:val="single"/>
        </w:rPr>
      </w:pPr>
      <w:r>
        <w:rPr>
          <w:rFonts w:hint="eastAsia" w:ascii="宋体" w:hAnsi="宋体" w:cs="宋体"/>
          <w:szCs w:val="21"/>
        </w:rPr>
        <w:t>投标人名称：</w:t>
      </w:r>
      <w:r>
        <w:rPr>
          <w:rFonts w:hint="eastAsia" w:ascii="宋体" w:hAnsi="宋体" w:cs="宋体"/>
          <w:b/>
          <w:szCs w:val="21"/>
          <w:u w:val="single"/>
        </w:rPr>
        <w:t xml:space="preserve">                </w:t>
      </w:r>
      <w:r>
        <w:rPr>
          <w:rFonts w:hint="eastAsia" w:ascii="宋体" w:hAnsi="宋体" w:cs="宋体"/>
          <w:szCs w:val="21"/>
        </w:rPr>
        <w:t xml:space="preserve">（加盖公章）  </w:t>
      </w:r>
    </w:p>
    <w:p w14:paraId="2145664E">
      <w:pPr>
        <w:keepNext w:val="0"/>
        <w:keepLines w:val="0"/>
        <w:pageBreakBefore w:val="0"/>
        <w:widowControl w:val="0"/>
        <w:kinsoku/>
        <w:wordWrap/>
        <w:overflowPunct/>
        <w:topLinePunct w:val="0"/>
        <w:autoSpaceDE/>
        <w:autoSpaceDN/>
        <w:bidi w:val="0"/>
        <w:adjustRightInd/>
        <w:snapToGrid/>
        <w:spacing w:line="480" w:lineRule="auto"/>
        <w:ind w:left="0" w:leftChars="0"/>
        <w:textAlignment w:val="auto"/>
        <w:rPr>
          <w:rFonts w:hint="eastAsia" w:ascii="宋体" w:hAnsi="宋体" w:cs="宋体"/>
          <w:szCs w:val="21"/>
        </w:rPr>
      </w:pPr>
      <w:r>
        <w:rPr>
          <w:rFonts w:hint="eastAsia" w:ascii="宋体" w:hAnsi="宋体" w:cs="宋体"/>
          <w:szCs w:val="21"/>
        </w:rPr>
        <w:t>投标人代表：</w:t>
      </w:r>
      <w:r>
        <w:rPr>
          <w:rFonts w:hint="eastAsia" w:ascii="宋体" w:hAnsi="宋体" w:cs="宋体"/>
          <w:b/>
          <w:szCs w:val="21"/>
          <w:u w:val="single"/>
        </w:rPr>
        <w:t xml:space="preserve">           </w:t>
      </w:r>
      <w:r>
        <w:rPr>
          <w:rFonts w:hint="eastAsia" w:ascii="宋体" w:hAnsi="宋体" w:cs="宋体"/>
          <w:szCs w:val="21"/>
        </w:rPr>
        <w:t>（签字）</w:t>
      </w:r>
    </w:p>
    <w:p w14:paraId="06C3BFDF">
      <w:pPr>
        <w:keepNext w:val="0"/>
        <w:keepLines w:val="0"/>
        <w:pageBreakBefore w:val="0"/>
        <w:widowControl w:val="0"/>
        <w:kinsoku/>
        <w:wordWrap/>
        <w:overflowPunct/>
        <w:topLinePunct w:val="0"/>
        <w:autoSpaceDE/>
        <w:autoSpaceDN/>
        <w:bidi w:val="0"/>
        <w:adjustRightInd/>
        <w:snapToGrid/>
        <w:spacing w:line="480" w:lineRule="auto"/>
        <w:ind w:left="0" w:leftChars="0"/>
        <w:textAlignment w:val="auto"/>
        <w:rPr>
          <w:rFonts w:hint="eastAsia"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41467A0B">
      <w:pPr>
        <w:snapToGrid w:val="0"/>
        <w:spacing w:before="50" w:afterLines="50"/>
        <w:jc w:val="left"/>
        <w:outlineLvl w:val="2"/>
        <w:rPr>
          <w:rFonts w:ascii="宋体" w:cs="宋体"/>
          <w:b/>
          <w:bCs/>
          <w:szCs w:val="21"/>
        </w:rPr>
      </w:pPr>
      <w:r>
        <w:rPr>
          <w:rFonts w:ascii="宋体" w:cs="宋体"/>
          <w:b/>
          <w:bCs/>
          <w:szCs w:val="21"/>
        </w:rPr>
        <w:br w:type="page"/>
      </w:r>
      <w:r>
        <w:rPr>
          <w:rFonts w:hint="eastAsia" w:ascii="宋体" w:cs="宋体"/>
          <w:b/>
          <w:bCs/>
          <w:szCs w:val="21"/>
        </w:rPr>
        <w:t>格式</w:t>
      </w:r>
      <w:r>
        <w:rPr>
          <w:rFonts w:hint="eastAsia" w:ascii="宋体" w:cs="宋体"/>
          <w:b/>
          <w:bCs/>
          <w:szCs w:val="21"/>
          <w:lang w:val="en-US" w:eastAsia="zh-CN"/>
        </w:rPr>
        <w:t>十三</w:t>
      </w:r>
      <w:r>
        <w:rPr>
          <w:rFonts w:hint="eastAsia" w:ascii="宋体" w:cs="宋体"/>
          <w:b/>
          <w:bCs/>
          <w:szCs w:val="21"/>
        </w:rPr>
        <w:t>、质疑函（范本）</w:t>
      </w:r>
    </w:p>
    <w:p w14:paraId="0FE7DD83">
      <w:pPr>
        <w:spacing w:line="360" w:lineRule="auto"/>
        <w:jc w:val="center"/>
        <w:rPr>
          <w:rFonts w:ascii="宋体" w:hAnsi="宋体"/>
          <w:b/>
          <w:bCs/>
          <w:sz w:val="22"/>
          <w:szCs w:val="22"/>
        </w:rPr>
      </w:pPr>
      <w:r>
        <w:rPr>
          <w:rFonts w:hint="eastAsia" w:ascii="宋体" w:hAnsi="宋体"/>
          <w:b/>
          <w:bCs/>
          <w:sz w:val="22"/>
          <w:szCs w:val="22"/>
        </w:rPr>
        <w:t>质疑函（范本）</w:t>
      </w:r>
    </w:p>
    <w:p w14:paraId="3E72D2F1">
      <w:pPr>
        <w:widowControl/>
        <w:spacing w:before="100" w:beforeAutospacing="1" w:after="100" w:afterAutospacing="1" w:line="276" w:lineRule="auto"/>
        <w:jc w:val="left"/>
        <w:rPr>
          <w:rFonts w:hint="eastAsia" w:ascii="宋体" w:hAnsi="宋体" w:cs="宋体"/>
          <w:sz w:val="21"/>
          <w:szCs w:val="21"/>
        </w:rPr>
      </w:pPr>
      <w:r>
        <w:rPr>
          <w:rFonts w:hint="eastAsia" w:ascii="宋体" w:hAnsi="宋体" w:cs="仿宋"/>
          <w:kern w:val="0"/>
          <w:sz w:val="21"/>
          <w:szCs w:val="21"/>
          <w:shd w:val="clear" w:color="auto" w:fill="FFFFFF"/>
          <w:lang w:bidi="ar"/>
        </w:rPr>
        <w:t>质疑供应商：</w:t>
      </w:r>
      <w:r>
        <w:rPr>
          <w:rFonts w:hint="eastAsia" w:ascii="宋体" w:hAnsi="宋体" w:cs="Calibri"/>
          <w:kern w:val="0"/>
          <w:sz w:val="21"/>
          <w:szCs w:val="21"/>
          <w:u w:val="single"/>
          <w:shd w:val="clear" w:color="auto" w:fill="FFFFFF"/>
          <w:lang w:bidi="ar"/>
        </w:rPr>
        <w:t xml:space="preserve">                                                                           </w:t>
      </w:r>
    </w:p>
    <w:p w14:paraId="4F1FF1DF">
      <w:pPr>
        <w:widowControl/>
        <w:spacing w:before="100" w:beforeAutospacing="1" w:after="100" w:afterAutospacing="1" w:line="276" w:lineRule="auto"/>
        <w:jc w:val="left"/>
        <w:rPr>
          <w:rFonts w:hint="eastAsia" w:ascii="宋体" w:hAnsi="宋体" w:cs="宋体"/>
          <w:sz w:val="21"/>
          <w:szCs w:val="21"/>
        </w:rPr>
      </w:pPr>
      <w:r>
        <w:rPr>
          <w:rFonts w:hint="eastAsia" w:ascii="宋体" w:hAnsi="宋体" w:cs="仿宋"/>
          <w:kern w:val="0"/>
          <w:sz w:val="21"/>
          <w:szCs w:val="21"/>
          <w:shd w:val="clear" w:color="auto" w:fill="FFFFFF"/>
          <w:lang w:bidi="ar"/>
        </w:rPr>
        <w:t>地址：</w:t>
      </w:r>
      <w:r>
        <w:rPr>
          <w:rFonts w:hint="eastAsia" w:ascii="宋体" w:hAnsi="宋体" w:cs="Calibri"/>
          <w:kern w:val="0"/>
          <w:sz w:val="21"/>
          <w:szCs w:val="21"/>
          <w:u w:val="single"/>
          <w:shd w:val="clear" w:color="auto" w:fill="FFFFFF"/>
          <w:lang w:bidi="ar"/>
        </w:rPr>
        <w:t xml:space="preserve">                                                             </w:t>
      </w:r>
      <w:r>
        <w:rPr>
          <w:rFonts w:hint="eastAsia" w:ascii="宋体" w:hAnsi="宋体" w:cs="仿宋"/>
          <w:kern w:val="0"/>
          <w:sz w:val="21"/>
          <w:szCs w:val="21"/>
          <w:shd w:val="clear" w:color="auto" w:fill="FFFFFF"/>
          <w:lang w:bidi="ar"/>
        </w:rPr>
        <w:t>邮编：</w:t>
      </w:r>
      <w:r>
        <w:rPr>
          <w:rFonts w:hint="eastAsia" w:ascii="宋体" w:hAnsi="宋体" w:cs="Calibri"/>
          <w:kern w:val="0"/>
          <w:sz w:val="21"/>
          <w:szCs w:val="21"/>
          <w:u w:val="single"/>
          <w:shd w:val="clear" w:color="auto" w:fill="FFFFFF"/>
          <w:lang w:bidi="ar"/>
        </w:rPr>
        <w:t xml:space="preserve">             </w:t>
      </w:r>
    </w:p>
    <w:p w14:paraId="74CC90B3">
      <w:pPr>
        <w:widowControl/>
        <w:spacing w:before="100" w:beforeAutospacing="1" w:after="100" w:afterAutospacing="1" w:line="276" w:lineRule="auto"/>
        <w:jc w:val="left"/>
        <w:rPr>
          <w:rFonts w:hint="eastAsia" w:ascii="宋体" w:hAnsi="宋体" w:cs="Calibri"/>
          <w:kern w:val="0"/>
          <w:sz w:val="21"/>
          <w:szCs w:val="21"/>
          <w:u w:val="single"/>
          <w:shd w:val="clear" w:color="auto" w:fill="FFFFFF"/>
          <w:lang w:bidi="ar"/>
        </w:rPr>
      </w:pPr>
      <w:r>
        <w:rPr>
          <w:rFonts w:hint="eastAsia" w:ascii="宋体" w:hAnsi="宋体" w:cs="仿宋"/>
          <w:kern w:val="0"/>
          <w:sz w:val="21"/>
          <w:szCs w:val="21"/>
          <w:shd w:val="clear" w:color="auto" w:fill="FFFFFF"/>
          <w:lang w:bidi="ar"/>
        </w:rPr>
        <w:t>联系人：</w:t>
      </w:r>
      <w:r>
        <w:rPr>
          <w:rFonts w:hint="eastAsia" w:ascii="宋体" w:hAnsi="宋体" w:cs="Calibri"/>
          <w:kern w:val="0"/>
          <w:sz w:val="21"/>
          <w:szCs w:val="21"/>
          <w:u w:val="single"/>
          <w:shd w:val="clear" w:color="auto" w:fill="FFFFFF"/>
          <w:lang w:bidi="ar"/>
        </w:rPr>
        <w:t xml:space="preserve">                                                                              </w:t>
      </w:r>
    </w:p>
    <w:p w14:paraId="67AA8AF1">
      <w:pPr>
        <w:widowControl/>
        <w:spacing w:before="100" w:beforeAutospacing="1" w:after="100" w:afterAutospacing="1" w:line="276" w:lineRule="auto"/>
        <w:jc w:val="left"/>
        <w:rPr>
          <w:rFonts w:hint="eastAsia" w:ascii="宋体" w:hAnsi="宋体" w:cs="宋体"/>
          <w:sz w:val="21"/>
          <w:szCs w:val="21"/>
        </w:rPr>
      </w:pPr>
      <w:r>
        <w:rPr>
          <w:rFonts w:hint="eastAsia" w:ascii="宋体" w:hAnsi="宋体" w:cs="仿宋"/>
          <w:kern w:val="0"/>
          <w:sz w:val="21"/>
          <w:szCs w:val="21"/>
          <w:shd w:val="clear" w:color="auto" w:fill="FFFFFF"/>
          <w:lang w:bidi="ar"/>
        </w:rPr>
        <w:t>联系电话：</w:t>
      </w:r>
      <w:r>
        <w:rPr>
          <w:rFonts w:hint="eastAsia" w:ascii="宋体" w:hAnsi="宋体" w:cs="Calibri"/>
          <w:kern w:val="0"/>
          <w:sz w:val="21"/>
          <w:szCs w:val="21"/>
          <w:u w:val="single"/>
          <w:shd w:val="clear" w:color="auto" w:fill="FFFFFF"/>
          <w:lang w:bidi="ar"/>
        </w:rPr>
        <w:t xml:space="preserve">                                                                            </w:t>
      </w:r>
    </w:p>
    <w:p w14:paraId="3BA06853">
      <w:pPr>
        <w:widowControl/>
        <w:spacing w:before="100" w:beforeAutospacing="1" w:after="100" w:afterAutospacing="1" w:line="276" w:lineRule="auto"/>
        <w:jc w:val="left"/>
        <w:rPr>
          <w:rFonts w:hint="eastAsia" w:ascii="宋体" w:hAnsi="宋体" w:cs="Calibri"/>
          <w:kern w:val="0"/>
          <w:sz w:val="21"/>
          <w:szCs w:val="21"/>
          <w:u w:val="single"/>
          <w:shd w:val="clear" w:color="auto" w:fill="FFFFFF"/>
          <w:lang w:bidi="ar"/>
        </w:rPr>
      </w:pPr>
      <w:r>
        <w:rPr>
          <w:rFonts w:hint="eastAsia" w:ascii="宋体" w:hAnsi="宋体" w:cs="仿宋"/>
          <w:kern w:val="0"/>
          <w:sz w:val="21"/>
          <w:szCs w:val="21"/>
          <w:shd w:val="clear" w:color="auto" w:fill="FFFFFF"/>
          <w:lang w:bidi="ar"/>
        </w:rPr>
        <w:t>授权代表：</w:t>
      </w:r>
      <w:r>
        <w:rPr>
          <w:rFonts w:hint="eastAsia" w:ascii="宋体" w:hAnsi="宋体" w:cs="Calibri"/>
          <w:kern w:val="0"/>
          <w:sz w:val="21"/>
          <w:szCs w:val="21"/>
          <w:u w:val="single"/>
          <w:shd w:val="clear" w:color="auto" w:fill="FFFFFF"/>
          <w:lang w:bidi="ar"/>
        </w:rPr>
        <w:t xml:space="preserve">                                                                            </w:t>
      </w:r>
    </w:p>
    <w:p w14:paraId="3FA195B8">
      <w:pPr>
        <w:widowControl/>
        <w:spacing w:before="100" w:beforeAutospacing="1" w:after="100" w:afterAutospacing="1" w:line="276" w:lineRule="auto"/>
        <w:jc w:val="left"/>
        <w:rPr>
          <w:rFonts w:hint="eastAsia" w:ascii="宋体" w:hAnsi="宋体" w:cs="宋体"/>
          <w:sz w:val="21"/>
          <w:szCs w:val="21"/>
        </w:rPr>
      </w:pPr>
      <w:r>
        <w:rPr>
          <w:rFonts w:hint="eastAsia" w:ascii="宋体" w:hAnsi="宋体" w:cs="仿宋"/>
          <w:kern w:val="0"/>
          <w:sz w:val="21"/>
          <w:szCs w:val="21"/>
          <w:shd w:val="clear" w:color="auto" w:fill="FFFFFF"/>
          <w:lang w:bidi="ar"/>
        </w:rPr>
        <w:t>联系电话：</w:t>
      </w:r>
      <w:r>
        <w:rPr>
          <w:rFonts w:hint="eastAsia" w:ascii="宋体" w:hAnsi="宋体" w:cs="Calibri"/>
          <w:kern w:val="0"/>
          <w:sz w:val="21"/>
          <w:szCs w:val="21"/>
          <w:u w:val="single"/>
          <w:shd w:val="clear" w:color="auto" w:fill="FFFFFF"/>
          <w:lang w:bidi="ar"/>
        </w:rPr>
        <w:t xml:space="preserve">                                                                            </w:t>
      </w:r>
    </w:p>
    <w:p w14:paraId="4771D1FC">
      <w:pPr>
        <w:widowControl/>
        <w:spacing w:before="100" w:beforeAutospacing="1" w:after="100" w:afterAutospacing="1" w:line="276" w:lineRule="auto"/>
        <w:jc w:val="left"/>
        <w:rPr>
          <w:rFonts w:hint="eastAsia" w:ascii="宋体" w:hAnsi="宋体" w:cs="宋体"/>
          <w:sz w:val="21"/>
          <w:szCs w:val="21"/>
        </w:rPr>
      </w:pPr>
      <w:r>
        <w:rPr>
          <w:rFonts w:hint="eastAsia" w:ascii="宋体" w:hAnsi="宋体" w:cs="仿宋"/>
          <w:kern w:val="0"/>
          <w:sz w:val="21"/>
          <w:szCs w:val="21"/>
          <w:shd w:val="clear" w:color="auto" w:fill="FFFFFF"/>
          <w:lang w:bidi="ar"/>
        </w:rPr>
        <w:t>地址：</w:t>
      </w:r>
      <w:r>
        <w:rPr>
          <w:rFonts w:hint="eastAsia" w:ascii="宋体" w:hAnsi="宋体" w:cs="Calibri"/>
          <w:kern w:val="0"/>
          <w:sz w:val="21"/>
          <w:szCs w:val="21"/>
          <w:u w:val="single"/>
          <w:shd w:val="clear" w:color="auto" w:fill="FFFFFF"/>
          <w:lang w:bidi="ar"/>
        </w:rPr>
        <w:t xml:space="preserve">                                                             </w:t>
      </w:r>
      <w:r>
        <w:rPr>
          <w:rFonts w:hint="eastAsia" w:ascii="宋体" w:hAnsi="宋体" w:cs="仿宋"/>
          <w:kern w:val="0"/>
          <w:sz w:val="21"/>
          <w:szCs w:val="21"/>
          <w:shd w:val="clear" w:color="auto" w:fill="FFFFFF"/>
          <w:lang w:bidi="ar"/>
        </w:rPr>
        <w:t>邮编：</w:t>
      </w:r>
      <w:r>
        <w:rPr>
          <w:rFonts w:hint="eastAsia" w:ascii="宋体" w:hAnsi="宋体" w:cs="Calibri"/>
          <w:kern w:val="0"/>
          <w:sz w:val="21"/>
          <w:szCs w:val="21"/>
          <w:u w:val="single"/>
          <w:shd w:val="clear" w:color="auto" w:fill="FFFFFF"/>
          <w:lang w:bidi="ar"/>
        </w:rPr>
        <w:t xml:space="preserve">             </w:t>
      </w:r>
    </w:p>
    <w:p w14:paraId="722C3532">
      <w:pPr>
        <w:widowControl/>
        <w:spacing w:before="100" w:beforeAutospacing="1" w:after="100" w:afterAutospacing="1" w:line="360" w:lineRule="auto"/>
        <w:jc w:val="left"/>
        <w:rPr>
          <w:rFonts w:hint="eastAsia" w:ascii="宋体" w:hAnsi="宋体" w:cs="黑体"/>
          <w:kern w:val="0"/>
          <w:sz w:val="21"/>
          <w:szCs w:val="21"/>
          <w:shd w:val="clear" w:color="auto" w:fill="FFFFFF"/>
          <w:lang w:bidi="ar"/>
        </w:rPr>
      </w:pPr>
    </w:p>
    <w:p w14:paraId="6842E35D">
      <w:pPr>
        <w:widowControl/>
        <w:spacing w:before="100" w:beforeAutospacing="1" w:after="100" w:afterAutospacing="1" w:line="360" w:lineRule="auto"/>
        <w:jc w:val="left"/>
        <w:rPr>
          <w:rFonts w:hint="eastAsia" w:ascii="宋体" w:hAnsi="宋体" w:cs="宋体"/>
          <w:sz w:val="21"/>
          <w:szCs w:val="21"/>
        </w:rPr>
      </w:pPr>
      <w:r>
        <w:rPr>
          <w:rFonts w:ascii="宋体" w:hAnsi="宋体" w:cs="黑体"/>
          <w:kern w:val="0"/>
          <w:sz w:val="21"/>
          <w:szCs w:val="21"/>
          <w:shd w:val="clear" w:color="auto" w:fill="FFFFFF"/>
          <w:lang w:bidi="ar"/>
        </w:rPr>
        <w:t>二、质疑项目基本情况</w:t>
      </w:r>
    </w:p>
    <w:p w14:paraId="7EE3366A">
      <w:pPr>
        <w:widowControl/>
        <w:spacing w:before="100" w:beforeAutospacing="1" w:after="100" w:afterAutospacing="1" w:line="360" w:lineRule="auto"/>
        <w:jc w:val="left"/>
        <w:rPr>
          <w:rFonts w:hint="eastAsia" w:ascii="宋体" w:hAnsi="宋体" w:cs="宋体"/>
          <w:sz w:val="21"/>
          <w:szCs w:val="21"/>
        </w:rPr>
      </w:pPr>
      <w:r>
        <w:rPr>
          <w:rFonts w:hint="eastAsia" w:ascii="宋体" w:hAnsi="宋体" w:cs="仿宋"/>
          <w:kern w:val="0"/>
          <w:sz w:val="21"/>
          <w:szCs w:val="21"/>
          <w:shd w:val="clear" w:color="auto" w:fill="FFFFFF"/>
          <w:lang w:bidi="ar"/>
        </w:rPr>
        <w:t>质疑项目的名称：</w:t>
      </w:r>
      <w:r>
        <w:rPr>
          <w:rFonts w:hint="eastAsia" w:ascii="宋体" w:hAnsi="宋体" w:cs="Calibri"/>
          <w:kern w:val="0"/>
          <w:sz w:val="21"/>
          <w:szCs w:val="21"/>
          <w:u w:val="single"/>
          <w:shd w:val="clear" w:color="auto" w:fill="FFFFFF"/>
          <w:lang w:bidi="ar"/>
        </w:rPr>
        <w:t xml:space="preserve">                                                                            </w:t>
      </w:r>
    </w:p>
    <w:p w14:paraId="19F38520">
      <w:pPr>
        <w:widowControl/>
        <w:spacing w:before="100" w:beforeAutospacing="1" w:after="100" w:afterAutospacing="1" w:line="360" w:lineRule="auto"/>
        <w:jc w:val="left"/>
        <w:rPr>
          <w:rFonts w:hint="eastAsia" w:ascii="宋体" w:hAnsi="宋体" w:cs="宋体"/>
          <w:sz w:val="21"/>
          <w:szCs w:val="21"/>
        </w:rPr>
      </w:pPr>
      <w:r>
        <w:rPr>
          <w:rFonts w:hint="eastAsia" w:ascii="宋体" w:hAnsi="宋体" w:cs="仿宋"/>
          <w:kern w:val="0"/>
          <w:sz w:val="21"/>
          <w:szCs w:val="21"/>
          <w:shd w:val="clear" w:color="auto" w:fill="FFFFFF"/>
          <w:lang w:bidi="ar"/>
        </w:rPr>
        <w:t>质疑项目的编号：</w:t>
      </w:r>
      <w:r>
        <w:rPr>
          <w:rFonts w:hint="eastAsia" w:ascii="宋体" w:hAnsi="宋体" w:cs="Calibri"/>
          <w:kern w:val="0"/>
          <w:sz w:val="21"/>
          <w:szCs w:val="21"/>
          <w:u w:val="single"/>
          <w:shd w:val="clear" w:color="auto" w:fill="FFFFFF"/>
          <w:lang w:bidi="ar"/>
        </w:rPr>
        <w:t xml:space="preserve">                                                                            </w:t>
      </w:r>
    </w:p>
    <w:p w14:paraId="5282A8A0">
      <w:pPr>
        <w:widowControl/>
        <w:spacing w:before="100" w:beforeAutospacing="1" w:after="100" w:afterAutospacing="1" w:line="360" w:lineRule="auto"/>
        <w:jc w:val="left"/>
        <w:rPr>
          <w:rFonts w:hint="eastAsia" w:ascii="宋体" w:hAnsi="宋体" w:cs="宋体"/>
          <w:sz w:val="21"/>
          <w:szCs w:val="21"/>
        </w:rPr>
      </w:pPr>
      <w:r>
        <w:rPr>
          <w:rFonts w:hint="eastAsia" w:ascii="宋体" w:hAnsi="宋体" w:cs="仿宋"/>
          <w:kern w:val="0"/>
          <w:sz w:val="21"/>
          <w:szCs w:val="21"/>
          <w:shd w:val="clear" w:color="auto" w:fill="FFFFFF"/>
          <w:lang w:bidi="ar"/>
        </w:rPr>
        <w:t>采购人名称：</w:t>
      </w:r>
      <w:r>
        <w:rPr>
          <w:rFonts w:hint="eastAsia" w:ascii="宋体" w:hAnsi="宋体" w:cs="Calibri"/>
          <w:kern w:val="0"/>
          <w:sz w:val="21"/>
          <w:szCs w:val="21"/>
          <w:u w:val="single"/>
          <w:shd w:val="clear" w:color="auto" w:fill="FFFFFF"/>
          <w:lang w:bidi="ar"/>
        </w:rPr>
        <w:t xml:space="preserve">                                                                                </w:t>
      </w:r>
    </w:p>
    <w:p w14:paraId="6A3DB965">
      <w:pPr>
        <w:widowControl/>
        <w:spacing w:before="100" w:beforeAutospacing="1" w:after="100" w:afterAutospacing="1" w:line="360" w:lineRule="auto"/>
        <w:jc w:val="left"/>
        <w:rPr>
          <w:rFonts w:hint="eastAsia" w:ascii="宋体" w:hAnsi="宋体" w:cs="宋体"/>
          <w:sz w:val="21"/>
          <w:szCs w:val="21"/>
        </w:rPr>
      </w:pPr>
      <w:r>
        <w:rPr>
          <w:rFonts w:hint="eastAsia" w:ascii="宋体" w:hAnsi="宋体" w:cs="仿宋"/>
          <w:kern w:val="0"/>
          <w:sz w:val="21"/>
          <w:szCs w:val="21"/>
          <w:shd w:val="clear" w:color="auto" w:fill="FFFFFF"/>
          <w:lang w:bidi="ar"/>
        </w:rPr>
        <w:t>采购文件获取日期：</w:t>
      </w:r>
      <w:r>
        <w:rPr>
          <w:rFonts w:hint="eastAsia" w:ascii="宋体" w:hAnsi="宋体" w:cs="Calibri"/>
          <w:kern w:val="0"/>
          <w:sz w:val="21"/>
          <w:szCs w:val="21"/>
          <w:u w:val="single"/>
          <w:shd w:val="clear" w:color="auto" w:fill="FFFFFF"/>
          <w:lang w:bidi="ar"/>
        </w:rPr>
        <w:t xml:space="preserve">                                                                          </w:t>
      </w:r>
    </w:p>
    <w:p w14:paraId="08A17261">
      <w:pPr>
        <w:widowControl/>
        <w:spacing w:before="100" w:beforeAutospacing="1" w:after="100" w:afterAutospacing="1" w:line="360" w:lineRule="auto"/>
        <w:jc w:val="left"/>
        <w:rPr>
          <w:rFonts w:hint="eastAsia" w:ascii="宋体" w:hAnsi="宋体" w:cs="宋体"/>
          <w:sz w:val="21"/>
          <w:szCs w:val="21"/>
        </w:rPr>
      </w:pPr>
      <w:r>
        <w:rPr>
          <w:rFonts w:hint="eastAsia" w:ascii="宋体" w:hAnsi="宋体" w:cs="黑体"/>
          <w:kern w:val="0"/>
          <w:sz w:val="21"/>
          <w:szCs w:val="21"/>
          <w:shd w:val="clear" w:color="auto" w:fill="FFFFFF"/>
          <w:lang w:bidi="ar"/>
        </w:rPr>
        <w:t>三、质疑事项具体内容</w:t>
      </w:r>
    </w:p>
    <w:p w14:paraId="61F5AA20">
      <w:pPr>
        <w:widowControl/>
        <w:spacing w:before="100" w:beforeAutospacing="1" w:after="100" w:afterAutospacing="1" w:line="360" w:lineRule="auto"/>
        <w:jc w:val="left"/>
        <w:rPr>
          <w:rFonts w:hint="eastAsia" w:ascii="宋体" w:hAnsi="宋体" w:cs="宋体"/>
          <w:sz w:val="21"/>
          <w:szCs w:val="21"/>
        </w:rPr>
      </w:pPr>
      <w:r>
        <w:rPr>
          <w:rFonts w:hint="eastAsia" w:ascii="宋体" w:hAnsi="宋体" w:cs="仿宋"/>
          <w:kern w:val="0"/>
          <w:sz w:val="21"/>
          <w:szCs w:val="21"/>
          <w:shd w:val="clear" w:color="auto" w:fill="FFFFFF"/>
          <w:lang w:bidi="ar"/>
        </w:rPr>
        <w:t>质疑事项1：</w:t>
      </w:r>
      <w:r>
        <w:rPr>
          <w:rFonts w:hint="eastAsia" w:ascii="宋体" w:hAnsi="宋体" w:cs="Calibri"/>
          <w:kern w:val="0"/>
          <w:sz w:val="21"/>
          <w:szCs w:val="21"/>
          <w:u w:val="single"/>
          <w:shd w:val="clear" w:color="auto" w:fill="FFFFFF"/>
          <w:lang w:bidi="ar"/>
        </w:rPr>
        <w:t xml:space="preserve">                                                                            </w:t>
      </w:r>
    </w:p>
    <w:p w14:paraId="538A4BE4">
      <w:pPr>
        <w:widowControl/>
        <w:spacing w:before="100" w:beforeAutospacing="1" w:after="100" w:afterAutospacing="1" w:line="360" w:lineRule="auto"/>
        <w:jc w:val="left"/>
        <w:rPr>
          <w:rFonts w:hint="eastAsia" w:ascii="宋体" w:hAnsi="宋体" w:cs="宋体"/>
          <w:sz w:val="21"/>
          <w:szCs w:val="21"/>
        </w:rPr>
      </w:pPr>
      <w:r>
        <w:rPr>
          <w:rFonts w:hint="eastAsia" w:ascii="宋体" w:hAnsi="宋体" w:cs="仿宋"/>
          <w:kern w:val="0"/>
          <w:sz w:val="21"/>
          <w:szCs w:val="21"/>
          <w:shd w:val="clear" w:color="auto" w:fill="FFFFFF"/>
          <w:lang w:bidi="ar"/>
        </w:rPr>
        <w:t>事实依据：</w:t>
      </w:r>
      <w:r>
        <w:rPr>
          <w:rFonts w:hint="eastAsia" w:ascii="宋体" w:hAnsi="宋体" w:cs="Calibri"/>
          <w:kern w:val="0"/>
          <w:sz w:val="21"/>
          <w:szCs w:val="21"/>
          <w:u w:val="single"/>
          <w:shd w:val="clear" w:color="auto" w:fill="FFFFFF"/>
          <w:lang w:bidi="ar"/>
        </w:rPr>
        <w:t xml:space="preserve">                                                                            </w:t>
      </w:r>
    </w:p>
    <w:p w14:paraId="421D98D4">
      <w:pPr>
        <w:widowControl/>
        <w:spacing w:before="100" w:beforeAutospacing="1" w:after="100" w:afterAutospacing="1" w:line="360" w:lineRule="auto"/>
        <w:jc w:val="left"/>
        <w:rPr>
          <w:rFonts w:hint="eastAsia" w:ascii="宋体" w:hAnsi="宋体" w:cs="宋体"/>
          <w:sz w:val="21"/>
          <w:szCs w:val="21"/>
        </w:rPr>
      </w:pPr>
      <w:r>
        <w:rPr>
          <w:rFonts w:hint="eastAsia" w:ascii="宋体" w:hAnsi="宋体" w:cs="仿宋"/>
          <w:kern w:val="0"/>
          <w:sz w:val="21"/>
          <w:szCs w:val="21"/>
          <w:shd w:val="clear" w:color="auto" w:fill="FFFFFF"/>
          <w:lang w:bidi="ar"/>
        </w:rPr>
        <w:t>法律依据：</w:t>
      </w:r>
      <w:r>
        <w:rPr>
          <w:rFonts w:hint="eastAsia" w:ascii="宋体" w:hAnsi="宋体" w:cs="Calibri"/>
          <w:kern w:val="0"/>
          <w:sz w:val="21"/>
          <w:szCs w:val="21"/>
          <w:u w:val="single"/>
          <w:shd w:val="clear" w:color="auto" w:fill="FFFFFF"/>
          <w:lang w:bidi="ar"/>
        </w:rPr>
        <w:t xml:space="preserve">                                                                            </w:t>
      </w:r>
    </w:p>
    <w:p w14:paraId="7375DB8A">
      <w:pPr>
        <w:widowControl/>
        <w:spacing w:before="100" w:beforeAutospacing="1" w:after="100" w:afterAutospacing="1" w:line="360" w:lineRule="auto"/>
        <w:jc w:val="left"/>
        <w:rPr>
          <w:rFonts w:hint="eastAsia" w:ascii="宋体" w:hAnsi="宋体" w:cs="宋体"/>
          <w:sz w:val="21"/>
          <w:szCs w:val="21"/>
        </w:rPr>
      </w:pPr>
      <w:r>
        <w:rPr>
          <w:rFonts w:hint="eastAsia" w:ascii="宋体" w:hAnsi="宋体" w:cs="仿宋"/>
          <w:kern w:val="0"/>
          <w:sz w:val="21"/>
          <w:szCs w:val="21"/>
          <w:shd w:val="clear" w:color="auto" w:fill="FFFFFF"/>
          <w:lang w:bidi="ar"/>
        </w:rPr>
        <w:t>质疑事项2</w:t>
      </w:r>
    </w:p>
    <w:p w14:paraId="17300145">
      <w:pPr>
        <w:widowControl/>
        <w:spacing w:before="100" w:beforeAutospacing="1" w:after="100" w:afterAutospacing="1" w:line="360" w:lineRule="auto"/>
        <w:jc w:val="left"/>
        <w:rPr>
          <w:rFonts w:hint="eastAsia" w:ascii="宋体" w:hAnsi="宋体" w:cs="宋体"/>
          <w:sz w:val="21"/>
          <w:szCs w:val="21"/>
        </w:rPr>
      </w:pPr>
      <w:r>
        <w:rPr>
          <w:rFonts w:hint="eastAsia" w:ascii="宋体" w:hAnsi="宋体" w:cs="仿宋"/>
          <w:kern w:val="0"/>
          <w:sz w:val="21"/>
          <w:szCs w:val="21"/>
          <w:shd w:val="clear" w:color="auto" w:fill="FFFFFF"/>
          <w:lang w:bidi="ar"/>
        </w:rPr>
        <w:t>……</w:t>
      </w:r>
    </w:p>
    <w:p w14:paraId="0803BE18">
      <w:pPr>
        <w:widowControl/>
        <w:spacing w:before="100" w:beforeAutospacing="1" w:after="100" w:afterAutospacing="1" w:line="360" w:lineRule="auto"/>
        <w:jc w:val="left"/>
        <w:rPr>
          <w:rFonts w:hint="eastAsia" w:ascii="宋体" w:hAnsi="宋体" w:cs="宋体"/>
          <w:sz w:val="21"/>
          <w:szCs w:val="21"/>
        </w:rPr>
      </w:pPr>
      <w:r>
        <w:rPr>
          <w:rFonts w:hint="eastAsia" w:ascii="宋体" w:hAnsi="宋体" w:cs="黑体"/>
          <w:kern w:val="0"/>
          <w:sz w:val="21"/>
          <w:szCs w:val="21"/>
          <w:shd w:val="clear" w:color="auto" w:fill="FFFFFF"/>
          <w:lang w:bidi="ar"/>
        </w:rPr>
        <w:t>四、与质疑事项相关的质疑请求</w:t>
      </w:r>
    </w:p>
    <w:p w14:paraId="131EC510">
      <w:pPr>
        <w:widowControl/>
        <w:spacing w:before="100" w:beforeAutospacing="1" w:after="100" w:afterAutospacing="1" w:line="360" w:lineRule="auto"/>
        <w:jc w:val="left"/>
        <w:rPr>
          <w:rFonts w:hint="eastAsia" w:ascii="宋体" w:hAnsi="宋体" w:cs="Calibri"/>
          <w:kern w:val="0"/>
          <w:sz w:val="21"/>
          <w:szCs w:val="21"/>
          <w:u w:val="single"/>
          <w:shd w:val="clear" w:color="auto" w:fill="FFFFFF"/>
          <w:lang w:bidi="ar"/>
        </w:rPr>
      </w:pPr>
      <w:r>
        <w:rPr>
          <w:rFonts w:hint="eastAsia" w:ascii="宋体" w:hAnsi="宋体" w:cs="仿宋"/>
          <w:kern w:val="0"/>
          <w:sz w:val="21"/>
          <w:szCs w:val="21"/>
          <w:shd w:val="clear" w:color="auto" w:fill="FFFFFF"/>
          <w:lang w:bidi="ar"/>
        </w:rPr>
        <w:t>请求：</w:t>
      </w:r>
      <w:r>
        <w:rPr>
          <w:rFonts w:hint="eastAsia" w:ascii="宋体" w:hAnsi="宋体" w:cs="Calibri"/>
          <w:kern w:val="0"/>
          <w:sz w:val="21"/>
          <w:szCs w:val="21"/>
          <w:u w:val="single"/>
          <w:shd w:val="clear" w:color="auto" w:fill="FFFFFF"/>
          <w:lang w:bidi="ar"/>
        </w:rPr>
        <w:t xml:space="preserve">                                                                            </w:t>
      </w:r>
    </w:p>
    <w:p w14:paraId="71934749">
      <w:pPr>
        <w:widowControl/>
        <w:spacing w:before="100" w:beforeAutospacing="1" w:after="100" w:afterAutospacing="1" w:line="360" w:lineRule="auto"/>
        <w:jc w:val="left"/>
        <w:rPr>
          <w:rFonts w:hint="eastAsia" w:ascii="宋体" w:hAnsi="宋体" w:cs="宋体"/>
          <w:sz w:val="21"/>
          <w:szCs w:val="21"/>
        </w:rPr>
      </w:pPr>
    </w:p>
    <w:p w14:paraId="4D8A8443">
      <w:pPr>
        <w:widowControl/>
        <w:spacing w:before="100" w:beforeAutospacing="1" w:after="100" w:afterAutospacing="1" w:line="360" w:lineRule="auto"/>
        <w:jc w:val="left"/>
        <w:rPr>
          <w:rFonts w:ascii="宋体" w:hAnsi="宋体" w:cs="仿宋_GB2312"/>
          <w:kern w:val="0"/>
          <w:sz w:val="21"/>
          <w:szCs w:val="21"/>
          <w:shd w:val="clear" w:color="auto" w:fill="FFFFFF"/>
          <w:lang w:bidi="ar"/>
        </w:rPr>
      </w:pPr>
      <w:r>
        <w:rPr>
          <w:rFonts w:ascii="宋体" w:hAnsi="宋体" w:cs="仿宋_GB2312"/>
          <w:kern w:val="0"/>
          <w:sz w:val="21"/>
          <w:szCs w:val="21"/>
          <w:shd w:val="clear" w:color="auto" w:fill="FFFFFF"/>
          <w:lang w:bidi="ar"/>
        </w:rPr>
        <w:t>签字(签章)：</w:t>
      </w:r>
    </w:p>
    <w:p w14:paraId="137943EA">
      <w:pPr>
        <w:widowControl/>
        <w:spacing w:before="100" w:beforeAutospacing="1" w:after="100" w:afterAutospacing="1" w:line="360" w:lineRule="auto"/>
        <w:jc w:val="left"/>
        <w:rPr>
          <w:rFonts w:hint="eastAsia" w:ascii="宋体" w:hAnsi="宋体" w:cs="宋体"/>
          <w:sz w:val="21"/>
          <w:szCs w:val="21"/>
        </w:rPr>
      </w:pPr>
      <w:r>
        <w:rPr>
          <w:rFonts w:ascii="宋体" w:hAnsi="宋体" w:cs="仿宋_GB2312"/>
          <w:kern w:val="0"/>
          <w:sz w:val="21"/>
          <w:szCs w:val="21"/>
          <w:shd w:val="clear" w:color="auto" w:fill="FFFFFF"/>
          <w:lang w:bidi="ar"/>
        </w:rPr>
        <w:t>公章：</w:t>
      </w:r>
    </w:p>
    <w:p w14:paraId="6FE0764B">
      <w:pPr>
        <w:widowControl/>
        <w:spacing w:before="100" w:beforeAutospacing="1" w:after="100" w:afterAutospacing="1" w:line="360" w:lineRule="auto"/>
        <w:jc w:val="left"/>
        <w:rPr>
          <w:rFonts w:hint="eastAsia" w:ascii="宋体" w:hAnsi="宋体" w:cs="Calibri"/>
          <w:kern w:val="0"/>
          <w:sz w:val="21"/>
          <w:szCs w:val="21"/>
          <w:shd w:val="clear" w:color="auto" w:fill="FFFFFF"/>
          <w:lang w:bidi="ar"/>
        </w:rPr>
      </w:pPr>
      <w:r>
        <w:rPr>
          <w:rFonts w:ascii="宋体" w:hAnsi="宋体" w:cs="仿宋_GB2312"/>
          <w:kern w:val="0"/>
          <w:sz w:val="21"/>
          <w:szCs w:val="21"/>
          <w:shd w:val="clear" w:color="auto" w:fill="FFFFFF"/>
          <w:lang w:bidi="ar"/>
        </w:rPr>
        <w:t>日期：</w:t>
      </w:r>
    </w:p>
    <w:p w14:paraId="64C0A42F">
      <w:pPr>
        <w:widowControl/>
        <w:spacing w:before="100" w:beforeAutospacing="1" w:after="100" w:afterAutospacing="1" w:line="360" w:lineRule="auto"/>
        <w:jc w:val="left"/>
        <w:rPr>
          <w:rFonts w:hint="eastAsia" w:ascii="宋体" w:hAnsi="宋体" w:cs="宋体"/>
          <w:sz w:val="21"/>
          <w:szCs w:val="21"/>
        </w:rPr>
      </w:pPr>
    </w:p>
    <w:p w14:paraId="61D7D962">
      <w:pPr>
        <w:widowControl/>
        <w:spacing w:before="100" w:beforeAutospacing="1" w:after="100" w:afterAutospacing="1" w:line="360" w:lineRule="auto"/>
        <w:jc w:val="left"/>
        <w:rPr>
          <w:rFonts w:hint="eastAsia" w:ascii="宋体" w:hAnsi="宋体" w:cs="宋体"/>
          <w:sz w:val="21"/>
          <w:szCs w:val="21"/>
        </w:rPr>
      </w:pPr>
      <w:r>
        <w:rPr>
          <w:rFonts w:hint="eastAsia" w:ascii="宋体" w:hAnsi="宋体" w:cs="黑体"/>
          <w:b/>
          <w:kern w:val="0"/>
          <w:sz w:val="21"/>
          <w:szCs w:val="21"/>
          <w:shd w:val="clear" w:color="auto" w:fill="FFFFFF"/>
          <w:lang w:bidi="ar"/>
        </w:rPr>
        <w:t>质疑函制作说明：</w:t>
      </w:r>
    </w:p>
    <w:p w14:paraId="44DD2D2A">
      <w:pPr>
        <w:widowControl/>
        <w:spacing w:before="100" w:beforeAutospacing="1" w:after="100" w:afterAutospacing="1" w:line="360" w:lineRule="auto"/>
        <w:ind w:firstLine="640"/>
        <w:jc w:val="left"/>
        <w:outlineLvl w:val="9"/>
        <w:rPr>
          <w:rFonts w:hint="eastAsia" w:ascii="宋体" w:hAnsi="宋体" w:cs="宋体"/>
          <w:sz w:val="21"/>
          <w:szCs w:val="21"/>
        </w:rPr>
      </w:pPr>
      <w:bookmarkStart w:id="78" w:name="_Toc3670"/>
      <w:r>
        <w:rPr>
          <w:rFonts w:ascii="宋体" w:hAnsi="宋体" w:cs="仿宋_GB2312"/>
          <w:kern w:val="0"/>
          <w:sz w:val="21"/>
          <w:szCs w:val="21"/>
          <w:shd w:val="clear" w:color="auto" w:fill="FFFFFF"/>
          <w:lang w:bidi="ar"/>
        </w:rPr>
        <w:t>1.供应商提出质疑时，应提交质疑函和必要的证明材料。</w:t>
      </w:r>
      <w:bookmarkEnd w:id="78"/>
    </w:p>
    <w:p w14:paraId="31B10AA5">
      <w:pPr>
        <w:widowControl/>
        <w:spacing w:before="100" w:beforeAutospacing="1" w:after="100" w:afterAutospacing="1" w:line="360" w:lineRule="auto"/>
        <w:ind w:firstLine="640"/>
        <w:jc w:val="left"/>
        <w:rPr>
          <w:rFonts w:hint="eastAsia" w:ascii="宋体" w:hAnsi="宋体" w:cs="宋体"/>
          <w:sz w:val="21"/>
          <w:szCs w:val="21"/>
        </w:rPr>
      </w:pPr>
      <w:r>
        <w:rPr>
          <w:rFonts w:ascii="宋体" w:hAnsi="宋体" w:cs="仿宋_GB2312"/>
          <w:kern w:val="0"/>
          <w:sz w:val="21"/>
          <w:szCs w:val="21"/>
          <w:shd w:val="clear" w:color="auto" w:fill="FFFFFF"/>
          <w:lang w:bidi="ar"/>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372EC7F">
      <w:pPr>
        <w:widowControl/>
        <w:spacing w:before="100" w:beforeAutospacing="1" w:after="100" w:afterAutospacing="1" w:line="360" w:lineRule="auto"/>
        <w:ind w:firstLine="640"/>
        <w:jc w:val="left"/>
        <w:rPr>
          <w:rFonts w:hint="eastAsia" w:ascii="宋体" w:hAnsi="宋体" w:cs="宋体"/>
          <w:sz w:val="21"/>
          <w:szCs w:val="21"/>
        </w:rPr>
      </w:pPr>
      <w:r>
        <w:rPr>
          <w:rFonts w:ascii="宋体" w:hAnsi="宋体" w:cs="仿宋_GB2312"/>
          <w:kern w:val="0"/>
          <w:sz w:val="21"/>
          <w:szCs w:val="21"/>
          <w:shd w:val="clear" w:color="auto" w:fill="FFFFFF"/>
          <w:lang w:bidi="ar"/>
        </w:rPr>
        <w:t>3.质疑供应商若对项目的某一</w:t>
      </w:r>
      <w:r>
        <w:rPr>
          <w:rFonts w:hint="eastAsia" w:ascii="宋体" w:hAnsi="宋体" w:cs="仿宋_GB2312"/>
          <w:kern w:val="0"/>
          <w:sz w:val="21"/>
          <w:szCs w:val="21"/>
          <w:shd w:val="clear" w:color="auto" w:fill="FFFFFF"/>
          <w:lang w:bidi="ar"/>
        </w:rPr>
        <w:t>标项</w:t>
      </w:r>
      <w:r>
        <w:rPr>
          <w:rFonts w:ascii="宋体" w:hAnsi="宋体" w:cs="仿宋_GB2312"/>
          <w:kern w:val="0"/>
          <w:sz w:val="21"/>
          <w:szCs w:val="21"/>
          <w:shd w:val="clear" w:color="auto" w:fill="FFFFFF"/>
          <w:lang w:bidi="ar"/>
        </w:rPr>
        <w:t>进行质疑，质疑函中应列明具体</w:t>
      </w:r>
      <w:r>
        <w:rPr>
          <w:rFonts w:hint="eastAsia" w:ascii="宋体" w:hAnsi="宋体" w:cs="仿宋_GB2312"/>
          <w:kern w:val="0"/>
          <w:sz w:val="21"/>
          <w:szCs w:val="21"/>
          <w:shd w:val="clear" w:color="auto" w:fill="FFFFFF"/>
          <w:lang w:bidi="ar"/>
        </w:rPr>
        <w:t>标项</w:t>
      </w:r>
      <w:r>
        <w:rPr>
          <w:rFonts w:ascii="宋体" w:hAnsi="宋体" w:cs="仿宋_GB2312"/>
          <w:kern w:val="0"/>
          <w:sz w:val="21"/>
          <w:szCs w:val="21"/>
          <w:shd w:val="clear" w:color="auto" w:fill="FFFFFF"/>
          <w:lang w:bidi="ar"/>
        </w:rPr>
        <w:t>。</w:t>
      </w:r>
    </w:p>
    <w:p w14:paraId="30A7C10A">
      <w:pPr>
        <w:widowControl/>
        <w:spacing w:before="100" w:beforeAutospacing="1" w:after="100" w:afterAutospacing="1" w:line="360" w:lineRule="auto"/>
        <w:ind w:firstLine="640"/>
        <w:jc w:val="left"/>
        <w:rPr>
          <w:rFonts w:hint="eastAsia" w:ascii="宋体" w:hAnsi="宋体" w:cs="宋体"/>
          <w:sz w:val="21"/>
          <w:szCs w:val="21"/>
        </w:rPr>
      </w:pPr>
      <w:r>
        <w:rPr>
          <w:rFonts w:ascii="宋体" w:hAnsi="宋体" w:cs="仿宋_GB2312"/>
          <w:kern w:val="0"/>
          <w:sz w:val="21"/>
          <w:szCs w:val="21"/>
          <w:shd w:val="clear" w:color="auto" w:fill="FFFFFF"/>
          <w:lang w:bidi="ar"/>
        </w:rPr>
        <w:t>4.质疑函的质疑事项应具体、明确，并有必要的事实依据和法律依据。</w:t>
      </w:r>
    </w:p>
    <w:p w14:paraId="08F6C8EE">
      <w:pPr>
        <w:widowControl/>
        <w:spacing w:before="100" w:beforeAutospacing="1" w:after="100" w:afterAutospacing="1" w:line="360" w:lineRule="auto"/>
        <w:ind w:firstLine="640"/>
        <w:jc w:val="left"/>
        <w:outlineLvl w:val="9"/>
        <w:rPr>
          <w:rFonts w:hint="eastAsia" w:ascii="宋体" w:hAnsi="宋体" w:cs="宋体"/>
          <w:sz w:val="21"/>
          <w:szCs w:val="21"/>
        </w:rPr>
      </w:pPr>
      <w:bookmarkStart w:id="79" w:name="_Toc22477"/>
      <w:r>
        <w:rPr>
          <w:rFonts w:ascii="宋体" w:hAnsi="宋体" w:cs="仿宋_GB2312"/>
          <w:kern w:val="0"/>
          <w:sz w:val="21"/>
          <w:szCs w:val="21"/>
          <w:shd w:val="clear" w:color="auto" w:fill="FFFFFF"/>
          <w:lang w:bidi="ar"/>
        </w:rPr>
        <w:t>5.质疑函的质疑请求应与质疑事项相关。</w:t>
      </w:r>
      <w:bookmarkEnd w:id="79"/>
    </w:p>
    <w:p w14:paraId="26A6FF24">
      <w:pPr>
        <w:widowControl/>
        <w:spacing w:before="100" w:beforeAutospacing="1" w:after="100" w:afterAutospacing="1" w:line="360" w:lineRule="auto"/>
        <w:ind w:firstLine="640"/>
        <w:jc w:val="left"/>
        <w:rPr>
          <w:rFonts w:hint="eastAsia" w:ascii="宋体" w:hAnsi="宋体" w:cs="宋体"/>
          <w:sz w:val="21"/>
          <w:szCs w:val="21"/>
        </w:rPr>
      </w:pPr>
      <w:r>
        <w:rPr>
          <w:rFonts w:ascii="宋体" w:hAnsi="宋体" w:cs="仿宋_GB2312"/>
          <w:kern w:val="0"/>
          <w:sz w:val="21"/>
          <w:szCs w:val="21"/>
          <w:shd w:val="clear" w:color="auto" w:fill="FFFFFF"/>
          <w:lang w:bidi="ar"/>
        </w:rPr>
        <w:t>6.质疑供应商为自然人的，质疑函应由本人签字；质疑供应商为法人或者其他组织的，质疑函应由法定代表人、主要负责人，或者其授权代表签字或者盖章，并加盖公章。</w:t>
      </w:r>
    </w:p>
    <w:p w14:paraId="0480717D">
      <w:pPr>
        <w:widowControl/>
        <w:spacing w:before="100" w:beforeAutospacing="1" w:after="100" w:afterAutospacing="1" w:line="360" w:lineRule="auto"/>
        <w:ind w:firstLine="640"/>
        <w:jc w:val="left"/>
        <w:rPr>
          <w:rFonts w:hAnsi="宋体" w:cs="宋体"/>
          <w:szCs w:val="21"/>
        </w:rPr>
      </w:pPr>
    </w:p>
    <w:sectPr>
      <w:pgSz w:w="11906" w:h="16838"/>
      <w:pgMar w:top="992" w:right="1191" w:bottom="992" w:left="1191" w:header="992"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DDDEF">
    <w:pPr>
      <w:widowControl w:val="0"/>
      <w:snapToGrid w:val="0"/>
      <w:rPr>
        <w:rFonts w:ascii="Times New Roman" w:hAnsi="Times New Roman" w:eastAsia="宋体" w:cs="Times New Roman"/>
        <w:kern w:val="0"/>
        <w:sz w:val="18"/>
        <w:szCs w:val="21"/>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31502">
    <w:pPr>
      <w:pStyle w:val="1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0896B">
    <w:pPr>
      <w:widowControl w:val="0"/>
      <w:snapToGrid w:val="0"/>
      <w:rPr>
        <w:rFonts w:ascii="Times New Roman" w:hAnsi="Times New Roman" w:eastAsia="宋体" w:cs="Times New Roman"/>
        <w:kern w:val="0"/>
        <w:sz w:val="18"/>
        <w:szCs w:val="21"/>
        <w:lang w:val="en-US" w:eastAsia="zh-CN" w:bidi="ar-S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6613D4">
                          <w:pPr>
                            <w:pStyle w:val="19"/>
                          </w:pPr>
                          <w:r>
                            <w:t>第</w:t>
                          </w:r>
                          <w:r>
                            <w:rPr>
                              <w:rFonts w:hint="eastAsia" w:ascii="宋体" w:hAnsi="宋体" w:eastAsia="宋体" w:cs="宋体"/>
                            </w:rPr>
                            <w:t xml:space="preserve"> </w:t>
                          </w: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t xml:space="preserve"> 页 共 </w:t>
                          </w:r>
                          <w:r>
                            <w:rPr>
                              <w:rFonts w:hint="eastAsia" w:ascii="宋体" w:hAnsi="宋体" w:eastAsia="宋体" w:cs="宋体"/>
                              <w:lang w:val="en-US" w:eastAsia="zh-CN"/>
                            </w:rPr>
                            <w:t>68</w:t>
                          </w:r>
                          <w:r>
                            <w:rPr>
                              <w:rFonts w:hint="eastAsia" w:ascii="宋体" w:hAnsi="宋体" w:eastAsia="宋体" w:cs="宋体"/>
                            </w:rPr>
                            <w:t xml:space="preserve"> 页</w:t>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E17ZssBAACdAwAADgAAAGRycy9lMm9Eb2MueG1srVPNjtMwEL4j8Q6W&#10;79RpBasq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tuGvnxFieMWJ375/u3y49fl51ey&#10;rFY3WaI+QI2Z9wFz0/DGD7g4sx/QmZkPKtr8RU4E4yjw+SqwHBIR+dF6tV5XGBIYmy+Izx6ehwjp&#10;rfSWZKOhESdYhOWn95DG1DklV3P+ThtTpmjcXw7EzB6Wex97zFYa9sNEaO/bM/LpcfgNdbjrlJh3&#10;DrXNezIbcTb2s3EMUR+6ski5HoTXx4RNlN5yhRF2KoxTK+ymDctr8ee9ZD38Vd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GBNe2bLAQAAnQMAAA4AAAAAAAAAAQAgAAAAHgEAAGRycy9lMm9E&#10;b2MueG1sUEsFBgAAAAAGAAYAWQEAAFsFAAAAAA==&#10;">
              <v:fill on="f" focussize="0,0"/>
              <v:stroke on="f"/>
              <v:imagedata o:title=""/>
              <o:lock v:ext="edit" aspectratio="f"/>
              <v:textbox inset="0mm,0mm,0mm,0mm" style="mso-fit-shape-to-text:t;">
                <w:txbxContent>
                  <w:p w14:paraId="156613D4">
                    <w:pPr>
                      <w:pStyle w:val="19"/>
                    </w:pPr>
                    <w:r>
                      <w:t>第</w:t>
                    </w:r>
                    <w:r>
                      <w:rPr>
                        <w:rFonts w:hint="eastAsia" w:ascii="宋体" w:hAnsi="宋体" w:eastAsia="宋体" w:cs="宋体"/>
                      </w:rPr>
                      <w:t xml:space="preserve"> </w:t>
                    </w: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t xml:space="preserve"> 页 共 </w:t>
                    </w:r>
                    <w:r>
                      <w:rPr>
                        <w:rFonts w:hint="eastAsia" w:ascii="宋体" w:hAnsi="宋体" w:eastAsia="宋体" w:cs="宋体"/>
                        <w:lang w:val="en-US" w:eastAsia="zh-CN"/>
                      </w:rPr>
                      <w:t>68</w:t>
                    </w:r>
                    <w:r>
                      <w:rPr>
                        <w:rFonts w:hint="eastAsia" w:ascii="宋体" w:hAnsi="宋体" w:eastAsia="宋体" w:cs="宋体"/>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E704E">
    <w:pPr>
      <w:pStyle w:val="19"/>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96A796">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dcBUMsBAACdAwAADgAAAGRycy9lMm9Eb2MueG1srVPNjtMwEL4j8Q6W&#10;79RphZYq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tuGvryhxHGLE798/3b58evy8ytZ&#10;VqtXWaI+QI2Z9wFz0/DGD7g4sx/QmZkPKtr8RU4E4yjw+SqwHBIR+dF6tV5XGBIYmy+Izx6ehwjp&#10;rfSWZKOhESdYhOWn95DG1DklV3P+ThtTpmjcXw7EzB6Wex97zFYa9sNEaO/bM/LpcfgNdbjrlJh3&#10;DrXNezIbcTb2s3EMUR+6ski5HoTXx4RNlN5yhRF2KoxTK+ymDctr8ee9ZD38Vd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H3XAVDLAQAAnQMAAA4AAAAAAAAAAQAgAAAAHgEAAGRycy9lMm9E&#10;b2MueG1sUEsFBgAAAAAGAAYAWQEAAFsFAAAAAA==&#10;">
              <v:fill on="f" focussize="0,0"/>
              <v:stroke on="f"/>
              <v:imagedata o:title=""/>
              <o:lock v:ext="edit" aspectratio="f"/>
              <v:textbox inset="0mm,0mm,0mm,0mm" style="mso-fit-shape-to-text:t;">
                <w:txbxContent>
                  <w:p w14:paraId="2C96A796">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33884">
    <w:pPr>
      <w:widowControl w:val="0"/>
      <w:snapToGrid w:val="0"/>
      <w:rPr>
        <w:rFonts w:ascii="Times New Roman" w:hAnsi="Times New Roman" w:eastAsia="宋体" w:cs="Times New Roman"/>
        <w:kern w:val="0"/>
        <w:sz w:val="18"/>
        <w:szCs w:val="21"/>
        <w:lang w:val="en-US" w:eastAsia="zh-CN" w:bidi="ar-SA"/>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534162">
                          <w:pPr>
                            <w:pStyle w:val="19"/>
                          </w:pPr>
                          <w:r>
                            <w:t>第</w:t>
                          </w:r>
                          <w:r>
                            <w:rPr>
                              <w:rFonts w:hint="eastAsia" w:ascii="宋体" w:hAnsi="宋体" w:eastAsia="宋体" w:cs="宋体"/>
                            </w:rPr>
                            <w:t xml:space="preserve"> </w:t>
                          </w: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t xml:space="preserve"> 页 共 </w:t>
                          </w:r>
                          <w:r>
                            <w:rPr>
                              <w:rFonts w:hint="eastAsia" w:ascii="宋体" w:hAnsi="宋体" w:eastAsia="宋体" w:cs="宋体"/>
                              <w:lang w:val="en-US" w:eastAsia="zh-CN"/>
                            </w:rPr>
                            <w:t>68</w:t>
                          </w:r>
                          <w:r>
                            <w:rPr>
                              <w:rFonts w:hint="eastAsia" w:ascii="宋体" w:hAnsi="宋体" w:eastAsia="宋体" w:cs="宋体"/>
                            </w:rPr>
                            <w:t xml:space="preserve"> 页</w:t>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DHc0ssBAACdAwAADgAAAGRycy9lMm9Eb2MueG1srVPNjtMwEL4j8Q6W&#10;79RphVYl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tuGvnxFieMWJ375/u3y49fl51ey&#10;rFY3WaI+QI2Z9wFz0/DGD7g4sx/QmZkPKtr8RU4E4yjw+SqwHBIR+dF6tV5XGBIYmy+Izx6ehwjp&#10;rfSWZKOhESdYhOWn95DG1DklV3P+ThtTpmjcXw7EzB6Wex97zFYa9sNEaO/bM/LpcfgNdbjrlJh3&#10;DrXNezIbcTb2s3EMUR+6ski5HoTXx4RNlN5yhRF2KoxTK+ymDctr8ee9ZD38Vd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BAx3NLLAQAAnQMAAA4AAAAAAAAAAQAgAAAAHgEAAGRycy9lMm9E&#10;b2MueG1sUEsFBgAAAAAGAAYAWQEAAFsFAAAAAA==&#10;">
              <v:fill on="f" focussize="0,0"/>
              <v:stroke on="f"/>
              <v:imagedata o:title=""/>
              <o:lock v:ext="edit" aspectratio="f"/>
              <v:textbox inset="0mm,0mm,0mm,0mm" style="mso-fit-shape-to-text:t;">
                <w:txbxContent>
                  <w:p w14:paraId="23534162">
                    <w:pPr>
                      <w:pStyle w:val="19"/>
                    </w:pPr>
                    <w:r>
                      <w:t>第</w:t>
                    </w:r>
                    <w:r>
                      <w:rPr>
                        <w:rFonts w:hint="eastAsia" w:ascii="宋体" w:hAnsi="宋体" w:eastAsia="宋体" w:cs="宋体"/>
                      </w:rPr>
                      <w:t xml:space="preserve"> </w:t>
                    </w: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t xml:space="preserve"> 页 共 </w:t>
                    </w:r>
                    <w:r>
                      <w:rPr>
                        <w:rFonts w:hint="eastAsia" w:ascii="宋体" w:hAnsi="宋体" w:eastAsia="宋体" w:cs="宋体"/>
                        <w:lang w:val="en-US" w:eastAsia="zh-CN"/>
                      </w:rPr>
                      <w:t>68</w:t>
                    </w:r>
                    <w:r>
                      <w:rPr>
                        <w:rFonts w:hint="eastAsia" w:ascii="宋体" w:hAnsi="宋体" w:eastAsia="宋体" w:cs="宋体"/>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4E48C">
    <w:pPr>
      <w:pStyle w:val="19"/>
      <w:jc w:val="center"/>
      <w:rPr>
        <w:kern w:val="0"/>
        <w:szCs w:val="21"/>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9E92EE">
                          <w:pPr>
                            <w:pStyle w:val="19"/>
                          </w:pPr>
                          <w:r>
                            <w:t>第</w:t>
                          </w:r>
                          <w:r>
                            <w:rPr>
                              <w:rFonts w:hint="eastAsia" w:ascii="宋体" w:hAnsi="宋体" w:eastAsia="宋体" w:cs="宋体"/>
                            </w:rPr>
                            <w:t xml:space="preserve"> </w:t>
                          </w: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t xml:space="preserve"> 页 共 </w:t>
                          </w:r>
                          <w:r>
                            <w:rPr>
                              <w:rFonts w:hint="eastAsia" w:ascii="宋体" w:hAnsi="宋体" w:cs="宋体"/>
                              <w:lang w:val="en-US" w:eastAsia="zh-CN"/>
                            </w:rPr>
                            <w:t>63</w:t>
                          </w:r>
                          <w:r>
                            <w:rPr>
                              <w:rFonts w:hint="eastAsia" w:ascii="宋体" w:hAnsi="宋体" w:eastAsia="宋体" w:cs="宋体"/>
                              <w:lang w:val="en-US" w:eastAsia="zh-CN"/>
                            </w:rPr>
                            <w:t xml:space="preserve"> </w:t>
                          </w:r>
                          <w:r>
                            <w:t>页</w:t>
                          </w:r>
                        </w:p>
                      </w:txbxContent>
                    </wps:txbx>
                    <wps:bodyPr wrap="none" lIns="0" tIns="0" rIns="0" bIns="0" upright="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5bOtnzAEAAJ0DAAAOAAAAAAAAAAEAIAAAAB4BAABkcnMvZTJv&#10;RG9jLnhtbFBLBQYAAAAABgAGAFkBAABcBQAAAAA=&#10;">
              <v:fill on="f" focussize="0,0"/>
              <v:stroke on="f"/>
              <v:imagedata o:title=""/>
              <o:lock v:ext="edit" aspectratio="f"/>
              <v:textbox inset="0mm,0mm,0mm,0mm" style="mso-fit-shape-to-text:t;">
                <w:txbxContent>
                  <w:p w14:paraId="4B9E92EE">
                    <w:pPr>
                      <w:pStyle w:val="19"/>
                    </w:pPr>
                    <w:r>
                      <w:t>第</w:t>
                    </w:r>
                    <w:r>
                      <w:rPr>
                        <w:rFonts w:hint="eastAsia" w:ascii="宋体" w:hAnsi="宋体" w:eastAsia="宋体" w:cs="宋体"/>
                      </w:rPr>
                      <w:t xml:space="preserve"> </w:t>
                    </w: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t xml:space="preserve"> 页 共 </w:t>
                    </w:r>
                    <w:r>
                      <w:rPr>
                        <w:rFonts w:hint="eastAsia" w:ascii="宋体" w:hAnsi="宋体" w:cs="宋体"/>
                        <w:lang w:val="en-US" w:eastAsia="zh-CN"/>
                      </w:rPr>
                      <w:t>63</w:t>
                    </w:r>
                    <w:r>
                      <w:rPr>
                        <w:rFonts w:hint="eastAsia" w:ascii="宋体" w:hAnsi="宋体" w:eastAsia="宋体" w:cs="宋体"/>
                        <w:lang w:val="en-US" w:eastAsia="zh-CN"/>
                      </w:rPr>
                      <w:t xml:space="preserve"> </w:t>
                    </w:r>
                    <w:r>
                      <w:t>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DF250B8">
                          <w:pPr>
                            <w:pStyle w:val="19"/>
                            <w:rPr>
                              <w:rFonts w:ascii="宋体" w:hAnsi="宋体" w:cs="宋体"/>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X8k+05AgAAcA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X8k+05AgAAcAQAAA4AAAAAAAAAAQAgAAAAHwEAAGRycy9lMm9Eb2Mu&#10;eG1sUEsFBgAAAAAGAAYAWQEAAMoFAAAAAA==&#10;">
              <v:fill on="f" focussize="0,0"/>
              <v:stroke on="f" weight="0.5pt"/>
              <v:imagedata o:title=""/>
              <o:lock v:ext="edit" aspectratio="f"/>
              <v:textbox inset="0mm,0mm,0mm,0mm" style="mso-fit-shape-to-text:t;">
                <w:txbxContent>
                  <w:p w14:paraId="1DF250B8">
                    <w:pPr>
                      <w:pStyle w:val="19"/>
                      <w:rPr>
                        <w:rFonts w:ascii="宋体" w:hAnsi="宋体" w:cs="宋体"/>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FAF7F">
    <w:pPr>
      <w:pStyle w:val="1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59E6E186">
                          <w:pPr>
                            <w:pStyle w:val="19"/>
                          </w:pPr>
                          <w:r>
                            <w:t>第</w:t>
                          </w:r>
                          <w:r>
                            <w:fldChar w:fldCharType="begin"/>
                          </w:r>
                          <w:r>
                            <w:instrText xml:space="preserve"> PAGE  \* MERGEFORMAT </w:instrText>
                          </w:r>
                          <w:r>
                            <w:fldChar w:fldCharType="separate"/>
                          </w:r>
                          <w:r>
                            <w:t>1</w:t>
                          </w:r>
                          <w:r>
                            <w:fldChar w:fldCharType="end"/>
                          </w:r>
                          <w:r>
                            <w:t>页共</w:t>
                          </w:r>
                          <w:r>
                            <w:fldChar w:fldCharType="begin"/>
                          </w:r>
                          <w:r>
                            <w:instrText xml:space="preserve"> NUMPAGES  \* MERGEFORMAT </w:instrText>
                          </w:r>
                          <w:r>
                            <w:fldChar w:fldCharType="separate"/>
                          </w:r>
                          <w:r>
                            <w:t>84</w:t>
                          </w:r>
                          <w:r>
                            <w:fldChar w:fldCharType="end"/>
                          </w:r>
                          <w:r>
                            <w:t>页</w:t>
                          </w:r>
                        </w:p>
                      </w:txbxContent>
                    </wps:txbx>
                    <wps:bodyPr rot="0" vert="horz" wrap="none" lIns="0" tIns="0" rIns="0" bIns="0" anchor="t" anchorCtr="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PuttPgkCAAATBAAADgAAAAAAAAABACAAAAAeAQAAZHJz&#10;L2Uyb0RvYy54bWxQSwUGAAAAAAYABgBZAQAAmQUAAAAA&#10;">
              <v:fill on="f" focussize="0,0"/>
              <v:stroke on="f"/>
              <v:imagedata o:title=""/>
              <o:lock v:ext="edit" aspectratio="f"/>
              <v:textbox inset="0mm,0mm,0mm,0mm" style="mso-fit-shape-to-text:t;">
                <w:txbxContent>
                  <w:p w14:paraId="59E6E186">
                    <w:pPr>
                      <w:pStyle w:val="19"/>
                    </w:pPr>
                    <w:r>
                      <w:t>第</w:t>
                    </w:r>
                    <w:r>
                      <w:fldChar w:fldCharType="begin"/>
                    </w:r>
                    <w:r>
                      <w:instrText xml:space="preserve"> PAGE  \* MERGEFORMAT </w:instrText>
                    </w:r>
                    <w:r>
                      <w:fldChar w:fldCharType="separate"/>
                    </w:r>
                    <w:r>
                      <w:t>1</w:t>
                    </w:r>
                    <w:r>
                      <w:fldChar w:fldCharType="end"/>
                    </w:r>
                    <w:r>
                      <w:t>页共</w:t>
                    </w:r>
                    <w:r>
                      <w:fldChar w:fldCharType="begin"/>
                    </w:r>
                    <w:r>
                      <w:instrText xml:space="preserve"> NUMPAGES  \* MERGEFORMAT </w:instrText>
                    </w:r>
                    <w:r>
                      <w:fldChar w:fldCharType="separate"/>
                    </w:r>
                    <w:r>
                      <w:t>84</w:t>
                    </w:r>
                    <w:r>
                      <w:fldChar w:fldCharType="end"/>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8029C">
    <w:pPr>
      <w:widowControl w:val="0"/>
      <w:pBdr>
        <w:bottom w:val="none" w:color="auto" w:sz="0" w:space="1"/>
      </w:pBdr>
      <w:snapToGrid w:val="0"/>
      <w:jc w:val="both"/>
      <w:rPr>
        <w:rFonts w:hint="eastAsia" w:ascii="宋体" w:hAnsi="宋体" w:eastAsia="宋体" w:cs="宋体"/>
        <w:kern w:val="0"/>
        <w:sz w:val="24"/>
        <w:szCs w:val="24"/>
        <w:u w:val="single"/>
        <w:lang w:val="en-US" w:eastAsia="zh-CN" w:bidi="ar-SA"/>
      </w:rPr>
    </w:pPr>
    <w:r>
      <w:rPr>
        <w:rFonts w:hint="eastAsia" w:ascii="宋体"/>
        <w:u w:val="single"/>
      </w:rPr>
      <w:drawing>
        <wp:inline distT="0" distB="0" distL="114300" distR="114300">
          <wp:extent cx="1602105" cy="293370"/>
          <wp:effectExtent l="0" t="0" r="13335" b="11430"/>
          <wp:docPr id="50"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descr="图片1"/>
                  <pic:cNvPicPr>
                    <a:picLocks noChangeAspect="1"/>
                  </pic:cNvPicPr>
                </pic:nvPicPr>
                <pic:blipFill>
                  <a:blip r:embed="rId1"/>
                  <a:stretch>
                    <a:fillRect/>
                  </a:stretch>
                </pic:blipFill>
                <pic:spPr>
                  <a:xfrm>
                    <a:off x="0" y="0"/>
                    <a:ext cx="1602105" cy="293370"/>
                  </a:xfrm>
                  <a:prstGeom prst="rect">
                    <a:avLst/>
                  </a:prstGeom>
                  <a:noFill/>
                  <a:ln>
                    <a:noFill/>
                  </a:ln>
                </pic:spPr>
              </pic:pic>
            </a:graphicData>
          </a:graphic>
        </wp:inline>
      </w:drawing>
    </w:r>
    <w:r>
      <w:rPr>
        <w:rFonts w:hint="eastAsia" w:ascii="宋体"/>
        <w:u w:val="single"/>
      </w:rPr>
      <w:t xml:space="preserve"> </w:t>
    </w:r>
    <w:r>
      <w:rPr>
        <w:rFonts w:hint="eastAsia" w:ascii="宋体"/>
        <w:u w:val="single"/>
        <w:lang w:val="en-US" w:eastAsia="zh-CN"/>
      </w:rPr>
      <w:t xml:space="preserve"> </w:t>
    </w:r>
    <w:r>
      <w:rPr>
        <w:rFonts w:hint="eastAsia" w:ascii="宋体"/>
        <w:sz w:val="18"/>
        <w:szCs w:val="16"/>
        <w:u w:val="single"/>
      </w:rPr>
      <w:t>定海区看守所综合用房设施提升改造廉政教育基地展厅文化打造建设项目（重新招标）</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6C9E6">
    <w:pPr>
      <w:widowControl w:val="0"/>
      <w:pBdr>
        <w:bottom w:val="none" w:color="auto" w:sz="0" w:space="1"/>
      </w:pBdr>
      <w:snapToGrid w:val="0"/>
      <w:jc w:val="both"/>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F89C0">
    <w:pPr>
      <w:widowControl w:val="0"/>
      <w:pBdr>
        <w:bottom w:val="none" w:color="auto" w:sz="0" w:space="1"/>
      </w:pBdr>
      <w:snapToGrid w:val="0"/>
      <w:jc w:val="both"/>
      <w:rPr>
        <w:u w:val="single"/>
      </w:rPr>
    </w:pPr>
    <w:r>
      <w:rPr>
        <w:rFonts w:hint="eastAsia" w:ascii="宋体"/>
        <w:u w:val="single"/>
      </w:rPr>
      <w:drawing>
        <wp:inline distT="0" distB="0" distL="114300" distR="114300">
          <wp:extent cx="1602105" cy="293370"/>
          <wp:effectExtent l="0" t="0" r="13335" b="11430"/>
          <wp:docPr id="48"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descr="图片1"/>
                  <pic:cNvPicPr>
                    <a:picLocks noChangeAspect="1"/>
                  </pic:cNvPicPr>
                </pic:nvPicPr>
                <pic:blipFill>
                  <a:blip r:embed="rId1"/>
                  <a:stretch>
                    <a:fillRect/>
                  </a:stretch>
                </pic:blipFill>
                <pic:spPr>
                  <a:xfrm>
                    <a:off x="0" y="0"/>
                    <a:ext cx="1602105" cy="293370"/>
                  </a:xfrm>
                  <a:prstGeom prst="rect">
                    <a:avLst/>
                  </a:prstGeom>
                  <a:noFill/>
                  <a:ln>
                    <a:noFill/>
                  </a:ln>
                </pic:spPr>
              </pic:pic>
            </a:graphicData>
          </a:graphic>
        </wp:inline>
      </w:drawing>
    </w:r>
    <w:r>
      <w:rPr>
        <w:rFonts w:hint="eastAsia" w:ascii="宋体"/>
        <w:u w:val="single"/>
        <w:lang w:val="en-US" w:eastAsia="zh-CN"/>
      </w:rPr>
      <w:t xml:space="preserve">  </w:t>
    </w:r>
    <w:r>
      <w:rPr>
        <w:rFonts w:hint="eastAsia" w:ascii="宋体"/>
        <w:u w:val="single"/>
      </w:rPr>
      <w:t>定海区看守所综合用房设施提升改造廉政教育基地展厅文化打造建设项目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479FB">
    <w:pPr>
      <w:widowControl w:val="0"/>
      <w:pBdr>
        <w:bottom w:val="none" w:color="auto" w:sz="0" w:space="1"/>
      </w:pBdr>
      <w:snapToGrid w:val="0"/>
      <w:jc w:val="both"/>
      <w:rPr>
        <w:rFonts w:hint="eastAsia" w:ascii="宋体" w:hAnsi="宋体" w:eastAsia="宋体" w:cs="宋体"/>
        <w:kern w:val="0"/>
        <w:sz w:val="24"/>
        <w:szCs w:val="24"/>
        <w:u w:val="single"/>
        <w:lang w:val="en-US" w:eastAsia="zh-CN" w:bidi="ar-SA"/>
      </w:rPr>
    </w:pPr>
    <w:r>
      <w:rPr>
        <w:rFonts w:hint="eastAsia" w:ascii="宋体"/>
        <w:u w:val="single"/>
      </w:rPr>
      <w:drawing>
        <wp:inline distT="0" distB="0" distL="114300" distR="114300">
          <wp:extent cx="1602105" cy="293370"/>
          <wp:effectExtent l="0" t="0" r="13335" b="11430"/>
          <wp:docPr id="52" name="图片 2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8" descr="图片1"/>
                  <pic:cNvPicPr>
                    <a:picLocks noChangeAspect="1"/>
                  </pic:cNvPicPr>
                </pic:nvPicPr>
                <pic:blipFill>
                  <a:blip r:embed="rId1"/>
                  <a:stretch>
                    <a:fillRect/>
                  </a:stretch>
                </pic:blipFill>
                <pic:spPr>
                  <a:xfrm>
                    <a:off x="0" y="0"/>
                    <a:ext cx="1602105" cy="293370"/>
                  </a:xfrm>
                  <a:prstGeom prst="rect">
                    <a:avLst/>
                  </a:prstGeom>
                  <a:noFill/>
                  <a:ln>
                    <a:noFill/>
                  </a:ln>
                </pic:spPr>
              </pic:pic>
            </a:graphicData>
          </a:graphic>
        </wp:inline>
      </w:drawing>
    </w:r>
    <w:r>
      <w:rPr>
        <w:rFonts w:hint="eastAsia" w:ascii="宋体"/>
        <w:u w:val="single"/>
      </w:rPr>
      <w:t xml:space="preserve">  </w:t>
    </w:r>
    <w:r>
      <w:rPr>
        <w:rFonts w:hint="eastAsia" w:ascii="宋体"/>
        <w:u w:val="single"/>
        <w:lang w:val="en-US" w:eastAsia="zh-CN"/>
      </w:rPr>
      <w:t xml:space="preserve"> </w:t>
    </w:r>
    <w:r>
      <w:rPr>
        <w:rFonts w:hint="eastAsia" w:ascii="宋体"/>
        <w:sz w:val="18"/>
        <w:szCs w:val="16"/>
        <w:u w:val="single"/>
      </w:rPr>
      <w:t>定海区看守所综合用房设施提升改造廉政教育基地展厅文化打造建设项目（重新招标）</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34DE15"/>
    <w:multiLevelType w:val="singleLevel"/>
    <w:tmpl w:val="0C34DE15"/>
    <w:lvl w:ilvl="0" w:tentative="0">
      <w:start w:val="1"/>
      <w:numFmt w:val="decimal"/>
      <w:lvlText w:val="%1."/>
      <w:lvlJc w:val="left"/>
      <w:pPr>
        <w:tabs>
          <w:tab w:val="left" w:pos="312"/>
        </w:tabs>
      </w:pPr>
    </w:lvl>
  </w:abstractNum>
  <w:abstractNum w:abstractNumId="1">
    <w:nsid w:val="225A8346"/>
    <w:multiLevelType w:val="singleLevel"/>
    <w:tmpl w:val="225A8346"/>
    <w:lvl w:ilvl="0" w:tentative="0">
      <w:start w:val="1"/>
      <w:numFmt w:val="decimal"/>
      <w:lvlText w:val="%1."/>
      <w:lvlJc w:val="left"/>
      <w:pPr>
        <w:tabs>
          <w:tab w:val="left" w:pos="312"/>
        </w:tabs>
      </w:pPr>
    </w:lvl>
  </w:abstractNum>
  <w:abstractNum w:abstractNumId="2">
    <w:nsid w:val="4DD4552D"/>
    <w:multiLevelType w:val="singleLevel"/>
    <w:tmpl w:val="4DD4552D"/>
    <w:lvl w:ilvl="0" w:tentative="0">
      <w:start w:val="1"/>
      <w:numFmt w:val="decimal"/>
      <w:lvlText w:val="%1."/>
      <w:lvlJc w:val="left"/>
      <w:pPr>
        <w:tabs>
          <w:tab w:val="left" w:pos="312"/>
        </w:tabs>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HorizontalSpacing w:val="105"/>
  <w:drawingGridVerticalSpacing w:val="160"/>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AyYjViNWZkMmJiZTk3YWExNjhhNDAwMDYxODE3YjMifQ=="/>
  </w:docVars>
  <w:rsids>
    <w:rsidRoot w:val="00172A27"/>
    <w:rsid w:val="000005EE"/>
    <w:rsid w:val="000008AE"/>
    <w:rsid w:val="00000DA0"/>
    <w:rsid w:val="0000107B"/>
    <w:rsid w:val="00001255"/>
    <w:rsid w:val="00001351"/>
    <w:rsid w:val="00001616"/>
    <w:rsid w:val="00002240"/>
    <w:rsid w:val="0000249F"/>
    <w:rsid w:val="000036AE"/>
    <w:rsid w:val="000053DD"/>
    <w:rsid w:val="000067D2"/>
    <w:rsid w:val="00006CD5"/>
    <w:rsid w:val="00010275"/>
    <w:rsid w:val="00011F5B"/>
    <w:rsid w:val="0001227F"/>
    <w:rsid w:val="00012FC0"/>
    <w:rsid w:val="000131FB"/>
    <w:rsid w:val="00013905"/>
    <w:rsid w:val="00013F7B"/>
    <w:rsid w:val="000148CF"/>
    <w:rsid w:val="000150F2"/>
    <w:rsid w:val="00015267"/>
    <w:rsid w:val="00015B00"/>
    <w:rsid w:val="000161B6"/>
    <w:rsid w:val="00017CCA"/>
    <w:rsid w:val="00020487"/>
    <w:rsid w:val="00021229"/>
    <w:rsid w:val="00021CDE"/>
    <w:rsid w:val="00021CF2"/>
    <w:rsid w:val="000225BC"/>
    <w:rsid w:val="00022EFA"/>
    <w:rsid w:val="00023C49"/>
    <w:rsid w:val="00023E4C"/>
    <w:rsid w:val="0002452C"/>
    <w:rsid w:val="000260AD"/>
    <w:rsid w:val="00026224"/>
    <w:rsid w:val="000265C2"/>
    <w:rsid w:val="00026CC2"/>
    <w:rsid w:val="000273C7"/>
    <w:rsid w:val="00027CC8"/>
    <w:rsid w:val="00027CEC"/>
    <w:rsid w:val="00027D38"/>
    <w:rsid w:val="000303E1"/>
    <w:rsid w:val="00030AD8"/>
    <w:rsid w:val="000317CA"/>
    <w:rsid w:val="0003181C"/>
    <w:rsid w:val="00032134"/>
    <w:rsid w:val="000325CE"/>
    <w:rsid w:val="0003329B"/>
    <w:rsid w:val="00033641"/>
    <w:rsid w:val="00034D19"/>
    <w:rsid w:val="0003660B"/>
    <w:rsid w:val="000369D2"/>
    <w:rsid w:val="00037EE2"/>
    <w:rsid w:val="000407B3"/>
    <w:rsid w:val="0004111B"/>
    <w:rsid w:val="000415B1"/>
    <w:rsid w:val="00041BE4"/>
    <w:rsid w:val="0004279E"/>
    <w:rsid w:val="0004335D"/>
    <w:rsid w:val="00043AC8"/>
    <w:rsid w:val="00044AE2"/>
    <w:rsid w:val="00044B3F"/>
    <w:rsid w:val="00045883"/>
    <w:rsid w:val="00046374"/>
    <w:rsid w:val="00047114"/>
    <w:rsid w:val="0005095B"/>
    <w:rsid w:val="00050DEE"/>
    <w:rsid w:val="000516E3"/>
    <w:rsid w:val="00051B80"/>
    <w:rsid w:val="00052F70"/>
    <w:rsid w:val="00053F58"/>
    <w:rsid w:val="0005415C"/>
    <w:rsid w:val="00055835"/>
    <w:rsid w:val="000559BB"/>
    <w:rsid w:val="00055B9A"/>
    <w:rsid w:val="00055C01"/>
    <w:rsid w:val="00055DD9"/>
    <w:rsid w:val="000566FC"/>
    <w:rsid w:val="00056C53"/>
    <w:rsid w:val="00057A16"/>
    <w:rsid w:val="000601BC"/>
    <w:rsid w:val="0006107F"/>
    <w:rsid w:val="000616FF"/>
    <w:rsid w:val="00061AE1"/>
    <w:rsid w:val="00061B2C"/>
    <w:rsid w:val="00063583"/>
    <w:rsid w:val="00064447"/>
    <w:rsid w:val="00064E63"/>
    <w:rsid w:val="00065112"/>
    <w:rsid w:val="00065300"/>
    <w:rsid w:val="0006586E"/>
    <w:rsid w:val="00065C18"/>
    <w:rsid w:val="00066224"/>
    <w:rsid w:val="000668F7"/>
    <w:rsid w:val="00067BAD"/>
    <w:rsid w:val="00070E4F"/>
    <w:rsid w:val="00070F6C"/>
    <w:rsid w:val="0007335F"/>
    <w:rsid w:val="0007342A"/>
    <w:rsid w:val="000735C6"/>
    <w:rsid w:val="00074E0B"/>
    <w:rsid w:val="00074E62"/>
    <w:rsid w:val="00074FAC"/>
    <w:rsid w:val="00075588"/>
    <w:rsid w:val="0007669B"/>
    <w:rsid w:val="00076754"/>
    <w:rsid w:val="00077129"/>
    <w:rsid w:val="00077441"/>
    <w:rsid w:val="000779FD"/>
    <w:rsid w:val="0008040C"/>
    <w:rsid w:val="00080D08"/>
    <w:rsid w:val="00081A6F"/>
    <w:rsid w:val="00081C6F"/>
    <w:rsid w:val="00083162"/>
    <w:rsid w:val="000839AD"/>
    <w:rsid w:val="00083C5C"/>
    <w:rsid w:val="00085105"/>
    <w:rsid w:val="00086507"/>
    <w:rsid w:val="00086933"/>
    <w:rsid w:val="00086EEC"/>
    <w:rsid w:val="00087E11"/>
    <w:rsid w:val="00090784"/>
    <w:rsid w:val="00090FBB"/>
    <w:rsid w:val="000911CB"/>
    <w:rsid w:val="00091498"/>
    <w:rsid w:val="00091A59"/>
    <w:rsid w:val="00091E8E"/>
    <w:rsid w:val="0009261A"/>
    <w:rsid w:val="0009323A"/>
    <w:rsid w:val="00094603"/>
    <w:rsid w:val="00094871"/>
    <w:rsid w:val="0009595D"/>
    <w:rsid w:val="00096762"/>
    <w:rsid w:val="00096E45"/>
    <w:rsid w:val="00096F0A"/>
    <w:rsid w:val="00097D22"/>
    <w:rsid w:val="00097F86"/>
    <w:rsid w:val="000A0344"/>
    <w:rsid w:val="000A0956"/>
    <w:rsid w:val="000A0D2D"/>
    <w:rsid w:val="000A147D"/>
    <w:rsid w:val="000A258D"/>
    <w:rsid w:val="000A2631"/>
    <w:rsid w:val="000A4033"/>
    <w:rsid w:val="000A40BB"/>
    <w:rsid w:val="000A4221"/>
    <w:rsid w:val="000A4912"/>
    <w:rsid w:val="000A4A6F"/>
    <w:rsid w:val="000A4C96"/>
    <w:rsid w:val="000A566A"/>
    <w:rsid w:val="000A59AD"/>
    <w:rsid w:val="000A693E"/>
    <w:rsid w:val="000A7611"/>
    <w:rsid w:val="000B063F"/>
    <w:rsid w:val="000B1196"/>
    <w:rsid w:val="000B123C"/>
    <w:rsid w:val="000B1E98"/>
    <w:rsid w:val="000B28DB"/>
    <w:rsid w:val="000B2A5F"/>
    <w:rsid w:val="000B2EA7"/>
    <w:rsid w:val="000B4009"/>
    <w:rsid w:val="000B46A2"/>
    <w:rsid w:val="000B4C39"/>
    <w:rsid w:val="000B4DD5"/>
    <w:rsid w:val="000B7447"/>
    <w:rsid w:val="000B7738"/>
    <w:rsid w:val="000C021F"/>
    <w:rsid w:val="000C0E70"/>
    <w:rsid w:val="000C16D6"/>
    <w:rsid w:val="000C1DC6"/>
    <w:rsid w:val="000C235C"/>
    <w:rsid w:val="000C4808"/>
    <w:rsid w:val="000C48DE"/>
    <w:rsid w:val="000C4B01"/>
    <w:rsid w:val="000C5A51"/>
    <w:rsid w:val="000C752F"/>
    <w:rsid w:val="000C783F"/>
    <w:rsid w:val="000C7CF8"/>
    <w:rsid w:val="000D130E"/>
    <w:rsid w:val="000D1459"/>
    <w:rsid w:val="000D1936"/>
    <w:rsid w:val="000D1AA4"/>
    <w:rsid w:val="000D1DF0"/>
    <w:rsid w:val="000D291A"/>
    <w:rsid w:val="000D2B33"/>
    <w:rsid w:val="000D32EC"/>
    <w:rsid w:val="000D33F2"/>
    <w:rsid w:val="000D3438"/>
    <w:rsid w:val="000D3A03"/>
    <w:rsid w:val="000D4477"/>
    <w:rsid w:val="000D5E43"/>
    <w:rsid w:val="000D750F"/>
    <w:rsid w:val="000D79EB"/>
    <w:rsid w:val="000D7AF8"/>
    <w:rsid w:val="000D7E24"/>
    <w:rsid w:val="000E028B"/>
    <w:rsid w:val="000E02F2"/>
    <w:rsid w:val="000E1E85"/>
    <w:rsid w:val="000E2837"/>
    <w:rsid w:val="000E2BC0"/>
    <w:rsid w:val="000E3EEF"/>
    <w:rsid w:val="000E416C"/>
    <w:rsid w:val="000E56DE"/>
    <w:rsid w:val="000E5CD2"/>
    <w:rsid w:val="000E706B"/>
    <w:rsid w:val="000F02E6"/>
    <w:rsid w:val="000F0550"/>
    <w:rsid w:val="000F1074"/>
    <w:rsid w:val="000F13AF"/>
    <w:rsid w:val="000F2A94"/>
    <w:rsid w:val="000F2E5E"/>
    <w:rsid w:val="000F421C"/>
    <w:rsid w:val="000F4838"/>
    <w:rsid w:val="000F4C37"/>
    <w:rsid w:val="000F4F94"/>
    <w:rsid w:val="000F55ED"/>
    <w:rsid w:val="000F5680"/>
    <w:rsid w:val="000F5897"/>
    <w:rsid w:val="000F6027"/>
    <w:rsid w:val="000F6E50"/>
    <w:rsid w:val="000F7AF0"/>
    <w:rsid w:val="001007C1"/>
    <w:rsid w:val="00101001"/>
    <w:rsid w:val="00101417"/>
    <w:rsid w:val="001025CC"/>
    <w:rsid w:val="00102CD6"/>
    <w:rsid w:val="00103EDC"/>
    <w:rsid w:val="00103FBC"/>
    <w:rsid w:val="00105C54"/>
    <w:rsid w:val="001062C4"/>
    <w:rsid w:val="0010669E"/>
    <w:rsid w:val="00107048"/>
    <w:rsid w:val="0010765D"/>
    <w:rsid w:val="00107E23"/>
    <w:rsid w:val="00110878"/>
    <w:rsid w:val="00111204"/>
    <w:rsid w:val="001113A5"/>
    <w:rsid w:val="00111D5D"/>
    <w:rsid w:val="00112791"/>
    <w:rsid w:val="0011355D"/>
    <w:rsid w:val="0011384C"/>
    <w:rsid w:val="0011396E"/>
    <w:rsid w:val="00113E4C"/>
    <w:rsid w:val="00113FC6"/>
    <w:rsid w:val="0011495F"/>
    <w:rsid w:val="00115E32"/>
    <w:rsid w:val="0011602B"/>
    <w:rsid w:val="00116541"/>
    <w:rsid w:val="001172A3"/>
    <w:rsid w:val="00120EEE"/>
    <w:rsid w:val="00120F3A"/>
    <w:rsid w:val="00121115"/>
    <w:rsid w:val="001223A0"/>
    <w:rsid w:val="001223F9"/>
    <w:rsid w:val="00122D30"/>
    <w:rsid w:val="00122D3E"/>
    <w:rsid w:val="00123169"/>
    <w:rsid w:val="001232C5"/>
    <w:rsid w:val="00124AFE"/>
    <w:rsid w:val="00124EF7"/>
    <w:rsid w:val="001258CD"/>
    <w:rsid w:val="00125A10"/>
    <w:rsid w:val="00126051"/>
    <w:rsid w:val="0012621D"/>
    <w:rsid w:val="001266A1"/>
    <w:rsid w:val="00126F03"/>
    <w:rsid w:val="0012782B"/>
    <w:rsid w:val="00130A55"/>
    <w:rsid w:val="00131683"/>
    <w:rsid w:val="00131B3F"/>
    <w:rsid w:val="00132E4D"/>
    <w:rsid w:val="00133D3A"/>
    <w:rsid w:val="00133F40"/>
    <w:rsid w:val="00135C96"/>
    <w:rsid w:val="00136020"/>
    <w:rsid w:val="001363C1"/>
    <w:rsid w:val="001375A8"/>
    <w:rsid w:val="00140ECD"/>
    <w:rsid w:val="00141886"/>
    <w:rsid w:val="00143FF7"/>
    <w:rsid w:val="00145C0D"/>
    <w:rsid w:val="001464CC"/>
    <w:rsid w:val="00146B1C"/>
    <w:rsid w:val="00150017"/>
    <w:rsid w:val="001504B3"/>
    <w:rsid w:val="0015086E"/>
    <w:rsid w:val="00150F5B"/>
    <w:rsid w:val="00150FD2"/>
    <w:rsid w:val="001517FA"/>
    <w:rsid w:val="001526CD"/>
    <w:rsid w:val="0015311C"/>
    <w:rsid w:val="001538AB"/>
    <w:rsid w:val="00153ACA"/>
    <w:rsid w:val="001543EB"/>
    <w:rsid w:val="0015506F"/>
    <w:rsid w:val="00155A65"/>
    <w:rsid w:val="00155F0F"/>
    <w:rsid w:val="0015624B"/>
    <w:rsid w:val="00156900"/>
    <w:rsid w:val="00156A4F"/>
    <w:rsid w:val="00156A6A"/>
    <w:rsid w:val="00156AD8"/>
    <w:rsid w:val="00156B04"/>
    <w:rsid w:val="00157751"/>
    <w:rsid w:val="00157978"/>
    <w:rsid w:val="0016017E"/>
    <w:rsid w:val="00160802"/>
    <w:rsid w:val="001621E5"/>
    <w:rsid w:val="00163495"/>
    <w:rsid w:val="00163779"/>
    <w:rsid w:val="0016455C"/>
    <w:rsid w:val="00165846"/>
    <w:rsid w:val="00165BBD"/>
    <w:rsid w:val="00165C2B"/>
    <w:rsid w:val="00166238"/>
    <w:rsid w:val="001670C9"/>
    <w:rsid w:val="00167C19"/>
    <w:rsid w:val="00170FBD"/>
    <w:rsid w:val="00170FE9"/>
    <w:rsid w:val="001716ED"/>
    <w:rsid w:val="0017193F"/>
    <w:rsid w:val="00171CB7"/>
    <w:rsid w:val="00171E07"/>
    <w:rsid w:val="00171E68"/>
    <w:rsid w:val="00172A27"/>
    <w:rsid w:val="00172AB0"/>
    <w:rsid w:val="00172EC3"/>
    <w:rsid w:val="00173114"/>
    <w:rsid w:val="00174BF0"/>
    <w:rsid w:val="00174CD8"/>
    <w:rsid w:val="001756D5"/>
    <w:rsid w:val="00175E3B"/>
    <w:rsid w:val="001766C9"/>
    <w:rsid w:val="001777BF"/>
    <w:rsid w:val="0018014D"/>
    <w:rsid w:val="00180445"/>
    <w:rsid w:val="001811B0"/>
    <w:rsid w:val="00181604"/>
    <w:rsid w:val="0018175C"/>
    <w:rsid w:val="001822EE"/>
    <w:rsid w:val="00182414"/>
    <w:rsid w:val="001839A5"/>
    <w:rsid w:val="00183DFE"/>
    <w:rsid w:val="0018435A"/>
    <w:rsid w:val="00186E86"/>
    <w:rsid w:val="00190338"/>
    <w:rsid w:val="00191A11"/>
    <w:rsid w:val="00191BAF"/>
    <w:rsid w:val="00193AF0"/>
    <w:rsid w:val="00193D77"/>
    <w:rsid w:val="00194057"/>
    <w:rsid w:val="00196D89"/>
    <w:rsid w:val="00196E1C"/>
    <w:rsid w:val="00197723"/>
    <w:rsid w:val="001A06DA"/>
    <w:rsid w:val="001A0C59"/>
    <w:rsid w:val="001A0CC2"/>
    <w:rsid w:val="001A0D8E"/>
    <w:rsid w:val="001A11C6"/>
    <w:rsid w:val="001A12B0"/>
    <w:rsid w:val="001A174D"/>
    <w:rsid w:val="001A1A69"/>
    <w:rsid w:val="001A26B9"/>
    <w:rsid w:val="001A2735"/>
    <w:rsid w:val="001A390E"/>
    <w:rsid w:val="001A475F"/>
    <w:rsid w:val="001A4ED4"/>
    <w:rsid w:val="001A5A17"/>
    <w:rsid w:val="001A6013"/>
    <w:rsid w:val="001A60CD"/>
    <w:rsid w:val="001A6EE2"/>
    <w:rsid w:val="001A7817"/>
    <w:rsid w:val="001B0139"/>
    <w:rsid w:val="001B0528"/>
    <w:rsid w:val="001B1FF0"/>
    <w:rsid w:val="001B3018"/>
    <w:rsid w:val="001B37FC"/>
    <w:rsid w:val="001B3C2A"/>
    <w:rsid w:val="001B3E80"/>
    <w:rsid w:val="001B4C31"/>
    <w:rsid w:val="001B4EE8"/>
    <w:rsid w:val="001B5DD2"/>
    <w:rsid w:val="001B614D"/>
    <w:rsid w:val="001B6AB2"/>
    <w:rsid w:val="001B700B"/>
    <w:rsid w:val="001C0AE0"/>
    <w:rsid w:val="001C10E7"/>
    <w:rsid w:val="001C1A4D"/>
    <w:rsid w:val="001C2753"/>
    <w:rsid w:val="001C2C2A"/>
    <w:rsid w:val="001C2C3B"/>
    <w:rsid w:val="001C3751"/>
    <w:rsid w:val="001C39CD"/>
    <w:rsid w:val="001C4002"/>
    <w:rsid w:val="001C44E0"/>
    <w:rsid w:val="001C45A6"/>
    <w:rsid w:val="001C46EA"/>
    <w:rsid w:val="001C57FE"/>
    <w:rsid w:val="001C62BD"/>
    <w:rsid w:val="001C6CAA"/>
    <w:rsid w:val="001C70C0"/>
    <w:rsid w:val="001C7CDF"/>
    <w:rsid w:val="001D063F"/>
    <w:rsid w:val="001D158D"/>
    <w:rsid w:val="001D1953"/>
    <w:rsid w:val="001D1C72"/>
    <w:rsid w:val="001D308A"/>
    <w:rsid w:val="001D34F9"/>
    <w:rsid w:val="001D35AA"/>
    <w:rsid w:val="001D3792"/>
    <w:rsid w:val="001D39A1"/>
    <w:rsid w:val="001D3E41"/>
    <w:rsid w:val="001D4145"/>
    <w:rsid w:val="001D5538"/>
    <w:rsid w:val="001D6CC5"/>
    <w:rsid w:val="001D75C1"/>
    <w:rsid w:val="001D7B49"/>
    <w:rsid w:val="001D7BAA"/>
    <w:rsid w:val="001D7BB5"/>
    <w:rsid w:val="001E1A83"/>
    <w:rsid w:val="001E1E4B"/>
    <w:rsid w:val="001E27F2"/>
    <w:rsid w:val="001E2A03"/>
    <w:rsid w:val="001E4836"/>
    <w:rsid w:val="001E489E"/>
    <w:rsid w:val="001E4DD3"/>
    <w:rsid w:val="001E6C80"/>
    <w:rsid w:val="001E6F65"/>
    <w:rsid w:val="001E72E4"/>
    <w:rsid w:val="001E77DC"/>
    <w:rsid w:val="001F1468"/>
    <w:rsid w:val="001F2288"/>
    <w:rsid w:val="001F2C36"/>
    <w:rsid w:val="001F2E29"/>
    <w:rsid w:val="001F32E1"/>
    <w:rsid w:val="001F5049"/>
    <w:rsid w:val="001F57E8"/>
    <w:rsid w:val="001F73E3"/>
    <w:rsid w:val="00200B8A"/>
    <w:rsid w:val="00202BAD"/>
    <w:rsid w:val="002033B0"/>
    <w:rsid w:val="00203813"/>
    <w:rsid w:val="00203CBD"/>
    <w:rsid w:val="00204173"/>
    <w:rsid w:val="00204175"/>
    <w:rsid w:val="002041FA"/>
    <w:rsid w:val="00204255"/>
    <w:rsid w:val="00204E0B"/>
    <w:rsid w:val="0020572E"/>
    <w:rsid w:val="002074C7"/>
    <w:rsid w:val="002076B2"/>
    <w:rsid w:val="002077D4"/>
    <w:rsid w:val="00210917"/>
    <w:rsid w:val="002109CC"/>
    <w:rsid w:val="00210A2F"/>
    <w:rsid w:val="00210C93"/>
    <w:rsid w:val="00210FF5"/>
    <w:rsid w:val="00211F2E"/>
    <w:rsid w:val="002121FB"/>
    <w:rsid w:val="002131E2"/>
    <w:rsid w:val="002132F3"/>
    <w:rsid w:val="00213854"/>
    <w:rsid w:val="0021389D"/>
    <w:rsid w:val="00215118"/>
    <w:rsid w:val="00215256"/>
    <w:rsid w:val="002153EE"/>
    <w:rsid w:val="00215753"/>
    <w:rsid w:val="00216140"/>
    <w:rsid w:val="00217077"/>
    <w:rsid w:val="00217D2C"/>
    <w:rsid w:val="00220417"/>
    <w:rsid w:val="002214F8"/>
    <w:rsid w:val="002219DE"/>
    <w:rsid w:val="00221E2B"/>
    <w:rsid w:val="00222143"/>
    <w:rsid w:val="00222549"/>
    <w:rsid w:val="0022331B"/>
    <w:rsid w:val="002234D2"/>
    <w:rsid w:val="00223D20"/>
    <w:rsid w:val="002245E7"/>
    <w:rsid w:val="00225ED0"/>
    <w:rsid w:val="00232FE0"/>
    <w:rsid w:val="0023309C"/>
    <w:rsid w:val="0023434B"/>
    <w:rsid w:val="0023487B"/>
    <w:rsid w:val="00234B90"/>
    <w:rsid w:val="00234DDF"/>
    <w:rsid w:val="00235302"/>
    <w:rsid w:val="0023545C"/>
    <w:rsid w:val="00235928"/>
    <w:rsid w:val="0023667C"/>
    <w:rsid w:val="002367A2"/>
    <w:rsid w:val="00236B19"/>
    <w:rsid w:val="00236D74"/>
    <w:rsid w:val="00237206"/>
    <w:rsid w:val="00237F8B"/>
    <w:rsid w:val="00237FF3"/>
    <w:rsid w:val="0024050C"/>
    <w:rsid w:val="002416B2"/>
    <w:rsid w:val="00242A57"/>
    <w:rsid w:val="002458CA"/>
    <w:rsid w:val="00245F3C"/>
    <w:rsid w:val="0024774E"/>
    <w:rsid w:val="00247806"/>
    <w:rsid w:val="002478C0"/>
    <w:rsid w:val="00247A3F"/>
    <w:rsid w:val="00247CD9"/>
    <w:rsid w:val="00250461"/>
    <w:rsid w:val="002509F6"/>
    <w:rsid w:val="00252F64"/>
    <w:rsid w:val="002549ED"/>
    <w:rsid w:val="00254A27"/>
    <w:rsid w:val="00254C17"/>
    <w:rsid w:val="00255555"/>
    <w:rsid w:val="00255BF9"/>
    <w:rsid w:val="00256489"/>
    <w:rsid w:val="0025677D"/>
    <w:rsid w:val="00256852"/>
    <w:rsid w:val="002570A7"/>
    <w:rsid w:val="00257583"/>
    <w:rsid w:val="00257B9B"/>
    <w:rsid w:val="00257C06"/>
    <w:rsid w:val="002600B8"/>
    <w:rsid w:val="00260567"/>
    <w:rsid w:val="002613F0"/>
    <w:rsid w:val="0026184C"/>
    <w:rsid w:val="00262C3E"/>
    <w:rsid w:val="00263D21"/>
    <w:rsid w:val="00265BF6"/>
    <w:rsid w:val="00266371"/>
    <w:rsid w:val="00267758"/>
    <w:rsid w:val="00267846"/>
    <w:rsid w:val="00267917"/>
    <w:rsid w:val="00270ABA"/>
    <w:rsid w:val="00270AC8"/>
    <w:rsid w:val="00270BEF"/>
    <w:rsid w:val="00270CDA"/>
    <w:rsid w:val="00271361"/>
    <w:rsid w:val="00272DBA"/>
    <w:rsid w:val="00273D91"/>
    <w:rsid w:val="0027448C"/>
    <w:rsid w:val="00275801"/>
    <w:rsid w:val="00276E78"/>
    <w:rsid w:val="002772A6"/>
    <w:rsid w:val="00277869"/>
    <w:rsid w:val="00277FAD"/>
    <w:rsid w:val="00280E3D"/>
    <w:rsid w:val="00281426"/>
    <w:rsid w:val="00282A91"/>
    <w:rsid w:val="00282EDB"/>
    <w:rsid w:val="0028316F"/>
    <w:rsid w:val="002839B4"/>
    <w:rsid w:val="00284A1F"/>
    <w:rsid w:val="00284B14"/>
    <w:rsid w:val="002855A8"/>
    <w:rsid w:val="002858CB"/>
    <w:rsid w:val="00285AFE"/>
    <w:rsid w:val="00285F68"/>
    <w:rsid w:val="002865E2"/>
    <w:rsid w:val="00287327"/>
    <w:rsid w:val="00287CC0"/>
    <w:rsid w:val="00287D61"/>
    <w:rsid w:val="00287F07"/>
    <w:rsid w:val="0029021B"/>
    <w:rsid w:val="00290724"/>
    <w:rsid w:val="00290767"/>
    <w:rsid w:val="00291273"/>
    <w:rsid w:val="0029289B"/>
    <w:rsid w:val="002935DA"/>
    <w:rsid w:val="00293BB4"/>
    <w:rsid w:val="00294734"/>
    <w:rsid w:val="00294C4F"/>
    <w:rsid w:val="0029596A"/>
    <w:rsid w:val="00297B9B"/>
    <w:rsid w:val="002A0A4D"/>
    <w:rsid w:val="002A143F"/>
    <w:rsid w:val="002A23F6"/>
    <w:rsid w:val="002A33CA"/>
    <w:rsid w:val="002A407B"/>
    <w:rsid w:val="002A40F4"/>
    <w:rsid w:val="002A4F61"/>
    <w:rsid w:val="002A5107"/>
    <w:rsid w:val="002A51D8"/>
    <w:rsid w:val="002A51F8"/>
    <w:rsid w:val="002A5465"/>
    <w:rsid w:val="002A56B4"/>
    <w:rsid w:val="002A6803"/>
    <w:rsid w:val="002A6BF4"/>
    <w:rsid w:val="002A7308"/>
    <w:rsid w:val="002A787A"/>
    <w:rsid w:val="002B0084"/>
    <w:rsid w:val="002B0A91"/>
    <w:rsid w:val="002B0EFE"/>
    <w:rsid w:val="002B1551"/>
    <w:rsid w:val="002B1AA7"/>
    <w:rsid w:val="002B2125"/>
    <w:rsid w:val="002B2987"/>
    <w:rsid w:val="002B44A7"/>
    <w:rsid w:val="002B4F2E"/>
    <w:rsid w:val="002B5515"/>
    <w:rsid w:val="002B6782"/>
    <w:rsid w:val="002B6A7C"/>
    <w:rsid w:val="002B6AA8"/>
    <w:rsid w:val="002C01E9"/>
    <w:rsid w:val="002C02A3"/>
    <w:rsid w:val="002C03F6"/>
    <w:rsid w:val="002C3A51"/>
    <w:rsid w:val="002C49B8"/>
    <w:rsid w:val="002C4CBD"/>
    <w:rsid w:val="002C4F37"/>
    <w:rsid w:val="002C595B"/>
    <w:rsid w:val="002C68F3"/>
    <w:rsid w:val="002D0FFF"/>
    <w:rsid w:val="002D19BE"/>
    <w:rsid w:val="002D1CFB"/>
    <w:rsid w:val="002D255E"/>
    <w:rsid w:val="002D2A23"/>
    <w:rsid w:val="002D2B25"/>
    <w:rsid w:val="002D2E0E"/>
    <w:rsid w:val="002D307A"/>
    <w:rsid w:val="002D363F"/>
    <w:rsid w:val="002D371F"/>
    <w:rsid w:val="002D3AA3"/>
    <w:rsid w:val="002D54A2"/>
    <w:rsid w:val="002D68BE"/>
    <w:rsid w:val="002D759B"/>
    <w:rsid w:val="002D7D28"/>
    <w:rsid w:val="002E00E7"/>
    <w:rsid w:val="002E12A6"/>
    <w:rsid w:val="002E207D"/>
    <w:rsid w:val="002E2385"/>
    <w:rsid w:val="002E3A85"/>
    <w:rsid w:val="002E459C"/>
    <w:rsid w:val="002E4890"/>
    <w:rsid w:val="002E4F10"/>
    <w:rsid w:val="002E5AE6"/>
    <w:rsid w:val="002E5B85"/>
    <w:rsid w:val="002E6A43"/>
    <w:rsid w:val="002E79D4"/>
    <w:rsid w:val="002F0DC9"/>
    <w:rsid w:val="002F142C"/>
    <w:rsid w:val="002F167A"/>
    <w:rsid w:val="002F1C69"/>
    <w:rsid w:val="002F1DA5"/>
    <w:rsid w:val="002F1FD6"/>
    <w:rsid w:val="002F21B8"/>
    <w:rsid w:val="002F2219"/>
    <w:rsid w:val="002F27E5"/>
    <w:rsid w:val="002F2931"/>
    <w:rsid w:val="002F39BA"/>
    <w:rsid w:val="002F425E"/>
    <w:rsid w:val="002F5531"/>
    <w:rsid w:val="002F55C4"/>
    <w:rsid w:val="002F5941"/>
    <w:rsid w:val="002F5DBB"/>
    <w:rsid w:val="002F609A"/>
    <w:rsid w:val="002F6266"/>
    <w:rsid w:val="002F6F34"/>
    <w:rsid w:val="002F7004"/>
    <w:rsid w:val="002F7C47"/>
    <w:rsid w:val="003004C0"/>
    <w:rsid w:val="003016A8"/>
    <w:rsid w:val="0030369D"/>
    <w:rsid w:val="00303D1E"/>
    <w:rsid w:val="00304E9C"/>
    <w:rsid w:val="003052B5"/>
    <w:rsid w:val="0030654F"/>
    <w:rsid w:val="00307176"/>
    <w:rsid w:val="00307C2B"/>
    <w:rsid w:val="0031128C"/>
    <w:rsid w:val="00311354"/>
    <w:rsid w:val="003118FE"/>
    <w:rsid w:val="0031207F"/>
    <w:rsid w:val="003127A5"/>
    <w:rsid w:val="00312A64"/>
    <w:rsid w:val="00312B07"/>
    <w:rsid w:val="00312C5E"/>
    <w:rsid w:val="00314869"/>
    <w:rsid w:val="003151F1"/>
    <w:rsid w:val="003156AE"/>
    <w:rsid w:val="00315782"/>
    <w:rsid w:val="0031619B"/>
    <w:rsid w:val="00316670"/>
    <w:rsid w:val="00316D79"/>
    <w:rsid w:val="00317701"/>
    <w:rsid w:val="00317DFB"/>
    <w:rsid w:val="0032014A"/>
    <w:rsid w:val="00320BB5"/>
    <w:rsid w:val="00320E91"/>
    <w:rsid w:val="00321187"/>
    <w:rsid w:val="00322AC0"/>
    <w:rsid w:val="00322EB5"/>
    <w:rsid w:val="00323B2F"/>
    <w:rsid w:val="0032419F"/>
    <w:rsid w:val="00324515"/>
    <w:rsid w:val="00325465"/>
    <w:rsid w:val="00325DA0"/>
    <w:rsid w:val="00325F5F"/>
    <w:rsid w:val="00326083"/>
    <w:rsid w:val="0032642C"/>
    <w:rsid w:val="00327877"/>
    <w:rsid w:val="003304FC"/>
    <w:rsid w:val="0033072C"/>
    <w:rsid w:val="003319AE"/>
    <w:rsid w:val="00332221"/>
    <w:rsid w:val="003327BC"/>
    <w:rsid w:val="00332FD6"/>
    <w:rsid w:val="00333CC4"/>
    <w:rsid w:val="00333FCA"/>
    <w:rsid w:val="0033425E"/>
    <w:rsid w:val="00335037"/>
    <w:rsid w:val="003361AE"/>
    <w:rsid w:val="00336C5A"/>
    <w:rsid w:val="00337523"/>
    <w:rsid w:val="00337B9F"/>
    <w:rsid w:val="003401CF"/>
    <w:rsid w:val="003401F3"/>
    <w:rsid w:val="00340FEB"/>
    <w:rsid w:val="0034131D"/>
    <w:rsid w:val="00341441"/>
    <w:rsid w:val="00341A4A"/>
    <w:rsid w:val="00341AF8"/>
    <w:rsid w:val="00342E67"/>
    <w:rsid w:val="003432E0"/>
    <w:rsid w:val="003445A6"/>
    <w:rsid w:val="00345011"/>
    <w:rsid w:val="00345641"/>
    <w:rsid w:val="00345DF5"/>
    <w:rsid w:val="00345FC9"/>
    <w:rsid w:val="003478E0"/>
    <w:rsid w:val="00350C19"/>
    <w:rsid w:val="003516BA"/>
    <w:rsid w:val="00351820"/>
    <w:rsid w:val="00351D4D"/>
    <w:rsid w:val="003529BE"/>
    <w:rsid w:val="00353111"/>
    <w:rsid w:val="00353221"/>
    <w:rsid w:val="003538C4"/>
    <w:rsid w:val="003538CF"/>
    <w:rsid w:val="0035394B"/>
    <w:rsid w:val="00353C85"/>
    <w:rsid w:val="0035411A"/>
    <w:rsid w:val="0035478C"/>
    <w:rsid w:val="00354A83"/>
    <w:rsid w:val="00354C6E"/>
    <w:rsid w:val="003553E5"/>
    <w:rsid w:val="003564AB"/>
    <w:rsid w:val="003565EC"/>
    <w:rsid w:val="00356676"/>
    <w:rsid w:val="00356AD4"/>
    <w:rsid w:val="00357928"/>
    <w:rsid w:val="00357D54"/>
    <w:rsid w:val="00360699"/>
    <w:rsid w:val="00360913"/>
    <w:rsid w:val="00360D67"/>
    <w:rsid w:val="0036126C"/>
    <w:rsid w:val="00361720"/>
    <w:rsid w:val="00361CAE"/>
    <w:rsid w:val="003625EA"/>
    <w:rsid w:val="003638A9"/>
    <w:rsid w:val="003648B6"/>
    <w:rsid w:val="00366A21"/>
    <w:rsid w:val="00366ED4"/>
    <w:rsid w:val="00367079"/>
    <w:rsid w:val="00370695"/>
    <w:rsid w:val="003711A1"/>
    <w:rsid w:val="00371AC2"/>
    <w:rsid w:val="00371E7B"/>
    <w:rsid w:val="00372D2E"/>
    <w:rsid w:val="00373488"/>
    <w:rsid w:val="00373B32"/>
    <w:rsid w:val="00373B73"/>
    <w:rsid w:val="003740C9"/>
    <w:rsid w:val="00375269"/>
    <w:rsid w:val="00375369"/>
    <w:rsid w:val="00375706"/>
    <w:rsid w:val="00375E48"/>
    <w:rsid w:val="00376C94"/>
    <w:rsid w:val="00377A80"/>
    <w:rsid w:val="00377AD2"/>
    <w:rsid w:val="00377AF7"/>
    <w:rsid w:val="00377D7E"/>
    <w:rsid w:val="0038009B"/>
    <w:rsid w:val="00380A86"/>
    <w:rsid w:val="00382058"/>
    <w:rsid w:val="003827E3"/>
    <w:rsid w:val="00382AA2"/>
    <w:rsid w:val="00383172"/>
    <w:rsid w:val="003847DC"/>
    <w:rsid w:val="00384E53"/>
    <w:rsid w:val="003861BD"/>
    <w:rsid w:val="00390A14"/>
    <w:rsid w:val="003916DE"/>
    <w:rsid w:val="00391B33"/>
    <w:rsid w:val="0039215F"/>
    <w:rsid w:val="00392486"/>
    <w:rsid w:val="0039593F"/>
    <w:rsid w:val="003A018D"/>
    <w:rsid w:val="003A060E"/>
    <w:rsid w:val="003A07D1"/>
    <w:rsid w:val="003A15E4"/>
    <w:rsid w:val="003A189C"/>
    <w:rsid w:val="003A19DF"/>
    <w:rsid w:val="003A1A79"/>
    <w:rsid w:val="003A26FB"/>
    <w:rsid w:val="003A2C91"/>
    <w:rsid w:val="003A3B63"/>
    <w:rsid w:val="003A3CDF"/>
    <w:rsid w:val="003A50D4"/>
    <w:rsid w:val="003A5573"/>
    <w:rsid w:val="003A5854"/>
    <w:rsid w:val="003A5A62"/>
    <w:rsid w:val="003A5FCF"/>
    <w:rsid w:val="003B06D3"/>
    <w:rsid w:val="003B19D5"/>
    <w:rsid w:val="003B1E64"/>
    <w:rsid w:val="003B2DD8"/>
    <w:rsid w:val="003B483E"/>
    <w:rsid w:val="003B4C85"/>
    <w:rsid w:val="003B5149"/>
    <w:rsid w:val="003B6698"/>
    <w:rsid w:val="003B736A"/>
    <w:rsid w:val="003C04C3"/>
    <w:rsid w:val="003C16A3"/>
    <w:rsid w:val="003C1722"/>
    <w:rsid w:val="003C31BC"/>
    <w:rsid w:val="003C3482"/>
    <w:rsid w:val="003C50C9"/>
    <w:rsid w:val="003C5324"/>
    <w:rsid w:val="003C5F35"/>
    <w:rsid w:val="003C5FCB"/>
    <w:rsid w:val="003C7370"/>
    <w:rsid w:val="003C7AD3"/>
    <w:rsid w:val="003C7FF6"/>
    <w:rsid w:val="003D0389"/>
    <w:rsid w:val="003D073E"/>
    <w:rsid w:val="003D0B4C"/>
    <w:rsid w:val="003D1763"/>
    <w:rsid w:val="003D1CA3"/>
    <w:rsid w:val="003D2180"/>
    <w:rsid w:val="003D22CB"/>
    <w:rsid w:val="003D236F"/>
    <w:rsid w:val="003D421B"/>
    <w:rsid w:val="003D53D1"/>
    <w:rsid w:val="003D57DB"/>
    <w:rsid w:val="003D5C1F"/>
    <w:rsid w:val="003D61C1"/>
    <w:rsid w:val="003D6974"/>
    <w:rsid w:val="003D6EA3"/>
    <w:rsid w:val="003E00F6"/>
    <w:rsid w:val="003E020A"/>
    <w:rsid w:val="003E09D5"/>
    <w:rsid w:val="003E2D93"/>
    <w:rsid w:val="003E3B68"/>
    <w:rsid w:val="003E461C"/>
    <w:rsid w:val="003E6086"/>
    <w:rsid w:val="003E646C"/>
    <w:rsid w:val="003E78A4"/>
    <w:rsid w:val="003E7D84"/>
    <w:rsid w:val="003E7FAF"/>
    <w:rsid w:val="003F06A1"/>
    <w:rsid w:val="003F0CA2"/>
    <w:rsid w:val="003F0D00"/>
    <w:rsid w:val="003F0D5D"/>
    <w:rsid w:val="003F1001"/>
    <w:rsid w:val="003F1C31"/>
    <w:rsid w:val="003F247F"/>
    <w:rsid w:val="003F287E"/>
    <w:rsid w:val="003F3ACD"/>
    <w:rsid w:val="003F498F"/>
    <w:rsid w:val="003F533D"/>
    <w:rsid w:val="003F54CB"/>
    <w:rsid w:val="003F6578"/>
    <w:rsid w:val="003F65BC"/>
    <w:rsid w:val="003F771B"/>
    <w:rsid w:val="004000E0"/>
    <w:rsid w:val="004006B3"/>
    <w:rsid w:val="00400784"/>
    <w:rsid w:val="00400CA4"/>
    <w:rsid w:val="00400FD2"/>
    <w:rsid w:val="00401676"/>
    <w:rsid w:val="004022E5"/>
    <w:rsid w:val="00402AEA"/>
    <w:rsid w:val="00404FFE"/>
    <w:rsid w:val="00405FF7"/>
    <w:rsid w:val="00406167"/>
    <w:rsid w:val="00406758"/>
    <w:rsid w:val="004074BA"/>
    <w:rsid w:val="00407D4B"/>
    <w:rsid w:val="004107B7"/>
    <w:rsid w:val="004114B0"/>
    <w:rsid w:val="004122A8"/>
    <w:rsid w:val="00413CD3"/>
    <w:rsid w:val="00413DDA"/>
    <w:rsid w:val="00414E41"/>
    <w:rsid w:val="004156DD"/>
    <w:rsid w:val="004156FF"/>
    <w:rsid w:val="00415A34"/>
    <w:rsid w:val="00415B66"/>
    <w:rsid w:val="0041605A"/>
    <w:rsid w:val="004169C1"/>
    <w:rsid w:val="00416DAC"/>
    <w:rsid w:val="00417314"/>
    <w:rsid w:val="00417C69"/>
    <w:rsid w:val="0042011E"/>
    <w:rsid w:val="00420792"/>
    <w:rsid w:val="0042094D"/>
    <w:rsid w:val="00420F49"/>
    <w:rsid w:val="00421108"/>
    <w:rsid w:val="00422212"/>
    <w:rsid w:val="004228CF"/>
    <w:rsid w:val="004233F5"/>
    <w:rsid w:val="0042355C"/>
    <w:rsid w:val="00423638"/>
    <w:rsid w:val="00423920"/>
    <w:rsid w:val="0042395D"/>
    <w:rsid w:val="00423E04"/>
    <w:rsid w:val="00423F6F"/>
    <w:rsid w:val="004244A9"/>
    <w:rsid w:val="0042490A"/>
    <w:rsid w:val="004253BD"/>
    <w:rsid w:val="00425977"/>
    <w:rsid w:val="004260C1"/>
    <w:rsid w:val="004268E4"/>
    <w:rsid w:val="00426DC2"/>
    <w:rsid w:val="0043100F"/>
    <w:rsid w:val="004317E9"/>
    <w:rsid w:val="00431C92"/>
    <w:rsid w:val="00432911"/>
    <w:rsid w:val="00432F83"/>
    <w:rsid w:val="00433C5E"/>
    <w:rsid w:val="00433CC9"/>
    <w:rsid w:val="00433D50"/>
    <w:rsid w:val="00433EAC"/>
    <w:rsid w:val="004345CD"/>
    <w:rsid w:val="00434814"/>
    <w:rsid w:val="00434E86"/>
    <w:rsid w:val="00435A7C"/>
    <w:rsid w:val="00435DFB"/>
    <w:rsid w:val="00435FB9"/>
    <w:rsid w:val="00436B91"/>
    <w:rsid w:val="00441796"/>
    <w:rsid w:val="00443054"/>
    <w:rsid w:val="00443196"/>
    <w:rsid w:val="00444670"/>
    <w:rsid w:val="00444714"/>
    <w:rsid w:val="00444922"/>
    <w:rsid w:val="00444D36"/>
    <w:rsid w:val="00445157"/>
    <w:rsid w:val="004455F2"/>
    <w:rsid w:val="00445942"/>
    <w:rsid w:val="00446AAA"/>
    <w:rsid w:val="0045004E"/>
    <w:rsid w:val="0045089C"/>
    <w:rsid w:val="004513AF"/>
    <w:rsid w:val="0045200D"/>
    <w:rsid w:val="00452A57"/>
    <w:rsid w:val="004537CC"/>
    <w:rsid w:val="00453F8C"/>
    <w:rsid w:val="004542B6"/>
    <w:rsid w:val="00454C68"/>
    <w:rsid w:val="00454D8F"/>
    <w:rsid w:val="0045532A"/>
    <w:rsid w:val="004559F0"/>
    <w:rsid w:val="00457476"/>
    <w:rsid w:val="004576C3"/>
    <w:rsid w:val="00457A68"/>
    <w:rsid w:val="00457DA6"/>
    <w:rsid w:val="00461CF9"/>
    <w:rsid w:val="00462143"/>
    <w:rsid w:val="00463360"/>
    <w:rsid w:val="00463831"/>
    <w:rsid w:val="00463CD7"/>
    <w:rsid w:val="00464A12"/>
    <w:rsid w:val="00465688"/>
    <w:rsid w:val="0046691A"/>
    <w:rsid w:val="00466FA9"/>
    <w:rsid w:val="004678CE"/>
    <w:rsid w:val="00471A96"/>
    <w:rsid w:val="00471B20"/>
    <w:rsid w:val="00472B4F"/>
    <w:rsid w:val="00473D97"/>
    <w:rsid w:val="00473DBD"/>
    <w:rsid w:val="00474317"/>
    <w:rsid w:val="004748C5"/>
    <w:rsid w:val="00474C0A"/>
    <w:rsid w:val="0047541A"/>
    <w:rsid w:val="0047549D"/>
    <w:rsid w:val="004757A0"/>
    <w:rsid w:val="004758DC"/>
    <w:rsid w:val="00475A7E"/>
    <w:rsid w:val="00476392"/>
    <w:rsid w:val="004771A9"/>
    <w:rsid w:val="0047779B"/>
    <w:rsid w:val="00477D77"/>
    <w:rsid w:val="0048017D"/>
    <w:rsid w:val="00480CE0"/>
    <w:rsid w:val="00480F5D"/>
    <w:rsid w:val="00481577"/>
    <w:rsid w:val="0048277C"/>
    <w:rsid w:val="00483E22"/>
    <w:rsid w:val="00484835"/>
    <w:rsid w:val="00484931"/>
    <w:rsid w:val="00484DA3"/>
    <w:rsid w:val="0048502E"/>
    <w:rsid w:val="0048664D"/>
    <w:rsid w:val="00487B00"/>
    <w:rsid w:val="00487EE5"/>
    <w:rsid w:val="004903FD"/>
    <w:rsid w:val="00490645"/>
    <w:rsid w:val="0049084B"/>
    <w:rsid w:val="0049203C"/>
    <w:rsid w:val="0049250A"/>
    <w:rsid w:val="00492C8F"/>
    <w:rsid w:val="00493F47"/>
    <w:rsid w:val="004940F7"/>
    <w:rsid w:val="004951C5"/>
    <w:rsid w:val="004957DD"/>
    <w:rsid w:val="004960D5"/>
    <w:rsid w:val="004963AD"/>
    <w:rsid w:val="00496949"/>
    <w:rsid w:val="0049717B"/>
    <w:rsid w:val="0049728C"/>
    <w:rsid w:val="00497437"/>
    <w:rsid w:val="00497C57"/>
    <w:rsid w:val="004A0CB9"/>
    <w:rsid w:val="004A103B"/>
    <w:rsid w:val="004A1ABD"/>
    <w:rsid w:val="004A334D"/>
    <w:rsid w:val="004A33D3"/>
    <w:rsid w:val="004A3805"/>
    <w:rsid w:val="004A38F6"/>
    <w:rsid w:val="004A46D4"/>
    <w:rsid w:val="004A5077"/>
    <w:rsid w:val="004A5EA1"/>
    <w:rsid w:val="004A5EB2"/>
    <w:rsid w:val="004A6038"/>
    <w:rsid w:val="004A6075"/>
    <w:rsid w:val="004A6150"/>
    <w:rsid w:val="004A6CFB"/>
    <w:rsid w:val="004A74E8"/>
    <w:rsid w:val="004A7B81"/>
    <w:rsid w:val="004B0BEA"/>
    <w:rsid w:val="004B0EAA"/>
    <w:rsid w:val="004B21C0"/>
    <w:rsid w:val="004B2F0E"/>
    <w:rsid w:val="004B3151"/>
    <w:rsid w:val="004B3E6A"/>
    <w:rsid w:val="004B4C30"/>
    <w:rsid w:val="004B5716"/>
    <w:rsid w:val="004B587A"/>
    <w:rsid w:val="004B5F87"/>
    <w:rsid w:val="004B60A7"/>
    <w:rsid w:val="004B6317"/>
    <w:rsid w:val="004B6F83"/>
    <w:rsid w:val="004B7F74"/>
    <w:rsid w:val="004C0306"/>
    <w:rsid w:val="004C0428"/>
    <w:rsid w:val="004C0640"/>
    <w:rsid w:val="004C0881"/>
    <w:rsid w:val="004C0919"/>
    <w:rsid w:val="004C09D9"/>
    <w:rsid w:val="004C0F2F"/>
    <w:rsid w:val="004C1522"/>
    <w:rsid w:val="004C2111"/>
    <w:rsid w:val="004C27D8"/>
    <w:rsid w:val="004C4283"/>
    <w:rsid w:val="004C45CB"/>
    <w:rsid w:val="004C49BA"/>
    <w:rsid w:val="004C517F"/>
    <w:rsid w:val="004C51B9"/>
    <w:rsid w:val="004C5250"/>
    <w:rsid w:val="004C526E"/>
    <w:rsid w:val="004C5293"/>
    <w:rsid w:val="004C5FF1"/>
    <w:rsid w:val="004C6BC5"/>
    <w:rsid w:val="004C73FD"/>
    <w:rsid w:val="004D10FC"/>
    <w:rsid w:val="004D2CED"/>
    <w:rsid w:val="004D2D38"/>
    <w:rsid w:val="004D35E5"/>
    <w:rsid w:val="004D3EAC"/>
    <w:rsid w:val="004D4263"/>
    <w:rsid w:val="004D47EA"/>
    <w:rsid w:val="004D4CE9"/>
    <w:rsid w:val="004D6673"/>
    <w:rsid w:val="004D781C"/>
    <w:rsid w:val="004E0B5F"/>
    <w:rsid w:val="004E15D5"/>
    <w:rsid w:val="004E1768"/>
    <w:rsid w:val="004E295D"/>
    <w:rsid w:val="004E2B00"/>
    <w:rsid w:val="004E306B"/>
    <w:rsid w:val="004E33C3"/>
    <w:rsid w:val="004E4054"/>
    <w:rsid w:val="004E5240"/>
    <w:rsid w:val="004E6FCF"/>
    <w:rsid w:val="004E7336"/>
    <w:rsid w:val="004F0711"/>
    <w:rsid w:val="004F094C"/>
    <w:rsid w:val="004F0FBF"/>
    <w:rsid w:val="004F275C"/>
    <w:rsid w:val="004F2C39"/>
    <w:rsid w:val="004F34A8"/>
    <w:rsid w:val="004F361E"/>
    <w:rsid w:val="004F38E6"/>
    <w:rsid w:val="004F3B51"/>
    <w:rsid w:val="004F3C21"/>
    <w:rsid w:val="004F4E0B"/>
    <w:rsid w:val="004F50B7"/>
    <w:rsid w:val="004F51DE"/>
    <w:rsid w:val="004F5522"/>
    <w:rsid w:val="004F567B"/>
    <w:rsid w:val="004F59CA"/>
    <w:rsid w:val="004F61A2"/>
    <w:rsid w:val="004F6217"/>
    <w:rsid w:val="004F6E63"/>
    <w:rsid w:val="004F6F73"/>
    <w:rsid w:val="004F76F7"/>
    <w:rsid w:val="00500405"/>
    <w:rsid w:val="005006C9"/>
    <w:rsid w:val="00500B26"/>
    <w:rsid w:val="005014E8"/>
    <w:rsid w:val="005019E7"/>
    <w:rsid w:val="005025E7"/>
    <w:rsid w:val="00502832"/>
    <w:rsid w:val="00502B6A"/>
    <w:rsid w:val="0050338F"/>
    <w:rsid w:val="005047D6"/>
    <w:rsid w:val="005050E1"/>
    <w:rsid w:val="00505997"/>
    <w:rsid w:val="00505CBF"/>
    <w:rsid w:val="005060D0"/>
    <w:rsid w:val="005064BC"/>
    <w:rsid w:val="00506725"/>
    <w:rsid w:val="00507386"/>
    <w:rsid w:val="005073EF"/>
    <w:rsid w:val="00510049"/>
    <w:rsid w:val="00510645"/>
    <w:rsid w:val="0051183C"/>
    <w:rsid w:val="00511A97"/>
    <w:rsid w:val="00512B55"/>
    <w:rsid w:val="00513DE8"/>
    <w:rsid w:val="00513FBD"/>
    <w:rsid w:val="00515A0E"/>
    <w:rsid w:val="00516030"/>
    <w:rsid w:val="005200FB"/>
    <w:rsid w:val="00520459"/>
    <w:rsid w:val="005207F6"/>
    <w:rsid w:val="00520FB2"/>
    <w:rsid w:val="00521563"/>
    <w:rsid w:val="00521BED"/>
    <w:rsid w:val="00521F94"/>
    <w:rsid w:val="00523D80"/>
    <w:rsid w:val="00524565"/>
    <w:rsid w:val="005246FB"/>
    <w:rsid w:val="005249E3"/>
    <w:rsid w:val="00525A86"/>
    <w:rsid w:val="0052613D"/>
    <w:rsid w:val="005262E2"/>
    <w:rsid w:val="005264F8"/>
    <w:rsid w:val="00526ADE"/>
    <w:rsid w:val="0052710A"/>
    <w:rsid w:val="00530EC7"/>
    <w:rsid w:val="00531BEE"/>
    <w:rsid w:val="00531E06"/>
    <w:rsid w:val="0053240B"/>
    <w:rsid w:val="00532A36"/>
    <w:rsid w:val="00532F8A"/>
    <w:rsid w:val="00533622"/>
    <w:rsid w:val="00533899"/>
    <w:rsid w:val="0053434A"/>
    <w:rsid w:val="00535762"/>
    <w:rsid w:val="00535DEF"/>
    <w:rsid w:val="00537069"/>
    <w:rsid w:val="00540025"/>
    <w:rsid w:val="0054015D"/>
    <w:rsid w:val="005412EE"/>
    <w:rsid w:val="00541D23"/>
    <w:rsid w:val="00543557"/>
    <w:rsid w:val="00543D14"/>
    <w:rsid w:val="005444CA"/>
    <w:rsid w:val="00544EE2"/>
    <w:rsid w:val="00544F85"/>
    <w:rsid w:val="005454B8"/>
    <w:rsid w:val="00545565"/>
    <w:rsid w:val="00546038"/>
    <w:rsid w:val="00546343"/>
    <w:rsid w:val="0054687B"/>
    <w:rsid w:val="005477FA"/>
    <w:rsid w:val="00547A44"/>
    <w:rsid w:val="00547C05"/>
    <w:rsid w:val="00550B3C"/>
    <w:rsid w:val="00550C96"/>
    <w:rsid w:val="005518FA"/>
    <w:rsid w:val="00551952"/>
    <w:rsid w:val="00551B51"/>
    <w:rsid w:val="0055215F"/>
    <w:rsid w:val="00552A19"/>
    <w:rsid w:val="00553D3E"/>
    <w:rsid w:val="00553D47"/>
    <w:rsid w:val="0055443C"/>
    <w:rsid w:val="00554990"/>
    <w:rsid w:val="00554AB3"/>
    <w:rsid w:val="00555818"/>
    <w:rsid w:val="00556D8C"/>
    <w:rsid w:val="00556DDB"/>
    <w:rsid w:val="00556E0A"/>
    <w:rsid w:val="0055787B"/>
    <w:rsid w:val="00560B97"/>
    <w:rsid w:val="00560EE4"/>
    <w:rsid w:val="0056126A"/>
    <w:rsid w:val="00562046"/>
    <w:rsid w:val="005639C3"/>
    <w:rsid w:val="005642DC"/>
    <w:rsid w:val="005645DA"/>
    <w:rsid w:val="00564D75"/>
    <w:rsid w:val="005659A3"/>
    <w:rsid w:val="00565B91"/>
    <w:rsid w:val="00565E66"/>
    <w:rsid w:val="00565FB1"/>
    <w:rsid w:val="00566479"/>
    <w:rsid w:val="00566E53"/>
    <w:rsid w:val="005674FB"/>
    <w:rsid w:val="005710E6"/>
    <w:rsid w:val="00571D7C"/>
    <w:rsid w:val="00571FD2"/>
    <w:rsid w:val="0057477A"/>
    <w:rsid w:val="00575360"/>
    <w:rsid w:val="005754AC"/>
    <w:rsid w:val="00576111"/>
    <w:rsid w:val="00576611"/>
    <w:rsid w:val="005800DE"/>
    <w:rsid w:val="005809E3"/>
    <w:rsid w:val="005810FE"/>
    <w:rsid w:val="00581C05"/>
    <w:rsid w:val="005826A4"/>
    <w:rsid w:val="00582A41"/>
    <w:rsid w:val="00582B6E"/>
    <w:rsid w:val="00584270"/>
    <w:rsid w:val="005847BC"/>
    <w:rsid w:val="00584C94"/>
    <w:rsid w:val="00584D21"/>
    <w:rsid w:val="005851D0"/>
    <w:rsid w:val="00585A86"/>
    <w:rsid w:val="005860E4"/>
    <w:rsid w:val="00587B89"/>
    <w:rsid w:val="00587EC3"/>
    <w:rsid w:val="00591F70"/>
    <w:rsid w:val="00592210"/>
    <w:rsid w:val="00592724"/>
    <w:rsid w:val="0059380A"/>
    <w:rsid w:val="00593B36"/>
    <w:rsid w:val="00594524"/>
    <w:rsid w:val="005947D2"/>
    <w:rsid w:val="005965AA"/>
    <w:rsid w:val="00596F5B"/>
    <w:rsid w:val="005976A6"/>
    <w:rsid w:val="005977CE"/>
    <w:rsid w:val="005979F2"/>
    <w:rsid w:val="005A00BC"/>
    <w:rsid w:val="005A053C"/>
    <w:rsid w:val="005A08D8"/>
    <w:rsid w:val="005A08E2"/>
    <w:rsid w:val="005A10AD"/>
    <w:rsid w:val="005A17C1"/>
    <w:rsid w:val="005A42B3"/>
    <w:rsid w:val="005A453B"/>
    <w:rsid w:val="005A485D"/>
    <w:rsid w:val="005A569C"/>
    <w:rsid w:val="005A7B38"/>
    <w:rsid w:val="005B0E97"/>
    <w:rsid w:val="005B1512"/>
    <w:rsid w:val="005B2691"/>
    <w:rsid w:val="005B30FB"/>
    <w:rsid w:val="005B3245"/>
    <w:rsid w:val="005B328A"/>
    <w:rsid w:val="005B6345"/>
    <w:rsid w:val="005B6DD2"/>
    <w:rsid w:val="005B6F56"/>
    <w:rsid w:val="005B6F5A"/>
    <w:rsid w:val="005B709A"/>
    <w:rsid w:val="005B7331"/>
    <w:rsid w:val="005B79EF"/>
    <w:rsid w:val="005B7B2A"/>
    <w:rsid w:val="005C01C6"/>
    <w:rsid w:val="005C0B7A"/>
    <w:rsid w:val="005C0FAB"/>
    <w:rsid w:val="005C2B1C"/>
    <w:rsid w:val="005C3314"/>
    <w:rsid w:val="005C3632"/>
    <w:rsid w:val="005C4125"/>
    <w:rsid w:val="005C4587"/>
    <w:rsid w:val="005C57C8"/>
    <w:rsid w:val="005C6EDC"/>
    <w:rsid w:val="005D126B"/>
    <w:rsid w:val="005D1B3A"/>
    <w:rsid w:val="005D1E11"/>
    <w:rsid w:val="005D1E58"/>
    <w:rsid w:val="005D1FBF"/>
    <w:rsid w:val="005D28DF"/>
    <w:rsid w:val="005D454A"/>
    <w:rsid w:val="005D4821"/>
    <w:rsid w:val="005D4CA4"/>
    <w:rsid w:val="005D5B24"/>
    <w:rsid w:val="005D672F"/>
    <w:rsid w:val="005D67B7"/>
    <w:rsid w:val="005D6894"/>
    <w:rsid w:val="005D750A"/>
    <w:rsid w:val="005D7AC9"/>
    <w:rsid w:val="005E0200"/>
    <w:rsid w:val="005E033A"/>
    <w:rsid w:val="005E0941"/>
    <w:rsid w:val="005E09C7"/>
    <w:rsid w:val="005E1A5B"/>
    <w:rsid w:val="005E231B"/>
    <w:rsid w:val="005E2725"/>
    <w:rsid w:val="005E307C"/>
    <w:rsid w:val="005E36C4"/>
    <w:rsid w:val="005E465F"/>
    <w:rsid w:val="005E54B1"/>
    <w:rsid w:val="005E647A"/>
    <w:rsid w:val="005E654B"/>
    <w:rsid w:val="005E6A86"/>
    <w:rsid w:val="005E6B00"/>
    <w:rsid w:val="005E708C"/>
    <w:rsid w:val="005E712E"/>
    <w:rsid w:val="005E79F5"/>
    <w:rsid w:val="005E7D01"/>
    <w:rsid w:val="005F1919"/>
    <w:rsid w:val="005F1D5C"/>
    <w:rsid w:val="005F1F10"/>
    <w:rsid w:val="005F232F"/>
    <w:rsid w:val="005F321F"/>
    <w:rsid w:val="005F4EBD"/>
    <w:rsid w:val="005F530B"/>
    <w:rsid w:val="005F590F"/>
    <w:rsid w:val="005F623C"/>
    <w:rsid w:val="005F6525"/>
    <w:rsid w:val="005F7BC5"/>
    <w:rsid w:val="006003D7"/>
    <w:rsid w:val="00600BB5"/>
    <w:rsid w:val="006014DB"/>
    <w:rsid w:val="006042FA"/>
    <w:rsid w:val="00605F38"/>
    <w:rsid w:val="0060635D"/>
    <w:rsid w:val="00607924"/>
    <w:rsid w:val="006108EE"/>
    <w:rsid w:val="0061126F"/>
    <w:rsid w:val="006117A5"/>
    <w:rsid w:val="00611C7D"/>
    <w:rsid w:val="00611C8A"/>
    <w:rsid w:val="006121E6"/>
    <w:rsid w:val="00614CD6"/>
    <w:rsid w:val="00615A26"/>
    <w:rsid w:val="00615A2E"/>
    <w:rsid w:val="00615BB8"/>
    <w:rsid w:val="00615C33"/>
    <w:rsid w:val="00620EE4"/>
    <w:rsid w:val="00623A9C"/>
    <w:rsid w:val="0062428C"/>
    <w:rsid w:val="0062429B"/>
    <w:rsid w:val="00624805"/>
    <w:rsid w:val="00625A02"/>
    <w:rsid w:val="00625AE7"/>
    <w:rsid w:val="00627E0B"/>
    <w:rsid w:val="00630161"/>
    <w:rsid w:val="00630415"/>
    <w:rsid w:val="006325C7"/>
    <w:rsid w:val="00633139"/>
    <w:rsid w:val="0063358D"/>
    <w:rsid w:val="006345CE"/>
    <w:rsid w:val="006353B1"/>
    <w:rsid w:val="006354F8"/>
    <w:rsid w:val="00637C2D"/>
    <w:rsid w:val="00640B08"/>
    <w:rsid w:val="00641F45"/>
    <w:rsid w:val="00642CC9"/>
    <w:rsid w:val="00644079"/>
    <w:rsid w:val="00644124"/>
    <w:rsid w:val="0064422E"/>
    <w:rsid w:val="00644768"/>
    <w:rsid w:val="00645926"/>
    <w:rsid w:val="0064648C"/>
    <w:rsid w:val="00646B58"/>
    <w:rsid w:val="00646BEB"/>
    <w:rsid w:val="00646CCB"/>
    <w:rsid w:val="00646E28"/>
    <w:rsid w:val="0065199F"/>
    <w:rsid w:val="006521B2"/>
    <w:rsid w:val="006532B4"/>
    <w:rsid w:val="0065351F"/>
    <w:rsid w:val="00653DAD"/>
    <w:rsid w:val="00656339"/>
    <w:rsid w:val="0065675E"/>
    <w:rsid w:val="00657030"/>
    <w:rsid w:val="006608F1"/>
    <w:rsid w:val="00660B06"/>
    <w:rsid w:val="00660C1B"/>
    <w:rsid w:val="00660E5B"/>
    <w:rsid w:val="0066192D"/>
    <w:rsid w:val="00661FBF"/>
    <w:rsid w:val="00662C01"/>
    <w:rsid w:val="00663874"/>
    <w:rsid w:val="00663B24"/>
    <w:rsid w:val="00664167"/>
    <w:rsid w:val="00664EE2"/>
    <w:rsid w:val="00664EE4"/>
    <w:rsid w:val="00665013"/>
    <w:rsid w:val="00665C01"/>
    <w:rsid w:val="00665D6C"/>
    <w:rsid w:val="0066697F"/>
    <w:rsid w:val="006675A7"/>
    <w:rsid w:val="00667C59"/>
    <w:rsid w:val="0067002C"/>
    <w:rsid w:val="00670AEB"/>
    <w:rsid w:val="00670BB2"/>
    <w:rsid w:val="00670D99"/>
    <w:rsid w:val="00671837"/>
    <w:rsid w:val="00671B35"/>
    <w:rsid w:val="00672D7C"/>
    <w:rsid w:val="00673AF8"/>
    <w:rsid w:val="00673B28"/>
    <w:rsid w:val="00673B93"/>
    <w:rsid w:val="006741D7"/>
    <w:rsid w:val="00674F70"/>
    <w:rsid w:val="00675836"/>
    <w:rsid w:val="00675F43"/>
    <w:rsid w:val="00677315"/>
    <w:rsid w:val="006776CE"/>
    <w:rsid w:val="00677720"/>
    <w:rsid w:val="00680304"/>
    <w:rsid w:val="00680AF4"/>
    <w:rsid w:val="006811EF"/>
    <w:rsid w:val="0068124D"/>
    <w:rsid w:val="00681E06"/>
    <w:rsid w:val="00681F3E"/>
    <w:rsid w:val="00682612"/>
    <w:rsid w:val="0068332B"/>
    <w:rsid w:val="00683A3A"/>
    <w:rsid w:val="00683DF4"/>
    <w:rsid w:val="00683F6B"/>
    <w:rsid w:val="006841B2"/>
    <w:rsid w:val="006851B1"/>
    <w:rsid w:val="0068575A"/>
    <w:rsid w:val="00685792"/>
    <w:rsid w:val="00685C63"/>
    <w:rsid w:val="006863DE"/>
    <w:rsid w:val="00686729"/>
    <w:rsid w:val="00686CDC"/>
    <w:rsid w:val="00687549"/>
    <w:rsid w:val="006879C6"/>
    <w:rsid w:val="00687C33"/>
    <w:rsid w:val="00690292"/>
    <w:rsid w:val="00693567"/>
    <w:rsid w:val="006936A2"/>
    <w:rsid w:val="00693826"/>
    <w:rsid w:val="00694C49"/>
    <w:rsid w:val="00694F01"/>
    <w:rsid w:val="006954FE"/>
    <w:rsid w:val="006955B0"/>
    <w:rsid w:val="006960E4"/>
    <w:rsid w:val="00696202"/>
    <w:rsid w:val="00696451"/>
    <w:rsid w:val="0069745E"/>
    <w:rsid w:val="006974A5"/>
    <w:rsid w:val="00697815"/>
    <w:rsid w:val="00697E55"/>
    <w:rsid w:val="00697F65"/>
    <w:rsid w:val="006A0175"/>
    <w:rsid w:val="006A01AD"/>
    <w:rsid w:val="006A07AD"/>
    <w:rsid w:val="006A1957"/>
    <w:rsid w:val="006A29F4"/>
    <w:rsid w:val="006A2CB0"/>
    <w:rsid w:val="006A3382"/>
    <w:rsid w:val="006A35D9"/>
    <w:rsid w:val="006A38D8"/>
    <w:rsid w:val="006A409E"/>
    <w:rsid w:val="006A42E4"/>
    <w:rsid w:val="006A48A0"/>
    <w:rsid w:val="006A49AE"/>
    <w:rsid w:val="006A4C36"/>
    <w:rsid w:val="006A4E0B"/>
    <w:rsid w:val="006A5922"/>
    <w:rsid w:val="006A5BDE"/>
    <w:rsid w:val="006A72DB"/>
    <w:rsid w:val="006A7FAA"/>
    <w:rsid w:val="006B02B6"/>
    <w:rsid w:val="006B0C53"/>
    <w:rsid w:val="006B0CAA"/>
    <w:rsid w:val="006B12C4"/>
    <w:rsid w:val="006B140F"/>
    <w:rsid w:val="006B1F5F"/>
    <w:rsid w:val="006B1FEE"/>
    <w:rsid w:val="006B22E3"/>
    <w:rsid w:val="006B25FF"/>
    <w:rsid w:val="006B2655"/>
    <w:rsid w:val="006B2E16"/>
    <w:rsid w:val="006B33B9"/>
    <w:rsid w:val="006B3A47"/>
    <w:rsid w:val="006B47E3"/>
    <w:rsid w:val="006B488E"/>
    <w:rsid w:val="006B4A48"/>
    <w:rsid w:val="006B4BB5"/>
    <w:rsid w:val="006B5229"/>
    <w:rsid w:val="006B531B"/>
    <w:rsid w:val="006B670E"/>
    <w:rsid w:val="006B703C"/>
    <w:rsid w:val="006B7D34"/>
    <w:rsid w:val="006B7F0A"/>
    <w:rsid w:val="006C09BD"/>
    <w:rsid w:val="006C120F"/>
    <w:rsid w:val="006C1937"/>
    <w:rsid w:val="006C27E7"/>
    <w:rsid w:val="006C3E88"/>
    <w:rsid w:val="006C4B00"/>
    <w:rsid w:val="006C553A"/>
    <w:rsid w:val="006C5A9C"/>
    <w:rsid w:val="006C5FB5"/>
    <w:rsid w:val="006C62C2"/>
    <w:rsid w:val="006C66F7"/>
    <w:rsid w:val="006C6985"/>
    <w:rsid w:val="006C76BF"/>
    <w:rsid w:val="006D0EA1"/>
    <w:rsid w:val="006D1D39"/>
    <w:rsid w:val="006D247B"/>
    <w:rsid w:val="006D2641"/>
    <w:rsid w:val="006D3A34"/>
    <w:rsid w:val="006D47E5"/>
    <w:rsid w:val="006D5035"/>
    <w:rsid w:val="006D5977"/>
    <w:rsid w:val="006D5CC1"/>
    <w:rsid w:val="006D64BD"/>
    <w:rsid w:val="006D670E"/>
    <w:rsid w:val="006D749F"/>
    <w:rsid w:val="006D7971"/>
    <w:rsid w:val="006D7E3B"/>
    <w:rsid w:val="006E075F"/>
    <w:rsid w:val="006E0F7E"/>
    <w:rsid w:val="006E10A3"/>
    <w:rsid w:val="006E20FB"/>
    <w:rsid w:val="006E23CE"/>
    <w:rsid w:val="006E2C5D"/>
    <w:rsid w:val="006E2F60"/>
    <w:rsid w:val="006E30F9"/>
    <w:rsid w:val="006E37D9"/>
    <w:rsid w:val="006E3A3C"/>
    <w:rsid w:val="006E3AB7"/>
    <w:rsid w:val="006E573E"/>
    <w:rsid w:val="006E6BE5"/>
    <w:rsid w:val="006E7A2C"/>
    <w:rsid w:val="006E7AC6"/>
    <w:rsid w:val="006F0DC7"/>
    <w:rsid w:val="006F2037"/>
    <w:rsid w:val="006F3688"/>
    <w:rsid w:val="006F6F59"/>
    <w:rsid w:val="006F7A1B"/>
    <w:rsid w:val="006F7B4D"/>
    <w:rsid w:val="00700CFE"/>
    <w:rsid w:val="0070166C"/>
    <w:rsid w:val="0070179E"/>
    <w:rsid w:val="00701C90"/>
    <w:rsid w:val="0070369F"/>
    <w:rsid w:val="0070413A"/>
    <w:rsid w:val="00704DDE"/>
    <w:rsid w:val="00704F07"/>
    <w:rsid w:val="007057DA"/>
    <w:rsid w:val="007064A9"/>
    <w:rsid w:val="00706BF8"/>
    <w:rsid w:val="00706F65"/>
    <w:rsid w:val="00713786"/>
    <w:rsid w:val="00714375"/>
    <w:rsid w:val="007150E0"/>
    <w:rsid w:val="0071546D"/>
    <w:rsid w:val="0071570C"/>
    <w:rsid w:val="00716231"/>
    <w:rsid w:val="00716581"/>
    <w:rsid w:val="0071668F"/>
    <w:rsid w:val="00717952"/>
    <w:rsid w:val="00720741"/>
    <w:rsid w:val="00721CDE"/>
    <w:rsid w:val="0072397A"/>
    <w:rsid w:val="00723A46"/>
    <w:rsid w:val="00723F5C"/>
    <w:rsid w:val="007248A2"/>
    <w:rsid w:val="00725BD0"/>
    <w:rsid w:val="007260FC"/>
    <w:rsid w:val="00726990"/>
    <w:rsid w:val="00726C7F"/>
    <w:rsid w:val="00727E80"/>
    <w:rsid w:val="007300B0"/>
    <w:rsid w:val="00730C03"/>
    <w:rsid w:val="007318FD"/>
    <w:rsid w:val="00731FF9"/>
    <w:rsid w:val="00732C61"/>
    <w:rsid w:val="0073344D"/>
    <w:rsid w:val="00733DDC"/>
    <w:rsid w:val="00735043"/>
    <w:rsid w:val="0073551E"/>
    <w:rsid w:val="00735886"/>
    <w:rsid w:val="007369F5"/>
    <w:rsid w:val="00736BF7"/>
    <w:rsid w:val="0073763A"/>
    <w:rsid w:val="0073783F"/>
    <w:rsid w:val="0074005B"/>
    <w:rsid w:val="00741379"/>
    <w:rsid w:val="00741518"/>
    <w:rsid w:val="0074192F"/>
    <w:rsid w:val="00741B56"/>
    <w:rsid w:val="00741C93"/>
    <w:rsid w:val="00741EFF"/>
    <w:rsid w:val="007432EA"/>
    <w:rsid w:val="00743517"/>
    <w:rsid w:val="00744442"/>
    <w:rsid w:val="00745253"/>
    <w:rsid w:val="007456C0"/>
    <w:rsid w:val="00745AA1"/>
    <w:rsid w:val="00745BB9"/>
    <w:rsid w:val="0074643A"/>
    <w:rsid w:val="0074697D"/>
    <w:rsid w:val="00747049"/>
    <w:rsid w:val="00747412"/>
    <w:rsid w:val="00747972"/>
    <w:rsid w:val="00747D83"/>
    <w:rsid w:val="007509EF"/>
    <w:rsid w:val="00750D6E"/>
    <w:rsid w:val="00751ADB"/>
    <w:rsid w:val="00751E60"/>
    <w:rsid w:val="0075254F"/>
    <w:rsid w:val="0075463B"/>
    <w:rsid w:val="00754F83"/>
    <w:rsid w:val="007555E4"/>
    <w:rsid w:val="00756074"/>
    <w:rsid w:val="00756F56"/>
    <w:rsid w:val="00757C04"/>
    <w:rsid w:val="00757CCB"/>
    <w:rsid w:val="007612AA"/>
    <w:rsid w:val="0076179F"/>
    <w:rsid w:val="00761866"/>
    <w:rsid w:val="007619FB"/>
    <w:rsid w:val="00761BE9"/>
    <w:rsid w:val="007626BD"/>
    <w:rsid w:val="00765666"/>
    <w:rsid w:val="007657DA"/>
    <w:rsid w:val="00766053"/>
    <w:rsid w:val="00766FA8"/>
    <w:rsid w:val="007703FE"/>
    <w:rsid w:val="00770B14"/>
    <w:rsid w:val="00771928"/>
    <w:rsid w:val="00771B62"/>
    <w:rsid w:val="007720C7"/>
    <w:rsid w:val="00773A4D"/>
    <w:rsid w:val="00773AFA"/>
    <w:rsid w:val="0077449D"/>
    <w:rsid w:val="00774A2E"/>
    <w:rsid w:val="00780CD9"/>
    <w:rsid w:val="00780E7C"/>
    <w:rsid w:val="0078270A"/>
    <w:rsid w:val="00782FD6"/>
    <w:rsid w:val="00783AA6"/>
    <w:rsid w:val="00783BE7"/>
    <w:rsid w:val="00783EC5"/>
    <w:rsid w:val="007856F9"/>
    <w:rsid w:val="0078571B"/>
    <w:rsid w:val="00785D24"/>
    <w:rsid w:val="007865C4"/>
    <w:rsid w:val="00787650"/>
    <w:rsid w:val="00787B67"/>
    <w:rsid w:val="00790169"/>
    <w:rsid w:val="007913AE"/>
    <w:rsid w:val="0079247D"/>
    <w:rsid w:val="007928E4"/>
    <w:rsid w:val="00793A0F"/>
    <w:rsid w:val="00796E2A"/>
    <w:rsid w:val="007A05E0"/>
    <w:rsid w:val="007A0C45"/>
    <w:rsid w:val="007A1061"/>
    <w:rsid w:val="007A10F2"/>
    <w:rsid w:val="007A2386"/>
    <w:rsid w:val="007A3F59"/>
    <w:rsid w:val="007A3F71"/>
    <w:rsid w:val="007A4712"/>
    <w:rsid w:val="007A703C"/>
    <w:rsid w:val="007A70ED"/>
    <w:rsid w:val="007B015F"/>
    <w:rsid w:val="007B0ECE"/>
    <w:rsid w:val="007B1EC1"/>
    <w:rsid w:val="007B3A08"/>
    <w:rsid w:val="007B4552"/>
    <w:rsid w:val="007B57F7"/>
    <w:rsid w:val="007B5E79"/>
    <w:rsid w:val="007B63C0"/>
    <w:rsid w:val="007B6AE5"/>
    <w:rsid w:val="007B6CE6"/>
    <w:rsid w:val="007B7A72"/>
    <w:rsid w:val="007B7EA9"/>
    <w:rsid w:val="007B7F48"/>
    <w:rsid w:val="007C0C22"/>
    <w:rsid w:val="007C224F"/>
    <w:rsid w:val="007C2AA9"/>
    <w:rsid w:val="007C2EFE"/>
    <w:rsid w:val="007C31F6"/>
    <w:rsid w:val="007C3D21"/>
    <w:rsid w:val="007C4906"/>
    <w:rsid w:val="007C4AA7"/>
    <w:rsid w:val="007C4CD5"/>
    <w:rsid w:val="007C505A"/>
    <w:rsid w:val="007C5632"/>
    <w:rsid w:val="007C5A3A"/>
    <w:rsid w:val="007C5AA4"/>
    <w:rsid w:val="007C5D27"/>
    <w:rsid w:val="007C6900"/>
    <w:rsid w:val="007C786E"/>
    <w:rsid w:val="007C7F40"/>
    <w:rsid w:val="007D03F9"/>
    <w:rsid w:val="007D0D37"/>
    <w:rsid w:val="007D0DF3"/>
    <w:rsid w:val="007D24BF"/>
    <w:rsid w:val="007D273A"/>
    <w:rsid w:val="007D274D"/>
    <w:rsid w:val="007D278B"/>
    <w:rsid w:val="007D2B30"/>
    <w:rsid w:val="007D45B8"/>
    <w:rsid w:val="007D4860"/>
    <w:rsid w:val="007D4885"/>
    <w:rsid w:val="007D4E72"/>
    <w:rsid w:val="007D6970"/>
    <w:rsid w:val="007E0C4D"/>
    <w:rsid w:val="007E0FF4"/>
    <w:rsid w:val="007E19BF"/>
    <w:rsid w:val="007E1A2D"/>
    <w:rsid w:val="007E3DE8"/>
    <w:rsid w:val="007E4194"/>
    <w:rsid w:val="007E45E0"/>
    <w:rsid w:val="007E49AE"/>
    <w:rsid w:val="007E4D5B"/>
    <w:rsid w:val="007E4D96"/>
    <w:rsid w:val="007E4DFA"/>
    <w:rsid w:val="007E4EAF"/>
    <w:rsid w:val="007E5712"/>
    <w:rsid w:val="007E5AA3"/>
    <w:rsid w:val="007E6098"/>
    <w:rsid w:val="007E71B3"/>
    <w:rsid w:val="007E7615"/>
    <w:rsid w:val="007E7B27"/>
    <w:rsid w:val="007F0441"/>
    <w:rsid w:val="007F2FD1"/>
    <w:rsid w:val="007F45BE"/>
    <w:rsid w:val="007F4620"/>
    <w:rsid w:val="007F4B0E"/>
    <w:rsid w:val="007F4C67"/>
    <w:rsid w:val="007F52DF"/>
    <w:rsid w:val="007F5C8E"/>
    <w:rsid w:val="007F67F8"/>
    <w:rsid w:val="00800658"/>
    <w:rsid w:val="00801357"/>
    <w:rsid w:val="00801EB4"/>
    <w:rsid w:val="00802D21"/>
    <w:rsid w:val="00804137"/>
    <w:rsid w:val="00804285"/>
    <w:rsid w:val="00804C56"/>
    <w:rsid w:val="0080506B"/>
    <w:rsid w:val="00805370"/>
    <w:rsid w:val="008067E0"/>
    <w:rsid w:val="00806EE5"/>
    <w:rsid w:val="008103B5"/>
    <w:rsid w:val="00813BC7"/>
    <w:rsid w:val="0081594D"/>
    <w:rsid w:val="00815B55"/>
    <w:rsid w:val="00815C56"/>
    <w:rsid w:val="00816250"/>
    <w:rsid w:val="00816AE5"/>
    <w:rsid w:val="0081723C"/>
    <w:rsid w:val="00817711"/>
    <w:rsid w:val="00820522"/>
    <w:rsid w:val="00820AC0"/>
    <w:rsid w:val="00821544"/>
    <w:rsid w:val="008215CB"/>
    <w:rsid w:val="00821660"/>
    <w:rsid w:val="008218A6"/>
    <w:rsid w:val="0082272D"/>
    <w:rsid w:val="008227E3"/>
    <w:rsid w:val="008236B6"/>
    <w:rsid w:val="00823B78"/>
    <w:rsid w:val="00823D73"/>
    <w:rsid w:val="008240C2"/>
    <w:rsid w:val="00824225"/>
    <w:rsid w:val="00824428"/>
    <w:rsid w:val="00824ABE"/>
    <w:rsid w:val="008255BA"/>
    <w:rsid w:val="00825F0C"/>
    <w:rsid w:val="00826E27"/>
    <w:rsid w:val="00826EFD"/>
    <w:rsid w:val="008270C2"/>
    <w:rsid w:val="00827615"/>
    <w:rsid w:val="00827776"/>
    <w:rsid w:val="00830492"/>
    <w:rsid w:val="00830AED"/>
    <w:rsid w:val="008329E9"/>
    <w:rsid w:val="00832C00"/>
    <w:rsid w:val="008338DD"/>
    <w:rsid w:val="00834DE7"/>
    <w:rsid w:val="0083522C"/>
    <w:rsid w:val="008355D8"/>
    <w:rsid w:val="00835AC1"/>
    <w:rsid w:val="008367FD"/>
    <w:rsid w:val="00836B07"/>
    <w:rsid w:val="0084018A"/>
    <w:rsid w:val="00841383"/>
    <w:rsid w:val="008416EC"/>
    <w:rsid w:val="008425EF"/>
    <w:rsid w:val="008427F7"/>
    <w:rsid w:val="008429B9"/>
    <w:rsid w:val="00842A3D"/>
    <w:rsid w:val="00843761"/>
    <w:rsid w:val="008446B6"/>
    <w:rsid w:val="00844A8D"/>
    <w:rsid w:val="0084540C"/>
    <w:rsid w:val="00846435"/>
    <w:rsid w:val="00847521"/>
    <w:rsid w:val="0084775A"/>
    <w:rsid w:val="00850323"/>
    <w:rsid w:val="00850874"/>
    <w:rsid w:val="00850CE9"/>
    <w:rsid w:val="00851001"/>
    <w:rsid w:val="008537D4"/>
    <w:rsid w:val="00855618"/>
    <w:rsid w:val="0085593E"/>
    <w:rsid w:val="00855AAA"/>
    <w:rsid w:val="00856168"/>
    <w:rsid w:val="00856F93"/>
    <w:rsid w:val="00857114"/>
    <w:rsid w:val="0086039B"/>
    <w:rsid w:val="008608B6"/>
    <w:rsid w:val="00860F3C"/>
    <w:rsid w:val="00861146"/>
    <w:rsid w:val="00861399"/>
    <w:rsid w:val="00862ECE"/>
    <w:rsid w:val="0086354A"/>
    <w:rsid w:val="008637CA"/>
    <w:rsid w:val="00864057"/>
    <w:rsid w:val="008646DF"/>
    <w:rsid w:val="00864BF5"/>
    <w:rsid w:val="00867175"/>
    <w:rsid w:val="00867DAD"/>
    <w:rsid w:val="0087012E"/>
    <w:rsid w:val="008702A6"/>
    <w:rsid w:val="008711F2"/>
    <w:rsid w:val="00872768"/>
    <w:rsid w:val="00872D74"/>
    <w:rsid w:val="00872DCC"/>
    <w:rsid w:val="0087300E"/>
    <w:rsid w:val="00873027"/>
    <w:rsid w:val="0087317C"/>
    <w:rsid w:val="00873B6A"/>
    <w:rsid w:val="00874155"/>
    <w:rsid w:val="0087498C"/>
    <w:rsid w:val="008749EA"/>
    <w:rsid w:val="0087525C"/>
    <w:rsid w:val="00875432"/>
    <w:rsid w:val="008754C8"/>
    <w:rsid w:val="00875E33"/>
    <w:rsid w:val="00876282"/>
    <w:rsid w:val="0087684C"/>
    <w:rsid w:val="008778F3"/>
    <w:rsid w:val="008802FC"/>
    <w:rsid w:val="008808D8"/>
    <w:rsid w:val="00880C48"/>
    <w:rsid w:val="00880F2D"/>
    <w:rsid w:val="008812F3"/>
    <w:rsid w:val="00881A77"/>
    <w:rsid w:val="00881DDE"/>
    <w:rsid w:val="00882945"/>
    <w:rsid w:val="00883B74"/>
    <w:rsid w:val="00883D71"/>
    <w:rsid w:val="00886573"/>
    <w:rsid w:val="00886FCD"/>
    <w:rsid w:val="008872DC"/>
    <w:rsid w:val="0088764A"/>
    <w:rsid w:val="00887C5F"/>
    <w:rsid w:val="0089070D"/>
    <w:rsid w:val="00890A53"/>
    <w:rsid w:val="00891E82"/>
    <w:rsid w:val="008922D8"/>
    <w:rsid w:val="008925E0"/>
    <w:rsid w:val="00892BA5"/>
    <w:rsid w:val="008938A4"/>
    <w:rsid w:val="00893E42"/>
    <w:rsid w:val="00894ECB"/>
    <w:rsid w:val="00895C2D"/>
    <w:rsid w:val="0089605C"/>
    <w:rsid w:val="00897372"/>
    <w:rsid w:val="008A2C93"/>
    <w:rsid w:val="008A4E00"/>
    <w:rsid w:val="008A56BD"/>
    <w:rsid w:val="008A5FA4"/>
    <w:rsid w:val="008A6619"/>
    <w:rsid w:val="008A69C9"/>
    <w:rsid w:val="008A6ADE"/>
    <w:rsid w:val="008A6D39"/>
    <w:rsid w:val="008A7591"/>
    <w:rsid w:val="008B0B9E"/>
    <w:rsid w:val="008B1293"/>
    <w:rsid w:val="008B1642"/>
    <w:rsid w:val="008B1B8A"/>
    <w:rsid w:val="008B29AD"/>
    <w:rsid w:val="008B4011"/>
    <w:rsid w:val="008B4106"/>
    <w:rsid w:val="008B422E"/>
    <w:rsid w:val="008B429B"/>
    <w:rsid w:val="008B49AF"/>
    <w:rsid w:val="008B4BB7"/>
    <w:rsid w:val="008B7172"/>
    <w:rsid w:val="008B75C7"/>
    <w:rsid w:val="008B78D9"/>
    <w:rsid w:val="008C01FD"/>
    <w:rsid w:val="008C02ED"/>
    <w:rsid w:val="008C0E05"/>
    <w:rsid w:val="008C0EC4"/>
    <w:rsid w:val="008C10BE"/>
    <w:rsid w:val="008C2868"/>
    <w:rsid w:val="008C2A1D"/>
    <w:rsid w:val="008C2FE9"/>
    <w:rsid w:val="008C3394"/>
    <w:rsid w:val="008C3658"/>
    <w:rsid w:val="008C3EC4"/>
    <w:rsid w:val="008C3F3C"/>
    <w:rsid w:val="008C49EC"/>
    <w:rsid w:val="008C4B84"/>
    <w:rsid w:val="008C6A51"/>
    <w:rsid w:val="008C6E51"/>
    <w:rsid w:val="008D138D"/>
    <w:rsid w:val="008D1B58"/>
    <w:rsid w:val="008D1F0A"/>
    <w:rsid w:val="008D29EF"/>
    <w:rsid w:val="008D2A7F"/>
    <w:rsid w:val="008D2F73"/>
    <w:rsid w:val="008D3DA9"/>
    <w:rsid w:val="008D3E9A"/>
    <w:rsid w:val="008D45FC"/>
    <w:rsid w:val="008D5CBA"/>
    <w:rsid w:val="008D744B"/>
    <w:rsid w:val="008E0D26"/>
    <w:rsid w:val="008E1D82"/>
    <w:rsid w:val="008E2181"/>
    <w:rsid w:val="008E21AE"/>
    <w:rsid w:val="008E2EDB"/>
    <w:rsid w:val="008E311D"/>
    <w:rsid w:val="008E35EB"/>
    <w:rsid w:val="008E42AE"/>
    <w:rsid w:val="008E46A6"/>
    <w:rsid w:val="008E474D"/>
    <w:rsid w:val="008E4D7B"/>
    <w:rsid w:val="008E510F"/>
    <w:rsid w:val="008E56A7"/>
    <w:rsid w:val="008E5973"/>
    <w:rsid w:val="008E5A67"/>
    <w:rsid w:val="008E5A90"/>
    <w:rsid w:val="008E681A"/>
    <w:rsid w:val="008E732C"/>
    <w:rsid w:val="008E777D"/>
    <w:rsid w:val="008F0C20"/>
    <w:rsid w:val="008F170E"/>
    <w:rsid w:val="008F1DB7"/>
    <w:rsid w:val="008F263F"/>
    <w:rsid w:val="008F5B67"/>
    <w:rsid w:val="008F6E60"/>
    <w:rsid w:val="008F7329"/>
    <w:rsid w:val="008F76CC"/>
    <w:rsid w:val="008F794A"/>
    <w:rsid w:val="00903446"/>
    <w:rsid w:val="00903B1C"/>
    <w:rsid w:val="009077E7"/>
    <w:rsid w:val="009100C1"/>
    <w:rsid w:val="0091029F"/>
    <w:rsid w:val="00910948"/>
    <w:rsid w:val="00910AA5"/>
    <w:rsid w:val="00910B90"/>
    <w:rsid w:val="00911456"/>
    <w:rsid w:val="00911AE9"/>
    <w:rsid w:val="009133FC"/>
    <w:rsid w:val="009143D9"/>
    <w:rsid w:val="009147B3"/>
    <w:rsid w:val="009169F4"/>
    <w:rsid w:val="009171C5"/>
    <w:rsid w:val="00917FB9"/>
    <w:rsid w:val="00920393"/>
    <w:rsid w:val="00920B87"/>
    <w:rsid w:val="0092154F"/>
    <w:rsid w:val="009223B2"/>
    <w:rsid w:val="00922C9F"/>
    <w:rsid w:val="00923126"/>
    <w:rsid w:val="00923261"/>
    <w:rsid w:val="00923A7F"/>
    <w:rsid w:val="00924410"/>
    <w:rsid w:val="00924546"/>
    <w:rsid w:val="00924873"/>
    <w:rsid w:val="00925052"/>
    <w:rsid w:val="00925DAF"/>
    <w:rsid w:val="00926263"/>
    <w:rsid w:val="009262E9"/>
    <w:rsid w:val="009267D8"/>
    <w:rsid w:val="0092695C"/>
    <w:rsid w:val="00926BDC"/>
    <w:rsid w:val="00926D50"/>
    <w:rsid w:val="00930227"/>
    <w:rsid w:val="00931041"/>
    <w:rsid w:val="0093112A"/>
    <w:rsid w:val="009316BF"/>
    <w:rsid w:val="00931ACB"/>
    <w:rsid w:val="009323B9"/>
    <w:rsid w:val="00932D57"/>
    <w:rsid w:val="00932F88"/>
    <w:rsid w:val="009334CB"/>
    <w:rsid w:val="00933889"/>
    <w:rsid w:val="009358FD"/>
    <w:rsid w:val="0093685C"/>
    <w:rsid w:val="00936CD4"/>
    <w:rsid w:val="0093747B"/>
    <w:rsid w:val="00937ADD"/>
    <w:rsid w:val="00937B20"/>
    <w:rsid w:val="0094020D"/>
    <w:rsid w:val="009408AC"/>
    <w:rsid w:val="009409DE"/>
    <w:rsid w:val="0094232B"/>
    <w:rsid w:val="00942EEB"/>
    <w:rsid w:val="00943993"/>
    <w:rsid w:val="00943DBD"/>
    <w:rsid w:val="009440F9"/>
    <w:rsid w:val="00944DBA"/>
    <w:rsid w:val="0094564A"/>
    <w:rsid w:val="00945728"/>
    <w:rsid w:val="00945F5F"/>
    <w:rsid w:val="009466A0"/>
    <w:rsid w:val="0094685F"/>
    <w:rsid w:val="00946C22"/>
    <w:rsid w:val="00946DD6"/>
    <w:rsid w:val="009472B2"/>
    <w:rsid w:val="00950AF3"/>
    <w:rsid w:val="009515F5"/>
    <w:rsid w:val="00952669"/>
    <w:rsid w:val="00952AC3"/>
    <w:rsid w:val="009532DF"/>
    <w:rsid w:val="00953431"/>
    <w:rsid w:val="0095348C"/>
    <w:rsid w:val="009534F1"/>
    <w:rsid w:val="00954629"/>
    <w:rsid w:val="00954D33"/>
    <w:rsid w:val="0095511A"/>
    <w:rsid w:val="00955BC3"/>
    <w:rsid w:val="0095616F"/>
    <w:rsid w:val="00956E34"/>
    <w:rsid w:val="009571A3"/>
    <w:rsid w:val="009614B1"/>
    <w:rsid w:val="00961F83"/>
    <w:rsid w:val="0096340A"/>
    <w:rsid w:val="00963E79"/>
    <w:rsid w:val="00965ABF"/>
    <w:rsid w:val="00965E11"/>
    <w:rsid w:val="0097064A"/>
    <w:rsid w:val="00970C52"/>
    <w:rsid w:val="00970C88"/>
    <w:rsid w:val="00972321"/>
    <w:rsid w:val="00972F12"/>
    <w:rsid w:val="0097469A"/>
    <w:rsid w:val="00975A7B"/>
    <w:rsid w:val="00976F29"/>
    <w:rsid w:val="0097761F"/>
    <w:rsid w:val="00980380"/>
    <w:rsid w:val="00980FC1"/>
    <w:rsid w:val="00982031"/>
    <w:rsid w:val="00983408"/>
    <w:rsid w:val="00983CC6"/>
    <w:rsid w:val="00984903"/>
    <w:rsid w:val="00984BDD"/>
    <w:rsid w:val="00984CDA"/>
    <w:rsid w:val="00984F9C"/>
    <w:rsid w:val="009862CF"/>
    <w:rsid w:val="00986C7D"/>
    <w:rsid w:val="00986E75"/>
    <w:rsid w:val="00987995"/>
    <w:rsid w:val="00990909"/>
    <w:rsid w:val="00990DAE"/>
    <w:rsid w:val="00991978"/>
    <w:rsid w:val="0099252A"/>
    <w:rsid w:val="00993824"/>
    <w:rsid w:val="00994C63"/>
    <w:rsid w:val="00995BA0"/>
    <w:rsid w:val="009965F7"/>
    <w:rsid w:val="0099662F"/>
    <w:rsid w:val="00997556"/>
    <w:rsid w:val="009A04D3"/>
    <w:rsid w:val="009A0778"/>
    <w:rsid w:val="009A07BE"/>
    <w:rsid w:val="009A23D0"/>
    <w:rsid w:val="009A55A8"/>
    <w:rsid w:val="009A5616"/>
    <w:rsid w:val="009A59C2"/>
    <w:rsid w:val="009A59DD"/>
    <w:rsid w:val="009A6C67"/>
    <w:rsid w:val="009A766B"/>
    <w:rsid w:val="009A77C5"/>
    <w:rsid w:val="009A799A"/>
    <w:rsid w:val="009B03FC"/>
    <w:rsid w:val="009B065A"/>
    <w:rsid w:val="009B0D5F"/>
    <w:rsid w:val="009B10C7"/>
    <w:rsid w:val="009B1CF6"/>
    <w:rsid w:val="009B2260"/>
    <w:rsid w:val="009B2491"/>
    <w:rsid w:val="009B3573"/>
    <w:rsid w:val="009B3B52"/>
    <w:rsid w:val="009B48DA"/>
    <w:rsid w:val="009B505B"/>
    <w:rsid w:val="009B6659"/>
    <w:rsid w:val="009B7888"/>
    <w:rsid w:val="009B79E4"/>
    <w:rsid w:val="009C0B67"/>
    <w:rsid w:val="009C0DCA"/>
    <w:rsid w:val="009C16E3"/>
    <w:rsid w:val="009C1739"/>
    <w:rsid w:val="009C1C9C"/>
    <w:rsid w:val="009C2838"/>
    <w:rsid w:val="009C3C63"/>
    <w:rsid w:val="009C47F4"/>
    <w:rsid w:val="009C48B3"/>
    <w:rsid w:val="009C4911"/>
    <w:rsid w:val="009C5600"/>
    <w:rsid w:val="009C5796"/>
    <w:rsid w:val="009C6442"/>
    <w:rsid w:val="009C65D5"/>
    <w:rsid w:val="009C6B72"/>
    <w:rsid w:val="009C7188"/>
    <w:rsid w:val="009C7568"/>
    <w:rsid w:val="009C7865"/>
    <w:rsid w:val="009D00D8"/>
    <w:rsid w:val="009D1334"/>
    <w:rsid w:val="009D1C72"/>
    <w:rsid w:val="009D1D9C"/>
    <w:rsid w:val="009D21A2"/>
    <w:rsid w:val="009D24D4"/>
    <w:rsid w:val="009D2521"/>
    <w:rsid w:val="009D27B2"/>
    <w:rsid w:val="009D2D08"/>
    <w:rsid w:val="009D2ED5"/>
    <w:rsid w:val="009D4F3F"/>
    <w:rsid w:val="009D5DDE"/>
    <w:rsid w:val="009D61A5"/>
    <w:rsid w:val="009D66DE"/>
    <w:rsid w:val="009D71C7"/>
    <w:rsid w:val="009D79B4"/>
    <w:rsid w:val="009D7E26"/>
    <w:rsid w:val="009D7E68"/>
    <w:rsid w:val="009E042D"/>
    <w:rsid w:val="009E06AB"/>
    <w:rsid w:val="009E1DEB"/>
    <w:rsid w:val="009E2896"/>
    <w:rsid w:val="009E3160"/>
    <w:rsid w:val="009E404C"/>
    <w:rsid w:val="009E5536"/>
    <w:rsid w:val="009E56BA"/>
    <w:rsid w:val="009E5B96"/>
    <w:rsid w:val="009E61C7"/>
    <w:rsid w:val="009E63AF"/>
    <w:rsid w:val="009E6D5E"/>
    <w:rsid w:val="009E7008"/>
    <w:rsid w:val="009E769C"/>
    <w:rsid w:val="009F0401"/>
    <w:rsid w:val="009F0E77"/>
    <w:rsid w:val="009F0E8A"/>
    <w:rsid w:val="009F1367"/>
    <w:rsid w:val="009F1410"/>
    <w:rsid w:val="009F1462"/>
    <w:rsid w:val="009F1B26"/>
    <w:rsid w:val="009F1DC9"/>
    <w:rsid w:val="009F2F2A"/>
    <w:rsid w:val="009F3BE9"/>
    <w:rsid w:val="009F58A7"/>
    <w:rsid w:val="009F61D7"/>
    <w:rsid w:val="009F6358"/>
    <w:rsid w:val="009F75CE"/>
    <w:rsid w:val="009F790B"/>
    <w:rsid w:val="009F7DA3"/>
    <w:rsid w:val="00A0095D"/>
    <w:rsid w:val="00A00976"/>
    <w:rsid w:val="00A00AC7"/>
    <w:rsid w:val="00A00B1B"/>
    <w:rsid w:val="00A01847"/>
    <w:rsid w:val="00A020DC"/>
    <w:rsid w:val="00A02FF4"/>
    <w:rsid w:val="00A033E6"/>
    <w:rsid w:val="00A0406E"/>
    <w:rsid w:val="00A04C6C"/>
    <w:rsid w:val="00A05436"/>
    <w:rsid w:val="00A062D6"/>
    <w:rsid w:val="00A06924"/>
    <w:rsid w:val="00A07C15"/>
    <w:rsid w:val="00A104A5"/>
    <w:rsid w:val="00A112FF"/>
    <w:rsid w:val="00A12893"/>
    <w:rsid w:val="00A12B32"/>
    <w:rsid w:val="00A13881"/>
    <w:rsid w:val="00A13E52"/>
    <w:rsid w:val="00A14D04"/>
    <w:rsid w:val="00A15766"/>
    <w:rsid w:val="00A16E61"/>
    <w:rsid w:val="00A17B22"/>
    <w:rsid w:val="00A2064B"/>
    <w:rsid w:val="00A20B06"/>
    <w:rsid w:val="00A211B8"/>
    <w:rsid w:val="00A21E94"/>
    <w:rsid w:val="00A2325F"/>
    <w:rsid w:val="00A235A2"/>
    <w:rsid w:val="00A23749"/>
    <w:rsid w:val="00A24359"/>
    <w:rsid w:val="00A24594"/>
    <w:rsid w:val="00A25CCE"/>
    <w:rsid w:val="00A27AE0"/>
    <w:rsid w:val="00A30ED6"/>
    <w:rsid w:val="00A311E1"/>
    <w:rsid w:val="00A31DCE"/>
    <w:rsid w:val="00A33DEB"/>
    <w:rsid w:val="00A3401E"/>
    <w:rsid w:val="00A3445F"/>
    <w:rsid w:val="00A3507E"/>
    <w:rsid w:val="00A35471"/>
    <w:rsid w:val="00A35C4F"/>
    <w:rsid w:val="00A3610D"/>
    <w:rsid w:val="00A36880"/>
    <w:rsid w:val="00A36C44"/>
    <w:rsid w:val="00A377E9"/>
    <w:rsid w:val="00A40A4A"/>
    <w:rsid w:val="00A40E64"/>
    <w:rsid w:val="00A415C2"/>
    <w:rsid w:val="00A42685"/>
    <w:rsid w:val="00A42B99"/>
    <w:rsid w:val="00A4304F"/>
    <w:rsid w:val="00A439DD"/>
    <w:rsid w:val="00A43AC6"/>
    <w:rsid w:val="00A43B1E"/>
    <w:rsid w:val="00A447F7"/>
    <w:rsid w:val="00A44D01"/>
    <w:rsid w:val="00A44F96"/>
    <w:rsid w:val="00A452A0"/>
    <w:rsid w:val="00A45F9C"/>
    <w:rsid w:val="00A46B1A"/>
    <w:rsid w:val="00A46E38"/>
    <w:rsid w:val="00A50737"/>
    <w:rsid w:val="00A5104D"/>
    <w:rsid w:val="00A51B26"/>
    <w:rsid w:val="00A51CC4"/>
    <w:rsid w:val="00A51F48"/>
    <w:rsid w:val="00A5281F"/>
    <w:rsid w:val="00A52935"/>
    <w:rsid w:val="00A53466"/>
    <w:rsid w:val="00A536F5"/>
    <w:rsid w:val="00A53D38"/>
    <w:rsid w:val="00A543BF"/>
    <w:rsid w:val="00A544D8"/>
    <w:rsid w:val="00A54787"/>
    <w:rsid w:val="00A54BE6"/>
    <w:rsid w:val="00A55239"/>
    <w:rsid w:val="00A56355"/>
    <w:rsid w:val="00A565C8"/>
    <w:rsid w:val="00A57351"/>
    <w:rsid w:val="00A57E6E"/>
    <w:rsid w:val="00A609DC"/>
    <w:rsid w:val="00A60CC6"/>
    <w:rsid w:val="00A60E09"/>
    <w:rsid w:val="00A61388"/>
    <w:rsid w:val="00A61AA8"/>
    <w:rsid w:val="00A61CE3"/>
    <w:rsid w:val="00A630D2"/>
    <w:rsid w:val="00A6335C"/>
    <w:rsid w:val="00A6445E"/>
    <w:rsid w:val="00A644BD"/>
    <w:rsid w:val="00A64FAE"/>
    <w:rsid w:val="00A65287"/>
    <w:rsid w:val="00A65746"/>
    <w:rsid w:val="00A65755"/>
    <w:rsid w:val="00A673AB"/>
    <w:rsid w:val="00A67AEE"/>
    <w:rsid w:val="00A70085"/>
    <w:rsid w:val="00A70B72"/>
    <w:rsid w:val="00A73508"/>
    <w:rsid w:val="00A74965"/>
    <w:rsid w:val="00A7712E"/>
    <w:rsid w:val="00A7741B"/>
    <w:rsid w:val="00A77C3D"/>
    <w:rsid w:val="00A80A0E"/>
    <w:rsid w:val="00A8127B"/>
    <w:rsid w:val="00A81C67"/>
    <w:rsid w:val="00A81DE9"/>
    <w:rsid w:val="00A81FF7"/>
    <w:rsid w:val="00A822EC"/>
    <w:rsid w:val="00A835F5"/>
    <w:rsid w:val="00A836A9"/>
    <w:rsid w:val="00A8507C"/>
    <w:rsid w:val="00A852C4"/>
    <w:rsid w:val="00A85519"/>
    <w:rsid w:val="00A867E6"/>
    <w:rsid w:val="00A87475"/>
    <w:rsid w:val="00A87811"/>
    <w:rsid w:val="00A8791C"/>
    <w:rsid w:val="00A87EF0"/>
    <w:rsid w:val="00A91CF7"/>
    <w:rsid w:val="00A91E5A"/>
    <w:rsid w:val="00A92250"/>
    <w:rsid w:val="00A94429"/>
    <w:rsid w:val="00A948BF"/>
    <w:rsid w:val="00A9556B"/>
    <w:rsid w:val="00A95637"/>
    <w:rsid w:val="00A95B87"/>
    <w:rsid w:val="00A95F7B"/>
    <w:rsid w:val="00A964D3"/>
    <w:rsid w:val="00A967D3"/>
    <w:rsid w:val="00A9709B"/>
    <w:rsid w:val="00A97AEC"/>
    <w:rsid w:val="00AA01F7"/>
    <w:rsid w:val="00AA165D"/>
    <w:rsid w:val="00AA1E21"/>
    <w:rsid w:val="00AA1FF5"/>
    <w:rsid w:val="00AA2276"/>
    <w:rsid w:val="00AA2D9D"/>
    <w:rsid w:val="00AA39B0"/>
    <w:rsid w:val="00AA3DD7"/>
    <w:rsid w:val="00AA75D4"/>
    <w:rsid w:val="00AA75DC"/>
    <w:rsid w:val="00AA79A1"/>
    <w:rsid w:val="00AA7E4C"/>
    <w:rsid w:val="00AB0CDF"/>
    <w:rsid w:val="00AB1856"/>
    <w:rsid w:val="00AB2572"/>
    <w:rsid w:val="00AB3785"/>
    <w:rsid w:val="00AB3C22"/>
    <w:rsid w:val="00AB4721"/>
    <w:rsid w:val="00AB4D1E"/>
    <w:rsid w:val="00AB5FF8"/>
    <w:rsid w:val="00AB6091"/>
    <w:rsid w:val="00AB641F"/>
    <w:rsid w:val="00AB7618"/>
    <w:rsid w:val="00AC03B1"/>
    <w:rsid w:val="00AC03BE"/>
    <w:rsid w:val="00AC0A86"/>
    <w:rsid w:val="00AC0C5D"/>
    <w:rsid w:val="00AC27D8"/>
    <w:rsid w:val="00AC3A6A"/>
    <w:rsid w:val="00AC3B94"/>
    <w:rsid w:val="00AC44F8"/>
    <w:rsid w:val="00AC4B70"/>
    <w:rsid w:val="00AC598D"/>
    <w:rsid w:val="00AC5A1C"/>
    <w:rsid w:val="00AC5A68"/>
    <w:rsid w:val="00AC5E3C"/>
    <w:rsid w:val="00AC643A"/>
    <w:rsid w:val="00AC6F82"/>
    <w:rsid w:val="00AC739B"/>
    <w:rsid w:val="00AC7E75"/>
    <w:rsid w:val="00AC7FC5"/>
    <w:rsid w:val="00AD0AE8"/>
    <w:rsid w:val="00AD1251"/>
    <w:rsid w:val="00AD1FDD"/>
    <w:rsid w:val="00AD2C66"/>
    <w:rsid w:val="00AD33D7"/>
    <w:rsid w:val="00AD3BA1"/>
    <w:rsid w:val="00AD4D9F"/>
    <w:rsid w:val="00AD4FF5"/>
    <w:rsid w:val="00AD566F"/>
    <w:rsid w:val="00AD617C"/>
    <w:rsid w:val="00AD682C"/>
    <w:rsid w:val="00AD6DD7"/>
    <w:rsid w:val="00AD6F97"/>
    <w:rsid w:val="00AD7BC4"/>
    <w:rsid w:val="00AD7DDF"/>
    <w:rsid w:val="00AE07DA"/>
    <w:rsid w:val="00AE10AC"/>
    <w:rsid w:val="00AE1597"/>
    <w:rsid w:val="00AE1A74"/>
    <w:rsid w:val="00AE2077"/>
    <w:rsid w:val="00AE303D"/>
    <w:rsid w:val="00AE415B"/>
    <w:rsid w:val="00AE49C9"/>
    <w:rsid w:val="00AE4ACB"/>
    <w:rsid w:val="00AE5755"/>
    <w:rsid w:val="00AE5B84"/>
    <w:rsid w:val="00AE7EC6"/>
    <w:rsid w:val="00AF04D1"/>
    <w:rsid w:val="00AF0E9D"/>
    <w:rsid w:val="00AF1426"/>
    <w:rsid w:val="00AF1F5D"/>
    <w:rsid w:val="00AF2034"/>
    <w:rsid w:val="00AF2BD4"/>
    <w:rsid w:val="00AF2D1E"/>
    <w:rsid w:val="00AF3ADA"/>
    <w:rsid w:val="00AF3C92"/>
    <w:rsid w:val="00AF4979"/>
    <w:rsid w:val="00AF4AEF"/>
    <w:rsid w:val="00AF51FC"/>
    <w:rsid w:val="00AF57F4"/>
    <w:rsid w:val="00AF599A"/>
    <w:rsid w:val="00AF5C74"/>
    <w:rsid w:val="00AF5F82"/>
    <w:rsid w:val="00AF6CB0"/>
    <w:rsid w:val="00AF6F2E"/>
    <w:rsid w:val="00AF72C6"/>
    <w:rsid w:val="00B01423"/>
    <w:rsid w:val="00B02412"/>
    <w:rsid w:val="00B02819"/>
    <w:rsid w:val="00B04704"/>
    <w:rsid w:val="00B04CBF"/>
    <w:rsid w:val="00B050CD"/>
    <w:rsid w:val="00B053FF"/>
    <w:rsid w:val="00B05C17"/>
    <w:rsid w:val="00B061AF"/>
    <w:rsid w:val="00B07342"/>
    <w:rsid w:val="00B077D1"/>
    <w:rsid w:val="00B07ABF"/>
    <w:rsid w:val="00B10719"/>
    <w:rsid w:val="00B108A4"/>
    <w:rsid w:val="00B11046"/>
    <w:rsid w:val="00B11217"/>
    <w:rsid w:val="00B1139B"/>
    <w:rsid w:val="00B11B9A"/>
    <w:rsid w:val="00B11EE4"/>
    <w:rsid w:val="00B13DD8"/>
    <w:rsid w:val="00B14687"/>
    <w:rsid w:val="00B146B3"/>
    <w:rsid w:val="00B15452"/>
    <w:rsid w:val="00B1623A"/>
    <w:rsid w:val="00B170C9"/>
    <w:rsid w:val="00B17A39"/>
    <w:rsid w:val="00B21476"/>
    <w:rsid w:val="00B21935"/>
    <w:rsid w:val="00B21E3A"/>
    <w:rsid w:val="00B21F7F"/>
    <w:rsid w:val="00B23FEC"/>
    <w:rsid w:val="00B2470C"/>
    <w:rsid w:val="00B256BE"/>
    <w:rsid w:val="00B25EB9"/>
    <w:rsid w:val="00B266C0"/>
    <w:rsid w:val="00B275AD"/>
    <w:rsid w:val="00B3078E"/>
    <w:rsid w:val="00B3110C"/>
    <w:rsid w:val="00B31509"/>
    <w:rsid w:val="00B31A60"/>
    <w:rsid w:val="00B31BB3"/>
    <w:rsid w:val="00B325F4"/>
    <w:rsid w:val="00B3321A"/>
    <w:rsid w:val="00B33916"/>
    <w:rsid w:val="00B33C9D"/>
    <w:rsid w:val="00B344F9"/>
    <w:rsid w:val="00B35095"/>
    <w:rsid w:val="00B35E73"/>
    <w:rsid w:val="00B3605A"/>
    <w:rsid w:val="00B36A9C"/>
    <w:rsid w:val="00B36FEA"/>
    <w:rsid w:val="00B37743"/>
    <w:rsid w:val="00B3775A"/>
    <w:rsid w:val="00B3776A"/>
    <w:rsid w:val="00B402CD"/>
    <w:rsid w:val="00B406BE"/>
    <w:rsid w:val="00B41924"/>
    <w:rsid w:val="00B41C8E"/>
    <w:rsid w:val="00B42F98"/>
    <w:rsid w:val="00B43372"/>
    <w:rsid w:val="00B43E2B"/>
    <w:rsid w:val="00B44736"/>
    <w:rsid w:val="00B45239"/>
    <w:rsid w:val="00B4592C"/>
    <w:rsid w:val="00B4698C"/>
    <w:rsid w:val="00B472D2"/>
    <w:rsid w:val="00B476FB"/>
    <w:rsid w:val="00B5238D"/>
    <w:rsid w:val="00B52D24"/>
    <w:rsid w:val="00B53753"/>
    <w:rsid w:val="00B53BCA"/>
    <w:rsid w:val="00B54AE0"/>
    <w:rsid w:val="00B54C2F"/>
    <w:rsid w:val="00B56112"/>
    <w:rsid w:val="00B566D5"/>
    <w:rsid w:val="00B56FFC"/>
    <w:rsid w:val="00B60ACA"/>
    <w:rsid w:val="00B61F8E"/>
    <w:rsid w:val="00B620AF"/>
    <w:rsid w:val="00B6246D"/>
    <w:rsid w:val="00B624D6"/>
    <w:rsid w:val="00B62813"/>
    <w:rsid w:val="00B62D29"/>
    <w:rsid w:val="00B63F12"/>
    <w:rsid w:val="00B6413E"/>
    <w:rsid w:val="00B642D8"/>
    <w:rsid w:val="00B647A9"/>
    <w:rsid w:val="00B65C18"/>
    <w:rsid w:val="00B66459"/>
    <w:rsid w:val="00B66520"/>
    <w:rsid w:val="00B669AD"/>
    <w:rsid w:val="00B67240"/>
    <w:rsid w:val="00B6797B"/>
    <w:rsid w:val="00B70AE3"/>
    <w:rsid w:val="00B71780"/>
    <w:rsid w:val="00B7272F"/>
    <w:rsid w:val="00B72EDB"/>
    <w:rsid w:val="00B7339A"/>
    <w:rsid w:val="00B739E9"/>
    <w:rsid w:val="00B739EC"/>
    <w:rsid w:val="00B73C6D"/>
    <w:rsid w:val="00B74C1D"/>
    <w:rsid w:val="00B75187"/>
    <w:rsid w:val="00B7564E"/>
    <w:rsid w:val="00B75BF2"/>
    <w:rsid w:val="00B7650B"/>
    <w:rsid w:val="00B765B3"/>
    <w:rsid w:val="00B76B79"/>
    <w:rsid w:val="00B76BDB"/>
    <w:rsid w:val="00B77EBA"/>
    <w:rsid w:val="00B77F92"/>
    <w:rsid w:val="00B82084"/>
    <w:rsid w:val="00B8307A"/>
    <w:rsid w:val="00B83807"/>
    <w:rsid w:val="00B83ACB"/>
    <w:rsid w:val="00B842FB"/>
    <w:rsid w:val="00B848F8"/>
    <w:rsid w:val="00B84A39"/>
    <w:rsid w:val="00B8529F"/>
    <w:rsid w:val="00B85639"/>
    <w:rsid w:val="00B85C69"/>
    <w:rsid w:val="00B86607"/>
    <w:rsid w:val="00B8681B"/>
    <w:rsid w:val="00B9075C"/>
    <w:rsid w:val="00B90F81"/>
    <w:rsid w:val="00B921D7"/>
    <w:rsid w:val="00B922AE"/>
    <w:rsid w:val="00B926AF"/>
    <w:rsid w:val="00B92C76"/>
    <w:rsid w:val="00B95099"/>
    <w:rsid w:val="00B9582E"/>
    <w:rsid w:val="00B96641"/>
    <w:rsid w:val="00B96949"/>
    <w:rsid w:val="00B97053"/>
    <w:rsid w:val="00B9730E"/>
    <w:rsid w:val="00B97F42"/>
    <w:rsid w:val="00BA0519"/>
    <w:rsid w:val="00BA07B7"/>
    <w:rsid w:val="00BA0C39"/>
    <w:rsid w:val="00BA12CF"/>
    <w:rsid w:val="00BA1CB2"/>
    <w:rsid w:val="00BA1CB9"/>
    <w:rsid w:val="00BA395A"/>
    <w:rsid w:val="00BA40B7"/>
    <w:rsid w:val="00BA4397"/>
    <w:rsid w:val="00BA47B3"/>
    <w:rsid w:val="00BA538C"/>
    <w:rsid w:val="00BA581E"/>
    <w:rsid w:val="00BA5860"/>
    <w:rsid w:val="00BA5E04"/>
    <w:rsid w:val="00BA6E9D"/>
    <w:rsid w:val="00BA721D"/>
    <w:rsid w:val="00BA77DA"/>
    <w:rsid w:val="00BA7B0E"/>
    <w:rsid w:val="00BB00D2"/>
    <w:rsid w:val="00BB01D5"/>
    <w:rsid w:val="00BB020F"/>
    <w:rsid w:val="00BB06AF"/>
    <w:rsid w:val="00BB1793"/>
    <w:rsid w:val="00BB253B"/>
    <w:rsid w:val="00BB3C74"/>
    <w:rsid w:val="00BB46AD"/>
    <w:rsid w:val="00BB572D"/>
    <w:rsid w:val="00BB66D1"/>
    <w:rsid w:val="00BB7003"/>
    <w:rsid w:val="00BB734A"/>
    <w:rsid w:val="00BB7974"/>
    <w:rsid w:val="00BC03CA"/>
    <w:rsid w:val="00BC0A06"/>
    <w:rsid w:val="00BC0D6E"/>
    <w:rsid w:val="00BC1CA0"/>
    <w:rsid w:val="00BC2486"/>
    <w:rsid w:val="00BC273A"/>
    <w:rsid w:val="00BC28A4"/>
    <w:rsid w:val="00BC2A74"/>
    <w:rsid w:val="00BC36AB"/>
    <w:rsid w:val="00BC3D28"/>
    <w:rsid w:val="00BC4638"/>
    <w:rsid w:val="00BC49D8"/>
    <w:rsid w:val="00BC49EA"/>
    <w:rsid w:val="00BC5355"/>
    <w:rsid w:val="00BC622B"/>
    <w:rsid w:val="00BC6C48"/>
    <w:rsid w:val="00BC6F10"/>
    <w:rsid w:val="00BC7189"/>
    <w:rsid w:val="00BC74D7"/>
    <w:rsid w:val="00BD016F"/>
    <w:rsid w:val="00BD06EE"/>
    <w:rsid w:val="00BD08C5"/>
    <w:rsid w:val="00BD0C9F"/>
    <w:rsid w:val="00BD1165"/>
    <w:rsid w:val="00BD1461"/>
    <w:rsid w:val="00BD1DD9"/>
    <w:rsid w:val="00BD2B19"/>
    <w:rsid w:val="00BD2C07"/>
    <w:rsid w:val="00BD2D14"/>
    <w:rsid w:val="00BD3A45"/>
    <w:rsid w:val="00BD49E8"/>
    <w:rsid w:val="00BD5064"/>
    <w:rsid w:val="00BD5385"/>
    <w:rsid w:val="00BD6D2C"/>
    <w:rsid w:val="00BD726A"/>
    <w:rsid w:val="00BE074D"/>
    <w:rsid w:val="00BE079A"/>
    <w:rsid w:val="00BE08D9"/>
    <w:rsid w:val="00BE0BA2"/>
    <w:rsid w:val="00BE1888"/>
    <w:rsid w:val="00BE19B0"/>
    <w:rsid w:val="00BE1A8A"/>
    <w:rsid w:val="00BE2085"/>
    <w:rsid w:val="00BE27CC"/>
    <w:rsid w:val="00BE2D84"/>
    <w:rsid w:val="00BE2F95"/>
    <w:rsid w:val="00BE4AAB"/>
    <w:rsid w:val="00BE4F39"/>
    <w:rsid w:val="00BE65DC"/>
    <w:rsid w:val="00BE692F"/>
    <w:rsid w:val="00BF0216"/>
    <w:rsid w:val="00BF0845"/>
    <w:rsid w:val="00BF08D2"/>
    <w:rsid w:val="00BF24B7"/>
    <w:rsid w:val="00BF270E"/>
    <w:rsid w:val="00BF340F"/>
    <w:rsid w:val="00BF37A7"/>
    <w:rsid w:val="00BF39F5"/>
    <w:rsid w:val="00BF3B3A"/>
    <w:rsid w:val="00BF41D3"/>
    <w:rsid w:val="00BF4863"/>
    <w:rsid w:val="00BF52BD"/>
    <w:rsid w:val="00BF7065"/>
    <w:rsid w:val="00BF78BE"/>
    <w:rsid w:val="00BF7995"/>
    <w:rsid w:val="00C003A2"/>
    <w:rsid w:val="00C00C4F"/>
    <w:rsid w:val="00C00C87"/>
    <w:rsid w:val="00C015A6"/>
    <w:rsid w:val="00C016D8"/>
    <w:rsid w:val="00C01DB2"/>
    <w:rsid w:val="00C02974"/>
    <w:rsid w:val="00C03225"/>
    <w:rsid w:val="00C03297"/>
    <w:rsid w:val="00C05375"/>
    <w:rsid w:val="00C062C5"/>
    <w:rsid w:val="00C07260"/>
    <w:rsid w:val="00C07985"/>
    <w:rsid w:val="00C1011C"/>
    <w:rsid w:val="00C101D7"/>
    <w:rsid w:val="00C10D85"/>
    <w:rsid w:val="00C1185B"/>
    <w:rsid w:val="00C12974"/>
    <w:rsid w:val="00C12BD7"/>
    <w:rsid w:val="00C13D3A"/>
    <w:rsid w:val="00C1508A"/>
    <w:rsid w:val="00C1539D"/>
    <w:rsid w:val="00C158F5"/>
    <w:rsid w:val="00C1604C"/>
    <w:rsid w:val="00C16674"/>
    <w:rsid w:val="00C16891"/>
    <w:rsid w:val="00C170A7"/>
    <w:rsid w:val="00C178F5"/>
    <w:rsid w:val="00C179A2"/>
    <w:rsid w:val="00C20A57"/>
    <w:rsid w:val="00C21113"/>
    <w:rsid w:val="00C21987"/>
    <w:rsid w:val="00C2198E"/>
    <w:rsid w:val="00C21FD9"/>
    <w:rsid w:val="00C22557"/>
    <w:rsid w:val="00C227DE"/>
    <w:rsid w:val="00C22DAD"/>
    <w:rsid w:val="00C230ED"/>
    <w:rsid w:val="00C23766"/>
    <w:rsid w:val="00C24F95"/>
    <w:rsid w:val="00C25079"/>
    <w:rsid w:val="00C255D1"/>
    <w:rsid w:val="00C25C1D"/>
    <w:rsid w:val="00C2606D"/>
    <w:rsid w:val="00C319AF"/>
    <w:rsid w:val="00C3232D"/>
    <w:rsid w:val="00C3257C"/>
    <w:rsid w:val="00C330FF"/>
    <w:rsid w:val="00C3378F"/>
    <w:rsid w:val="00C3381F"/>
    <w:rsid w:val="00C34A91"/>
    <w:rsid w:val="00C34CFD"/>
    <w:rsid w:val="00C35391"/>
    <w:rsid w:val="00C35F5F"/>
    <w:rsid w:val="00C37E01"/>
    <w:rsid w:val="00C400B5"/>
    <w:rsid w:val="00C40158"/>
    <w:rsid w:val="00C40B78"/>
    <w:rsid w:val="00C412CC"/>
    <w:rsid w:val="00C427A5"/>
    <w:rsid w:val="00C43115"/>
    <w:rsid w:val="00C431BE"/>
    <w:rsid w:val="00C435FA"/>
    <w:rsid w:val="00C437CE"/>
    <w:rsid w:val="00C44600"/>
    <w:rsid w:val="00C453AD"/>
    <w:rsid w:val="00C4602D"/>
    <w:rsid w:val="00C4621D"/>
    <w:rsid w:val="00C471D3"/>
    <w:rsid w:val="00C47527"/>
    <w:rsid w:val="00C5077A"/>
    <w:rsid w:val="00C50A6A"/>
    <w:rsid w:val="00C50DB7"/>
    <w:rsid w:val="00C51460"/>
    <w:rsid w:val="00C51AA5"/>
    <w:rsid w:val="00C524AC"/>
    <w:rsid w:val="00C5351F"/>
    <w:rsid w:val="00C53E40"/>
    <w:rsid w:val="00C5465D"/>
    <w:rsid w:val="00C557EE"/>
    <w:rsid w:val="00C55CA5"/>
    <w:rsid w:val="00C5619A"/>
    <w:rsid w:val="00C5685B"/>
    <w:rsid w:val="00C570A2"/>
    <w:rsid w:val="00C604E0"/>
    <w:rsid w:val="00C60664"/>
    <w:rsid w:val="00C60B61"/>
    <w:rsid w:val="00C611FD"/>
    <w:rsid w:val="00C61574"/>
    <w:rsid w:val="00C628EA"/>
    <w:rsid w:val="00C62CCE"/>
    <w:rsid w:val="00C645E2"/>
    <w:rsid w:val="00C65232"/>
    <w:rsid w:val="00C6674B"/>
    <w:rsid w:val="00C66D40"/>
    <w:rsid w:val="00C67D1F"/>
    <w:rsid w:val="00C67E5D"/>
    <w:rsid w:val="00C702C1"/>
    <w:rsid w:val="00C703AD"/>
    <w:rsid w:val="00C70B20"/>
    <w:rsid w:val="00C70C3A"/>
    <w:rsid w:val="00C70E1C"/>
    <w:rsid w:val="00C7174E"/>
    <w:rsid w:val="00C722A1"/>
    <w:rsid w:val="00C74E37"/>
    <w:rsid w:val="00C769B9"/>
    <w:rsid w:val="00C80774"/>
    <w:rsid w:val="00C80AEE"/>
    <w:rsid w:val="00C811FC"/>
    <w:rsid w:val="00C8233D"/>
    <w:rsid w:val="00C82440"/>
    <w:rsid w:val="00C82535"/>
    <w:rsid w:val="00C831D5"/>
    <w:rsid w:val="00C83411"/>
    <w:rsid w:val="00C836C7"/>
    <w:rsid w:val="00C83B76"/>
    <w:rsid w:val="00C84CDC"/>
    <w:rsid w:val="00C8560A"/>
    <w:rsid w:val="00C86A40"/>
    <w:rsid w:val="00C87407"/>
    <w:rsid w:val="00C8745F"/>
    <w:rsid w:val="00C875F8"/>
    <w:rsid w:val="00C8767B"/>
    <w:rsid w:val="00C87DA2"/>
    <w:rsid w:val="00C87F28"/>
    <w:rsid w:val="00C903DA"/>
    <w:rsid w:val="00C903FF"/>
    <w:rsid w:val="00C90714"/>
    <w:rsid w:val="00C915AF"/>
    <w:rsid w:val="00C91B3D"/>
    <w:rsid w:val="00C92CA1"/>
    <w:rsid w:val="00C92D64"/>
    <w:rsid w:val="00C93592"/>
    <w:rsid w:val="00C94291"/>
    <w:rsid w:val="00C94306"/>
    <w:rsid w:val="00C948A7"/>
    <w:rsid w:val="00C94FAE"/>
    <w:rsid w:val="00C958C3"/>
    <w:rsid w:val="00C9724B"/>
    <w:rsid w:val="00C97F4B"/>
    <w:rsid w:val="00CA065D"/>
    <w:rsid w:val="00CA1923"/>
    <w:rsid w:val="00CA2EF3"/>
    <w:rsid w:val="00CA34EE"/>
    <w:rsid w:val="00CA3D48"/>
    <w:rsid w:val="00CA40E2"/>
    <w:rsid w:val="00CA522B"/>
    <w:rsid w:val="00CA5C73"/>
    <w:rsid w:val="00CA5D02"/>
    <w:rsid w:val="00CA5EC8"/>
    <w:rsid w:val="00CA61F4"/>
    <w:rsid w:val="00CA745E"/>
    <w:rsid w:val="00CB001A"/>
    <w:rsid w:val="00CB00B8"/>
    <w:rsid w:val="00CB0ED4"/>
    <w:rsid w:val="00CB168A"/>
    <w:rsid w:val="00CB1717"/>
    <w:rsid w:val="00CB1924"/>
    <w:rsid w:val="00CB1E5F"/>
    <w:rsid w:val="00CB1F2D"/>
    <w:rsid w:val="00CB2DD0"/>
    <w:rsid w:val="00CB4755"/>
    <w:rsid w:val="00CB480B"/>
    <w:rsid w:val="00CB6057"/>
    <w:rsid w:val="00CB68FB"/>
    <w:rsid w:val="00CB6F9B"/>
    <w:rsid w:val="00CB6FC3"/>
    <w:rsid w:val="00CB74EF"/>
    <w:rsid w:val="00CB7772"/>
    <w:rsid w:val="00CB7FC7"/>
    <w:rsid w:val="00CC24F6"/>
    <w:rsid w:val="00CC3590"/>
    <w:rsid w:val="00CC3B30"/>
    <w:rsid w:val="00CC565B"/>
    <w:rsid w:val="00CC5D7C"/>
    <w:rsid w:val="00CC7BD3"/>
    <w:rsid w:val="00CD0D5A"/>
    <w:rsid w:val="00CD197F"/>
    <w:rsid w:val="00CD221F"/>
    <w:rsid w:val="00CD2980"/>
    <w:rsid w:val="00CD2DCB"/>
    <w:rsid w:val="00CD2FB3"/>
    <w:rsid w:val="00CD379D"/>
    <w:rsid w:val="00CD3AF1"/>
    <w:rsid w:val="00CD3E4D"/>
    <w:rsid w:val="00CD55CC"/>
    <w:rsid w:val="00CD573B"/>
    <w:rsid w:val="00CD5BAD"/>
    <w:rsid w:val="00CD601C"/>
    <w:rsid w:val="00CD625A"/>
    <w:rsid w:val="00CD6317"/>
    <w:rsid w:val="00CD65AB"/>
    <w:rsid w:val="00CD6B64"/>
    <w:rsid w:val="00CD6C75"/>
    <w:rsid w:val="00CD721B"/>
    <w:rsid w:val="00CD7DAB"/>
    <w:rsid w:val="00CE00F6"/>
    <w:rsid w:val="00CE05E7"/>
    <w:rsid w:val="00CE09F6"/>
    <w:rsid w:val="00CE12E9"/>
    <w:rsid w:val="00CE14AC"/>
    <w:rsid w:val="00CE1C09"/>
    <w:rsid w:val="00CE2153"/>
    <w:rsid w:val="00CE2D68"/>
    <w:rsid w:val="00CE39C1"/>
    <w:rsid w:val="00CE3B87"/>
    <w:rsid w:val="00CE4239"/>
    <w:rsid w:val="00CE4FC9"/>
    <w:rsid w:val="00CE53E8"/>
    <w:rsid w:val="00CE56EB"/>
    <w:rsid w:val="00CE6352"/>
    <w:rsid w:val="00CE73FB"/>
    <w:rsid w:val="00CE797F"/>
    <w:rsid w:val="00CF05F7"/>
    <w:rsid w:val="00CF0633"/>
    <w:rsid w:val="00CF1865"/>
    <w:rsid w:val="00CF2991"/>
    <w:rsid w:val="00CF38DD"/>
    <w:rsid w:val="00CF42F7"/>
    <w:rsid w:val="00CF5902"/>
    <w:rsid w:val="00CF687B"/>
    <w:rsid w:val="00CF74D4"/>
    <w:rsid w:val="00CF7A8E"/>
    <w:rsid w:val="00D00A46"/>
    <w:rsid w:val="00D00E27"/>
    <w:rsid w:val="00D012A4"/>
    <w:rsid w:val="00D0299D"/>
    <w:rsid w:val="00D02A0C"/>
    <w:rsid w:val="00D02B25"/>
    <w:rsid w:val="00D03721"/>
    <w:rsid w:val="00D042F0"/>
    <w:rsid w:val="00D04FD8"/>
    <w:rsid w:val="00D0508F"/>
    <w:rsid w:val="00D057A7"/>
    <w:rsid w:val="00D06B5C"/>
    <w:rsid w:val="00D0748E"/>
    <w:rsid w:val="00D07887"/>
    <w:rsid w:val="00D07BCE"/>
    <w:rsid w:val="00D10939"/>
    <w:rsid w:val="00D10FCD"/>
    <w:rsid w:val="00D11349"/>
    <w:rsid w:val="00D12A55"/>
    <w:rsid w:val="00D13EF9"/>
    <w:rsid w:val="00D147F6"/>
    <w:rsid w:val="00D14B83"/>
    <w:rsid w:val="00D1515B"/>
    <w:rsid w:val="00D15241"/>
    <w:rsid w:val="00D15C25"/>
    <w:rsid w:val="00D17D9F"/>
    <w:rsid w:val="00D17DA4"/>
    <w:rsid w:val="00D220B8"/>
    <w:rsid w:val="00D224DB"/>
    <w:rsid w:val="00D22890"/>
    <w:rsid w:val="00D22F36"/>
    <w:rsid w:val="00D25381"/>
    <w:rsid w:val="00D255D5"/>
    <w:rsid w:val="00D259ED"/>
    <w:rsid w:val="00D2635B"/>
    <w:rsid w:val="00D27035"/>
    <w:rsid w:val="00D27B65"/>
    <w:rsid w:val="00D27E69"/>
    <w:rsid w:val="00D301AC"/>
    <w:rsid w:val="00D30442"/>
    <w:rsid w:val="00D3057F"/>
    <w:rsid w:val="00D31B03"/>
    <w:rsid w:val="00D31D63"/>
    <w:rsid w:val="00D325E7"/>
    <w:rsid w:val="00D33081"/>
    <w:rsid w:val="00D339DE"/>
    <w:rsid w:val="00D33CC9"/>
    <w:rsid w:val="00D34801"/>
    <w:rsid w:val="00D3618F"/>
    <w:rsid w:val="00D37E51"/>
    <w:rsid w:val="00D43629"/>
    <w:rsid w:val="00D437C2"/>
    <w:rsid w:val="00D44664"/>
    <w:rsid w:val="00D458B9"/>
    <w:rsid w:val="00D46FFD"/>
    <w:rsid w:val="00D47089"/>
    <w:rsid w:val="00D47AA5"/>
    <w:rsid w:val="00D503E7"/>
    <w:rsid w:val="00D50F43"/>
    <w:rsid w:val="00D520F2"/>
    <w:rsid w:val="00D526F0"/>
    <w:rsid w:val="00D52F51"/>
    <w:rsid w:val="00D53320"/>
    <w:rsid w:val="00D54177"/>
    <w:rsid w:val="00D54216"/>
    <w:rsid w:val="00D556D8"/>
    <w:rsid w:val="00D56A2B"/>
    <w:rsid w:val="00D56D74"/>
    <w:rsid w:val="00D60A41"/>
    <w:rsid w:val="00D61205"/>
    <w:rsid w:val="00D61CB8"/>
    <w:rsid w:val="00D61D10"/>
    <w:rsid w:val="00D62593"/>
    <w:rsid w:val="00D6271F"/>
    <w:rsid w:val="00D634F9"/>
    <w:rsid w:val="00D6395F"/>
    <w:rsid w:val="00D639E4"/>
    <w:rsid w:val="00D640A7"/>
    <w:rsid w:val="00D642F1"/>
    <w:rsid w:val="00D65276"/>
    <w:rsid w:val="00D65D01"/>
    <w:rsid w:val="00D65D48"/>
    <w:rsid w:val="00D65E3C"/>
    <w:rsid w:val="00D65E53"/>
    <w:rsid w:val="00D66050"/>
    <w:rsid w:val="00D6750A"/>
    <w:rsid w:val="00D67A33"/>
    <w:rsid w:val="00D67F1A"/>
    <w:rsid w:val="00D67FE9"/>
    <w:rsid w:val="00D70285"/>
    <w:rsid w:val="00D7098C"/>
    <w:rsid w:val="00D71B07"/>
    <w:rsid w:val="00D72629"/>
    <w:rsid w:val="00D732C5"/>
    <w:rsid w:val="00D7385D"/>
    <w:rsid w:val="00D74D4B"/>
    <w:rsid w:val="00D752A6"/>
    <w:rsid w:val="00D756E7"/>
    <w:rsid w:val="00D759D1"/>
    <w:rsid w:val="00D76453"/>
    <w:rsid w:val="00D76723"/>
    <w:rsid w:val="00D76EAA"/>
    <w:rsid w:val="00D7720D"/>
    <w:rsid w:val="00D77743"/>
    <w:rsid w:val="00D77933"/>
    <w:rsid w:val="00D809A8"/>
    <w:rsid w:val="00D80ACF"/>
    <w:rsid w:val="00D80F74"/>
    <w:rsid w:val="00D81544"/>
    <w:rsid w:val="00D818B2"/>
    <w:rsid w:val="00D8272A"/>
    <w:rsid w:val="00D8290B"/>
    <w:rsid w:val="00D82CF1"/>
    <w:rsid w:val="00D82E97"/>
    <w:rsid w:val="00D8348B"/>
    <w:rsid w:val="00D8385F"/>
    <w:rsid w:val="00D83E59"/>
    <w:rsid w:val="00D850ED"/>
    <w:rsid w:val="00D865A8"/>
    <w:rsid w:val="00D86C5C"/>
    <w:rsid w:val="00D8761B"/>
    <w:rsid w:val="00D8771E"/>
    <w:rsid w:val="00D8777D"/>
    <w:rsid w:val="00D87CAB"/>
    <w:rsid w:val="00D906F8"/>
    <w:rsid w:val="00D914C7"/>
    <w:rsid w:val="00D93172"/>
    <w:rsid w:val="00D9595D"/>
    <w:rsid w:val="00D95CE1"/>
    <w:rsid w:val="00D9673D"/>
    <w:rsid w:val="00D96B4F"/>
    <w:rsid w:val="00D96BE4"/>
    <w:rsid w:val="00D97451"/>
    <w:rsid w:val="00D97AC3"/>
    <w:rsid w:val="00DA02E4"/>
    <w:rsid w:val="00DA11A4"/>
    <w:rsid w:val="00DA16F7"/>
    <w:rsid w:val="00DA17EC"/>
    <w:rsid w:val="00DA1F4D"/>
    <w:rsid w:val="00DA26A6"/>
    <w:rsid w:val="00DA2BF0"/>
    <w:rsid w:val="00DA2C0C"/>
    <w:rsid w:val="00DA31DC"/>
    <w:rsid w:val="00DA3C22"/>
    <w:rsid w:val="00DA5849"/>
    <w:rsid w:val="00DA5D0A"/>
    <w:rsid w:val="00DA6052"/>
    <w:rsid w:val="00DA6AF4"/>
    <w:rsid w:val="00DA6B0C"/>
    <w:rsid w:val="00DA7F27"/>
    <w:rsid w:val="00DB078E"/>
    <w:rsid w:val="00DB2172"/>
    <w:rsid w:val="00DB25FA"/>
    <w:rsid w:val="00DB2F07"/>
    <w:rsid w:val="00DB3059"/>
    <w:rsid w:val="00DB3280"/>
    <w:rsid w:val="00DB42D4"/>
    <w:rsid w:val="00DB44B2"/>
    <w:rsid w:val="00DB4921"/>
    <w:rsid w:val="00DB5571"/>
    <w:rsid w:val="00DB6546"/>
    <w:rsid w:val="00DB6704"/>
    <w:rsid w:val="00DB6C9F"/>
    <w:rsid w:val="00DB6D9B"/>
    <w:rsid w:val="00DB6F89"/>
    <w:rsid w:val="00DB6FFE"/>
    <w:rsid w:val="00DC08D5"/>
    <w:rsid w:val="00DC1B53"/>
    <w:rsid w:val="00DC3471"/>
    <w:rsid w:val="00DC3C23"/>
    <w:rsid w:val="00DC525E"/>
    <w:rsid w:val="00DC5B42"/>
    <w:rsid w:val="00DC680D"/>
    <w:rsid w:val="00DC68C7"/>
    <w:rsid w:val="00DC77EB"/>
    <w:rsid w:val="00DC7C57"/>
    <w:rsid w:val="00DD05AD"/>
    <w:rsid w:val="00DD11B3"/>
    <w:rsid w:val="00DD1401"/>
    <w:rsid w:val="00DD14E3"/>
    <w:rsid w:val="00DD1F4A"/>
    <w:rsid w:val="00DD1F9F"/>
    <w:rsid w:val="00DD2891"/>
    <w:rsid w:val="00DD3316"/>
    <w:rsid w:val="00DD340B"/>
    <w:rsid w:val="00DD3B19"/>
    <w:rsid w:val="00DD5EB4"/>
    <w:rsid w:val="00DD6E30"/>
    <w:rsid w:val="00DD751F"/>
    <w:rsid w:val="00DE06BA"/>
    <w:rsid w:val="00DE0750"/>
    <w:rsid w:val="00DE1C5C"/>
    <w:rsid w:val="00DE2939"/>
    <w:rsid w:val="00DE3F19"/>
    <w:rsid w:val="00DE4615"/>
    <w:rsid w:val="00DE4CB3"/>
    <w:rsid w:val="00DE519E"/>
    <w:rsid w:val="00DE53E5"/>
    <w:rsid w:val="00DE5AC3"/>
    <w:rsid w:val="00DE6B87"/>
    <w:rsid w:val="00DE75A7"/>
    <w:rsid w:val="00DF0B5A"/>
    <w:rsid w:val="00DF139F"/>
    <w:rsid w:val="00DF1BAD"/>
    <w:rsid w:val="00DF362B"/>
    <w:rsid w:val="00DF397B"/>
    <w:rsid w:val="00DF3DBD"/>
    <w:rsid w:val="00DF504D"/>
    <w:rsid w:val="00DF63C0"/>
    <w:rsid w:val="00DF64BF"/>
    <w:rsid w:val="00DF7021"/>
    <w:rsid w:val="00DF7583"/>
    <w:rsid w:val="00DF7656"/>
    <w:rsid w:val="00E000DE"/>
    <w:rsid w:val="00E00332"/>
    <w:rsid w:val="00E00997"/>
    <w:rsid w:val="00E00A92"/>
    <w:rsid w:val="00E00FAB"/>
    <w:rsid w:val="00E032EF"/>
    <w:rsid w:val="00E03506"/>
    <w:rsid w:val="00E0403D"/>
    <w:rsid w:val="00E04986"/>
    <w:rsid w:val="00E04A9D"/>
    <w:rsid w:val="00E04BFC"/>
    <w:rsid w:val="00E05502"/>
    <w:rsid w:val="00E0596A"/>
    <w:rsid w:val="00E0667E"/>
    <w:rsid w:val="00E077AF"/>
    <w:rsid w:val="00E07BAD"/>
    <w:rsid w:val="00E10309"/>
    <w:rsid w:val="00E106CB"/>
    <w:rsid w:val="00E120EF"/>
    <w:rsid w:val="00E12274"/>
    <w:rsid w:val="00E137A5"/>
    <w:rsid w:val="00E13A83"/>
    <w:rsid w:val="00E13E96"/>
    <w:rsid w:val="00E13EEA"/>
    <w:rsid w:val="00E1414F"/>
    <w:rsid w:val="00E1418B"/>
    <w:rsid w:val="00E1471B"/>
    <w:rsid w:val="00E14D56"/>
    <w:rsid w:val="00E15861"/>
    <w:rsid w:val="00E15E4D"/>
    <w:rsid w:val="00E162F3"/>
    <w:rsid w:val="00E167CF"/>
    <w:rsid w:val="00E16DAC"/>
    <w:rsid w:val="00E17945"/>
    <w:rsid w:val="00E20C11"/>
    <w:rsid w:val="00E21326"/>
    <w:rsid w:val="00E2184A"/>
    <w:rsid w:val="00E2213B"/>
    <w:rsid w:val="00E23390"/>
    <w:rsid w:val="00E249B8"/>
    <w:rsid w:val="00E24DAA"/>
    <w:rsid w:val="00E251BC"/>
    <w:rsid w:val="00E251D6"/>
    <w:rsid w:val="00E25454"/>
    <w:rsid w:val="00E25AA0"/>
    <w:rsid w:val="00E26A84"/>
    <w:rsid w:val="00E27C21"/>
    <w:rsid w:val="00E27D25"/>
    <w:rsid w:val="00E3018E"/>
    <w:rsid w:val="00E30230"/>
    <w:rsid w:val="00E30884"/>
    <w:rsid w:val="00E31751"/>
    <w:rsid w:val="00E31B16"/>
    <w:rsid w:val="00E31E49"/>
    <w:rsid w:val="00E31FAE"/>
    <w:rsid w:val="00E32E1C"/>
    <w:rsid w:val="00E3497C"/>
    <w:rsid w:val="00E36165"/>
    <w:rsid w:val="00E36423"/>
    <w:rsid w:val="00E41920"/>
    <w:rsid w:val="00E42C19"/>
    <w:rsid w:val="00E42CE3"/>
    <w:rsid w:val="00E42F7F"/>
    <w:rsid w:val="00E438D6"/>
    <w:rsid w:val="00E43E5A"/>
    <w:rsid w:val="00E44F8E"/>
    <w:rsid w:val="00E46463"/>
    <w:rsid w:val="00E473C0"/>
    <w:rsid w:val="00E47804"/>
    <w:rsid w:val="00E47DE4"/>
    <w:rsid w:val="00E513DD"/>
    <w:rsid w:val="00E51C1E"/>
    <w:rsid w:val="00E51DCB"/>
    <w:rsid w:val="00E52D69"/>
    <w:rsid w:val="00E547CC"/>
    <w:rsid w:val="00E55277"/>
    <w:rsid w:val="00E55618"/>
    <w:rsid w:val="00E564DF"/>
    <w:rsid w:val="00E5770B"/>
    <w:rsid w:val="00E5779A"/>
    <w:rsid w:val="00E578FC"/>
    <w:rsid w:val="00E60295"/>
    <w:rsid w:val="00E60650"/>
    <w:rsid w:val="00E6117C"/>
    <w:rsid w:val="00E61685"/>
    <w:rsid w:val="00E620CE"/>
    <w:rsid w:val="00E629F8"/>
    <w:rsid w:val="00E62E6C"/>
    <w:rsid w:val="00E63105"/>
    <w:rsid w:val="00E6314E"/>
    <w:rsid w:val="00E633EC"/>
    <w:rsid w:val="00E63D6E"/>
    <w:rsid w:val="00E63DFE"/>
    <w:rsid w:val="00E645CA"/>
    <w:rsid w:val="00E64B4D"/>
    <w:rsid w:val="00E653FF"/>
    <w:rsid w:val="00E65971"/>
    <w:rsid w:val="00E66B0A"/>
    <w:rsid w:val="00E67314"/>
    <w:rsid w:val="00E70152"/>
    <w:rsid w:val="00E706BE"/>
    <w:rsid w:val="00E7266A"/>
    <w:rsid w:val="00E72B52"/>
    <w:rsid w:val="00E72D2D"/>
    <w:rsid w:val="00E73168"/>
    <w:rsid w:val="00E736C3"/>
    <w:rsid w:val="00E74641"/>
    <w:rsid w:val="00E74B22"/>
    <w:rsid w:val="00E74F37"/>
    <w:rsid w:val="00E775B5"/>
    <w:rsid w:val="00E77958"/>
    <w:rsid w:val="00E802B0"/>
    <w:rsid w:val="00E810C0"/>
    <w:rsid w:val="00E8178E"/>
    <w:rsid w:val="00E81E2A"/>
    <w:rsid w:val="00E83545"/>
    <w:rsid w:val="00E83BAA"/>
    <w:rsid w:val="00E84012"/>
    <w:rsid w:val="00E8535A"/>
    <w:rsid w:val="00E8547B"/>
    <w:rsid w:val="00E85BD2"/>
    <w:rsid w:val="00E86593"/>
    <w:rsid w:val="00E86CC5"/>
    <w:rsid w:val="00E86E17"/>
    <w:rsid w:val="00E8702A"/>
    <w:rsid w:val="00E87305"/>
    <w:rsid w:val="00E87AB9"/>
    <w:rsid w:val="00E87F66"/>
    <w:rsid w:val="00E9114D"/>
    <w:rsid w:val="00E9127F"/>
    <w:rsid w:val="00E9168F"/>
    <w:rsid w:val="00E923DC"/>
    <w:rsid w:val="00E92AAC"/>
    <w:rsid w:val="00E92C43"/>
    <w:rsid w:val="00E94166"/>
    <w:rsid w:val="00E9554D"/>
    <w:rsid w:val="00E9598A"/>
    <w:rsid w:val="00E975AF"/>
    <w:rsid w:val="00E9793A"/>
    <w:rsid w:val="00E97C36"/>
    <w:rsid w:val="00EA12BE"/>
    <w:rsid w:val="00EA137D"/>
    <w:rsid w:val="00EA276D"/>
    <w:rsid w:val="00EA3174"/>
    <w:rsid w:val="00EA340D"/>
    <w:rsid w:val="00EA3EF7"/>
    <w:rsid w:val="00EA4426"/>
    <w:rsid w:val="00EA5999"/>
    <w:rsid w:val="00EA62B3"/>
    <w:rsid w:val="00EA63B3"/>
    <w:rsid w:val="00EA65F2"/>
    <w:rsid w:val="00EA6795"/>
    <w:rsid w:val="00EA6A80"/>
    <w:rsid w:val="00EA6EE3"/>
    <w:rsid w:val="00EA7666"/>
    <w:rsid w:val="00EA7C92"/>
    <w:rsid w:val="00EA7FC1"/>
    <w:rsid w:val="00EB0A44"/>
    <w:rsid w:val="00EB0BD3"/>
    <w:rsid w:val="00EB0E81"/>
    <w:rsid w:val="00EB0E92"/>
    <w:rsid w:val="00EB0F3C"/>
    <w:rsid w:val="00EB1A00"/>
    <w:rsid w:val="00EB1E2D"/>
    <w:rsid w:val="00EB1EFB"/>
    <w:rsid w:val="00EB2FDB"/>
    <w:rsid w:val="00EB4CA2"/>
    <w:rsid w:val="00EB5E63"/>
    <w:rsid w:val="00EB6BF8"/>
    <w:rsid w:val="00EB72BD"/>
    <w:rsid w:val="00EC1767"/>
    <w:rsid w:val="00EC1AB7"/>
    <w:rsid w:val="00EC302F"/>
    <w:rsid w:val="00EC3A1E"/>
    <w:rsid w:val="00EC4597"/>
    <w:rsid w:val="00EC4D86"/>
    <w:rsid w:val="00EC533A"/>
    <w:rsid w:val="00EC5369"/>
    <w:rsid w:val="00EC711C"/>
    <w:rsid w:val="00EC76E1"/>
    <w:rsid w:val="00ED183A"/>
    <w:rsid w:val="00ED2FF4"/>
    <w:rsid w:val="00ED37FE"/>
    <w:rsid w:val="00ED452A"/>
    <w:rsid w:val="00ED45D8"/>
    <w:rsid w:val="00ED46BE"/>
    <w:rsid w:val="00ED489D"/>
    <w:rsid w:val="00ED4B23"/>
    <w:rsid w:val="00ED55E0"/>
    <w:rsid w:val="00ED64C2"/>
    <w:rsid w:val="00ED7388"/>
    <w:rsid w:val="00ED7D95"/>
    <w:rsid w:val="00EE08EA"/>
    <w:rsid w:val="00EE2EB8"/>
    <w:rsid w:val="00EE3118"/>
    <w:rsid w:val="00EE410F"/>
    <w:rsid w:val="00EE4944"/>
    <w:rsid w:val="00EE5643"/>
    <w:rsid w:val="00EE5DAF"/>
    <w:rsid w:val="00EE60C0"/>
    <w:rsid w:val="00EE6A96"/>
    <w:rsid w:val="00EE7424"/>
    <w:rsid w:val="00EE7D0D"/>
    <w:rsid w:val="00EF0040"/>
    <w:rsid w:val="00EF0CE7"/>
    <w:rsid w:val="00EF18C0"/>
    <w:rsid w:val="00EF23BB"/>
    <w:rsid w:val="00EF3B2F"/>
    <w:rsid w:val="00EF48E9"/>
    <w:rsid w:val="00EF4CDF"/>
    <w:rsid w:val="00EF58A2"/>
    <w:rsid w:val="00EF6A1C"/>
    <w:rsid w:val="00EF7589"/>
    <w:rsid w:val="00EF75AD"/>
    <w:rsid w:val="00EF79A7"/>
    <w:rsid w:val="00EF7EEF"/>
    <w:rsid w:val="00F001AF"/>
    <w:rsid w:val="00F00643"/>
    <w:rsid w:val="00F007D0"/>
    <w:rsid w:val="00F00EDE"/>
    <w:rsid w:val="00F00FDC"/>
    <w:rsid w:val="00F01400"/>
    <w:rsid w:val="00F0189E"/>
    <w:rsid w:val="00F02C6E"/>
    <w:rsid w:val="00F043BC"/>
    <w:rsid w:val="00F04B43"/>
    <w:rsid w:val="00F04E7D"/>
    <w:rsid w:val="00F05C46"/>
    <w:rsid w:val="00F05C5E"/>
    <w:rsid w:val="00F060C1"/>
    <w:rsid w:val="00F062A8"/>
    <w:rsid w:val="00F06479"/>
    <w:rsid w:val="00F07D23"/>
    <w:rsid w:val="00F07E9A"/>
    <w:rsid w:val="00F10544"/>
    <w:rsid w:val="00F10B94"/>
    <w:rsid w:val="00F1121E"/>
    <w:rsid w:val="00F116C2"/>
    <w:rsid w:val="00F1194E"/>
    <w:rsid w:val="00F11F9B"/>
    <w:rsid w:val="00F12832"/>
    <w:rsid w:val="00F12861"/>
    <w:rsid w:val="00F12C74"/>
    <w:rsid w:val="00F12F86"/>
    <w:rsid w:val="00F13F1B"/>
    <w:rsid w:val="00F14021"/>
    <w:rsid w:val="00F14394"/>
    <w:rsid w:val="00F151A7"/>
    <w:rsid w:val="00F15CA1"/>
    <w:rsid w:val="00F163CA"/>
    <w:rsid w:val="00F16B71"/>
    <w:rsid w:val="00F175C6"/>
    <w:rsid w:val="00F21212"/>
    <w:rsid w:val="00F2145D"/>
    <w:rsid w:val="00F21666"/>
    <w:rsid w:val="00F23179"/>
    <w:rsid w:val="00F23708"/>
    <w:rsid w:val="00F25647"/>
    <w:rsid w:val="00F25802"/>
    <w:rsid w:val="00F2718A"/>
    <w:rsid w:val="00F276DD"/>
    <w:rsid w:val="00F300E5"/>
    <w:rsid w:val="00F302E9"/>
    <w:rsid w:val="00F30E37"/>
    <w:rsid w:val="00F31DD6"/>
    <w:rsid w:val="00F32D9D"/>
    <w:rsid w:val="00F332D8"/>
    <w:rsid w:val="00F336A0"/>
    <w:rsid w:val="00F34515"/>
    <w:rsid w:val="00F363C3"/>
    <w:rsid w:val="00F36D66"/>
    <w:rsid w:val="00F3734E"/>
    <w:rsid w:val="00F405B4"/>
    <w:rsid w:val="00F405D9"/>
    <w:rsid w:val="00F40B0B"/>
    <w:rsid w:val="00F40B79"/>
    <w:rsid w:val="00F40D47"/>
    <w:rsid w:val="00F42045"/>
    <w:rsid w:val="00F42F5A"/>
    <w:rsid w:val="00F4316A"/>
    <w:rsid w:val="00F43FB4"/>
    <w:rsid w:val="00F44571"/>
    <w:rsid w:val="00F44DEA"/>
    <w:rsid w:val="00F45146"/>
    <w:rsid w:val="00F4641D"/>
    <w:rsid w:val="00F470B6"/>
    <w:rsid w:val="00F47655"/>
    <w:rsid w:val="00F47670"/>
    <w:rsid w:val="00F47B8A"/>
    <w:rsid w:val="00F47CAA"/>
    <w:rsid w:val="00F50163"/>
    <w:rsid w:val="00F507A9"/>
    <w:rsid w:val="00F51634"/>
    <w:rsid w:val="00F52257"/>
    <w:rsid w:val="00F534E9"/>
    <w:rsid w:val="00F538D8"/>
    <w:rsid w:val="00F53F39"/>
    <w:rsid w:val="00F53F45"/>
    <w:rsid w:val="00F54310"/>
    <w:rsid w:val="00F60849"/>
    <w:rsid w:val="00F6151C"/>
    <w:rsid w:val="00F6197D"/>
    <w:rsid w:val="00F629BD"/>
    <w:rsid w:val="00F63227"/>
    <w:rsid w:val="00F6356E"/>
    <w:rsid w:val="00F63807"/>
    <w:rsid w:val="00F63FD8"/>
    <w:rsid w:val="00F649F2"/>
    <w:rsid w:val="00F65319"/>
    <w:rsid w:val="00F6564F"/>
    <w:rsid w:val="00F65AAF"/>
    <w:rsid w:val="00F65D71"/>
    <w:rsid w:val="00F6636E"/>
    <w:rsid w:val="00F66672"/>
    <w:rsid w:val="00F70CAE"/>
    <w:rsid w:val="00F71247"/>
    <w:rsid w:val="00F72D89"/>
    <w:rsid w:val="00F74D7E"/>
    <w:rsid w:val="00F74EF3"/>
    <w:rsid w:val="00F7620D"/>
    <w:rsid w:val="00F7687B"/>
    <w:rsid w:val="00F776C2"/>
    <w:rsid w:val="00F77A9B"/>
    <w:rsid w:val="00F80122"/>
    <w:rsid w:val="00F81CB4"/>
    <w:rsid w:val="00F82907"/>
    <w:rsid w:val="00F82C76"/>
    <w:rsid w:val="00F83BB4"/>
    <w:rsid w:val="00F84713"/>
    <w:rsid w:val="00F8524B"/>
    <w:rsid w:val="00F85571"/>
    <w:rsid w:val="00F85A26"/>
    <w:rsid w:val="00F8666B"/>
    <w:rsid w:val="00F86A02"/>
    <w:rsid w:val="00F87057"/>
    <w:rsid w:val="00F8727D"/>
    <w:rsid w:val="00F87FAC"/>
    <w:rsid w:val="00F906CC"/>
    <w:rsid w:val="00F90EE3"/>
    <w:rsid w:val="00F92259"/>
    <w:rsid w:val="00F9231B"/>
    <w:rsid w:val="00F92326"/>
    <w:rsid w:val="00F934DD"/>
    <w:rsid w:val="00F93E3F"/>
    <w:rsid w:val="00F95680"/>
    <w:rsid w:val="00F9582D"/>
    <w:rsid w:val="00F95BC8"/>
    <w:rsid w:val="00F97511"/>
    <w:rsid w:val="00F9768E"/>
    <w:rsid w:val="00FA2B7C"/>
    <w:rsid w:val="00FA314C"/>
    <w:rsid w:val="00FA39CF"/>
    <w:rsid w:val="00FA5388"/>
    <w:rsid w:val="00FA6420"/>
    <w:rsid w:val="00FA71FF"/>
    <w:rsid w:val="00FA75D1"/>
    <w:rsid w:val="00FA78C8"/>
    <w:rsid w:val="00FA7FD2"/>
    <w:rsid w:val="00FB02F2"/>
    <w:rsid w:val="00FB2169"/>
    <w:rsid w:val="00FB4183"/>
    <w:rsid w:val="00FB5BA0"/>
    <w:rsid w:val="00FB5BBE"/>
    <w:rsid w:val="00FB6BEC"/>
    <w:rsid w:val="00FB7876"/>
    <w:rsid w:val="00FB7E3D"/>
    <w:rsid w:val="00FC00B1"/>
    <w:rsid w:val="00FC05A3"/>
    <w:rsid w:val="00FC0E29"/>
    <w:rsid w:val="00FC0E42"/>
    <w:rsid w:val="00FC1180"/>
    <w:rsid w:val="00FC119D"/>
    <w:rsid w:val="00FC2C49"/>
    <w:rsid w:val="00FC354D"/>
    <w:rsid w:val="00FC3A62"/>
    <w:rsid w:val="00FC3B40"/>
    <w:rsid w:val="00FC3F05"/>
    <w:rsid w:val="00FC47A6"/>
    <w:rsid w:val="00FC53E9"/>
    <w:rsid w:val="00FC5F98"/>
    <w:rsid w:val="00FC6E46"/>
    <w:rsid w:val="00FC704D"/>
    <w:rsid w:val="00FC71F0"/>
    <w:rsid w:val="00FC723D"/>
    <w:rsid w:val="00FC7C50"/>
    <w:rsid w:val="00FD0230"/>
    <w:rsid w:val="00FD0265"/>
    <w:rsid w:val="00FD0B8C"/>
    <w:rsid w:val="00FD177F"/>
    <w:rsid w:val="00FD1976"/>
    <w:rsid w:val="00FD1E19"/>
    <w:rsid w:val="00FD237C"/>
    <w:rsid w:val="00FD251D"/>
    <w:rsid w:val="00FD3056"/>
    <w:rsid w:val="00FD3D91"/>
    <w:rsid w:val="00FD45C8"/>
    <w:rsid w:val="00FD4A18"/>
    <w:rsid w:val="00FD6C6B"/>
    <w:rsid w:val="00FD7C34"/>
    <w:rsid w:val="00FD7E2A"/>
    <w:rsid w:val="00FE00B7"/>
    <w:rsid w:val="00FE0287"/>
    <w:rsid w:val="00FE076D"/>
    <w:rsid w:val="00FE1134"/>
    <w:rsid w:val="00FE1A7E"/>
    <w:rsid w:val="00FE1ADB"/>
    <w:rsid w:val="00FE2A63"/>
    <w:rsid w:val="00FE2BF2"/>
    <w:rsid w:val="00FE3892"/>
    <w:rsid w:val="00FE39FC"/>
    <w:rsid w:val="00FE3AB2"/>
    <w:rsid w:val="00FE3E05"/>
    <w:rsid w:val="00FE4176"/>
    <w:rsid w:val="00FE4474"/>
    <w:rsid w:val="00FE5721"/>
    <w:rsid w:val="00FE6D8B"/>
    <w:rsid w:val="00FE72EE"/>
    <w:rsid w:val="00FE76C8"/>
    <w:rsid w:val="00FE77CC"/>
    <w:rsid w:val="00FF1DFD"/>
    <w:rsid w:val="00FF2ABA"/>
    <w:rsid w:val="00FF3967"/>
    <w:rsid w:val="00FF3EE4"/>
    <w:rsid w:val="00FF4058"/>
    <w:rsid w:val="00FF4534"/>
    <w:rsid w:val="00FF4886"/>
    <w:rsid w:val="00FF4F4C"/>
    <w:rsid w:val="00FF53A9"/>
    <w:rsid w:val="00FF53EE"/>
    <w:rsid w:val="00FF6BCA"/>
    <w:rsid w:val="010F1FEE"/>
    <w:rsid w:val="010F2882"/>
    <w:rsid w:val="01191EEB"/>
    <w:rsid w:val="01247755"/>
    <w:rsid w:val="012C1152"/>
    <w:rsid w:val="01303F65"/>
    <w:rsid w:val="01384172"/>
    <w:rsid w:val="01397BE1"/>
    <w:rsid w:val="013A09C4"/>
    <w:rsid w:val="014C5266"/>
    <w:rsid w:val="01610878"/>
    <w:rsid w:val="01683BB5"/>
    <w:rsid w:val="018351D3"/>
    <w:rsid w:val="018710A3"/>
    <w:rsid w:val="01A7086A"/>
    <w:rsid w:val="01A93A5A"/>
    <w:rsid w:val="01AD7D01"/>
    <w:rsid w:val="01B812FF"/>
    <w:rsid w:val="01E462AD"/>
    <w:rsid w:val="01F36FCC"/>
    <w:rsid w:val="02060918"/>
    <w:rsid w:val="0217273D"/>
    <w:rsid w:val="023537C8"/>
    <w:rsid w:val="02360D4B"/>
    <w:rsid w:val="02713ECF"/>
    <w:rsid w:val="027F14BA"/>
    <w:rsid w:val="02894C03"/>
    <w:rsid w:val="02B15F68"/>
    <w:rsid w:val="02B76D46"/>
    <w:rsid w:val="02C32F68"/>
    <w:rsid w:val="02D45050"/>
    <w:rsid w:val="02F07FB3"/>
    <w:rsid w:val="02F21EEB"/>
    <w:rsid w:val="02FA132F"/>
    <w:rsid w:val="02FE6431"/>
    <w:rsid w:val="03062A9E"/>
    <w:rsid w:val="032F4898"/>
    <w:rsid w:val="033F6241"/>
    <w:rsid w:val="03470120"/>
    <w:rsid w:val="0351047A"/>
    <w:rsid w:val="035D17A4"/>
    <w:rsid w:val="035D7D75"/>
    <w:rsid w:val="035E5F74"/>
    <w:rsid w:val="035F5C25"/>
    <w:rsid w:val="0365592C"/>
    <w:rsid w:val="036B7E52"/>
    <w:rsid w:val="0372035D"/>
    <w:rsid w:val="03831553"/>
    <w:rsid w:val="03A2514E"/>
    <w:rsid w:val="03BF569A"/>
    <w:rsid w:val="03C9617B"/>
    <w:rsid w:val="04222B26"/>
    <w:rsid w:val="04234C6A"/>
    <w:rsid w:val="04302795"/>
    <w:rsid w:val="043729FA"/>
    <w:rsid w:val="04376B8D"/>
    <w:rsid w:val="04591A2E"/>
    <w:rsid w:val="0461422D"/>
    <w:rsid w:val="046E7456"/>
    <w:rsid w:val="047414F5"/>
    <w:rsid w:val="04826CFA"/>
    <w:rsid w:val="04976926"/>
    <w:rsid w:val="04A05494"/>
    <w:rsid w:val="04A558CA"/>
    <w:rsid w:val="04A9499D"/>
    <w:rsid w:val="04C63F01"/>
    <w:rsid w:val="04CD5227"/>
    <w:rsid w:val="04D55D13"/>
    <w:rsid w:val="04EC78FC"/>
    <w:rsid w:val="04FF46D6"/>
    <w:rsid w:val="05301C5F"/>
    <w:rsid w:val="05447943"/>
    <w:rsid w:val="054D67F1"/>
    <w:rsid w:val="05597A8E"/>
    <w:rsid w:val="057A69BF"/>
    <w:rsid w:val="057B0E62"/>
    <w:rsid w:val="0580785F"/>
    <w:rsid w:val="05B911AD"/>
    <w:rsid w:val="05C05AAE"/>
    <w:rsid w:val="05C37EAC"/>
    <w:rsid w:val="05CB0E27"/>
    <w:rsid w:val="05CC0218"/>
    <w:rsid w:val="05D05124"/>
    <w:rsid w:val="05F05D26"/>
    <w:rsid w:val="05F33C03"/>
    <w:rsid w:val="05FE3481"/>
    <w:rsid w:val="063C7A07"/>
    <w:rsid w:val="06416051"/>
    <w:rsid w:val="0642227C"/>
    <w:rsid w:val="065D4EDA"/>
    <w:rsid w:val="066F5174"/>
    <w:rsid w:val="06706E5D"/>
    <w:rsid w:val="06792D62"/>
    <w:rsid w:val="06A7360B"/>
    <w:rsid w:val="06AD4DCE"/>
    <w:rsid w:val="06BE5507"/>
    <w:rsid w:val="06DA057C"/>
    <w:rsid w:val="06DA6645"/>
    <w:rsid w:val="06E930F9"/>
    <w:rsid w:val="06F51521"/>
    <w:rsid w:val="0700486F"/>
    <w:rsid w:val="070142DB"/>
    <w:rsid w:val="070237E0"/>
    <w:rsid w:val="07054490"/>
    <w:rsid w:val="070A780F"/>
    <w:rsid w:val="070E1192"/>
    <w:rsid w:val="070F3382"/>
    <w:rsid w:val="071F0152"/>
    <w:rsid w:val="07622662"/>
    <w:rsid w:val="076707A0"/>
    <w:rsid w:val="07865474"/>
    <w:rsid w:val="078E5B59"/>
    <w:rsid w:val="079B4158"/>
    <w:rsid w:val="07CB2146"/>
    <w:rsid w:val="07CD2DA3"/>
    <w:rsid w:val="07CE525D"/>
    <w:rsid w:val="07CF512D"/>
    <w:rsid w:val="07D04F64"/>
    <w:rsid w:val="07E07011"/>
    <w:rsid w:val="07E17544"/>
    <w:rsid w:val="07FB307F"/>
    <w:rsid w:val="080001B0"/>
    <w:rsid w:val="08036F7C"/>
    <w:rsid w:val="0806636F"/>
    <w:rsid w:val="080E5F49"/>
    <w:rsid w:val="081661AF"/>
    <w:rsid w:val="0825441B"/>
    <w:rsid w:val="082D12C4"/>
    <w:rsid w:val="0854787A"/>
    <w:rsid w:val="08664345"/>
    <w:rsid w:val="08723626"/>
    <w:rsid w:val="08762F83"/>
    <w:rsid w:val="08821CBC"/>
    <w:rsid w:val="089A2898"/>
    <w:rsid w:val="089C5B28"/>
    <w:rsid w:val="08C23EEB"/>
    <w:rsid w:val="08CE3215"/>
    <w:rsid w:val="08FA7A77"/>
    <w:rsid w:val="08FC12C8"/>
    <w:rsid w:val="08FE4DC1"/>
    <w:rsid w:val="09270490"/>
    <w:rsid w:val="0927512D"/>
    <w:rsid w:val="09295931"/>
    <w:rsid w:val="093139E3"/>
    <w:rsid w:val="093C674A"/>
    <w:rsid w:val="09573866"/>
    <w:rsid w:val="0960347E"/>
    <w:rsid w:val="09652590"/>
    <w:rsid w:val="09707513"/>
    <w:rsid w:val="097653E7"/>
    <w:rsid w:val="097E16AA"/>
    <w:rsid w:val="09917881"/>
    <w:rsid w:val="09943C94"/>
    <w:rsid w:val="099536FE"/>
    <w:rsid w:val="09981F6F"/>
    <w:rsid w:val="09D5216E"/>
    <w:rsid w:val="09DC0A1F"/>
    <w:rsid w:val="09DD4F77"/>
    <w:rsid w:val="09F92B47"/>
    <w:rsid w:val="09FF2195"/>
    <w:rsid w:val="0A0A768C"/>
    <w:rsid w:val="0A0E2098"/>
    <w:rsid w:val="0A1646EB"/>
    <w:rsid w:val="0A1A73BA"/>
    <w:rsid w:val="0A2006DF"/>
    <w:rsid w:val="0A3B027F"/>
    <w:rsid w:val="0A8074EA"/>
    <w:rsid w:val="0A9E6CD0"/>
    <w:rsid w:val="0AA67147"/>
    <w:rsid w:val="0AAB0902"/>
    <w:rsid w:val="0ABC03F5"/>
    <w:rsid w:val="0AE4227C"/>
    <w:rsid w:val="0AE77A0C"/>
    <w:rsid w:val="0AE81B19"/>
    <w:rsid w:val="0AFB755B"/>
    <w:rsid w:val="0B046039"/>
    <w:rsid w:val="0B086E91"/>
    <w:rsid w:val="0B1D155E"/>
    <w:rsid w:val="0B235D74"/>
    <w:rsid w:val="0B2A329F"/>
    <w:rsid w:val="0B302FFB"/>
    <w:rsid w:val="0B4205CA"/>
    <w:rsid w:val="0B821434"/>
    <w:rsid w:val="0BAE6924"/>
    <w:rsid w:val="0BB814C1"/>
    <w:rsid w:val="0BC40744"/>
    <w:rsid w:val="0BC56225"/>
    <w:rsid w:val="0BCF0AAA"/>
    <w:rsid w:val="0BDC1CE9"/>
    <w:rsid w:val="0BF55601"/>
    <w:rsid w:val="0BF61DC9"/>
    <w:rsid w:val="0BF96086"/>
    <w:rsid w:val="0C1A3D59"/>
    <w:rsid w:val="0C255D6D"/>
    <w:rsid w:val="0C257B40"/>
    <w:rsid w:val="0C2C064B"/>
    <w:rsid w:val="0C316C9B"/>
    <w:rsid w:val="0C3E34A5"/>
    <w:rsid w:val="0C546315"/>
    <w:rsid w:val="0C812DED"/>
    <w:rsid w:val="0C871385"/>
    <w:rsid w:val="0C950BA6"/>
    <w:rsid w:val="0C970F7A"/>
    <w:rsid w:val="0CA92997"/>
    <w:rsid w:val="0CAF695A"/>
    <w:rsid w:val="0CB12611"/>
    <w:rsid w:val="0CB61B4C"/>
    <w:rsid w:val="0CCB06DA"/>
    <w:rsid w:val="0CEC2369"/>
    <w:rsid w:val="0CEF2175"/>
    <w:rsid w:val="0CFA6642"/>
    <w:rsid w:val="0D0E3BE8"/>
    <w:rsid w:val="0D124D83"/>
    <w:rsid w:val="0D163641"/>
    <w:rsid w:val="0D165FB3"/>
    <w:rsid w:val="0D203DB4"/>
    <w:rsid w:val="0D2D1B50"/>
    <w:rsid w:val="0D2E24AB"/>
    <w:rsid w:val="0D422A1C"/>
    <w:rsid w:val="0D434BB0"/>
    <w:rsid w:val="0D4E642E"/>
    <w:rsid w:val="0D5E0266"/>
    <w:rsid w:val="0D5E1D12"/>
    <w:rsid w:val="0D6061DE"/>
    <w:rsid w:val="0D8C68E2"/>
    <w:rsid w:val="0D972989"/>
    <w:rsid w:val="0D9943EA"/>
    <w:rsid w:val="0DA255F0"/>
    <w:rsid w:val="0DB545D2"/>
    <w:rsid w:val="0DC7118E"/>
    <w:rsid w:val="0DD33387"/>
    <w:rsid w:val="0DE56FE8"/>
    <w:rsid w:val="0DE81FB6"/>
    <w:rsid w:val="0DED34C2"/>
    <w:rsid w:val="0DF47AE0"/>
    <w:rsid w:val="0E154577"/>
    <w:rsid w:val="0E1E3AB1"/>
    <w:rsid w:val="0E331822"/>
    <w:rsid w:val="0E5B7068"/>
    <w:rsid w:val="0E671431"/>
    <w:rsid w:val="0E710B71"/>
    <w:rsid w:val="0E79338A"/>
    <w:rsid w:val="0E8D55BC"/>
    <w:rsid w:val="0E9E43B4"/>
    <w:rsid w:val="0EB47A93"/>
    <w:rsid w:val="0EB72DE1"/>
    <w:rsid w:val="0EC51CF1"/>
    <w:rsid w:val="0ED6340D"/>
    <w:rsid w:val="0ED87CF3"/>
    <w:rsid w:val="0EF04DE5"/>
    <w:rsid w:val="0EFF43BA"/>
    <w:rsid w:val="0F092CD6"/>
    <w:rsid w:val="0F143963"/>
    <w:rsid w:val="0F195054"/>
    <w:rsid w:val="0F215BF5"/>
    <w:rsid w:val="0F242EBB"/>
    <w:rsid w:val="0F3907A8"/>
    <w:rsid w:val="0F3B4AA4"/>
    <w:rsid w:val="0F4425B0"/>
    <w:rsid w:val="0F5B6AB1"/>
    <w:rsid w:val="0F763ACE"/>
    <w:rsid w:val="0F777651"/>
    <w:rsid w:val="0F824F30"/>
    <w:rsid w:val="0FA37114"/>
    <w:rsid w:val="0FE179EE"/>
    <w:rsid w:val="100C34AE"/>
    <w:rsid w:val="100D5F57"/>
    <w:rsid w:val="101F3682"/>
    <w:rsid w:val="10447750"/>
    <w:rsid w:val="10454916"/>
    <w:rsid w:val="10672A16"/>
    <w:rsid w:val="10765DAF"/>
    <w:rsid w:val="107A125F"/>
    <w:rsid w:val="107F13A6"/>
    <w:rsid w:val="1081570B"/>
    <w:rsid w:val="10857989"/>
    <w:rsid w:val="10A76C07"/>
    <w:rsid w:val="10B4070D"/>
    <w:rsid w:val="10B84EDA"/>
    <w:rsid w:val="10C20616"/>
    <w:rsid w:val="10C34322"/>
    <w:rsid w:val="10DE674D"/>
    <w:rsid w:val="10E832B4"/>
    <w:rsid w:val="1113307B"/>
    <w:rsid w:val="111369C6"/>
    <w:rsid w:val="111934E7"/>
    <w:rsid w:val="112172C2"/>
    <w:rsid w:val="114D7618"/>
    <w:rsid w:val="11663183"/>
    <w:rsid w:val="116F6BC1"/>
    <w:rsid w:val="11983D3E"/>
    <w:rsid w:val="11AE39F8"/>
    <w:rsid w:val="11C53F61"/>
    <w:rsid w:val="11CB0A76"/>
    <w:rsid w:val="11D33C40"/>
    <w:rsid w:val="11D34725"/>
    <w:rsid w:val="11E20A93"/>
    <w:rsid w:val="11E96A5D"/>
    <w:rsid w:val="11F042B9"/>
    <w:rsid w:val="11F8380E"/>
    <w:rsid w:val="11F932C9"/>
    <w:rsid w:val="11FC5DEC"/>
    <w:rsid w:val="12062D4C"/>
    <w:rsid w:val="12134055"/>
    <w:rsid w:val="121767DB"/>
    <w:rsid w:val="122907E8"/>
    <w:rsid w:val="124117B1"/>
    <w:rsid w:val="12445622"/>
    <w:rsid w:val="12445E42"/>
    <w:rsid w:val="12465C21"/>
    <w:rsid w:val="12550B18"/>
    <w:rsid w:val="12663BE0"/>
    <w:rsid w:val="12735753"/>
    <w:rsid w:val="12834502"/>
    <w:rsid w:val="128A2BB7"/>
    <w:rsid w:val="128F2A4F"/>
    <w:rsid w:val="12A85BB1"/>
    <w:rsid w:val="12BF6976"/>
    <w:rsid w:val="12CA084D"/>
    <w:rsid w:val="12DE6746"/>
    <w:rsid w:val="13046D67"/>
    <w:rsid w:val="130E11A0"/>
    <w:rsid w:val="131F3CFA"/>
    <w:rsid w:val="1320527C"/>
    <w:rsid w:val="133929C4"/>
    <w:rsid w:val="133D6799"/>
    <w:rsid w:val="136007E7"/>
    <w:rsid w:val="13650BBA"/>
    <w:rsid w:val="136E327B"/>
    <w:rsid w:val="1393285B"/>
    <w:rsid w:val="139A199E"/>
    <w:rsid w:val="139E4122"/>
    <w:rsid w:val="13A07738"/>
    <w:rsid w:val="13A72EEF"/>
    <w:rsid w:val="13AB36C5"/>
    <w:rsid w:val="13B332B0"/>
    <w:rsid w:val="13B43589"/>
    <w:rsid w:val="13BB0808"/>
    <w:rsid w:val="13BC175F"/>
    <w:rsid w:val="13CB7DA9"/>
    <w:rsid w:val="13D057B3"/>
    <w:rsid w:val="13D749A0"/>
    <w:rsid w:val="13E26EA1"/>
    <w:rsid w:val="14060571"/>
    <w:rsid w:val="141A27C4"/>
    <w:rsid w:val="14206107"/>
    <w:rsid w:val="1426082A"/>
    <w:rsid w:val="14380960"/>
    <w:rsid w:val="143811B7"/>
    <w:rsid w:val="145A5FD6"/>
    <w:rsid w:val="1488287C"/>
    <w:rsid w:val="14A92EF7"/>
    <w:rsid w:val="14B856A7"/>
    <w:rsid w:val="14D55648"/>
    <w:rsid w:val="14DA401C"/>
    <w:rsid w:val="14DE0C0F"/>
    <w:rsid w:val="14E22466"/>
    <w:rsid w:val="14EE1A04"/>
    <w:rsid w:val="14F134BB"/>
    <w:rsid w:val="15330A9C"/>
    <w:rsid w:val="15367333"/>
    <w:rsid w:val="1537321C"/>
    <w:rsid w:val="154304FD"/>
    <w:rsid w:val="15482AA3"/>
    <w:rsid w:val="154923E9"/>
    <w:rsid w:val="156952E9"/>
    <w:rsid w:val="15766AAE"/>
    <w:rsid w:val="157D32D4"/>
    <w:rsid w:val="1585042C"/>
    <w:rsid w:val="15924B9F"/>
    <w:rsid w:val="15957D8F"/>
    <w:rsid w:val="15A5287C"/>
    <w:rsid w:val="15BD5E7C"/>
    <w:rsid w:val="15DA10CC"/>
    <w:rsid w:val="15DD00D1"/>
    <w:rsid w:val="15DE37A1"/>
    <w:rsid w:val="15E33004"/>
    <w:rsid w:val="1606775E"/>
    <w:rsid w:val="162C1EBE"/>
    <w:rsid w:val="16462E87"/>
    <w:rsid w:val="166C0B9E"/>
    <w:rsid w:val="167A18C1"/>
    <w:rsid w:val="16832BBD"/>
    <w:rsid w:val="169F561C"/>
    <w:rsid w:val="16A90C06"/>
    <w:rsid w:val="16AB6ADB"/>
    <w:rsid w:val="16B86BB9"/>
    <w:rsid w:val="16BC04A0"/>
    <w:rsid w:val="16C33D88"/>
    <w:rsid w:val="16C365AB"/>
    <w:rsid w:val="16C8192A"/>
    <w:rsid w:val="171A332F"/>
    <w:rsid w:val="17251EAC"/>
    <w:rsid w:val="172F5A62"/>
    <w:rsid w:val="174602F3"/>
    <w:rsid w:val="174B3433"/>
    <w:rsid w:val="175201A4"/>
    <w:rsid w:val="17581F6D"/>
    <w:rsid w:val="177A1481"/>
    <w:rsid w:val="177A4BC0"/>
    <w:rsid w:val="17844E8E"/>
    <w:rsid w:val="179914B3"/>
    <w:rsid w:val="17A116AE"/>
    <w:rsid w:val="17B020A8"/>
    <w:rsid w:val="17D252F9"/>
    <w:rsid w:val="17EA27C8"/>
    <w:rsid w:val="17EF5266"/>
    <w:rsid w:val="18016AC9"/>
    <w:rsid w:val="18071B33"/>
    <w:rsid w:val="180B71E5"/>
    <w:rsid w:val="180C6C8C"/>
    <w:rsid w:val="180E5A00"/>
    <w:rsid w:val="181A0A1C"/>
    <w:rsid w:val="181B2BBC"/>
    <w:rsid w:val="18280523"/>
    <w:rsid w:val="1838767D"/>
    <w:rsid w:val="183F3519"/>
    <w:rsid w:val="1841459E"/>
    <w:rsid w:val="184A01D4"/>
    <w:rsid w:val="18573C5A"/>
    <w:rsid w:val="18692D3C"/>
    <w:rsid w:val="186F7BC5"/>
    <w:rsid w:val="187351E3"/>
    <w:rsid w:val="187D188E"/>
    <w:rsid w:val="188C47E4"/>
    <w:rsid w:val="188E4423"/>
    <w:rsid w:val="189039E8"/>
    <w:rsid w:val="1895034B"/>
    <w:rsid w:val="18AB63FB"/>
    <w:rsid w:val="18B157FE"/>
    <w:rsid w:val="18C91C4B"/>
    <w:rsid w:val="18D9032B"/>
    <w:rsid w:val="18F00E70"/>
    <w:rsid w:val="19023502"/>
    <w:rsid w:val="19055AD8"/>
    <w:rsid w:val="19104A6E"/>
    <w:rsid w:val="192E299C"/>
    <w:rsid w:val="19450804"/>
    <w:rsid w:val="194818B4"/>
    <w:rsid w:val="195C2DAE"/>
    <w:rsid w:val="19601CA0"/>
    <w:rsid w:val="196846B9"/>
    <w:rsid w:val="19704D28"/>
    <w:rsid w:val="1979599D"/>
    <w:rsid w:val="197C2A4A"/>
    <w:rsid w:val="19855AE2"/>
    <w:rsid w:val="19A65C35"/>
    <w:rsid w:val="19A86CE9"/>
    <w:rsid w:val="19AF3CC9"/>
    <w:rsid w:val="19B14BB6"/>
    <w:rsid w:val="19B72B7E"/>
    <w:rsid w:val="19BA322A"/>
    <w:rsid w:val="19C21F5D"/>
    <w:rsid w:val="19C32321"/>
    <w:rsid w:val="19C34467"/>
    <w:rsid w:val="19C72EE6"/>
    <w:rsid w:val="19D55685"/>
    <w:rsid w:val="19D63097"/>
    <w:rsid w:val="19ED18E3"/>
    <w:rsid w:val="1A0645A3"/>
    <w:rsid w:val="1A0D2A4A"/>
    <w:rsid w:val="1A2B74EA"/>
    <w:rsid w:val="1A2F6045"/>
    <w:rsid w:val="1A400204"/>
    <w:rsid w:val="1A473FCC"/>
    <w:rsid w:val="1A564222"/>
    <w:rsid w:val="1A645FCD"/>
    <w:rsid w:val="1A685EB8"/>
    <w:rsid w:val="1A6A2CE9"/>
    <w:rsid w:val="1A6D0BEE"/>
    <w:rsid w:val="1A817DEA"/>
    <w:rsid w:val="1A8F336A"/>
    <w:rsid w:val="1A977783"/>
    <w:rsid w:val="1A994D33"/>
    <w:rsid w:val="1AA0593B"/>
    <w:rsid w:val="1AA06B55"/>
    <w:rsid w:val="1AA36974"/>
    <w:rsid w:val="1ABE7DC8"/>
    <w:rsid w:val="1AC356AE"/>
    <w:rsid w:val="1AD35B55"/>
    <w:rsid w:val="1ADC4976"/>
    <w:rsid w:val="1AF71484"/>
    <w:rsid w:val="1AFD117C"/>
    <w:rsid w:val="1B026FC0"/>
    <w:rsid w:val="1B0852E4"/>
    <w:rsid w:val="1B0C4205"/>
    <w:rsid w:val="1B124510"/>
    <w:rsid w:val="1B1A5FC1"/>
    <w:rsid w:val="1B3407E3"/>
    <w:rsid w:val="1B39659C"/>
    <w:rsid w:val="1B42721F"/>
    <w:rsid w:val="1B451A2A"/>
    <w:rsid w:val="1B571741"/>
    <w:rsid w:val="1B6F33E5"/>
    <w:rsid w:val="1B7F2276"/>
    <w:rsid w:val="1B871004"/>
    <w:rsid w:val="1B963FA6"/>
    <w:rsid w:val="1B9B5BFE"/>
    <w:rsid w:val="1B9F7211"/>
    <w:rsid w:val="1BA94E24"/>
    <w:rsid w:val="1BAB04C0"/>
    <w:rsid w:val="1BB362E2"/>
    <w:rsid w:val="1BBA0645"/>
    <w:rsid w:val="1BBF365C"/>
    <w:rsid w:val="1BC162E8"/>
    <w:rsid w:val="1BD83779"/>
    <w:rsid w:val="1C000FBC"/>
    <w:rsid w:val="1C010D1D"/>
    <w:rsid w:val="1C097C83"/>
    <w:rsid w:val="1C154BFE"/>
    <w:rsid w:val="1C2558B4"/>
    <w:rsid w:val="1C282F6F"/>
    <w:rsid w:val="1C3B4A23"/>
    <w:rsid w:val="1C451D69"/>
    <w:rsid w:val="1C53055C"/>
    <w:rsid w:val="1C57773B"/>
    <w:rsid w:val="1C6F7463"/>
    <w:rsid w:val="1C762B3D"/>
    <w:rsid w:val="1C784846"/>
    <w:rsid w:val="1C8D776B"/>
    <w:rsid w:val="1C9A47E7"/>
    <w:rsid w:val="1CA0383F"/>
    <w:rsid w:val="1CC36E55"/>
    <w:rsid w:val="1CCC1EBA"/>
    <w:rsid w:val="1D1D4E2E"/>
    <w:rsid w:val="1D22415C"/>
    <w:rsid w:val="1D2624F4"/>
    <w:rsid w:val="1D3E2C93"/>
    <w:rsid w:val="1D413C15"/>
    <w:rsid w:val="1D52669D"/>
    <w:rsid w:val="1D5E4918"/>
    <w:rsid w:val="1D610D61"/>
    <w:rsid w:val="1D855C9C"/>
    <w:rsid w:val="1D8645B5"/>
    <w:rsid w:val="1DA50210"/>
    <w:rsid w:val="1DD90E9A"/>
    <w:rsid w:val="1DE103FA"/>
    <w:rsid w:val="1DE72F8B"/>
    <w:rsid w:val="1DF41671"/>
    <w:rsid w:val="1E20408B"/>
    <w:rsid w:val="1E2E6377"/>
    <w:rsid w:val="1E2F441B"/>
    <w:rsid w:val="1E3104EB"/>
    <w:rsid w:val="1E3A67DB"/>
    <w:rsid w:val="1E3C67A3"/>
    <w:rsid w:val="1E6D128D"/>
    <w:rsid w:val="1E722C69"/>
    <w:rsid w:val="1E9B0B5A"/>
    <w:rsid w:val="1EA63440"/>
    <w:rsid w:val="1EB072B1"/>
    <w:rsid w:val="1EB50BBD"/>
    <w:rsid w:val="1EC06BEC"/>
    <w:rsid w:val="1EC951EC"/>
    <w:rsid w:val="1EDD59CE"/>
    <w:rsid w:val="1EFD0BCB"/>
    <w:rsid w:val="1EFF420A"/>
    <w:rsid w:val="1F3031B6"/>
    <w:rsid w:val="1F4B5E44"/>
    <w:rsid w:val="1F502E6E"/>
    <w:rsid w:val="1F5F2F92"/>
    <w:rsid w:val="1F677541"/>
    <w:rsid w:val="1F6F5384"/>
    <w:rsid w:val="1F7761D9"/>
    <w:rsid w:val="1F9853B4"/>
    <w:rsid w:val="1FAA1EEE"/>
    <w:rsid w:val="1FB20C2C"/>
    <w:rsid w:val="1FCD35E0"/>
    <w:rsid w:val="1FD02EE8"/>
    <w:rsid w:val="1FD2597E"/>
    <w:rsid w:val="1FEFA792"/>
    <w:rsid w:val="1FF20FA0"/>
    <w:rsid w:val="1FFB7C68"/>
    <w:rsid w:val="1FFF6B0A"/>
    <w:rsid w:val="2004034F"/>
    <w:rsid w:val="200B13E8"/>
    <w:rsid w:val="201E1EB2"/>
    <w:rsid w:val="2030186F"/>
    <w:rsid w:val="20350095"/>
    <w:rsid w:val="20382371"/>
    <w:rsid w:val="203F0AAD"/>
    <w:rsid w:val="20432DCD"/>
    <w:rsid w:val="2044159C"/>
    <w:rsid w:val="20492558"/>
    <w:rsid w:val="205E38F0"/>
    <w:rsid w:val="206724C7"/>
    <w:rsid w:val="20692E24"/>
    <w:rsid w:val="2075089D"/>
    <w:rsid w:val="2080012F"/>
    <w:rsid w:val="209F6845"/>
    <w:rsid w:val="20A20580"/>
    <w:rsid w:val="20AA0500"/>
    <w:rsid w:val="20CD4001"/>
    <w:rsid w:val="20E86F89"/>
    <w:rsid w:val="210920EF"/>
    <w:rsid w:val="21174251"/>
    <w:rsid w:val="21392153"/>
    <w:rsid w:val="213D3995"/>
    <w:rsid w:val="213E63DA"/>
    <w:rsid w:val="21514B5B"/>
    <w:rsid w:val="21627C9F"/>
    <w:rsid w:val="216819C4"/>
    <w:rsid w:val="217F7026"/>
    <w:rsid w:val="21930481"/>
    <w:rsid w:val="21992531"/>
    <w:rsid w:val="21B170D7"/>
    <w:rsid w:val="21B40DB4"/>
    <w:rsid w:val="21BA320B"/>
    <w:rsid w:val="21BC344B"/>
    <w:rsid w:val="21BD7A67"/>
    <w:rsid w:val="21BF2C33"/>
    <w:rsid w:val="21D132BC"/>
    <w:rsid w:val="21F0010E"/>
    <w:rsid w:val="22030BB6"/>
    <w:rsid w:val="22032E04"/>
    <w:rsid w:val="220C5635"/>
    <w:rsid w:val="220D2602"/>
    <w:rsid w:val="224951C9"/>
    <w:rsid w:val="2253337B"/>
    <w:rsid w:val="226C4986"/>
    <w:rsid w:val="22753104"/>
    <w:rsid w:val="22A50CDA"/>
    <w:rsid w:val="22B2216B"/>
    <w:rsid w:val="22BE4F7D"/>
    <w:rsid w:val="22C33E95"/>
    <w:rsid w:val="22C523CF"/>
    <w:rsid w:val="22C54964"/>
    <w:rsid w:val="22DE14CA"/>
    <w:rsid w:val="22F14B5A"/>
    <w:rsid w:val="22F310EC"/>
    <w:rsid w:val="230B3186"/>
    <w:rsid w:val="230B6ABD"/>
    <w:rsid w:val="232A7F55"/>
    <w:rsid w:val="23366A59"/>
    <w:rsid w:val="233841C0"/>
    <w:rsid w:val="2363312E"/>
    <w:rsid w:val="23704814"/>
    <w:rsid w:val="237B4F4F"/>
    <w:rsid w:val="237F3F46"/>
    <w:rsid w:val="23925515"/>
    <w:rsid w:val="23A221A9"/>
    <w:rsid w:val="23A835D3"/>
    <w:rsid w:val="23DF4103"/>
    <w:rsid w:val="23E33B7E"/>
    <w:rsid w:val="23F23130"/>
    <w:rsid w:val="24055FBC"/>
    <w:rsid w:val="241271DB"/>
    <w:rsid w:val="24243943"/>
    <w:rsid w:val="24284DA4"/>
    <w:rsid w:val="24291D1C"/>
    <w:rsid w:val="242F013F"/>
    <w:rsid w:val="24381601"/>
    <w:rsid w:val="244D5D3A"/>
    <w:rsid w:val="246B0877"/>
    <w:rsid w:val="247A210A"/>
    <w:rsid w:val="24944FF6"/>
    <w:rsid w:val="2498033F"/>
    <w:rsid w:val="249C22E1"/>
    <w:rsid w:val="24A44AD2"/>
    <w:rsid w:val="24F20F2C"/>
    <w:rsid w:val="250F054B"/>
    <w:rsid w:val="251C0032"/>
    <w:rsid w:val="251E464F"/>
    <w:rsid w:val="25221B36"/>
    <w:rsid w:val="25493364"/>
    <w:rsid w:val="255C378E"/>
    <w:rsid w:val="257467E5"/>
    <w:rsid w:val="25780806"/>
    <w:rsid w:val="25794E0D"/>
    <w:rsid w:val="258A22CD"/>
    <w:rsid w:val="258C2F14"/>
    <w:rsid w:val="25983863"/>
    <w:rsid w:val="259C58FE"/>
    <w:rsid w:val="25AF024F"/>
    <w:rsid w:val="25B862D0"/>
    <w:rsid w:val="25CB3A81"/>
    <w:rsid w:val="2619387A"/>
    <w:rsid w:val="261D6F6E"/>
    <w:rsid w:val="262C5C6D"/>
    <w:rsid w:val="26567C0E"/>
    <w:rsid w:val="26661BB3"/>
    <w:rsid w:val="266F480A"/>
    <w:rsid w:val="267D1FC5"/>
    <w:rsid w:val="26805560"/>
    <w:rsid w:val="26A71D59"/>
    <w:rsid w:val="26C0346C"/>
    <w:rsid w:val="26C14A80"/>
    <w:rsid w:val="26CA79B1"/>
    <w:rsid w:val="26CB1A16"/>
    <w:rsid w:val="26D046A2"/>
    <w:rsid w:val="26D27F13"/>
    <w:rsid w:val="26E36DA9"/>
    <w:rsid w:val="26F53542"/>
    <w:rsid w:val="270C62B7"/>
    <w:rsid w:val="270D444F"/>
    <w:rsid w:val="271916C3"/>
    <w:rsid w:val="27295107"/>
    <w:rsid w:val="273A24AE"/>
    <w:rsid w:val="27456DDA"/>
    <w:rsid w:val="274704F7"/>
    <w:rsid w:val="27506187"/>
    <w:rsid w:val="27591CFC"/>
    <w:rsid w:val="275A3352"/>
    <w:rsid w:val="276F63C2"/>
    <w:rsid w:val="27703BAC"/>
    <w:rsid w:val="27816204"/>
    <w:rsid w:val="27871DE1"/>
    <w:rsid w:val="278909E9"/>
    <w:rsid w:val="278D5029"/>
    <w:rsid w:val="278D77E9"/>
    <w:rsid w:val="27900E5F"/>
    <w:rsid w:val="27980778"/>
    <w:rsid w:val="27B039C8"/>
    <w:rsid w:val="27C564D2"/>
    <w:rsid w:val="27CB356E"/>
    <w:rsid w:val="27DB14E9"/>
    <w:rsid w:val="27E63708"/>
    <w:rsid w:val="27E97B96"/>
    <w:rsid w:val="27F95DF6"/>
    <w:rsid w:val="27FC68FC"/>
    <w:rsid w:val="28015AEC"/>
    <w:rsid w:val="280B7F29"/>
    <w:rsid w:val="281E1898"/>
    <w:rsid w:val="281F6326"/>
    <w:rsid w:val="28242737"/>
    <w:rsid w:val="28242E05"/>
    <w:rsid w:val="282F6F65"/>
    <w:rsid w:val="28531512"/>
    <w:rsid w:val="286F6445"/>
    <w:rsid w:val="2880029E"/>
    <w:rsid w:val="28872154"/>
    <w:rsid w:val="28981857"/>
    <w:rsid w:val="289E3886"/>
    <w:rsid w:val="28AA21B8"/>
    <w:rsid w:val="28AB3FBB"/>
    <w:rsid w:val="28AC40B4"/>
    <w:rsid w:val="28AD4E25"/>
    <w:rsid w:val="28B214EF"/>
    <w:rsid w:val="28E76997"/>
    <w:rsid w:val="28F5576A"/>
    <w:rsid w:val="28F8088B"/>
    <w:rsid w:val="290D4165"/>
    <w:rsid w:val="291E414A"/>
    <w:rsid w:val="291E49C7"/>
    <w:rsid w:val="292661E0"/>
    <w:rsid w:val="292B71CE"/>
    <w:rsid w:val="29326F94"/>
    <w:rsid w:val="293715E5"/>
    <w:rsid w:val="2939014D"/>
    <w:rsid w:val="293A5C24"/>
    <w:rsid w:val="29496672"/>
    <w:rsid w:val="294B072C"/>
    <w:rsid w:val="298E2223"/>
    <w:rsid w:val="299710B2"/>
    <w:rsid w:val="29C03002"/>
    <w:rsid w:val="29C341ED"/>
    <w:rsid w:val="29D17C06"/>
    <w:rsid w:val="29D3340F"/>
    <w:rsid w:val="29E13C7C"/>
    <w:rsid w:val="29E26806"/>
    <w:rsid w:val="29F4710C"/>
    <w:rsid w:val="29FF0B07"/>
    <w:rsid w:val="2A0E00CA"/>
    <w:rsid w:val="2A2D064F"/>
    <w:rsid w:val="2A2E06AD"/>
    <w:rsid w:val="2A3B6720"/>
    <w:rsid w:val="2A3C54CD"/>
    <w:rsid w:val="2A4B3C6C"/>
    <w:rsid w:val="2A630D17"/>
    <w:rsid w:val="2A791B21"/>
    <w:rsid w:val="2A87357D"/>
    <w:rsid w:val="2A8B2271"/>
    <w:rsid w:val="2A920D5A"/>
    <w:rsid w:val="2A996A64"/>
    <w:rsid w:val="2AA5169E"/>
    <w:rsid w:val="2AA53D30"/>
    <w:rsid w:val="2AAE58D7"/>
    <w:rsid w:val="2ABD6BD2"/>
    <w:rsid w:val="2AC13D22"/>
    <w:rsid w:val="2ACB20BE"/>
    <w:rsid w:val="2AED38FF"/>
    <w:rsid w:val="2AF13218"/>
    <w:rsid w:val="2AFD10AB"/>
    <w:rsid w:val="2B2158D3"/>
    <w:rsid w:val="2B273342"/>
    <w:rsid w:val="2B29595D"/>
    <w:rsid w:val="2B4A1AA4"/>
    <w:rsid w:val="2B5934AE"/>
    <w:rsid w:val="2B5B4633"/>
    <w:rsid w:val="2B6A7A50"/>
    <w:rsid w:val="2B7A5423"/>
    <w:rsid w:val="2B853CF9"/>
    <w:rsid w:val="2B914B5D"/>
    <w:rsid w:val="2BA9469B"/>
    <w:rsid w:val="2BB67139"/>
    <w:rsid w:val="2BCD0048"/>
    <w:rsid w:val="2BD07070"/>
    <w:rsid w:val="2BE529C4"/>
    <w:rsid w:val="2BE5693E"/>
    <w:rsid w:val="2BF544D2"/>
    <w:rsid w:val="2BFA1CA3"/>
    <w:rsid w:val="2C0E0F1F"/>
    <w:rsid w:val="2C255A4C"/>
    <w:rsid w:val="2C396AD4"/>
    <w:rsid w:val="2C3D1CE0"/>
    <w:rsid w:val="2C453FDD"/>
    <w:rsid w:val="2C5F5EB5"/>
    <w:rsid w:val="2C663433"/>
    <w:rsid w:val="2C816910"/>
    <w:rsid w:val="2C8D1C48"/>
    <w:rsid w:val="2C9E0649"/>
    <w:rsid w:val="2CA54B1C"/>
    <w:rsid w:val="2CC22BB9"/>
    <w:rsid w:val="2CD17CCF"/>
    <w:rsid w:val="2CE20CD8"/>
    <w:rsid w:val="2D1C517B"/>
    <w:rsid w:val="2D2824B2"/>
    <w:rsid w:val="2D355A17"/>
    <w:rsid w:val="2D4C5977"/>
    <w:rsid w:val="2D6138B7"/>
    <w:rsid w:val="2D666BF9"/>
    <w:rsid w:val="2D763884"/>
    <w:rsid w:val="2D833B32"/>
    <w:rsid w:val="2D896548"/>
    <w:rsid w:val="2D903C3D"/>
    <w:rsid w:val="2D917EAF"/>
    <w:rsid w:val="2D94331D"/>
    <w:rsid w:val="2DA13A86"/>
    <w:rsid w:val="2DB0030F"/>
    <w:rsid w:val="2DBF70E8"/>
    <w:rsid w:val="2DCA0BF2"/>
    <w:rsid w:val="2DD14BA3"/>
    <w:rsid w:val="2DD83397"/>
    <w:rsid w:val="2DEF6BDA"/>
    <w:rsid w:val="2DFE26D1"/>
    <w:rsid w:val="2E002321"/>
    <w:rsid w:val="2E05279A"/>
    <w:rsid w:val="2E1C647D"/>
    <w:rsid w:val="2E277EEB"/>
    <w:rsid w:val="2E325CD0"/>
    <w:rsid w:val="2E3C37AA"/>
    <w:rsid w:val="2E3E32B1"/>
    <w:rsid w:val="2E3F37FA"/>
    <w:rsid w:val="2E414B35"/>
    <w:rsid w:val="2E570595"/>
    <w:rsid w:val="2E580F8F"/>
    <w:rsid w:val="2E5E0768"/>
    <w:rsid w:val="2E675101"/>
    <w:rsid w:val="2E7A5712"/>
    <w:rsid w:val="2E8639C6"/>
    <w:rsid w:val="2EA532BE"/>
    <w:rsid w:val="2EB14DB5"/>
    <w:rsid w:val="2EB81807"/>
    <w:rsid w:val="2EC47A74"/>
    <w:rsid w:val="2ECD17AD"/>
    <w:rsid w:val="2ED9015F"/>
    <w:rsid w:val="2EDB7001"/>
    <w:rsid w:val="2EFB12DD"/>
    <w:rsid w:val="2F134289"/>
    <w:rsid w:val="2F246219"/>
    <w:rsid w:val="2F332407"/>
    <w:rsid w:val="2F5E5535"/>
    <w:rsid w:val="2F650E51"/>
    <w:rsid w:val="2F7D1042"/>
    <w:rsid w:val="2F7F38EF"/>
    <w:rsid w:val="2FA030EF"/>
    <w:rsid w:val="2FA63021"/>
    <w:rsid w:val="2FB9565D"/>
    <w:rsid w:val="2FC14E06"/>
    <w:rsid w:val="2FC66A80"/>
    <w:rsid w:val="2FD60F8C"/>
    <w:rsid w:val="2FDC0D67"/>
    <w:rsid w:val="2FDD7AA8"/>
    <w:rsid w:val="2FDF05E9"/>
    <w:rsid w:val="300E54BC"/>
    <w:rsid w:val="302A451F"/>
    <w:rsid w:val="302D54D4"/>
    <w:rsid w:val="302E0A39"/>
    <w:rsid w:val="30407780"/>
    <w:rsid w:val="3043520F"/>
    <w:rsid w:val="305A76AB"/>
    <w:rsid w:val="30841252"/>
    <w:rsid w:val="30AE5D9B"/>
    <w:rsid w:val="30B15F12"/>
    <w:rsid w:val="30BD5A46"/>
    <w:rsid w:val="30C670C4"/>
    <w:rsid w:val="30CA166B"/>
    <w:rsid w:val="30E87423"/>
    <w:rsid w:val="30ED1101"/>
    <w:rsid w:val="30ED7421"/>
    <w:rsid w:val="30F72E6E"/>
    <w:rsid w:val="30F857B9"/>
    <w:rsid w:val="31170894"/>
    <w:rsid w:val="313A36E5"/>
    <w:rsid w:val="313F50D7"/>
    <w:rsid w:val="314F6742"/>
    <w:rsid w:val="315727F7"/>
    <w:rsid w:val="31595A51"/>
    <w:rsid w:val="315C7F7F"/>
    <w:rsid w:val="31754FD5"/>
    <w:rsid w:val="31785A4E"/>
    <w:rsid w:val="31863DA3"/>
    <w:rsid w:val="31CC5D3F"/>
    <w:rsid w:val="31CF2D29"/>
    <w:rsid w:val="31CF4AB1"/>
    <w:rsid w:val="31E82675"/>
    <w:rsid w:val="31FE41EC"/>
    <w:rsid w:val="321E6DA8"/>
    <w:rsid w:val="32287A9E"/>
    <w:rsid w:val="322A28A3"/>
    <w:rsid w:val="322D059F"/>
    <w:rsid w:val="32433665"/>
    <w:rsid w:val="325869D8"/>
    <w:rsid w:val="326D7BCF"/>
    <w:rsid w:val="327A6BD0"/>
    <w:rsid w:val="32832ED6"/>
    <w:rsid w:val="32AC1117"/>
    <w:rsid w:val="32C31B6B"/>
    <w:rsid w:val="32D45531"/>
    <w:rsid w:val="32D96982"/>
    <w:rsid w:val="32F74A3F"/>
    <w:rsid w:val="32FF3B55"/>
    <w:rsid w:val="33030EB6"/>
    <w:rsid w:val="33050AAD"/>
    <w:rsid w:val="330C7418"/>
    <w:rsid w:val="33116608"/>
    <w:rsid w:val="33174140"/>
    <w:rsid w:val="33290330"/>
    <w:rsid w:val="332C3F79"/>
    <w:rsid w:val="33392236"/>
    <w:rsid w:val="33404C33"/>
    <w:rsid w:val="334530F3"/>
    <w:rsid w:val="334A37F9"/>
    <w:rsid w:val="33666DC5"/>
    <w:rsid w:val="336E02D4"/>
    <w:rsid w:val="3381489C"/>
    <w:rsid w:val="33861D25"/>
    <w:rsid w:val="33C31966"/>
    <w:rsid w:val="33C96CCF"/>
    <w:rsid w:val="33CE606B"/>
    <w:rsid w:val="33D1513C"/>
    <w:rsid w:val="33E508AC"/>
    <w:rsid w:val="33E97899"/>
    <w:rsid w:val="33EA3E24"/>
    <w:rsid w:val="33F30E32"/>
    <w:rsid w:val="33F85143"/>
    <w:rsid w:val="34004CF5"/>
    <w:rsid w:val="340505DC"/>
    <w:rsid w:val="341B2DD1"/>
    <w:rsid w:val="342041F4"/>
    <w:rsid w:val="342543BE"/>
    <w:rsid w:val="34270AC1"/>
    <w:rsid w:val="342927FC"/>
    <w:rsid w:val="34562F70"/>
    <w:rsid w:val="3461736E"/>
    <w:rsid w:val="347E3539"/>
    <w:rsid w:val="34830369"/>
    <w:rsid w:val="34F55309"/>
    <w:rsid w:val="35015008"/>
    <w:rsid w:val="350D407B"/>
    <w:rsid w:val="354503F4"/>
    <w:rsid w:val="35497E3D"/>
    <w:rsid w:val="355B3D82"/>
    <w:rsid w:val="35606624"/>
    <w:rsid w:val="35841377"/>
    <w:rsid w:val="358F1EC3"/>
    <w:rsid w:val="359A09ED"/>
    <w:rsid w:val="35AA1BCA"/>
    <w:rsid w:val="35B33563"/>
    <w:rsid w:val="35B53FBD"/>
    <w:rsid w:val="35BC4AB2"/>
    <w:rsid w:val="35BE16F7"/>
    <w:rsid w:val="35CB558F"/>
    <w:rsid w:val="35D31094"/>
    <w:rsid w:val="35E936E6"/>
    <w:rsid w:val="35EB0A3D"/>
    <w:rsid w:val="35FA1982"/>
    <w:rsid w:val="35FE2F69"/>
    <w:rsid w:val="360C3486"/>
    <w:rsid w:val="360D47B5"/>
    <w:rsid w:val="360F0EAE"/>
    <w:rsid w:val="361055D6"/>
    <w:rsid w:val="36197AB6"/>
    <w:rsid w:val="363C4806"/>
    <w:rsid w:val="36441F53"/>
    <w:rsid w:val="364C0351"/>
    <w:rsid w:val="364E6C2B"/>
    <w:rsid w:val="367E53BD"/>
    <w:rsid w:val="368559A2"/>
    <w:rsid w:val="36995CF0"/>
    <w:rsid w:val="36B15DF4"/>
    <w:rsid w:val="36C070E9"/>
    <w:rsid w:val="36D121F1"/>
    <w:rsid w:val="36DB74F0"/>
    <w:rsid w:val="36FC2539"/>
    <w:rsid w:val="37162A11"/>
    <w:rsid w:val="37383C9E"/>
    <w:rsid w:val="37561C60"/>
    <w:rsid w:val="375A58F9"/>
    <w:rsid w:val="376D0505"/>
    <w:rsid w:val="376D4567"/>
    <w:rsid w:val="377C4C78"/>
    <w:rsid w:val="37965470"/>
    <w:rsid w:val="37A058ED"/>
    <w:rsid w:val="37B07E7F"/>
    <w:rsid w:val="37B2386C"/>
    <w:rsid w:val="37C472DC"/>
    <w:rsid w:val="37C8447C"/>
    <w:rsid w:val="37D4759E"/>
    <w:rsid w:val="37E17558"/>
    <w:rsid w:val="37F609F5"/>
    <w:rsid w:val="380644A3"/>
    <w:rsid w:val="38142EE2"/>
    <w:rsid w:val="38265678"/>
    <w:rsid w:val="382D35E2"/>
    <w:rsid w:val="38383CFD"/>
    <w:rsid w:val="383A1306"/>
    <w:rsid w:val="383B3AEE"/>
    <w:rsid w:val="385C6972"/>
    <w:rsid w:val="38726196"/>
    <w:rsid w:val="387F6F98"/>
    <w:rsid w:val="38884D0A"/>
    <w:rsid w:val="388C0C80"/>
    <w:rsid w:val="389D260B"/>
    <w:rsid w:val="38AC2166"/>
    <w:rsid w:val="38AC2771"/>
    <w:rsid w:val="38AD2AC5"/>
    <w:rsid w:val="38B31CD2"/>
    <w:rsid w:val="38D46E50"/>
    <w:rsid w:val="38EE54CC"/>
    <w:rsid w:val="38F17A02"/>
    <w:rsid w:val="391477F6"/>
    <w:rsid w:val="3937628D"/>
    <w:rsid w:val="3947249B"/>
    <w:rsid w:val="3952776E"/>
    <w:rsid w:val="397054D7"/>
    <w:rsid w:val="397131B7"/>
    <w:rsid w:val="397C5D25"/>
    <w:rsid w:val="397F6DBC"/>
    <w:rsid w:val="39B56092"/>
    <w:rsid w:val="39BD85AA"/>
    <w:rsid w:val="39C84966"/>
    <w:rsid w:val="39D178FD"/>
    <w:rsid w:val="39D20836"/>
    <w:rsid w:val="39E273E9"/>
    <w:rsid w:val="39E55C79"/>
    <w:rsid w:val="39ED3663"/>
    <w:rsid w:val="3A02225A"/>
    <w:rsid w:val="3A0E4A66"/>
    <w:rsid w:val="3A0F5041"/>
    <w:rsid w:val="3A224CCC"/>
    <w:rsid w:val="3A33340F"/>
    <w:rsid w:val="3A49697E"/>
    <w:rsid w:val="3A4A1178"/>
    <w:rsid w:val="3A514BDD"/>
    <w:rsid w:val="3A57248F"/>
    <w:rsid w:val="3A5930B4"/>
    <w:rsid w:val="3A760223"/>
    <w:rsid w:val="3AAA1FCB"/>
    <w:rsid w:val="3AB6601A"/>
    <w:rsid w:val="3AC22C8F"/>
    <w:rsid w:val="3B2A5097"/>
    <w:rsid w:val="3B2F0486"/>
    <w:rsid w:val="3B37434F"/>
    <w:rsid w:val="3B3D0CDD"/>
    <w:rsid w:val="3B401F9F"/>
    <w:rsid w:val="3B406A13"/>
    <w:rsid w:val="3B4C5420"/>
    <w:rsid w:val="3B596F6F"/>
    <w:rsid w:val="3B690062"/>
    <w:rsid w:val="3B6F1C75"/>
    <w:rsid w:val="3B703203"/>
    <w:rsid w:val="3B754CFB"/>
    <w:rsid w:val="3B82432C"/>
    <w:rsid w:val="3B8763FC"/>
    <w:rsid w:val="3B91770A"/>
    <w:rsid w:val="3B951E85"/>
    <w:rsid w:val="3B967E52"/>
    <w:rsid w:val="3BB56FEB"/>
    <w:rsid w:val="3BBC2C35"/>
    <w:rsid w:val="3BD76595"/>
    <w:rsid w:val="3BE00BB2"/>
    <w:rsid w:val="3BE3602E"/>
    <w:rsid w:val="3BE72E68"/>
    <w:rsid w:val="3BFA48AA"/>
    <w:rsid w:val="3C0A55D7"/>
    <w:rsid w:val="3C167219"/>
    <w:rsid w:val="3C1C1508"/>
    <w:rsid w:val="3C266A0E"/>
    <w:rsid w:val="3C335360"/>
    <w:rsid w:val="3C404ADE"/>
    <w:rsid w:val="3C4068B0"/>
    <w:rsid w:val="3C4D6189"/>
    <w:rsid w:val="3C85139E"/>
    <w:rsid w:val="3C8B3CCA"/>
    <w:rsid w:val="3CA55694"/>
    <w:rsid w:val="3CB30A45"/>
    <w:rsid w:val="3CC84549"/>
    <w:rsid w:val="3CD836A5"/>
    <w:rsid w:val="3CEF9CCC"/>
    <w:rsid w:val="3CF71423"/>
    <w:rsid w:val="3D0A4BEF"/>
    <w:rsid w:val="3D171F98"/>
    <w:rsid w:val="3D2321D5"/>
    <w:rsid w:val="3D3D3216"/>
    <w:rsid w:val="3D5034D4"/>
    <w:rsid w:val="3D5524D5"/>
    <w:rsid w:val="3D631D18"/>
    <w:rsid w:val="3D77BCB3"/>
    <w:rsid w:val="3D931C08"/>
    <w:rsid w:val="3D934282"/>
    <w:rsid w:val="3D975801"/>
    <w:rsid w:val="3D9B0FF3"/>
    <w:rsid w:val="3D9E12A1"/>
    <w:rsid w:val="3DAE3337"/>
    <w:rsid w:val="3DB836BF"/>
    <w:rsid w:val="3DB84332"/>
    <w:rsid w:val="3DBF54D1"/>
    <w:rsid w:val="3DD0070F"/>
    <w:rsid w:val="3DD0314B"/>
    <w:rsid w:val="3DD24540"/>
    <w:rsid w:val="3DFA21F0"/>
    <w:rsid w:val="3DFD4F8B"/>
    <w:rsid w:val="3DFF6D97"/>
    <w:rsid w:val="3E0A6273"/>
    <w:rsid w:val="3E0E070F"/>
    <w:rsid w:val="3E1A7695"/>
    <w:rsid w:val="3E4C2268"/>
    <w:rsid w:val="3E4D6BDB"/>
    <w:rsid w:val="3E5D2E08"/>
    <w:rsid w:val="3E65120B"/>
    <w:rsid w:val="3E6825AB"/>
    <w:rsid w:val="3E730AC2"/>
    <w:rsid w:val="3E7A2248"/>
    <w:rsid w:val="3E860BED"/>
    <w:rsid w:val="3E8F45ED"/>
    <w:rsid w:val="3E983B91"/>
    <w:rsid w:val="3E990BCE"/>
    <w:rsid w:val="3EA74100"/>
    <w:rsid w:val="3ED25BE0"/>
    <w:rsid w:val="3ED71CC0"/>
    <w:rsid w:val="3ED8151A"/>
    <w:rsid w:val="3EE54372"/>
    <w:rsid w:val="3F0C16B6"/>
    <w:rsid w:val="3F396430"/>
    <w:rsid w:val="3F3D51AB"/>
    <w:rsid w:val="3F46049A"/>
    <w:rsid w:val="3F483449"/>
    <w:rsid w:val="3F4C559B"/>
    <w:rsid w:val="3F514D57"/>
    <w:rsid w:val="3F7C412D"/>
    <w:rsid w:val="3F7F3A39"/>
    <w:rsid w:val="3F80503B"/>
    <w:rsid w:val="3F836EDA"/>
    <w:rsid w:val="3F9738B9"/>
    <w:rsid w:val="3FA91189"/>
    <w:rsid w:val="3FB2368A"/>
    <w:rsid w:val="3FD40286"/>
    <w:rsid w:val="3FD85B95"/>
    <w:rsid w:val="3FDE4615"/>
    <w:rsid w:val="3FE1730C"/>
    <w:rsid w:val="40006203"/>
    <w:rsid w:val="40047475"/>
    <w:rsid w:val="40063D93"/>
    <w:rsid w:val="40070B3D"/>
    <w:rsid w:val="401A0A3D"/>
    <w:rsid w:val="402E0D38"/>
    <w:rsid w:val="403D52DB"/>
    <w:rsid w:val="404439DB"/>
    <w:rsid w:val="40457334"/>
    <w:rsid w:val="404A1C06"/>
    <w:rsid w:val="405151E1"/>
    <w:rsid w:val="405E6311"/>
    <w:rsid w:val="407927B7"/>
    <w:rsid w:val="407B513E"/>
    <w:rsid w:val="40805696"/>
    <w:rsid w:val="40934D9A"/>
    <w:rsid w:val="40945BD7"/>
    <w:rsid w:val="40B71256"/>
    <w:rsid w:val="40B77577"/>
    <w:rsid w:val="40C07E55"/>
    <w:rsid w:val="40D65444"/>
    <w:rsid w:val="40EA6631"/>
    <w:rsid w:val="40EB2F89"/>
    <w:rsid w:val="410406EE"/>
    <w:rsid w:val="411A2CA9"/>
    <w:rsid w:val="411A38B2"/>
    <w:rsid w:val="411C1CDD"/>
    <w:rsid w:val="412A58ED"/>
    <w:rsid w:val="4159217C"/>
    <w:rsid w:val="418A2F70"/>
    <w:rsid w:val="419101F1"/>
    <w:rsid w:val="41963683"/>
    <w:rsid w:val="419929E5"/>
    <w:rsid w:val="41A60B03"/>
    <w:rsid w:val="41B15792"/>
    <w:rsid w:val="41BD7303"/>
    <w:rsid w:val="41CF3A26"/>
    <w:rsid w:val="421D3B80"/>
    <w:rsid w:val="421E197A"/>
    <w:rsid w:val="42553004"/>
    <w:rsid w:val="42833F08"/>
    <w:rsid w:val="428B1BDB"/>
    <w:rsid w:val="428E0BC9"/>
    <w:rsid w:val="429121FE"/>
    <w:rsid w:val="42CE4E21"/>
    <w:rsid w:val="42E6012C"/>
    <w:rsid w:val="42E63401"/>
    <w:rsid w:val="42F57D48"/>
    <w:rsid w:val="42FA74B4"/>
    <w:rsid w:val="430B4E03"/>
    <w:rsid w:val="4324415B"/>
    <w:rsid w:val="43286F3A"/>
    <w:rsid w:val="433B24A0"/>
    <w:rsid w:val="43485634"/>
    <w:rsid w:val="434C6777"/>
    <w:rsid w:val="438172BC"/>
    <w:rsid w:val="438D7205"/>
    <w:rsid w:val="43A31501"/>
    <w:rsid w:val="43A51A0F"/>
    <w:rsid w:val="43A63ED9"/>
    <w:rsid w:val="43BA51F0"/>
    <w:rsid w:val="43CA4ED5"/>
    <w:rsid w:val="43D3039E"/>
    <w:rsid w:val="43E1359B"/>
    <w:rsid w:val="44006148"/>
    <w:rsid w:val="440F5CB7"/>
    <w:rsid w:val="4410164C"/>
    <w:rsid w:val="4421190E"/>
    <w:rsid w:val="442825A1"/>
    <w:rsid w:val="44347DF9"/>
    <w:rsid w:val="44387A96"/>
    <w:rsid w:val="443F6059"/>
    <w:rsid w:val="4440389E"/>
    <w:rsid w:val="44404FD8"/>
    <w:rsid w:val="44467B33"/>
    <w:rsid w:val="44471594"/>
    <w:rsid w:val="44507687"/>
    <w:rsid w:val="446108C6"/>
    <w:rsid w:val="4479276B"/>
    <w:rsid w:val="4498109B"/>
    <w:rsid w:val="44983E14"/>
    <w:rsid w:val="44D101C0"/>
    <w:rsid w:val="44D37D84"/>
    <w:rsid w:val="44DB7D4A"/>
    <w:rsid w:val="44E7070D"/>
    <w:rsid w:val="44E96140"/>
    <w:rsid w:val="45151EC2"/>
    <w:rsid w:val="452D6EC8"/>
    <w:rsid w:val="452E7CA8"/>
    <w:rsid w:val="454017BB"/>
    <w:rsid w:val="455D6C0E"/>
    <w:rsid w:val="456237E3"/>
    <w:rsid w:val="45646473"/>
    <w:rsid w:val="45674650"/>
    <w:rsid w:val="45694E4F"/>
    <w:rsid w:val="45791D52"/>
    <w:rsid w:val="457D5076"/>
    <w:rsid w:val="459338BA"/>
    <w:rsid w:val="45996092"/>
    <w:rsid w:val="45A20D7F"/>
    <w:rsid w:val="45A24CBD"/>
    <w:rsid w:val="45AF4A67"/>
    <w:rsid w:val="45B70AB6"/>
    <w:rsid w:val="45C83216"/>
    <w:rsid w:val="45CF5588"/>
    <w:rsid w:val="45FD2A9F"/>
    <w:rsid w:val="46185997"/>
    <w:rsid w:val="46480C46"/>
    <w:rsid w:val="464E5B22"/>
    <w:rsid w:val="46543DF1"/>
    <w:rsid w:val="465719BA"/>
    <w:rsid w:val="466A2D2D"/>
    <w:rsid w:val="468E4AE3"/>
    <w:rsid w:val="46995187"/>
    <w:rsid w:val="46C53057"/>
    <w:rsid w:val="46DD6135"/>
    <w:rsid w:val="46E64061"/>
    <w:rsid w:val="470D6DF4"/>
    <w:rsid w:val="471609FC"/>
    <w:rsid w:val="472714BE"/>
    <w:rsid w:val="473A2575"/>
    <w:rsid w:val="473F2635"/>
    <w:rsid w:val="4753398A"/>
    <w:rsid w:val="47537F64"/>
    <w:rsid w:val="477E64CE"/>
    <w:rsid w:val="478A2625"/>
    <w:rsid w:val="47995509"/>
    <w:rsid w:val="47AC0B95"/>
    <w:rsid w:val="47B136A2"/>
    <w:rsid w:val="47BA075C"/>
    <w:rsid w:val="47BB23D3"/>
    <w:rsid w:val="47BE498F"/>
    <w:rsid w:val="47DA3EE6"/>
    <w:rsid w:val="47E80D20"/>
    <w:rsid w:val="47F27463"/>
    <w:rsid w:val="47FE205C"/>
    <w:rsid w:val="4800731A"/>
    <w:rsid w:val="48047754"/>
    <w:rsid w:val="48064ED6"/>
    <w:rsid w:val="481B0A7B"/>
    <w:rsid w:val="48214473"/>
    <w:rsid w:val="48286180"/>
    <w:rsid w:val="4843730A"/>
    <w:rsid w:val="4849022C"/>
    <w:rsid w:val="484E10BE"/>
    <w:rsid w:val="485F529B"/>
    <w:rsid w:val="48662799"/>
    <w:rsid w:val="48735D3E"/>
    <w:rsid w:val="48897354"/>
    <w:rsid w:val="48945E7F"/>
    <w:rsid w:val="489770C9"/>
    <w:rsid w:val="489D09AA"/>
    <w:rsid w:val="48C20A74"/>
    <w:rsid w:val="48CB623B"/>
    <w:rsid w:val="48DB747C"/>
    <w:rsid w:val="48F9558A"/>
    <w:rsid w:val="48FD67EF"/>
    <w:rsid w:val="49042E3A"/>
    <w:rsid w:val="490D0375"/>
    <w:rsid w:val="490F4371"/>
    <w:rsid w:val="491A72A2"/>
    <w:rsid w:val="494304CD"/>
    <w:rsid w:val="494707E4"/>
    <w:rsid w:val="4953099D"/>
    <w:rsid w:val="49546E3C"/>
    <w:rsid w:val="495D5A00"/>
    <w:rsid w:val="49650814"/>
    <w:rsid w:val="49656C49"/>
    <w:rsid w:val="4989236D"/>
    <w:rsid w:val="49921C78"/>
    <w:rsid w:val="49A13F41"/>
    <w:rsid w:val="49A63C31"/>
    <w:rsid w:val="49C46D67"/>
    <w:rsid w:val="49D62DD0"/>
    <w:rsid w:val="49DF7B2A"/>
    <w:rsid w:val="49ED3805"/>
    <w:rsid w:val="49F444EB"/>
    <w:rsid w:val="4A280204"/>
    <w:rsid w:val="4A3029FF"/>
    <w:rsid w:val="4A471230"/>
    <w:rsid w:val="4A495F64"/>
    <w:rsid w:val="4A5F5DCB"/>
    <w:rsid w:val="4A630034"/>
    <w:rsid w:val="4A6361B0"/>
    <w:rsid w:val="4A6D5817"/>
    <w:rsid w:val="4A6D5A21"/>
    <w:rsid w:val="4A764CF9"/>
    <w:rsid w:val="4A780E6E"/>
    <w:rsid w:val="4A7D61F3"/>
    <w:rsid w:val="4A9B3185"/>
    <w:rsid w:val="4A9C4AA6"/>
    <w:rsid w:val="4A9F3116"/>
    <w:rsid w:val="4AAA25C8"/>
    <w:rsid w:val="4AB1599D"/>
    <w:rsid w:val="4ABF7A37"/>
    <w:rsid w:val="4AC13BA7"/>
    <w:rsid w:val="4AD43CC2"/>
    <w:rsid w:val="4AF21831"/>
    <w:rsid w:val="4B03568E"/>
    <w:rsid w:val="4B073250"/>
    <w:rsid w:val="4B106111"/>
    <w:rsid w:val="4B157281"/>
    <w:rsid w:val="4B1B4D9A"/>
    <w:rsid w:val="4B43338C"/>
    <w:rsid w:val="4B533C05"/>
    <w:rsid w:val="4B596AA2"/>
    <w:rsid w:val="4B600810"/>
    <w:rsid w:val="4B6865B5"/>
    <w:rsid w:val="4B741C92"/>
    <w:rsid w:val="4B834D24"/>
    <w:rsid w:val="4B8455EB"/>
    <w:rsid w:val="4B845D24"/>
    <w:rsid w:val="4B966509"/>
    <w:rsid w:val="4BA2361E"/>
    <w:rsid w:val="4BAD443F"/>
    <w:rsid w:val="4BB960AE"/>
    <w:rsid w:val="4BBA1147"/>
    <w:rsid w:val="4BDF2F6B"/>
    <w:rsid w:val="4C037012"/>
    <w:rsid w:val="4C2C12C3"/>
    <w:rsid w:val="4C3008D0"/>
    <w:rsid w:val="4C3679C6"/>
    <w:rsid w:val="4C390B55"/>
    <w:rsid w:val="4C5C5F9D"/>
    <w:rsid w:val="4C7758AF"/>
    <w:rsid w:val="4C7A5603"/>
    <w:rsid w:val="4C8111CA"/>
    <w:rsid w:val="4C8220ED"/>
    <w:rsid w:val="4C961F41"/>
    <w:rsid w:val="4C9D7847"/>
    <w:rsid w:val="4CA02E7A"/>
    <w:rsid w:val="4CA334F9"/>
    <w:rsid w:val="4CAB4709"/>
    <w:rsid w:val="4CD951A0"/>
    <w:rsid w:val="4CE524B9"/>
    <w:rsid w:val="4CE61651"/>
    <w:rsid w:val="4CF2752F"/>
    <w:rsid w:val="4CF70E21"/>
    <w:rsid w:val="4D013CFF"/>
    <w:rsid w:val="4D190E69"/>
    <w:rsid w:val="4D1923B1"/>
    <w:rsid w:val="4D271487"/>
    <w:rsid w:val="4D2A7EDF"/>
    <w:rsid w:val="4D2E3A04"/>
    <w:rsid w:val="4D3676FE"/>
    <w:rsid w:val="4D3B65C7"/>
    <w:rsid w:val="4D6B16DA"/>
    <w:rsid w:val="4D890E9D"/>
    <w:rsid w:val="4D8E7176"/>
    <w:rsid w:val="4D8F7DD5"/>
    <w:rsid w:val="4D901638"/>
    <w:rsid w:val="4D9F6363"/>
    <w:rsid w:val="4DC459B3"/>
    <w:rsid w:val="4DC57CA2"/>
    <w:rsid w:val="4DD80CDF"/>
    <w:rsid w:val="4DDF6B8F"/>
    <w:rsid w:val="4DF60FB8"/>
    <w:rsid w:val="4DF75681"/>
    <w:rsid w:val="4DFA0703"/>
    <w:rsid w:val="4E17663C"/>
    <w:rsid w:val="4E340B4C"/>
    <w:rsid w:val="4E35602E"/>
    <w:rsid w:val="4E3B72FE"/>
    <w:rsid w:val="4E67354A"/>
    <w:rsid w:val="4E73266B"/>
    <w:rsid w:val="4E9E0267"/>
    <w:rsid w:val="4EA847B3"/>
    <w:rsid w:val="4EBA344B"/>
    <w:rsid w:val="4ECF0762"/>
    <w:rsid w:val="4ED15497"/>
    <w:rsid w:val="4ED4741A"/>
    <w:rsid w:val="4EE1173D"/>
    <w:rsid w:val="4EEE643C"/>
    <w:rsid w:val="4EF1594C"/>
    <w:rsid w:val="4EF26712"/>
    <w:rsid w:val="4EFD28C2"/>
    <w:rsid w:val="4F1B3ADD"/>
    <w:rsid w:val="4F2D5356"/>
    <w:rsid w:val="4F3C0C95"/>
    <w:rsid w:val="4F7D3F49"/>
    <w:rsid w:val="4F8B1433"/>
    <w:rsid w:val="4FAB48F5"/>
    <w:rsid w:val="4FC4795B"/>
    <w:rsid w:val="4FD24FE2"/>
    <w:rsid w:val="4FD25C82"/>
    <w:rsid w:val="4FD6135A"/>
    <w:rsid w:val="4FF26D74"/>
    <w:rsid w:val="4FF379A4"/>
    <w:rsid w:val="4FFF16B7"/>
    <w:rsid w:val="500217A5"/>
    <w:rsid w:val="50191F11"/>
    <w:rsid w:val="50290237"/>
    <w:rsid w:val="50302767"/>
    <w:rsid w:val="5038018E"/>
    <w:rsid w:val="503B2CD9"/>
    <w:rsid w:val="50531C78"/>
    <w:rsid w:val="505C064C"/>
    <w:rsid w:val="505C17AE"/>
    <w:rsid w:val="50693ADF"/>
    <w:rsid w:val="506D3AE2"/>
    <w:rsid w:val="506D5405"/>
    <w:rsid w:val="50950C9A"/>
    <w:rsid w:val="50AC4899"/>
    <w:rsid w:val="50E920BD"/>
    <w:rsid w:val="50EC36A9"/>
    <w:rsid w:val="50EE3B03"/>
    <w:rsid w:val="50F6662B"/>
    <w:rsid w:val="50F82A75"/>
    <w:rsid w:val="51053257"/>
    <w:rsid w:val="510D68D4"/>
    <w:rsid w:val="51160897"/>
    <w:rsid w:val="512010D9"/>
    <w:rsid w:val="5154339D"/>
    <w:rsid w:val="51571620"/>
    <w:rsid w:val="51634A9A"/>
    <w:rsid w:val="517073FB"/>
    <w:rsid w:val="51852DBA"/>
    <w:rsid w:val="518E3D0C"/>
    <w:rsid w:val="51906CB3"/>
    <w:rsid w:val="51915487"/>
    <w:rsid w:val="51956D25"/>
    <w:rsid w:val="51A67184"/>
    <w:rsid w:val="51A947E6"/>
    <w:rsid w:val="52003972"/>
    <w:rsid w:val="52047653"/>
    <w:rsid w:val="522649B5"/>
    <w:rsid w:val="522C4466"/>
    <w:rsid w:val="52384E06"/>
    <w:rsid w:val="52387C4A"/>
    <w:rsid w:val="52535BCC"/>
    <w:rsid w:val="52623D08"/>
    <w:rsid w:val="52670B1E"/>
    <w:rsid w:val="52757A71"/>
    <w:rsid w:val="527903F5"/>
    <w:rsid w:val="527C7722"/>
    <w:rsid w:val="52863AC7"/>
    <w:rsid w:val="528A7B86"/>
    <w:rsid w:val="529C4351"/>
    <w:rsid w:val="529D7E1A"/>
    <w:rsid w:val="52A15B9E"/>
    <w:rsid w:val="52AA5BFC"/>
    <w:rsid w:val="52B4249C"/>
    <w:rsid w:val="52BB12C1"/>
    <w:rsid w:val="52BD6A99"/>
    <w:rsid w:val="52BE779B"/>
    <w:rsid w:val="52BF212E"/>
    <w:rsid w:val="52F6155C"/>
    <w:rsid w:val="52F9655C"/>
    <w:rsid w:val="52FD70ED"/>
    <w:rsid w:val="53021CF6"/>
    <w:rsid w:val="530E4638"/>
    <w:rsid w:val="531460EC"/>
    <w:rsid w:val="5315385C"/>
    <w:rsid w:val="531600F1"/>
    <w:rsid w:val="5317F4CF"/>
    <w:rsid w:val="531F6554"/>
    <w:rsid w:val="53244EF5"/>
    <w:rsid w:val="533162A1"/>
    <w:rsid w:val="533F22C0"/>
    <w:rsid w:val="5342491C"/>
    <w:rsid w:val="534D2BE9"/>
    <w:rsid w:val="534D3630"/>
    <w:rsid w:val="538206FB"/>
    <w:rsid w:val="53B86A58"/>
    <w:rsid w:val="53C56D73"/>
    <w:rsid w:val="53CC7CB4"/>
    <w:rsid w:val="53D233D8"/>
    <w:rsid w:val="53DD44AD"/>
    <w:rsid w:val="53E002AC"/>
    <w:rsid w:val="53FF5EFB"/>
    <w:rsid w:val="54061A64"/>
    <w:rsid w:val="54217E20"/>
    <w:rsid w:val="542875FB"/>
    <w:rsid w:val="542E4B24"/>
    <w:rsid w:val="54443D9F"/>
    <w:rsid w:val="544822BD"/>
    <w:rsid w:val="54673B1F"/>
    <w:rsid w:val="547E1C5D"/>
    <w:rsid w:val="54AF5270"/>
    <w:rsid w:val="54C04CA0"/>
    <w:rsid w:val="54C27769"/>
    <w:rsid w:val="54C33BA9"/>
    <w:rsid w:val="55157F87"/>
    <w:rsid w:val="5519173E"/>
    <w:rsid w:val="551A1F00"/>
    <w:rsid w:val="552F7917"/>
    <w:rsid w:val="5534121F"/>
    <w:rsid w:val="55390B69"/>
    <w:rsid w:val="553B71F6"/>
    <w:rsid w:val="553F1E51"/>
    <w:rsid w:val="55731DA0"/>
    <w:rsid w:val="5579725C"/>
    <w:rsid w:val="559F30F0"/>
    <w:rsid w:val="55A81791"/>
    <w:rsid w:val="55A84BFE"/>
    <w:rsid w:val="55AB0044"/>
    <w:rsid w:val="55B45F63"/>
    <w:rsid w:val="55B8043B"/>
    <w:rsid w:val="55B90C0A"/>
    <w:rsid w:val="55D63591"/>
    <w:rsid w:val="56054C48"/>
    <w:rsid w:val="560A087F"/>
    <w:rsid w:val="56122C31"/>
    <w:rsid w:val="561974BB"/>
    <w:rsid w:val="56281E78"/>
    <w:rsid w:val="562A4387"/>
    <w:rsid w:val="56334986"/>
    <w:rsid w:val="56394FFE"/>
    <w:rsid w:val="564F2FAE"/>
    <w:rsid w:val="56533581"/>
    <w:rsid w:val="56556A86"/>
    <w:rsid w:val="565A2E32"/>
    <w:rsid w:val="565D05CA"/>
    <w:rsid w:val="56665BE2"/>
    <w:rsid w:val="568858B4"/>
    <w:rsid w:val="56931D9E"/>
    <w:rsid w:val="56A66FBA"/>
    <w:rsid w:val="56AE6CD3"/>
    <w:rsid w:val="56B044FB"/>
    <w:rsid w:val="56CF1ADE"/>
    <w:rsid w:val="56F95FA8"/>
    <w:rsid w:val="56FA2C95"/>
    <w:rsid w:val="56FFA6AA"/>
    <w:rsid w:val="57082B77"/>
    <w:rsid w:val="57172D90"/>
    <w:rsid w:val="57260DE0"/>
    <w:rsid w:val="57313A9F"/>
    <w:rsid w:val="57386662"/>
    <w:rsid w:val="574A02E3"/>
    <w:rsid w:val="574F03D9"/>
    <w:rsid w:val="575208F9"/>
    <w:rsid w:val="575B456D"/>
    <w:rsid w:val="576D68D3"/>
    <w:rsid w:val="576F699C"/>
    <w:rsid w:val="57746F62"/>
    <w:rsid w:val="5776E763"/>
    <w:rsid w:val="57850AAF"/>
    <w:rsid w:val="578A0950"/>
    <w:rsid w:val="579B6DD6"/>
    <w:rsid w:val="57A21B1B"/>
    <w:rsid w:val="57AD6121"/>
    <w:rsid w:val="57C57C2A"/>
    <w:rsid w:val="57F7304E"/>
    <w:rsid w:val="57FA0423"/>
    <w:rsid w:val="580E584B"/>
    <w:rsid w:val="58290DC5"/>
    <w:rsid w:val="582B03E3"/>
    <w:rsid w:val="582C6767"/>
    <w:rsid w:val="583170EE"/>
    <w:rsid w:val="58527FC8"/>
    <w:rsid w:val="58551587"/>
    <w:rsid w:val="58647470"/>
    <w:rsid w:val="58723020"/>
    <w:rsid w:val="587303D7"/>
    <w:rsid w:val="587F072F"/>
    <w:rsid w:val="58806C98"/>
    <w:rsid w:val="58876A3B"/>
    <w:rsid w:val="58961943"/>
    <w:rsid w:val="58B45DE2"/>
    <w:rsid w:val="58CB0566"/>
    <w:rsid w:val="58D411FE"/>
    <w:rsid w:val="58E40C92"/>
    <w:rsid w:val="58EB272B"/>
    <w:rsid w:val="58FC1269"/>
    <w:rsid w:val="590E217B"/>
    <w:rsid w:val="59121580"/>
    <w:rsid w:val="59160234"/>
    <w:rsid w:val="592F59DE"/>
    <w:rsid w:val="593B1A09"/>
    <w:rsid w:val="594A2AEB"/>
    <w:rsid w:val="59554FEC"/>
    <w:rsid w:val="59A41CA5"/>
    <w:rsid w:val="59A41ECD"/>
    <w:rsid w:val="59AE485F"/>
    <w:rsid w:val="59AF256F"/>
    <w:rsid w:val="59B31149"/>
    <w:rsid w:val="59BA7705"/>
    <w:rsid w:val="59BE5D95"/>
    <w:rsid w:val="59DC58AD"/>
    <w:rsid w:val="59F82FAA"/>
    <w:rsid w:val="59FA6DBB"/>
    <w:rsid w:val="5A06483E"/>
    <w:rsid w:val="5A252C10"/>
    <w:rsid w:val="5A2F034B"/>
    <w:rsid w:val="5A334CA4"/>
    <w:rsid w:val="5A4C460E"/>
    <w:rsid w:val="5A4D497B"/>
    <w:rsid w:val="5A5F4F48"/>
    <w:rsid w:val="5A6E11B5"/>
    <w:rsid w:val="5A8312EF"/>
    <w:rsid w:val="5A874A8D"/>
    <w:rsid w:val="5A97386D"/>
    <w:rsid w:val="5A9A2F72"/>
    <w:rsid w:val="5AB250D9"/>
    <w:rsid w:val="5AB25D8D"/>
    <w:rsid w:val="5ABB4FF8"/>
    <w:rsid w:val="5AD14385"/>
    <w:rsid w:val="5AD82E93"/>
    <w:rsid w:val="5AF108E9"/>
    <w:rsid w:val="5B0637B3"/>
    <w:rsid w:val="5B2A3919"/>
    <w:rsid w:val="5B3929E1"/>
    <w:rsid w:val="5B533541"/>
    <w:rsid w:val="5B5C6B06"/>
    <w:rsid w:val="5B691FD4"/>
    <w:rsid w:val="5B6B4F9B"/>
    <w:rsid w:val="5B8B62C8"/>
    <w:rsid w:val="5B926846"/>
    <w:rsid w:val="5BA57414"/>
    <w:rsid w:val="5BB8544A"/>
    <w:rsid w:val="5BD11960"/>
    <w:rsid w:val="5BF67A13"/>
    <w:rsid w:val="5C1025DB"/>
    <w:rsid w:val="5C14762D"/>
    <w:rsid w:val="5C1C73FB"/>
    <w:rsid w:val="5C2A2C70"/>
    <w:rsid w:val="5C403D31"/>
    <w:rsid w:val="5C51394C"/>
    <w:rsid w:val="5C72662A"/>
    <w:rsid w:val="5C960E86"/>
    <w:rsid w:val="5CBD5382"/>
    <w:rsid w:val="5CC122D6"/>
    <w:rsid w:val="5CC15D47"/>
    <w:rsid w:val="5CD81AA5"/>
    <w:rsid w:val="5CE01AB4"/>
    <w:rsid w:val="5CE86B44"/>
    <w:rsid w:val="5CECCA06"/>
    <w:rsid w:val="5CF2208B"/>
    <w:rsid w:val="5CFD25D5"/>
    <w:rsid w:val="5D033BE7"/>
    <w:rsid w:val="5D3C2E5D"/>
    <w:rsid w:val="5D464A44"/>
    <w:rsid w:val="5D604509"/>
    <w:rsid w:val="5D703211"/>
    <w:rsid w:val="5D753286"/>
    <w:rsid w:val="5D9E1D99"/>
    <w:rsid w:val="5DB524FD"/>
    <w:rsid w:val="5DD33B7E"/>
    <w:rsid w:val="5DE03167"/>
    <w:rsid w:val="5DE52DE2"/>
    <w:rsid w:val="5DFC0FC1"/>
    <w:rsid w:val="5E117B3B"/>
    <w:rsid w:val="5E135FCC"/>
    <w:rsid w:val="5E282AA1"/>
    <w:rsid w:val="5E4573CC"/>
    <w:rsid w:val="5E8D672F"/>
    <w:rsid w:val="5E9138DC"/>
    <w:rsid w:val="5EC461DB"/>
    <w:rsid w:val="5EC56A6D"/>
    <w:rsid w:val="5EC64E6D"/>
    <w:rsid w:val="5EE44A5F"/>
    <w:rsid w:val="5EEB1665"/>
    <w:rsid w:val="5F252FCF"/>
    <w:rsid w:val="5F2931A3"/>
    <w:rsid w:val="5F2A0360"/>
    <w:rsid w:val="5F3D3A6B"/>
    <w:rsid w:val="5F457CB2"/>
    <w:rsid w:val="5F4A3C9E"/>
    <w:rsid w:val="5F5550E4"/>
    <w:rsid w:val="5F635AAB"/>
    <w:rsid w:val="5F792B54"/>
    <w:rsid w:val="5F822779"/>
    <w:rsid w:val="5F9178EA"/>
    <w:rsid w:val="5F927C61"/>
    <w:rsid w:val="5FA94D3C"/>
    <w:rsid w:val="5FA995ED"/>
    <w:rsid w:val="5FB223E4"/>
    <w:rsid w:val="5FB34363"/>
    <w:rsid w:val="5FCB0E07"/>
    <w:rsid w:val="5FD62FEA"/>
    <w:rsid w:val="5FDD424F"/>
    <w:rsid w:val="5FE857D0"/>
    <w:rsid w:val="5FF13B6D"/>
    <w:rsid w:val="5FF31011"/>
    <w:rsid w:val="60072091"/>
    <w:rsid w:val="600F52EB"/>
    <w:rsid w:val="60152B0C"/>
    <w:rsid w:val="603424E2"/>
    <w:rsid w:val="60566219"/>
    <w:rsid w:val="60605C7B"/>
    <w:rsid w:val="606D7561"/>
    <w:rsid w:val="60832177"/>
    <w:rsid w:val="609465DD"/>
    <w:rsid w:val="60A10BD7"/>
    <w:rsid w:val="60A565EE"/>
    <w:rsid w:val="60AF69F1"/>
    <w:rsid w:val="60D55390"/>
    <w:rsid w:val="611368AB"/>
    <w:rsid w:val="61232853"/>
    <w:rsid w:val="612826A2"/>
    <w:rsid w:val="614B240F"/>
    <w:rsid w:val="61767A26"/>
    <w:rsid w:val="61AA0686"/>
    <w:rsid w:val="61DF2510"/>
    <w:rsid w:val="61E80983"/>
    <w:rsid w:val="61F36B4D"/>
    <w:rsid w:val="61FF628C"/>
    <w:rsid w:val="620F7A0D"/>
    <w:rsid w:val="62487DE4"/>
    <w:rsid w:val="62567799"/>
    <w:rsid w:val="627574D8"/>
    <w:rsid w:val="62841D84"/>
    <w:rsid w:val="628A7090"/>
    <w:rsid w:val="62903706"/>
    <w:rsid w:val="629358D4"/>
    <w:rsid w:val="629E6BDE"/>
    <w:rsid w:val="62A62DA3"/>
    <w:rsid w:val="62AC1B8A"/>
    <w:rsid w:val="62BC587D"/>
    <w:rsid w:val="62D17FA8"/>
    <w:rsid w:val="62D358FF"/>
    <w:rsid w:val="62DE49C6"/>
    <w:rsid w:val="62EB04C8"/>
    <w:rsid w:val="62F77154"/>
    <w:rsid w:val="630F0EC2"/>
    <w:rsid w:val="63170F37"/>
    <w:rsid w:val="6318550E"/>
    <w:rsid w:val="6321658D"/>
    <w:rsid w:val="63353BCF"/>
    <w:rsid w:val="633573FF"/>
    <w:rsid w:val="636469B1"/>
    <w:rsid w:val="637D1ECB"/>
    <w:rsid w:val="637E7593"/>
    <w:rsid w:val="6385105C"/>
    <w:rsid w:val="63863EAA"/>
    <w:rsid w:val="639452F3"/>
    <w:rsid w:val="63AA0D5F"/>
    <w:rsid w:val="63BA052F"/>
    <w:rsid w:val="63BC45E5"/>
    <w:rsid w:val="63BE0AD3"/>
    <w:rsid w:val="63CF45D8"/>
    <w:rsid w:val="63DA11C1"/>
    <w:rsid w:val="63F221BC"/>
    <w:rsid w:val="63FC7559"/>
    <w:rsid w:val="64032C6B"/>
    <w:rsid w:val="640A1B8C"/>
    <w:rsid w:val="640B57D3"/>
    <w:rsid w:val="641A5836"/>
    <w:rsid w:val="64421735"/>
    <w:rsid w:val="64525100"/>
    <w:rsid w:val="645667E8"/>
    <w:rsid w:val="64585427"/>
    <w:rsid w:val="645B2788"/>
    <w:rsid w:val="646B76EF"/>
    <w:rsid w:val="646F5CE5"/>
    <w:rsid w:val="64B57AEF"/>
    <w:rsid w:val="64B72E0C"/>
    <w:rsid w:val="64B86B2D"/>
    <w:rsid w:val="64C1510D"/>
    <w:rsid w:val="64CB244A"/>
    <w:rsid w:val="64DA415F"/>
    <w:rsid w:val="64E37CD1"/>
    <w:rsid w:val="64E90FD1"/>
    <w:rsid w:val="64EA0CBB"/>
    <w:rsid w:val="64FE00DF"/>
    <w:rsid w:val="64FE0A7A"/>
    <w:rsid w:val="65213CE2"/>
    <w:rsid w:val="65233767"/>
    <w:rsid w:val="652D26C7"/>
    <w:rsid w:val="65571136"/>
    <w:rsid w:val="655C6166"/>
    <w:rsid w:val="65604F99"/>
    <w:rsid w:val="65682F42"/>
    <w:rsid w:val="65685B97"/>
    <w:rsid w:val="65757083"/>
    <w:rsid w:val="6584208A"/>
    <w:rsid w:val="659A4539"/>
    <w:rsid w:val="65C32871"/>
    <w:rsid w:val="65C576AE"/>
    <w:rsid w:val="65CB0B10"/>
    <w:rsid w:val="65D51FB2"/>
    <w:rsid w:val="65DA4CF7"/>
    <w:rsid w:val="65DF0CA7"/>
    <w:rsid w:val="65E24BB0"/>
    <w:rsid w:val="66014227"/>
    <w:rsid w:val="66060EC6"/>
    <w:rsid w:val="660E3E13"/>
    <w:rsid w:val="660F5746"/>
    <w:rsid w:val="661C5600"/>
    <w:rsid w:val="66206B4D"/>
    <w:rsid w:val="662D17CA"/>
    <w:rsid w:val="66450607"/>
    <w:rsid w:val="66503748"/>
    <w:rsid w:val="66530A5C"/>
    <w:rsid w:val="665836A7"/>
    <w:rsid w:val="665B03C2"/>
    <w:rsid w:val="667E108E"/>
    <w:rsid w:val="66C34609"/>
    <w:rsid w:val="66C537B1"/>
    <w:rsid w:val="670D0413"/>
    <w:rsid w:val="67187ECE"/>
    <w:rsid w:val="671E6720"/>
    <w:rsid w:val="6728344B"/>
    <w:rsid w:val="67320624"/>
    <w:rsid w:val="673348C9"/>
    <w:rsid w:val="673B1CC5"/>
    <w:rsid w:val="673E76D0"/>
    <w:rsid w:val="674E7C4A"/>
    <w:rsid w:val="67504513"/>
    <w:rsid w:val="67621416"/>
    <w:rsid w:val="67713C9E"/>
    <w:rsid w:val="677463F2"/>
    <w:rsid w:val="677C68AC"/>
    <w:rsid w:val="677C7EDD"/>
    <w:rsid w:val="678418BE"/>
    <w:rsid w:val="67A16DDF"/>
    <w:rsid w:val="67AD71F1"/>
    <w:rsid w:val="67AF72B1"/>
    <w:rsid w:val="67B558B7"/>
    <w:rsid w:val="67B96881"/>
    <w:rsid w:val="67BB277C"/>
    <w:rsid w:val="67D61813"/>
    <w:rsid w:val="67F824D4"/>
    <w:rsid w:val="680243EE"/>
    <w:rsid w:val="680A12F6"/>
    <w:rsid w:val="6816794D"/>
    <w:rsid w:val="682928D9"/>
    <w:rsid w:val="683318FD"/>
    <w:rsid w:val="68694A1F"/>
    <w:rsid w:val="68727727"/>
    <w:rsid w:val="68786E71"/>
    <w:rsid w:val="688B0A2A"/>
    <w:rsid w:val="68A0671B"/>
    <w:rsid w:val="68B93CC3"/>
    <w:rsid w:val="68B960C7"/>
    <w:rsid w:val="68DE1086"/>
    <w:rsid w:val="69044E27"/>
    <w:rsid w:val="690F1242"/>
    <w:rsid w:val="692C1C8F"/>
    <w:rsid w:val="69320D51"/>
    <w:rsid w:val="69384393"/>
    <w:rsid w:val="69384D87"/>
    <w:rsid w:val="694B590C"/>
    <w:rsid w:val="69579124"/>
    <w:rsid w:val="696B2CBA"/>
    <w:rsid w:val="696F7F2A"/>
    <w:rsid w:val="698603B2"/>
    <w:rsid w:val="698B577F"/>
    <w:rsid w:val="69951B60"/>
    <w:rsid w:val="69972F92"/>
    <w:rsid w:val="69981827"/>
    <w:rsid w:val="699875F6"/>
    <w:rsid w:val="69AB6217"/>
    <w:rsid w:val="69B55394"/>
    <w:rsid w:val="69B87748"/>
    <w:rsid w:val="69ED5C66"/>
    <w:rsid w:val="69F03448"/>
    <w:rsid w:val="69FF0B60"/>
    <w:rsid w:val="6A031661"/>
    <w:rsid w:val="6A2922FD"/>
    <w:rsid w:val="6A5260D3"/>
    <w:rsid w:val="6A5F2B90"/>
    <w:rsid w:val="6A6A371E"/>
    <w:rsid w:val="6A852222"/>
    <w:rsid w:val="6A8F6B4A"/>
    <w:rsid w:val="6A903551"/>
    <w:rsid w:val="6A906F5C"/>
    <w:rsid w:val="6A944812"/>
    <w:rsid w:val="6A965DEB"/>
    <w:rsid w:val="6AA32179"/>
    <w:rsid w:val="6AA33495"/>
    <w:rsid w:val="6ADE3F6B"/>
    <w:rsid w:val="6AEB7FAC"/>
    <w:rsid w:val="6AFF3CC9"/>
    <w:rsid w:val="6B132234"/>
    <w:rsid w:val="6B1A5186"/>
    <w:rsid w:val="6B362ECF"/>
    <w:rsid w:val="6B3F768F"/>
    <w:rsid w:val="6B607F4C"/>
    <w:rsid w:val="6B676167"/>
    <w:rsid w:val="6B6A6E49"/>
    <w:rsid w:val="6B7B079E"/>
    <w:rsid w:val="6B7E1823"/>
    <w:rsid w:val="6BA55399"/>
    <w:rsid w:val="6BA71F08"/>
    <w:rsid w:val="6BA863CC"/>
    <w:rsid w:val="6BB225E6"/>
    <w:rsid w:val="6BB624BF"/>
    <w:rsid w:val="6BC84A85"/>
    <w:rsid w:val="6BC97482"/>
    <w:rsid w:val="6BD24CD3"/>
    <w:rsid w:val="6BDE7AE6"/>
    <w:rsid w:val="6BEF1B1D"/>
    <w:rsid w:val="6BEF1E2F"/>
    <w:rsid w:val="6C11344C"/>
    <w:rsid w:val="6C380E3A"/>
    <w:rsid w:val="6C3A254B"/>
    <w:rsid w:val="6C4D5750"/>
    <w:rsid w:val="6C503067"/>
    <w:rsid w:val="6C680298"/>
    <w:rsid w:val="6C6D5838"/>
    <w:rsid w:val="6C7850A5"/>
    <w:rsid w:val="6C8A5926"/>
    <w:rsid w:val="6C952553"/>
    <w:rsid w:val="6C96580F"/>
    <w:rsid w:val="6C9855A9"/>
    <w:rsid w:val="6C9F051B"/>
    <w:rsid w:val="6CC22FFA"/>
    <w:rsid w:val="6CC74771"/>
    <w:rsid w:val="6CCF2F38"/>
    <w:rsid w:val="6CDB4BFE"/>
    <w:rsid w:val="6CF879DA"/>
    <w:rsid w:val="6D0B038C"/>
    <w:rsid w:val="6D207157"/>
    <w:rsid w:val="6D2A25C0"/>
    <w:rsid w:val="6D3E5422"/>
    <w:rsid w:val="6D55344D"/>
    <w:rsid w:val="6D7B66EA"/>
    <w:rsid w:val="6D7C5122"/>
    <w:rsid w:val="6D8143A5"/>
    <w:rsid w:val="6D831AC3"/>
    <w:rsid w:val="6DA62B68"/>
    <w:rsid w:val="6DB51690"/>
    <w:rsid w:val="6DCA1943"/>
    <w:rsid w:val="6DCB4E90"/>
    <w:rsid w:val="6DD31DA9"/>
    <w:rsid w:val="6DDE5E7F"/>
    <w:rsid w:val="6DED0138"/>
    <w:rsid w:val="6E205FD6"/>
    <w:rsid w:val="6E2F26AE"/>
    <w:rsid w:val="6E3C4239"/>
    <w:rsid w:val="6E3D2DFA"/>
    <w:rsid w:val="6E4D5367"/>
    <w:rsid w:val="6E4E0530"/>
    <w:rsid w:val="6E59122B"/>
    <w:rsid w:val="6E5E7234"/>
    <w:rsid w:val="6E6F2871"/>
    <w:rsid w:val="6E7921E8"/>
    <w:rsid w:val="6E795FB2"/>
    <w:rsid w:val="6E871171"/>
    <w:rsid w:val="6E922485"/>
    <w:rsid w:val="6E9F5E9B"/>
    <w:rsid w:val="6EA12D56"/>
    <w:rsid w:val="6EA57B89"/>
    <w:rsid w:val="6EAA17BE"/>
    <w:rsid w:val="6EAA4396"/>
    <w:rsid w:val="6EB8323D"/>
    <w:rsid w:val="6EE71CD3"/>
    <w:rsid w:val="6EEB3AF6"/>
    <w:rsid w:val="6EEE4ED9"/>
    <w:rsid w:val="6F222A98"/>
    <w:rsid w:val="6F281E78"/>
    <w:rsid w:val="6F38522F"/>
    <w:rsid w:val="6F41540F"/>
    <w:rsid w:val="6F523436"/>
    <w:rsid w:val="6F563B40"/>
    <w:rsid w:val="6F69CA74"/>
    <w:rsid w:val="6F7044B4"/>
    <w:rsid w:val="6F7166F6"/>
    <w:rsid w:val="6F933322"/>
    <w:rsid w:val="6F940239"/>
    <w:rsid w:val="6FA27D4C"/>
    <w:rsid w:val="6FA62F43"/>
    <w:rsid w:val="6FB241F8"/>
    <w:rsid w:val="6FC2588B"/>
    <w:rsid w:val="6FCC5990"/>
    <w:rsid w:val="6FDC4FC3"/>
    <w:rsid w:val="6FDE490E"/>
    <w:rsid w:val="6FE36D2F"/>
    <w:rsid w:val="700210C8"/>
    <w:rsid w:val="70094ED2"/>
    <w:rsid w:val="70133490"/>
    <w:rsid w:val="70152AAC"/>
    <w:rsid w:val="70251A46"/>
    <w:rsid w:val="702F56F8"/>
    <w:rsid w:val="703E7AB4"/>
    <w:rsid w:val="7055227F"/>
    <w:rsid w:val="70570FF5"/>
    <w:rsid w:val="70894A34"/>
    <w:rsid w:val="70965CA7"/>
    <w:rsid w:val="70AF0B0E"/>
    <w:rsid w:val="70B842F9"/>
    <w:rsid w:val="70F53B43"/>
    <w:rsid w:val="710A3193"/>
    <w:rsid w:val="711102D2"/>
    <w:rsid w:val="71332EDE"/>
    <w:rsid w:val="714B1164"/>
    <w:rsid w:val="71535404"/>
    <w:rsid w:val="715541A6"/>
    <w:rsid w:val="717B05A6"/>
    <w:rsid w:val="71840E5C"/>
    <w:rsid w:val="7184489C"/>
    <w:rsid w:val="71902AE4"/>
    <w:rsid w:val="71A73234"/>
    <w:rsid w:val="71B06E02"/>
    <w:rsid w:val="71BE6B57"/>
    <w:rsid w:val="71C6024F"/>
    <w:rsid w:val="71D912D4"/>
    <w:rsid w:val="71F20DEA"/>
    <w:rsid w:val="7215417C"/>
    <w:rsid w:val="7217298D"/>
    <w:rsid w:val="722000C9"/>
    <w:rsid w:val="7229032E"/>
    <w:rsid w:val="72332EFC"/>
    <w:rsid w:val="72357A4A"/>
    <w:rsid w:val="723F3412"/>
    <w:rsid w:val="72424EF5"/>
    <w:rsid w:val="72480F19"/>
    <w:rsid w:val="724C4D86"/>
    <w:rsid w:val="724E6E89"/>
    <w:rsid w:val="724F81D5"/>
    <w:rsid w:val="72647297"/>
    <w:rsid w:val="727732B9"/>
    <w:rsid w:val="728A57E7"/>
    <w:rsid w:val="72A2512C"/>
    <w:rsid w:val="72B27CB2"/>
    <w:rsid w:val="72CA1C8E"/>
    <w:rsid w:val="72F62DED"/>
    <w:rsid w:val="730078FC"/>
    <w:rsid w:val="730A3E35"/>
    <w:rsid w:val="731B32C3"/>
    <w:rsid w:val="733A5DD6"/>
    <w:rsid w:val="733B309E"/>
    <w:rsid w:val="7349576A"/>
    <w:rsid w:val="7352463F"/>
    <w:rsid w:val="736B3932"/>
    <w:rsid w:val="73892A07"/>
    <w:rsid w:val="738C335A"/>
    <w:rsid w:val="73C94993"/>
    <w:rsid w:val="73CA5314"/>
    <w:rsid w:val="73D24CA1"/>
    <w:rsid w:val="73DF7FDA"/>
    <w:rsid w:val="73F6144E"/>
    <w:rsid w:val="742023C5"/>
    <w:rsid w:val="742C2582"/>
    <w:rsid w:val="74835319"/>
    <w:rsid w:val="74933140"/>
    <w:rsid w:val="74950319"/>
    <w:rsid w:val="74A01E17"/>
    <w:rsid w:val="74B82BA7"/>
    <w:rsid w:val="74C70189"/>
    <w:rsid w:val="74C83877"/>
    <w:rsid w:val="74C84547"/>
    <w:rsid w:val="74C84657"/>
    <w:rsid w:val="74CE2B0B"/>
    <w:rsid w:val="74E05C5A"/>
    <w:rsid w:val="74F35FA9"/>
    <w:rsid w:val="74F43CCF"/>
    <w:rsid w:val="75272761"/>
    <w:rsid w:val="75312FA0"/>
    <w:rsid w:val="75341056"/>
    <w:rsid w:val="753D7EC6"/>
    <w:rsid w:val="754E4CF1"/>
    <w:rsid w:val="75506001"/>
    <w:rsid w:val="755D5A0A"/>
    <w:rsid w:val="756D3B06"/>
    <w:rsid w:val="75724C91"/>
    <w:rsid w:val="75731385"/>
    <w:rsid w:val="75752FAA"/>
    <w:rsid w:val="7587423B"/>
    <w:rsid w:val="758A609D"/>
    <w:rsid w:val="758B3E18"/>
    <w:rsid w:val="759C3C2D"/>
    <w:rsid w:val="759E1544"/>
    <w:rsid w:val="759E1D8F"/>
    <w:rsid w:val="75AA0F7D"/>
    <w:rsid w:val="75AC6280"/>
    <w:rsid w:val="75B81F99"/>
    <w:rsid w:val="75BB202B"/>
    <w:rsid w:val="75D7BFA2"/>
    <w:rsid w:val="75DF8CF3"/>
    <w:rsid w:val="75E218BE"/>
    <w:rsid w:val="75E52664"/>
    <w:rsid w:val="75FA20BE"/>
    <w:rsid w:val="75FF7F78"/>
    <w:rsid w:val="762D71E3"/>
    <w:rsid w:val="763D4F16"/>
    <w:rsid w:val="76414570"/>
    <w:rsid w:val="76446D61"/>
    <w:rsid w:val="76635A18"/>
    <w:rsid w:val="76742ED1"/>
    <w:rsid w:val="768704C9"/>
    <w:rsid w:val="769B43DA"/>
    <w:rsid w:val="769C0E3E"/>
    <w:rsid w:val="76AF60AC"/>
    <w:rsid w:val="76B145E2"/>
    <w:rsid w:val="76B14BC3"/>
    <w:rsid w:val="76B55028"/>
    <w:rsid w:val="76BC4508"/>
    <w:rsid w:val="76E510A5"/>
    <w:rsid w:val="76F26DE2"/>
    <w:rsid w:val="76F6732E"/>
    <w:rsid w:val="76FD524C"/>
    <w:rsid w:val="772D453D"/>
    <w:rsid w:val="7733706B"/>
    <w:rsid w:val="7744154B"/>
    <w:rsid w:val="774822BE"/>
    <w:rsid w:val="7769030A"/>
    <w:rsid w:val="776E26C5"/>
    <w:rsid w:val="77787134"/>
    <w:rsid w:val="77877C60"/>
    <w:rsid w:val="778B418E"/>
    <w:rsid w:val="77922438"/>
    <w:rsid w:val="779C0783"/>
    <w:rsid w:val="77B268BC"/>
    <w:rsid w:val="77B470C3"/>
    <w:rsid w:val="77BA0EA6"/>
    <w:rsid w:val="77C2448A"/>
    <w:rsid w:val="77C822DD"/>
    <w:rsid w:val="77CB4B65"/>
    <w:rsid w:val="77D5581E"/>
    <w:rsid w:val="77E578DC"/>
    <w:rsid w:val="77ED3B77"/>
    <w:rsid w:val="781836F9"/>
    <w:rsid w:val="7821360E"/>
    <w:rsid w:val="78354AF9"/>
    <w:rsid w:val="78374B57"/>
    <w:rsid w:val="784A3CD3"/>
    <w:rsid w:val="78591EBE"/>
    <w:rsid w:val="78615480"/>
    <w:rsid w:val="786C19B4"/>
    <w:rsid w:val="787B7CAE"/>
    <w:rsid w:val="78812164"/>
    <w:rsid w:val="78844BD2"/>
    <w:rsid w:val="788C2661"/>
    <w:rsid w:val="78947BB5"/>
    <w:rsid w:val="78A0407E"/>
    <w:rsid w:val="78AC1E9F"/>
    <w:rsid w:val="78AF118E"/>
    <w:rsid w:val="78DA2A6E"/>
    <w:rsid w:val="78DA683F"/>
    <w:rsid w:val="78EF048B"/>
    <w:rsid w:val="78FC3F71"/>
    <w:rsid w:val="79063F3E"/>
    <w:rsid w:val="79093BBE"/>
    <w:rsid w:val="790D3193"/>
    <w:rsid w:val="791A5F5A"/>
    <w:rsid w:val="792E0533"/>
    <w:rsid w:val="7939713F"/>
    <w:rsid w:val="79403559"/>
    <w:rsid w:val="79493484"/>
    <w:rsid w:val="7951392B"/>
    <w:rsid w:val="795D308D"/>
    <w:rsid w:val="796850A8"/>
    <w:rsid w:val="79AC79FB"/>
    <w:rsid w:val="79AD1192"/>
    <w:rsid w:val="79CD1A17"/>
    <w:rsid w:val="79D03C4E"/>
    <w:rsid w:val="79E80F23"/>
    <w:rsid w:val="79EC0475"/>
    <w:rsid w:val="79F17CA3"/>
    <w:rsid w:val="79FE700A"/>
    <w:rsid w:val="7A02599B"/>
    <w:rsid w:val="7A0423EA"/>
    <w:rsid w:val="7A1547FF"/>
    <w:rsid w:val="7A3007BF"/>
    <w:rsid w:val="7A3E18D8"/>
    <w:rsid w:val="7A3E7076"/>
    <w:rsid w:val="7A481EBA"/>
    <w:rsid w:val="7A5507C4"/>
    <w:rsid w:val="7A990DD9"/>
    <w:rsid w:val="7A9F1116"/>
    <w:rsid w:val="7AA5310B"/>
    <w:rsid w:val="7AAF62F1"/>
    <w:rsid w:val="7AB42307"/>
    <w:rsid w:val="7AB67EEC"/>
    <w:rsid w:val="7ABA2123"/>
    <w:rsid w:val="7ACD1F36"/>
    <w:rsid w:val="7AD62AFA"/>
    <w:rsid w:val="7AFA5C24"/>
    <w:rsid w:val="7AFC1DE4"/>
    <w:rsid w:val="7B097BDE"/>
    <w:rsid w:val="7B1623D5"/>
    <w:rsid w:val="7B376C34"/>
    <w:rsid w:val="7B3A0A78"/>
    <w:rsid w:val="7B484A08"/>
    <w:rsid w:val="7B503313"/>
    <w:rsid w:val="7B516C8E"/>
    <w:rsid w:val="7B6416E8"/>
    <w:rsid w:val="7B675BAF"/>
    <w:rsid w:val="7B6A4B11"/>
    <w:rsid w:val="7B81748F"/>
    <w:rsid w:val="7B87F9DA"/>
    <w:rsid w:val="7B986902"/>
    <w:rsid w:val="7BA47BCF"/>
    <w:rsid w:val="7BA65D51"/>
    <w:rsid w:val="7BBF53C8"/>
    <w:rsid w:val="7BC37918"/>
    <w:rsid w:val="7BC44B32"/>
    <w:rsid w:val="7BC736D0"/>
    <w:rsid w:val="7BC90C1C"/>
    <w:rsid w:val="7BD16478"/>
    <w:rsid w:val="7BD30F97"/>
    <w:rsid w:val="7BD512CA"/>
    <w:rsid w:val="7BDA5297"/>
    <w:rsid w:val="7BDD0422"/>
    <w:rsid w:val="7BDD0E17"/>
    <w:rsid w:val="7BE6710A"/>
    <w:rsid w:val="7BF78D2E"/>
    <w:rsid w:val="7BFEE1D0"/>
    <w:rsid w:val="7C021D23"/>
    <w:rsid w:val="7C07269A"/>
    <w:rsid w:val="7C0C4CCC"/>
    <w:rsid w:val="7C0E6E59"/>
    <w:rsid w:val="7C132689"/>
    <w:rsid w:val="7C15390B"/>
    <w:rsid w:val="7C1B3232"/>
    <w:rsid w:val="7C5A2BF8"/>
    <w:rsid w:val="7C602641"/>
    <w:rsid w:val="7C681717"/>
    <w:rsid w:val="7C762C26"/>
    <w:rsid w:val="7CB138FF"/>
    <w:rsid w:val="7CBB3234"/>
    <w:rsid w:val="7CBFF14B"/>
    <w:rsid w:val="7CD146CD"/>
    <w:rsid w:val="7CDC699E"/>
    <w:rsid w:val="7CEC5AE4"/>
    <w:rsid w:val="7CF712F4"/>
    <w:rsid w:val="7CFA81B0"/>
    <w:rsid w:val="7CFC5110"/>
    <w:rsid w:val="7D0828AC"/>
    <w:rsid w:val="7D1563E6"/>
    <w:rsid w:val="7D21794B"/>
    <w:rsid w:val="7D306514"/>
    <w:rsid w:val="7D3E0B18"/>
    <w:rsid w:val="7D3E70D3"/>
    <w:rsid w:val="7D4775B1"/>
    <w:rsid w:val="7D47ABDE"/>
    <w:rsid w:val="7D5C3EB4"/>
    <w:rsid w:val="7D663E6F"/>
    <w:rsid w:val="7D6FE31F"/>
    <w:rsid w:val="7D71615B"/>
    <w:rsid w:val="7D86422B"/>
    <w:rsid w:val="7D912F29"/>
    <w:rsid w:val="7D966FEB"/>
    <w:rsid w:val="7D9B469E"/>
    <w:rsid w:val="7DB14677"/>
    <w:rsid w:val="7DC5730E"/>
    <w:rsid w:val="7DCA57F6"/>
    <w:rsid w:val="7DD64891"/>
    <w:rsid w:val="7DD73BA6"/>
    <w:rsid w:val="7E1A21DD"/>
    <w:rsid w:val="7E1C6248"/>
    <w:rsid w:val="7E2412AD"/>
    <w:rsid w:val="7E2B5B66"/>
    <w:rsid w:val="7E337624"/>
    <w:rsid w:val="7E3D6F9A"/>
    <w:rsid w:val="7E5514BB"/>
    <w:rsid w:val="7E704832"/>
    <w:rsid w:val="7E761F9C"/>
    <w:rsid w:val="7E800C15"/>
    <w:rsid w:val="7E8D1873"/>
    <w:rsid w:val="7E8D46BF"/>
    <w:rsid w:val="7E8F2119"/>
    <w:rsid w:val="7E953617"/>
    <w:rsid w:val="7EB45EC5"/>
    <w:rsid w:val="7EBF7F51"/>
    <w:rsid w:val="7EC43638"/>
    <w:rsid w:val="7EF1686D"/>
    <w:rsid w:val="7EFB745E"/>
    <w:rsid w:val="7EFD19F7"/>
    <w:rsid w:val="7F0A4EC1"/>
    <w:rsid w:val="7F3E07EB"/>
    <w:rsid w:val="7F565D15"/>
    <w:rsid w:val="7F593177"/>
    <w:rsid w:val="7F5D0609"/>
    <w:rsid w:val="7F5E434B"/>
    <w:rsid w:val="7F79B582"/>
    <w:rsid w:val="7F7A3D1F"/>
    <w:rsid w:val="7F7B1571"/>
    <w:rsid w:val="7F8A1909"/>
    <w:rsid w:val="7F96147F"/>
    <w:rsid w:val="7F961D37"/>
    <w:rsid w:val="7F9711EC"/>
    <w:rsid w:val="7F9814CA"/>
    <w:rsid w:val="7FB17628"/>
    <w:rsid w:val="7FB53AF5"/>
    <w:rsid w:val="7FBB84EC"/>
    <w:rsid w:val="7FC414A5"/>
    <w:rsid w:val="7FE125BE"/>
    <w:rsid w:val="7FE15E36"/>
    <w:rsid w:val="7FED20FF"/>
    <w:rsid w:val="7FF1C11B"/>
    <w:rsid w:val="7FFF1659"/>
    <w:rsid w:val="876BE54A"/>
    <w:rsid w:val="A7FEFF64"/>
    <w:rsid w:val="AFEE6AEF"/>
    <w:rsid w:val="B32A31F0"/>
    <w:rsid w:val="B3FA92F5"/>
    <w:rsid w:val="B77608B8"/>
    <w:rsid w:val="B7FAC240"/>
    <w:rsid w:val="B7FFA969"/>
    <w:rsid w:val="B97EC3CF"/>
    <w:rsid w:val="BFAF2EBF"/>
    <w:rsid w:val="BFF366CD"/>
    <w:rsid w:val="BFF705D2"/>
    <w:rsid w:val="CBA644E7"/>
    <w:rsid w:val="CE5B8533"/>
    <w:rsid w:val="D2E7D3C9"/>
    <w:rsid w:val="D3FD5D2E"/>
    <w:rsid w:val="D9EB1ECC"/>
    <w:rsid w:val="DA3E4494"/>
    <w:rsid w:val="DAFDAEA0"/>
    <w:rsid w:val="DAFE9F0B"/>
    <w:rsid w:val="DDB69EC6"/>
    <w:rsid w:val="DF0FCB9B"/>
    <w:rsid w:val="DF5D5A40"/>
    <w:rsid w:val="DF5F22A9"/>
    <w:rsid w:val="DF9B8DAD"/>
    <w:rsid w:val="DFF2DE5A"/>
    <w:rsid w:val="E779C183"/>
    <w:rsid w:val="EBFF5D45"/>
    <w:rsid w:val="EFF56383"/>
    <w:rsid w:val="EFFF60D8"/>
    <w:rsid w:val="EFFFCCF3"/>
    <w:rsid w:val="F2C9294E"/>
    <w:rsid w:val="F3DFA297"/>
    <w:rsid w:val="F4F77D5D"/>
    <w:rsid w:val="F6DF6E6A"/>
    <w:rsid w:val="F772176F"/>
    <w:rsid w:val="F7F12B89"/>
    <w:rsid w:val="F8FEA527"/>
    <w:rsid w:val="FD7D71ED"/>
    <w:rsid w:val="FDF70499"/>
    <w:rsid w:val="FDFDF2D0"/>
    <w:rsid w:val="FE970CFD"/>
    <w:rsid w:val="FEF9C93F"/>
    <w:rsid w:val="FF8F60E4"/>
    <w:rsid w:val="FFEF25CB"/>
    <w:rsid w:val="FFFE75A9"/>
    <w:rsid w:val="FFFF9516"/>
  </w:rsids>
  <m:mathPr>
    <m:mathFont m:val="Cambria Math"/>
    <m:brkBin m:val="before"/>
    <m:brkBinSub m:val="--"/>
    <m:smallFrac m:val="1"/>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iPriority="0" w:semiHidden="0" w:name="toc 1"/>
    <w:lsdException w:qFormat="1" w:unhideWhenUsed="0" w:uiPriority="39" w:semiHidden="0" w:name="toc 2"/>
    <w:lsdException w:qFormat="1" w:unhideWhenUsed="0" w:uiPriority="0" w:semiHidden="0" w:name="toc 3"/>
    <w:lsdException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iPriority="0" w:name="Note Heading"/>
    <w:lsdException w:qFormat="1" w:unhideWhenUsed="0" w:uiPriority="0" w:name="Body Text 2"/>
    <w:lsdException w:uiPriority="0" w:name="Body Text 3"/>
    <w:lsdException w:qFormat="1" w:unhideWhenUsed="0" w:uiPriority="0" w:semiHidden="0" w:name="Body Text Indent 2"/>
    <w:lsdException w:qFormat="1" w:unhideWhenUsed="0" w:uiPriority="0" w:semiHidden="0" w:name="Body Text Indent 3"/>
    <w:lsdException w:qFormat="1" w:uiPriority="99"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qFormat="1"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3"/>
    <w:qFormat/>
    <w:uiPriority w:val="0"/>
    <w:pPr>
      <w:keepNext/>
      <w:keepLines/>
      <w:spacing w:before="260" w:after="260" w:line="412" w:lineRule="auto"/>
      <w:outlineLvl w:val="1"/>
    </w:pPr>
    <w:rPr>
      <w:rFonts w:ascii="Arial" w:hAnsi="Arial" w:eastAsia="??"/>
      <w:b/>
      <w:sz w:val="32"/>
      <w:szCs w:val="28"/>
    </w:rPr>
  </w:style>
  <w:style w:type="paragraph" w:styleId="4">
    <w:name w:val="heading 3"/>
    <w:basedOn w:val="1"/>
    <w:next w:val="1"/>
    <w:qFormat/>
    <w:uiPriority w:val="0"/>
    <w:pPr>
      <w:keepNext/>
      <w:keepLines/>
      <w:spacing w:before="260" w:after="260" w:line="413" w:lineRule="auto"/>
      <w:outlineLvl w:val="2"/>
    </w:pPr>
    <w:rPr>
      <w:b/>
      <w:bCs/>
      <w:sz w:val="32"/>
      <w:szCs w:val="32"/>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5">
    <w:name w:val="List Number"/>
    <w:basedOn w:val="1"/>
    <w:qFormat/>
    <w:uiPriority w:val="0"/>
    <w:pPr>
      <w:widowControl/>
      <w:tabs>
        <w:tab w:val="left" w:pos="360"/>
        <w:tab w:val="left" w:pos="454"/>
        <w:tab w:val="left" w:pos="720"/>
      </w:tabs>
      <w:spacing w:afterLines="50"/>
      <w:ind w:left="454" w:hanging="284"/>
      <w:jc w:val="left"/>
    </w:pPr>
    <w:rPr>
      <w:kern w:val="0"/>
      <w:sz w:val="24"/>
    </w:rPr>
  </w:style>
  <w:style w:type="paragraph" w:styleId="6">
    <w:name w:val="Normal Indent"/>
    <w:basedOn w:val="1"/>
    <w:qFormat/>
    <w:uiPriority w:val="0"/>
    <w:pPr>
      <w:spacing w:line="300" w:lineRule="auto"/>
      <w:ind w:firstLine="420"/>
    </w:pPr>
  </w:style>
  <w:style w:type="paragraph" w:styleId="7">
    <w:name w:val="Document Map"/>
    <w:basedOn w:val="1"/>
    <w:link w:val="45"/>
    <w:qFormat/>
    <w:uiPriority w:val="0"/>
    <w:rPr>
      <w:rFonts w:ascii="宋体"/>
      <w:sz w:val="18"/>
      <w:szCs w:val="18"/>
    </w:rPr>
  </w:style>
  <w:style w:type="paragraph" w:styleId="8">
    <w:name w:val="annotation text"/>
    <w:basedOn w:val="1"/>
    <w:link w:val="46"/>
    <w:qFormat/>
    <w:uiPriority w:val="0"/>
    <w:pPr>
      <w:jc w:val="left"/>
    </w:pPr>
    <w:rPr>
      <w:szCs w:val="24"/>
    </w:rPr>
  </w:style>
  <w:style w:type="paragraph" w:styleId="9">
    <w:name w:val="Body Text"/>
    <w:basedOn w:val="1"/>
    <w:next w:val="10"/>
    <w:link w:val="40"/>
    <w:qFormat/>
    <w:uiPriority w:val="99"/>
    <w:pPr>
      <w:spacing w:after="120"/>
    </w:pPr>
    <w:rPr>
      <w:rFonts w:eastAsia="??"/>
      <w:sz w:val="28"/>
      <w:szCs w:val="28"/>
    </w:rPr>
  </w:style>
  <w:style w:type="paragraph" w:styleId="10">
    <w:name w:val="Body Text First Indent"/>
    <w:basedOn w:val="9"/>
    <w:next w:val="1"/>
    <w:link w:val="56"/>
    <w:qFormat/>
    <w:uiPriority w:val="99"/>
    <w:pPr>
      <w:ind w:firstLine="420" w:firstLineChars="100"/>
    </w:pPr>
    <w:rPr>
      <w:szCs w:val="24"/>
    </w:rPr>
  </w:style>
  <w:style w:type="paragraph" w:styleId="11">
    <w:name w:val="Body Text Indent"/>
    <w:basedOn w:val="1"/>
    <w:next w:val="1"/>
    <w:link w:val="47"/>
    <w:qFormat/>
    <w:uiPriority w:val="0"/>
    <w:pPr>
      <w:spacing w:after="120"/>
      <w:ind w:left="420" w:leftChars="200"/>
    </w:pPr>
  </w:style>
  <w:style w:type="paragraph" w:styleId="12">
    <w:name w:val="Block Text"/>
    <w:basedOn w:val="1"/>
    <w:unhideWhenUsed/>
    <w:qFormat/>
    <w:uiPriority w:val="99"/>
    <w:pPr>
      <w:spacing w:after="120"/>
      <w:ind w:left="1440" w:leftChars="700" w:right="1440" w:rightChars="700"/>
    </w:pPr>
  </w:style>
  <w:style w:type="paragraph" w:styleId="13">
    <w:name w:val="index 4"/>
    <w:basedOn w:val="1"/>
    <w:next w:val="1"/>
    <w:unhideWhenUsed/>
    <w:qFormat/>
    <w:uiPriority w:val="99"/>
    <w:pPr>
      <w:widowControl/>
      <w:ind w:left="600" w:leftChars="600"/>
      <w:jc w:val="left"/>
    </w:pPr>
    <w:rPr>
      <w:rFonts w:ascii="Verdana" w:hAnsi="Verdana" w:eastAsia="微软雅黑"/>
      <w:kern w:val="0"/>
    </w:rPr>
  </w:style>
  <w:style w:type="paragraph" w:styleId="14">
    <w:name w:val="toc 3"/>
    <w:basedOn w:val="1"/>
    <w:next w:val="1"/>
    <w:qFormat/>
    <w:uiPriority w:val="0"/>
    <w:pPr>
      <w:ind w:left="840" w:leftChars="400"/>
    </w:pPr>
  </w:style>
  <w:style w:type="paragraph" w:styleId="15">
    <w:name w:val="Plain Text"/>
    <w:basedOn w:val="1"/>
    <w:next w:val="1"/>
    <w:link w:val="48"/>
    <w:qFormat/>
    <w:uiPriority w:val="0"/>
    <w:rPr>
      <w:rFonts w:ascii="宋体" w:hAnsi="Courier New" w:eastAsia="仿宋_GB2312"/>
      <w:sz w:val="30"/>
    </w:rPr>
  </w:style>
  <w:style w:type="paragraph" w:styleId="16">
    <w:name w:val="Date"/>
    <w:basedOn w:val="1"/>
    <w:next w:val="1"/>
    <w:qFormat/>
    <w:uiPriority w:val="0"/>
    <w:pPr>
      <w:ind w:left="100" w:leftChars="2500"/>
    </w:pPr>
  </w:style>
  <w:style w:type="paragraph" w:styleId="17">
    <w:name w:val="Body Text Indent 2"/>
    <w:basedOn w:val="1"/>
    <w:link w:val="49"/>
    <w:qFormat/>
    <w:uiPriority w:val="0"/>
    <w:pPr>
      <w:spacing w:line="500" w:lineRule="exact"/>
      <w:ind w:left="105" w:firstLine="465" w:firstLineChars="166"/>
    </w:pPr>
    <w:rPr>
      <w:sz w:val="28"/>
    </w:rPr>
  </w:style>
  <w:style w:type="paragraph" w:styleId="18">
    <w:name w:val="Balloon Text"/>
    <w:basedOn w:val="1"/>
    <w:link w:val="50"/>
    <w:qFormat/>
    <w:uiPriority w:val="0"/>
    <w:rPr>
      <w:sz w:val="18"/>
      <w:szCs w:val="18"/>
    </w:rPr>
  </w:style>
  <w:style w:type="paragraph" w:styleId="19">
    <w:name w:val="footer"/>
    <w:basedOn w:val="1"/>
    <w:next w:val="20"/>
    <w:link w:val="51"/>
    <w:qFormat/>
    <w:uiPriority w:val="99"/>
    <w:pPr>
      <w:tabs>
        <w:tab w:val="center" w:pos="4153"/>
        <w:tab w:val="right" w:pos="8306"/>
      </w:tabs>
      <w:snapToGrid w:val="0"/>
      <w:jc w:val="left"/>
    </w:pPr>
    <w:rPr>
      <w:sz w:val="18"/>
      <w:szCs w:val="18"/>
    </w:rPr>
  </w:style>
  <w:style w:type="paragraph" w:styleId="20">
    <w:name w:val="toc 2"/>
    <w:basedOn w:val="1"/>
    <w:next w:val="1"/>
    <w:qFormat/>
    <w:uiPriority w:val="39"/>
    <w:pPr>
      <w:tabs>
        <w:tab w:val="right" w:leader="middleDot" w:pos="8948"/>
      </w:tabs>
      <w:spacing w:before="60" w:after="60"/>
      <w:ind w:left="210"/>
    </w:pPr>
    <w:rPr>
      <w:smallCaps/>
    </w:rPr>
  </w:style>
  <w:style w:type="paragraph" w:styleId="21">
    <w:name w:val="header"/>
    <w:basedOn w:val="1"/>
    <w:link w:val="52"/>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unhideWhenUsed/>
    <w:qFormat/>
    <w:uiPriority w:val="0"/>
    <w:rPr>
      <w:rFonts w:ascii="Calibri" w:hAnsi="Calibri"/>
      <w:szCs w:val="24"/>
    </w:rPr>
  </w:style>
  <w:style w:type="paragraph" w:styleId="23">
    <w:name w:val="List"/>
    <w:basedOn w:val="1"/>
    <w:qFormat/>
    <w:uiPriority w:val="0"/>
    <w:pPr>
      <w:ind w:left="200" w:hanging="200" w:hangingChars="200"/>
    </w:pPr>
  </w:style>
  <w:style w:type="paragraph" w:styleId="24">
    <w:name w:val="toc 6"/>
    <w:basedOn w:val="1"/>
    <w:next w:val="1"/>
    <w:qFormat/>
    <w:uiPriority w:val="0"/>
    <w:pPr>
      <w:ind w:left="1000" w:leftChars="1000"/>
    </w:pPr>
  </w:style>
  <w:style w:type="paragraph" w:styleId="25">
    <w:name w:val="Body Text Indent 3"/>
    <w:basedOn w:val="1"/>
    <w:link w:val="53"/>
    <w:qFormat/>
    <w:uiPriority w:val="0"/>
    <w:pPr>
      <w:spacing w:after="120"/>
      <w:ind w:left="420" w:leftChars="200"/>
    </w:pPr>
    <w:rPr>
      <w:sz w:val="16"/>
      <w:szCs w:val="16"/>
    </w:rPr>
  </w:style>
  <w:style w:type="paragraph" w:styleId="26">
    <w:name w:val="Body Text 2"/>
    <w:basedOn w:val="1"/>
    <w:semiHidden/>
    <w:qFormat/>
    <w:uiPriority w:val="0"/>
    <w:rPr>
      <w:rFonts w:ascii="宋体"/>
      <w:color w:val="000000"/>
      <w:sz w:val="28"/>
    </w:rPr>
  </w:style>
  <w:style w:type="paragraph" w:styleId="27">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8">
    <w:name w:val="Title"/>
    <w:basedOn w:val="1"/>
    <w:link w:val="54"/>
    <w:qFormat/>
    <w:uiPriority w:val="0"/>
    <w:pPr>
      <w:jc w:val="center"/>
    </w:pPr>
    <w:rPr>
      <w:rFonts w:ascii="Calibri" w:hAnsi="Calibri"/>
      <w:sz w:val="30"/>
      <w:szCs w:val="30"/>
    </w:rPr>
  </w:style>
  <w:style w:type="paragraph" w:styleId="29">
    <w:name w:val="annotation subject"/>
    <w:basedOn w:val="8"/>
    <w:next w:val="8"/>
    <w:link w:val="55"/>
    <w:qFormat/>
    <w:uiPriority w:val="0"/>
    <w:rPr>
      <w:b/>
      <w:bCs/>
    </w:rPr>
  </w:style>
  <w:style w:type="paragraph" w:styleId="30">
    <w:name w:val="Body Text First Indent 2"/>
    <w:basedOn w:val="11"/>
    <w:next w:val="1"/>
    <w:link w:val="57"/>
    <w:qFormat/>
    <w:uiPriority w:val="0"/>
    <w:pPr>
      <w:ind w:firstLine="420" w:firstLineChars="200"/>
    </w:pPr>
  </w:style>
  <w:style w:type="table" w:styleId="32">
    <w:name w:val="Table Grid"/>
    <w:basedOn w:val="31"/>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qFormat/>
    <w:uiPriority w:val="22"/>
    <w:rPr>
      <w:b/>
      <w:bCs/>
    </w:rPr>
  </w:style>
  <w:style w:type="character" w:styleId="35">
    <w:name w:val="page number"/>
    <w:qFormat/>
    <w:uiPriority w:val="0"/>
  </w:style>
  <w:style w:type="character" w:styleId="36">
    <w:name w:val="FollowedHyperlink"/>
    <w:unhideWhenUsed/>
    <w:qFormat/>
    <w:uiPriority w:val="99"/>
    <w:rPr>
      <w:color w:val="800080"/>
      <w:u w:val="single"/>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styleId="39">
    <w:name w:val="HTML Sample"/>
    <w:basedOn w:val="33"/>
    <w:semiHidden/>
    <w:unhideWhenUsed/>
    <w:qFormat/>
    <w:uiPriority w:val="0"/>
    <w:rPr>
      <w:rFonts w:ascii="Courier New" w:hAnsi="Courier New"/>
    </w:rPr>
  </w:style>
  <w:style w:type="character" w:customStyle="1" w:styleId="40">
    <w:name w:val="正文文本 Char"/>
    <w:link w:val="9"/>
    <w:qFormat/>
    <w:uiPriority w:val="99"/>
    <w:rPr>
      <w:rFonts w:eastAsia="??"/>
      <w:kern w:val="2"/>
      <w:sz w:val="28"/>
      <w:szCs w:val="28"/>
      <w:lang w:val="en-US" w:eastAsia="zh-CN" w:bidi="ar-SA"/>
    </w:rPr>
  </w:style>
  <w:style w:type="paragraph" w:customStyle="1" w:styleId="41">
    <w:name w:val="BodyText"/>
    <w:basedOn w:val="1"/>
    <w:next w:val="42"/>
    <w:qFormat/>
    <w:uiPriority w:val="0"/>
    <w:pPr>
      <w:spacing w:line="460" w:lineRule="exact"/>
      <w:textAlignment w:val="baseline"/>
    </w:pPr>
    <w:rPr>
      <w:rFonts w:ascii="Calibri" w:hAnsi="Calibri" w:eastAsia="黑体"/>
      <w:sz w:val="24"/>
      <w:szCs w:val="24"/>
    </w:rPr>
  </w:style>
  <w:style w:type="paragraph" w:customStyle="1" w:styleId="42">
    <w:name w:val="BodyText1I"/>
    <w:basedOn w:val="41"/>
    <w:next w:val="1"/>
    <w:qFormat/>
    <w:uiPriority w:val="0"/>
    <w:pPr>
      <w:spacing w:after="120" w:line="240" w:lineRule="auto"/>
      <w:ind w:firstLine="420" w:firstLineChars="100"/>
    </w:pPr>
    <w:rPr>
      <w:rFonts w:eastAsia="宋体"/>
      <w:sz w:val="21"/>
    </w:rPr>
  </w:style>
  <w:style w:type="character" w:customStyle="1" w:styleId="43">
    <w:name w:val="标题 2 Char"/>
    <w:link w:val="3"/>
    <w:qFormat/>
    <w:uiPriority w:val="0"/>
    <w:rPr>
      <w:rFonts w:ascii="Arial" w:hAnsi="Arial" w:eastAsia="??"/>
      <w:b/>
      <w:kern w:val="2"/>
      <w:sz w:val="32"/>
      <w:szCs w:val="28"/>
      <w:lang w:val="en-US" w:eastAsia="zh-CN" w:bidi="ar-SA"/>
    </w:rPr>
  </w:style>
  <w:style w:type="character" w:customStyle="1" w:styleId="44">
    <w:name w:val="标题 1 Char"/>
    <w:link w:val="2"/>
    <w:qFormat/>
    <w:uiPriority w:val="9"/>
    <w:rPr>
      <w:b/>
      <w:bCs/>
      <w:kern w:val="44"/>
      <w:sz w:val="44"/>
      <w:szCs w:val="44"/>
    </w:rPr>
  </w:style>
  <w:style w:type="character" w:customStyle="1" w:styleId="45">
    <w:name w:val="文档结构图 Char"/>
    <w:link w:val="7"/>
    <w:qFormat/>
    <w:uiPriority w:val="0"/>
    <w:rPr>
      <w:rFonts w:ascii="宋体"/>
      <w:kern w:val="2"/>
      <w:sz w:val="18"/>
      <w:szCs w:val="18"/>
    </w:rPr>
  </w:style>
  <w:style w:type="character" w:customStyle="1" w:styleId="46">
    <w:name w:val="批注文字 Char"/>
    <w:link w:val="8"/>
    <w:qFormat/>
    <w:uiPriority w:val="0"/>
    <w:rPr>
      <w:kern w:val="2"/>
      <w:sz w:val="21"/>
      <w:szCs w:val="24"/>
    </w:rPr>
  </w:style>
  <w:style w:type="character" w:customStyle="1" w:styleId="47">
    <w:name w:val="正文文本缩进 Char"/>
    <w:link w:val="11"/>
    <w:qFormat/>
    <w:uiPriority w:val="0"/>
    <w:rPr>
      <w:kern w:val="2"/>
      <w:sz w:val="21"/>
    </w:rPr>
  </w:style>
  <w:style w:type="character" w:customStyle="1" w:styleId="48">
    <w:name w:val="纯文本 Char"/>
    <w:link w:val="15"/>
    <w:qFormat/>
    <w:uiPriority w:val="0"/>
    <w:rPr>
      <w:rFonts w:ascii="宋体" w:hAnsi="Courier New" w:eastAsia="仿宋_GB2312"/>
      <w:kern w:val="2"/>
      <w:sz w:val="30"/>
      <w:lang w:val="en-US" w:eastAsia="zh-CN" w:bidi="ar-SA"/>
    </w:rPr>
  </w:style>
  <w:style w:type="character" w:customStyle="1" w:styleId="49">
    <w:name w:val="正文文本缩进 2 Char"/>
    <w:link w:val="17"/>
    <w:qFormat/>
    <w:uiPriority w:val="0"/>
    <w:rPr>
      <w:kern w:val="2"/>
      <w:sz w:val="28"/>
    </w:rPr>
  </w:style>
  <w:style w:type="character" w:customStyle="1" w:styleId="50">
    <w:name w:val="批注框文本 Char"/>
    <w:link w:val="18"/>
    <w:qFormat/>
    <w:uiPriority w:val="0"/>
    <w:rPr>
      <w:kern w:val="2"/>
      <w:sz w:val="18"/>
      <w:szCs w:val="18"/>
    </w:rPr>
  </w:style>
  <w:style w:type="character" w:customStyle="1" w:styleId="51">
    <w:name w:val="页脚 Char"/>
    <w:link w:val="19"/>
    <w:qFormat/>
    <w:uiPriority w:val="99"/>
    <w:rPr>
      <w:kern w:val="2"/>
      <w:sz w:val="18"/>
      <w:szCs w:val="18"/>
    </w:rPr>
  </w:style>
  <w:style w:type="character" w:customStyle="1" w:styleId="52">
    <w:name w:val="页眉 Char"/>
    <w:link w:val="21"/>
    <w:qFormat/>
    <w:uiPriority w:val="99"/>
    <w:rPr>
      <w:kern w:val="2"/>
      <w:sz w:val="18"/>
      <w:szCs w:val="18"/>
    </w:rPr>
  </w:style>
  <w:style w:type="character" w:customStyle="1" w:styleId="53">
    <w:name w:val="正文文本缩进 3 Char"/>
    <w:link w:val="25"/>
    <w:qFormat/>
    <w:uiPriority w:val="0"/>
    <w:rPr>
      <w:kern w:val="2"/>
      <w:sz w:val="16"/>
      <w:szCs w:val="16"/>
    </w:rPr>
  </w:style>
  <w:style w:type="character" w:customStyle="1" w:styleId="54">
    <w:name w:val="标题 Char"/>
    <w:link w:val="28"/>
    <w:qFormat/>
    <w:uiPriority w:val="0"/>
    <w:rPr>
      <w:rFonts w:ascii="Calibri" w:hAnsi="Calibri"/>
      <w:kern w:val="2"/>
      <w:sz w:val="30"/>
      <w:szCs w:val="30"/>
    </w:rPr>
  </w:style>
  <w:style w:type="character" w:customStyle="1" w:styleId="55">
    <w:name w:val="批注主题 Char"/>
    <w:link w:val="29"/>
    <w:qFormat/>
    <w:uiPriority w:val="0"/>
    <w:rPr>
      <w:b/>
      <w:bCs/>
      <w:kern w:val="2"/>
      <w:sz w:val="21"/>
      <w:szCs w:val="24"/>
    </w:rPr>
  </w:style>
  <w:style w:type="character" w:customStyle="1" w:styleId="56">
    <w:name w:val="正文首行缩进 Char"/>
    <w:link w:val="10"/>
    <w:qFormat/>
    <w:uiPriority w:val="99"/>
    <w:rPr>
      <w:rFonts w:eastAsia="??"/>
      <w:kern w:val="2"/>
      <w:sz w:val="28"/>
      <w:szCs w:val="24"/>
    </w:rPr>
  </w:style>
  <w:style w:type="character" w:customStyle="1" w:styleId="57">
    <w:name w:val="正文首行缩进 2 Char"/>
    <w:link w:val="30"/>
    <w:qFormat/>
    <w:uiPriority w:val="0"/>
  </w:style>
  <w:style w:type="paragraph" w:customStyle="1" w:styleId="58">
    <w:name w:val="xl53"/>
    <w:basedOn w:val="1"/>
    <w:next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sz w:val="20"/>
    </w:rPr>
  </w:style>
  <w:style w:type="character" w:customStyle="1" w:styleId="59">
    <w:name w:val="font31"/>
    <w:qFormat/>
    <w:uiPriority w:val="0"/>
    <w:rPr>
      <w:rFonts w:hint="eastAsia" w:ascii="宋体" w:hAnsi="宋体" w:eastAsia="宋体" w:cs="宋体"/>
      <w:color w:val="000000"/>
      <w:sz w:val="20"/>
      <w:szCs w:val="20"/>
      <w:u w:val="none"/>
    </w:rPr>
  </w:style>
  <w:style w:type="character" w:customStyle="1" w:styleId="60">
    <w:name w:val="font71"/>
    <w:qFormat/>
    <w:uiPriority w:val="0"/>
    <w:rPr>
      <w:rFonts w:ascii="Arial" w:hAnsi="Arial" w:cs="Arial"/>
      <w:color w:val="000000"/>
      <w:sz w:val="20"/>
      <w:szCs w:val="20"/>
      <w:u w:val="none"/>
    </w:rPr>
  </w:style>
  <w:style w:type="character" w:customStyle="1" w:styleId="61">
    <w:name w:val="Char Char7"/>
    <w:qFormat/>
    <w:uiPriority w:val="0"/>
    <w:rPr>
      <w:rFonts w:ascii="??" w:hAnsi="??" w:eastAsia="??" w:cs="宋体"/>
      <w:kern w:val="2"/>
      <w:sz w:val="24"/>
      <w:szCs w:val="28"/>
    </w:rPr>
  </w:style>
  <w:style w:type="character" w:customStyle="1" w:styleId="62">
    <w:name w:val="font81"/>
    <w:qFormat/>
    <w:uiPriority w:val="0"/>
    <w:rPr>
      <w:rFonts w:hint="eastAsia" w:ascii="宋体" w:hAnsi="宋体" w:eastAsia="宋体" w:cs="宋体"/>
      <w:color w:val="000000"/>
      <w:sz w:val="20"/>
      <w:szCs w:val="20"/>
      <w:u w:val="none"/>
    </w:rPr>
  </w:style>
  <w:style w:type="character" w:customStyle="1" w:styleId="63">
    <w:name w:val="font61"/>
    <w:qFormat/>
    <w:uiPriority w:val="0"/>
    <w:rPr>
      <w:rFonts w:hint="default" w:ascii="Times New Roman" w:hAnsi="Times New Roman" w:cs="Times New Roman"/>
      <w:color w:val="000000"/>
      <w:sz w:val="20"/>
      <w:szCs w:val="20"/>
      <w:u w:val="none"/>
    </w:rPr>
  </w:style>
  <w:style w:type="character" w:customStyle="1" w:styleId="64">
    <w:name w:val="font112"/>
    <w:qFormat/>
    <w:uiPriority w:val="0"/>
    <w:rPr>
      <w:rFonts w:hint="eastAsia" w:ascii="宋体" w:hAnsi="宋体" w:eastAsia="宋体" w:cs="宋体"/>
      <w:color w:val="000000"/>
      <w:sz w:val="22"/>
      <w:szCs w:val="22"/>
      <w:u w:val="none"/>
    </w:rPr>
  </w:style>
  <w:style w:type="character" w:customStyle="1" w:styleId="65">
    <w:name w:val="font11"/>
    <w:qFormat/>
    <w:uiPriority w:val="0"/>
    <w:rPr>
      <w:rFonts w:hint="eastAsia" w:ascii="宋体" w:hAnsi="宋体" w:eastAsia="宋体" w:cs="宋体"/>
      <w:b/>
      <w:color w:val="000000"/>
      <w:sz w:val="22"/>
      <w:szCs w:val="22"/>
      <w:u w:val="none"/>
    </w:rPr>
  </w:style>
  <w:style w:type="character" w:customStyle="1" w:styleId="66">
    <w:name w:val="font01"/>
    <w:qFormat/>
    <w:uiPriority w:val="0"/>
    <w:rPr>
      <w:rFonts w:hint="eastAsia" w:ascii="宋体" w:hAnsi="宋体" w:eastAsia="宋体" w:cs="宋体"/>
      <w:b/>
      <w:color w:val="000000"/>
      <w:sz w:val="40"/>
      <w:szCs w:val="40"/>
      <w:u w:val="none"/>
    </w:rPr>
  </w:style>
  <w:style w:type="character" w:customStyle="1" w:styleId="67">
    <w:name w:val="NormalCharacter"/>
    <w:qFormat/>
    <w:uiPriority w:val="0"/>
    <w:rPr>
      <w:rFonts w:ascii="Calibri" w:hAnsi="Calibri" w:eastAsia="宋体"/>
    </w:rPr>
  </w:style>
  <w:style w:type="character" w:customStyle="1" w:styleId="68">
    <w:name w:val="font41"/>
    <w:qFormat/>
    <w:uiPriority w:val="0"/>
    <w:rPr>
      <w:rFonts w:hint="eastAsia" w:ascii="宋体" w:hAnsi="宋体" w:eastAsia="宋体" w:cs="宋体"/>
      <w:color w:val="7030A0"/>
      <w:sz w:val="20"/>
      <w:szCs w:val="20"/>
      <w:u w:val="none"/>
    </w:rPr>
  </w:style>
  <w:style w:type="character" w:customStyle="1" w:styleId="69">
    <w:name w:val="font111"/>
    <w:qFormat/>
    <w:uiPriority w:val="0"/>
    <w:rPr>
      <w:rFonts w:hint="eastAsia" w:ascii="宋体" w:hAnsi="宋体" w:eastAsia="宋体" w:cs="宋体"/>
      <w:color w:val="7030A0"/>
      <w:sz w:val="20"/>
      <w:szCs w:val="20"/>
      <w:u w:val="none"/>
    </w:rPr>
  </w:style>
  <w:style w:type="character" w:customStyle="1" w:styleId="70">
    <w:name w:val="font91"/>
    <w:qFormat/>
    <w:uiPriority w:val="0"/>
    <w:rPr>
      <w:rFonts w:hint="eastAsia" w:ascii="宋体" w:hAnsi="宋体" w:eastAsia="宋体" w:cs="宋体"/>
      <w:color w:val="000000"/>
      <w:sz w:val="20"/>
      <w:szCs w:val="20"/>
      <w:u w:val="none"/>
    </w:rPr>
  </w:style>
  <w:style w:type="character" w:customStyle="1" w:styleId="71">
    <w:name w:val="apple-style-span"/>
    <w:qFormat/>
    <w:uiPriority w:val="0"/>
    <w:rPr>
      <w:rFonts w:ascii="Tahoma" w:hAnsi="Tahoma"/>
      <w:sz w:val="24"/>
      <w:szCs w:val="20"/>
    </w:rPr>
  </w:style>
  <w:style w:type="character" w:customStyle="1" w:styleId="72">
    <w:name w:val="font51"/>
    <w:qFormat/>
    <w:uiPriority w:val="0"/>
    <w:rPr>
      <w:rFonts w:hint="eastAsia" w:ascii="宋体" w:hAnsi="宋体" w:eastAsia="宋体" w:cs="宋体"/>
      <w:color w:val="000000"/>
      <w:sz w:val="22"/>
      <w:szCs w:val="22"/>
      <w:u w:val="none"/>
    </w:rPr>
  </w:style>
  <w:style w:type="paragraph" w:customStyle="1" w:styleId="73">
    <w:name w:val="列表段落1"/>
    <w:basedOn w:val="1"/>
    <w:qFormat/>
    <w:uiPriority w:val="0"/>
    <w:pPr>
      <w:ind w:firstLine="420" w:firstLineChars="200"/>
    </w:pPr>
    <w:rPr>
      <w:rFonts w:ascii="Calibri" w:hAnsi="Calibri"/>
      <w:szCs w:val="22"/>
    </w:rPr>
  </w:style>
  <w:style w:type="paragraph" w:customStyle="1" w:styleId="74">
    <w:name w:val="Body Text First Indent1"/>
    <w:basedOn w:val="9"/>
    <w:next w:val="19"/>
    <w:qFormat/>
    <w:uiPriority w:val="0"/>
    <w:pPr>
      <w:ind w:firstLine="420" w:firstLineChars="100"/>
    </w:pPr>
  </w:style>
  <w:style w:type="paragraph" w:customStyle="1" w:styleId="75">
    <w:name w:val="样式 正文文本缩进 + 首行缩进:  2 字符 行距: 1.5 倍行距"/>
    <w:basedOn w:val="11"/>
    <w:qFormat/>
    <w:uiPriority w:val="0"/>
    <w:pPr>
      <w:spacing w:before="156"/>
      <w:ind w:left="0" w:leftChars="0" w:firstLine="482"/>
    </w:pPr>
    <w:rPr>
      <w:rFonts w:cs="宋体"/>
      <w:b/>
    </w:rPr>
  </w:style>
  <w:style w:type="paragraph" w:customStyle="1" w:styleId="76">
    <w:name w:val="修订1"/>
    <w:unhideWhenUsed/>
    <w:qFormat/>
    <w:uiPriority w:val="99"/>
    <w:rPr>
      <w:rFonts w:ascii="Times New Roman" w:hAnsi="Times New Roman" w:eastAsia="宋体" w:cs="Times New Roman"/>
      <w:kern w:val="2"/>
      <w:sz w:val="21"/>
      <w:lang w:val="en-US" w:eastAsia="zh-CN" w:bidi="ar-SA"/>
    </w:rPr>
  </w:style>
  <w:style w:type="paragraph" w:customStyle="1" w:styleId="77">
    <w:name w:val="Table Text"/>
    <w:qFormat/>
    <w:uiPriority w:val="0"/>
    <w:pPr>
      <w:autoSpaceDE w:val="0"/>
      <w:autoSpaceDN w:val="0"/>
      <w:spacing w:before="80" w:after="80"/>
      <w:textAlignment w:val="bottom"/>
    </w:pPr>
    <w:rPr>
      <w:rFonts w:ascii="Arial" w:hAnsi="Arial" w:eastAsia="宋体" w:cs="Arial Narrow"/>
      <w:sz w:val="18"/>
      <w:szCs w:val="18"/>
      <w:lang w:val="en-US" w:eastAsia="zh-CN" w:bidi="ar-SA"/>
    </w:rPr>
  </w:style>
  <w:style w:type="paragraph" w:customStyle="1" w:styleId="78">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79">
    <w:name w:val="a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0">
    <w:name w:val="中等深浅列表 2 - 强调文字颜色 41"/>
    <w:basedOn w:val="1"/>
    <w:qFormat/>
    <w:uiPriority w:val="34"/>
    <w:pPr>
      <w:ind w:firstLine="420" w:firstLineChars="200"/>
    </w:pPr>
    <w:rPr>
      <w:rFonts w:ascii="Calibri" w:hAnsi="Calibri"/>
      <w:szCs w:val="22"/>
    </w:rPr>
  </w:style>
  <w:style w:type="paragraph" w:customStyle="1" w:styleId="81">
    <w:name w:val="xl30"/>
    <w:basedOn w:val="1"/>
    <w:qFormat/>
    <w:uiPriority w:val="0"/>
    <w:pPr>
      <w:widowControl/>
      <w:spacing w:before="100" w:beforeAutospacing="1" w:after="100" w:afterAutospacing="1"/>
      <w:jc w:val="center"/>
      <w:textAlignment w:val="center"/>
    </w:pPr>
    <w:rPr>
      <w:rFonts w:ascii="楷体_GB2312" w:hAnsi="宋体" w:eastAsia="楷体_GB2312"/>
      <w:b/>
      <w:kern w:val="0"/>
      <w:sz w:val="32"/>
    </w:rPr>
  </w:style>
  <w:style w:type="paragraph" w:customStyle="1" w:styleId="8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3">
    <w:name w:val="列出段落11"/>
    <w:basedOn w:val="1"/>
    <w:qFormat/>
    <w:uiPriority w:val="0"/>
    <w:pPr>
      <w:ind w:firstLine="420" w:firstLineChars="200"/>
    </w:pPr>
    <w:rPr>
      <w:rFonts w:ascii="Calibri" w:hAnsi="Calibri"/>
      <w:szCs w:val="22"/>
    </w:rPr>
  </w:style>
  <w:style w:type="paragraph" w:customStyle="1" w:styleId="84">
    <w:name w:val="p0"/>
    <w:basedOn w:val="1"/>
    <w:qFormat/>
    <w:uiPriority w:val="0"/>
    <w:pPr>
      <w:widowControl/>
    </w:pPr>
    <w:rPr>
      <w:kern w:val="0"/>
      <w:szCs w:val="21"/>
    </w:rPr>
  </w:style>
  <w:style w:type="paragraph" w:customStyle="1" w:styleId="85">
    <w:name w:val="newnewnewnew"/>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6">
    <w:name w:val="列出段落1"/>
    <w:basedOn w:val="1"/>
    <w:qFormat/>
    <w:uiPriority w:val="34"/>
    <w:pPr>
      <w:ind w:firstLine="420" w:firstLineChars="200"/>
    </w:pPr>
  </w:style>
  <w:style w:type="paragraph" w:customStyle="1" w:styleId="87">
    <w:name w:val="4"/>
    <w:basedOn w:val="1"/>
    <w:qFormat/>
    <w:uiPriority w:val="0"/>
    <w:pPr>
      <w:widowControl/>
      <w:spacing w:before="100" w:beforeAutospacing="1" w:after="100" w:afterAutospacing="1"/>
      <w:jc w:val="left"/>
    </w:pPr>
    <w:rPr>
      <w:rFonts w:ascii="宋体" w:hAnsi="宋体" w:cs="宋体"/>
      <w:kern w:val="0"/>
      <w:sz w:val="24"/>
    </w:rPr>
  </w:style>
  <w:style w:type="paragraph" w:customStyle="1" w:styleId="88">
    <w:name w:val="reader-word-layer reader-word-s1-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9">
    <w:name w:val="正文样式"/>
    <w:basedOn w:val="1"/>
    <w:qFormat/>
    <w:uiPriority w:val="0"/>
    <w:pPr>
      <w:spacing w:beforeLines="50" w:line="312" w:lineRule="auto"/>
      <w:ind w:firstLine="200" w:firstLineChars="200"/>
    </w:pPr>
    <w:rPr>
      <w:rFonts w:ascii="Calibri" w:hAnsi="Calibri"/>
      <w:sz w:val="24"/>
      <w:szCs w:val="24"/>
    </w:rPr>
  </w:style>
  <w:style w:type="paragraph" w:customStyle="1" w:styleId="90">
    <w:name w:val="Body text|1"/>
    <w:basedOn w:val="1"/>
    <w:qFormat/>
    <w:uiPriority w:val="0"/>
    <w:pPr>
      <w:spacing w:line="413" w:lineRule="auto"/>
    </w:pPr>
    <w:rPr>
      <w:rFonts w:ascii="宋体" w:hAnsi="宋体" w:cs="宋体"/>
      <w:sz w:val="20"/>
      <w:lang w:val="zh-CN" w:bidi="zh-CN"/>
    </w:rPr>
  </w:style>
  <w:style w:type="paragraph" w:customStyle="1" w:styleId="91">
    <w:name w:val="[Normal]"/>
    <w:qFormat/>
    <w:uiPriority w:val="0"/>
    <w:rPr>
      <w:rFonts w:ascii="宋体" w:hAnsi="宋体" w:eastAsia="宋体" w:cs="Times New Roman"/>
      <w:sz w:val="24"/>
      <w:szCs w:val="22"/>
      <w:lang w:val="zh-CN" w:eastAsia="zh-CN" w:bidi="ar-SA"/>
    </w:rPr>
  </w:style>
  <w:style w:type="paragraph" w:customStyle="1" w:styleId="92">
    <w:name w:val="正文1"/>
    <w:basedOn w:val="14"/>
    <w:next w:val="1"/>
    <w:qFormat/>
    <w:uiPriority w:val="0"/>
    <w:pPr>
      <w:adjustRightInd w:val="0"/>
      <w:spacing w:line="318" w:lineRule="atLeast"/>
      <w:ind w:left="369" w:firstLine="369"/>
      <w:textAlignment w:val="baseline"/>
    </w:pPr>
    <w:rPr>
      <w:rFonts w:ascii="宋体"/>
    </w:rPr>
  </w:style>
  <w:style w:type="paragraph" w:customStyle="1" w:styleId="93">
    <w:name w:val="font5"/>
    <w:basedOn w:val="1"/>
    <w:qFormat/>
    <w:uiPriority w:val="0"/>
    <w:pPr>
      <w:widowControl/>
      <w:spacing w:before="100" w:beforeAutospacing="1" w:after="100" w:afterAutospacing="1"/>
      <w:jc w:val="left"/>
    </w:pPr>
    <w:rPr>
      <w:rFonts w:hint="eastAsia" w:ascii="宋体" w:hAnsi="宋体"/>
      <w:kern w:val="0"/>
      <w:sz w:val="18"/>
    </w:rPr>
  </w:style>
  <w:style w:type="paragraph" w:customStyle="1" w:styleId="94">
    <w:name w:val="xl35"/>
    <w:basedOn w:val="1"/>
    <w:qFormat/>
    <w:uiPriority w:val="0"/>
    <w:pPr>
      <w:widowControl/>
      <w:spacing w:before="100" w:beforeAutospacing="1" w:after="100" w:afterAutospacing="1"/>
      <w:jc w:val="right"/>
      <w:textAlignment w:val="center"/>
    </w:pPr>
    <w:rPr>
      <w:rFonts w:ascii="宋体" w:hAnsi="宋体"/>
      <w:kern w:val="0"/>
      <w:sz w:val="18"/>
    </w:rPr>
  </w:style>
  <w:style w:type="paragraph" w:styleId="95">
    <w:name w:val="List Paragraph"/>
    <w:basedOn w:val="1"/>
    <w:qFormat/>
    <w:uiPriority w:val="34"/>
    <w:pPr>
      <w:autoSpaceDE w:val="0"/>
      <w:autoSpaceDN w:val="0"/>
      <w:adjustRightInd w:val="0"/>
      <w:ind w:firstLine="200" w:firstLineChars="200"/>
      <w:jc w:val="left"/>
    </w:pPr>
    <w:rPr>
      <w:rFonts w:eastAsia="??"/>
      <w:kern w:val="0"/>
      <w:sz w:val="24"/>
      <w:szCs w:val="24"/>
    </w:rPr>
  </w:style>
  <w:style w:type="paragraph" w:customStyle="1" w:styleId="96">
    <w:name w:val="newnew"/>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7">
    <w:name w:val="Char"/>
    <w:basedOn w:val="1"/>
    <w:qFormat/>
    <w:uiPriority w:val="0"/>
    <w:rPr>
      <w:szCs w:val="24"/>
    </w:rPr>
  </w:style>
  <w:style w:type="paragraph" w:customStyle="1" w:styleId="98">
    <w:name w:val="Default Text"/>
    <w:basedOn w:val="1"/>
    <w:qFormat/>
    <w:uiPriority w:val="0"/>
    <w:pPr>
      <w:widowControl/>
      <w:overflowPunct w:val="0"/>
      <w:autoSpaceDE w:val="0"/>
      <w:autoSpaceDN w:val="0"/>
      <w:adjustRightInd w:val="0"/>
      <w:jc w:val="left"/>
      <w:textAlignment w:val="baseline"/>
    </w:pPr>
    <w:rPr>
      <w:kern w:val="0"/>
      <w:sz w:val="24"/>
    </w:rPr>
  </w:style>
  <w:style w:type="paragraph" w:customStyle="1" w:styleId="99">
    <w:name w:val="书籍标题1"/>
    <w:basedOn w:val="1"/>
    <w:next w:val="1"/>
    <w:qFormat/>
    <w:uiPriority w:val="0"/>
    <w:pPr>
      <w:pageBreakBefore/>
      <w:widowControl/>
      <w:tabs>
        <w:tab w:val="left" w:pos="360"/>
      </w:tabs>
      <w:spacing w:beforeLines="200" w:afterLines="200"/>
      <w:ind w:hanging="360"/>
      <w:jc w:val="center"/>
      <w:outlineLvl w:val="0"/>
    </w:pPr>
    <w:rPr>
      <w:rFonts w:eastAsia="黑体"/>
      <w:b/>
      <w:bCs/>
      <w:spacing w:val="20"/>
      <w:kern w:val="44"/>
      <w:sz w:val="44"/>
    </w:rPr>
  </w:style>
  <w:style w:type="paragraph" w:customStyle="1" w:styleId="100">
    <w:name w:val="正文文本缩进1"/>
    <w:basedOn w:val="1"/>
    <w:qFormat/>
    <w:uiPriority w:val="0"/>
    <w:pPr>
      <w:ind w:firstLine="200"/>
    </w:pPr>
    <w:rPr>
      <w:rFonts w:ascii="仿宋_GB2312" w:eastAsia="仿宋_GB2312"/>
      <w:sz w:val="32"/>
    </w:rPr>
  </w:style>
  <w:style w:type="paragraph" w:customStyle="1" w:styleId="101">
    <w:name w:val="正文首行缩进 21"/>
    <w:basedOn w:val="100"/>
    <w:qFormat/>
    <w:uiPriority w:val="0"/>
    <w:pPr>
      <w:ind w:firstLine="420"/>
    </w:pPr>
  </w:style>
  <w:style w:type="paragraph" w:customStyle="1" w:styleId="102">
    <w:name w:val="正文2"/>
    <w:next w:val="22"/>
    <w:qFormat/>
    <w:uiPriority w:val="0"/>
    <w:pPr>
      <w:jc w:val="both"/>
    </w:pPr>
    <w:rPr>
      <w:rFonts w:ascii="Calibri" w:hAnsi="Calibri" w:eastAsia="宋体" w:cs="宋体"/>
      <w:kern w:val="2"/>
      <w:sz w:val="21"/>
      <w:szCs w:val="21"/>
      <w:lang w:val="en-US" w:eastAsia="zh-CN" w:bidi="ar-SA"/>
    </w:rPr>
  </w:style>
  <w:style w:type="paragraph" w:customStyle="1" w:styleId="103">
    <w:name w:val="_Style 97"/>
    <w:unhideWhenUsed/>
    <w:qFormat/>
    <w:uiPriority w:val="99"/>
    <w:rPr>
      <w:rFonts w:ascii="Times New Roman" w:hAnsi="Times New Roman" w:eastAsia="宋体" w:cs="Times New Roman"/>
      <w:kern w:val="2"/>
      <w:sz w:val="21"/>
      <w:lang w:val="en-US" w:eastAsia="zh-CN" w:bidi="ar-SA"/>
    </w:rPr>
  </w:style>
  <w:style w:type="paragraph" w:customStyle="1" w:styleId="104">
    <w:name w:val="_Style 3"/>
    <w:basedOn w:val="1"/>
    <w:qFormat/>
    <w:uiPriority w:val="34"/>
    <w:pPr>
      <w:widowControl/>
      <w:spacing w:after="200" w:line="276" w:lineRule="auto"/>
      <w:ind w:left="720"/>
      <w:contextualSpacing/>
      <w:jc w:val="left"/>
    </w:pPr>
    <w:rPr>
      <w:rFonts w:ascii="Calibri" w:hAnsi="Calibri"/>
      <w:kern w:val="0"/>
      <w:sz w:val="22"/>
      <w:szCs w:val="22"/>
    </w:rPr>
  </w:style>
  <w:style w:type="paragraph" w:customStyle="1" w:styleId="105">
    <w:name w:val="Table Heading"/>
    <w:qFormat/>
    <w:uiPriority w:val="0"/>
    <w:pPr>
      <w:keepNext/>
      <w:spacing w:before="80" w:after="80"/>
      <w:jc w:val="center"/>
    </w:pPr>
    <w:rPr>
      <w:rFonts w:ascii="Arial" w:hAnsi="Arial" w:eastAsia="黑体" w:cs="Arial Narrow"/>
      <w:bCs/>
      <w:sz w:val="18"/>
      <w:lang w:val="en-US" w:eastAsia="zh-CN" w:bidi="ar-SA"/>
    </w:rPr>
  </w:style>
  <w:style w:type="paragraph" w:customStyle="1" w:styleId="106">
    <w:name w:val="p16"/>
    <w:basedOn w:val="1"/>
    <w:qFormat/>
    <w:uiPriority w:val="0"/>
    <w:pPr>
      <w:widowControl/>
    </w:pPr>
    <w:rPr>
      <w:rFonts w:ascii="宋体" w:hAnsi="宋体" w:cs="宋体"/>
      <w:kern w:val="0"/>
      <w:sz w:val="30"/>
      <w:szCs w:val="30"/>
    </w:rPr>
  </w:style>
  <w:style w:type="paragraph" w:customStyle="1" w:styleId="107">
    <w:name w:val="_Style 64"/>
    <w:basedOn w:val="1"/>
    <w:next w:val="95"/>
    <w:qFormat/>
    <w:uiPriority w:val="0"/>
    <w:pPr>
      <w:ind w:firstLine="420" w:firstLineChars="200"/>
    </w:pPr>
    <w:rPr>
      <w:szCs w:val="24"/>
    </w:rPr>
  </w:style>
  <w:style w:type="paragraph" w:customStyle="1" w:styleId="108">
    <w:name w:val="_Style 8"/>
    <w:basedOn w:val="1"/>
    <w:next w:val="95"/>
    <w:qFormat/>
    <w:uiPriority w:val="34"/>
    <w:pPr>
      <w:ind w:firstLine="420" w:firstLineChars="200"/>
    </w:pPr>
    <w:rPr>
      <w:rFonts w:ascii="Calibri" w:hAnsi="Calibri"/>
      <w:szCs w:val="22"/>
    </w:rPr>
  </w:style>
  <w:style w:type="table" w:customStyle="1" w:styleId="109">
    <w:name w:val="网格型2"/>
    <w:basedOn w:val="3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0">
    <w:name w:val="网格型1"/>
    <w:basedOn w:val="31"/>
    <w:qFormat/>
    <w:uiPriority w:val="59"/>
    <w:rPr>
      <w:rFonts w:cs="宋体"/>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11">
    <w:name w:val="_正文段落"/>
    <w:basedOn w:val="1"/>
    <w:qFormat/>
    <w:uiPriority w:val="0"/>
    <w:pPr>
      <w:spacing w:beforeLines="15" w:afterLines="15" w:line="360" w:lineRule="auto"/>
      <w:ind w:firstLine="480" w:firstLineChars="200"/>
    </w:pPr>
    <w:rPr>
      <w:rFonts w:ascii="宋体" w:hAnsi="宋体"/>
      <w:kern w:val="0"/>
      <w:szCs w:val="24"/>
    </w:rPr>
  </w:style>
  <w:style w:type="character" w:customStyle="1" w:styleId="112">
    <w:name w:val="font21"/>
    <w:qFormat/>
    <w:uiPriority w:val="0"/>
    <w:rPr>
      <w:rFonts w:ascii="Calibri" w:hAnsi="Calibri" w:cs="Calibri"/>
      <w:color w:val="000000"/>
      <w:sz w:val="22"/>
      <w:szCs w:val="22"/>
      <w:u w:val="none"/>
    </w:rPr>
  </w:style>
  <w:style w:type="paragraph" w:customStyle="1" w:styleId="113">
    <w:name w:val="表格文字"/>
    <w:basedOn w:val="15"/>
    <w:next w:val="9"/>
    <w:qFormat/>
    <w:uiPriority w:val="99"/>
    <w:pPr>
      <w:jc w:val="left"/>
    </w:pPr>
    <w:rPr>
      <w:kern w:val="21"/>
    </w:rPr>
  </w:style>
  <w:style w:type="paragraph" w:customStyle="1" w:styleId="114">
    <w:name w:val="文档正文"/>
    <w:basedOn w:val="1"/>
    <w:qFormat/>
    <w:uiPriority w:val="99"/>
    <w:rPr>
      <w:rFonts w:ascii="宋体" w:hAnsi="宋体" w:cs="宋体"/>
    </w:rPr>
  </w:style>
  <w:style w:type="paragraph" w:customStyle="1" w:styleId="115">
    <w:name w:val="公文正文"/>
    <w:basedOn w:val="1"/>
    <w:qFormat/>
    <w:uiPriority w:val="5"/>
    <w:pPr>
      <w:spacing w:line="360" w:lineRule="auto"/>
      <w:ind w:firstLine="480" w:firstLineChars="200"/>
    </w:pPr>
    <w:rPr>
      <w:rFonts w:ascii="仿宋" w:hAnsi="仿宋" w:eastAsia="仿宋" w:cs="宋体"/>
      <w:sz w:val="24"/>
      <w:szCs w:val="24"/>
    </w:rPr>
  </w:style>
  <w:style w:type="paragraph" w:customStyle="1" w:styleId="116">
    <w:name w:val="_HT_正文"/>
    <w:basedOn w:val="1"/>
    <w:qFormat/>
    <w:uiPriority w:val="0"/>
    <w:pPr>
      <w:widowControl/>
      <w:spacing w:line="360" w:lineRule="auto"/>
      <w:ind w:firstLine="476"/>
      <w:jc w:val="left"/>
    </w:pPr>
    <w:rPr>
      <w:rFonts w:ascii="宋体" w:hAnsi="宋体" w:cs="宋体"/>
      <w:kern w:val="0"/>
      <w:sz w:val="24"/>
      <w:szCs w:val="24"/>
    </w:rPr>
  </w:style>
  <w:style w:type="paragraph" w:customStyle="1" w:styleId="117">
    <w:name w:val="列出段落4"/>
    <w:basedOn w:val="1"/>
    <w:qFormat/>
    <w:uiPriority w:val="99"/>
    <w:pPr>
      <w:ind w:firstLine="200" w:firstLineChars="200"/>
    </w:pPr>
    <w:rPr>
      <w:rFonts w:ascii="Calibri" w:hAnsi="Calibri"/>
    </w:rPr>
  </w:style>
  <w:style w:type="paragraph" w:customStyle="1" w:styleId="118">
    <w:name w:val="UserStyle_94"/>
    <w:basedOn w:val="1"/>
    <w:qFormat/>
    <w:uiPriority w:val="0"/>
    <w:pPr>
      <w:textAlignment w:val="baseline"/>
    </w:pPr>
    <w:rPr>
      <w:rFonts w:ascii="Tahoma" w:hAnsi="Tahoma"/>
      <w:sz w:val="24"/>
    </w:rPr>
  </w:style>
  <w:style w:type="character" w:customStyle="1" w:styleId="119">
    <w:name w:val="font121"/>
    <w:basedOn w:val="33"/>
    <w:qFormat/>
    <w:uiPriority w:val="0"/>
    <w:rPr>
      <w:rFonts w:hint="eastAsia" w:ascii="宋体" w:hAnsi="宋体" w:eastAsia="宋体" w:cs="宋体"/>
      <w:color w:val="000000"/>
      <w:sz w:val="18"/>
      <w:szCs w:val="18"/>
      <w:u w:val="none"/>
      <w:vertAlign w:val="superscript"/>
    </w:rPr>
  </w:style>
  <w:style w:type="paragraph" w:customStyle="1" w:styleId="120">
    <w:name w:val="WPSOffice手动目录 1"/>
    <w:qFormat/>
    <w:uiPriority w:val="0"/>
    <w:pPr>
      <w:ind w:leftChars="0"/>
    </w:pPr>
    <w:rPr>
      <w:rFonts w:ascii="Times New Roman" w:hAnsi="Times New Roman" w:eastAsia="宋体" w:cs="Times New Roman"/>
      <w:sz w:val="20"/>
      <w:szCs w:val="20"/>
    </w:rPr>
  </w:style>
  <w:style w:type="paragraph" w:customStyle="1" w:styleId="121">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footer" Target="foot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header" Target="head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65</Pages>
  <Words>11824</Words>
  <Characters>14129</Characters>
  <Lines>223</Lines>
  <Paragraphs>62</Paragraphs>
  <TotalTime>7</TotalTime>
  <ScaleCrop>false</ScaleCrop>
  <LinksUpToDate>false</LinksUpToDate>
  <CharactersWithSpaces>14246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2024-06-15T09:11:00Z</dcterms:created>
  <dc:creator>Administrator</dc:creator>
  <cp:lastModifiedBy>mnnnn.</cp:lastModifiedBy>
  <cp:lastPrinted>2021-07-02T00:17:00Z</cp:lastPrinted>
  <dcterms:modified xsi:type="dcterms:W3CDTF">2025-03-13T01:03:41Z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3018CA55FA2348B2A9E81FB6B6579F55_13</vt:lpwstr>
  </property>
  <property fmtid="{D5CDD505-2E9C-101B-9397-08002B2CF9AE}" pid="4" name="KSOTemplateDocerSaveRecord">
    <vt:lpwstr>eyJoZGlkIjoiZTQ4ZGFlZmNiMTliMDVlMDljZTQ4NGI3Y2U0ZTkyNDgiLCJ1c2VySWQiOiIzODkxNTAyNTAifQ==</vt:lpwstr>
  </property>
</Properties>
</file>