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6504E">
      <w:pPr>
        <w:pStyle w:val="13"/>
        <w:spacing w:before="120" w:after="120" w:line="600" w:lineRule="auto"/>
        <w:jc w:val="center"/>
        <w:outlineLvl w:val="0"/>
        <w:rPr>
          <w:rFonts w:hint="eastAsia" w:hAnsi="宋体" w:eastAsia="宋体" w:cs="宋体"/>
          <w:sz w:val="36"/>
          <w:szCs w:val="36"/>
        </w:rPr>
      </w:pPr>
      <w:r>
        <w:rPr>
          <w:rFonts w:hint="eastAsia" w:hAnsi="宋体" w:eastAsia="宋体" w:cs="宋体"/>
          <w:sz w:val="36"/>
          <w:szCs w:val="36"/>
        </w:rPr>
        <w:drawing>
          <wp:inline distT="0" distB="0" distL="114300" distR="114300">
            <wp:extent cx="6000750" cy="8372475"/>
            <wp:effectExtent l="0" t="0" r="0" b="9525"/>
            <wp:docPr id="1" name="图片 1" descr="1731054759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1054759660"/>
                    <pic:cNvPicPr>
                      <a:picLocks noChangeAspect="1"/>
                    </pic:cNvPicPr>
                  </pic:nvPicPr>
                  <pic:blipFill>
                    <a:blip r:embed="rId6"/>
                    <a:stretch>
                      <a:fillRect/>
                    </a:stretch>
                  </pic:blipFill>
                  <pic:spPr>
                    <a:xfrm>
                      <a:off x="0" y="0"/>
                      <a:ext cx="6000750" cy="8372475"/>
                    </a:xfrm>
                    <a:prstGeom prst="rect">
                      <a:avLst/>
                    </a:prstGeom>
                  </pic:spPr>
                </pic:pic>
              </a:graphicData>
            </a:graphic>
          </wp:inline>
        </w:drawing>
      </w:r>
    </w:p>
    <w:p w14:paraId="543F0C84">
      <w:pPr>
        <w:pStyle w:val="13"/>
        <w:spacing w:before="120" w:after="120" w:line="600" w:lineRule="auto"/>
        <w:jc w:val="center"/>
        <w:outlineLvl w:val="0"/>
        <w:rPr>
          <w:rFonts w:hint="eastAsia" w:hAnsi="宋体" w:eastAsia="宋体" w:cs="宋体"/>
          <w:sz w:val="36"/>
          <w:szCs w:val="36"/>
        </w:rPr>
      </w:pPr>
    </w:p>
    <w:p w14:paraId="6D757966">
      <w:pPr>
        <w:pStyle w:val="13"/>
        <w:spacing w:before="120" w:after="120" w:line="600" w:lineRule="auto"/>
        <w:jc w:val="center"/>
        <w:outlineLvl w:val="0"/>
        <w:rPr>
          <w:rFonts w:hAnsi="宋体" w:eastAsia="宋体" w:cs="宋体"/>
          <w:sz w:val="36"/>
          <w:szCs w:val="36"/>
        </w:rPr>
      </w:pPr>
      <w:r>
        <w:rPr>
          <w:rFonts w:hint="eastAsia" w:hAnsi="宋体" w:eastAsia="宋体" w:cs="宋体"/>
          <w:sz w:val="36"/>
          <w:szCs w:val="36"/>
        </w:rPr>
        <w:t>目    录</w:t>
      </w:r>
    </w:p>
    <w:p w14:paraId="43D2B413">
      <w:pPr>
        <w:spacing w:before="120" w:line="552" w:lineRule="auto"/>
        <w:ind w:firstLine="840" w:firstLineChars="300"/>
        <w:rPr>
          <w:rFonts w:ascii="宋体" w:hAnsi="宋体" w:cs="宋体"/>
          <w:sz w:val="28"/>
          <w:szCs w:val="28"/>
        </w:rPr>
      </w:pPr>
      <w:r>
        <w:rPr>
          <w:rFonts w:hint="eastAsia" w:ascii="宋体" w:hAnsi="宋体" w:cs="宋体"/>
          <w:sz w:val="28"/>
          <w:szCs w:val="28"/>
        </w:rPr>
        <w:t>第一章  竞争性磋商公告</w:t>
      </w:r>
    </w:p>
    <w:p w14:paraId="3AD6CA36">
      <w:pPr>
        <w:spacing w:before="120" w:line="552" w:lineRule="auto"/>
        <w:ind w:firstLine="840" w:firstLineChars="300"/>
        <w:rPr>
          <w:rFonts w:ascii="宋体" w:hAnsi="宋体" w:cs="宋体"/>
          <w:sz w:val="28"/>
          <w:szCs w:val="28"/>
        </w:rPr>
      </w:pPr>
      <w:r>
        <w:rPr>
          <w:rFonts w:hint="eastAsia" w:ascii="宋体" w:hAnsi="宋体" w:cs="宋体"/>
          <w:sz w:val="28"/>
          <w:szCs w:val="28"/>
        </w:rPr>
        <w:t>第二章  采购需求</w:t>
      </w:r>
    </w:p>
    <w:p w14:paraId="455AC9DB">
      <w:pPr>
        <w:spacing w:before="120" w:line="552" w:lineRule="auto"/>
        <w:ind w:firstLine="840" w:firstLineChars="300"/>
        <w:rPr>
          <w:rFonts w:ascii="宋体" w:hAnsi="宋体" w:cs="宋体"/>
          <w:sz w:val="28"/>
          <w:szCs w:val="28"/>
        </w:rPr>
      </w:pPr>
      <w:r>
        <w:rPr>
          <w:rFonts w:hint="eastAsia" w:ascii="宋体" w:hAnsi="宋体" w:cs="宋体"/>
          <w:sz w:val="28"/>
          <w:szCs w:val="28"/>
        </w:rPr>
        <w:t>第三章  响应人须知</w:t>
      </w:r>
    </w:p>
    <w:p w14:paraId="4B32F0D0">
      <w:pPr>
        <w:spacing w:before="120" w:line="552" w:lineRule="auto"/>
        <w:ind w:firstLine="1960" w:firstLineChars="700"/>
        <w:rPr>
          <w:rFonts w:ascii="宋体" w:hAnsi="宋体" w:cs="宋体"/>
          <w:sz w:val="28"/>
          <w:szCs w:val="28"/>
        </w:rPr>
      </w:pPr>
      <w:r>
        <w:rPr>
          <w:rFonts w:hint="eastAsia" w:ascii="宋体" w:hAnsi="宋体" w:cs="宋体"/>
          <w:sz w:val="28"/>
          <w:szCs w:val="28"/>
        </w:rPr>
        <w:t xml:space="preserve">前附表 </w:t>
      </w:r>
    </w:p>
    <w:p w14:paraId="41F9B987">
      <w:pPr>
        <w:spacing w:before="120" w:line="552" w:lineRule="auto"/>
        <w:ind w:firstLine="1400" w:firstLineChars="500"/>
        <w:rPr>
          <w:rFonts w:ascii="宋体" w:hAnsi="宋体" w:cs="宋体"/>
          <w:sz w:val="28"/>
          <w:szCs w:val="28"/>
        </w:rPr>
      </w:pPr>
      <w:r>
        <w:rPr>
          <w:rFonts w:hint="eastAsia" w:ascii="宋体" w:hAnsi="宋体" w:cs="宋体"/>
          <w:sz w:val="28"/>
          <w:szCs w:val="28"/>
        </w:rPr>
        <w:t>一、总 则</w:t>
      </w:r>
    </w:p>
    <w:p w14:paraId="46699F1E">
      <w:pPr>
        <w:spacing w:before="120" w:line="552" w:lineRule="auto"/>
        <w:ind w:firstLine="1400" w:firstLineChars="500"/>
        <w:rPr>
          <w:rFonts w:ascii="宋体" w:hAnsi="宋体" w:cs="宋体"/>
          <w:sz w:val="28"/>
          <w:szCs w:val="28"/>
        </w:rPr>
      </w:pPr>
      <w:r>
        <w:rPr>
          <w:rFonts w:hint="eastAsia" w:ascii="宋体" w:hAnsi="宋体" w:cs="宋体"/>
          <w:sz w:val="28"/>
          <w:szCs w:val="28"/>
        </w:rPr>
        <w:t>二、磋商文件</w:t>
      </w:r>
    </w:p>
    <w:p w14:paraId="619EDF94">
      <w:pPr>
        <w:spacing w:before="120" w:line="552" w:lineRule="auto"/>
        <w:ind w:firstLine="1400" w:firstLineChars="500"/>
        <w:rPr>
          <w:rFonts w:ascii="宋体" w:hAnsi="宋体" w:cs="宋体"/>
          <w:sz w:val="28"/>
          <w:szCs w:val="28"/>
        </w:rPr>
      </w:pPr>
      <w:r>
        <w:rPr>
          <w:rFonts w:hint="eastAsia" w:ascii="宋体" w:hAnsi="宋体" w:cs="宋体"/>
          <w:sz w:val="28"/>
          <w:szCs w:val="28"/>
        </w:rPr>
        <w:t>三、响应文件的编制</w:t>
      </w:r>
    </w:p>
    <w:p w14:paraId="6D713A8E">
      <w:pPr>
        <w:spacing w:before="120" w:line="552" w:lineRule="auto"/>
        <w:ind w:firstLine="1400" w:firstLineChars="500"/>
        <w:rPr>
          <w:rFonts w:ascii="宋体" w:hAnsi="宋体" w:cs="宋体"/>
          <w:sz w:val="28"/>
          <w:szCs w:val="28"/>
        </w:rPr>
      </w:pPr>
      <w:r>
        <w:rPr>
          <w:rFonts w:hint="eastAsia" w:ascii="宋体" w:hAnsi="宋体" w:cs="宋体"/>
          <w:sz w:val="28"/>
          <w:szCs w:val="28"/>
        </w:rPr>
        <w:t>四、开标</w:t>
      </w:r>
    </w:p>
    <w:p w14:paraId="0EA6CD7D">
      <w:pPr>
        <w:spacing w:before="120" w:line="552" w:lineRule="auto"/>
        <w:ind w:firstLine="1400" w:firstLineChars="500"/>
        <w:rPr>
          <w:rFonts w:ascii="宋体" w:hAnsi="宋体" w:cs="宋体"/>
          <w:sz w:val="28"/>
          <w:szCs w:val="28"/>
        </w:rPr>
      </w:pPr>
      <w:r>
        <w:rPr>
          <w:rFonts w:hint="eastAsia" w:ascii="宋体" w:hAnsi="宋体" w:cs="宋体"/>
          <w:sz w:val="28"/>
          <w:szCs w:val="28"/>
        </w:rPr>
        <w:t>五、评标</w:t>
      </w:r>
    </w:p>
    <w:p w14:paraId="4C24F1B0">
      <w:pPr>
        <w:spacing w:before="120" w:line="552" w:lineRule="auto"/>
        <w:ind w:firstLine="1400" w:firstLineChars="500"/>
        <w:rPr>
          <w:rFonts w:ascii="宋体" w:hAnsi="宋体" w:cs="宋体"/>
          <w:sz w:val="28"/>
          <w:szCs w:val="28"/>
        </w:rPr>
      </w:pPr>
      <w:r>
        <w:rPr>
          <w:rFonts w:hint="eastAsia" w:ascii="宋体" w:hAnsi="宋体" w:cs="宋体"/>
          <w:sz w:val="28"/>
          <w:szCs w:val="28"/>
        </w:rPr>
        <w:t>六、废标</w:t>
      </w:r>
    </w:p>
    <w:p w14:paraId="44D60C9C">
      <w:pPr>
        <w:spacing w:before="120" w:line="552" w:lineRule="auto"/>
        <w:ind w:firstLine="1400" w:firstLineChars="500"/>
        <w:rPr>
          <w:rFonts w:ascii="宋体" w:hAnsi="宋体" w:cs="宋体"/>
          <w:sz w:val="28"/>
          <w:szCs w:val="28"/>
        </w:rPr>
      </w:pPr>
      <w:r>
        <w:rPr>
          <w:rFonts w:hint="eastAsia" w:ascii="宋体" w:hAnsi="宋体" w:cs="宋体"/>
          <w:sz w:val="28"/>
          <w:szCs w:val="28"/>
        </w:rPr>
        <w:t>七、定标</w:t>
      </w:r>
    </w:p>
    <w:p w14:paraId="6E0D6663">
      <w:pPr>
        <w:spacing w:before="120" w:line="552" w:lineRule="auto"/>
        <w:ind w:firstLine="1400" w:firstLineChars="500"/>
        <w:rPr>
          <w:rFonts w:ascii="宋体" w:hAnsi="宋体" w:cs="宋体"/>
          <w:sz w:val="28"/>
          <w:szCs w:val="28"/>
        </w:rPr>
      </w:pPr>
      <w:r>
        <w:rPr>
          <w:rFonts w:hint="eastAsia" w:ascii="宋体" w:hAnsi="宋体" w:cs="宋体"/>
          <w:sz w:val="28"/>
          <w:szCs w:val="28"/>
        </w:rPr>
        <w:t>八、合同授予</w:t>
      </w:r>
    </w:p>
    <w:p w14:paraId="43EF3584">
      <w:pPr>
        <w:spacing w:before="120" w:line="552" w:lineRule="auto"/>
        <w:ind w:firstLine="840" w:firstLineChars="300"/>
        <w:rPr>
          <w:rFonts w:ascii="宋体" w:hAnsi="宋体" w:cs="宋体"/>
          <w:sz w:val="28"/>
          <w:szCs w:val="28"/>
        </w:rPr>
      </w:pPr>
      <w:r>
        <w:rPr>
          <w:rFonts w:hint="eastAsia" w:ascii="宋体" w:hAnsi="宋体" w:cs="宋体"/>
          <w:sz w:val="28"/>
          <w:szCs w:val="28"/>
        </w:rPr>
        <w:t>第四章  评标办法及标准</w:t>
      </w:r>
    </w:p>
    <w:p w14:paraId="1967E3B4">
      <w:pPr>
        <w:spacing w:before="120" w:line="552" w:lineRule="auto"/>
        <w:ind w:firstLine="840" w:firstLineChars="300"/>
        <w:rPr>
          <w:rFonts w:ascii="宋体" w:hAnsi="宋体" w:cs="宋体"/>
          <w:sz w:val="28"/>
          <w:szCs w:val="28"/>
        </w:rPr>
      </w:pPr>
      <w:r>
        <w:rPr>
          <w:rFonts w:hint="eastAsia" w:ascii="宋体" w:hAnsi="宋体" w:cs="宋体"/>
          <w:sz w:val="28"/>
          <w:szCs w:val="28"/>
        </w:rPr>
        <w:t>第五章  合同主要条款</w:t>
      </w:r>
    </w:p>
    <w:p w14:paraId="56A7B011">
      <w:pPr>
        <w:spacing w:before="120" w:line="552" w:lineRule="auto"/>
        <w:ind w:firstLine="840" w:firstLineChars="300"/>
        <w:rPr>
          <w:rFonts w:ascii="宋体" w:hAnsi="宋体" w:cs="宋体"/>
          <w:sz w:val="24"/>
          <w:szCs w:val="24"/>
        </w:rPr>
      </w:pPr>
      <w:r>
        <w:rPr>
          <w:rFonts w:hint="eastAsia" w:ascii="宋体" w:hAnsi="宋体" w:cs="宋体"/>
          <w:sz w:val="28"/>
          <w:szCs w:val="28"/>
        </w:rPr>
        <w:t>第六章  响应文件组成</w:t>
      </w:r>
    </w:p>
    <w:p w14:paraId="4B450801">
      <w:pPr>
        <w:jc w:val="center"/>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 xml:space="preserve">第一章 </w:t>
      </w:r>
      <w:bookmarkStart w:id="0" w:name="OLE_LINK3"/>
      <w:r>
        <w:rPr>
          <w:rFonts w:hint="eastAsia" w:ascii="宋体" w:hAnsi="宋体" w:cs="宋体"/>
          <w:b/>
          <w:sz w:val="28"/>
          <w:szCs w:val="28"/>
        </w:rPr>
        <w:t xml:space="preserve"> </w:t>
      </w:r>
      <w:bookmarkStart w:id="1" w:name="OLE_LINK4"/>
      <w:bookmarkStart w:id="2" w:name="OLE_LINK2"/>
      <w:r>
        <w:rPr>
          <w:rFonts w:hint="eastAsia" w:ascii="宋体" w:hAnsi="宋体" w:cs="宋体"/>
          <w:b/>
          <w:sz w:val="28"/>
          <w:szCs w:val="28"/>
        </w:rPr>
        <w:t>竞争性磋商公告</w:t>
      </w:r>
    </w:p>
    <w:bookmarkEnd w:id="0"/>
    <w:bookmarkEnd w:id="1"/>
    <w:bookmarkEnd w:id="2"/>
    <w:tbl>
      <w:tblPr>
        <w:tblStyle w:val="28"/>
        <w:tblW w:w="9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4"/>
      </w:tblGrid>
      <w:tr w14:paraId="5C2A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p w14:paraId="6EFC0C42">
            <w:pPr>
              <w:pStyle w:val="22"/>
              <w:spacing w:before="0" w:beforeAutospacing="0" w:after="0" w:afterAutospacing="0" w:line="360" w:lineRule="auto"/>
              <w:jc w:val="both"/>
              <w:rPr>
                <w:sz w:val="21"/>
                <w:szCs w:val="21"/>
              </w:rPr>
            </w:pPr>
            <w:r>
              <w:rPr>
                <w:rFonts w:hint="eastAsia"/>
                <w:color w:val="000000"/>
                <w:sz w:val="21"/>
                <w:szCs w:val="21"/>
              </w:rPr>
              <w:t>项目概况</w:t>
            </w:r>
          </w:p>
          <w:p w14:paraId="61F36684">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Style w:val="30"/>
                <w:rFonts w:ascii="宋体" w:hAnsi="宋体" w:cs="宋体"/>
                <w:color w:val="000000"/>
                <w:sz w:val="21"/>
                <w:szCs w:val="21"/>
              </w:rPr>
            </w:pPr>
            <w:r>
              <w:rPr>
                <w:rFonts w:hint="eastAsia" w:ascii="宋体" w:hAnsi="宋体" w:eastAsia="宋体" w:cs="宋体"/>
                <w:color w:val="000000"/>
                <w:sz w:val="21"/>
                <w:szCs w:val="21"/>
                <w:u w:val="single"/>
              </w:rPr>
              <w:t>舟山市定海区应急管理局突发事件综合保险项目</w:t>
            </w:r>
            <w:r>
              <w:rPr>
                <w:rFonts w:hint="eastAsia"/>
                <w:color w:val="000000"/>
                <w:sz w:val="21"/>
                <w:szCs w:val="21"/>
              </w:rPr>
              <w:t>采购项目的潜在供应商应在浙江政府采购网http://zfcg.czt.zj.gov.cn/（用“政采云”注册账号、密码登录系统后获取磋商文件）获取（下载）采购文件</w:t>
            </w:r>
            <w:r>
              <w:rPr>
                <w:rFonts w:hint="eastAsia"/>
                <w:color w:val="000000"/>
                <w:sz w:val="21"/>
                <w:szCs w:val="21"/>
                <w:highlight w:val="none"/>
              </w:rPr>
              <w:t>，并于2024年</w:t>
            </w:r>
            <w:r>
              <w:rPr>
                <w:rFonts w:hint="eastAsia"/>
                <w:color w:val="000000"/>
                <w:sz w:val="21"/>
                <w:szCs w:val="21"/>
                <w:highlight w:val="none"/>
                <w:lang w:val="en-US" w:eastAsia="zh-CN"/>
              </w:rPr>
              <w:t>12</w:t>
            </w:r>
            <w:r>
              <w:rPr>
                <w:rFonts w:hint="eastAsia"/>
                <w:color w:val="000000"/>
                <w:sz w:val="21"/>
                <w:szCs w:val="21"/>
                <w:highlight w:val="none"/>
              </w:rPr>
              <w:t>月</w:t>
            </w:r>
            <w:r>
              <w:rPr>
                <w:rFonts w:hint="eastAsia"/>
                <w:color w:val="000000"/>
                <w:sz w:val="21"/>
                <w:szCs w:val="21"/>
                <w:highlight w:val="none"/>
                <w:lang w:val="en-US" w:eastAsia="zh-CN"/>
              </w:rPr>
              <w:t>4</w:t>
            </w:r>
            <w:r>
              <w:rPr>
                <w:rFonts w:hint="eastAsia"/>
                <w:color w:val="000000"/>
                <w:sz w:val="21"/>
                <w:szCs w:val="21"/>
                <w:highlight w:val="none"/>
              </w:rPr>
              <w:t>日</w:t>
            </w:r>
            <w:r>
              <w:rPr>
                <w:rFonts w:hint="eastAsia"/>
                <w:color w:val="000000"/>
                <w:sz w:val="21"/>
                <w:szCs w:val="21"/>
                <w:highlight w:val="none"/>
                <w:lang w:val="en-US" w:eastAsia="zh-CN"/>
              </w:rPr>
              <w:t>14</w:t>
            </w:r>
            <w:r>
              <w:rPr>
                <w:rFonts w:hint="eastAsia"/>
                <w:color w:val="000000"/>
                <w:sz w:val="21"/>
                <w:szCs w:val="21"/>
                <w:highlight w:val="none"/>
              </w:rPr>
              <w:t>:</w:t>
            </w:r>
            <w:r>
              <w:rPr>
                <w:rFonts w:hint="eastAsia"/>
                <w:color w:val="000000"/>
                <w:sz w:val="21"/>
                <w:szCs w:val="21"/>
                <w:highlight w:val="none"/>
                <w:lang w:val="en-US" w:eastAsia="zh-CN"/>
              </w:rPr>
              <w:t>30</w:t>
            </w:r>
            <w:r>
              <w:rPr>
                <w:rFonts w:hint="eastAsia"/>
                <w:color w:val="000000"/>
                <w:sz w:val="21"/>
                <w:szCs w:val="21"/>
                <w:highlight w:val="none"/>
              </w:rPr>
              <w:t>（北</w:t>
            </w:r>
            <w:r>
              <w:rPr>
                <w:rFonts w:hint="eastAsia"/>
                <w:color w:val="000000"/>
                <w:sz w:val="21"/>
                <w:szCs w:val="21"/>
              </w:rPr>
              <w:t>京时间）前提交（上传）响应文件。</w:t>
            </w:r>
          </w:p>
        </w:tc>
      </w:tr>
    </w:tbl>
    <w:p w14:paraId="45204596">
      <w:pPr>
        <w:pStyle w:val="22"/>
        <w:spacing w:before="0" w:beforeAutospacing="0" w:after="0" w:afterAutospacing="0" w:line="360" w:lineRule="auto"/>
        <w:jc w:val="both"/>
        <w:rPr>
          <w:sz w:val="21"/>
          <w:szCs w:val="21"/>
        </w:rPr>
      </w:pPr>
      <w:r>
        <w:rPr>
          <w:rStyle w:val="30"/>
          <w:rFonts w:hint="eastAsia" w:ascii="宋体" w:hAnsi="宋体" w:cs="宋体"/>
          <w:color w:val="000000"/>
          <w:sz w:val="21"/>
          <w:szCs w:val="21"/>
        </w:rPr>
        <w:t>一、项目基本情况</w:t>
      </w:r>
    </w:p>
    <w:p w14:paraId="439A0FF0">
      <w:pPr>
        <w:pStyle w:val="22"/>
        <w:spacing w:before="0" w:beforeAutospacing="0" w:after="0" w:afterAutospacing="0" w:line="360" w:lineRule="auto"/>
        <w:ind w:firstLine="420" w:firstLineChars="200"/>
        <w:jc w:val="both"/>
        <w:rPr>
          <w:sz w:val="21"/>
          <w:szCs w:val="21"/>
          <w:highlight w:val="none"/>
        </w:rPr>
      </w:pPr>
      <w:r>
        <w:rPr>
          <w:rFonts w:hint="eastAsia"/>
          <w:color w:val="000000"/>
          <w:sz w:val="21"/>
          <w:szCs w:val="21"/>
          <w:highlight w:val="none"/>
        </w:rPr>
        <w:t>项目编号：</w:t>
      </w:r>
      <w:r>
        <w:rPr>
          <w:rFonts w:hint="eastAsia" w:ascii="宋体" w:hAnsi="宋体" w:eastAsia="宋体" w:cs="宋体"/>
          <w:color w:val="000000"/>
          <w:sz w:val="21"/>
          <w:szCs w:val="21"/>
        </w:rPr>
        <w:t>ZJWSD—ZD（C）</w:t>
      </w:r>
      <w:r>
        <w:rPr>
          <w:rFonts w:hint="eastAsia" w:ascii="宋体" w:hAnsi="宋体" w:eastAsia="宋体" w:cs="宋体"/>
          <w:color w:val="000000"/>
          <w:sz w:val="21"/>
          <w:szCs w:val="21"/>
          <w:lang w:val="en-US" w:eastAsia="zh-CN"/>
        </w:rPr>
        <w:t>2403</w:t>
      </w:r>
      <w:r>
        <w:rPr>
          <w:rFonts w:hint="eastAsia" w:cs="宋体"/>
          <w:color w:val="000000"/>
          <w:sz w:val="21"/>
          <w:szCs w:val="21"/>
          <w:lang w:val="en-US" w:eastAsia="zh-CN"/>
        </w:rPr>
        <w:t>7</w:t>
      </w:r>
    </w:p>
    <w:p w14:paraId="168E41EB">
      <w:pPr>
        <w:pStyle w:val="22"/>
        <w:spacing w:before="0" w:beforeAutospacing="0" w:after="0" w:afterAutospacing="0" w:line="360" w:lineRule="auto"/>
        <w:ind w:firstLine="420" w:firstLineChars="200"/>
        <w:jc w:val="both"/>
        <w:rPr>
          <w:sz w:val="21"/>
          <w:szCs w:val="21"/>
        </w:rPr>
      </w:pPr>
      <w:r>
        <w:rPr>
          <w:rFonts w:hint="eastAsia"/>
          <w:color w:val="000000"/>
          <w:sz w:val="21"/>
          <w:szCs w:val="21"/>
        </w:rPr>
        <w:t>项目名称：</w:t>
      </w:r>
      <w:r>
        <w:rPr>
          <w:rFonts w:hint="eastAsia" w:ascii="宋体" w:hAnsi="宋体" w:eastAsia="宋体" w:cs="宋体"/>
          <w:color w:val="000000"/>
          <w:sz w:val="21"/>
          <w:szCs w:val="21"/>
        </w:rPr>
        <w:t>舟山市定海区应急管理局突发事件综合保险项目</w:t>
      </w:r>
    </w:p>
    <w:p w14:paraId="29997F6F">
      <w:pPr>
        <w:pStyle w:val="22"/>
        <w:spacing w:before="0" w:beforeAutospacing="0" w:after="0" w:afterAutospacing="0" w:line="360" w:lineRule="auto"/>
        <w:ind w:firstLine="420" w:firstLineChars="200"/>
        <w:jc w:val="both"/>
        <w:rPr>
          <w:sz w:val="21"/>
          <w:szCs w:val="21"/>
        </w:rPr>
      </w:pPr>
      <w:r>
        <w:rPr>
          <w:rFonts w:hint="eastAsia"/>
          <w:color w:val="000000"/>
          <w:sz w:val="21"/>
          <w:szCs w:val="21"/>
        </w:rPr>
        <w:t>采购方式：竞争性磋商</w:t>
      </w:r>
    </w:p>
    <w:p w14:paraId="6E1F79AF">
      <w:pPr>
        <w:pStyle w:val="22"/>
        <w:spacing w:before="0" w:beforeAutospacing="0" w:after="0" w:afterAutospacing="0" w:line="360" w:lineRule="auto"/>
        <w:ind w:firstLine="420" w:firstLineChars="200"/>
        <w:jc w:val="both"/>
        <w:rPr>
          <w:rFonts w:hint="default" w:eastAsia="宋体"/>
          <w:sz w:val="21"/>
          <w:szCs w:val="21"/>
          <w:lang w:val="en-US" w:eastAsia="zh-CN"/>
        </w:rPr>
      </w:pPr>
      <w:r>
        <w:rPr>
          <w:rFonts w:hint="eastAsia"/>
          <w:color w:val="000000"/>
          <w:sz w:val="21"/>
          <w:szCs w:val="21"/>
        </w:rPr>
        <w:t>预算金额（元）：</w:t>
      </w:r>
      <w:r>
        <w:rPr>
          <w:rFonts w:hint="eastAsia"/>
          <w:color w:val="000000"/>
          <w:sz w:val="21"/>
          <w:szCs w:val="21"/>
          <w:lang w:val="en-US" w:eastAsia="zh-CN"/>
        </w:rPr>
        <w:t>3000000</w:t>
      </w:r>
    </w:p>
    <w:p w14:paraId="210B92A9">
      <w:pPr>
        <w:pStyle w:val="22"/>
        <w:spacing w:before="0" w:beforeAutospacing="0" w:after="0" w:afterAutospacing="0" w:line="360" w:lineRule="auto"/>
        <w:ind w:firstLine="420" w:firstLineChars="200"/>
        <w:jc w:val="both"/>
        <w:rPr>
          <w:sz w:val="21"/>
          <w:szCs w:val="21"/>
        </w:rPr>
      </w:pPr>
      <w:r>
        <w:rPr>
          <w:rFonts w:hint="eastAsia"/>
          <w:color w:val="000000"/>
          <w:sz w:val="21"/>
          <w:szCs w:val="21"/>
        </w:rPr>
        <w:t>最高限价（元）：</w:t>
      </w:r>
      <w:r>
        <w:rPr>
          <w:rFonts w:hint="eastAsia"/>
          <w:color w:val="000000"/>
          <w:sz w:val="21"/>
          <w:szCs w:val="21"/>
          <w:lang w:val="en-US" w:eastAsia="zh-CN"/>
        </w:rPr>
        <w:t>3000000</w:t>
      </w:r>
    </w:p>
    <w:p w14:paraId="710266C0">
      <w:pPr>
        <w:pStyle w:val="22"/>
        <w:spacing w:before="0" w:beforeAutospacing="0" w:after="0" w:afterAutospacing="0" w:line="360" w:lineRule="auto"/>
        <w:ind w:firstLine="420" w:firstLineChars="200"/>
        <w:jc w:val="both"/>
        <w:rPr>
          <w:color w:val="000000"/>
          <w:sz w:val="21"/>
          <w:szCs w:val="21"/>
        </w:rPr>
      </w:pPr>
      <w:r>
        <w:rPr>
          <w:rFonts w:hint="eastAsia"/>
          <w:color w:val="000000"/>
          <w:sz w:val="21"/>
          <w:szCs w:val="21"/>
        </w:rPr>
        <w:t>采购需求：</w:t>
      </w:r>
    </w:p>
    <w:p w14:paraId="092CD251">
      <w:pPr>
        <w:pStyle w:val="22"/>
        <w:spacing w:before="0" w:beforeAutospacing="0" w:after="0" w:afterAutospacing="0" w:line="360" w:lineRule="auto"/>
        <w:ind w:firstLine="420" w:firstLineChars="200"/>
        <w:jc w:val="both"/>
        <w:rPr>
          <w:color w:val="000000"/>
          <w:sz w:val="21"/>
          <w:szCs w:val="21"/>
        </w:rPr>
      </w:pPr>
    </w:p>
    <w:p w14:paraId="0DBC8EE9">
      <w:pPr>
        <w:pStyle w:val="22"/>
        <w:spacing w:before="0" w:beforeAutospacing="0" w:after="0" w:afterAutospacing="0" w:line="360" w:lineRule="auto"/>
        <w:ind w:firstLine="420" w:firstLineChars="200"/>
        <w:jc w:val="both"/>
        <w:rPr>
          <w:color w:val="000000"/>
          <w:sz w:val="21"/>
          <w:szCs w:val="21"/>
        </w:rPr>
      </w:pPr>
      <w:r>
        <w:rPr>
          <w:rFonts w:hint="eastAsia"/>
          <w:color w:val="000000"/>
          <w:sz w:val="21"/>
          <w:szCs w:val="21"/>
        </w:rPr>
        <w:t>数量：1</w:t>
      </w:r>
    </w:p>
    <w:p w14:paraId="698B7300">
      <w:pPr>
        <w:pStyle w:val="22"/>
        <w:spacing w:before="0" w:beforeAutospacing="0" w:after="0" w:afterAutospacing="0" w:line="360" w:lineRule="auto"/>
        <w:ind w:firstLine="420" w:firstLineChars="200"/>
        <w:jc w:val="both"/>
        <w:rPr>
          <w:sz w:val="21"/>
          <w:szCs w:val="21"/>
        </w:rPr>
      </w:pPr>
      <w:r>
        <w:rPr>
          <w:rFonts w:hint="eastAsia"/>
          <w:color w:val="000000"/>
          <w:sz w:val="21"/>
          <w:szCs w:val="21"/>
        </w:rPr>
        <w:t>预算金额（元）：</w:t>
      </w:r>
      <w:r>
        <w:rPr>
          <w:rFonts w:hint="eastAsia"/>
          <w:color w:val="000000"/>
          <w:sz w:val="21"/>
          <w:szCs w:val="21"/>
          <w:lang w:val="en-US" w:eastAsia="zh-CN"/>
        </w:rPr>
        <w:t>3000000</w:t>
      </w:r>
    </w:p>
    <w:p w14:paraId="645D6777">
      <w:pPr>
        <w:pStyle w:val="22"/>
        <w:spacing w:before="0" w:beforeAutospacing="0" w:after="0" w:afterAutospacing="0" w:line="360" w:lineRule="auto"/>
        <w:ind w:firstLine="420" w:firstLineChars="200"/>
        <w:jc w:val="both"/>
        <w:rPr>
          <w:sz w:val="21"/>
          <w:szCs w:val="21"/>
        </w:rPr>
      </w:pPr>
      <w:r>
        <w:rPr>
          <w:rFonts w:hint="eastAsia"/>
          <w:color w:val="000000"/>
          <w:sz w:val="21"/>
          <w:szCs w:val="21"/>
        </w:rPr>
        <w:t>单位：项</w:t>
      </w:r>
    </w:p>
    <w:p w14:paraId="7606D095">
      <w:pPr>
        <w:pStyle w:val="22"/>
        <w:spacing w:before="0" w:beforeAutospacing="0" w:after="0" w:afterAutospacing="0" w:line="360" w:lineRule="auto"/>
        <w:ind w:firstLine="420" w:firstLineChars="200"/>
        <w:jc w:val="both"/>
        <w:rPr>
          <w:sz w:val="21"/>
          <w:szCs w:val="21"/>
        </w:rPr>
      </w:pPr>
      <w:r>
        <w:rPr>
          <w:rFonts w:hint="eastAsia"/>
          <w:color w:val="000000"/>
          <w:sz w:val="21"/>
          <w:szCs w:val="21"/>
        </w:rPr>
        <w:t>简要规格描述：详见磋商文件</w:t>
      </w:r>
    </w:p>
    <w:p w14:paraId="77AFFB8E">
      <w:pPr>
        <w:pStyle w:val="22"/>
        <w:spacing w:before="0" w:beforeAutospacing="0" w:after="0" w:afterAutospacing="0" w:line="360" w:lineRule="auto"/>
        <w:ind w:firstLine="420" w:firstLineChars="200"/>
        <w:jc w:val="both"/>
        <w:rPr>
          <w:sz w:val="21"/>
          <w:szCs w:val="21"/>
        </w:rPr>
      </w:pPr>
      <w:r>
        <w:rPr>
          <w:rFonts w:hint="eastAsia"/>
          <w:color w:val="000000"/>
          <w:sz w:val="21"/>
          <w:szCs w:val="21"/>
        </w:rPr>
        <w:t>备注：/</w:t>
      </w:r>
    </w:p>
    <w:p w14:paraId="15ED4074">
      <w:pPr>
        <w:pStyle w:val="22"/>
        <w:spacing w:before="0" w:beforeAutospacing="0" w:after="0" w:afterAutospacing="0" w:line="360" w:lineRule="auto"/>
        <w:ind w:firstLine="420" w:firstLineChars="200"/>
        <w:jc w:val="both"/>
        <w:rPr>
          <w:color w:val="000000"/>
          <w:sz w:val="21"/>
          <w:szCs w:val="21"/>
          <w:highlight w:val="none"/>
        </w:rPr>
      </w:pPr>
      <w:r>
        <w:rPr>
          <w:rFonts w:hint="eastAsia"/>
          <w:color w:val="000000"/>
          <w:sz w:val="21"/>
          <w:szCs w:val="21"/>
          <w:highlight w:val="none"/>
        </w:rPr>
        <w:t>合同履约期限：</w:t>
      </w:r>
      <w:r>
        <w:rPr>
          <w:rFonts w:hint="eastAsia" w:ascii="宋体" w:hAnsi="宋体" w:eastAsia="宋体" w:cs="宋体"/>
          <w:color w:val="000000"/>
          <w:sz w:val="21"/>
          <w:szCs w:val="21"/>
          <w:highlight w:val="none"/>
        </w:rPr>
        <w:t>合同有效期一年，经采购方综合评价，无异议可续签一年，最多续签两次</w:t>
      </w:r>
      <w:r>
        <w:rPr>
          <w:rFonts w:hint="eastAsia"/>
          <w:color w:val="000000"/>
          <w:sz w:val="21"/>
          <w:szCs w:val="21"/>
          <w:highlight w:val="none"/>
          <w:lang w:val="en-US" w:eastAsia="zh-CN"/>
        </w:rPr>
        <w:t>。</w:t>
      </w:r>
    </w:p>
    <w:p w14:paraId="76E45707">
      <w:pPr>
        <w:pStyle w:val="22"/>
        <w:spacing w:before="0" w:beforeAutospacing="0" w:after="0" w:afterAutospacing="0" w:line="360" w:lineRule="auto"/>
        <w:ind w:firstLine="420" w:firstLineChars="200"/>
        <w:jc w:val="both"/>
        <w:rPr>
          <w:color w:val="000000"/>
          <w:sz w:val="21"/>
          <w:szCs w:val="21"/>
        </w:rPr>
      </w:pPr>
      <w:r>
        <w:rPr>
          <w:rFonts w:hint="eastAsia"/>
          <w:color w:val="000000"/>
          <w:sz w:val="21"/>
          <w:szCs w:val="21"/>
        </w:rPr>
        <w:t>本项目（否）接受联合体响应。</w:t>
      </w:r>
    </w:p>
    <w:p w14:paraId="35253CBE">
      <w:pPr>
        <w:pStyle w:val="22"/>
        <w:spacing w:before="0" w:beforeAutospacing="0" w:after="0" w:afterAutospacing="0" w:line="360" w:lineRule="auto"/>
        <w:jc w:val="both"/>
        <w:rPr>
          <w:sz w:val="21"/>
          <w:szCs w:val="21"/>
        </w:rPr>
      </w:pPr>
      <w:r>
        <w:rPr>
          <w:rStyle w:val="30"/>
          <w:rFonts w:hint="eastAsia" w:ascii="宋体" w:hAnsi="宋体" w:cs="宋体"/>
          <w:color w:val="000000"/>
          <w:sz w:val="21"/>
          <w:szCs w:val="21"/>
        </w:rPr>
        <w:t>二、申请人的资格要求：</w:t>
      </w:r>
    </w:p>
    <w:p w14:paraId="1E895C04">
      <w:pPr>
        <w:pStyle w:val="22"/>
        <w:spacing w:before="0" w:beforeAutospacing="0" w:after="0" w:afterAutospacing="0" w:line="360" w:lineRule="auto"/>
        <w:ind w:firstLine="420" w:firstLineChars="200"/>
        <w:jc w:val="both"/>
        <w:rPr>
          <w:sz w:val="21"/>
          <w:szCs w:val="21"/>
        </w:rPr>
      </w:pPr>
      <w:r>
        <w:rPr>
          <w:rFonts w:hint="eastAsia"/>
          <w:color w:val="000000"/>
          <w:sz w:val="21"/>
          <w:szCs w:val="21"/>
        </w:rPr>
        <w:t>1.满足《中华人民共和国政府采购法》第二十二条规定；未被“信用中国”（www.creditchina.gov.cn)、中国政府采购网（www.ccgp.gov.cn）列入失信被执行人、重大税收违法失信主体、政府采购严重违法失信行为记录名单。</w:t>
      </w:r>
    </w:p>
    <w:p w14:paraId="660D7811">
      <w:pPr>
        <w:pStyle w:val="22"/>
        <w:spacing w:before="0" w:beforeAutospacing="0" w:after="0" w:afterAutospacing="0" w:line="360" w:lineRule="auto"/>
        <w:ind w:firstLine="420" w:firstLineChars="200"/>
        <w:jc w:val="both"/>
        <w:rPr>
          <w:sz w:val="21"/>
          <w:szCs w:val="21"/>
        </w:rPr>
      </w:pPr>
      <w:r>
        <w:rPr>
          <w:rFonts w:hint="eastAsia"/>
          <w:color w:val="000000"/>
          <w:sz w:val="21"/>
          <w:szCs w:val="21"/>
        </w:rPr>
        <w:t>2.落实政府采购政策需满足的资格</w:t>
      </w:r>
      <w:r>
        <w:rPr>
          <w:rFonts w:hint="eastAsia" w:ascii="宋体" w:hAnsi="宋体" w:eastAsia="宋体" w:cs="宋体"/>
          <w:color w:val="000000"/>
          <w:sz w:val="21"/>
          <w:szCs w:val="21"/>
        </w:rPr>
        <w:t>要求：无。</w:t>
      </w:r>
    </w:p>
    <w:p w14:paraId="73649803">
      <w:pPr>
        <w:widowControl/>
        <w:spacing w:line="400" w:lineRule="exact"/>
        <w:ind w:firstLine="420" w:firstLineChars="200"/>
        <w:contextualSpacing/>
        <w:rPr>
          <w:rFonts w:ascii="Times New Roman" w:hAnsi="Times New Roman" w:cs="宋体"/>
          <w:bCs/>
          <w:szCs w:val="21"/>
        </w:rPr>
      </w:pPr>
      <w:r>
        <w:rPr>
          <w:rFonts w:hint="eastAsia"/>
          <w:color w:val="000000"/>
          <w:sz w:val="21"/>
          <w:szCs w:val="21"/>
        </w:rPr>
        <w:t>3.本项目的特定资格要求：</w:t>
      </w:r>
      <w:r>
        <w:rPr>
          <w:rFonts w:hint="eastAsia" w:ascii="Times New Roman" w:hAnsi="Times New Roman" w:cs="宋体"/>
          <w:szCs w:val="21"/>
        </w:rPr>
        <w:t>供应商须具有国家金融监督管理机构颁发的《中华人民共和国保险许可证》</w:t>
      </w:r>
      <w:r>
        <w:rPr>
          <w:rFonts w:hint="eastAsia" w:ascii="Times New Roman" w:hAnsi="Times New Roman"/>
          <w:bCs/>
          <w:szCs w:val="21"/>
        </w:rPr>
        <w:t>。</w:t>
      </w:r>
    </w:p>
    <w:p w14:paraId="22BDC92F">
      <w:pPr>
        <w:pStyle w:val="22"/>
        <w:spacing w:before="0" w:beforeAutospacing="0" w:after="0" w:afterAutospacing="0" w:line="360" w:lineRule="auto"/>
        <w:jc w:val="both"/>
        <w:rPr>
          <w:sz w:val="21"/>
          <w:szCs w:val="21"/>
        </w:rPr>
      </w:pPr>
      <w:r>
        <w:rPr>
          <w:rStyle w:val="30"/>
          <w:rFonts w:hint="eastAsia" w:ascii="宋体" w:hAnsi="宋体" w:cs="宋体"/>
          <w:color w:val="000000"/>
          <w:sz w:val="21"/>
          <w:szCs w:val="21"/>
        </w:rPr>
        <w:t>三、获取（下载）采购文件</w:t>
      </w:r>
    </w:p>
    <w:p w14:paraId="3D3BB7AD">
      <w:pPr>
        <w:pStyle w:val="22"/>
        <w:spacing w:before="0" w:beforeAutospacing="0" w:after="0" w:afterAutospacing="0" w:line="360" w:lineRule="auto"/>
        <w:ind w:firstLine="420" w:firstLineChars="200"/>
        <w:jc w:val="both"/>
        <w:rPr>
          <w:sz w:val="21"/>
          <w:szCs w:val="21"/>
          <w:highlight w:val="none"/>
        </w:rPr>
      </w:pPr>
      <w:r>
        <w:rPr>
          <w:rFonts w:hint="eastAsia"/>
          <w:color w:val="000000"/>
          <w:sz w:val="21"/>
          <w:szCs w:val="21"/>
        </w:rPr>
        <w:t>时间：</w:t>
      </w:r>
      <w:r>
        <w:rPr>
          <w:rFonts w:hint="eastAsia"/>
          <w:color w:val="000000"/>
          <w:sz w:val="21"/>
          <w:szCs w:val="21"/>
          <w:highlight w:val="none"/>
        </w:rPr>
        <w:t>/至2024年</w:t>
      </w:r>
      <w:r>
        <w:rPr>
          <w:rFonts w:hint="eastAsia"/>
          <w:color w:val="000000"/>
          <w:sz w:val="21"/>
          <w:szCs w:val="21"/>
          <w:highlight w:val="none"/>
          <w:lang w:val="en-US" w:eastAsia="zh-CN"/>
        </w:rPr>
        <w:t>12</w:t>
      </w:r>
      <w:r>
        <w:rPr>
          <w:rFonts w:hint="eastAsia"/>
          <w:color w:val="000000"/>
          <w:sz w:val="21"/>
          <w:szCs w:val="21"/>
          <w:highlight w:val="none"/>
        </w:rPr>
        <w:t>月</w:t>
      </w:r>
      <w:r>
        <w:rPr>
          <w:rFonts w:hint="eastAsia"/>
          <w:color w:val="000000"/>
          <w:sz w:val="21"/>
          <w:szCs w:val="21"/>
          <w:highlight w:val="none"/>
          <w:lang w:val="en-US" w:eastAsia="zh-CN"/>
        </w:rPr>
        <w:t>4</w:t>
      </w:r>
      <w:r>
        <w:rPr>
          <w:rFonts w:hint="eastAsia"/>
          <w:color w:val="000000"/>
          <w:sz w:val="21"/>
          <w:szCs w:val="21"/>
          <w:highlight w:val="none"/>
        </w:rPr>
        <w:t>日，每天上午00:00至12:00，下午12:00至23:59（北京时间，线上获取法定节假日均可，线下获取文件法定节假日除外）</w:t>
      </w:r>
    </w:p>
    <w:p w14:paraId="272DE84B">
      <w:pPr>
        <w:pStyle w:val="22"/>
        <w:spacing w:before="0" w:beforeAutospacing="0" w:after="0" w:afterAutospacing="0" w:line="360" w:lineRule="auto"/>
        <w:ind w:firstLine="420" w:firstLineChars="200"/>
        <w:jc w:val="both"/>
        <w:rPr>
          <w:sz w:val="21"/>
          <w:szCs w:val="21"/>
        </w:rPr>
      </w:pPr>
      <w:r>
        <w:rPr>
          <w:rFonts w:hint="eastAsia"/>
          <w:color w:val="000000"/>
          <w:sz w:val="21"/>
          <w:szCs w:val="21"/>
          <w:highlight w:val="none"/>
        </w:rPr>
        <w:t>地点（网址）：</w:t>
      </w:r>
      <w:r>
        <w:rPr>
          <w:rFonts w:hint="eastAsia"/>
          <w:color w:val="000000"/>
          <w:sz w:val="21"/>
          <w:szCs w:val="21"/>
        </w:rPr>
        <w:t>浙江政府采购网http://zfcg.czt.zj.gov.cn/（用“政采云”注册账号、密码登录系统后获取磋商文件）</w:t>
      </w:r>
    </w:p>
    <w:p w14:paraId="3A38EEEE">
      <w:pPr>
        <w:pStyle w:val="22"/>
        <w:spacing w:before="0" w:beforeAutospacing="0" w:after="0" w:afterAutospacing="0" w:line="360" w:lineRule="auto"/>
        <w:ind w:firstLine="420" w:firstLineChars="200"/>
        <w:jc w:val="both"/>
        <w:rPr>
          <w:sz w:val="21"/>
          <w:szCs w:val="21"/>
        </w:rPr>
      </w:pPr>
      <w:r>
        <w:rPr>
          <w:rFonts w:hint="eastAsia"/>
          <w:color w:val="000000"/>
          <w:sz w:val="21"/>
          <w:szCs w:val="21"/>
        </w:rPr>
        <w:t>方式：网上获取。免费注册网址：浙江政府采购网（供应商注册页面）：https://middle.zcygov.cn/settle-front/#/registry“政采云”，已经注册成功的供应商无需重复注册，本项目实行电子响应。响应人在使用系统进行响应的过程中涉及平台使用的任何问题可致电政采云平台技术支持热线：95763。</w:t>
      </w:r>
    </w:p>
    <w:p w14:paraId="4F723092">
      <w:pPr>
        <w:pStyle w:val="22"/>
        <w:spacing w:before="0" w:beforeAutospacing="0" w:after="0" w:afterAutospacing="0" w:line="360" w:lineRule="auto"/>
        <w:ind w:firstLine="420" w:firstLineChars="200"/>
        <w:jc w:val="both"/>
        <w:rPr>
          <w:sz w:val="21"/>
          <w:szCs w:val="21"/>
        </w:rPr>
      </w:pPr>
      <w:r>
        <w:rPr>
          <w:rFonts w:hint="eastAsia"/>
          <w:color w:val="000000"/>
          <w:sz w:val="21"/>
          <w:szCs w:val="21"/>
        </w:rPr>
        <w:t>售价（元）：0</w:t>
      </w:r>
    </w:p>
    <w:p w14:paraId="41297CDF">
      <w:pPr>
        <w:pStyle w:val="22"/>
        <w:spacing w:before="0" w:beforeAutospacing="0" w:after="0" w:afterAutospacing="0" w:line="360" w:lineRule="auto"/>
        <w:jc w:val="both"/>
        <w:rPr>
          <w:sz w:val="21"/>
          <w:szCs w:val="21"/>
        </w:rPr>
      </w:pPr>
      <w:r>
        <w:rPr>
          <w:rStyle w:val="30"/>
          <w:rFonts w:hint="eastAsia" w:ascii="宋体" w:hAnsi="宋体" w:cs="宋体"/>
          <w:color w:val="000000"/>
          <w:sz w:val="21"/>
          <w:szCs w:val="21"/>
        </w:rPr>
        <w:t>四、响应文件提交（上传）</w:t>
      </w:r>
    </w:p>
    <w:p w14:paraId="5CADC637">
      <w:pPr>
        <w:pStyle w:val="22"/>
        <w:spacing w:before="0" w:beforeAutospacing="0" w:after="0" w:afterAutospacing="0" w:line="360" w:lineRule="auto"/>
        <w:ind w:firstLine="420" w:firstLineChars="200"/>
        <w:jc w:val="both"/>
        <w:rPr>
          <w:sz w:val="21"/>
          <w:szCs w:val="21"/>
          <w:highlight w:val="none"/>
        </w:rPr>
      </w:pPr>
      <w:r>
        <w:rPr>
          <w:rFonts w:hint="eastAsia"/>
          <w:color w:val="000000"/>
          <w:sz w:val="21"/>
          <w:szCs w:val="21"/>
        </w:rPr>
        <w:t>截止</w:t>
      </w:r>
      <w:r>
        <w:rPr>
          <w:rFonts w:hint="eastAsia"/>
          <w:color w:val="000000"/>
          <w:sz w:val="21"/>
          <w:szCs w:val="21"/>
          <w:highlight w:val="none"/>
        </w:rPr>
        <w:t>时间：2024年</w:t>
      </w:r>
      <w:r>
        <w:rPr>
          <w:rFonts w:hint="eastAsia"/>
          <w:color w:val="000000"/>
          <w:sz w:val="21"/>
          <w:szCs w:val="21"/>
          <w:highlight w:val="none"/>
          <w:lang w:val="en-US" w:eastAsia="zh-CN"/>
        </w:rPr>
        <w:t>12</w:t>
      </w:r>
      <w:r>
        <w:rPr>
          <w:rFonts w:hint="eastAsia"/>
          <w:color w:val="000000"/>
          <w:sz w:val="21"/>
          <w:szCs w:val="21"/>
          <w:highlight w:val="none"/>
        </w:rPr>
        <w:t>月</w:t>
      </w:r>
      <w:r>
        <w:rPr>
          <w:rFonts w:hint="eastAsia"/>
          <w:color w:val="000000"/>
          <w:sz w:val="21"/>
          <w:szCs w:val="21"/>
          <w:highlight w:val="none"/>
          <w:lang w:val="en-US" w:eastAsia="zh-CN"/>
        </w:rPr>
        <w:t>4</w:t>
      </w:r>
      <w:r>
        <w:rPr>
          <w:rFonts w:hint="eastAsia"/>
          <w:color w:val="000000"/>
          <w:sz w:val="21"/>
          <w:szCs w:val="21"/>
          <w:highlight w:val="none"/>
        </w:rPr>
        <w:t>日</w:t>
      </w:r>
      <w:r>
        <w:rPr>
          <w:rFonts w:hint="eastAsia"/>
          <w:color w:val="000000"/>
          <w:sz w:val="21"/>
          <w:szCs w:val="21"/>
          <w:highlight w:val="none"/>
          <w:lang w:val="en-US" w:eastAsia="zh-CN"/>
        </w:rPr>
        <w:t>14</w:t>
      </w:r>
      <w:r>
        <w:rPr>
          <w:rFonts w:hint="eastAsia"/>
          <w:color w:val="000000"/>
          <w:sz w:val="21"/>
          <w:szCs w:val="21"/>
          <w:highlight w:val="none"/>
        </w:rPr>
        <w:t>:</w:t>
      </w:r>
      <w:r>
        <w:rPr>
          <w:rFonts w:hint="eastAsia"/>
          <w:color w:val="000000"/>
          <w:sz w:val="21"/>
          <w:szCs w:val="21"/>
          <w:highlight w:val="none"/>
          <w:lang w:val="en-US" w:eastAsia="zh-CN"/>
        </w:rPr>
        <w:t>30</w:t>
      </w:r>
      <w:r>
        <w:rPr>
          <w:rFonts w:hint="eastAsia"/>
          <w:color w:val="000000"/>
          <w:sz w:val="21"/>
          <w:szCs w:val="21"/>
          <w:highlight w:val="none"/>
        </w:rPr>
        <w:t>（北京时间）</w:t>
      </w:r>
    </w:p>
    <w:p w14:paraId="58AC6424">
      <w:pPr>
        <w:pStyle w:val="22"/>
        <w:spacing w:before="0" w:beforeAutospacing="0" w:after="0" w:afterAutospacing="0" w:line="360" w:lineRule="auto"/>
        <w:ind w:firstLine="420" w:firstLineChars="200"/>
        <w:jc w:val="both"/>
        <w:rPr>
          <w:sz w:val="21"/>
          <w:szCs w:val="21"/>
        </w:rPr>
      </w:pPr>
      <w:r>
        <w:rPr>
          <w:rFonts w:hint="eastAsia"/>
          <w:color w:val="000000"/>
          <w:sz w:val="21"/>
          <w:szCs w:val="21"/>
          <w:highlight w:val="none"/>
        </w:rPr>
        <w:t>地点（网址</w:t>
      </w:r>
      <w:r>
        <w:rPr>
          <w:rFonts w:hint="eastAsia"/>
          <w:color w:val="000000"/>
          <w:sz w:val="21"/>
          <w:szCs w:val="21"/>
        </w:rPr>
        <w:t>）：本项目不要求供应商授权代表参加现场开标、开启响应文件活动。响应人将加密的电子版响应文件于响应截止时间前上传到政采云系统中。响应人将备份响</w:t>
      </w:r>
      <w:r>
        <w:rPr>
          <w:rFonts w:hint="eastAsia"/>
          <w:color w:val="000000"/>
          <w:sz w:val="21"/>
          <w:szCs w:val="21"/>
          <w:highlight w:val="none"/>
        </w:rPr>
        <w:t>应文件于2024年</w:t>
      </w:r>
      <w:r>
        <w:rPr>
          <w:rFonts w:hint="eastAsia"/>
          <w:color w:val="000000"/>
          <w:sz w:val="21"/>
          <w:szCs w:val="21"/>
          <w:highlight w:val="none"/>
          <w:lang w:val="en-US" w:eastAsia="zh-CN"/>
        </w:rPr>
        <w:t>12</w:t>
      </w:r>
      <w:r>
        <w:rPr>
          <w:rFonts w:hint="eastAsia"/>
          <w:color w:val="000000"/>
          <w:sz w:val="21"/>
          <w:szCs w:val="21"/>
          <w:highlight w:val="none"/>
        </w:rPr>
        <w:t>月</w:t>
      </w:r>
      <w:r>
        <w:rPr>
          <w:rFonts w:hint="eastAsia"/>
          <w:color w:val="000000"/>
          <w:sz w:val="21"/>
          <w:szCs w:val="21"/>
          <w:highlight w:val="none"/>
          <w:lang w:val="en-US" w:eastAsia="zh-CN"/>
        </w:rPr>
        <w:t>4</w:t>
      </w:r>
      <w:r>
        <w:rPr>
          <w:rFonts w:hint="eastAsia"/>
          <w:color w:val="000000"/>
          <w:sz w:val="21"/>
          <w:szCs w:val="21"/>
          <w:highlight w:val="none"/>
        </w:rPr>
        <w:t>日1</w:t>
      </w:r>
      <w:r>
        <w:rPr>
          <w:rFonts w:hint="eastAsia"/>
          <w:color w:val="000000"/>
          <w:sz w:val="21"/>
          <w:szCs w:val="21"/>
          <w:highlight w:val="none"/>
          <w:lang w:val="en-US" w:eastAsia="zh-CN"/>
        </w:rPr>
        <w:t>2</w:t>
      </w:r>
      <w:r>
        <w:rPr>
          <w:rFonts w:hint="eastAsia"/>
          <w:color w:val="000000"/>
          <w:sz w:val="21"/>
          <w:szCs w:val="21"/>
          <w:highlight w:val="none"/>
        </w:rPr>
        <w:t>:00（北京时间）前通过邮寄或派人递送的方式送交到采购代理机构处（地址</w:t>
      </w:r>
      <w:r>
        <w:rPr>
          <w:rFonts w:hint="eastAsia" w:ascii="宋体" w:hAnsi="宋体" w:eastAsia="宋体" w:cs="宋体"/>
          <w:color w:val="000000"/>
          <w:sz w:val="21"/>
          <w:szCs w:val="21"/>
          <w:highlight w:val="none"/>
        </w:rPr>
        <w:t>：舟山市定海区临城新区千岛路171号建设大厦A座1</w:t>
      </w: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楼1</w:t>
      </w:r>
      <w:r>
        <w:rPr>
          <w:rFonts w:hint="eastAsia" w:ascii="宋体" w:hAnsi="宋体" w:eastAsia="宋体" w:cs="宋体"/>
          <w:color w:val="000000"/>
          <w:sz w:val="21"/>
          <w:szCs w:val="21"/>
          <w:highlight w:val="none"/>
          <w:lang w:val="en-US" w:eastAsia="zh-CN"/>
        </w:rPr>
        <w:t>909</w:t>
      </w:r>
      <w:r>
        <w:rPr>
          <w:rFonts w:hint="eastAsia" w:ascii="宋体" w:hAnsi="宋体" w:eastAsia="宋体" w:cs="宋体"/>
          <w:color w:val="000000"/>
          <w:sz w:val="21"/>
          <w:szCs w:val="21"/>
          <w:highlight w:val="none"/>
        </w:rPr>
        <w:t>室；</w:t>
      </w:r>
      <w:r>
        <w:rPr>
          <w:rFonts w:hint="eastAsia"/>
          <w:color w:val="000000"/>
          <w:sz w:val="21"/>
          <w:szCs w:val="21"/>
          <w:highlight w:val="none"/>
        </w:rPr>
        <w:t>联系</w:t>
      </w:r>
      <w:r>
        <w:rPr>
          <w:rFonts w:hint="eastAsia" w:ascii="宋体" w:hAnsi="宋体" w:eastAsia="宋体" w:cs="宋体"/>
          <w:color w:val="000000"/>
          <w:sz w:val="21"/>
          <w:szCs w:val="21"/>
          <w:highlight w:val="none"/>
        </w:rPr>
        <w:t>人：陈洪斌；联系方式：0580-2620676）</w:t>
      </w:r>
      <w:r>
        <w:rPr>
          <w:rFonts w:hint="eastAsia"/>
          <w:color w:val="000000"/>
          <w:sz w:val="21"/>
          <w:szCs w:val="21"/>
          <w:highlight w:val="none"/>
        </w:rPr>
        <w:t>，截止时间前</w:t>
      </w:r>
      <w:r>
        <w:rPr>
          <w:rFonts w:hint="eastAsia"/>
          <w:color w:val="000000"/>
          <w:sz w:val="21"/>
          <w:szCs w:val="21"/>
        </w:rPr>
        <w:t>无法送达的，也可以在开启时间前送至开启地点，未按时送达的自行承担风险，但不会因此导致响应无效。备份响应文件须密封完好，并注明响应人单位名称。响应人未按规定递交的备份响应文件，采购人有权拒收。</w:t>
      </w:r>
    </w:p>
    <w:p w14:paraId="40357C20">
      <w:pPr>
        <w:pStyle w:val="22"/>
        <w:spacing w:before="0" w:beforeAutospacing="0" w:after="0" w:afterAutospacing="0" w:line="360" w:lineRule="auto"/>
        <w:jc w:val="both"/>
        <w:rPr>
          <w:sz w:val="21"/>
          <w:szCs w:val="21"/>
        </w:rPr>
      </w:pPr>
      <w:r>
        <w:rPr>
          <w:rStyle w:val="30"/>
          <w:rFonts w:hint="eastAsia" w:ascii="宋体" w:hAnsi="宋体" w:cs="宋体"/>
          <w:color w:val="000000"/>
          <w:sz w:val="21"/>
          <w:szCs w:val="21"/>
        </w:rPr>
        <w:t>五、响应文件开启</w:t>
      </w:r>
    </w:p>
    <w:p w14:paraId="746A6279">
      <w:pPr>
        <w:pStyle w:val="22"/>
        <w:spacing w:before="0" w:beforeAutospacing="0" w:after="0" w:afterAutospacing="0" w:line="360" w:lineRule="auto"/>
        <w:ind w:firstLine="420" w:firstLineChars="200"/>
        <w:jc w:val="both"/>
        <w:rPr>
          <w:sz w:val="21"/>
          <w:szCs w:val="21"/>
          <w:highlight w:val="none"/>
        </w:rPr>
      </w:pPr>
      <w:r>
        <w:rPr>
          <w:rFonts w:hint="eastAsia"/>
          <w:color w:val="000000"/>
          <w:sz w:val="21"/>
          <w:szCs w:val="21"/>
        </w:rPr>
        <w:t>开</w:t>
      </w:r>
      <w:r>
        <w:rPr>
          <w:rFonts w:hint="eastAsia"/>
          <w:color w:val="000000"/>
          <w:sz w:val="21"/>
          <w:szCs w:val="21"/>
          <w:highlight w:val="none"/>
        </w:rPr>
        <w:t>启时间：2024年</w:t>
      </w:r>
      <w:r>
        <w:rPr>
          <w:rFonts w:hint="eastAsia"/>
          <w:color w:val="000000"/>
          <w:sz w:val="21"/>
          <w:szCs w:val="21"/>
          <w:highlight w:val="none"/>
          <w:lang w:val="en-US" w:eastAsia="zh-CN"/>
        </w:rPr>
        <w:t>12</w:t>
      </w:r>
      <w:r>
        <w:rPr>
          <w:rFonts w:hint="eastAsia"/>
          <w:color w:val="000000"/>
          <w:sz w:val="21"/>
          <w:szCs w:val="21"/>
          <w:highlight w:val="none"/>
        </w:rPr>
        <w:t>月</w:t>
      </w:r>
      <w:r>
        <w:rPr>
          <w:rFonts w:hint="eastAsia"/>
          <w:color w:val="000000"/>
          <w:sz w:val="21"/>
          <w:szCs w:val="21"/>
          <w:highlight w:val="none"/>
          <w:lang w:val="en-US" w:eastAsia="zh-CN"/>
        </w:rPr>
        <w:t>4</w:t>
      </w:r>
      <w:r>
        <w:rPr>
          <w:rFonts w:hint="eastAsia"/>
          <w:color w:val="000000"/>
          <w:sz w:val="21"/>
          <w:szCs w:val="21"/>
          <w:highlight w:val="none"/>
        </w:rPr>
        <w:t>日</w:t>
      </w:r>
      <w:r>
        <w:rPr>
          <w:rFonts w:hint="eastAsia"/>
          <w:color w:val="000000"/>
          <w:sz w:val="21"/>
          <w:szCs w:val="21"/>
          <w:highlight w:val="none"/>
          <w:lang w:val="en-US" w:eastAsia="zh-CN"/>
        </w:rPr>
        <w:t>14</w:t>
      </w:r>
      <w:r>
        <w:rPr>
          <w:rFonts w:hint="eastAsia"/>
          <w:color w:val="000000"/>
          <w:sz w:val="21"/>
          <w:szCs w:val="21"/>
          <w:highlight w:val="none"/>
        </w:rPr>
        <w:t>:</w:t>
      </w:r>
      <w:r>
        <w:rPr>
          <w:rFonts w:hint="eastAsia"/>
          <w:color w:val="000000"/>
          <w:sz w:val="21"/>
          <w:szCs w:val="21"/>
          <w:highlight w:val="none"/>
          <w:lang w:val="en-US" w:eastAsia="zh-CN"/>
        </w:rPr>
        <w:t>30</w:t>
      </w:r>
      <w:r>
        <w:rPr>
          <w:rFonts w:hint="eastAsia"/>
          <w:color w:val="000000"/>
          <w:sz w:val="21"/>
          <w:szCs w:val="21"/>
          <w:highlight w:val="none"/>
        </w:rPr>
        <w:t>（北京时间）</w:t>
      </w:r>
    </w:p>
    <w:p w14:paraId="5049041C">
      <w:pPr>
        <w:pStyle w:val="22"/>
        <w:spacing w:before="0" w:beforeAutospacing="0" w:after="0" w:afterAutospacing="0" w:line="360" w:lineRule="auto"/>
        <w:ind w:firstLine="420" w:firstLineChars="200"/>
        <w:jc w:val="both"/>
        <w:rPr>
          <w:sz w:val="21"/>
          <w:szCs w:val="21"/>
        </w:rPr>
      </w:pPr>
      <w:r>
        <w:rPr>
          <w:rFonts w:hint="eastAsia"/>
          <w:color w:val="000000"/>
          <w:sz w:val="21"/>
          <w:szCs w:val="21"/>
          <w:highlight w:val="none"/>
        </w:rPr>
        <w:t>地点（网址）：</w:t>
      </w:r>
      <w:r>
        <w:rPr>
          <w:rFonts w:hint="eastAsia"/>
          <w:color w:val="000000"/>
          <w:sz w:val="21"/>
          <w:szCs w:val="21"/>
        </w:rPr>
        <w:t>舟山市定海区东山路289号四楼舟山市公共资源交易中心定海区分中心</w:t>
      </w:r>
    </w:p>
    <w:p w14:paraId="5190EE85">
      <w:pPr>
        <w:pStyle w:val="22"/>
        <w:spacing w:before="0" w:beforeAutospacing="0" w:after="0" w:afterAutospacing="0" w:line="360" w:lineRule="auto"/>
        <w:jc w:val="both"/>
        <w:rPr>
          <w:sz w:val="21"/>
          <w:szCs w:val="21"/>
        </w:rPr>
      </w:pPr>
      <w:r>
        <w:rPr>
          <w:rStyle w:val="30"/>
          <w:rFonts w:hint="eastAsia" w:ascii="宋体" w:hAnsi="宋体" w:cs="宋体"/>
          <w:color w:val="000000"/>
          <w:sz w:val="21"/>
          <w:szCs w:val="21"/>
        </w:rPr>
        <w:t>六、采购意向公开链接</w:t>
      </w:r>
    </w:p>
    <w:p w14:paraId="6FC5E9BA">
      <w:pPr>
        <w:pStyle w:val="22"/>
        <w:spacing w:before="0" w:beforeAutospacing="0" w:after="0" w:afterAutospacing="0" w:line="360" w:lineRule="auto"/>
        <w:ind w:firstLine="420" w:firstLineChars="200"/>
        <w:jc w:val="both"/>
        <w:rPr>
          <w:color w:val="000000"/>
          <w:sz w:val="21"/>
          <w:szCs w:val="21"/>
        </w:rPr>
      </w:pPr>
      <w:r>
        <w:rPr>
          <w:rFonts w:hint="eastAsia" w:ascii="宋体" w:hAnsi="宋体" w:eastAsia="宋体" w:cs="宋体"/>
          <w:color w:val="000000"/>
          <w:sz w:val="21"/>
          <w:szCs w:val="21"/>
        </w:rPr>
        <w:t>https://zfcg.czt.zj.gov.cn/luban/detail?parentId=600007&amp;articleId=gW9fANL8AzOYdlUMVbuUew==</w:t>
      </w:r>
    </w:p>
    <w:p w14:paraId="286F4DE1">
      <w:pPr>
        <w:pStyle w:val="22"/>
        <w:spacing w:before="0" w:beforeAutospacing="0" w:after="0" w:afterAutospacing="0" w:line="360" w:lineRule="auto"/>
        <w:jc w:val="both"/>
        <w:rPr>
          <w:sz w:val="21"/>
          <w:szCs w:val="21"/>
        </w:rPr>
      </w:pPr>
      <w:r>
        <w:rPr>
          <w:rStyle w:val="30"/>
          <w:rFonts w:hint="eastAsia" w:ascii="宋体" w:hAnsi="宋体" w:cs="宋体"/>
          <w:color w:val="000000"/>
          <w:sz w:val="21"/>
          <w:szCs w:val="21"/>
        </w:rPr>
        <w:t>七、公告期限</w:t>
      </w:r>
    </w:p>
    <w:p w14:paraId="47ABFAC9">
      <w:pPr>
        <w:pStyle w:val="22"/>
        <w:spacing w:before="0" w:beforeAutospacing="0" w:after="0" w:afterAutospacing="0" w:line="360" w:lineRule="auto"/>
        <w:ind w:firstLine="420" w:firstLineChars="200"/>
        <w:jc w:val="both"/>
        <w:rPr>
          <w:sz w:val="21"/>
          <w:szCs w:val="21"/>
        </w:rPr>
      </w:pPr>
      <w:r>
        <w:rPr>
          <w:rFonts w:hint="eastAsia"/>
          <w:sz w:val="21"/>
          <w:szCs w:val="21"/>
        </w:rPr>
        <w:t>自本公告发布之日起3个工作日。</w:t>
      </w:r>
    </w:p>
    <w:p w14:paraId="1BC85E79">
      <w:pPr>
        <w:pStyle w:val="22"/>
        <w:spacing w:before="0" w:beforeAutospacing="0" w:after="0" w:afterAutospacing="0" w:line="360" w:lineRule="auto"/>
        <w:jc w:val="both"/>
        <w:rPr>
          <w:sz w:val="21"/>
          <w:szCs w:val="21"/>
        </w:rPr>
      </w:pPr>
      <w:r>
        <w:rPr>
          <w:rStyle w:val="30"/>
          <w:rFonts w:hint="eastAsia" w:ascii="宋体" w:hAnsi="宋体" w:cs="宋体"/>
          <w:color w:val="000000"/>
          <w:sz w:val="21"/>
          <w:szCs w:val="21"/>
        </w:rPr>
        <w:t>八、其他补充事宜</w:t>
      </w:r>
    </w:p>
    <w:p w14:paraId="00F28101">
      <w:pPr>
        <w:pStyle w:val="22"/>
        <w:spacing w:before="0" w:beforeAutospacing="0" w:after="0" w:afterAutospacing="0" w:line="360" w:lineRule="auto"/>
        <w:ind w:firstLine="420" w:firstLineChars="200"/>
        <w:jc w:val="both"/>
        <w:rPr>
          <w:sz w:val="21"/>
          <w:szCs w:val="21"/>
        </w:rPr>
      </w:pPr>
      <w:r>
        <w:rPr>
          <w:rFonts w:hint="eastAsia"/>
          <w:color w:val="000000"/>
          <w:sz w:val="21"/>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72E2CA8">
      <w:pPr>
        <w:pStyle w:val="22"/>
        <w:spacing w:before="0" w:beforeAutospacing="0" w:after="0" w:afterAutospacing="0" w:line="360" w:lineRule="auto"/>
        <w:ind w:firstLine="420" w:firstLineChars="200"/>
        <w:jc w:val="both"/>
        <w:rPr>
          <w:sz w:val="21"/>
          <w:szCs w:val="21"/>
        </w:rPr>
      </w:pPr>
      <w:r>
        <w:rPr>
          <w:rFonts w:hint="eastAsia"/>
          <w:color w:val="00000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6C4CFF">
      <w:pPr>
        <w:pStyle w:val="22"/>
        <w:spacing w:before="0" w:beforeAutospacing="0" w:after="0" w:afterAutospacing="0" w:line="360" w:lineRule="auto"/>
        <w:ind w:firstLine="420" w:firstLineChars="200"/>
        <w:jc w:val="both"/>
        <w:rPr>
          <w:rFonts w:hint="eastAsia"/>
          <w:color w:val="000000"/>
          <w:sz w:val="21"/>
          <w:szCs w:val="21"/>
        </w:rPr>
      </w:pPr>
      <w:r>
        <w:rPr>
          <w:rFonts w:hint="eastAsia"/>
          <w:color w:val="000000"/>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6353F4F">
      <w:pPr>
        <w:pStyle w:val="22"/>
        <w:spacing w:before="0" w:beforeAutospacing="0" w:after="0" w:afterAutospacing="0" w:line="360" w:lineRule="auto"/>
        <w:ind w:firstLine="420" w:firstLineChars="200"/>
        <w:jc w:val="both"/>
        <w:rPr>
          <w:sz w:val="21"/>
          <w:szCs w:val="21"/>
        </w:rPr>
      </w:pPr>
      <w:r>
        <w:rPr>
          <w:rFonts w:hint="eastAsia"/>
          <w:color w:val="000000"/>
          <w:sz w:val="21"/>
          <w:szCs w:val="21"/>
        </w:rPr>
        <w:t>4.其他事项：（1）响应文件的制作及递交：1）响应人须在线获取CA数字证书（完成CA数字证书办理预计一周左右，建议各响应人自行把握时间），并登录“浙江政府采购网”（ http://zfcg.czt.zj.gov.cn/），进入“下载专区”下载“电子交易客户端”，制作响应文件。2）具体的响应文件加密上传等操作详见政采云平台操作指南（https://edu.zcygov.cn/luban/e-biding?utm=a0004.2ef5001f.0001.0109.da8b35e0da8611e98d8937b7ef8a3544）。3）根据《浙江省政府采购项目电子交易管理暂行办法》第二十条规定，本次响应允许响应人递交备份响应文件，仅提交备份响应文件的，响应无效。（2）响应人应在合同签订前成为浙江政府采购网正式注册供应商。</w:t>
      </w:r>
    </w:p>
    <w:p w14:paraId="299F32AA">
      <w:pPr>
        <w:pStyle w:val="22"/>
        <w:spacing w:before="0" w:beforeAutospacing="0" w:after="0" w:afterAutospacing="0" w:line="360" w:lineRule="auto"/>
        <w:jc w:val="both"/>
        <w:rPr>
          <w:sz w:val="21"/>
          <w:szCs w:val="21"/>
        </w:rPr>
      </w:pPr>
      <w:r>
        <w:rPr>
          <w:rStyle w:val="30"/>
          <w:rFonts w:hint="eastAsia" w:ascii="宋体" w:hAnsi="宋体" w:cs="宋体"/>
          <w:color w:val="000000"/>
          <w:sz w:val="21"/>
          <w:szCs w:val="21"/>
        </w:rPr>
        <w:t>九、凡对本次招标提出询问、质疑、投诉，请按以下方式联系</w:t>
      </w:r>
    </w:p>
    <w:p w14:paraId="54692B8B">
      <w:pPr>
        <w:pStyle w:val="22"/>
        <w:spacing w:before="0" w:beforeAutospacing="0" w:after="0" w:afterAutospacing="0" w:line="360" w:lineRule="auto"/>
        <w:ind w:firstLine="420" w:firstLineChars="200"/>
        <w:jc w:val="both"/>
        <w:rPr>
          <w:rFonts w:hint="eastAsia"/>
          <w:color w:val="000000"/>
          <w:sz w:val="21"/>
          <w:szCs w:val="21"/>
          <w:highlight w:val="none"/>
        </w:rPr>
      </w:pPr>
      <w:r>
        <w:rPr>
          <w:rFonts w:hint="eastAsia"/>
          <w:color w:val="000000"/>
          <w:sz w:val="21"/>
          <w:szCs w:val="21"/>
          <w:highlight w:val="none"/>
        </w:rPr>
        <w:t>1.采购人信息</w:t>
      </w:r>
    </w:p>
    <w:p w14:paraId="73A0E84E">
      <w:pPr>
        <w:pStyle w:val="22"/>
        <w:spacing w:before="0" w:beforeAutospacing="0" w:after="0" w:afterAutospacing="0" w:line="360" w:lineRule="auto"/>
        <w:ind w:firstLine="420" w:firstLineChars="200"/>
        <w:jc w:val="both"/>
        <w:rPr>
          <w:rFonts w:hint="eastAsia" w:eastAsia="宋体"/>
          <w:color w:val="000000"/>
          <w:sz w:val="21"/>
          <w:szCs w:val="21"/>
          <w:lang w:eastAsia="zh-CN"/>
        </w:rPr>
      </w:pPr>
      <w:r>
        <w:rPr>
          <w:rFonts w:hint="eastAsia"/>
          <w:color w:val="000000"/>
          <w:sz w:val="21"/>
          <w:szCs w:val="21"/>
        </w:rPr>
        <w:t>名称：</w:t>
      </w:r>
      <w:r>
        <w:rPr>
          <w:rFonts w:hint="eastAsia" w:ascii="宋体" w:hAnsi="宋体" w:eastAsia="宋体" w:cs="宋体"/>
          <w:color w:val="000000"/>
          <w:sz w:val="21"/>
          <w:szCs w:val="21"/>
        </w:rPr>
        <w:t>舟山市定海区应急管理局</w:t>
      </w:r>
    </w:p>
    <w:p w14:paraId="6AA5DECD">
      <w:pPr>
        <w:pStyle w:val="22"/>
        <w:spacing w:before="0" w:beforeAutospacing="0" w:after="0" w:afterAutospacing="0" w:line="360" w:lineRule="auto"/>
        <w:ind w:firstLine="420" w:firstLineChars="200"/>
        <w:jc w:val="both"/>
        <w:rPr>
          <w:rFonts w:hint="eastAsia"/>
          <w:color w:val="000000"/>
          <w:sz w:val="21"/>
          <w:szCs w:val="21"/>
        </w:rPr>
      </w:pPr>
      <w:r>
        <w:rPr>
          <w:rFonts w:hint="eastAsia"/>
          <w:color w:val="000000"/>
          <w:sz w:val="21"/>
          <w:szCs w:val="21"/>
        </w:rPr>
        <w:t>地址</w:t>
      </w:r>
      <w:r>
        <w:rPr>
          <w:rFonts w:hint="eastAsia" w:ascii="宋体" w:hAnsi="宋体" w:eastAsia="宋体" w:cs="宋体"/>
          <w:color w:val="000000"/>
          <w:sz w:val="21"/>
          <w:szCs w:val="21"/>
        </w:rPr>
        <w:t>：舟山市定海区环城南路469号</w:t>
      </w:r>
    </w:p>
    <w:p w14:paraId="66D2D5F7">
      <w:pPr>
        <w:pStyle w:val="22"/>
        <w:spacing w:before="0" w:beforeAutospacing="0" w:after="0" w:afterAutospacing="0" w:line="360" w:lineRule="auto"/>
        <w:ind w:firstLine="420" w:firstLineChars="200"/>
        <w:jc w:val="both"/>
        <w:rPr>
          <w:rFonts w:hint="eastAsia"/>
          <w:color w:val="000000"/>
          <w:sz w:val="21"/>
          <w:szCs w:val="21"/>
        </w:rPr>
      </w:pPr>
      <w:r>
        <w:rPr>
          <w:rFonts w:hint="eastAsia"/>
          <w:color w:val="000000"/>
          <w:sz w:val="21"/>
          <w:szCs w:val="21"/>
        </w:rPr>
        <w:t>传真：/</w:t>
      </w:r>
    </w:p>
    <w:p w14:paraId="444A0FD8">
      <w:pPr>
        <w:spacing w:line="360" w:lineRule="auto"/>
        <w:ind w:firstLine="420" w:firstLineChars="200"/>
        <w:jc w:val="left"/>
        <w:rPr>
          <w:rFonts w:hint="eastAsia" w:ascii="宋体" w:hAnsi="宋体" w:eastAsia="宋体"/>
          <w:szCs w:val="21"/>
          <w:lang w:eastAsia="zh-CN"/>
        </w:rPr>
      </w:pPr>
      <w:r>
        <w:rPr>
          <w:rFonts w:hint="eastAsia" w:ascii="宋体" w:hAnsi="宋体"/>
          <w:szCs w:val="21"/>
        </w:rPr>
        <w:t>项目联系人（询问</w:t>
      </w:r>
      <w:r>
        <w:rPr>
          <w:rFonts w:hint="eastAsia" w:ascii="宋体" w:hAnsi="宋体" w:eastAsia="宋体" w:cs="Times New Roman"/>
          <w:szCs w:val="21"/>
          <w:highlight w:val="none"/>
        </w:rPr>
        <w:t>）：吴旭军</w:t>
      </w:r>
    </w:p>
    <w:p w14:paraId="6F67A414">
      <w:pPr>
        <w:spacing w:line="360" w:lineRule="auto"/>
        <w:ind w:firstLine="420" w:firstLineChars="200"/>
        <w:jc w:val="left"/>
        <w:rPr>
          <w:rFonts w:hint="eastAsia" w:ascii="宋体" w:hAnsi="宋体" w:eastAsia="宋体" w:cs="Times New Roman"/>
          <w:szCs w:val="21"/>
          <w:highlight w:val="none"/>
        </w:rPr>
      </w:pPr>
      <w:r>
        <w:rPr>
          <w:rFonts w:hint="eastAsia" w:ascii="宋体" w:hAnsi="宋体"/>
          <w:szCs w:val="21"/>
          <w:highlight w:val="none"/>
        </w:rPr>
        <w:t>项</w:t>
      </w:r>
      <w:r>
        <w:rPr>
          <w:rFonts w:hint="eastAsia" w:ascii="宋体" w:hAnsi="宋体" w:eastAsia="宋体" w:cs="Times New Roman"/>
          <w:szCs w:val="21"/>
          <w:highlight w:val="none"/>
        </w:rPr>
        <w:t>目联系方式（询问）</w:t>
      </w:r>
      <w:r>
        <w:rPr>
          <w:rFonts w:hint="eastAsia" w:ascii="宋体" w:hAnsi="宋体" w:eastAsia="宋体" w:cs="Times New Roman"/>
          <w:szCs w:val="21"/>
          <w:highlight w:val="none"/>
          <w:lang w:val="en-US" w:eastAsia="zh-CN"/>
        </w:rPr>
        <w:t>：0580-8252681</w:t>
      </w:r>
    </w:p>
    <w:p w14:paraId="4549B7FD">
      <w:pPr>
        <w:spacing w:line="360" w:lineRule="auto"/>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质疑联系人：莫金刚</w:t>
      </w:r>
    </w:p>
    <w:p w14:paraId="4E12A426">
      <w:pPr>
        <w:spacing w:line="360" w:lineRule="auto"/>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质疑联系方式：0580-2601532</w:t>
      </w:r>
    </w:p>
    <w:p w14:paraId="5382798C">
      <w:pPr>
        <w:spacing w:line="360" w:lineRule="auto"/>
        <w:ind w:firstLine="420" w:firstLineChars="200"/>
        <w:rPr>
          <w:rFonts w:hint="eastAsia" w:ascii="宋体" w:hAnsi="宋体" w:cs="宋体"/>
          <w:szCs w:val="21"/>
        </w:rPr>
      </w:pPr>
      <w:r>
        <w:rPr>
          <w:rFonts w:hint="eastAsia" w:ascii="宋体" w:hAnsi="宋体" w:cs="宋体"/>
          <w:szCs w:val="21"/>
        </w:rPr>
        <w:t>2.采购代理机构信息</w:t>
      </w:r>
    </w:p>
    <w:p w14:paraId="55D2B8EA">
      <w:pPr>
        <w:spacing w:line="360" w:lineRule="auto"/>
        <w:ind w:firstLine="420" w:firstLineChars="200"/>
        <w:rPr>
          <w:rFonts w:hint="eastAsia" w:ascii="宋体" w:hAnsi="宋体" w:cs="宋体"/>
          <w:szCs w:val="21"/>
        </w:rPr>
      </w:pPr>
      <w:r>
        <w:rPr>
          <w:rFonts w:hint="eastAsia" w:ascii="宋体" w:hAnsi="宋体" w:cs="宋体"/>
          <w:szCs w:val="21"/>
        </w:rPr>
        <w:t>名称：</w:t>
      </w:r>
      <w:r>
        <w:rPr>
          <w:rFonts w:hint="eastAsia"/>
          <w:sz w:val="21"/>
          <w:szCs w:val="21"/>
          <w:shd w:val="clear" w:color="auto" w:fill="FFFFFF"/>
        </w:rPr>
        <w:t>浙江万事达建设工程管理有限公司</w:t>
      </w:r>
    </w:p>
    <w:p w14:paraId="6E8FB2E1">
      <w:pPr>
        <w:spacing w:line="360" w:lineRule="auto"/>
        <w:ind w:firstLine="420" w:firstLineChars="200"/>
        <w:rPr>
          <w:rFonts w:hint="eastAsia" w:ascii="宋体" w:hAnsi="宋体"/>
          <w:szCs w:val="21"/>
        </w:rPr>
      </w:pPr>
      <w:r>
        <w:rPr>
          <w:rFonts w:hint="eastAsia" w:ascii="宋体" w:hAnsi="宋体" w:cs="宋体"/>
          <w:szCs w:val="21"/>
        </w:rPr>
        <w:t>地址：</w:t>
      </w:r>
      <w:r>
        <w:rPr>
          <w:rFonts w:hint="eastAsia" w:ascii="宋体" w:hAnsi="宋体"/>
          <w:szCs w:val="21"/>
        </w:rPr>
        <w:t>定海区临城千岛路171号建设大厦A座1</w:t>
      </w:r>
      <w:r>
        <w:rPr>
          <w:rFonts w:hint="eastAsia" w:ascii="宋体" w:hAnsi="宋体"/>
          <w:szCs w:val="21"/>
          <w:lang w:val="en-US" w:eastAsia="zh-CN"/>
        </w:rPr>
        <w:t>9</w:t>
      </w:r>
      <w:r>
        <w:rPr>
          <w:rFonts w:hint="eastAsia" w:ascii="宋体" w:hAnsi="宋体"/>
          <w:szCs w:val="21"/>
        </w:rPr>
        <w:t>楼1</w:t>
      </w:r>
      <w:r>
        <w:rPr>
          <w:rFonts w:hint="eastAsia" w:ascii="宋体" w:hAnsi="宋体"/>
          <w:szCs w:val="21"/>
          <w:lang w:val="en-US" w:eastAsia="zh-CN"/>
        </w:rPr>
        <w:t>909</w:t>
      </w:r>
      <w:r>
        <w:rPr>
          <w:rFonts w:hint="eastAsia" w:ascii="宋体" w:hAnsi="宋体"/>
          <w:szCs w:val="21"/>
        </w:rPr>
        <w:t>室</w:t>
      </w:r>
    </w:p>
    <w:p w14:paraId="7CB4EC88">
      <w:pPr>
        <w:spacing w:line="360" w:lineRule="auto"/>
        <w:ind w:firstLine="420" w:firstLineChars="200"/>
        <w:rPr>
          <w:rFonts w:hint="eastAsia" w:ascii="宋体" w:hAnsi="宋体" w:cs="宋体"/>
          <w:szCs w:val="21"/>
        </w:rPr>
      </w:pPr>
      <w:r>
        <w:rPr>
          <w:rFonts w:hint="eastAsia" w:ascii="宋体" w:hAnsi="宋体" w:cs="宋体"/>
          <w:szCs w:val="21"/>
        </w:rPr>
        <w:t>传真：0580-2083003</w:t>
      </w:r>
    </w:p>
    <w:p w14:paraId="53E15913">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项目联系人（询问）：</w:t>
      </w:r>
      <w:r>
        <w:rPr>
          <w:rFonts w:hint="eastAsia" w:ascii="宋体" w:hAnsi="宋体" w:cs="宋体"/>
          <w:szCs w:val="21"/>
          <w:lang w:val="en-US" w:eastAsia="zh-CN"/>
        </w:rPr>
        <w:t>陈洪斌</w:t>
      </w:r>
    </w:p>
    <w:p w14:paraId="6C51399B">
      <w:pPr>
        <w:spacing w:line="360" w:lineRule="auto"/>
        <w:ind w:firstLine="420" w:firstLineChars="200"/>
        <w:rPr>
          <w:rFonts w:hint="eastAsia" w:ascii="宋体" w:hAnsi="宋体" w:cs="宋体"/>
          <w:szCs w:val="21"/>
        </w:rPr>
      </w:pPr>
      <w:r>
        <w:rPr>
          <w:rFonts w:hint="eastAsia" w:ascii="宋体" w:hAnsi="宋体" w:cs="宋体"/>
          <w:szCs w:val="21"/>
        </w:rPr>
        <w:t>项目联系方式（询问）：0580-2620676</w:t>
      </w:r>
    </w:p>
    <w:p w14:paraId="1D952B16">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质疑联系人：</w:t>
      </w:r>
      <w:r>
        <w:rPr>
          <w:rFonts w:hint="eastAsia" w:ascii="宋体" w:hAnsi="宋体" w:cs="宋体"/>
          <w:szCs w:val="21"/>
          <w:lang w:val="en-US" w:eastAsia="zh-CN"/>
        </w:rPr>
        <w:t>蒋惠飞</w:t>
      </w:r>
    </w:p>
    <w:p w14:paraId="336DBD72">
      <w:pPr>
        <w:spacing w:line="360" w:lineRule="auto"/>
        <w:ind w:firstLine="420" w:firstLineChars="200"/>
        <w:rPr>
          <w:rFonts w:hint="eastAsia" w:ascii="宋体" w:hAnsi="宋体" w:eastAsia="宋体" w:cs="宋体"/>
          <w:szCs w:val="21"/>
        </w:rPr>
      </w:pPr>
      <w:r>
        <w:rPr>
          <w:rFonts w:hint="eastAsia" w:ascii="宋体" w:hAnsi="宋体" w:cs="宋体"/>
          <w:szCs w:val="21"/>
        </w:rPr>
        <w:t>质疑联</w:t>
      </w:r>
      <w:r>
        <w:rPr>
          <w:rFonts w:hint="eastAsia" w:ascii="宋体" w:hAnsi="宋体" w:eastAsia="宋体" w:cs="宋体"/>
          <w:szCs w:val="21"/>
        </w:rPr>
        <w:t>系方式：0580-2183189</w:t>
      </w:r>
    </w:p>
    <w:p w14:paraId="486599D5">
      <w:pPr>
        <w:widowControl/>
        <w:spacing w:line="360" w:lineRule="auto"/>
        <w:ind w:firstLine="420" w:firstLineChars="200"/>
        <w:rPr>
          <w:rFonts w:hint="eastAsia" w:ascii="宋体" w:hAnsi="宋体" w:eastAsia="宋体" w:cs="宋体"/>
          <w:szCs w:val="21"/>
        </w:rPr>
      </w:pPr>
      <w:r>
        <w:rPr>
          <w:rFonts w:hint="eastAsia" w:ascii="宋体" w:hAnsi="宋体" w:eastAsia="宋体" w:cs="宋体"/>
          <w:szCs w:val="21"/>
        </w:rPr>
        <w:t>3.同级政府采购监督管理部门</w:t>
      </w:r>
    </w:p>
    <w:p w14:paraId="702059F1">
      <w:pPr>
        <w:widowControl/>
        <w:spacing w:line="360" w:lineRule="auto"/>
        <w:ind w:firstLine="420" w:firstLineChars="200"/>
        <w:rPr>
          <w:rFonts w:hint="eastAsia" w:ascii="宋体" w:hAnsi="宋体" w:eastAsia="宋体" w:cs="宋体"/>
          <w:szCs w:val="21"/>
        </w:rPr>
      </w:pPr>
      <w:r>
        <w:rPr>
          <w:rFonts w:hint="eastAsia" w:ascii="宋体" w:hAnsi="宋体" w:eastAsia="宋体" w:cs="宋体"/>
          <w:szCs w:val="21"/>
        </w:rPr>
        <w:t>名称：舟山市定海区财政局</w:t>
      </w:r>
    </w:p>
    <w:p w14:paraId="2DA7DEDA">
      <w:pPr>
        <w:widowControl/>
        <w:spacing w:line="360" w:lineRule="auto"/>
        <w:ind w:firstLine="420" w:firstLineChars="200"/>
        <w:rPr>
          <w:rFonts w:hint="eastAsia" w:ascii="宋体" w:hAnsi="宋体" w:eastAsia="宋体" w:cs="宋体"/>
          <w:szCs w:val="21"/>
        </w:rPr>
      </w:pPr>
      <w:r>
        <w:rPr>
          <w:rFonts w:hint="eastAsia" w:ascii="宋体" w:hAnsi="宋体" w:eastAsia="宋体" w:cs="宋体"/>
          <w:szCs w:val="21"/>
        </w:rPr>
        <w:t>地址：舟山市定海区港务码头1号港务大楼6楼</w:t>
      </w:r>
    </w:p>
    <w:p w14:paraId="3FF27B6E">
      <w:pPr>
        <w:widowControl/>
        <w:spacing w:line="360" w:lineRule="auto"/>
        <w:ind w:firstLine="420" w:firstLineChars="200"/>
        <w:rPr>
          <w:rFonts w:hint="eastAsia" w:ascii="宋体" w:hAnsi="宋体" w:eastAsia="宋体" w:cs="宋体"/>
          <w:szCs w:val="21"/>
        </w:rPr>
      </w:pPr>
      <w:r>
        <w:rPr>
          <w:rFonts w:hint="eastAsia" w:ascii="宋体" w:hAnsi="宋体" w:eastAsia="宋体" w:cs="宋体"/>
          <w:szCs w:val="21"/>
        </w:rPr>
        <w:t>传真：0580-2027798</w:t>
      </w:r>
    </w:p>
    <w:p w14:paraId="0C905D0A">
      <w:pPr>
        <w:widowControl/>
        <w:spacing w:line="360" w:lineRule="auto"/>
        <w:ind w:firstLine="420" w:firstLineChars="200"/>
        <w:rPr>
          <w:rFonts w:hint="eastAsia" w:ascii="宋体" w:hAnsi="宋体" w:eastAsia="宋体" w:cs="宋体"/>
          <w:szCs w:val="21"/>
        </w:rPr>
      </w:pPr>
      <w:r>
        <w:rPr>
          <w:rFonts w:hint="eastAsia" w:ascii="宋体" w:hAnsi="宋体" w:eastAsia="宋体" w:cs="宋体"/>
          <w:szCs w:val="21"/>
        </w:rPr>
        <w:t>联系人：林先生</w:t>
      </w:r>
    </w:p>
    <w:p w14:paraId="75C19DB5">
      <w:pPr>
        <w:widowControl/>
        <w:spacing w:line="360" w:lineRule="auto"/>
        <w:ind w:firstLine="420" w:firstLineChars="200"/>
        <w:rPr>
          <w:rFonts w:hint="eastAsia" w:ascii="宋体" w:hAnsi="宋体" w:eastAsia="宋体" w:cs="宋体"/>
          <w:szCs w:val="21"/>
        </w:rPr>
      </w:pPr>
      <w:r>
        <w:rPr>
          <w:rFonts w:hint="eastAsia" w:ascii="宋体" w:hAnsi="宋体" w:eastAsia="宋体" w:cs="宋体"/>
          <w:szCs w:val="21"/>
        </w:rPr>
        <w:t>监督投诉电话：0580-2027798</w:t>
      </w:r>
    </w:p>
    <w:p w14:paraId="10C374D4">
      <w:pPr>
        <w:pStyle w:val="22"/>
        <w:spacing w:before="0" w:beforeAutospacing="0" w:after="0" w:afterAutospacing="0" w:line="360" w:lineRule="auto"/>
        <w:ind w:firstLine="420" w:firstLineChars="200"/>
        <w:jc w:val="both"/>
        <w:rPr>
          <w:rFonts w:hint="eastAsia"/>
          <w:color w:val="000000"/>
          <w:sz w:val="21"/>
          <w:szCs w:val="21"/>
        </w:rPr>
      </w:pPr>
    </w:p>
    <w:p w14:paraId="53265330">
      <w:pPr>
        <w:pStyle w:val="22"/>
        <w:spacing w:before="0" w:beforeAutospacing="0" w:after="0" w:afterAutospacing="0" w:line="360" w:lineRule="auto"/>
        <w:ind w:firstLine="420" w:firstLineChars="200"/>
        <w:jc w:val="both"/>
        <w:rPr>
          <w:sz w:val="21"/>
          <w:szCs w:val="21"/>
        </w:rPr>
      </w:pPr>
      <w:r>
        <w:rPr>
          <w:rFonts w:hint="eastAsia"/>
          <w:color w:val="000000"/>
          <w:sz w:val="21"/>
          <w:szCs w:val="21"/>
        </w:rPr>
        <w:t>若对项目采购电子交易系统操作有疑问，可登录政采云（https://www.zcygov.cn/），点击右侧咨询小采，获取采小蜜智能服务管家帮助，或拨打政采云服务热线95763获取热线服务帮助。</w:t>
      </w:r>
    </w:p>
    <w:p w14:paraId="1B2D25F3">
      <w:pPr>
        <w:pStyle w:val="22"/>
        <w:spacing w:before="0" w:beforeAutospacing="0" w:after="0" w:afterAutospacing="0" w:line="360" w:lineRule="auto"/>
        <w:ind w:firstLine="420" w:firstLineChars="200"/>
        <w:jc w:val="both"/>
        <w:rPr>
          <w:sz w:val="21"/>
          <w:szCs w:val="21"/>
        </w:rPr>
      </w:pPr>
      <w:r>
        <w:rPr>
          <w:rFonts w:hint="eastAsia"/>
          <w:color w:val="000000"/>
          <w:sz w:val="21"/>
          <w:szCs w:val="21"/>
        </w:rPr>
        <w:t>CA问题联系电话（人工）：汇信CA 400-888-4636；天谷CA 400-087-8198。</w:t>
      </w:r>
    </w:p>
    <w:p w14:paraId="14551664">
      <w:pPr>
        <w:pStyle w:val="22"/>
        <w:spacing w:before="75" w:beforeAutospacing="0" w:after="75" w:afterAutospacing="0"/>
      </w:pPr>
    </w:p>
    <w:p w14:paraId="34589ADD">
      <w:pPr>
        <w:spacing w:line="360" w:lineRule="auto"/>
        <w:jc w:val="center"/>
        <w:outlineLvl w:val="0"/>
        <w:rPr>
          <w:rFonts w:ascii="宋体" w:hAnsi="宋体" w:cs="宋体"/>
          <w:b/>
          <w:sz w:val="28"/>
          <w:szCs w:val="28"/>
        </w:rPr>
        <w:sectPr>
          <w:headerReference r:id="rId3" w:type="default"/>
          <w:footerReference r:id="rId4" w:type="default"/>
          <w:pgSz w:w="11906" w:h="16838"/>
          <w:pgMar w:top="1531" w:right="1179" w:bottom="737" w:left="1179" w:header="851" w:footer="584" w:gutter="0"/>
          <w:pgNumType w:start="2"/>
          <w:cols w:space="720" w:num="1"/>
          <w:docGrid w:type="lines" w:linePitch="312" w:charSpace="0"/>
        </w:sectPr>
      </w:pPr>
    </w:p>
    <w:p w14:paraId="78837381">
      <w:pPr>
        <w:spacing w:line="360" w:lineRule="auto"/>
        <w:jc w:val="center"/>
        <w:outlineLvl w:val="0"/>
        <w:rPr>
          <w:rFonts w:ascii="宋体" w:hAnsi="宋体" w:cs="宋体"/>
          <w:b/>
          <w:szCs w:val="21"/>
          <w:highlight w:val="none"/>
        </w:rPr>
      </w:pPr>
      <w:r>
        <w:rPr>
          <w:rFonts w:hint="eastAsia" w:ascii="宋体" w:hAnsi="宋体" w:cs="宋体"/>
          <w:b/>
          <w:sz w:val="28"/>
          <w:szCs w:val="28"/>
          <w:highlight w:val="none"/>
        </w:rPr>
        <w:t>第二章  采购需求</w:t>
      </w:r>
      <w:bookmarkStart w:id="3" w:name="_Toc6305"/>
      <w:bookmarkStart w:id="4" w:name="_Toc517442217"/>
      <w:bookmarkStart w:id="5" w:name="_Toc15530"/>
      <w:bookmarkStart w:id="6" w:name="_Toc263083258"/>
      <w:bookmarkStart w:id="7" w:name="_Toc37423705"/>
    </w:p>
    <w:bookmarkEnd w:id="3"/>
    <w:bookmarkEnd w:id="4"/>
    <w:bookmarkEnd w:id="5"/>
    <w:bookmarkEnd w:id="6"/>
    <w:bookmarkEnd w:id="7"/>
    <w:p w14:paraId="68248A47">
      <w:pPr>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一、采购方案</w:t>
      </w:r>
    </w:p>
    <w:p w14:paraId="5CD9C1CC">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保障内容：定海行政管理区域内常驻人口、流动人口（常驻人口约36万，流动人口约13万），共计49万</w:t>
      </w:r>
      <w:r>
        <w:rPr>
          <w:rFonts w:hint="eastAsia" w:ascii="宋体" w:hAnsi="宋体" w:cs="宋体"/>
          <w:sz w:val="21"/>
          <w:szCs w:val="21"/>
          <w:highlight w:val="none"/>
          <w:lang w:val="en-US" w:eastAsia="zh-CN"/>
        </w:rPr>
        <w:t>。</w:t>
      </w:r>
    </w:p>
    <w:p w14:paraId="28ECA08D">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在定海区行政</w:t>
      </w:r>
      <w:r>
        <w:rPr>
          <w:rFonts w:hint="eastAsia" w:ascii="宋体" w:hAnsi="宋体" w:cs="宋体"/>
          <w:sz w:val="21"/>
          <w:szCs w:val="21"/>
          <w:highlight w:val="none"/>
          <w:lang w:val="en-US" w:eastAsia="zh-CN"/>
        </w:rPr>
        <w:t>管理</w:t>
      </w:r>
      <w:r>
        <w:rPr>
          <w:rFonts w:hint="eastAsia" w:ascii="宋体" w:hAnsi="宋体" w:eastAsia="宋体" w:cs="宋体"/>
          <w:sz w:val="21"/>
          <w:szCs w:val="21"/>
          <w:highlight w:val="none"/>
          <w:lang w:val="en-US" w:eastAsia="zh-CN"/>
        </w:rPr>
        <w:t>区域内，因下列原因造成人身伤害，且无法明确责任主体或责任主体无力赔偿或需由政府救助（赔付）的，由保险公司按约定的赔偿金额给予赔付：</w:t>
      </w:r>
    </w:p>
    <w:p w14:paraId="18D81B37">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（1）自然灾害责任 ：因自然灾害（雷击、暴雨、洪水、暴风、龙卷风、冰雹、台风、飓风、沙尘暴、暴雪、冰凌、突发性滑坡、崩塌、泥石流、地面突然下陷下沉）造成人身伤亡。以及灾害发生时，居民的房屋及室内附属设施损坏，依据国家或地方有关法律规定，为解决居民衣、食、住等和生活安置费用；为抢救受伤、被困人员，避免人员伤亡或财产损失，被保险人采取紧急救援措施而支出的必要、合理的救援费用。</w:t>
      </w:r>
    </w:p>
    <w:p w14:paraId="3598C63A">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（2）火灾爆炸：因公共场所及居民住宅发生火灾、爆炸事故导致人身伤亡。</w:t>
      </w:r>
    </w:p>
    <w:p w14:paraId="40F97038">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（3）重大恶性公共事件：因发生危害公共安全的犯罪事件导致人身伤亡。</w:t>
      </w:r>
    </w:p>
    <w:p w14:paraId="3C52E352">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（4）拥挤踩踏：在群众性活动中因发生拥挤、踩踏事故导致人身伤亡。</w:t>
      </w:r>
    </w:p>
    <w:p w14:paraId="52E7857F">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（5）高空坠物伤人：在机关事业单位及其他政府公共设施和区域因高空坠物导致人身伤亡。</w:t>
      </w:r>
    </w:p>
    <w:p w14:paraId="16F948A2">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（6）精神病人伤人：由于精神病人肇事导致人身伤亡，无法找到责任人或者责任人无力赔偿的。</w:t>
      </w:r>
    </w:p>
    <w:p w14:paraId="74642D1D">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（7）见义勇为：因见义勇为行为导致人身伤亡（经县级以上公安机关认定）；或在上述灾害事件中抢险救灾、灾情处置人员因抢险救灾和灾情处置导致人身伤亡。</w:t>
      </w:r>
    </w:p>
    <w:p w14:paraId="4223AF91">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(8)森林火灾：因森林火灾救援过程中造成人身伤亡。以及灾害发生时，被保险人采取紧急救援措施而支出的必要、合理的救援费用。</w:t>
      </w:r>
    </w:p>
    <w:p w14:paraId="79B2FB15">
      <w:pPr>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附加食品安全责任险：因定海辖区内取得合法资质的餐饮服务提供者(包括社会餐饮和集中用餐单位食堂）、食杂店、商超以及农村集体聚餐举办者提供的食品造成人身伤害。</w:t>
      </w:r>
    </w:p>
    <w:p w14:paraId="6E13153B">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赔付标准建议（不得低于本建议）</w:t>
      </w:r>
    </w:p>
    <w:p w14:paraId="6D22642E">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1、政府救助部分保单累计责任限额5000万元（火灾爆炸责任、拥挤踩踏、附加自然灾害、附加高空坠物、附加见义勇为、附加森林火灾救援），每次事故责任限额1000万元；死亡伤残20万/人，医疗2万/人。</w:t>
      </w:r>
    </w:p>
    <w:p w14:paraId="5B6A1A57">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2、附加安置费用每人限额5000元，每次事故责任限额50万元。全年累计限额为100万元。</w:t>
      </w:r>
    </w:p>
    <w:p w14:paraId="10816F86">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3、应急费用补偿保险条款：</w:t>
      </w:r>
    </w:p>
    <w:p w14:paraId="50A01B14">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启动响应/预警级别         应急费用定额补偿</w:t>
      </w:r>
    </w:p>
    <w:p w14:paraId="293BBF56">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Ⅰ级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100万</w:t>
      </w:r>
    </w:p>
    <w:p w14:paraId="7427FD63">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Ⅱ级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 xml:space="preserve"> 50万</w:t>
      </w:r>
    </w:p>
    <w:p w14:paraId="3D30B32E">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Ⅲ级/暴雨红色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 xml:space="preserve"> 30万</w:t>
      </w:r>
    </w:p>
    <w:p w14:paraId="1056BB10">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Ⅳ级/暴雨橙色          </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 xml:space="preserve"> 20万</w:t>
      </w:r>
    </w:p>
    <w:p w14:paraId="6A5315FF">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4、若遇特殊情况，以政府部门出具的相关证明为准。启动多个响应级别的，以最高者标准赔付，不得重复获赔。</w:t>
      </w:r>
    </w:p>
    <w:p w14:paraId="66CAD020">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5、应急费用补偿按照不同的应急响应级别分档赔偿。保险年度内，本保单应急费用责任累计赔偿限额180万。</w:t>
      </w:r>
    </w:p>
    <w:p w14:paraId="5C486B70">
      <w:pPr>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auto"/>
        <w:rPr>
          <w:rFonts w:hint="default" w:ascii="宋体" w:hAnsi="宋体" w:eastAsia="宋体" w:cs="宋体"/>
          <w:b/>
          <w:bCs/>
          <w:snapToGrid w:val="0"/>
          <w:kern w:val="2"/>
          <w:sz w:val="21"/>
          <w:szCs w:val="21"/>
          <w:highlight w:val="none"/>
          <w:lang w:val="en-US" w:eastAsia="zh-CN" w:bidi="ar-SA"/>
        </w:rPr>
      </w:pPr>
      <w:r>
        <w:rPr>
          <w:rFonts w:hint="eastAsia" w:ascii="宋体" w:hAnsi="宋体" w:cs="宋体"/>
          <w:b/>
          <w:bCs/>
          <w:snapToGrid w:val="0"/>
          <w:kern w:val="2"/>
          <w:sz w:val="21"/>
          <w:szCs w:val="21"/>
          <w:highlight w:val="none"/>
          <w:lang w:val="en-US" w:eastAsia="zh-CN" w:bidi="ar-SA"/>
        </w:rPr>
        <w:t>二</w:t>
      </w:r>
      <w:r>
        <w:rPr>
          <w:rFonts w:hint="eastAsia" w:ascii="宋体" w:hAnsi="宋体" w:eastAsia="宋体" w:cs="宋体"/>
          <w:b/>
          <w:bCs/>
          <w:snapToGrid w:val="0"/>
          <w:kern w:val="2"/>
          <w:sz w:val="21"/>
          <w:szCs w:val="21"/>
          <w:highlight w:val="none"/>
          <w:lang w:val="en-US" w:eastAsia="zh-CN" w:bidi="ar-SA"/>
        </w:rPr>
        <w:t>、</w:t>
      </w:r>
      <w:r>
        <w:rPr>
          <w:rFonts w:hint="eastAsia" w:ascii="宋体" w:hAnsi="宋体" w:cs="宋体"/>
          <w:b/>
          <w:bCs/>
          <w:snapToGrid w:val="0"/>
          <w:kern w:val="2"/>
          <w:sz w:val="21"/>
          <w:szCs w:val="21"/>
          <w:highlight w:val="none"/>
          <w:lang w:val="en-US" w:eastAsia="zh-CN" w:bidi="ar-SA"/>
        </w:rPr>
        <w:t>服务期限</w:t>
      </w:r>
    </w:p>
    <w:p w14:paraId="41FF483D">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本次采购合同有效期一年，经采购方综合评价，无异议可续签一年，最多</w:t>
      </w:r>
      <w:r>
        <w:rPr>
          <w:rFonts w:hint="eastAsia" w:ascii="宋体" w:hAnsi="宋体" w:cs="宋体"/>
          <w:sz w:val="21"/>
          <w:szCs w:val="21"/>
          <w:highlight w:val="none"/>
          <w:lang w:val="en-US" w:eastAsia="zh-CN"/>
        </w:rPr>
        <w:t>续签</w:t>
      </w:r>
      <w:r>
        <w:rPr>
          <w:rFonts w:hint="eastAsia" w:ascii="宋体" w:hAnsi="宋体" w:eastAsia="宋体" w:cs="宋体"/>
          <w:sz w:val="21"/>
          <w:szCs w:val="21"/>
          <w:highlight w:val="none"/>
          <w:lang w:val="en-US" w:eastAsia="zh-CN"/>
        </w:rPr>
        <w:t>两次。</w:t>
      </w:r>
    </w:p>
    <w:p w14:paraId="220B7994">
      <w:pPr>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auto"/>
        <w:rPr>
          <w:rFonts w:hint="default" w:ascii="宋体" w:hAnsi="宋体" w:eastAsia="宋体" w:cs="宋体"/>
          <w:b/>
          <w:bCs/>
          <w:snapToGrid w:val="0"/>
          <w:kern w:val="2"/>
          <w:sz w:val="21"/>
          <w:szCs w:val="21"/>
          <w:highlight w:val="none"/>
          <w:lang w:val="en-US" w:eastAsia="zh-CN" w:bidi="ar-SA"/>
        </w:rPr>
      </w:pPr>
      <w:r>
        <w:rPr>
          <w:rFonts w:hint="eastAsia" w:ascii="宋体" w:hAnsi="宋体" w:cs="宋体"/>
          <w:b/>
          <w:bCs/>
          <w:snapToGrid w:val="0"/>
          <w:kern w:val="2"/>
          <w:sz w:val="21"/>
          <w:szCs w:val="21"/>
          <w:highlight w:val="none"/>
          <w:lang w:val="en-US" w:eastAsia="zh-CN" w:bidi="ar-SA"/>
        </w:rPr>
        <w:t>三</w:t>
      </w:r>
      <w:r>
        <w:rPr>
          <w:rFonts w:hint="eastAsia" w:ascii="宋体" w:hAnsi="宋体" w:eastAsia="宋体" w:cs="宋体"/>
          <w:b/>
          <w:bCs/>
          <w:snapToGrid w:val="0"/>
          <w:kern w:val="2"/>
          <w:sz w:val="21"/>
          <w:szCs w:val="21"/>
          <w:highlight w:val="none"/>
          <w:lang w:val="en-US" w:eastAsia="zh-CN" w:bidi="ar-SA"/>
        </w:rPr>
        <w:t>、</w:t>
      </w:r>
      <w:r>
        <w:rPr>
          <w:rFonts w:hint="eastAsia" w:ascii="宋体" w:hAnsi="宋体" w:cs="宋体"/>
          <w:b/>
          <w:bCs/>
          <w:snapToGrid w:val="0"/>
          <w:kern w:val="2"/>
          <w:sz w:val="21"/>
          <w:szCs w:val="21"/>
          <w:highlight w:val="none"/>
          <w:lang w:val="en-US" w:eastAsia="zh-CN" w:bidi="ar-SA"/>
        </w:rPr>
        <w:t>付款方式</w:t>
      </w:r>
    </w:p>
    <w:p w14:paraId="5534A8D6">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合同签订后、收到响应人正规等额发票后7个工作日内一次性支付合同总额的100%。</w:t>
      </w:r>
    </w:p>
    <w:p w14:paraId="2CDC8896">
      <w:pPr>
        <w:rPr>
          <w:sz w:val="28"/>
          <w:szCs w:val="28"/>
          <w:highlight w:val="none"/>
        </w:rPr>
      </w:pPr>
      <w:r>
        <w:rPr>
          <w:rFonts w:hint="eastAsia"/>
          <w:sz w:val="28"/>
          <w:szCs w:val="28"/>
          <w:highlight w:val="none"/>
        </w:rPr>
        <w:br w:type="page"/>
      </w:r>
    </w:p>
    <w:p w14:paraId="18D71C9E">
      <w:pPr>
        <w:jc w:val="center"/>
        <w:outlineLvl w:val="0"/>
        <w:rPr>
          <w:rFonts w:ascii="宋体" w:hAnsi="宋体" w:cs="宋体"/>
          <w:b/>
          <w:sz w:val="28"/>
          <w:szCs w:val="28"/>
        </w:rPr>
      </w:pPr>
      <w:r>
        <w:rPr>
          <w:rFonts w:hint="eastAsia" w:ascii="宋体" w:hAnsi="宋体" w:cs="宋体"/>
          <w:b/>
          <w:sz w:val="28"/>
          <w:szCs w:val="28"/>
        </w:rPr>
        <w:t>第三章  响应人须知</w:t>
      </w:r>
    </w:p>
    <w:p w14:paraId="4867480F">
      <w:pPr>
        <w:snapToGrid w:val="0"/>
        <w:spacing w:line="276" w:lineRule="auto"/>
        <w:jc w:val="center"/>
        <w:rPr>
          <w:rFonts w:ascii="宋体" w:hAnsi="宋体" w:cs="宋体"/>
          <w:b/>
          <w:szCs w:val="21"/>
        </w:rPr>
      </w:pPr>
      <w:r>
        <w:rPr>
          <w:rFonts w:hint="eastAsia" w:ascii="宋体" w:hAnsi="宋体" w:cs="宋体"/>
          <w:b/>
          <w:szCs w:val="21"/>
        </w:rPr>
        <w:t>前附表</w:t>
      </w:r>
    </w:p>
    <w:tbl>
      <w:tblPr>
        <w:tblStyle w:val="27"/>
        <w:tblW w:w="10001"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7"/>
        <w:gridCol w:w="1754"/>
        <w:gridCol w:w="7680"/>
      </w:tblGrid>
      <w:tr w14:paraId="77DF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546" w:type="dxa"/>
            <w:shd w:val="clear" w:color="auto" w:fill="E0E0E0"/>
            <w:vAlign w:val="center"/>
          </w:tcPr>
          <w:p w14:paraId="4D78B82F">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序号</w:t>
            </w:r>
          </w:p>
        </w:tc>
        <w:tc>
          <w:tcPr>
            <w:tcW w:w="9413" w:type="dxa"/>
            <w:gridSpan w:val="2"/>
            <w:shd w:val="clear" w:color="auto" w:fill="E0E0E0"/>
            <w:vAlign w:val="center"/>
          </w:tcPr>
          <w:p w14:paraId="07FFB463">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内容说明及要求</w:t>
            </w:r>
          </w:p>
        </w:tc>
      </w:tr>
      <w:tr w14:paraId="1C97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546" w:type="dxa"/>
            <w:shd w:val="clear" w:color="auto" w:fill="E0E0E0"/>
            <w:vAlign w:val="center"/>
          </w:tcPr>
          <w:p w14:paraId="22CB2457">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1</w:t>
            </w:r>
          </w:p>
        </w:tc>
        <w:tc>
          <w:tcPr>
            <w:tcW w:w="1740" w:type="dxa"/>
            <w:shd w:val="clear" w:color="auto" w:fill="E0E0E0"/>
            <w:vAlign w:val="center"/>
          </w:tcPr>
          <w:p w14:paraId="6AE626E4">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项目名称</w:t>
            </w:r>
          </w:p>
        </w:tc>
        <w:tc>
          <w:tcPr>
            <w:tcW w:w="7659" w:type="dxa"/>
            <w:shd w:val="clear" w:color="auto" w:fill="FFFFFF"/>
            <w:vAlign w:val="center"/>
          </w:tcPr>
          <w:p w14:paraId="413F8ACF">
            <w:pPr>
              <w:keepNext w:val="0"/>
              <w:keepLines w:val="0"/>
              <w:pageBreakBefore w:val="0"/>
              <w:kinsoku/>
              <w:wordWrap/>
              <w:overflowPunct/>
              <w:topLinePunct w:val="0"/>
              <w:autoSpaceDE/>
              <w:autoSpaceDN/>
              <w:bidi w:val="0"/>
              <w:adjustRightInd/>
              <w:snapToGrid/>
              <w:spacing w:line="360" w:lineRule="auto"/>
              <w:ind w:left="105" w:leftChars="50" w:right="105" w:rightChars="50"/>
              <w:rPr>
                <w:rFonts w:cs="宋体" w:asciiTheme="minorEastAsia" w:hAnsiTheme="minorEastAsia" w:eastAsiaTheme="minorEastAsia"/>
                <w:szCs w:val="21"/>
              </w:rPr>
            </w:pPr>
            <w:r>
              <w:rPr>
                <w:rFonts w:hint="eastAsia" w:ascii="宋体" w:hAnsi="宋体" w:eastAsia="宋体" w:cs="宋体"/>
                <w:color w:val="000000"/>
                <w:sz w:val="21"/>
                <w:szCs w:val="21"/>
              </w:rPr>
              <w:t>舟山市定海区应急管理局突发事件综合保险项目</w:t>
            </w:r>
          </w:p>
        </w:tc>
      </w:tr>
      <w:tr w14:paraId="1BB4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546" w:type="dxa"/>
            <w:shd w:val="clear" w:color="auto" w:fill="E0E0E0"/>
            <w:vAlign w:val="center"/>
          </w:tcPr>
          <w:p w14:paraId="2A65563A">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2</w:t>
            </w:r>
          </w:p>
        </w:tc>
        <w:tc>
          <w:tcPr>
            <w:tcW w:w="1740" w:type="dxa"/>
            <w:shd w:val="clear" w:color="auto" w:fill="E0E0E0"/>
            <w:vAlign w:val="center"/>
          </w:tcPr>
          <w:p w14:paraId="1C9921E8">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采购人名称</w:t>
            </w:r>
          </w:p>
        </w:tc>
        <w:tc>
          <w:tcPr>
            <w:tcW w:w="7659" w:type="dxa"/>
            <w:shd w:val="clear" w:color="auto" w:fill="FFFFFF"/>
            <w:vAlign w:val="center"/>
          </w:tcPr>
          <w:p w14:paraId="14DE3892">
            <w:pPr>
              <w:keepNext w:val="0"/>
              <w:keepLines w:val="0"/>
              <w:pageBreakBefore w:val="0"/>
              <w:kinsoku/>
              <w:wordWrap/>
              <w:overflowPunct/>
              <w:topLinePunct w:val="0"/>
              <w:autoSpaceDE/>
              <w:autoSpaceDN/>
              <w:bidi w:val="0"/>
              <w:adjustRightInd/>
              <w:snapToGrid/>
              <w:spacing w:line="360" w:lineRule="auto"/>
              <w:ind w:left="105" w:leftChars="50" w:right="105" w:rightChars="50"/>
              <w:rPr>
                <w:rFonts w:cs="宋体" w:asciiTheme="minorEastAsia" w:hAnsiTheme="minorEastAsia" w:eastAsiaTheme="minorEastAsia"/>
                <w:szCs w:val="21"/>
              </w:rPr>
            </w:pPr>
            <w:r>
              <w:rPr>
                <w:rFonts w:hint="eastAsia" w:ascii="宋体" w:hAnsi="宋体" w:eastAsia="宋体" w:cs="宋体"/>
                <w:color w:val="000000"/>
                <w:sz w:val="21"/>
                <w:szCs w:val="21"/>
              </w:rPr>
              <w:t>舟山市定海区应急管理局</w:t>
            </w:r>
          </w:p>
        </w:tc>
      </w:tr>
      <w:tr w14:paraId="370E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546" w:type="dxa"/>
            <w:shd w:val="clear" w:color="auto" w:fill="E0E0E0"/>
            <w:vAlign w:val="center"/>
          </w:tcPr>
          <w:p w14:paraId="40CAB02F">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3</w:t>
            </w:r>
          </w:p>
        </w:tc>
        <w:tc>
          <w:tcPr>
            <w:tcW w:w="1740" w:type="dxa"/>
            <w:shd w:val="clear" w:color="auto" w:fill="E0E0E0"/>
            <w:vAlign w:val="center"/>
          </w:tcPr>
          <w:p w14:paraId="6E8B323C">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预算金额</w:t>
            </w:r>
          </w:p>
        </w:tc>
        <w:tc>
          <w:tcPr>
            <w:tcW w:w="7659" w:type="dxa"/>
            <w:shd w:val="clear" w:color="auto" w:fill="FFFFFF"/>
            <w:vAlign w:val="center"/>
          </w:tcPr>
          <w:p w14:paraId="1B5A86B7">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szCs w:val="21"/>
                <w:lang w:val="en-US" w:eastAsia="zh-CN"/>
              </w:rPr>
              <w:t>300</w:t>
            </w:r>
            <w:r>
              <w:rPr>
                <w:rFonts w:hint="eastAsia" w:cs="宋体" w:asciiTheme="minorEastAsia" w:hAnsiTheme="minorEastAsia" w:eastAsiaTheme="minorEastAsia"/>
                <w:szCs w:val="21"/>
              </w:rPr>
              <w:t>万元</w:t>
            </w:r>
          </w:p>
        </w:tc>
      </w:tr>
      <w:tr w14:paraId="054E3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546" w:type="dxa"/>
            <w:shd w:val="clear" w:color="auto" w:fill="E0E0E0"/>
            <w:vAlign w:val="center"/>
          </w:tcPr>
          <w:p w14:paraId="6FB9E794">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4</w:t>
            </w:r>
          </w:p>
        </w:tc>
        <w:tc>
          <w:tcPr>
            <w:tcW w:w="1740" w:type="dxa"/>
            <w:shd w:val="clear" w:color="auto" w:fill="E0E0E0"/>
            <w:vAlign w:val="center"/>
          </w:tcPr>
          <w:p w14:paraId="32F934E3">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采购内容</w:t>
            </w:r>
          </w:p>
        </w:tc>
        <w:tc>
          <w:tcPr>
            <w:tcW w:w="7659" w:type="dxa"/>
            <w:shd w:val="clear" w:color="auto" w:fill="FFFFFF"/>
            <w:vAlign w:val="center"/>
          </w:tcPr>
          <w:p w14:paraId="0419F624">
            <w:pPr>
              <w:keepNext w:val="0"/>
              <w:keepLines w:val="0"/>
              <w:pageBreakBefore w:val="0"/>
              <w:kinsoku/>
              <w:wordWrap/>
              <w:overflowPunct/>
              <w:topLinePunct w:val="0"/>
              <w:autoSpaceDE/>
              <w:autoSpaceDN/>
              <w:bidi w:val="0"/>
              <w:adjustRightInd/>
              <w:snapToGrid/>
              <w:spacing w:line="360" w:lineRule="auto"/>
              <w:ind w:left="105" w:leftChars="50" w:right="105" w:rightChars="50"/>
              <w:rPr>
                <w:rFonts w:cs="宋体" w:asciiTheme="minorEastAsia" w:hAnsiTheme="minorEastAsia" w:eastAsiaTheme="minorEastAsia"/>
                <w:bCs/>
                <w:szCs w:val="21"/>
              </w:rPr>
            </w:pPr>
            <w:r>
              <w:rPr>
                <w:rFonts w:hint="eastAsia" w:cs="宋体" w:asciiTheme="minorEastAsia" w:hAnsiTheme="minorEastAsia" w:eastAsiaTheme="minorEastAsia"/>
                <w:bCs/>
                <w:szCs w:val="21"/>
              </w:rPr>
              <w:t>详见采购需求</w:t>
            </w:r>
          </w:p>
        </w:tc>
      </w:tr>
      <w:tr w14:paraId="5963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546" w:type="dxa"/>
            <w:shd w:val="clear" w:color="auto" w:fill="E0E0E0"/>
            <w:vAlign w:val="center"/>
          </w:tcPr>
          <w:p w14:paraId="2893EEAD">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5</w:t>
            </w:r>
          </w:p>
        </w:tc>
        <w:tc>
          <w:tcPr>
            <w:tcW w:w="1740" w:type="dxa"/>
            <w:shd w:val="clear" w:color="auto" w:fill="E0E0E0"/>
            <w:vAlign w:val="center"/>
          </w:tcPr>
          <w:p w14:paraId="6341B5C1">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服务期限</w:t>
            </w:r>
          </w:p>
        </w:tc>
        <w:tc>
          <w:tcPr>
            <w:tcW w:w="7659" w:type="dxa"/>
            <w:shd w:val="clear" w:color="auto" w:fill="FFFFFF"/>
            <w:vAlign w:val="center"/>
          </w:tcPr>
          <w:p w14:paraId="1F4ED4B1">
            <w:pPr>
              <w:keepNext w:val="0"/>
              <w:keepLines w:val="0"/>
              <w:pageBreakBefore w:val="0"/>
              <w:kinsoku/>
              <w:wordWrap/>
              <w:overflowPunct/>
              <w:topLinePunct w:val="0"/>
              <w:autoSpaceDE/>
              <w:autoSpaceDN/>
              <w:bidi w:val="0"/>
              <w:adjustRightInd/>
              <w:snapToGrid/>
              <w:spacing w:line="360" w:lineRule="auto"/>
              <w:ind w:left="105" w:leftChars="50" w:right="105" w:rightChars="50"/>
              <w:rPr>
                <w:rFonts w:cs="宋体" w:asciiTheme="minorEastAsia" w:hAnsiTheme="minorEastAsia" w:eastAsiaTheme="minorEastAsia"/>
                <w:szCs w:val="21"/>
              </w:rPr>
            </w:pPr>
            <w:r>
              <w:rPr>
                <w:rFonts w:hint="eastAsia" w:cs="宋体" w:asciiTheme="minorEastAsia" w:hAnsiTheme="minorEastAsia" w:eastAsiaTheme="minorEastAsia"/>
                <w:szCs w:val="21"/>
              </w:rPr>
              <w:t>详见采购需求</w:t>
            </w:r>
          </w:p>
        </w:tc>
      </w:tr>
      <w:tr w14:paraId="2171C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546" w:type="dxa"/>
            <w:shd w:val="clear" w:color="auto" w:fill="E0E0E0"/>
            <w:vAlign w:val="center"/>
          </w:tcPr>
          <w:p w14:paraId="65240704">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6</w:t>
            </w:r>
          </w:p>
        </w:tc>
        <w:tc>
          <w:tcPr>
            <w:tcW w:w="1740" w:type="dxa"/>
            <w:shd w:val="clear" w:color="auto" w:fill="E0E0E0"/>
            <w:vAlign w:val="center"/>
          </w:tcPr>
          <w:p w14:paraId="565E8CE3">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付款方式</w:t>
            </w:r>
          </w:p>
        </w:tc>
        <w:tc>
          <w:tcPr>
            <w:tcW w:w="7659" w:type="dxa"/>
            <w:shd w:val="clear" w:color="auto" w:fill="FFFFFF"/>
            <w:vAlign w:val="center"/>
          </w:tcPr>
          <w:p w14:paraId="7657AAA6">
            <w:pPr>
              <w:keepNext w:val="0"/>
              <w:keepLines w:val="0"/>
              <w:pageBreakBefore w:val="0"/>
              <w:kinsoku/>
              <w:wordWrap/>
              <w:overflowPunct/>
              <w:topLinePunct w:val="0"/>
              <w:autoSpaceDE/>
              <w:autoSpaceDN/>
              <w:bidi w:val="0"/>
              <w:adjustRightInd/>
              <w:snapToGrid/>
              <w:spacing w:line="360" w:lineRule="auto"/>
              <w:ind w:left="105" w:leftChars="50" w:right="105" w:rightChars="50"/>
              <w:rPr>
                <w:rFonts w:cs="宋体" w:asciiTheme="minorEastAsia" w:hAnsiTheme="minorEastAsia" w:eastAsiaTheme="minorEastAsia"/>
                <w:szCs w:val="21"/>
              </w:rPr>
            </w:pPr>
            <w:r>
              <w:rPr>
                <w:rFonts w:hint="eastAsia" w:cs="宋体" w:asciiTheme="minorEastAsia" w:hAnsiTheme="minorEastAsia" w:eastAsiaTheme="minorEastAsia"/>
                <w:bCs/>
                <w:color w:val="000000"/>
                <w:szCs w:val="21"/>
              </w:rPr>
              <w:t>详见采购需求</w:t>
            </w:r>
          </w:p>
        </w:tc>
      </w:tr>
      <w:tr w14:paraId="782C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546" w:type="dxa"/>
            <w:shd w:val="clear" w:color="auto" w:fill="E0E0E0"/>
            <w:vAlign w:val="center"/>
          </w:tcPr>
          <w:p w14:paraId="340EF52F">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7</w:t>
            </w:r>
          </w:p>
        </w:tc>
        <w:tc>
          <w:tcPr>
            <w:tcW w:w="1740" w:type="dxa"/>
            <w:shd w:val="clear" w:color="auto" w:fill="E0E0E0"/>
            <w:vAlign w:val="center"/>
          </w:tcPr>
          <w:p w14:paraId="73068B08">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响应有效期</w:t>
            </w:r>
          </w:p>
        </w:tc>
        <w:tc>
          <w:tcPr>
            <w:tcW w:w="7659" w:type="dxa"/>
            <w:shd w:val="clear" w:color="auto" w:fill="FFFFFF"/>
            <w:vAlign w:val="center"/>
          </w:tcPr>
          <w:p w14:paraId="3382E5DF">
            <w:pPr>
              <w:keepNext w:val="0"/>
              <w:keepLines w:val="0"/>
              <w:pageBreakBefore w:val="0"/>
              <w:kinsoku/>
              <w:wordWrap/>
              <w:overflowPunct/>
              <w:topLinePunct w:val="0"/>
              <w:autoSpaceDE/>
              <w:autoSpaceDN/>
              <w:bidi w:val="0"/>
              <w:adjustRightInd/>
              <w:snapToGrid/>
              <w:spacing w:line="360" w:lineRule="auto"/>
              <w:ind w:left="105" w:leftChars="50" w:right="105" w:rightChars="50"/>
              <w:rPr>
                <w:rFonts w:cs="宋体" w:asciiTheme="minorEastAsia" w:hAnsiTheme="minorEastAsia" w:eastAsiaTheme="minorEastAsia"/>
                <w:szCs w:val="21"/>
              </w:rPr>
            </w:pPr>
            <w:r>
              <w:rPr>
                <w:rFonts w:hint="eastAsia" w:cs="宋体" w:asciiTheme="minorEastAsia" w:hAnsiTheme="minorEastAsia" w:eastAsiaTheme="minorEastAsia"/>
                <w:szCs w:val="21"/>
                <w:u w:val="single"/>
              </w:rPr>
              <w:t>90日</w:t>
            </w:r>
            <w:r>
              <w:rPr>
                <w:rFonts w:hint="eastAsia" w:cs="宋体" w:asciiTheme="minorEastAsia" w:hAnsiTheme="minorEastAsia" w:eastAsiaTheme="minorEastAsia"/>
                <w:szCs w:val="21"/>
              </w:rPr>
              <w:t>历天。（从响应截止之日算起）</w:t>
            </w:r>
          </w:p>
        </w:tc>
      </w:tr>
      <w:tr w14:paraId="090B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546" w:type="dxa"/>
            <w:shd w:val="clear" w:color="auto" w:fill="E0E0E0"/>
            <w:vAlign w:val="center"/>
          </w:tcPr>
          <w:p w14:paraId="1DE84174">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8</w:t>
            </w:r>
          </w:p>
        </w:tc>
        <w:tc>
          <w:tcPr>
            <w:tcW w:w="1740" w:type="dxa"/>
            <w:shd w:val="clear" w:color="auto" w:fill="E0E0E0"/>
            <w:vAlign w:val="center"/>
          </w:tcPr>
          <w:p w14:paraId="50DEEFD8">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评标办法</w:t>
            </w:r>
          </w:p>
        </w:tc>
        <w:tc>
          <w:tcPr>
            <w:tcW w:w="7659" w:type="dxa"/>
            <w:shd w:val="clear" w:color="auto" w:fill="FFFFFF"/>
            <w:vAlign w:val="center"/>
          </w:tcPr>
          <w:p w14:paraId="2B023EF0">
            <w:pPr>
              <w:keepNext w:val="0"/>
              <w:keepLines w:val="0"/>
              <w:pageBreakBefore w:val="0"/>
              <w:kinsoku/>
              <w:wordWrap/>
              <w:overflowPunct/>
              <w:topLinePunct w:val="0"/>
              <w:autoSpaceDE/>
              <w:autoSpaceDN/>
              <w:bidi w:val="0"/>
              <w:adjustRightInd/>
              <w:snapToGrid/>
              <w:spacing w:line="360" w:lineRule="auto"/>
              <w:ind w:left="105" w:leftChars="50" w:right="105" w:rightChars="50"/>
              <w:rPr>
                <w:rFonts w:cs="宋体" w:asciiTheme="minorEastAsia" w:hAnsiTheme="minorEastAsia" w:eastAsiaTheme="minorEastAsia"/>
                <w:szCs w:val="21"/>
              </w:rPr>
            </w:pPr>
            <w:r>
              <w:rPr>
                <w:rFonts w:hint="eastAsia" w:cs="宋体" w:asciiTheme="minorEastAsia" w:hAnsiTheme="minorEastAsia" w:eastAsiaTheme="minorEastAsia"/>
                <w:szCs w:val="21"/>
              </w:rPr>
              <w:t>综合评分法</w:t>
            </w:r>
          </w:p>
        </w:tc>
      </w:tr>
      <w:tr w14:paraId="64EB5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546" w:type="dxa"/>
            <w:shd w:val="clear" w:color="auto" w:fill="E0E0E0"/>
            <w:vAlign w:val="center"/>
          </w:tcPr>
          <w:p w14:paraId="6D6ED9A5">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9</w:t>
            </w:r>
          </w:p>
        </w:tc>
        <w:tc>
          <w:tcPr>
            <w:tcW w:w="1740" w:type="dxa"/>
            <w:shd w:val="clear" w:color="auto" w:fill="E0E0E0"/>
            <w:vAlign w:val="center"/>
          </w:tcPr>
          <w:p w14:paraId="350C970D">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磋商报价与相关费用</w:t>
            </w:r>
          </w:p>
        </w:tc>
        <w:tc>
          <w:tcPr>
            <w:tcW w:w="7659" w:type="dxa"/>
            <w:shd w:val="clear" w:color="auto" w:fill="FFFFFF"/>
            <w:vAlign w:val="center"/>
          </w:tcPr>
          <w:p w14:paraId="3DE5AC56">
            <w:pPr>
              <w:keepNext w:val="0"/>
              <w:keepLines w:val="0"/>
              <w:pageBreakBefore w:val="0"/>
              <w:kinsoku/>
              <w:wordWrap/>
              <w:overflowPunct/>
              <w:topLinePunct w:val="0"/>
              <w:autoSpaceDE/>
              <w:autoSpaceDN/>
              <w:bidi w:val="0"/>
              <w:adjustRightInd/>
              <w:snapToGrid/>
              <w:spacing w:line="360" w:lineRule="auto"/>
              <w:ind w:right="105" w:rightChars="50"/>
              <w:rPr>
                <w:rFonts w:cs="宋体" w:asciiTheme="minorEastAsia" w:hAnsiTheme="minorEastAsia" w:eastAsiaTheme="minorEastAsia"/>
                <w:szCs w:val="21"/>
              </w:rPr>
            </w:pPr>
            <w:r>
              <w:rPr>
                <w:rFonts w:hint="eastAsia" w:cs="宋体" w:asciiTheme="minorEastAsia" w:hAnsiTheme="minorEastAsia" w:eastAsiaTheme="minorEastAsia"/>
                <w:szCs w:val="21"/>
              </w:rPr>
              <w:t>1.响应人所投报的磋商报价为响应人所能承受的整个项目的一次性最终最低合同总价，包括完成本项目工作内容所需的一切费用。合同总价不得超过本项目对应的预算金额。</w:t>
            </w:r>
          </w:p>
          <w:p w14:paraId="007C38D0">
            <w:pPr>
              <w:keepNext w:val="0"/>
              <w:keepLines w:val="0"/>
              <w:pageBreakBefore w:val="0"/>
              <w:kinsoku/>
              <w:wordWrap/>
              <w:overflowPunct/>
              <w:topLinePunct w:val="0"/>
              <w:autoSpaceDE/>
              <w:autoSpaceDN/>
              <w:bidi w:val="0"/>
              <w:adjustRightInd/>
              <w:snapToGrid/>
              <w:spacing w:line="360" w:lineRule="auto"/>
              <w:ind w:right="105" w:rightChars="50"/>
              <w:rPr>
                <w:rFonts w:cs="宋体" w:asciiTheme="minorEastAsia" w:hAnsiTheme="minorEastAsia" w:eastAsiaTheme="minorEastAsia"/>
                <w:szCs w:val="21"/>
              </w:rPr>
            </w:pPr>
            <w:r>
              <w:rPr>
                <w:rFonts w:hint="eastAsia" w:cs="宋体" w:asciiTheme="minorEastAsia" w:hAnsiTheme="minorEastAsia" w:eastAsiaTheme="minorEastAsia"/>
                <w:szCs w:val="21"/>
              </w:rPr>
              <w:t>2.按国家规定由成交人缴纳的各种税收已包含在磋商报价内，由成交人向税务机关缴纳相关费用。</w:t>
            </w:r>
          </w:p>
          <w:p w14:paraId="7C74314D">
            <w:pPr>
              <w:keepNext w:val="0"/>
              <w:keepLines w:val="0"/>
              <w:pageBreakBefore w:val="0"/>
              <w:kinsoku/>
              <w:wordWrap/>
              <w:overflowPunct/>
              <w:topLinePunct w:val="0"/>
              <w:autoSpaceDE/>
              <w:autoSpaceDN/>
              <w:bidi w:val="0"/>
              <w:adjustRightInd/>
              <w:snapToGrid/>
              <w:spacing w:line="360" w:lineRule="auto"/>
              <w:ind w:right="105" w:rightChars="50"/>
              <w:rPr>
                <w:rFonts w:cs="宋体" w:asciiTheme="minorEastAsia" w:hAnsiTheme="minorEastAsia" w:eastAsiaTheme="minorEastAsia"/>
                <w:szCs w:val="21"/>
              </w:rPr>
            </w:pPr>
            <w:r>
              <w:rPr>
                <w:rFonts w:hint="eastAsia" w:cs="宋体" w:asciiTheme="minorEastAsia" w:hAnsiTheme="minorEastAsia" w:eastAsiaTheme="minorEastAsia"/>
                <w:szCs w:val="21"/>
              </w:rPr>
              <w:t>3.响应人应承担其参加本磋商活动自身所发生的费用。</w:t>
            </w:r>
          </w:p>
          <w:p w14:paraId="2DC42159">
            <w:pPr>
              <w:keepNext w:val="0"/>
              <w:keepLines w:val="0"/>
              <w:pageBreakBefore w:val="0"/>
              <w:kinsoku/>
              <w:wordWrap/>
              <w:overflowPunct/>
              <w:topLinePunct w:val="0"/>
              <w:autoSpaceDE/>
              <w:autoSpaceDN/>
              <w:bidi w:val="0"/>
              <w:adjustRightInd/>
              <w:snapToGrid/>
              <w:spacing w:line="360" w:lineRule="auto"/>
              <w:ind w:right="105" w:rightChars="50"/>
              <w:rPr>
                <w:rFonts w:cs="宋体" w:asciiTheme="minorEastAsia" w:hAnsiTheme="minorEastAsia" w:eastAsiaTheme="minorEastAsia"/>
                <w:szCs w:val="21"/>
                <w:lang w:val="zh-CN"/>
              </w:rPr>
            </w:pPr>
            <w:r>
              <w:rPr>
                <w:rFonts w:hint="eastAsia" w:cs="宋体" w:asciiTheme="minorEastAsia" w:hAnsiTheme="minorEastAsia" w:eastAsiaTheme="minorEastAsia"/>
                <w:szCs w:val="21"/>
              </w:rPr>
              <w:t>4</w:t>
            </w:r>
            <w:r>
              <w:rPr>
                <w:rFonts w:hint="eastAsia" w:cs="宋体" w:asciiTheme="minorEastAsia" w:hAnsiTheme="minorEastAsia" w:eastAsiaTheme="minorEastAsia"/>
                <w:szCs w:val="21"/>
                <w:lang w:val="zh-CN"/>
              </w:rPr>
              <w:t>.成交人须缴纳采购代理服务费，采购代理服务收费标准金额为：</w:t>
            </w:r>
            <w:r>
              <w:rPr>
                <w:rFonts w:hint="eastAsia" w:cs="宋体" w:asciiTheme="minorEastAsia" w:hAnsiTheme="minorEastAsia" w:eastAsiaTheme="minorEastAsia"/>
                <w:szCs w:val="21"/>
                <w:lang w:val="en-US" w:eastAsia="zh-CN"/>
              </w:rPr>
              <w:t>一次性</w:t>
            </w:r>
            <w:r>
              <w:rPr>
                <w:rFonts w:hint="eastAsia" w:cs="宋体" w:asciiTheme="minorEastAsia" w:hAnsiTheme="minorEastAsia" w:eastAsiaTheme="minorEastAsia"/>
                <w:szCs w:val="21"/>
                <w:lang w:val="zh-CN"/>
              </w:rPr>
              <w:t>收费</w:t>
            </w:r>
            <w:r>
              <w:rPr>
                <w:rFonts w:hint="eastAsia" w:cs="宋体" w:asciiTheme="minorEastAsia" w:hAnsiTheme="minorEastAsia" w:eastAsiaTheme="minorEastAsia"/>
                <w:szCs w:val="21"/>
                <w:lang w:val="en-US" w:eastAsia="zh-CN"/>
              </w:rPr>
              <w:t>9000</w:t>
            </w:r>
            <w:r>
              <w:rPr>
                <w:rFonts w:hint="eastAsia" w:cs="宋体" w:asciiTheme="minorEastAsia" w:hAnsiTheme="minorEastAsia" w:eastAsiaTheme="minorEastAsia"/>
                <w:szCs w:val="21"/>
                <w:lang w:val="zh-CN"/>
              </w:rPr>
              <w:t>元。支付方式及时间为：</w:t>
            </w:r>
            <w:r>
              <w:rPr>
                <w:rFonts w:hint="eastAsia" w:cs="宋体" w:asciiTheme="minorEastAsia" w:hAnsiTheme="minorEastAsia" w:eastAsiaTheme="minorEastAsia"/>
                <w:szCs w:val="21"/>
              </w:rPr>
              <w:t>领取</w:t>
            </w:r>
            <w:r>
              <w:rPr>
                <w:rFonts w:hint="eastAsia" w:cs="宋体" w:asciiTheme="minorEastAsia" w:hAnsiTheme="minorEastAsia" w:eastAsiaTheme="minorEastAsia"/>
                <w:szCs w:val="21"/>
                <w:lang w:val="zh-CN"/>
              </w:rPr>
              <w:t>成交通知书</w:t>
            </w:r>
            <w:r>
              <w:rPr>
                <w:rFonts w:hint="eastAsia" w:cs="宋体" w:asciiTheme="minorEastAsia" w:hAnsiTheme="minorEastAsia" w:eastAsiaTheme="minorEastAsia"/>
                <w:szCs w:val="21"/>
              </w:rPr>
              <w:t>时</w:t>
            </w:r>
            <w:r>
              <w:rPr>
                <w:rFonts w:hint="eastAsia" w:cs="宋体" w:asciiTheme="minorEastAsia" w:hAnsiTheme="minorEastAsia" w:eastAsiaTheme="minorEastAsia"/>
                <w:szCs w:val="21"/>
                <w:lang w:val="zh-CN"/>
              </w:rPr>
              <w:t>一次性支付给采购代理机构。</w:t>
            </w:r>
          </w:p>
          <w:p w14:paraId="2163C063">
            <w:pPr>
              <w:keepNext w:val="0"/>
              <w:keepLines w:val="0"/>
              <w:pageBreakBefore w:val="0"/>
              <w:kinsoku/>
              <w:wordWrap/>
              <w:overflowPunct/>
              <w:topLinePunct w:val="0"/>
              <w:autoSpaceDE/>
              <w:autoSpaceDN/>
              <w:bidi w:val="0"/>
              <w:adjustRightInd/>
              <w:snapToGrid/>
              <w:spacing w:line="360" w:lineRule="auto"/>
              <w:ind w:right="105" w:rightChars="5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收款单位名称：</w:t>
            </w:r>
            <w:r>
              <w:rPr>
                <w:rFonts w:hint="eastAsia" w:cs="宋体" w:asciiTheme="minorEastAsia" w:hAnsiTheme="minorEastAsia" w:eastAsiaTheme="minorEastAsia"/>
                <w:szCs w:val="21"/>
                <w:lang w:val="en-US" w:eastAsia="zh-CN"/>
              </w:rPr>
              <w:t>浙江万事达建设工程管理有限公司</w:t>
            </w:r>
            <w:r>
              <w:rPr>
                <w:rFonts w:hint="eastAsia" w:cs="宋体" w:asciiTheme="minorEastAsia" w:hAnsiTheme="minorEastAsia" w:eastAsiaTheme="minorEastAsia"/>
                <w:szCs w:val="21"/>
                <w:lang w:val="zh-CN" w:eastAsia="zh-CN"/>
              </w:rPr>
              <w:t xml:space="preserve"> </w:t>
            </w:r>
          </w:p>
          <w:p w14:paraId="2087C615">
            <w:pPr>
              <w:keepNext w:val="0"/>
              <w:keepLines w:val="0"/>
              <w:pageBreakBefore w:val="0"/>
              <w:kinsoku/>
              <w:wordWrap/>
              <w:overflowPunct/>
              <w:topLinePunct w:val="0"/>
              <w:autoSpaceDE/>
              <w:autoSpaceDN/>
              <w:bidi w:val="0"/>
              <w:adjustRightInd/>
              <w:snapToGrid/>
              <w:spacing w:line="360" w:lineRule="auto"/>
              <w:ind w:right="105" w:rightChars="50"/>
              <w:rPr>
                <w:rFonts w:hint="eastAsia" w:cs="宋体" w:asciiTheme="minorEastAsia" w:hAnsiTheme="minorEastAsia" w:eastAsiaTheme="minorEastAsia"/>
                <w:szCs w:val="21"/>
                <w:lang w:val="zh-CN" w:eastAsia="zh-CN"/>
              </w:rPr>
            </w:pPr>
            <w:r>
              <w:rPr>
                <w:rFonts w:hint="eastAsia" w:cs="宋体" w:asciiTheme="minorEastAsia" w:hAnsiTheme="minorEastAsia" w:eastAsiaTheme="minorEastAsia"/>
                <w:szCs w:val="21"/>
                <w:lang w:val="zh-CN"/>
              </w:rPr>
              <w:t>开户银行：</w:t>
            </w:r>
            <w:r>
              <w:rPr>
                <w:rFonts w:hint="eastAsia" w:cs="宋体" w:asciiTheme="minorEastAsia" w:hAnsiTheme="minorEastAsia" w:eastAsiaTheme="minorEastAsia"/>
                <w:szCs w:val="21"/>
                <w:lang w:val="en-US" w:eastAsia="zh-CN"/>
              </w:rPr>
              <w:t>建行舟</w:t>
            </w:r>
            <w:r>
              <w:rPr>
                <w:rFonts w:hint="eastAsia" w:cs="宋体" w:asciiTheme="minorEastAsia" w:hAnsiTheme="minorEastAsia" w:eastAsiaTheme="minorEastAsia"/>
                <w:szCs w:val="21"/>
                <w:lang w:val="zh-CN" w:eastAsia="zh-CN"/>
              </w:rPr>
              <w:t>山市分行营业部</w:t>
            </w:r>
          </w:p>
          <w:p w14:paraId="1315C358">
            <w:pPr>
              <w:keepNext w:val="0"/>
              <w:keepLines w:val="0"/>
              <w:pageBreakBefore w:val="0"/>
              <w:kinsoku/>
              <w:wordWrap/>
              <w:overflowPunct/>
              <w:topLinePunct w:val="0"/>
              <w:autoSpaceDE/>
              <w:autoSpaceDN/>
              <w:bidi w:val="0"/>
              <w:adjustRightInd/>
              <w:snapToGrid/>
              <w:spacing w:line="360" w:lineRule="auto"/>
              <w:ind w:right="105" w:rightChars="50"/>
              <w:rPr>
                <w:rFonts w:cs="宋体" w:asciiTheme="minorEastAsia" w:hAnsiTheme="minorEastAsia" w:eastAsiaTheme="minorEastAsia"/>
                <w:szCs w:val="21"/>
              </w:rPr>
            </w:pPr>
            <w:r>
              <w:rPr>
                <w:rFonts w:hint="eastAsia" w:cs="宋体" w:asciiTheme="minorEastAsia" w:hAnsiTheme="minorEastAsia" w:eastAsiaTheme="minorEastAsia"/>
                <w:szCs w:val="21"/>
                <w:lang w:val="zh-CN" w:eastAsia="zh-CN"/>
              </w:rPr>
              <w:t xml:space="preserve">银行账号：33001706260050018397 </w:t>
            </w:r>
          </w:p>
        </w:tc>
      </w:tr>
      <w:tr w14:paraId="46F4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546" w:type="dxa"/>
            <w:shd w:val="clear" w:color="auto" w:fill="E0E0E0"/>
            <w:vAlign w:val="center"/>
          </w:tcPr>
          <w:p w14:paraId="1D72BCB0">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10</w:t>
            </w:r>
          </w:p>
        </w:tc>
        <w:tc>
          <w:tcPr>
            <w:tcW w:w="1740" w:type="dxa"/>
            <w:shd w:val="clear" w:color="auto" w:fill="E0E0E0"/>
            <w:vAlign w:val="center"/>
          </w:tcPr>
          <w:p w14:paraId="5533CFCC">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响应文件的组成</w:t>
            </w:r>
          </w:p>
        </w:tc>
        <w:tc>
          <w:tcPr>
            <w:tcW w:w="7659" w:type="dxa"/>
            <w:shd w:val="clear" w:color="auto" w:fill="FFFFFF"/>
            <w:vAlign w:val="center"/>
          </w:tcPr>
          <w:p w14:paraId="7B57CE96">
            <w:pPr>
              <w:keepNext w:val="0"/>
              <w:keepLines w:val="0"/>
              <w:pageBreakBefore w:val="0"/>
              <w:kinsoku/>
              <w:wordWrap/>
              <w:overflowPunct/>
              <w:topLinePunct w:val="0"/>
              <w:autoSpaceDE/>
              <w:autoSpaceDN/>
              <w:bidi w:val="0"/>
              <w:adjustRightInd/>
              <w:snapToGrid/>
              <w:spacing w:line="360" w:lineRule="auto"/>
              <w:ind w:right="105" w:rightChars="50"/>
              <w:rPr>
                <w:rFonts w:cs="宋体" w:asciiTheme="minorEastAsia" w:hAnsiTheme="minorEastAsia" w:eastAsiaTheme="minorEastAsia"/>
                <w:szCs w:val="21"/>
              </w:rPr>
            </w:pPr>
            <w:r>
              <w:rPr>
                <w:rFonts w:hint="eastAsia" w:cs="宋体" w:asciiTheme="minorEastAsia" w:hAnsiTheme="minorEastAsia" w:eastAsiaTheme="minorEastAsia"/>
                <w:szCs w:val="21"/>
              </w:rPr>
              <w:t>本项目实行网上投标。</w:t>
            </w:r>
          </w:p>
          <w:p w14:paraId="0983D14A">
            <w:pPr>
              <w:keepNext w:val="0"/>
              <w:keepLines w:val="0"/>
              <w:pageBreakBefore w:val="0"/>
              <w:kinsoku/>
              <w:wordWrap/>
              <w:overflowPunct/>
              <w:topLinePunct w:val="0"/>
              <w:autoSpaceDE/>
              <w:autoSpaceDN/>
              <w:bidi w:val="0"/>
              <w:adjustRightInd/>
              <w:snapToGrid/>
              <w:spacing w:line="360" w:lineRule="auto"/>
              <w:ind w:right="105" w:rightChars="50"/>
              <w:rPr>
                <w:rFonts w:cs="宋体" w:asciiTheme="minorEastAsia" w:hAnsiTheme="minorEastAsia" w:eastAsiaTheme="minorEastAsia"/>
                <w:szCs w:val="21"/>
              </w:rPr>
            </w:pPr>
            <w:r>
              <w:rPr>
                <w:rFonts w:hint="eastAsia" w:cs="宋体" w:asciiTheme="minorEastAsia" w:hAnsiTheme="minorEastAsia" w:eastAsiaTheme="minorEastAsia"/>
                <w:szCs w:val="21"/>
              </w:rPr>
              <w:t>响应人应准备电子响应文件、以介质存储的数据电文形式的备份响应文件：</w:t>
            </w:r>
          </w:p>
          <w:p w14:paraId="2B2273D6">
            <w:pPr>
              <w:keepNext w:val="0"/>
              <w:keepLines w:val="0"/>
              <w:pageBreakBefore w:val="0"/>
              <w:kinsoku/>
              <w:wordWrap/>
              <w:overflowPunct/>
              <w:topLinePunct w:val="0"/>
              <w:autoSpaceDE/>
              <w:autoSpaceDN/>
              <w:bidi w:val="0"/>
              <w:adjustRightInd/>
              <w:snapToGrid/>
              <w:spacing w:line="360" w:lineRule="auto"/>
              <w:ind w:right="105" w:rightChars="50"/>
              <w:rPr>
                <w:rFonts w:cs="宋体" w:asciiTheme="minorEastAsia" w:hAnsiTheme="minorEastAsia" w:eastAsiaTheme="minorEastAsia"/>
                <w:szCs w:val="21"/>
              </w:rPr>
            </w:pPr>
            <w:r>
              <w:rPr>
                <w:rFonts w:hint="eastAsia" w:cs="宋体" w:asciiTheme="minorEastAsia" w:hAnsiTheme="minorEastAsia" w:eastAsiaTheme="minorEastAsia"/>
                <w:szCs w:val="21"/>
              </w:rPr>
              <w:t>（1）电子响应文件，按政采云供应商项目采购-电子招投标操作指南及本磋商文件要求制作，加密并递交。</w:t>
            </w:r>
          </w:p>
          <w:p w14:paraId="30AC643A">
            <w:pPr>
              <w:pStyle w:val="10"/>
              <w:keepNext w:val="0"/>
              <w:keepLines w:val="0"/>
              <w:pageBreakBefore w:val="0"/>
              <w:kinsoku/>
              <w:wordWrap/>
              <w:overflowPunct/>
              <w:topLinePunct w:val="0"/>
              <w:autoSpaceDE/>
              <w:autoSpaceDN/>
              <w:bidi w:val="0"/>
              <w:adjustRightInd/>
              <w:snapToGrid/>
              <w:spacing w:after="0" w:line="360" w:lineRule="auto"/>
              <w:ind w:right="105" w:rightChars="50"/>
              <w:rPr>
                <w:rFonts w:cs="宋体" w:asciiTheme="minorEastAsia" w:hAnsiTheme="minorEastAsia" w:eastAsiaTheme="minorEastAsia"/>
                <w:sz w:val="21"/>
                <w:szCs w:val="21"/>
              </w:rPr>
            </w:pPr>
            <w:r>
              <w:rPr>
                <w:rFonts w:hint="eastAsia" w:cs="宋体" w:asciiTheme="minorEastAsia" w:hAnsiTheme="minorEastAsia" w:eastAsiaTheme="minorEastAsia"/>
                <w:b/>
                <w:bCs/>
                <w:sz w:val="21"/>
                <w:szCs w:val="21"/>
              </w:rPr>
              <w:t>（2）以介质存储的数据电文形式的备份响应文件，按政采云供应商项目采购-电子招投标操作指南中制作的电子响应文件，以光盘或U盘形式提供。数量为1份。</w:t>
            </w:r>
          </w:p>
        </w:tc>
      </w:tr>
      <w:tr w14:paraId="6E2D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546" w:type="dxa"/>
            <w:shd w:val="clear" w:color="auto" w:fill="E0E0E0"/>
            <w:vAlign w:val="center"/>
          </w:tcPr>
          <w:p w14:paraId="603D407B">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11</w:t>
            </w:r>
          </w:p>
        </w:tc>
        <w:tc>
          <w:tcPr>
            <w:tcW w:w="1740" w:type="dxa"/>
            <w:shd w:val="clear" w:color="auto" w:fill="E0E0E0"/>
            <w:vAlign w:val="center"/>
          </w:tcPr>
          <w:p w14:paraId="165CA40B">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响应文件开启地点</w:t>
            </w:r>
          </w:p>
        </w:tc>
        <w:tc>
          <w:tcPr>
            <w:tcW w:w="7659" w:type="dxa"/>
            <w:shd w:val="clear" w:color="auto" w:fill="FFFFFF"/>
            <w:vAlign w:val="center"/>
          </w:tcPr>
          <w:p w14:paraId="1027A0FB">
            <w:pPr>
              <w:keepNext w:val="0"/>
              <w:keepLines w:val="0"/>
              <w:pageBreakBefore w:val="0"/>
              <w:kinsoku/>
              <w:wordWrap/>
              <w:overflowPunct/>
              <w:topLinePunct w:val="0"/>
              <w:autoSpaceDE/>
              <w:autoSpaceDN/>
              <w:bidi w:val="0"/>
              <w:adjustRightInd/>
              <w:snapToGrid/>
              <w:spacing w:line="360" w:lineRule="auto"/>
              <w:ind w:left="105" w:leftChars="50" w:right="105" w:rightChars="50"/>
              <w:rPr>
                <w:rFonts w:cs="宋体" w:asciiTheme="minorEastAsia" w:hAnsiTheme="minorEastAsia" w:eastAsiaTheme="minorEastAsia"/>
                <w:b/>
                <w:szCs w:val="21"/>
              </w:rPr>
            </w:pPr>
            <w:r>
              <w:rPr>
                <w:rFonts w:hint="eastAsia" w:cs="宋体" w:asciiTheme="minorEastAsia" w:hAnsiTheme="minorEastAsia" w:eastAsiaTheme="minorEastAsia"/>
                <w:b/>
                <w:szCs w:val="21"/>
              </w:rPr>
              <w:t>舟山市定海区东山路289号四楼舟山市公共资源交易中心定海区分中心</w:t>
            </w:r>
          </w:p>
        </w:tc>
      </w:tr>
      <w:tr w14:paraId="195A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546" w:type="dxa"/>
            <w:shd w:val="clear" w:color="auto" w:fill="E0E0E0"/>
            <w:vAlign w:val="center"/>
          </w:tcPr>
          <w:p w14:paraId="7C963AF9">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12</w:t>
            </w:r>
          </w:p>
        </w:tc>
        <w:tc>
          <w:tcPr>
            <w:tcW w:w="1740" w:type="dxa"/>
            <w:shd w:val="clear" w:color="auto" w:fill="E0E0E0"/>
            <w:vAlign w:val="center"/>
          </w:tcPr>
          <w:p w14:paraId="314529B6">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响应文件提交</w:t>
            </w:r>
          </w:p>
        </w:tc>
        <w:tc>
          <w:tcPr>
            <w:tcW w:w="7659" w:type="dxa"/>
            <w:shd w:val="clear" w:color="auto" w:fill="FFFFFF"/>
            <w:vAlign w:val="center"/>
          </w:tcPr>
          <w:p w14:paraId="0C019E9F">
            <w:pPr>
              <w:keepNext w:val="0"/>
              <w:keepLines w:val="0"/>
              <w:pageBreakBefore w:val="0"/>
              <w:kinsoku/>
              <w:wordWrap/>
              <w:overflowPunct/>
              <w:topLinePunct w:val="0"/>
              <w:autoSpaceDE/>
              <w:autoSpaceDN/>
              <w:bidi w:val="0"/>
              <w:adjustRightInd/>
              <w:snapToGrid/>
              <w:spacing w:line="360" w:lineRule="auto"/>
              <w:ind w:left="105" w:leftChars="50" w:right="105" w:rightChars="50"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本项目不要求供应商授权代表参加现场开标、开启响应文件活动。响应人将加密的电子</w:t>
            </w:r>
            <w:r>
              <w:rPr>
                <w:rFonts w:hint="eastAsia" w:cs="宋体" w:asciiTheme="minorEastAsia" w:hAnsiTheme="minorEastAsia" w:eastAsiaTheme="minorEastAsia"/>
                <w:szCs w:val="21"/>
                <w:highlight w:val="none"/>
              </w:rPr>
              <w:t>版响应文件于响应截止时间前上传到政采云系统中。响应人将备份响应文件于2024年</w:t>
            </w:r>
            <w:r>
              <w:rPr>
                <w:rFonts w:hint="eastAsia" w:cs="宋体" w:asciiTheme="minorEastAsia" w:hAnsiTheme="minorEastAsia" w:eastAsiaTheme="minorEastAsia"/>
                <w:szCs w:val="21"/>
                <w:highlight w:val="none"/>
                <w:lang w:val="en-US" w:eastAsia="zh-CN"/>
              </w:rPr>
              <w:t>12</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lang w:val="en-US" w:eastAsia="zh-CN"/>
              </w:rPr>
              <w:t>4</w:t>
            </w:r>
            <w:r>
              <w:rPr>
                <w:rFonts w:hint="eastAsia" w:cs="宋体" w:asciiTheme="minorEastAsia" w:hAnsiTheme="minorEastAsia" w:eastAsiaTheme="minorEastAsia"/>
                <w:szCs w:val="21"/>
                <w:highlight w:val="none"/>
              </w:rPr>
              <w:t>日</w:t>
            </w:r>
            <w:r>
              <w:rPr>
                <w:rFonts w:hint="eastAsia" w:cs="宋体" w:asciiTheme="minorEastAsia" w:hAnsiTheme="minorEastAsia" w:eastAsiaTheme="minorEastAsia"/>
                <w:szCs w:val="21"/>
                <w:highlight w:val="none"/>
                <w:lang w:val="en-US" w:eastAsia="zh-CN"/>
              </w:rPr>
              <w:t>12</w:t>
            </w:r>
            <w:r>
              <w:rPr>
                <w:rFonts w:hint="eastAsia" w:cs="宋体" w:asciiTheme="minorEastAsia" w:hAnsiTheme="minorEastAsia" w:eastAsiaTheme="minorEastAsia"/>
                <w:szCs w:val="21"/>
                <w:highlight w:val="none"/>
              </w:rPr>
              <w:t>:00（北京时间）前通过邮寄或派人递送的方式送交到采购代理机构处（地址：</w:t>
            </w:r>
            <w:r>
              <w:rPr>
                <w:rFonts w:hint="eastAsia" w:cs="宋体" w:asciiTheme="minorEastAsia" w:hAnsiTheme="minorEastAsia" w:eastAsiaTheme="minorEastAsia"/>
                <w:szCs w:val="21"/>
                <w:highlight w:val="none"/>
                <w:lang w:val="en-US" w:eastAsia="zh-CN"/>
              </w:rPr>
              <w:t>舟</w:t>
            </w:r>
            <w:r>
              <w:rPr>
                <w:rFonts w:hint="eastAsia" w:ascii="宋体" w:hAnsi="宋体" w:eastAsia="宋体" w:cs="宋体"/>
                <w:color w:val="000000"/>
                <w:sz w:val="21"/>
                <w:szCs w:val="21"/>
                <w:highlight w:val="none"/>
              </w:rPr>
              <w:t>山市定海区临城新区千岛路171号建设大厦A座1</w:t>
            </w: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楼1</w:t>
            </w:r>
            <w:r>
              <w:rPr>
                <w:rFonts w:hint="eastAsia" w:ascii="宋体" w:hAnsi="宋体" w:eastAsia="宋体" w:cs="宋体"/>
                <w:color w:val="000000"/>
                <w:sz w:val="21"/>
                <w:szCs w:val="21"/>
                <w:highlight w:val="none"/>
                <w:lang w:val="en-US" w:eastAsia="zh-CN"/>
              </w:rPr>
              <w:t>909</w:t>
            </w:r>
            <w:r>
              <w:rPr>
                <w:rFonts w:hint="eastAsia" w:ascii="宋体" w:hAnsi="宋体" w:eastAsia="宋体" w:cs="宋体"/>
                <w:color w:val="000000"/>
                <w:sz w:val="21"/>
                <w:szCs w:val="21"/>
                <w:highlight w:val="none"/>
              </w:rPr>
              <w:t>室；</w:t>
            </w:r>
            <w:r>
              <w:rPr>
                <w:rFonts w:hint="eastAsia"/>
                <w:color w:val="000000"/>
                <w:sz w:val="21"/>
                <w:szCs w:val="21"/>
                <w:highlight w:val="none"/>
              </w:rPr>
              <w:t>联系</w:t>
            </w:r>
            <w:r>
              <w:rPr>
                <w:rFonts w:hint="eastAsia" w:ascii="宋体" w:hAnsi="宋体" w:eastAsia="宋体" w:cs="宋体"/>
                <w:color w:val="000000"/>
                <w:sz w:val="21"/>
                <w:szCs w:val="21"/>
                <w:highlight w:val="none"/>
              </w:rPr>
              <w:t>人：陈洪斌；联系方式：0580-2620676</w:t>
            </w:r>
            <w:r>
              <w:rPr>
                <w:rFonts w:hint="eastAsia" w:cs="宋体" w:asciiTheme="minorEastAsia" w:hAnsiTheme="minorEastAsia" w:eastAsiaTheme="minorEastAsia"/>
                <w:szCs w:val="21"/>
                <w:highlight w:val="none"/>
              </w:rPr>
              <w:t>），截止时间前无法送达的，也可以在开启时间前送至开启地</w:t>
            </w:r>
            <w:r>
              <w:rPr>
                <w:rFonts w:hint="eastAsia" w:cs="宋体" w:asciiTheme="minorEastAsia" w:hAnsiTheme="minorEastAsia" w:eastAsiaTheme="minorEastAsia"/>
                <w:szCs w:val="21"/>
              </w:rPr>
              <w:t>点（未按时送达的自行承担风险，但不会因此导致响应无效。备份响应文件须密封完好，并注明响应人单位名称。响应人未按规定递交的备份响应文件，采购人有权拒收。</w:t>
            </w:r>
          </w:p>
          <w:p w14:paraId="2CE6D65B">
            <w:pPr>
              <w:keepNext w:val="0"/>
              <w:keepLines w:val="0"/>
              <w:pageBreakBefore w:val="0"/>
              <w:kinsoku/>
              <w:wordWrap/>
              <w:overflowPunct/>
              <w:topLinePunct w:val="0"/>
              <w:autoSpaceDE/>
              <w:autoSpaceDN/>
              <w:bidi w:val="0"/>
              <w:adjustRightInd/>
              <w:snapToGrid/>
              <w:spacing w:line="360" w:lineRule="auto"/>
              <w:ind w:left="105" w:leftChars="50" w:right="105" w:rightChars="50"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响应人递交备份响应文件时，如出现下列情况之一的，将被拒收：</w:t>
            </w:r>
          </w:p>
          <w:p w14:paraId="0E158101">
            <w:pPr>
              <w:keepNext w:val="0"/>
              <w:keepLines w:val="0"/>
              <w:pageBreakBefore w:val="0"/>
              <w:kinsoku/>
              <w:wordWrap/>
              <w:overflowPunct/>
              <w:topLinePunct w:val="0"/>
              <w:autoSpaceDE/>
              <w:autoSpaceDN/>
              <w:bidi w:val="0"/>
              <w:adjustRightInd/>
              <w:snapToGrid/>
              <w:spacing w:line="360" w:lineRule="auto"/>
              <w:ind w:left="105" w:leftChars="50" w:right="105" w:rightChars="50"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1、未按规定密封或标记的响应文件；</w:t>
            </w:r>
          </w:p>
          <w:p w14:paraId="05255181">
            <w:pPr>
              <w:keepNext w:val="0"/>
              <w:keepLines w:val="0"/>
              <w:pageBreakBefore w:val="0"/>
              <w:kinsoku/>
              <w:wordWrap/>
              <w:overflowPunct/>
              <w:topLinePunct w:val="0"/>
              <w:autoSpaceDE/>
              <w:autoSpaceDN/>
              <w:bidi w:val="0"/>
              <w:adjustRightInd/>
              <w:snapToGrid/>
              <w:spacing w:line="360" w:lineRule="auto"/>
              <w:ind w:left="105" w:leftChars="50" w:right="105" w:rightChars="50"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2、由于包装不妥，在送交途中严重破损或失散的；</w:t>
            </w:r>
          </w:p>
          <w:p w14:paraId="4196E6EB">
            <w:pPr>
              <w:keepNext w:val="0"/>
              <w:keepLines w:val="0"/>
              <w:pageBreakBefore w:val="0"/>
              <w:kinsoku/>
              <w:wordWrap/>
              <w:overflowPunct/>
              <w:topLinePunct w:val="0"/>
              <w:autoSpaceDE/>
              <w:autoSpaceDN/>
              <w:bidi w:val="0"/>
              <w:adjustRightInd/>
              <w:snapToGrid/>
              <w:spacing w:line="360" w:lineRule="auto"/>
              <w:ind w:left="105" w:leftChars="50" w:right="105" w:rightChars="50"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3、超过响应截止时间送达的；</w:t>
            </w:r>
          </w:p>
          <w:p w14:paraId="4A89E825">
            <w:pPr>
              <w:keepNext w:val="0"/>
              <w:keepLines w:val="0"/>
              <w:pageBreakBefore w:val="0"/>
              <w:kinsoku/>
              <w:wordWrap/>
              <w:overflowPunct/>
              <w:topLinePunct w:val="0"/>
              <w:autoSpaceDE/>
              <w:autoSpaceDN/>
              <w:bidi w:val="0"/>
              <w:adjustRightInd/>
              <w:snapToGrid/>
              <w:spacing w:line="360" w:lineRule="auto"/>
              <w:ind w:left="105" w:leftChars="50" w:right="105" w:rightChars="50"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4、仅提供备份响应文件的。</w:t>
            </w:r>
          </w:p>
          <w:p w14:paraId="3C9B2EFD">
            <w:pPr>
              <w:keepNext w:val="0"/>
              <w:keepLines w:val="0"/>
              <w:pageBreakBefore w:val="0"/>
              <w:kinsoku/>
              <w:wordWrap/>
              <w:overflowPunct/>
              <w:topLinePunct w:val="0"/>
              <w:autoSpaceDE/>
              <w:autoSpaceDN/>
              <w:bidi w:val="0"/>
              <w:adjustRightInd/>
              <w:snapToGrid/>
              <w:spacing w:line="360" w:lineRule="auto"/>
              <w:ind w:left="105" w:leftChars="50" w:right="105" w:rightChars="50" w:firstLine="420" w:firstLineChars="200"/>
              <w:rPr>
                <w:rFonts w:cs="宋体" w:asciiTheme="minorEastAsia" w:hAnsiTheme="minorEastAsia" w:eastAsiaTheme="minorEastAsia"/>
                <w:b/>
                <w:kern w:val="0"/>
                <w:szCs w:val="21"/>
              </w:rPr>
            </w:pPr>
            <w:r>
              <w:rPr>
                <w:rFonts w:hint="eastAsia" w:cs="宋体" w:asciiTheme="minorEastAsia" w:hAnsiTheme="minorEastAsia" w:eastAsiaTheme="minorEastAsia"/>
                <w:szCs w:val="21"/>
              </w:rPr>
              <w:t>当发生解密失败或未按时解密的，响应人提供了备份响应文件的，以备份响应文件为依据，否则视为响应文件撤回。响应文件已按时解密的，备份响应文件自动失效。</w:t>
            </w:r>
          </w:p>
        </w:tc>
      </w:tr>
      <w:tr w14:paraId="1045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546" w:type="dxa"/>
            <w:shd w:val="clear" w:color="auto" w:fill="E0E0E0"/>
            <w:vAlign w:val="center"/>
          </w:tcPr>
          <w:p w14:paraId="0B7B8125">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13</w:t>
            </w:r>
          </w:p>
        </w:tc>
        <w:tc>
          <w:tcPr>
            <w:tcW w:w="1740" w:type="dxa"/>
            <w:shd w:val="clear" w:color="auto" w:fill="E0E0E0"/>
            <w:vAlign w:val="center"/>
          </w:tcPr>
          <w:p w14:paraId="19698869">
            <w:pPr>
              <w:spacing w:line="360" w:lineRule="auto"/>
              <w:jc w:val="center"/>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响应文件提交截止时间及开启时间</w:t>
            </w:r>
          </w:p>
        </w:tc>
        <w:tc>
          <w:tcPr>
            <w:tcW w:w="7659" w:type="dxa"/>
            <w:shd w:val="clear" w:color="auto" w:fill="FFFFFF"/>
            <w:vAlign w:val="center"/>
          </w:tcPr>
          <w:p w14:paraId="09972DDB">
            <w:pPr>
              <w:keepNext w:val="0"/>
              <w:keepLines w:val="0"/>
              <w:pageBreakBefore w:val="0"/>
              <w:kinsoku/>
              <w:wordWrap/>
              <w:overflowPunct/>
              <w:topLinePunct w:val="0"/>
              <w:autoSpaceDE/>
              <w:autoSpaceDN/>
              <w:bidi w:val="0"/>
              <w:adjustRightInd/>
              <w:snapToGrid/>
              <w:spacing w:line="360" w:lineRule="auto"/>
              <w:ind w:left="105" w:leftChars="50" w:right="105" w:rightChars="50"/>
              <w:jc w:val="left"/>
              <w:rPr>
                <w:rFonts w:cs="宋体" w:asciiTheme="minorEastAsia" w:hAnsiTheme="minorEastAsia" w:eastAsiaTheme="minorEastAsia"/>
                <w:b/>
                <w:szCs w:val="21"/>
                <w:highlight w:val="none"/>
              </w:rPr>
            </w:pPr>
            <w:r>
              <w:rPr>
                <w:rFonts w:hint="eastAsia" w:cs="宋体" w:asciiTheme="minorEastAsia" w:hAnsiTheme="minorEastAsia" w:eastAsiaTheme="minorEastAsia"/>
                <w:b/>
                <w:kern w:val="0"/>
                <w:szCs w:val="21"/>
                <w:highlight w:val="none"/>
              </w:rPr>
              <w:t>2024年</w:t>
            </w:r>
            <w:r>
              <w:rPr>
                <w:rFonts w:hint="eastAsia" w:cs="宋体" w:asciiTheme="minorEastAsia" w:hAnsiTheme="minorEastAsia" w:eastAsiaTheme="minorEastAsia"/>
                <w:b/>
                <w:kern w:val="0"/>
                <w:szCs w:val="21"/>
                <w:highlight w:val="none"/>
                <w:lang w:val="en-US" w:eastAsia="zh-CN"/>
              </w:rPr>
              <w:t>12</w:t>
            </w:r>
            <w:r>
              <w:rPr>
                <w:rFonts w:hint="eastAsia" w:cs="宋体" w:asciiTheme="minorEastAsia" w:hAnsiTheme="minorEastAsia" w:eastAsiaTheme="minorEastAsia"/>
                <w:b/>
                <w:kern w:val="0"/>
                <w:szCs w:val="21"/>
                <w:highlight w:val="none"/>
              </w:rPr>
              <w:t>月</w:t>
            </w:r>
            <w:r>
              <w:rPr>
                <w:rFonts w:hint="eastAsia" w:cs="宋体" w:asciiTheme="minorEastAsia" w:hAnsiTheme="minorEastAsia" w:eastAsiaTheme="minorEastAsia"/>
                <w:b/>
                <w:kern w:val="0"/>
                <w:szCs w:val="21"/>
                <w:highlight w:val="none"/>
                <w:lang w:val="en-US" w:eastAsia="zh-CN"/>
              </w:rPr>
              <w:t>4</w:t>
            </w:r>
            <w:r>
              <w:rPr>
                <w:rFonts w:hint="eastAsia" w:cs="宋体" w:asciiTheme="minorEastAsia" w:hAnsiTheme="minorEastAsia" w:eastAsiaTheme="minorEastAsia"/>
                <w:b/>
                <w:kern w:val="0"/>
                <w:szCs w:val="21"/>
                <w:highlight w:val="none"/>
              </w:rPr>
              <w:t>日</w:t>
            </w:r>
            <w:r>
              <w:rPr>
                <w:rFonts w:hint="eastAsia" w:cs="宋体" w:asciiTheme="minorEastAsia" w:hAnsiTheme="minorEastAsia" w:eastAsiaTheme="minorEastAsia"/>
                <w:b/>
                <w:kern w:val="0"/>
                <w:szCs w:val="21"/>
                <w:highlight w:val="none"/>
                <w:lang w:val="en-US" w:eastAsia="zh-CN"/>
              </w:rPr>
              <w:t>14</w:t>
            </w:r>
            <w:r>
              <w:rPr>
                <w:rFonts w:hint="eastAsia" w:cs="宋体" w:asciiTheme="minorEastAsia" w:hAnsiTheme="minorEastAsia" w:eastAsiaTheme="minorEastAsia"/>
                <w:b/>
                <w:kern w:val="0"/>
                <w:szCs w:val="21"/>
                <w:highlight w:val="none"/>
              </w:rPr>
              <w:t>:</w:t>
            </w:r>
            <w:r>
              <w:rPr>
                <w:rFonts w:hint="eastAsia" w:cs="宋体" w:asciiTheme="minorEastAsia" w:hAnsiTheme="minorEastAsia" w:eastAsiaTheme="minorEastAsia"/>
                <w:b/>
                <w:kern w:val="0"/>
                <w:szCs w:val="21"/>
                <w:highlight w:val="none"/>
                <w:lang w:val="en-US" w:eastAsia="zh-CN"/>
              </w:rPr>
              <w:t>30</w:t>
            </w:r>
            <w:r>
              <w:rPr>
                <w:rFonts w:hint="eastAsia" w:cs="宋体" w:asciiTheme="minorEastAsia" w:hAnsiTheme="minorEastAsia" w:eastAsiaTheme="minorEastAsia"/>
                <w:b/>
                <w:szCs w:val="21"/>
                <w:highlight w:val="none"/>
              </w:rPr>
              <w:t>（北京时间）</w:t>
            </w:r>
          </w:p>
        </w:tc>
      </w:tr>
      <w:tr w14:paraId="00B5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46" w:type="dxa"/>
            <w:vMerge w:val="restart"/>
            <w:shd w:val="clear" w:color="auto" w:fill="E0E0E0"/>
            <w:vAlign w:val="center"/>
          </w:tcPr>
          <w:p w14:paraId="662039F4">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14</w:t>
            </w:r>
          </w:p>
        </w:tc>
        <w:tc>
          <w:tcPr>
            <w:tcW w:w="1740" w:type="dxa"/>
            <w:vMerge w:val="restart"/>
            <w:shd w:val="clear" w:color="auto" w:fill="E0E0E0"/>
            <w:vAlign w:val="center"/>
          </w:tcPr>
          <w:p w14:paraId="1DB85207">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中小企业扶持政策</w:t>
            </w:r>
          </w:p>
        </w:tc>
        <w:tc>
          <w:tcPr>
            <w:tcW w:w="7659" w:type="dxa"/>
            <w:shd w:val="clear" w:color="auto" w:fill="FFFFFF"/>
            <w:vAlign w:val="center"/>
          </w:tcPr>
          <w:p w14:paraId="2B7030CD">
            <w:pPr>
              <w:keepNext w:val="0"/>
              <w:keepLines w:val="0"/>
              <w:pageBreakBefore w:val="0"/>
              <w:kinsoku/>
              <w:wordWrap/>
              <w:overflowPunct/>
              <w:topLinePunct w:val="0"/>
              <w:autoSpaceDE/>
              <w:autoSpaceDN/>
              <w:bidi w:val="0"/>
              <w:adjustRightInd/>
              <w:snapToGrid/>
              <w:spacing w:line="360" w:lineRule="auto"/>
              <w:ind w:left="105" w:leftChars="50" w:right="105" w:rightChars="50"/>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本项目为未专门面向中小企业采购的采购项目。</w:t>
            </w:r>
          </w:p>
        </w:tc>
      </w:tr>
      <w:tr w14:paraId="7178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8" w:hRule="atLeast"/>
          <w:tblCellSpacing w:w="7" w:type="dxa"/>
          <w:jc w:val="center"/>
        </w:trPr>
        <w:tc>
          <w:tcPr>
            <w:tcW w:w="546" w:type="dxa"/>
            <w:vMerge w:val="continue"/>
            <w:shd w:val="clear" w:color="auto" w:fill="E0E0E0"/>
            <w:vAlign w:val="center"/>
          </w:tcPr>
          <w:p w14:paraId="192063C1">
            <w:pPr>
              <w:spacing w:line="360" w:lineRule="auto"/>
              <w:jc w:val="center"/>
              <w:rPr>
                <w:rFonts w:cs="宋体" w:asciiTheme="minorEastAsia" w:hAnsiTheme="minorEastAsia" w:eastAsiaTheme="minorEastAsia"/>
                <w:b/>
                <w:szCs w:val="21"/>
              </w:rPr>
            </w:pPr>
          </w:p>
        </w:tc>
        <w:tc>
          <w:tcPr>
            <w:tcW w:w="1740" w:type="dxa"/>
            <w:vMerge w:val="continue"/>
            <w:shd w:val="clear" w:color="auto" w:fill="E0E0E0"/>
            <w:vAlign w:val="center"/>
          </w:tcPr>
          <w:p w14:paraId="0B86D2E1">
            <w:pPr>
              <w:spacing w:line="360" w:lineRule="auto"/>
              <w:jc w:val="center"/>
              <w:rPr>
                <w:rFonts w:cs="宋体" w:asciiTheme="minorEastAsia" w:hAnsiTheme="minorEastAsia" w:eastAsiaTheme="minorEastAsia"/>
                <w:b/>
                <w:szCs w:val="21"/>
              </w:rPr>
            </w:pPr>
          </w:p>
        </w:tc>
        <w:tc>
          <w:tcPr>
            <w:tcW w:w="7659" w:type="dxa"/>
            <w:shd w:val="clear" w:color="auto" w:fill="FFFFFF"/>
            <w:vAlign w:val="center"/>
          </w:tcPr>
          <w:p w14:paraId="409ABF20">
            <w:pPr>
              <w:keepNext w:val="0"/>
              <w:keepLines w:val="0"/>
              <w:pageBreakBefore w:val="0"/>
              <w:kinsoku/>
              <w:wordWrap/>
              <w:overflowPunct/>
              <w:topLinePunct w:val="0"/>
              <w:autoSpaceDE/>
              <w:autoSpaceDN/>
              <w:bidi w:val="0"/>
              <w:adjustRightInd/>
              <w:snapToGrid/>
              <w:spacing w:line="360" w:lineRule="auto"/>
              <w:ind w:left="105" w:leftChars="50" w:right="105" w:rightChars="50"/>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本项目不接受联合体响应。</w:t>
            </w:r>
          </w:p>
        </w:tc>
      </w:tr>
      <w:tr w14:paraId="3C4FF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46" w:type="dxa"/>
            <w:vMerge w:val="continue"/>
            <w:shd w:val="clear" w:color="auto" w:fill="E0E0E0"/>
            <w:vAlign w:val="center"/>
          </w:tcPr>
          <w:p w14:paraId="19C18667">
            <w:pPr>
              <w:spacing w:line="360" w:lineRule="auto"/>
              <w:jc w:val="center"/>
              <w:rPr>
                <w:rFonts w:cs="宋体" w:asciiTheme="minorEastAsia" w:hAnsiTheme="minorEastAsia" w:eastAsiaTheme="minorEastAsia"/>
                <w:b/>
                <w:szCs w:val="21"/>
              </w:rPr>
            </w:pPr>
          </w:p>
        </w:tc>
        <w:tc>
          <w:tcPr>
            <w:tcW w:w="1740" w:type="dxa"/>
            <w:vMerge w:val="continue"/>
            <w:shd w:val="clear" w:color="auto" w:fill="E0E0E0"/>
            <w:vAlign w:val="center"/>
          </w:tcPr>
          <w:p w14:paraId="1EBBC249">
            <w:pPr>
              <w:spacing w:line="360" w:lineRule="auto"/>
              <w:jc w:val="center"/>
              <w:rPr>
                <w:rFonts w:cs="宋体" w:asciiTheme="minorEastAsia" w:hAnsiTheme="minorEastAsia" w:eastAsiaTheme="minorEastAsia"/>
                <w:b/>
                <w:szCs w:val="21"/>
              </w:rPr>
            </w:pPr>
          </w:p>
        </w:tc>
        <w:tc>
          <w:tcPr>
            <w:tcW w:w="7659" w:type="dxa"/>
            <w:shd w:val="clear" w:color="auto" w:fill="FFFFFF"/>
            <w:vAlign w:val="center"/>
          </w:tcPr>
          <w:p w14:paraId="776D7A26">
            <w:pPr>
              <w:keepNext w:val="0"/>
              <w:keepLines w:val="0"/>
              <w:pageBreakBefore w:val="0"/>
              <w:kinsoku/>
              <w:wordWrap/>
              <w:overflowPunct/>
              <w:topLinePunct w:val="0"/>
              <w:autoSpaceDE/>
              <w:autoSpaceDN/>
              <w:bidi w:val="0"/>
              <w:adjustRightInd/>
              <w:snapToGrid/>
              <w:spacing w:line="360" w:lineRule="auto"/>
              <w:ind w:left="105" w:leftChars="50" w:right="105" w:rightChars="50"/>
              <w:jc w:val="left"/>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本项目不允许转包、不允许分包。</w:t>
            </w:r>
          </w:p>
        </w:tc>
      </w:tr>
      <w:tr w14:paraId="7C6F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7" w:hRule="atLeast"/>
          <w:tblCellSpacing w:w="7" w:type="dxa"/>
          <w:jc w:val="center"/>
        </w:trPr>
        <w:tc>
          <w:tcPr>
            <w:tcW w:w="546" w:type="dxa"/>
            <w:vMerge w:val="continue"/>
            <w:shd w:val="clear" w:color="auto" w:fill="E0E0E0"/>
            <w:vAlign w:val="center"/>
          </w:tcPr>
          <w:p w14:paraId="46ADFBF6">
            <w:pPr>
              <w:spacing w:line="360" w:lineRule="auto"/>
              <w:jc w:val="center"/>
              <w:rPr>
                <w:rFonts w:cs="宋体" w:asciiTheme="minorEastAsia" w:hAnsiTheme="minorEastAsia" w:eastAsiaTheme="minorEastAsia"/>
                <w:b/>
                <w:szCs w:val="21"/>
              </w:rPr>
            </w:pPr>
          </w:p>
        </w:tc>
        <w:tc>
          <w:tcPr>
            <w:tcW w:w="1740" w:type="dxa"/>
            <w:vMerge w:val="continue"/>
            <w:shd w:val="clear" w:color="auto" w:fill="E0E0E0"/>
            <w:vAlign w:val="center"/>
          </w:tcPr>
          <w:p w14:paraId="473C4677">
            <w:pPr>
              <w:spacing w:line="360" w:lineRule="auto"/>
              <w:jc w:val="center"/>
              <w:rPr>
                <w:rFonts w:cs="宋体" w:asciiTheme="minorEastAsia" w:hAnsiTheme="minorEastAsia" w:eastAsiaTheme="minorEastAsia"/>
                <w:b/>
                <w:szCs w:val="21"/>
              </w:rPr>
            </w:pPr>
          </w:p>
        </w:tc>
        <w:tc>
          <w:tcPr>
            <w:tcW w:w="7659" w:type="dxa"/>
            <w:shd w:val="clear" w:color="auto" w:fill="FFFFFF"/>
            <w:vAlign w:val="center"/>
          </w:tcPr>
          <w:p w14:paraId="7147011B">
            <w:pPr>
              <w:keepNext w:val="0"/>
              <w:keepLines w:val="0"/>
              <w:pageBreakBefore w:val="0"/>
              <w:kinsoku/>
              <w:wordWrap/>
              <w:overflowPunct/>
              <w:topLinePunct w:val="0"/>
              <w:autoSpaceDE/>
              <w:autoSpaceDN/>
              <w:bidi w:val="0"/>
              <w:adjustRightInd/>
              <w:snapToGrid/>
              <w:spacing w:line="360" w:lineRule="auto"/>
              <w:ind w:left="105" w:leftChars="50" w:right="105" w:rightChars="50"/>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本项目采购标的对应的中小企业划分标准所属</w:t>
            </w:r>
            <w:r>
              <w:rPr>
                <w:rFonts w:hint="eastAsia" w:cs="宋体" w:asciiTheme="minorEastAsia" w:hAnsiTheme="minorEastAsia" w:eastAsiaTheme="minorEastAsia"/>
                <w:b/>
                <w:kern w:val="0"/>
                <w:szCs w:val="21"/>
                <w:highlight w:val="none"/>
              </w:rPr>
              <w:t>行业：</w:t>
            </w:r>
            <w:r>
              <w:rPr>
                <w:rFonts w:hint="eastAsia" w:cs="宋体" w:asciiTheme="minorEastAsia" w:hAnsiTheme="minorEastAsia" w:eastAsiaTheme="minorEastAsia"/>
                <w:b/>
                <w:kern w:val="0"/>
                <w:szCs w:val="21"/>
                <w:highlight w:val="none"/>
                <w:lang w:val="en-US" w:eastAsia="zh-CN"/>
              </w:rPr>
              <w:t>其他未列明行业</w:t>
            </w:r>
            <w:r>
              <w:rPr>
                <w:rFonts w:hint="eastAsia" w:cs="宋体" w:asciiTheme="minorEastAsia" w:hAnsiTheme="minorEastAsia" w:eastAsiaTheme="minorEastAsia"/>
                <w:b/>
                <w:kern w:val="0"/>
                <w:szCs w:val="21"/>
                <w:highlight w:val="none"/>
              </w:rPr>
              <w:t>。</w:t>
            </w:r>
          </w:p>
        </w:tc>
      </w:tr>
      <w:tr w14:paraId="15C0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 w:hRule="atLeast"/>
          <w:tblCellSpacing w:w="7" w:type="dxa"/>
          <w:jc w:val="center"/>
        </w:trPr>
        <w:tc>
          <w:tcPr>
            <w:tcW w:w="546" w:type="dxa"/>
            <w:vMerge w:val="continue"/>
            <w:shd w:val="clear" w:color="auto" w:fill="E0E0E0"/>
            <w:vAlign w:val="center"/>
          </w:tcPr>
          <w:p w14:paraId="0CF09505">
            <w:pPr>
              <w:spacing w:line="360" w:lineRule="auto"/>
              <w:jc w:val="center"/>
              <w:rPr>
                <w:rFonts w:cs="宋体" w:asciiTheme="minorEastAsia" w:hAnsiTheme="minorEastAsia" w:eastAsiaTheme="minorEastAsia"/>
                <w:b/>
                <w:szCs w:val="21"/>
              </w:rPr>
            </w:pPr>
          </w:p>
        </w:tc>
        <w:tc>
          <w:tcPr>
            <w:tcW w:w="1740" w:type="dxa"/>
            <w:vMerge w:val="continue"/>
            <w:shd w:val="clear" w:color="auto" w:fill="E0E0E0"/>
            <w:vAlign w:val="center"/>
          </w:tcPr>
          <w:p w14:paraId="1BAE3A9C">
            <w:pPr>
              <w:spacing w:line="360" w:lineRule="auto"/>
              <w:jc w:val="center"/>
              <w:rPr>
                <w:rFonts w:cs="宋体" w:asciiTheme="minorEastAsia" w:hAnsiTheme="minorEastAsia" w:eastAsiaTheme="minorEastAsia"/>
                <w:b/>
                <w:szCs w:val="21"/>
              </w:rPr>
            </w:pPr>
          </w:p>
        </w:tc>
        <w:tc>
          <w:tcPr>
            <w:tcW w:w="7659" w:type="dxa"/>
            <w:shd w:val="clear" w:color="auto" w:fill="FFFFFF"/>
            <w:vAlign w:val="center"/>
          </w:tcPr>
          <w:p w14:paraId="25CD5091">
            <w:pPr>
              <w:keepNext w:val="0"/>
              <w:keepLines w:val="0"/>
              <w:pageBreakBefore w:val="0"/>
              <w:kinsoku/>
              <w:wordWrap/>
              <w:overflowPunct/>
              <w:topLinePunct w:val="0"/>
              <w:autoSpaceDE/>
              <w:autoSpaceDN/>
              <w:bidi w:val="0"/>
              <w:adjustRightInd/>
              <w:snapToGrid/>
              <w:spacing w:line="360" w:lineRule="auto"/>
              <w:ind w:left="105" w:leftChars="50" w:right="105" w:rightChars="50"/>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本项目为服务类采购项目。</w:t>
            </w:r>
          </w:p>
        </w:tc>
      </w:tr>
      <w:tr w14:paraId="3207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546" w:type="dxa"/>
            <w:vMerge w:val="continue"/>
            <w:shd w:val="clear" w:color="auto" w:fill="E0E0E0"/>
            <w:vAlign w:val="center"/>
          </w:tcPr>
          <w:p w14:paraId="5692883E">
            <w:pPr>
              <w:spacing w:line="360" w:lineRule="auto"/>
              <w:jc w:val="center"/>
              <w:rPr>
                <w:rFonts w:cs="宋体" w:asciiTheme="minorEastAsia" w:hAnsiTheme="minorEastAsia" w:eastAsiaTheme="minorEastAsia"/>
                <w:b/>
                <w:szCs w:val="21"/>
              </w:rPr>
            </w:pPr>
          </w:p>
        </w:tc>
        <w:tc>
          <w:tcPr>
            <w:tcW w:w="1740" w:type="dxa"/>
            <w:vMerge w:val="continue"/>
            <w:shd w:val="clear" w:color="auto" w:fill="E0E0E0"/>
            <w:vAlign w:val="center"/>
          </w:tcPr>
          <w:p w14:paraId="53F1BE3A">
            <w:pPr>
              <w:spacing w:line="360" w:lineRule="auto"/>
              <w:jc w:val="center"/>
              <w:rPr>
                <w:rFonts w:cs="宋体" w:asciiTheme="minorEastAsia" w:hAnsiTheme="minorEastAsia" w:eastAsiaTheme="minorEastAsia"/>
                <w:b/>
                <w:szCs w:val="21"/>
              </w:rPr>
            </w:pPr>
          </w:p>
        </w:tc>
        <w:tc>
          <w:tcPr>
            <w:tcW w:w="7659" w:type="dxa"/>
            <w:shd w:val="clear" w:color="auto" w:fill="FFFFFF"/>
            <w:vAlign w:val="center"/>
          </w:tcPr>
          <w:p w14:paraId="580D7CA6">
            <w:pPr>
              <w:keepNext w:val="0"/>
              <w:keepLines w:val="0"/>
              <w:pageBreakBefore w:val="0"/>
              <w:kinsoku/>
              <w:wordWrap/>
              <w:overflowPunct/>
              <w:topLinePunct w:val="0"/>
              <w:autoSpaceDE/>
              <w:autoSpaceDN/>
              <w:bidi w:val="0"/>
              <w:adjustRightInd/>
              <w:snapToGrid/>
              <w:spacing w:line="360" w:lineRule="auto"/>
              <w:ind w:right="105" w:rightChars="50"/>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根据《政府采购促进中小企业发展管理办法》（财库[2020]46号）规定：</w:t>
            </w:r>
          </w:p>
          <w:p w14:paraId="64C5B70A">
            <w:pPr>
              <w:spacing w:line="360" w:lineRule="auto"/>
              <w:jc w:val="left"/>
              <w:rPr>
                <w:rFonts w:ascii="宋体" w:hAnsi="宋体" w:cs="宋体"/>
                <w:b/>
                <w:kern w:val="0"/>
                <w:szCs w:val="21"/>
              </w:rPr>
            </w:pPr>
            <w:r>
              <w:rPr>
                <w:rFonts w:hint="eastAsia" w:ascii="宋体" w:hAnsi="宋体" w:cs="宋体"/>
                <w:b/>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787E7EB5">
            <w:pPr>
              <w:spacing w:line="360" w:lineRule="auto"/>
              <w:jc w:val="left"/>
              <w:rPr>
                <w:rFonts w:ascii="宋体" w:hAnsi="宋体" w:cs="宋体"/>
                <w:b/>
                <w:kern w:val="0"/>
                <w:szCs w:val="21"/>
              </w:rPr>
            </w:pPr>
            <w:r>
              <w:rPr>
                <w:rFonts w:hint="eastAsia" w:ascii="宋体" w:hAnsi="宋体" w:cs="宋体"/>
                <w:b/>
                <w:kern w:val="0"/>
                <w:szCs w:val="21"/>
              </w:rPr>
              <w:t>符合中小企业划分标准的个体工商户，在政府采购活动中视同中小企业。</w:t>
            </w:r>
          </w:p>
          <w:p w14:paraId="65746ED5">
            <w:pPr>
              <w:spacing w:line="360" w:lineRule="auto"/>
              <w:jc w:val="left"/>
              <w:rPr>
                <w:rFonts w:ascii="宋体" w:hAnsi="宋体" w:cs="宋体"/>
                <w:b/>
                <w:kern w:val="0"/>
                <w:szCs w:val="21"/>
              </w:rPr>
            </w:pPr>
            <w:r>
              <w:rPr>
                <w:rFonts w:hint="eastAsia" w:ascii="宋体" w:hAnsi="宋体" w:cs="宋体"/>
                <w:b/>
                <w:kern w:val="0"/>
                <w:szCs w:val="21"/>
              </w:rPr>
              <w:t>2、在政府采购活动中，供应商提供的货物、工程或者服务符合下列情形的，享受本办法规定的中小企业扶持政策：</w:t>
            </w:r>
          </w:p>
          <w:p w14:paraId="0F474C34">
            <w:pPr>
              <w:spacing w:line="360" w:lineRule="auto"/>
              <w:jc w:val="left"/>
              <w:rPr>
                <w:rFonts w:ascii="宋体" w:hAnsi="宋体" w:cs="宋体"/>
                <w:b/>
                <w:kern w:val="0"/>
                <w:szCs w:val="21"/>
              </w:rPr>
            </w:pPr>
            <w:r>
              <w:rPr>
                <w:rFonts w:hint="eastAsia" w:ascii="宋体" w:hAnsi="宋体" w:cs="宋体"/>
                <w:b/>
                <w:kern w:val="0"/>
                <w:szCs w:val="21"/>
              </w:rPr>
              <w:t xml:space="preserve">（1）在货物采购项目中，货物由中小企业制造，即货物由中小企业生产且使用该中小企业商号或者注册商标； </w:t>
            </w:r>
          </w:p>
          <w:p w14:paraId="1242F8C7">
            <w:pPr>
              <w:spacing w:line="360" w:lineRule="auto"/>
              <w:jc w:val="left"/>
              <w:rPr>
                <w:rFonts w:ascii="宋体" w:hAnsi="宋体" w:cs="宋体"/>
                <w:b/>
                <w:kern w:val="0"/>
                <w:szCs w:val="21"/>
              </w:rPr>
            </w:pPr>
            <w:r>
              <w:rPr>
                <w:rFonts w:hint="eastAsia" w:ascii="宋体" w:hAnsi="宋体" w:cs="宋体"/>
                <w:b/>
                <w:kern w:val="0"/>
                <w:szCs w:val="21"/>
              </w:rPr>
              <w:t xml:space="preserve">（2）在工程采购项目中，工程由中小企业承建，即工程施工单位为中小企业； </w:t>
            </w:r>
          </w:p>
          <w:p w14:paraId="482CCA66">
            <w:pPr>
              <w:spacing w:line="360" w:lineRule="auto"/>
              <w:jc w:val="left"/>
              <w:rPr>
                <w:rFonts w:ascii="宋体" w:hAnsi="宋体" w:cs="宋体"/>
                <w:b/>
                <w:kern w:val="0"/>
                <w:szCs w:val="21"/>
              </w:rPr>
            </w:pPr>
            <w:r>
              <w:rPr>
                <w:rFonts w:hint="eastAsia" w:ascii="宋体" w:hAnsi="宋体" w:cs="宋体"/>
                <w:b/>
                <w:kern w:val="0"/>
                <w:szCs w:val="21"/>
              </w:rPr>
              <w:t xml:space="preserve">（3）在服务采购项目中，服务由中小企业承接，即提供服务的人员为中小企业依照《中华人民共和国劳动合同法》订立劳动合同的从业人员。 </w:t>
            </w:r>
          </w:p>
          <w:p w14:paraId="0CABE2D7">
            <w:pPr>
              <w:spacing w:line="360" w:lineRule="auto"/>
              <w:jc w:val="left"/>
              <w:rPr>
                <w:rFonts w:ascii="宋体" w:hAnsi="宋体" w:cs="宋体"/>
                <w:b/>
                <w:kern w:val="0"/>
                <w:szCs w:val="21"/>
              </w:rPr>
            </w:pPr>
            <w:r>
              <w:rPr>
                <w:rFonts w:hint="eastAsia" w:ascii="宋体" w:hAnsi="宋体" w:cs="宋体"/>
                <w:b/>
                <w:kern w:val="0"/>
                <w:szCs w:val="21"/>
              </w:rPr>
              <w:t>在货物采购项目中，供应商提供的货物既有中小企业制造货物，也有大型企业制造货物的，不享受本办法规定的中小企业扶持政策。</w:t>
            </w:r>
          </w:p>
          <w:p w14:paraId="1C988F73">
            <w:pPr>
              <w:spacing w:line="360" w:lineRule="auto"/>
              <w:jc w:val="left"/>
              <w:rPr>
                <w:rFonts w:ascii="宋体" w:hAnsi="宋体" w:cs="宋体"/>
                <w:b/>
                <w:kern w:val="0"/>
                <w:szCs w:val="21"/>
              </w:rPr>
            </w:pPr>
            <w:r>
              <w:rPr>
                <w:rFonts w:hint="eastAsia" w:ascii="宋体" w:hAnsi="宋体" w:cs="宋体"/>
                <w:b/>
                <w:kern w:val="0"/>
                <w:szCs w:val="21"/>
              </w:rPr>
              <w:t>3、在政府采购活动中，监狱企业、残疾人福利性单位视同小型、微型企业，享受本办法规定的中小企业扶持政策；监狱企业、残疾人福利性单位属于小型、微型企业的，不重复享受政策。</w:t>
            </w:r>
          </w:p>
          <w:p w14:paraId="07A034C5">
            <w:pPr>
              <w:spacing w:line="300" w:lineRule="auto"/>
              <w:jc w:val="left"/>
              <w:rPr>
                <w:rFonts w:ascii="宋体" w:hAnsi="宋体" w:cs="宋体"/>
                <w:b/>
                <w:kern w:val="0"/>
                <w:szCs w:val="21"/>
              </w:rPr>
            </w:pPr>
            <w:r>
              <w:rPr>
                <w:rFonts w:hint="eastAsia" w:ascii="宋体" w:hAnsi="宋体" w:cs="宋体"/>
                <w:b/>
                <w:kern w:val="0"/>
                <w:szCs w:val="21"/>
              </w:rPr>
              <w:t>本项目中小企业扶持政策：</w:t>
            </w:r>
          </w:p>
          <w:p w14:paraId="5EECD98C">
            <w:pPr>
              <w:spacing w:line="300" w:lineRule="auto"/>
              <w:jc w:val="left"/>
              <w:rPr>
                <w:rFonts w:ascii="宋体" w:hAnsi="宋体" w:cs="宋体"/>
                <w:b/>
                <w:kern w:val="0"/>
                <w:szCs w:val="21"/>
              </w:rPr>
            </w:pPr>
            <w:r>
              <w:rPr>
                <w:rFonts w:hint="eastAsia" w:ascii="宋体" w:hAnsi="宋体" w:cs="宋体"/>
                <w:b/>
                <w:kern w:val="0"/>
                <w:szCs w:val="21"/>
              </w:rPr>
              <w:t>【评审中价格扣除政策】本项目对符合本办法规定的小微企业报价给予10%的扣除，用扣除后的价格参加评审：</w:t>
            </w:r>
          </w:p>
          <w:p w14:paraId="0FFD9CC9">
            <w:pPr>
              <w:spacing w:line="300" w:lineRule="auto"/>
              <w:jc w:val="left"/>
              <w:rPr>
                <w:rFonts w:ascii="宋体" w:hAnsi="宋体" w:cs="宋体"/>
                <w:b/>
                <w:kern w:val="0"/>
                <w:szCs w:val="21"/>
              </w:rPr>
            </w:pPr>
            <w:r>
              <w:rPr>
                <w:rFonts w:hint="eastAsia" w:ascii="宋体" w:hAnsi="宋体" w:cs="宋体"/>
                <w:b/>
                <w:kern w:val="0"/>
                <w:szCs w:val="21"/>
              </w:rPr>
              <w:t>（1）小微企业须提供《中小企业声明函》，附在报价文件内，否则不享受评审中价格扣除政策；</w:t>
            </w:r>
          </w:p>
          <w:p w14:paraId="1FEAC0B6">
            <w:pPr>
              <w:spacing w:line="300" w:lineRule="auto"/>
              <w:jc w:val="left"/>
              <w:rPr>
                <w:rFonts w:ascii="宋体" w:hAnsi="宋体" w:cs="宋体"/>
                <w:b/>
                <w:kern w:val="0"/>
                <w:szCs w:val="21"/>
              </w:rPr>
            </w:pPr>
            <w:r>
              <w:rPr>
                <w:rFonts w:hint="eastAsia" w:ascii="宋体" w:hAnsi="宋体" w:cs="宋体"/>
                <w:b/>
                <w:kern w:val="0"/>
                <w:szCs w:val="21"/>
              </w:rPr>
              <w:t>（2）监狱企业须提供由省级以上监狱管理局、戒毒管理局（含新疆生产建设兵团）出具的属于监狱企业的证明文件，附在报价文件内，否则不享受评审中价格扣除政策；</w:t>
            </w:r>
          </w:p>
          <w:p w14:paraId="3EEC566A">
            <w:pPr>
              <w:keepNext w:val="0"/>
              <w:keepLines w:val="0"/>
              <w:pageBreakBefore w:val="0"/>
              <w:kinsoku/>
              <w:wordWrap/>
              <w:overflowPunct/>
              <w:topLinePunct w:val="0"/>
              <w:autoSpaceDE/>
              <w:autoSpaceDN/>
              <w:bidi w:val="0"/>
              <w:adjustRightInd/>
              <w:snapToGrid/>
              <w:spacing w:line="360" w:lineRule="auto"/>
              <w:ind w:right="105" w:rightChars="50"/>
              <w:rPr>
                <w:rFonts w:cs="宋体" w:asciiTheme="minorEastAsia" w:hAnsiTheme="minorEastAsia" w:eastAsiaTheme="minorEastAsia"/>
                <w:b/>
                <w:kern w:val="0"/>
                <w:szCs w:val="21"/>
              </w:rPr>
            </w:pPr>
            <w:r>
              <w:rPr>
                <w:rFonts w:hint="eastAsia" w:ascii="宋体" w:hAnsi="宋体" w:cs="宋体"/>
                <w:b/>
                <w:kern w:val="0"/>
                <w:szCs w:val="21"/>
              </w:rPr>
              <w:t>（3）残疾人福利性单位须提供《残疾人福利性单位声明函》，附在报价文件内，否则不享受评审中价格扣除政策。</w:t>
            </w:r>
          </w:p>
        </w:tc>
      </w:tr>
    </w:tbl>
    <w:p w14:paraId="16DC07F8">
      <w:pPr>
        <w:rPr>
          <w:rFonts w:ascii="宋体" w:hAnsi="宋体" w:cs="宋体"/>
          <w:b/>
          <w:szCs w:val="21"/>
        </w:rPr>
      </w:pPr>
      <w:r>
        <w:rPr>
          <w:rFonts w:hint="eastAsia" w:ascii="宋体" w:hAnsi="宋体" w:cs="宋体"/>
          <w:b/>
          <w:szCs w:val="21"/>
        </w:rPr>
        <w:br w:type="page"/>
      </w:r>
    </w:p>
    <w:p w14:paraId="64D6B836">
      <w:pPr>
        <w:snapToGrid w:val="0"/>
        <w:spacing w:line="360" w:lineRule="auto"/>
        <w:jc w:val="center"/>
        <w:rPr>
          <w:rFonts w:ascii="宋体" w:hAnsi="宋体" w:cs="宋体"/>
          <w:b/>
          <w:szCs w:val="21"/>
        </w:rPr>
      </w:pPr>
      <w:r>
        <w:rPr>
          <w:rFonts w:hint="eastAsia" w:ascii="宋体" w:hAnsi="宋体" w:cs="宋体"/>
          <w:b/>
          <w:szCs w:val="21"/>
        </w:rPr>
        <w:t>一、总  则</w:t>
      </w:r>
    </w:p>
    <w:p w14:paraId="52A846B3">
      <w:pPr>
        <w:pStyle w:val="13"/>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（一）适用范围</w:t>
      </w:r>
    </w:p>
    <w:p w14:paraId="00084D9B">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本磋商文件适用于本次项目的评标、定标、验收、合同履约、付款等（法律、法规另有规定的，从其规定）。</w:t>
      </w:r>
    </w:p>
    <w:p w14:paraId="53CAB85C">
      <w:pPr>
        <w:snapToGrid w:val="0"/>
        <w:spacing w:line="360" w:lineRule="auto"/>
        <w:ind w:firstLine="422" w:firstLineChars="200"/>
        <w:rPr>
          <w:rFonts w:ascii="宋体" w:hAnsi="宋体" w:cs="宋体"/>
          <w:b/>
          <w:szCs w:val="21"/>
        </w:rPr>
      </w:pPr>
      <w:r>
        <w:rPr>
          <w:rFonts w:hint="eastAsia" w:ascii="宋体" w:hAnsi="宋体" w:cs="宋体"/>
          <w:b/>
          <w:szCs w:val="21"/>
        </w:rPr>
        <w:t>（二）定义</w:t>
      </w:r>
    </w:p>
    <w:p w14:paraId="7759E081">
      <w:pPr>
        <w:pStyle w:val="13"/>
        <w:snapToGrid w:val="0"/>
        <w:spacing w:line="360" w:lineRule="auto"/>
        <w:ind w:firstLine="420" w:firstLineChars="200"/>
        <w:rPr>
          <w:rFonts w:hint="eastAsia" w:ascii="宋体" w:hAnsi="宋体" w:eastAsia="宋体" w:cs="宋体"/>
          <w:sz w:val="21"/>
          <w:szCs w:val="21"/>
        </w:rPr>
      </w:pPr>
      <w:r>
        <w:rPr>
          <w:rFonts w:hint="eastAsia" w:hAnsi="宋体" w:eastAsia="宋体" w:cs="宋体"/>
          <w:sz w:val="21"/>
          <w:szCs w:val="21"/>
        </w:rPr>
        <w:t>1、“采购人”系指组织本次采购的单位</w:t>
      </w:r>
      <w:r>
        <w:rPr>
          <w:rFonts w:hint="eastAsia" w:ascii="宋体" w:hAnsi="宋体" w:eastAsia="宋体" w:cs="宋体"/>
          <w:sz w:val="21"/>
          <w:szCs w:val="21"/>
        </w:rPr>
        <w:t>：舟山市定海区应急管理局。</w:t>
      </w:r>
    </w:p>
    <w:p w14:paraId="352C28AE">
      <w:pPr>
        <w:pStyle w:val="13"/>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2、“采购代理机构”系指</w:t>
      </w:r>
      <w:r>
        <w:rPr>
          <w:rFonts w:hint="eastAsia" w:ascii="宋体" w:hAnsi="宋体" w:eastAsia="宋体" w:cs="宋体"/>
          <w:sz w:val="21"/>
          <w:szCs w:val="21"/>
          <w:lang w:val="en-US" w:eastAsia="zh-CN"/>
        </w:rPr>
        <w:t>浙江万事达建设工程管理有限公司</w:t>
      </w:r>
      <w:r>
        <w:rPr>
          <w:rFonts w:hint="eastAsia" w:ascii="宋体" w:hAnsi="宋体" w:eastAsia="宋体" w:cs="宋体"/>
          <w:sz w:val="21"/>
          <w:szCs w:val="21"/>
          <w:lang w:val="zh-CN" w:eastAsia="zh-CN"/>
        </w:rPr>
        <w:t xml:space="preserve"> </w:t>
      </w:r>
      <w:r>
        <w:rPr>
          <w:rFonts w:hint="eastAsia" w:ascii="宋体" w:hAnsi="宋体" w:eastAsia="宋体" w:cs="宋体"/>
          <w:sz w:val="21"/>
          <w:szCs w:val="21"/>
        </w:rPr>
        <w:t>。</w:t>
      </w:r>
    </w:p>
    <w:p w14:paraId="0B32DA5F">
      <w:pPr>
        <w:pStyle w:val="13"/>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3、“响应人”系指向采购代理机构提交响应文件的供应商。</w:t>
      </w:r>
    </w:p>
    <w:p w14:paraId="045912C1">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4、“成交人”系指经磋商小组评定，且审查通过，并经公示无异议的合格响应人。</w:t>
      </w:r>
    </w:p>
    <w:p w14:paraId="4BAB34DF">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5、“响应人代表”系指全权代表响应人参加本次磋商活动并签署响应文件的人，如果响应人代表不是响应人的</w:t>
      </w:r>
      <w:r>
        <w:rPr>
          <w:rFonts w:hint="eastAsia" w:hAnsi="宋体" w:eastAsia="宋体" w:cs="宋体"/>
          <w:sz w:val="21"/>
          <w:szCs w:val="21"/>
          <w:lang w:eastAsia="zh-CN"/>
        </w:rPr>
        <w:t>法定代表人（或单位负责人）</w:t>
      </w:r>
      <w:r>
        <w:rPr>
          <w:rFonts w:hint="eastAsia" w:hAnsi="宋体" w:eastAsia="宋体" w:cs="宋体"/>
          <w:sz w:val="21"/>
          <w:szCs w:val="21"/>
        </w:rPr>
        <w:t>，须提供《</w:t>
      </w:r>
      <w:r>
        <w:rPr>
          <w:rFonts w:hint="eastAsia" w:hAnsi="宋体" w:eastAsia="宋体" w:cs="宋体"/>
          <w:sz w:val="21"/>
          <w:szCs w:val="21"/>
          <w:lang w:eastAsia="zh-CN"/>
        </w:rPr>
        <w:t>法定代表人（或单位负责人）</w:t>
      </w:r>
      <w:r>
        <w:rPr>
          <w:rFonts w:hint="eastAsia" w:hAnsi="宋体" w:eastAsia="宋体" w:cs="宋体"/>
          <w:sz w:val="21"/>
          <w:szCs w:val="21"/>
        </w:rPr>
        <w:t>授权函》。</w:t>
      </w:r>
    </w:p>
    <w:p w14:paraId="0E6E1761">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6、“服务”系指磋商文件规定响应人须承担的</w:t>
      </w:r>
      <w:r>
        <w:rPr>
          <w:rFonts w:hint="eastAsia" w:ascii="宋体" w:hAnsi="宋体" w:eastAsia="宋体" w:cs="宋体"/>
          <w:color w:val="000000"/>
          <w:sz w:val="21"/>
          <w:szCs w:val="21"/>
        </w:rPr>
        <w:t>舟山市定海区应急管理局突发事件综合保险项目</w:t>
      </w:r>
      <w:r>
        <w:rPr>
          <w:rFonts w:hint="eastAsia" w:hAnsi="宋体" w:eastAsia="宋体" w:cs="宋体"/>
          <w:sz w:val="21"/>
          <w:szCs w:val="21"/>
        </w:rPr>
        <w:t>以及其他类似的义务。</w:t>
      </w:r>
    </w:p>
    <w:p w14:paraId="54EA3DD5">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7、“项目”系指响应人按磋商文件规定向采购人提供的服务。</w:t>
      </w:r>
    </w:p>
    <w:p w14:paraId="3196E624">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8、“书面形式”包括信函、传真、快递、电报等。</w:t>
      </w:r>
    </w:p>
    <w:p w14:paraId="7E11E49F">
      <w:pPr>
        <w:snapToGrid w:val="0"/>
        <w:spacing w:line="360" w:lineRule="auto"/>
        <w:ind w:firstLine="422" w:firstLineChars="200"/>
        <w:rPr>
          <w:rFonts w:ascii="宋体" w:hAnsi="宋体" w:cs="宋体"/>
          <w:b/>
          <w:szCs w:val="21"/>
        </w:rPr>
      </w:pPr>
      <w:r>
        <w:rPr>
          <w:rFonts w:hint="eastAsia" w:ascii="宋体" w:hAnsi="宋体" w:cs="宋体"/>
          <w:b/>
          <w:szCs w:val="21"/>
        </w:rPr>
        <w:t>（三）采购方式</w:t>
      </w:r>
    </w:p>
    <w:p w14:paraId="47FEEA7A">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本次采用竞争性磋商方式进行。</w:t>
      </w:r>
    </w:p>
    <w:p w14:paraId="6488A4A2">
      <w:pPr>
        <w:pStyle w:val="13"/>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（四）预算金额</w:t>
      </w:r>
    </w:p>
    <w:p w14:paraId="3529245B">
      <w:pPr>
        <w:snapToGrid w:val="0"/>
        <w:spacing w:line="360" w:lineRule="auto"/>
        <w:ind w:firstLine="422" w:firstLineChars="200"/>
        <w:rPr>
          <w:rFonts w:ascii="宋体" w:hAnsi="宋体" w:cs="宋体"/>
          <w:b/>
          <w:szCs w:val="21"/>
        </w:rPr>
      </w:pPr>
      <w:r>
        <w:rPr>
          <w:rFonts w:hint="eastAsia" w:ascii="宋体" w:hAnsi="宋体" w:cs="宋体"/>
          <w:b/>
          <w:szCs w:val="21"/>
        </w:rPr>
        <w:t>本项目预算金额：</w:t>
      </w:r>
      <w:r>
        <w:rPr>
          <w:rFonts w:hint="eastAsia" w:ascii="宋体" w:hAnsi="宋体" w:cs="宋体"/>
          <w:b/>
          <w:szCs w:val="21"/>
          <w:lang w:val="en-US" w:eastAsia="zh-CN"/>
        </w:rPr>
        <w:t>300</w:t>
      </w:r>
      <w:r>
        <w:rPr>
          <w:rFonts w:hint="eastAsia" w:ascii="宋体" w:hAnsi="宋体" w:cs="宋体"/>
          <w:b/>
          <w:szCs w:val="21"/>
        </w:rPr>
        <w:t>万</w:t>
      </w:r>
      <w:r>
        <w:rPr>
          <w:rFonts w:hint="eastAsia" w:ascii="宋体" w:hAnsi="宋体" w:cs="宋体"/>
          <w:b/>
          <w:bCs/>
          <w:szCs w:val="21"/>
        </w:rPr>
        <w:t>元</w:t>
      </w:r>
      <w:r>
        <w:rPr>
          <w:rFonts w:hint="eastAsia" w:ascii="宋体" w:hAnsi="宋体" w:cs="宋体"/>
          <w:b/>
          <w:szCs w:val="21"/>
        </w:rPr>
        <w:t>，超过作响应无效处理。</w:t>
      </w:r>
    </w:p>
    <w:p w14:paraId="27FCFFD9">
      <w:pPr>
        <w:snapToGrid w:val="0"/>
        <w:spacing w:line="360" w:lineRule="auto"/>
        <w:ind w:firstLine="422" w:firstLineChars="200"/>
        <w:rPr>
          <w:rFonts w:ascii="宋体" w:hAnsi="宋体" w:cs="宋体"/>
          <w:b/>
          <w:szCs w:val="21"/>
        </w:rPr>
      </w:pPr>
      <w:r>
        <w:rPr>
          <w:rFonts w:hint="eastAsia" w:ascii="宋体" w:hAnsi="宋体" w:cs="宋体"/>
          <w:b/>
          <w:szCs w:val="21"/>
        </w:rPr>
        <w:t>（五）联合体响应</w:t>
      </w:r>
    </w:p>
    <w:p w14:paraId="093E6E51">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不接受联合体响应。</w:t>
      </w:r>
    </w:p>
    <w:p w14:paraId="3B1D35CE">
      <w:pPr>
        <w:snapToGrid w:val="0"/>
        <w:spacing w:line="360" w:lineRule="auto"/>
        <w:ind w:firstLine="422" w:firstLineChars="200"/>
        <w:rPr>
          <w:rFonts w:ascii="宋体" w:hAnsi="宋体" w:cs="宋体"/>
          <w:b/>
          <w:szCs w:val="21"/>
        </w:rPr>
      </w:pPr>
      <w:r>
        <w:rPr>
          <w:rFonts w:hint="eastAsia" w:ascii="宋体" w:hAnsi="宋体" w:cs="宋体"/>
          <w:b/>
          <w:szCs w:val="21"/>
        </w:rPr>
        <w:t>（六）转包与分包</w:t>
      </w:r>
    </w:p>
    <w:p w14:paraId="5352B820">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本项目不允许转包。</w:t>
      </w:r>
    </w:p>
    <w:p w14:paraId="38B3C642">
      <w:pPr>
        <w:pStyle w:val="13"/>
        <w:snapToGrid w:val="0"/>
        <w:spacing w:line="360" w:lineRule="auto"/>
        <w:ind w:firstLine="420" w:firstLineChars="200"/>
      </w:pPr>
      <w:r>
        <w:rPr>
          <w:rFonts w:hint="eastAsia" w:hAnsi="宋体" w:eastAsia="宋体" w:cs="宋体"/>
          <w:sz w:val="21"/>
          <w:szCs w:val="21"/>
        </w:rPr>
        <w:t>本项目不允许分包。</w:t>
      </w:r>
    </w:p>
    <w:p w14:paraId="3C501DA5">
      <w:pPr>
        <w:snapToGrid w:val="0"/>
        <w:spacing w:line="360" w:lineRule="auto"/>
        <w:ind w:firstLine="422" w:firstLineChars="200"/>
        <w:rPr>
          <w:rFonts w:ascii="宋体" w:hAnsi="宋体" w:cs="宋体"/>
          <w:b/>
          <w:szCs w:val="21"/>
        </w:rPr>
      </w:pPr>
      <w:r>
        <w:rPr>
          <w:rFonts w:hint="eastAsia" w:ascii="宋体" w:hAnsi="宋体" w:cs="宋体"/>
          <w:b/>
          <w:szCs w:val="21"/>
        </w:rPr>
        <w:t>（七）磋商相关费用</w:t>
      </w:r>
    </w:p>
    <w:p w14:paraId="25D9D233">
      <w:pPr>
        <w:snapToGrid w:val="0"/>
        <w:spacing w:line="360" w:lineRule="auto"/>
        <w:ind w:firstLine="420" w:firstLineChars="200"/>
        <w:rPr>
          <w:rFonts w:ascii="宋体" w:hAnsi="宋体" w:cs="宋体"/>
          <w:szCs w:val="21"/>
        </w:rPr>
      </w:pPr>
      <w:r>
        <w:rPr>
          <w:rFonts w:hint="eastAsia" w:ascii="宋体" w:hAnsi="宋体" w:cs="宋体"/>
          <w:szCs w:val="21"/>
        </w:rPr>
        <w:t>不论竞争性磋商结果如何，响应人均应自行承担所有与磋商响应有关的全部费用。</w:t>
      </w:r>
    </w:p>
    <w:p w14:paraId="63D5DBDD">
      <w:pPr>
        <w:pStyle w:val="13"/>
        <w:snapToGrid w:val="0"/>
        <w:spacing w:line="360" w:lineRule="auto"/>
        <w:ind w:firstLine="422" w:firstLineChars="200"/>
        <w:rPr>
          <w:rFonts w:hAnsi="宋体" w:eastAsia="宋体" w:cs="宋体"/>
          <w:b/>
          <w:kern w:val="0"/>
          <w:sz w:val="21"/>
          <w:szCs w:val="21"/>
          <w:highlight w:val="none"/>
        </w:rPr>
      </w:pPr>
      <w:r>
        <w:rPr>
          <w:rFonts w:hint="eastAsia" w:hAnsi="宋体" w:eastAsia="宋体" w:cs="宋体"/>
          <w:b/>
          <w:kern w:val="0"/>
          <w:sz w:val="21"/>
          <w:szCs w:val="21"/>
          <w:highlight w:val="none"/>
        </w:rPr>
        <w:t>（八）答疑与澄清</w:t>
      </w:r>
    </w:p>
    <w:p w14:paraId="1DF4B962">
      <w:pPr>
        <w:pStyle w:val="13"/>
        <w:snapToGrid w:val="0"/>
        <w:spacing w:line="360" w:lineRule="auto"/>
        <w:ind w:left="420" w:leftChars="200" w:firstLine="0" w:firstLineChars="0"/>
        <w:rPr>
          <w:rFonts w:hAnsi="宋体" w:eastAsia="宋体" w:cs="宋体"/>
          <w:kern w:val="0"/>
          <w:sz w:val="21"/>
          <w:szCs w:val="21"/>
          <w:highlight w:val="none"/>
        </w:rPr>
      </w:pPr>
      <w:r>
        <w:rPr>
          <w:rFonts w:hint="eastAsia" w:hAnsi="宋体" w:eastAsia="宋体" w:cs="宋体"/>
          <w:kern w:val="0"/>
          <w:sz w:val="21"/>
          <w:szCs w:val="21"/>
          <w:highlight w:val="none"/>
        </w:rPr>
        <w:t>响应人如认为磋商文件表述不清晰、存在歧视性、排他性或者其他违法内容</w:t>
      </w:r>
      <w:r>
        <w:rPr>
          <w:rFonts w:hint="eastAsia" w:ascii="宋体" w:hAnsi="宋体" w:eastAsia="宋体" w:cs="宋体"/>
          <w:kern w:val="0"/>
          <w:sz w:val="21"/>
          <w:szCs w:val="21"/>
          <w:highlight w:val="none"/>
        </w:rPr>
        <w:t>的，在规定时间内以书面形式要求采购人作出书面解释、澄清或者向采购人提出一次性书面质疑；采购人将组织答疑；答</w:t>
      </w:r>
      <w:r>
        <w:rPr>
          <w:rFonts w:hint="eastAsia" w:hAnsi="宋体" w:eastAsia="宋体" w:cs="宋体"/>
          <w:kern w:val="0"/>
          <w:sz w:val="21"/>
          <w:szCs w:val="21"/>
          <w:highlight w:val="none"/>
        </w:rPr>
        <w:t>疑内容是磋商文件的组成部份，并将以书面形式送达所有已依法获取磋商文件的响应人。</w:t>
      </w:r>
    </w:p>
    <w:p w14:paraId="5FCD26F8">
      <w:pPr>
        <w:pStyle w:val="13"/>
        <w:snapToGrid w:val="0"/>
        <w:spacing w:line="360" w:lineRule="auto"/>
        <w:ind w:firstLine="420" w:firstLineChars="200"/>
        <w:rPr>
          <w:rFonts w:hAnsi="宋体" w:eastAsia="宋体" w:cs="宋体"/>
          <w:kern w:val="0"/>
          <w:sz w:val="21"/>
          <w:szCs w:val="21"/>
          <w:highlight w:val="none"/>
        </w:rPr>
      </w:pPr>
      <w:r>
        <w:rPr>
          <w:rFonts w:hint="eastAsia" w:hAnsi="宋体" w:eastAsia="宋体" w:cs="宋体"/>
          <w:kern w:val="0"/>
          <w:sz w:val="21"/>
          <w:szCs w:val="21"/>
          <w:highlight w:val="none"/>
        </w:rPr>
        <w:t>1、根据《中华人民共和国政府采购法实施条例》第五十三条：政府采购法第五十二条规定的供应商应知其权益受到损害之日，是指：</w:t>
      </w:r>
    </w:p>
    <w:p w14:paraId="6C916A58">
      <w:pPr>
        <w:pStyle w:val="13"/>
        <w:snapToGrid w:val="0"/>
        <w:spacing w:line="360" w:lineRule="auto"/>
        <w:ind w:firstLine="420" w:firstLineChars="200"/>
        <w:rPr>
          <w:rFonts w:hAnsi="宋体" w:eastAsia="宋体" w:cs="宋体"/>
          <w:kern w:val="0"/>
          <w:sz w:val="21"/>
          <w:szCs w:val="21"/>
          <w:highlight w:val="none"/>
        </w:rPr>
      </w:pPr>
      <w:r>
        <w:rPr>
          <w:rFonts w:hint="eastAsia" w:hAnsi="宋体" w:eastAsia="宋体" w:cs="宋体"/>
          <w:kern w:val="0"/>
          <w:sz w:val="21"/>
          <w:szCs w:val="21"/>
          <w:highlight w:val="none"/>
        </w:rPr>
        <w:t>①对可以质疑的采购文件提出质疑的，为收到采购文件之日或者采购文件公告期限届满之日；</w:t>
      </w:r>
    </w:p>
    <w:p w14:paraId="62BF6E3D">
      <w:pPr>
        <w:pStyle w:val="1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②对采购过程提出质疑的，为各采购程序环节结束之日；</w:t>
      </w:r>
    </w:p>
    <w:p w14:paraId="3321CE04">
      <w:pPr>
        <w:pStyle w:val="1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③对中标或者成交结果提出质疑的，为中标或者成交结果公告期限届满之日。</w:t>
      </w:r>
    </w:p>
    <w:p w14:paraId="7A97E04A">
      <w:pPr>
        <w:pStyle w:val="1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2、质疑书应包括下列主要内容：</w:t>
      </w:r>
    </w:p>
    <w:p w14:paraId="4CE993EF">
      <w:pPr>
        <w:pStyle w:val="1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①质疑人的名称、地址、邮政编码、联系人、联系电话，以及被质疑人名称及联系方式；</w:t>
      </w:r>
    </w:p>
    <w:p w14:paraId="29987A35">
      <w:pPr>
        <w:pStyle w:val="1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②被质疑采购项目名称、编号及采购内容；</w:t>
      </w:r>
    </w:p>
    <w:p w14:paraId="6C156B02">
      <w:pPr>
        <w:pStyle w:val="1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③具体的质疑事项及事实依据；</w:t>
      </w:r>
    </w:p>
    <w:p w14:paraId="69234CFA">
      <w:pPr>
        <w:pStyle w:val="1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④认为自己合法权益受到损害或可能受到损害的相关证据材料；</w:t>
      </w:r>
    </w:p>
    <w:p w14:paraId="4DFFAE45">
      <w:pPr>
        <w:pStyle w:val="1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⑤提出质疑的日期。</w:t>
      </w:r>
    </w:p>
    <w:p w14:paraId="51F8306B">
      <w:pPr>
        <w:pStyle w:val="1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3、采购人或者采购代理机构应当在3个工作日内对供应商依法提出的询问作出答复。采购人或者采购代理机构应当在7个工作日内对供应商依法提出的质疑作出答复。供应商提出的询问或者质疑超出采购人对采购代理机构委托授权范围的，采购代理机构应当告知供应商向采购人提出。政府采购评审专家应当配合采购人或者采购代理机构答复供应商的询问和质疑。</w:t>
      </w:r>
    </w:p>
    <w:p w14:paraId="27C30B49">
      <w:pPr>
        <w:pStyle w:val="1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4、质疑供应商对采购人、采购代理机构的答复不满意或者采购人、采购代理机构未在规定的时间内作出答复的，可以在答复期满后15个工作日内向同级政府采购监督管理部门投诉。</w:t>
      </w:r>
    </w:p>
    <w:p w14:paraId="335634D8">
      <w:pPr>
        <w:pStyle w:val="13"/>
        <w:snapToGrid w:val="0"/>
        <w:spacing w:line="360" w:lineRule="auto"/>
        <w:ind w:firstLine="420" w:firstLineChars="200"/>
        <w:rPr>
          <w:rFonts w:hAnsi="宋体" w:eastAsia="宋体" w:cs="宋体"/>
          <w:b/>
          <w:kern w:val="0"/>
          <w:sz w:val="21"/>
          <w:szCs w:val="21"/>
        </w:rPr>
      </w:pPr>
      <w:r>
        <w:rPr>
          <w:rFonts w:hint="eastAsia" w:hAnsi="宋体" w:eastAsia="宋体" w:cs="宋体"/>
          <w:kern w:val="0"/>
          <w:sz w:val="21"/>
          <w:szCs w:val="21"/>
        </w:rPr>
        <w:t>5、供应商质疑、投诉应当有明确的请求和必要的证明材料。供应商投诉的事项不得超出已质疑事项的范围。投诉人捏造事实、提供虚假材料或者以非法手段取得证明材料进行投诉的，财政部门应当予以驳回。财政部门受理投诉后，投诉人书面申请撤回投诉的，财政部门应当终止投诉处理程序。</w:t>
      </w:r>
    </w:p>
    <w:p w14:paraId="608B9380">
      <w:pPr>
        <w:snapToGrid w:val="0"/>
        <w:spacing w:line="360" w:lineRule="auto"/>
        <w:ind w:firstLine="422" w:firstLineChars="200"/>
        <w:rPr>
          <w:rFonts w:ascii="宋体" w:hAnsi="宋体" w:cs="宋体"/>
          <w:b/>
          <w:szCs w:val="21"/>
        </w:rPr>
      </w:pPr>
      <w:r>
        <w:rPr>
          <w:rFonts w:hint="eastAsia" w:ascii="宋体" w:hAnsi="宋体" w:cs="宋体"/>
          <w:b/>
          <w:szCs w:val="21"/>
        </w:rPr>
        <w:t>（九）信用记录：</w:t>
      </w:r>
    </w:p>
    <w:p w14:paraId="19173AF1">
      <w:pPr>
        <w:snapToGrid w:val="0"/>
        <w:spacing w:line="360" w:lineRule="auto"/>
        <w:ind w:firstLine="420" w:firstLineChars="200"/>
        <w:rPr>
          <w:rFonts w:ascii="宋体" w:hAnsi="宋体" w:cs="宋体"/>
          <w:szCs w:val="21"/>
        </w:rPr>
      </w:pPr>
      <w:r>
        <w:rPr>
          <w:rFonts w:hint="eastAsia" w:ascii="宋体" w:hAnsi="宋体" w:cs="宋体"/>
          <w:szCs w:val="21"/>
        </w:rPr>
        <w:t>根据财库[2016]125号《关于在政府采购活动中查询及使用信用记录有关问题的通知》要求，招标代理机构会对供应商信用记录进行查询并甄别。</w:t>
      </w:r>
    </w:p>
    <w:p w14:paraId="70ED6187">
      <w:pPr>
        <w:snapToGrid w:val="0"/>
        <w:spacing w:line="360" w:lineRule="auto"/>
        <w:ind w:firstLine="420" w:firstLineChars="200"/>
        <w:rPr>
          <w:rFonts w:ascii="宋体" w:hAnsi="宋体" w:cs="宋体"/>
          <w:szCs w:val="21"/>
        </w:rPr>
      </w:pPr>
      <w:r>
        <w:rPr>
          <w:rFonts w:hint="eastAsia" w:ascii="宋体" w:hAnsi="宋体" w:cs="宋体"/>
          <w:szCs w:val="21"/>
        </w:rPr>
        <w:t>1、信用信息查询的截止时点：投标截止时间前查询；</w:t>
      </w:r>
    </w:p>
    <w:p w14:paraId="77A57C1B">
      <w:pPr>
        <w:snapToGrid w:val="0"/>
        <w:spacing w:line="360" w:lineRule="auto"/>
        <w:ind w:firstLine="420" w:firstLineChars="200"/>
        <w:rPr>
          <w:rFonts w:ascii="宋体" w:hAnsi="宋体" w:cs="宋体"/>
          <w:szCs w:val="21"/>
        </w:rPr>
      </w:pPr>
      <w:r>
        <w:rPr>
          <w:rFonts w:hint="eastAsia" w:ascii="宋体" w:hAnsi="宋体" w:cs="宋体"/>
          <w:szCs w:val="21"/>
        </w:rPr>
        <w:t>2、查询渠道：</w:t>
      </w:r>
    </w:p>
    <w:p w14:paraId="31FE13FB">
      <w:pPr>
        <w:snapToGrid w:val="0"/>
        <w:spacing w:line="360" w:lineRule="auto"/>
        <w:ind w:firstLine="420" w:firstLineChars="200"/>
        <w:rPr>
          <w:rFonts w:ascii="宋体" w:hAnsi="宋体" w:cs="宋体"/>
          <w:szCs w:val="21"/>
        </w:rPr>
      </w:pPr>
      <w:r>
        <w:rPr>
          <w:rFonts w:hint="eastAsia" w:ascii="宋体" w:hAnsi="宋体" w:cs="宋体"/>
          <w:szCs w:val="21"/>
        </w:rPr>
        <w:t>信用中国（www.creditchina.gov.cn）；</w:t>
      </w:r>
    </w:p>
    <w:p w14:paraId="3974F741">
      <w:pPr>
        <w:snapToGrid w:val="0"/>
        <w:spacing w:line="360" w:lineRule="auto"/>
        <w:ind w:firstLine="420" w:firstLineChars="200"/>
        <w:rPr>
          <w:rFonts w:ascii="宋体" w:hAnsi="宋体" w:cs="宋体"/>
          <w:szCs w:val="21"/>
        </w:rPr>
      </w:pPr>
      <w:r>
        <w:rPr>
          <w:rFonts w:hint="eastAsia" w:ascii="宋体" w:hAnsi="宋体" w:cs="宋体"/>
          <w:szCs w:val="21"/>
        </w:rPr>
        <w:t>中国政府采购网（www.ccgp.gov.cn）；</w:t>
      </w:r>
    </w:p>
    <w:p w14:paraId="07BD7E46">
      <w:pPr>
        <w:snapToGrid w:val="0"/>
        <w:spacing w:line="360" w:lineRule="auto"/>
        <w:ind w:firstLine="420" w:firstLineChars="200"/>
        <w:rPr>
          <w:rFonts w:ascii="宋体" w:hAnsi="宋体" w:cs="宋体"/>
          <w:szCs w:val="21"/>
        </w:rPr>
      </w:pPr>
      <w:r>
        <w:rPr>
          <w:rFonts w:hint="eastAsia" w:ascii="宋体" w:hAnsi="宋体" w:cs="宋体"/>
          <w:szCs w:val="21"/>
        </w:rPr>
        <w:t>3、信用信息查询记录和证据留存具体方式：</w:t>
      </w:r>
      <w:r>
        <w:rPr>
          <w:rFonts w:hint="eastAsia" w:hAnsi="宋体" w:cs="宋体"/>
          <w:kern w:val="0"/>
          <w:szCs w:val="21"/>
        </w:rPr>
        <w:t>采购</w:t>
      </w:r>
      <w:r>
        <w:rPr>
          <w:rFonts w:hint="eastAsia" w:ascii="宋体" w:hAnsi="宋体" w:cs="宋体"/>
          <w:szCs w:val="21"/>
        </w:rPr>
        <w:t>代理机构经办人和监督人员将查询网页打印、签字与其他采购文件一并保存；</w:t>
      </w:r>
    </w:p>
    <w:p w14:paraId="396274A4">
      <w:pPr>
        <w:snapToGrid w:val="0"/>
        <w:spacing w:line="360" w:lineRule="auto"/>
        <w:ind w:firstLine="420" w:firstLineChars="200"/>
        <w:rPr>
          <w:rFonts w:ascii="宋体" w:hAnsi="宋体" w:cs="宋体"/>
          <w:szCs w:val="21"/>
        </w:rPr>
      </w:pPr>
      <w:r>
        <w:rPr>
          <w:rFonts w:hint="eastAsia" w:ascii="宋体" w:hAnsi="宋体" w:cs="宋体"/>
          <w:szCs w:val="21"/>
        </w:rPr>
        <w:t>4、信用信息的使用规则：响应人存在不良信用记录的，其响应将被作为无效响应被拒绝。</w:t>
      </w:r>
    </w:p>
    <w:p w14:paraId="637AC644">
      <w:pPr>
        <w:snapToGrid w:val="0"/>
        <w:spacing w:line="360" w:lineRule="auto"/>
        <w:ind w:firstLine="420" w:firstLineChars="200"/>
        <w:rPr>
          <w:rFonts w:ascii="宋体" w:hAnsi="宋体" w:cs="宋体"/>
          <w:szCs w:val="21"/>
        </w:rPr>
      </w:pPr>
      <w:r>
        <w:rPr>
          <w:rFonts w:hint="eastAsia" w:ascii="宋体" w:hAnsi="宋体" w:cs="宋体"/>
          <w:szCs w:val="21"/>
        </w:rPr>
        <w:t>不良信用记录指：被列入失信被执行人、重大税收违法案件当事人名单、政府采购严重违法失信行为记录名单。</w:t>
      </w:r>
    </w:p>
    <w:p w14:paraId="13CDABA7">
      <w:pPr>
        <w:snapToGrid w:val="0"/>
        <w:spacing w:line="360" w:lineRule="auto"/>
        <w:ind w:firstLine="422" w:firstLineChars="200"/>
        <w:rPr>
          <w:rFonts w:ascii="宋体" w:hAnsi="宋体" w:cs="宋体"/>
          <w:b/>
          <w:bCs/>
          <w:szCs w:val="21"/>
        </w:rPr>
      </w:pPr>
      <w:r>
        <w:rPr>
          <w:rFonts w:hint="eastAsia" w:ascii="宋体" w:hAnsi="宋体" w:cs="宋体"/>
          <w:b/>
          <w:bCs/>
          <w:szCs w:val="21"/>
        </w:rPr>
        <w:t>（十）信贷政策</w:t>
      </w:r>
    </w:p>
    <w:p w14:paraId="7E941230">
      <w:pPr>
        <w:snapToGrid w:val="0"/>
        <w:spacing w:line="360" w:lineRule="auto"/>
        <w:ind w:firstLine="420" w:firstLineChars="200"/>
        <w:rPr>
          <w:rFonts w:ascii="宋体" w:hAnsi="宋体" w:cs="宋体"/>
          <w:szCs w:val="21"/>
        </w:rPr>
      </w:pPr>
      <w:r>
        <w:rPr>
          <w:rFonts w:hint="eastAsia" w:ascii="宋体" w:hAnsi="宋体" w:cs="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7"/>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1E5A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08689AA0">
            <w:pPr>
              <w:contextualSpacing/>
              <w:rPr>
                <w:rFonts w:ascii="宋体" w:hAnsi="宋体"/>
                <w:color w:val="000000"/>
                <w:szCs w:val="21"/>
              </w:rPr>
            </w:pPr>
            <w:r>
              <w:rPr>
                <w:rFonts w:hint="eastAsia" w:ascii="宋体" w:hAnsi="宋体"/>
                <w:color w:val="000000"/>
                <w:szCs w:val="21"/>
              </w:rPr>
              <w:t>舟山市政府采购信用融资合作银行</w:t>
            </w:r>
          </w:p>
        </w:tc>
      </w:tr>
      <w:tr w14:paraId="6F84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14:paraId="4C9F0792">
            <w:pPr>
              <w:contextualSpacing/>
              <w:jc w:val="center"/>
              <w:rPr>
                <w:rFonts w:ascii="宋体" w:hAnsi="宋体"/>
                <w:color w:val="000000"/>
                <w:szCs w:val="21"/>
              </w:rPr>
            </w:pPr>
            <w:r>
              <w:rPr>
                <w:rFonts w:hint="eastAsia" w:ascii="宋体" w:hAnsi="宋体"/>
                <w:color w:val="000000"/>
                <w:szCs w:val="21"/>
              </w:rPr>
              <w:t>银行名称</w:t>
            </w:r>
          </w:p>
        </w:tc>
        <w:tc>
          <w:tcPr>
            <w:tcW w:w="3975" w:type="dxa"/>
            <w:vAlign w:val="center"/>
          </w:tcPr>
          <w:p w14:paraId="58EF84F9">
            <w:pPr>
              <w:contextualSpacing/>
              <w:jc w:val="center"/>
              <w:rPr>
                <w:rFonts w:ascii="宋体" w:hAnsi="宋体"/>
                <w:color w:val="000000"/>
                <w:szCs w:val="21"/>
              </w:rPr>
            </w:pPr>
            <w:r>
              <w:rPr>
                <w:rFonts w:hint="eastAsia" w:ascii="宋体" w:hAnsi="宋体"/>
                <w:color w:val="000000"/>
                <w:szCs w:val="21"/>
              </w:rPr>
              <w:t>各银行介绍的产品特点</w:t>
            </w:r>
          </w:p>
        </w:tc>
        <w:tc>
          <w:tcPr>
            <w:tcW w:w="2220" w:type="dxa"/>
            <w:vAlign w:val="center"/>
          </w:tcPr>
          <w:p w14:paraId="702D5D34">
            <w:pPr>
              <w:contextualSpacing/>
              <w:jc w:val="center"/>
              <w:rPr>
                <w:rFonts w:ascii="宋体" w:hAnsi="宋体"/>
                <w:color w:val="000000"/>
                <w:szCs w:val="21"/>
              </w:rPr>
            </w:pPr>
            <w:r>
              <w:rPr>
                <w:rFonts w:hint="eastAsia" w:ascii="宋体" w:hAnsi="宋体"/>
                <w:color w:val="000000"/>
                <w:szCs w:val="21"/>
              </w:rPr>
              <w:t>经办人</w:t>
            </w:r>
          </w:p>
        </w:tc>
        <w:tc>
          <w:tcPr>
            <w:tcW w:w="1908" w:type="dxa"/>
            <w:vAlign w:val="center"/>
          </w:tcPr>
          <w:p w14:paraId="0D54FF03">
            <w:pPr>
              <w:contextualSpacing/>
              <w:jc w:val="center"/>
              <w:rPr>
                <w:rFonts w:ascii="宋体" w:hAnsi="宋体"/>
                <w:color w:val="000000"/>
                <w:szCs w:val="21"/>
              </w:rPr>
            </w:pPr>
            <w:r>
              <w:rPr>
                <w:rFonts w:hint="eastAsia" w:ascii="宋体" w:hAnsi="宋体"/>
                <w:color w:val="000000"/>
                <w:szCs w:val="21"/>
              </w:rPr>
              <w:t>联系方式</w:t>
            </w:r>
          </w:p>
        </w:tc>
      </w:tr>
      <w:tr w14:paraId="701D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3E1BAA5">
            <w:pPr>
              <w:contextualSpacing/>
              <w:rPr>
                <w:rFonts w:ascii="宋体" w:hAnsi="宋体"/>
                <w:color w:val="000000"/>
                <w:szCs w:val="21"/>
              </w:rPr>
            </w:pPr>
            <w:r>
              <w:rPr>
                <w:rFonts w:hint="eastAsia" w:ascii="宋体" w:hAnsi="宋体"/>
                <w:color w:val="000000"/>
                <w:szCs w:val="21"/>
              </w:rPr>
              <w:t>中国工商银行股份有限公司舟山分行</w:t>
            </w:r>
          </w:p>
        </w:tc>
        <w:tc>
          <w:tcPr>
            <w:tcW w:w="3975" w:type="dxa"/>
          </w:tcPr>
          <w:p w14:paraId="1C88AB9A">
            <w:pPr>
              <w:numPr>
                <w:ilvl w:val="0"/>
                <w:numId w:val="1"/>
              </w:numPr>
              <w:contextualSpacing/>
              <w:rPr>
                <w:rFonts w:ascii="宋体" w:hAnsi="宋体" w:cs="仿宋_GB2312"/>
                <w:color w:val="000000"/>
                <w:szCs w:val="21"/>
              </w:rPr>
            </w:pPr>
            <w:r>
              <w:rPr>
                <w:rFonts w:hint="eastAsia" w:ascii="宋体" w:hAnsi="宋体" w:cs="仿宋_GB2312"/>
                <w:color w:val="000000"/>
                <w:szCs w:val="21"/>
              </w:rPr>
              <w:t>融资额度高，融资金额最高可至订单金额70%，线上申请，随借随还。2.融资利率低，最低可至当期LPR利率。</w:t>
            </w:r>
          </w:p>
          <w:p w14:paraId="04C76A21">
            <w:pPr>
              <w:contextualSpacing/>
              <w:rPr>
                <w:rFonts w:ascii="宋体" w:hAnsi="宋体"/>
                <w:color w:val="000000"/>
                <w:szCs w:val="21"/>
              </w:rPr>
            </w:pPr>
            <w:r>
              <w:rPr>
                <w:rFonts w:hint="eastAsia" w:ascii="宋体" w:hAnsi="宋体" w:cs="仿宋_GB2312"/>
                <w:color w:val="000000"/>
                <w:szCs w:val="21"/>
              </w:rPr>
              <w:t>3.担保方式灵活，以政府采购合同进行融资，无需另外抵押。</w:t>
            </w:r>
          </w:p>
        </w:tc>
        <w:tc>
          <w:tcPr>
            <w:tcW w:w="2220" w:type="dxa"/>
            <w:vAlign w:val="center"/>
          </w:tcPr>
          <w:p w14:paraId="49E9DB87">
            <w:pPr>
              <w:contextualSpacing/>
              <w:jc w:val="center"/>
              <w:rPr>
                <w:rFonts w:ascii="宋体" w:hAnsi="宋体"/>
                <w:color w:val="000000"/>
                <w:szCs w:val="21"/>
              </w:rPr>
            </w:pPr>
            <w:r>
              <w:rPr>
                <w:rFonts w:hint="eastAsia" w:ascii="宋体" w:hAnsi="宋体"/>
                <w:color w:val="000000"/>
                <w:szCs w:val="21"/>
              </w:rPr>
              <w:t>柳超颖</w:t>
            </w:r>
          </w:p>
        </w:tc>
        <w:tc>
          <w:tcPr>
            <w:tcW w:w="1908" w:type="dxa"/>
            <w:vAlign w:val="center"/>
          </w:tcPr>
          <w:p w14:paraId="01FF7B26">
            <w:pPr>
              <w:contextualSpacing/>
              <w:rPr>
                <w:rFonts w:ascii="宋体" w:hAnsi="宋体"/>
                <w:color w:val="000000"/>
                <w:szCs w:val="21"/>
              </w:rPr>
            </w:pPr>
            <w:r>
              <w:rPr>
                <w:rFonts w:hint="eastAsia" w:ascii="宋体" w:hAnsi="宋体"/>
                <w:color w:val="000000"/>
                <w:szCs w:val="21"/>
              </w:rPr>
              <w:t>0580-2166242, 15858076468</w:t>
            </w:r>
          </w:p>
        </w:tc>
      </w:tr>
      <w:tr w14:paraId="3949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726EB43E">
            <w:pPr>
              <w:contextualSpacing/>
              <w:rPr>
                <w:rFonts w:ascii="宋体" w:hAnsi="宋体"/>
                <w:color w:val="000000"/>
                <w:szCs w:val="21"/>
              </w:rPr>
            </w:pPr>
            <w:r>
              <w:rPr>
                <w:rFonts w:hint="eastAsia" w:ascii="宋体" w:hAnsi="宋体"/>
                <w:color w:val="000000"/>
                <w:szCs w:val="21"/>
              </w:rPr>
              <w:t>中国建设银行股份有限公司舟山分行</w:t>
            </w:r>
          </w:p>
        </w:tc>
        <w:tc>
          <w:tcPr>
            <w:tcW w:w="3975" w:type="dxa"/>
          </w:tcPr>
          <w:p w14:paraId="5980A8A4">
            <w:pPr>
              <w:numPr>
                <w:ilvl w:val="0"/>
                <w:numId w:val="2"/>
              </w:numPr>
              <w:contextualSpacing/>
              <w:rPr>
                <w:rFonts w:ascii="宋体" w:hAnsi="宋体"/>
                <w:color w:val="000000"/>
                <w:szCs w:val="21"/>
              </w:rPr>
            </w:pPr>
            <w:r>
              <w:rPr>
                <w:rFonts w:hint="eastAsia" w:ascii="宋体" w:hAnsi="宋体"/>
                <w:color w:val="000000"/>
                <w:szCs w:val="21"/>
              </w:rPr>
              <w:t>快速便捷：全流程线上操作，通过浙江省政府采购网数据审核信用额度，建行供应链平台快速放款。</w:t>
            </w:r>
          </w:p>
          <w:p w14:paraId="615BE38A">
            <w:pPr>
              <w:numPr>
                <w:ilvl w:val="0"/>
                <w:numId w:val="2"/>
              </w:numPr>
              <w:contextualSpacing/>
              <w:rPr>
                <w:rFonts w:ascii="宋体" w:hAnsi="宋体"/>
                <w:color w:val="000000"/>
                <w:szCs w:val="21"/>
              </w:rPr>
            </w:pPr>
            <w:r>
              <w:rPr>
                <w:rFonts w:hint="eastAsia" w:ascii="宋体" w:hAnsi="宋体"/>
                <w:color w:val="000000"/>
                <w:szCs w:val="21"/>
              </w:rPr>
              <w:t>申请额度高：单笔融资额度最高可达政府采购合同金额的90%，单户额度最高可达3000万。</w:t>
            </w:r>
          </w:p>
          <w:p w14:paraId="39850F1E">
            <w:pPr>
              <w:numPr>
                <w:ilvl w:val="0"/>
                <w:numId w:val="2"/>
              </w:numPr>
              <w:contextualSpacing/>
              <w:rPr>
                <w:rFonts w:ascii="宋体" w:hAnsi="宋体"/>
                <w:color w:val="000000"/>
                <w:szCs w:val="21"/>
              </w:rPr>
            </w:pPr>
            <w:r>
              <w:rPr>
                <w:rFonts w:hint="eastAsia" w:ascii="宋体" w:hAnsi="宋体"/>
                <w:color w:val="000000"/>
                <w:szCs w:val="21"/>
              </w:rPr>
              <w:t>无需额外抵押：以浙江省政府采购网备案公示的政府采购合同进行融资，无需额外抵押担保。</w:t>
            </w:r>
          </w:p>
          <w:p w14:paraId="346B7FB1">
            <w:pPr>
              <w:numPr>
                <w:ilvl w:val="0"/>
                <w:numId w:val="2"/>
              </w:numPr>
              <w:contextualSpacing/>
              <w:rPr>
                <w:rFonts w:ascii="宋体" w:hAnsi="宋体"/>
                <w:color w:val="000000"/>
                <w:szCs w:val="21"/>
              </w:rPr>
            </w:pPr>
            <w:r>
              <w:rPr>
                <w:rFonts w:hint="eastAsia" w:ascii="宋体" w:hAnsi="宋体"/>
                <w:color w:val="000000"/>
                <w:szCs w:val="21"/>
              </w:rPr>
              <w:t>利率优惠：给予流动资金贷款最优惠利率。</w:t>
            </w:r>
          </w:p>
        </w:tc>
        <w:tc>
          <w:tcPr>
            <w:tcW w:w="2220" w:type="dxa"/>
            <w:vAlign w:val="center"/>
          </w:tcPr>
          <w:p w14:paraId="72A7FE5A">
            <w:pPr>
              <w:contextualSpacing/>
              <w:jc w:val="center"/>
              <w:rPr>
                <w:rFonts w:ascii="宋体" w:hAnsi="宋体"/>
                <w:color w:val="000000"/>
                <w:szCs w:val="21"/>
              </w:rPr>
            </w:pPr>
            <w:r>
              <w:rPr>
                <w:rFonts w:hint="eastAsia" w:ascii="宋体" w:hAnsi="宋体"/>
                <w:color w:val="000000"/>
                <w:szCs w:val="21"/>
              </w:rPr>
              <w:t>普陀片区：蔡妮妮</w:t>
            </w:r>
          </w:p>
          <w:p w14:paraId="35BF2C10">
            <w:pPr>
              <w:contextualSpacing/>
              <w:jc w:val="center"/>
              <w:rPr>
                <w:rFonts w:ascii="宋体" w:hAnsi="宋体"/>
                <w:color w:val="000000"/>
                <w:szCs w:val="21"/>
              </w:rPr>
            </w:pPr>
            <w:r>
              <w:rPr>
                <w:rFonts w:hint="eastAsia" w:ascii="宋体" w:hAnsi="宋体"/>
                <w:color w:val="000000"/>
                <w:szCs w:val="21"/>
              </w:rPr>
              <w:t>定海片区：杨莹</w:t>
            </w:r>
          </w:p>
          <w:p w14:paraId="7BFD0F97">
            <w:pPr>
              <w:contextualSpacing/>
              <w:jc w:val="center"/>
              <w:rPr>
                <w:rFonts w:ascii="宋体" w:hAnsi="宋体"/>
                <w:color w:val="000000"/>
                <w:szCs w:val="21"/>
              </w:rPr>
            </w:pPr>
            <w:r>
              <w:rPr>
                <w:rFonts w:hint="eastAsia" w:ascii="宋体" w:hAnsi="宋体"/>
                <w:color w:val="000000"/>
                <w:szCs w:val="21"/>
              </w:rPr>
              <w:t>自贸区片区：方晓</w:t>
            </w:r>
          </w:p>
        </w:tc>
        <w:tc>
          <w:tcPr>
            <w:tcW w:w="1908" w:type="dxa"/>
            <w:vAlign w:val="center"/>
          </w:tcPr>
          <w:p w14:paraId="0DA90541">
            <w:pPr>
              <w:contextualSpacing/>
              <w:rPr>
                <w:rFonts w:ascii="宋体" w:hAnsi="宋体"/>
                <w:color w:val="000000"/>
                <w:szCs w:val="21"/>
              </w:rPr>
            </w:pPr>
            <w:r>
              <w:rPr>
                <w:rFonts w:hint="eastAsia" w:ascii="宋体" w:hAnsi="宋体"/>
                <w:color w:val="000000"/>
                <w:szCs w:val="21"/>
              </w:rPr>
              <w:t>普陀片区：13957201791</w:t>
            </w:r>
          </w:p>
          <w:p w14:paraId="74811421">
            <w:pPr>
              <w:contextualSpacing/>
              <w:rPr>
                <w:rFonts w:ascii="宋体" w:hAnsi="宋体"/>
                <w:color w:val="000000"/>
                <w:szCs w:val="21"/>
              </w:rPr>
            </w:pPr>
            <w:r>
              <w:rPr>
                <w:rFonts w:hint="eastAsia" w:ascii="宋体" w:hAnsi="宋体"/>
                <w:color w:val="000000"/>
                <w:szCs w:val="21"/>
              </w:rPr>
              <w:t>定海片区：13655803997</w:t>
            </w:r>
          </w:p>
          <w:p w14:paraId="3DB598F5">
            <w:pPr>
              <w:contextualSpacing/>
              <w:rPr>
                <w:rFonts w:ascii="宋体" w:hAnsi="宋体"/>
                <w:color w:val="000000"/>
                <w:szCs w:val="21"/>
              </w:rPr>
            </w:pPr>
            <w:r>
              <w:rPr>
                <w:rFonts w:hint="eastAsia" w:ascii="宋体" w:hAnsi="宋体"/>
                <w:color w:val="000000"/>
                <w:szCs w:val="21"/>
              </w:rPr>
              <w:t>自贸区片区：13587086324</w:t>
            </w:r>
          </w:p>
        </w:tc>
      </w:tr>
      <w:tr w14:paraId="68F53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D06F621">
            <w:pPr>
              <w:contextualSpacing/>
              <w:rPr>
                <w:rFonts w:ascii="宋体" w:hAnsi="宋体"/>
                <w:color w:val="000000"/>
                <w:szCs w:val="21"/>
              </w:rPr>
            </w:pPr>
            <w:r>
              <w:rPr>
                <w:rFonts w:hint="eastAsia" w:ascii="宋体" w:hAnsi="宋体"/>
                <w:color w:val="000000"/>
                <w:szCs w:val="21"/>
              </w:rPr>
              <w:t>杭州银行股份有限公司舟山市分行</w:t>
            </w:r>
          </w:p>
        </w:tc>
        <w:tc>
          <w:tcPr>
            <w:tcW w:w="3975" w:type="dxa"/>
          </w:tcPr>
          <w:p w14:paraId="596CEFB9">
            <w:pPr>
              <w:contextualSpacing/>
              <w:rPr>
                <w:rFonts w:ascii="宋体" w:hAnsi="宋体"/>
                <w:color w:val="000000"/>
                <w:szCs w:val="21"/>
              </w:rPr>
            </w:pPr>
            <w:r>
              <w:rPr>
                <w:rFonts w:hint="eastAsia" w:ascii="宋体" w:hAnsi="宋体"/>
                <w:color w:val="000000"/>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7ABB9223">
            <w:pPr>
              <w:contextualSpacing/>
              <w:jc w:val="center"/>
              <w:rPr>
                <w:rFonts w:ascii="宋体" w:hAnsi="宋体"/>
                <w:color w:val="000000"/>
                <w:szCs w:val="21"/>
              </w:rPr>
            </w:pPr>
            <w:r>
              <w:rPr>
                <w:rFonts w:hint="eastAsia" w:ascii="宋体" w:hAnsi="宋体"/>
                <w:color w:val="000000"/>
                <w:szCs w:val="21"/>
              </w:rPr>
              <w:t>方经理</w:t>
            </w:r>
          </w:p>
        </w:tc>
        <w:tc>
          <w:tcPr>
            <w:tcW w:w="1908" w:type="dxa"/>
            <w:vAlign w:val="center"/>
          </w:tcPr>
          <w:p w14:paraId="3362B4B6">
            <w:pPr>
              <w:contextualSpacing/>
              <w:rPr>
                <w:rFonts w:ascii="宋体" w:hAnsi="宋体"/>
                <w:color w:val="000000"/>
                <w:szCs w:val="21"/>
              </w:rPr>
            </w:pPr>
            <w:r>
              <w:rPr>
                <w:rFonts w:hint="eastAsia" w:ascii="宋体" w:hAnsi="宋体"/>
                <w:color w:val="000000"/>
                <w:szCs w:val="21"/>
              </w:rPr>
              <w:t>0580-2185201，18205800451</w:t>
            </w:r>
          </w:p>
        </w:tc>
      </w:tr>
      <w:tr w14:paraId="5F76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6F2E99C">
            <w:pPr>
              <w:contextualSpacing/>
              <w:rPr>
                <w:rFonts w:ascii="宋体" w:hAnsi="宋体"/>
                <w:color w:val="000000"/>
                <w:szCs w:val="21"/>
              </w:rPr>
            </w:pPr>
            <w:r>
              <w:rPr>
                <w:rFonts w:hint="eastAsia" w:ascii="宋体" w:hAnsi="宋体"/>
                <w:color w:val="000000"/>
                <w:szCs w:val="21"/>
              </w:rPr>
              <w:t>招商银行股份有限公司浙江自贸试验区舟山分行</w:t>
            </w:r>
          </w:p>
        </w:tc>
        <w:tc>
          <w:tcPr>
            <w:tcW w:w="3975" w:type="dxa"/>
          </w:tcPr>
          <w:p w14:paraId="135679BD">
            <w:pPr>
              <w:rPr>
                <w:rFonts w:ascii="宋体" w:hAnsi="宋体"/>
                <w:szCs w:val="21"/>
              </w:rPr>
            </w:pPr>
            <w:r>
              <w:rPr>
                <w:rFonts w:hint="eastAsia" w:ascii="宋体" w:hAnsi="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6B42F9C1">
            <w:pPr>
              <w:contextualSpacing/>
              <w:jc w:val="center"/>
              <w:rPr>
                <w:rFonts w:ascii="宋体" w:hAnsi="宋体"/>
                <w:color w:val="000000"/>
                <w:szCs w:val="21"/>
              </w:rPr>
            </w:pPr>
            <w:r>
              <w:rPr>
                <w:rFonts w:hint="eastAsia" w:ascii="宋体" w:hAnsi="宋体"/>
                <w:color w:val="000000"/>
                <w:szCs w:val="21"/>
              </w:rPr>
              <w:t>李玲</w:t>
            </w:r>
          </w:p>
        </w:tc>
        <w:tc>
          <w:tcPr>
            <w:tcW w:w="1908" w:type="dxa"/>
            <w:vAlign w:val="center"/>
          </w:tcPr>
          <w:p w14:paraId="45E0D3EE">
            <w:pPr>
              <w:contextualSpacing/>
              <w:rPr>
                <w:rFonts w:ascii="宋体" w:hAnsi="宋体"/>
                <w:color w:val="000000"/>
                <w:szCs w:val="21"/>
              </w:rPr>
            </w:pPr>
            <w:r>
              <w:rPr>
                <w:rFonts w:hint="eastAsia" w:ascii="宋体" w:hAnsi="宋体"/>
                <w:color w:val="000000"/>
                <w:szCs w:val="21"/>
              </w:rPr>
              <w:t>0580-2061710，13957227971</w:t>
            </w:r>
          </w:p>
        </w:tc>
      </w:tr>
      <w:tr w14:paraId="27ED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6A036CE0">
            <w:pPr>
              <w:contextualSpacing/>
              <w:rPr>
                <w:rFonts w:ascii="宋体" w:hAnsi="宋体"/>
                <w:color w:val="000000"/>
                <w:szCs w:val="21"/>
              </w:rPr>
            </w:pPr>
            <w:r>
              <w:rPr>
                <w:rFonts w:hint="eastAsia" w:ascii="宋体" w:hAnsi="宋体"/>
                <w:color w:val="000000"/>
                <w:szCs w:val="21"/>
              </w:rPr>
              <w:t>温州银行股份有限公司舟山市分行</w:t>
            </w:r>
          </w:p>
        </w:tc>
        <w:tc>
          <w:tcPr>
            <w:tcW w:w="3975" w:type="dxa"/>
          </w:tcPr>
          <w:p w14:paraId="4FD74C65">
            <w:pPr>
              <w:numPr>
                <w:ilvl w:val="0"/>
                <w:numId w:val="3"/>
              </w:numPr>
              <w:contextualSpacing/>
              <w:rPr>
                <w:rFonts w:ascii="宋体" w:hAnsi="宋体"/>
                <w:color w:val="000000"/>
                <w:szCs w:val="21"/>
              </w:rPr>
            </w:pPr>
            <w:r>
              <w:rPr>
                <w:rFonts w:hint="eastAsia" w:ascii="宋体" w:hAnsi="宋体"/>
                <w:color w:val="000000"/>
                <w:szCs w:val="21"/>
              </w:rPr>
              <w:t>单户授信敞口最高不超过1000万元，且最高额度核定一般不超过借款人（含实际控制人控制的其他经营实体）最近13个月合计有效中标合同金额的70%。</w:t>
            </w:r>
          </w:p>
          <w:p w14:paraId="1F3BF9E3">
            <w:pPr>
              <w:numPr>
                <w:ilvl w:val="0"/>
                <w:numId w:val="3"/>
              </w:numPr>
              <w:contextualSpacing/>
              <w:rPr>
                <w:rFonts w:ascii="宋体" w:hAnsi="宋体"/>
                <w:color w:val="000000"/>
                <w:szCs w:val="21"/>
              </w:rPr>
            </w:pPr>
            <w:r>
              <w:rPr>
                <w:rFonts w:hint="eastAsia" w:ascii="宋体" w:hAnsi="宋体"/>
                <w:color w:val="000000"/>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121CBAD4">
            <w:pPr>
              <w:numPr>
                <w:ilvl w:val="0"/>
                <w:numId w:val="3"/>
              </w:numPr>
              <w:contextualSpacing/>
              <w:rPr>
                <w:rFonts w:ascii="宋体" w:hAnsi="宋体"/>
                <w:color w:val="000000"/>
                <w:szCs w:val="21"/>
              </w:rPr>
            </w:pPr>
            <w:r>
              <w:rPr>
                <w:rFonts w:hint="eastAsia" w:ascii="宋体" w:hAnsi="宋体"/>
                <w:color w:val="000000"/>
                <w:szCs w:val="21"/>
              </w:rPr>
              <w:t>借款人中标采购人自行采购项目并向我行发起授信申请的，单笔业务授信敞口不超500万元，且不超过借款人中标通知书承载的中标金额或本次申请授信提供的采购合同的80%。</w:t>
            </w:r>
          </w:p>
          <w:p w14:paraId="4BED28C9">
            <w:pPr>
              <w:numPr>
                <w:ilvl w:val="0"/>
                <w:numId w:val="3"/>
              </w:numPr>
              <w:contextualSpacing/>
              <w:rPr>
                <w:rFonts w:ascii="宋体" w:hAnsi="宋体"/>
                <w:color w:val="000000"/>
                <w:szCs w:val="21"/>
              </w:rPr>
            </w:pPr>
            <w:r>
              <w:rPr>
                <w:rFonts w:hint="eastAsia" w:ascii="宋体" w:hAnsi="宋体"/>
                <w:color w:val="000000"/>
                <w:szCs w:val="21"/>
              </w:rPr>
              <w:t>符合我行采购人资质的，且负债率不超75%，配合应收账款质押登记确认的，并可出具确认函，单笔借款额度可按不超过采购合同的90%办理。</w:t>
            </w:r>
          </w:p>
        </w:tc>
        <w:tc>
          <w:tcPr>
            <w:tcW w:w="2220" w:type="dxa"/>
            <w:vAlign w:val="center"/>
          </w:tcPr>
          <w:p w14:paraId="67A7CCBC">
            <w:pPr>
              <w:contextualSpacing/>
              <w:jc w:val="center"/>
              <w:rPr>
                <w:rFonts w:ascii="宋体" w:hAnsi="宋体"/>
                <w:color w:val="000000"/>
                <w:szCs w:val="21"/>
              </w:rPr>
            </w:pPr>
            <w:r>
              <w:rPr>
                <w:rFonts w:hint="eastAsia" w:ascii="宋体" w:hAnsi="宋体"/>
                <w:color w:val="000000"/>
                <w:szCs w:val="21"/>
              </w:rPr>
              <w:t>郑贤栋</w:t>
            </w:r>
          </w:p>
        </w:tc>
        <w:tc>
          <w:tcPr>
            <w:tcW w:w="1908" w:type="dxa"/>
            <w:vAlign w:val="center"/>
          </w:tcPr>
          <w:p w14:paraId="2D0962F3">
            <w:pPr>
              <w:contextualSpacing/>
              <w:rPr>
                <w:rFonts w:ascii="宋体" w:hAnsi="宋体"/>
                <w:color w:val="000000"/>
                <w:szCs w:val="21"/>
              </w:rPr>
            </w:pPr>
            <w:r>
              <w:rPr>
                <w:rFonts w:hint="eastAsia" w:ascii="宋体" w:hAnsi="宋体"/>
                <w:color w:val="000000"/>
                <w:szCs w:val="21"/>
              </w:rPr>
              <w:t>058—8866086</w:t>
            </w:r>
          </w:p>
        </w:tc>
      </w:tr>
      <w:tr w14:paraId="45B3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79A1E400">
            <w:pPr>
              <w:contextualSpacing/>
              <w:rPr>
                <w:rFonts w:ascii="宋体" w:hAnsi="宋体"/>
                <w:color w:val="000000"/>
                <w:szCs w:val="21"/>
              </w:rPr>
            </w:pPr>
            <w:r>
              <w:rPr>
                <w:rFonts w:hint="eastAsia" w:ascii="宋体" w:hAnsi="宋体"/>
                <w:color w:val="000000"/>
                <w:szCs w:val="21"/>
              </w:rPr>
              <w:t>交通银行股份有限公司舟山分行</w:t>
            </w:r>
          </w:p>
        </w:tc>
        <w:tc>
          <w:tcPr>
            <w:tcW w:w="3975" w:type="dxa"/>
          </w:tcPr>
          <w:p w14:paraId="5CAD1460">
            <w:pPr>
              <w:contextualSpacing/>
              <w:rPr>
                <w:rFonts w:ascii="宋体" w:hAnsi="宋体"/>
                <w:color w:val="000000"/>
                <w:szCs w:val="21"/>
              </w:rPr>
            </w:pPr>
            <w:r>
              <w:rPr>
                <w:rFonts w:hint="eastAsia" w:ascii="宋体" w:hAnsi="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szCs w:val="21"/>
              </w:rPr>
              <w:t>PR</w:t>
            </w:r>
            <w:r>
              <w:rPr>
                <w:rFonts w:ascii="宋体" w:hAnsi="宋体"/>
                <w:szCs w:val="21"/>
              </w:rPr>
              <w:t>。</w:t>
            </w:r>
          </w:p>
        </w:tc>
        <w:tc>
          <w:tcPr>
            <w:tcW w:w="2220" w:type="dxa"/>
            <w:vAlign w:val="center"/>
          </w:tcPr>
          <w:p w14:paraId="602AF28E">
            <w:pPr>
              <w:contextualSpacing/>
              <w:jc w:val="center"/>
              <w:rPr>
                <w:rFonts w:ascii="宋体" w:hAnsi="宋体"/>
                <w:color w:val="000000"/>
                <w:szCs w:val="21"/>
              </w:rPr>
            </w:pPr>
            <w:r>
              <w:rPr>
                <w:rFonts w:hint="eastAsia" w:ascii="宋体" w:hAnsi="宋体"/>
                <w:color w:val="000000"/>
                <w:szCs w:val="21"/>
              </w:rPr>
              <w:t>赵争艳</w:t>
            </w:r>
          </w:p>
        </w:tc>
        <w:tc>
          <w:tcPr>
            <w:tcW w:w="1908" w:type="dxa"/>
            <w:vAlign w:val="center"/>
          </w:tcPr>
          <w:p w14:paraId="7590F829">
            <w:pPr>
              <w:contextualSpacing/>
              <w:rPr>
                <w:rFonts w:ascii="宋体" w:hAnsi="宋体"/>
                <w:color w:val="000000"/>
                <w:szCs w:val="21"/>
              </w:rPr>
            </w:pPr>
            <w:r>
              <w:rPr>
                <w:rFonts w:hint="eastAsia" w:ascii="宋体" w:hAnsi="宋体"/>
                <w:color w:val="000000"/>
                <w:szCs w:val="21"/>
              </w:rPr>
              <w:t>0580-2260728</w:t>
            </w:r>
          </w:p>
          <w:p w14:paraId="7B294B3D">
            <w:pPr>
              <w:contextualSpacing/>
              <w:rPr>
                <w:rFonts w:ascii="宋体" w:hAnsi="宋体"/>
                <w:color w:val="000000"/>
                <w:szCs w:val="21"/>
              </w:rPr>
            </w:pPr>
            <w:r>
              <w:rPr>
                <w:rFonts w:hint="eastAsia" w:ascii="宋体" w:hAnsi="宋体"/>
                <w:color w:val="000000"/>
                <w:szCs w:val="21"/>
              </w:rPr>
              <w:t>13758007280</w:t>
            </w:r>
          </w:p>
        </w:tc>
      </w:tr>
      <w:tr w14:paraId="09750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50E952C9">
            <w:pPr>
              <w:contextualSpacing/>
              <w:rPr>
                <w:rFonts w:ascii="宋体" w:hAnsi="宋体"/>
                <w:color w:val="000000"/>
                <w:szCs w:val="21"/>
              </w:rPr>
            </w:pPr>
            <w:r>
              <w:rPr>
                <w:rFonts w:hint="eastAsia" w:ascii="宋体" w:hAnsi="宋体"/>
                <w:color w:val="000000"/>
                <w:szCs w:val="21"/>
              </w:rPr>
              <w:t>中信银行股份有限公司舟山分行</w:t>
            </w:r>
          </w:p>
        </w:tc>
        <w:tc>
          <w:tcPr>
            <w:tcW w:w="3975" w:type="dxa"/>
          </w:tcPr>
          <w:p w14:paraId="484414F2">
            <w:pPr>
              <w:contextualSpacing/>
              <w:rPr>
                <w:rFonts w:ascii="宋体" w:hAnsi="宋体"/>
                <w:color w:val="000000"/>
                <w:szCs w:val="21"/>
              </w:rPr>
            </w:pPr>
            <w:r>
              <w:rPr>
                <w:rFonts w:hint="eastAsia" w:ascii="宋体" w:hAnsi="宋体"/>
                <w:color w:val="000000"/>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5E6ED77F">
            <w:pPr>
              <w:contextualSpacing/>
              <w:jc w:val="center"/>
              <w:rPr>
                <w:rFonts w:ascii="宋体" w:hAnsi="宋体"/>
                <w:color w:val="000000"/>
                <w:szCs w:val="21"/>
              </w:rPr>
            </w:pPr>
            <w:r>
              <w:rPr>
                <w:rFonts w:ascii="宋体" w:hAnsi="宋体"/>
                <w:color w:val="000000"/>
                <w:szCs w:val="21"/>
              </w:rPr>
              <w:t>黄丽</w:t>
            </w:r>
          </w:p>
        </w:tc>
        <w:tc>
          <w:tcPr>
            <w:tcW w:w="1908" w:type="dxa"/>
            <w:vAlign w:val="center"/>
          </w:tcPr>
          <w:p w14:paraId="4449DCD2">
            <w:pPr>
              <w:contextualSpacing/>
              <w:rPr>
                <w:rFonts w:ascii="宋体" w:hAnsi="宋体"/>
                <w:color w:val="000000"/>
                <w:szCs w:val="21"/>
              </w:rPr>
            </w:pPr>
            <w:r>
              <w:rPr>
                <w:rFonts w:ascii="宋体" w:hAnsi="宋体"/>
                <w:color w:val="000000"/>
                <w:szCs w:val="21"/>
              </w:rPr>
              <w:t>13905808032</w:t>
            </w:r>
          </w:p>
        </w:tc>
      </w:tr>
      <w:tr w14:paraId="1D83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3E89C674">
            <w:pPr>
              <w:contextualSpacing/>
              <w:rPr>
                <w:rFonts w:ascii="宋体" w:hAnsi="宋体"/>
                <w:color w:val="000000"/>
                <w:szCs w:val="21"/>
              </w:rPr>
            </w:pPr>
            <w:r>
              <w:rPr>
                <w:rFonts w:hint="eastAsia" w:ascii="宋体" w:hAnsi="宋体"/>
                <w:color w:val="000000"/>
                <w:szCs w:val="21"/>
              </w:rPr>
              <w:t>泰隆银行舟山市分行</w:t>
            </w:r>
          </w:p>
        </w:tc>
        <w:tc>
          <w:tcPr>
            <w:tcW w:w="3975" w:type="dxa"/>
          </w:tcPr>
          <w:p w14:paraId="5C19FE10">
            <w:pPr>
              <w:contextualSpacing/>
              <w:rPr>
                <w:rFonts w:ascii="宋体" w:hAnsi="宋体"/>
                <w:color w:val="000000"/>
                <w:szCs w:val="21"/>
              </w:rPr>
            </w:pPr>
            <w:r>
              <w:rPr>
                <w:rFonts w:hint="eastAsia" w:ascii="宋体" w:hAnsi="宋体"/>
                <w:color w:val="000000"/>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42FC49D0">
            <w:pPr>
              <w:contextualSpacing/>
              <w:jc w:val="center"/>
              <w:rPr>
                <w:rFonts w:ascii="宋体" w:hAnsi="宋体"/>
                <w:color w:val="000000"/>
                <w:szCs w:val="21"/>
              </w:rPr>
            </w:pPr>
            <w:r>
              <w:rPr>
                <w:rFonts w:hint="eastAsia" w:ascii="宋体" w:hAnsi="宋体"/>
                <w:color w:val="000000"/>
                <w:szCs w:val="21"/>
              </w:rPr>
              <w:t>胡亢宇</w:t>
            </w:r>
          </w:p>
        </w:tc>
        <w:tc>
          <w:tcPr>
            <w:tcW w:w="1908" w:type="dxa"/>
            <w:vAlign w:val="center"/>
          </w:tcPr>
          <w:p w14:paraId="7510CFF7">
            <w:pPr>
              <w:contextualSpacing/>
              <w:rPr>
                <w:rFonts w:ascii="宋体" w:hAnsi="宋体"/>
                <w:color w:val="000000"/>
                <w:szCs w:val="21"/>
              </w:rPr>
            </w:pPr>
            <w:r>
              <w:rPr>
                <w:rFonts w:hint="eastAsia" w:ascii="宋体" w:hAnsi="宋体"/>
                <w:color w:val="000000"/>
                <w:szCs w:val="21"/>
              </w:rPr>
              <w:t>17605868703</w:t>
            </w:r>
          </w:p>
        </w:tc>
      </w:tr>
      <w:tr w14:paraId="06BD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59035D1">
            <w:pPr>
              <w:contextualSpacing/>
              <w:rPr>
                <w:rFonts w:ascii="宋体" w:hAnsi="宋体"/>
                <w:color w:val="000000"/>
                <w:szCs w:val="21"/>
              </w:rPr>
            </w:pPr>
            <w:r>
              <w:rPr>
                <w:rFonts w:hint="eastAsia" w:ascii="宋体" w:hAnsi="宋体"/>
                <w:color w:val="000000"/>
                <w:szCs w:val="21"/>
              </w:rPr>
              <w:t>中国农业银行股份有限公司舟山分行</w:t>
            </w:r>
          </w:p>
        </w:tc>
        <w:tc>
          <w:tcPr>
            <w:tcW w:w="3975" w:type="dxa"/>
          </w:tcPr>
          <w:p w14:paraId="7766EE16">
            <w:pPr>
              <w:contextualSpacing/>
              <w:rPr>
                <w:rFonts w:ascii="宋体" w:hAnsi="宋体"/>
                <w:color w:val="000000"/>
                <w:szCs w:val="21"/>
              </w:rPr>
            </w:pPr>
            <w:r>
              <w:rPr>
                <w:rFonts w:hint="eastAsia" w:ascii="宋体" w:hAnsi="宋体"/>
                <w:color w:val="000000"/>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w:t>
            </w:r>
            <w:r>
              <w:rPr>
                <w:rFonts w:hint="eastAsia" w:ascii="宋体" w:hAnsi="宋体"/>
                <w:color w:val="000000"/>
                <w:szCs w:val="21"/>
                <w:lang w:eastAsia="zh-CN"/>
              </w:rPr>
              <w:t>法定代表人</w:t>
            </w:r>
            <w:r>
              <w:rPr>
                <w:rFonts w:hint="eastAsia" w:ascii="宋体" w:hAnsi="宋体"/>
                <w:color w:val="000000"/>
                <w:szCs w:val="21"/>
              </w:rPr>
              <w:t>或实际控制人连带责任保证担保；应收账款形成后，信用方式用信需变更为应收账款质押担保。</w:t>
            </w:r>
          </w:p>
        </w:tc>
        <w:tc>
          <w:tcPr>
            <w:tcW w:w="2220" w:type="dxa"/>
            <w:vAlign w:val="center"/>
          </w:tcPr>
          <w:p w14:paraId="36E5BD34">
            <w:pPr>
              <w:contextualSpacing/>
              <w:jc w:val="center"/>
              <w:rPr>
                <w:rFonts w:ascii="宋体" w:hAnsi="宋体"/>
                <w:color w:val="000000"/>
                <w:szCs w:val="21"/>
              </w:rPr>
            </w:pPr>
            <w:r>
              <w:rPr>
                <w:rFonts w:hint="eastAsia" w:ascii="宋体" w:hAnsi="宋体"/>
                <w:color w:val="000000"/>
                <w:szCs w:val="21"/>
              </w:rPr>
              <w:t>苏华瞻</w:t>
            </w:r>
          </w:p>
        </w:tc>
        <w:tc>
          <w:tcPr>
            <w:tcW w:w="1908" w:type="dxa"/>
            <w:vAlign w:val="center"/>
          </w:tcPr>
          <w:p w14:paraId="3252EA9C">
            <w:pPr>
              <w:contextualSpacing/>
              <w:rPr>
                <w:rFonts w:ascii="宋体" w:hAnsi="宋体"/>
                <w:color w:val="000000"/>
                <w:szCs w:val="21"/>
              </w:rPr>
            </w:pPr>
            <w:r>
              <w:rPr>
                <w:rFonts w:hint="eastAsia" w:ascii="宋体" w:hAnsi="宋体"/>
                <w:color w:val="000000"/>
                <w:szCs w:val="21"/>
              </w:rPr>
              <w:t>13967228926</w:t>
            </w:r>
          </w:p>
        </w:tc>
      </w:tr>
      <w:tr w14:paraId="5C830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F255FFB">
            <w:pPr>
              <w:contextualSpacing/>
              <w:rPr>
                <w:rFonts w:ascii="宋体" w:hAnsi="宋体"/>
                <w:color w:val="000000"/>
                <w:szCs w:val="21"/>
              </w:rPr>
            </w:pPr>
            <w:r>
              <w:rPr>
                <w:rFonts w:hint="eastAsia" w:ascii="宋体" w:hAnsi="宋体"/>
                <w:color w:val="000000"/>
                <w:szCs w:val="21"/>
              </w:rPr>
              <w:t>中国邮政储蓄银行股份有限公司舟山市分行</w:t>
            </w:r>
          </w:p>
        </w:tc>
        <w:tc>
          <w:tcPr>
            <w:tcW w:w="3975" w:type="dxa"/>
          </w:tcPr>
          <w:p w14:paraId="420FC253">
            <w:pPr>
              <w:tabs>
                <w:tab w:val="left" w:pos="0"/>
              </w:tabs>
              <w:rPr>
                <w:rFonts w:ascii="宋体" w:hAnsi="宋体"/>
                <w:color w:val="000000"/>
                <w:szCs w:val="21"/>
              </w:rPr>
            </w:pPr>
            <w:r>
              <w:rPr>
                <w:rFonts w:hint="eastAsia" w:ascii="宋体" w:hAnsi="宋体"/>
                <w:color w:val="000000"/>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4F78FD82">
            <w:pPr>
              <w:contextualSpacing/>
              <w:jc w:val="center"/>
              <w:rPr>
                <w:rFonts w:ascii="宋体" w:hAnsi="宋体"/>
                <w:color w:val="000000"/>
                <w:szCs w:val="21"/>
              </w:rPr>
            </w:pPr>
            <w:r>
              <w:rPr>
                <w:rFonts w:hint="eastAsia" w:ascii="宋体" w:hAnsi="宋体"/>
                <w:color w:val="000000"/>
                <w:szCs w:val="21"/>
              </w:rPr>
              <w:t>蒋志燕</w:t>
            </w:r>
          </w:p>
        </w:tc>
        <w:tc>
          <w:tcPr>
            <w:tcW w:w="1908" w:type="dxa"/>
            <w:vAlign w:val="center"/>
          </w:tcPr>
          <w:p w14:paraId="50447A93">
            <w:pPr>
              <w:contextualSpacing/>
              <w:rPr>
                <w:rFonts w:ascii="宋体" w:hAnsi="宋体"/>
                <w:color w:val="000000"/>
                <w:szCs w:val="21"/>
              </w:rPr>
            </w:pPr>
            <w:r>
              <w:rPr>
                <w:rFonts w:hint="eastAsia" w:ascii="宋体" w:hAnsi="宋体"/>
                <w:color w:val="000000"/>
                <w:szCs w:val="21"/>
              </w:rPr>
              <w:t>13732527321</w:t>
            </w:r>
          </w:p>
        </w:tc>
      </w:tr>
    </w:tbl>
    <w:p w14:paraId="62F3D032">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2、一般步骤</w:t>
      </w:r>
    </w:p>
    <w:p w14:paraId="01E08C5D">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（1）供应商先与银行对接，办理融资前期手续；</w:t>
      </w:r>
    </w:p>
    <w:p w14:paraId="290173F1">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（2）供应商成交后，凭成交通知书等材料，向相关合作银行发出融资申请；</w:t>
      </w:r>
    </w:p>
    <w:p w14:paraId="73746176">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（3）银行、供应商线上办理审批、放贷事宜。</w:t>
      </w:r>
    </w:p>
    <w:p w14:paraId="6C73497C">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3、注意事项</w:t>
      </w:r>
    </w:p>
    <w:p w14:paraId="02AAF30E">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（1）成交供应商需确保政府采购合同的收款账户与融资银行开户账户一致。</w:t>
      </w:r>
    </w:p>
    <w:p w14:paraId="448108BF">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（2）用于政府采购信用融资的政府采购合同，应当包含如下条款：“第</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条：政府采购合同贷款</w:t>
      </w:r>
    </w:p>
    <w:p w14:paraId="26E54DD8">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本合同同时用于乙方向 </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银行（金融机构）申请政府采购信用贷款。</w:t>
      </w:r>
    </w:p>
    <w:p w14:paraId="3AA99C5E">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bCs/>
          <w:szCs w:val="21"/>
        </w:rPr>
        <w:t>本合同一经签订，原则上不得更改乙方收款账户信息。确须更改的，乙方应取得原合同收款账户开户银行书面同意，否则修改后的合同不予备案，采购资金不予支付。”</w:t>
      </w:r>
    </w:p>
    <w:p w14:paraId="75687A9C">
      <w:pPr>
        <w:snapToGrid w:val="0"/>
        <w:spacing w:line="360" w:lineRule="auto"/>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（十一）浙江万事达建设工程管理有限公司拥有本磋商文件最终解释权。</w:t>
      </w:r>
    </w:p>
    <w:p w14:paraId="64D625B9">
      <w:pPr>
        <w:snapToGrid w:val="0"/>
        <w:spacing w:line="360" w:lineRule="auto"/>
        <w:ind w:firstLine="200"/>
        <w:rPr>
          <w:rFonts w:cs="宋体" w:asciiTheme="minorEastAsia" w:hAnsiTheme="minorEastAsia" w:eastAsiaTheme="minorEastAsia"/>
          <w:b/>
          <w:szCs w:val="21"/>
        </w:rPr>
      </w:pPr>
    </w:p>
    <w:p w14:paraId="12B0E413">
      <w:pPr>
        <w:snapToGrid w:val="0"/>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二、磋商文件</w:t>
      </w:r>
    </w:p>
    <w:p w14:paraId="03C15819">
      <w:pPr>
        <w:snapToGrid w:val="0"/>
        <w:spacing w:line="360" w:lineRule="auto"/>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（一）磋商文件的构成</w:t>
      </w:r>
    </w:p>
    <w:p w14:paraId="2B5BB166">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第一章  竞争性磋商公告</w:t>
      </w:r>
    </w:p>
    <w:p w14:paraId="077811D0">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第二章  采购需求</w:t>
      </w:r>
    </w:p>
    <w:p w14:paraId="75E76E3C">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第三章  响应人须知</w:t>
      </w:r>
    </w:p>
    <w:p w14:paraId="0D011E31">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第四章  评标办法及标准</w:t>
      </w:r>
    </w:p>
    <w:p w14:paraId="54FF735A">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第五章  合同主要条款</w:t>
      </w:r>
    </w:p>
    <w:p w14:paraId="3E0FFA6D">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第六章  响应文件组成</w:t>
      </w:r>
    </w:p>
    <w:p w14:paraId="31A4CC56">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其他有关补充文件</w:t>
      </w:r>
    </w:p>
    <w:p w14:paraId="7EB820FC">
      <w:pPr>
        <w:pStyle w:val="6"/>
        <w:widowControl w:val="0"/>
        <w:snapToGrid w:val="0"/>
        <w:spacing w:afterLines="0" w:line="360" w:lineRule="auto"/>
        <w:ind w:left="0" w:firstLine="422" w:firstLineChars="200"/>
        <w:jc w:val="both"/>
        <w:rPr>
          <w:rFonts w:cs="宋体" w:asciiTheme="minorEastAsia" w:hAnsiTheme="minorEastAsia" w:eastAsiaTheme="minorEastAsia"/>
          <w:b/>
          <w:kern w:val="2"/>
          <w:sz w:val="21"/>
          <w:szCs w:val="21"/>
        </w:rPr>
      </w:pPr>
      <w:r>
        <w:rPr>
          <w:rFonts w:hint="eastAsia" w:cs="宋体" w:asciiTheme="minorEastAsia" w:hAnsiTheme="minorEastAsia" w:eastAsiaTheme="minorEastAsia"/>
          <w:b/>
          <w:sz w:val="21"/>
          <w:szCs w:val="21"/>
        </w:rPr>
        <w:t>（</w:t>
      </w:r>
      <w:r>
        <w:rPr>
          <w:rFonts w:hint="eastAsia" w:cs="宋体" w:asciiTheme="minorEastAsia" w:hAnsiTheme="minorEastAsia" w:eastAsiaTheme="minorEastAsia"/>
          <w:b/>
          <w:kern w:val="2"/>
          <w:sz w:val="21"/>
          <w:szCs w:val="21"/>
        </w:rPr>
        <w:t xml:space="preserve">二）磋商文件的澄清与修改 </w:t>
      </w:r>
    </w:p>
    <w:p w14:paraId="17F6A389">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响应人应认真阅读本磋商文件，发现其中有误或有要求不合理的，响应人必须在响应截止前5天内以书面形式要求采购人澄清。响应人对已发出的磋商文件进行必要澄清、答复、修改或补充的，应当在磋商文件要求提交响应文件截止时间5天前，在相关的采购信息发布媒体上发布更正公告，并通知所有已购买磋商文件的潜在响应人。</w:t>
      </w:r>
    </w:p>
    <w:p w14:paraId="715BBAFB">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2、采购人以书面形式答复响应人要求澄清的问题，并将不包含问题来源的答复书面通知所有购买磋商文件的潜在响应人；除书面答复以外的其他澄清方式及澄清内容均无效。</w:t>
      </w:r>
    </w:p>
    <w:p w14:paraId="152D8159">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磋商文件的答复、澄清、修改、补充通知实质上改变采购需求相关内容，且自磋商文件的答复、澄清、修改、补充通知发出之日起至响应截止时间止不足5天的，采购人可视情况推迟响应截止时间和开启时间，按规定在相关的采购信息发布媒体上发布变更公告，并将变更后的时间通知所有已购买磋商文件的潜在响应人。</w:t>
      </w:r>
    </w:p>
    <w:p w14:paraId="425A4591">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4、磋商文件澄清、答复、修改、补充的内容为磋商文件的组成部分。当磋商文件与磋商文件的答复、澄清、修改、补充通知就同一内容的表述不一致时，以最后发出的书面文件为准。</w:t>
      </w:r>
    </w:p>
    <w:p w14:paraId="6C2B515B">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5、磋商文件的澄清、答复、修改或补充都应该通过本采购代理机构以法定形式发布，采购人非通过本采购代理机构的，不得擅自澄清、答复、修改或补充磋商文件。</w:t>
      </w:r>
    </w:p>
    <w:p w14:paraId="3A97DB3B">
      <w:pPr>
        <w:pStyle w:val="13"/>
        <w:snapToGrid w:val="0"/>
        <w:spacing w:line="360" w:lineRule="auto"/>
        <w:ind w:firstLine="415" w:firstLineChars="198"/>
        <w:rPr>
          <w:rFonts w:cs="宋体" w:asciiTheme="minorEastAsia" w:hAnsiTheme="minorEastAsia" w:eastAsiaTheme="minorEastAsia"/>
          <w:sz w:val="21"/>
          <w:szCs w:val="21"/>
        </w:rPr>
      </w:pPr>
    </w:p>
    <w:p w14:paraId="7C2F9917">
      <w:pPr>
        <w:snapToGrid w:val="0"/>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三、响应文件的编制</w:t>
      </w:r>
    </w:p>
    <w:p w14:paraId="2D702DEE">
      <w:pPr>
        <w:snapToGrid w:val="0"/>
        <w:spacing w:line="360" w:lineRule="auto"/>
        <w:ind w:firstLine="422" w:firstLineChars="200"/>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（一）响应文件的形式和效力</w:t>
      </w:r>
    </w:p>
    <w:p w14:paraId="13154350">
      <w:pPr>
        <w:adjustRightInd w:val="0"/>
        <w:snapToGrid w:val="0"/>
        <w:spacing w:line="360" w:lineRule="auto"/>
        <w:ind w:firstLine="422" w:firstLineChars="200"/>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响应文件分为电子响应文件以及备份响应文件，备份响应文件为以介质存储的数据电文形式的响应文件。</w:t>
      </w:r>
    </w:p>
    <w:p w14:paraId="5767C6F9">
      <w:pPr>
        <w:adjustRightInd w:val="0"/>
        <w:snapToGrid w:val="0"/>
        <w:spacing w:line="360" w:lineRule="auto"/>
        <w:ind w:firstLine="422" w:firstLineChars="200"/>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1、电子响应文件，按“政采云供应商项目采购-电子招投标操作指南”及本磋商文件要求制作、加密并递交。</w:t>
      </w:r>
    </w:p>
    <w:p w14:paraId="73C4FF86">
      <w:pPr>
        <w:adjustRightInd w:val="0"/>
        <w:snapToGrid w:val="0"/>
        <w:spacing w:line="360" w:lineRule="auto"/>
        <w:ind w:firstLine="422" w:firstLineChars="200"/>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2、以介质存储的数据电文形式的备份响应文件，按政采云供应商项目采购-电子招投标操作指南中制作的电子响应文件。</w:t>
      </w:r>
    </w:p>
    <w:p w14:paraId="74212EA6">
      <w:pPr>
        <w:adjustRightInd w:val="0"/>
        <w:snapToGrid w:val="0"/>
        <w:spacing w:line="360" w:lineRule="auto"/>
        <w:ind w:firstLine="422" w:firstLineChars="200"/>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响应文件的启用，按先后顺位分别为电子响应文件、以介质存储的数据电文形式的备份响应文件。在下一顺位的响应文件启用时，前一顺位的响应文件自动失效。</w:t>
      </w:r>
    </w:p>
    <w:p w14:paraId="306B2F7F">
      <w:pPr>
        <w:snapToGrid w:val="0"/>
        <w:spacing w:line="360" w:lineRule="auto"/>
        <w:ind w:firstLine="422" w:firstLineChars="200"/>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（二）响应文件的组成</w:t>
      </w:r>
    </w:p>
    <w:p w14:paraId="36AD0615">
      <w:pPr>
        <w:snapToGrid w:val="0"/>
        <w:spacing w:line="360" w:lineRule="auto"/>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szCs w:val="21"/>
        </w:rPr>
        <w:t>响应文件由磋商报价文件、资格证明文件、商务技术文件组成。</w:t>
      </w:r>
      <w:r>
        <w:rPr>
          <w:rFonts w:hint="eastAsia" w:cs="宋体" w:asciiTheme="minorEastAsia" w:hAnsiTheme="minorEastAsia" w:eastAsiaTheme="minorEastAsia"/>
          <w:color w:val="000000"/>
          <w:szCs w:val="21"/>
        </w:rPr>
        <w:t>电子响应文件中所须加盖公章部分均采用CA签章。（具体要求详见第六章 响应文件组成）</w:t>
      </w:r>
    </w:p>
    <w:p w14:paraId="5D6FC17D">
      <w:pPr>
        <w:snapToGrid w:val="0"/>
        <w:spacing w:line="360" w:lineRule="auto"/>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（三）响应文件的语言及计量</w:t>
      </w:r>
    </w:p>
    <w:p w14:paraId="3D88AC8C">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1、响应文件以及响应人与采购代理机构就有关响应事宜的所有来往函电，均应以中文汉语书写。除签名、盖章、专用名称、特殊证明材料等情形外，以中文汉语以外的文字表述的响应文件视同未提供。</w:t>
      </w:r>
    </w:p>
    <w:p w14:paraId="69448F59">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2、响应计量单位，应采用中华人民共和国法定计量单位（货币单位：人民币元），否则视同未响应。</w:t>
      </w:r>
    </w:p>
    <w:p w14:paraId="76D46E6A">
      <w:pPr>
        <w:snapToGrid w:val="0"/>
        <w:spacing w:line="360" w:lineRule="auto"/>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（四）磋商报价与相关费用</w:t>
      </w:r>
    </w:p>
    <w:p w14:paraId="67CDD29F">
      <w:pPr>
        <w:pStyle w:val="13"/>
        <w:snapToGrid w:val="0"/>
        <w:spacing w:line="360" w:lineRule="auto"/>
        <w:ind w:firstLine="420" w:firstLineChars="20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详见《响应人须知前附表》</w:t>
      </w:r>
    </w:p>
    <w:p w14:paraId="59865921">
      <w:pPr>
        <w:pStyle w:val="13"/>
        <w:snapToGrid w:val="0"/>
        <w:spacing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（五）响应文件的有效期</w:t>
      </w:r>
    </w:p>
    <w:p w14:paraId="6390CF00">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1、自响应截止日起90天响应文件应保持有效。有效期不足的响应文件将被拒绝。</w:t>
      </w:r>
    </w:p>
    <w:p w14:paraId="5147EC29">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2、在特殊情况下，采购人可与响应人协商延长响应文件的有效期，这种要求和答复均以书面形式进行。</w:t>
      </w:r>
    </w:p>
    <w:p w14:paraId="17EF5C06">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3、成交人的响应文件自开启之日起至合同履行完毕止均应保持有效。</w:t>
      </w:r>
    </w:p>
    <w:p w14:paraId="381E7BE9">
      <w:pPr>
        <w:snapToGrid w:val="0"/>
        <w:spacing w:line="360" w:lineRule="auto"/>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（六）响应文件的签署和编制</w:t>
      </w:r>
    </w:p>
    <w:p w14:paraId="0E38AE70">
      <w:pPr>
        <w:adjustRightInd w:val="0"/>
        <w:snapToGrid w:val="0"/>
        <w:spacing w:line="360" w:lineRule="auto"/>
        <w:ind w:firstLine="422" w:firstLineChars="200"/>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1、电子响应文件部分：</w:t>
      </w:r>
    </w:p>
    <w:p w14:paraId="1B8CAF46">
      <w:pPr>
        <w:adjustRightInd w:val="0"/>
        <w:snapToGrid w:val="0"/>
        <w:spacing w:line="360" w:lineRule="auto"/>
        <w:ind w:firstLine="422" w:firstLineChars="200"/>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响应人应根据“政采云供应商项目采购-电子招投标操作指南”及本磋商文件规定的格式和顺序编制电子响应文件并进行关联定位。</w:t>
      </w:r>
    </w:p>
    <w:p w14:paraId="3256AA81">
      <w:pPr>
        <w:adjustRightInd w:val="0"/>
        <w:snapToGrid w:val="0"/>
        <w:spacing w:line="360" w:lineRule="auto"/>
        <w:ind w:firstLine="422" w:firstLineChars="200"/>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2、以介质存储的数据电文形式的备份响应文件部分：</w:t>
      </w:r>
    </w:p>
    <w:p w14:paraId="2484FB0B">
      <w:pPr>
        <w:adjustRightInd w:val="0"/>
        <w:snapToGrid w:val="0"/>
        <w:spacing w:line="360" w:lineRule="auto"/>
        <w:ind w:firstLine="422" w:firstLineChars="200"/>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备份电子响应文件，以光盘或U盘形式存储。</w:t>
      </w:r>
    </w:p>
    <w:p w14:paraId="29BFC356">
      <w:pPr>
        <w:snapToGrid w:val="0"/>
        <w:spacing w:line="360" w:lineRule="auto"/>
        <w:ind w:firstLine="422" w:firstLineChars="200"/>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（七）响应文件的修改和撤回</w:t>
      </w:r>
    </w:p>
    <w:p w14:paraId="4B5F5AA6">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1、电子响应文件部分：</w:t>
      </w:r>
    </w:p>
    <w:p w14:paraId="5FEEE202">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响应人应当在响应截止时间前完成电子响应文件的传输递交，并可以补充、修改或者撤回电子响应文件。补充或者修改电子响应文件的，应当先行撤回原文件，补充、修改后重新传输递交。响应截止时间前未完成传输的，视为撤回响应文件。响应截止时间后送达的响应文件，将被政采云平台拒收。</w:t>
      </w:r>
    </w:p>
    <w:p w14:paraId="0D2B138D">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2、以介质存储的数据电文形式的备份响应文件部分：</w:t>
      </w:r>
    </w:p>
    <w:p w14:paraId="03F084E3">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响应人在响应截止时间之前，可以对已提交的备份响应文件进行修改或撤回，并书面形式（响应人代表签字）通知采购代理机构；响应截止时间后，响应人不得撤回、修改备份响应文件。修改后重新递交的备份响应文件应当按本磋商文件的要求密封和签字。</w:t>
      </w:r>
    </w:p>
    <w:p w14:paraId="1C2C56BE">
      <w:pPr>
        <w:snapToGrid w:val="0"/>
        <w:spacing w:line="360" w:lineRule="auto"/>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（八）响应无效的情形</w:t>
      </w:r>
    </w:p>
    <w:p w14:paraId="258903CA">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实质上没有响应磋商文件要求的响应将被视为无效响应。响应人不得通过修正或撤销不合要求的偏离或保留从而使其响应成为实质上响应的响应。经磋商小组认定属于响应人笔误所造成的差错，应当允许其在评标结束之前进行修改或者补正（可以是复印件、传真件等）。修改或者补正响应文件必须以书面形式进行，并应在成交结果公告之前查核原件。限期内不补正或经补正后仍不符合磋商文件要求的，应认定其响应无效。响应人修改、补正响应文件后，不影响磋商小组对其响应文件所作的评价和评分结果。</w:t>
      </w:r>
    </w:p>
    <w:p w14:paraId="67AF5AF0">
      <w:pPr>
        <w:pStyle w:val="13"/>
        <w:snapToGrid w:val="0"/>
        <w:spacing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1、在符合性审查和商务评审时，如发现下列情形之一的，响应文件将被视为无效响应：</w:t>
      </w:r>
    </w:p>
    <w:p w14:paraId="68B615EA">
      <w:pPr>
        <w:snapToGrid w:val="0"/>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1.1电子响应文件解密失败的，且未在规定时间内提交有效备份响应文件的；</w:t>
      </w:r>
    </w:p>
    <w:p w14:paraId="39FAB664">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1.2未按磋商文件要求密封、签字、盖章的；</w:t>
      </w:r>
    </w:p>
    <w:p w14:paraId="065EAEED">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1.3资格证明文件不全的，或者不符合磋商文件标明的资格要求的；</w:t>
      </w:r>
    </w:p>
    <w:p w14:paraId="2500BE00">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1.4响应文件组成不全的；</w:t>
      </w:r>
    </w:p>
    <w:p w14:paraId="6E78C6F7">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1.5响应文件的实质性内容未使用中文表述、意思表述不明确、前后矛盾或者使用计量单位不符合磋商文件要求的；（经磋商小组认定允许其当场更正的笔误除外）</w:t>
      </w:r>
    </w:p>
    <w:p w14:paraId="200A39D1">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1.6响应文件的关键内容字迹模糊、无法辨认的，或者响应文件中经修正的内容字迹模糊难以辩认或者修改处未按规定签名盖章的；</w:t>
      </w:r>
    </w:p>
    <w:p w14:paraId="2321DCA1">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1.7实质性条款不能满足磋商文件要求的；</w:t>
      </w:r>
    </w:p>
    <w:p w14:paraId="6447962D">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1.8不响应磋商文件要求或者响应文件有采购人不能接受的附加条件的；</w:t>
      </w:r>
    </w:p>
    <w:p w14:paraId="00A95DDD">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1.9 响应文件没有按磋商文件要求提供有标“▲”的条款的资料和材料的；</w:t>
      </w:r>
    </w:p>
    <w:p w14:paraId="36E665A1">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1.10响应文件资格证明、商务技术部分中出现磋商报价信息的。</w:t>
      </w:r>
    </w:p>
    <w:p w14:paraId="7D1248E1">
      <w:pPr>
        <w:pStyle w:val="13"/>
        <w:snapToGrid w:val="0"/>
        <w:spacing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2、在技术评审时，如发现下列情形之一的，响应文件将被视为无效响应：</w:t>
      </w:r>
    </w:p>
    <w:p w14:paraId="37EF1635">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2.1响应文件标明的响应或偏离与事实不符或虚假响应的；</w:t>
      </w:r>
    </w:p>
    <w:p w14:paraId="0C57EB23">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2.2明显不符合磋商文件中标“▲”的技术指标、主要功能项目发生实质性偏离的；</w:t>
      </w:r>
    </w:p>
    <w:p w14:paraId="2CDD2A2F">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2.3响应技术方案不明确，存在一个或一个以上备选（替代）响应的。</w:t>
      </w:r>
    </w:p>
    <w:p w14:paraId="0FF73F15">
      <w:pPr>
        <w:pStyle w:val="13"/>
        <w:snapToGrid w:val="0"/>
        <w:spacing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3、在磋商报价文件评审时，如发现下列情形之一的，响应文件将被视为无效响应：</w:t>
      </w:r>
    </w:p>
    <w:p w14:paraId="377B0CEB">
      <w:pPr>
        <w:pStyle w:val="13"/>
        <w:tabs>
          <w:tab w:val="left" w:pos="1680"/>
        </w:tabs>
        <w:snapToGrid w:val="0"/>
        <w:spacing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3.1超过项目的预算金额的；</w:t>
      </w:r>
    </w:p>
    <w:p w14:paraId="1841CC42">
      <w:pPr>
        <w:pStyle w:val="13"/>
        <w:snapToGrid w:val="0"/>
        <w:spacing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3.2有选择或有条件的报价的；</w:t>
      </w:r>
    </w:p>
    <w:p w14:paraId="1C70105D">
      <w:pPr>
        <w:pStyle w:val="13"/>
        <w:snapToGrid w:val="0"/>
        <w:spacing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3.3 报价文件中缺失报价的。</w:t>
      </w:r>
    </w:p>
    <w:p w14:paraId="0E908CB7">
      <w:pPr>
        <w:snapToGrid w:val="0"/>
        <w:spacing w:line="360" w:lineRule="auto"/>
        <w:ind w:firstLine="422" w:firstLineChars="200"/>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（九）出现以下情形，导致电子交易平台无法正常运行，或者无法保证电子交易的公平、公正和安全时，中止电子交易活动：</w:t>
      </w:r>
    </w:p>
    <w:p w14:paraId="3FBF98D1">
      <w:pPr>
        <w:snapToGrid w:val="0"/>
        <w:spacing w:line="360" w:lineRule="auto"/>
        <w:ind w:firstLine="420" w:firstLineChars="200"/>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1、电子交易平台发生故障而无法登录访问的；</w:t>
      </w:r>
    </w:p>
    <w:p w14:paraId="69106C3C">
      <w:pPr>
        <w:snapToGrid w:val="0"/>
        <w:spacing w:line="360" w:lineRule="auto"/>
        <w:ind w:firstLine="420" w:firstLineChars="200"/>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2、电子交易平台应用或数据库出现错误，不能进行正常操作的；</w:t>
      </w:r>
    </w:p>
    <w:p w14:paraId="2CD37BBE">
      <w:pPr>
        <w:snapToGrid w:val="0"/>
        <w:spacing w:line="360" w:lineRule="auto"/>
        <w:ind w:firstLine="420" w:firstLineChars="200"/>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3、电子交易平台发现严重安全漏洞，有潜在泄密危险的；</w:t>
      </w:r>
    </w:p>
    <w:p w14:paraId="79515051">
      <w:pPr>
        <w:snapToGrid w:val="0"/>
        <w:spacing w:line="360" w:lineRule="auto"/>
        <w:ind w:firstLine="420" w:firstLineChars="200"/>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4、病毒发作导致不能进行正常操作的；</w:t>
      </w:r>
    </w:p>
    <w:p w14:paraId="3A653970">
      <w:pPr>
        <w:snapToGrid w:val="0"/>
        <w:spacing w:line="360" w:lineRule="auto"/>
        <w:ind w:firstLine="420" w:firstLineChars="200"/>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5、其他无法保证电子交易的公平、公正和安全的情况。</w:t>
      </w:r>
    </w:p>
    <w:p w14:paraId="7CF835C2">
      <w:pPr>
        <w:snapToGrid w:val="0"/>
        <w:spacing w:line="360" w:lineRule="auto"/>
        <w:ind w:firstLine="420" w:firstLineChars="200"/>
        <w:rPr>
          <w:rFonts w:cs="宋体" w:asciiTheme="minorEastAsia" w:hAnsiTheme="minorEastAsia" w:eastAsiaTheme="minorEastAsia"/>
          <w:bCs/>
          <w:color w:val="00B050"/>
          <w:szCs w:val="21"/>
        </w:rPr>
      </w:pPr>
      <w:r>
        <w:rPr>
          <w:rFonts w:hint="eastAsia" w:cs="宋体" w:asciiTheme="minorEastAsia" w:hAnsiTheme="minorEastAsia" w:eastAsiaTheme="minorEastAsia"/>
          <w:bCs/>
          <w:color w:val="000000"/>
          <w:szCs w:val="21"/>
        </w:rPr>
        <w:t>出现前款规定情形，不影响采购公平、公正性的，招标代理机构可以待上述情形消除后继续组织电子交易活动，也可以决定某些环节以纸质形式进行；影响或可能影响采购公平、公正性的，重新采购。</w:t>
      </w:r>
    </w:p>
    <w:p w14:paraId="6DF558A4">
      <w:pPr>
        <w:snapToGrid w:val="0"/>
        <w:spacing w:line="360" w:lineRule="auto"/>
        <w:ind w:firstLine="200"/>
        <w:rPr>
          <w:rFonts w:cs="宋体" w:asciiTheme="minorEastAsia" w:hAnsiTheme="minorEastAsia" w:eastAsiaTheme="minorEastAsia"/>
          <w:b/>
          <w:szCs w:val="21"/>
        </w:rPr>
      </w:pPr>
    </w:p>
    <w:p w14:paraId="05640E27">
      <w:pPr>
        <w:snapToGrid w:val="0"/>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四、开标</w:t>
      </w:r>
    </w:p>
    <w:p w14:paraId="18E2D774">
      <w:pPr>
        <w:pStyle w:val="13"/>
        <w:snapToGrid w:val="0"/>
        <w:spacing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（一）开标准备</w:t>
      </w:r>
    </w:p>
    <w:p w14:paraId="56274396">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采购代理机构将在规定的时间和地点进行开标。本项目不要求响应人授权代表参加现场开标、开启响应文件活动。</w:t>
      </w:r>
    </w:p>
    <w:p w14:paraId="3021347E">
      <w:pPr>
        <w:pStyle w:val="13"/>
        <w:snapToGrid w:val="0"/>
        <w:spacing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（二）开标程序</w:t>
      </w:r>
    </w:p>
    <w:p w14:paraId="26411C38">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1、开标会由采购代理机构相关工作人员主持，主持人宣布开标会议开始。</w:t>
      </w:r>
    </w:p>
    <w:p w14:paraId="34171C90">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2、介绍参加开标会的人员名单。</w:t>
      </w:r>
    </w:p>
    <w:p w14:paraId="1FC43EB1">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3、宣布开标纪律和有关事项，告知应当回避的情形，提请有关人员回避。</w:t>
      </w:r>
    </w:p>
    <w:p w14:paraId="4B6C2D42">
      <w:pPr>
        <w:snapToGrid w:val="0"/>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4、电子招投标开标及评审程序</w:t>
      </w:r>
    </w:p>
    <w:p w14:paraId="0315C5FC">
      <w:pPr>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4.1响应截止时间后，响应人登录政采云平台，用“项目采购-开标评标”功能对电子响应文件进行在线解密。</w:t>
      </w:r>
    </w:p>
    <w:p w14:paraId="34CE007F">
      <w:pPr>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4.2磋商小组对资格进行评审；</w:t>
      </w:r>
    </w:p>
    <w:p w14:paraId="0AE15AC7">
      <w:pPr>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4.3公布资格评审结果；</w:t>
      </w:r>
    </w:p>
    <w:p w14:paraId="1E55BE49">
      <w:pPr>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4.4磋商小组就价格、服务等认为需要磋商的内容分别与各响应人进行磋商。</w:t>
      </w:r>
    </w:p>
    <w:p w14:paraId="2AD0B051">
      <w:pPr>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4.5磋商小组对商务技术响应文件进行评审；</w:t>
      </w:r>
    </w:p>
    <w:p w14:paraId="1DC38C5B">
      <w:pPr>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4.6各响应人在规定时间内于系统上提交最终报价，最终报价不得超过自身的初次报价。</w:t>
      </w:r>
    </w:p>
    <w:p w14:paraId="6014C088">
      <w:pPr>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4.7公布商务技术评审结果；</w:t>
      </w:r>
    </w:p>
    <w:p w14:paraId="73CABA9C">
      <w:pPr>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4.8公布报价开标情况；</w:t>
      </w:r>
    </w:p>
    <w:p w14:paraId="56CF1013">
      <w:pPr>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4.9磋商小组对报价情况进行评审；</w:t>
      </w:r>
    </w:p>
    <w:p w14:paraId="794EDDEA">
      <w:pPr>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4.10公布评审结果。</w:t>
      </w:r>
    </w:p>
    <w:p w14:paraId="4CACA502">
      <w:pPr>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特别说明：政采云公司如对电子化开标及评审程序有调整的，按调整后的程序操作。</w:t>
      </w:r>
    </w:p>
    <w:p w14:paraId="1DFDDA51">
      <w:pPr>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5、如遇电子招投标系统故障的，启用备份响应文件</w:t>
      </w:r>
    </w:p>
    <w:p w14:paraId="4D2B91EF">
      <w:pPr>
        <w:snapToGrid w:val="0"/>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6、本项目原则上采用政采云电子招投标开标及评审程序，但若响应人在规定时间内无法解密或解密失败，采购代理机构将开启未能在规定时间内解密的响应人递交的备份响应文件。</w:t>
      </w:r>
    </w:p>
    <w:p w14:paraId="4232B5DD">
      <w:pPr>
        <w:snapToGrid w:val="0"/>
        <w:spacing w:line="360" w:lineRule="auto"/>
        <w:ind w:firstLine="422" w:firstLineChars="200"/>
        <w:rPr>
          <w:rFonts w:cs="宋体" w:asciiTheme="minorEastAsia" w:hAnsiTheme="minorEastAsia" w:eastAsiaTheme="minorEastAsia"/>
          <w:b/>
          <w:szCs w:val="21"/>
        </w:rPr>
      </w:pPr>
    </w:p>
    <w:p w14:paraId="1D3D1A63">
      <w:pPr>
        <w:snapToGrid w:val="0"/>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五、评标</w:t>
      </w:r>
    </w:p>
    <w:p w14:paraId="18A102BC">
      <w:pPr>
        <w:pStyle w:val="13"/>
        <w:snapToGrid w:val="0"/>
        <w:spacing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（一）组建磋商小组</w:t>
      </w:r>
    </w:p>
    <w:p w14:paraId="4F9B598E">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磋商小组由采购人代表和评审专家共 3 人以上单数组成，其中评审专家人数不得少于磋商小组成员总数的 2/3。</w:t>
      </w:r>
    </w:p>
    <w:p w14:paraId="33906D98">
      <w:pPr>
        <w:pStyle w:val="13"/>
        <w:snapToGrid w:val="0"/>
        <w:spacing w:line="360" w:lineRule="auto"/>
        <w:ind w:firstLine="422" w:firstLineChars="200"/>
        <w:rPr>
          <w:rFonts w:cs="宋体" w:asciiTheme="minorEastAsia" w:hAnsiTheme="minorEastAsia" w:eastAsiaTheme="minorEastAsia"/>
          <w:sz w:val="21"/>
          <w:szCs w:val="21"/>
        </w:rPr>
      </w:pPr>
      <w:r>
        <w:rPr>
          <w:rFonts w:hint="eastAsia" w:cs="宋体" w:asciiTheme="minorEastAsia" w:hAnsiTheme="minorEastAsia" w:eastAsiaTheme="minorEastAsia"/>
          <w:b/>
          <w:sz w:val="21"/>
          <w:szCs w:val="21"/>
        </w:rPr>
        <w:t>（二）评标程序</w:t>
      </w:r>
    </w:p>
    <w:p w14:paraId="51A08B10">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1、资格审查</w:t>
      </w:r>
    </w:p>
    <w:p w14:paraId="6C9EBF84">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磋商小组对响应人的资格进行审查。</w:t>
      </w:r>
    </w:p>
    <w:p w14:paraId="3758E926">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2、实质审查与比较</w:t>
      </w:r>
    </w:p>
    <w:p w14:paraId="6871529A">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2.1磋商小组审查响应文件的实质性内容是否符合磋商文件的实质性要求。</w:t>
      </w:r>
    </w:p>
    <w:p w14:paraId="605B916D">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2.2磋商小组将根据响应人的响应文件进行审查、核对，如有疑问，将对响应人进行询标，响应人要向磋商小组澄清有关问题，并最终以书面形式进行答复。</w:t>
      </w:r>
    </w:p>
    <w:p w14:paraId="63B7BC85">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2.3响应人代表未到场或者拒绝澄清或者澄清的内容改变了响应文件的实质性内容的，磋商小组有权对该响应文件作出不利于响应人的评判。</w:t>
      </w:r>
    </w:p>
    <w:p w14:paraId="56A0C334">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2.4各响应人的商务技术得分由指定专人进行计算复核。</w:t>
      </w:r>
    </w:p>
    <w:p w14:paraId="39DD4728">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2.5各响应人报价得分根据评分标准计算。</w:t>
      </w:r>
    </w:p>
    <w:p w14:paraId="6AB00EB9">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2.6磋商小组完成评标后，对各部分得分汇总，得出本项目最终得分，磋商小组按评标原则推荐成交候选人同时起草评审报告。</w:t>
      </w:r>
    </w:p>
    <w:p w14:paraId="4A983D96">
      <w:pPr>
        <w:snapToGrid w:val="0"/>
        <w:spacing w:line="360" w:lineRule="auto"/>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（三）澄清问题的形式</w:t>
      </w:r>
    </w:p>
    <w:p w14:paraId="136D6988">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对响应文件中含义不明确、同类问题表述不一致或者有明显文字和计算错误的内容，磋商小组可要求响应人作出必要的澄清、说明或者纠正。响应人的澄清、说明或者补正应当采用书面形式，由其全权代表签字或盖章确认，并不得超出响应文件的范围或者改变响应文件的实质性内容。</w:t>
      </w:r>
    </w:p>
    <w:p w14:paraId="6CEC5D63">
      <w:pPr>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（四）报价错误修正</w:t>
      </w:r>
    </w:p>
    <w:p w14:paraId="680775F4">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color w:val="000000"/>
          <w:szCs w:val="21"/>
        </w:rPr>
        <w:t>磋商小组对确定响应文件为实质上响应磋商文件要求的，磋商文件报价出现前后不一致的，按照下列规定修正：</w:t>
      </w:r>
    </w:p>
    <w:p w14:paraId="6DCA11B1">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cs="宋体" w:asciiTheme="minorEastAsia" w:hAnsiTheme="minorEastAsia" w:eastAsiaTheme="minorEastAsia"/>
          <w:color w:val="000000"/>
          <w:szCs w:val="21"/>
          <w:shd w:val="clear" w:color="auto" w:fill="FFFFFF"/>
        </w:rPr>
        <w:t>响应文件开标一览表（报价表）内容与响应文件中相应内容不一致的，以开标一览表（报价表）为准；</w:t>
      </w:r>
    </w:p>
    <w:p w14:paraId="4A75A98F">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color w:val="000000"/>
          <w:szCs w:val="21"/>
          <w:shd w:val="clear" w:color="auto" w:fill="FFFFFF"/>
        </w:rPr>
        <w:t>2、大写金额和小写金额不一致的，以大写金额为准；</w:t>
      </w:r>
    </w:p>
    <w:p w14:paraId="63CA4591">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color w:val="000000"/>
          <w:szCs w:val="21"/>
          <w:shd w:val="clear" w:color="auto" w:fill="FFFFFF"/>
        </w:rPr>
        <w:t>3、单价金额小数点或者百分比有明显错位的，以开标一览表的总价为准，并修改单价；</w:t>
      </w:r>
    </w:p>
    <w:p w14:paraId="5B1DD04B">
      <w:pPr>
        <w:spacing w:line="360" w:lineRule="auto"/>
        <w:ind w:firstLine="420" w:firstLineChars="200"/>
        <w:rPr>
          <w:rFonts w:cs="宋体" w:asciiTheme="minorEastAsia" w:hAnsiTheme="minorEastAsia" w:eastAsiaTheme="minorEastAsia"/>
          <w:color w:val="000000"/>
          <w:szCs w:val="21"/>
          <w:shd w:val="clear" w:color="auto" w:fill="FFFFFF"/>
        </w:rPr>
      </w:pPr>
      <w:r>
        <w:rPr>
          <w:rFonts w:hint="eastAsia" w:cs="宋体" w:asciiTheme="minorEastAsia" w:hAnsiTheme="minorEastAsia" w:eastAsiaTheme="minorEastAsia"/>
          <w:color w:val="000000"/>
          <w:szCs w:val="21"/>
          <w:shd w:val="clear" w:color="auto" w:fill="FFFFFF"/>
        </w:rPr>
        <w:t>4、总价金额与按单价汇总金额不一致的，以单价金额计算结果为准。</w:t>
      </w:r>
    </w:p>
    <w:p w14:paraId="3B4A437B">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color w:val="000000"/>
          <w:szCs w:val="21"/>
          <w:shd w:val="clear" w:color="auto" w:fill="FFFFFF"/>
        </w:rPr>
        <w:t>5、</w:t>
      </w:r>
      <w:r>
        <w:rPr>
          <w:rFonts w:hint="eastAsia" w:cs="宋体" w:asciiTheme="minorEastAsia" w:hAnsiTheme="minorEastAsia" w:eastAsiaTheme="minorEastAsia"/>
          <w:szCs w:val="21"/>
        </w:rPr>
        <w:t>电子交易平台客户端里开标一览表录入的信息与响应文件不一致的，以响应文件为准；</w:t>
      </w:r>
    </w:p>
    <w:p w14:paraId="016A6B74">
      <w:pPr>
        <w:pStyle w:val="13"/>
        <w:snapToGrid w:val="0"/>
        <w:spacing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同时出现两种以上不一致的，按上述顺序修正；按上述修正错误的原则及方法调整或修正响应文件的磋商报价，响应人同意并签字确认后，调整后的磋商报价对响应人具有约束作用。如果响应人不接受修正后的报价，则其响应将作为无效响应处理。</w:t>
      </w:r>
    </w:p>
    <w:p w14:paraId="670841A7">
      <w:pPr>
        <w:pStyle w:val="13"/>
        <w:snapToGrid w:val="0"/>
        <w:spacing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（五）评标原则和评标办法</w:t>
      </w:r>
    </w:p>
    <w:p w14:paraId="38AF780E">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1、磋商小组必须公平、公正、客观，不带任何倾向性和启发性；不得向外界透露任何与评标有关的内容；任何单位和个人不得干扰、影响评标的正常进行；磋商小组及有关工作人员不得私下与响应人接触。</w:t>
      </w:r>
    </w:p>
    <w:p w14:paraId="2EE20AB8">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2、评标办法。本项目评标办法是</w:t>
      </w:r>
      <w:r>
        <w:rPr>
          <w:rFonts w:hint="eastAsia" w:cs="宋体" w:asciiTheme="minorEastAsia" w:hAnsiTheme="minorEastAsia" w:eastAsiaTheme="minorEastAsia"/>
          <w:sz w:val="21"/>
          <w:szCs w:val="21"/>
          <w:u w:val="single"/>
        </w:rPr>
        <w:t>综合评分法</w:t>
      </w:r>
      <w:r>
        <w:rPr>
          <w:rFonts w:hint="eastAsia" w:cs="宋体" w:asciiTheme="minorEastAsia" w:hAnsiTheme="minorEastAsia" w:eastAsiaTheme="minorEastAsia"/>
          <w:sz w:val="21"/>
          <w:szCs w:val="21"/>
        </w:rPr>
        <w:t>，具体评标内容及评分标准等详见《第四章：评标办法及评分标准》。</w:t>
      </w:r>
    </w:p>
    <w:p w14:paraId="25E16A90">
      <w:pPr>
        <w:pStyle w:val="13"/>
        <w:snapToGrid w:val="0"/>
        <w:spacing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（六）磋商过程的监控</w:t>
      </w:r>
    </w:p>
    <w:p w14:paraId="1BFFE0B9">
      <w:pPr>
        <w:pStyle w:val="13"/>
        <w:snapToGrid w:val="0"/>
        <w:spacing w:line="360" w:lineRule="auto"/>
        <w:ind w:firstLine="420" w:firstLineChars="200"/>
        <w:rPr>
          <w:rFonts w:cs="宋体" w:asciiTheme="minorEastAsia" w:hAnsiTheme="minorEastAsia" w:eastAsiaTheme="minorEastAsia"/>
          <w:b/>
          <w:sz w:val="21"/>
          <w:szCs w:val="21"/>
        </w:rPr>
      </w:pPr>
      <w:r>
        <w:rPr>
          <w:rFonts w:hint="eastAsia" w:cs="宋体" w:asciiTheme="minorEastAsia" w:hAnsiTheme="minorEastAsia" w:eastAsiaTheme="minorEastAsia"/>
          <w:sz w:val="21"/>
          <w:szCs w:val="21"/>
        </w:rPr>
        <w:t>本项目磋商过程实行全程录音、录像监控，响应人在磋商过程中所进行的试图影响评标结果的不公正活动，可能导致其响应被拒绝。</w:t>
      </w:r>
    </w:p>
    <w:p w14:paraId="35C1CD2F">
      <w:pPr>
        <w:snapToGrid w:val="0"/>
        <w:spacing w:line="360" w:lineRule="auto"/>
        <w:ind w:firstLine="200"/>
        <w:rPr>
          <w:rFonts w:cs="宋体" w:asciiTheme="minorEastAsia" w:hAnsiTheme="minorEastAsia" w:eastAsiaTheme="minorEastAsia"/>
          <w:b/>
          <w:szCs w:val="21"/>
        </w:rPr>
      </w:pPr>
    </w:p>
    <w:p w14:paraId="0A5BED20">
      <w:pPr>
        <w:snapToGrid w:val="0"/>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六、废标</w:t>
      </w:r>
    </w:p>
    <w:p w14:paraId="10B235DF">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出现下列情形之一的，采购人或者采购代理机构应当终止竞争性磋商采购活动，发布项目终止公告并说明原因，重新开展采购活动：</w:t>
      </w:r>
    </w:p>
    <w:p w14:paraId="4D6A92DF">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（一）因情况变化，不再符合规定的竞争性磋商采购方式适用情形的；</w:t>
      </w:r>
    </w:p>
    <w:p w14:paraId="2CBCB671">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（二）出现影响采购公正的违法、违规行为的；</w:t>
      </w:r>
    </w:p>
    <w:p w14:paraId="57C7F052">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（三）在采购过程中符合要求的供应商或者报价未超过采购预算的供应商不足 3 家的，以下情形除外：</w:t>
      </w:r>
    </w:p>
    <w:p w14:paraId="0078797C">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1、市场竞争不充分的科研项目，以及需要扶持的科技成果转化项目，提交最后报价的供应商可以为 2 家；</w:t>
      </w:r>
    </w:p>
    <w:p w14:paraId="75F892DB">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2、政府购买服务项目（含政府和社会资本合作项目），在采购过程中符合要求的供应商（社会资本）只有2家的，竞争性磋商采购活动可以继续进行。</w:t>
      </w:r>
    </w:p>
    <w:p w14:paraId="35CC8A83">
      <w:pPr>
        <w:snapToGrid w:val="0"/>
        <w:spacing w:line="360" w:lineRule="auto"/>
        <w:ind w:firstLine="200"/>
        <w:rPr>
          <w:rFonts w:cs="宋体" w:asciiTheme="minorEastAsia" w:hAnsiTheme="minorEastAsia" w:eastAsiaTheme="minorEastAsia"/>
          <w:b/>
          <w:szCs w:val="21"/>
        </w:rPr>
      </w:pPr>
    </w:p>
    <w:p w14:paraId="5A6B1C98">
      <w:pPr>
        <w:snapToGrid w:val="0"/>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七、定标</w:t>
      </w:r>
    </w:p>
    <w:p w14:paraId="395BAF57">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（一）确定成交人。本项目由采购人事先授权磋商小组确定成交候选人3名。推荐第一名成交候选人为成交人，经采购人确认后，确定项目成交人，同时发布采购结果公告，发出成交通知书。</w:t>
      </w:r>
    </w:p>
    <w:p w14:paraId="0AFCC012">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1、采购代理机构在评标结束后在2个工作日内将评审报告交采购人确认。</w:t>
      </w:r>
    </w:p>
    <w:p w14:paraId="34F0A309">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2、采购人应当自收到评审报告之日起5个工作日内在评审报告推荐的中标或者成交候选人中按顺序确定中标或者成交供应商。</w:t>
      </w:r>
    </w:p>
    <w:p w14:paraId="3F2AAD4B">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采购人或者采购代理机构应当自成交人确定之日起2个工作日内，在省级以上财政部门指定的媒体上公告成交结果，磋商文件应当随成交结果同时公告。在公告成交结果的同时，采购人或者采购代理机构应当向成交人发出成交通知书。</w:t>
      </w:r>
    </w:p>
    <w:p w14:paraId="59494B56">
      <w:pPr>
        <w:pStyle w:val="13"/>
        <w:snapToGrid w:val="0"/>
        <w:spacing w:line="360" w:lineRule="auto"/>
        <w:ind w:firstLine="420" w:firstLineChars="200"/>
        <w:rPr>
          <w:rFonts w:cs="宋体" w:asciiTheme="minorEastAsia" w:hAnsiTheme="minorEastAsia" w:eastAsiaTheme="minorEastAsia"/>
          <w:b/>
          <w:sz w:val="21"/>
          <w:szCs w:val="21"/>
        </w:rPr>
      </w:pPr>
      <w:r>
        <w:rPr>
          <w:rFonts w:hint="eastAsia" w:cs="宋体" w:asciiTheme="minorEastAsia" w:hAnsiTheme="minorEastAsia" w:eastAsiaTheme="minorEastAsia"/>
          <w:sz w:val="21"/>
          <w:szCs w:val="21"/>
        </w:rPr>
        <w:t>（二）成交人因自身原因放弃中标或因不可抗力不能履行合同的；经质疑，采购代理机构审查确认因成交人在本次采购活动中存在违法违规行为或其他原因使质疑成立的，如发生上述两种情况的，采购人可以与排位在成交人之后第一位的成交候选人签订采购合同，以此类推。</w:t>
      </w:r>
    </w:p>
    <w:p w14:paraId="7EA42EF2">
      <w:pPr>
        <w:snapToGrid w:val="0"/>
        <w:spacing w:line="360" w:lineRule="auto"/>
        <w:ind w:firstLine="200"/>
        <w:rPr>
          <w:rFonts w:cs="宋体" w:asciiTheme="minorEastAsia" w:hAnsiTheme="minorEastAsia" w:eastAsiaTheme="minorEastAsia"/>
          <w:b/>
          <w:szCs w:val="21"/>
        </w:rPr>
      </w:pPr>
    </w:p>
    <w:p w14:paraId="0726F27F">
      <w:pPr>
        <w:snapToGrid w:val="0"/>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八、合同授予</w:t>
      </w:r>
    </w:p>
    <w:p w14:paraId="41B9363A">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（一）签订合同</w:t>
      </w:r>
    </w:p>
    <w:p w14:paraId="2E5BF6AC">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1、成交人应自成交通知书发出后30日内与采购人签订合同。同时，采购代理机构对合同内容进行审查，如发现与采购结果或响应承诺内容不一致的，应予以纠正。</w:t>
      </w:r>
    </w:p>
    <w:p w14:paraId="7969BB49">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2、成交人拖延、拒签合同的，将被取消成交资格。</w:t>
      </w:r>
    </w:p>
    <w:p w14:paraId="6293B625">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3、成交人和采购人签订合同，按合同约定执行。</w:t>
      </w:r>
    </w:p>
    <w:p w14:paraId="1DAA7195">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4、中标或者成交供应商拒绝与采购人签订合同的，采购人可以按照评审报告推荐的中标或者成交候选人名单排序，确定下一候选人为中标或者成交供应商，也可以重新开展政府采购活动。</w:t>
      </w:r>
    </w:p>
    <w:p w14:paraId="113CE56A">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（二）合同公告：采购人应当自政府采购合同签订之日起2个工作日内，将政府采购合同在省级以上人民政府财政部门指定的媒体上公告，但政府采购合同中涉及国家秘密、商业秘密的内容除外。</w:t>
      </w:r>
    </w:p>
    <w:p w14:paraId="56CD6924">
      <w:pPr>
        <w:pStyle w:val="13"/>
        <w:snapToGrid w:val="0"/>
        <w:spacing w:before="120" w:after="120" w:line="360" w:lineRule="auto"/>
        <w:jc w:val="center"/>
        <w:outlineLvl w:val="0"/>
        <w:rPr>
          <w:rFonts w:hAnsi="宋体" w:eastAsia="宋体" w:cs="宋体"/>
          <w:b/>
          <w:sz w:val="28"/>
          <w:szCs w:val="28"/>
        </w:rPr>
      </w:pPr>
      <w:r>
        <w:rPr>
          <w:rFonts w:hint="eastAsia" w:hAnsi="宋体" w:eastAsia="宋体" w:cs="宋体"/>
          <w:b/>
          <w:sz w:val="28"/>
          <w:szCs w:val="28"/>
        </w:rPr>
        <w:br w:type="page"/>
      </w:r>
      <w:r>
        <w:rPr>
          <w:rFonts w:hint="eastAsia" w:hAnsi="宋体" w:eastAsia="宋体" w:cs="宋体"/>
          <w:b/>
          <w:sz w:val="28"/>
          <w:szCs w:val="28"/>
        </w:rPr>
        <w:t>第四章  评标办法及标准</w:t>
      </w:r>
    </w:p>
    <w:p w14:paraId="1444D660">
      <w:pPr>
        <w:spacing w:line="360" w:lineRule="auto"/>
        <w:ind w:firstLine="420" w:firstLineChars="200"/>
        <w:rPr>
          <w:rFonts w:ascii="宋体" w:hAnsi="宋体" w:cs="宋体"/>
          <w:szCs w:val="21"/>
        </w:rPr>
      </w:pPr>
      <w:r>
        <w:rPr>
          <w:rFonts w:hint="eastAsia" w:ascii="宋体" w:hAnsi="宋体" w:cs="宋体"/>
          <w:szCs w:val="21"/>
        </w:rPr>
        <w:t>为公正、公平、科学地选择成交人，根据《中华人民共和国政府采购法》等有关法律法规的规定，并结合本项目的实际，制定本办法，本办法适用本项目的评标。</w:t>
      </w:r>
    </w:p>
    <w:p w14:paraId="58A38FC4">
      <w:pPr>
        <w:autoSpaceDE w:val="0"/>
        <w:autoSpaceDN w:val="0"/>
        <w:adjustRightInd w:val="0"/>
        <w:spacing w:line="360" w:lineRule="auto"/>
        <w:rPr>
          <w:rFonts w:ascii="宋体" w:hAnsi="宋体" w:cs="宋体"/>
          <w:b/>
          <w:szCs w:val="21"/>
        </w:rPr>
      </w:pPr>
      <w:r>
        <w:rPr>
          <w:rFonts w:hint="eastAsia" w:ascii="宋体" w:hAnsi="宋体" w:cs="宋体"/>
          <w:b/>
          <w:szCs w:val="21"/>
        </w:rPr>
        <w:t>一、资格审查</w:t>
      </w:r>
    </w:p>
    <w:p w14:paraId="47BDCFE3">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1、由</w:t>
      </w:r>
      <w:r>
        <w:rPr>
          <w:rFonts w:hint="eastAsia" w:ascii="宋体" w:hAnsi="宋体" w:cs="宋体"/>
          <w:szCs w:val="21"/>
        </w:rPr>
        <w:t>磋商小组</w:t>
      </w:r>
      <w:r>
        <w:rPr>
          <w:rFonts w:hint="eastAsia" w:ascii="宋体" w:hAnsi="宋体" w:cs="宋体"/>
          <w:szCs w:val="21"/>
          <w:lang w:val="zh-CN"/>
        </w:rPr>
        <w:t>对</w:t>
      </w:r>
      <w:r>
        <w:rPr>
          <w:rFonts w:hint="eastAsia" w:ascii="宋体" w:hAnsi="宋体" w:cs="宋体"/>
          <w:szCs w:val="21"/>
        </w:rPr>
        <w:t>响应</w:t>
      </w:r>
      <w:r>
        <w:rPr>
          <w:rFonts w:hint="eastAsia" w:ascii="宋体" w:hAnsi="宋体" w:cs="宋体"/>
          <w:szCs w:val="21"/>
          <w:lang w:val="zh-CN"/>
        </w:rPr>
        <w:t>人的资格进行审查。</w:t>
      </w:r>
    </w:p>
    <w:p w14:paraId="01D2BBD8">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2、按以下内容审核</w:t>
      </w:r>
      <w:r>
        <w:rPr>
          <w:rFonts w:hint="eastAsia" w:ascii="宋体" w:hAnsi="宋体" w:cs="宋体"/>
          <w:szCs w:val="21"/>
        </w:rPr>
        <w:t>响应</w:t>
      </w:r>
      <w:r>
        <w:rPr>
          <w:rFonts w:hint="eastAsia" w:ascii="宋体" w:hAnsi="宋体" w:cs="宋体"/>
          <w:szCs w:val="21"/>
          <w:lang w:val="zh-CN"/>
        </w:rPr>
        <w:t>文件是否符合</w:t>
      </w:r>
      <w:r>
        <w:rPr>
          <w:rFonts w:hint="eastAsia" w:ascii="宋体" w:hAnsi="宋体" w:cs="宋体"/>
          <w:szCs w:val="21"/>
        </w:rPr>
        <w:t>磋商</w:t>
      </w:r>
      <w:r>
        <w:rPr>
          <w:rFonts w:hint="eastAsia" w:ascii="宋体" w:hAnsi="宋体" w:cs="宋体"/>
          <w:szCs w:val="21"/>
          <w:lang w:val="zh-CN"/>
        </w:rPr>
        <w:t>文件的资格文件要求。</w:t>
      </w:r>
    </w:p>
    <w:tbl>
      <w:tblPr>
        <w:tblStyle w:val="27"/>
        <w:tblpPr w:leftFromText="180" w:rightFromText="180" w:vertAnchor="text" w:tblpXSpec="center" w:tblpY="1"/>
        <w:tblOverlap w:val="never"/>
        <w:tblW w:w="9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6675"/>
        <w:gridCol w:w="2004"/>
      </w:tblGrid>
      <w:tr w14:paraId="5A4A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196" w:type="dxa"/>
            <w:vAlign w:val="center"/>
          </w:tcPr>
          <w:p w14:paraId="796F91AA">
            <w:pPr>
              <w:spacing w:line="360" w:lineRule="auto"/>
              <w:jc w:val="center"/>
              <w:rPr>
                <w:rFonts w:ascii="宋体" w:hAnsi="宋体" w:cs="宋体"/>
                <w:b/>
                <w:szCs w:val="21"/>
              </w:rPr>
            </w:pPr>
            <w:r>
              <w:rPr>
                <w:rFonts w:hint="eastAsia" w:ascii="宋体" w:hAnsi="宋体" w:cs="宋体"/>
                <w:b/>
                <w:szCs w:val="21"/>
              </w:rPr>
              <w:t>序号</w:t>
            </w:r>
          </w:p>
        </w:tc>
        <w:tc>
          <w:tcPr>
            <w:tcW w:w="6675" w:type="dxa"/>
            <w:tcBorders>
              <w:tl2br w:val="single" w:color="auto" w:sz="4" w:space="0"/>
            </w:tcBorders>
          </w:tcPr>
          <w:p w14:paraId="2AC8274E">
            <w:pPr>
              <w:spacing w:line="360" w:lineRule="auto"/>
              <w:jc w:val="right"/>
              <w:rPr>
                <w:rFonts w:ascii="宋体" w:hAnsi="宋体" w:cs="宋体"/>
                <w:b/>
                <w:szCs w:val="21"/>
              </w:rPr>
            </w:pPr>
            <w:r>
              <w:rPr>
                <w:rFonts w:hint="eastAsia" w:ascii="宋体" w:hAnsi="宋体" w:cs="宋体"/>
                <w:b/>
                <w:szCs w:val="21"/>
              </w:rPr>
              <w:t>响应人</w:t>
            </w:r>
          </w:p>
          <w:p w14:paraId="454C7981">
            <w:pPr>
              <w:spacing w:line="360" w:lineRule="auto"/>
              <w:rPr>
                <w:rFonts w:ascii="宋体" w:hAnsi="宋体" w:cs="宋体"/>
                <w:b/>
                <w:szCs w:val="21"/>
              </w:rPr>
            </w:pPr>
            <w:r>
              <w:rPr>
                <w:rFonts w:hint="eastAsia" w:ascii="宋体" w:hAnsi="宋体" w:cs="宋体"/>
                <w:b/>
                <w:szCs w:val="21"/>
              </w:rPr>
              <w:t>内容</w:t>
            </w:r>
          </w:p>
        </w:tc>
        <w:tc>
          <w:tcPr>
            <w:tcW w:w="2004" w:type="dxa"/>
            <w:vAlign w:val="center"/>
          </w:tcPr>
          <w:p w14:paraId="37AFD4C7">
            <w:pPr>
              <w:spacing w:line="360" w:lineRule="auto"/>
              <w:jc w:val="center"/>
              <w:rPr>
                <w:rFonts w:ascii="宋体" w:hAnsi="宋体" w:cs="宋体"/>
                <w:b/>
                <w:szCs w:val="21"/>
              </w:rPr>
            </w:pPr>
            <w:r>
              <w:rPr>
                <w:rFonts w:hint="eastAsia" w:ascii="宋体" w:hAnsi="宋体" w:cs="宋体"/>
                <w:b/>
                <w:szCs w:val="21"/>
              </w:rPr>
              <w:t>审核标准</w:t>
            </w:r>
          </w:p>
        </w:tc>
      </w:tr>
      <w:tr w14:paraId="3F738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196" w:type="dxa"/>
            <w:vAlign w:val="center"/>
          </w:tcPr>
          <w:p w14:paraId="0A68A749">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Cs w:val="21"/>
              </w:rPr>
              <w:t>1</w:t>
            </w:r>
          </w:p>
        </w:tc>
        <w:tc>
          <w:tcPr>
            <w:tcW w:w="6675" w:type="dxa"/>
            <w:vAlign w:val="center"/>
          </w:tcPr>
          <w:p w14:paraId="6A642262">
            <w:pPr>
              <w:spacing w:line="360" w:lineRule="auto"/>
              <w:rPr>
                <w:rFonts w:hint="eastAsia" w:ascii="宋体" w:hAnsi="宋体" w:eastAsia="宋体" w:cs="宋体"/>
                <w:szCs w:val="21"/>
                <w:lang w:eastAsia="zh-CN"/>
              </w:rPr>
            </w:pPr>
            <w:r>
              <w:rPr>
                <w:rFonts w:hint="eastAsia" w:ascii="宋体" w:hAnsi="宋体" w:cs="宋体"/>
                <w:szCs w:val="21"/>
              </w:rPr>
              <w:t>具有独立承担民事责任的能力的证明材料</w:t>
            </w:r>
            <w:r>
              <w:rPr>
                <w:rFonts w:hint="eastAsia" w:ascii="宋体" w:hAnsi="宋体" w:cs="宋体"/>
                <w:szCs w:val="21"/>
                <w:lang w:eastAsia="zh-CN"/>
              </w:rPr>
              <w:t>。</w:t>
            </w:r>
          </w:p>
        </w:tc>
        <w:tc>
          <w:tcPr>
            <w:tcW w:w="2004" w:type="dxa"/>
            <w:vAlign w:val="center"/>
          </w:tcPr>
          <w:p w14:paraId="5012AB3B">
            <w:pPr>
              <w:spacing w:line="360" w:lineRule="auto"/>
              <w:jc w:val="center"/>
              <w:rPr>
                <w:rFonts w:ascii="宋体" w:hAnsi="宋体" w:cs="宋体"/>
                <w:szCs w:val="21"/>
              </w:rPr>
            </w:pPr>
          </w:p>
        </w:tc>
      </w:tr>
      <w:tr w14:paraId="1682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1196" w:type="dxa"/>
            <w:vAlign w:val="center"/>
          </w:tcPr>
          <w:p w14:paraId="294A6A62">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6675" w:type="dxa"/>
            <w:vAlign w:val="center"/>
          </w:tcPr>
          <w:p w14:paraId="2153CB17">
            <w:pPr>
              <w:widowControl/>
              <w:spacing w:line="400" w:lineRule="exact"/>
              <w:contextualSpacing/>
              <w:rPr>
                <w:rFonts w:hint="eastAsia" w:ascii="宋体" w:hAnsi="宋体" w:cs="宋体"/>
                <w:szCs w:val="21"/>
              </w:rPr>
            </w:pPr>
            <w:r>
              <w:rPr>
                <w:rFonts w:hint="eastAsia" w:ascii="Times New Roman" w:hAnsi="Times New Roman" w:cs="宋体"/>
                <w:szCs w:val="21"/>
              </w:rPr>
              <w:t>供应商须具有国家金融监督管理机构颁发的《中华人民共和国保险许可证》</w:t>
            </w:r>
            <w:r>
              <w:rPr>
                <w:rFonts w:hint="eastAsia" w:cs="宋体"/>
                <w:szCs w:val="21"/>
                <w:lang w:val="en-US" w:eastAsia="zh-CN"/>
              </w:rPr>
              <w:t>复印件</w:t>
            </w:r>
            <w:r>
              <w:rPr>
                <w:rFonts w:hint="eastAsia" w:ascii="Times New Roman" w:hAnsi="Times New Roman"/>
                <w:bCs/>
                <w:szCs w:val="21"/>
              </w:rPr>
              <w:t>。</w:t>
            </w:r>
          </w:p>
        </w:tc>
        <w:tc>
          <w:tcPr>
            <w:tcW w:w="2004" w:type="dxa"/>
            <w:vAlign w:val="center"/>
          </w:tcPr>
          <w:p w14:paraId="209D846C">
            <w:pPr>
              <w:spacing w:line="360" w:lineRule="auto"/>
              <w:jc w:val="center"/>
              <w:rPr>
                <w:rFonts w:ascii="宋体" w:hAnsi="宋体" w:cs="宋体"/>
                <w:szCs w:val="21"/>
              </w:rPr>
            </w:pPr>
          </w:p>
        </w:tc>
      </w:tr>
      <w:tr w14:paraId="08445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196" w:type="dxa"/>
            <w:vAlign w:val="center"/>
          </w:tcPr>
          <w:p w14:paraId="4FBC073A">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3</w:t>
            </w:r>
          </w:p>
        </w:tc>
        <w:tc>
          <w:tcPr>
            <w:tcW w:w="6675" w:type="dxa"/>
            <w:vAlign w:val="center"/>
          </w:tcPr>
          <w:p w14:paraId="74102335">
            <w:pPr>
              <w:spacing w:line="360" w:lineRule="auto"/>
              <w:rPr>
                <w:rFonts w:hint="eastAsia" w:ascii="宋体" w:hAnsi="宋体" w:eastAsia="宋体" w:cs="宋体"/>
                <w:szCs w:val="21"/>
                <w:lang w:eastAsia="zh-CN"/>
              </w:rPr>
            </w:pPr>
            <w:r>
              <w:rPr>
                <w:rFonts w:hint="eastAsia" w:ascii="宋体" w:hAnsi="宋体" w:cs="宋体"/>
                <w:szCs w:val="21"/>
              </w:rPr>
              <w:t>响应人</w:t>
            </w:r>
            <w:bookmarkStart w:id="10" w:name="_GoBack"/>
            <w:r>
              <w:rPr>
                <w:rFonts w:hint="eastAsia" w:ascii="宋体" w:hAnsi="宋体" w:cs="宋体"/>
                <w:szCs w:val="21"/>
                <w:lang w:eastAsia="zh-CN"/>
              </w:rPr>
              <w:t>法定代表人</w:t>
            </w:r>
            <w:bookmarkEnd w:id="10"/>
            <w:r>
              <w:rPr>
                <w:rFonts w:hint="eastAsia" w:ascii="宋体" w:hAnsi="宋体" w:cs="宋体"/>
                <w:szCs w:val="21"/>
                <w:lang w:eastAsia="zh-CN"/>
              </w:rPr>
              <w:t>（或单位负责人）</w:t>
            </w:r>
            <w:r>
              <w:rPr>
                <w:rFonts w:hint="eastAsia" w:ascii="宋体" w:hAnsi="宋体" w:cs="宋体"/>
                <w:szCs w:val="21"/>
              </w:rPr>
              <w:t>身份证复印件</w:t>
            </w:r>
            <w:r>
              <w:rPr>
                <w:rFonts w:hint="eastAsia" w:ascii="宋体" w:hAnsi="宋体" w:cs="宋体"/>
                <w:szCs w:val="21"/>
                <w:lang w:eastAsia="zh-CN"/>
              </w:rPr>
              <w:t>。</w:t>
            </w:r>
          </w:p>
        </w:tc>
        <w:tc>
          <w:tcPr>
            <w:tcW w:w="2004" w:type="dxa"/>
            <w:vAlign w:val="center"/>
          </w:tcPr>
          <w:p w14:paraId="0D02021F">
            <w:pPr>
              <w:spacing w:line="360" w:lineRule="auto"/>
              <w:jc w:val="center"/>
              <w:rPr>
                <w:rFonts w:ascii="宋体" w:hAnsi="宋体" w:cs="宋体"/>
                <w:szCs w:val="21"/>
              </w:rPr>
            </w:pPr>
          </w:p>
        </w:tc>
      </w:tr>
      <w:tr w14:paraId="2733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196" w:type="dxa"/>
            <w:vAlign w:val="center"/>
          </w:tcPr>
          <w:p w14:paraId="467F8AD7">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4</w:t>
            </w:r>
          </w:p>
        </w:tc>
        <w:tc>
          <w:tcPr>
            <w:tcW w:w="6675" w:type="dxa"/>
            <w:vAlign w:val="center"/>
          </w:tcPr>
          <w:p w14:paraId="1DB0DFD7">
            <w:pPr>
              <w:spacing w:line="360" w:lineRule="auto"/>
              <w:rPr>
                <w:rFonts w:hint="eastAsia" w:ascii="宋体" w:hAnsi="宋体" w:eastAsia="宋体" w:cs="宋体"/>
                <w:szCs w:val="21"/>
                <w:lang w:eastAsia="zh-CN"/>
              </w:rPr>
            </w:pPr>
            <w:r>
              <w:rPr>
                <w:rFonts w:hint="eastAsia" w:hAnsi="宋体" w:cs="宋体"/>
                <w:szCs w:val="21"/>
              </w:rPr>
              <w:t>响应函</w:t>
            </w:r>
            <w:r>
              <w:rPr>
                <w:rFonts w:hint="eastAsia" w:hAnsi="宋体" w:cs="宋体"/>
                <w:szCs w:val="21"/>
                <w:lang w:eastAsia="zh-CN"/>
              </w:rPr>
              <w:t>。</w:t>
            </w:r>
          </w:p>
        </w:tc>
        <w:tc>
          <w:tcPr>
            <w:tcW w:w="2004" w:type="dxa"/>
            <w:vAlign w:val="center"/>
          </w:tcPr>
          <w:p w14:paraId="2F44E995">
            <w:pPr>
              <w:spacing w:line="360" w:lineRule="auto"/>
              <w:jc w:val="center"/>
              <w:rPr>
                <w:rFonts w:ascii="宋体" w:hAnsi="宋体" w:cs="宋体"/>
                <w:szCs w:val="21"/>
              </w:rPr>
            </w:pPr>
          </w:p>
        </w:tc>
      </w:tr>
      <w:tr w14:paraId="0A5D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96" w:type="dxa"/>
            <w:vAlign w:val="center"/>
          </w:tcPr>
          <w:p w14:paraId="7B210F53">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5</w:t>
            </w:r>
          </w:p>
        </w:tc>
        <w:tc>
          <w:tcPr>
            <w:tcW w:w="6675" w:type="dxa"/>
            <w:vAlign w:val="center"/>
          </w:tcPr>
          <w:p w14:paraId="6BFEA53C">
            <w:pPr>
              <w:spacing w:line="360" w:lineRule="auto"/>
              <w:rPr>
                <w:rFonts w:hint="eastAsia" w:ascii="宋体" w:hAnsi="宋体" w:eastAsia="宋体" w:cs="宋体"/>
                <w:szCs w:val="21"/>
                <w:lang w:eastAsia="zh-CN"/>
              </w:rPr>
            </w:pPr>
            <w:r>
              <w:rPr>
                <w:rFonts w:hint="eastAsia" w:ascii="宋体" w:hAnsi="宋体" w:cs="宋体"/>
                <w:szCs w:val="21"/>
                <w:lang w:eastAsia="zh-CN"/>
              </w:rPr>
              <w:t>法定代表人（或单位负责人）</w:t>
            </w:r>
            <w:r>
              <w:rPr>
                <w:rFonts w:hint="eastAsia" w:ascii="宋体" w:hAnsi="宋体" w:cs="宋体"/>
                <w:szCs w:val="21"/>
              </w:rPr>
              <w:t>授权函，非</w:t>
            </w:r>
            <w:r>
              <w:rPr>
                <w:rFonts w:hint="eastAsia" w:ascii="宋体" w:hAnsi="宋体" w:cs="宋体"/>
                <w:szCs w:val="21"/>
                <w:lang w:eastAsia="zh-CN"/>
              </w:rPr>
              <w:t>法定代表人（或单位负责人）</w:t>
            </w:r>
            <w:r>
              <w:rPr>
                <w:rFonts w:hint="eastAsia" w:ascii="宋体" w:hAnsi="宋体" w:cs="宋体"/>
                <w:szCs w:val="21"/>
              </w:rPr>
              <w:t>参加磋商时提供</w:t>
            </w:r>
            <w:r>
              <w:rPr>
                <w:rFonts w:hint="eastAsia" w:ascii="宋体" w:hAnsi="宋体" w:cs="宋体"/>
                <w:szCs w:val="21"/>
                <w:lang w:eastAsia="zh-CN"/>
              </w:rPr>
              <w:t>。</w:t>
            </w:r>
          </w:p>
        </w:tc>
        <w:tc>
          <w:tcPr>
            <w:tcW w:w="2004" w:type="dxa"/>
            <w:vAlign w:val="center"/>
          </w:tcPr>
          <w:p w14:paraId="62383FA3">
            <w:pPr>
              <w:spacing w:line="360" w:lineRule="auto"/>
              <w:jc w:val="center"/>
              <w:rPr>
                <w:rFonts w:ascii="宋体" w:hAnsi="宋体" w:cs="宋体"/>
                <w:szCs w:val="21"/>
              </w:rPr>
            </w:pPr>
          </w:p>
        </w:tc>
      </w:tr>
      <w:tr w14:paraId="6791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196" w:type="dxa"/>
            <w:vAlign w:val="center"/>
          </w:tcPr>
          <w:p w14:paraId="3CC4D74B">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6</w:t>
            </w:r>
          </w:p>
        </w:tc>
        <w:tc>
          <w:tcPr>
            <w:tcW w:w="6675" w:type="dxa"/>
            <w:vAlign w:val="center"/>
          </w:tcPr>
          <w:p w14:paraId="7B3E760C">
            <w:pPr>
              <w:spacing w:line="360" w:lineRule="auto"/>
              <w:rPr>
                <w:rFonts w:hint="eastAsia" w:ascii="宋体" w:hAnsi="宋体" w:eastAsia="宋体" w:cs="宋体"/>
                <w:szCs w:val="21"/>
                <w:lang w:eastAsia="zh-CN"/>
              </w:rPr>
            </w:pPr>
            <w:r>
              <w:rPr>
                <w:rFonts w:hint="eastAsia" w:ascii="宋体" w:hAnsi="宋体" w:cs="宋体"/>
                <w:szCs w:val="21"/>
              </w:rPr>
              <w:t>授权代表身份证复印件，非</w:t>
            </w:r>
            <w:r>
              <w:rPr>
                <w:rFonts w:hint="eastAsia" w:ascii="宋体" w:hAnsi="宋体" w:cs="宋体"/>
                <w:szCs w:val="21"/>
                <w:lang w:eastAsia="zh-CN"/>
              </w:rPr>
              <w:t>法定代表人（或单位负责人）</w:t>
            </w:r>
            <w:r>
              <w:rPr>
                <w:rFonts w:hint="eastAsia" w:ascii="宋体" w:hAnsi="宋体" w:cs="宋体"/>
                <w:szCs w:val="21"/>
              </w:rPr>
              <w:t>参加磋商时提供</w:t>
            </w:r>
            <w:r>
              <w:rPr>
                <w:rFonts w:hint="eastAsia" w:ascii="宋体" w:hAnsi="宋体" w:cs="宋体"/>
                <w:szCs w:val="21"/>
                <w:lang w:eastAsia="zh-CN"/>
              </w:rPr>
              <w:t>。</w:t>
            </w:r>
          </w:p>
        </w:tc>
        <w:tc>
          <w:tcPr>
            <w:tcW w:w="2004" w:type="dxa"/>
            <w:vAlign w:val="center"/>
          </w:tcPr>
          <w:p w14:paraId="7842AB21">
            <w:pPr>
              <w:spacing w:line="360" w:lineRule="auto"/>
              <w:jc w:val="center"/>
              <w:rPr>
                <w:rFonts w:ascii="宋体" w:hAnsi="宋体" w:cs="宋体"/>
                <w:szCs w:val="21"/>
              </w:rPr>
            </w:pPr>
          </w:p>
        </w:tc>
      </w:tr>
      <w:tr w14:paraId="62AA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7871" w:type="dxa"/>
            <w:gridSpan w:val="2"/>
          </w:tcPr>
          <w:p w14:paraId="3125E747">
            <w:pPr>
              <w:pStyle w:val="14"/>
              <w:spacing w:line="360" w:lineRule="auto"/>
              <w:ind w:left="0" w:firstLine="0" w:firstLineChars="0"/>
              <w:jc w:val="center"/>
              <w:rPr>
                <w:rFonts w:ascii="宋体" w:hAnsi="宋体" w:cs="宋体"/>
                <w:b/>
                <w:sz w:val="21"/>
                <w:szCs w:val="21"/>
              </w:rPr>
            </w:pPr>
            <w:r>
              <w:rPr>
                <w:rFonts w:hint="eastAsia" w:ascii="宋体" w:hAnsi="宋体" w:cs="宋体"/>
                <w:b/>
                <w:sz w:val="21"/>
                <w:szCs w:val="21"/>
              </w:rPr>
              <w:t>结   论</w:t>
            </w:r>
          </w:p>
        </w:tc>
        <w:tc>
          <w:tcPr>
            <w:tcW w:w="2004" w:type="dxa"/>
            <w:vAlign w:val="center"/>
          </w:tcPr>
          <w:p w14:paraId="6BD13B7B">
            <w:pPr>
              <w:spacing w:line="360" w:lineRule="auto"/>
              <w:jc w:val="center"/>
              <w:rPr>
                <w:rFonts w:ascii="宋体" w:hAnsi="宋体" w:cs="宋体"/>
                <w:b/>
                <w:szCs w:val="21"/>
              </w:rPr>
            </w:pPr>
          </w:p>
        </w:tc>
      </w:tr>
    </w:tbl>
    <w:p w14:paraId="524AB616">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lang w:val="zh-CN"/>
        </w:rPr>
        <w:t>注：1、表中只需填写“√”或“×”；</w:t>
      </w:r>
      <w:r>
        <w:rPr>
          <w:rFonts w:hint="eastAsia" w:ascii="宋体" w:hAnsi="宋体" w:cs="宋体"/>
          <w:szCs w:val="21"/>
        </w:rPr>
        <w:t xml:space="preserve"> </w:t>
      </w:r>
      <w:r>
        <w:rPr>
          <w:rFonts w:hint="eastAsia" w:ascii="宋体" w:hAnsi="宋体" w:cs="宋体"/>
          <w:szCs w:val="21"/>
          <w:lang w:val="zh-CN"/>
        </w:rPr>
        <w:t>2、在结论栏中填写“合格”或“不合格”。</w:t>
      </w:r>
    </w:p>
    <w:p w14:paraId="623769FA">
      <w:pPr>
        <w:autoSpaceDE w:val="0"/>
        <w:autoSpaceDN w:val="0"/>
        <w:adjustRightInd w:val="0"/>
        <w:spacing w:line="360" w:lineRule="auto"/>
        <w:rPr>
          <w:rFonts w:ascii="宋体" w:hAnsi="宋体" w:cs="宋体"/>
          <w:b/>
          <w:szCs w:val="21"/>
        </w:rPr>
      </w:pPr>
      <w:r>
        <w:rPr>
          <w:rFonts w:hint="eastAsia" w:ascii="宋体" w:hAnsi="宋体" w:cs="宋体"/>
          <w:b/>
          <w:szCs w:val="21"/>
        </w:rPr>
        <w:t>二、</w:t>
      </w:r>
      <w:r>
        <w:rPr>
          <w:rFonts w:ascii="宋体" w:hAnsi="宋体" w:cs="宋体"/>
          <w:b/>
          <w:szCs w:val="21"/>
        </w:rPr>
        <w:t>成交</w:t>
      </w:r>
      <w:r>
        <w:rPr>
          <w:rFonts w:hint="eastAsia" w:ascii="宋体" w:hAnsi="宋体" w:cs="宋体"/>
          <w:b/>
          <w:szCs w:val="21"/>
        </w:rPr>
        <w:t>候选人的选取</w:t>
      </w:r>
    </w:p>
    <w:p w14:paraId="02C8EE89">
      <w:pPr>
        <w:spacing w:line="360" w:lineRule="auto"/>
        <w:ind w:firstLine="420" w:firstLineChars="200"/>
        <w:rPr>
          <w:rFonts w:ascii="宋体" w:hAnsi="宋体" w:cs="宋体"/>
          <w:b/>
          <w:szCs w:val="21"/>
          <w:lang w:val="zh-CN"/>
        </w:rPr>
      </w:pPr>
      <w:r>
        <w:rPr>
          <w:rFonts w:hint="eastAsia" w:ascii="宋体" w:hAnsi="宋体" w:cs="宋体"/>
          <w:szCs w:val="21"/>
        </w:rPr>
        <w:t>将综合评估分从高到低排序，得出响应人名次,按照综合评估分名次推荐成交候选人3名。综合评估分相同时，按磋商报价由低到高顺序排列，综合评估分且磋商报价相同的，抽签决定排序（弃权视为自动放弃中标资格）。</w:t>
      </w:r>
    </w:p>
    <w:p w14:paraId="69901E5B">
      <w:pPr>
        <w:spacing w:line="360" w:lineRule="auto"/>
        <w:rPr>
          <w:rFonts w:ascii="宋体" w:hAnsi="宋体" w:cs="宋体"/>
          <w:b/>
          <w:szCs w:val="21"/>
        </w:rPr>
      </w:pPr>
      <w:r>
        <w:rPr>
          <w:rFonts w:hint="eastAsia" w:ascii="宋体" w:hAnsi="宋体" w:cs="宋体"/>
          <w:b/>
          <w:szCs w:val="21"/>
        </w:rPr>
        <w:t>三、成交人选取依据</w:t>
      </w:r>
    </w:p>
    <w:p w14:paraId="4A5265DB">
      <w:pPr>
        <w:spacing w:line="360" w:lineRule="auto"/>
        <w:ind w:firstLine="420" w:firstLineChars="200"/>
        <w:rPr>
          <w:rFonts w:ascii="宋体" w:hAnsi="宋体" w:cs="宋体"/>
          <w:szCs w:val="21"/>
        </w:rPr>
      </w:pPr>
      <w:r>
        <w:rPr>
          <w:rFonts w:hint="eastAsia" w:ascii="宋体" w:hAnsi="宋体" w:cs="宋体"/>
          <w:szCs w:val="21"/>
        </w:rPr>
        <w:t xml:space="preserve">磋商小组根据综合评估分得分排序，推荐第一名成交候选人为成交人，经采购人确认后，确定项目成交人，同时发布采购结果公告，发出成交通知书。 </w:t>
      </w:r>
    </w:p>
    <w:p w14:paraId="4EC56AE0">
      <w:pPr>
        <w:spacing w:line="360" w:lineRule="auto"/>
        <w:rPr>
          <w:rFonts w:ascii="宋体" w:hAnsi="宋体" w:cs="宋体"/>
          <w:b/>
          <w:szCs w:val="21"/>
        </w:rPr>
      </w:pPr>
      <w:r>
        <w:rPr>
          <w:rFonts w:hint="eastAsia" w:ascii="宋体" w:hAnsi="宋体" w:cs="宋体"/>
          <w:b/>
          <w:szCs w:val="21"/>
        </w:rPr>
        <w:t>四、综合评估分计分方法</w:t>
      </w:r>
    </w:p>
    <w:p w14:paraId="3478E78D">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满足</w:t>
      </w:r>
      <w:r>
        <w:rPr>
          <w:rFonts w:hint="eastAsia" w:ascii="宋体" w:hAnsi="宋体" w:cs="宋体"/>
          <w:szCs w:val="21"/>
        </w:rPr>
        <w:t>磋商</w:t>
      </w:r>
      <w:r>
        <w:rPr>
          <w:rFonts w:hint="eastAsia" w:ascii="宋体" w:hAnsi="宋体" w:cs="宋体"/>
          <w:szCs w:val="21"/>
          <w:lang w:val="zh-CN"/>
        </w:rPr>
        <w:t>文件要求且</w:t>
      </w:r>
      <w:r>
        <w:rPr>
          <w:rFonts w:hint="eastAsia" w:ascii="宋体" w:hAnsi="宋体" w:cs="宋体"/>
          <w:szCs w:val="21"/>
        </w:rPr>
        <w:t>最后报价最低的供应商的价格为磋商基准价</w:t>
      </w:r>
      <w:r>
        <w:rPr>
          <w:rFonts w:hint="eastAsia" w:ascii="宋体" w:hAnsi="宋体" w:cs="宋体"/>
          <w:szCs w:val="21"/>
          <w:lang w:val="zh-CN"/>
        </w:rPr>
        <w:t>，其价格分为满分。其他</w:t>
      </w:r>
      <w:r>
        <w:rPr>
          <w:rFonts w:hint="eastAsia" w:ascii="宋体" w:hAnsi="宋体" w:cs="宋体"/>
          <w:szCs w:val="21"/>
        </w:rPr>
        <w:t>供应商</w:t>
      </w:r>
      <w:r>
        <w:rPr>
          <w:rFonts w:hint="eastAsia" w:ascii="宋体" w:hAnsi="宋体" w:cs="宋体"/>
          <w:szCs w:val="21"/>
          <w:lang w:val="zh-CN"/>
        </w:rPr>
        <w:t>的价格分</w:t>
      </w:r>
      <w:r>
        <w:rPr>
          <w:rFonts w:hint="eastAsia" w:ascii="宋体" w:hAnsi="宋体" w:cs="宋体"/>
          <w:szCs w:val="21"/>
        </w:rPr>
        <w:t>统一按照下</w:t>
      </w:r>
      <w:r>
        <w:rPr>
          <w:rFonts w:hint="eastAsia" w:ascii="宋体" w:hAnsi="宋体" w:cs="宋体"/>
          <w:szCs w:val="21"/>
          <w:lang w:val="zh-CN"/>
        </w:rPr>
        <w:t>列公式计算：</w:t>
      </w:r>
      <w:r>
        <w:rPr>
          <w:rFonts w:hint="eastAsia" w:ascii="宋体" w:hAnsi="宋体" w:cs="宋体"/>
          <w:szCs w:val="21"/>
        </w:rPr>
        <w:t>磋商</w:t>
      </w:r>
      <w:r>
        <w:rPr>
          <w:rFonts w:hint="eastAsia" w:ascii="宋体" w:hAnsi="宋体" w:cs="宋体"/>
          <w:szCs w:val="21"/>
          <w:lang w:val="zh-CN"/>
        </w:rPr>
        <w:t>报价得分＝（</w:t>
      </w:r>
      <w:r>
        <w:rPr>
          <w:rFonts w:hint="eastAsia" w:ascii="宋体" w:hAnsi="宋体" w:cs="宋体"/>
          <w:szCs w:val="21"/>
        </w:rPr>
        <w:t>磋商</w:t>
      </w:r>
      <w:r>
        <w:rPr>
          <w:rFonts w:hint="eastAsia" w:ascii="宋体" w:hAnsi="宋体" w:cs="宋体"/>
          <w:szCs w:val="21"/>
          <w:lang w:val="zh-CN"/>
        </w:rPr>
        <w:t>基准价/</w:t>
      </w:r>
      <w:r>
        <w:rPr>
          <w:rFonts w:hint="eastAsia" w:ascii="宋体" w:hAnsi="宋体" w:cs="宋体"/>
          <w:szCs w:val="21"/>
        </w:rPr>
        <w:t>最后磋商</w:t>
      </w:r>
      <w:r>
        <w:rPr>
          <w:rFonts w:hint="eastAsia" w:ascii="宋体" w:hAnsi="宋体" w:cs="宋体"/>
          <w:szCs w:val="21"/>
          <w:lang w:val="zh-CN"/>
        </w:rPr>
        <w:t>报价）×价格权重×100。</w:t>
      </w:r>
    </w:p>
    <w:p w14:paraId="4165549B">
      <w:pPr>
        <w:autoSpaceDE w:val="0"/>
        <w:autoSpaceDN w:val="0"/>
        <w:adjustRightInd w:val="0"/>
        <w:spacing w:line="360" w:lineRule="auto"/>
        <w:ind w:firstLine="420" w:firstLineChars="200"/>
        <w:rPr>
          <w:rFonts w:ascii="宋体" w:hAnsi="宋体"/>
          <w:szCs w:val="21"/>
        </w:rPr>
      </w:pPr>
      <w:r>
        <w:rPr>
          <w:rFonts w:hint="eastAsia" w:ascii="宋体" w:hAnsi="宋体"/>
          <w:szCs w:val="21"/>
        </w:rPr>
        <w:t>根据相关法律法规：磋商小组认为响应人的报价明显低于其他通过符合性审查响应人的报价，有可能影响产品质量或者不能诚信履约的，应当要求其在评标现场合理的时间内提供书面说明，必要时提交相关证明材料；响应人不能证明其报价合理性的，磋商小组应当将其作为无效投标处理。</w:t>
      </w:r>
    </w:p>
    <w:p w14:paraId="7CBBDBD4">
      <w:pPr>
        <w:autoSpaceDE w:val="0"/>
        <w:autoSpaceDN w:val="0"/>
        <w:adjustRightInd w:val="0"/>
        <w:spacing w:line="360" w:lineRule="auto"/>
        <w:ind w:firstLine="420" w:firstLineChars="200"/>
        <w:rPr>
          <w:rFonts w:ascii="宋体" w:hAnsi="宋体" w:cs="宋体"/>
          <w:szCs w:val="21"/>
          <w:lang w:val="zh-CN"/>
        </w:rPr>
      </w:pPr>
      <w:r>
        <w:rPr>
          <w:rFonts w:ascii="宋体" w:hAnsi="宋体"/>
          <w:szCs w:val="21"/>
        </w:rPr>
        <w:t>在评分时，</w:t>
      </w:r>
      <w:r>
        <w:rPr>
          <w:rFonts w:hint="eastAsia" w:ascii="宋体" w:hAnsi="宋体"/>
          <w:szCs w:val="21"/>
        </w:rPr>
        <w:t>评审专家打分准确到小数点后一位。商务技术部分得分为所有评委评分的算术平均值，得分保留小数点后二位，第三位四舍五入。</w:t>
      </w:r>
      <w:r>
        <w:rPr>
          <w:rFonts w:ascii="宋体" w:hAnsi="宋体"/>
          <w:szCs w:val="21"/>
        </w:rPr>
        <w:t>各响应人磋商报价得分保留小数点后二位，第三位四舍五入。</w:t>
      </w:r>
      <w:r>
        <w:rPr>
          <w:rFonts w:hint="eastAsia" w:ascii="宋体" w:hAnsi="宋体"/>
          <w:szCs w:val="21"/>
        </w:rPr>
        <w:t>综合评估分=商务技术部分得分＋磋商报价得分。</w:t>
      </w:r>
    </w:p>
    <w:p w14:paraId="2FFBDCF7">
      <w:pPr>
        <w:autoSpaceDE w:val="0"/>
        <w:autoSpaceDN w:val="0"/>
        <w:adjustRightInd w:val="0"/>
        <w:spacing w:line="360" w:lineRule="auto"/>
        <w:rPr>
          <w:rFonts w:ascii="宋体" w:hAnsi="宋体" w:cs="宋体"/>
          <w:b/>
          <w:szCs w:val="21"/>
          <w:lang w:val="zh-CN"/>
        </w:rPr>
      </w:pPr>
      <w:r>
        <w:rPr>
          <w:rFonts w:hint="eastAsia" w:ascii="宋体" w:hAnsi="宋体" w:cs="宋体"/>
          <w:b/>
          <w:szCs w:val="21"/>
        </w:rPr>
        <w:t>五、</w:t>
      </w:r>
      <w:r>
        <w:rPr>
          <w:rFonts w:hint="eastAsia" w:ascii="宋体" w:hAnsi="宋体" w:cs="宋体"/>
          <w:b/>
          <w:szCs w:val="21"/>
          <w:lang w:val="zh-CN"/>
        </w:rPr>
        <w:t>评分表</w:t>
      </w:r>
    </w:p>
    <w:tbl>
      <w:tblPr>
        <w:tblStyle w:val="27"/>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0"/>
        <w:gridCol w:w="2440"/>
        <w:gridCol w:w="2441"/>
        <w:gridCol w:w="2441"/>
      </w:tblGrid>
      <w:tr w14:paraId="089F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40" w:type="dxa"/>
            <w:vAlign w:val="center"/>
          </w:tcPr>
          <w:p w14:paraId="019B1912">
            <w:pPr>
              <w:spacing w:line="360" w:lineRule="auto"/>
              <w:jc w:val="center"/>
              <w:rPr>
                <w:rFonts w:ascii="宋体" w:hAnsi="宋体" w:cs="宋体"/>
                <w:szCs w:val="21"/>
              </w:rPr>
            </w:pPr>
            <w:r>
              <w:rPr>
                <w:rFonts w:hint="eastAsia" w:ascii="宋体" w:hAnsi="宋体" w:cs="宋体"/>
                <w:szCs w:val="21"/>
              </w:rPr>
              <w:t>评标指标</w:t>
            </w:r>
          </w:p>
        </w:tc>
        <w:tc>
          <w:tcPr>
            <w:tcW w:w="2440" w:type="dxa"/>
            <w:vAlign w:val="center"/>
          </w:tcPr>
          <w:p w14:paraId="7A4D9479">
            <w:pPr>
              <w:spacing w:line="360" w:lineRule="auto"/>
              <w:jc w:val="center"/>
              <w:rPr>
                <w:rFonts w:ascii="宋体" w:hAnsi="宋体" w:cs="宋体"/>
                <w:szCs w:val="21"/>
              </w:rPr>
            </w:pPr>
            <w:r>
              <w:rPr>
                <w:rFonts w:hint="eastAsia" w:ascii="宋体" w:hAnsi="宋体" w:cs="宋体"/>
                <w:szCs w:val="21"/>
              </w:rPr>
              <w:t>磋商报价</w:t>
            </w:r>
          </w:p>
        </w:tc>
        <w:tc>
          <w:tcPr>
            <w:tcW w:w="2441" w:type="dxa"/>
            <w:vAlign w:val="center"/>
          </w:tcPr>
          <w:p w14:paraId="768A4AC6">
            <w:pPr>
              <w:spacing w:line="360" w:lineRule="auto"/>
              <w:jc w:val="center"/>
              <w:rPr>
                <w:rFonts w:ascii="宋体" w:hAnsi="宋体" w:cs="宋体"/>
                <w:szCs w:val="21"/>
              </w:rPr>
            </w:pPr>
            <w:r>
              <w:rPr>
                <w:rFonts w:hint="eastAsia" w:ascii="宋体" w:hAnsi="宋体" w:cs="宋体"/>
                <w:szCs w:val="21"/>
              </w:rPr>
              <w:t>商务技术部分</w:t>
            </w:r>
          </w:p>
        </w:tc>
        <w:tc>
          <w:tcPr>
            <w:tcW w:w="2441" w:type="dxa"/>
            <w:vAlign w:val="center"/>
          </w:tcPr>
          <w:p w14:paraId="353D0882">
            <w:pPr>
              <w:spacing w:line="360" w:lineRule="auto"/>
              <w:jc w:val="center"/>
              <w:rPr>
                <w:rFonts w:ascii="宋体" w:hAnsi="宋体" w:cs="宋体"/>
                <w:szCs w:val="21"/>
              </w:rPr>
            </w:pPr>
            <w:r>
              <w:rPr>
                <w:rFonts w:hint="eastAsia" w:ascii="宋体" w:hAnsi="宋体" w:cs="宋体"/>
                <w:szCs w:val="21"/>
              </w:rPr>
              <w:t>合计</w:t>
            </w:r>
          </w:p>
        </w:tc>
      </w:tr>
      <w:tr w14:paraId="45AC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40" w:type="dxa"/>
            <w:vAlign w:val="center"/>
          </w:tcPr>
          <w:p w14:paraId="1E2169B8">
            <w:pPr>
              <w:spacing w:line="360" w:lineRule="auto"/>
              <w:jc w:val="center"/>
              <w:rPr>
                <w:rFonts w:ascii="宋体" w:hAnsi="宋体" w:cs="宋体"/>
                <w:szCs w:val="21"/>
              </w:rPr>
            </w:pPr>
            <w:r>
              <w:rPr>
                <w:rFonts w:hint="eastAsia" w:ascii="宋体" w:hAnsi="宋体" w:cs="宋体"/>
                <w:szCs w:val="21"/>
              </w:rPr>
              <w:t>权重（%）</w:t>
            </w:r>
          </w:p>
        </w:tc>
        <w:tc>
          <w:tcPr>
            <w:tcW w:w="2440" w:type="dxa"/>
            <w:vAlign w:val="center"/>
          </w:tcPr>
          <w:p w14:paraId="097D3C8B">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20</w:t>
            </w:r>
          </w:p>
        </w:tc>
        <w:tc>
          <w:tcPr>
            <w:tcW w:w="2441" w:type="dxa"/>
            <w:vAlign w:val="center"/>
          </w:tcPr>
          <w:p w14:paraId="0EAECFD4">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80</w:t>
            </w:r>
          </w:p>
        </w:tc>
        <w:tc>
          <w:tcPr>
            <w:tcW w:w="2441" w:type="dxa"/>
            <w:vAlign w:val="center"/>
          </w:tcPr>
          <w:p w14:paraId="42DB6AA6">
            <w:pPr>
              <w:spacing w:line="360" w:lineRule="auto"/>
              <w:jc w:val="center"/>
              <w:rPr>
                <w:rFonts w:ascii="宋体" w:hAnsi="宋体" w:cs="宋体"/>
                <w:szCs w:val="21"/>
              </w:rPr>
            </w:pPr>
            <w:r>
              <w:rPr>
                <w:rFonts w:hint="eastAsia" w:ascii="宋体" w:hAnsi="宋体" w:cs="宋体"/>
                <w:szCs w:val="21"/>
              </w:rPr>
              <w:t>100</w:t>
            </w:r>
          </w:p>
        </w:tc>
      </w:tr>
    </w:tbl>
    <w:p w14:paraId="11CCFAB0">
      <w:pPr>
        <w:rPr>
          <w:rFonts w:ascii="宋体"/>
          <w:b/>
          <w:bCs/>
        </w:rPr>
      </w:pPr>
    </w:p>
    <w:p w14:paraId="552082E6">
      <w:pPr>
        <w:jc w:val="center"/>
        <w:rPr>
          <w:rFonts w:ascii="宋体" w:hAnsi="宋体" w:cs="宋体"/>
          <w:b/>
          <w:bCs/>
          <w:sz w:val="28"/>
          <w:szCs w:val="28"/>
        </w:rPr>
      </w:pPr>
      <w:r>
        <w:rPr>
          <w:rFonts w:hint="eastAsia" w:ascii="宋体" w:hAnsi="Times New Roman" w:eastAsia="宋体" w:cs="Times New Roman"/>
          <w:b/>
          <w:bCs/>
        </w:rPr>
        <w:t>舟山市定海区应急管理局突发事件综合保险项目</w:t>
      </w:r>
      <w:r>
        <w:rPr>
          <w:rFonts w:hint="eastAsia" w:ascii="宋体"/>
          <w:b/>
          <w:bCs/>
        </w:rPr>
        <w:t>商务技术评分表</w:t>
      </w:r>
    </w:p>
    <w:p w14:paraId="43C0A8F9"/>
    <w:tbl>
      <w:tblPr>
        <w:tblStyle w:val="27"/>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507"/>
        <w:gridCol w:w="6739"/>
        <w:gridCol w:w="904"/>
      </w:tblGrid>
      <w:tr w14:paraId="4407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41" w:type="dxa"/>
            <w:noWrap w:val="0"/>
            <w:vAlign w:val="center"/>
          </w:tcPr>
          <w:p w14:paraId="224B885C">
            <w:pPr>
              <w:jc w:val="center"/>
              <w:rPr>
                <w:rFonts w:hint="eastAsia" w:ascii="宋体" w:hAnsi="宋体" w:eastAsia="宋体" w:cs="宋体"/>
                <w:b/>
                <w:bCs/>
                <w:szCs w:val="21"/>
              </w:rPr>
            </w:pPr>
            <w:r>
              <w:rPr>
                <w:rFonts w:hint="eastAsia" w:ascii="宋体" w:hAnsi="宋体" w:eastAsia="宋体" w:cs="宋体"/>
                <w:b/>
                <w:bCs/>
                <w:szCs w:val="21"/>
              </w:rPr>
              <w:t>类别</w:t>
            </w:r>
          </w:p>
        </w:tc>
        <w:tc>
          <w:tcPr>
            <w:tcW w:w="1507" w:type="dxa"/>
            <w:noWrap w:val="0"/>
            <w:vAlign w:val="center"/>
          </w:tcPr>
          <w:p w14:paraId="605AFBDC">
            <w:pPr>
              <w:jc w:val="center"/>
              <w:rPr>
                <w:rFonts w:hint="eastAsia" w:ascii="宋体" w:hAnsi="宋体" w:eastAsia="宋体" w:cs="宋体"/>
                <w:b/>
                <w:bCs/>
                <w:szCs w:val="21"/>
              </w:rPr>
            </w:pPr>
            <w:r>
              <w:rPr>
                <w:rFonts w:hint="eastAsia" w:ascii="宋体" w:hAnsi="宋体" w:eastAsia="宋体" w:cs="宋体"/>
                <w:b/>
                <w:bCs/>
                <w:szCs w:val="21"/>
              </w:rPr>
              <w:t>评分项目</w:t>
            </w:r>
          </w:p>
        </w:tc>
        <w:tc>
          <w:tcPr>
            <w:tcW w:w="6739" w:type="dxa"/>
            <w:noWrap w:val="0"/>
            <w:vAlign w:val="center"/>
          </w:tcPr>
          <w:p w14:paraId="04787D97">
            <w:pPr>
              <w:jc w:val="center"/>
              <w:rPr>
                <w:rFonts w:hint="eastAsia" w:ascii="宋体" w:hAnsi="宋体" w:eastAsia="宋体" w:cs="宋体"/>
                <w:b/>
                <w:bCs/>
                <w:szCs w:val="21"/>
              </w:rPr>
            </w:pPr>
            <w:r>
              <w:rPr>
                <w:rFonts w:hint="eastAsia" w:ascii="宋体" w:hAnsi="宋体" w:eastAsia="宋体" w:cs="宋体"/>
                <w:b/>
                <w:bCs/>
                <w:szCs w:val="21"/>
              </w:rPr>
              <w:t>评分标准</w:t>
            </w:r>
          </w:p>
        </w:tc>
        <w:tc>
          <w:tcPr>
            <w:tcW w:w="904" w:type="dxa"/>
            <w:noWrap w:val="0"/>
            <w:vAlign w:val="center"/>
          </w:tcPr>
          <w:p w14:paraId="01AF66CB">
            <w:pPr>
              <w:jc w:val="center"/>
              <w:rPr>
                <w:rFonts w:hint="eastAsia" w:ascii="宋体" w:hAnsi="宋体" w:eastAsia="宋体" w:cs="宋体"/>
                <w:b/>
                <w:bCs/>
                <w:szCs w:val="21"/>
              </w:rPr>
            </w:pPr>
            <w:r>
              <w:rPr>
                <w:rFonts w:hint="eastAsia" w:ascii="宋体" w:hAnsi="宋体" w:eastAsia="宋体" w:cs="宋体"/>
                <w:b/>
                <w:bCs/>
                <w:szCs w:val="21"/>
              </w:rPr>
              <w:t>分值</w:t>
            </w:r>
          </w:p>
        </w:tc>
      </w:tr>
      <w:tr w14:paraId="6F09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5" w:hRule="atLeast"/>
          <w:jc w:val="center"/>
        </w:trPr>
        <w:tc>
          <w:tcPr>
            <w:tcW w:w="841" w:type="dxa"/>
            <w:noWrap w:val="0"/>
            <w:vAlign w:val="center"/>
          </w:tcPr>
          <w:p w14:paraId="0C28712B">
            <w:pPr>
              <w:widowControl/>
              <w:jc w:val="center"/>
              <w:rPr>
                <w:rFonts w:ascii="Times New Roman" w:hAnsi="Times New Roman" w:eastAsia="宋体" w:cs="Times New Roman"/>
              </w:rPr>
            </w:pPr>
            <w:r>
              <w:rPr>
                <w:rFonts w:hint="eastAsia" w:cs="Times New Roman"/>
                <w:lang w:val="en-US" w:eastAsia="zh-CN"/>
              </w:rPr>
              <w:t>客</w:t>
            </w:r>
            <w:r>
              <w:rPr>
                <w:rFonts w:hint="eastAsia" w:ascii="Times New Roman" w:hAnsi="Times New Roman" w:eastAsia="宋体" w:cs="Times New Roman"/>
              </w:rPr>
              <w:t>观</w:t>
            </w:r>
          </w:p>
        </w:tc>
        <w:tc>
          <w:tcPr>
            <w:tcW w:w="1507" w:type="dxa"/>
            <w:noWrap w:val="0"/>
            <w:vAlign w:val="center"/>
          </w:tcPr>
          <w:p w14:paraId="77CA8ABA">
            <w:pPr>
              <w:widowControl/>
              <w:jc w:val="center"/>
              <w:rPr>
                <w:rFonts w:ascii="Times New Roman" w:hAnsi="Times New Roman" w:eastAsia="宋体" w:cs="Times New Roman"/>
              </w:rPr>
            </w:pPr>
            <w:r>
              <w:rPr>
                <w:rFonts w:hint="eastAsia" w:ascii="宋体" w:hAnsi="宋体" w:eastAsia="宋体" w:cs="宋体"/>
                <w:b w:val="0"/>
                <w:bCs/>
                <w:color w:val="000000"/>
                <w:lang w:val="zh-CN" w:eastAsia="zh-CN"/>
              </w:rPr>
              <w:t>企业业绩</w:t>
            </w:r>
          </w:p>
        </w:tc>
        <w:tc>
          <w:tcPr>
            <w:tcW w:w="6739" w:type="dxa"/>
            <w:noWrap w:val="0"/>
            <w:vAlign w:val="center"/>
          </w:tcPr>
          <w:p w14:paraId="2BCEA5E0">
            <w:pPr>
              <w:widowControl/>
              <w:rPr>
                <w:rFonts w:hint="eastAsia" w:ascii="宋体" w:hAnsi="宋体" w:cs="宋体"/>
                <w:b w:val="0"/>
                <w:bCs/>
                <w:color w:val="000000"/>
                <w:lang w:val="en-US" w:eastAsia="zh-CN"/>
              </w:rPr>
            </w:pPr>
            <w:r>
              <w:rPr>
                <w:rFonts w:hint="eastAsia" w:ascii="宋体" w:hAnsi="宋体" w:eastAsia="宋体" w:cs="宋体"/>
                <w:b w:val="0"/>
                <w:bCs/>
                <w:color w:val="000000"/>
                <w:lang w:val="zh-CN" w:eastAsia="zh-CN"/>
              </w:rPr>
              <w:t>根据投标人提供的自20</w:t>
            </w:r>
            <w:r>
              <w:rPr>
                <w:rFonts w:hint="eastAsia" w:ascii="宋体" w:hAnsi="宋体" w:eastAsia="宋体" w:cs="宋体"/>
                <w:b w:val="0"/>
                <w:bCs/>
                <w:color w:val="000000"/>
                <w:lang w:val="en-US" w:eastAsia="zh-CN"/>
              </w:rPr>
              <w:t>21</w:t>
            </w:r>
            <w:r>
              <w:rPr>
                <w:rFonts w:hint="eastAsia" w:ascii="宋体" w:hAnsi="宋体" w:eastAsia="宋体" w:cs="宋体"/>
                <w:b w:val="0"/>
                <w:bCs/>
                <w:color w:val="000000"/>
                <w:lang w:val="zh-CN" w:eastAsia="zh-CN"/>
              </w:rPr>
              <w:t>年1月1日（时间以保单或协议生效时间</w:t>
            </w:r>
            <w:r>
              <w:rPr>
                <w:rFonts w:hint="eastAsia" w:ascii="宋体" w:hAnsi="宋体" w:eastAsia="宋体" w:cs="宋体"/>
                <w:b w:val="0"/>
                <w:bCs/>
                <w:color w:val="000000"/>
                <w:lang w:val="en-US" w:eastAsia="zh-CN"/>
              </w:rPr>
              <w:t>或中标通知书发出时间或政府核准时间</w:t>
            </w:r>
            <w:r>
              <w:rPr>
                <w:rFonts w:hint="eastAsia" w:ascii="宋体" w:hAnsi="宋体" w:eastAsia="宋体" w:cs="宋体"/>
                <w:b w:val="0"/>
                <w:bCs/>
                <w:color w:val="000000"/>
                <w:lang w:val="zh-CN" w:eastAsia="zh-CN"/>
              </w:rPr>
              <w:t>为准）以来开展重大自然灾害和见义勇为保险或政府救助综合保险项目业绩</w:t>
            </w:r>
            <w:r>
              <w:rPr>
                <w:rFonts w:hint="eastAsia" w:ascii="宋体" w:hAnsi="宋体" w:eastAsia="宋体" w:cs="宋体"/>
                <w:b w:val="0"/>
                <w:bCs/>
                <w:color w:val="000000"/>
                <w:lang w:val="en-US" w:eastAsia="zh-CN"/>
              </w:rPr>
              <w:t>的，每一个得</w:t>
            </w:r>
            <w:r>
              <w:rPr>
                <w:rFonts w:hint="eastAsia" w:ascii="宋体" w:hAnsi="宋体" w:cs="宋体"/>
                <w:b w:val="0"/>
                <w:bCs/>
                <w:color w:val="000000"/>
                <w:lang w:val="en-US" w:eastAsia="zh-CN"/>
              </w:rPr>
              <w:t>0.5</w:t>
            </w:r>
            <w:r>
              <w:rPr>
                <w:rFonts w:hint="eastAsia" w:ascii="宋体" w:hAnsi="宋体" w:eastAsia="宋体" w:cs="宋体"/>
                <w:b w:val="0"/>
                <w:bCs/>
                <w:color w:val="000000"/>
                <w:lang w:val="en-US" w:eastAsia="zh-CN"/>
              </w:rPr>
              <w:t>分，本项目最高</w:t>
            </w:r>
            <w:r>
              <w:rPr>
                <w:rFonts w:hint="eastAsia" w:ascii="宋体" w:hAnsi="宋体" w:cs="宋体"/>
                <w:b w:val="0"/>
                <w:bCs/>
                <w:color w:val="000000"/>
                <w:lang w:val="en-US" w:eastAsia="zh-CN"/>
              </w:rPr>
              <w:t>2</w:t>
            </w:r>
            <w:r>
              <w:rPr>
                <w:rFonts w:hint="eastAsia" w:ascii="宋体" w:hAnsi="宋体" w:eastAsia="宋体" w:cs="宋体"/>
                <w:b w:val="0"/>
                <w:bCs/>
                <w:color w:val="000000"/>
                <w:lang w:val="en-US" w:eastAsia="zh-CN"/>
              </w:rPr>
              <w:t>分。</w:t>
            </w:r>
          </w:p>
          <w:p w14:paraId="7249B24E">
            <w:pPr>
              <w:widowControl/>
              <w:rPr>
                <w:rFonts w:hint="eastAsia" w:ascii="宋体" w:hAnsi="宋体" w:eastAsia="PMingLiU" w:cs="宋体"/>
                <w:szCs w:val="21"/>
                <w:lang w:val="zh-TW" w:eastAsia="zh-TW"/>
              </w:rPr>
            </w:pPr>
            <w:r>
              <w:rPr>
                <w:rFonts w:hint="eastAsia" w:ascii="宋体" w:hAnsi="宋体" w:cs="宋体"/>
                <w:b w:val="0"/>
                <w:bCs/>
                <w:color w:val="000000"/>
                <w:lang w:val="en-US" w:eastAsia="zh-CN"/>
              </w:rPr>
              <w:t>注：</w:t>
            </w:r>
            <w:r>
              <w:rPr>
                <w:rFonts w:hint="eastAsia" w:ascii="宋体" w:hAnsi="宋体" w:eastAsia="宋体" w:cs="宋体"/>
                <w:b w:val="0"/>
                <w:bCs/>
                <w:color w:val="000000"/>
                <w:lang w:val="zh-CN" w:eastAsia="zh-CN"/>
              </w:rPr>
              <w:t>须提供合同或中标通知书</w:t>
            </w:r>
            <w:r>
              <w:rPr>
                <w:rFonts w:hint="eastAsia" w:ascii="宋体" w:hAnsi="宋体" w:eastAsia="宋体" w:cs="宋体"/>
                <w:b w:val="0"/>
                <w:bCs/>
                <w:color w:val="000000"/>
                <w:lang w:val="en-US" w:eastAsia="zh-CN"/>
              </w:rPr>
              <w:t>扫描</w:t>
            </w:r>
            <w:r>
              <w:rPr>
                <w:rFonts w:hint="eastAsia" w:ascii="宋体" w:hAnsi="宋体" w:eastAsia="宋体" w:cs="宋体"/>
                <w:b w:val="0"/>
                <w:bCs/>
                <w:color w:val="000000"/>
                <w:lang w:val="zh-CN" w:eastAsia="zh-CN"/>
              </w:rPr>
              <w:t>件或政府开展审批证明或保单扫描件并加盖公章，不提供不得分。同一业务多份保单或多个单位的，按一项计算。不提供不得分，本项最高得</w:t>
            </w:r>
            <w:r>
              <w:rPr>
                <w:rFonts w:hint="eastAsia" w:ascii="宋体" w:hAnsi="宋体" w:cs="宋体"/>
                <w:b w:val="0"/>
                <w:bCs/>
                <w:color w:val="000000"/>
                <w:lang w:val="en-US" w:eastAsia="zh-CN"/>
              </w:rPr>
              <w:t>2</w:t>
            </w:r>
            <w:r>
              <w:rPr>
                <w:rFonts w:hint="eastAsia" w:ascii="宋体" w:hAnsi="宋体" w:eastAsia="宋体" w:cs="宋体"/>
                <w:b w:val="0"/>
                <w:bCs/>
                <w:color w:val="000000"/>
                <w:lang w:val="zh-CN" w:eastAsia="zh-CN"/>
              </w:rPr>
              <w:t>分</w:t>
            </w:r>
            <w:r>
              <w:rPr>
                <w:rFonts w:hint="eastAsia" w:ascii="宋体" w:hAnsi="宋体" w:eastAsia="宋体" w:cs="宋体"/>
                <w:b w:val="0"/>
                <w:bCs/>
                <w:color w:val="000000"/>
                <w:lang w:val="en-US" w:eastAsia="zh-CN"/>
              </w:rPr>
              <w:t>）</w:t>
            </w:r>
          </w:p>
        </w:tc>
        <w:tc>
          <w:tcPr>
            <w:tcW w:w="904" w:type="dxa"/>
            <w:noWrap w:val="0"/>
            <w:vAlign w:val="center"/>
          </w:tcPr>
          <w:p w14:paraId="7E39F3F3">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2</w:t>
            </w:r>
          </w:p>
        </w:tc>
      </w:tr>
      <w:tr w14:paraId="23B6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Merge w:val="restart"/>
            <w:noWrap w:val="0"/>
            <w:vAlign w:val="center"/>
          </w:tcPr>
          <w:p w14:paraId="3FC671D1">
            <w:pPr>
              <w:jc w:val="center"/>
              <w:rPr>
                <w:rFonts w:ascii="宋体" w:hAnsi="宋体" w:eastAsia="宋体" w:cs="宋体"/>
                <w:szCs w:val="21"/>
              </w:rPr>
            </w:pPr>
            <w:r>
              <w:rPr>
                <w:rFonts w:hint="eastAsia" w:ascii="宋体" w:hAnsi="宋体" w:eastAsia="宋体" w:cs="宋体"/>
                <w:szCs w:val="21"/>
                <w:lang w:val="en-US" w:eastAsia="zh-CN"/>
              </w:rPr>
              <w:t>客</w:t>
            </w:r>
            <w:r>
              <w:rPr>
                <w:rFonts w:hint="eastAsia" w:ascii="宋体" w:hAnsi="宋体" w:eastAsia="宋体" w:cs="宋体"/>
                <w:szCs w:val="21"/>
              </w:rPr>
              <w:t>观</w:t>
            </w:r>
          </w:p>
        </w:tc>
        <w:tc>
          <w:tcPr>
            <w:tcW w:w="1507" w:type="dxa"/>
            <w:vMerge w:val="restart"/>
            <w:noWrap w:val="0"/>
            <w:vAlign w:val="center"/>
          </w:tcPr>
          <w:p w14:paraId="3BACD9E3">
            <w:pPr>
              <w:widowControl/>
              <w:jc w:val="center"/>
              <w:rPr>
                <w:rFonts w:hint="eastAsia" w:ascii="宋体" w:hAnsi="宋体" w:eastAsia="宋体" w:cs="宋体"/>
                <w:b w:val="0"/>
                <w:bCs/>
                <w:color w:val="000000"/>
                <w:lang w:val="zh-CN" w:eastAsia="zh-CN"/>
              </w:rPr>
            </w:pPr>
            <w:r>
              <w:rPr>
                <w:rFonts w:hint="eastAsia" w:ascii="宋体" w:hAnsi="宋体" w:eastAsia="宋体" w:cs="宋体"/>
                <w:b w:val="0"/>
                <w:bCs/>
                <w:color w:val="000000"/>
                <w:lang w:val="en-US" w:eastAsia="zh-CN"/>
              </w:rPr>
              <w:t>人员配置</w:t>
            </w:r>
          </w:p>
        </w:tc>
        <w:tc>
          <w:tcPr>
            <w:tcW w:w="6739" w:type="dxa"/>
            <w:noWrap w:val="0"/>
            <w:vAlign w:val="center"/>
          </w:tcPr>
          <w:p w14:paraId="3553D745">
            <w:pPr>
              <w:widowControl/>
              <w:rPr>
                <w:rFonts w:hint="eastAsia" w:ascii="宋体" w:hAnsi="宋体" w:eastAsia="宋体" w:cs="宋体"/>
                <w:b w:val="0"/>
                <w:bCs/>
                <w:color w:val="000000"/>
                <w:lang w:val="en-US" w:eastAsia="zh-CN"/>
              </w:rPr>
            </w:pPr>
            <w:r>
              <w:rPr>
                <w:rFonts w:hint="eastAsia" w:ascii="宋体" w:hAnsi="宋体" w:eastAsia="宋体" w:cs="宋体"/>
                <w:b w:val="0"/>
                <w:bCs/>
                <w:color w:val="000000"/>
                <w:lang w:val="en-US" w:eastAsia="zh-CN"/>
              </w:rPr>
              <w:t>服务团队的负责人资质，需提供证明材料：①职务证明；②职称证书复印件（中级及中级以上职称）；③投标截止日前近三个月内任意一个月的社保缴纳证明；④劳动合同。上述资料齐全得</w:t>
            </w:r>
            <w:r>
              <w:rPr>
                <w:rFonts w:hint="eastAsia" w:ascii="宋体" w:hAnsi="宋体" w:cs="宋体"/>
                <w:b w:val="0"/>
                <w:bCs/>
                <w:color w:val="000000"/>
                <w:lang w:val="en-US" w:eastAsia="zh-CN"/>
              </w:rPr>
              <w:t>4</w:t>
            </w:r>
            <w:r>
              <w:rPr>
                <w:rFonts w:hint="eastAsia" w:ascii="宋体" w:hAnsi="宋体" w:eastAsia="宋体" w:cs="宋体"/>
                <w:b w:val="0"/>
                <w:bCs/>
                <w:color w:val="000000"/>
                <w:lang w:val="en-US" w:eastAsia="zh-CN"/>
              </w:rPr>
              <w:t>分，每缺少一项材料减1分，最低0分。</w:t>
            </w:r>
          </w:p>
        </w:tc>
        <w:tc>
          <w:tcPr>
            <w:tcW w:w="904" w:type="dxa"/>
            <w:noWrap w:val="0"/>
            <w:vAlign w:val="center"/>
          </w:tcPr>
          <w:p w14:paraId="360210C5">
            <w:pPr>
              <w:widowControl/>
              <w:jc w:val="center"/>
              <w:rPr>
                <w:rFonts w:hint="default" w:ascii="宋体" w:hAnsi="宋体" w:cs="宋体"/>
                <w:szCs w:val="21"/>
                <w:lang w:val="en-US" w:eastAsia="zh-CN"/>
              </w:rPr>
            </w:pPr>
            <w:r>
              <w:rPr>
                <w:rFonts w:hint="eastAsia" w:ascii="宋体" w:hAnsi="宋体" w:cs="宋体"/>
                <w:szCs w:val="21"/>
                <w:lang w:val="en-US" w:eastAsia="zh-CN"/>
              </w:rPr>
              <w:t>4</w:t>
            </w:r>
          </w:p>
        </w:tc>
      </w:tr>
      <w:tr w14:paraId="51B3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Merge w:val="continue"/>
            <w:noWrap w:val="0"/>
            <w:vAlign w:val="center"/>
          </w:tcPr>
          <w:p w14:paraId="37CAAD5C">
            <w:pPr>
              <w:widowControl/>
              <w:jc w:val="center"/>
              <w:rPr>
                <w:rFonts w:hint="eastAsia" w:ascii="Times New Roman" w:hAnsi="Times New Roman" w:eastAsia="宋体" w:cs="Times New Roman"/>
              </w:rPr>
            </w:pPr>
          </w:p>
        </w:tc>
        <w:tc>
          <w:tcPr>
            <w:tcW w:w="1507" w:type="dxa"/>
            <w:vMerge w:val="continue"/>
            <w:noWrap w:val="0"/>
            <w:vAlign w:val="center"/>
          </w:tcPr>
          <w:p w14:paraId="740F5A83">
            <w:pPr>
              <w:widowControl/>
              <w:jc w:val="center"/>
              <w:rPr>
                <w:rFonts w:hint="eastAsia" w:ascii="宋体" w:hAnsi="宋体" w:eastAsia="宋体" w:cs="宋体"/>
                <w:b w:val="0"/>
                <w:bCs/>
                <w:color w:val="000000"/>
                <w:lang w:val="zh-CN" w:eastAsia="zh-CN"/>
              </w:rPr>
            </w:pPr>
          </w:p>
        </w:tc>
        <w:tc>
          <w:tcPr>
            <w:tcW w:w="6739" w:type="dxa"/>
            <w:noWrap w:val="0"/>
            <w:vAlign w:val="center"/>
          </w:tcPr>
          <w:p w14:paraId="69CD2512">
            <w:pPr>
              <w:widowControl/>
              <w:rPr>
                <w:rFonts w:hint="eastAsia" w:ascii="宋体" w:hAnsi="宋体" w:eastAsia="宋体" w:cs="宋体"/>
                <w:b w:val="0"/>
                <w:bCs/>
                <w:color w:val="000000"/>
                <w:lang w:val="en-US" w:eastAsia="zh-CN"/>
              </w:rPr>
            </w:pPr>
            <w:r>
              <w:rPr>
                <w:rFonts w:hint="eastAsia" w:ascii="宋体" w:hAnsi="宋体" w:eastAsia="宋体" w:cs="宋体"/>
                <w:b w:val="0"/>
                <w:bCs/>
                <w:color w:val="000000"/>
                <w:lang w:val="en-US" w:eastAsia="zh-CN"/>
              </w:rPr>
              <w:t>服务团队达到6人得基本分3分，每增加1人得0.5分，满分5分。（需提供：①劳动合同复印件；②投标截止日前近三个月内任意一个月的社保缴纳证明。缺少任意一项则不计入人数。）</w:t>
            </w:r>
          </w:p>
        </w:tc>
        <w:tc>
          <w:tcPr>
            <w:tcW w:w="904" w:type="dxa"/>
            <w:noWrap w:val="0"/>
            <w:vAlign w:val="center"/>
          </w:tcPr>
          <w:p w14:paraId="054371D1">
            <w:pPr>
              <w:widowControl/>
              <w:jc w:val="center"/>
              <w:rPr>
                <w:rFonts w:hint="default" w:ascii="宋体" w:hAnsi="宋体" w:cs="宋体"/>
                <w:szCs w:val="21"/>
                <w:lang w:val="en-US" w:eastAsia="zh-CN"/>
              </w:rPr>
            </w:pPr>
            <w:r>
              <w:rPr>
                <w:rFonts w:hint="eastAsia" w:ascii="宋体" w:hAnsi="宋体" w:cs="宋体"/>
                <w:szCs w:val="21"/>
                <w:lang w:val="en-US" w:eastAsia="zh-CN"/>
              </w:rPr>
              <w:t>5</w:t>
            </w:r>
          </w:p>
        </w:tc>
      </w:tr>
      <w:tr w14:paraId="5773E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jc w:val="center"/>
        </w:trPr>
        <w:tc>
          <w:tcPr>
            <w:tcW w:w="841" w:type="dxa"/>
            <w:vMerge w:val="continue"/>
            <w:noWrap w:val="0"/>
            <w:vAlign w:val="center"/>
          </w:tcPr>
          <w:p w14:paraId="1E1C5792">
            <w:pPr>
              <w:jc w:val="center"/>
              <w:rPr>
                <w:rFonts w:ascii="宋体" w:hAnsi="宋体" w:eastAsia="宋体" w:cs="宋体"/>
                <w:szCs w:val="21"/>
              </w:rPr>
            </w:pPr>
          </w:p>
        </w:tc>
        <w:tc>
          <w:tcPr>
            <w:tcW w:w="1507" w:type="dxa"/>
            <w:vMerge w:val="continue"/>
            <w:noWrap w:val="0"/>
            <w:vAlign w:val="center"/>
          </w:tcPr>
          <w:p w14:paraId="0A614DDE">
            <w:pPr>
              <w:jc w:val="center"/>
              <w:rPr>
                <w:rFonts w:hint="eastAsia" w:ascii="宋体" w:hAnsi="宋体" w:eastAsia="宋体" w:cs="宋体"/>
                <w:szCs w:val="21"/>
                <w:lang w:val="en-US" w:eastAsia="zh-CN"/>
              </w:rPr>
            </w:pPr>
          </w:p>
        </w:tc>
        <w:tc>
          <w:tcPr>
            <w:tcW w:w="6739" w:type="dxa"/>
            <w:noWrap w:val="0"/>
            <w:vAlign w:val="center"/>
          </w:tcPr>
          <w:p w14:paraId="689D4D3C">
            <w:pPr>
              <w:widowControl/>
              <w:rPr>
                <w:rFonts w:hint="eastAsia" w:ascii="宋体" w:hAnsi="宋体" w:eastAsia="宋体" w:cs="宋体"/>
                <w:szCs w:val="21"/>
              </w:rPr>
            </w:pPr>
            <w:r>
              <w:rPr>
                <w:rFonts w:hint="eastAsia" w:ascii="宋体" w:hAnsi="宋体" w:eastAsia="宋体" w:cs="宋体"/>
                <w:b w:val="0"/>
                <w:bCs/>
                <w:color w:val="000000"/>
                <w:lang w:val="en-US" w:eastAsia="zh-CN"/>
              </w:rPr>
              <w:t>服务团队中，有核保、核赔、讲师类岗位人员的，每个加0.5分，满分</w:t>
            </w:r>
            <w:r>
              <w:rPr>
                <w:rFonts w:hint="eastAsia" w:ascii="宋体" w:hAnsi="宋体" w:cs="宋体"/>
                <w:b w:val="0"/>
                <w:bCs/>
                <w:color w:val="000000"/>
                <w:lang w:val="en-US" w:eastAsia="zh-CN"/>
              </w:rPr>
              <w:t>4</w:t>
            </w:r>
            <w:r>
              <w:rPr>
                <w:rFonts w:hint="eastAsia" w:ascii="宋体" w:hAnsi="宋体" w:eastAsia="宋体" w:cs="宋体"/>
                <w:b w:val="0"/>
                <w:bCs/>
                <w:color w:val="000000"/>
                <w:lang w:val="en-US" w:eastAsia="zh-CN"/>
              </w:rPr>
              <w:t>分。（需提供相应的证书复印件以及岗位证明加盖公章，缺一不计分）</w:t>
            </w:r>
          </w:p>
        </w:tc>
        <w:tc>
          <w:tcPr>
            <w:tcW w:w="904" w:type="dxa"/>
            <w:noWrap w:val="0"/>
            <w:vAlign w:val="center"/>
          </w:tcPr>
          <w:p w14:paraId="1FCC4D16">
            <w:pPr>
              <w:widowControl/>
              <w:jc w:val="center"/>
              <w:rPr>
                <w:rFonts w:hint="eastAsia" w:ascii="宋体" w:hAnsi="宋体" w:eastAsia="宋体" w:cs="宋体"/>
                <w:szCs w:val="21"/>
                <w:lang w:eastAsia="zh-CN"/>
              </w:rPr>
            </w:pPr>
            <w:r>
              <w:rPr>
                <w:rFonts w:hint="eastAsia" w:ascii="宋体" w:hAnsi="宋体" w:cs="宋体"/>
                <w:szCs w:val="21"/>
                <w:lang w:val="en-US" w:eastAsia="zh-CN"/>
              </w:rPr>
              <w:t>4</w:t>
            </w:r>
          </w:p>
        </w:tc>
      </w:tr>
      <w:tr w14:paraId="1C66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8" w:hRule="atLeast"/>
          <w:jc w:val="center"/>
        </w:trPr>
        <w:tc>
          <w:tcPr>
            <w:tcW w:w="841" w:type="dxa"/>
            <w:vMerge w:val="restart"/>
            <w:shd w:val="clear" w:color="auto" w:fill="auto"/>
            <w:noWrap w:val="0"/>
            <w:vAlign w:val="center"/>
          </w:tcPr>
          <w:p w14:paraId="632B1E89">
            <w:pPr>
              <w:widowControl/>
              <w:jc w:val="center"/>
              <w:rPr>
                <w:rFonts w:hint="eastAsia" w:ascii="宋体" w:hAnsi="宋体" w:eastAsia="宋体" w:cs="宋体"/>
                <w:szCs w:val="21"/>
              </w:rPr>
            </w:pPr>
            <w:r>
              <w:rPr>
                <w:rFonts w:hint="eastAsia" w:ascii="宋体" w:hAnsi="宋体" w:cs="宋体"/>
                <w:szCs w:val="21"/>
                <w:lang w:val="en-US" w:eastAsia="zh-CN"/>
              </w:rPr>
              <w:t>客</w:t>
            </w:r>
            <w:r>
              <w:rPr>
                <w:rFonts w:hint="eastAsia" w:ascii="宋体" w:hAnsi="宋体" w:eastAsia="宋体" w:cs="宋体"/>
                <w:szCs w:val="21"/>
              </w:rPr>
              <w:t>观</w:t>
            </w:r>
          </w:p>
        </w:tc>
        <w:tc>
          <w:tcPr>
            <w:tcW w:w="1507" w:type="dxa"/>
            <w:vMerge w:val="restart"/>
            <w:shd w:val="clear" w:color="auto" w:fill="auto"/>
            <w:noWrap w:val="0"/>
            <w:vAlign w:val="center"/>
          </w:tcPr>
          <w:p w14:paraId="7AF27B56">
            <w:pPr>
              <w:jc w:val="center"/>
              <w:rPr>
                <w:rFonts w:hint="eastAsia" w:ascii="宋体" w:hAnsi="宋体" w:eastAsia="宋体" w:cs="宋体"/>
                <w:szCs w:val="21"/>
                <w:lang w:eastAsia="zh-CN"/>
              </w:rPr>
            </w:pPr>
            <w:r>
              <w:rPr>
                <w:rFonts w:hint="eastAsia" w:ascii="宋体" w:hAnsi="宋体" w:eastAsia="宋体" w:cs="宋体"/>
                <w:b w:val="0"/>
                <w:bCs/>
                <w:color w:val="000000"/>
                <w:lang w:val="en-US" w:eastAsia="zh-CN"/>
              </w:rPr>
              <w:t>综合实力</w:t>
            </w:r>
          </w:p>
        </w:tc>
        <w:tc>
          <w:tcPr>
            <w:tcW w:w="6739" w:type="dxa"/>
            <w:shd w:val="clear" w:color="auto" w:fill="auto"/>
            <w:noWrap w:val="0"/>
            <w:vAlign w:val="center"/>
          </w:tcPr>
          <w:p w14:paraId="013D72FD">
            <w:pPr>
              <w:widowControl/>
              <w:rPr>
                <w:rFonts w:hint="eastAsia" w:ascii="宋体" w:hAnsi="宋体" w:eastAsia="宋体" w:cs="宋体"/>
                <w:b w:val="0"/>
                <w:bCs/>
                <w:color w:val="000000"/>
                <w:lang w:val="en-US" w:eastAsia="zh-CN"/>
              </w:rPr>
            </w:pPr>
            <w:r>
              <w:rPr>
                <w:rFonts w:hint="eastAsia" w:ascii="宋体" w:hAnsi="宋体" w:eastAsia="宋体" w:cs="宋体"/>
                <w:b w:val="0"/>
                <w:bCs/>
                <w:color w:val="000000"/>
                <w:lang w:val="en-US" w:eastAsia="zh-CN"/>
              </w:rPr>
              <w:t>根据投标人总公司综合偿付能力充足率进行评议：</w:t>
            </w:r>
          </w:p>
          <w:p w14:paraId="60F7F445">
            <w:pPr>
              <w:widowControl/>
              <w:rPr>
                <w:rFonts w:hint="eastAsia" w:ascii="宋体" w:hAnsi="宋体" w:eastAsia="宋体" w:cs="宋体"/>
                <w:b w:val="0"/>
                <w:bCs/>
                <w:color w:val="000000"/>
                <w:lang w:val="en-US" w:eastAsia="zh-CN"/>
              </w:rPr>
            </w:pPr>
            <w:r>
              <w:rPr>
                <w:rFonts w:hint="eastAsia" w:ascii="宋体" w:hAnsi="宋体" w:eastAsia="宋体" w:cs="宋体"/>
                <w:b w:val="0"/>
                <w:bCs/>
                <w:color w:val="000000"/>
                <w:lang w:val="en-US" w:eastAsia="zh-CN"/>
              </w:rPr>
              <w:t>1.综合偿付能力充足率在200%(含)以上的得6分；</w:t>
            </w:r>
          </w:p>
          <w:p w14:paraId="162AA262">
            <w:pPr>
              <w:widowControl/>
              <w:rPr>
                <w:rFonts w:hint="eastAsia" w:ascii="宋体" w:hAnsi="宋体" w:eastAsia="宋体" w:cs="宋体"/>
                <w:b w:val="0"/>
                <w:bCs/>
                <w:color w:val="000000"/>
                <w:lang w:val="en-US" w:eastAsia="zh-CN"/>
              </w:rPr>
            </w:pPr>
            <w:r>
              <w:rPr>
                <w:rFonts w:hint="eastAsia" w:ascii="宋体" w:hAnsi="宋体" w:eastAsia="宋体" w:cs="宋体"/>
                <w:b w:val="0"/>
                <w:bCs/>
                <w:color w:val="000000"/>
                <w:lang w:val="en-US" w:eastAsia="zh-CN"/>
              </w:rPr>
              <w:t>2.综合偿付能力充足率在150%(含)至200%(不含)之间的得4分；</w:t>
            </w:r>
          </w:p>
          <w:p w14:paraId="5CAAA0BD">
            <w:pPr>
              <w:widowControl/>
              <w:rPr>
                <w:rFonts w:hint="eastAsia" w:ascii="宋体" w:hAnsi="宋体" w:eastAsia="宋体" w:cs="宋体"/>
                <w:b w:val="0"/>
                <w:bCs/>
                <w:color w:val="000000"/>
                <w:lang w:val="en-US" w:eastAsia="zh-CN"/>
              </w:rPr>
            </w:pPr>
            <w:r>
              <w:rPr>
                <w:rFonts w:hint="eastAsia" w:ascii="宋体" w:hAnsi="宋体" w:eastAsia="宋体" w:cs="宋体"/>
                <w:b w:val="0"/>
                <w:bCs/>
                <w:color w:val="000000"/>
                <w:lang w:val="en-US" w:eastAsia="zh-CN"/>
              </w:rPr>
              <w:t>3.综合偿付能力充足率在100%(含)至150%(不含)之间的得2分；</w:t>
            </w:r>
          </w:p>
          <w:p w14:paraId="3558E795">
            <w:pPr>
              <w:widowControl/>
              <w:rPr>
                <w:rFonts w:hint="eastAsia" w:ascii="宋体" w:hAnsi="宋体" w:eastAsia="宋体" w:cs="宋体"/>
                <w:b w:val="0"/>
                <w:bCs/>
                <w:color w:val="000000"/>
                <w:lang w:val="en-US" w:eastAsia="zh-CN"/>
              </w:rPr>
            </w:pPr>
            <w:r>
              <w:rPr>
                <w:rFonts w:hint="eastAsia" w:ascii="宋体" w:hAnsi="宋体" w:eastAsia="宋体" w:cs="宋体"/>
                <w:b w:val="0"/>
                <w:bCs/>
                <w:color w:val="000000"/>
                <w:lang w:val="en-US" w:eastAsia="zh-CN"/>
              </w:rPr>
              <w:t>4.综合偿付能力充足率低于100%的不得分。</w:t>
            </w:r>
          </w:p>
          <w:p w14:paraId="4E8C324C">
            <w:pPr>
              <w:widowControl/>
              <w:rPr>
                <w:rFonts w:hint="eastAsia" w:ascii="宋体" w:hAnsi="宋体" w:eastAsia="宋体" w:cs="宋体"/>
                <w:szCs w:val="21"/>
                <w:shd w:val="clear" w:color="auto" w:fill="auto"/>
              </w:rPr>
            </w:pPr>
            <w:r>
              <w:rPr>
                <w:rFonts w:hint="eastAsia" w:ascii="宋体" w:hAnsi="宋体" w:eastAsia="宋体" w:cs="宋体"/>
                <w:b w:val="0"/>
                <w:bCs/>
                <w:color w:val="000000"/>
                <w:lang w:val="en-US" w:eastAsia="zh-CN"/>
              </w:rPr>
              <w:t>注:投标文件须提供投标人总公司2023年</w:t>
            </w:r>
            <w:r>
              <w:rPr>
                <w:rFonts w:hint="eastAsia" w:ascii="宋体" w:hAnsi="宋体" w:cs="宋体"/>
                <w:b w:val="0"/>
                <w:bCs/>
                <w:color w:val="000000"/>
                <w:lang w:val="en-US" w:eastAsia="zh-CN"/>
              </w:rPr>
              <w:t>全年</w:t>
            </w:r>
            <w:r>
              <w:rPr>
                <w:rFonts w:hint="eastAsia" w:ascii="宋体" w:hAnsi="宋体" w:eastAsia="宋体" w:cs="宋体"/>
                <w:b w:val="0"/>
                <w:bCs/>
                <w:color w:val="000000"/>
                <w:lang w:val="en-US" w:eastAsia="zh-CN"/>
              </w:rPr>
              <w:t>偿付能力专题财务报表扫描件并加盖投标人公章，未提供不得分。</w:t>
            </w:r>
          </w:p>
        </w:tc>
        <w:tc>
          <w:tcPr>
            <w:tcW w:w="904" w:type="dxa"/>
            <w:noWrap w:val="0"/>
            <w:vAlign w:val="center"/>
          </w:tcPr>
          <w:p w14:paraId="3862CE2C">
            <w:pPr>
              <w:jc w:val="center"/>
              <w:rPr>
                <w:rFonts w:hint="default" w:ascii="宋体" w:hAnsi="宋体" w:eastAsia="宋体" w:cs="宋体"/>
                <w:szCs w:val="21"/>
                <w:lang w:val="en-US" w:eastAsia="zh-CN"/>
              </w:rPr>
            </w:pPr>
            <w:r>
              <w:rPr>
                <w:rFonts w:hint="eastAsia" w:ascii="宋体" w:hAnsi="宋体" w:cs="宋体"/>
                <w:szCs w:val="21"/>
                <w:lang w:val="en-US" w:eastAsia="zh-CN"/>
              </w:rPr>
              <w:t>6</w:t>
            </w:r>
          </w:p>
        </w:tc>
      </w:tr>
      <w:tr w14:paraId="30EE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1" w:hRule="atLeast"/>
          <w:jc w:val="center"/>
        </w:trPr>
        <w:tc>
          <w:tcPr>
            <w:tcW w:w="841" w:type="dxa"/>
            <w:vMerge w:val="continue"/>
            <w:shd w:val="clear" w:color="auto" w:fill="auto"/>
            <w:noWrap w:val="0"/>
            <w:vAlign w:val="center"/>
          </w:tcPr>
          <w:p w14:paraId="34A2271A">
            <w:pPr>
              <w:widowControl/>
              <w:jc w:val="center"/>
              <w:rPr>
                <w:rFonts w:hint="eastAsia" w:ascii="宋体" w:hAnsi="宋体" w:eastAsia="宋体" w:cs="宋体"/>
                <w:szCs w:val="21"/>
              </w:rPr>
            </w:pPr>
          </w:p>
        </w:tc>
        <w:tc>
          <w:tcPr>
            <w:tcW w:w="1507" w:type="dxa"/>
            <w:vMerge w:val="continue"/>
            <w:shd w:val="clear" w:color="auto" w:fill="auto"/>
            <w:noWrap w:val="0"/>
            <w:vAlign w:val="center"/>
          </w:tcPr>
          <w:p w14:paraId="20A0BF1F">
            <w:pPr>
              <w:widowControl/>
              <w:jc w:val="center"/>
              <w:rPr>
                <w:rFonts w:hint="eastAsia" w:ascii="宋体" w:hAnsi="宋体" w:eastAsia="宋体" w:cs="宋体"/>
                <w:szCs w:val="21"/>
              </w:rPr>
            </w:pPr>
          </w:p>
        </w:tc>
        <w:tc>
          <w:tcPr>
            <w:tcW w:w="6739" w:type="dxa"/>
            <w:shd w:val="clear" w:color="auto" w:fill="auto"/>
            <w:noWrap w:val="0"/>
            <w:vAlign w:val="center"/>
          </w:tcPr>
          <w:p w14:paraId="68593412">
            <w:pPr>
              <w:pStyle w:val="13"/>
              <w:ind w:left="0" w:leftChars="0" w:firstLine="0" w:firstLineChars="0"/>
              <w:rPr>
                <w:rFonts w:hint="eastAsia" w:ascii="宋体" w:hAnsi="宋体" w:eastAsia="宋体" w:cs="宋体"/>
                <w:b w:val="0"/>
                <w:bCs/>
                <w:color w:val="000000"/>
                <w:kern w:val="2"/>
                <w:sz w:val="21"/>
                <w:shd w:val="clear" w:color="auto" w:fill="auto"/>
                <w:lang w:val="zh-CN" w:eastAsia="zh-CN" w:bidi="ar-SA"/>
              </w:rPr>
            </w:pPr>
            <w:r>
              <w:rPr>
                <w:rFonts w:hint="eastAsia" w:ascii="宋体" w:hAnsi="宋体" w:eastAsia="宋体" w:cs="宋体"/>
                <w:b w:val="0"/>
                <w:bCs/>
                <w:color w:val="000000"/>
                <w:kern w:val="2"/>
                <w:sz w:val="21"/>
                <w:shd w:val="clear" w:color="auto" w:fill="auto"/>
                <w:lang w:val="zh-CN" w:eastAsia="zh-CN" w:bidi="ar-SA"/>
              </w:rPr>
              <w:t>投标人总公司2023年第</w:t>
            </w:r>
            <w:r>
              <w:rPr>
                <w:rFonts w:hint="eastAsia" w:hAnsi="宋体" w:eastAsia="宋体" w:cs="宋体"/>
                <w:b w:val="0"/>
                <w:bCs/>
                <w:color w:val="000000"/>
                <w:kern w:val="2"/>
                <w:sz w:val="21"/>
                <w:shd w:val="clear" w:color="auto" w:fill="auto"/>
                <w:lang w:val="en-US" w:eastAsia="zh-CN" w:bidi="ar-SA"/>
              </w:rPr>
              <w:t>一</w:t>
            </w:r>
            <w:r>
              <w:rPr>
                <w:rFonts w:hint="eastAsia" w:ascii="宋体" w:hAnsi="宋体" w:eastAsia="宋体" w:cs="宋体"/>
                <w:b w:val="0"/>
                <w:bCs/>
                <w:color w:val="000000"/>
                <w:kern w:val="2"/>
                <w:sz w:val="21"/>
                <w:shd w:val="clear" w:color="auto" w:fill="auto"/>
                <w:lang w:val="zh-CN" w:eastAsia="zh-CN" w:bidi="ar-SA"/>
              </w:rPr>
              <w:t>季度亿元保费投诉量评分，1.0下（</w:t>
            </w:r>
            <w:r>
              <w:rPr>
                <w:rFonts w:hint="eastAsia" w:ascii="宋体" w:hAnsi="宋体" w:eastAsia="宋体" w:cs="宋体"/>
                <w:b w:val="0"/>
                <w:bCs/>
                <w:color w:val="000000"/>
                <w:kern w:val="2"/>
                <w:sz w:val="21"/>
                <w:shd w:val="clear" w:color="auto" w:fill="auto"/>
                <w:lang w:val="en-US" w:eastAsia="zh-CN" w:bidi="ar-SA"/>
              </w:rPr>
              <w:t>含）</w:t>
            </w:r>
            <w:r>
              <w:rPr>
                <w:rFonts w:hint="eastAsia" w:ascii="宋体" w:hAnsi="宋体" w:eastAsia="宋体" w:cs="宋体"/>
                <w:b w:val="0"/>
                <w:bCs/>
                <w:color w:val="000000"/>
                <w:kern w:val="2"/>
                <w:sz w:val="21"/>
                <w:shd w:val="clear" w:color="auto" w:fill="auto"/>
                <w:lang w:val="zh-CN" w:eastAsia="zh-CN" w:bidi="ar-SA"/>
              </w:rPr>
              <w:t>的得</w:t>
            </w:r>
            <w:r>
              <w:rPr>
                <w:rFonts w:hint="eastAsia" w:hAnsi="宋体" w:eastAsia="宋体" w:cs="宋体"/>
                <w:b w:val="0"/>
                <w:bCs/>
                <w:color w:val="000000"/>
                <w:kern w:val="2"/>
                <w:sz w:val="21"/>
                <w:shd w:val="clear" w:color="auto" w:fill="auto"/>
                <w:lang w:val="en-US" w:eastAsia="zh-CN" w:bidi="ar-SA"/>
              </w:rPr>
              <w:t>8</w:t>
            </w:r>
            <w:r>
              <w:rPr>
                <w:rFonts w:hint="eastAsia" w:ascii="宋体" w:hAnsi="宋体" w:eastAsia="宋体" w:cs="宋体"/>
                <w:b w:val="0"/>
                <w:bCs/>
                <w:color w:val="000000"/>
                <w:kern w:val="2"/>
                <w:sz w:val="21"/>
                <w:shd w:val="clear" w:color="auto" w:fill="auto"/>
                <w:lang w:val="zh-CN" w:eastAsia="zh-CN" w:bidi="ar-SA"/>
              </w:rPr>
              <w:t>分，1.0（</w:t>
            </w:r>
            <w:r>
              <w:rPr>
                <w:rFonts w:hint="eastAsia" w:ascii="宋体" w:hAnsi="宋体" w:eastAsia="宋体" w:cs="宋体"/>
                <w:b w:val="0"/>
                <w:bCs/>
                <w:color w:val="000000"/>
                <w:kern w:val="2"/>
                <w:sz w:val="21"/>
                <w:shd w:val="clear" w:color="auto" w:fill="auto"/>
                <w:lang w:val="en-US" w:eastAsia="zh-CN" w:bidi="ar-SA"/>
              </w:rPr>
              <w:t>不含）</w:t>
            </w:r>
            <w:r>
              <w:rPr>
                <w:rFonts w:hint="eastAsia" w:ascii="宋体" w:hAnsi="宋体" w:eastAsia="宋体" w:cs="宋体"/>
                <w:b w:val="0"/>
                <w:bCs/>
                <w:color w:val="000000"/>
                <w:kern w:val="2"/>
                <w:sz w:val="21"/>
                <w:shd w:val="clear" w:color="auto" w:fill="auto"/>
                <w:lang w:val="zh-CN" w:eastAsia="zh-CN" w:bidi="ar-SA"/>
              </w:rPr>
              <w:t>-2.0（</w:t>
            </w:r>
            <w:r>
              <w:rPr>
                <w:rFonts w:hint="eastAsia" w:ascii="宋体" w:hAnsi="宋体" w:eastAsia="宋体" w:cs="宋体"/>
                <w:b w:val="0"/>
                <w:bCs/>
                <w:color w:val="000000"/>
                <w:kern w:val="2"/>
                <w:sz w:val="21"/>
                <w:shd w:val="clear" w:color="auto" w:fill="auto"/>
                <w:lang w:val="en-US" w:eastAsia="zh-CN" w:bidi="ar-SA"/>
              </w:rPr>
              <w:t>含）</w:t>
            </w:r>
            <w:r>
              <w:rPr>
                <w:rFonts w:hint="eastAsia" w:ascii="宋体" w:hAnsi="宋体" w:eastAsia="宋体" w:cs="宋体"/>
                <w:b w:val="0"/>
                <w:bCs/>
                <w:color w:val="000000"/>
                <w:kern w:val="2"/>
                <w:sz w:val="21"/>
                <w:shd w:val="clear" w:color="auto" w:fill="auto"/>
                <w:lang w:val="zh-CN" w:eastAsia="zh-CN" w:bidi="ar-SA"/>
              </w:rPr>
              <w:t>的得</w:t>
            </w:r>
            <w:r>
              <w:rPr>
                <w:rFonts w:hint="eastAsia" w:hAnsi="宋体" w:eastAsia="宋体" w:cs="宋体"/>
                <w:b w:val="0"/>
                <w:bCs/>
                <w:color w:val="000000"/>
                <w:kern w:val="2"/>
                <w:sz w:val="21"/>
                <w:shd w:val="clear" w:color="auto" w:fill="auto"/>
                <w:lang w:val="en-US" w:eastAsia="zh-CN" w:bidi="ar-SA"/>
              </w:rPr>
              <w:t>6</w:t>
            </w:r>
            <w:r>
              <w:rPr>
                <w:rFonts w:hint="eastAsia" w:ascii="宋体" w:hAnsi="宋体" w:eastAsia="宋体" w:cs="宋体"/>
                <w:b w:val="0"/>
                <w:bCs/>
                <w:color w:val="000000"/>
                <w:kern w:val="2"/>
                <w:sz w:val="21"/>
                <w:shd w:val="clear" w:color="auto" w:fill="auto"/>
                <w:lang w:val="zh-CN" w:eastAsia="zh-CN" w:bidi="ar-SA"/>
              </w:rPr>
              <w:t>分，2.0（</w:t>
            </w:r>
            <w:r>
              <w:rPr>
                <w:rFonts w:hint="eastAsia" w:ascii="宋体" w:hAnsi="宋体" w:eastAsia="宋体" w:cs="宋体"/>
                <w:b w:val="0"/>
                <w:bCs/>
                <w:color w:val="000000"/>
                <w:kern w:val="2"/>
                <w:sz w:val="21"/>
                <w:shd w:val="clear" w:color="auto" w:fill="auto"/>
                <w:lang w:val="en-US" w:eastAsia="zh-CN" w:bidi="ar-SA"/>
              </w:rPr>
              <w:t>不含）</w:t>
            </w:r>
            <w:r>
              <w:rPr>
                <w:rFonts w:hint="eastAsia" w:ascii="宋体" w:hAnsi="宋体" w:eastAsia="宋体" w:cs="宋体"/>
                <w:b w:val="0"/>
                <w:bCs/>
                <w:color w:val="000000"/>
                <w:kern w:val="2"/>
                <w:sz w:val="21"/>
                <w:shd w:val="clear" w:color="auto" w:fill="auto"/>
                <w:lang w:val="zh-CN" w:eastAsia="zh-CN" w:bidi="ar-SA"/>
              </w:rPr>
              <w:t>-4.0（</w:t>
            </w:r>
            <w:r>
              <w:rPr>
                <w:rFonts w:hint="eastAsia" w:ascii="宋体" w:hAnsi="宋体" w:eastAsia="宋体" w:cs="宋体"/>
                <w:b w:val="0"/>
                <w:bCs/>
                <w:color w:val="000000"/>
                <w:kern w:val="2"/>
                <w:sz w:val="21"/>
                <w:shd w:val="clear" w:color="auto" w:fill="auto"/>
                <w:lang w:val="en-US" w:eastAsia="zh-CN" w:bidi="ar-SA"/>
              </w:rPr>
              <w:t>含）</w:t>
            </w:r>
            <w:r>
              <w:rPr>
                <w:rFonts w:hint="eastAsia" w:ascii="宋体" w:hAnsi="宋体" w:eastAsia="宋体" w:cs="宋体"/>
                <w:b w:val="0"/>
                <w:bCs/>
                <w:color w:val="000000"/>
                <w:kern w:val="2"/>
                <w:sz w:val="21"/>
                <w:shd w:val="clear" w:color="auto" w:fill="auto"/>
                <w:lang w:val="zh-CN" w:eastAsia="zh-CN" w:bidi="ar-SA"/>
              </w:rPr>
              <w:t>的得</w:t>
            </w:r>
            <w:r>
              <w:rPr>
                <w:rFonts w:hint="eastAsia" w:hAnsi="宋体" w:eastAsia="宋体" w:cs="宋体"/>
                <w:b w:val="0"/>
                <w:bCs/>
                <w:color w:val="000000"/>
                <w:kern w:val="2"/>
                <w:sz w:val="21"/>
                <w:shd w:val="clear" w:color="auto" w:fill="auto"/>
                <w:lang w:val="en-US" w:eastAsia="zh-CN" w:bidi="ar-SA"/>
              </w:rPr>
              <w:t>4</w:t>
            </w:r>
            <w:r>
              <w:rPr>
                <w:rFonts w:hint="eastAsia" w:ascii="宋体" w:hAnsi="宋体" w:eastAsia="宋体" w:cs="宋体"/>
                <w:b w:val="0"/>
                <w:bCs/>
                <w:color w:val="000000"/>
                <w:kern w:val="2"/>
                <w:sz w:val="21"/>
                <w:shd w:val="clear" w:color="auto" w:fill="auto"/>
                <w:lang w:val="zh-CN" w:eastAsia="zh-CN" w:bidi="ar-SA"/>
              </w:rPr>
              <w:t>分，4.0（</w:t>
            </w:r>
            <w:r>
              <w:rPr>
                <w:rFonts w:hint="eastAsia" w:ascii="宋体" w:hAnsi="宋体" w:eastAsia="宋体" w:cs="宋体"/>
                <w:b w:val="0"/>
                <w:bCs/>
                <w:color w:val="000000"/>
                <w:kern w:val="2"/>
                <w:sz w:val="21"/>
                <w:shd w:val="clear" w:color="auto" w:fill="auto"/>
                <w:lang w:val="en-US" w:eastAsia="zh-CN" w:bidi="ar-SA"/>
              </w:rPr>
              <w:t>不含）</w:t>
            </w:r>
            <w:r>
              <w:rPr>
                <w:rFonts w:hint="eastAsia" w:ascii="宋体" w:hAnsi="宋体" w:eastAsia="宋体" w:cs="宋体"/>
                <w:b w:val="0"/>
                <w:bCs/>
                <w:color w:val="000000"/>
                <w:kern w:val="2"/>
                <w:sz w:val="21"/>
                <w:shd w:val="clear" w:color="auto" w:fill="auto"/>
                <w:lang w:val="zh-CN" w:eastAsia="zh-CN" w:bidi="ar-SA"/>
              </w:rPr>
              <w:t>以上的不得分。（以国家金融监督管理总局官网发布的202</w:t>
            </w:r>
            <w:r>
              <w:rPr>
                <w:rFonts w:hint="eastAsia" w:ascii="宋体" w:hAnsi="宋体" w:eastAsia="宋体" w:cs="宋体"/>
                <w:b w:val="0"/>
                <w:bCs/>
                <w:color w:val="000000"/>
                <w:kern w:val="2"/>
                <w:sz w:val="21"/>
                <w:shd w:val="clear" w:color="auto" w:fill="auto"/>
                <w:lang w:val="en-US" w:eastAsia="zh-CN" w:bidi="ar-SA"/>
              </w:rPr>
              <w:t>3</w:t>
            </w:r>
            <w:r>
              <w:rPr>
                <w:rFonts w:hint="eastAsia" w:ascii="宋体" w:hAnsi="宋体" w:eastAsia="宋体" w:cs="宋体"/>
                <w:b w:val="0"/>
                <w:bCs/>
                <w:color w:val="000000"/>
                <w:kern w:val="2"/>
                <w:sz w:val="21"/>
                <w:shd w:val="clear" w:color="auto" w:fill="auto"/>
                <w:lang w:val="zh-CN" w:eastAsia="zh-CN" w:bidi="ar-SA"/>
              </w:rPr>
              <w:t>年第</w:t>
            </w:r>
            <w:r>
              <w:rPr>
                <w:rFonts w:hint="eastAsia" w:hAnsi="宋体" w:eastAsia="宋体" w:cs="宋体"/>
                <w:b w:val="0"/>
                <w:bCs/>
                <w:color w:val="000000"/>
                <w:kern w:val="2"/>
                <w:sz w:val="21"/>
                <w:shd w:val="clear" w:color="auto" w:fill="auto"/>
                <w:lang w:val="en-US" w:eastAsia="zh-CN" w:bidi="ar-SA"/>
              </w:rPr>
              <w:t>一</w:t>
            </w:r>
            <w:r>
              <w:rPr>
                <w:rFonts w:hint="eastAsia" w:ascii="宋体" w:hAnsi="宋体" w:eastAsia="宋体" w:cs="宋体"/>
                <w:b w:val="0"/>
                <w:bCs/>
                <w:color w:val="000000"/>
                <w:kern w:val="2"/>
                <w:sz w:val="21"/>
                <w:shd w:val="clear" w:color="auto" w:fill="auto"/>
                <w:lang w:val="zh-CN" w:eastAsia="zh-CN" w:bidi="ar-SA"/>
              </w:rPr>
              <w:t>季度保险消费投诉情况通报文件为准）</w:t>
            </w:r>
          </w:p>
          <w:p w14:paraId="0F64D3C4">
            <w:pPr>
              <w:rPr>
                <w:rFonts w:hint="eastAsia" w:ascii="宋体" w:hAnsi="宋体" w:eastAsia="宋体" w:cs="宋体"/>
                <w:szCs w:val="21"/>
                <w:shd w:val="clear" w:color="auto" w:fill="auto"/>
              </w:rPr>
            </w:pPr>
            <w:r>
              <w:rPr>
                <w:rFonts w:hint="eastAsia" w:ascii="宋体" w:hAnsi="宋体" w:eastAsia="宋体" w:cs="宋体"/>
                <w:b w:val="0"/>
                <w:bCs/>
                <w:color w:val="000000"/>
                <w:kern w:val="2"/>
                <w:sz w:val="21"/>
                <w:shd w:val="clear" w:color="auto" w:fill="auto"/>
                <w:lang w:val="zh-CN" w:eastAsia="zh-CN" w:bidi="ar-SA"/>
              </w:rPr>
              <w:t>提供相关证明材料扫描件加盖公章，不提供不得分，本项最高得</w:t>
            </w:r>
            <w:r>
              <w:rPr>
                <w:rFonts w:hint="eastAsia" w:ascii="宋体" w:hAnsi="宋体" w:cs="宋体"/>
                <w:b w:val="0"/>
                <w:bCs/>
                <w:color w:val="000000"/>
                <w:kern w:val="2"/>
                <w:sz w:val="21"/>
                <w:shd w:val="clear" w:color="auto" w:fill="auto"/>
                <w:lang w:val="en-US" w:eastAsia="zh-CN" w:bidi="ar-SA"/>
              </w:rPr>
              <w:t>8</w:t>
            </w:r>
            <w:r>
              <w:rPr>
                <w:rFonts w:hint="eastAsia" w:ascii="宋体" w:hAnsi="宋体" w:eastAsia="宋体" w:cs="宋体"/>
                <w:b w:val="0"/>
                <w:bCs/>
                <w:color w:val="000000"/>
                <w:kern w:val="2"/>
                <w:sz w:val="21"/>
                <w:shd w:val="clear" w:color="auto" w:fill="auto"/>
                <w:lang w:val="zh-CN" w:eastAsia="zh-CN" w:bidi="ar-SA"/>
              </w:rPr>
              <w:t>分。</w:t>
            </w:r>
          </w:p>
        </w:tc>
        <w:tc>
          <w:tcPr>
            <w:tcW w:w="904" w:type="dxa"/>
            <w:noWrap w:val="0"/>
            <w:vAlign w:val="center"/>
          </w:tcPr>
          <w:p w14:paraId="79EDDE72">
            <w:pPr>
              <w:jc w:val="center"/>
              <w:rPr>
                <w:rFonts w:hint="default" w:ascii="宋体" w:hAnsi="宋体" w:eastAsia="宋体" w:cs="宋体"/>
                <w:szCs w:val="21"/>
                <w:lang w:val="en-US" w:eastAsia="zh-CN"/>
              </w:rPr>
            </w:pPr>
            <w:r>
              <w:rPr>
                <w:rFonts w:hint="eastAsia" w:ascii="宋体" w:hAnsi="宋体" w:cs="宋体"/>
                <w:szCs w:val="21"/>
                <w:lang w:val="en-US" w:eastAsia="zh-CN"/>
              </w:rPr>
              <w:t>8</w:t>
            </w:r>
          </w:p>
        </w:tc>
      </w:tr>
      <w:tr w14:paraId="621F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8" w:hRule="atLeast"/>
          <w:jc w:val="center"/>
        </w:trPr>
        <w:tc>
          <w:tcPr>
            <w:tcW w:w="841" w:type="dxa"/>
            <w:shd w:val="clear" w:color="auto" w:fill="auto"/>
            <w:noWrap w:val="0"/>
            <w:vAlign w:val="center"/>
          </w:tcPr>
          <w:p w14:paraId="723F35DB">
            <w:pPr>
              <w:widowControl/>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客</w:t>
            </w:r>
            <w:r>
              <w:rPr>
                <w:rFonts w:hint="eastAsia" w:ascii="宋体" w:hAnsi="宋体" w:eastAsia="宋体" w:cs="宋体"/>
                <w:szCs w:val="21"/>
              </w:rPr>
              <w:t>观</w:t>
            </w:r>
          </w:p>
        </w:tc>
        <w:tc>
          <w:tcPr>
            <w:tcW w:w="1507" w:type="dxa"/>
            <w:shd w:val="clear" w:color="auto" w:fill="auto"/>
            <w:noWrap w:val="0"/>
            <w:vAlign w:val="center"/>
          </w:tcPr>
          <w:p w14:paraId="0044AC05">
            <w:pPr>
              <w:widowControl/>
              <w:jc w:val="center"/>
              <w:rPr>
                <w:rFonts w:hint="default" w:ascii="宋体" w:hAnsi="宋体" w:eastAsia="宋体" w:cs="宋体"/>
                <w:szCs w:val="21"/>
                <w:lang w:val="en-US" w:eastAsia="zh-CN"/>
              </w:rPr>
            </w:pPr>
            <w:r>
              <w:rPr>
                <w:rFonts w:hint="eastAsia" w:ascii="宋体" w:hAnsi="宋体" w:eastAsia="宋体" w:cs="宋体"/>
                <w:b w:val="0"/>
                <w:bCs/>
                <w:color w:val="000000"/>
                <w:lang w:val="en-US" w:eastAsia="zh-CN"/>
              </w:rPr>
              <w:t>再保险支持</w:t>
            </w:r>
          </w:p>
        </w:tc>
        <w:tc>
          <w:tcPr>
            <w:tcW w:w="6739" w:type="dxa"/>
            <w:shd w:val="clear" w:color="auto" w:fill="auto"/>
            <w:noWrap w:val="0"/>
            <w:vAlign w:val="center"/>
          </w:tcPr>
          <w:p w14:paraId="235B68EA">
            <w:pPr>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投标人提供再保险公司关于巨灾保险承接意向函的，根据再保人对所投标项再保承接比例进行打分:</w:t>
            </w:r>
          </w:p>
          <w:p w14:paraId="00BCA622">
            <w:pPr>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1.</w:t>
            </w:r>
            <w:r>
              <w:rPr>
                <w:rFonts w:hint="eastAsia" w:ascii="宋体" w:hAnsi="宋体" w:cs="宋体"/>
                <w:b w:val="0"/>
                <w:bCs w:val="0"/>
                <w:color w:val="000000"/>
                <w:kern w:val="2"/>
                <w:sz w:val="21"/>
                <w:szCs w:val="21"/>
                <w:highlight w:val="none"/>
                <w:lang w:val="en-US" w:eastAsia="zh-CN" w:bidi="ar-SA"/>
              </w:rPr>
              <w:t xml:space="preserve"> </w:t>
            </w:r>
            <w:r>
              <w:rPr>
                <w:rFonts w:hint="eastAsia" w:ascii="宋体" w:hAnsi="宋体" w:eastAsia="宋体" w:cs="宋体"/>
                <w:b w:val="0"/>
                <w:bCs w:val="0"/>
                <w:color w:val="000000"/>
                <w:kern w:val="2"/>
                <w:sz w:val="21"/>
                <w:szCs w:val="21"/>
                <w:highlight w:val="none"/>
                <w:lang w:val="en-US" w:eastAsia="zh-CN" w:bidi="ar-SA"/>
              </w:rPr>
              <w:t>再保承接比例</w:t>
            </w:r>
            <w:r>
              <w:rPr>
                <w:rFonts w:hint="eastAsia" w:ascii="宋体" w:hAnsi="宋体" w:eastAsia="宋体" w:cs="宋体"/>
                <w:b w:val="0"/>
                <w:bCs w:val="0"/>
                <w:color w:val="000000"/>
                <w:szCs w:val="21"/>
                <w:highlight w:val="none"/>
                <w:lang w:val="en-US" w:eastAsia="zh-CN"/>
              </w:rPr>
              <w:t>≥50%</w:t>
            </w:r>
            <w:r>
              <w:rPr>
                <w:rFonts w:hint="eastAsia" w:ascii="宋体" w:hAnsi="宋体" w:eastAsia="宋体" w:cs="宋体"/>
                <w:b w:val="0"/>
                <w:bCs w:val="0"/>
                <w:color w:val="000000"/>
                <w:kern w:val="2"/>
                <w:sz w:val="21"/>
                <w:szCs w:val="21"/>
                <w:highlight w:val="none"/>
                <w:lang w:val="en-US" w:eastAsia="zh-CN" w:bidi="ar-SA"/>
              </w:rPr>
              <w:t>的，得5分；</w:t>
            </w:r>
          </w:p>
          <w:p w14:paraId="627EF4B9">
            <w:pPr>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2.</w:t>
            </w:r>
            <w:r>
              <w:rPr>
                <w:rFonts w:hint="eastAsia" w:ascii="宋体" w:hAnsi="宋体" w:cs="宋体"/>
                <w:b w:val="0"/>
                <w:bCs w:val="0"/>
                <w:color w:val="000000"/>
                <w:kern w:val="2"/>
                <w:sz w:val="21"/>
                <w:szCs w:val="21"/>
                <w:highlight w:val="none"/>
                <w:lang w:val="en-US" w:eastAsia="zh-CN" w:bidi="ar-SA"/>
              </w:rPr>
              <w:t xml:space="preserve"> </w:t>
            </w:r>
            <w:r>
              <w:rPr>
                <w:rFonts w:hint="eastAsia" w:ascii="宋体" w:hAnsi="宋体" w:eastAsia="宋体" w:cs="宋体"/>
                <w:b w:val="0"/>
                <w:bCs w:val="0"/>
                <w:color w:val="000000"/>
                <w:kern w:val="2"/>
                <w:sz w:val="21"/>
                <w:szCs w:val="21"/>
                <w:highlight w:val="none"/>
                <w:lang w:val="en-US" w:eastAsia="zh-CN" w:bidi="ar-SA"/>
              </w:rPr>
              <w:t>40%</w:t>
            </w:r>
            <w:r>
              <w:rPr>
                <w:rFonts w:hint="eastAsia" w:ascii="宋体" w:hAnsi="宋体" w:eastAsia="宋体" w:cs="宋体"/>
                <w:b w:val="0"/>
                <w:bCs w:val="0"/>
                <w:color w:val="000000"/>
                <w:szCs w:val="21"/>
                <w:highlight w:val="none"/>
                <w:lang w:val="en-US" w:eastAsia="zh-CN"/>
              </w:rPr>
              <w:t>≤</w:t>
            </w:r>
            <w:r>
              <w:rPr>
                <w:rFonts w:hint="eastAsia" w:ascii="宋体" w:hAnsi="宋体" w:eastAsia="宋体" w:cs="宋体"/>
                <w:b w:val="0"/>
                <w:bCs w:val="0"/>
                <w:color w:val="000000"/>
                <w:kern w:val="2"/>
                <w:sz w:val="21"/>
                <w:szCs w:val="21"/>
                <w:highlight w:val="none"/>
                <w:lang w:val="en-US" w:eastAsia="zh-CN" w:bidi="ar-SA"/>
              </w:rPr>
              <w:t>再保承接比例</w:t>
            </w:r>
            <w:r>
              <w:rPr>
                <w:rFonts w:hint="eastAsia" w:ascii="宋体" w:hAnsi="宋体" w:eastAsia="宋体" w:cs="宋体"/>
                <w:b w:val="0"/>
                <w:bCs w:val="0"/>
                <w:color w:val="000000"/>
                <w:szCs w:val="21"/>
                <w:highlight w:val="none"/>
                <w:lang w:val="en-US" w:eastAsia="zh-CN"/>
              </w:rPr>
              <w:t>＜50%</w:t>
            </w:r>
            <w:r>
              <w:rPr>
                <w:rFonts w:hint="eastAsia" w:ascii="宋体" w:hAnsi="宋体" w:eastAsia="宋体" w:cs="宋体"/>
                <w:b w:val="0"/>
                <w:bCs w:val="0"/>
                <w:color w:val="000000"/>
                <w:kern w:val="2"/>
                <w:sz w:val="21"/>
                <w:szCs w:val="21"/>
                <w:highlight w:val="none"/>
                <w:lang w:val="en-US" w:eastAsia="zh-CN" w:bidi="ar-SA"/>
              </w:rPr>
              <w:t>的，得4分；</w:t>
            </w:r>
          </w:p>
          <w:p w14:paraId="55744FB8">
            <w:pPr>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3.</w:t>
            </w:r>
            <w:r>
              <w:rPr>
                <w:rFonts w:hint="eastAsia" w:ascii="宋体" w:hAnsi="宋体" w:cs="宋体"/>
                <w:b w:val="0"/>
                <w:bCs w:val="0"/>
                <w:color w:val="000000"/>
                <w:kern w:val="2"/>
                <w:sz w:val="21"/>
                <w:szCs w:val="21"/>
                <w:highlight w:val="none"/>
                <w:lang w:val="en-US" w:eastAsia="zh-CN" w:bidi="ar-SA"/>
              </w:rPr>
              <w:t xml:space="preserve"> </w:t>
            </w:r>
            <w:r>
              <w:rPr>
                <w:rFonts w:hint="eastAsia" w:ascii="宋体" w:hAnsi="宋体" w:eastAsia="宋体" w:cs="宋体"/>
                <w:b w:val="0"/>
                <w:bCs w:val="0"/>
                <w:color w:val="000000"/>
                <w:kern w:val="2"/>
                <w:sz w:val="21"/>
                <w:szCs w:val="21"/>
                <w:highlight w:val="none"/>
                <w:lang w:val="en-US" w:eastAsia="zh-CN" w:bidi="ar-SA"/>
              </w:rPr>
              <w:t>30%</w:t>
            </w:r>
            <w:r>
              <w:rPr>
                <w:rFonts w:hint="eastAsia" w:ascii="宋体" w:hAnsi="宋体" w:eastAsia="宋体" w:cs="宋体"/>
                <w:b w:val="0"/>
                <w:bCs w:val="0"/>
                <w:color w:val="000000"/>
                <w:szCs w:val="21"/>
                <w:highlight w:val="none"/>
                <w:lang w:val="en-US" w:eastAsia="zh-CN"/>
              </w:rPr>
              <w:t>≤</w:t>
            </w:r>
            <w:r>
              <w:rPr>
                <w:rFonts w:hint="eastAsia" w:ascii="宋体" w:hAnsi="宋体" w:eastAsia="宋体" w:cs="宋体"/>
                <w:b w:val="0"/>
                <w:bCs w:val="0"/>
                <w:color w:val="000000"/>
                <w:kern w:val="2"/>
                <w:sz w:val="21"/>
                <w:szCs w:val="21"/>
                <w:highlight w:val="none"/>
                <w:lang w:val="en-US" w:eastAsia="zh-CN" w:bidi="ar-SA"/>
              </w:rPr>
              <w:t>再保承接比例</w:t>
            </w:r>
            <w:r>
              <w:rPr>
                <w:rFonts w:hint="eastAsia" w:ascii="宋体" w:hAnsi="宋体" w:eastAsia="宋体" w:cs="宋体"/>
                <w:b w:val="0"/>
                <w:bCs w:val="0"/>
                <w:color w:val="000000"/>
                <w:szCs w:val="21"/>
                <w:highlight w:val="none"/>
                <w:lang w:val="en-US" w:eastAsia="zh-CN"/>
              </w:rPr>
              <w:t>＜40%</w:t>
            </w:r>
            <w:r>
              <w:rPr>
                <w:rFonts w:hint="eastAsia" w:ascii="宋体" w:hAnsi="宋体" w:eastAsia="宋体" w:cs="宋体"/>
                <w:b w:val="0"/>
                <w:bCs w:val="0"/>
                <w:color w:val="000000"/>
                <w:kern w:val="2"/>
                <w:sz w:val="21"/>
                <w:szCs w:val="21"/>
                <w:highlight w:val="none"/>
                <w:lang w:val="en-US" w:eastAsia="zh-CN" w:bidi="ar-SA"/>
              </w:rPr>
              <w:t>的，得3分；</w:t>
            </w:r>
          </w:p>
          <w:p w14:paraId="04EE3364">
            <w:pPr>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4.</w:t>
            </w:r>
            <w:r>
              <w:rPr>
                <w:rFonts w:hint="eastAsia" w:ascii="宋体" w:hAnsi="宋体" w:cs="宋体"/>
                <w:b w:val="0"/>
                <w:bCs w:val="0"/>
                <w:color w:val="000000"/>
                <w:kern w:val="2"/>
                <w:sz w:val="21"/>
                <w:szCs w:val="21"/>
                <w:highlight w:val="none"/>
                <w:lang w:val="en-US" w:eastAsia="zh-CN" w:bidi="ar-SA"/>
              </w:rPr>
              <w:t xml:space="preserve"> </w:t>
            </w:r>
            <w:r>
              <w:rPr>
                <w:rFonts w:hint="eastAsia" w:ascii="宋体" w:hAnsi="宋体" w:eastAsia="宋体" w:cs="宋体"/>
                <w:b w:val="0"/>
                <w:bCs w:val="0"/>
                <w:color w:val="000000"/>
                <w:kern w:val="2"/>
                <w:sz w:val="21"/>
                <w:szCs w:val="21"/>
                <w:highlight w:val="none"/>
                <w:lang w:val="en-US" w:eastAsia="zh-CN" w:bidi="ar-SA"/>
              </w:rPr>
              <w:t>20%</w:t>
            </w:r>
            <w:r>
              <w:rPr>
                <w:rFonts w:hint="eastAsia" w:ascii="宋体" w:hAnsi="宋体" w:eastAsia="宋体" w:cs="宋体"/>
                <w:b w:val="0"/>
                <w:bCs w:val="0"/>
                <w:color w:val="000000"/>
                <w:szCs w:val="21"/>
                <w:highlight w:val="none"/>
                <w:lang w:val="en-US" w:eastAsia="zh-CN"/>
              </w:rPr>
              <w:t>≤</w:t>
            </w:r>
            <w:r>
              <w:rPr>
                <w:rFonts w:hint="eastAsia" w:ascii="宋体" w:hAnsi="宋体" w:eastAsia="宋体" w:cs="宋体"/>
                <w:b w:val="0"/>
                <w:bCs w:val="0"/>
                <w:color w:val="000000"/>
                <w:kern w:val="2"/>
                <w:sz w:val="21"/>
                <w:szCs w:val="21"/>
                <w:highlight w:val="none"/>
                <w:lang w:val="en-US" w:eastAsia="zh-CN" w:bidi="ar-SA"/>
              </w:rPr>
              <w:t>再保承接比例</w:t>
            </w:r>
            <w:r>
              <w:rPr>
                <w:rFonts w:hint="eastAsia" w:ascii="宋体" w:hAnsi="宋体" w:eastAsia="宋体" w:cs="宋体"/>
                <w:b w:val="0"/>
                <w:bCs w:val="0"/>
                <w:color w:val="000000"/>
                <w:szCs w:val="21"/>
                <w:highlight w:val="none"/>
                <w:lang w:val="en-US" w:eastAsia="zh-CN"/>
              </w:rPr>
              <w:t>＜30%</w:t>
            </w:r>
            <w:r>
              <w:rPr>
                <w:rFonts w:hint="eastAsia" w:ascii="宋体" w:hAnsi="宋体" w:eastAsia="宋体" w:cs="宋体"/>
                <w:b w:val="0"/>
                <w:bCs w:val="0"/>
                <w:color w:val="000000"/>
                <w:kern w:val="2"/>
                <w:sz w:val="21"/>
                <w:szCs w:val="21"/>
                <w:highlight w:val="none"/>
                <w:lang w:val="en-US" w:eastAsia="zh-CN" w:bidi="ar-SA"/>
              </w:rPr>
              <w:t>的，得2分；</w:t>
            </w:r>
          </w:p>
          <w:p w14:paraId="3EBC310E">
            <w:pPr>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5.</w:t>
            </w:r>
            <w:r>
              <w:rPr>
                <w:rFonts w:hint="eastAsia" w:ascii="宋体" w:hAnsi="宋体" w:cs="宋体"/>
                <w:b w:val="0"/>
                <w:bCs w:val="0"/>
                <w:color w:val="000000"/>
                <w:kern w:val="2"/>
                <w:sz w:val="21"/>
                <w:szCs w:val="21"/>
                <w:highlight w:val="none"/>
                <w:lang w:val="en-US" w:eastAsia="zh-CN" w:bidi="ar-SA"/>
              </w:rPr>
              <w:t xml:space="preserve"> </w:t>
            </w:r>
            <w:r>
              <w:rPr>
                <w:rFonts w:hint="eastAsia" w:ascii="宋体" w:hAnsi="宋体" w:eastAsia="宋体" w:cs="宋体"/>
                <w:b w:val="0"/>
                <w:bCs w:val="0"/>
                <w:color w:val="000000"/>
                <w:kern w:val="2"/>
                <w:sz w:val="21"/>
                <w:szCs w:val="21"/>
                <w:highlight w:val="none"/>
                <w:lang w:val="en-US" w:eastAsia="zh-CN" w:bidi="ar-SA"/>
              </w:rPr>
              <w:t>再保承接比例</w:t>
            </w:r>
            <w:r>
              <w:rPr>
                <w:rFonts w:hint="eastAsia" w:ascii="宋体" w:hAnsi="宋体" w:eastAsia="宋体" w:cs="宋体"/>
                <w:b w:val="0"/>
                <w:bCs w:val="0"/>
                <w:color w:val="000000"/>
                <w:szCs w:val="21"/>
                <w:highlight w:val="none"/>
                <w:lang w:val="en-US" w:eastAsia="zh-CN"/>
              </w:rPr>
              <w:t>＜2</w:t>
            </w:r>
            <w:r>
              <w:rPr>
                <w:rFonts w:hint="eastAsia" w:ascii="宋体" w:hAnsi="宋体" w:eastAsia="宋体" w:cs="宋体"/>
                <w:b w:val="0"/>
                <w:bCs w:val="0"/>
                <w:color w:val="000000"/>
                <w:kern w:val="2"/>
                <w:sz w:val="21"/>
                <w:szCs w:val="21"/>
                <w:highlight w:val="none"/>
                <w:lang w:val="en-US" w:eastAsia="zh-CN" w:bidi="ar-SA"/>
              </w:rPr>
              <w:t>0%的，得1分；</w:t>
            </w:r>
          </w:p>
          <w:p w14:paraId="49915660">
            <w:pPr>
              <w:rPr>
                <w:rFonts w:hint="eastAsia" w:ascii="宋体" w:hAnsi="宋体" w:eastAsia="宋体" w:cs="宋体"/>
                <w:szCs w:val="21"/>
                <w:shd w:val="clear" w:color="auto" w:fill="auto"/>
                <w:lang w:val="en-US" w:eastAsia="zh-CN"/>
              </w:rPr>
            </w:pPr>
            <w:r>
              <w:rPr>
                <w:rFonts w:hint="eastAsia" w:ascii="宋体" w:hAnsi="宋体" w:eastAsia="宋体" w:cs="宋体"/>
                <w:color w:val="000000"/>
                <w:kern w:val="2"/>
                <w:sz w:val="21"/>
                <w:szCs w:val="21"/>
                <w:highlight w:val="none"/>
                <w:lang w:val="en-US" w:eastAsia="zh-CN" w:bidi="ar-SA"/>
              </w:rPr>
              <w:t>6.</w:t>
            </w:r>
            <w:r>
              <w:rPr>
                <w:rFonts w:hint="eastAsia" w:ascii="宋体" w:hAnsi="宋体" w:cs="宋体"/>
                <w:color w:val="000000"/>
                <w:kern w:val="2"/>
                <w:sz w:val="21"/>
                <w:szCs w:val="21"/>
                <w:highlight w:val="none"/>
                <w:lang w:val="en-US" w:eastAsia="zh-CN" w:bidi="ar-SA"/>
              </w:rPr>
              <w:t xml:space="preserve"> </w:t>
            </w:r>
            <w:r>
              <w:rPr>
                <w:rFonts w:hint="eastAsia" w:ascii="宋体" w:hAnsi="宋体" w:eastAsia="宋体" w:cs="宋体"/>
                <w:color w:val="000000"/>
                <w:kern w:val="2"/>
                <w:sz w:val="21"/>
                <w:szCs w:val="21"/>
                <w:highlight w:val="none"/>
                <w:lang w:val="en-US" w:eastAsia="zh-CN" w:bidi="ar-SA"/>
              </w:rPr>
              <w:t>未提供再保险公司关于巨灾保险承接意向函</w:t>
            </w:r>
            <w:r>
              <w:rPr>
                <w:rFonts w:hint="eastAsia" w:ascii="宋体" w:hAnsi="宋体" w:cs="宋体"/>
                <w:color w:val="000000"/>
                <w:kern w:val="2"/>
                <w:sz w:val="21"/>
                <w:szCs w:val="21"/>
                <w:highlight w:val="none"/>
                <w:lang w:val="en-US" w:eastAsia="zh-CN" w:bidi="ar-SA"/>
              </w:rPr>
              <w:t>的，此项不得分</w:t>
            </w:r>
            <w:r>
              <w:rPr>
                <w:rFonts w:hint="eastAsia" w:ascii="宋体" w:hAnsi="宋体" w:eastAsia="宋体" w:cs="宋体"/>
                <w:color w:val="000000"/>
                <w:kern w:val="2"/>
                <w:sz w:val="21"/>
                <w:szCs w:val="21"/>
                <w:highlight w:val="none"/>
                <w:lang w:val="en-US" w:eastAsia="zh-CN" w:bidi="ar-SA"/>
              </w:rPr>
              <w:t>。</w:t>
            </w:r>
          </w:p>
        </w:tc>
        <w:tc>
          <w:tcPr>
            <w:tcW w:w="904" w:type="dxa"/>
            <w:noWrap w:val="0"/>
            <w:vAlign w:val="center"/>
          </w:tcPr>
          <w:p w14:paraId="0374D18D">
            <w:pPr>
              <w:jc w:val="center"/>
              <w:rPr>
                <w:rFonts w:hint="default" w:ascii="宋体" w:hAnsi="宋体" w:cs="宋体"/>
                <w:szCs w:val="21"/>
                <w:lang w:val="en-US" w:eastAsia="zh-CN"/>
              </w:rPr>
            </w:pPr>
            <w:r>
              <w:rPr>
                <w:rFonts w:hint="eastAsia" w:ascii="宋体" w:hAnsi="宋体" w:cs="宋体"/>
                <w:szCs w:val="21"/>
                <w:lang w:val="en-US" w:eastAsia="zh-CN"/>
              </w:rPr>
              <w:t>5</w:t>
            </w:r>
          </w:p>
        </w:tc>
      </w:tr>
      <w:tr w14:paraId="3C63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2" w:hRule="atLeast"/>
          <w:jc w:val="center"/>
        </w:trPr>
        <w:tc>
          <w:tcPr>
            <w:tcW w:w="841" w:type="dxa"/>
            <w:shd w:val="clear" w:color="auto" w:fill="auto"/>
            <w:noWrap w:val="0"/>
            <w:vAlign w:val="center"/>
          </w:tcPr>
          <w:p w14:paraId="57580D94">
            <w:pPr>
              <w:widowControl/>
              <w:jc w:val="center"/>
              <w:rPr>
                <w:rFonts w:hint="eastAsia" w:ascii="宋体" w:hAnsi="宋体" w:eastAsia="宋体" w:cs="宋体"/>
                <w:szCs w:val="21"/>
              </w:rPr>
            </w:pPr>
            <w:r>
              <w:rPr>
                <w:rFonts w:hint="eastAsia" w:ascii="宋体" w:hAnsi="宋体" w:eastAsia="宋体" w:cs="宋体"/>
                <w:szCs w:val="21"/>
              </w:rPr>
              <w:t>主观</w:t>
            </w:r>
          </w:p>
        </w:tc>
        <w:tc>
          <w:tcPr>
            <w:tcW w:w="1507" w:type="dxa"/>
            <w:shd w:val="clear" w:color="auto" w:fill="auto"/>
            <w:noWrap w:val="0"/>
            <w:vAlign w:val="center"/>
          </w:tcPr>
          <w:p w14:paraId="6322BD5E">
            <w:pPr>
              <w:widowControl/>
              <w:jc w:val="center"/>
              <w:rPr>
                <w:rFonts w:hint="eastAsia" w:ascii="宋体" w:hAnsi="宋体" w:eastAsia="宋体" w:cs="宋体"/>
                <w:b w:val="0"/>
                <w:bCs/>
                <w:color w:val="000000"/>
                <w:lang w:val="en-US" w:eastAsia="zh-CN"/>
              </w:rPr>
            </w:pPr>
            <w:r>
              <w:rPr>
                <w:rFonts w:hint="eastAsia" w:ascii="宋体" w:hAnsi="宋体" w:eastAsia="宋体" w:cs="宋体"/>
                <w:b w:val="0"/>
                <w:bCs/>
                <w:color w:val="000000"/>
                <w:lang w:val="en-US" w:eastAsia="zh-CN"/>
              </w:rPr>
              <w:t>承保服务</w:t>
            </w:r>
            <w:r>
              <w:rPr>
                <w:rFonts w:hint="eastAsia" w:ascii="宋体" w:hAnsi="宋体" w:cs="宋体"/>
                <w:b w:val="0"/>
                <w:bCs/>
                <w:color w:val="000000"/>
                <w:lang w:val="en-US" w:eastAsia="zh-CN"/>
              </w:rPr>
              <w:t>方案</w:t>
            </w:r>
          </w:p>
        </w:tc>
        <w:tc>
          <w:tcPr>
            <w:tcW w:w="6739" w:type="dxa"/>
            <w:shd w:val="clear" w:color="auto" w:fill="auto"/>
            <w:noWrap w:val="0"/>
            <w:vAlign w:val="center"/>
          </w:tcPr>
          <w:p w14:paraId="6E8514B9">
            <w:pPr>
              <w:spacing w:line="340" w:lineRule="exact"/>
              <w:contextualSpacing/>
              <w:rPr>
                <w:rFonts w:hint="eastAsia" w:ascii="Times New Roman" w:hAnsi="Times New Roman" w:cs="仿宋"/>
                <w:szCs w:val="21"/>
              </w:rPr>
            </w:pPr>
            <w:r>
              <w:rPr>
                <w:rFonts w:hint="eastAsia" w:ascii="宋体" w:hAnsi="宋体" w:eastAsia="宋体" w:cs="宋体"/>
                <w:b w:val="0"/>
                <w:bCs/>
                <w:color w:val="000000"/>
                <w:shd w:val="clear" w:color="auto" w:fill="auto"/>
                <w:lang w:val="en-US" w:eastAsia="zh-CN"/>
              </w:rPr>
              <w:t>根据承保服务方案与采购需求</w:t>
            </w:r>
            <w:r>
              <w:rPr>
                <w:rFonts w:hint="eastAsia" w:ascii="Times New Roman" w:hAnsi="Times New Roman" w:cs="仿宋"/>
                <w:szCs w:val="21"/>
              </w:rPr>
              <w:t>投标人针对被保险人制定相应的承保方案（承保方案需包含但不限于的承保流程、承保方式、承保制度），根据方案内容进行评议：</w:t>
            </w:r>
          </w:p>
          <w:p w14:paraId="38D780DE">
            <w:pPr>
              <w:spacing w:line="340" w:lineRule="exact"/>
              <w:contextualSpacing/>
              <w:rPr>
                <w:rFonts w:ascii="Times New Roman" w:hAnsi="Times New Roman" w:cs="仿宋"/>
                <w:szCs w:val="21"/>
              </w:rPr>
            </w:pPr>
            <w:r>
              <w:rPr>
                <w:rFonts w:hint="eastAsia" w:ascii="Times New Roman" w:hAnsi="Times New Roman" w:cs="仿宋"/>
                <w:szCs w:val="21"/>
              </w:rPr>
              <w:t>承保方案内容详实且逻辑清晰、承保流程简单易于操作、承保方式丰富多样化、承保制度健全充分且契合采购需求内容的得8分；</w:t>
            </w:r>
          </w:p>
          <w:p w14:paraId="38AB950E">
            <w:pPr>
              <w:spacing w:line="340" w:lineRule="exact"/>
              <w:contextualSpacing/>
              <w:rPr>
                <w:rFonts w:hint="eastAsia" w:ascii="Times New Roman" w:hAnsi="Times New Roman" w:cs="仿宋"/>
                <w:szCs w:val="21"/>
              </w:rPr>
            </w:pPr>
            <w:r>
              <w:rPr>
                <w:rFonts w:hint="eastAsia" w:ascii="Times New Roman" w:hAnsi="Times New Roman" w:cs="仿宋"/>
                <w:szCs w:val="21"/>
              </w:rPr>
              <w:t>承保方案内容详细、逻辑较为清晰、承保流程操作较为简单、承保方式较多、承保制度较为健全且一定程度契合采购需求内容的得6分；</w:t>
            </w:r>
          </w:p>
          <w:p w14:paraId="7DB080AE">
            <w:pPr>
              <w:spacing w:line="340" w:lineRule="exact"/>
              <w:contextualSpacing/>
              <w:rPr>
                <w:rFonts w:hint="eastAsia" w:ascii="Times New Roman" w:hAnsi="Times New Roman" w:cs="仿宋"/>
                <w:szCs w:val="21"/>
              </w:rPr>
            </w:pPr>
            <w:r>
              <w:rPr>
                <w:rFonts w:hint="eastAsia" w:ascii="Times New Roman" w:hAnsi="Times New Roman" w:cs="仿宋"/>
                <w:szCs w:val="21"/>
              </w:rPr>
              <w:t>承保方案有缺失不够齐全、承保流程略为繁琐、承保方式不够多样性、承保制度略有欠缺有待改进的得4分；</w:t>
            </w:r>
          </w:p>
          <w:p w14:paraId="742F1E68">
            <w:pPr>
              <w:spacing w:line="340" w:lineRule="exact"/>
              <w:contextualSpacing/>
              <w:rPr>
                <w:rFonts w:hint="eastAsia" w:ascii="Times New Roman" w:hAnsi="Times New Roman" w:cs="仿宋"/>
                <w:szCs w:val="21"/>
              </w:rPr>
            </w:pPr>
            <w:r>
              <w:rPr>
                <w:rFonts w:hint="eastAsia" w:ascii="Times New Roman" w:hAnsi="Times New Roman" w:cs="仿宋"/>
                <w:szCs w:val="21"/>
              </w:rPr>
              <w:t>承保方案整体敷衍且明显缺项、承保流程复杂难理解、承保方式单一、承保制度无法满足采购需求的得2分；</w:t>
            </w:r>
          </w:p>
          <w:p w14:paraId="1E8CF91E">
            <w:pPr>
              <w:rPr>
                <w:rFonts w:hint="eastAsia" w:ascii="Times New Roman" w:hAnsi="Times New Roman" w:cs="仿宋"/>
                <w:szCs w:val="21"/>
              </w:rPr>
            </w:pPr>
            <w:r>
              <w:rPr>
                <w:rFonts w:hint="eastAsia" w:ascii="Times New Roman" w:hAnsi="Times New Roman" w:cs="仿宋"/>
                <w:szCs w:val="21"/>
              </w:rPr>
              <w:t>未提供或内容存在明显错误、内容明显不适用于本项目特征的均不得分。</w:t>
            </w:r>
          </w:p>
        </w:tc>
        <w:tc>
          <w:tcPr>
            <w:tcW w:w="904" w:type="dxa"/>
            <w:noWrap w:val="0"/>
            <w:vAlign w:val="center"/>
          </w:tcPr>
          <w:p w14:paraId="21AD8F3E">
            <w:pPr>
              <w:jc w:val="center"/>
              <w:rPr>
                <w:rFonts w:hint="default" w:ascii="宋体" w:hAnsi="宋体" w:cs="宋体"/>
                <w:szCs w:val="21"/>
                <w:lang w:val="en-US" w:eastAsia="zh-CN"/>
              </w:rPr>
            </w:pPr>
            <w:r>
              <w:rPr>
                <w:rFonts w:hint="eastAsia" w:ascii="宋体" w:hAnsi="宋体" w:cs="宋体"/>
                <w:szCs w:val="21"/>
                <w:lang w:val="en-US" w:eastAsia="zh-CN"/>
              </w:rPr>
              <w:t>8</w:t>
            </w:r>
          </w:p>
        </w:tc>
      </w:tr>
      <w:tr w14:paraId="339E8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4" w:hRule="atLeast"/>
          <w:jc w:val="center"/>
        </w:trPr>
        <w:tc>
          <w:tcPr>
            <w:tcW w:w="841" w:type="dxa"/>
            <w:shd w:val="clear" w:color="auto" w:fill="auto"/>
            <w:noWrap w:val="0"/>
            <w:vAlign w:val="center"/>
          </w:tcPr>
          <w:p w14:paraId="6FB6D7DA">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主观</w:t>
            </w:r>
          </w:p>
        </w:tc>
        <w:tc>
          <w:tcPr>
            <w:tcW w:w="1507" w:type="dxa"/>
            <w:shd w:val="clear" w:color="auto" w:fill="auto"/>
            <w:noWrap w:val="0"/>
            <w:vAlign w:val="center"/>
          </w:tcPr>
          <w:p w14:paraId="6933169C">
            <w:pPr>
              <w:widowControl/>
              <w:jc w:val="center"/>
              <w:rPr>
                <w:rFonts w:hint="default" w:ascii="宋体" w:hAnsi="宋体" w:eastAsia="宋体" w:cs="宋体"/>
                <w:szCs w:val="21"/>
                <w:lang w:val="en-US" w:eastAsia="zh-CN"/>
              </w:rPr>
            </w:pPr>
            <w:r>
              <w:rPr>
                <w:rFonts w:hint="eastAsia" w:ascii="Times New Roman" w:hAnsi="Times New Roman" w:cs="仿宋"/>
                <w:szCs w:val="21"/>
              </w:rPr>
              <w:t>管理方案</w:t>
            </w:r>
          </w:p>
        </w:tc>
        <w:tc>
          <w:tcPr>
            <w:tcW w:w="6739" w:type="dxa"/>
            <w:shd w:val="clear" w:color="auto" w:fill="auto"/>
            <w:noWrap w:val="0"/>
            <w:vAlign w:val="center"/>
          </w:tcPr>
          <w:p w14:paraId="02BA4D1E">
            <w:pPr>
              <w:rPr>
                <w:rFonts w:hint="eastAsia" w:ascii="宋体" w:hAnsi="宋体" w:eastAsia="宋体" w:cs="宋体"/>
                <w:b w:val="0"/>
                <w:bCs/>
                <w:color w:val="000000"/>
                <w:shd w:val="clear" w:color="auto" w:fill="auto"/>
                <w:lang w:val="en-US" w:eastAsia="zh-CN"/>
              </w:rPr>
            </w:pPr>
            <w:r>
              <w:rPr>
                <w:rFonts w:hint="eastAsia" w:ascii="宋体" w:hAnsi="宋体" w:eastAsia="宋体" w:cs="宋体"/>
                <w:b w:val="0"/>
                <w:bCs/>
                <w:color w:val="000000"/>
                <w:shd w:val="clear" w:color="auto" w:fill="auto"/>
                <w:lang w:val="en-US" w:eastAsia="zh-CN"/>
              </w:rPr>
              <w:t>根据投标人针对采购需求制定的管理方案(包括但不限目标及规划、部门职责划分、沟通机制)进行评议：</w:t>
            </w:r>
          </w:p>
          <w:p w14:paraId="3346CBFB">
            <w:pPr>
              <w:rPr>
                <w:rFonts w:hint="eastAsia" w:ascii="宋体" w:hAnsi="宋体" w:eastAsia="宋体" w:cs="宋体"/>
                <w:b w:val="0"/>
                <w:bCs/>
                <w:color w:val="000000"/>
                <w:shd w:val="clear" w:color="auto" w:fill="auto"/>
                <w:lang w:val="en-US" w:eastAsia="zh-CN"/>
              </w:rPr>
            </w:pPr>
            <w:r>
              <w:rPr>
                <w:rFonts w:hint="eastAsia" w:ascii="宋体" w:hAnsi="宋体" w:eastAsia="宋体" w:cs="宋体"/>
                <w:b w:val="0"/>
                <w:bCs/>
                <w:color w:val="000000"/>
                <w:shd w:val="clear" w:color="auto" w:fill="auto"/>
                <w:lang w:val="en-US" w:eastAsia="zh-CN"/>
              </w:rPr>
              <w:t>管理目标准确，工作规划流程清晰，管理机构各部门职责划分明确又具有良好的沟通机制方案，能保障项目顺利实施的得</w:t>
            </w:r>
            <w:r>
              <w:rPr>
                <w:rFonts w:hint="eastAsia" w:ascii="宋体" w:hAnsi="宋体" w:cs="宋体"/>
                <w:b w:val="0"/>
                <w:bCs/>
                <w:color w:val="000000"/>
                <w:shd w:val="clear" w:color="auto" w:fill="auto"/>
                <w:lang w:val="en-US" w:eastAsia="zh-CN"/>
              </w:rPr>
              <w:t>8</w:t>
            </w:r>
            <w:r>
              <w:rPr>
                <w:rFonts w:hint="eastAsia" w:ascii="宋体" w:hAnsi="宋体" w:eastAsia="宋体" w:cs="宋体"/>
                <w:b w:val="0"/>
                <w:bCs/>
                <w:color w:val="000000"/>
                <w:shd w:val="clear" w:color="auto" w:fill="auto"/>
                <w:lang w:val="en-US" w:eastAsia="zh-CN"/>
              </w:rPr>
              <w:t>分；</w:t>
            </w:r>
          </w:p>
          <w:p w14:paraId="1D6A57B2">
            <w:pPr>
              <w:rPr>
                <w:rFonts w:hint="eastAsia" w:ascii="宋体" w:hAnsi="宋体" w:eastAsia="宋体" w:cs="宋体"/>
                <w:b w:val="0"/>
                <w:bCs/>
                <w:color w:val="000000"/>
                <w:shd w:val="clear" w:color="auto" w:fill="auto"/>
                <w:lang w:val="en-US" w:eastAsia="zh-CN"/>
              </w:rPr>
            </w:pPr>
            <w:r>
              <w:rPr>
                <w:rFonts w:hint="eastAsia" w:ascii="宋体" w:hAnsi="宋体" w:eastAsia="宋体" w:cs="宋体"/>
                <w:b w:val="0"/>
                <w:bCs/>
                <w:color w:val="000000"/>
                <w:shd w:val="clear" w:color="auto" w:fill="auto"/>
                <w:lang w:val="en-US" w:eastAsia="zh-CN"/>
              </w:rPr>
              <w:t>管理目标有所偏差，工作规划流程略为复杂，管理机构各部门职责划分略为混乱且沟通机制设立有所欠缺，对项目顺利实施有所困难的得</w:t>
            </w:r>
            <w:r>
              <w:rPr>
                <w:rFonts w:hint="eastAsia" w:ascii="宋体" w:hAnsi="宋体" w:cs="宋体"/>
                <w:b w:val="0"/>
                <w:bCs/>
                <w:color w:val="000000"/>
                <w:shd w:val="clear" w:color="auto" w:fill="auto"/>
                <w:lang w:val="en-US" w:eastAsia="zh-CN"/>
              </w:rPr>
              <w:t>6</w:t>
            </w:r>
            <w:r>
              <w:rPr>
                <w:rFonts w:hint="eastAsia" w:ascii="宋体" w:hAnsi="宋体" w:eastAsia="宋体" w:cs="宋体"/>
                <w:b w:val="0"/>
                <w:bCs/>
                <w:color w:val="000000"/>
                <w:shd w:val="clear" w:color="auto" w:fill="auto"/>
                <w:lang w:val="en-US" w:eastAsia="zh-CN"/>
              </w:rPr>
              <w:t>分；</w:t>
            </w:r>
          </w:p>
          <w:p w14:paraId="5784903F">
            <w:pPr>
              <w:rPr>
                <w:rFonts w:hint="eastAsia" w:ascii="宋体" w:hAnsi="宋体" w:eastAsia="宋体" w:cs="宋体"/>
                <w:b w:val="0"/>
                <w:bCs/>
                <w:color w:val="000000"/>
                <w:shd w:val="clear" w:color="auto" w:fill="auto"/>
                <w:lang w:val="en-US" w:eastAsia="zh-CN"/>
              </w:rPr>
            </w:pPr>
            <w:r>
              <w:rPr>
                <w:rFonts w:hint="eastAsia" w:ascii="宋体" w:hAnsi="宋体" w:eastAsia="宋体" w:cs="宋体"/>
                <w:b w:val="0"/>
                <w:bCs/>
                <w:color w:val="000000"/>
                <w:shd w:val="clear" w:color="auto" w:fill="auto"/>
                <w:lang w:val="en-US" w:eastAsia="zh-CN"/>
              </w:rPr>
              <w:t>管理目标不明确，工作规划流程复杂，管理机构各部门职责划分混乱且沟通机制设立有所欠缺，不利于项目顺利实施的得</w:t>
            </w:r>
            <w:r>
              <w:rPr>
                <w:rFonts w:hint="eastAsia" w:ascii="宋体" w:hAnsi="宋体" w:cs="宋体"/>
                <w:b w:val="0"/>
                <w:bCs/>
                <w:color w:val="000000"/>
                <w:shd w:val="clear" w:color="auto" w:fill="auto"/>
                <w:lang w:val="en-US" w:eastAsia="zh-CN"/>
              </w:rPr>
              <w:t>4</w:t>
            </w:r>
            <w:r>
              <w:rPr>
                <w:rFonts w:hint="eastAsia" w:ascii="宋体" w:hAnsi="宋体" w:eastAsia="宋体" w:cs="宋体"/>
                <w:b w:val="0"/>
                <w:bCs/>
                <w:color w:val="000000"/>
                <w:shd w:val="clear" w:color="auto" w:fill="auto"/>
                <w:lang w:val="en-US" w:eastAsia="zh-CN"/>
              </w:rPr>
              <w:t>分；</w:t>
            </w:r>
          </w:p>
          <w:p w14:paraId="55CE41AE">
            <w:pPr>
              <w:rPr>
                <w:rFonts w:hint="eastAsia" w:ascii="宋体" w:hAnsi="宋体" w:eastAsia="宋体" w:cs="宋体"/>
                <w:b w:val="0"/>
                <w:bCs/>
                <w:color w:val="000000"/>
                <w:shd w:val="clear" w:color="auto" w:fill="auto"/>
                <w:lang w:val="en-US" w:eastAsia="zh-CN"/>
              </w:rPr>
            </w:pPr>
            <w:r>
              <w:rPr>
                <w:rFonts w:hint="eastAsia" w:ascii="宋体" w:hAnsi="宋体" w:eastAsia="宋体" w:cs="宋体"/>
                <w:b w:val="0"/>
                <w:bCs/>
                <w:color w:val="000000"/>
                <w:shd w:val="clear" w:color="auto" w:fill="auto"/>
                <w:lang w:val="en-US" w:eastAsia="zh-CN"/>
              </w:rPr>
              <w:t>管理方案内容不完整不充分，存在缺陷或漏洞，与本项目实际需求有差距的得</w:t>
            </w:r>
            <w:r>
              <w:rPr>
                <w:rFonts w:hint="eastAsia" w:ascii="宋体" w:hAnsi="宋体" w:cs="宋体"/>
                <w:b w:val="0"/>
                <w:bCs/>
                <w:color w:val="000000"/>
                <w:shd w:val="clear" w:color="auto" w:fill="auto"/>
                <w:lang w:val="en-US" w:eastAsia="zh-CN"/>
              </w:rPr>
              <w:t>2</w:t>
            </w:r>
            <w:r>
              <w:rPr>
                <w:rFonts w:hint="eastAsia" w:ascii="宋体" w:hAnsi="宋体" w:eastAsia="宋体" w:cs="宋体"/>
                <w:b w:val="0"/>
                <w:bCs/>
                <w:color w:val="000000"/>
                <w:shd w:val="clear" w:color="auto" w:fill="auto"/>
                <w:lang w:val="en-US" w:eastAsia="zh-CN"/>
              </w:rPr>
              <w:t>分；</w:t>
            </w:r>
          </w:p>
          <w:p w14:paraId="7C52A730">
            <w:pPr>
              <w:rPr>
                <w:rFonts w:hint="eastAsia" w:ascii="宋体" w:hAnsi="宋体" w:eastAsia="宋体" w:cs="宋体"/>
                <w:szCs w:val="21"/>
                <w:shd w:val="clear" w:color="auto" w:fill="auto"/>
                <w:lang w:val="en-US" w:eastAsia="zh-CN"/>
              </w:rPr>
            </w:pPr>
            <w:r>
              <w:rPr>
                <w:rFonts w:hint="eastAsia" w:ascii="宋体" w:hAnsi="宋体" w:eastAsia="宋体" w:cs="宋体"/>
                <w:b w:val="0"/>
                <w:bCs/>
                <w:color w:val="000000"/>
                <w:shd w:val="clear" w:color="auto" w:fill="auto"/>
                <w:lang w:val="en-US" w:eastAsia="zh-CN"/>
              </w:rPr>
              <w:t>未提供或内容存在明显错误、内容明显不适用于本项目特征的均不得分</w:t>
            </w:r>
            <w:r>
              <w:rPr>
                <w:rFonts w:hint="eastAsia" w:ascii="Times New Roman" w:hAnsi="Times New Roman" w:cs="仿宋"/>
                <w:color w:val="0000FF"/>
                <w:szCs w:val="21"/>
              </w:rPr>
              <w:t>。</w:t>
            </w:r>
          </w:p>
        </w:tc>
        <w:tc>
          <w:tcPr>
            <w:tcW w:w="904" w:type="dxa"/>
            <w:noWrap w:val="0"/>
            <w:vAlign w:val="center"/>
          </w:tcPr>
          <w:p w14:paraId="6B358D2D">
            <w:pPr>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8</w:t>
            </w:r>
          </w:p>
        </w:tc>
      </w:tr>
      <w:tr w14:paraId="5BF2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4" w:hRule="atLeast"/>
          <w:jc w:val="center"/>
        </w:trPr>
        <w:tc>
          <w:tcPr>
            <w:tcW w:w="841" w:type="dxa"/>
            <w:shd w:val="clear" w:color="auto" w:fill="auto"/>
            <w:noWrap w:val="0"/>
            <w:vAlign w:val="center"/>
          </w:tcPr>
          <w:p w14:paraId="05310981">
            <w:pPr>
              <w:widowControl/>
              <w:jc w:val="center"/>
              <w:rPr>
                <w:rFonts w:hint="eastAsia" w:ascii="宋体" w:hAnsi="宋体" w:eastAsia="宋体" w:cs="宋体"/>
                <w:szCs w:val="21"/>
              </w:rPr>
            </w:pPr>
            <w:r>
              <w:rPr>
                <w:rFonts w:hint="eastAsia" w:ascii="宋体" w:hAnsi="宋体" w:eastAsia="宋体" w:cs="宋体"/>
                <w:szCs w:val="21"/>
              </w:rPr>
              <w:t>主观</w:t>
            </w:r>
          </w:p>
        </w:tc>
        <w:tc>
          <w:tcPr>
            <w:tcW w:w="1507" w:type="dxa"/>
            <w:shd w:val="clear" w:color="auto" w:fill="auto"/>
            <w:noWrap w:val="0"/>
            <w:vAlign w:val="center"/>
          </w:tcPr>
          <w:p w14:paraId="33B47104">
            <w:pPr>
              <w:widowControl/>
              <w:jc w:val="center"/>
              <w:rPr>
                <w:rFonts w:hint="eastAsia" w:ascii="宋体" w:hAnsi="宋体" w:eastAsia="宋体" w:cs="宋体"/>
                <w:kern w:val="2"/>
                <w:sz w:val="21"/>
                <w:szCs w:val="21"/>
                <w:lang w:val="zh-CN" w:eastAsia="zh-CN" w:bidi="ar-SA"/>
              </w:rPr>
            </w:pPr>
            <w:r>
              <w:rPr>
                <w:rFonts w:hint="eastAsia" w:ascii="宋体" w:hAnsi="宋体" w:eastAsia="宋体" w:cs="宋体"/>
                <w:b w:val="0"/>
                <w:bCs/>
                <w:color w:val="000000"/>
                <w:lang w:val="zh-CN" w:eastAsia="zh-CN"/>
              </w:rPr>
              <w:t>纠纷处理方案</w:t>
            </w:r>
          </w:p>
        </w:tc>
        <w:tc>
          <w:tcPr>
            <w:tcW w:w="6739" w:type="dxa"/>
            <w:shd w:val="clear" w:color="auto" w:fill="auto"/>
            <w:noWrap w:val="0"/>
            <w:vAlign w:val="center"/>
          </w:tcPr>
          <w:p w14:paraId="70FA8EC0">
            <w:pPr>
              <w:rPr>
                <w:rFonts w:hint="eastAsia" w:ascii="宋体" w:hAnsi="宋体" w:eastAsia="宋体" w:cs="宋体"/>
                <w:kern w:val="2"/>
                <w:sz w:val="21"/>
                <w:szCs w:val="21"/>
                <w:shd w:val="clear" w:color="auto" w:fill="auto"/>
                <w:lang w:val="zh-CN" w:eastAsia="zh-CN" w:bidi="ar-SA"/>
              </w:rPr>
            </w:pPr>
            <w:r>
              <w:rPr>
                <w:rFonts w:hint="eastAsia" w:ascii="宋体" w:hAnsi="宋体" w:eastAsia="宋体" w:cs="宋体"/>
                <w:b w:val="0"/>
                <w:bCs/>
                <w:color w:val="000000"/>
                <w:shd w:val="clear" w:color="auto" w:fill="auto"/>
                <w:lang w:val="zh-CN" w:eastAsia="zh-CN"/>
              </w:rPr>
              <w:t>根据投标人对本项目预期可能会产生的服务纠纷及争议所提出的处理方案是否具备可行性、有效性、针对性等方面进行综合评分，</w:t>
            </w:r>
            <w:r>
              <w:rPr>
                <w:rFonts w:hint="eastAsia" w:ascii="宋体" w:hAnsi="宋体" w:eastAsia="宋体" w:cs="宋体"/>
                <w:b w:val="0"/>
                <w:bCs/>
                <w:color w:val="000000"/>
                <w:shd w:val="clear" w:color="auto" w:fill="auto"/>
                <w:lang w:val="en-US" w:eastAsia="zh-CN"/>
              </w:rPr>
              <w:t>内容详尽、合理、操作性强的得</w:t>
            </w:r>
            <w:r>
              <w:rPr>
                <w:rFonts w:hint="eastAsia" w:ascii="宋体" w:hAnsi="宋体" w:cs="宋体"/>
                <w:b w:val="0"/>
                <w:bCs/>
                <w:color w:val="000000"/>
                <w:shd w:val="clear" w:color="auto" w:fill="auto"/>
                <w:lang w:val="en-US" w:eastAsia="zh-CN"/>
              </w:rPr>
              <w:t>5</w:t>
            </w:r>
            <w:r>
              <w:rPr>
                <w:rFonts w:hint="eastAsia" w:ascii="宋体" w:hAnsi="宋体" w:eastAsia="宋体" w:cs="宋体"/>
                <w:b w:val="0"/>
                <w:bCs/>
                <w:color w:val="000000"/>
                <w:shd w:val="clear" w:color="auto" w:fill="auto"/>
                <w:lang w:val="en-US" w:eastAsia="zh-CN"/>
              </w:rPr>
              <w:t>分；良好的得</w:t>
            </w:r>
            <w:r>
              <w:rPr>
                <w:rFonts w:hint="eastAsia" w:ascii="宋体" w:hAnsi="宋体" w:cs="宋体"/>
                <w:b w:val="0"/>
                <w:bCs/>
                <w:color w:val="000000"/>
                <w:shd w:val="clear" w:color="auto" w:fill="auto"/>
                <w:lang w:val="en-US" w:eastAsia="zh-CN"/>
              </w:rPr>
              <w:t>3</w:t>
            </w:r>
            <w:r>
              <w:rPr>
                <w:rFonts w:hint="eastAsia" w:ascii="宋体" w:hAnsi="宋体" w:eastAsia="宋体" w:cs="宋体"/>
                <w:b w:val="0"/>
                <w:bCs/>
                <w:color w:val="000000"/>
                <w:shd w:val="clear" w:color="auto" w:fill="auto"/>
                <w:lang w:val="en-US" w:eastAsia="zh-CN"/>
              </w:rPr>
              <w:t>分；一般的得</w:t>
            </w:r>
            <w:r>
              <w:rPr>
                <w:rFonts w:hint="eastAsia" w:ascii="宋体" w:hAnsi="宋体" w:cs="宋体"/>
                <w:b w:val="0"/>
                <w:bCs/>
                <w:color w:val="000000"/>
                <w:shd w:val="clear" w:color="auto" w:fill="auto"/>
                <w:lang w:val="en-US" w:eastAsia="zh-CN"/>
              </w:rPr>
              <w:t>1</w:t>
            </w:r>
            <w:r>
              <w:rPr>
                <w:rFonts w:hint="eastAsia" w:ascii="宋体" w:hAnsi="宋体" w:eastAsia="宋体" w:cs="宋体"/>
                <w:b w:val="0"/>
                <w:bCs/>
                <w:color w:val="000000"/>
                <w:shd w:val="clear" w:color="auto" w:fill="auto"/>
                <w:lang w:val="en-US" w:eastAsia="zh-CN"/>
              </w:rPr>
              <w:t>分，</w:t>
            </w:r>
            <w:r>
              <w:rPr>
                <w:rFonts w:hint="eastAsia" w:ascii="宋体" w:hAnsi="宋体" w:cs="宋体"/>
                <w:b w:val="0"/>
                <w:bCs/>
                <w:color w:val="000000"/>
                <w:shd w:val="clear" w:color="auto" w:fill="auto"/>
                <w:lang w:val="en-US" w:eastAsia="zh-CN"/>
              </w:rPr>
              <w:t>未提供不得分</w:t>
            </w:r>
            <w:r>
              <w:rPr>
                <w:rFonts w:hint="eastAsia" w:ascii="宋体" w:hAnsi="宋体" w:eastAsia="宋体" w:cs="宋体"/>
                <w:b w:val="0"/>
                <w:bCs/>
                <w:color w:val="000000"/>
                <w:shd w:val="clear" w:color="auto" w:fill="auto"/>
                <w:lang w:val="zh-CN" w:eastAsia="zh-CN"/>
              </w:rPr>
              <w:t>。</w:t>
            </w:r>
          </w:p>
        </w:tc>
        <w:tc>
          <w:tcPr>
            <w:tcW w:w="904" w:type="dxa"/>
            <w:noWrap w:val="0"/>
            <w:vAlign w:val="center"/>
          </w:tcPr>
          <w:p w14:paraId="1DCCFE45">
            <w:pPr>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5</w:t>
            </w:r>
          </w:p>
        </w:tc>
      </w:tr>
      <w:tr w14:paraId="6D75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841" w:type="dxa"/>
            <w:shd w:val="clear" w:color="auto" w:fill="auto"/>
            <w:noWrap w:val="0"/>
            <w:vAlign w:val="center"/>
          </w:tcPr>
          <w:p w14:paraId="21406A4E">
            <w:pPr>
              <w:widowControl/>
              <w:jc w:val="center"/>
              <w:rPr>
                <w:rFonts w:hint="eastAsia" w:ascii="宋体" w:hAnsi="宋体" w:eastAsia="宋体" w:cs="宋体"/>
                <w:szCs w:val="21"/>
              </w:rPr>
            </w:pPr>
            <w:r>
              <w:rPr>
                <w:rFonts w:hint="eastAsia" w:ascii="宋体" w:hAnsi="宋体" w:eastAsia="宋体" w:cs="宋体"/>
                <w:szCs w:val="21"/>
              </w:rPr>
              <w:t>主观</w:t>
            </w:r>
          </w:p>
        </w:tc>
        <w:tc>
          <w:tcPr>
            <w:tcW w:w="1507" w:type="dxa"/>
            <w:shd w:val="clear" w:color="auto" w:fill="auto"/>
            <w:noWrap w:val="0"/>
            <w:vAlign w:val="center"/>
          </w:tcPr>
          <w:p w14:paraId="465979E1">
            <w:pPr>
              <w:widowControl/>
              <w:jc w:val="center"/>
              <w:rPr>
                <w:rFonts w:hint="eastAsia" w:ascii="宋体" w:hAnsi="宋体" w:eastAsia="宋体" w:cs="宋体"/>
                <w:b w:val="0"/>
                <w:bCs/>
                <w:color w:val="000000"/>
                <w:lang w:val="en-US" w:eastAsia="zh-CN"/>
              </w:rPr>
            </w:pPr>
            <w:r>
              <w:rPr>
                <w:rFonts w:hint="eastAsia" w:ascii="宋体" w:hAnsi="宋体" w:eastAsia="宋体" w:cs="宋体"/>
                <w:b w:val="0"/>
                <w:bCs/>
                <w:color w:val="000000"/>
                <w:lang w:val="en-US" w:eastAsia="zh-CN"/>
              </w:rPr>
              <w:t>优惠方案、特色服务及增值服务</w:t>
            </w:r>
          </w:p>
        </w:tc>
        <w:tc>
          <w:tcPr>
            <w:tcW w:w="6739" w:type="dxa"/>
            <w:shd w:val="clear" w:color="auto" w:fill="auto"/>
            <w:noWrap w:val="0"/>
            <w:vAlign w:val="center"/>
          </w:tcPr>
          <w:p w14:paraId="10CC1EE7">
            <w:pPr>
              <w:rPr>
                <w:rFonts w:hint="eastAsia" w:ascii="宋体" w:hAnsi="宋体" w:eastAsia="宋体" w:cs="宋体"/>
                <w:szCs w:val="21"/>
                <w:shd w:val="clear" w:color="auto" w:fill="auto"/>
                <w:lang w:val="en-US" w:eastAsia="zh-CN"/>
              </w:rPr>
            </w:pPr>
            <w:r>
              <w:rPr>
                <w:rFonts w:hint="eastAsia" w:ascii="宋体" w:hAnsi="宋体" w:eastAsia="宋体" w:cs="宋体"/>
                <w:b w:val="0"/>
                <w:bCs/>
                <w:color w:val="000000"/>
                <w:shd w:val="clear" w:color="auto" w:fill="auto"/>
                <w:lang w:val="en-US" w:eastAsia="zh-CN"/>
              </w:rPr>
              <w:t>在基本保险保障外有其它优惠方案、特色服务及增值服务内容，由评委横向比较后评分，第一名</w:t>
            </w:r>
            <w:r>
              <w:rPr>
                <w:rFonts w:hint="eastAsia" w:ascii="宋体" w:hAnsi="宋体" w:cs="宋体"/>
                <w:b w:val="0"/>
                <w:bCs/>
                <w:color w:val="000000"/>
                <w:shd w:val="clear" w:color="auto" w:fill="auto"/>
                <w:lang w:val="en-US" w:eastAsia="zh-CN"/>
              </w:rPr>
              <w:t>10</w:t>
            </w:r>
            <w:r>
              <w:rPr>
                <w:rFonts w:hint="eastAsia" w:ascii="宋体" w:hAnsi="宋体" w:eastAsia="宋体" w:cs="宋体"/>
                <w:b w:val="0"/>
                <w:bCs/>
                <w:color w:val="000000"/>
                <w:shd w:val="clear" w:color="auto" w:fill="auto"/>
                <w:lang w:val="en-US" w:eastAsia="zh-CN"/>
              </w:rPr>
              <w:t>分，第二名6分，第三名3分，第四名1分，其它名次不得分。</w:t>
            </w:r>
          </w:p>
        </w:tc>
        <w:tc>
          <w:tcPr>
            <w:tcW w:w="904" w:type="dxa"/>
            <w:noWrap w:val="0"/>
            <w:vAlign w:val="center"/>
          </w:tcPr>
          <w:p w14:paraId="212BE58D">
            <w:pPr>
              <w:jc w:val="center"/>
              <w:rPr>
                <w:rFonts w:hint="eastAsia" w:ascii="宋体" w:hAnsi="宋体" w:cs="宋体"/>
                <w:szCs w:val="21"/>
                <w:lang w:val="en-US" w:eastAsia="zh-CN"/>
              </w:rPr>
            </w:pPr>
            <w:r>
              <w:rPr>
                <w:rFonts w:hint="eastAsia" w:ascii="宋体" w:hAnsi="宋体" w:cs="宋体"/>
                <w:szCs w:val="21"/>
                <w:lang w:val="en-US" w:eastAsia="zh-CN"/>
              </w:rPr>
              <w:t>10</w:t>
            </w:r>
          </w:p>
        </w:tc>
      </w:tr>
      <w:tr w14:paraId="7E602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Merge w:val="restart"/>
            <w:shd w:val="clear" w:color="auto" w:fill="auto"/>
            <w:noWrap w:val="0"/>
            <w:vAlign w:val="center"/>
          </w:tcPr>
          <w:p w14:paraId="5C5E0EDD">
            <w:pPr>
              <w:widowControl/>
              <w:jc w:val="center"/>
              <w:rPr>
                <w:rFonts w:hint="eastAsia" w:ascii="宋体" w:hAnsi="宋体" w:eastAsia="宋体" w:cs="宋体"/>
                <w:szCs w:val="21"/>
              </w:rPr>
            </w:pPr>
            <w:r>
              <w:rPr>
                <w:rFonts w:hint="eastAsia" w:ascii="宋体" w:hAnsi="宋体" w:eastAsia="宋体" w:cs="宋体"/>
                <w:szCs w:val="21"/>
              </w:rPr>
              <w:t>主观</w:t>
            </w:r>
          </w:p>
        </w:tc>
        <w:tc>
          <w:tcPr>
            <w:tcW w:w="1507" w:type="dxa"/>
            <w:vMerge w:val="restart"/>
            <w:shd w:val="clear" w:color="auto" w:fill="auto"/>
            <w:noWrap w:val="0"/>
            <w:vAlign w:val="center"/>
          </w:tcPr>
          <w:p w14:paraId="00E0D7BE">
            <w:pPr>
              <w:widowControl/>
              <w:jc w:val="center"/>
              <w:rPr>
                <w:rFonts w:hint="eastAsia" w:ascii="宋体" w:hAnsi="宋体" w:eastAsia="宋体" w:cs="宋体"/>
                <w:szCs w:val="21"/>
              </w:rPr>
            </w:pPr>
            <w:r>
              <w:rPr>
                <w:rFonts w:hint="eastAsia" w:ascii="宋体" w:hAnsi="宋体" w:eastAsia="宋体" w:cs="宋体"/>
                <w:b w:val="0"/>
                <w:bCs/>
                <w:color w:val="000000"/>
                <w:lang w:val="en-US" w:eastAsia="zh-CN"/>
              </w:rPr>
              <w:t>理赔服务</w:t>
            </w:r>
          </w:p>
        </w:tc>
        <w:tc>
          <w:tcPr>
            <w:tcW w:w="6739" w:type="dxa"/>
            <w:shd w:val="clear" w:color="auto" w:fill="auto"/>
            <w:noWrap w:val="0"/>
            <w:vAlign w:val="center"/>
          </w:tcPr>
          <w:p w14:paraId="2FA2B6C0">
            <w:pPr>
              <w:rPr>
                <w:rFonts w:hint="eastAsia" w:ascii="宋体" w:hAnsi="宋体" w:eastAsia="宋体" w:cs="宋体"/>
                <w:szCs w:val="21"/>
                <w:shd w:val="clear" w:color="auto" w:fill="auto"/>
              </w:rPr>
            </w:pPr>
            <w:r>
              <w:rPr>
                <w:rFonts w:hint="eastAsia" w:ascii="宋体" w:hAnsi="宋体" w:eastAsia="宋体" w:cs="宋体"/>
                <w:b w:val="0"/>
                <w:bCs/>
                <w:color w:val="000000"/>
                <w:shd w:val="clear" w:color="auto" w:fill="auto"/>
                <w:lang w:val="en-US" w:eastAsia="zh-CN"/>
              </w:rPr>
              <w:t>根据理赔服务方案的完善性、合理性等综合评分，包括理赔程序、理赔方式等，内容详尽、合理、操作性强的得5分；内容一般、操作性尚可的得3分；内容欠缺、操作性不强的得1分。没有不得分。</w:t>
            </w:r>
          </w:p>
        </w:tc>
        <w:tc>
          <w:tcPr>
            <w:tcW w:w="904" w:type="dxa"/>
            <w:noWrap w:val="0"/>
            <w:vAlign w:val="center"/>
          </w:tcPr>
          <w:p w14:paraId="2F4B4E5A">
            <w:pPr>
              <w:jc w:val="center"/>
              <w:rPr>
                <w:rFonts w:hint="eastAsia" w:ascii="宋体" w:hAnsi="宋体" w:eastAsia="宋体" w:cs="宋体"/>
                <w:szCs w:val="21"/>
                <w:lang w:eastAsia="zh-CN"/>
              </w:rPr>
            </w:pPr>
            <w:r>
              <w:rPr>
                <w:rFonts w:hint="eastAsia" w:ascii="宋体" w:hAnsi="宋体" w:cs="宋体"/>
                <w:szCs w:val="21"/>
                <w:lang w:val="en-US" w:eastAsia="zh-CN"/>
              </w:rPr>
              <w:t>5</w:t>
            </w:r>
          </w:p>
        </w:tc>
      </w:tr>
      <w:tr w14:paraId="153E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0" w:hRule="atLeast"/>
          <w:jc w:val="center"/>
        </w:trPr>
        <w:tc>
          <w:tcPr>
            <w:tcW w:w="841" w:type="dxa"/>
            <w:vMerge w:val="continue"/>
            <w:shd w:val="clear" w:color="auto" w:fill="auto"/>
            <w:noWrap w:val="0"/>
            <w:vAlign w:val="center"/>
          </w:tcPr>
          <w:p w14:paraId="564B9F0C">
            <w:pPr>
              <w:widowControl/>
              <w:jc w:val="center"/>
              <w:rPr>
                <w:rFonts w:hint="eastAsia" w:ascii="宋体" w:hAnsi="宋体" w:eastAsia="宋体" w:cs="宋体"/>
                <w:szCs w:val="21"/>
              </w:rPr>
            </w:pPr>
          </w:p>
        </w:tc>
        <w:tc>
          <w:tcPr>
            <w:tcW w:w="1507" w:type="dxa"/>
            <w:vMerge w:val="continue"/>
            <w:shd w:val="clear" w:color="auto" w:fill="auto"/>
            <w:noWrap w:val="0"/>
            <w:vAlign w:val="center"/>
          </w:tcPr>
          <w:p w14:paraId="6B801E1E">
            <w:pPr>
              <w:widowControl/>
              <w:jc w:val="center"/>
              <w:rPr>
                <w:rFonts w:hint="eastAsia" w:ascii="宋体" w:hAnsi="宋体" w:eastAsia="宋体" w:cs="宋体"/>
                <w:b w:val="0"/>
                <w:bCs/>
                <w:color w:val="000000"/>
                <w:lang w:val="en-US" w:eastAsia="zh-CN"/>
              </w:rPr>
            </w:pPr>
          </w:p>
        </w:tc>
        <w:tc>
          <w:tcPr>
            <w:tcW w:w="6739" w:type="dxa"/>
            <w:shd w:val="clear" w:color="auto" w:fill="auto"/>
            <w:noWrap w:val="0"/>
            <w:vAlign w:val="center"/>
          </w:tcPr>
          <w:p w14:paraId="38867667">
            <w:pPr>
              <w:spacing w:line="340" w:lineRule="exact"/>
              <w:contextualSpacing/>
              <w:rPr>
                <w:rFonts w:hint="eastAsia" w:ascii="Times New Roman" w:hAnsi="Times New Roman" w:cs="仿宋"/>
                <w:szCs w:val="21"/>
                <w:lang w:val="en-US" w:eastAsia="zh-CN"/>
              </w:rPr>
            </w:pPr>
            <w:r>
              <w:rPr>
                <w:rFonts w:hint="eastAsia" w:ascii="Times New Roman" w:hAnsi="Times New Roman" w:cs="仿宋"/>
                <w:szCs w:val="21"/>
                <w:lang w:val="en-US" w:eastAsia="zh-CN"/>
              </w:rPr>
              <w:t>理赔权限(0-5分)</w:t>
            </w:r>
          </w:p>
          <w:p w14:paraId="0AA7FC06">
            <w:pPr>
              <w:spacing w:line="340" w:lineRule="exact"/>
              <w:contextualSpacing/>
              <w:rPr>
                <w:rFonts w:hint="eastAsia" w:ascii="Times New Roman" w:hAnsi="Times New Roman" w:cs="仿宋"/>
                <w:szCs w:val="21"/>
                <w:lang w:val="en-US" w:eastAsia="zh-CN"/>
              </w:rPr>
            </w:pPr>
            <w:r>
              <w:rPr>
                <w:rFonts w:hint="eastAsia" w:ascii="Times New Roman" w:hAnsi="Times New Roman" w:cs="仿宋"/>
                <w:szCs w:val="21"/>
                <w:lang w:val="en-US" w:eastAsia="zh-CN"/>
              </w:rPr>
              <w:t>权限RMB200万元以下，得0分；</w:t>
            </w:r>
          </w:p>
          <w:p w14:paraId="5351382C">
            <w:pPr>
              <w:tabs>
                <w:tab w:val="left" w:pos="5499"/>
              </w:tabs>
              <w:spacing w:line="340" w:lineRule="exact"/>
              <w:contextualSpacing/>
              <w:rPr>
                <w:rFonts w:hint="eastAsia" w:ascii="Times New Roman" w:hAnsi="Times New Roman" w:cs="仿宋"/>
                <w:szCs w:val="21"/>
                <w:lang w:val="en-US" w:eastAsia="zh-CN"/>
              </w:rPr>
            </w:pPr>
            <w:r>
              <w:rPr>
                <w:rFonts w:hint="eastAsia" w:ascii="Times New Roman" w:hAnsi="Times New Roman" w:cs="仿宋"/>
                <w:szCs w:val="21"/>
                <w:lang w:val="en-US" w:eastAsia="zh-CN"/>
              </w:rPr>
              <w:t>权限RMB200万（含）—RMB500万元，得2分；</w:t>
            </w:r>
            <w:r>
              <w:rPr>
                <w:rFonts w:hint="eastAsia" w:cs="仿宋"/>
                <w:szCs w:val="21"/>
                <w:lang w:val="en-US" w:eastAsia="zh-CN"/>
              </w:rPr>
              <w:tab/>
            </w:r>
          </w:p>
          <w:p w14:paraId="625563F1">
            <w:pPr>
              <w:spacing w:line="340" w:lineRule="exact"/>
              <w:contextualSpacing/>
              <w:rPr>
                <w:rFonts w:hint="eastAsia" w:ascii="Times New Roman" w:hAnsi="Times New Roman" w:cs="仿宋"/>
                <w:szCs w:val="21"/>
                <w:lang w:val="en-US" w:eastAsia="zh-CN"/>
              </w:rPr>
            </w:pPr>
            <w:r>
              <w:rPr>
                <w:rFonts w:hint="eastAsia" w:ascii="Times New Roman" w:hAnsi="Times New Roman" w:cs="仿宋"/>
                <w:szCs w:val="21"/>
                <w:lang w:val="en-US" w:eastAsia="zh-CN"/>
              </w:rPr>
              <w:t>权限RMB800万（含）以上，得5分；</w:t>
            </w:r>
          </w:p>
          <w:p w14:paraId="4A194B2A">
            <w:pPr>
              <w:spacing w:line="340" w:lineRule="exact"/>
              <w:contextualSpacing/>
              <w:rPr>
                <w:rFonts w:hint="eastAsia" w:ascii="宋体" w:hAnsi="宋体" w:eastAsia="宋体" w:cs="宋体"/>
                <w:szCs w:val="21"/>
                <w:shd w:val="clear" w:color="auto" w:fill="auto"/>
              </w:rPr>
            </w:pPr>
            <w:r>
              <w:rPr>
                <w:rFonts w:hint="eastAsia" w:ascii="Times New Roman" w:hAnsi="Times New Roman" w:cs="仿宋"/>
                <w:szCs w:val="21"/>
                <w:lang w:val="en-US" w:eastAsia="zh-CN"/>
              </w:rPr>
              <w:t>注：提供总公司对于本次磋商项目所在地所属省级分公司关于理赔权限的正规授权文件并加盖公章。针对本项目的临时授权文件以及总公司的理赔权限无效。</w:t>
            </w:r>
          </w:p>
        </w:tc>
        <w:tc>
          <w:tcPr>
            <w:tcW w:w="904" w:type="dxa"/>
            <w:noWrap w:val="0"/>
            <w:vAlign w:val="center"/>
          </w:tcPr>
          <w:p w14:paraId="55BAAEFF">
            <w:pPr>
              <w:jc w:val="center"/>
              <w:rPr>
                <w:rFonts w:hint="default" w:ascii="宋体" w:hAnsi="宋体" w:eastAsia="宋体" w:cs="宋体"/>
                <w:szCs w:val="21"/>
                <w:lang w:val="en-US" w:eastAsia="zh-CN"/>
              </w:rPr>
            </w:pPr>
            <w:r>
              <w:rPr>
                <w:rFonts w:hint="eastAsia" w:ascii="宋体" w:hAnsi="宋体" w:cs="宋体"/>
                <w:szCs w:val="21"/>
                <w:lang w:val="en-US" w:eastAsia="zh-CN"/>
              </w:rPr>
              <w:t>5</w:t>
            </w:r>
          </w:p>
        </w:tc>
      </w:tr>
      <w:tr w14:paraId="6BE3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jc w:val="center"/>
        </w:trPr>
        <w:tc>
          <w:tcPr>
            <w:tcW w:w="841" w:type="dxa"/>
            <w:shd w:val="clear" w:color="auto" w:fill="auto"/>
            <w:noWrap w:val="0"/>
            <w:vAlign w:val="center"/>
          </w:tcPr>
          <w:p w14:paraId="45AC9604">
            <w:pPr>
              <w:widowControl/>
              <w:jc w:val="center"/>
              <w:rPr>
                <w:rFonts w:hint="eastAsia" w:ascii="宋体" w:hAnsi="宋体" w:eastAsia="宋体" w:cs="宋体"/>
                <w:szCs w:val="21"/>
              </w:rPr>
            </w:pPr>
            <w:r>
              <w:rPr>
                <w:rFonts w:hint="eastAsia" w:ascii="宋体" w:hAnsi="宋体" w:eastAsia="宋体" w:cs="宋体"/>
                <w:szCs w:val="21"/>
              </w:rPr>
              <w:t>主观</w:t>
            </w:r>
          </w:p>
        </w:tc>
        <w:tc>
          <w:tcPr>
            <w:tcW w:w="1507" w:type="dxa"/>
            <w:shd w:val="clear" w:color="auto" w:fill="auto"/>
            <w:noWrap w:val="0"/>
            <w:vAlign w:val="center"/>
          </w:tcPr>
          <w:p w14:paraId="16B81B3E">
            <w:pPr>
              <w:widowControl/>
              <w:jc w:val="center"/>
              <w:rPr>
                <w:rFonts w:hint="eastAsia" w:ascii="宋体" w:hAnsi="宋体" w:eastAsia="宋体" w:cs="宋体"/>
                <w:szCs w:val="21"/>
              </w:rPr>
            </w:pPr>
            <w:r>
              <w:rPr>
                <w:rFonts w:hint="eastAsia" w:ascii="宋体" w:hAnsi="宋体" w:eastAsia="宋体" w:cs="宋体"/>
                <w:b w:val="0"/>
                <w:bCs/>
                <w:color w:val="000000"/>
                <w:lang w:val="en-US" w:eastAsia="zh-CN"/>
              </w:rPr>
              <w:t>重大事故预赔付</w:t>
            </w:r>
          </w:p>
        </w:tc>
        <w:tc>
          <w:tcPr>
            <w:tcW w:w="6739" w:type="dxa"/>
            <w:shd w:val="clear" w:color="auto" w:fill="auto"/>
            <w:noWrap w:val="0"/>
            <w:vAlign w:val="center"/>
          </w:tcPr>
          <w:p w14:paraId="429BA155">
            <w:pPr>
              <w:rPr>
                <w:rFonts w:hint="eastAsia" w:ascii="宋体" w:hAnsi="宋体" w:eastAsia="宋体" w:cs="宋体"/>
                <w:szCs w:val="21"/>
                <w:shd w:val="clear" w:color="auto" w:fill="auto"/>
              </w:rPr>
            </w:pPr>
            <w:r>
              <w:rPr>
                <w:rFonts w:hint="eastAsia" w:ascii="宋体" w:hAnsi="宋体" w:eastAsia="宋体" w:cs="宋体"/>
                <w:b w:val="0"/>
                <w:bCs/>
                <w:color w:val="000000"/>
                <w:shd w:val="clear" w:color="auto" w:fill="auto"/>
                <w:lang w:val="en-US" w:eastAsia="zh-CN"/>
              </w:rPr>
              <w:t>提供切实可行的重大事故预赔付方案，全面合理的得5分，比较</w:t>
            </w:r>
            <w:r>
              <w:rPr>
                <w:rFonts w:hint="eastAsia" w:ascii="宋体" w:hAnsi="宋体" w:eastAsia="宋体" w:cs="宋体"/>
                <w:b w:val="0"/>
                <w:bCs/>
                <w:color w:val="000000"/>
                <w:shd w:val="clear" w:color="auto" w:fill="auto"/>
                <w:lang w:val="zh-CN" w:eastAsia="zh-CN"/>
              </w:rPr>
              <w:t>合理</w:t>
            </w:r>
            <w:r>
              <w:rPr>
                <w:rFonts w:hint="eastAsia" w:ascii="宋体" w:hAnsi="宋体" w:eastAsia="宋体" w:cs="宋体"/>
                <w:b w:val="0"/>
                <w:bCs/>
                <w:color w:val="000000"/>
                <w:shd w:val="clear" w:color="auto" w:fill="auto"/>
                <w:lang w:val="en-US" w:eastAsia="zh-CN"/>
              </w:rPr>
              <w:t>的得3分，可行</w:t>
            </w:r>
            <w:r>
              <w:rPr>
                <w:rFonts w:hint="eastAsia" w:ascii="宋体" w:hAnsi="宋体" w:eastAsia="宋体" w:cs="宋体"/>
                <w:b w:val="0"/>
                <w:bCs/>
                <w:color w:val="000000"/>
                <w:shd w:val="clear" w:color="auto" w:fill="auto"/>
                <w:lang w:val="zh-CN" w:eastAsia="zh-CN"/>
              </w:rPr>
              <w:t>性</w:t>
            </w:r>
            <w:r>
              <w:rPr>
                <w:rFonts w:hint="eastAsia" w:ascii="宋体" w:hAnsi="宋体" w:eastAsia="宋体" w:cs="宋体"/>
                <w:b w:val="0"/>
                <w:bCs/>
                <w:color w:val="000000"/>
                <w:shd w:val="clear" w:color="auto" w:fill="auto"/>
                <w:lang w:val="en-US" w:eastAsia="zh-CN"/>
              </w:rPr>
              <w:t>一般的得1分。</w:t>
            </w:r>
          </w:p>
        </w:tc>
        <w:tc>
          <w:tcPr>
            <w:tcW w:w="904" w:type="dxa"/>
            <w:noWrap w:val="0"/>
            <w:vAlign w:val="center"/>
          </w:tcPr>
          <w:p w14:paraId="598E71EA">
            <w:pPr>
              <w:jc w:val="center"/>
              <w:rPr>
                <w:rFonts w:hint="eastAsia" w:ascii="宋体" w:hAnsi="宋体" w:eastAsia="宋体" w:cs="宋体"/>
                <w:szCs w:val="21"/>
                <w:lang w:eastAsia="zh-CN"/>
              </w:rPr>
            </w:pPr>
            <w:r>
              <w:rPr>
                <w:rFonts w:hint="eastAsia" w:ascii="宋体" w:hAnsi="宋体" w:cs="宋体"/>
                <w:szCs w:val="21"/>
                <w:lang w:val="en-US" w:eastAsia="zh-CN"/>
              </w:rPr>
              <w:t>5</w:t>
            </w:r>
          </w:p>
        </w:tc>
      </w:tr>
    </w:tbl>
    <w:p w14:paraId="1E784BFA">
      <w:pPr>
        <w:rPr>
          <w:rFonts w:ascii="宋体" w:hAnsi="宋体" w:cs="宋体"/>
          <w:b/>
          <w:sz w:val="28"/>
          <w:szCs w:val="28"/>
        </w:rPr>
      </w:pPr>
      <w:r>
        <w:rPr>
          <w:rFonts w:hint="eastAsia" w:ascii="宋体" w:hAnsi="宋体" w:cs="宋体"/>
          <w:b/>
          <w:sz w:val="28"/>
          <w:szCs w:val="28"/>
        </w:rPr>
        <w:br w:type="page"/>
      </w:r>
    </w:p>
    <w:p w14:paraId="6D9D68AE">
      <w:pPr>
        <w:jc w:val="center"/>
        <w:outlineLvl w:val="0"/>
        <w:rPr>
          <w:rFonts w:ascii="宋体" w:hAnsi="宋体" w:cs="宋体"/>
          <w:b/>
          <w:sz w:val="28"/>
          <w:szCs w:val="28"/>
        </w:rPr>
      </w:pPr>
      <w:r>
        <w:rPr>
          <w:rFonts w:hint="eastAsia" w:ascii="宋体" w:hAnsi="宋体" w:cs="宋体"/>
          <w:b/>
          <w:sz w:val="28"/>
          <w:szCs w:val="28"/>
        </w:rPr>
        <w:t>第五章</w:t>
      </w:r>
      <w:r>
        <w:rPr>
          <w:rFonts w:ascii="宋体" w:hAnsi="宋体" w:cs="宋体"/>
          <w:b/>
          <w:sz w:val="28"/>
          <w:szCs w:val="28"/>
        </w:rPr>
        <w:t xml:space="preserve">  </w:t>
      </w:r>
      <w:r>
        <w:rPr>
          <w:rFonts w:hint="eastAsia" w:ascii="宋体" w:hAnsi="宋体" w:cs="宋体"/>
          <w:b/>
          <w:sz w:val="28"/>
          <w:szCs w:val="28"/>
        </w:rPr>
        <w:t>合同主要条款</w:t>
      </w:r>
    </w:p>
    <w:p w14:paraId="7867DC58">
      <w:pPr>
        <w:snapToGrid w:val="0"/>
        <w:spacing w:before="156" w:beforeLines="50" w:after="156" w:afterLines="50" w:line="360" w:lineRule="auto"/>
        <w:jc w:val="center"/>
        <w:rPr>
          <w:sz w:val="28"/>
          <w:szCs w:val="28"/>
        </w:rPr>
      </w:pPr>
      <w:r>
        <w:rPr>
          <w:rFonts w:hint="eastAsia" w:ascii="宋体" w:hAnsi="宋体" w:cs="宋体"/>
          <w:b/>
          <w:sz w:val="28"/>
          <w:szCs w:val="28"/>
        </w:rPr>
        <w:t>（具体条款以甲方为主协商确定）</w:t>
      </w:r>
    </w:p>
    <w:p w14:paraId="6FF94A21">
      <w:pPr>
        <w:snapToGrid w:val="0"/>
        <w:spacing w:line="360" w:lineRule="auto"/>
        <w:jc w:val="center"/>
        <w:rPr>
          <w:rFonts w:ascii="宋体" w:hAnsi="宋体" w:eastAsia="宋体" w:cs="Arial"/>
          <w:b/>
          <w:bCs/>
          <w:sz w:val="44"/>
          <w:szCs w:val="44"/>
        </w:rPr>
      </w:pPr>
    </w:p>
    <w:p w14:paraId="7152C3E0">
      <w:pPr>
        <w:snapToGrid w:val="0"/>
        <w:spacing w:line="360" w:lineRule="auto"/>
        <w:jc w:val="center"/>
        <w:rPr>
          <w:rFonts w:ascii="宋体" w:hAnsi="宋体" w:eastAsia="宋体" w:cs="Arial"/>
          <w:b/>
          <w:bCs/>
          <w:sz w:val="44"/>
          <w:szCs w:val="44"/>
        </w:rPr>
      </w:pPr>
      <w:r>
        <w:rPr>
          <w:rFonts w:ascii="宋体" w:hAnsi="宋体" w:eastAsia="宋体" w:cs="Arial"/>
          <w:b/>
          <w:bCs/>
          <w:sz w:val="44"/>
          <w:szCs w:val="44"/>
        </w:rPr>
        <w:t>采 购 合 同</w:t>
      </w:r>
    </w:p>
    <w:p w14:paraId="0077D2AF">
      <w:pPr>
        <w:snapToGrid w:val="0"/>
        <w:spacing w:line="360" w:lineRule="auto"/>
        <w:rPr>
          <w:rFonts w:ascii="宋体" w:hAnsi="宋体" w:eastAsia="宋体" w:cs="Arial"/>
          <w:b/>
          <w:sz w:val="24"/>
          <w:szCs w:val="24"/>
        </w:rPr>
      </w:pPr>
      <w:r>
        <w:rPr>
          <w:rFonts w:ascii="宋体" w:hAnsi="宋体" w:eastAsia="宋体" w:cs="Arial"/>
          <w:b/>
          <w:sz w:val="24"/>
          <w:szCs w:val="24"/>
        </w:rPr>
        <w:t xml:space="preserve">               </w:t>
      </w:r>
    </w:p>
    <w:p w14:paraId="38308417">
      <w:pPr>
        <w:spacing w:after="120"/>
        <w:ind w:left="420" w:leftChars="200" w:firstLine="420" w:firstLineChars="200"/>
        <w:rPr>
          <w:rFonts w:ascii="宋体" w:hAnsi="宋体" w:eastAsia="宋体" w:cs="Times New Roman"/>
          <w:szCs w:val="24"/>
        </w:rPr>
      </w:pPr>
    </w:p>
    <w:p w14:paraId="3C752BC7">
      <w:pPr>
        <w:spacing w:after="120"/>
        <w:ind w:left="420" w:leftChars="200" w:firstLine="420" w:firstLineChars="200"/>
        <w:rPr>
          <w:rFonts w:ascii="宋体" w:hAnsi="宋体" w:eastAsia="宋体" w:cs="Times New Roman"/>
          <w:szCs w:val="24"/>
        </w:rPr>
      </w:pPr>
    </w:p>
    <w:p w14:paraId="3534D300">
      <w:pPr>
        <w:snapToGrid w:val="0"/>
        <w:spacing w:line="360" w:lineRule="auto"/>
        <w:ind w:firstLine="3253" w:firstLineChars="1350"/>
        <w:rPr>
          <w:rFonts w:ascii="宋体" w:hAnsi="宋体" w:eastAsia="宋体" w:cs="Arial"/>
          <w:sz w:val="24"/>
          <w:szCs w:val="24"/>
        </w:rPr>
      </w:pPr>
      <w:r>
        <w:rPr>
          <w:rFonts w:ascii="宋体" w:hAnsi="宋体" w:eastAsia="宋体" w:cs="Arial"/>
          <w:b/>
          <w:sz w:val="24"/>
          <w:szCs w:val="24"/>
        </w:rPr>
        <w:t>合同编号：</w:t>
      </w:r>
      <w:r>
        <w:rPr>
          <w:rFonts w:ascii="宋体" w:hAnsi="宋体" w:eastAsia="宋体" w:cs="Arial"/>
          <w:b/>
          <w:sz w:val="24"/>
          <w:szCs w:val="24"/>
          <w:u w:val="single"/>
        </w:rPr>
        <w:t xml:space="preserve">                </w:t>
      </w:r>
    </w:p>
    <w:p w14:paraId="68639425">
      <w:pPr>
        <w:snapToGrid w:val="0"/>
        <w:spacing w:line="360" w:lineRule="auto"/>
        <w:rPr>
          <w:rFonts w:ascii="宋体" w:hAnsi="宋体" w:eastAsia="宋体" w:cs="Arial"/>
          <w:sz w:val="24"/>
          <w:szCs w:val="24"/>
        </w:rPr>
      </w:pPr>
    </w:p>
    <w:p w14:paraId="04C363C6">
      <w:pPr>
        <w:snapToGrid w:val="0"/>
        <w:spacing w:line="360" w:lineRule="auto"/>
        <w:rPr>
          <w:rFonts w:ascii="宋体" w:hAnsi="宋体" w:eastAsia="宋体" w:cs="Arial"/>
          <w:sz w:val="24"/>
          <w:szCs w:val="24"/>
        </w:rPr>
      </w:pPr>
    </w:p>
    <w:p w14:paraId="31D5A820">
      <w:pPr>
        <w:snapToGrid w:val="0"/>
        <w:spacing w:line="360" w:lineRule="auto"/>
        <w:rPr>
          <w:rFonts w:ascii="宋体" w:hAnsi="宋体" w:eastAsia="宋体" w:cs="Arial"/>
          <w:sz w:val="24"/>
          <w:szCs w:val="24"/>
        </w:rPr>
      </w:pPr>
    </w:p>
    <w:p w14:paraId="3ADB1AA7">
      <w:pPr>
        <w:snapToGrid w:val="0"/>
        <w:spacing w:line="360" w:lineRule="auto"/>
        <w:ind w:firstLine="1200" w:firstLineChars="500"/>
        <w:rPr>
          <w:rFonts w:ascii="宋体" w:hAnsi="宋体" w:eastAsia="宋体" w:cs="Arial"/>
          <w:sz w:val="24"/>
          <w:szCs w:val="24"/>
          <w:u w:val="single"/>
        </w:rPr>
      </w:pPr>
      <w:r>
        <w:rPr>
          <w:rFonts w:ascii="宋体" w:hAnsi="宋体" w:eastAsia="宋体" w:cs="Arial"/>
          <w:sz w:val="24"/>
          <w:szCs w:val="24"/>
        </w:rPr>
        <w:t>项目名称：</w:t>
      </w:r>
      <w:r>
        <w:rPr>
          <w:rFonts w:ascii="宋体" w:hAnsi="宋体" w:eastAsia="宋体" w:cs="Arial"/>
          <w:sz w:val="24"/>
          <w:szCs w:val="24"/>
          <w:u w:val="single"/>
        </w:rPr>
        <w:t xml:space="preserve">                                         </w:t>
      </w:r>
    </w:p>
    <w:p w14:paraId="6B5F88B4">
      <w:pPr>
        <w:snapToGrid w:val="0"/>
        <w:spacing w:line="360" w:lineRule="auto"/>
        <w:ind w:firstLine="1200" w:firstLineChars="500"/>
        <w:rPr>
          <w:rFonts w:ascii="宋体" w:hAnsi="宋体" w:eastAsia="宋体" w:cs="Arial"/>
          <w:sz w:val="24"/>
          <w:szCs w:val="24"/>
          <w:u w:val="single"/>
        </w:rPr>
      </w:pPr>
    </w:p>
    <w:p w14:paraId="6547A8D1">
      <w:pPr>
        <w:snapToGrid w:val="0"/>
        <w:spacing w:line="360" w:lineRule="auto"/>
        <w:ind w:firstLine="1200" w:firstLineChars="500"/>
        <w:rPr>
          <w:rFonts w:ascii="宋体" w:hAnsi="宋体" w:eastAsia="宋体" w:cs="Arial"/>
          <w:sz w:val="24"/>
          <w:szCs w:val="24"/>
        </w:rPr>
      </w:pPr>
      <w:r>
        <w:rPr>
          <w:rFonts w:hint="eastAsia" w:ascii="宋体" w:hAnsi="宋体" w:eastAsia="宋体" w:cs="Arial"/>
          <w:sz w:val="24"/>
          <w:szCs w:val="24"/>
        </w:rPr>
        <w:t>项目编号</w:t>
      </w:r>
      <w:r>
        <w:rPr>
          <w:rFonts w:ascii="宋体" w:hAnsi="宋体" w:eastAsia="宋体" w:cs="Arial"/>
          <w:sz w:val="24"/>
          <w:szCs w:val="24"/>
        </w:rPr>
        <w:t>：</w:t>
      </w:r>
      <w:r>
        <w:rPr>
          <w:rFonts w:ascii="宋体" w:hAnsi="宋体" w:eastAsia="宋体" w:cs="Arial"/>
          <w:sz w:val="24"/>
          <w:szCs w:val="24"/>
          <w:u w:val="single"/>
        </w:rPr>
        <w:t xml:space="preserve">                                         </w:t>
      </w:r>
    </w:p>
    <w:p w14:paraId="101AFB3B">
      <w:pPr>
        <w:snapToGrid w:val="0"/>
        <w:spacing w:line="360" w:lineRule="auto"/>
        <w:rPr>
          <w:rFonts w:ascii="宋体" w:hAnsi="宋体" w:eastAsia="宋体" w:cs="Arial"/>
          <w:sz w:val="24"/>
          <w:szCs w:val="24"/>
        </w:rPr>
      </w:pPr>
    </w:p>
    <w:p w14:paraId="5E11E23A">
      <w:pPr>
        <w:snapToGrid w:val="0"/>
        <w:spacing w:line="360" w:lineRule="auto"/>
        <w:rPr>
          <w:rFonts w:ascii="宋体" w:hAnsi="宋体" w:eastAsia="宋体" w:cs="Arial"/>
          <w:sz w:val="24"/>
          <w:szCs w:val="24"/>
        </w:rPr>
      </w:pPr>
    </w:p>
    <w:p w14:paraId="1486F1B3">
      <w:pPr>
        <w:snapToGrid w:val="0"/>
        <w:spacing w:line="360" w:lineRule="auto"/>
        <w:ind w:firstLine="1200" w:firstLineChars="500"/>
        <w:rPr>
          <w:rFonts w:ascii="宋体" w:hAnsi="宋体" w:eastAsia="宋体" w:cs="Arial"/>
          <w:sz w:val="24"/>
          <w:szCs w:val="24"/>
        </w:rPr>
      </w:pPr>
      <w:r>
        <w:rPr>
          <w:rFonts w:ascii="宋体" w:hAnsi="宋体" w:eastAsia="宋体" w:cs="Arial"/>
          <w:sz w:val="24"/>
          <w:szCs w:val="24"/>
        </w:rPr>
        <w:t>甲方</w:t>
      </w:r>
      <w:r>
        <w:rPr>
          <w:rFonts w:hint="eastAsia" w:ascii="宋体" w:hAnsi="宋体" w:eastAsia="宋体" w:cs="Arial"/>
          <w:sz w:val="24"/>
          <w:szCs w:val="24"/>
        </w:rPr>
        <w:t>（</w:t>
      </w:r>
      <w:r>
        <w:rPr>
          <w:rFonts w:hint="eastAsia" w:ascii="宋体" w:hAnsi="宋体" w:eastAsia="宋体" w:cs="Arial"/>
          <w:sz w:val="24"/>
          <w:szCs w:val="24"/>
          <w:lang w:val="en-US" w:eastAsia="zh-CN"/>
        </w:rPr>
        <w:t>采购人</w:t>
      </w:r>
      <w:r>
        <w:rPr>
          <w:rFonts w:hint="eastAsia" w:ascii="宋体" w:hAnsi="宋体" w:eastAsia="宋体" w:cs="Arial"/>
          <w:sz w:val="24"/>
          <w:szCs w:val="24"/>
        </w:rPr>
        <w:t>）</w:t>
      </w:r>
      <w:r>
        <w:rPr>
          <w:rFonts w:ascii="宋体" w:hAnsi="宋体" w:eastAsia="宋体" w:cs="Arial"/>
          <w:sz w:val="24"/>
          <w:szCs w:val="24"/>
        </w:rPr>
        <w:t>：</w:t>
      </w:r>
      <w:r>
        <w:rPr>
          <w:rFonts w:ascii="宋体" w:hAnsi="宋体" w:eastAsia="宋体" w:cs="Arial"/>
          <w:sz w:val="24"/>
          <w:szCs w:val="24"/>
          <w:u w:val="single"/>
        </w:rPr>
        <w:t xml:space="preserve">                                </w:t>
      </w:r>
    </w:p>
    <w:p w14:paraId="321C0789">
      <w:pPr>
        <w:snapToGrid w:val="0"/>
        <w:spacing w:line="360" w:lineRule="auto"/>
        <w:ind w:firstLine="1252" w:firstLineChars="522"/>
        <w:rPr>
          <w:rFonts w:ascii="宋体" w:hAnsi="宋体" w:eastAsia="宋体" w:cs="Arial"/>
          <w:sz w:val="24"/>
          <w:szCs w:val="24"/>
        </w:rPr>
      </w:pPr>
    </w:p>
    <w:p w14:paraId="58D7CDDF">
      <w:pPr>
        <w:snapToGrid w:val="0"/>
        <w:spacing w:line="360" w:lineRule="auto"/>
        <w:ind w:firstLine="1200" w:firstLineChars="500"/>
        <w:rPr>
          <w:rFonts w:hint="default" w:ascii="宋体" w:hAnsi="宋体" w:eastAsia="宋体" w:cs="Arial"/>
          <w:sz w:val="24"/>
          <w:szCs w:val="24"/>
          <w:u w:val="single"/>
          <w:lang w:val="en-US" w:eastAsia="zh-CN"/>
        </w:rPr>
      </w:pPr>
      <w:r>
        <w:rPr>
          <w:rFonts w:ascii="宋体" w:hAnsi="宋体" w:eastAsia="宋体" w:cs="Arial"/>
          <w:sz w:val="24"/>
          <w:szCs w:val="24"/>
        </w:rPr>
        <w:t>乙方</w:t>
      </w:r>
      <w:r>
        <w:rPr>
          <w:rFonts w:hint="eastAsia" w:ascii="宋体" w:hAnsi="宋体" w:eastAsia="宋体" w:cs="Arial"/>
          <w:sz w:val="24"/>
          <w:szCs w:val="24"/>
        </w:rPr>
        <w:t>（成交</w:t>
      </w:r>
      <w:r>
        <w:rPr>
          <w:rFonts w:hint="eastAsia" w:ascii="宋体" w:hAnsi="宋体" w:eastAsia="宋体" w:cs="Arial"/>
          <w:sz w:val="24"/>
          <w:szCs w:val="24"/>
          <w:lang w:val="en-US" w:eastAsia="zh-CN"/>
        </w:rPr>
        <w:t>人</w:t>
      </w:r>
      <w:r>
        <w:rPr>
          <w:rFonts w:hint="eastAsia" w:ascii="宋体" w:hAnsi="宋体" w:eastAsia="宋体" w:cs="Arial"/>
          <w:sz w:val="24"/>
          <w:szCs w:val="24"/>
        </w:rPr>
        <w:t>）</w:t>
      </w:r>
      <w:r>
        <w:rPr>
          <w:rFonts w:ascii="宋体" w:hAnsi="宋体" w:eastAsia="宋体" w:cs="Arial"/>
          <w:sz w:val="24"/>
          <w:szCs w:val="24"/>
        </w:rPr>
        <w:t>：</w:t>
      </w:r>
      <w:r>
        <w:rPr>
          <w:rFonts w:ascii="宋体" w:hAnsi="宋体" w:eastAsia="宋体" w:cs="Arial"/>
          <w:sz w:val="24"/>
          <w:szCs w:val="24"/>
          <w:u w:val="single"/>
        </w:rPr>
        <w:t xml:space="preserve">                              </w:t>
      </w:r>
      <w:r>
        <w:rPr>
          <w:rFonts w:hint="eastAsia" w:ascii="宋体" w:hAnsi="宋体" w:eastAsia="宋体" w:cs="Arial"/>
          <w:sz w:val="24"/>
          <w:szCs w:val="24"/>
          <w:u w:val="single"/>
          <w:lang w:val="en-US" w:eastAsia="zh-CN"/>
        </w:rPr>
        <w:t xml:space="preserve">  </w:t>
      </w:r>
    </w:p>
    <w:p w14:paraId="017D4EC9">
      <w:pPr>
        <w:snapToGrid w:val="0"/>
        <w:spacing w:line="360" w:lineRule="auto"/>
        <w:ind w:firstLine="1252" w:firstLineChars="522"/>
        <w:rPr>
          <w:rFonts w:ascii="宋体" w:hAnsi="宋体" w:eastAsia="宋体" w:cs="Arial"/>
          <w:sz w:val="24"/>
          <w:szCs w:val="24"/>
          <w:u w:val="single"/>
        </w:rPr>
      </w:pPr>
    </w:p>
    <w:p w14:paraId="147C6707">
      <w:pPr>
        <w:snapToGrid w:val="0"/>
        <w:spacing w:line="360" w:lineRule="auto"/>
        <w:ind w:firstLine="1252" w:firstLineChars="522"/>
        <w:rPr>
          <w:rFonts w:ascii="宋体" w:hAnsi="宋体" w:eastAsia="宋体" w:cs="Arial"/>
          <w:sz w:val="24"/>
          <w:szCs w:val="24"/>
          <w:u w:val="single"/>
        </w:rPr>
      </w:pPr>
    </w:p>
    <w:p w14:paraId="1A3FB275">
      <w:pPr>
        <w:snapToGrid w:val="0"/>
        <w:spacing w:line="360" w:lineRule="auto"/>
        <w:ind w:firstLine="1252" w:firstLineChars="522"/>
        <w:rPr>
          <w:rFonts w:ascii="宋体" w:hAnsi="宋体" w:eastAsia="宋体" w:cs="Arial"/>
          <w:sz w:val="24"/>
          <w:szCs w:val="24"/>
          <w:u w:val="single"/>
        </w:rPr>
      </w:pPr>
    </w:p>
    <w:p w14:paraId="4AAA52E0">
      <w:pPr>
        <w:snapToGrid w:val="0"/>
        <w:spacing w:line="360" w:lineRule="auto"/>
        <w:ind w:firstLine="1200" w:firstLineChars="500"/>
        <w:rPr>
          <w:rFonts w:ascii="宋体" w:hAnsi="宋体" w:eastAsia="宋体" w:cs="Arial"/>
          <w:sz w:val="24"/>
          <w:szCs w:val="24"/>
        </w:rPr>
      </w:pPr>
      <w:r>
        <w:rPr>
          <w:rFonts w:ascii="宋体" w:hAnsi="宋体" w:eastAsia="宋体" w:cs="Arial"/>
          <w:sz w:val="24"/>
          <w:szCs w:val="24"/>
        </w:rPr>
        <w:t>签署日期：</w:t>
      </w:r>
      <w:r>
        <w:rPr>
          <w:rFonts w:ascii="宋体" w:hAnsi="宋体" w:eastAsia="宋体" w:cs="Arial"/>
          <w:sz w:val="24"/>
          <w:szCs w:val="24"/>
          <w:u w:val="single"/>
        </w:rPr>
        <w:t xml:space="preserve">                                         </w:t>
      </w:r>
    </w:p>
    <w:p w14:paraId="45327A3A">
      <w:pPr>
        <w:rPr>
          <w:rFonts w:ascii="Arial" w:hAnsi="Arial" w:eastAsia="宋体" w:cs="Arial"/>
          <w:szCs w:val="21"/>
        </w:rPr>
      </w:pPr>
      <w:r>
        <w:rPr>
          <w:rFonts w:ascii="Arial" w:hAnsi="Arial" w:eastAsia="宋体" w:cs="Arial"/>
          <w:szCs w:val="21"/>
        </w:rPr>
        <w:t xml:space="preserve">                                           </w:t>
      </w:r>
    </w:p>
    <w:p w14:paraId="5B1ED0B1">
      <w:pPr>
        <w:rPr>
          <w:rFonts w:ascii="Arial" w:hAnsi="Arial" w:eastAsia="宋体" w:cs="Arial"/>
          <w:szCs w:val="21"/>
        </w:rPr>
      </w:pPr>
    </w:p>
    <w:p w14:paraId="31D6D9A6">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hAnsi="Arial" w:eastAsia="宋体" w:cs="Arial"/>
          <w:szCs w:val="21"/>
        </w:rPr>
      </w:pPr>
      <w:r>
        <w:rPr>
          <w:rFonts w:ascii="Arial" w:hAnsi="Arial" w:eastAsia="宋体" w:cs="Arial"/>
          <w:szCs w:val="21"/>
        </w:rPr>
        <w:br w:type="page"/>
      </w:r>
    </w:p>
    <w:p w14:paraId="1DF5BB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rPr>
      </w:pPr>
    </w:p>
    <w:p w14:paraId="5C8D3415">
      <w:pPr>
        <w:pStyle w:val="13"/>
        <w:snapToGrid w:val="0"/>
        <w:spacing w:before="120" w:line="360" w:lineRule="auto"/>
        <w:rPr>
          <w:rFonts w:hint="eastAsia" w:hAnsi="宋体" w:eastAsia="宋体"/>
          <w:sz w:val="21"/>
          <w:szCs w:val="21"/>
        </w:rPr>
      </w:pPr>
      <w:r>
        <w:rPr>
          <w:rFonts w:hint="eastAsia" w:hAnsi="宋体" w:eastAsia="宋体"/>
          <w:sz w:val="21"/>
          <w:szCs w:val="21"/>
          <w:lang w:eastAsia="zh-CN"/>
        </w:rPr>
        <w:t>项</w:t>
      </w:r>
      <w:r>
        <w:rPr>
          <w:rFonts w:hint="eastAsia" w:hAnsi="宋体" w:eastAsia="宋体"/>
          <w:sz w:val="21"/>
          <w:szCs w:val="21"/>
        </w:rPr>
        <w:t>目名称：                                       项目编号：</w:t>
      </w:r>
    </w:p>
    <w:p w14:paraId="7287ADE8">
      <w:pPr>
        <w:pStyle w:val="13"/>
        <w:snapToGrid w:val="0"/>
        <w:spacing w:before="120" w:line="360" w:lineRule="auto"/>
        <w:rPr>
          <w:rFonts w:hint="eastAsia" w:hAnsi="宋体" w:eastAsia="宋体"/>
          <w:sz w:val="21"/>
          <w:szCs w:val="21"/>
        </w:rPr>
      </w:pPr>
      <w:r>
        <w:rPr>
          <w:rFonts w:hint="eastAsia" w:hAnsi="宋体" w:eastAsia="宋体"/>
          <w:sz w:val="21"/>
          <w:szCs w:val="21"/>
        </w:rPr>
        <w:t>甲方：（买方）</w:t>
      </w:r>
    </w:p>
    <w:p w14:paraId="2CC78794">
      <w:pPr>
        <w:pStyle w:val="13"/>
        <w:snapToGrid w:val="0"/>
        <w:spacing w:before="120" w:line="360" w:lineRule="auto"/>
        <w:rPr>
          <w:rFonts w:hint="eastAsia" w:hAnsi="宋体" w:eastAsia="宋体"/>
          <w:sz w:val="21"/>
          <w:szCs w:val="21"/>
        </w:rPr>
      </w:pPr>
      <w:r>
        <w:rPr>
          <w:rFonts w:hint="eastAsia" w:hAnsi="宋体" w:eastAsia="宋体"/>
          <w:sz w:val="21"/>
          <w:szCs w:val="21"/>
        </w:rPr>
        <w:t>乙方：（卖方）</w:t>
      </w:r>
    </w:p>
    <w:p w14:paraId="4F08A0E7">
      <w:pPr>
        <w:snapToGrid w:val="0"/>
        <w:spacing w:before="120" w:beforeLines="50" w:line="360" w:lineRule="auto"/>
        <w:ind w:firstLine="411" w:firstLineChars="196"/>
        <w:rPr>
          <w:rFonts w:hint="eastAsia" w:ascii="宋体" w:hAnsi="宋体"/>
          <w:szCs w:val="21"/>
        </w:rPr>
      </w:pPr>
      <w:r>
        <w:rPr>
          <w:rFonts w:hint="eastAsia" w:ascii="宋体" w:hAnsi="宋体"/>
          <w:szCs w:val="21"/>
        </w:rPr>
        <w:t>甲、乙双方</w:t>
      </w:r>
      <w:r>
        <w:rPr>
          <w:rFonts w:hint="eastAsia" w:ascii="宋体" w:hAnsi="宋体" w:eastAsia="宋体" w:cs="Times New Roman"/>
          <w:szCs w:val="21"/>
        </w:rPr>
        <w:t>根据浙江万事达建设工程管理有限公司关</w:t>
      </w:r>
      <w:r>
        <w:rPr>
          <w:rFonts w:hint="eastAsia" w:ascii="宋体" w:hAnsi="宋体"/>
          <w:szCs w:val="21"/>
        </w:rPr>
        <w:t>于</w:t>
      </w:r>
      <w:r>
        <w:rPr>
          <w:rFonts w:hint="eastAsia" w:ascii="宋体" w:hAnsi="宋体"/>
          <w:szCs w:val="21"/>
          <w:u w:val="single"/>
        </w:rPr>
        <w:t xml:space="preserve">                          </w:t>
      </w:r>
      <w:r>
        <w:rPr>
          <w:rFonts w:hint="eastAsia" w:ascii="宋体" w:hAnsi="宋体"/>
          <w:szCs w:val="21"/>
        </w:rPr>
        <w:t>项目的结果，签署本合同。</w:t>
      </w:r>
    </w:p>
    <w:p w14:paraId="014995D0">
      <w:pPr>
        <w:pStyle w:val="13"/>
        <w:snapToGrid w:val="0"/>
        <w:spacing w:before="120" w:line="360" w:lineRule="auto"/>
        <w:ind w:firstLine="411" w:firstLineChars="196"/>
        <w:rPr>
          <w:rFonts w:hint="eastAsia" w:hAnsi="宋体" w:eastAsia="宋体"/>
          <w:sz w:val="21"/>
          <w:szCs w:val="21"/>
        </w:rPr>
      </w:pPr>
      <w:r>
        <w:rPr>
          <w:rFonts w:hint="eastAsia" w:hAnsi="宋体" w:eastAsia="宋体"/>
          <w:sz w:val="21"/>
          <w:szCs w:val="21"/>
        </w:rPr>
        <w:t>一、服务内容</w:t>
      </w:r>
    </w:p>
    <w:tbl>
      <w:tblPr>
        <w:tblStyle w:val="27"/>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985"/>
        <w:gridCol w:w="1987"/>
        <w:gridCol w:w="1985"/>
      </w:tblGrid>
      <w:tr w14:paraId="636C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987" w:type="dxa"/>
            <w:tcBorders>
              <w:top w:val="single" w:color="auto" w:sz="4" w:space="0"/>
              <w:left w:val="single" w:color="auto" w:sz="4" w:space="0"/>
              <w:bottom w:val="single" w:color="auto" w:sz="4" w:space="0"/>
              <w:right w:val="single" w:color="auto" w:sz="4" w:space="0"/>
            </w:tcBorders>
            <w:noWrap w:val="0"/>
            <w:vAlign w:val="center"/>
          </w:tcPr>
          <w:p w14:paraId="1FEB4149">
            <w:pPr>
              <w:jc w:val="center"/>
              <w:rPr>
                <w:rFonts w:ascii="宋体" w:hAnsi="宋体"/>
                <w:szCs w:val="21"/>
              </w:rPr>
            </w:pPr>
            <w:r>
              <w:rPr>
                <w:rFonts w:hint="eastAsia" w:ascii="宋体" w:hAnsi="宋体"/>
                <w:szCs w:val="21"/>
              </w:rPr>
              <w:t>项目</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2AEF6E1">
            <w:pPr>
              <w:jc w:val="center"/>
              <w:rPr>
                <w:rFonts w:ascii="宋体" w:hAnsi="宋体"/>
                <w:szCs w:val="21"/>
              </w:rPr>
            </w:pPr>
            <w:r>
              <w:rPr>
                <w:rFonts w:hint="eastAsia" w:ascii="宋体" w:hAnsi="宋体"/>
                <w:szCs w:val="21"/>
              </w:rPr>
              <w:t>内容</w:t>
            </w:r>
          </w:p>
        </w:tc>
        <w:tc>
          <w:tcPr>
            <w:tcW w:w="1987" w:type="dxa"/>
            <w:tcBorders>
              <w:top w:val="single" w:color="auto" w:sz="4" w:space="0"/>
              <w:left w:val="single" w:color="auto" w:sz="4" w:space="0"/>
              <w:bottom w:val="single" w:color="auto" w:sz="4" w:space="0"/>
              <w:right w:val="single" w:color="auto" w:sz="4" w:space="0"/>
            </w:tcBorders>
            <w:noWrap w:val="0"/>
            <w:vAlign w:val="top"/>
          </w:tcPr>
          <w:p w14:paraId="085FA782">
            <w:pPr>
              <w:rPr>
                <w:rFonts w:ascii="宋体" w:hAnsi="宋体"/>
                <w:szCs w:val="21"/>
              </w:rPr>
            </w:pPr>
            <w:r>
              <w:rPr>
                <w:rFonts w:hint="eastAsia" w:ascii="宋体" w:hAnsi="宋体"/>
                <w:szCs w:val="21"/>
              </w:rPr>
              <w:t>单价（元）</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4DE43126">
            <w:pPr>
              <w:rPr>
                <w:rFonts w:ascii="宋体" w:hAnsi="宋体"/>
                <w:szCs w:val="21"/>
              </w:rPr>
            </w:pPr>
            <w:r>
              <w:rPr>
                <w:rFonts w:hint="eastAsia" w:ascii="宋体" w:hAnsi="宋体"/>
                <w:szCs w:val="21"/>
              </w:rPr>
              <w:t>合价（元）</w:t>
            </w:r>
          </w:p>
        </w:tc>
      </w:tr>
      <w:tr w14:paraId="6E1B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987" w:type="dxa"/>
            <w:tcBorders>
              <w:top w:val="single" w:color="auto" w:sz="4" w:space="0"/>
              <w:left w:val="single" w:color="auto" w:sz="4" w:space="0"/>
              <w:bottom w:val="single" w:color="auto" w:sz="4" w:space="0"/>
              <w:right w:val="single" w:color="auto" w:sz="4" w:space="0"/>
            </w:tcBorders>
            <w:noWrap w:val="0"/>
            <w:vAlign w:val="center"/>
          </w:tcPr>
          <w:p w14:paraId="58AE27E3">
            <w:pPr>
              <w:jc w:val="center"/>
              <w:rPr>
                <w:rFonts w:ascii="宋体" w:hAnsi="宋体"/>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4885145B">
            <w:pPr>
              <w:jc w:val="center"/>
              <w:rPr>
                <w:rFonts w:ascii="宋体" w:hAnsi="宋体"/>
                <w:szCs w:val="21"/>
              </w:rPr>
            </w:pPr>
          </w:p>
        </w:tc>
        <w:tc>
          <w:tcPr>
            <w:tcW w:w="1987" w:type="dxa"/>
            <w:tcBorders>
              <w:top w:val="single" w:color="auto" w:sz="4" w:space="0"/>
              <w:left w:val="single" w:color="auto" w:sz="4" w:space="0"/>
              <w:bottom w:val="single" w:color="auto" w:sz="4" w:space="0"/>
              <w:right w:val="single" w:color="auto" w:sz="4" w:space="0"/>
            </w:tcBorders>
            <w:noWrap w:val="0"/>
            <w:vAlign w:val="top"/>
          </w:tcPr>
          <w:p w14:paraId="481064A5">
            <w:pPr>
              <w:rPr>
                <w:rFonts w:ascii="宋体" w:hAnsi="宋体"/>
                <w:szCs w:val="21"/>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289852B0">
            <w:pPr>
              <w:rPr>
                <w:rFonts w:ascii="宋体" w:hAnsi="宋体"/>
                <w:szCs w:val="21"/>
              </w:rPr>
            </w:pPr>
          </w:p>
        </w:tc>
      </w:tr>
      <w:tr w14:paraId="5789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987" w:type="dxa"/>
            <w:tcBorders>
              <w:top w:val="single" w:color="auto" w:sz="4" w:space="0"/>
              <w:left w:val="single" w:color="auto" w:sz="4" w:space="0"/>
              <w:bottom w:val="single" w:color="auto" w:sz="4" w:space="0"/>
              <w:right w:val="single" w:color="auto" w:sz="4" w:space="0"/>
            </w:tcBorders>
            <w:noWrap w:val="0"/>
            <w:vAlign w:val="center"/>
          </w:tcPr>
          <w:p w14:paraId="7C5372F7">
            <w:pPr>
              <w:jc w:val="center"/>
              <w:rPr>
                <w:rFonts w:ascii="宋体" w:hAnsi="宋体"/>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2057B416">
            <w:pPr>
              <w:jc w:val="center"/>
              <w:rPr>
                <w:rFonts w:ascii="宋体" w:hAnsi="宋体"/>
                <w:szCs w:val="21"/>
              </w:rPr>
            </w:pPr>
          </w:p>
        </w:tc>
        <w:tc>
          <w:tcPr>
            <w:tcW w:w="1987" w:type="dxa"/>
            <w:tcBorders>
              <w:top w:val="single" w:color="auto" w:sz="4" w:space="0"/>
              <w:left w:val="single" w:color="auto" w:sz="4" w:space="0"/>
              <w:bottom w:val="single" w:color="auto" w:sz="4" w:space="0"/>
              <w:right w:val="single" w:color="auto" w:sz="4" w:space="0"/>
            </w:tcBorders>
            <w:noWrap w:val="0"/>
            <w:vAlign w:val="top"/>
          </w:tcPr>
          <w:p w14:paraId="52FEC839">
            <w:pPr>
              <w:rPr>
                <w:rFonts w:ascii="宋体" w:hAnsi="宋体"/>
                <w:szCs w:val="21"/>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5D817967">
            <w:pPr>
              <w:rPr>
                <w:rFonts w:ascii="宋体" w:hAnsi="宋体"/>
                <w:szCs w:val="21"/>
              </w:rPr>
            </w:pPr>
          </w:p>
        </w:tc>
      </w:tr>
      <w:tr w14:paraId="0F43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987" w:type="dxa"/>
            <w:tcBorders>
              <w:top w:val="single" w:color="auto" w:sz="4" w:space="0"/>
              <w:left w:val="single" w:color="auto" w:sz="4" w:space="0"/>
              <w:bottom w:val="single" w:color="auto" w:sz="4" w:space="0"/>
              <w:right w:val="single" w:color="auto" w:sz="4" w:space="0"/>
            </w:tcBorders>
            <w:noWrap w:val="0"/>
            <w:vAlign w:val="center"/>
          </w:tcPr>
          <w:p w14:paraId="4B16FD70">
            <w:pPr>
              <w:jc w:val="center"/>
              <w:rPr>
                <w:rFonts w:ascii="宋体" w:hAnsi="宋体"/>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294D8FD">
            <w:pPr>
              <w:jc w:val="center"/>
              <w:rPr>
                <w:rFonts w:ascii="宋体" w:hAnsi="宋体"/>
                <w:szCs w:val="21"/>
              </w:rPr>
            </w:pPr>
          </w:p>
        </w:tc>
        <w:tc>
          <w:tcPr>
            <w:tcW w:w="1987" w:type="dxa"/>
            <w:tcBorders>
              <w:top w:val="single" w:color="auto" w:sz="4" w:space="0"/>
              <w:left w:val="single" w:color="auto" w:sz="4" w:space="0"/>
              <w:bottom w:val="single" w:color="auto" w:sz="4" w:space="0"/>
              <w:right w:val="single" w:color="auto" w:sz="4" w:space="0"/>
            </w:tcBorders>
            <w:noWrap w:val="0"/>
            <w:vAlign w:val="top"/>
          </w:tcPr>
          <w:p w14:paraId="64942367">
            <w:pPr>
              <w:rPr>
                <w:rFonts w:ascii="宋体" w:hAnsi="宋体"/>
                <w:szCs w:val="21"/>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172B04F3">
            <w:pPr>
              <w:rPr>
                <w:rFonts w:ascii="宋体" w:hAnsi="宋体"/>
                <w:szCs w:val="21"/>
              </w:rPr>
            </w:pPr>
          </w:p>
        </w:tc>
      </w:tr>
      <w:tr w14:paraId="4135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959" w:type="dxa"/>
            <w:gridSpan w:val="3"/>
            <w:tcBorders>
              <w:top w:val="single" w:color="auto" w:sz="4" w:space="0"/>
              <w:left w:val="single" w:color="auto" w:sz="4" w:space="0"/>
              <w:bottom w:val="single" w:color="auto" w:sz="4" w:space="0"/>
              <w:right w:val="single" w:color="auto" w:sz="4" w:space="0"/>
            </w:tcBorders>
            <w:noWrap w:val="0"/>
            <w:vAlign w:val="center"/>
          </w:tcPr>
          <w:p w14:paraId="325B0E49">
            <w:pPr>
              <w:rPr>
                <w:rFonts w:ascii="宋体" w:hAnsi="宋体"/>
                <w:szCs w:val="21"/>
              </w:rPr>
            </w:pPr>
            <w:r>
              <w:rPr>
                <w:rFonts w:hint="eastAsia" w:ascii="宋体" w:hAnsi="宋体"/>
                <w:szCs w:val="21"/>
              </w:rPr>
              <w:t>总价</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42E7467F">
            <w:pPr>
              <w:rPr>
                <w:rFonts w:ascii="宋体" w:hAnsi="宋体"/>
                <w:szCs w:val="21"/>
              </w:rPr>
            </w:pPr>
          </w:p>
        </w:tc>
      </w:tr>
    </w:tbl>
    <w:p w14:paraId="08C08E54">
      <w:pPr>
        <w:pStyle w:val="13"/>
        <w:snapToGrid w:val="0"/>
        <w:spacing w:before="120" w:line="360" w:lineRule="auto"/>
        <w:ind w:firstLine="411" w:firstLineChars="196"/>
        <w:rPr>
          <w:rFonts w:hint="eastAsia" w:hAnsi="宋体" w:eastAsia="宋体"/>
          <w:sz w:val="21"/>
          <w:szCs w:val="21"/>
        </w:rPr>
      </w:pPr>
      <w:r>
        <w:rPr>
          <w:rFonts w:hint="eastAsia" w:hAnsi="宋体" w:eastAsia="宋体"/>
          <w:sz w:val="21"/>
          <w:szCs w:val="21"/>
        </w:rPr>
        <w:t>二、合同金额</w:t>
      </w:r>
    </w:p>
    <w:p w14:paraId="6AC6AF8E">
      <w:pPr>
        <w:pStyle w:val="13"/>
        <w:snapToGrid w:val="0"/>
        <w:spacing w:before="120" w:line="360" w:lineRule="auto"/>
        <w:ind w:firstLine="420" w:firstLineChars="200"/>
        <w:rPr>
          <w:rFonts w:hint="eastAsia" w:hAnsi="宋体" w:eastAsia="宋体"/>
          <w:sz w:val="21"/>
          <w:szCs w:val="21"/>
        </w:rPr>
      </w:pPr>
      <w:r>
        <w:rPr>
          <w:rFonts w:hint="eastAsia" w:hAnsi="宋体" w:eastAsia="宋体"/>
          <w:sz w:val="21"/>
          <w:szCs w:val="21"/>
        </w:rPr>
        <w:t>2.1 本合同金额为（大写）：____________________________________元（￥_______________元）人民币。</w:t>
      </w:r>
    </w:p>
    <w:p w14:paraId="7E53543F">
      <w:pPr>
        <w:pStyle w:val="13"/>
        <w:snapToGrid w:val="0"/>
        <w:spacing w:before="120" w:line="360" w:lineRule="auto"/>
        <w:ind w:firstLine="411" w:firstLineChars="196"/>
        <w:rPr>
          <w:rFonts w:hint="eastAsia" w:hAnsi="宋体" w:eastAsia="宋体"/>
          <w:sz w:val="21"/>
          <w:szCs w:val="21"/>
        </w:rPr>
      </w:pPr>
      <w:r>
        <w:rPr>
          <w:rFonts w:hint="eastAsia" w:hAnsi="宋体" w:eastAsia="宋体"/>
          <w:sz w:val="21"/>
          <w:szCs w:val="21"/>
        </w:rPr>
        <w:t>三、履约保证金、质量保证金</w:t>
      </w:r>
    </w:p>
    <w:p w14:paraId="693393AC">
      <w:pPr>
        <w:pStyle w:val="13"/>
        <w:snapToGrid w:val="0"/>
        <w:spacing w:before="120" w:line="360" w:lineRule="auto"/>
        <w:ind w:firstLine="420" w:firstLineChars="200"/>
        <w:rPr>
          <w:rFonts w:hint="eastAsia" w:hAnsi="宋体" w:eastAsia="宋体"/>
          <w:sz w:val="21"/>
          <w:szCs w:val="21"/>
        </w:rPr>
      </w:pPr>
      <w:r>
        <w:rPr>
          <w:rFonts w:hint="eastAsia" w:hAnsi="宋体" w:eastAsia="宋体"/>
          <w:sz w:val="21"/>
          <w:szCs w:val="21"/>
        </w:rPr>
        <w:t>6.1 乙方交纳人民币_____________元作为本合同的履约保证金。</w:t>
      </w:r>
    </w:p>
    <w:p w14:paraId="20E6A0FC">
      <w:pPr>
        <w:snapToGrid w:val="0"/>
        <w:spacing w:before="120" w:beforeLines="50" w:after="120" w:afterLines="50" w:line="360" w:lineRule="auto"/>
        <w:ind w:firstLine="420" w:firstLineChars="200"/>
        <w:rPr>
          <w:rFonts w:hint="eastAsia" w:ascii="宋体" w:hAnsi="宋体"/>
          <w:szCs w:val="21"/>
        </w:rPr>
      </w:pPr>
      <w:r>
        <w:rPr>
          <w:rFonts w:hint="eastAsia" w:ascii="宋体" w:hAnsi="宋体"/>
          <w:szCs w:val="21"/>
        </w:rPr>
        <w:t>四.转包或分包</w:t>
      </w:r>
    </w:p>
    <w:p w14:paraId="1E706F95">
      <w:pPr>
        <w:snapToGrid w:val="0"/>
        <w:spacing w:before="120" w:beforeLines="50" w:after="120" w:afterLines="50" w:line="360" w:lineRule="auto"/>
        <w:ind w:firstLine="420" w:firstLineChars="200"/>
        <w:rPr>
          <w:rFonts w:hint="eastAsia" w:ascii="宋体" w:hAnsi="宋体"/>
          <w:szCs w:val="21"/>
        </w:rPr>
      </w:pPr>
      <w:r>
        <w:rPr>
          <w:rFonts w:hint="eastAsia" w:ascii="宋体" w:hAnsi="宋体"/>
          <w:szCs w:val="21"/>
        </w:rPr>
        <w:t>7.1本合同范围的服务，应由乙方直接供应，不得转让他人供应。</w:t>
      </w:r>
    </w:p>
    <w:p w14:paraId="2F14EF3D">
      <w:pPr>
        <w:snapToGrid w:val="0"/>
        <w:spacing w:before="120" w:beforeLines="50" w:after="120" w:afterLines="50" w:line="360" w:lineRule="auto"/>
        <w:ind w:firstLine="420" w:firstLineChars="200"/>
        <w:rPr>
          <w:rFonts w:hint="eastAsia" w:ascii="宋体" w:hAnsi="宋体"/>
          <w:szCs w:val="21"/>
        </w:rPr>
      </w:pPr>
      <w:r>
        <w:rPr>
          <w:rFonts w:hint="eastAsia" w:ascii="宋体" w:hAnsi="宋体"/>
          <w:szCs w:val="21"/>
        </w:rPr>
        <w:t>7.2 除非得到需方的书面同意，乙方不得部分分包给他人供应。</w:t>
      </w:r>
    </w:p>
    <w:p w14:paraId="25275E93">
      <w:pPr>
        <w:snapToGrid w:val="0"/>
        <w:spacing w:before="120" w:beforeLines="50" w:after="120" w:afterLines="50" w:line="360" w:lineRule="auto"/>
        <w:ind w:firstLine="420" w:firstLineChars="200"/>
        <w:rPr>
          <w:rFonts w:hint="eastAsia" w:ascii="宋体" w:hAnsi="宋体"/>
          <w:szCs w:val="21"/>
        </w:rPr>
      </w:pPr>
      <w:r>
        <w:rPr>
          <w:rFonts w:hint="eastAsia" w:ascii="宋体" w:hAnsi="宋体"/>
          <w:szCs w:val="21"/>
        </w:rPr>
        <w:t>7.3如有转让和未经需方同意的分包行为，需方有权给予终止合同。</w:t>
      </w:r>
    </w:p>
    <w:p w14:paraId="74383598">
      <w:pPr>
        <w:pStyle w:val="13"/>
        <w:snapToGrid w:val="0"/>
        <w:spacing w:before="120" w:line="360" w:lineRule="auto"/>
        <w:ind w:firstLine="420" w:firstLineChars="200"/>
        <w:rPr>
          <w:rFonts w:hint="eastAsia" w:hAnsi="宋体" w:eastAsia="宋体"/>
          <w:sz w:val="21"/>
          <w:szCs w:val="21"/>
        </w:rPr>
      </w:pPr>
      <w:r>
        <w:rPr>
          <w:rFonts w:hint="eastAsia" w:hAnsi="宋体" w:eastAsia="宋体"/>
          <w:sz w:val="21"/>
          <w:szCs w:val="21"/>
        </w:rPr>
        <w:t>五、服务方案</w:t>
      </w:r>
    </w:p>
    <w:p w14:paraId="7F35591E">
      <w:pPr>
        <w:pStyle w:val="13"/>
        <w:snapToGrid w:val="0"/>
        <w:spacing w:before="120" w:line="360" w:lineRule="auto"/>
        <w:ind w:firstLine="420" w:firstLineChars="200"/>
        <w:rPr>
          <w:rFonts w:hint="eastAsia" w:hAnsi="宋体" w:eastAsia="宋体"/>
          <w:sz w:val="21"/>
          <w:szCs w:val="21"/>
        </w:rPr>
      </w:pPr>
      <w:r>
        <w:rPr>
          <w:rFonts w:hint="eastAsia" w:hAnsi="宋体" w:eastAsia="宋体"/>
          <w:sz w:val="21"/>
          <w:szCs w:val="21"/>
        </w:rPr>
        <w:t>按招投标文件及最终承诺。</w:t>
      </w:r>
    </w:p>
    <w:p w14:paraId="13963608">
      <w:pPr>
        <w:pStyle w:val="13"/>
        <w:snapToGrid w:val="0"/>
        <w:spacing w:before="120" w:line="360" w:lineRule="auto"/>
        <w:ind w:firstLine="420" w:firstLineChars="200"/>
        <w:rPr>
          <w:rFonts w:hint="eastAsia" w:hAnsi="宋体" w:eastAsia="宋体"/>
          <w:sz w:val="21"/>
          <w:szCs w:val="21"/>
        </w:rPr>
      </w:pPr>
      <w:r>
        <w:rPr>
          <w:rFonts w:hint="eastAsia" w:hAnsi="宋体" w:eastAsia="宋体"/>
          <w:sz w:val="21"/>
          <w:szCs w:val="21"/>
        </w:rPr>
        <w:t>六、</w:t>
      </w:r>
      <w:r>
        <w:rPr>
          <w:rFonts w:hint="eastAsia" w:hAnsi="宋体" w:eastAsia="宋体"/>
          <w:sz w:val="21"/>
          <w:szCs w:val="21"/>
          <w:lang w:eastAsia="zh-CN"/>
        </w:rPr>
        <w:t>服务费用</w:t>
      </w:r>
      <w:r>
        <w:rPr>
          <w:rFonts w:hint="eastAsia" w:hAnsi="宋体" w:eastAsia="宋体"/>
          <w:sz w:val="21"/>
          <w:szCs w:val="21"/>
        </w:rPr>
        <w:t>支付</w:t>
      </w:r>
    </w:p>
    <w:p w14:paraId="1733FB7C">
      <w:pPr>
        <w:pStyle w:val="13"/>
        <w:snapToGrid w:val="0"/>
        <w:spacing w:before="120" w:line="360" w:lineRule="auto"/>
        <w:ind w:firstLine="420" w:firstLineChars="200"/>
        <w:rPr>
          <w:rFonts w:hint="eastAsia" w:hAnsi="宋体" w:eastAsia="宋体"/>
          <w:sz w:val="21"/>
          <w:szCs w:val="21"/>
          <w:u w:val="single"/>
        </w:rPr>
      </w:pPr>
      <w:r>
        <w:rPr>
          <w:rFonts w:hint="eastAsia" w:hAnsi="宋体" w:eastAsia="宋体"/>
          <w:sz w:val="21"/>
          <w:szCs w:val="21"/>
        </w:rPr>
        <w:t>付款方式：</w:t>
      </w:r>
      <w:r>
        <w:rPr>
          <w:rFonts w:hint="eastAsia" w:hAnsi="宋体" w:eastAsia="宋体"/>
          <w:sz w:val="21"/>
          <w:szCs w:val="21"/>
          <w:u w:val="single"/>
        </w:rPr>
        <w:t xml:space="preserve">                             </w:t>
      </w:r>
      <w:r>
        <w:rPr>
          <w:rFonts w:hint="eastAsia" w:hAnsi="宋体" w:eastAsia="宋体"/>
          <w:sz w:val="21"/>
          <w:szCs w:val="21"/>
        </w:rPr>
        <w:t>；</w:t>
      </w:r>
    </w:p>
    <w:p w14:paraId="43242F4C">
      <w:pPr>
        <w:snapToGrid w:val="0"/>
        <w:spacing w:before="120" w:beforeLines="50" w:after="120" w:afterLines="50" w:line="360" w:lineRule="auto"/>
        <w:ind w:firstLine="420" w:firstLineChars="200"/>
        <w:rPr>
          <w:rFonts w:hint="eastAsia" w:ascii="宋体" w:hAnsi="宋体"/>
          <w:szCs w:val="21"/>
        </w:rPr>
      </w:pPr>
      <w:r>
        <w:rPr>
          <w:rFonts w:hint="eastAsia" w:ascii="宋体" w:hAnsi="宋体"/>
          <w:szCs w:val="21"/>
        </w:rPr>
        <w:t>七、税</w:t>
      </w:r>
    </w:p>
    <w:p w14:paraId="05E16AF7">
      <w:pPr>
        <w:pStyle w:val="13"/>
        <w:snapToGrid w:val="0"/>
        <w:spacing w:before="120" w:line="360" w:lineRule="auto"/>
        <w:ind w:right="26" w:firstLine="420" w:firstLineChars="200"/>
        <w:rPr>
          <w:rFonts w:hint="eastAsia" w:hAnsi="宋体" w:eastAsia="宋体"/>
          <w:sz w:val="21"/>
          <w:szCs w:val="21"/>
        </w:rPr>
      </w:pPr>
      <w:r>
        <w:rPr>
          <w:rFonts w:hint="eastAsia" w:hAnsi="宋体" w:eastAsia="宋体"/>
          <w:sz w:val="21"/>
          <w:szCs w:val="21"/>
        </w:rPr>
        <w:t>八、保密条款</w:t>
      </w:r>
    </w:p>
    <w:p w14:paraId="3F3DF20E">
      <w:pPr>
        <w:spacing w:line="440" w:lineRule="exact"/>
        <w:ind w:firstLine="420" w:firstLineChars="200"/>
        <w:rPr>
          <w:rFonts w:hint="eastAsia" w:ascii="宋体" w:hAnsi="宋体"/>
          <w:szCs w:val="21"/>
        </w:rPr>
      </w:pPr>
      <w:r>
        <w:rPr>
          <w:rFonts w:hint="eastAsia" w:ascii="宋体" w:hAnsi="宋体"/>
          <w:szCs w:val="21"/>
        </w:rPr>
        <w:t>8.1 未经对方书面许可，任何一方不得向第三方提供或披露与对方业务有关的资料和信息，法律另有规定的除外。</w:t>
      </w:r>
    </w:p>
    <w:p w14:paraId="4DA59CA9">
      <w:pPr>
        <w:spacing w:line="440" w:lineRule="exact"/>
        <w:ind w:firstLine="420" w:firstLineChars="200"/>
        <w:rPr>
          <w:rFonts w:hint="eastAsia" w:ascii="宋体" w:hAnsi="宋体"/>
          <w:szCs w:val="21"/>
        </w:rPr>
      </w:pPr>
      <w:r>
        <w:rPr>
          <w:rFonts w:hint="eastAsia" w:ascii="宋体" w:hAnsi="宋体"/>
          <w:szCs w:val="21"/>
        </w:rPr>
        <w:t>8.2 甲乙双方通过本合同实施了解到对方的有关网络组织、业务发展、价格策略等商业机密时，双方均有义务为各方保密。</w:t>
      </w:r>
    </w:p>
    <w:p w14:paraId="419997A6">
      <w:pPr>
        <w:pStyle w:val="13"/>
        <w:snapToGrid w:val="0"/>
        <w:spacing w:before="120" w:line="360" w:lineRule="auto"/>
        <w:ind w:firstLine="420" w:firstLineChars="200"/>
        <w:rPr>
          <w:rFonts w:hint="eastAsia" w:hAnsi="宋体" w:eastAsia="宋体"/>
          <w:sz w:val="21"/>
          <w:szCs w:val="21"/>
        </w:rPr>
      </w:pPr>
      <w:r>
        <w:rPr>
          <w:rFonts w:hint="eastAsia" w:hAnsi="宋体" w:eastAsia="宋体"/>
          <w:sz w:val="21"/>
          <w:szCs w:val="21"/>
        </w:rPr>
        <w:t>九、不可抗力事件处理</w:t>
      </w:r>
    </w:p>
    <w:p w14:paraId="0A63D29B">
      <w:pPr>
        <w:pStyle w:val="13"/>
        <w:snapToGrid w:val="0"/>
        <w:spacing w:before="120" w:line="360" w:lineRule="auto"/>
        <w:ind w:firstLine="420" w:firstLineChars="200"/>
        <w:rPr>
          <w:rFonts w:hint="eastAsia" w:hAnsi="宋体" w:eastAsia="宋体"/>
          <w:sz w:val="21"/>
          <w:szCs w:val="21"/>
        </w:rPr>
      </w:pPr>
      <w:r>
        <w:rPr>
          <w:rFonts w:hint="eastAsia" w:hAnsi="宋体" w:eastAsia="宋体"/>
          <w:sz w:val="21"/>
          <w:szCs w:val="21"/>
        </w:rPr>
        <w:t>9.1 在合同有效期内，任何一方因不可抗力事件导致不能履行合同，则合同履行期可延长，其延长期与不可抗力影响期相同。</w:t>
      </w:r>
    </w:p>
    <w:p w14:paraId="18E41655">
      <w:pPr>
        <w:pStyle w:val="13"/>
        <w:snapToGrid w:val="0"/>
        <w:spacing w:before="120" w:line="360" w:lineRule="auto"/>
        <w:ind w:firstLine="420" w:firstLineChars="200"/>
        <w:rPr>
          <w:rFonts w:hint="eastAsia" w:hAnsi="宋体" w:eastAsia="宋体"/>
          <w:sz w:val="21"/>
          <w:szCs w:val="21"/>
        </w:rPr>
      </w:pPr>
      <w:r>
        <w:rPr>
          <w:rFonts w:hint="eastAsia" w:hAnsi="宋体" w:eastAsia="宋体"/>
          <w:sz w:val="21"/>
          <w:szCs w:val="21"/>
        </w:rPr>
        <w:t>9.2 不可抗力事件发生后，应立即通知对方，并寄送有关权威机构出具的证明。</w:t>
      </w:r>
    </w:p>
    <w:p w14:paraId="63E84B70">
      <w:pPr>
        <w:pStyle w:val="13"/>
        <w:snapToGrid w:val="0"/>
        <w:spacing w:before="120" w:line="360" w:lineRule="auto"/>
        <w:ind w:firstLine="420" w:firstLineChars="200"/>
        <w:rPr>
          <w:rFonts w:hint="eastAsia" w:hAnsi="宋体" w:eastAsia="宋体"/>
          <w:sz w:val="21"/>
          <w:szCs w:val="21"/>
        </w:rPr>
      </w:pPr>
      <w:r>
        <w:rPr>
          <w:rFonts w:hint="eastAsia" w:hAnsi="宋体" w:eastAsia="宋体"/>
          <w:sz w:val="21"/>
          <w:szCs w:val="21"/>
        </w:rPr>
        <w:t>9.3 不可抗力事件延续120天以上，双方应通过友好协商，确定是否继续履行合同。</w:t>
      </w:r>
    </w:p>
    <w:p w14:paraId="1A2D0DAE">
      <w:pPr>
        <w:pStyle w:val="13"/>
        <w:snapToGrid w:val="0"/>
        <w:spacing w:before="120" w:line="360" w:lineRule="auto"/>
        <w:ind w:firstLine="420" w:firstLineChars="200"/>
        <w:rPr>
          <w:rFonts w:hint="eastAsia" w:hAnsi="宋体" w:eastAsia="宋体"/>
          <w:sz w:val="21"/>
          <w:szCs w:val="21"/>
        </w:rPr>
      </w:pPr>
      <w:r>
        <w:rPr>
          <w:rFonts w:hint="eastAsia" w:hAnsi="宋体" w:eastAsia="宋体"/>
          <w:sz w:val="21"/>
          <w:szCs w:val="21"/>
        </w:rPr>
        <w:t>十、诉讼</w:t>
      </w:r>
    </w:p>
    <w:p w14:paraId="4AC40478">
      <w:pPr>
        <w:pStyle w:val="13"/>
        <w:snapToGrid w:val="0"/>
        <w:spacing w:before="120" w:line="360" w:lineRule="auto"/>
        <w:ind w:firstLine="420" w:firstLineChars="200"/>
        <w:rPr>
          <w:rFonts w:hint="eastAsia" w:hAnsi="宋体" w:eastAsia="宋体"/>
          <w:sz w:val="21"/>
          <w:szCs w:val="21"/>
        </w:rPr>
      </w:pPr>
      <w:r>
        <w:rPr>
          <w:rFonts w:hint="eastAsia" w:hAnsi="宋体" w:eastAsia="宋体"/>
          <w:sz w:val="21"/>
          <w:szCs w:val="21"/>
        </w:rPr>
        <w:t>双方在执行合同中所发生的一切争议，应通过协商解决。如协商不成，可向合同签订地法院起诉，合同签订地在此约定为舟山市。</w:t>
      </w:r>
    </w:p>
    <w:p w14:paraId="649527F0">
      <w:pPr>
        <w:pStyle w:val="13"/>
        <w:snapToGrid w:val="0"/>
        <w:spacing w:before="120" w:line="360" w:lineRule="auto"/>
        <w:ind w:firstLine="420" w:firstLineChars="200"/>
        <w:rPr>
          <w:rFonts w:hint="eastAsia" w:hAnsi="宋体" w:eastAsia="宋体"/>
          <w:sz w:val="21"/>
          <w:szCs w:val="21"/>
        </w:rPr>
      </w:pPr>
      <w:r>
        <w:rPr>
          <w:rFonts w:hint="eastAsia" w:hAnsi="宋体" w:eastAsia="宋体"/>
          <w:sz w:val="21"/>
          <w:szCs w:val="21"/>
        </w:rPr>
        <w:t>十一、合同生效及其它</w:t>
      </w:r>
    </w:p>
    <w:p w14:paraId="74821CD3">
      <w:pPr>
        <w:pStyle w:val="13"/>
        <w:snapToGrid w:val="0"/>
        <w:spacing w:before="120" w:line="360" w:lineRule="auto"/>
        <w:ind w:firstLine="420" w:firstLineChars="200"/>
        <w:rPr>
          <w:rFonts w:hint="eastAsia" w:hAnsi="宋体" w:eastAsia="宋体"/>
          <w:sz w:val="21"/>
          <w:szCs w:val="21"/>
        </w:rPr>
      </w:pPr>
      <w:r>
        <w:rPr>
          <w:rFonts w:hint="eastAsia" w:hAnsi="宋体" w:eastAsia="宋体"/>
          <w:sz w:val="21"/>
          <w:szCs w:val="21"/>
        </w:rPr>
        <w:t>11.1 合同经双方</w:t>
      </w:r>
      <w:r>
        <w:rPr>
          <w:rFonts w:hint="eastAsia" w:hAnsi="宋体" w:eastAsia="宋体"/>
          <w:sz w:val="21"/>
          <w:szCs w:val="21"/>
          <w:lang w:eastAsia="zh-CN"/>
        </w:rPr>
        <w:t>法定代表人（或单位负责人）</w:t>
      </w:r>
      <w:r>
        <w:rPr>
          <w:rFonts w:hint="eastAsia" w:hAnsi="宋体" w:eastAsia="宋体"/>
          <w:sz w:val="21"/>
          <w:szCs w:val="21"/>
        </w:rPr>
        <w:t>或授权委托代理人签字并加盖单位公章</w:t>
      </w:r>
      <w:r>
        <w:rPr>
          <w:rFonts w:hint="eastAsia" w:hAnsi="宋体" w:eastAsia="宋体"/>
          <w:sz w:val="21"/>
          <w:szCs w:val="21"/>
          <w:lang w:eastAsia="zh-CN"/>
        </w:rPr>
        <w:t>后方可</w:t>
      </w:r>
      <w:r>
        <w:rPr>
          <w:rFonts w:hint="eastAsia" w:hAnsi="宋体" w:eastAsia="宋体"/>
          <w:sz w:val="21"/>
          <w:szCs w:val="21"/>
        </w:rPr>
        <w:t>生效。</w:t>
      </w:r>
    </w:p>
    <w:p w14:paraId="29CAE830">
      <w:pPr>
        <w:pStyle w:val="13"/>
        <w:snapToGrid w:val="0"/>
        <w:spacing w:before="120" w:line="360" w:lineRule="auto"/>
        <w:ind w:firstLine="420" w:firstLineChars="200"/>
        <w:rPr>
          <w:rFonts w:hint="eastAsia" w:hAnsi="宋体" w:eastAsia="宋体"/>
          <w:sz w:val="21"/>
          <w:szCs w:val="21"/>
        </w:rPr>
      </w:pPr>
      <w:r>
        <w:rPr>
          <w:rFonts w:hint="eastAsia" w:hAnsi="宋体" w:eastAsia="宋体"/>
          <w:sz w:val="21"/>
          <w:szCs w:val="21"/>
        </w:rPr>
        <w:t>11.2合同执行中涉及采购资金和采购内容修改或补充的，须经舟山市定海区财政部门审批，并签书面补充协议报舟山市定海区政府采购监督管理部门备案，方可作为主合同不可分割的一部分。</w:t>
      </w:r>
    </w:p>
    <w:p w14:paraId="5D0767B6">
      <w:pPr>
        <w:pStyle w:val="13"/>
        <w:snapToGrid w:val="0"/>
        <w:spacing w:before="120" w:line="360" w:lineRule="auto"/>
        <w:ind w:firstLine="420" w:firstLineChars="200"/>
        <w:rPr>
          <w:rFonts w:hint="eastAsia" w:hAnsi="宋体" w:eastAsia="宋体"/>
          <w:sz w:val="21"/>
          <w:szCs w:val="21"/>
        </w:rPr>
      </w:pPr>
      <w:r>
        <w:rPr>
          <w:rFonts w:hint="eastAsia" w:hAnsi="宋体" w:eastAsia="宋体"/>
          <w:sz w:val="21"/>
          <w:szCs w:val="21"/>
        </w:rPr>
        <w:t>11.3招标文件、投标文件、有关补充文件（如有）作为本合同附件，与合同具有同等法律效力。本合同未尽事宜，遵照《合同法》有关条文执行。</w:t>
      </w:r>
    </w:p>
    <w:p w14:paraId="0FBF80E4">
      <w:pPr>
        <w:pStyle w:val="13"/>
        <w:snapToGrid w:val="0"/>
        <w:spacing w:before="120" w:line="360" w:lineRule="auto"/>
        <w:ind w:firstLine="420" w:firstLineChars="200"/>
        <w:rPr>
          <w:rFonts w:hint="eastAsia" w:hAnsi="宋体" w:eastAsia="宋体"/>
          <w:sz w:val="21"/>
          <w:szCs w:val="21"/>
          <w:lang w:eastAsia="zh-CN"/>
        </w:rPr>
      </w:pPr>
      <w:r>
        <w:rPr>
          <w:rFonts w:hint="eastAsia" w:hAnsi="宋体" w:eastAsia="宋体"/>
          <w:sz w:val="21"/>
          <w:szCs w:val="21"/>
        </w:rPr>
        <w:t>11.4 本合同一式</w:t>
      </w:r>
      <w:r>
        <w:rPr>
          <w:rFonts w:hint="eastAsia" w:hAnsi="宋体" w:eastAsia="宋体"/>
          <w:sz w:val="21"/>
          <w:szCs w:val="21"/>
          <w:lang w:eastAsia="zh-CN"/>
        </w:rPr>
        <w:t>两</w:t>
      </w:r>
      <w:r>
        <w:rPr>
          <w:rFonts w:hint="eastAsia" w:hAnsi="宋体" w:eastAsia="宋体"/>
          <w:sz w:val="21"/>
          <w:szCs w:val="21"/>
        </w:rPr>
        <w:t>份，具有同等法律效力，甲乙双方各执一份</w:t>
      </w:r>
      <w:r>
        <w:rPr>
          <w:rFonts w:hint="eastAsia" w:hAnsi="宋体" w:eastAsia="宋体"/>
          <w:sz w:val="21"/>
          <w:szCs w:val="21"/>
          <w:lang w:eastAsia="zh-CN"/>
        </w:rPr>
        <w:t>。</w:t>
      </w:r>
    </w:p>
    <w:p w14:paraId="59D6D64B">
      <w:pPr>
        <w:pStyle w:val="13"/>
        <w:snapToGrid w:val="0"/>
        <w:spacing w:before="120" w:line="360" w:lineRule="auto"/>
        <w:ind w:firstLine="525" w:firstLineChars="250"/>
        <w:rPr>
          <w:rFonts w:hint="eastAsia" w:hAnsi="宋体" w:eastAsia="宋体"/>
          <w:sz w:val="21"/>
          <w:szCs w:val="21"/>
        </w:rPr>
      </w:pPr>
      <w:r>
        <w:rPr>
          <w:rFonts w:hint="eastAsia" w:hAnsi="宋体" w:eastAsia="宋体"/>
          <w:sz w:val="21"/>
          <w:szCs w:val="21"/>
        </w:rPr>
        <w:t xml:space="preserve">甲方：                             乙方：                          </w:t>
      </w:r>
    </w:p>
    <w:p w14:paraId="1D3FE629">
      <w:pPr>
        <w:pStyle w:val="13"/>
        <w:snapToGrid w:val="0"/>
        <w:spacing w:before="120" w:line="360" w:lineRule="auto"/>
        <w:ind w:firstLine="420" w:firstLineChars="200"/>
        <w:rPr>
          <w:rFonts w:hint="eastAsia" w:hAnsi="宋体" w:eastAsia="宋体"/>
          <w:sz w:val="21"/>
          <w:szCs w:val="21"/>
        </w:rPr>
      </w:pPr>
      <w:r>
        <w:rPr>
          <w:rFonts w:hint="eastAsia" w:hAnsi="宋体" w:eastAsia="宋体"/>
          <w:sz w:val="21"/>
          <w:szCs w:val="21"/>
        </w:rPr>
        <w:t xml:space="preserve"> 地址：                             地址：                                    </w:t>
      </w:r>
    </w:p>
    <w:p w14:paraId="1A48C30C">
      <w:pPr>
        <w:pStyle w:val="13"/>
        <w:snapToGrid w:val="0"/>
        <w:spacing w:before="120" w:line="360" w:lineRule="auto"/>
        <w:ind w:firstLine="420" w:firstLineChars="200"/>
        <w:rPr>
          <w:rFonts w:hint="eastAsia" w:hAnsi="宋体" w:eastAsia="宋体"/>
          <w:sz w:val="21"/>
          <w:szCs w:val="21"/>
        </w:rPr>
      </w:pPr>
      <w:r>
        <w:rPr>
          <w:rFonts w:hint="eastAsia" w:hAnsi="宋体" w:eastAsia="宋体"/>
          <w:sz w:val="21"/>
          <w:szCs w:val="21"/>
        </w:rPr>
        <w:t xml:space="preserve"> </w:t>
      </w:r>
      <w:r>
        <w:rPr>
          <w:rFonts w:hint="eastAsia" w:hAnsi="宋体" w:eastAsia="宋体"/>
          <w:sz w:val="21"/>
          <w:szCs w:val="21"/>
          <w:lang w:eastAsia="zh-CN"/>
        </w:rPr>
        <w:t>法定代表人（或单位负责人）</w:t>
      </w:r>
      <w:r>
        <w:rPr>
          <w:rFonts w:hint="eastAsia" w:hAnsi="宋体" w:eastAsia="宋体"/>
          <w:sz w:val="21"/>
          <w:szCs w:val="21"/>
        </w:rPr>
        <w:t xml:space="preserve">：       </w:t>
      </w:r>
      <w:r>
        <w:rPr>
          <w:rFonts w:hint="eastAsia" w:hAnsi="宋体" w:eastAsia="宋体"/>
          <w:sz w:val="21"/>
          <w:szCs w:val="21"/>
          <w:lang w:eastAsia="zh-CN"/>
        </w:rPr>
        <w:t>法定代表人（或单位负责人）</w:t>
      </w:r>
      <w:r>
        <w:rPr>
          <w:rFonts w:hint="eastAsia" w:hAnsi="宋体" w:eastAsia="宋体"/>
          <w:sz w:val="21"/>
          <w:szCs w:val="21"/>
        </w:rPr>
        <w:t>：</w:t>
      </w:r>
    </w:p>
    <w:p w14:paraId="7A0D2802">
      <w:pPr>
        <w:pStyle w:val="13"/>
        <w:snapToGrid w:val="0"/>
        <w:spacing w:before="120" w:line="360" w:lineRule="auto"/>
        <w:ind w:firstLine="525" w:firstLineChars="250"/>
        <w:rPr>
          <w:rFonts w:hint="eastAsia" w:ascii="宋体" w:hAnsi="宋体"/>
          <w:b/>
          <w:color w:val="000000"/>
          <w:spacing w:val="4"/>
          <w:sz w:val="30"/>
          <w:szCs w:val="30"/>
        </w:rPr>
      </w:pPr>
      <w:r>
        <w:rPr>
          <w:rFonts w:hint="eastAsia" w:hAnsi="宋体" w:eastAsia="宋体"/>
          <w:sz w:val="21"/>
          <w:szCs w:val="21"/>
        </w:rPr>
        <w:t>签订日期：   年  月  日            签订日期：   年  月  日</w:t>
      </w:r>
    </w:p>
    <w:p w14:paraId="163F3B87">
      <w:pPr>
        <w:spacing w:line="500" w:lineRule="exact"/>
        <w:rPr>
          <w:rFonts w:hint="eastAsia" w:ascii="宋体" w:hAnsi="宋体"/>
          <w:szCs w:val="20"/>
        </w:rPr>
      </w:pPr>
    </w:p>
    <w:p w14:paraId="37BF1948">
      <w:pPr>
        <w:widowControl/>
        <w:jc w:val="left"/>
        <w:rPr>
          <w:rFonts w:ascii="宋体" w:hAnsi="宋体" w:cs="宋体"/>
          <w:b/>
          <w:sz w:val="28"/>
          <w:szCs w:val="28"/>
        </w:rPr>
      </w:pPr>
      <w:r>
        <w:rPr>
          <w:rFonts w:ascii="宋体" w:hAnsi="宋体" w:cs="宋体"/>
          <w:b/>
          <w:sz w:val="28"/>
          <w:szCs w:val="28"/>
        </w:rPr>
        <w:br w:type="page"/>
      </w:r>
    </w:p>
    <w:p w14:paraId="528C4A82">
      <w:pPr>
        <w:snapToGrid w:val="0"/>
        <w:spacing w:line="360" w:lineRule="auto"/>
        <w:jc w:val="center"/>
        <w:outlineLvl w:val="0"/>
        <w:rPr>
          <w:rFonts w:ascii="宋体" w:hAnsi="宋体" w:cs="宋体"/>
          <w:b/>
          <w:sz w:val="28"/>
          <w:szCs w:val="28"/>
        </w:rPr>
      </w:pPr>
      <w:r>
        <w:rPr>
          <w:rFonts w:hint="eastAsia" w:ascii="宋体" w:hAnsi="宋体" w:cs="宋体"/>
          <w:b/>
          <w:sz w:val="28"/>
          <w:szCs w:val="28"/>
        </w:rPr>
        <w:t>第六章  响应文件组成</w:t>
      </w:r>
    </w:p>
    <w:p w14:paraId="79E80323">
      <w:pPr>
        <w:snapToGrid w:val="0"/>
        <w:spacing w:line="360" w:lineRule="auto"/>
        <w:ind w:firstLine="422" w:firstLineChars="200"/>
        <w:rPr>
          <w:rFonts w:ascii="宋体" w:hAnsi="宋体" w:cs="宋体"/>
          <w:b/>
          <w:szCs w:val="21"/>
        </w:rPr>
      </w:pPr>
      <w:r>
        <w:rPr>
          <w:rFonts w:hint="eastAsia" w:ascii="宋体" w:hAnsi="宋体" w:cs="宋体"/>
          <w:b/>
          <w:szCs w:val="21"/>
        </w:rPr>
        <w:t>响应文件由磋商报价文件、资格证明文件、商务技术文件组成。响应文件中涉及的有关内容均须提供合法有效的证明材料复印件。（复印件未加盖公章作无效处理，特别注明的除外，有▲标识的条款为必须提交的资料）</w:t>
      </w:r>
    </w:p>
    <w:p w14:paraId="1DD0D8AC">
      <w:pPr>
        <w:snapToGrid w:val="0"/>
        <w:spacing w:line="360" w:lineRule="auto"/>
        <w:rPr>
          <w:rFonts w:ascii="宋体" w:hAnsi="宋体" w:cs="宋体"/>
          <w:b/>
          <w:szCs w:val="21"/>
        </w:rPr>
      </w:pPr>
      <w:r>
        <w:rPr>
          <w:rFonts w:hint="eastAsia" w:ascii="宋体" w:hAnsi="宋体" w:cs="宋体"/>
          <w:b/>
          <w:szCs w:val="21"/>
        </w:rPr>
        <w:t>1、磋商报价文件部分</w:t>
      </w:r>
    </w:p>
    <w:p w14:paraId="73298754">
      <w:pPr>
        <w:snapToGrid w:val="0"/>
        <w:spacing w:line="360" w:lineRule="auto"/>
        <w:ind w:firstLine="422" w:firstLineChars="200"/>
        <w:rPr>
          <w:rFonts w:hint="eastAsia" w:ascii="宋体" w:hAnsi="宋体" w:cs="宋体"/>
          <w:b/>
          <w:szCs w:val="21"/>
        </w:rPr>
      </w:pPr>
      <w:r>
        <w:rPr>
          <w:rFonts w:hint="eastAsia" w:ascii="宋体" w:hAnsi="宋体" w:cs="宋体"/>
          <w:b/>
          <w:szCs w:val="21"/>
        </w:rPr>
        <w:t>▲1.1开标一览表（格式一）。</w:t>
      </w:r>
    </w:p>
    <w:p w14:paraId="1F368F80">
      <w:pPr>
        <w:snapToGrid w:val="0"/>
        <w:spacing w:line="360" w:lineRule="auto"/>
        <w:ind w:firstLine="422" w:firstLineChars="200"/>
        <w:rPr>
          <w:rFonts w:ascii="宋体" w:hAnsi="宋体" w:cs="宋体"/>
          <w:b/>
          <w:szCs w:val="21"/>
        </w:rPr>
      </w:pPr>
      <w:r>
        <w:rPr>
          <w:rFonts w:hint="eastAsia" w:ascii="宋体" w:hAnsi="宋体" w:cs="宋体"/>
          <w:b/>
          <w:szCs w:val="21"/>
        </w:rPr>
        <w:t>▲1.</w:t>
      </w:r>
      <w:r>
        <w:rPr>
          <w:rFonts w:hint="eastAsia" w:ascii="宋体" w:hAnsi="宋体" w:cs="宋体"/>
          <w:b/>
          <w:szCs w:val="21"/>
          <w:lang w:val="en-US" w:eastAsia="zh-CN"/>
        </w:rPr>
        <w:t>2报价明细表</w:t>
      </w:r>
      <w:r>
        <w:rPr>
          <w:rFonts w:hint="eastAsia" w:ascii="宋体" w:hAnsi="宋体" w:cs="宋体"/>
          <w:b/>
          <w:szCs w:val="21"/>
        </w:rPr>
        <w:t>（格式</w:t>
      </w:r>
      <w:r>
        <w:rPr>
          <w:rFonts w:hint="eastAsia" w:ascii="宋体" w:hAnsi="宋体" w:cs="宋体"/>
          <w:b/>
          <w:szCs w:val="21"/>
          <w:lang w:val="en-US" w:eastAsia="zh-CN"/>
        </w:rPr>
        <w:t>二</w:t>
      </w:r>
      <w:r>
        <w:rPr>
          <w:rFonts w:hint="eastAsia" w:ascii="宋体" w:hAnsi="宋体" w:cs="宋体"/>
          <w:b/>
          <w:szCs w:val="21"/>
        </w:rPr>
        <w:t>）。</w:t>
      </w:r>
    </w:p>
    <w:p w14:paraId="3D31A0C5">
      <w:pPr>
        <w:snapToGrid w:val="0"/>
        <w:spacing w:line="360" w:lineRule="auto"/>
        <w:rPr>
          <w:rFonts w:ascii="宋体" w:hAnsi="宋体" w:cs="宋体"/>
          <w:b/>
          <w:szCs w:val="21"/>
        </w:rPr>
      </w:pPr>
      <w:r>
        <w:rPr>
          <w:rFonts w:hint="eastAsia" w:ascii="宋体" w:hAnsi="宋体" w:cs="宋体"/>
          <w:b/>
          <w:szCs w:val="21"/>
        </w:rPr>
        <w:t>▲2、资格证明文件部分</w:t>
      </w:r>
    </w:p>
    <w:p w14:paraId="29ADAC62">
      <w:pPr>
        <w:snapToGrid w:val="0"/>
        <w:spacing w:line="360" w:lineRule="auto"/>
        <w:ind w:firstLine="422" w:firstLineChars="200"/>
        <w:rPr>
          <w:rFonts w:hint="eastAsia" w:ascii="宋体" w:hAnsi="宋体" w:cs="宋体"/>
          <w:b/>
          <w:szCs w:val="21"/>
          <w:lang w:val="en-US" w:eastAsia="zh-CN"/>
        </w:rPr>
      </w:pPr>
      <w:r>
        <w:rPr>
          <w:rFonts w:hint="eastAsia" w:ascii="宋体" w:hAnsi="宋体" w:cs="宋体"/>
          <w:b/>
          <w:szCs w:val="21"/>
          <w:lang w:val="en-US" w:eastAsia="zh-CN"/>
        </w:rPr>
        <w:t>2.1享受</w:t>
      </w:r>
      <w:r>
        <w:rPr>
          <w:rFonts w:hint="eastAsia" w:ascii="宋体" w:hAnsi="宋体" w:cs="宋体"/>
          <w:b/>
          <w:szCs w:val="21"/>
        </w:rPr>
        <w:t>中小企业政策扶持</w:t>
      </w:r>
      <w:r>
        <w:rPr>
          <w:rFonts w:hint="eastAsia" w:ascii="宋体" w:hAnsi="宋体" w:cs="宋体"/>
          <w:b/>
          <w:szCs w:val="21"/>
          <w:lang w:val="en-US" w:eastAsia="zh-CN"/>
        </w:rPr>
        <w:t>的相关证明文件（三选一）：</w:t>
      </w:r>
    </w:p>
    <w:p w14:paraId="07FC2194">
      <w:pPr>
        <w:snapToGrid w:val="0"/>
        <w:spacing w:line="360" w:lineRule="auto"/>
        <w:ind w:firstLine="420" w:firstLineChars="200"/>
        <w:rPr>
          <w:rFonts w:hint="eastAsia" w:ascii="宋体" w:hAnsi="宋体" w:cs="宋体"/>
          <w:b w:val="0"/>
          <w:bCs/>
          <w:szCs w:val="21"/>
          <w:lang w:val="en-US" w:eastAsia="zh-CN"/>
        </w:rPr>
      </w:pPr>
      <w:r>
        <w:rPr>
          <w:rFonts w:hint="eastAsia" w:ascii="宋体" w:hAnsi="宋体" w:cs="宋体"/>
          <w:b w:val="0"/>
          <w:bCs/>
          <w:szCs w:val="21"/>
          <w:lang w:val="en-US" w:eastAsia="zh-CN"/>
        </w:rPr>
        <w:t>①中小企业提供中小企业声明函（格式三）；</w:t>
      </w:r>
    </w:p>
    <w:p w14:paraId="6DA40147">
      <w:pPr>
        <w:snapToGrid w:val="0"/>
        <w:spacing w:line="360" w:lineRule="auto"/>
        <w:ind w:firstLine="420" w:firstLineChars="200"/>
        <w:rPr>
          <w:rFonts w:hint="eastAsia" w:ascii="宋体" w:hAnsi="宋体" w:cs="宋体"/>
          <w:b w:val="0"/>
          <w:bCs/>
          <w:szCs w:val="21"/>
          <w:lang w:val="en-US" w:eastAsia="zh-CN"/>
        </w:rPr>
      </w:pPr>
      <w:r>
        <w:rPr>
          <w:rFonts w:hint="eastAsia" w:ascii="宋体" w:hAnsi="宋体" w:cs="宋体"/>
          <w:b w:val="0"/>
          <w:bCs/>
          <w:szCs w:val="21"/>
          <w:lang w:val="en-US" w:eastAsia="zh-CN"/>
        </w:rPr>
        <w:t>②监狱企业提供由省级以上监狱管理局、戒毒管理局（含新疆生产建设兵团）出具的属于监狱企业的证明文件；</w:t>
      </w:r>
    </w:p>
    <w:p w14:paraId="3BA24547">
      <w:pPr>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lang w:val="en-US" w:eastAsia="zh-CN"/>
        </w:rPr>
        <w:t>③残疾人福利性单位提供残疾人福利性单位声明函（格式四）。</w:t>
      </w:r>
    </w:p>
    <w:p w14:paraId="4F480345">
      <w:pPr>
        <w:snapToGrid w:val="0"/>
        <w:spacing w:line="360" w:lineRule="auto"/>
        <w:ind w:firstLine="422" w:firstLineChars="200"/>
        <w:rPr>
          <w:rFonts w:ascii="宋体" w:hAnsi="宋体" w:cs="宋体"/>
          <w:b/>
          <w:szCs w:val="21"/>
        </w:rPr>
      </w:pPr>
      <w:r>
        <w:rPr>
          <w:rFonts w:hint="eastAsia" w:ascii="宋体" w:hAnsi="宋体" w:cs="宋体"/>
          <w:b/>
          <w:szCs w:val="21"/>
        </w:rPr>
        <w:t>2.</w:t>
      </w:r>
      <w:r>
        <w:rPr>
          <w:rFonts w:hint="eastAsia" w:ascii="宋体" w:hAnsi="宋体" w:cs="宋体"/>
          <w:b/>
          <w:szCs w:val="21"/>
          <w:lang w:val="en-US" w:eastAsia="zh-CN"/>
        </w:rPr>
        <w:t>2</w:t>
      </w:r>
      <w:r>
        <w:rPr>
          <w:rFonts w:hint="eastAsia" w:ascii="宋体" w:hAnsi="宋体" w:cs="宋体"/>
          <w:b/>
          <w:szCs w:val="21"/>
        </w:rPr>
        <w:t>具有独立承担民事责任的能力的证明材料（五选一）：</w:t>
      </w:r>
    </w:p>
    <w:p w14:paraId="5907D290">
      <w:pPr>
        <w:snapToGrid w:val="0"/>
        <w:spacing w:line="360" w:lineRule="auto"/>
        <w:ind w:firstLine="420" w:firstLineChars="200"/>
        <w:rPr>
          <w:rFonts w:ascii="宋体" w:hAnsi="宋体" w:cs="宋体"/>
          <w:b w:val="0"/>
          <w:bCs/>
          <w:szCs w:val="21"/>
        </w:rPr>
      </w:pPr>
      <w:r>
        <w:rPr>
          <w:rFonts w:hint="eastAsia" w:ascii="宋体" w:hAnsi="宋体" w:cs="宋体"/>
          <w:b w:val="0"/>
          <w:bCs/>
          <w:szCs w:val="21"/>
          <w:lang w:val="en-US" w:eastAsia="zh-CN"/>
        </w:rPr>
        <w:t>①</w:t>
      </w:r>
      <w:r>
        <w:rPr>
          <w:rFonts w:hint="eastAsia" w:ascii="宋体" w:hAnsi="宋体" w:cs="宋体"/>
          <w:b w:val="0"/>
          <w:bCs/>
          <w:szCs w:val="21"/>
        </w:rPr>
        <w:t>如响应人是企业（包括合伙企业），提供在工商部门注册的有效“企业法人营业执照”或“营业执照”；</w:t>
      </w:r>
    </w:p>
    <w:p w14:paraId="6EFA1F39">
      <w:pPr>
        <w:snapToGrid w:val="0"/>
        <w:spacing w:line="360" w:lineRule="auto"/>
        <w:ind w:firstLine="420" w:firstLineChars="200"/>
        <w:rPr>
          <w:rFonts w:ascii="宋体" w:hAnsi="宋体" w:cs="宋体"/>
          <w:b w:val="0"/>
          <w:bCs/>
          <w:szCs w:val="21"/>
        </w:rPr>
      </w:pPr>
      <w:r>
        <w:rPr>
          <w:rFonts w:hint="eastAsia" w:ascii="宋体" w:hAnsi="宋体" w:cs="宋体"/>
          <w:b w:val="0"/>
          <w:bCs/>
          <w:szCs w:val="21"/>
          <w:lang w:val="en-US" w:eastAsia="zh-CN"/>
        </w:rPr>
        <w:t>②</w:t>
      </w:r>
      <w:r>
        <w:rPr>
          <w:rFonts w:hint="eastAsia" w:ascii="宋体" w:hAnsi="宋体" w:cs="宋体"/>
          <w:b w:val="0"/>
          <w:bCs/>
          <w:szCs w:val="21"/>
        </w:rPr>
        <w:t>如响应人是事业单位， 提供有效的“事业单位法人证书”；</w:t>
      </w:r>
    </w:p>
    <w:p w14:paraId="07747946">
      <w:pPr>
        <w:snapToGrid w:val="0"/>
        <w:spacing w:line="360" w:lineRule="auto"/>
        <w:ind w:firstLine="420" w:firstLineChars="200"/>
        <w:rPr>
          <w:rFonts w:ascii="宋体" w:hAnsi="宋体" w:cs="宋体"/>
          <w:b w:val="0"/>
          <w:bCs/>
          <w:szCs w:val="21"/>
        </w:rPr>
      </w:pPr>
      <w:r>
        <w:rPr>
          <w:rFonts w:hint="eastAsia" w:ascii="宋体" w:hAnsi="宋体" w:cs="宋体"/>
          <w:b w:val="0"/>
          <w:bCs/>
          <w:szCs w:val="21"/>
          <w:lang w:val="en-US" w:eastAsia="zh-CN"/>
        </w:rPr>
        <w:t>③</w:t>
      </w:r>
      <w:r>
        <w:rPr>
          <w:rFonts w:hint="eastAsia" w:ascii="宋体" w:hAnsi="宋体" w:cs="宋体"/>
          <w:b w:val="0"/>
          <w:bCs/>
          <w:szCs w:val="21"/>
        </w:rPr>
        <w:t>如响应人是非企业专业服务机构的，提供执业许可证等证明文件等证明文件；</w:t>
      </w:r>
    </w:p>
    <w:p w14:paraId="628E1937">
      <w:pPr>
        <w:snapToGrid w:val="0"/>
        <w:spacing w:line="360" w:lineRule="auto"/>
        <w:ind w:firstLine="420" w:firstLineChars="200"/>
        <w:rPr>
          <w:rFonts w:ascii="宋体" w:hAnsi="宋体" w:cs="宋体"/>
          <w:b w:val="0"/>
          <w:bCs/>
          <w:szCs w:val="21"/>
        </w:rPr>
      </w:pPr>
      <w:r>
        <w:rPr>
          <w:rFonts w:hint="eastAsia" w:ascii="宋体" w:hAnsi="宋体" w:cs="宋体"/>
          <w:b w:val="0"/>
          <w:bCs/>
          <w:szCs w:val="21"/>
          <w:lang w:val="en-US" w:eastAsia="zh-CN"/>
        </w:rPr>
        <w:t>④</w:t>
      </w:r>
      <w:r>
        <w:rPr>
          <w:rFonts w:hint="eastAsia" w:ascii="宋体" w:hAnsi="宋体" w:cs="宋体"/>
          <w:b w:val="0"/>
          <w:bCs/>
          <w:szCs w:val="21"/>
        </w:rPr>
        <w:t>如响应人是个体工商户，提供有效的“个体工商户营业执照”；</w:t>
      </w:r>
    </w:p>
    <w:p w14:paraId="190BFED6">
      <w:pPr>
        <w:snapToGrid w:val="0"/>
        <w:spacing w:line="360" w:lineRule="auto"/>
        <w:ind w:firstLine="420" w:firstLineChars="200"/>
        <w:rPr>
          <w:rFonts w:ascii="宋体" w:hAnsi="宋体" w:cs="宋体"/>
          <w:b w:val="0"/>
          <w:bCs/>
          <w:szCs w:val="21"/>
        </w:rPr>
      </w:pPr>
      <w:r>
        <w:rPr>
          <w:rFonts w:hint="eastAsia" w:ascii="宋体" w:hAnsi="宋体" w:cs="宋体"/>
          <w:b w:val="0"/>
          <w:bCs/>
          <w:szCs w:val="21"/>
          <w:lang w:val="en-US" w:eastAsia="zh-CN"/>
        </w:rPr>
        <w:t>⑤</w:t>
      </w:r>
      <w:r>
        <w:rPr>
          <w:rFonts w:hint="eastAsia" w:ascii="宋体" w:hAnsi="宋体" w:cs="宋体"/>
          <w:b w:val="0"/>
          <w:bCs/>
          <w:szCs w:val="21"/>
        </w:rPr>
        <w:t>如响应人是自然人，提供有效的自然人身份证明（居民身份证正反面或公安机关出具的临时居民身份证正反面或港澳台胞证或证照）。</w:t>
      </w:r>
    </w:p>
    <w:p w14:paraId="71823F90">
      <w:pPr>
        <w:snapToGrid w:val="0"/>
        <w:spacing w:line="360" w:lineRule="auto"/>
        <w:ind w:firstLine="422" w:firstLineChars="200"/>
        <w:rPr>
          <w:rFonts w:ascii="宋体" w:hAnsi="宋体" w:cs="宋体"/>
          <w:b/>
          <w:szCs w:val="21"/>
        </w:rPr>
      </w:pPr>
      <w:r>
        <w:rPr>
          <w:rFonts w:hint="eastAsia" w:ascii="宋体" w:hAnsi="宋体" w:cs="宋体"/>
          <w:b/>
          <w:szCs w:val="21"/>
        </w:rPr>
        <w:t>2.</w:t>
      </w:r>
      <w:r>
        <w:rPr>
          <w:rFonts w:hint="eastAsia" w:ascii="宋体" w:hAnsi="宋体" w:cs="宋体"/>
          <w:b/>
          <w:szCs w:val="21"/>
          <w:lang w:val="en-US" w:eastAsia="zh-CN"/>
        </w:rPr>
        <w:t>3</w:t>
      </w:r>
      <w:r>
        <w:rPr>
          <w:rFonts w:hint="eastAsia" w:ascii="宋体" w:hAnsi="宋体" w:cs="宋体"/>
          <w:b/>
          <w:szCs w:val="21"/>
        </w:rPr>
        <w:t>响应人</w:t>
      </w:r>
      <w:r>
        <w:rPr>
          <w:rFonts w:hint="eastAsia" w:ascii="宋体" w:hAnsi="宋体" w:cs="宋体"/>
          <w:b/>
          <w:szCs w:val="21"/>
          <w:lang w:eastAsia="zh-CN"/>
        </w:rPr>
        <w:t>法定代表人（或单位负责人）</w:t>
      </w:r>
      <w:r>
        <w:rPr>
          <w:rFonts w:hint="eastAsia" w:ascii="宋体" w:hAnsi="宋体" w:cs="宋体"/>
          <w:b/>
          <w:szCs w:val="21"/>
        </w:rPr>
        <w:t>身份证复印件。</w:t>
      </w:r>
    </w:p>
    <w:p w14:paraId="09077A03">
      <w:pPr>
        <w:snapToGrid w:val="0"/>
        <w:spacing w:line="360" w:lineRule="auto"/>
        <w:ind w:firstLine="422" w:firstLineChars="200"/>
        <w:rPr>
          <w:rFonts w:ascii="宋体" w:hAnsi="宋体" w:cs="宋体"/>
          <w:b/>
          <w:szCs w:val="21"/>
        </w:rPr>
      </w:pPr>
      <w:r>
        <w:rPr>
          <w:rFonts w:hint="eastAsia" w:ascii="宋体" w:hAnsi="宋体" w:cs="宋体"/>
          <w:b/>
          <w:szCs w:val="21"/>
        </w:rPr>
        <w:t>2.</w:t>
      </w:r>
      <w:r>
        <w:rPr>
          <w:rFonts w:hint="eastAsia" w:ascii="宋体" w:hAnsi="宋体" w:cs="宋体"/>
          <w:b/>
          <w:szCs w:val="21"/>
          <w:lang w:val="en-US" w:eastAsia="zh-CN"/>
        </w:rPr>
        <w:t>4</w:t>
      </w:r>
      <w:r>
        <w:rPr>
          <w:rFonts w:hint="eastAsia" w:ascii="宋体" w:hAnsi="宋体" w:cs="宋体"/>
          <w:b/>
          <w:szCs w:val="21"/>
        </w:rPr>
        <w:t>响应函（格式</w:t>
      </w:r>
      <w:r>
        <w:rPr>
          <w:rFonts w:hint="eastAsia" w:ascii="宋体" w:hAnsi="宋体" w:cs="宋体"/>
          <w:b/>
          <w:szCs w:val="21"/>
          <w:lang w:val="en-US" w:eastAsia="zh-CN"/>
        </w:rPr>
        <w:t>五</w:t>
      </w:r>
      <w:r>
        <w:rPr>
          <w:rFonts w:hint="eastAsia" w:ascii="宋体" w:hAnsi="宋体" w:cs="宋体"/>
          <w:b/>
          <w:szCs w:val="21"/>
        </w:rPr>
        <w:t>）。</w:t>
      </w:r>
    </w:p>
    <w:p w14:paraId="4820F0E4">
      <w:pPr>
        <w:snapToGrid w:val="0"/>
        <w:spacing w:line="360" w:lineRule="auto"/>
        <w:ind w:firstLine="422" w:firstLineChars="200"/>
        <w:rPr>
          <w:rFonts w:ascii="宋体" w:hAnsi="宋体" w:cs="宋体"/>
          <w:b/>
          <w:szCs w:val="21"/>
        </w:rPr>
      </w:pPr>
      <w:r>
        <w:rPr>
          <w:rFonts w:hint="eastAsia" w:ascii="宋体" w:hAnsi="宋体" w:cs="宋体"/>
          <w:b/>
          <w:szCs w:val="21"/>
        </w:rPr>
        <w:t>2.</w:t>
      </w:r>
      <w:r>
        <w:rPr>
          <w:rFonts w:hint="eastAsia" w:ascii="宋体" w:hAnsi="宋体" w:cs="宋体"/>
          <w:b/>
          <w:szCs w:val="21"/>
          <w:lang w:val="en-US" w:eastAsia="zh-CN"/>
        </w:rPr>
        <w:t>5</w:t>
      </w:r>
      <w:r>
        <w:rPr>
          <w:rFonts w:hint="eastAsia" w:ascii="宋体" w:hAnsi="宋体" w:cs="宋体"/>
          <w:b/>
          <w:szCs w:val="21"/>
          <w:lang w:eastAsia="zh-CN"/>
        </w:rPr>
        <w:t>法定代表人（或单位负责人）</w:t>
      </w:r>
      <w:r>
        <w:rPr>
          <w:rFonts w:hint="eastAsia" w:ascii="宋体" w:hAnsi="宋体" w:cs="宋体"/>
          <w:b/>
          <w:szCs w:val="21"/>
        </w:rPr>
        <w:t>授权函，非</w:t>
      </w:r>
      <w:r>
        <w:rPr>
          <w:rFonts w:hint="eastAsia" w:ascii="宋体" w:hAnsi="宋体" w:cs="宋体"/>
          <w:b/>
          <w:szCs w:val="21"/>
          <w:lang w:eastAsia="zh-CN"/>
        </w:rPr>
        <w:t>法定代表人（或单位负责人）</w:t>
      </w:r>
      <w:r>
        <w:rPr>
          <w:rFonts w:hint="eastAsia" w:ascii="宋体" w:hAnsi="宋体" w:cs="宋体"/>
          <w:b/>
          <w:szCs w:val="21"/>
        </w:rPr>
        <w:t>参加磋商时提供（格式</w:t>
      </w:r>
      <w:r>
        <w:rPr>
          <w:rFonts w:hint="eastAsia" w:ascii="宋体" w:hAnsi="宋体" w:cs="宋体"/>
          <w:b/>
          <w:szCs w:val="21"/>
          <w:lang w:val="en-US" w:eastAsia="zh-CN"/>
        </w:rPr>
        <w:t>六</w:t>
      </w:r>
      <w:r>
        <w:rPr>
          <w:rFonts w:hint="eastAsia" w:ascii="宋体" w:hAnsi="宋体" w:cs="宋体"/>
          <w:b/>
          <w:szCs w:val="21"/>
        </w:rPr>
        <w:t>）。</w:t>
      </w:r>
    </w:p>
    <w:p w14:paraId="0A9BCDBE">
      <w:pPr>
        <w:snapToGrid w:val="0"/>
        <w:spacing w:line="360" w:lineRule="auto"/>
        <w:ind w:firstLine="422" w:firstLineChars="200"/>
        <w:rPr>
          <w:rFonts w:ascii="宋体" w:hAnsi="宋体" w:cs="宋体"/>
          <w:b/>
          <w:szCs w:val="21"/>
        </w:rPr>
      </w:pPr>
      <w:r>
        <w:rPr>
          <w:rFonts w:hint="eastAsia" w:ascii="宋体" w:hAnsi="宋体" w:cs="宋体"/>
          <w:b/>
          <w:szCs w:val="21"/>
        </w:rPr>
        <w:t>2.</w:t>
      </w:r>
      <w:r>
        <w:rPr>
          <w:rFonts w:hint="eastAsia" w:ascii="宋体" w:hAnsi="宋体" w:cs="宋体"/>
          <w:b/>
          <w:szCs w:val="21"/>
          <w:lang w:val="en-US" w:eastAsia="zh-CN"/>
        </w:rPr>
        <w:t>6</w:t>
      </w:r>
      <w:r>
        <w:rPr>
          <w:rFonts w:hint="eastAsia" w:ascii="宋体" w:hAnsi="宋体" w:cs="宋体"/>
          <w:b/>
          <w:szCs w:val="21"/>
        </w:rPr>
        <w:t>授权代表身份证复印件，非</w:t>
      </w:r>
      <w:r>
        <w:rPr>
          <w:rFonts w:hint="eastAsia" w:ascii="宋体" w:hAnsi="宋体" w:cs="宋体"/>
          <w:b/>
          <w:szCs w:val="21"/>
          <w:lang w:eastAsia="zh-CN"/>
        </w:rPr>
        <w:t>法定代表人（或单位负责人）</w:t>
      </w:r>
      <w:r>
        <w:rPr>
          <w:rFonts w:hint="eastAsia" w:ascii="宋体" w:hAnsi="宋体" w:cs="宋体"/>
          <w:b/>
          <w:szCs w:val="21"/>
        </w:rPr>
        <w:t>参加磋商时提供</w:t>
      </w:r>
      <w:r>
        <w:rPr>
          <w:rFonts w:ascii="宋体" w:hAnsi="宋体" w:cs="宋体"/>
          <w:b/>
          <w:szCs w:val="21"/>
        </w:rPr>
        <w:t>。</w:t>
      </w:r>
    </w:p>
    <w:p w14:paraId="4F78FF5C">
      <w:pPr>
        <w:snapToGrid w:val="0"/>
        <w:spacing w:line="360" w:lineRule="auto"/>
        <w:rPr>
          <w:rFonts w:ascii="宋体" w:hAnsi="宋体" w:cs="宋体"/>
          <w:b/>
          <w:szCs w:val="21"/>
        </w:rPr>
      </w:pPr>
      <w:r>
        <w:rPr>
          <w:rFonts w:hint="eastAsia" w:ascii="宋体" w:hAnsi="宋体" w:cs="宋体"/>
          <w:b/>
          <w:szCs w:val="21"/>
        </w:rPr>
        <w:t>3、商务技术文件部分</w:t>
      </w:r>
    </w:p>
    <w:p w14:paraId="20ADFB41">
      <w:pPr>
        <w:snapToGrid w:val="0"/>
        <w:spacing w:line="360" w:lineRule="auto"/>
        <w:ind w:firstLine="420" w:firstLineChars="200"/>
        <w:rPr>
          <w:rFonts w:ascii="宋体" w:hAnsi="宋体" w:cs="宋体"/>
        </w:rPr>
      </w:pPr>
      <w:r>
        <w:rPr>
          <w:rFonts w:hint="eastAsia" w:ascii="宋体" w:hAnsi="宋体" w:cs="宋体"/>
        </w:rPr>
        <w:t>3.1评分标准页码索引。</w:t>
      </w:r>
    </w:p>
    <w:p w14:paraId="67EAC265">
      <w:pPr>
        <w:snapToGrid w:val="0"/>
        <w:spacing w:line="360" w:lineRule="auto"/>
        <w:ind w:firstLine="420" w:firstLineChars="200"/>
        <w:rPr>
          <w:rFonts w:ascii="宋体" w:hAnsi="宋体" w:cs="宋体"/>
        </w:rPr>
      </w:pPr>
      <w:r>
        <w:rPr>
          <w:rFonts w:hint="eastAsia" w:ascii="宋体" w:hAnsi="宋体" w:cs="宋体"/>
        </w:rPr>
        <w:t>3.2响应人简介。</w:t>
      </w:r>
    </w:p>
    <w:p w14:paraId="7D39B80F">
      <w:pPr>
        <w:snapToGrid w:val="0"/>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w:t>
      </w:r>
      <w:r>
        <w:rPr>
          <w:rFonts w:hint="eastAsia" w:ascii="宋体" w:hAnsi="宋体" w:cs="宋体"/>
          <w:lang w:val="en-US" w:eastAsia="zh-CN"/>
        </w:rPr>
        <w:t>3</w:t>
      </w:r>
      <w:r>
        <w:rPr>
          <w:rFonts w:hint="eastAsia" w:ascii="宋体" w:hAnsi="宋体" w:cs="宋体"/>
        </w:rPr>
        <w:t>按评分标准依序提供相关材料、方案等。</w:t>
      </w:r>
    </w:p>
    <w:p w14:paraId="721C52C1">
      <w:pPr>
        <w:snapToGrid w:val="0"/>
        <w:spacing w:line="360" w:lineRule="auto"/>
        <w:ind w:firstLine="420" w:firstLineChars="200"/>
        <w:rPr>
          <w:rFonts w:ascii="宋体" w:hAnsi="宋体" w:cs="宋体"/>
        </w:rPr>
      </w:pPr>
      <w:r>
        <w:rPr>
          <w:rFonts w:hint="eastAsia" w:ascii="宋体" w:hAnsi="宋体" w:cs="宋体"/>
        </w:rPr>
        <w:t>3.</w:t>
      </w:r>
      <w:r>
        <w:rPr>
          <w:rFonts w:hint="eastAsia" w:ascii="宋体" w:hAnsi="宋体" w:cs="宋体"/>
          <w:lang w:val="en-US" w:eastAsia="zh-CN"/>
        </w:rPr>
        <w:t>4</w:t>
      </w:r>
      <w:r>
        <w:rPr>
          <w:rFonts w:hint="eastAsia" w:ascii="宋体" w:hAnsi="宋体" w:cs="宋体"/>
        </w:rPr>
        <w:t>本</w:t>
      </w:r>
      <w:r>
        <w:rPr>
          <w:rFonts w:hint="eastAsia" w:ascii="宋体" w:hAnsi="宋体" w:cs="宋体"/>
          <w:szCs w:val="21"/>
        </w:rPr>
        <w:t>磋商</w:t>
      </w:r>
      <w:r>
        <w:rPr>
          <w:rFonts w:hint="eastAsia" w:ascii="宋体" w:hAnsi="宋体" w:cs="宋体"/>
        </w:rPr>
        <w:t>文件要求提供的和响应人认为需要提供的其它说明和资料/文件。</w:t>
      </w:r>
    </w:p>
    <w:p w14:paraId="4FF84E1D">
      <w:pPr>
        <w:widowControl/>
        <w:jc w:val="left"/>
        <w:rPr>
          <w:rFonts w:ascii="宋体" w:hAnsi="宋体" w:cs="宋体"/>
        </w:rPr>
      </w:pPr>
      <w:r>
        <w:rPr>
          <w:rFonts w:ascii="宋体" w:hAnsi="宋体" w:cs="宋体"/>
        </w:rPr>
        <w:br w:type="page"/>
      </w:r>
    </w:p>
    <w:p w14:paraId="10368618">
      <w:pPr>
        <w:jc w:val="center"/>
        <w:rPr>
          <w:rFonts w:ascii="宋体" w:hAnsi="宋体" w:cs="宋体"/>
          <w:b/>
          <w:sz w:val="28"/>
          <w:szCs w:val="28"/>
        </w:rPr>
      </w:pPr>
      <w:r>
        <w:rPr>
          <w:rFonts w:hint="eastAsia"/>
          <w:b/>
          <w:bCs/>
          <w:sz w:val="24"/>
          <w:szCs w:val="24"/>
        </w:rPr>
        <w:t>响应文件格式</w:t>
      </w:r>
    </w:p>
    <w:p w14:paraId="2C81B919">
      <w:pPr>
        <w:snapToGrid w:val="0"/>
        <w:spacing w:before="50" w:after="50"/>
        <w:rPr>
          <w:rFonts w:ascii="宋体" w:hAnsi="宋体" w:cs="宋体"/>
          <w:b/>
          <w:spacing w:val="20"/>
          <w:szCs w:val="21"/>
        </w:rPr>
      </w:pPr>
      <w:r>
        <w:rPr>
          <w:rFonts w:hint="eastAsia" w:ascii="宋体" w:hAnsi="宋体" w:cs="宋体"/>
          <w:b/>
          <w:spacing w:val="20"/>
          <w:szCs w:val="21"/>
        </w:rPr>
        <w:t>格式一、开标一览表</w:t>
      </w:r>
    </w:p>
    <w:p w14:paraId="42EB1BBD">
      <w:pPr>
        <w:snapToGrid w:val="0"/>
        <w:spacing w:before="50" w:after="50"/>
        <w:rPr>
          <w:rFonts w:ascii="宋体" w:hAnsi="宋体" w:cs="宋体"/>
          <w:b/>
          <w:spacing w:val="20"/>
          <w:szCs w:val="21"/>
        </w:rPr>
      </w:pPr>
    </w:p>
    <w:tbl>
      <w:tblPr>
        <w:tblStyle w:val="27"/>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4"/>
        <w:gridCol w:w="7708"/>
      </w:tblGrid>
      <w:tr w14:paraId="7A4C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844" w:type="dxa"/>
            <w:vAlign w:val="center"/>
          </w:tcPr>
          <w:p w14:paraId="02E4EB92">
            <w:pPr>
              <w:jc w:val="center"/>
              <w:rPr>
                <w:rFonts w:hint="eastAsia" w:ascii="宋体" w:hAnsi="宋体" w:cs="??"/>
                <w:szCs w:val="21"/>
              </w:rPr>
            </w:pPr>
            <w:r>
              <w:rPr>
                <w:rFonts w:hint="eastAsia" w:ascii="宋体" w:hAnsi="宋体" w:cs="??"/>
                <w:szCs w:val="21"/>
              </w:rPr>
              <w:t>项目名称</w:t>
            </w:r>
          </w:p>
        </w:tc>
        <w:tc>
          <w:tcPr>
            <w:tcW w:w="7708" w:type="dxa"/>
            <w:vAlign w:val="center"/>
          </w:tcPr>
          <w:p w14:paraId="5BA3A254">
            <w:pPr>
              <w:jc w:val="center"/>
              <w:rPr>
                <w:rFonts w:hint="eastAsia" w:ascii="宋体" w:hAnsi="宋体" w:cs="??"/>
                <w:szCs w:val="21"/>
              </w:rPr>
            </w:pPr>
            <w:r>
              <w:rPr>
                <w:rFonts w:hint="eastAsia" w:ascii="宋体" w:hAnsi="宋体" w:eastAsia="宋体" w:cs="??"/>
                <w:szCs w:val="21"/>
              </w:rPr>
              <w:t>舟山市定海区应急管理局突发事件综合保险项目</w:t>
            </w:r>
          </w:p>
        </w:tc>
      </w:tr>
      <w:tr w14:paraId="2B8B2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844" w:type="dxa"/>
            <w:vAlign w:val="center"/>
          </w:tcPr>
          <w:p w14:paraId="60A9B62E">
            <w:pPr>
              <w:jc w:val="center"/>
              <w:rPr>
                <w:rFonts w:hint="eastAsia" w:ascii="宋体" w:hAnsi="宋体" w:cs="??"/>
                <w:szCs w:val="21"/>
              </w:rPr>
            </w:pPr>
            <w:r>
              <w:rPr>
                <w:rFonts w:hint="eastAsia" w:ascii="宋体" w:hAnsi="宋体" w:eastAsia="宋体" w:cs="??"/>
                <w:szCs w:val="21"/>
              </w:rPr>
              <w:t>项目编号</w:t>
            </w:r>
          </w:p>
        </w:tc>
        <w:tc>
          <w:tcPr>
            <w:tcW w:w="7708" w:type="dxa"/>
            <w:vAlign w:val="center"/>
          </w:tcPr>
          <w:p w14:paraId="7DA37638">
            <w:pPr>
              <w:jc w:val="center"/>
              <w:rPr>
                <w:rFonts w:ascii="宋体" w:hAnsi="宋体" w:cs="??"/>
                <w:szCs w:val="21"/>
              </w:rPr>
            </w:pPr>
            <w:r>
              <w:rPr>
                <w:rFonts w:hint="eastAsia" w:ascii="宋体" w:hAnsi="宋体" w:eastAsia="宋体" w:cs="??"/>
                <w:szCs w:val="21"/>
              </w:rPr>
              <w:t>ZJWSD—ZD（C）</w:t>
            </w:r>
            <w:r>
              <w:rPr>
                <w:rFonts w:hint="eastAsia" w:ascii="宋体" w:hAnsi="宋体" w:eastAsia="宋体" w:cs="??"/>
                <w:szCs w:val="21"/>
                <w:lang w:val="en-US" w:eastAsia="zh-CN"/>
              </w:rPr>
              <w:t>2403</w:t>
            </w:r>
            <w:r>
              <w:rPr>
                <w:rFonts w:hint="eastAsia" w:ascii="宋体" w:hAnsi="宋体" w:cs="??"/>
                <w:szCs w:val="21"/>
                <w:lang w:val="en-US" w:eastAsia="zh-CN"/>
              </w:rPr>
              <w:t>7</w:t>
            </w:r>
          </w:p>
        </w:tc>
      </w:tr>
      <w:tr w14:paraId="00BA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1844" w:type="dxa"/>
            <w:vAlign w:val="center"/>
          </w:tcPr>
          <w:p w14:paraId="1F3CD10F">
            <w:pPr>
              <w:jc w:val="center"/>
              <w:rPr>
                <w:rFonts w:hint="eastAsia" w:ascii="宋体" w:hAnsi="宋体" w:cs="??"/>
                <w:szCs w:val="21"/>
              </w:rPr>
            </w:pPr>
            <w:r>
              <w:rPr>
                <w:rFonts w:hint="eastAsia" w:ascii="宋体" w:hAnsi="宋体" w:cs="??"/>
                <w:szCs w:val="21"/>
              </w:rPr>
              <w:t>磋商总价（元）</w:t>
            </w:r>
          </w:p>
        </w:tc>
        <w:tc>
          <w:tcPr>
            <w:tcW w:w="7708" w:type="dxa"/>
            <w:vAlign w:val="center"/>
          </w:tcPr>
          <w:p w14:paraId="4971E3C5">
            <w:pPr>
              <w:jc w:val="center"/>
              <w:rPr>
                <w:rFonts w:hint="eastAsia" w:ascii="宋体" w:hAnsi="宋体" w:cs="??"/>
                <w:szCs w:val="21"/>
              </w:rPr>
            </w:pPr>
            <w:r>
              <w:rPr>
                <w:rFonts w:hint="eastAsia" w:ascii="宋体" w:hAnsi="宋体" w:cs="宋体"/>
                <w:szCs w:val="21"/>
              </w:rPr>
              <w:t>大写：                                    小写：</w:t>
            </w:r>
          </w:p>
        </w:tc>
      </w:tr>
    </w:tbl>
    <w:p w14:paraId="5504666A">
      <w:pPr>
        <w:spacing w:line="480" w:lineRule="auto"/>
        <w:rPr>
          <w:rFonts w:ascii="宋体" w:hAnsi="宋体" w:cs="宋体"/>
          <w:szCs w:val="21"/>
        </w:rPr>
      </w:pPr>
    </w:p>
    <w:p w14:paraId="0C3285DA"/>
    <w:p w14:paraId="08DE09BF">
      <w:pPr>
        <w:spacing w:line="480" w:lineRule="auto"/>
        <w:rPr>
          <w:rFonts w:ascii="宋体" w:hAnsi="宋体" w:cs="宋体"/>
          <w:szCs w:val="21"/>
        </w:rPr>
      </w:pPr>
      <w:r>
        <w:rPr>
          <w:rFonts w:hint="eastAsia" w:ascii="宋体" w:hAnsi="宋体" w:cs="宋体"/>
          <w:szCs w:val="21"/>
        </w:rPr>
        <w:t>响应人名称：</w:t>
      </w:r>
      <w:r>
        <w:rPr>
          <w:rFonts w:hint="eastAsia" w:ascii="宋体" w:hAnsi="宋体" w:cs="宋体"/>
          <w:szCs w:val="21"/>
          <w:u w:val="single"/>
        </w:rPr>
        <w:t xml:space="preserve">                </w:t>
      </w:r>
      <w:r>
        <w:rPr>
          <w:rFonts w:hint="eastAsia" w:ascii="宋体" w:hAnsi="宋体" w:cs="宋体"/>
          <w:szCs w:val="21"/>
        </w:rPr>
        <w:t xml:space="preserve">（加盖公章）  </w:t>
      </w:r>
    </w:p>
    <w:p w14:paraId="0D7CDF35">
      <w:pPr>
        <w:spacing w:line="480" w:lineRule="auto"/>
        <w:rPr>
          <w:rFonts w:ascii="宋体" w:hAnsi="宋体" w:cs="宋体"/>
          <w:szCs w:val="21"/>
        </w:rPr>
      </w:pPr>
      <w:r>
        <w:rPr>
          <w:rFonts w:hint="eastAsia" w:ascii="宋体" w:hAnsi="宋体" w:cs="宋体"/>
          <w:szCs w:val="21"/>
        </w:rPr>
        <w:t>响应人代表：</w:t>
      </w:r>
      <w:r>
        <w:rPr>
          <w:rFonts w:hint="eastAsia" w:ascii="宋体" w:hAnsi="宋体" w:cs="宋体"/>
          <w:szCs w:val="21"/>
          <w:u w:val="single"/>
        </w:rPr>
        <w:t xml:space="preserve">                </w:t>
      </w:r>
      <w:r>
        <w:rPr>
          <w:rFonts w:hint="eastAsia" w:ascii="宋体" w:hAnsi="宋体" w:cs="宋体"/>
          <w:szCs w:val="21"/>
        </w:rPr>
        <w:t>（签字）</w:t>
      </w:r>
    </w:p>
    <w:p w14:paraId="4EFC9EB4">
      <w:pPr>
        <w:spacing w:line="48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006EE59">
      <w:pPr>
        <w:widowControl/>
        <w:jc w:val="left"/>
        <w:rPr>
          <w:rFonts w:ascii="宋体" w:hAnsi="宋体" w:cs="宋体"/>
          <w:b/>
          <w:szCs w:val="21"/>
        </w:rPr>
      </w:pPr>
      <w:r>
        <w:rPr>
          <w:rFonts w:ascii="宋体" w:hAnsi="宋体" w:cs="宋体"/>
          <w:b/>
          <w:szCs w:val="21"/>
        </w:rPr>
        <w:br w:type="page"/>
      </w:r>
    </w:p>
    <w:p w14:paraId="7C69C279">
      <w:pPr>
        <w:snapToGrid w:val="0"/>
        <w:spacing w:before="50" w:after="50"/>
        <w:rPr>
          <w:rFonts w:ascii="宋体" w:hAnsi="宋体" w:cs="宋体"/>
          <w:b/>
          <w:spacing w:val="20"/>
          <w:szCs w:val="21"/>
        </w:rPr>
      </w:pPr>
      <w:r>
        <w:rPr>
          <w:rFonts w:hint="eastAsia" w:ascii="宋体" w:hAnsi="宋体" w:cs="宋体"/>
          <w:b/>
          <w:spacing w:val="20"/>
          <w:szCs w:val="21"/>
        </w:rPr>
        <w:t>格式</w:t>
      </w:r>
      <w:r>
        <w:rPr>
          <w:rFonts w:hint="eastAsia" w:ascii="宋体" w:hAnsi="宋体" w:cs="宋体"/>
          <w:b/>
          <w:spacing w:val="20"/>
          <w:szCs w:val="21"/>
          <w:lang w:val="en-US" w:eastAsia="zh-CN"/>
        </w:rPr>
        <w:t>二</w:t>
      </w:r>
      <w:r>
        <w:rPr>
          <w:rFonts w:hint="eastAsia" w:ascii="宋体" w:hAnsi="宋体" w:cs="宋体"/>
          <w:b/>
          <w:spacing w:val="20"/>
          <w:szCs w:val="21"/>
        </w:rPr>
        <w:t>、</w:t>
      </w:r>
      <w:r>
        <w:rPr>
          <w:rFonts w:hint="eastAsia" w:ascii="宋体" w:hAnsi="宋体" w:cs="宋体"/>
          <w:b/>
          <w:spacing w:val="20"/>
          <w:szCs w:val="21"/>
          <w:lang w:val="en-US" w:eastAsia="zh-CN"/>
        </w:rPr>
        <w:t>报价明细表</w:t>
      </w:r>
    </w:p>
    <w:p w14:paraId="78CFC0B1">
      <w:pPr>
        <w:snapToGrid w:val="0"/>
        <w:spacing w:before="50" w:after="50"/>
        <w:rPr>
          <w:rFonts w:ascii="宋体" w:hAnsi="宋体" w:cs="宋体"/>
          <w:b/>
          <w:spacing w:val="20"/>
          <w:szCs w:val="21"/>
        </w:rPr>
      </w:pPr>
    </w:p>
    <w:tbl>
      <w:tblPr>
        <w:tblStyle w:val="28"/>
        <w:tblW w:w="9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1627"/>
        <w:gridCol w:w="1627"/>
        <w:gridCol w:w="1627"/>
        <w:gridCol w:w="1628"/>
        <w:gridCol w:w="1628"/>
      </w:tblGrid>
      <w:tr w14:paraId="25C6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627" w:type="dxa"/>
            <w:vAlign w:val="center"/>
          </w:tcPr>
          <w:p w14:paraId="6792A4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序号</w:t>
            </w:r>
          </w:p>
        </w:tc>
        <w:tc>
          <w:tcPr>
            <w:tcW w:w="1627" w:type="dxa"/>
            <w:vAlign w:val="center"/>
          </w:tcPr>
          <w:p w14:paraId="2D6248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内容</w:t>
            </w:r>
          </w:p>
        </w:tc>
        <w:tc>
          <w:tcPr>
            <w:tcW w:w="1627" w:type="dxa"/>
            <w:vAlign w:val="center"/>
          </w:tcPr>
          <w:p w14:paraId="06DB5D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数量</w:t>
            </w:r>
          </w:p>
        </w:tc>
        <w:tc>
          <w:tcPr>
            <w:tcW w:w="1627" w:type="dxa"/>
            <w:vAlign w:val="center"/>
          </w:tcPr>
          <w:p w14:paraId="24EFB0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单位</w:t>
            </w:r>
          </w:p>
        </w:tc>
        <w:tc>
          <w:tcPr>
            <w:tcW w:w="1628" w:type="dxa"/>
            <w:vAlign w:val="center"/>
          </w:tcPr>
          <w:p w14:paraId="09A799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单价（元）</w:t>
            </w:r>
          </w:p>
        </w:tc>
        <w:tc>
          <w:tcPr>
            <w:tcW w:w="1628" w:type="dxa"/>
            <w:vAlign w:val="center"/>
          </w:tcPr>
          <w:p w14:paraId="73C5BB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合价（元）</w:t>
            </w:r>
          </w:p>
        </w:tc>
      </w:tr>
      <w:tr w14:paraId="4DCE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27" w:type="dxa"/>
            <w:vAlign w:val="center"/>
          </w:tcPr>
          <w:p w14:paraId="15C0A2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sz w:val="21"/>
                <w:szCs w:val="21"/>
                <w:vertAlign w:val="baseline"/>
              </w:rPr>
            </w:pPr>
          </w:p>
        </w:tc>
        <w:tc>
          <w:tcPr>
            <w:tcW w:w="1627" w:type="dxa"/>
            <w:vAlign w:val="center"/>
          </w:tcPr>
          <w:p w14:paraId="05925A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sz w:val="21"/>
                <w:szCs w:val="21"/>
                <w:vertAlign w:val="baseline"/>
              </w:rPr>
            </w:pPr>
          </w:p>
        </w:tc>
        <w:tc>
          <w:tcPr>
            <w:tcW w:w="1627" w:type="dxa"/>
            <w:vAlign w:val="center"/>
          </w:tcPr>
          <w:p w14:paraId="7E9EFA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sz w:val="21"/>
                <w:szCs w:val="21"/>
                <w:vertAlign w:val="baseline"/>
              </w:rPr>
            </w:pPr>
          </w:p>
        </w:tc>
        <w:tc>
          <w:tcPr>
            <w:tcW w:w="1627" w:type="dxa"/>
            <w:vAlign w:val="center"/>
          </w:tcPr>
          <w:p w14:paraId="598F4B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sz w:val="21"/>
                <w:szCs w:val="21"/>
                <w:vertAlign w:val="baseline"/>
              </w:rPr>
            </w:pPr>
          </w:p>
        </w:tc>
        <w:tc>
          <w:tcPr>
            <w:tcW w:w="1628" w:type="dxa"/>
            <w:vAlign w:val="center"/>
          </w:tcPr>
          <w:p w14:paraId="118319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sz w:val="21"/>
                <w:szCs w:val="21"/>
                <w:vertAlign w:val="baseline"/>
              </w:rPr>
            </w:pPr>
          </w:p>
        </w:tc>
        <w:tc>
          <w:tcPr>
            <w:tcW w:w="1628" w:type="dxa"/>
            <w:vAlign w:val="center"/>
          </w:tcPr>
          <w:p w14:paraId="3D6E75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sz w:val="21"/>
                <w:szCs w:val="21"/>
                <w:vertAlign w:val="baseline"/>
              </w:rPr>
            </w:pPr>
          </w:p>
        </w:tc>
      </w:tr>
      <w:tr w14:paraId="2179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27" w:type="dxa"/>
            <w:vAlign w:val="center"/>
          </w:tcPr>
          <w:p w14:paraId="19DCDE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sz w:val="21"/>
                <w:szCs w:val="21"/>
                <w:vertAlign w:val="baseline"/>
              </w:rPr>
            </w:pPr>
          </w:p>
        </w:tc>
        <w:tc>
          <w:tcPr>
            <w:tcW w:w="1627" w:type="dxa"/>
            <w:vAlign w:val="center"/>
          </w:tcPr>
          <w:p w14:paraId="3EE434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sz w:val="21"/>
                <w:szCs w:val="21"/>
                <w:vertAlign w:val="baseline"/>
              </w:rPr>
            </w:pPr>
          </w:p>
        </w:tc>
        <w:tc>
          <w:tcPr>
            <w:tcW w:w="1627" w:type="dxa"/>
            <w:vAlign w:val="center"/>
          </w:tcPr>
          <w:p w14:paraId="2DE362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sz w:val="21"/>
                <w:szCs w:val="21"/>
                <w:vertAlign w:val="baseline"/>
              </w:rPr>
            </w:pPr>
          </w:p>
        </w:tc>
        <w:tc>
          <w:tcPr>
            <w:tcW w:w="1627" w:type="dxa"/>
            <w:vAlign w:val="center"/>
          </w:tcPr>
          <w:p w14:paraId="665898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sz w:val="21"/>
                <w:szCs w:val="21"/>
                <w:vertAlign w:val="baseline"/>
              </w:rPr>
            </w:pPr>
          </w:p>
        </w:tc>
        <w:tc>
          <w:tcPr>
            <w:tcW w:w="1628" w:type="dxa"/>
            <w:vAlign w:val="center"/>
          </w:tcPr>
          <w:p w14:paraId="2A13E9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sz w:val="21"/>
                <w:szCs w:val="21"/>
                <w:vertAlign w:val="baseline"/>
              </w:rPr>
            </w:pPr>
          </w:p>
        </w:tc>
        <w:tc>
          <w:tcPr>
            <w:tcW w:w="1628" w:type="dxa"/>
            <w:vAlign w:val="center"/>
          </w:tcPr>
          <w:p w14:paraId="0D7396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sz w:val="21"/>
                <w:szCs w:val="21"/>
                <w:vertAlign w:val="baseline"/>
              </w:rPr>
            </w:pPr>
          </w:p>
        </w:tc>
      </w:tr>
      <w:tr w14:paraId="128F8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27" w:type="dxa"/>
            <w:vAlign w:val="center"/>
          </w:tcPr>
          <w:p w14:paraId="42ED24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sz w:val="21"/>
                <w:szCs w:val="21"/>
                <w:vertAlign w:val="baseline"/>
              </w:rPr>
            </w:pPr>
          </w:p>
        </w:tc>
        <w:tc>
          <w:tcPr>
            <w:tcW w:w="1627" w:type="dxa"/>
            <w:vAlign w:val="center"/>
          </w:tcPr>
          <w:p w14:paraId="74707C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sz w:val="21"/>
                <w:szCs w:val="21"/>
                <w:vertAlign w:val="baseline"/>
              </w:rPr>
            </w:pPr>
          </w:p>
        </w:tc>
        <w:tc>
          <w:tcPr>
            <w:tcW w:w="1627" w:type="dxa"/>
            <w:vAlign w:val="center"/>
          </w:tcPr>
          <w:p w14:paraId="732699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sz w:val="21"/>
                <w:szCs w:val="21"/>
                <w:vertAlign w:val="baseline"/>
              </w:rPr>
            </w:pPr>
          </w:p>
        </w:tc>
        <w:tc>
          <w:tcPr>
            <w:tcW w:w="1627" w:type="dxa"/>
            <w:vAlign w:val="center"/>
          </w:tcPr>
          <w:p w14:paraId="0893FA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sz w:val="21"/>
                <w:szCs w:val="21"/>
                <w:vertAlign w:val="baseline"/>
              </w:rPr>
            </w:pPr>
          </w:p>
        </w:tc>
        <w:tc>
          <w:tcPr>
            <w:tcW w:w="1628" w:type="dxa"/>
            <w:vAlign w:val="center"/>
          </w:tcPr>
          <w:p w14:paraId="5F7210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sz w:val="21"/>
                <w:szCs w:val="21"/>
                <w:vertAlign w:val="baseline"/>
              </w:rPr>
            </w:pPr>
          </w:p>
        </w:tc>
        <w:tc>
          <w:tcPr>
            <w:tcW w:w="1628" w:type="dxa"/>
            <w:vAlign w:val="center"/>
          </w:tcPr>
          <w:p w14:paraId="319013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sz w:val="21"/>
                <w:szCs w:val="21"/>
                <w:vertAlign w:val="baseline"/>
              </w:rPr>
            </w:pPr>
          </w:p>
        </w:tc>
      </w:tr>
      <w:tr w14:paraId="5795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36" w:type="dxa"/>
            <w:gridSpan w:val="5"/>
            <w:vAlign w:val="center"/>
          </w:tcPr>
          <w:p w14:paraId="154755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sz w:val="21"/>
                <w:szCs w:val="21"/>
                <w:vertAlign w:val="baseline"/>
              </w:rPr>
            </w:pPr>
            <w:r>
              <w:rPr>
                <w:rFonts w:hint="eastAsia" w:ascii="宋体" w:hAnsi="宋体" w:cs="宋体"/>
                <w:b/>
                <w:bCs/>
                <w:sz w:val="21"/>
                <w:szCs w:val="21"/>
                <w:vertAlign w:val="baseline"/>
              </w:rPr>
              <w:t>磋商总价（元）</w:t>
            </w:r>
          </w:p>
        </w:tc>
        <w:tc>
          <w:tcPr>
            <w:tcW w:w="1628" w:type="dxa"/>
            <w:vAlign w:val="center"/>
          </w:tcPr>
          <w:p w14:paraId="303B33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sz w:val="21"/>
                <w:szCs w:val="21"/>
                <w:vertAlign w:val="baseline"/>
              </w:rPr>
            </w:pPr>
          </w:p>
        </w:tc>
      </w:tr>
    </w:tbl>
    <w:p w14:paraId="321BD3CF">
      <w:pPr>
        <w:spacing w:line="480" w:lineRule="auto"/>
        <w:rPr>
          <w:rFonts w:ascii="宋体" w:hAnsi="宋体" w:cs="宋体"/>
          <w:szCs w:val="21"/>
        </w:rPr>
      </w:pPr>
    </w:p>
    <w:p w14:paraId="771D57D7"/>
    <w:p w14:paraId="1F09BE2A">
      <w:pPr>
        <w:spacing w:line="480" w:lineRule="auto"/>
        <w:rPr>
          <w:rFonts w:ascii="宋体" w:hAnsi="宋体" w:cs="宋体"/>
          <w:szCs w:val="21"/>
        </w:rPr>
      </w:pPr>
      <w:r>
        <w:rPr>
          <w:rFonts w:hint="eastAsia" w:ascii="宋体" w:hAnsi="宋体" w:cs="宋体"/>
          <w:szCs w:val="21"/>
        </w:rPr>
        <w:t>响应人名称：</w:t>
      </w:r>
      <w:r>
        <w:rPr>
          <w:rFonts w:hint="eastAsia" w:ascii="宋体" w:hAnsi="宋体" w:cs="宋体"/>
          <w:szCs w:val="21"/>
          <w:u w:val="single"/>
        </w:rPr>
        <w:t xml:space="preserve">                </w:t>
      </w:r>
      <w:r>
        <w:rPr>
          <w:rFonts w:hint="eastAsia" w:ascii="宋体" w:hAnsi="宋体" w:cs="宋体"/>
          <w:szCs w:val="21"/>
        </w:rPr>
        <w:t xml:space="preserve">（加盖公章）  </w:t>
      </w:r>
    </w:p>
    <w:p w14:paraId="728EF582">
      <w:pPr>
        <w:spacing w:line="480" w:lineRule="auto"/>
        <w:rPr>
          <w:rFonts w:ascii="宋体" w:hAnsi="宋体" w:cs="宋体"/>
          <w:szCs w:val="21"/>
        </w:rPr>
      </w:pPr>
      <w:r>
        <w:rPr>
          <w:rFonts w:hint="eastAsia" w:ascii="宋体" w:hAnsi="宋体" w:cs="宋体"/>
          <w:szCs w:val="21"/>
        </w:rPr>
        <w:t>响应人代表：</w:t>
      </w:r>
      <w:r>
        <w:rPr>
          <w:rFonts w:hint="eastAsia" w:ascii="宋体" w:hAnsi="宋体" w:cs="宋体"/>
          <w:szCs w:val="21"/>
          <w:u w:val="single"/>
        </w:rPr>
        <w:t xml:space="preserve">                </w:t>
      </w:r>
      <w:r>
        <w:rPr>
          <w:rFonts w:hint="eastAsia" w:ascii="宋体" w:hAnsi="宋体" w:cs="宋体"/>
          <w:szCs w:val="21"/>
        </w:rPr>
        <w:t>（签字）</w:t>
      </w:r>
    </w:p>
    <w:p w14:paraId="2CD0190F">
      <w:pPr>
        <w:spacing w:line="48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DD6AE22">
      <w:pPr>
        <w:widowControl/>
        <w:jc w:val="left"/>
        <w:rPr>
          <w:rFonts w:ascii="宋体" w:hAnsi="宋体" w:cs="宋体"/>
          <w:b/>
          <w:szCs w:val="21"/>
        </w:rPr>
      </w:pPr>
      <w:r>
        <w:rPr>
          <w:rFonts w:ascii="宋体" w:hAnsi="宋体" w:cs="宋体"/>
          <w:b/>
          <w:szCs w:val="21"/>
        </w:rPr>
        <w:br w:type="page"/>
      </w:r>
    </w:p>
    <w:p w14:paraId="6EC7A9CD">
      <w:pPr>
        <w:snapToGrid w:val="0"/>
        <w:spacing w:before="50" w:after="156" w:afterLines="50"/>
        <w:jc w:val="left"/>
        <w:rPr>
          <w:rFonts w:ascii="宋体" w:hAnsi="宋体" w:cs="宋体"/>
          <w:b/>
          <w:szCs w:val="21"/>
        </w:rPr>
      </w:pPr>
      <w:r>
        <w:rPr>
          <w:rFonts w:hint="eastAsia" w:ascii="宋体" w:hAnsi="宋体" w:cs="宋体"/>
          <w:b/>
          <w:szCs w:val="21"/>
        </w:rPr>
        <w:t>格式</w:t>
      </w:r>
      <w:r>
        <w:rPr>
          <w:rFonts w:hint="eastAsia" w:ascii="宋体" w:hAnsi="宋体" w:cs="宋体"/>
          <w:b/>
          <w:szCs w:val="21"/>
          <w:lang w:val="en-US" w:eastAsia="zh-CN"/>
        </w:rPr>
        <w:t>三</w:t>
      </w:r>
      <w:r>
        <w:rPr>
          <w:rFonts w:hint="eastAsia" w:ascii="宋体" w:hAnsi="宋体" w:cs="宋体"/>
          <w:b/>
          <w:szCs w:val="21"/>
        </w:rPr>
        <w:t>、中小企业声明函</w:t>
      </w:r>
    </w:p>
    <w:p w14:paraId="2CC2AC11">
      <w:pPr>
        <w:widowControl/>
        <w:jc w:val="center"/>
        <w:rPr>
          <w:szCs w:val="21"/>
        </w:rPr>
      </w:pPr>
      <w:r>
        <w:rPr>
          <w:rFonts w:hint="eastAsia" w:ascii="宋体" w:hAnsi="宋体" w:cs="宋体"/>
          <w:b/>
          <w:kern w:val="0"/>
          <w:szCs w:val="21"/>
        </w:rPr>
        <w:t>中小企业声明函（服务）</w:t>
      </w:r>
    </w:p>
    <w:p w14:paraId="63432DF9">
      <w:pPr>
        <w:widowControl/>
        <w:spacing w:line="360" w:lineRule="auto"/>
        <w:ind w:firstLine="420" w:firstLineChars="200"/>
        <w:rPr>
          <w:rFonts w:ascii="宋体" w:hAnsi="宋体" w:cs="宋体"/>
          <w:szCs w:val="21"/>
        </w:rPr>
      </w:pPr>
      <w:r>
        <w:rPr>
          <w:rFonts w:hint="eastAsia" w:ascii="宋体" w:hAnsi="宋体" w:cs="宋体"/>
          <w:kern w:val="0"/>
          <w:szCs w:val="21"/>
        </w:rPr>
        <w:t>本公司郑重声明，根据《政府采购促进中小企业发展管理办法》（财库﹝2020﹞46 号）的规定，本公司参加</w:t>
      </w:r>
      <w:r>
        <w:rPr>
          <w:rFonts w:hint="eastAsia" w:ascii="宋体" w:hAnsi="宋体" w:cs="宋体"/>
          <w:i/>
          <w:kern w:val="0"/>
          <w:szCs w:val="21"/>
          <w:u w:val="single"/>
        </w:rPr>
        <w:t>（单位名称）</w:t>
      </w:r>
      <w:r>
        <w:rPr>
          <w:rFonts w:hint="eastAsia" w:ascii="宋体" w:hAnsi="宋体" w:cs="宋体"/>
          <w:kern w:val="0"/>
          <w:szCs w:val="21"/>
        </w:rPr>
        <w:t>的</w:t>
      </w:r>
      <w:r>
        <w:rPr>
          <w:rFonts w:hint="eastAsia" w:ascii="宋体" w:hAnsi="宋体" w:cs="宋体"/>
          <w:i/>
          <w:kern w:val="0"/>
          <w:szCs w:val="21"/>
          <w:u w:val="single"/>
        </w:rPr>
        <w:t>（项目名称）</w:t>
      </w:r>
      <w:r>
        <w:rPr>
          <w:rFonts w:hint="eastAsia" w:ascii="宋体" w:hAnsi="宋体" w:cs="宋体"/>
          <w:kern w:val="0"/>
          <w:szCs w:val="21"/>
        </w:rPr>
        <w:t>采购活动，服务全部由符合政策要求的中小企业承接。相关企业的具体情况如下：</w:t>
      </w:r>
    </w:p>
    <w:p w14:paraId="6FC06F6A">
      <w:pPr>
        <w:widowControl/>
        <w:spacing w:line="360" w:lineRule="auto"/>
        <w:ind w:firstLine="420" w:firstLineChars="200"/>
        <w:rPr>
          <w:rFonts w:ascii="宋体" w:hAnsi="宋体" w:cs="宋体"/>
          <w:szCs w:val="21"/>
        </w:rPr>
      </w:pPr>
      <w:r>
        <w:rPr>
          <w:rFonts w:hint="eastAsia" w:ascii="宋体" w:hAnsi="宋体" w:cs="宋体"/>
          <w:kern w:val="0"/>
          <w:szCs w:val="21"/>
        </w:rPr>
        <w:t>1.</w:t>
      </w:r>
      <w:r>
        <w:rPr>
          <w:rFonts w:hint="eastAsia" w:ascii="宋体" w:hAnsi="宋体" w:cs="宋体"/>
          <w:i/>
          <w:kern w:val="0"/>
          <w:szCs w:val="21"/>
          <w:u w:val="single"/>
        </w:rPr>
        <w:t>（标的名称）</w:t>
      </w:r>
      <w:r>
        <w:rPr>
          <w:rFonts w:hint="eastAsia" w:ascii="宋体" w:hAnsi="宋体" w:cs="宋体"/>
          <w:kern w:val="0"/>
          <w:szCs w:val="21"/>
        </w:rPr>
        <w:t>，属于</w:t>
      </w:r>
      <w:r>
        <w:rPr>
          <w:rFonts w:hint="eastAsia" w:ascii="宋体" w:hAnsi="宋体" w:cs="宋体"/>
          <w:i/>
          <w:kern w:val="0"/>
          <w:szCs w:val="21"/>
          <w:u w:val="single"/>
        </w:rPr>
        <w:t>（采购文件中明确的所属行业）</w:t>
      </w:r>
      <w:r>
        <w:rPr>
          <w:rFonts w:hint="eastAsia" w:ascii="宋体" w:hAnsi="宋体" w:cs="宋体"/>
          <w:kern w:val="0"/>
          <w:szCs w:val="21"/>
        </w:rPr>
        <w:t>；承接企业为</w:t>
      </w:r>
      <w:r>
        <w:rPr>
          <w:rFonts w:hint="eastAsia" w:ascii="宋体" w:hAnsi="宋体" w:cs="宋体"/>
          <w:i/>
          <w:kern w:val="0"/>
          <w:szCs w:val="21"/>
          <w:u w:val="single"/>
        </w:rPr>
        <w:t>（企业名称）</w:t>
      </w:r>
      <w:r>
        <w:rPr>
          <w:rFonts w:hint="eastAsia" w:ascii="宋体" w:hAnsi="宋体" w:cs="宋体"/>
          <w:kern w:val="0"/>
          <w:szCs w:val="21"/>
        </w:rPr>
        <w:t>，从业人员</w:t>
      </w:r>
      <w:r>
        <w:rPr>
          <w:rFonts w:hint="eastAsia" w:ascii="宋体" w:hAnsi="宋体" w:cs="宋体"/>
          <w:kern w:val="0"/>
          <w:szCs w:val="21"/>
          <w:u w:val="single"/>
        </w:rPr>
        <w:t xml:space="preserve">    </w:t>
      </w:r>
      <w:r>
        <w:rPr>
          <w:rFonts w:hint="eastAsia" w:ascii="宋体" w:hAnsi="宋体" w:cs="宋体"/>
          <w:kern w:val="0"/>
          <w:szCs w:val="21"/>
        </w:rPr>
        <w:t>人，营业收入为</w:t>
      </w:r>
      <w:r>
        <w:rPr>
          <w:rFonts w:hint="eastAsia" w:ascii="宋体" w:hAnsi="宋体" w:cs="宋体"/>
          <w:kern w:val="0"/>
          <w:szCs w:val="21"/>
          <w:u w:val="single"/>
        </w:rPr>
        <w:t xml:space="preserve">    </w:t>
      </w:r>
      <w:r>
        <w:rPr>
          <w:rFonts w:hint="eastAsia" w:ascii="宋体" w:hAnsi="宋体" w:cs="宋体"/>
          <w:kern w:val="0"/>
          <w:szCs w:val="21"/>
        </w:rPr>
        <w:t>万元，资产总额为</w:t>
      </w:r>
      <w:r>
        <w:rPr>
          <w:rFonts w:hint="eastAsia" w:ascii="宋体" w:hAnsi="宋体" w:cs="宋体"/>
          <w:kern w:val="0"/>
          <w:szCs w:val="21"/>
          <w:u w:val="single"/>
        </w:rPr>
        <w:t xml:space="preserve">    </w:t>
      </w:r>
      <w:r>
        <w:rPr>
          <w:rFonts w:hint="eastAsia" w:ascii="宋体" w:hAnsi="宋体" w:cs="宋体"/>
          <w:kern w:val="0"/>
          <w:szCs w:val="21"/>
        </w:rPr>
        <w:t>万元，属于</w:t>
      </w:r>
      <w:r>
        <w:rPr>
          <w:rFonts w:hint="eastAsia" w:ascii="宋体" w:hAnsi="宋体" w:cs="宋体"/>
          <w:i/>
          <w:kern w:val="0"/>
          <w:szCs w:val="21"/>
          <w:u w:val="single"/>
        </w:rPr>
        <w:t>（中型企业、小型企业、微型企业）</w:t>
      </w:r>
      <w:r>
        <w:rPr>
          <w:rFonts w:hint="eastAsia" w:ascii="宋体" w:hAnsi="宋体" w:cs="宋体"/>
          <w:kern w:val="0"/>
          <w:szCs w:val="21"/>
        </w:rPr>
        <w:t xml:space="preserve">； </w:t>
      </w:r>
    </w:p>
    <w:p w14:paraId="2A3C500E">
      <w:pPr>
        <w:widowControl/>
        <w:spacing w:line="360" w:lineRule="auto"/>
        <w:ind w:firstLine="420" w:firstLineChars="200"/>
        <w:rPr>
          <w:rFonts w:ascii="宋体" w:hAnsi="宋体" w:cs="宋体"/>
          <w:szCs w:val="21"/>
        </w:rPr>
      </w:pPr>
      <w:r>
        <w:rPr>
          <w:rFonts w:hint="eastAsia" w:ascii="宋体" w:hAnsi="宋体" w:cs="宋体"/>
          <w:kern w:val="0"/>
          <w:szCs w:val="21"/>
        </w:rPr>
        <w:t>2.</w:t>
      </w:r>
      <w:r>
        <w:rPr>
          <w:rFonts w:hint="eastAsia" w:ascii="宋体" w:hAnsi="宋体" w:cs="宋体"/>
          <w:i/>
          <w:kern w:val="0"/>
          <w:szCs w:val="21"/>
          <w:u w:val="single"/>
        </w:rPr>
        <w:t>（标的名称）</w:t>
      </w:r>
      <w:r>
        <w:rPr>
          <w:rFonts w:hint="eastAsia" w:ascii="宋体" w:hAnsi="宋体" w:cs="宋体"/>
          <w:kern w:val="0"/>
          <w:szCs w:val="21"/>
        </w:rPr>
        <w:t>，属于</w:t>
      </w:r>
      <w:r>
        <w:rPr>
          <w:rFonts w:hint="eastAsia" w:ascii="宋体" w:hAnsi="宋体" w:cs="宋体"/>
          <w:i/>
          <w:kern w:val="0"/>
          <w:szCs w:val="21"/>
          <w:u w:val="single"/>
        </w:rPr>
        <w:t>（采购文件中明确的所属行业）</w:t>
      </w:r>
      <w:r>
        <w:rPr>
          <w:rFonts w:hint="eastAsia" w:ascii="宋体" w:hAnsi="宋体" w:cs="宋体"/>
          <w:kern w:val="0"/>
          <w:szCs w:val="21"/>
        </w:rPr>
        <w:t>；承接企业为</w:t>
      </w:r>
      <w:r>
        <w:rPr>
          <w:rFonts w:hint="eastAsia" w:ascii="宋体" w:hAnsi="宋体" w:cs="宋体"/>
          <w:i/>
          <w:kern w:val="0"/>
          <w:szCs w:val="21"/>
          <w:u w:val="single"/>
        </w:rPr>
        <w:t>（企业名称）</w:t>
      </w:r>
      <w:r>
        <w:rPr>
          <w:rFonts w:hint="eastAsia" w:ascii="宋体" w:hAnsi="宋体" w:cs="宋体"/>
          <w:kern w:val="0"/>
          <w:szCs w:val="21"/>
        </w:rPr>
        <w:t>，从业人员</w:t>
      </w:r>
      <w:r>
        <w:rPr>
          <w:rFonts w:hint="eastAsia" w:ascii="宋体" w:hAnsi="宋体" w:cs="宋体"/>
          <w:kern w:val="0"/>
          <w:szCs w:val="21"/>
          <w:u w:val="single"/>
        </w:rPr>
        <w:t xml:space="preserve">    </w:t>
      </w:r>
      <w:r>
        <w:rPr>
          <w:rFonts w:hint="eastAsia" w:ascii="宋体" w:hAnsi="宋体" w:cs="宋体"/>
          <w:kern w:val="0"/>
          <w:szCs w:val="21"/>
        </w:rPr>
        <w:t>人，营业收入为</w:t>
      </w:r>
      <w:r>
        <w:rPr>
          <w:rFonts w:hint="eastAsia" w:ascii="宋体" w:hAnsi="宋体" w:cs="宋体"/>
          <w:kern w:val="0"/>
          <w:szCs w:val="21"/>
          <w:u w:val="single"/>
        </w:rPr>
        <w:t xml:space="preserve">    </w:t>
      </w:r>
      <w:r>
        <w:rPr>
          <w:rFonts w:hint="eastAsia" w:ascii="宋体" w:hAnsi="宋体" w:cs="宋体"/>
          <w:kern w:val="0"/>
          <w:szCs w:val="21"/>
        </w:rPr>
        <w:t>万元，资产总额为</w:t>
      </w:r>
      <w:r>
        <w:rPr>
          <w:rFonts w:hint="eastAsia" w:ascii="宋体" w:hAnsi="宋体" w:cs="宋体"/>
          <w:kern w:val="0"/>
          <w:szCs w:val="21"/>
          <w:u w:val="single"/>
        </w:rPr>
        <w:t xml:space="preserve">    </w:t>
      </w:r>
      <w:r>
        <w:rPr>
          <w:rFonts w:hint="eastAsia" w:ascii="宋体" w:hAnsi="宋体" w:cs="宋体"/>
          <w:kern w:val="0"/>
          <w:szCs w:val="21"/>
        </w:rPr>
        <w:t>万元，属于</w:t>
      </w:r>
      <w:r>
        <w:rPr>
          <w:rFonts w:hint="eastAsia" w:ascii="宋体" w:hAnsi="宋体" w:cs="宋体"/>
          <w:i/>
          <w:kern w:val="0"/>
          <w:szCs w:val="21"/>
          <w:u w:val="single"/>
        </w:rPr>
        <w:t>（中型企业、小型企业、微型企业）</w:t>
      </w:r>
      <w:r>
        <w:rPr>
          <w:rFonts w:hint="eastAsia" w:ascii="宋体" w:hAnsi="宋体" w:cs="宋体"/>
          <w:kern w:val="0"/>
          <w:szCs w:val="21"/>
        </w:rPr>
        <w:t xml:space="preserve">； </w:t>
      </w:r>
    </w:p>
    <w:p w14:paraId="16AC4A54">
      <w:pPr>
        <w:widowControl/>
        <w:spacing w:line="360" w:lineRule="auto"/>
        <w:ind w:firstLine="420" w:firstLineChars="200"/>
        <w:rPr>
          <w:rFonts w:ascii="宋体" w:hAnsi="宋体" w:cs="宋体"/>
          <w:szCs w:val="21"/>
        </w:rPr>
      </w:pPr>
      <w:r>
        <w:rPr>
          <w:rFonts w:hint="eastAsia" w:ascii="宋体" w:hAnsi="宋体" w:cs="宋体"/>
          <w:kern w:val="0"/>
          <w:szCs w:val="21"/>
        </w:rPr>
        <w:t>……</w:t>
      </w:r>
    </w:p>
    <w:p w14:paraId="5EBCCEDB">
      <w:pPr>
        <w:widowControl/>
        <w:spacing w:line="360" w:lineRule="auto"/>
        <w:ind w:firstLine="420" w:firstLineChars="200"/>
        <w:rPr>
          <w:rFonts w:ascii="宋体" w:hAnsi="宋体" w:cs="宋体"/>
          <w:szCs w:val="21"/>
        </w:rPr>
      </w:pPr>
      <w:r>
        <w:rPr>
          <w:rFonts w:hint="eastAsia" w:ascii="宋体" w:hAnsi="宋体" w:cs="宋体"/>
          <w:kern w:val="0"/>
          <w:szCs w:val="21"/>
        </w:rPr>
        <w:t>以上企业，不属于大企业的分支机构，不存在控股股东为大企业的情形，也不存在与大企业的负责人为同一人的情形。</w:t>
      </w:r>
    </w:p>
    <w:p w14:paraId="77447C2A">
      <w:pPr>
        <w:widowControl/>
        <w:spacing w:line="360" w:lineRule="auto"/>
        <w:ind w:firstLine="420" w:firstLineChars="200"/>
        <w:rPr>
          <w:rFonts w:ascii="宋体" w:hAnsi="宋体" w:cs="宋体"/>
          <w:szCs w:val="21"/>
        </w:rPr>
      </w:pPr>
      <w:r>
        <w:rPr>
          <w:rFonts w:hint="eastAsia" w:ascii="宋体" w:hAnsi="宋体" w:cs="宋体"/>
          <w:kern w:val="0"/>
          <w:szCs w:val="21"/>
        </w:rPr>
        <w:t xml:space="preserve">本企业对上述声明内容的真实性负责。如有虚假，将依法承担相应责任。 </w:t>
      </w:r>
    </w:p>
    <w:p w14:paraId="43CD7490">
      <w:pPr>
        <w:widowControl/>
        <w:spacing w:line="360" w:lineRule="auto"/>
        <w:ind w:firstLine="2520" w:firstLineChars="1200"/>
        <w:rPr>
          <w:rFonts w:ascii="宋体" w:hAnsi="宋体" w:cs="宋体"/>
          <w:szCs w:val="21"/>
        </w:rPr>
      </w:pPr>
      <w:r>
        <w:rPr>
          <w:rFonts w:hint="eastAsia" w:ascii="宋体" w:hAnsi="宋体" w:cs="宋体"/>
          <w:kern w:val="0"/>
          <w:szCs w:val="21"/>
        </w:rPr>
        <w:t xml:space="preserve">企业名称（盖章）： </w:t>
      </w:r>
    </w:p>
    <w:p w14:paraId="19EE8599">
      <w:pPr>
        <w:widowControl/>
        <w:spacing w:line="360" w:lineRule="auto"/>
        <w:ind w:firstLine="2520" w:firstLineChars="1200"/>
        <w:rPr>
          <w:rFonts w:ascii="宋体" w:hAnsi="宋体" w:cs="宋体"/>
          <w:szCs w:val="21"/>
        </w:rPr>
      </w:pPr>
      <w:r>
        <w:rPr>
          <w:rFonts w:hint="eastAsia" w:ascii="宋体" w:hAnsi="宋体" w:cs="宋体"/>
          <w:kern w:val="0"/>
          <w:szCs w:val="21"/>
        </w:rPr>
        <w:t xml:space="preserve">日 期： </w:t>
      </w:r>
    </w:p>
    <w:p w14:paraId="1D08CFA3">
      <w:pPr>
        <w:snapToGrid w:val="0"/>
        <w:spacing w:line="360" w:lineRule="auto"/>
        <w:rPr>
          <w:rFonts w:ascii="宋体" w:hAnsi="宋体" w:cs="宋体"/>
          <w:b/>
          <w:spacing w:val="20"/>
          <w:szCs w:val="21"/>
        </w:rPr>
      </w:pPr>
      <w:r>
        <w:rPr>
          <w:rFonts w:hint="eastAsia" w:ascii="宋体" w:hAnsi="宋体" w:cs="宋体"/>
          <w:b/>
          <w:spacing w:val="20"/>
          <w:szCs w:val="21"/>
        </w:rPr>
        <w:t>注：</w:t>
      </w:r>
    </w:p>
    <w:p w14:paraId="4C750943">
      <w:pPr>
        <w:snapToGrid w:val="0"/>
        <w:spacing w:line="360" w:lineRule="auto"/>
        <w:ind w:firstLine="502" w:firstLineChars="200"/>
        <w:rPr>
          <w:rFonts w:ascii="宋体" w:hAnsi="宋体" w:cs="宋体"/>
          <w:b/>
          <w:spacing w:val="20"/>
          <w:szCs w:val="21"/>
        </w:rPr>
      </w:pPr>
      <w:r>
        <w:rPr>
          <w:rFonts w:hint="eastAsia" w:ascii="宋体" w:hAnsi="宋体" w:cs="宋体"/>
          <w:b/>
          <w:spacing w:val="20"/>
          <w:szCs w:val="21"/>
        </w:rPr>
        <w:t>1.从业人员、营业收入、资产总额填报上一年度数据，无上一年度数据的新成立企业可不填报。</w:t>
      </w:r>
    </w:p>
    <w:p w14:paraId="21247897">
      <w:pPr>
        <w:snapToGrid w:val="0"/>
        <w:spacing w:line="360" w:lineRule="auto"/>
        <w:ind w:firstLine="502" w:firstLineChars="200"/>
        <w:rPr>
          <w:rFonts w:ascii="宋体" w:hAnsi="宋体" w:cs="宋体"/>
          <w:b/>
          <w:spacing w:val="20"/>
          <w:szCs w:val="21"/>
        </w:rPr>
      </w:pPr>
      <w:r>
        <w:rPr>
          <w:rFonts w:hint="eastAsia" w:ascii="宋体" w:hAnsi="宋体" w:cs="宋体"/>
          <w:b/>
          <w:spacing w:val="20"/>
          <w:szCs w:val="21"/>
        </w:rPr>
        <w:t>2.符合中小企业划分标准的个体工商户，在政府采购活动中视同中小企业。</w:t>
      </w:r>
    </w:p>
    <w:p w14:paraId="15217028">
      <w:pPr>
        <w:snapToGrid w:val="0"/>
        <w:spacing w:line="360" w:lineRule="auto"/>
        <w:ind w:firstLine="502" w:firstLineChars="200"/>
        <w:rPr>
          <w:rFonts w:ascii="宋体" w:hAnsi="宋体" w:cs="宋体"/>
          <w:b/>
          <w:spacing w:val="20"/>
          <w:szCs w:val="21"/>
        </w:rPr>
      </w:pPr>
      <w:r>
        <w:rPr>
          <w:rFonts w:hint="eastAsia" w:ascii="宋体" w:hAnsi="宋体" w:cs="宋体"/>
          <w:b/>
          <w:spacing w:val="20"/>
          <w:szCs w:val="21"/>
        </w:rPr>
        <w:t>3.符合财政部 司法部关于政府采购支持监狱企业发展有关问题的通知（财库〔2014〕68 号）的监狱企业、符合财政部 民政部 中国残疾人联合会关于促进残疾人就业政府采购政策的通知（财库〔2017〕141 号）的残疾人福利性单位，在政府采购活动中，视同小型、微型企业，享受《政府采购促进中小企业发展管理办法》（财库[2020]46号）规定的中小企业扶持政策。监狱企业、残疾人福利性单位属于小型、微型企业的，不重复享受政策。</w:t>
      </w:r>
    </w:p>
    <w:p w14:paraId="3349C566">
      <w:pPr>
        <w:snapToGrid w:val="0"/>
        <w:spacing w:line="360" w:lineRule="auto"/>
        <w:ind w:firstLine="502" w:firstLineChars="200"/>
        <w:rPr>
          <w:rFonts w:ascii="宋体" w:hAnsi="宋体" w:cs="宋体"/>
          <w:b/>
          <w:spacing w:val="20"/>
          <w:szCs w:val="21"/>
        </w:rPr>
      </w:pPr>
      <w:r>
        <w:rPr>
          <w:rFonts w:hint="eastAsia" w:ascii="宋体" w:hAnsi="宋体" w:cs="宋体"/>
          <w:b/>
          <w:spacing w:val="20"/>
          <w:szCs w:val="21"/>
        </w:rPr>
        <w:t>4.中标、成交供应商享受《政府采购促进中小企业发展管理办法》（财库[2020]46号）规定的中小企业扶持政策的，《中小企业声明函》随中标、成交结果公开。</w:t>
      </w:r>
    </w:p>
    <w:p w14:paraId="1FB5B286">
      <w:pPr>
        <w:snapToGrid w:val="0"/>
        <w:spacing w:line="360" w:lineRule="auto"/>
        <w:ind w:firstLine="502" w:firstLineChars="200"/>
        <w:rPr>
          <w:rFonts w:ascii="宋体" w:hAnsi="宋体" w:cs="宋体"/>
          <w:b/>
          <w:spacing w:val="20"/>
          <w:szCs w:val="21"/>
        </w:rPr>
      </w:pPr>
      <w:r>
        <w:rPr>
          <w:rFonts w:hint="eastAsia" w:ascii="宋体" w:hAnsi="宋体" w:cs="宋体"/>
          <w:b/>
          <w:spacing w:val="20"/>
          <w:szCs w:val="21"/>
        </w:rPr>
        <w:t>5.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523A660B">
      <w:pPr>
        <w:snapToGrid w:val="0"/>
        <w:spacing w:line="360" w:lineRule="auto"/>
        <w:ind w:firstLine="502" w:firstLineChars="200"/>
        <w:rPr>
          <w:rFonts w:ascii="宋体" w:hAnsi="宋体" w:cs="宋体"/>
          <w:b/>
          <w:szCs w:val="21"/>
        </w:rPr>
      </w:pPr>
      <w:r>
        <w:rPr>
          <w:rFonts w:hint="eastAsia" w:ascii="宋体" w:hAnsi="宋体" w:cs="宋体"/>
          <w:b/>
          <w:spacing w:val="20"/>
          <w:szCs w:val="21"/>
        </w:rPr>
        <w:t>6.本项目采购标的对应的中小企业划分标准所属行业：</w:t>
      </w:r>
      <w:r>
        <w:rPr>
          <w:rFonts w:hint="eastAsia" w:ascii="宋体" w:hAnsi="宋体" w:cs="宋体"/>
          <w:b/>
          <w:spacing w:val="20"/>
          <w:szCs w:val="21"/>
          <w:lang w:val="en-US" w:eastAsia="zh-CN"/>
        </w:rPr>
        <w:t>其他未列明行业</w:t>
      </w:r>
      <w:r>
        <w:rPr>
          <w:rFonts w:hint="eastAsia" w:ascii="宋体" w:hAnsi="宋体" w:cs="宋体"/>
          <w:b/>
          <w:spacing w:val="20"/>
          <w:szCs w:val="21"/>
        </w:rPr>
        <w:t>。</w:t>
      </w:r>
    </w:p>
    <w:p w14:paraId="60A21D84">
      <w:pPr>
        <w:widowControl/>
        <w:jc w:val="left"/>
        <w:rPr>
          <w:rFonts w:ascii="宋体" w:hAnsi="宋体" w:cs="宋体"/>
          <w:b/>
          <w:szCs w:val="21"/>
        </w:rPr>
      </w:pPr>
      <w:r>
        <w:rPr>
          <w:rFonts w:hint="eastAsia" w:ascii="宋体" w:hAnsi="宋体" w:cs="宋体"/>
          <w:b/>
          <w:szCs w:val="21"/>
        </w:rPr>
        <w:br w:type="page"/>
      </w:r>
    </w:p>
    <w:p w14:paraId="2C33699F">
      <w:pPr>
        <w:snapToGrid w:val="0"/>
        <w:spacing w:before="50" w:after="156" w:afterLines="50"/>
        <w:jc w:val="left"/>
        <w:rPr>
          <w:rFonts w:ascii="宋体" w:hAnsi="宋体" w:cs="宋体"/>
          <w:b/>
          <w:szCs w:val="21"/>
        </w:rPr>
      </w:pPr>
      <w:r>
        <w:rPr>
          <w:rFonts w:hint="eastAsia" w:ascii="宋体" w:hAnsi="宋体" w:cs="宋体"/>
          <w:b/>
          <w:szCs w:val="21"/>
        </w:rPr>
        <w:t>格式</w:t>
      </w:r>
      <w:r>
        <w:rPr>
          <w:rFonts w:hint="eastAsia" w:ascii="宋体" w:hAnsi="宋体" w:cs="宋体"/>
          <w:b/>
          <w:szCs w:val="21"/>
          <w:lang w:val="en-US" w:eastAsia="zh-CN"/>
        </w:rPr>
        <w:t>四</w:t>
      </w:r>
      <w:r>
        <w:rPr>
          <w:rFonts w:hint="eastAsia" w:ascii="宋体" w:hAnsi="宋体" w:cs="宋体"/>
          <w:b/>
          <w:szCs w:val="21"/>
        </w:rPr>
        <w:t>、</w:t>
      </w:r>
      <w:bookmarkStart w:id="8" w:name="OLE_LINK14"/>
      <w:bookmarkStart w:id="9" w:name="OLE_LINK13"/>
      <w:r>
        <w:rPr>
          <w:rFonts w:hint="eastAsia" w:ascii="宋体" w:hAnsi="宋体" w:cs="宋体"/>
          <w:b/>
          <w:bCs/>
          <w:szCs w:val="21"/>
        </w:rPr>
        <w:t>残疾人福利性单位声明函</w:t>
      </w:r>
    </w:p>
    <w:bookmarkEnd w:id="8"/>
    <w:bookmarkEnd w:id="9"/>
    <w:p w14:paraId="16CF6251">
      <w:pPr>
        <w:widowControl/>
        <w:spacing w:line="588" w:lineRule="atLeast"/>
        <w:jc w:val="center"/>
        <w:rPr>
          <w:rFonts w:ascii="宋体" w:hAnsi="宋体" w:cs="宋体"/>
          <w:b/>
          <w:spacing w:val="6"/>
          <w:kern w:val="0"/>
          <w:szCs w:val="21"/>
        </w:rPr>
      </w:pPr>
      <w:r>
        <w:rPr>
          <w:rFonts w:hint="eastAsia" w:ascii="宋体" w:hAnsi="宋体" w:cs="宋体"/>
          <w:b/>
          <w:spacing w:val="6"/>
          <w:kern w:val="0"/>
          <w:szCs w:val="21"/>
        </w:rPr>
        <w:t>残疾人福利性单位声明函（服务）</w:t>
      </w:r>
    </w:p>
    <w:p w14:paraId="71D5187B">
      <w:pPr>
        <w:widowControl/>
        <w:spacing w:before="312" w:beforeLines="100" w:line="500" w:lineRule="exact"/>
        <w:ind w:firstLine="601"/>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中国残疾人联合会关于促进残疾人就业政府采购政策的通知》（财库〔2017〕141号）的规定，本单位为符合条件的残疾人福利性单位，且本单位参加______单位的______项目采购活动由本单位提供服务。</w:t>
      </w:r>
    </w:p>
    <w:p w14:paraId="20275D53">
      <w:pPr>
        <w:widowControl/>
        <w:spacing w:line="500" w:lineRule="exact"/>
        <w:ind w:firstLine="600"/>
        <w:rPr>
          <w:rFonts w:ascii="宋体" w:hAnsi="宋体" w:cs="宋体"/>
          <w:szCs w:val="21"/>
        </w:rPr>
      </w:pPr>
      <w:r>
        <w:rPr>
          <w:rFonts w:hint="eastAsia" w:ascii="宋体" w:hAnsi="宋体" w:cs="宋体"/>
          <w:szCs w:val="21"/>
        </w:rPr>
        <w:t>本单位对上述声明的真实性负责。如有虚假，将依法承担相应责任。</w:t>
      </w:r>
    </w:p>
    <w:p w14:paraId="033A3E14">
      <w:pPr>
        <w:widowControl/>
        <w:spacing w:line="500" w:lineRule="exact"/>
        <w:rPr>
          <w:rFonts w:ascii="宋体" w:hAnsi="宋体" w:cs="宋体"/>
          <w:spacing w:val="6"/>
          <w:kern w:val="0"/>
          <w:szCs w:val="21"/>
        </w:rPr>
      </w:pPr>
    </w:p>
    <w:p w14:paraId="1CFB94F6">
      <w:pPr>
        <w:widowControl/>
        <w:spacing w:line="500" w:lineRule="exact"/>
        <w:ind w:right="1560" w:firstLine="600"/>
        <w:jc w:val="center"/>
        <w:rPr>
          <w:rFonts w:ascii="宋体" w:hAnsi="宋体" w:cs="宋体"/>
          <w:szCs w:val="21"/>
        </w:rPr>
      </w:pPr>
      <w:r>
        <w:rPr>
          <w:rFonts w:hint="eastAsia" w:ascii="宋体" w:hAnsi="宋体" w:cs="宋体"/>
          <w:spacing w:val="6"/>
          <w:kern w:val="0"/>
          <w:szCs w:val="21"/>
        </w:rPr>
        <w:t xml:space="preserve">               </w:t>
      </w:r>
      <w:r>
        <w:rPr>
          <w:rFonts w:hint="eastAsia" w:ascii="宋体" w:hAnsi="宋体" w:cs="宋体"/>
          <w:szCs w:val="21"/>
        </w:rPr>
        <w:t>单位名称（盖章）：</w:t>
      </w:r>
    </w:p>
    <w:p w14:paraId="535B6640">
      <w:pPr>
        <w:widowControl/>
        <w:spacing w:line="500" w:lineRule="exact"/>
        <w:ind w:right="1560" w:firstLine="600"/>
        <w:jc w:val="center"/>
        <w:rPr>
          <w:rFonts w:ascii="宋体" w:hAnsi="宋体" w:cs="宋体"/>
          <w:szCs w:val="21"/>
        </w:rPr>
      </w:pPr>
      <w:r>
        <w:rPr>
          <w:rFonts w:hint="eastAsia" w:ascii="宋体" w:hAnsi="宋体" w:cs="宋体"/>
          <w:szCs w:val="21"/>
        </w:rPr>
        <w:t xml:space="preserve">       日  期：</w:t>
      </w:r>
    </w:p>
    <w:p w14:paraId="01A4E648">
      <w:pPr>
        <w:spacing w:before="312" w:beforeLines="100" w:line="440" w:lineRule="atLeast"/>
        <w:ind w:firstLine="444" w:firstLineChars="200"/>
        <w:rPr>
          <w:rFonts w:ascii="宋体" w:hAnsi="宋体" w:cs="宋体"/>
          <w:spacing w:val="6"/>
          <w:szCs w:val="21"/>
        </w:rPr>
      </w:pPr>
    </w:p>
    <w:p w14:paraId="2AC4684B">
      <w:pPr>
        <w:spacing w:before="312" w:beforeLines="100" w:line="440" w:lineRule="atLeast"/>
        <w:ind w:firstLine="444" w:firstLineChars="200"/>
        <w:rPr>
          <w:rFonts w:ascii="宋体" w:hAnsi="宋体" w:cs="宋体"/>
          <w:spacing w:val="6"/>
          <w:szCs w:val="21"/>
        </w:rPr>
      </w:pPr>
    </w:p>
    <w:p w14:paraId="456B6963">
      <w:pPr>
        <w:spacing w:line="360" w:lineRule="auto"/>
        <w:rPr>
          <w:rFonts w:ascii="宋体" w:hAnsi="宋体" w:cs="宋体"/>
          <w:b/>
          <w:spacing w:val="20"/>
          <w:szCs w:val="21"/>
        </w:rPr>
      </w:pPr>
      <w:r>
        <w:rPr>
          <w:rFonts w:hint="eastAsia" w:ascii="宋体" w:hAnsi="宋体" w:cs="宋体"/>
          <w:b/>
          <w:spacing w:val="20"/>
          <w:szCs w:val="21"/>
        </w:rPr>
        <w:t>注：</w:t>
      </w:r>
    </w:p>
    <w:p w14:paraId="3BD6C217">
      <w:pPr>
        <w:snapToGrid w:val="0"/>
        <w:spacing w:line="360" w:lineRule="auto"/>
        <w:ind w:firstLine="422" w:firstLineChars="200"/>
        <w:jc w:val="left"/>
        <w:rPr>
          <w:rFonts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14:paraId="5E6AAFF4">
      <w:pPr>
        <w:snapToGrid w:val="0"/>
        <w:spacing w:line="360" w:lineRule="auto"/>
        <w:ind w:firstLine="422" w:firstLineChars="200"/>
        <w:jc w:val="left"/>
        <w:rPr>
          <w:rFonts w:ascii="宋体" w:hAnsi="宋体" w:cs="宋体"/>
          <w:b/>
          <w:szCs w:val="21"/>
        </w:rPr>
      </w:pPr>
      <w:r>
        <w:rPr>
          <w:rFonts w:hint="eastAsia" w:ascii="宋体" w:hAnsi="宋体" w:cs="宋体"/>
          <w:b/>
          <w:szCs w:val="21"/>
        </w:rPr>
        <w:t>2.供应商提供的《残疾人福利性单位声明函》与事实不符的，依照《政府采购法》第七十七条第一款的规定追究法律责任。</w:t>
      </w:r>
    </w:p>
    <w:p w14:paraId="3A602E8C">
      <w:pPr>
        <w:widowControl/>
        <w:jc w:val="left"/>
        <w:rPr>
          <w:rFonts w:ascii="宋体" w:hAnsi="宋体" w:cs="宋体"/>
          <w:b/>
          <w:spacing w:val="20"/>
          <w:szCs w:val="21"/>
        </w:rPr>
      </w:pPr>
      <w:r>
        <w:rPr>
          <w:rFonts w:ascii="宋体" w:hAnsi="宋体" w:cs="宋体"/>
          <w:b/>
          <w:spacing w:val="20"/>
          <w:szCs w:val="21"/>
        </w:rPr>
        <w:br w:type="page"/>
      </w:r>
    </w:p>
    <w:p w14:paraId="104856BD">
      <w:pPr>
        <w:spacing w:line="360" w:lineRule="auto"/>
        <w:rPr>
          <w:rFonts w:hint="eastAsia" w:ascii="宋体" w:hAnsi="宋体" w:cs="宋体"/>
          <w:b/>
          <w:spacing w:val="20"/>
          <w:szCs w:val="21"/>
        </w:rPr>
      </w:pPr>
      <w:r>
        <w:rPr>
          <w:rFonts w:hint="eastAsia" w:ascii="宋体" w:hAnsi="宋体" w:cs="宋体"/>
          <w:b/>
          <w:spacing w:val="20"/>
          <w:szCs w:val="21"/>
        </w:rPr>
        <w:t>格式</w:t>
      </w:r>
      <w:r>
        <w:rPr>
          <w:rFonts w:hint="eastAsia" w:ascii="宋体" w:hAnsi="宋体" w:cs="宋体"/>
          <w:b/>
          <w:spacing w:val="20"/>
          <w:szCs w:val="21"/>
          <w:lang w:val="en-US" w:eastAsia="zh-CN"/>
        </w:rPr>
        <w:t>五</w:t>
      </w:r>
      <w:r>
        <w:rPr>
          <w:rFonts w:hint="eastAsia" w:ascii="宋体" w:hAnsi="宋体" w:cs="宋体"/>
          <w:b/>
          <w:spacing w:val="20"/>
          <w:szCs w:val="21"/>
        </w:rPr>
        <w:t>、响应函</w:t>
      </w:r>
    </w:p>
    <w:p w14:paraId="4C7A94BC">
      <w:pPr>
        <w:pStyle w:val="10"/>
      </w:pPr>
    </w:p>
    <w:p w14:paraId="440D5BCC">
      <w:pPr>
        <w:spacing w:line="360" w:lineRule="auto"/>
        <w:jc w:val="left"/>
        <w:rPr>
          <w:rFonts w:ascii="宋体" w:hAnsi="宋体" w:cs="宋体"/>
          <w:szCs w:val="21"/>
        </w:rPr>
      </w:pPr>
      <w:r>
        <w:rPr>
          <w:rFonts w:hint="eastAsia" w:ascii="宋体" w:hAnsi="宋体" w:cs="宋体"/>
          <w:spacing w:val="-4"/>
          <w:szCs w:val="21"/>
        </w:rPr>
        <w:t>致：</w:t>
      </w:r>
      <w:r>
        <w:rPr>
          <w:rFonts w:hint="eastAsia" w:ascii="宋体" w:hAnsi="宋体" w:eastAsia="宋体" w:cs="宋体"/>
          <w:color w:val="000000"/>
          <w:sz w:val="21"/>
          <w:szCs w:val="21"/>
        </w:rPr>
        <w:t>舟山市定海区应急管理局</w:t>
      </w:r>
    </w:p>
    <w:p w14:paraId="1FF83083">
      <w:pPr>
        <w:spacing w:line="360" w:lineRule="auto"/>
        <w:ind w:firstLine="420" w:firstLineChars="200"/>
        <w:rPr>
          <w:rFonts w:hint="eastAsia"/>
          <w:sz w:val="21"/>
          <w:szCs w:val="21"/>
          <w:shd w:val="clear" w:color="auto" w:fill="FFFFFF"/>
        </w:rPr>
      </w:pPr>
      <w:r>
        <w:rPr>
          <w:rFonts w:hint="eastAsia"/>
          <w:sz w:val="21"/>
          <w:szCs w:val="21"/>
          <w:shd w:val="clear" w:color="auto" w:fill="FFFFFF"/>
        </w:rPr>
        <w:t>浙江万事达建设工程管理有限公司</w:t>
      </w:r>
    </w:p>
    <w:p w14:paraId="1F6FCBBA">
      <w:pPr>
        <w:spacing w:line="360" w:lineRule="auto"/>
        <w:ind w:firstLine="420" w:firstLineChars="200"/>
        <w:rPr>
          <w:rFonts w:ascii="宋体" w:hAnsi="宋体" w:cs="宋体"/>
          <w:szCs w:val="21"/>
        </w:rPr>
      </w:pPr>
      <w:r>
        <w:rPr>
          <w:rFonts w:hint="eastAsia" w:ascii="宋体" w:hAnsi="宋体" w:cs="宋体"/>
          <w:szCs w:val="21"/>
        </w:rPr>
        <w:t>我方</w:t>
      </w:r>
      <w:r>
        <w:rPr>
          <w:rFonts w:hint="eastAsia" w:ascii="宋体" w:hAnsi="宋体" w:cs="宋体"/>
          <w:b/>
          <w:szCs w:val="21"/>
          <w:u w:val="single"/>
        </w:rPr>
        <w:t>（响应人名称）</w:t>
      </w:r>
      <w:r>
        <w:rPr>
          <w:rFonts w:hint="eastAsia" w:ascii="宋体" w:hAnsi="宋体" w:cs="宋体"/>
          <w:szCs w:val="21"/>
        </w:rPr>
        <w:t>已详细审查了</w:t>
      </w:r>
      <w:r>
        <w:rPr>
          <w:rFonts w:hint="eastAsia" w:ascii="宋体" w:hAnsi="宋体" w:cs="宋体"/>
          <w:b/>
          <w:szCs w:val="21"/>
          <w:u w:val="single"/>
        </w:rPr>
        <w:t xml:space="preserve">（项目编号）（项目名称）    </w:t>
      </w:r>
      <w:r>
        <w:rPr>
          <w:rFonts w:hint="eastAsia" w:ascii="宋体" w:hAnsi="宋体" w:cs="宋体"/>
          <w:szCs w:val="21"/>
        </w:rPr>
        <w:t>的磋商文件及其相关补充文件</w:t>
      </w:r>
      <w:r>
        <w:rPr>
          <w:rFonts w:hint="eastAsia" w:ascii="宋体" w:hAnsi="宋体" w:cs="宋体"/>
          <w:b/>
          <w:szCs w:val="21"/>
        </w:rPr>
        <w:t>（若有）</w:t>
      </w:r>
      <w:r>
        <w:rPr>
          <w:rFonts w:hint="eastAsia" w:ascii="宋体" w:hAnsi="宋体" w:cs="宋体"/>
          <w:szCs w:val="21"/>
        </w:rPr>
        <w:t>，并正式授权我公司的</w:t>
      </w:r>
      <w:r>
        <w:rPr>
          <w:rFonts w:hint="eastAsia" w:ascii="宋体" w:hAnsi="宋体" w:cs="宋体"/>
          <w:b/>
          <w:szCs w:val="21"/>
          <w:u w:val="single"/>
        </w:rPr>
        <w:t>（被授权人姓名）</w:t>
      </w:r>
      <w:r>
        <w:rPr>
          <w:rFonts w:hint="eastAsia" w:ascii="宋体" w:hAnsi="宋体" w:cs="宋体"/>
          <w:szCs w:val="21"/>
        </w:rPr>
        <w:t>以本公司名义，全权代表我方自愿参加上述采购项目的响应，现就有关事项向采购代理机构郑重承诺如下：</w:t>
      </w:r>
    </w:p>
    <w:p w14:paraId="34875A6B">
      <w:pPr>
        <w:spacing w:line="360" w:lineRule="auto"/>
        <w:ind w:right="-91" w:firstLine="420" w:firstLineChars="200"/>
        <w:rPr>
          <w:rFonts w:ascii="宋体" w:hAnsi="宋体" w:cs="宋体"/>
          <w:szCs w:val="21"/>
        </w:rPr>
      </w:pPr>
      <w:r>
        <w:rPr>
          <w:rFonts w:hint="eastAsia" w:ascii="宋体" w:hAnsi="宋体" w:cs="宋体"/>
          <w:szCs w:val="21"/>
        </w:rPr>
        <w:t>1、我方已详细审查了磋商文件的全部内容及其相关补充文件</w:t>
      </w:r>
      <w:r>
        <w:rPr>
          <w:rFonts w:hint="eastAsia" w:ascii="宋体" w:hAnsi="宋体" w:cs="宋体"/>
          <w:b/>
          <w:szCs w:val="21"/>
        </w:rPr>
        <w:t>（若有）</w:t>
      </w:r>
      <w:r>
        <w:rPr>
          <w:rFonts w:hint="eastAsia" w:ascii="宋体" w:hAnsi="宋体" w:cs="宋体"/>
          <w:szCs w:val="21"/>
        </w:rPr>
        <w:t>，并完全清晰理解全部内容及相关的补充文件</w:t>
      </w:r>
      <w:r>
        <w:rPr>
          <w:rFonts w:hint="eastAsia" w:ascii="宋体" w:hAnsi="宋体" w:cs="宋体"/>
          <w:b/>
          <w:szCs w:val="21"/>
        </w:rPr>
        <w:t>（若有）</w:t>
      </w:r>
      <w:r>
        <w:rPr>
          <w:rFonts w:hint="eastAsia" w:ascii="宋体" w:hAnsi="宋体" w:cs="宋体"/>
          <w:szCs w:val="21"/>
        </w:rPr>
        <w:t>，不存在任何误解之处，同意放弃提出异议和质疑的权利。</w:t>
      </w:r>
    </w:p>
    <w:p w14:paraId="2075AF5B">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2、在项目实施过程中，我方完全响应磋商文件的所有条款，履行合同义务。执行标准绝不低于磋商文件的标准要求。</w:t>
      </w:r>
    </w:p>
    <w:p w14:paraId="7B89E33B">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3、我方遵守《中华人民共和国政府采购法》及相关法律法规的规定。同意磋商文件中所提到的无效标条款，并服从有关开标现场的会议纪律。否则，同意被废除响应资格。</w:t>
      </w:r>
    </w:p>
    <w:p w14:paraId="70D1C6FF">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4、我方承诺具有良好的商业信誉和健全的财务会计制度；具备履行合同所必需的设备和专业技术能力；具有依法缴纳税收和社会保障资金的良好记录；参加本次政府采购活动前3年内在经营活动中没有重大违法记录。</w:t>
      </w:r>
    </w:p>
    <w:p w14:paraId="70FF7F65">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5、我方所提供的磋商报价具有充分的合理性和准确性，保证不存在低于成本的恶意报价行为，同时清楚理解到报价最低并非意味着必定获得合同授予资格。</w:t>
      </w:r>
    </w:p>
    <w:p w14:paraId="52098FBC">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6、响应有效期为自响应截止之日起90天内，如在响应有效期内撤回响应文件，我方同意被废除响应资格。</w:t>
      </w:r>
    </w:p>
    <w:p w14:paraId="36E0084B">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7、我方承诺所提供的一切响应文件均已认真严格审核，内容均为全面真实、准确有效且毫无保留，绝无任何遗漏、虚假、伪造和夸大的成分，若出现违背诚实信用和无如实告知之处，同意被废除响应资格和相关的处罚。</w:t>
      </w:r>
    </w:p>
    <w:p w14:paraId="1CBF464F">
      <w:pPr>
        <w:pStyle w:val="20"/>
        <w:ind w:left="0" w:leftChars="0"/>
      </w:pPr>
    </w:p>
    <w:p w14:paraId="2E059ED3">
      <w:pPr>
        <w:spacing w:line="480" w:lineRule="auto"/>
        <w:ind w:firstLine="404" w:firstLineChars="200"/>
        <w:jc w:val="left"/>
        <w:rPr>
          <w:rFonts w:ascii="宋体" w:hAnsi="宋体" w:cs="宋体"/>
          <w:spacing w:val="-4"/>
          <w:szCs w:val="21"/>
        </w:rPr>
      </w:pPr>
    </w:p>
    <w:p w14:paraId="4FF758F4">
      <w:pPr>
        <w:spacing w:line="480" w:lineRule="auto"/>
        <w:ind w:firstLine="404" w:firstLineChars="200"/>
        <w:jc w:val="left"/>
        <w:rPr>
          <w:rFonts w:ascii="宋体" w:hAnsi="宋体" w:cs="宋体"/>
          <w:spacing w:val="-4"/>
          <w:szCs w:val="21"/>
        </w:rPr>
      </w:pPr>
      <w:r>
        <w:rPr>
          <w:rFonts w:hint="eastAsia" w:ascii="宋体" w:hAnsi="宋体" w:cs="宋体"/>
          <w:spacing w:val="-4"/>
          <w:szCs w:val="21"/>
        </w:rPr>
        <w:t>响应人名称：</w:t>
      </w:r>
      <w:r>
        <w:rPr>
          <w:rFonts w:hint="eastAsia" w:ascii="宋体" w:hAnsi="宋体" w:cs="宋体"/>
          <w:spacing w:val="20"/>
          <w:szCs w:val="21"/>
          <w:u w:val="single"/>
        </w:rPr>
        <w:t xml:space="preserve">                  </w:t>
      </w:r>
      <w:r>
        <w:rPr>
          <w:rFonts w:hint="eastAsia" w:ascii="宋体" w:hAnsi="宋体" w:cs="宋体"/>
          <w:spacing w:val="-4"/>
          <w:szCs w:val="21"/>
        </w:rPr>
        <w:t xml:space="preserve">（加盖公章） </w:t>
      </w:r>
    </w:p>
    <w:p w14:paraId="37947154">
      <w:pPr>
        <w:spacing w:line="480" w:lineRule="auto"/>
        <w:ind w:firstLine="404" w:firstLineChars="200"/>
        <w:rPr>
          <w:rFonts w:ascii="宋体" w:hAnsi="宋体" w:cs="宋体"/>
          <w:szCs w:val="21"/>
        </w:rPr>
      </w:pPr>
      <w:r>
        <w:rPr>
          <w:rFonts w:hint="eastAsia" w:ascii="宋体" w:hAnsi="宋体" w:cs="宋体"/>
          <w:spacing w:val="-4"/>
          <w:szCs w:val="21"/>
          <w:lang w:eastAsia="zh-CN"/>
        </w:rPr>
        <w:t>法定代表人（或单位负责人）</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（签字或签章）</w:t>
      </w:r>
    </w:p>
    <w:p w14:paraId="3BDB31C9">
      <w:pPr>
        <w:spacing w:line="480" w:lineRule="auto"/>
        <w:ind w:firstLine="404" w:firstLineChars="200"/>
        <w:jc w:val="left"/>
        <w:rPr>
          <w:rFonts w:ascii="宋体" w:hAnsi="宋体" w:cs="宋体"/>
          <w:spacing w:val="-4"/>
          <w:szCs w:val="21"/>
        </w:rPr>
      </w:pPr>
      <w:r>
        <w:rPr>
          <w:rFonts w:hint="eastAsia" w:ascii="宋体" w:hAnsi="宋体" w:cs="宋体"/>
          <w:spacing w:val="-4"/>
          <w:szCs w:val="21"/>
        </w:rPr>
        <w:t>响应人代表：</w:t>
      </w:r>
      <w:r>
        <w:rPr>
          <w:rFonts w:hint="eastAsia" w:ascii="宋体" w:hAnsi="宋体" w:cs="宋体"/>
          <w:spacing w:val="20"/>
          <w:szCs w:val="21"/>
          <w:u w:val="single"/>
        </w:rPr>
        <w:t xml:space="preserve">                  </w:t>
      </w:r>
      <w:r>
        <w:rPr>
          <w:rFonts w:hint="eastAsia" w:ascii="宋体" w:hAnsi="宋体" w:cs="宋体"/>
          <w:spacing w:val="-4"/>
          <w:szCs w:val="21"/>
        </w:rPr>
        <w:t xml:space="preserve">（签字） </w:t>
      </w:r>
    </w:p>
    <w:p w14:paraId="09523D95">
      <w:pPr>
        <w:spacing w:line="480" w:lineRule="auto"/>
        <w:ind w:firstLine="404" w:firstLineChars="200"/>
        <w:rPr>
          <w:rFonts w:ascii="宋体" w:hAnsi="宋体" w:cs="宋体"/>
          <w:spacing w:val="20"/>
          <w:szCs w:val="21"/>
          <w:u w:val="single"/>
        </w:rPr>
      </w:pPr>
      <w:r>
        <w:rPr>
          <w:rFonts w:hint="eastAsia" w:ascii="宋体" w:hAnsi="宋体" w:cs="宋体"/>
          <w:spacing w:val="-4"/>
          <w:szCs w:val="21"/>
        </w:rPr>
        <w:t>响应人地址：</w:t>
      </w:r>
      <w:r>
        <w:rPr>
          <w:rFonts w:hint="eastAsia" w:ascii="宋体" w:hAnsi="宋体" w:cs="宋体"/>
          <w:spacing w:val="20"/>
          <w:szCs w:val="21"/>
          <w:u w:val="single"/>
        </w:rPr>
        <w:t xml:space="preserve">                  </w:t>
      </w:r>
    </w:p>
    <w:p w14:paraId="3C7BA477">
      <w:pPr>
        <w:spacing w:line="480" w:lineRule="auto"/>
        <w:ind w:firstLine="404" w:firstLineChars="200"/>
        <w:rPr>
          <w:rFonts w:ascii="宋体" w:hAnsi="宋体" w:cs="宋体"/>
          <w:b/>
          <w:spacing w:val="20"/>
          <w:szCs w:val="21"/>
        </w:rPr>
      </w:pPr>
      <w:r>
        <w:rPr>
          <w:rFonts w:hint="eastAsia" w:ascii="宋体" w:hAnsi="宋体" w:cs="宋体"/>
          <w:spacing w:val="-4"/>
          <w:szCs w:val="21"/>
        </w:rPr>
        <w:t>日期：</w:t>
      </w:r>
      <w:r>
        <w:rPr>
          <w:rFonts w:hint="eastAsia" w:ascii="宋体" w:hAnsi="宋体" w:cs="宋体"/>
          <w:spacing w:val="-4"/>
          <w:szCs w:val="21"/>
          <w:u w:val="single"/>
        </w:rPr>
        <w:t xml:space="preserve">     </w:t>
      </w:r>
      <w:r>
        <w:rPr>
          <w:rFonts w:hint="eastAsia" w:ascii="宋体" w:hAnsi="宋体" w:cs="宋体"/>
          <w:spacing w:val="-4"/>
          <w:szCs w:val="21"/>
        </w:rPr>
        <w:t>年</w:t>
      </w:r>
      <w:r>
        <w:rPr>
          <w:rFonts w:hint="eastAsia" w:ascii="宋体" w:hAnsi="宋体" w:cs="宋体"/>
          <w:spacing w:val="-4"/>
          <w:szCs w:val="21"/>
          <w:u w:val="single"/>
        </w:rPr>
        <w:t xml:space="preserve">    </w:t>
      </w:r>
      <w:r>
        <w:rPr>
          <w:rFonts w:hint="eastAsia" w:ascii="宋体" w:hAnsi="宋体" w:cs="宋体"/>
          <w:spacing w:val="-4"/>
          <w:szCs w:val="21"/>
        </w:rPr>
        <w:t>月</w:t>
      </w:r>
      <w:r>
        <w:rPr>
          <w:rFonts w:hint="eastAsia" w:ascii="宋体" w:hAnsi="宋体" w:cs="宋体"/>
          <w:spacing w:val="-4"/>
          <w:szCs w:val="21"/>
          <w:u w:val="single"/>
        </w:rPr>
        <w:t xml:space="preserve">   </w:t>
      </w:r>
      <w:r>
        <w:rPr>
          <w:rFonts w:hint="eastAsia" w:ascii="宋体" w:hAnsi="宋体" w:cs="宋体"/>
          <w:spacing w:val="-4"/>
          <w:szCs w:val="21"/>
        </w:rPr>
        <w:t xml:space="preserve">日 </w:t>
      </w:r>
    </w:p>
    <w:p w14:paraId="40DF8934">
      <w:pPr>
        <w:rPr>
          <w:rFonts w:hint="eastAsia" w:ascii="宋体" w:hAnsi="宋体" w:cs="宋体"/>
          <w:b/>
          <w:spacing w:val="20"/>
          <w:szCs w:val="21"/>
        </w:rPr>
      </w:pPr>
      <w:r>
        <w:rPr>
          <w:rFonts w:hint="eastAsia" w:ascii="宋体" w:hAnsi="宋体" w:cs="宋体"/>
          <w:b/>
          <w:spacing w:val="20"/>
          <w:szCs w:val="21"/>
        </w:rPr>
        <w:t>格式</w:t>
      </w:r>
      <w:r>
        <w:rPr>
          <w:rFonts w:hint="eastAsia" w:ascii="宋体" w:hAnsi="宋体" w:cs="宋体"/>
          <w:b/>
          <w:spacing w:val="20"/>
          <w:szCs w:val="21"/>
          <w:lang w:val="en-US" w:eastAsia="zh-CN"/>
        </w:rPr>
        <w:t>六</w:t>
      </w:r>
      <w:r>
        <w:rPr>
          <w:rFonts w:hint="eastAsia" w:ascii="宋体" w:hAnsi="宋体" w:cs="宋体"/>
          <w:b/>
          <w:spacing w:val="20"/>
          <w:szCs w:val="21"/>
        </w:rPr>
        <w:t>、</w:t>
      </w:r>
      <w:r>
        <w:rPr>
          <w:rFonts w:hint="eastAsia" w:ascii="宋体" w:hAnsi="宋体" w:cs="宋体"/>
          <w:b/>
          <w:spacing w:val="20"/>
          <w:szCs w:val="21"/>
          <w:lang w:eastAsia="zh-CN"/>
        </w:rPr>
        <w:t>法定代表人（或单位负责人）</w:t>
      </w:r>
      <w:r>
        <w:rPr>
          <w:rFonts w:hint="eastAsia" w:ascii="宋体" w:hAnsi="宋体" w:cs="宋体"/>
          <w:b/>
          <w:spacing w:val="20"/>
          <w:szCs w:val="21"/>
        </w:rPr>
        <w:t>授权函</w:t>
      </w:r>
    </w:p>
    <w:p w14:paraId="44B66F89">
      <w:pPr>
        <w:pStyle w:val="10"/>
      </w:pPr>
    </w:p>
    <w:p w14:paraId="6724504B">
      <w:pPr>
        <w:spacing w:line="360" w:lineRule="auto"/>
        <w:jc w:val="left"/>
        <w:rPr>
          <w:rFonts w:ascii="宋体" w:hAnsi="宋体" w:cs="宋体"/>
          <w:spacing w:val="-4"/>
          <w:szCs w:val="21"/>
        </w:rPr>
      </w:pPr>
      <w:r>
        <w:rPr>
          <w:rFonts w:hint="eastAsia" w:ascii="宋体" w:hAnsi="宋体" w:cs="宋体"/>
          <w:spacing w:val="-4"/>
          <w:szCs w:val="21"/>
        </w:rPr>
        <w:t>致：</w:t>
      </w:r>
      <w:r>
        <w:rPr>
          <w:rFonts w:hint="eastAsia" w:ascii="宋体" w:hAnsi="宋体" w:eastAsia="宋体" w:cs="宋体"/>
          <w:color w:val="000000"/>
          <w:sz w:val="21"/>
          <w:szCs w:val="21"/>
        </w:rPr>
        <w:t>舟山市定海区应急管理局</w:t>
      </w:r>
    </w:p>
    <w:p w14:paraId="656896F7">
      <w:pPr>
        <w:spacing w:line="360" w:lineRule="auto"/>
        <w:ind w:firstLine="420" w:firstLineChars="200"/>
        <w:jc w:val="left"/>
        <w:rPr>
          <w:rFonts w:hint="eastAsia"/>
          <w:sz w:val="21"/>
          <w:szCs w:val="21"/>
          <w:shd w:val="clear" w:color="auto" w:fill="FFFFFF"/>
        </w:rPr>
      </w:pPr>
      <w:r>
        <w:rPr>
          <w:rFonts w:hint="eastAsia"/>
          <w:sz w:val="21"/>
          <w:szCs w:val="21"/>
          <w:shd w:val="clear" w:color="auto" w:fill="FFFFFF"/>
        </w:rPr>
        <w:t>浙江万事达建设工程管理有限公司</w:t>
      </w:r>
    </w:p>
    <w:p w14:paraId="7FDB899F">
      <w:pPr>
        <w:spacing w:line="360" w:lineRule="auto"/>
        <w:ind w:firstLine="404" w:firstLineChars="200"/>
        <w:jc w:val="left"/>
        <w:rPr>
          <w:rFonts w:ascii="宋体" w:hAnsi="宋体" w:cs="宋体"/>
          <w:spacing w:val="-4"/>
          <w:szCs w:val="21"/>
        </w:rPr>
      </w:pPr>
      <w:r>
        <w:rPr>
          <w:rFonts w:hint="eastAsia" w:ascii="宋体" w:hAnsi="宋体" w:cs="宋体"/>
          <w:spacing w:val="-4"/>
          <w:szCs w:val="21"/>
        </w:rPr>
        <w:t>我</w:t>
      </w:r>
      <w:r>
        <w:rPr>
          <w:rFonts w:hint="eastAsia" w:ascii="宋体" w:hAnsi="宋体" w:cs="宋体"/>
          <w:spacing w:val="-4"/>
          <w:szCs w:val="21"/>
          <w:u w:val="single"/>
        </w:rPr>
        <w:t xml:space="preserve">              </w:t>
      </w:r>
      <w:r>
        <w:rPr>
          <w:rFonts w:hint="eastAsia" w:ascii="宋体" w:hAnsi="宋体" w:cs="宋体"/>
          <w:spacing w:val="-4"/>
          <w:szCs w:val="21"/>
        </w:rPr>
        <w:t>（姓名）系</w:t>
      </w:r>
      <w:r>
        <w:rPr>
          <w:rFonts w:hint="eastAsia" w:ascii="宋体" w:hAnsi="宋体" w:cs="宋体"/>
          <w:spacing w:val="-4"/>
          <w:szCs w:val="21"/>
          <w:u w:val="single"/>
        </w:rPr>
        <w:t xml:space="preserve">             </w:t>
      </w:r>
      <w:r>
        <w:rPr>
          <w:rFonts w:ascii="宋体" w:hAnsi="宋体" w:cs="宋体"/>
          <w:spacing w:val="-4"/>
          <w:szCs w:val="21"/>
          <w:u w:val="single"/>
        </w:rPr>
        <w:t xml:space="preserve">   </w:t>
      </w:r>
      <w:r>
        <w:rPr>
          <w:rFonts w:hint="eastAsia" w:ascii="宋体" w:hAnsi="宋体" w:cs="宋体"/>
          <w:spacing w:val="-4"/>
          <w:szCs w:val="21"/>
        </w:rPr>
        <w:t>（响应人名称）的</w:t>
      </w:r>
      <w:r>
        <w:rPr>
          <w:rFonts w:hint="eastAsia" w:ascii="宋体" w:hAnsi="宋体" w:cs="宋体"/>
          <w:spacing w:val="-4"/>
          <w:szCs w:val="21"/>
          <w:lang w:eastAsia="zh-CN"/>
        </w:rPr>
        <w:t>法定代表人（或单位负责人）</w:t>
      </w:r>
      <w:r>
        <w:rPr>
          <w:rFonts w:hint="eastAsia" w:ascii="宋体" w:hAnsi="宋体" w:cs="宋体"/>
          <w:spacing w:val="-4"/>
          <w:szCs w:val="21"/>
        </w:rPr>
        <w:t>，现授权委托本单位在职职工</w:t>
      </w:r>
      <w:r>
        <w:rPr>
          <w:rFonts w:ascii="宋体" w:hAnsi="宋体" w:cs="宋体"/>
          <w:spacing w:val="-4"/>
          <w:szCs w:val="21"/>
          <w:u w:val="single"/>
        </w:rPr>
        <w:t xml:space="preserve"> </w:t>
      </w:r>
      <w:r>
        <w:rPr>
          <w:rFonts w:hint="eastAsia" w:ascii="宋体" w:hAnsi="宋体" w:cs="宋体"/>
          <w:spacing w:val="-4"/>
          <w:szCs w:val="21"/>
          <w:u w:val="single"/>
        </w:rPr>
        <w:t xml:space="preserve">             </w:t>
      </w:r>
      <w:r>
        <w:rPr>
          <w:rFonts w:hint="eastAsia" w:ascii="宋体" w:hAnsi="宋体" w:cs="宋体"/>
          <w:spacing w:val="-4"/>
          <w:szCs w:val="21"/>
        </w:rPr>
        <w:t>（姓名）(身份证号码：</w:t>
      </w:r>
      <w:r>
        <w:rPr>
          <w:rFonts w:hint="eastAsia" w:ascii="宋体" w:hAnsi="宋体" w:cs="宋体"/>
          <w:spacing w:val="-4"/>
          <w:szCs w:val="21"/>
          <w:u w:val="single"/>
        </w:rPr>
        <w:t xml:space="preserve">                     </w:t>
      </w:r>
      <w:r>
        <w:rPr>
          <w:rFonts w:hint="eastAsia" w:ascii="宋体" w:hAnsi="宋体" w:cs="宋体"/>
          <w:spacing w:val="-4"/>
          <w:szCs w:val="21"/>
        </w:rPr>
        <w:t>)以我方的名义参加</w:t>
      </w:r>
      <w:r>
        <w:rPr>
          <w:rFonts w:hint="eastAsia" w:ascii="宋体" w:hAnsi="宋体" w:cs="宋体"/>
          <w:spacing w:val="-4"/>
          <w:szCs w:val="21"/>
          <w:u w:val="single"/>
        </w:rPr>
        <w:t xml:space="preserve">                           </w:t>
      </w:r>
      <w:r>
        <w:rPr>
          <w:rFonts w:hint="eastAsia" w:ascii="宋体" w:hAnsi="宋体" w:cs="宋体"/>
          <w:spacing w:val="-4"/>
          <w:szCs w:val="21"/>
        </w:rPr>
        <w:t>（项目名称）（项目编号）的采购活动，并代表我方全权办理针对上述项目的响应、开标、评标、签约等具体事务和签署相关文件。</w:t>
      </w:r>
    </w:p>
    <w:p w14:paraId="3A715D4A">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我方对被授权人的签名负全部责任。</w:t>
      </w:r>
    </w:p>
    <w:p w14:paraId="4963061A">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在撤销授权的书面通知以前，本授权函一直有效。被授权人在授权函有效期内签署的所有文件不因授权的撤销而失效。</w:t>
      </w:r>
    </w:p>
    <w:p w14:paraId="7548FADF">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被授权人无转委托权，特此委托。</w:t>
      </w:r>
    </w:p>
    <w:p w14:paraId="7BC93845">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 xml:space="preserve">被授权人（签字）：                           </w:t>
      </w:r>
      <w:r>
        <w:rPr>
          <w:rFonts w:hint="eastAsia" w:ascii="宋体" w:hAnsi="宋体" w:cs="宋体"/>
          <w:spacing w:val="-4"/>
          <w:szCs w:val="21"/>
          <w:lang w:eastAsia="zh-CN"/>
        </w:rPr>
        <w:t>法定代表人（或单位负责人）</w:t>
      </w:r>
      <w:r>
        <w:rPr>
          <w:rFonts w:hint="eastAsia" w:ascii="宋体" w:hAnsi="宋体" w:cs="宋体"/>
          <w:spacing w:val="-4"/>
          <w:szCs w:val="21"/>
        </w:rPr>
        <w:t xml:space="preserve">（签字或签章）：          </w:t>
      </w:r>
    </w:p>
    <w:p w14:paraId="7068C149">
      <w:pPr>
        <w:spacing w:line="360" w:lineRule="auto"/>
        <w:ind w:right="-89" w:firstLine="404" w:firstLineChars="200"/>
        <w:jc w:val="left"/>
        <w:rPr>
          <w:rFonts w:ascii="宋体" w:hAnsi="宋体" w:cs="宋体"/>
          <w:spacing w:val="-4"/>
          <w:szCs w:val="21"/>
        </w:rPr>
      </w:pPr>
      <w:r>
        <w:rPr>
          <w:rFonts w:hint="eastAsia" w:ascii="宋体" w:hAnsi="宋体" w:cs="宋体"/>
          <w:spacing w:val="-4"/>
          <w:szCs w:val="21"/>
        </w:rPr>
        <w:t xml:space="preserve">被授权人联系电话：                          </w:t>
      </w:r>
      <w:r>
        <w:rPr>
          <w:rFonts w:ascii="宋体" w:hAnsi="宋体" w:cs="宋体"/>
          <w:spacing w:val="-4"/>
          <w:szCs w:val="21"/>
        </w:rPr>
        <w:t xml:space="preserve"> </w:t>
      </w:r>
      <w:r>
        <w:rPr>
          <w:rFonts w:hint="eastAsia" w:ascii="宋体" w:hAnsi="宋体" w:cs="宋体"/>
          <w:spacing w:val="-4"/>
          <w:szCs w:val="21"/>
          <w:lang w:eastAsia="zh-CN"/>
        </w:rPr>
        <w:t>法定代表人（或单位负责人）</w:t>
      </w:r>
      <w:r>
        <w:rPr>
          <w:rFonts w:hint="eastAsia" w:ascii="宋体" w:hAnsi="宋体" w:cs="宋体"/>
          <w:spacing w:val="-4"/>
          <w:szCs w:val="21"/>
        </w:rPr>
        <w:t>联系电话：</w:t>
      </w:r>
    </w:p>
    <w:p w14:paraId="14783D5F">
      <w:pPr>
        <w:spacing w:line="360" w:lineRule="auto"/>
        <w:ind w:right="-89" w:firstLine="4444" w:firstLineChars="2200"/>
        <w:jc w:val="left"/>
        <w:rPr>
          <w:rFonts w:ascii="宋体" w:hAnsi="宋体" w:cs="宋体"/>
          <w:spacing w:val="-4"/>
          <w:szCs w:val="21"/>
        </w:rPr>
      </w:pPr>
    </w:p>
    <w:p w14:paraId="190309D6">
      <w:pPr>
        <w:spacing w:line="360" w:lineRule="auto"/>
        <w:ind w:right="-89" w:firstLine="4444" w:firstLineChars="2200"/>
        <w:jc w:val="left"/>
        <w:rPr>
          <w:rFonts w:ascii="宋体" w:hAnsi="宋体" w:cs="宋体"/>
          <w:spacing w:val="-4"/>
          <w:szCs w:val="21"/>
        </w:rPr>
      </w:pPr>
    </w:p>
    <w:p w14:paraId="7821750C">
      <w:pPr>
        <w:spacing w:line="360" w:lineRule="auto"/>
        <w:ind w:right="-89" w:firstLine="4444" w:firstLineChars="2200"/>
        <w:jc w:val="left"/>
        <w:rPr>
          <w:rFonts w:ascii="宋体" w:hAnsi="宋体" w:cs="宋体"/>
          <w:spacing w:val="-4"/>
          <w:szCs w:val="21"/>
        </w:rPr>
      </w:pPr>
      <w:r>
        <w:rPr>
          <w:rFonts w:hint="eastAsia" w:ascii="宋体" w:hAnsi="宋体" w:cs="宋体"/>
          <w:spacing w:val="-4"/>
          <w:szCs w:val="21"/>
        </w:rPr>
        <w:t>响应人名称：</w:t>
      </w:r>
      <w:r>
        <w:rPr>
          <w:rFonts w:hint="eastAsia" w:ascii="宋体" w:hAnsi="宋体" w:cs="宋体"/>
          <w:spacing w:val="20"/>
          <w:szCs w:val="21"/>
          <w:u w:val="single"/>
        </w:rPr>
        <w:t xml:space="preserve">                  </w:t>
      </w:r>
      <w:r>
        <w:rPr>
          <w:rFonts w:hint="eastAsia" w:ascii="宋体" w:hAnsi="宋体" w:cs="宋体"/>
          <w:spacing w:val="-4"/>
          <w:szCs w:val="21"/>
        </w:rPr>
        <w:t>（加盖公章）</w:t>
      </w:r>
    </w:p>
    <w:p w14:paraId="3780AD1B">
      <w:pPr>
        <w:spacing w:line="360" w:lineRule="auto"/>
        <w:rPr>
          <w:rFonts w:ascii="宋体" w:hAnsi="宋体" w:cs="宋体"/>
          <w:spacing w:val="-4"/>
          <w:szCs w:val="21"/>
        </w:rPr>
      </w:pPr>
      <w:r>
        <w:rPr>
          <w:rFonts w:hint="eastAsia" w:ascii="宋体" w:hAnsi="宋体" w:cs="宋体"/>
          <w:spacing w:val="-4"/>
          <w:szCs w:val="21"/>
        </w:rPr>
        <w:t xml:space="preserve">                                                                   </w:t>
      </w:r>
      <w:r>
        <w:rPr>
          <w:rFonts w:hint="eastAsia" w:ascii="宋体" w:hAnsi="宋体" w:cs="宋体"/>
          <w:spacing w:val="-4"/>
          <w:szCs w:val="21"/>
          <w:u w:val="single"/>
        </w:rPr>
        <w:t xml:space="preserve">     </w:t>
      </w:r>
      <w:r>
        <w:rPr>
          <w:rFonts w:hint="eastAsia" w:ascii="宋体" w:hAnsi="宋体" w:cs="宋体"/>
          <w:spacing w:val="-4"/>
          <w:szCs w:val="21"/>
        </w:rPr>
        <w:t xml:space="preserve"> 年</w:t>
      </w:r>
      <w:r>
        <w:rPr>
          <w:rFonts w:hint="eastAsia" w:ascii="宋体" w:hAnsi="宋体" w:cs="宋体"/>
          <w:spacing w:val="-4"/>
          <w:szCs w:val="21"/>
          <w:u w:val="single"/>
        </w:rPr>
        <w:t xml:space="preserve">    </w:t>
      </w:r>
      <w:r>
        <w:rPr>
          <w:rFonts w:hint="eastAsia" w:ascii="宋体" w:hAnsi="宋体" w:cs="宋体"/>
          <w:spacing w:val="-4"/>
          <w:szCs w:val="21"/>
        </w:rPr>
        <w:t>月</w:t>
      </w:r>
      <w:r>
        <w:rPr>
          <w:rFonts w:hint="eastAsia" w:ascii="宋体" w:hAnsi="宋体" w:cs="宋体"/>
          <w:spacing w:val="-4"/>
          <w:szCs w:val="21"/>
          <w:u w:val="single"/>
        </w:rPr>
        <w:t xml:space="preserve">    </w:t>
      </w:r>
      <w:r>
        <w:rPr>
          <w:rFonts w:hint="eastAsia" w:ascii="宋体" w:hAnsi="宋体" w:cs="宋体"/>
          <w:spacing w:val="-4"/>
          <w:szCs w:val="21"/>
        </w:rPr>
        <w:t>日</w:t>
      </w:r>
    </w:p>
    <w:p w14:paraId="55D58222">
      <w:pPr>
        <w:widowControl/>
        <w:jc w:val="left"/>
        <w:rPr>
          <w:rFonts w:ascii="宋体" w:hAnsi="宋体" w:cs="宋体"/>
          <w:spacing w:val="-4"/>
          <w:szCs w:val="21"/>
        </w:rPr>
      </w:pPr>
      <w:r>
        <w:rPr>
          <w:rFonts w:ascii="宋体" w:hAnsi="宋体" w:cs="宋体"/>
          <w:spacing w:val="-4"/>
          <w:szCs w:val="21"/>
        </w:rPr>
        <w:br w:type="page"/>
      </w:r>
    </w:p>
    <w:p w14:paraId="379CD781">
      <w:pPr>
        <w:rPr>
          <w:szCs w:val="21"/>
        </w:rPr>
      </w:pPr>
      <w:r>
        <w:rPr>
          <w:rFonts w:hint="eastAsia" w:ascii="宋体" w:hAnsi="宋体" w:cs="宋体"/>
          <w:b/>
          <w:szCs w:val="21"/>
        </w:rPr>
        <w:t>格式</w:t>
      </w:r>
      <w:r>
        <w:rPr>
          <w:rFonts w:hint="eastAsia" w:ascii="宋体" w:hAnsi="宋体" w:cs="宋体"/>
          <w:b/>
          <w:szCs w:val="21"/>
          <w:lang w:val="en-US" w:eastAsia="zh-CN"/>
        </w:rPr>
        <w:t>七</w:t>
      </w:r>
      <w:r>
        <w:rPr>
          <w:rFonts w:hint="eastAsia" w:ascii="宋体" w:hAnsi="宋体" w:cs="宋体"/>
          <w:b/>
          <w:szCs w:val="21"/>
        </w:rPr>
        <w:t>、业绩</w:t>
      </w:r>
    </w:p>
    <w:tbl>
      <w:tblPr>
        <w:tblStyle w:val="27"/>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559"/>
        <w:gridCol w:w="2304"/>
        <w:gridCol w:w="1200"/>
        <w:gridCol w:w="1200"/>
        <w:gridCol w:w="1559"/>
        <w:gridCol w:w="816"/>
      </w:tblGrid>
      <w:tr w14:paraId="7D3E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7" w:type="dxa"/>
            <w:noWrap w:val="0"/>
            <w:vAlign w:val="center"/>
          </w:tcPr>
          <w:p w14:paraId="24D6D09C">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559" w:type="dxa"/>
            <w:noWrap w:val="0"/>
            <w:vAlign w:val="center"/>
          </w:tcPr>
          <w:p w14:paraId="6785B230">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业主名称</w:t>
            </w:r>
          </w:p>
        </w:tc>
        <w:tc>
          <w:tcPr>
            <w:tcW w:w="2304" w:type="dxa"/>
            <w:noWrap w:val="0"/>
            <w:vAlign w:val="center"/>
          </w:tcPr>
          <w:p w14:paraId="49D63BC3">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项目内容</w:t>
            </w:r>
          </w:p>
        </w:tc>
        <w:tc>
          <w:tcPr>
            <w:tcW w:w="1200" w:type="dxa"/>
            <w:noWrap w:val="0"/>
            <w:vAlign w:val="center"/>
          </w:tcPr>
          <w:p w14:paraId="24EC4FBF">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签订日期</w:t>
            </w:r>
          </w:p>
        </w:tc>
        <w:tc>
          <w:tcPr>
            <w:tcW w:w="1200" w:type="dxa"/>
            <w:noWrap w:val="0"/>
            <w:vAlign w:val="center"/>
          </w:tcPr>
          <w:p w14:paraId="4BC98F0D">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合同金额</w:t>
            </w:r>
          </w:p>
        </w:tc>
        <w:tc>
          <w:tcPr>
            <w:tcW w:w="1559" w:type="dxa"/>
            <w:noWrap w:val="0"/>
            <w:vAlign w:val="center"/>
          </w:tcPr>
          <w:p w14:paraId="562AFEAF">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业主联系人及联系方式</w:t>
            </w:r>
          </w:p>
        </w:tc>
        <w:tc>
          <w:tcPr>
            <w:tcW w:w="816" w:type="dxa"/>
            <w:noWrap w:val="0"/>
            <w:vAlign w:val="center"/>
          </w:tcPr>
          <w:p w14:paraId="7D5B7D31">
            <w:pPr>
              <w:snapToGrid w:val="0"/>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附件</w:t>
            </w:r>
          </w:p>
          <w:p w14:paraId="391E9B80">
            <w:pPr>
              <w:snapToGrid w:val="0"/>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页码</w:t>
            </w:r>
          </w:p>
        </w:tc>
      </w:tr>
      <w:tr w14:paraId="6A39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7" w:type="dxa"/>
            <w:noWrap w:val="0"/>
            <w:vAlign w:val="center"/>
          </w:tcPr>
          <w:p w14:paraId="6340D228">
            <w:pPr>
              <w:spacing w:line="240" w:lineRule="auto"/>
              <w:jc w:val="center"/>
              <w:rPr>
                <w:rFonts w:hint="eastAsia" w:ascii="宋体" w:hAnsi="宋体" w:eastAsia="宋体" w:cs="宋体"/>
                <w:b/>
                <w:sz w:val="21"/>
                <w:szCs w:val="21"/>
              </w:rPr>
            </w:pPr>
          </w:p>
        </w:tc>
        <w:tc>
          <w:tcPr>
            <w:tcW w:w="1559" w:type="dxa"/>
            <w:noWrap w:val="0"/>
            <w:vAlign w:val="center"/>
          </w:tcPr>
          <w:p w14:paraId="494C93E4">
            <w:pPr>
              <w:spacing w:line="240" w:lineRule="auto"/>
              <w:jc w:val="center"/>
              <w:rPr>
                <w:rFonts w:hint="eastAsia" w:ascii="宋体" w:hAnsi="宋体" w:eastAsia="宋体" w:cs="宋体"/>
                <w:b/>
                <w:sz w:val="21"/>
                <w:szCs w:val="21"/>
              </w:rPr>
            </w:pPr>
          </w:p>
        </w:tc>
        <w:tc>
          <w:tcPr>
            <w:tcW w:w="2304" w:type="dxa"/>
            <w:noWrap w:val="0"/>
            <w:vAlign w:val="center"/>
          </w:tcPr>
          <w:p w14:paraId="78271C14">
            <w:pPr>
              <w:spacing w:line="240" w:lineRule="auto"/>
              <w:jc w:val="center"/>
              <w:rPr>
                <w:rFonts w:hint="eastAsia" w:ascii="宋体" w:hAnsi="宋体" w:eastAsia="宋体" w:cs="宋体"/>
                <w:b/>
                <w:sz w:val="21"/>
                <w:szCs w:val="21"/>
              </w:rPr>
            </w:pPr>
          </w:p>
        </w:tc>
        <w:tc>
          <w:tcPr>
            <w:tcW w:w="1200" w:type="dxa"/>
            <w:noWrap w:val="0"/>
            <w:vAlign w:val="center"/>
          </w:tcPr>
          <w:p w14:paraId="3793CFE8">
            <w:pPr>
              <w:spacing w:line="240" w:lineRule="auto"/>
              <w:jc w:val="center"/>
              <w:rPr>
                <w:rFonts w:hint="eastAsia" w:ascii="宋体" w:hAnsi="宋体" w:eastAsia="宋体" w:cs="宋体"/>
                <w:b/>
                <w:sz w:val="21"/>
                <w:szCs w:val="21"/>
              </w:rPr>
            </w:pPr>
          </w:p>
        </w:tc>
        <w:tc>
          <w:tcPr>
            <w:tcW w:w="1200" w:type="dxa"/>
            <w:noWrap w:val="0"/>
            <w:vAlign w:val="center"/>
          </w:tcPr>
          <w:p w14:paraId="548957CD">
            <w:pPr>
              <w:spacing w:line="240" w:lineRule="auto"/>
              <w:jc w:val="center"/>
              <w:rPr>
                <w:rFonts w:hint="eastAsia" w:ascii="宋体" w:hAnsi="宋体" w:eastAsia="宋体" w:cs="宋体"/>
                <w:b/>
                <w:sz w:val="21"/>
                <w:szCs w:val="21"/>
              </w:rPr>
            </w:pPr>
          </w:p>
        </w:tc>
        <w:tc>
          <w:tcPr>
            <w:tcW w:w="1559" w:type="dxa"/>
            <w:noWrap w:val="0"/>
            <w:vAlign w:val="center"/>
          </w:tcPr>
          <w:p w14:paraId="04534936">
            <w:pPr>
              <w:spacing w:line="240" w:lineRule="auto"/>
              <w:jc w:val="center"/>
              <w:rPr>
                <w:rFonts w:hint="eastAsia" w:ascii="宋体" w:hAnsi="宋体" w:eastAsia="宋体" w:cs="宋体"/>
                <w:b/>
                <w:sz w:val="21"/>
                <w:szCs w:val="21"/>
              </w:rPr>
            </w:pPr>
          </w:p>
        </w:tc>
        <w:tc>
          <w:tcPr>
            <w:tcW w:w="816" w:type="dxa"/>
            <w:noWrap w:val="0"/>
            <w:vAlign w:val="center"/>
          </w:tcPr>
          <w:p w14:paraId="38EC10A9">
            <w:pPr>
              <w:spacing w:line="240" w:lineRule="auto"/>
              <w:jc w:val="center"/>
              <w:rPr>
                <w:rFonts w:hint="eastAsia" w:ascii="宋体" w:hAnsi="宋体" w:eastAsia="宋体" w:cs="宋体"/>
                <w:b/>
                <w:sz w:val="21"/>
                <w:szCs w:val="21"/>
              </w:rPr>
            </w:pPr>
          </w:p>
        </w:tc>
      </w:tr>
      <w:tr w14:paraId="47DE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7" w:type="dxa"/>
            <w:noWrap w:val="0"/>
            <w:vAlign w:val="center"/>
          </w:tcPr>
          <w:p w14:paraId="3811B95E">
            <w:pPr>
              <w:spacing w:line="240" w:lineRule="auto"/>
              <w:jc w:val="center"/>
              <w:rPr>
                <w:rFonts w:hint="eastAsia" w:ascii="宋体" w:hAnsi="宋体" w:eastAsia="宋体" w:cs="宋体"/>
                <w:b/>
                <w:sz w:val="21"/>
                <w:szCs w:val="21"/>
              </w:rPr>
            </w:pPr>
          </w:p>
        </w:tc>
        <w:tc>
          <w:tcPr>
            <w:tcW w:w="1559" w:type="dxa"/>
            <w:noWrap w:val="0"/>
            <w:vAlign w:val="center"/>
          </w:tcPr>
          <w:p w14:paraId="03882894">
            <w:pPr>
              <w:spacing w:line="240" w:lineRule="auto"/>
              <w:jc w:val="center"/>
              <w:rPr>
                <w:rFonts w:hint="eastAsia" w:ascii="宋体" w:hAnsi="宋体" w:eastAsia="宋体" w:cs="宋体"/>
                <w:b/>
                <w:sz w:val="21"/>
                <w:szCs w:val="21"/>
              </w:rPr>
            </w:pPr>
          </w:p>
        </w:tc>
        <w:tc>
          <w:tcPr>
            <w:tcW w:w="2304" w:type="dxa"/>
            <w:noWrap w:val="0"/>
            <w:vAlign w:val="center"/>
          </w:tcPr>
          <w:p w14:paraId="01AA3FB9">
            <w:pPr>
              <w:spacing w:line="240" w:lineRule="auto"/>
              <w:jc w:val="center"/>
              <w:rPr>
                <w:rFonts w:hint="eastAsia" w:ascii="宋体" w:hAnsi="宋体" w:eastAsia="宋体" w:cs="宋体"/>
                <w:b/>
                <w:sz w:val="21"/>
                <w:szCs w:val="21"/>
              </w:rPr>
            </w:pPr>
          </w:p>
        </w:tc>
        <w:tc>
          <w:tcPr>
            <w:tcW w:w="1200" w:type="dxa"/>
            <w:noWrap w:val="0"/>
            <w:vAlign w:val="center"/>
          </w:tcPr>
          <w:p w14:paraId="30355B3C">
            <w:pPr>
              <w:spacing w:line="240" w:lineRule="auto"/>
              <w:jc w:val="center"/>
              <w:rPr>
                <w:rFonts w:hint="eastAsia" w:ascii="宋体" w:hAnsi="宋体" w:eastAsia="宋体" w:cs="宋体"/>
                <w:b/>
                <w:sz w:val="21"/>
                <w:szCs w:val="21"/>
              </w:rPr>
            </w:pPr>
          </w:p>
        </w:tc>
        <w:tc>
          <w:tcPr>
            <w:tcW w:w="1200" w:type="dxa"/>
            <w:noWrap w:val="0"/>
            <w:vAlign w:val="center"/>
          </w:tcPr>
          <w:p w14:paraId="31F2E65F">
            <w:pPr>
              <w:spacing w:line="240" w:lineRule="auto"/>
              <w:jc w:val="center"/>
              <w:rPr>
                <w:rFonts w:hint="eastAsia" w:ascii="宋体" w:hAnsi="宋体" w:eastAsia="宋体" w:cs="宋体"/>
                <w:b/>
                <w:sz w:val="21"/>
                <w:szCs w:val="21"/>
              </w:rPr>
            </w:pPr>
          </w:p>
        </w:tc>
        <w:tc>
          <w:tcPr>
            <w:tcW w:w="1559" w:type="dxa"/>
            <w:noWrap w:val="0"/>
            <w:vAlign w:val="center"/>
          </w:tcPr>
          <w:p w14:paraId="14CADBCE">
            <w:pPr>
              <w:spacing w:line="240" w:lineRule="auto"/>
              <w:jc w:val="center"/>
              <w:rPr>
                <w:rFonts w:hint="eastAsia" w:ascii="宋体" w:hAnsi="宋体" w:eastAsia="宋体" w:cs="宋体"/>
                <w:b/>
                <w:sz w:val="21"/>
                <w:szCs w:val="21"/>
              </w:rPr>
            </w:pPr>
          </w:p>
        </w:tc>
        <w:tc>
          <w:tcPr>
            <w:tcW w:w="816" w:type="dxa"/>
            <w:noWrap w:val="0"/>
            <w:vAlign w:val="center"/>
          </w:tcPr>
          <w:p w14:paraId="67968D3B">
            <w:pPr>
              <w:spacing w:line="240" w:lineRule="auto"/>
              <w:jc w:val="center"/>
              <w:rPr>
                <w:rFonts w:hint="eastAsia" w:ascii="宋体" w:hAnsi="宋体" w:eastAsia="宋体" w:cs="宋体"/>
                <w:b/>
                <w:sz w:val="21"/>
                <w:szCs w:val="21"/>
              </w:rPr>
            </w:pPr>
          </w:p>
        </w:tc>
      </w:tr>
      <w:tr w14:paraId="0EBE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7" w:type="dxa"/>
            <w:noWrap w:val="0"/>
            <w:vAlign w:val="center"/>
          </w:tcPr>
          <w:p w14:paraId="4526028F">
            <w:pPr>
              <w:spacing w:line="240" w:lineRule="auto"/>
              <w:jc w:val="center"/>
              <w:rPr>
                <w:rFonts w:hint="eastAsia" w:ascii="宋体" w:hAnsi="宋体" w:eastAsia="宋体" w:cs="宋体"/>
                <w:b/>
                <w:sz w:val="21"/>
                <w:szCs w:val="21"/>
              </w:rPr>
            </w:pPr>
          </w:p>
        </w:tc>
        <w:tc>
          <w:tcPr>
            <w:tcW w:w="1559" w:type="dxa"/>
            <w:noWrap w:val="0"/>
            <w:vAlign w:val="center"/>
          </w:tcPr>
          <w:p w14:paraId="18AA785A">
            <w:pPr>
              <w:spacing w:line="240" w:lineRule="auto"/>
              <w:jc w:val="center"/>
              <w:rPr>
                <w:rFonts w:hint="eastAsia" w:ascii="宋体" w:hAnsi="宋体" w:eastAsia="宋体" w:cs="宋体"/>
                <w:b/>
                <w:sz w:val="21"/>
                <w:szCs w:val="21"/>
              </w:rPr>
            </w:pPr>
          </w:p>
        </w:tc>
        <w:tc>
          <w:tcPr>
            <w:tcW w:w="2304" w:type="dxa"/>
            <w:noWrap w:val="0"/>
            <w:vAlign w:val="center"/>
          </w:tcPr>
          <w:p w14:paraId="22B07144">
            <w:pPr>
              <w:spacing w:line="240" w:lineRule="auto"/>
              <w:jc w:val="center"/>
              <w:rPr>
                <w:rFonts w:hint="eastAsia" w:ascii="宋体" w:hAnsi="宋体" w:eastAsia="宋体" w:cs="宋体"/>
                <w:b/>
                <w:sz w:val="21"/>
                <w:szCs w:val="21"/>
              </w:rPr>
            </w:pPr>
          </w:p>
        </w:tc>
        <w:tc>
          <w:tcPr>
            <w:tcW w:w="1200" w:type="dxa"/>
            <w:noWrap w:val="0"/>
            <w:vAlign w:val="center"/>
          </w:tcPr>
          <w:p w14:paraId="1FC19CD1">
            <w:pPr>
              <w:spacing w:line="240" w:lineRule="auto"/>
              <w:jc w:val="center"/>
              <w:rPr>
                <w:rFonts w:hint="eastAsia" w:ascii="宋体" w:hAnsi="宋体" w:eastAsia="宋体" w:cs="宋体"/>
                <w:b/>
                <w:sz w:val="21"/>
                <w:szCs w:val="21"/>
              </w:rPr>
            </w:pPr>
          </w:p>
        </w:tc>
        <w:tc>
          <w:tcPr>
            <w:tcW w:w="1200" w:type="dxa"/>
            <w:noWrap w:val="0"/>
            <w:vAlign w:val="center"/>
          </w:tcPr>
          <w:p w14:paraId="169F8CE0">
            <w:pPr>
              <w:spacing w:line="240" w:lineRule="auto"/>
              <w:jc w:val="center"/>
              <w:rPr>
                <w:rFonts w:hint="eastAsia" w:ascii="宋体" w:hAnsi="宋体" w:eastAsia="宋体" w:cs="宋体"/>
                <w:b/>
                <w:sz w:val="21"/>
                <w:szCs w:val="21"/>
              </w:rPr>
            </w:pPr>
          </w:p>
        </w:tc>
        <w:tc>
          <w:tcPr>
            <w:tcW w:w="1559" w:type="dxa"/>
            <w:noWrap w:val="0"/>
            <w:vAlign w:val="center"/>
          </w:tcPr>
          <w:p w14:paraId="63EDBA1B">
            <w:pPr>
              <w:spacing w:line="240" w:lineRule="auto"/>
              <w:jc w:val="center"/>
              <w:rPr>
                <w:rFonts w:hint="eastAsia" w:ascii="宋体" w:hAnsi="宋体" w:eastAsia="宋体" w:cs="宋体"/>
                <w:b/>
                <w:sz w:val="21"/>
                <w:szCs w:val="21"/>
              </w:rPr>
            </w:pPr>
          </w:p>
        </w:tc>
        <w:tc>
          <w:tcPr>
            <w:tcW w:w="816" w:type="dxa"/>
            <w:noWrap w:val="0"/>
            <w:vAlign w:val="center"/>
          </w:tcPr>
          <w:p w14:paraId="76D4C286">
            <w:pPr>
              <w:spacing w:line="240" w:lineRule="auto"/>
              <w:jc w:val="center"/>
              <w:rPr>
                <w:rFonts w:hint="eastAsia" w:ascii="宋体" w:hAnsi="宋体" w:eastAsia="宋体" w:cs="宋体"/>
                <w:b/>
                <w:sz w:val="21"/>
                <w:szCs w:val="21"/>
              </w:rPr>
            </w:pPr>
          </w:p>
        </w:tc>
      </w:tr>
      <w:tr w14:paraId="1AAF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7" w:type="dxa"/>
            <w:noWrap w:val="0"/>
            <w:vAlign w:val="center"/>
          </w:tcPr>
          <w:p w14:paraId="01C3DC0A">
            <w:pPr>
              <w:spacing w:line="240" w:lineRule="auto"/>
              <w:jc w:val="center"/>
              <w:rPr>
                <w:rFonts w:hint="eastAsia" w:ascii="宋体" w:hAnsi="宋体" w:eastAsia="宋体" w:cs="宋体"/>
                <w:b/>
                <w:sz w:val="21"/>
                <w:szCs w:val="21"/>
              </w:rPr>
            </w:pPr>
          </w:p>
        </w:tc>
        <w:tc>
          <w:tcPr>
            <w:tcW w:w="1559" w:type="dxa"/>
            <w:noWrap w:val="0"/>
            <w:vAlign w:val="center"/>
          </w:tcPr>
          <w:p w14:paraId="2EE58ECC">
            <w:pPr>
              <w:spacing w:line="240" w:lineRule="auto"/>
              <w:jc w:val="center"/>
              <w:rPr>
                <w:rFonts w:hint="eastAsia" w:ascii="宋体" w:hAnsi="宋体" w:eastAsia="宋体" w:cs="宋体"/>
                <w:b/>
                <w:sz w:val="21"/>
                <w:szCs w:val="21"/>
              </w:rPr>
            </w:pPr>
          </w:p>
        </w:tc>
        <w:tc>
          <w:tcPr>
            <w:tcW w:w="2304" w:type="dxa"/>
            <w:noWrap w:val="0"/>
            <w:vAlign w:val="center"/>
          </w:tcPr>
          <w:p w14:paraId="72E0FB32">
            <w:pPr>
              <w:spacing w:line="240" w:lineRule="auto"/>
              <w:jc w:val="center"/>
              <w:rPr>
                <w:rFonts w:hint="eastAsia" w:ascii="宋体" w:hAnsi="宋体" w:eastAsia="宋体" w:cs="宋体"/>
                <w:b/>
                <w:sz w:val="21"/>
                <w:szCs w:val="21"/>
              </w:rPr>
            </w:pPr>
          </w:p>
        </w:tc>
        <w:tc>
          <w:tcPr>
            <w:tcW w:w="1200" w:type="dxa"/>
            <w:noWrap w:val="0"/>
            <w:vAlign w:val="center"/>
          </w:tcPr>
          <w:p w14:paraId="75AEA16A">
            <w:pPr>
              <w:spacing w:line="240" w:lineRule="auto"/>
              <w:jc w:val="center"/>
              <w:rPr>
                <w:rFonts w:hint="eastAsia" w:ascii="宋体" w:hAnsi="宋体" w:eastAsia="宋体" w:cs="宋体"/>
                <w:b/>
                <w:sz w:val="21"/>
                <w:szCs w:val="21"/>
              </w:rPr>
            </w:pPr>
          </w:p>
        </w:tc>
        <w:tc>
          <w:tcPr>
            <w:tcW w:w="1200" w:type="dxa"/>
            <w:noWrap w:val="0"/>
            <w:vAlign w:val="center"/>
          </w:tcPr>
          <w:p w14:paraId="7D25D19F">
            <w:pPr>
              <w:spacing w:line="240" w:lineRule="auto"/>
              <w:jc w:val="center"/>
              <w:rPr>
                <w:rFonts w:hint="eastAsia" w:ascii="宋体" w:hAnsi="宋体" w:eastAsia="宋体" w:cs="宋体"/>
                <w:b/>
                <w:sz w:val="21"/>
                <w:szCs w:val="21"/>
              </w:rPr>
            </w:pPr>
          </w:p>
        </w:tc>
        <w:tc>
          <w:tcPr>
            <w:tcW w:w="1559" w:type="dxa"/>
            <w:noWrap w:val="0"/>
            <w:vAlign w:val="center"/>
          </w:tcPr>
          <w:p w14:paraId="33B04A30">
            <w:pPr>
              <w:spacing w:line="240" w:lineRule="auto"/>
              <w:jc w:val="center"/>
              <w:rPr>
                <w:rFonts w:hint="eastAsia" w:ascii="宋体" w:hAnsi="宋体" w:eastAsia="宋体" w:cs="宋体"/>
                <w:b/>
                <w:sz w:val="21"/>
                <w:szCs w:val="21"/>
              </w:rPr>
            </w:pPr>
          </w:p>
        </w:tc>
        <w:tc>
          <w:tcPr>
            <w:tcW w:w="816" w:type="dxa"/>
            <w:noWrap w:val="0"/>
            <w:vAlign w:val="center"/>
          </w:tcPr>
          <w:p w14:paraId="748B48CB">
            <w:pPr>
              <w:spacing w:line="240" w:lineRule="auto"/>
              <w:jc w:val="center"/>
              <w:rPr>
                <w:rFonts w:hint="eastAsia" w:ascii="宋体" w:hAnsi="宋体" w:eastAsia="宋体" w:cs="宋体"/>
                <w:b/>
                <w:sz w:val="21"/>
                <w:szCs w:val="21"/>
              </w:rPr>
            </w:pPr>
          </w:p>
        </w:tc>
      </w:tr>
      <w:tr w14:paraId="1525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7" w:type="dxa"/>
            <w:noWrap w:val="0"/>
            <w:vAlign w:val="center"/>
          </w:tcPr>
          <w:p w14:paraId="4FA2F099">
            <w:pPr>
              <w:spacing w:line="240" w:lineRule="auto"/>
              <w:jc w:val="center"/>
              <w:rPr>
                <w:rFonts w:hint="eastAsia" w:ascii="宋体" w:hAnsi="宋体" w:eastAsia="宋体" w:cs="宋体"/>
                <w:b/>
                <w:sz w:val="21"/>
                <w:szCs w:val="21"/>
              </w:rPr>
            </w:pPr>
          </w:p>
        </w:tc>
        <w:tc>
          <w:tcPr>
            <w:tcW w:w="1559" w:type="dxa"/>
            <w:noWrap w:val="0"/>
            <w:vAlign w:val="center"/>
          </w:tcPr>
          <w:p w14:paraId="71D3698F">
            <w:pPr>
              <w:spacing w:line="240" w:lineRule="auto"/>
              <w:jc w:val="center"/>
              <w:rPr>
                <w:rFonts w:hint="eastAsia" w:ascii="宋体" w:hAnsi="宋体" w:eastAsia="宋体" w:cs="宋体"/>
                <w:b/>
                <w:sz w:val="21"/>
                <w:szCs w:val="21"/>
              </w:rPr>
            </w:pPr>
          </w:p>
        </w:tc>
        <w:tc>
          <w:tcPr>
            <w:tcW w:w="2304" w:type="dxa"/>
            <w:noWrap w:val="0"/>
            <w:vAlign w:val="center"/>
          </w:tcPr>
          <w:p w14:paraId="4C889B40">
            <w:pPr>
              <w:spacing w:line="240" w:lineRule="auto"/>
              <w:jc w:val="center"/>
              <w:rPr>
                <w:rFonts w:hint="eastAsia" w:ascii="宋体" w:hAnsi="宋体" w:eastAsia="宋体" w:cs="宋体"/>
                <w:b/>
                <w:sz w:val="21"/>
                <w:szCs w:val="21"/>
              </w:rPr>
            </w:pPr>
          </w:p>
        </w:tc>
        <w:tc>
          <w:tcPr>
            <w:tcW w:w="1200" w:type="dxa"/>
            <w:noWrap w:val="0"/>
            <w:vAlign w:val="center"/>
          </w:tcPr>
          <w:p w14:paraId="650F3FC0">
            <w:pPr>
              <w:spacing w:line="240" w:lineRule="auto"/>
              <w:jc w:val="center"/>
              <w:rPr>
                <w:rFonts w:hint="eastAsia" w:ascii="宋体" w:hAnsi="宋体" w:eastAsia="宋体" w:cs="宋体"/>
                <w:b/>
                <w:sz w:val="21"/>
                <w:szCs w:val="21"/>
              </w:rPr>
            </w:pPr>
          </w:p>
        </w:tc>
        <w:tc>
          <w:tcPr>
            <w:tcW w:w="1200" w:type="dxa"/>
            <w:noWrap w:val="0"/>
            <w:vAlign w:val="center"/>
          </w:tcPr>
          <w:p w14:paraId="6D255872">
            <w:pPr>
              <w:spacing w:line="240" w:lineRule="auto"/>
              <w:jc w:val="center"/>
              <w:rPr>
                <w:rFonts w:hint="eastAsia" w:ascii="宋体" w:hAnsi="宋体" w:eastAsia="宋体" w:cs="宋体"/>
                <w:b/>
                <w:sz w:val="21"/>
                <w:szCs w:val="21"/>
              </w:rPr>
            </w:pPr>
          </w:p>
        </w:tc>
        <w:tc>
          <w:tcPr>
            <w:tcW w:w="1559" w:type="dxa"/>
            <w:noWrap w:val="0"/>
            <w:vAlign w:val="center"/>
          </w:tcPr>
          <w:p w14:paraId="0A9CD6A8">
            <w:pPr>
              <w:spacing w:line="240" w:lineRule="auto"/>
              <w:jc w:val="center"/>
              <w:rPr>
                <w:rFonts w:hint="eastAsia" w:ascii="宋体" w:hAnsi="宋体" w:eastAsia="宋体" w:cs="宋体"/>
                <w:b/>
                <w:sz w:val="21"/>
                <w:szCs w:val="21"/>
              </w:rPr>
            </w:pPr>
          </w:p>
        </w:tc>
        <w:tc>
          <w:tcPr>
            <w:tcW w:w="816" w:type="dxa"/>
            <w:noWrap w:val="0"/>
            <w:vAlign w:val="center"/>
          </w:tcPr>
          <w:p w14:paraId="3840A2B8">
            <w:pPr>
              <w:spacing w:line="240" w:lineRule="auto"/>
              <w:jc w:val="center"/>
              <w:rPr>
                <w:rFonts w:hint="eastAsia" w:ascii="宋体" w:hAnsi="宋体" w:eastAsia="宋体" w:cs="宋体"/>
                <w:b/>
                <w:sz w:val="21"/>
                <w:szCs w:val="21"/>
              </w:rPr>
            </w:pPr>
          </w:p>
        </w:tc>
      </w:tr>
      <w:tr w14:paraId="0258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7" w:type="dxa"/>
            <w:noWrap w:val="0"/>
            <w:vAlign w:val="center"/>
          </w:tcPr>
          <w:p w14:paraId="18A70E48">
            <w:pPr>
              <w:spacing w:line="240" w:lineRule="auto"/>
              <w:jc w:val="center"/>
              <w:rPr>
                <w:rFonts w:hint="eastAsia" w:ascii="宋体" w:hAnsi="宋体" w:eastAsia="宋体" w:cs="宋体"/>
                <w:b/>
                <w:sz w:val="21"/>
                <w:szCs w:val="21"/>
              </w:rPr>
            </w:pPr>
          </w:p>
        </w:tc>
        <w:tc>
          <w:tcPr>
            <w:tcW w:w="1559" w:type="dxa"/>
            <w:noWrap w:val="0"/>
            <w:vAlign w:val="center"/>
          </w:tcPr>
          <w:p w14:paraId="3B0F516F">
            <w:pPr>
              <w:spacing w:line="240" w:lineRule="auto"/>
              <w:jc w:val="center"/>
              <w:rPr>
                <w:rFonts w:hint="eastAsia" w:ascii="宋体" w:hAnsi="宋体" w:eastAsia="宋体" w:cs="宋体"/>
                <w:b/>
                <w:sz w:val="21"/>
                <w:szCs w:val="21"/>
              </w:rPr>
            </w:pPr>
          </w:p>
        </w:tc>
        <w:tc>
          <w:tcPr>
            <w:tcW w:w="2304" w:type="dxa"/>
            <w:noWrap w:val="0"/>
            <w:vAlign w:val="center"/>
          </w:tcPr>
          <w:p w14:paraId="4DE37F72">
            <w:pPr>
              <w:spacing w:line="240" w:lineRule="auto"/>
              <w:jc w:val="center"/>
              <w:rPr>
                <w:rFonts w:hint="eastAsia" w:ascii="宋体" w:hAnsi="宋体" w:eastAsia="宋体" w:cs="宋体"/>
                <w:b/>
                <w:sz w:val="21"/>
                <w:szCs w:val="21"/>
              </w:rPr>
            </w:pPr>
          </w:p>
        </w:tc>
        <w:tc>
          <w:tcPr>
            <w:tcW w:w="1200" w:type="dxa"/>
            <w:noWrap w:val="0"/>
            <w:vAlign w:val="center"/>
          </w:tcPr>
          <w:p w14:paraId="26EF25E7">
            <w:pPr>
              <w:spacing w:line="240" w:lineRule="auto"/>
              <w:jc w:val="center"/>
              <w:rPr>
                <w:rFonts w:hint="eastAsia" w:ascii="宋体" w:hAnsi="宋体" w:eastAsia="宋体" w:cs="宋体"/>
                <w:b/>
                <w:sz w:val="21"/>
                <w:szCs w:val="21"/>
              </w:rPr>
            </w:pPr>
          </w:p>
        </w:tc>
        <w:tc>
          <w:tcPr>
            <w:tcW w:w="1200" w:type="dxa"/>
            <w:noWrap w:val="0"/>
            <w:vAlign w:val="center"/>
          </w:tcPr>
          <w:p w14:paraId="65E2BAE9">
            <w:pPr>
              <w:spacing w:line="240" w:lineRule="auto"/>
              <w:jc w:val="center"/>
              <w:rPr>
                <w:rFonts w:hint="eastAsia" w:ascii="宋体" w:hAnsi="宋体" w:eastAsia="宋体" w:cs="宋体"/>
                <w:b/>
                <w:sz w:val="21"/>
                <w:szCs w:val="21"/>
              </w:rPr>
            </w:pPr>
          </w:p>
        </w:tc>
        <w:tc>
          <w:tcPr>
            <w:tcW w:w="1559" w:type="dxa"/>
            <w:noWrap w:val="0"/>
            <w:vAlign w:val="center"/>
          </w:tcPr>
          <w:p w14:paraId="5B23629A">
            <w:pPr>
              <w:spacing w:line="240" w:lineRule="auto"/>
              <w:jc w:val="center"/>
              <w:rPr>
                <w:rFonts w:hint="eastAsia" w:ascii="宋体" w:hAnsi="宋体" w:eastAsia="宋体" w:cs="宋体"/>
                <w:b/>
                <w:sz w:val="21"/>
                <w:szCs w:val="21"/>
              </w:rPr>
            </w:pPr>
          </w:p>
        </w:tc>
        <w:tc>
          <w:tcPr>
            <w:tcW w:w="816" w:type="dxa"/>
            <w:noWrap w:val="0"/>
            <w:vAlign w:val="center"/>
          </w:tcPr>
          <w:p w14:paraId="71086E1F">
            <w:pPr>
              <w:spacing w:line="240" w:lineRule="auto"/>
              <w:jc w:val="center"/>
              <w:rPr>
                <w:rFonts w:hint="eastAsia" w:ascii="宋体" w:hAnsi="宋体" w:eastAsia="宋体" w:cs="宋体"/>
                <w:b/>
                <w:sz w:val="21"/>
                <w:szCs w:val="21"/>
              </w:rPr>
            </w:pPr>
          </w:p>
        </w:tc>
      </w:tr>
    </w:tbl>
    <w:p w14:paraId="22D26EC9">
      <w:pPr>
        <w:spacing w:line="480" w:lineRule="auto"/>
        <w:rPr>
          <w:rFonts w:ascii="宋体" w:hAnsi="宋体" w:cs="宋体"/>
          <w:szCs w:val="21"/>
        </w:rPr>
      </w:pPr>
    </w:p>
    <w:p w14:paraId="032E33E5">
      <w:pPr>
        <w:spacing w:line="480" w:lineRule="auto"/>
        <w:rPr>
          <w:rFonts w:ascii="宋体" w:hAnsi="宋体" w:cs="宋体"/>
          <w:szCs w:val="21"/>
          <w:u w:val="single"/>
        </w:rPr>
      </w:pPr>
      <w:r>
        <w:rPr>
          <w:rFonts w:hint="eastAsia" w:ascii="宋体" w:hAnsi="宋体" w:cs="宋体"/>
          <w:szCs w:val="21"/>
        </w:rPr>
        <w:t>响应人名称：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14:paraId="218E2F78">
      <w:pPr>
        <w:spacing w:line="480" w:lineRule="auto"/>
        <w:rPr>
          <w:rFonts w:ascii="宋体" w:hAnsi="宋体" w:cs="宋体"/>
          <w:szCs w:val="21"/>
        </w:rPr>
      </w:pPr>
      <w:r>
        <w:rPr>
          <w:rFonts w:hint="eastAsia" w:ascii="宋体" w:hAnsi="宋体" w:cs="宋体"/>
          <w:szCs w:val="21"/>
        </w:rPr>
        <w:t>响应</w:t>
      </w:r>
      <w:r>
        <w:rPr>
          <w:rFonts w:hint="eastAsia" w:ascii="宋体" w:hAnsi="宋体" w:cs="宋体"/>
          <w:spacing w:val="-4"/>
          <w:szCs w:val="21"/>
        </w:rPr>
        <w:t>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w:t>
      </w:r>
    </w:p>
    <w:p w14:paraId="2097ACAC">
      <w:pPr>
        <w:spacing w:line="480" w:lineRule="auto"/>
        <w:rPr>
          <w:rFonts w:ascii="宋体" w:hAnsi="宋体" w:cs="宋体"/>
          <w:szCs w:val="21"/>
        </w:rPr>
      </w:pPr>
      <w:r>
        <w:rPr>
          <w:rFonts w:hint="eastAsia" w:ascii="宋体" w:hAnsi="宋体" w:cs="宋体"/>
          <w:spacing w:val="20"/>
          <w:szCs w:val="21"/>
        </w:rPr>
        <w:t>日期：</w:t>
      </w:r>
      <w:r>
        <w:rPr>
          <w:rFonts w:hint="eastAsia" w:ascii="宋体" w:hAnsi="宋体" w:cs="宋体"/>
          <w:spacing w:val="20"/>
          <w:szCs w:val="21"/>
          <w:u w:val="single"/>
        </w:rPr>
        <w:t xml:space="preserve">    </w:t>
      </w:r>
      <w:r>
        <w:rPr>
          <w:rFonts w:hint="eastAsia" w:ascii="宋体" w:hAnsi="宋体" w:cs="宋体"/>
          <w:spacing w:val="20"/>
          <w:szCs w:val="21"/>
        </w:rPr>
        <w:t>年</w:t>
      </w:r>
      <w:r>
        <w:rPr>
          <w:rFonts w:hint="eastAsia" w:ascii="宋体" w:hAnsi="宋体" w:cs="宋体"/>
          <w:spacing w:val="20"/>
          <w:szCs w:val="21"/>
          <w:u w:val="single"/>
        </w:rPr>
        <w:t xml:space="preserve">   </w:t>
      </w:r>
      <w:r>
        <w:rPr>
          <w:rFonts w:hint="eastAsia" w:ascii="宋体" w:hAnsi="宋体" w:cs="宋体"/>
          <w:spacing w:val="20"/>
          <w:szCs w:val="21"/>
        </w:rPr>
        <w:t>月</w:t>
      </w:r>
      <w:r>
        <w:rPr>
          <w:rFonts w:hint="eastAsia" w:ascii="宋体" w:hAnsi="宋体" w:cs="宋体"/>
          <w:spacing w:val="20"/>
          <w:szCs w:val="21"/>
          <w:u w:val="single"/>
        </w:rPr>
        <w:t xml:space="preserve">   </w:t>
      </w:r>
      <w:r>
        <w:rPr>
          <w:rFonts w:hint="eastAsia" w:ascii="宋体" w:hAnsi="宋体" w:cs="宋体"/>
          <w:spacing w:val="20"/>
          <w:szCs w:val="21"/>
        </w:rPr>
        <w:t>日</w:t>
      </w:r>
    </w:p>
    <w:p w14:paraId="468F31AD">
      <w:pPr>
        <w:rPr>
          <w:rFonts w:ascii="宋体" w:cs="宋体"/>
          <w:b/>
          <w:bCs/>
          <w:sz w:val="24"/>
          <w:szCs w:val="24"/>
        </w:rPr>
      </w:pPr>
      <w:r>
        <w:rPr>
          <w:rFonts w:hint="eastAsia" w:ascii="宋体" w:cs="宋体"/>
          <w:b/>
          <w:bCs/>
          <w:sz w:val="24"/>
          <w:szCs w:val="24"/>
        </w:rPr>
        <w:br w:type="page"/>
      </w:r>
    </w:p>
    <w:p w14:paraId="67582E75">
      <w:pPr>
        <w:snapToGrid w:val="0"/>
        <w:spacing w:before="50" w:after="156" w:afterLines="50"/>
        <w:jc w:val="left"/>
        <w:rPr>
          <w:rFonts w:ascii="宋体" w:hAnsi="宋体" w:cs="宋体"/>
          <w:b/>
          <w:bCs/>
          <w:szCs w:val="21"/>
        </w:rPr>
      </w:pPr>
      <w:r>
        <w:rPr>
          <w:rFonts w:hint="eastAsia" w:ascii="宋体" w:hAnsi="宋体" w:cs="宋体"/>
          <w:b/>
          <w:bCs/>
          <w:szCs w:val="21"/>
        </w:rPr>
        <w:t>格式</w:t>
      </w:r>
      <w:r>
        <w:rPr>
          <w:rFonts w:hint="eastAsia" w:ascii="宋体" w:hAnsi="宋体" w:cs="宋体"/>
          <w:b/>
          <w:bCs/>
          <w:szCs w:val="21"/>
          <w:lang w:val="en-US" w:eastAsia="zh-CN"/>
        </w:rPr>
        <w:t>八</w:t>
      </w:r>
      <w:r>
        <w:rPr>
          <w:rFonts w:hint="eastAsia" w:ascii="宋体" w:hAnsi="宋体" w:cs="宋体"/>
          <w:b/>
          <w:bCs/>
          <w:szCs w:val="21"/>
        </w:rPr>
        <w:t>、人员</w:t>
      </w:r>
    </w:p>
    <w:tbl>
      <w:tblPr>
        <w:tblStyle w:val="27"/>
        <w:tblW w:w="9972" w:type="dxa"/>
        <w:jc w:val="center"/>
        <w:tblLayout w:type="fixed"/>
        <w:tblCellMar>
          <w:top w:w="57" w:type="dxa"/>
          <w:left w:w="57" w:type="dxa"/>
          <w:bottom w:w="57" w:type="dxa"/>
          <w:right w:w="57" w:type="dxa"/>
        </w:tblCellMar>
      </w:tblPr>
      <w:tblGrid>
        <w:gridCol w:w="589"/>
        <w:gridCol w:w="1303"/>
        <w:gridCol w:w="709"/>
        <w:gridCol w:w="850"/>
        <w:gridCol w:w="851"/>
        <w:gridCol w:w="992"/>
        <w:gridCol w:w="1134"/>
        <w:gridCol w:w="851"/>
        <w:gridCol w:w="1275"/>
        <w:gridCol w:w="1418"/>
      </w:tblGrid>
      <w:tr w14:paraId="3D019810">
        <w:tblPrEx>
          <w:tblCellMar>
            <w:top w:w="57" w:type="dxa"/>
            <w:left w:w="57" w:type="dxa"/>
            <w:bottom w:w="57" w:type="dxa"/>
            <w:right w:w="57" w:type="dxa"/>
          </w:tblCellMar>
        </w:tblPrEx>
        <w:trPr>
          <w:cantSplit/>
          <w:trHeight w:val="567" w:hRule="atLeast"/>
          <w:jc w:val="center"/>
        </w:trPr>
        <w:tc>
          <w:tcPr>
            <w:tcW w:w="589" w:type="dxa"/>
            <w:tcBorders>
              <w:top w:val="single" w:color="auto" w:sz="6" w:space="0"/>
              <w:left w:val="single" w:color="auto" w:sz="6" w:space="0"/>
              <w:bottom w:val="single" w:color="auto" w:sz="6" w:space="0"/>
              <w:right w:val="single" w:color="auto" w:sz="6" w:space="0"/>
            </w:tcBorders>
            <w:noWrap w:val="0"/>
            <w:vAlign w:val="center"/>
          </w:tcPr>
          <w:p w14:paraId="25B664DA">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303" w:type="dxa"/>
            <w:tcBorders>
              <w:top w:val="single" w:color="auto" w:sz="6" w:space="0"/>
              <w:left w:val="single" w:color="auto" w:sz="6" w:space="0"/>
              <w:bottom w:val="single" w:color="auto" w:sz="6" w:space="0"/>
              <w:right w:val="single" w:color="auto" w:sz="6" w:space="0"/>
            </w:tcBorders>
            <w:noWrap w:val="0"/>
            <w:vAlign w:val="center"/>
          </w:tcPr>
          <w:p w14:paraId="6FEAD08F">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姓名</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23D9DD46">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性别</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038A37DD">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年龄</w:t>
            </w:r>
          </w:p>
        </w:tc>
        <w:tc>
          <w:tcPr>
            <w:tcW w:w="851" w:type="dxa"/>
            <w:tcBorders>
              <w:top w:val="single" w:color="auto" w:sz="6" w:space="0"/>
              <w:left w:val="single" w:color="auto" w:sz="6" w:space="0"/>
              <w:bottom w:val="single" w:color="auto" w:sz="6" w:space="0"/>
              <w:right w:val="single" w:color="auto" w:sz="6" w:space="0"/>
            </w:tcBorders>
            <w:noWrap w:val="0"/>
            <w:vAlign w:val="center"/>
          </w:tcPr>
          <w:p w14:paraId="51E24A8B">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学历</w:t>
            </w:r>
          </w:p>
        </w:tc>
        <w:tc>
          <w:tcPr>
            <w:tcW w:w="992" w:type="dxa"/>
            <w:tcBorders>
              <w:top w:val="single" w:color="auto" w:sz="6" w:space="0"/>
              <w:left w:val="single" w:color="auto" w:sz="6" w:space="0"/>
              <w:bottom w:val="single" w:color="auto" w:sz="6" w:space="0"/>
              <w:right w:val="single" w:color="auto" w:sz="6" w:space="0"/>
            </w:tcBorders>
            <w:noWrap w:val="0"/>
            <w:vAlign w:val="center"/>
          </w:tcPr>
          <w:p w14:paraId="6BCCAF5A">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专业技术资格</w:t>
            </w:r>
          </w:p>
        </w:tc>
        <w:tc>
          <w:tcPr>
            <w:tcW w:w="1134" w:type="dxa"/>
            <w:tcBorders>
              <w:top w:val="single" w:color="auto" w:sz="6" w:space="0"/>
              <w:left w:val="single" w:color="auto" w:sz="6" w:space="0"/>
              <w:bottom w:val="single" w:color="auto" w:sz="6" w:space="0"/>
              <w:right w:val="single" w:color="auto" w:sz="4" w:space="0"/>
            </w:tcBorders>
            <w:noWrap w:val="0"/>
            <w:vAlign w:val="center"/>
          </w:tcPr>
          <w:p w14:paraId="540C1B1A">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证书编号</w:t>
            </w:r>
          </w:p>
        </w:tc>
        <w:tc>
          <w:tcPr>
            <w:tcW w:w="851" w:type="dxa"/>
            <w:tcBorders>
              <w:top w:val="single" w:color="auto" w:sz="6" w:space="0"/>
              <w:left w:val="single" w:color="auto" w:sz="4" w:space="0"/>
              <w:bottom w:val="single" w:color="auto" w:sz="6" w:space="0"/>
              <w:right w:val="single" w:color="auto" w:sz="6" w:space="0"/>
            </w:tcBorders>
            <w:noWrap w:val="0"/>
            <w:vAlign w:val="center"/>
          </w:tcPr>
          <w:p w14:paraId="3DD20F76">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职称</w:t>
            </w:r>
          </w:p>
        </w:tc>
        <w:tc>
          <w:tcPr>
            <w:tcW w:w="1275" w:type="dxa"/>
            <w:tcBorders>
              <w:top w:val="single" w:color="auto" w:sz="6" w:space="0"/>
              <w:left w:val="single" w:color="auto" w:sz="6" w:space="0"/>
              <w:bottom w:val="single" w:color="auto" w:sz="6" w:space="0"/>
              <w:right w:val="single" w:color="auto" w:sz="6" w:space="0"/>
            </w:tcBorders>
            <w:noWrap w:val="0"/>
            <w:vAlign w:val="center"/>
          </w:tcPr>
          <w:p w14:paraId="5F36E7A7">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拟任本项目职务</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87D06F8">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类似项目工作经验</w:t>
            </w:r>
          </w:p>
        </w:tc>
      </w:tr>
      <w:tr w14:paraId="36837C4E">
        <w:tblPrEx>
          <w:tblCellMar>
            <w:top w:w="57" w:type="dxa"/>
            <w:left w:w="57" w:type="dxa"/>
            <w:bottom w:w="57" w:type="dxa"/>
            <w:right w:w="57" w:type="dxa"/>
          </w:tblCellMar>
        </w:tblPrEx>
        <w:trPr>
          <w:cantSplit/>
          <w:trHeight w:val="567" w:hRule="atLeast"/>
          <w:jc w:val="center"/>
        </w:trPr>
        <w:tc>
          <w:tcPr>
            <w:tcW w:w="589" w:type="dxa"/>
            <w:tcBorders>
              <w:top w:val="single" w:color="auto" w:sz="6" w:space="0"/>
              <w:left w:val="single" w:color="auto" w:sz="6" w:space="0"/>
              <w:bottom w:val="single" w:color="auto" w:sz="4" w:space="0"/>
              <w:right w:val="single" w:color="auto" w:sz="6" w:space="0"/>
            </w:tcBorders>
            <w:noWrap w:val="0"/>
            <w:vAlign w:val="center"/>
          </w:tcPr>
          <w:p w14:paraId="24076C00">
            <w:pPr>
              <w:spacing w:line="240" w:lineRule="auto"/>
              <w:jc w:val="center"/>
              <w:rPr>
                <w:rFonts w:hint="eastAsia" w:ascii="宋体" w:hAnsi="宋体" w:eastAsia="宋体" w:cs="宋体"/>
                <w:sz w:val="21"/>
                <w:szCs w:val="21"/>
              </w:rPr>
            </w:pPr>
          </w:p>
        </w:tc>
        <w:tc>
          <w:tcPr>
            <w:tcW w:w="1303" w:type="dxa"/>
            <w:tcBorders>
              <w:top w:val="single" w:color="auto" w:sz="6" w:space="0"/>
              <w:left w:val="single" w:color="auto" w:sz="6" w:space="0"/>
              <w:bottom w:val="single" w:color="auto" w:sz="4" w:space="0"/>
              <w:right w:val="single" w:color="auto" w:sz="6" w:space="0"/>
            </w:tcBorders>
            <w:noWrap w:val="0"/>
            <w:vAlign w:val="center"/>
          </w:tcPr>
          <w:p w14:paraId="1ECB1F7E">
            <w:pPr>
              <w:spacing w:line="240" w:lineRule="auto"/>
              <w:jc w:val="center"/>
              <w:rPr>
                <w:rFonts w:hint="eastAsia" w:ascii="宋体" w:hAnsi="宋体" w:eastAsia="宋体" w:cs="宋体"/>
                <w:sz w:val="21"/>
                <w:szCs w:val="21"/>
              </w:rPr>
            </w:pPr>
          </w:p>
        </w:tc>
        <w:tc>
          <w:tcPr>
            <w:tcW w:w="709" w:type="dxa"/>
            <w:tcBorders>
              <w:top w:val="single" w:color="auto" w:sz="6" w:space="0"/>
              <w:left w:val="single" w:color="auto" w:sz="6" w:space="0"/>
              <w:bottom w:val="single" w:color="auto" w:sz="4" w:space="0"/>
              <w:right w:val="single" w:color="auto" w:sz="6" w:space="0"/>
            </w:tcBorders>
            <w:noWrap w:val="0"/>
            <w:vAlign w:val="center"/>
          </w:tcPr>
          <w:p w14:paraId="1968C9C1">
            <w:pPr>
              <w:spacing w:line="240" w:lineRule="auto"/>
              <w:jc w:val="center"/>
              <w:rPr>
                <w:rFonts w:hint="eastAsia" w:ascii="宋体" w:hAnsi="宋体" w:eastAsia="宋体" w:cs="宋体"/>
                <w:sz w:val="21"/>
                <w:szCs w:val="21"/>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7C563F74">
            <w:pPr>
              <w:spacing w:line="240" w:lineRule="auto"/>
              <w:jc w:val="center"/>
              <w:rPr>
                <w:rFonts w:hint="eastAsia" w:ascii="宋体" w:hAnsi="宋体" w:eastAsia="宋体" w:cs="宋体"/>
                <w:sz w:val="21"/>
                <w:szCs w:val="21"/>
              </w:rPr>
            </w:pPr>
          </w:p>
        </w:tc>
        <w:tc>
          <w:tcPr>
            <w:tcW w:w="851" w:type="dxa"/>
            <w:tcBorders>
              <w:top w:val="single" w:color="auto" w:sz="6" w:space="0"/>
              <w:left w:val="single" w:color="auto" w:sz="6" w:space="0"/>
              <w:bottom w:val="single" w:color="auto" w:sz="4" w:space="0"/>
              <w:right w:val="single" w:color="auto" w:sz="6" w:space="0"/>
            </w:tcBorders>
            <w:noWrap w:val="0"/>
            <w:vAlign w:val="center"/>
          </w:tcPr>
          <w:p w14:paraId="4C7CBC21">
            <w:pPr>
              <w:spacing w:line="240" w:lineRule="auto"/>
              <w:jc w:val="center"/>
              <w:rPr>
                <w:rFonts w:hint="eastAsia" w:ascii="宋体" w:hAnsi="宋体" w:eastAsia="宋体" w:cs="宋体"/>
                <w:sz w:val="21"/>
                <w:szCs w:val="21"/>
              </w:rPr>
            </w:pPr>
          </w:p>
        </w:tc>
        <w:tc>
          <w:tcPr>
            <w:tcW w:w="992" w:type="dxa"/>
            <w:tcBorders>
              <w:top w:val="single" w:color="auto" w:sz="6" w:space="0"/>
              <w:left w:val="single" w:color="auto" w:sz="6" w:space="0"/>
              <w:bottom w:val="single" w:color="auto" w:sz="4" w:space="0"/>
              <w:right w:val="single" w:color="auto" w:sz="6" w:space="0"/>
            </w:tcBorders>
            <w:noWrap w:val="0"/>
            <w:vAlign w:val="center"/>
          </w:tcPr>
          <w:p w14:paraId="7FED65F0">
            <w:pPr>
              <w:spacing w:line="240" w:lineRule="auto"/>
              <w:jc w:val="center"/>
              <w:rPr>
                <w:rFonts w:hint="eastAsia" w:ascii="宋体" w:hAnsi="宋体" w:eastAsia="宋体" w:cs="宋体"/>
                <w:sz w:val="21"/>
                <w:szCs w:val="21"/>
              </w:rPr>
            </w:pPr>
          </w:p>
        </w:tc>
        <w:tc>
          <w:tcPr>
            <w:tcW w:w="1134" w:type="dxa"/>
            <w:tcBorders>
              <w:top w:val="single" w:color="auto" w:sz="6" w:space="0"/>
              <w:left w:val="single" w:color="auto" w:sz="6" w:space="0"/>
              <w:bottom w:val="single" w:color="auto" w:sz="4" w:space="0"/>
              <w:right w:val="single" w:color="auto" w:sz="4" w:space="0"/>
            </w:tcBorders>
            <w:noWrap w:val="0"/>
            <w:vAlign w:val="center"/>
          </w:tcPr>
          <w:p w14:paraId="48FF3911">
            <w:pPr>
              <w:spacing w:line="240" w:lineRule="auto"/>
              <w:jc w:val="center"/>
              <w:rPr>
                <w:rFonts w:hint="eastAsia" w:ascii="宋体" w:hAnsi="宋体" w:eastAsia="宋体" w:cs="宋体"/>
                <w:sz w:val="21"/>
                <w:szCs w:val="21"/>
              </w:rPr>
            </w:pPr>
          </w:p>
        </w:tc>
        <w:tc>
          <w:tcPr>
            <w:tcW w:w="851" w:type="dxa"/>
            <w:tcBorders>
              <w:top w:val="single" w:color="auto" w:sz="6" w:space="0"/>
              <w:left w:val="single" w:color="auto" w:sz="4" w:space="0"/>
              <w:bottom w:val="single" w:color="auto" w:sz="4" w:space="0"/>
              <w:right w:val="single" w:color="auto" w:sz="6" w:space="0"/>
            </w:tcBorders>
            <w:noWrap w:val="0"/>
            <w:vAlign w:val="center"/>
          </w:tcPr>
          <w:p w14:paraId="08B329F0">
            <w:pPr>
              <w:spacing w:line="240" w:lineRule="auto"/>
              <w:jc w:val="center"/>
              <w:rPr>
                <w:rFonts w:hint="eastAsia" w:ascii="宋体" w:hAnsi="宋体" w:eastAsia="宋体" w:cs="宋体"/>
                <w:sz w:val="21"/>
                <w:szCs w:val="21"/>
              </w:rPr>
            </w:pPr>
          </w:p>
        </w:tc>
        <w:tc>
          <w:tcPr>
            <w:tcW w:w="1275" w:type="dxa"/>
            <w:tcBorders>
              <w:top w:val="single" w:color="auto" w:sz="6" w:space="0"/>
              <w:left w:val="single" w:color="auto" w:sz="6" w:space="0"/>
              <w:bottom w:val="single" w:color="auto" w:sz="4" w:space="0"/>
              <w:right w:val="single" w:color="auto" w:sz="6" w:space="0"/>
            </w:tcBorders>
            <w:noWrap w:val="0"/>
            <w:vAlign w:val="center"/>
          </w:tcPr>
          <w:p w14:paraId="00BD120A">
            <w:pPr>
              <w:spacing w:line="240" w:lineRule="auto"/>
              <w:jc w:val="center"/>
              <w:rPr>
                <w:rFonts w:hint="eastAsia" w:ascii="宋体" w:hAnsi="宋体" w:eastAsia="宋体" w:cs="宋体"/>
                <w:sz w:val="21"/>
                <w:szCs w:val="21"/>
                <w:lang w:eastAsia="zh-CN"/>
              </w:rPr>
            </w:pPr>
          </w:p>
        </w:tc>
        <w:tc>
          <w:tcPr>
            <w:tcW w:w="1418" w:type="dxa"/>
            <w:tcBorders>
              <w:top w:val="single" w:color="auto" w:sz="6" w:space="0"/>
              <w:left w:val="single" w:color="auto" w:sz="6" w:space="0"/>
              <w:bottom w:val="single" w:color="auto" w:sz="4" w:space="0"/>
              <w:right w:val="single" w:color="auto" w:sz="6" w:space="0"/>
            </w:tcBorders>
            <w:noWrap w:val="0"/>
            <w:vAlign w:val="center"/>
          </w:tcPr>
          <w:p w14:paraId="2B7D1A87">
            <w:pPr>
              <w:spacing w:line="240" w:lineRule="auto"/>
              <w:jc w:val="center"/>
              <w:rPr>
                <w:rFonts w:hint="eastAsia" w:ascii="宋体" w:hAnsi="宋体" w:eastAsia="宋体" w:cs="宋体"/>
                <w:sz w:val="21"/>
                <w:szCs w:val="21"/>
              </w:rPr>
            </w:pPr>
          </w:p>
        </w:tc>
      </w:tr>
      <w:tr w14:paraId="1AE7C47C">
        <w:tblPrEx>
          <w:tblCellMar>
            <w:top w:w="57" w:type="dxa"/>
            <w:left w:w="57" w:type="dxa"/>
            <w:bottom w:w="57" w:type="dxa"/>
            <w:right w:w="57" w:type="dxa"/>
          </w:tblCellMar>
        </w:tblPrEx>
        <w:trPr>
          <w:cantSplit/>
          <w:trHeight w:val="567" w:hRule="atLeast"/>
          <w:jc w:val="center"/>
        </w:trPr>
        <w:tc>
          <w:tcPr>
            <w:tcW w:w="589" w:type="dxa"/>
            <w:tcBorders>
              <w:top w:val="single" w:color="auto" w:sz="6" w:space="0"/>
              <w:left w:val="single" w:color="auto" w:sz="6" w:space="0"/>
              <w:bottom w:val="single" w:color="auto" w:sz="4" w:space="0"/>
              <w:right w:val="single" w:color="auto" w:sz="6" w:space="0"/>
            </w:tcBorders>
            <w:noWrap w:val="0"/>
            <w:vAlign w:val="center"/>
          </w:tcPr>
          <w:p w14:paraId="6EE33E60">
            <w:pPr>
              <w:spacing w:line="240" w:lineRule="auto"/>
              <w:jc w:val="center"/>
              <w:rPr>
                <w:rFonts w:hint="eastAsia" w:ascii="宋体" w:hAnsi="宋体" w:eastAsia="宋体" w:cs="宋体"/>
                <w:sz w:val="21"/>
                <w:szCs w:val="21"/>
              </w:rPr>
            </w:pPr>
          </w:p>
        </w:tc>
        <w:tc>
          <w:tcPr>
            <w:tcW w:w="1303" w:type="dxa"/>
            <w:tcBorders>
              <w:top w:val="single" w:color="auto" w:sz="6" w:space="0"/>
              <w:left w:val="single" w:color="auto" w:sz="6" w:space="0"/>
              <w:bottom w:val="single" w:color="auto" w:sz="4" w:space="0"/>
              <w:right w:val="single" w:color="auto" w:sz="6" w:space="0"/>
            </w:tcBorders>
            <w:noWrap w:val="0"/>
            <w:vAlign w:val="center"/>
          </w:tcPr>
          <w:p w14:paraId="2F92234A">
            <w:pPr>
              <w:spacing w:line="240" w:lineRule="auto"/>
              <w:jc w:val="center"/>
              <w:rPr>
                <w:rFonts w:hint="eastAsia" w:ascii="宋体" w:hAnsi="宋体" w:eastAsia="宋体" w:cs="宋体"/>
                <w:sz w:val="21"/>
                <w:szCs w:val="21"/>
              </w:rPr>
            </w:pPr>
          </w:p>
        </w:tc>
        <w:tc>
          <w:tcPr>
            <w:tcW w:w="709" w:type="dxa"/>
            <w:tcBorders>
              <w:top w:val="single" w:color="auto" w:sz="6" w:space="0"/>
              <w:left w:val="single" w:color="auto" w:sz="6" w:space="0"/>
              <w:bottom w:val="single" w:color="auto" w:sz="4" w:space="0"/>
              <w:right w:val="single" w:color="auto" w:sz="6" w:space="0"/>
            </w:tcBorders>
            <w:noWrap w:val="0"/>
            <w:vAlign w:val="center"/>
          </w:tcPr>
          <w:p w14:paraId="24C9A67F">
            <w:pPr>
              <w:spacing w:line="240" w:lineRule="auto"/>
              <w:jc w:val="center"/>
              <w:rPr>
                <w:rFonts w:hint="eastAsia" w:ascii="宋体" w:hAnsi="宋体" w:eastAsia="宋体" w:cs="宋体"/>
                <w:sz w:val="21"/>
                <w:szCs w:val="21"/>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7D734F96">
            <w:pPr>
              <w:spacing w:line="240" w:lineRule="auto"/>
              <w:jc w:val="center"/>
              <w:rPr>
                <w:rFonts w:hint="eastAsia" w:ascii="宋体" w:hAnsi="宋体" w:eastAsia="宋体" w:cs="宋体"/>
                <w:sz w:val="21"/>
                <w:szCs w:val="21"/>
              </w:rPr>
            </w:pPr>
          </w:p>
        </w:tc>
        <w:tc>
          <w:tcPr>
            <w:tcW w:w="851" w:type="dxa"/>
            <w:tcBorders>
              <w:top w:val="single" w:color="auto" w:sz="6" w:space="0"/>
              <w:left w:val="single" w:color="auto" w:sz="6" w:space="0"/>
              <w:bottom w:val="single" w:color="auto" w:sz="4" w:space="0"/>
              <w:right w:val="single" w:color="auto" w:sz="6" w:space="0"/>
            </w:tcBorders>
            <w:noWrap w:val="0"/>
            <w:vAlign w:val="center"/>
          </w:tcPr>
          <w:p w14:paraId="4406091E">
            <w:pPr>
              <w:spacing w:line="240" w:lineRule="auto"/>
              <w:jc w:val="center"/>
              <w:rPr>
                <w:rFonts w:hint="eastAsia" w:ascii="宋体" w:hAnsi="宋体" w:eastAsia="宋体" w:cs="宋体"/>
                <w:sz w:val="21"/>
                <w:szCs w:val="21"/>
              </w:rPr>
            </w:pPr>
          </w:p>
        </w:tc>
        <w:tc>
          <w:tcPr>
            <w:tcW w:w="992" w:type="dxa"/>
            <w:tcBorders>
              <w:top w:val="single" w:color="auto" w:sz="6" w:space="0"/>
              <w:left w:val="single" w:color="auto" w:sz="6" w:space="0"/>
              <w:bottom w:val="single" w:color="auto" w:sz="4" w:space="0"/>
              <w:right w:val="single" w:color="auto" w:sz="6" w:space="0"/>
            </w:tcBorders>
            <w:noWrap w:val="0"/>
            <w:vAlign w:val="center"/>
          </w:tcPr>
          <w:p w14:paraId="14BCFB4C">
            <w:pPr>
              <w:spacing w:line="240" w:lineRule="auto"/>
              <w:jc w:val="center"/>
              <w:rPr>
                <w:rFonts w:hint="eastAsia" w:ascii="宋体" w:hAnsi="宋体" w:eastAsia="宋体" w:cs="宋体"/>
                <w:sz w:val="21"/>
                <w:szCs w:val="21"/>
              </w:rPr>
            </w:pPr>
          </w:p>
        </w:tc>
        <w:tc>
          <w:tcPr>
            <w:tcW w:w="1134" w:type="dxa"/>
            <w:tcBorders>
              <w:top w:val="single" w:color="auto" w:sz="6" w:space="0"/>
              <w:left w:val="single" w:color="auto" w:sz="6" w:space="0"/>
              <w:bottom w:val="single" w:color="auto" w:sz="4" w:space="0"/>
              <w:right w:val="single" w:color="auto" w:sz="4" w:space="0"/>
            </w:tcBorders>
            <w:noWrap w:val="0"/>
            <w:vAlign w:val="center"/>
          </w:tcPr>
          <w:p w14:paraId="42FD6DF5">
            <w:pPr>
              <w:spacing w:line="240" w:lineRule="auto"/>
              <w:jc w:val="center"/>
              <w:rPr>
                <w:rFonts w:hint="eastAsia" w:ascii="宋体" w:hAnsi="宋体" w:eastAsia="宋体" w:cs="宋体"/>
                <w:sz w:val="21"/>
                <w:szCs w:val="21"/>
              </w:rPr>
            </w:pPr>
          </w:p>
        </w:tc>
        <w:tc>
          <w:tcPr>
            <w:tcW w:w="851" w:type="dxa"/>
            <w:tcBorders>
              <w:top w:val="single" w:color="auto" w:sz="6" w:space="0"/>
              <w:left w:val="single" w:color="auto" w:sz="4" w:space="0"/>
              <w:bottom w:val="single" w:color="auto" w:sz="4" w:space="0"/>
              <w:right w:val="single" w:color="auto" w:sz="6" w:space="0"/>
            </w:tcBorders>
            <w:noWrap w:val="0"/>
            <w:vAlign w:val="center"/>
          </w:tcPr>
          <w:p w14:paraId="29E7592E">
            <w:pPr>
              <w:spacing w:line="240" w:lineRule="auto"/>
              <w:jc w:val="center"/>
              <w:rPr>
                <w:rFonts w:hint="eastAsia" w:ascii="宋体" w:hAnsi="宋体" w:eastAsia="宋体" w:cs="宋体"/>
                <w:sz w:val="21"/>
                <w:szCs w:val="21"/>
              </w:rPr>
            </w:pPr>
          </w:p>
        </w:tc>
        <w:tc>
          <w:tcPr>
            <w:tcW w:w="1275" w:type="dxa"/>
            <w:tcBorders>
              <w:top w:val="single" w:color="auto" w:sz="6" w:space="0"/>
              <w:left w:val="single" w:color="auto" w:sz="6" w:space="0"/>
              <w:bottom w:val="single" w:color="auto" w:sz="4" w:space="0"/>
              <w:right w:val="single" w:color="auto" w:sz="6" w:space="0"/>
            </w:tcBorders>
            <w:noWrap w:val="0"/>
            <w:vAlign w:val="center"/>
          </w:tcPr>
          <w:p w14:paraId="2049FC6E">
            <w:pPr>
              <w:spacing w:line="240" w:lineRule="auto"/>
              <w:jc w:val="center"/>
              <w:rPr>
                <w:rFonts w:hint="eastAsia" w:ascii="宋体" w:hAnsi="宋体" w:eastAsia="宋体" w:cs="宋体"/>
                <w:sz w:val="21"/>
                <w:szCs w:val="21"/>
              </w:rPr>
            </w:pPr>
          </w:p>
        </w:tc>
        <w:tc>
          <w:tcPr>
            <w:tcW w:w="1418" w:type="dxa"/>
            <w:tcBorders>
              <w:top w:val="single" w:color="auto" w:sz="6" w:space="0"/>
              <w:left w:val="single" w:color="auto" w:sz="6" w:space="0"/>
              <w:bottom w:val="single" w:color="auto" w:sz="4" w:space="0"/>
              <w:right w:val="single" w:color="auto" w:sz="6" w:space="0"/>
            </w:tcBorders>
            <w:noWrap w:val="0"/>
            <w:vAlign w:val="center"/>
          </w:tcPr>
          <w:p w14:paraId="772C7F43">
            <w:pPr>
              <w:spacing w:line="240" w:lineRule="auto"/>
              <w:jc w:val="center"/>
              <w:rPr>
                <w:rFonts w:hint="eastAsia" w:ascii="宋体" w:hAnsi="宋体" w:eastAsia="宋体" w:cs="宋体"/>
                <w:sz w:val="21"/>
                <w:szCs w:val="21"/>
              </w:rPr>
            </w:pPr>
          </w:p>
        </w:tc>
      </w:tr>
      <w:tr w14:paraId="08AED58A">
        <w:tblPrEx>
          <w:tblCellMar>
            <w:top w:w="57" w:type="dxa"/>
            <w:left w:w="57" w:type="dxa"/>
            <w:bottom w:w="57" w:type="dxa"/>
            <w:right w:w="57" w:type="dxa"/>
          </w:tblCellMar>
        </w:tblPrEx>
        <w:trPr>
          <w:cantSplit/>
          <w:trHeight w:val="567" w:hRule="atLeast"/>
          <w:jc w:val="center"/>
        </w:trPr>
        <w:tc>
          <w:tcPr>
            <w:tcW w:w="589" w:type="dxa"/>
            <w:tcBorders>
              <w:top w:val="single" w:color="auto" w:sz="6" w:space="0"/>
              <w:left w:val="single" w:color="auto" w:sz="6" w:space="0"/>
              <w:bottom w:val="single" w:color="auto" w:sz="4" w:space="0"/>
              <w:right w:val="single" w:color="auto" w:sz="6" w:space="0"/>
            </w:tcBorders>
            <w:noWrap w:val="0"/>
            <w:vAlign w:val="center"/>
          </w:tcPr>
          <w:p w14:paraId="64C01BAB">
            <w:pPr>
              <w:spacing w:line="240" w:lineRule="auto"/>
              <w:jc w:val="center"/>
              <w:rPr>
                <w:rFonts w:hint="eastAsia" w:ascii="宋体" w:hAnsi="宋体" w:eastAsia="宋体" w:cs="宋体"/>
                <w:sz w:val="21"/>
                <w:szCs w:val="21"/>
              </w:rPr>
            </w:pPr>
          </w:p>
        </w:tc>
        <w:tc>
          <w:tcPr>
            <w:tcW w:w="1303" w:type="dxa"/>
            <w:tcBorders>
              <w:top w:val="single" w:color="auto" w:sz="6" w:space="0"/>
              <w:left w:val="single" w:color="auto" w:sz="6" w:space="0"/>
              <w:bottom w:val="single" w:color="auto" w:sz="4" w:space="0"/>
              <w:right w:val="single" w:color="auto" w:sz="6" w:space="0"/>
            </w:tcBorders>
            <w:noWrap w:val="0"/>
            <w:vAlign w:val="center"/>
          </w:tcPr>
          <w:p w14:paraId="2E637F9F">
            <w:pPr>
              <w:spacing w:line="240" w:lineRule="auto"/>
              <w:jc w:val="center"/>
              <w:rPr>
                <w:rFonts w:hint="eastAsia" w:ascii="宋体" w:hAnsi="宋体" w:eastAsia="宋体" w:cs="宋体"/>
                <w:sz w:val="21"/>
                <w:szCs w:val="21"/>
              </w:rPr>
            </w:pPr>
          </w:p>
        </w:tc>
        <w:tc>
          <w:tcPr>
            <w:tcW w:w="709" w:type="dxa"/>
            <w:tcBorders>
              <w:top w:val="single" w:color="auto" w:sz="6" w:space="0"/>
              <w:left w:val="single" w:color="auto" w:sz="6" w:space="0"/>
              <w:bottom w:val="single" w:color="auto" w:sz="4" w:space="0"/>
              <w:right w:val="single" w:color="auto" w:sz="6" w:space="0"/>
            </w:tcBorders>
            <w:noWrap w:val="0"/>
            <w:vAlign w:val="center"/>
          </w:tcPr>
          <w:p w14:paraId="2C1789A6">
            <w:pPr>
              <w:spacing w:line="240" w:lineRule="auto"/>
              <w:jc w:val="center"/>
              <w:rPr>
                <w:rFonts w:hint="eastAsia" w:ascii="宋体" w:hAnsi="宋体" w:eastAsia="宋体" w:cs="宋体"/>
                <w:sz w:val="21"/>
                <w:szCs w:val="21"/>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109561C2">
            <w:pPr>
              <w:spacing w:line="240" w:lineRule="auto"/>
              <w:jc w:val="center"/>
              <w:rPr>
                <w:rFonts w:hint="eastAsia" w:ascii="宋体" w:hAnsi="宋体" w:eastAsia="宋体" w:cs="宋体"/>
                <w:sz w:val="21"/>
                <w:szCs w:val="21"/>
              </w:rPr>
            </w:pPr>
          </w:p>
        </w:tc>
        <w:tc>
          <w:tcPr>
            <w:tcW w:w="851" w:type="dxa"/>
            <w:tcBorders>
              <w:top w:val="single" w:color="auto" w:sz="6" w:space="0"/>
              <w:left w:val="single" w:color="auto" w:sz="6" w:space="0"/>
              <w:bottom w:val="single" w:color="auto" w:sz="4" w:space="0"/>
              <w:right w:val="single" w:color="auto" w:sz="6" w:space="0"/>
            </w:tcBorders>
            <w:noWrap w:val="0"/>
            <w:vAlign w:val="center"/>
          </w:tcPr>
          <w:p w14:paraId="50065623">
            <w:pPr>
              <w:spacing w:line="240" w:lineRule="auto"/>
              <w:jc w:val="center"/>
              <w:rPr>
                <w:rFonts w:hint="eastAsia" w:ascii="宋体" w:hAnsi="宋体" w:eastAsia="宋体" w:cs="宋体"/>
                <w:sz w:val="21"/>
                <w:szCs w:val="21"/>
              </w:rPr>
            </w:pPr>
          </w:p>
        </w:tc>
        <w:tc>
          <w:tcPr>
            <w:tcW w:w="992" w:type="dxa"/>
            <w:tcBorders>
              <w:top w:val="single" w:color="auto" w:sz="6" w:space="0"/>
              <w:left w:val="single" w:color="auto" w:sz="6" w:space="0"/>
              <w:bottom w:val="single" w:color="auto" w:sz="4" w:space="0"/>
              <w:right w:val="single" w:color="auto" w:sz="6" w:space="0"/>
            </w:tcBorders>
            <w:noWrap w:val="0"/>
            <w:vAlign w:val="center"/>
          </w:tcPr>
          <w:p w14:paraId="6B54E747">
            <w:pPr>
              <w:spacing w:line="240" w:lineRule="auto"/>
              <w:jc w:val="center"/>
              <w:rPr>
                <w:rFonts w:hint="eastAsia" w:ascii="宋体" w:hAnsi="宋体" w:eastAsia="宋体" w:cs="宋体"/>
                <w:sz w:val="21"/>
                <w:szCs w:val="21"/>
              </w:rPr>
            </w:pPr>
          </w:p>
        </w:tc>
        <w:tc>
          <w:tcPr>
            <w:tcW w:w="1134" w:type="dxa"/>
            <w:tcBorders>
              <w:top w:val="single" w:color="auto" w:sz="6" w:space="0"/>
              <w:left w:val="single" w:color="auto" w:sz="6" w:space="0"/>
              <w:bottom w:val="single" w:color="auto" w:sz="4" w:space="0"/>
              <w:right w:val="single" w:color="auto" w:sz="4" w:space="0"/>
            </w:tcBorders>
            <w:noWrap w:val="0"/>
            <w:vAlign w:val="center"/>
          </w:tcPr>
          <w:p w14:paraId="746EF241">
            <w:pPr>
              <w:spacing w:line="240" w:lineRule="auto"/>
              <w:jc w:val="center"/>
              <w:rPr>
                <w:rFonts w:hint="eastAsia" w:ascii="宋体" w:hAnsi="宋体" w:eastAsia="宋体" w:cs="宋体"/>
                <w:sz w:val="21"/>
                <w:szCs w:val="21"/>
              </w:rPr>
            </w:pPr>
          </w:p>
        </w:tc>
        <w:tc>
          <w:tcPr>
            <w:tcW w:w="851" w:type="dxa"/>
            <w:tcBorders>
              <w:top w:val="single" w:color="auto" w:sz="6" w:space="0"/>
              <w:left w:val="single" w:color="auto" w:sz="4" w:space="0"/>
              <w:bottom w:val="single" w:color="auto" w:sz="4" w:space="0"/>
              <w:right w:val="single" w:color="auto" w:sz="6" w:space="0"/>
            </w:tcBorders>
            <w:noWrap w:val="0"/>
            <w:vAlign w:val="center"/>
          </w:tcPr>
          <w:p w14:paraId="13BE9A94">
            <w:pPr>
              <w:spacing w:line="240" w:lineRule="auto"/>
              <w:jc w:val="center"/>
              <w:rPr>
                <w:rFonts w:hint="eastAsia" w:ascii="宋体" w:hAnsi="宋体" w:eastAsia="宋体" w:cs="宋体"/>
                <w:sz w:val="21"/>
                <w:szCs w:val="21"/>
              </w:rPr>
            </w:pPr>
          </w:p>
        </w:tc>
        <w:tc>
          <w:tcPr>
            <w:tcW w:w="1275" w:type="dxa"/>
            <w:tcBorders>
              <w:top w:val="single" w:color="auto" w:sz="6" w:space="0"/>
              <w:left w:val="single" w:color="auto" w:sz="6" w:space="0"/>
              <w:bottom w:val="single" w:color="auto" w:sz="4" w:space="0"/>
              <w:right w:val="single" w:color="auto" w:sz="6" w:space="0"/>
            </w:tcBorders>
            <w:noWrap w:val="0"/>
            <w:vAlign w:val="center"/>
          </w:tcPr>
          <w:p w14:paraId="101BC39A">
            <w:pPr>
              <w:spacing w:line="240" w:lineRule="auto"/>
              <w:jc w:val="center"/>
              <w:rPr>
                <w:rFonts w:hint="eastAsia" w:ascii="宋体" w:hAnsi="宋体" w:eastAsia="宋体" w:cs="宋体"/>
                <w:sz w:val="21"/>
                <w:szCs w:val="21"/>
              </w:rPr>
            </w:pPr>
          </w:p>
        </w:tc>
        <w:tc>
          <w:tcPr>
            <w:tcW w:w="1418" w:type="dxa"/>
            <w:tcBorders>
              <w:top w:val="single" w:color="auto" w:sz="6" w:space="0"/>
              <w:left w:val="single" w:color="auto" w:sz="6" w:space="0"/>
              <w:bottom w:val="single" w:color="auto" w:sz="4" w:space="0"/>
              <w:right w:val="single" w:color="auto" w:sz="6" w:space="0"/>
            </w:tcBorders>
            <w:noWrap w:val="0"/>
            <w:vAlign w:val="center"/>
          </w:tcPr>
          <w:p w14:paraId="40DACF45">
            <w:pPr>
              <w:spacing w:line="240" w:lineRule="auto"/>
              <w:jc w:val="center"/>
              <w:rPr>
                <w:rFonts w:hint="eastAsia" w:ascii="宋体" w:hAnsi="宋体" w:eastAsia="宋体" w:cs="宋体"/>
                <w:sz w:val="21"/>
                <w:szCs w:val="21"/>
              </w:rPr>
            </w:pPr>
          </w:p>
        </w:tc>
      </w:tr>
      <w:tr w14:paraId="750D9C50">
        <w:tblPrEx>
          <w:tblCellMar>
            <w:top w:w="57" w:type="dxa"/>
            <w:left w:w="57" w:type="dxa"/>
            <w:bottom w:w="57" w:type="dxa"/>
            <w:right w:w="57" w:type="dxa"/>
          </w:tblCellMar>
        </w:tblPrEx>
        <w:trPr>
          <w:cantSplit/>
          <w:trHeight w:val="567" w:hRule="atLeast"/>
          <w:jc w:val="center"/>
        </w:trPr>
        <w:tc>
          <w:tcPr>
            <w:tcW w:w="589" w:type="dxa"/>
            <w:tcBorders>
              <w:top w:val="single" w:color="auto" w:sz="6" w:space="0"/>
              <w:left w:val="single" w:color="auto" w:sz="6" w:space="0"/>
              <w:bottom w:val="single" w:color="auto" w:sz="4" w:space="0"/>
              <w:right w:val="single" w:color="auto" w:sz="6" w:space="0"/>
            </w:tcBorders>
            <w:noWrap w:val="0"/>
            <w:vAlign w:val="center"/>
          </w:tcPr>
          <w:p w14:paraId="70CF34EF">
            <w:pPr>
              <w:spacing w:line="240" w:lineRule="auto"/>
              <w:jc w:val="center"/>
              <w:rPr>
                <w:rFonts w:hint="eastAsia" w:ascii="宋体" w:hAnsi="宋体" w:eastAsia="宋体" w:cs="宋体"/>
                <w:sz w:val="21"/>
                <w:szCs w:val="21"/>
              </w:rPr>
            </w:pPr>
          </w:p>
        </w:tc>
        <w:tc>
          <w:tcPr>
            <w:tcW w:w="1303" w:type="dxa"/>
            <w:tcBorders>
              <w:top w:val="single" w:color="auto" w:sz="6" w:space="0"/>
              <w:left w:val="single" w:color="auto" w:sz="6" w:space="0"/>
              <w:bottom w:val="single" w:color="auto" w:sz="4" w:space="0"/>
              <w:right w:val="single" w:color="auto" w:sz="6" w:space="0"/>
            </w:tcBorders>
            <w:noWrap w:val="0"/>
            <w:vAlign w:val="center"/>
          </w:tcPr>
          <w:p w14:paraId="02C7A230">
            <w:pPr>
              <w:spacing w:line="240" w:lineRule="auto"/>
              <w:jc w:val="center"/>
              <w:rPr>
                <w:rFonts w:hint="eastAsia" w:ascii="宋体" w:hAnsi="宋体" w:eastAsia="宋体" w:cs="宋体"/>
                <w:sz w:val="21"/>
                <w:szCs w:val="21"/>
              </w:rPr>
            </w:pPr>
          </w:p>
        </w:tc>
        <w:tc>
          <w:tcPr>
            <w:tcW w:w="709" w:type="dxa"/>
            <w:tcBorders>
              <w:top w:val="single" w:color="auto" w:sz="6" w:space="0"/>
              <w:left w:val="single" w:color="auto" w:sz="6" w:space="0"/>
              <w:bottom w:val="single" w:color="auto" w:sz="4" w:space="0"/>
              <w:right w:val="single" w:color="auto" w:sz="6" w:space="0"/>
            </w:tcBorders>
            <w:noWrap w:val="0"/>
            <w:vAlign w:val="center"/>
          </w:tcPr>
          <w:p w14:paraId="6EC90AA8">
            <w:pPr>
              <w:spacing w:line="240" w:lineRule="auto"/>
              <w:jc w:val="center"/>
              <w:rPr>
                <w:rFonts w:hint="eastAsia" w:ascii="宋体" w:hAnsi="宋体" w:eastAsia="宋体" w:cs="宋体"/>
                <w:sz w:val="21"/>
                <w:szCs w:val="21"/>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28A92AF2">
            <w:pPr>
              <w:spacing w:line="240" w:lineRule="auto"/>
              <w:jc w:val="center"/>
              <w:rPr>
                <w:rFonts w:hint="eastAsia" w:ascii="宋体" w:hAnsi="宋体" w:eastAsia="宋体" w:cs="宋体"/>
                <w:sz w:val="21"/>
                <w:szCs w:val="21"/>
              </w:rPr>
            </w:pPr>
          </w:p>
        </w:tc>
        <w:tc>
          <w:tcPr>
            <w:tcW w:w="851" w:type="dxa"/>
            <w:tcBorders>
              <w:top w:val="single" w:color="auto" w:sz="6" w:space="0"/>
              <w:left w:val="single" w:color="auto" w:sz="6" w:space="0"/>
              <w:bottom w:val="single" w:color="auto" w:sz="4" w:space="0"/>
              <w:right w:val="single" w:color="auto" w:sz="6" w:space="0"/>
            </w:tcBorders>
            <w:noWrap w:val="0"/>
            <w:vAlign w:val="center"/>
          </w:tcPr>
          <w:p w14:paraId="04CB81E0">
            <w:pPr>
              <w:spacing w:line="240" w:lineRule="auto"/>
              <w:jc w:val="center"/>
              <w:rPr>
                <w:rFonts w:hint="eastAsia" w:ascii="宋体" w:hAnsi="宋体" w:eastAsia="宋体" w:cs="宋体"/>
                <w:sz w:val="21"/>
                <w:szCs w:val="21"/>
              </w:rPr>
            </w:pPr>
          </w:p>
        </w:tc>
        <w:tc>
          <w:tcPr>
            <w:tcW w:w="992" w:type="dxa"/>
            <w:tcBorders>
              <w:top w:val="single" w:color="auto" w:sz="6" w:space="0"/>
              <w:left w:val="single" w:color="auto" w:sz="6" w:space="0"/>
              <w:bottom w:val="single" w:color="auto" w:sz="4" w:space="0"/>
              <w:right w:val="single" w:color="auto" w:sz="6" w:space="0"/>
            </w:tcBorders>
            <w:noWrap w:val="0"/>
            <w:vAlign w:val="center"/>
          </w:tcPr>
          <w:p w14:paraId="6D39A5C1">
            <w:pPr>
              <w:spacing w:line="240" w:lineRule="auto"/>
              <w:jc w:val="center"/>
              <w:rPr>
                <w:rFonts w:hint="eastAsia" w:ascii="宋体" w:hAnsi="宋体" w:eastAsia="宋体" w:cs="宋体"/>
                <w:sz w:val="21"/>
                <w:szCs w:val="21"/>
              </w:rPr>
            </w:pPr>
          </w:p>
        </w:tc>
        <w:tc>
          <w:tcPr>
            <w:tcW w:w="1134" w:type="dxa"/>
            <w:tcBorders>
              <w:top w:val="single" w:color="auto" w:sz="6" w:space="0"/>
              <w:left w:val="single" w:color="auto" w:sz="6" w:space="0"/>
              <w:bottom w:val="single" w:color="auto" w:sz="4" w:space="0"/>
              <w:right w:val="single" w:color="auto" w:sz="4" w:space="0"/>
            </w:tcBorders>
            <w:noWrap w:val="0"/>
            <w:vAlign w:val="center"/>
          </w:tcPr>
          <w:p w14:paraId="1C5DB01F">
            <w:pPr>
              <w:spacing w:line="240" w:lineRule="auto"/>
              <w:jc w:val="center"/>
              <w:rPr>
                <w:rFonts w:hint="eastAsia" w:ascii="宋体" w:hAnsi="宋体" w:eastAsia="宋体" w:cs="宋体"/>
                <w:sz w:val="21"/>
                <w:szCs w:val="21"/>
              </w:rPr>
            </w:pPr>
          </w:p>
        </w:tc>
        <w:tc>
          <w:tcPr>
            <w:tcW w:w="851" w:type="dxa"/>
            <w:tcBorders>
              <w:top w:val="single" w:color="auto" w:sz="6" w:space="0"/>
              <w:left w:val="single" w:color="auto" w:sz="4" w:space="0"/>
              <w:bottom w:val="single" w:color="auto" w:sz="4" w:space="0"/>
              <w:right w:val="single" w:color="auto" w:sz="6" w:space="0"/>
            </w:tcBorders>
            <w:noWrap w:val="0"/>
            <w:vAlign w:val="center"/>
          </w:tcPr>
          <w:p w14:paraId="304929E5">
            <w:pPr>
              <w:spacing w:line="240" w:lineRule="auto"/>
              <w:jc w:val="center"/>
              <w:rPr>
                <w:rFonts w:hint="eastAsia" w:ascii="宋体" w:hAnsi="宋体" w:eastAsia="宋体" w:cs="宋体"/>
                <w:sz w:val="21"/>
                <w:szCs w:val="21"/>
              </w:rPr>
            </w:pPr>
          </w:p>
        </w:tc>
        <w:tc>
          <w:tcPr>
            <w:tcW w:w="1275" w:type="dxa"/>
            <w:tcBorders>
              <w:top w:val="single" w:color="auto" w:sz="6" w:space="0"/>
              <w:left w:val="single" w:color="auto" w:sz="6" w:space="0"/>
              <w:bottom w:val="single" w:color="auto" w:sz="4" w:space="0"/>
              <w:right w:val="single" w:color="auto" w:sz="6" w:space="0"/>
            </w:tcBorders>
            <w:noWrap w:val="0"/>
            <w:vAlign w:val="center"/>
          </w:tcPr>
          <w:p w14:paraId="09265EB4">
            <w:pPr>
              <w:spacing w:line="240" w:lineRule="auto"/>
              <w:jc w:val="center"/>
              <w:rPr>
                <w:rFonts w:hint="eastAsia" w:ascii="宋体" w:hAnsi="宋体" w:eastAsia="宋体" w:cs="宋体"/>
                <w:sz w:val="21"/>
                <w:szCs w:val="21"/>
              </w:rPr>
            </w:pPr>
          </w:p>
        </w:tc>
        <w:tc>
          <w:tcPr>
            <w:tcW w:w="1418" w:type="dxa"/>
            <w:tcBorders>
              <w:top w:val="single" w:color="auto" w:sz="6" w:space="0"/>
              <w:left w:val="single" w:color="auto" w:sz="6" w:space="0"/>
              <w:bottom w:val="single" w:color="auto" w:sz="4" w:space="0"/>
              <w:right w:val="single" w:color="auto" w:sz="6" w:space="0"/>
            </w:tcBorders>
            <w:noWrap w:val="0"/>
            <w:vAlign w:val="center"/>
          </w:tcPr>
          <w:p w14:paraId="7B053852">
            <w:pPr>
              <w:spacing w:line="240" w:lineRule="auto"/>
              <w:jc w:val="center"/>
              <w:rPr>
                <w:rFonts w:hint="eastAsia" w:ascii="宋体" w:hAnsi="宋体" w:eastAsia="宋体" w:cs="宋体"/>
                <w:sz w:val="21"/>
                <w:szCs w:val="21"/>
              </w:rPr>
            </w:pPr>
          </w:p>
        </w:tc>
      </w:tr>
      <w:tr w14:paraId="5907D0B2">
        <w:tblPrEx>
          <w:tblCellMar>
            <w:top w:w="57" w:type="dxa"/>
            <w:left w:w="57" w:type="dxa"/>
            <w:bottom w:w="57" w:type="dxa"/>
            <w:right w:w="57" w:type="dxa"/>
          </w:tblCellMar>
        </w:tblPrEx>
        <w:trPr>
          <w:cantSplit/>
          <w:trHeight w:val="567" w:hRule="atLeast"/>
          <w:jc w:val="center"/>
        </w:trPr>
        <w:tc>
          <w:tcPr>
            <w:tcW w:w="589" w:type="dxa"/>
            <w:tcBorders>
              <w:top w:val="single" w:color="auto" w:sz="4" w:space="0"/>
              <w:left w:val="single" w:color="auto" w:sz="6" w:space="0"/>
              <w:bottom w:val="single" w:color="auto" w:sz="4" w:space="0"/>
              <w:right w:val="single" w:color="auto" w:sz="6" w:space="0"/>
            </w:tcBorders>
            <w:noWrap w:val="0"/>
            <w:vAlign w:val="center"/>
          </w:tcPr>
          <w:p w14:paraId="4F682776">
            <w:pPr>
              <w:spacing w:line="240" w:lineRule="auto"/>
              <w:jc w:val="center"/>
              <w:rPr>
                <w:rFonts w:hint="eastAsia" w:ascii="宋体" w:hAnsi="宋体" w:eastAsia="宋体" w:cs="宋体"/>
                <w:sz w:val="21"/>
                <w:szCs w:val="21"/>
              </w:rPr>
            </w:pPr>
          </w:p>
        </w:tc>
        <w:tc>
          <w:tcPr>
            <w:tcW w:w="1303" w:type="dxa"/>
            <w:tcBorders>
              <w:top w:val="single" w:color="auto" w:sz="4" w:space="0"/>
              <w:left w:val="single" w:color="auto" w:sz="6" w:space="0"/>
              <w:bottom w:val="single" w:color="auto" w:sz="4" w:space="0"/>
              <w:right w:val="single" w:color="auto" w:sz="6" w:space="0"/>
            </w:tcBorders>
            <w:noWrap w:val="0"/>
            <w:vAlign w:val="center"/>
          </w:tcPr>
          <w:p w14:paraId="457A361F">
            <w:pPr>
              <w:spacing w:line="240" w:lineRule="auto"/>
              <w:jc w:val="center"/>
              <w:rPr>
                <w:rFonts w:hint="eastAsia" w:ascii="宋体" w:hAnsi="宋体" w:eastAsia="宋体" w:cs="宋体"/>
                <w:sz w:val="21"/>
                <w:szCs w:val="21"/>
              </w:rPr>
            </w:pPr>
          </w:p>
        </w:tc>
        <w:tc>
          <w:tcPr>
            <w:tcW w:w="709" w:type="dxa"/>
            <w:tcBorders>
              <w:top w:val="single" w:color="auto" w:sz="4" w:space="0"/>
              <w:left w:val="single" w:color="auto" w:sz="6" w:space="0"/>
              <w:bottom w:val="single" w:color="auto" w:sz="4" w:space="0"/>
              <w:right w:val="single" w:color="auto" w:sz="6" w:space="0"/>
            </w:tcBorders>
            <w:noWrap w:val="0"/>
            <w:vAlign w:val="center"/>
          </w:tcPr>
          <w:p w14:paraId="2A03B553">
            <w:pPr>
              <w:spacing w:line="240" w:lineRule="auto"/>
              <w:jc w:val="center"/>
              <w:rPr>
                <w:rFonts w:hint="eastAsia" w:ascii="宋体" w:hAnsi="宋体" w:eastAsia="宋体" w:cs="宋体"/>
                <w:sz w:val="21"/>
                <w:szCs w:val="21"/>
              </w:rPr>
            </w:pPr>
          </w:p>
        </w:tc>
        <w:tc>
          <w:tcPr>
            <w:tcW w:w="850" w:type="dxa"/>
            <w:tcBorders>
              <w:top w:val="single" w:color="auto" w:sz="4" w:space="0"/>
              <w:left w:val="single" w:color="auto" w:sz="6" w:space="0"/>
              <w:bottom w:val="single" w:color="auto" w:sz="4" w:space="0"/>
              <w:right w:val="single" w:color="auto" w:sz="6" w:space="0"/>
            </w:tcBorders>
            <w:noWrap w:val="0"/>
            <w:vAlign w:val="center"/>
          </w:tcPr>
          <w:p w14:paraId="64329CCC">
            <w:pPr>
              <w:spacing w:line="240" w:lineRule="auto"/>
              <w:jc w:val="center"/>
              <w:rPr>
                <w:rFonts w:hint="eastAsia" w:ascii="宋体" w:hAnsi="宋体" w:eastAsia="宋体" w:cs="宋体"/>
                <w:sz w:val="21"/>
                <w:szCs w:val="21"/>
              </w:rPr>
            </w:pPr>
          </w:p>
        </w:tc>
        <w:tc>
          <w:tcPr>
            <w:tcW w:w="851" w:type="dxa"/>
            <w:tcBorders>
              <w:top w:val="single" w:color="auto" w:sz="4" w:space="0"/>
              <w:left w:val="single" w:color="auto" w:sz="6" w:space="0"/>
              <w:bottom w:val="single" w:color="auto" w:sz="4" w:space="0"/>
              <w:right w:val="single" w:color="auto" w:sz="6" w:space="0"/>
            </w:tcBorders>
            <w:noWrap w:val="0"/>
            <w:vAlign w:val="center"/>
          </w:tcPr>
          <w:p w14:paraId="3E9303FC">
            <w:pPr>
              <w:spacing w:line="240" w:lineRule="auto"/>
              <w:jc w:val="center"/>
              <w:rPr>
                <w:rFonts w:hint="eastAsia" w:ascii="宋体" w:hAnsi="宋体" w:eastAsia="宋体" w:cs="宋体"/>
                <w:sz w:val="21"/>
                <w:szCs w:val="21"/>
              </w:rPr>
            </w:pPr>
          </w:p>
        </w:tc>
        <w:tc>
          <w:tcPr>
            <w:tcW w:w="992" w:type="dxa"/>
            <w:tcBorders>
              <w:top w:val="single" w:color="auto" w:sz="4" w:space="0"/>
              <w:left w:val="single" w:color="auto" w:sz="6" w:space="0"/>
              <w:bottom w:val="single" w:color="auto" w:sz="4" w:space="0"/>
              <w:right w:val="single" w:color="auto" w:sz="6" w:space="0"/>
            </w:tcBorders>
            <w:noWrap w:val="0"/>
            <w:vAlign w:val="center"/>
          </w:tcPr>
          <w:p w14:paraId="52956B07">
            <w:pPr>
              <w:spacing w:line="240" w:lineRule="auto"/>
              <w:jc w:val="center"/>
              <w:rPr>
                <w:rFonts w:hint="eastAsia" w:ascii="宋体" w:hAnsi="宋体" w:eastAsia="宋体" w:cs="宋体"/>
                <w:sz w:val="21"/>
                <w:szCs w:val="21"/>
              </w:rPr>
            </w:pPr>
          </w:p>
        </w:tc>
        <w:tc>
          <w:tcPr>
            <w:tcW w:w="1134" w:type="dxa"/>
            <w:tcBorders>
              <w:top w:val="single" w:color="auto" w:sz="4" w:space="0"/>
              <w:left w:val="single" w:color="auto" w:sz="6" w:space="0"/>
              <w:bottom w:val="single" w:color="auto" w:sz="4" w:space="0"/>
              <w:right w:val="single" w:color="auto" w:sz="4" w:space="0"/>
            </w:tcBorders>
            <w:noWrap w:val="0"/>
            <w:vAlign w:val="center"/>
          </w:tcPr>
          <w:p w14:paraId="31454376">
            <w:pPr>
              <w:spacing w:line="240" w:lineRule="auto"/>
              <w:jc w:val="center"/>
              <w:rPr>
                <w:rFonts w:hint="eastAsia" w:ascii="宋体" w:hAnsi="宋体" w:eastAsia="宋体" w:cs="宋体"/>
                <w:sz w:val="21"/>
                <w:szCs w:val="21"/>
              </w:rPr>
            </w:pPr>
          </w:p>
        </w:tc>
        <w:tc>
          <w:tcPr>
            <w:tcW w:w="851" w:type="dxa"/>
            <w:tcBorders>
              <w:top w:val="single" w:color="auto" w:sz="4" w:space="0"/>
              <w:left w:val="single" w:color="auto" w:sz="4" w:space="0"/>
              <w:bottom w:val="single" w:color="auto" w:sz="4" w:space="0"/>
              <w:right w:val="single" w:color="auto" w:sz="6" w:space="0"/>
            </w:tcBorders>
            <w:noWrap w:val="0"/>
            <w:vAlign w:val="center"/>
          </w:tcPr>
          <w:p w14:paraId="75CDE6A7">
            <w:pPr>
              <w:spacing w:line="240" w:lineRule="auto"/>
              <w:jc w:val="center"/>
              <w:rPr>
                <w:rFonts w:hint="eastAsia" w:ascii="宋体" w:hAnsi="宋体" w:eastAsia="宋体" w:cs="宋体"/>
                <w:sz w:val="21"/>
                <w:szCs w:val="21"/>
              </w:rPr>
            </w:pPr>
          </w:p>
        </w:tc>
        <w:tc>
          <w:tcPr>
            <w:tcW w:w="1275" w:type="dxa"/>
            <w:tcBorders>
              <w:top w:val="single" w:color="auto" w:sz="4" w:space="0"/>
              <w:left w:val="single" w:color="auto" w:sz="6" w:space="0"/>
              <w:bottom w:val="single" w:color="auto" w:sz="4" w:space="0"/>
              <w:right w:val="single" w:color="auto" w:sz="6" w:space="0"/>
            </w:tcBorders>
            <w:noWrap w:val="0"/>
            <w:vAlign w:val="center"/>
          </w:tcPr>
          <w:p w14:paraId="7A4D478B">
            <w:pPr>
              <w:spacing w:line="240" w:lineRule="auto"/>
              <w:jc w:val="center"/>
              <w:rPr>
                <w:rFonts w:hint="eastAsia" w:ascii="宋体" w:hAnsi="宋体" w:eastAsia="宋体" w:cs="宋体"/>
                <w:sz w:val="21"/>
                <w:szCs w:val="21"/>
              </w:rPr>
            </w:pPr>
          </w:p>
        </w:tc>
        <w:tc>
          <w:tcPr>
            <w:tcW w:w="1418" w:type="dxa"/>
            <w:tcBorders>
              <w:top w:val="single" w:color="auto" w:sz="4" w:space="0"/>
              <w:left w:val="single" w:color="auto" w:sz="6" w:space="0"/>
              <w:bottom w:val="single" w:color="auto" w:sz="4" w:space="0"/>
              <w:right w:val="single" w:color="auto" w:sz="6" w:space="0"/>
            </w:tcBorders>
            <w:noWrap w:val="0"/>
            <w:vAlign w:val="center"/>
          </w:tcPr>
          <w:p w14:paraId="5C0DA1E6">
            <w:pPr>
              <w:spacing w:line="240" w:lineRule="auto"/>
              <w:jc w:val="center"/>
              <w:rPr>
                <w:rFonts w:hint="eastAsia" w:ascii="宋体" w:hAnsi="宋体" w:eastAsia="宋体" w:cs="宋体"/>
                <w:sz w:val="21"/>
                <w:szCs w:val="21"/>
              </w:rPr>
            </w:pPr>
          </w:p>
        </w:tc>
      </w:tr>
      <w:tr w14:paraId="2DE4CA9B">
        <w:tblPrEx>
          <w:tblCellMar>
            <w:top w:w="57" w:type="dxa"/>
            <w:left w:w="57" w:type="dxa"/>
            <w:bottom w:w="57" w:type="dxa"/>
            <w:right w:w="57" w:type="dxa"/>
          </w:tblCellMar>
        </w:tblPrEx>
        <w:trPr>
          <w:cantSplit/>
          <w:trHeight w:val="567" w:hRule="atLeast"/>
          <w:jc w:val="center"/>
        </w:trPr>
        <w:tc>
          <w:tcPr>
            <w:tcW w:w="589" w:type="dxa"/>
            <w:tcBorders>
              <w:top w:val="single" w:color="auto" w:sz="4" w:space="0"/>
              <w:left w:val="single" w:color="auto" w:sz="6" w:space="0"/>
              <w:bottom w:val="single" w:color="auto" w:sz="4" w:space="0"/>
              <w:right w:val="single" w:color="auto" w:sz="6" w:space="0"/>
            </w:tcBorders>
            <w:noWrap w:val="0"/>
            <w:vAlign w:val="center"/>
          </w:tcPr>
          <w:p w14:paraId="14AA936C">
            <w:pPr>
              <w:spacing w:line="240" w:lineRule="auto"/>
              <w:jc w:val="center"/>
              <w:rPr>
                <w:rFonts w:hint="eastAsia" w:ascii="宋体" w:hAnsi="宋体" w:eastAsia="宋体" w:cs="宋体"/>
                <w:sz w:val="21"/>
                <w:szCs w:val="21"/>
              </w:rPr>
            </w:pPr>
          </w:p>
        </w:tc>
        <w:tc>
          <w:tcPr>
            <w:tcW w:w="1303" w:type="dxa"/>
            <w:tcBorders>
              <w:top w:val="single" w:color="auto" w:sz="4" w:space="0"/>
              <w:left w:val="single" w:color="auto" w:sz="6" w:space="0"/>
              <w:bottom w:val="single" w:color="auto" w:sz="4" w:space="0"/>
              <w:right w:val="single" w:color="auto" w:sz="6" w:space="0"/>
            </w:tcBorders>
            <w:noWrap w:val="0"/>
            <w:vAlign w:val="center"/>
          </w:tcPr>
          <w:p w14:paraId="3071A1F4">
            <w:pPr>
              <w:spacing w:line="240" w:lineRule="auto"/>
              <w:jc w:val="center"/>
              <w:rPr>
                <w:rFonts w:hint="eastAsia" w:ascii="宋体" w:hAnsi="宋体" w:eastAsia="宋体" w:cs="宋体"/>
                <w:sz w:val="21"/>
                <w:szCs w:val="21"/>
              </w:rPr>
            </w:pPr>
          </w:p>
        </w:tc>
        <w:tc>
          <w:tcPr>
            <w:tcW w:w="709" w:type="dxa"/>
            <w:tcBorders>
              <w:top w:val="single" w:color="auto" w:sz="4" w:space="0"/>
              <w:left w:val="single" w:color="auto" w:sz="6" w:space="0"/>
              <w:bottom w:val="single" w:color="auto" w:sz="4" w:space="0"/>
              <w:right w:val="single" w:color="auto" w:sz="6" w:space="0"/>
            </w:tcBorders>
            <w:noWrap w:val="0"/>
            <w:vAlign w:val="center"/>
          </w:tcPr>
          <w:p w14:paraId="37AF5661">
            <w:pPr>
              <w:spacing w:line="240" w:lineRule="auto"/>
              <w:jc w:val="center"/>
              <w:rPr>
                <w:rFonts w:hint="eastAsia" w:ascii="宋体" w:hAnsi="宋体" w:eastAsia="宋体" w:cs="宋体"/>
                <w:sz w:val="21"/>
                <w:szCs w:val="21"/>
              </w:rPr>
            </w:pPr>
          </w:p>
        </w:tc>
        <w:tc>
          <w:tcPr>
            <w:tcW w:w="850" w:type="dxa"/>
            <w:tcBorders>
              <w:top w:val="single" w:color="auto" w:sz="4" w:space="0"/>
              <w:left w:val="single" w:color="auto" w:sz="6" w:space="0"/>
              <w:bottom w:val="single" w:color="auto" w:sz="4" w:space="0"/>
              <w:right w:val="single" w:color="auto" w:sz="6" w:space="0"/>
            </w:tcBorders>
            <w:noWrap w:val="0"/>
            <w:vAlign w:val="center"/>
          </w:tcPr>
          <w:p w14:paraId="360125B5">
            <w:pPr>
              <w:spacing w:line="240" w:lineRule="auto"/>
              <w:jc w:val="center"/>
              <w:rPr>
                <w:rFonts w:hint="eastAsia" w:ascii="宋体" w:hAnsi="宋体" w:eastAsia="宋体" w:cs="宋体"/>
                <w:sz w:val="21"/>
                <w:szCs w:val="21"/>
              </w:rPr>
            </w:pPr>
          </w:p>
        </w:tc>
        <w:tc>
          <w:tcPr>
            <w:tcW w:w="851" w:type="dxa"/>
            <w:tcBorders>
              <w:top w:val="single" w:color="auto" w:sz="4" w:space="0"/>
              <w:left w:val="single" w:color="auto" w:sz="6" w:space="0"/>
              <w:bottom w:val="single" w:color="auto" w:sz="4" w:space="0"/>
              <w:right w:val="single" w:color="auto" w:sz="6" w:space="0"/>
            </w:tcBorders>
            <w:noWrap w:val="0"/>
            <w:vAlign w:val="center"/>
          </w:tcPr>
          <w:p w14:paraId="439C784A">
            <w:pPr>
              <w:spacing w:line="240" w:lineRule="auto"/>
              <w:jc w:val="center"/>
              <w:rPr>
                <w:rFonts w:hint="eastAsia" w:ascii="宋体" w:hAnsi="宋体" w:eastAsia="宋体" w:cs="宋体"/>
                <w:sz w:val="21"/>
                <w:szCs w:val="21"/>
              </w:rPr>
            </w:pPr>
          </w:p>
        </w:tc>
        <w:tc>
          <w:tcPr>
            <w:tcW w:w="992" w:type="dxa"/>
            <w:tcBorders>
              <w:top w:val="single" w:color="auto" w:sz="4" w:space="0"/>
              <w:left w:val="single" w:color="auto" w:sz="6" w:space="0"/>
              <w:bottom w:val="single" w:color="auto" w:sz="4" w:space="0"/>
              <w:right w:val="single" w:color="auto" w:sz="6" w:space="0"/>
            </w:tcBorders>
            <w:noWrap w:val="0"/>
            <w:vAlign w:val="center"/>
          </w:tcPr>
          <w:p w14:paraId="638B2FBD">
            <w:pPr>
              <w:spacing w:line="240" w:lineRule="auto"/>
              <w:jc w:val="center"/>
              <w:rPr>
                <w:rFonts w:hint="eastAsia" w:ascii="宋体" w:hAnsi="宋体" w:eastAsia="宋体" w:cs="宋体"/>
                <w:sz w:val="21"/>
                <w:szCs w:val="21"/>
              </w:rPr>
            </w:pPr>
          </w:p>
        </w:tc>
        <w:tc>
          <w:tcPr>
            <w:tcW w:w="1134" w:type="dxa"/>
            <w:tcBorders>
              <w:top w:val="single" w:color="auto" w:sz="4" w:space="0"/>
              <w:left w:val="single" w:color="auto" w:sz="6" w:space="0"/>
              <w:bottom w:val="single" w:color="auto" w:sz="4" w:space="0"/>
              <w:right w:val="single" w:color="auto" w:sz="4" w:space="0"/>
            </w:tcBorders>
            <w:noWrap w:val="0"/>
            <w:vAlign w:val="center"/>
          </w:tcPr>
          <w:p w14:paraId="66620C3B">
            <w:pPr>
              <w:spacing w:line="240" w:lineRule="auto"/>
              <w:jc w:val="center"/>
              <w:rPr>
                <w:rFonts w:hint="eastAsia" w:ascii="宋体" w:hAnsi="宋体" w:eastAsia="宋体" w:cs="宋体"/>
                <w:sz w:val="21"/>
                <w:szCs w:val="21"/>
              </w:rPr>
            </w:pPr>
          </w:p>
        </w:tc>
        <w:tc>
          <w:tcPr>
            <w:tcW w:w="851" w:type="dxa"/>
            <w:tcBorders>
              <w:top w:val="single" w:color="auto" w:sz="4" w:space="0"/>
              <w:left w:val="single" w:color="auto" w:sz="4" w:space="0"/>
              <w:bottom w:val="single" w:color="auto" w:sz="4" w:space="0"/>
              <w:right w:val="single" w:color="auto" w:sz="6" w:space="0"/>
            </w:tcBorders>
            <w:noWrap w:val="0"/>
            <w:vAlign w:val="center"/>
          </w:tcPr>
          <w:p w14:paraId="696D799E">
            <w:pPr>
              <w:spacing w:line="240" w:lineRule="auto"/>
              <w:jc w:val="center"/>
              <w:rPr>
                <w:rFonts w:hint="eastAsia" w:ascii="宋体" w:hAnsi="宋体" w:eastAsia="宋体" w:cs="宋体"/>
                <w:sz w:val="21"/>
                <w:szCs w:val="21"/>
              </w:rPr>
            </w:pPr>
          </w:p>
        </w:tc>
        <w:tc>
          <w:tcPr>
            <w:tcW w:w="1275" w:type="dxa"/>
            <w:tcBorders>
              <w:top w:val="single" w:color="auto" w:sz="4" w:space="0"/>
              <w:left w:val="single" w:color="auto" w:sz="6" w:space="0"/>
              <w:bottom w:val="single" w:color="auto" w:sz="4" w:space="0"/>
              <w:right w:val="single" w:color="auto" w:sz="6" w:space="0"/>
            </w:tcBorders>
            <w:noWrap w:val="0"/>
            <w:vAlign w:val="center"/>
          </w:tcPr>
          <w:p w14:paraId="49F31205">
            <w:pPr>
              <w:spacing w:line="240" w:lineRule="auto"/>
              <w:jc w:val="center"/>
              <w:rPr>
                <w:rFonts w:hint="eastAsia" w:ascii="宋体" w:hAnsi="宋体" w:eastAsia="宋体" w:cs="宋体"/>
                <w:sz w:val="21"/>
                <w:szCs w:val="21"/>
              </w:rPr>
            </w:pPr>
          </w:p>
        </w:tc>
        <w:tc>
          <w:tcPr>
            <w:tcW w:w="1418" w:type="dxa"/>
            <w:tcBorders>
              <w:top w:val="single" w:color="auto" w:sz="4" w:space="0"/>
              <w:left w:val="single" w:color="auto" w:sz="6" w:space="0"/>
              <w:bottom w:val="single" w:color="auto" w:sz="4" w:space="0"/>
              <w:right w:val="single" w:color="auto" w:sz="6" w:space="0"/>
            </w:tcBorders>
            <w:noWrap w:val="0"/>
            <w:vAlign w:val="center"/>
          </w:tcPr>
          <w:p w14:paraId="5F1D5F4B">
            <w:pPr>
              <w:spacing w:line="240" w:lineRule="auto"/>
              <w:jc w:val="center"/>
              <w:rPr>
                <w:rFonts w:hint="eastAsia" w:ascii="宋体" w:hAnsi="宋体" w:eastAsia="宋体" w:cs="宋体"/>
                <w:sz w:val="21"/>
                <w:szCs w:val="21"/>
              </w:rPr>
            </w:pPr>
          </w:p>
        </w:tc>
      </w:tr>
      <w:tr w14:paraId="519CE14F">
        <w:tblPrEx>
          <w:tblCellMar>
            <w:top w:w="57" w:type="dxa"/>
            <w:left w:w="57" w:type="dxa"/>
            <w:bottom w:w="57" w:type="dxa"/>
            <w:right w:w="57" w:type="dxa"/>
          </w:tblCellMar>
        </w:tblPrEx>
        <w:trPr>
          <w:cantSplit/>
          <w:trHeight w:val="567" w:hRule="atLeast"/>
          <w:jc w:val="center"/>
        </w:trPr>
        <w:tc>
          <w:tcPr>
            <w:tcW w:w="589" w:type="dxa"/>
            <w:tcBorders>
              <w:top w:val="single" w:color="auto" w:sz="4" w:space="0"/>
              <w:left w:val="single" w:color="auto" w:sz="6" w:space="0"/>
              <w:bottom w:val="single" w:color="auto" w:sz="6" w:space="0"/>
              <w:right w:val="single" w:color="auto" w:sz="6" w:space="0"/>
            </w:tcBorders>
            <w:noWrap w:val="0"/>
            <w:vAlign w:val="center"/>
          </w:tcPr>
          <w:p w14:paraId="44B82E57">
            <w:pPr>
              <w:spacing w:line="240" w:lineRule="auto"/>
              <w:jc w:val="center"/>
              <w:rPr>
                <w:rFonts w:hint="eastAsia" w:ascii="宋体" w:hAnsi="宋体" w:eastAsia="宋体" w:cs="宋体"/>
                <w:sz w:val="21"/>
                <w:szCs w:val="21"/>
              </w:rPr>
            </w:pPr>
          </w:p>
        </w:tc>
        <w:tc>
          <w:tcPr>
            <w:tcW w:w="1303" w:type="dxa"/>
            <w:tcBorders>
              <w:top w:val="single" w:color="auto" w:sz="4" w:space="0"/>
              <w:left w:val="single" w:color="auto" w:sz="6" w:space="0"/>
              <w:bottom w:val="single" w:color="auto" w:sz="6" w:space="0"/>
              <w:right w:val="single" w:color="auto" w:sz="6" w:space="0"/>
            </w:tcBorders>
            <w:noWrap w:val="0"/>
            <w:vAlign w:val="center"/>
          </w:tcPr>
          <w:p w14:paraId="27C6662E">
            <w:pPr>
              <w:spacing w:line="240" w:lineRule="auto"/>
              <w:jc w:val="center"/>
              <w:rPr>
                <w:rFonts w:hint="eastAsia" w:ascii="宋体" w:hAnsi="宋体" w:eastAsia="宋体" w:cs="宋体"/>
                <w:sz w:val="21"/>
                <w:szCs w:val="21"/>
              </w:rPr>
            </w:pPr>
          </w:p>
        </w:tc>
        <w:tc>
          <w:tcPr>
            <w:tcW w:w="709" w:type="dxa"/>
            <w:tcBorders>
              <w:top w:val="single" w:color="auto" w:sz="4" w:space="0"/>
              <w:left w:val="single" w:color="auto" w:sz="6" w:space="0"/>
              <w:bottom w:val="single" w:color="auto" w:sz="6" w:space="0"/>
              <w:right w:val="single" w:color="auto" w:sz="6" w:space="0"/>
            </w:tcBorders>
            <w:noWrap w:val="0"/>
            <w:vAlign w:val="center"/>
          </w:tcPr>
          <w:p w14:paraId="192E6460">
            <w:pPr>
              <w:spacing w:line="240" w:lineRule="auto"/>
              <w:jc w:val="center"/>
              <w:rPr>
                <w:rFonts w:hint="eastAsia" w:ascii="宋体" w:hAnsi="宋体" w:eastAsia="宋体" w:cs="宋体"/>
                <w:sz w:val="21"/>
                <w:szCs w:val="21"/>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7A09D37">
            <w:pPr>
              <w:spacing w:line="240" w:lineRule="auto"/>
              <w:jc w:val="center"/>
              <w:rPr>
                <w:rFonts w:hint="eastAsia" w:ascii="宋体" w:hAnsi="宋体" w:eastAsia="宋体" w:cs="宋体"/>
                <w:sz w:val="21"/>
                <w:szCs w:val="21"/>
              </w:rPr>
            </w:pPr>
          </w:p>
        </w:tc>
        <w:tc>
          <w:tcPr>
            <w:tcW w:w="851" w:type="dxa"/>
            <w:tcBorders>
              <w:top w:val="single" w:color="auto" w:sz="4" w:space="0"/>
              <w:left w:val="single" w:color="auto" w:sz="6" w:space="0"/>
              <w:bottom w:val="single" w:color="auto" w:sz="6" w:space="0"/>
              <w:right w:val="single" w:color="auto" w:sz="6" w:space="0"/>
            </w:tcBorders>
            <w:noWrap w:val="0"/>
            <w:vAlign w:val="center"/>
          </w:tcPr>
          <w:p w14:paraId="2F47E3B1">
            <w:pPr>
              <w:spacing w:line="240" w:lineRule="auto"/>
              <w:jc w:val="center"/>
              <w:rPr>
                <w:rFonts w:hint="eastAsia" w:ascii="宋体" w:hAnsi="宋体" w:eastAsia="宋体" w:cs="宋体"/>
                <w:sz w:val="21"/>
                <w:szCs w:val="21"/>
              </w:rPr>
            </w:pPr>
          </w:p>
        </w:tc>
        <w:tc>
          <w:tcPr>
            <w:tcW w:w="992" w:type="dxa"/>
            <w:tcBorders>
              <w:top w:val="single" w:color="auto" w:sz="4" w:space="0"/>
              <w:left w:val="single" w:color="auto" w:sz="6" w:space="0"/>
              <w:bottom w:val="single" w:color="auto" w:sz="6" w:space="0"/>
              <w:right w:val="single" w:color="auto" w:sz="6" w:space="0"/>
            </w:tcBorders>
            <w:noWrap w:val="0"/>
            <w:vAlign w:val="center"/>
          </w:tcPr>
          <w:p w14:paraId="2C4F07BD">
            <w:pPr>
              <w:spacing w:line="240" w:lineRule="auto"/>
              <w:jc w:val="center"/>
              <w:rPr>
                <w:rFonts w:hint="eastAsia" w:ascii="宋体" w:hAnsi="宋体" w:eastAsia="宋体" w:cs="宋体"/>
                <w:sz w:val="21"/>
                <w:szCs w:val="21"/>
              </w:rPr>
            </w:pPr>
          </w:p>
        </w:tc>
        <w:tc>
          <w:tcPr>
            <w:tcW w:w="1134" w:type="dxa"/>
            <w:tcBorders>
              <w:top w:val="single" w:color="auto" w:sz="4" w:space="0"/>
              <w:left w:val="single" w:color="auto" w:sz="6" w:space="0"/>
              <w:bottom w:val="single" w:color="auto" w:sz="6" w:space="0"/>
              <w:right w:val="single" w:color="auto" w:sz="4" w:space="0"/>
            </w:tcBorders>
            <w:noWrap w:val="0"/>
            <w:vAlign w:val="center"/>
          </w:tcPr>
          <w:p w14:paraId="10588F62">
            <w:pPr>
              <w:spacing w:line="240" w:lineRule="auto"/>
              <w:jc w:val="center"/>
              <w:rPr>
                <w:rFonts w:hint="eastAsia" w:ascii="宋体" w:hAnsi="宋体" w:eastAsia="宋体" w:cs="宋体"/>
                <w:sz w:val="21"/>
                <w:szCs w:val="21"/>
              </w:rPr>
            </w:pPr>
          </w:p>
        </w:tc>
        <w:tc>
          <w:tcPr>
            <w:tcW w:w="851" w:type="dxa"/>
            <w:tcBorders>
              <w:top w:val="single" w:color="auto" w:sz="4" w:space="0"/>
              <w:left w:val="single" w:color="auto" w:sz="4" w:space="0"/>
              <w:bottom w:val="single" w:color="auto" w:sz="6" w:space="0"/>
              <w:right w:val="single" w:color="auto" w:sz="6" w:space="0"/>
            </w:tcBorders>
            <w:noWrap w:val="0"/>
            <w:vAlign w:val="center"/>
          </w:tcPr>
          <w:p w14:paraId="3C46CA32">
            <w:pPr>
              <w:spacing w:line="240" w:lineRule="auto"/>
              <w:jc w:val="center"/>
              <w:rPr>
                <w:rFonts w:hint="eastAsia" w:ascii="宋体" w:hAnsi="宋体" w:eastAsia="宋体" w:cs="宋体"/>
                <w:sz w:val="21"/>
                <w:szCs w:val="21"/>
              </w:rPr>
            </w:pPr>
          </w:p>
        </w:tc>
        <w:tc>
          <w:tcPr>
            <w:tcW w:w="1275" w:type="dxa"/>
            <w:tcBorders>
              <w:top w:val="single" w:color="auto" w:sz="4" w:space="0"/>
              <w:left w:val="single" w:color="auto" w:sz="6" w:space="0"/>
              <w:bottom w:val="single" w:color="auto" w:sz="6" w:space="0"/>
              <w:right w:val="single" w:color="auto" w:sz="6" w:space="0"/>
            </w:tcBorders>
            <w:noWrap w:val="0"/>
            <w:vAlign w:val="center"/>
          </w:tcPr>
          <w:p w14:paraId="0DC744DF">
            <w:pPr>
              <w:spacing w:line="240" w:lineRule="auto"/>
              <w:jc w:val="center"/>
              <w:rPr>
                <w:rFonts w:hint="eastAsia" w:ascii="宋体" w:hAnsi="宋体" w:eastAsia="宋体" w:cs="宋体"/>
                <w:sz w:val="21"/>
                <w:szCs w:val="21"/>
              </w:rPr>
            </w:pPr>
          </w:p>
        </w:tc>
        <w:tc>
          <w:tcPr>
            <w:tcW w:w="1418" w:type="dxa"/>
            <w:tcBorders>
              <w:top w:val="single" w:color="auto" w:sz="4" w:space="0"/>
              <w:left w:val="single" w:color="auto" w:sz="6" w:space="0"/>
              <w:bottom w:val="single" w:color="auto" w:sz="6" w:space="0"/>
              <w:right w:val="single" w:color="auto" w:sz="6" w:space="0"/>
            </w:tcBorders>
            <w:noWrap w:val="0"/>
            <w:vAlign w:val="center"/>
          </w:tcPr>
          <w:p w14:paraId="54556BA4">
            <w:pPr>
              <w:spacing w:line="240" w:lineRule="auto"/>
              <w:jc w:val="center"/>
              <w:rPr>
                <w:rFonts w:hint="eastAsia" w:ascii="宋体" w:hAnsi="宋体" w:eastAsia="宋体" w:cs="宋体"/>
                <w:sz w:val="21"/>
                <w:szCs w:val="21"/>
              </w:rPr>
            </w:pPr>
          </w:p>
        </w:tc>
      </w:tr>
    </w:tbl>
    <w:p w14:paraId="168FA6A4">
      <w:pPr>
        <w:spacing w:line="480" w:lineRule="auto"/>
        <w:rPr>
          <w:rFonts w:ascii="宋体" w:hAnsi="宋体" w:cs="宋体"/>
          <w:szCs w:val="21"/>
        </w:rPr>
      </w:pPr>
    </w:p>
    <w:p w14:paraId="1695D811">
      <w:pPr>
        <w:spacing w:line="480" w:lineRule="auto"/>
        <w:rPr>
          <w:rFonts w:ascii="宋体" w:hAnsi="宋体" w:cs="宋体"/>
          <w:szCs w:val="21"/>
        </w:rPr>
      </w:pPr>
    </w:p>
    <w:p w14:paraId="17611D09">
      <w:pPr>
        <w:spacing w:line="480" w:lineRule="auto"/>
        <w:rPr>
          <w:rFonts w:ascii="宋体" w:hAnsi="宋体" w:cs="宋体"/>
          <w:szCs w:val="21"/>
          <w:u w:val="single"/>
        </w:rPr>
      </w:pPr>
      <w:r>
        <w:rPr>
          <w:rFonts w:hint="eastAsia" w:ascii="宋体" w:hAnsi="宋体" w:cs="宋体"/>
          <w:szCs w:val="21"/>
        </w:rPr>
        <w:t>响应人名称：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14:paraId="19D0B7DF">
      <w:pPr>
        <w:spacing w:line="480" w:lineRule="auto"/>
        <w:rPr>
          <w:rFonts w:ascii="宋体" w:hAnsi="宋体" w:cs="宋体"/>
          <w:szCs w:val="21"/>
        </w:rPr>
      </w:pPr>
      <w:r>
        <w:rPr>
          <w:rFonts w:hint="eastAsia" w:ascii="宋体" w:hAnsi="宋体" w:cs="宋体"/>
          <w:spacing w:val="-4"/>
          <w:szCs w:val="21"/>
        </w:rPr>
        <w:t>响应人代表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w:t>
      </w:r>
    </w:p>
    <w:p w14:paraId="53DB6DC6">
      <w:pPr>
        <w:spacing w:line="480" w:lineRule="auto"/>
        <w:rPr>
          <w:rFonts w:ascii="宋体" w:hAnsi="宋体" w:cs="宋体"/>
          <w:szCs w:val="21"/>
        </w:rPr>
      </w:pPr>
      <w:r>
        <w:rPr>
          <w:rFonts w:hint="eastAsia" w:ascii="宋体" w:hAnsi="宋体" w:cs="宋体"/>
          <w:spacing w:val="20"/>
          <w:szCs w:val="21"/>
        </w:rPr>
        <w:t>日期：</w:t>
      </w:r>
      <w:r>
        <w:rPr>
          <w:rFonts w:hint="eastAsia" w:ascii="宋体" w:hAnsi="宋体" w:cs="宋体"/>
          <w:spacing w:val="20"/>
          <w:szCs w:val="21"/>
          <w:u w:val="single"/>
        </w:rPr>
        <w:t xml:space="preserve">    </w:t>
      </w:r>
      <w:r>
        <w:rPr>
          <w:rFonts w:hint="eastAsia" w:ascii="宋体" w:hAnsi="宋体" w:cs="宋体"/>
          <w:spacing w:val="20"/>
          <w:szCs w:val="21"/>
        </w:rPr>
        <w:t>年</w:t>
      </w:r>
      <w:r>
        <w:rPr>
          <w:rFonts w:hint="eastAsia" w:ascii="宋体" w:hAnsi="宋体" w:cs="宋体"/>
          <w:spacing w:val="20"/>
          <w:szCs w:val="21"/>
          <w:u w:val="single"/>
        </w:rPr>
        <w:t xml:space="preserve">   </w:t>
      </w:r>
      <w:r>
        <w:rPr>
          <w:rFonts w:hint="eastAsia" w:ascii="宋体" w:hAnsi="宋体" w:cs="宋体"/>
          <w:spacing w:val="20"/>
          <w:szCs w:val="21"/>
        </w:rPr>
        <w:t>月</w:t>
      </w:r>
      <w:r>
        <w:rPr>
          <w:rFonts w:hint="eastAsia" w:ascii="宋体" w:hAnsi="宋体" w:cs="宋体"/>
          <w:spacing w:val="20"/>
          <w:szCs w:val="21"/>
          <w:u w:val="single"/>
        </w:rPr>
        <w:t xml:space="preserve">   </w:t>
      </w:r>
      <w:r>
        <w:rPr>
          <w:rFonts w:hint="eastAsia" w:ascii="宋体" w:hAnsi="宋体" w:cs="宋体"/>
          <w:spacing w:val="20"/>
          <w:szCs w:val="21"/>
        </w:rPr>
        <w:t>日</w:t>
      </w:r>
    </w:p>
    <w:p w14:paraId="6F5AB722">
      <w:pPr>
        <w:rPr>
          <w:rFonts w:ascii="宋体" w:cs="宋体"/>
          <w:b/>
          <w:bCs/>
          <w:sz w:val="24"/>
          <w:szCs w:val="24"/>
        </w:rPr>
      </w:pPr>
      <w:r>
        <w:rPr>
          <w:rFonts w:hint="eastAsia" w:ascii="宋体" w:cs="宋体"/>
          <w:b/>
          <w:bCs/>
          <w:sz w:val="24"/>
          <w:szCs w:val="24"/>
        </w:rPr>
        <w:br w:type="page"/>
      </w:r>
    </w:p>
    <w:p w14:paraId="7294E729">
      <w:pPr>
        <w:rPr>
          <w:rFonts w:ascii="宋体" w:cs="宋体"/>
          <w:b/>
          <w:bCs/>
          <w:szCs w:val="21"/>
        </w:rPr>
      </w:pPr>
      <w:r>
        <w:rPr>
          <w:rFonts w:hint="eastAsia" w:ascii="宋体" w:cs="宋体"/>
          <w:b/>
          <w:bCs/>
          <w:szCs w:val="21"/>
        </w:rPr>
        <w:t>格式</w:t>
      </w:r>
      <w:r>
        <w:rPr>
          <w:rFonts w:hint="eastAsia" w:ascii="宋体" w:cs="宋体"/>
          <w:b/>
          <w:bCs/>
          <w:szCs w:val="21"/>
          <w:lang w:val="en-US" w:eastAsia="zh-CN"/>
        </w:rPr>
        <w:t>九</w:t>
      </w:r>
      <w:r>
        <w:rPr>
          <w:rFonts w:hint="eastAsia" w:ascii="宋体" w:cs="宋体"/>
          <w:b/>
          <w:bCs/>
          <w:szCs w:val="21"/>
        </w:rPr>
        <w:t>、质疑函（范本）</w:t>
      </w:r>
    </w:p>
    <w:p w14:paraId="6A98C9DE">
      <w:pPr>
        <w:spacing w:line="360" w:lineRule="auto"/>
        <w:jc w:val="center"/>
        <w:rPr>
          <w:rFonts w:ascii="宋体" w:hAnsi="宋体"/>
          <w:szCs w:val="21"/>
        </w:rPr>
      </w:pPr>
      <w:r>
        <w:rPr>
          <w:rFonts w:hint="eastAsia" w:ascii="宋体" w:hAnsi="宋体"/>
          <w:szCs w:val="21"/>
        </w:rPr>
        <w:t>质疑函（范本）</w:t>
      </w:r>
    </w:p>
    <w:p w14:paraId="73F424C1">
      <w:pPr>
        <w:widowControl/>
        <w:spacing w:before="100" w:beforeAutospacing="1" w:after="100" w:afterAutospacing="1" w:line="276" w:lineRule="auto"/>
        <w:jc w:val="left"/>
        <w:rPr>
          <w:rFonts w:ascii="宋体" w:hAnsi="宋体" w:cs="宋体"/>
          <w:szCs w:val="21"/>
        </w:rPr>
      </w:pPr>
      <w:r>
        <w:rPr>
          <w:rFonts w:hint="eastAsia" w:ascii="宋体" w:hAnsi="宋体" w:cs="仿宋"/>
          <w:kern w:val="0"/>
          <w:szCs w:val="21"/>
          <w:shd w:val="clear" w:color="auto" w:fill="FFFFFF"/>
        </w:rPr>
        <w:t>质疑供应商：</w:t>
      </w:r>
      <w:r>
        <w:rPr>
          <w:rFonts w:hint="eastAsia" w:ascii="宋体" w:hAnsi="宋体" w:cs="Calibri"/>
          <w:kern w:val="0"/>
          <w:szCs w:val="21"/>
          <w:u w:val="single"/>
          <w:shd w:val="clear" w:color="auto" w:fill="FFFFFF"/>
        </w:rPr>
        <w:t xml:space="preserve">                                                                           </w:t>
      </w:r>
    </w:p>
    <w:p w14:paraId="7AA44EE8">
      <w:pPr>
        <w:widowControl/>
        <w:spacing w:before="100" w:beforeAutospacing="1" w:after="100" w:afterAutospacing="1" w:line="276" w:lineRule="auto"/>
        <w:jc w:val="left"/>
        <w:rPr>
          <w:rFonts w:ascii="宋体" w:hAnsi="宋体" w:cs="宋体"/>
          <w:szCs w:val="21"/>
        </w:rPr>
      </w:pPr>
      <w:r>
        <w:rPr>
          <w:rFonts w:hint="eastAsia" w:ascii="宋体" w:hAnsi="宋体" w:cs="仿宋"/>
          <w:kern w:val="0"/>
          <w:szCs w:val="21"/>
          <w:shd w:val="clear" w:color="auto" w:fill="FFFFFF"/>
        </w:rPr>
        <w:t>地址：</w:t>
      </w:r>
      <w:r>
        <w:rPr>
          <w:rFonts w:hint="eastAsia" w:ascii="宋体" w:hAnsi="宋体" w:cs="Calibri"/>
          <w:kern w:val="0"/>
          <w:szCs w:val="21"/>
          <w:u w:val="single"/>
          <w:shd w:val="clear" w:color="auto" w:fill="FFFFFF"/>
        </w:rPr>
        <w:t xml:space="preserve">                                                             </w:t>
      </w:r>
      <w:r>
        <w:rPr>
          <w:rFonts w:hint="eastAsia" w:ascii="宋体" w:hAnsi="宋体" w:cs="仿宋"/>
          <w:kern w:val="0"/>
          <w:szCs w:val="21"/>
          <w:shd w:val="clear" w:color="auto" w:fill="FFFFFF"/>
        </w:rPr>
        <w:t>邮编：</w:t>
      </w:r>
      <w:r>
        <w:rPr>
          <w:rFonts w:hint="eastAsia" w:ascii="宋体" w:hAnsi="宋体" w:cs="Calibri"/>
          <w:kern w:val="0"/>
          <w:szCs w:val="21"/>
          <w:u w:val="single"/>
          <w:shd w:val="clear" w:color="auto" w:fill="FFFFFF"/>
        </w:rPr>
        <w:t xml:space="preserve">             </w:t>
      </w:r>
    </w:p>
    <w:p w14:paraId="116B6023">
      <w:pPr>
        <w:widowControl/>
        <w:spacing w:before="100" w:beforeAutospacing="1" w:after="100" w:afterAutospacing="1" w:line="276" w:lineRule="auto"/>
        <w:jc w:val="left"/>
        <w:rPr>
          <w:rFonts w:ascii="宋体" w:hAnsi="宋体" w:cs="Calibri"/>
          <w:kern w:val="0"/>
          <w:szCs w:val="21"/>
          <w:u w:val="single"/>
          <w:shd w:val="clear" w:color="auto" w:fill="FFFFFF"/>
        </w:rPr>
      </w:pPr>
      <w:r>
        <w:rPr>
          <w:rFonts w:hint="eastAsia" w:ascii="宋体" w:hAnsi="宋体" w:cs="仿宋"/>
          <w:kern w:val="0"/>
          <w:szCs w:val="21"/>
          <w:shd w:val="clear" w:color="auto" w:fill="FFFFFF"/>
        </w:rPr>
        <w:t>联系人：</w:t>
      </w:r>
      <w:r>
        <w:rPr>
          <w:rFonts w:hint="eastAsia" w:ascii="宋体" w:hAnsi="宋体" w:cs="Calibri"/>
          <w:kern w:val="0"/>
          <w:szCs w:val="21"/>
          <w:u w:val="single"/>
          <w:shd w:val="clear" w:color="auto" w:fill="FFFFFF"/>
        </w:rPr>
        <w:t xml:space="preserve">                                                                              </w:t>
      </w:r>
    </w:p>
    <w:p w14:paraId="24C10BA5">
      <w:pPr>
        <w:widowControl/>
        <w:spacing w:before="100" w:beforeAutospacing="1" w:after="100" w:afterAutospacing="1" w:line="276" w:lineRule="auto"/>
        <w:jc w:val="left"/>
        <w:rPr>
          <w:rFonts w:ascii="宋体" w:hAnsi="宋体" w:cs="宋体"/>
          <w:szCs w:val="21"/>
        </w:rPr>
      </w:pPr>
      <w:r>
        <w:rPr>
          <w:rFonts w:hint="eastAsia" w:ascii="宋体" w:hAnsi="宋体" w:cs="仿宋"/>
          <w:kern w:val="0"/>
          <w:szCs w:val="21"/>
          <w:shd w:val="clear" w:color="auto" w:fill="FFFFFF"/>
        </w:rPr>
        <w:t>联系电话：</w:t>
      </w:r>
      <w:r>
        <w:rPr>
          <w:rFonts w:hint="eastAsia" w:ascii="宋体" w:hAnsi="宋体" w:cs="Calibri"/>
          <w:kern w:val="0"/>
          <w:szCs w:val="21"/>
          <w:u w:val="single"/>
          <w:shd w:val="clear" w:color="auto" w:fill="FFFFFF"/>
        </w:rPr>
        <w:t xml:space="preserve">                                                                            </w:t>
      </w:r>
    </w:p>
    <w:p w14:paraId="0F3DC7AC">
      <w:pPr>
        <w:widowControl/>
        <w:spacing w:before="100" w:beforeAutospacing="1" w:after="100" w:afterAutospacing="1" w:line="276" w:lineRule="auto"/>
        <w:jc w:val="left"/>
        <w:rPr>
          <w:rFonts w:ascii="宋体" w:hAnsi="宋体" w:cs="Calibri"/>
          <w:kern w:val="0"/>
          <w:szCs w:val="21"/>
          <w:u w:val="single"/>
          <w:shd w:val="clear" w:color="auto" w:fill="FFFFFF"/>
        </w:rPr>
      </w:pPr>
      <w:r>
        <w:rPr>
          <w:rFonts w:hint="eastAsia" w:ascii="宋体" w:hAnsi="宋体" w:cs="仿宋"/>
          <w:kern w:val="0"/>
          <w:szCs w:val="21"/>
          <w:shd w:val="clear" w:color="auto" w:fill="FFFFFF"/>
        </w:rPr>
        <w:t>授权代表：</w:t>
      </w:r>
      <w:r>
        <w:rPr>
          <w:rFonts w:hint="eastAsia" w:ascii="宋体" w:hAnsi="宋体" w:cs="Calibri"/>
          <w:kern w:val="0"/>
          <w:szCs w:val="21"/>
          <w:u w:val="single"/>
          <w:shd w:val="clear" w:color="auto" w:fill="FFFFFF"/>
        </w:rPr>
        <w:t xml:space="preserve">                                                                            </w:t>
      </w:r>
    </w:p>
    <w:p w14:paraId="4D8C4BF6">
      <w:pPr>
        <w:widowControl/>
        <w:spacing w:before="100" w:beforeAutospacing="1" w:after="100" w:afterAutospacing="1" w:line="276" w:lineRule="auto"/>
        <w:jc w:val="left"/>
        <w:rPr>
          <w:rFonts w:ascii="宋体" w:hAnsi="宋体" w:cs="宋体"/>
          <w:szCs w:val="21"/>
        </w:rPr>
      </w:pPr>
      <w:r>
        <w:rPr>
          <w:rFonts w:hint="eastAsia" w:ascii="宋体" w:hAnsi="宋体" w:cs="仿宋"/>
          <w:kern w:val="0"/>
          <w:szCs w:val="21"/>
          <w:shd w:val="clear" w:color="auto" w:fill="FFFFFF"/>
        </w:rPr>
        <w:t>联系电话：</w:t>
      </w:r>
      <w:r>
        <w:rPr>
          <w:rFonts w:hint="eastAsia" w:ascii="宋体" w:hAnsi="宋体" w:cs="Calibri"/>
          <w:kern w:val="0"/>
          <w:szCs w:val="21"/>
          <w:u w:val="single"/>
          <w:shd w:val="clear" w:color="auto" w:fill="FFFFFF"/>
        </w:rPr>
        <w:t xml:space="preserve">                                                                            </w:t>
      </w:r>
    </w:p>
    <w:p w14:paraId="5E058171">
      <w:pPr>
        <w:widowControl/>
        <w:spacing w:before="100" w:beforeAutospacing="1" w:after="100" w:afterAutospacing="1" w:line="276" w:lineRule="auto"/>
        <w:jc w:val="left"/>
        <w:rPr>
          <w:rFonts w:ascii="宋体" w:hAnsi="宋体" w:cs="宋体"/>
          <w:szCs w:val="21"/>
        </w:rPr>
      </w:pPr>
      <w:r>
        <w:rPr>
          <w:rFonts w:hint="eastAsia" w:ascii="宋体" w:hAnsi="宋体" w:cs="仿宋"/>
          <w:kern w:val="0"/>
          <w:szCs w:val="21"/>
          <w:shd w:val="clear" w:color="auto" w:fill="FFFFFF"/>
        </w:rPr>
        <w:t>地址：</w:t>
      </w:r>
      <w:r>
        <w:rPr>
          <w:rFonts w:hint="eastAsia" w:ascii="宋体" w:hAnsi="宋体" w:cs="Calibri"/>
          <w:kern w:val="0"/>
          <w:szCs w:val="21"/>
          <w:u w:val="single"/>
          <w:shd w:val="clear" w:color="auto" w:fill="FFFFFF"/>
        </w:rPr>
        <w:t xml:space="preserve">                                                             </w:t>
      </w:r>
      <w:r>
        <w:rPr>
          <w:rFonts w:hint="eastAsia" w:ascii="宋体" w:hAnsi="宋体" w:cs="仿宋"/>
          <w:kern w:val="0"/>
          <w:szCs w:val="21"/>
          <w:shd w:val="clear" w:color="auto" w:fill="FFFFFF"/>
        </w:rPr>
        <w:t>邮编：</w:t>
      </w:r>
      <w:r>
        <w:rPr>
          <w:rFonts w:hint="eastAsia" w:ascii="宋体" w:hAnsi="宋体" w:cs="Calibri"/>
          <w:kern w:val="0"/>
          <w:szCs w:val="21"/>
          <w:u w:val="single"/>
          <w:shd w:val="clear" w:color="auto" w:fill="FFFFFF"/>
        </w:rPr>
        <w:t xml:space="preserve">             </w:t>
      </w:r>
    </w:p>
    <w:p w14:paraId="2D17FEEF">
      <w:pPr>
        <w:widowControl/>
        <w:spacing w:before="100" w:beforeAutospacing="1" w:after="100" w:afterAutospacing="1" w:line="360" w:lineRule="auto"/>
        <w:jc w:val="left"/>
        <w:rPr>
          <w:rFonts w:ascii="宋体" w:hAnsi="宋体" w:cs="黑体"/>
          <w:kern w:val="0"/>
          <w:szCs w:val="21"/>
          <w:shd w:val="clear" w:color="auto" w:fill="FFFFFF"/>
        </w:rPr>
      </w:pPr>
    </w:p>
    <w:p w14:paraId="6D297AE1">
      <w:pPr>
        <w:widowControl/>
        <w:spacing w:before="100" w:beforeAutospacing="1" w:after="100" w:afterAutospacing="1" w:line="360" w:lineRule="auto"/>
        <w:jc w:val="left"/>
        <w:rPr>
          <w:rFonts w:ascii="宋体" w:hAnsi="宋体" w:cs="宋体"/>
          <w:szCs w:val="21"/>
        </w:rPr>
      </w:pPr>
      <w:r>
        <w:rPr>
          <w:rFonts w:ascii="宋体" w:hAnsi="宋体" w:cs="黑体"/>
          <w:kern w:val="0"/>
          <w:szCs w:val="21"/>
          <w:shd w:val="clear" w:color="auto" w:fill="FFFFFF"/>
        </w:rPr>
        <w:t>二、质疑项目基本情况</w:t>
      </w:r>
    </w:p>
    <w:p w14:paraId="78BA16FD">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rPr>
        <w:t>质疑项目的名称：</w:t>
      </w:r>
      <w:r>
        <w:rPr>
          <w:rFonts w:hint="eastAsia" w:ascii="宋体" w:hAnsi="宋体" w:cs="Calibri"/>
          <w:kern w:val="0"/>
          <w:szCs w:val="21"/>
          <w:u w:val="single"/>
          <w:shd w:val="clear" w:color="auto" w:fill="FFFFFF"/>
        </w:rPr>
        <w:t xml:space="preserve">                                                                            </w:t>
      </w:r>
    </w:p>
    <w:p w14:paraId="7C5719C9">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rPr>
        <w:t>质疑项目的编号：</w:t>
      </w:r>
      <w:r>
        <w:rPr>
          <w:rFonts w:hint="eastAsia" w:ascii="宋体" w:hAnsi="宋体" w:cs="Calibri"/>
          <w:kern w:val="0"/>
          <w:szCs w:val="21"/>
          <w:u w:val="single"/>
          <w:shd w:val="clear" w:color="auto" w:fill="FFFFFF"/>
        </w:rPr>
        <w:t xml:space="preserve">                                                                            </w:t>
      </w:r>
    </w:p>
    <w:p w14:paraId="1A1814C2">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rPr>
        <w:t>采购人名称：</w:t>
      </w:r>
      <w:r>
        <w:rPr>
          <w:rFonts w:hint="eastAsia" w:ascii="宋体" w:hAnsi="宋体" w:cs="Calibri"/>
          <w:kern w:val="0"/>
          <w:szCs w:val="21"/>
          <w:u w:val="single"/>
          <w:shd w:val="clear" w:color="auto" w:fill="FFFFFF"/>
        </w:rPr>
        <w:t xml:space="preserve">                                                                                </w:t>
      </w:r>
    </w:p>
    <w:p w14:paraId="5028F30B">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rPr>
        <w:t>采购文件获取日期：</w:t>
      </w:r>
      <w:r>
        <w:rPr>
          <w:rFonts w:hint="eastAsia" w:ascii="宋体" w:hAnsi="宋体" w:cs="Calibri"/>
          <w:kern w:val="0"/>
          <w:szCs w:val="21"/>
          <w:u w:val="single"/>
          <w:shd w:val="clear" w:color="auto" w:fill="FFFFFF"/>
        </w:rPr>
        <w:t xml:space="preserve">                                                                          </w:t>
      </w:r>
    </w:p>
    <w:p w14:paraId="6EADB45C">
      <w:pPr>
        <w:widowControl/>
        <w:spacing w:before="100" w:beforeAutospacing="1" w:after="100" w:afterAutospacing="1" w:line="360" w:lineRule="auto"/>
        <w:jc w:val="left"/>
        <w:rPr>
          <w:rFonts w:ascii="宋体" w:hAnsi="宋体" w:cs="宋体"/>
          <w:szCs w:val="21"/>
        </w:rPr>
      </w:pPr>
      <w:r>
        <w:rPr>
          <w:rFonts w:hint="eastAsia" w:ascii="宋体" w:hAnsi="宋体" w:cs="黑体"/>
          <w:kern w:val="0"/>
          <w:szCs w:val="21"/>
          <w:shd w:val="clear" w:color="auto" w:fill="FFFFFF"/>
        </w:rPr>
        <w:t>三、质疑事项具体内容</w:t>
      </w:r>
    </w:p>
    <w:p w14:paraId="35B818CA">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rPr>
        <w:t>质疑事项1：</w:t>
      </w:r>
      <w:r>
        <w:rPr>
          <w:rFonts w:hint="eastAsia" w:ascii="宋体" w:hAnsi="宋体" w:cs="Calibri"/>
          <w:kern w:val="0"/>
          <w:szCs w:val="21"/>
          <w:u w:val="single"/>
          <w:shd w:val="clear" w:color="auto" w:fill="FFFFFF"/>
        </w:rPr>
        <w:t xml:space="preserve">                                                                            </w:t>
      </w:r>
    </w:p>
    <w:p w14:paraId="23C97167">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rPr>
        <w:t>事实依据：</w:t>
      </w:r>
      <w:r>
        <w:rPr>
          <w:rFonts w:hint="eastAsia" w:ascii="宋体" w:hAnsi="宋体" w:cs="Calibri"/>
          <w:kern w:val="0"/>
          <w:szCs w:val="21"/>
          <w:u w:val="single"/>
          <w:shd w:val="clear" w:color="auto" w:fill="FFFFFF"/>
        </w:rPr>
        <w:t xml:space="preserve">                                                                            </w:t>
      </w:r>
    </w:p>
    <w:p w14:paraId="2AA12336">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rPr>
        <w:t>法律依据：</w:t>
      </w:r>
      <w:r>
        <w:rPr>
          <w:rFonts w:hint="eastAsia" w:ascii="宋体" w:hAnsi="宋体" w:cs="Calibri"/>
          <w:kern w:val="0"/>
          <w:szCs w:val="21"/>
          <w:u w:val="single"/>
          <w:shd w:val="clear" w:color="auto" w:fill="FFFFFF"/>
        </w:rPr>
        <w:t xml:space="preserve">                                                                            </w:t>
      </w:r>
    </w:p>
    <w:p w14:paraId="2BA3A2B0">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rPr>
        <w:t>质疑事项2</w:t>
      </w:r>
    </w:p>
    <w:p w14:paraId="6D76F6C7">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rPr>
        <w:t>……</w:t>
      </w:r>
    </w:p>
    <w:p w14:paraId="47995D66">
      <w:pPr>
        <w:widowControl/>
        <w:spacing w:before="100" w:beforeAutospacing="1" w:after="100" w:afterAutospacing="1" w:line="360" w:lineRule="auto"/>
        <w:jc w:val="left"/>
        <w:rPr>
          <w:rFonts w:ascii="宋体" w:hAnsi="宋体" w:cs="宋体"/>
          <w:szCs w:val="21"/>
        </w:rPr>
      </w:pPr>
      <w:r>
        <w:rPr>
          <w:rFonts w:hint="eastAsia" w:ascii="宋体" w:hAnsi="宋体" w:cs="黑体"/>
          <w:kern w:val="0"/>
          <w:szCs w:val="21"/>
          <w:shd w:val="clear" w:color="auto" w:fill="FFFFFF"/>
        </w:rPr>
        <w:t>四、与质疑事项相关的质疑请求</w:t>
      </w:r>
    </w:p>
    <w:p w14:paraId="28C3EAEC">
      <w:pPr>
        <w:widowControl/>
        <w:spacing w:before="100" w:beforeAutospacing="1" w:after="100" w:afterAutospacing="1" w:line="360" w:lineRule="auto"/>
        <w:jc w:val="left"/>
        <w:rPr>
          <w:rFonts w:ascii="宋体" w:hAnsi="宋体" w:cs="Calibri"/>
          <w:kern w:val="0"/>
          <w:szCs w:val="21"/>
          <w:u w:val="single"/>
          <w:shd w:val="clear" w:color="auto" w:fill="FFFFFF"/>
        </w:rPr>
      </w:pPr>
      <w:r>
        <w:rPr>
          <w:rFonts w:hint="eastAsia" w:ascii="宋体" w:hAnsi="宋体" w:cs="仿宋"/>
          <w:kern w:val="0"/>
          <w:szCs w:val="21"/>
          <w:shd w:val="clear" w:color="auto" w:fill="FFFFFF"/>
        </w:rPr>
        <w:t>请求：</w:t>
      </w:r>
      <w:r>
        <w:rPr>
          <w:rFonts w:hint="eastAsia" w:ascii="宋体" w:hAnsi="宋体" w:cs="Calibri"/>
          <w:kern w:val="0"/>
          <w:szCs w:val="21"/>
          <w:u w:val="single"/>
          <w:shd w:val="clear" w:color="auto" w:fill="FFFFFF"/>
        </w:rPr>
        <w:t xml:space="preserve">                                                                            </w:t>
      </w:r>
    </w:p>
    <w:p w14:paraId="4CB6D7E7">
      <w:pPr>
        <w:widowControl/>
        <w:spacing w:before="100" w:beforeAutospacing="1" w:after="100" w:afterAutospacing="1" w:line="360" w:lineRule="auto"/>
        <w:jc w:val="left"/>
        <w:rPr>
          <w:rFonts w:ascii="宋体" w:hAnsi="宋体" w:cs="宋体"/>
          <w:szCs w:val="21"/>
        </w:rPr>
      </w:pPr>
    </w:p>
    <w:p w14:paraId="2D1184DE">
      <w:pPr>
        <w:widowControl/>
        <w:spacing w:before="100" w:beforeAutospacing="1" w:after="100" w:afterAutospacing="1" w:line="360" w:lineRule="auto"/>
        <w:jc w:val="left"/>
        <w:rPr>
          <w:rFonts w:ascii="宋体" w:hAnsi="宋体" w:cs="仿宋_GB2312"/>
          <w:kern w:val="0"/>
          <w:szCs w:val="21"/>
          <w:shd w:val="clear" w:color="auto" w:fill="FFFFFF"/>
        </w:rPr>
      </w:pPr>
      <w:r>
        <w:rPr>
          <w:rFonts w:ascii="宋体" w:hAnsi="宋体" w:cs="仿宋_GB2312"/>
          <w:kern w:val="0"/>
          <w:szCs w:val="21"/>
          <w:shd w:val="clear" w:color="auto" w:fill="FFFFFF"/>
        </w:rPr>
        <w:t>签字(签章)：</w:t>
      </w:r>
    </w:p>
    <w:p w14:paraId="5A84FAB9">
      <w:pPr>
        <w:widowControl/>
        <w:spacing w:before="100" w:beforeAutospacing="1" w:after="100" w:afterAutospacing="1" w:line="360" w:lineRule="auto"/>
        <w:jc w:val="left"/>
        <w:rPr>
          <w:rFonts w:ascii="宋体" w:hAnsi="宋体" w:cs="宋体"/>
          <w:szCs w:val="21"/>
        </w:rPr>
      </w:pPr>
      <w:r>
        <w:rPr>
          <w:rFonts w:ascii="宋体" w:hAnsi="宋体" w:cs="仿宋_GB2312"/>
          <w:kern w:val="0"/>
          <w:szCs w:val="21"/>
          <w:shd w:val="clear" w:color="auto" w:fill="FFFFFF"/>
        </w:rPr>
        <w:t>公章：</w:t>
      </w:r>
    </w:p>
    <w:p w14:paraId="08CA977A">
      <w:pPr>
        <w:widowControl/>
        <w:spacing w:before="100" w:beforeAutospacing="1" w:after="100" w:afterAutospacing="1" w:line="360" w:lineRule="auto"/>
        <w:jc w:val="left"/>
        <w:rPr>
          <w:rFonts w:ascii="宋体" w:hAnsi="宋体" w:cs="Calibri"/>
          <w:kern w:val="0"/>
          <w:szCs w:val="21"/>
          <w:shd w:val="clear" w:color="auto" w:fill="FFFFFF"/>
        </w:rPr>
      </w:pPr>
      <w:r>
        <w:rPr>
          <w:rFonts w:ascii="宋体" w:hAnsi="宋体" w:cs="仿宋_GB2312"/>
          <w:kern w:val="0"/>
          <w:szCs w:val="21"/>
          <w:shd w:val="clear" w:color="auto" w:fill="FFFFFF"/>
        </w:rPr>
        <w:t>日期：</w:t>
      </w:r>
    </w:p>
    <w:p w14:paraId="2FF037B9">
      <w:pPr>
        <w:widowControl/>
        <w:spacing w:before="100" w:beforeAutospacing="1" w:after="100" w:afterAutospacing="1" w:line="360" w:lineRule="auto"/>
        <w:jc w:val="left"/>
        <w:rPr>
          <w:rFonts w:ascii="宋体" w:hAnsi="宋体" w:cs="宋体"/>
          <w:szCs w:val="21"/>
        </w:rPr>
      </w:pPr>
    </w:p>
    <w:p w14:paraId="7E0A8AFD">
      <w:pPr>
        <w:widowControl/>
        <w:spacing w:before="100" w:beforeAutospacing="1" w:after="100" w:afterAutospacing="1" w:line="360" w:lineRule="auto"/>
        <w:jc w:val="left"/>
        <w:rPr>
          <w:rFonts w:ascii="宋体" w:hAnsi="宋体" w:cs="宋体"/>
          <w:szCs w:val="21"/>
        </w:rPr>
      </w:pPr>
      <w:r>
        <w:rPr>
          <w:rFonts w:hint="eastAsia" w:ascii="宋体" w:hAnsi="宋体" w:cs="黑体"/>
          <w:b/>
          <w:kern w:val="0"/>
          <w:szCs w:val="21"/>
          <w:shd w:val="clear" w:color="auto" w:fill="FFFFFF"/>
        </w:rPr>
        <w:t>质疑函制作说明：</w:t>
      </w:r>
    </w:p>
    <w:p w14:paraId="7286EC37">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rPr>
        <w:t>1.供应商提出质疑时，应提交质疑函和必要的证明材料。</w:t>
      </w:r>
    </w:p>
    <w:p w14:paraId="750F1D7A">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4E8D484">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rPr>
        <w:t>3.质疑供应商若对项目的某一</w:t>
      </w:r>
      <w:r>
        <w:rPr>
          <w:rFonts w:hint="eastAsia" w:ascii="宋体" w:hAnsi="宋体" w:cs="仿宋_GB2312"/>
          <w:kern w:val="0"/>
          <w:szCs w:val="21"/>
          <w:shd w:val="clear" w:color="auto" w:fill="FFFFFF"/>
        </w:rPr>
        <w:t>标项</w:t>
      </w:r>
      <w:r>
        <w:rPr>
          <w:rFonts w:ascii="宋体" w:hAnsi="宋体" w:cs="仿宋_GB2312"/>
          <w:kern w:val="0"/>
          <w:szCs w:val="21"/>
          <w:shd w:val="clear" w:color="auto" w:fill="FFFFFF"/>
        </w:rPr>
        <w:t>进行质疑，质疑函中应列明具体</w:t>
      </w:r>
      <w:r>
        <w:rPr>
          <w:rFonts w:hint="eastAsia" w:ascii="宋体" w:hAnsi="宋体" w:cs="仿宋_GB2312"/>
          <w:kern w:val="0"/>
          <w:szCs w:val="21"/>
          <w:shd w:val="clear" w:color="auto" w:fill="FFFFFF"/>
        </w:rPr>
        <w:t>标项</w:t>
      </w:r>
      <w:r>
        <w:rPr>
          <w:rFonts w:ascii="宋体" w:hAnsi="宋体" w:cs="仿宋_GB2312"/>
          <w:kern w:val="0"/>
          <w:szCs w:val="21"/>
          <w:shd w:val="clear" w:color="auto" w:fill="FFFFFF"/>
        </w:rPr>
        <w:t>。</w:t>
      </w:r>
    </w:p>
    <w:p w14:paraId="5A74C2FD">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rPr>
        <w:t>4.质疑函的质疑事项应具体、明确，并有必要的事实依据和法律依据。</w:t>
      </w:r>
    </w:p>
    <w:p w14:paraId="1DD76AF3">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rPr>
        <w:t>5.质疑函的质疑请求应与质疑事项相关。</w:t>
      </w:r>
    </w:p>
    <w:p w14:paraId="1F4CCDFD">
      <w:pPr>
        <w:widowControl/>
        <w:spacing w:before="100" w:beforeAutospacing="1" w:after="100" w:afterAutospacing="1" w:line="360" w:lineRule="auto"/>
        <w:ind w:firstLine="640"/>
        <w:jc w:val="left"/>
        <w:rPr>
          <w:rFonts w:hint="eastAsia" w:ascii="宋体" w:hAnsi="宋体" w:cs="宋体"/>
          <w:szCs w:val="21"/>
        </w:rPr>
      </w:pPr>
      <w:r>
        <w:rPr>
          <w:rFonts w:ascii="宋体" w:hAnsi="宋体" w:cs="仿宋_GB2312"/>
          <w:kern w:val="0"/>
          <w:szCs w:val="21"/>
          <w:shd w:val="clear" w:color="auto" w:fill="FFFFFF"/>
        </w:rPr>
        <w:t>6.质疑供应商为自然人的，质疑函应由本人签字；质疑供应商为法人或者其他组织的，质疑函应由</w:t>
      </w:r>
      <w:r>
        <w:rPr>
          <w:rFonts w:hint="eastAsia" w:ascii="宋体" w:hAnsi="宋体" w:cs="仿宋_GB2312"/>
          <w:kern w:val="0"/>
          <w:szCs w:val="21"/>
          <w:shd w:val="clear" w:color="auto" w:fill="FFFFFF"/>
          <w:lang w:eastAsia="zh-CN"/>
        </w:rPr>
        <w:t>法定代表人（或单位负责人）</w:t>
      </w:r>
      <w:r>
        <w:rPr>
          <w:rFonts w:ascii="宋体" w:hAnsi="宋体" w:cs="仿宋_GB2312"/>
          <w:kern w:val="0"/>
          <w:szCs w:val="21"/>
          <w:shd w:val="clear" w:color="auto" w:fill="FFFFFF"/>
        </w:rPr>
        <w:t>、主要负责人，或者其授权代表签字或者盖章，并加盖公章。</w:t>
      </w:r>
    </w:p>
    <w:sectPr>
      <w:pgSz w:w="11906" w:h="16838"/>
      <w:pgMar w:top="1531" w:right="1179" w:bottom="737" w:left="1179" w:header="851" w:footer="58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6511898"/>
      <w:docPartObj>
        <w:docPartGallery w:val="autotext"/>
      </w:docPartObj>
    </w:sdtPr>
    <w:sdtContent>
      <w:sdt>
        <w:sdtPr>
          <w:id w:val="1728636285"/>
          <w:docPartObj>
            <w:docPartGallery w:val="autotext"/>
          </w:docPartObj>
        </w:sdtPr>
        <w:sdtContent>
          <w:p w14:paraId="01B00297">
            <w:pPr>
              <w:pStyle w:val="16"/>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DA3EE">
    <w:pPr>
      <w:pStyle w:val="18"/>
      <w:jc w:val="both"/>
      <w:rPr>
        <w:rFonts w:hint="default" w:ascii="宋体" w:eastAsia="宋体"/>
        <w:lang w:val="en-US" w:eastAsia="zh-CN"/>
      </w:rPr>
    </w:pPr>
    <w:r>
      <w:rPr>
        <w:rFonts w:hint="eastAsia" w:ascii="宋体"/>
        <w:lang w:val="en-US" w:eastAsia="zh-CN"/>
      </w:rPr>
      <w:t xml:space="preserve"> </w:t>
    </w:r>
    <w:r>
      <w:rPr>
        <w:rFonts w:hint="eastAsia" w:ascii="宋体" w:hAnsi="Times New Roman" w:eastAsia="宋体" w:cs="Times New Roman"/>
      </w:rPr>
      <w:t>舟山市定海区应急管理局突发事件综合保险项目</w:t>
    </w:r>
    <w:r>
      <w:rPr>
        <w:rFonts w:hint="eastAsia" w:ascii="宋体" w:hAnsi="Times New Roman" w:eastAsia="宋体" w:cs="Times New Roman"/>
        <w:lang w:val="en-US" w:eastAsia="zh-CN"/>
      </w:rPr>
      <w:t xml:space="preserve">                                                </w:t>
    </w:r>
    <w:r>
      <w:rPr>
        <w:rFonts w:hint="eastAsia" w:ascii="宋体" w:cs="Times New Roman"/>
        <w:lang w:val="en-US" w:eastAsia="zh-CN"/>
      </w:rPr>
      <w:t>磋商</w:t>
    </w:r>
    <w:r>
      <w:rPr>
        <w:rFonts w:hint="eastAsia" w:ascii="宋体" w:hAnsi="Times New Roman" w:eastAsia="宋体" w:cs="Times New Roman"/>
        <w:lang w:val="en-US" w:eastAsia="zh-CN"/>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34DE15"/>
    <w:multiLevelType w:val="singleLevel"/>
    <w:tmpl w:val="0C34DE15"/>
    <w:lvl w:ilvl="0" w:tentative="0">
      <w:start w:val="1"/>
      <w:numFmt w:val="decimal"/>
      <w:lvlText w:val="%1."/>
      <w:lvlJc w:val="left"/>
      <w:pPr>
        <w:tabs>
          <w:tab w:val="left" w:pos="312"/>
        </w:tabs>
      </w:pPr>
    </w:lvl>
  </w:abstractNum>
  <w:abstractNum w:abstractNumId="1">
    <w:nsid w:val="225A8346"/>
    <w:multiLevelType w:val="singleLevel"/>
    <w:tmpl w:val="225A8346"/>
    <w:lvl w:ilvl="0" w:tentative="0">
      <w:start w:val="1"/>
      <w:numFmt w:val="decimal"/>
      <w:lvlText w:val="%1."/>
      <w:lvlJc w:val="left"/>
      <w:pPr>
        <w:tabs>
          <w:tab w:val="left" w:pos="312"/>
        </w:tabs>
      </w:pPr>
    </w:lvl>
  </w:abstractNum>
  <w:abstractNum w:abstractNumId="2">
    <w:nsid w:val="4DD4552D"/>
    <w:multiLevelType w:val="singleLevel"/>
    <w:tmpl w:val="4DD4552D"/>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60"/>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wNzFkN2EyMjIwYTE3YTc1OWMyOTRhOGE5MzE1OWQifQ=="/>
  </w:docVars>
  <w:rsids>
    <w:rsidRoot w:val="00172A27"/>
    <w:rsid w:val="000008AE"/>
    <w:rsid w:val="00000DA0"/>
    <w:rsid w:val="0000107B"/>
    <w:rsid w:val="00001255"/>
    <w:rsid w:val="00001351"/>
    <w:rsid w:val="00001616"/>
    <w:rsid w:val="00002240"/>
    <w:rsid w:val="0000249F"/>
    <w:rsid w:val="000036AE"/>
    <w:rsid w:val="000053DD"/>
    <w:rsid w:val="000067D2"/>
    <w:rsid w:val="00006CD5"/>
    <w:rsid w:val="00010275"/>
    <w:rsid w:val="00011F5B"/>
    <w:rsid w:val="00012FC0"/>
    <w:rsid w:val="000131FB"/>
    <w:rsid w:val="00013F7B"/>
    <w:rsid w:val="000148CF"/>
    <w:rsid w:val="000150F2"/>
    <w:rsid w:val="00015267"/>
    <w:rsid w:val="00015B00"/>
    <w:rsid w:val="000161B6"/>
    <w:rsid w:val="00020487"/>
    <w:rsid w:val="00021229"/>
    <w:rsid w:val="00021CDE"/>
    <w:rsid w:val="00021CF2"/>
    <w:rsid w:val="000225BC"/>
    <w:rsid w:val="00022EFA"/>
    <w:rsid w:val="00023C49"/>
    <w:rsid w:val="00023E4C"/>
    <w:rsid w:val="0002452C"/>
    <w:rsid w:val="000260AD"/>
    <w:rsid w:val="000265C2"/>
    <w:rsid w:val="00026CC2"/>
    <w:rsid w:val="000273C7"/>
    <w:rsid w:val="00027CC8"/>
    <w:rsid w:val="00027CEC"/>
    <w:rsid w:val="00027D38"/>
    <w:rsid w:val="000303E1"/>
    <w:rsid w:val="00030AD8"/>
    <w:rsid w:val="000317CA"/>
    <w:rsid w:val="0003181C"/>
    <w:rsid w:val="00032134"/>
    <w:rsid w:val="000325CE"/>
    <w:rsid w:val="0003329B"/>
    <w:rsid w:val="00033641"/>
    <w:rsid w:val="00034D19"/>
    <w:rsid w:val="0003660B"/>
    <w:rsid w:val="000369D2"/>
    <w:rsid w:val="00037EE2"/>
    <w:rsid w:val="000407B3"/>
    <w:rsid w:val="0004111B"/>
    <w:rsid w:val="000415B1"/>
    <w:rsid w:val="00041BE4"/>
    <w:rsid w:val="0004279E"/>
    <w:rsid w:val="0004335D"/>
    <w:rsid w:val="00043AC8"/>
    <w:rsid w:val="00044AE2"/>
    <w:rsid w:val="00044B3F"/>
    <w:rsid w:val="00045883"/>
    <w:rsid w:val="00046374"/>
    <w:rsid w:val="00047114"/>
    <w:rsid w:val="0005095B"/>
    <w:rsid w:val="00050DEE"/>
    <w:rsid w:val="000516E3"/>
    <w:rsid w:val="00051B80"/>
    <w:rsid w:val="00052F70"/>
    <w:rsid w:val="00053F58"/>
    <w:rsid w:val="0005415C"/>
    <w:rsid w:val="00055835"/>
    <w:rsid w:val="00055B9A"/>
    <w:rsid w:val="00055C01"/>
    <w:rsid w:val="00055DD9"/>
    <w:rsid w:val="000566FC"/>
    <w:rsid w:val="00057A16"/>
    <w:rsid w:val="000601BC"/>
    <w:rsid w:val="00060821"/>
    <w:rsid w:val="0006107F"/>
    <w:rsid w:val="00061AE1"/>
    <w:rsid w:val="00061B2C"/>
    <w:rsid w:val="00063583"/>
    <w:rsid w:val="00064447"/>
    <w:rsid w:val="00064E63"/>
    <w:rsid w:val="00065112"/>
    <w:rsid w:val="00065300"/>
    <w:rsid w:val="0006586E"/>
    <w:rsid w:val="00065C18"/>
    <w:rsid w:val="00066224"/>
    <w:rsid w:val="000668F7"/>
    <w:rsid w:val="00067BAD"/>
    <w:rsid w:val="00070E4F"/>
    <w:rsid w:val="00070F6C"/>
    <w:rsid w:val="0007335F"/>
    <w:rsid w:val="000735C6"/>
    <w:rsid w:val="00074E0B"/>
    <w:rsid w:val="00074E62"/>
    <w:rsid w:val="00074FAC"/>
    <w:rsid w:val="00075588"/>
    <w:rsid w:val="0007669B"/>
    <w:rsid w:val="00076754"/>
    <w:rsid w:val="00077441"/>
    <w:rsid w:val="000779FD"/>
    <w:rsid w:val="0008040C"/>
    <w:rsid w:val="00080D08"/>
    <w:rsid w:val="00081A6F"/>
    <w:rsid w:val="00081C6F"/>
    <w:rsid w:val="00083162"/>
    <w:rsid w:val="000839AD"/>
    <w:rsid w:val="00083C5C"/>
    <w:rsid w:val="00085105"/>
    <w:rsid w:val="00086507"/>
    <w:rsid w:val="00086933"/>
    <w:rsid w:val="00086EEC"/>
    <w:rsid w:val="00087E11"/>
    <w:rsid w:val="00090784"/>
    <w:rsid w:val="000911CB"/>
    <w:rsid w:val="00091498"/>
    <w:rsid w:val="00091A59"/>
    <w:rsid w:val="00091E8E"/>
    <w:rsid w:val="0009261A"/>
    <w:rsid w:val="00094603"/>
    <w:rsid w:val="00094871"/>
    <w:rsid w:val="00096762"/>
    <w:rsid w:val="00096E45"/>
    <w:rsid w:val="00096F0A"/>
    <w:rsid w:val="00097D22"/>
    <w:rsid w:val="00097F86"/>
    <w:rsid w:val="000A0344"/>
    <w:rsid w:val="000A0956"/>
    <w:rsid w:val="000A0A54"/>
    <w:rsid w:val="000A0D2D"/>
    <w:rsid w:val="000A147D"/>
    <w:rsid w:val="000A258D"/>
    <w:rsid w:val="000A2631"/>
    <w:rsid w:val="000A40BB"/>
    <w:rsid w:val="000A4221"/>
    <w:rsid w:val="000A4912"/>
    <w:rsid w:val="000A4A6F"/>
    <w:rsid w:val="000A4C96"/>
    <w:rsid w:val="000A566A"/>
    <w:rsid w:val="000A59AD"/>
    <w:rsid w:val="000A5FA5"/>
    <w:rsid w:val="000A693E"/>
    <w:rsid w:val="000B0D07"/>
    <w:rsid w:val="000B0ECA"/>
    <w:rsid w:val="000B1196"/>
    <w:rsid w:val="000B123C"/>
    <w:rsid w:val="000B1E8B"/>
    <w:rsid w:val="000B1E98"/>
    <w:rsid w:val="000B28DB"/>
    <w:rsid w:val="000B2A5F"/>
    <w:rsid w:val="000B2EA7"/>
    <w:rsid w:val="000B46A2"/>
    <w:rsid w:val="000B4979"/>
    <w:rsid w:val="000B4C39"/>
    <w:rsid w:val="000B7447"/>
    <w:rsid w:val="000B7738"/>
    <w:rsid w:val="000C021F"/>
    <w:rsid w:val="000C0E70"/>
    <w:rsid w:val="000C16D6"/>
    <w:rsid w:val="000C1DC6"/>
    <w:rsid w:val="000C4808"/>
    <w:rsid w:val="000C48DE"/>
    <w:rsid w:val="000C4B01"/>
    <w:rsid w:val="000C5A51"/>
    <w:rsid w:val="000C783F"/>
    <w:rsid w:val="000C7CF8"/>
    <w:rsid w:val="000D130E"/>
    <w:rsid w:val="000D1459"/>
    <w:rsid w:val="000D1936"/>
    <w:rsid w:val="000D1AA4"/>
    <w:rsid w:val="000D1DF0"/>
    <w:rsid w:val="000D291A"/>
    <w:rsid w:val="000D2B33"/>
    <w:rsid w:val="000D32EC"/>
    <w:rsid w:val="000D33F2"/>
    <w:rsid w:val="000D3438"/>
    <w:rsid w:val="000D3A03"/>
    <w:rsid w:val="000D4477"/>
    <w:rsid w:val="000D5E43"/>
    <w:rsid w:val="000D750F"/>
    <w:rsid w:val="000D79EB"/>
    <w:rsid w:val="000D7AF8"/>
    <w:rsid w:val="000D7E24"/>
    <w:rsid w:val="000E028B"/>
    <w:rsid w:val="000E02F2"/>
    <w:rsid w:val="000E1E85"/>
    <w:rsid w:val="000E2837"/>
    <w:rsid w:val="000E2BC0"/>
    <w:rsid w:val="000E3EEF"/>
    <w:rsid w:val="000E416C"/>
    <w:rsid w:val="000E56DE"/>
    <w:rsid w:val="000E706B"/>
    <w:rsid w:val="000F02E6"/>
    <w:rsid w:val="000F0550"/>
    <w:rsid w:val="000F1074"/>
    <w:rsid w:val="000F13AF"/>
    <w:rsid w:val="000F2A94"/>
    <w:rsid w:val="000F2E5E"/>
    <w:rsid w:val="000F421C"/>
    <w:rsid w:val="000F4472"/>
    <w:rsid w:val="000F4C37"/>
    <w:rsid w:val="000F4F94"/>
    <w:rsid w:val="000F55ED"/>
    <w:rsid w:val="000F5680"/>
    <w:rsid w:val="000F5897"/>
    <w:rsid w:val="000F6027"/>
    <w:rsid w:val="000F6E50"/>
    <w:rsid w:val="001007C1"/>
    <w:rsid w:val="00101001"/>
    <w:rsid w:val="00101417"/>
    <w:rsid w:val="00102CD6"/>
    <w:rsid w:val="00103EDC"/>
    <w:rsid w:val="00103FBC"/>
    <w:rsid w:val="00105C54"/>
    <w:rsid w:val="001062C4"/>
    <w:rsid w:val="0010669E"/>
    <w:rsid w:val="00107048"/>
    <w:rsid w:val="0010765D"/>
    <w:rsid w:val="00107E23"/>
    <w:rsid w:val="00110878"/>
    <w:rsid w:val="00111204"/>
    <w:rsid w:val="001113A5"/>
    <w:rsid w:val="00111D5D"/>
    <w:rsid w:val="00112791"/>
    <w:rsid w:val="0011355D"/>
    <w:rsid w:val="0011384C"/>
    <w:rsid w:val="0011396E"/>
    <w:rsid w:val="00113E4C"/>
    <w:rsid w:val="00113FC6"/>
    <w:rsid w:val="0011495F"/>
    <w:rsid w:val="00115E32"/>
    <w:rsid w:val="0011602B"/>
    <w:rsid w:val="00116541"/>
    <w:rsid w:val="001172A3"/>
    <w:rsid w:val="001177E3"/>
    <w:rsid w:val="00120DDB"/>
    <w:rsid w:val="00120EEE"/>
    <w:rsid w:val="00120F3A"/>
    <w:rsid w:val="00121115"/>
    <w:rsid w:val="001223F9"/>
    <w:rsid w:val="00122D30"/>
    <w:rsid w:val="00122D3E"/>
    <w:rsid w:val="00123169"/>
    <w:rsid w:val="001232C5"/>
    <w:rsid w:val="00124AFE"/>
    <w:rsid w:val="00124EF7"/>
    <w:rsid w:val="001258CD"/>
    <w:rsid w:val="00125A10"/>
    <w:rsid w:val="00126051"/>
    <w:rsid w:val="0012621D"/>
    <w:rsid w:val="00126F03"/>
    <w:rsid w:val="00127812"/>
    <w:rsid w:val="0012782B"/>
    <w:rsid w:val="001304E4"/>
    <w:rsid w:val="00131683"/>
    <w:rsid w:val="00131B3F"/>
    <w:rsid w:val="00132E4D"/>
    <w:rsid w:val="001332AE"/>
    <w:rsid w:val="00133D3A"/>
    <w:rsid w:val="00133F40"/>
    <w:rsid w:val="001341B8"/>
    <w:rsid w:val="00135C96"/>
    <w:rsid w:val="00136020"/>
    <w:rsid w:val="001363C1"/>
    <w:rsid w:val="001375A8"/>
    <w:rsid w:val="00141886"/>
    <w:rsid w:val="00143FF7"/>
    <w:rsid w:val="00145C0D"/>
    <w:rsid w:val="00146466"/>
    <w:rsid w:val="001464CC"/>
    <w:rsid w:val="00146A29"/>
    <w:rsid w:val="00146B1C"/>
    <w:rsid w:val="00146E1A"/>
    <w:rsid w:val="00150017"/>
    <w:rsid w:val="001504B3"/>
    <w:rsid w:val="0015086E"/>
    <w:rsid w:val="00150F5B"/>
    <w:rsid w:val="00150FD2"/>
    <w:rsid w:val="001517FA"/>
    <w:rsid w:val="001526CD"/>
    <w:rsid w:val="0015311C"/>
    <w:rsid w:val="001538AB"/>
    <w:rsid w:val="00153ACA"/>
    <w:rsid w:val="001543EB"/>
    <w:rsid w:val="0015506F"/>
    <w:rsid w:val="00155A65"/>
    <w:rsid w:val="00155F0F"/>
    <w:rsid w:val="0015624B"/>
    <w:rsid w:val="00156900"/>
    <w:rsid w:val="00156A6A"/>
    <w:rsid w:val="00156AD8"/>
    <w:rsid w:val="00156B04"/>
    <w:rsid w:val="00157751"/>
    <w:rsid w:val="00157978"/>
    <w:rsid w:val="0016017E"/>
    <w:rsid w:val="00160802"/>
    <w:rsid w:val="00163495"/>
    <w:rsid w:val="00163779"/>
    <w:rsid w:val="0016440E"/>
    <w:rsid w:val="0016455C"/>
    <w:rsid w:val="00165846"/>
    <w:rsid w:val="00165BBD"/>
    <w:rsid w:val="00165C2B"/>
    <w:rsid w:val="00166238"/>
    <w:rsid w:val="001670C9"/>
    <w:rsid w:val="00167C19"/>
    <w:rsid w:val="00170FBD"/>
    <w:rsid w:val="00170FE9"/>
    <w:rsid w:val="001716ED"/>
    <w:rsid w:val="0017193F"/>
    <w:rsid w:val="00171E07"/>
    <w:rsid w:val="00171E68"/>
    <w:rsid w:val="00172A27"/>
    <w:rsid w:val="00172AB0"/>
    <w:rsid w:val="00172EC3"/>
    <w:rsid w:val="00173114"/>
    <w:rsid w:val="00174BF0"/>
    <w:rsid w:val="00174CD8"/>
    <w:rsid w:val="001756D5"/>
    <w:rsid w:val="00175E3B"/>
    <w:rsid w:val="001766C9"/>
    <w:rsid w:val="001777BF"/>
    <w:rsid w:val="0018014D"/>
    <w:rsid w:val="00180445"/>
    <w:rsid w:val="001811B0"/>
    <w:rsid w:val="00181604"/>
    <w:rsid w:val="0018175C"/>
    <w:rsid w:val="001822EE"/>
    <w:rsid w:val="001839A5"/>
    <w:rsid w:val="00183DFE"/>
    <w:rsid w:val="0018435A"/>
    <w:rsid w:val="00186E86"/>
    <w:rsid w:val="00191A11"/>
    <w:rsid w:val="00191BAF"/>
    <w:rsid w:val="00193AF0"/>
    <w:rsid w:val="00193D77"/>
    <w:rsid w:val="00196D89"/>
    <w:rsid w:val="00196E1C"/>
    <w:rsid w:val="00197723"/>
    <w:rsid w:val="001A06DA"/>
    <w:rsid w:val="001A0C59"/>
    <w:rsid w:val="001A0CC2"/>
    <w:rsid w:val="001A0D8E"/>
    <w:rsid w:val="001A11C6"/>
    <w:rsid w:val="001A12B0"/>
    <w:rsid w:val="001A174D"/>
    <w:rsid w:val="001A1A69"/>
    <w:rsid w:val="001A26B9"/>
    <w:rsid w:val="001A2735"/>
    <w:rsid w:val="001A302D"/>
    <w:rsid w:val="001A443D"/>
    <w:rsid w:val="001A4ED4"/>
    <w:rsid w:val="001A51F1"/>
    <w:rsid w:val="001A5A17"/>
    <w:rsid w:val="001A6013"/>
    <w:rsid w:val="001A60CD"/>
    <w:rsid w:val="001A6EE2"/>
    <w:rsid w:val="001A7817"/>
    <w:rsid w:val="001B0139"/>
    <w:rsid w:val="001B0528"/>
    <w:rsid w:val="001B1FF0"/>
    <w:rsid w:val="001B3018"/>
    <w:rsid w:val="001B37FC"/>
    <w:rsid w:val="001B3C2A"/>
    <w:rsid w:val="001B3E80"/>
    <w:rsid w:val="001B4EE8"/>
    <w:rsid w:val="001B51F5"/>
    <w:rsid w:val="001B5DD2"/>
    <w:rsid w:val="001B6395"/>
    <w:rsid w:val="001B6AB2"/>
    <w:rsid w:val="001B700B"/>
    <w:rsid w:val="001C0AE0"/>
    <w:rsid w:val="001C10E7"/>
    <w:rsid w:val="001C1A4D"/>
    <w:rsid w:val="001C2753"/>
    <w:rsid w:val="001C2C2A"/>
    <w:rsid w:val="001C2C3B"/>
    <w:rsid w:val="001C3489"/>
    <w:rsid w:val="001C3751"/>
    <w:rsid w:val="001C39CD"/>
    <w:rsid w:val="001C4002"/>
    <w:rsid w:val="001C44E0"/>
    <w:rsid w:val="001C45A6"/>
    <w:rsid w:val="001C46EA"/>
    <w:rsid w:val="001C57FE"/>
    <w:rsid w:val="001C62BD"/>
    <w:rsid w:val="001C6CAA"/>
    <w:rsid w:val="001C7CDF"/>
    <w:rsid w:val="001D063F"/>
    <w:rsid w:val="001D158D"/>
    <w:rsid w:val="001D1953"/>
    <w:rsid w:val="001D1C72"/>
    <w:rsid w:val="001D308A"/>
    <w:rsid w:val="001D34F9"/>
    <w:rsid w:val="001D35AA"/>
    <w:rsid w:val="001D39A1"/>
    <w:rsid w:val="001D4145"/>
    <w:rsid w:val="001D4C0C"/>
    <w:rsid w:val="001D5538"/>
    <w:rsid w:val="001D6CC5"/>
    <w:rsid w:val="001D75C1"/>
    <w:rsid w:val="001D7BAA"/>
    <w:rsid w:val="001D7BB5"/>
    <w:rsid w:val="001D7F59"/>
    <w:rsid w:val="001E1A83"/>
    <w:rsid w:val="001E1E4B"/>
    <w:rsid w:val="001E27F2"/>
    <w:rsid w:val="001E2A03"/>
    <w:rsid w:val="001E332D"/>
    <w:rsid w:val="001E4836"/>
    <w:rsid w:val="001E489E"/>
    <w:rsid w:val="001E4DD3"/>
    <w:rsid w:val="001E6C80"/>
    <w:rsid w:val="001E6F65"/>
    <w:rsid w:val="001E72E4"/>
    <w:rsid w:val="001E77DC"/>
    <w:rsid w:val="001F1468"/>
    <w:rsid w:val="001F2C36"/>
    <w:rsid w:val="001F2E29"/>
    <w:rsid w:val="001F32E1"/>
    <w:rsid w:val="001F5049"/>
    <w:rsid w:val="001F57E8"/>
    <w:rsid w:val="001F73E3"/>
    <w:rsid w:val="00200B8A"/>
    <w:rsid w:val="0020214C"/>
    <w:rsid w:val="00202BAD"/>
    <w:rsid w:val="002033B0"/>
    <w:rsid w:val="00203813"/>
    <w:rsid w:val="00203CBD"/>
    <w:rsid w:val="00204173"/>
    <w:rsid w:val="00204255"/>
    <w:rsid w:val="00204E0B"/>
    <w:rsid w:val="0020572E"/>
    <w:rsid w:val="002074C7"/>
    <w:rsid w:val="002076B2"/>
    <w:rsid w:val="002077D4"/>
    <w:rsid w:val="00210917"/>
    <w:rsid w:val="002109CC"/>
    <w:rsid w:val="00210A2F"/>
    <w:rsid w:val="00210C93"/>
    <w:rsid w:val="00210FF5"/>
    <w:rsid w:val="00211F2E"/>
    <w:rsid w:val="002121FB"/>
    <w:rsid w:val="002131E2"/>
    <w:rsid w:val="002132F3"/>
    <w:rsid w:val="00213854"/>
    <w:rsid w:val="0021389D"/>
    <w:rsid w:val="00215118"/>
    <w:rsid w:val="00215256"/>
    <w:rsid w:val="002153EE"/>
    <w:rsid w:val="00215753"/>
    <w:rsid w:val="00216140"/>
    <w:rsid w:val="00217077"/>
    <w:rsid w:val="00217D2C"/>
    <w:rsid w:val="00220417"/>
    <w:rsid w:val="002214F8"/>
    <w:rsid w:val="00221800"/>
    <w:rsid w:val="002219DE"/>
    <w:rsid w:val="00221E2B"/>
    <w:rsid w:val="00222143"/>
    <w:rsid w:val="00222549"/>
    <w:rsid w:val="0022331B"/>
    <w:rsid w:val="002234D2"/>
    <w:rsid w:val="0022350B"/>
    <w:rsid w:val="00223D20"/>
    <w:rsid w:val="002245E7"/>
    <w:rsid w:val="00225ED0"/>
    <w:rsid w:val="00232FE0"/>
    <w:rsid w:val="0023434B"/>
    <w:rsid w:val="0023487B"/>
    <w:rsid w:val="00234B90"/>
    <w:rsid w:val="00234DDF"/>
    <w:rsid w:val="00235302"/>
    <w:rsid w:val="0023545C"/>
    <w:rsid w:val="00235928"/>
    <w:rsid w:val="002362B4"/>
    <w:rsid w:val="0023667C"/>
    <w:rsid w:val="002367A2"/>
    <w:rsid w:val="00236B19"/>
    <w:rsid w:val="00237206"/>
    <w:rsid w:val="00237FF3"/>
    <w:rsid w:val="0024050C"/>
    <w:rsid w:val="002416B2"/>
    <w:rsid w:val="00241D30"/>
    <w:rsid w:val="00242A57"/>
    <w:rsid w:val="002458CA"/>
    <w:rsid w:val="00245F3C"/>
    <w:rsid w:val="00246E62"/>
    <w:rsid w:val="0024774E"/>
    <w:rsid w:val="002478C0"/>
    <w:rsid w:val="00247A3F"/>
    <w:rsid w:val="00247CD9"/>
    <w:rsid w:val="00250461"/>
    <w:rsid w:val="002509F6"/>
    <w:rsid w:val="00252F64"/>
    <w:rsid w:val="0025338A"/>
    <w:rsid w:val="0025349D"/>
    <w:rsid w:val="002549ED"/>
    <w:rsid w:val="00254A27"/>
    <w:rsid w:val="00254C17"/>
    <w:rsid w:val="00255555"/>
    <w:rsid w:val="00255BF9"/>
    <w:rsid w:val="00256489"/>
    <w:rsid w:val="0025677D"/>
    <w:rsid w:val="00256852"/>
    <w:rsid w:val="00257583"/>
    <w:rsid w:val="00257B9B"/>
    <w:rsid w:val="00257C06"/>
    <w:rsid w:val="002600B8"/>
    <w:rsid w:val="00260567"/>
    <w:rsid w:val="002613F0"/>
    <w:rsid w:val="0026184C"/>
    <w:rsid w:val="00262C3E"/>
    <w:rsid w:val="00263D21"/>
    <w:rsid w:val="00265BF6"/>
    <w:rsid w:val="00267758"/>
    <w:rsid w:val="00267846"/>
    <w:rsid w:val="00267917"/>
    <w:rsid w:val="00270ABA"/>
    <w:rsid w:val="00270AC8"/>
    <w:rsid w:val="00270BEF"/>
    <w:rsid w:val="00271361"/>
    <w:rsid w:val="00272DBA"/>
    <w:rsid w:val="00273D91"/>
    <w:rsid w:val="00275801"/>
    <w:rsid w:val="00276E78"/>
    <w:rsid w:val="00277869"/>
    <w:rsid w:val="00277FAD"/>
    <w:rsid w:val="0028004F"/>
    <w:rsid w:val="00280E3D"/>
    <w:rsid w:val="00281426"/>
    <w:rsid w:val="00282A91"/>
    <w:rsid w:val="00282EDB"/>
    <w:rsid w:val="002839B4"/>
    <w:rsid w:val="00284A1F"/>
    <w:rsid w:val="00284B14"/>
    <w:rsid w:val="002855A8"/>
    <w:rsid w:val="002858CB"/>
    <w:rsid w:val="00285F68"/>
    <w:rsid w:val="002865E2"/>
    <w:rsid w:val="00287327"/>
    <w:rsid w:val="00287CC0"/>
    <w:rsid w:val="00287D61"/>
    <w:rsid w:val="00287F07"/>
    <w:rsid w:val="0029021B"/>
    <w:rsid w:val="00290724"/>
    <w:rsid w:val="00290767"/>
    <w:rsid w:val="00291273"/>
    <w:rsid w:val="0029289B"/>
    <w:rsid w:val="00292953"/>
    <w:rsid w:val="00292C88"/>
    <w:rsid w:val="002935DA"/>
    <w:rsid w:val="00294734"/>
    <w:rsid w:val="00294C1B"/>
    <w:rsid w:val="00294C4F"/>
    <w:rsid w:val="0029596A"/>
    <w:rsid w:val="00297B9B"/>
    <w:rsid w:val="002A0A4D"/>
    <w:rsid w:val="002A143F"/>
    <w:rsid w:val="002A23F6"/>
    <w:rsid w:val="002A27AE"/>
    <w:rsid w:val="002A33CA"/>
    <w:rsid w:val="002A407B"/>
    <w:rsid w:val="002A40F4"/>
    <w:rsid w:val="002A4F61"/>
    <w:rsid w:val="002A5107"/>
    <w:rsid w:val="002A51D8"/>
    <w:rsid w:val="002A51F8"/>
    <w:rsid w:val="002A5465"/>
    <w:rsid w:val="002A56B4"/>
    <w:rsid w:val="002A6BF4"/>
    <w:rsid w:val="002A7308"/>
    <w:rsid w:val="002A787A"/>
    <w:rsid w:val="002B0084"/>
    <w:rsid w:val="002B0A91"/>
    <w:rsid w:val="002B0EFE"/>
    <w:rsid w:val="002B1551"/>
    <w:rsid w:val="002B1AA7"/>
    <w:rsid w:val="002B2125"/>
    <w:rsid w:val="002B2987"/>
    <w:rsid w:val="002B44A7"/>
    <w:rsid w:val="002B4C97"/>
    <w:rsid w:val="002B4F2E"/>
    <w:rsid w:val="002B5515"/>
    <w:rsid w:val="002B6782"/>
    <w:rsid w:val="002B6A7C"/>
    <w:rsid w:val="002B6AA8"/>
    <w:rsid w:val="002C01E9"/>
    <w:rsid w:val="002C49B8"/>
    <w:rsid w:val="002C4CBD"/>
    <w:rsid w:val="002C4F37"/>
    <w:rsid w:val="002C595B"/>
    <w:rsid w:val="002C68AB"/>
    <w:rsid w:val="002C68F3"/>
    <w:rsid w:val="002D0FFF"/>
    <w:rsid w:val="002D19BE"/>
    <w:rsid w:val="002D1CFB"/>
    <w:rsid w:val="002D255E"/>
    <w:rsid w:val="002D2A23"/>
    <w:rsid w:val="002D2B25"/>
    <w:rsid w:val="002D2E0E"/>
    <w:rsid w:val="002D307A"/>
    <w:rsid w:val="002D371F"/>
    <w:rsid w:val="002D3AA3"/>
    <w:rsid w:val="002D54A2"/>
    <w:rsid w:val="002D68BE"/>
    <w:rsid w:val="002D759B"/>
    <w:rsid w:val="002D7D28"/>
    <w:rsid w:val="002E12A6"/>
    <w:rsid w:val="002E207D"/>
    <w:rsid w:val="002E2385"/>
    <w:rsid w:val="002E3A85"/>
    <w:rsid w:val="002E459C"/>
    <w:rsid w:val="002E4F10"/>
    <w:rsid w:val="002E5AE6"/>
    <w:rsid w:val="002E5B85"/>
    <w:rsid w:val="002F0DC9"/>
    <w:rsid w:val="002F142C"/>
    <w:rsid w:val="002F167A"/>
    <w:rsid w:val="002F1C69"/>
    <w:rsid w:val="002F1DA5"/>
    <w:rsid w:val="002F1FD6"/>
    <w:rsid w:val="002F21B8"/>
    <w:rsid w:val="002F2219"/>
    <w:rsid w:val="002F27E5"/>
    <w:rsid w:val="002F2931"/>
    <w:rsid w:val="002F39BA"/>
    <w:rsid w:val="002F425E"/>
    <w:rsid w:val="002F5531"/>
    <w:rsid w:val="002F55C4"/>
    <w:rsid w:val="002F5DBB"/>
    <w:rsid w:val="002F6266"/>
    <w:rsid w:val="002F6F34"/>
    <w:rsid w:val="002F7004"/>
    <w:rsid w:val="002F7C47"/>
    <w:rsid w:val="003004C0"/>
    <w:rsid w:val="003016A8"/>
    <w:rsid w:val="0030369D"/>
    <w:rsid w:val="00303D1E"/>
    <w:rsid w:val="003052B5"/>
    <w:rsid w:val="0030654F"/>
    <w:rsid w:val="00307176"/>
    <w:rsid w:val="00307C2B"/>
    <w:rsid w:val="0031128C"/>
    <w:rsid w:val="00311354"/>
    <w:rsid w:val="0031207F"/>
    <w:rsid w:val="0031221D"/>
    <w:rsid w:val="00312A64"/>
    <w:rsid w:val="00312B07"/>
    <w:rsid w:val="00312C5E"/>
    <w:rsid w:val="00314869"/>
    <w:rsid w:val="00315039"/>
    <w:rsid w:val="003151F1"/>
    <w:rsid w:val="003156AE"/>
    <w:rsid w:val="00315782"/>
    <w:rsid w:val="00316D79"/>
    <w:rsid w:val="00317701"/>
    <w:rsid w:val="00317DFB"/>
    <w:rsid w:val="0032014A"/>
    <w:rsid w:val="00320BB5"/>
    <w:rsid w:val="00320E91"/>
    <w:rsid w:val="00321187"/>
    <w:rsid w:val="00322AC0"/>
    <w:rsid w:val="00322EB5"/>
    <w:rsid w:val="0032419F"/>
    <w:rsid w:val="00324515"/>
    <w:rsid w:val="00325465"/>
    <w:rsid w:val="00325DA0"/>
    <w:rsid w:val="00326083"/>
    <w:rsid w:val="0032642C"/>
    <w:rsid w:val="00327877"/>
    <w:rsid w:val="003304FC"/>
    <w:rsid w:val="0033072C"/>
    <w:rsid w:val="003314E1"/>
    <w:rsid w:val="00332221"/>
    <w:rsid w:val="003327BC"/>
    <w:rsid w:val="00332FD6"/>
    <w:rsid w:val="00333CC4"/>
    <w:rsid w:val="00333FCA"/>
    <w:rsid w:val="0033425E"/>
    <w:rsid w:val="00334543"/>
    <w:rsid w:val="00335037"/>
    <w:rsid w:val="003361AE"/>
    <w:rsid w:val="00336C5A"/>
    <w:rsid w:val="00337523"/>
    <w:rsid w:val="00337B9F"/>
    <w:rsid w:val="003401CF"/>
    <w:rsid w:val="003401F3"/>
    <w:rsid w:val="00340FEB"/>
    <w:rsid w:val="0034131D"/>
    <w:rsid w:val="00341441"/>
    <w:rsid w:val="00341A4A"/>
    <w:rsid w:val="00341AF8"/>
    <w:rsid w:val="00342E67"/>
    <w:rsid w:val="003432E0"/>
    <w:rsid w:val="003445A6"/>
    <w:rsid w:val="00345011"/>
    <w:rsid w:val="00345641"/>
    <w:rsid w:val="00345DF5"/>
    <w:rsid w:val="00345FC9"/>
    <w:rsid w:val="003478E0"/>
    <w:rsid w:val="003516BA"/>
    <w:rsid w:val="00351820"/>
    <w:rsid w:val="00351D4D"/>
    <w:rsid w:val="003529BE"/>
    <w:rsid w:val="00353221"/>
    <w:rsid w:val="003538C4"/>
    <w:rsid w:val="003538CF"/>
    <w:rsid w:val="0035394B"/>
    <w:rsid w:val="00353C85"/>
    <w:rsid w:val="0035411A"/>
    <w:rsid w:val="0035478C"/>
    <w:rsid w:val="00354A83"/>
    <w:rsid w:val="00354C6E"/>
    <w:rsid w:val="003553E5"/>
    <w:rsid w:val="003564AB"/>
    <w:rsid w:val="00356676"/>
    <w:rsid w:val="00356AD4"/>
    <w:rsid w:val="003577A2"/>
    <w:rsid w:val="00357928"/>
    <w:rsid w:val="00360699"/>
    <w:rsid w:val="00360913"/>
    <w:rsid w:val="00360D67"/>
    <w:rsid w:val="0036126C"/>
    <w:rsid w:val="00361720"/>
    <w:rsid w:val="00361CAE"/>
    <w:rsid w:val="00363340"/>
    <w:rsid w:val="003637A5"/>
    <w:rsid w:val="003638A9"/>
    <w:rsid w:val="003648B6"/>
    <w:rsid w:val="003654B1"/>
    <w:rsid w:val="00366A21"/>
    <w:rsid w:val="00366ED4"/>
    <w:rsid w:val="00367079"/>
    <w:rsid w:val="00370695"/>
    <w:rsid w:val="003711A1"/>
    <w:rsid w:val="00371AC2"/>
    <w:rsid w:val="00371E7B"/>
    <w:rsid w:val="00372D2E"/>
    <w:rsid w:val="00373488"/>
    <w:rsid w:val="00373B32"/>
    <w:rsid w:val="00373B73"/>
    <w:rsid w:val="003740C9"/>
    <w:rsid w:val="00375269"/>
    <w:rsid w:val="00375369"/>
    <w:rsid w:val="00375E48"/>
    <w:rsid w:val="00376C94"/>
    <w:rsid w:val="00377A80"/>
    <w:rsid w:val="00377AD2"/>
    <w:rsid w:val="00377D7E"/>
    <w:rsid w:val="0038009B"/>
    <w:rsid w:val="00380A86"/>
    <w:rsid w:val="00382058"/>
    <w:rsid w:val="003827E3"/>
    <w:rsid w:val="00382AA2"/>
    <w:rsid w:val="00383172"/>
    <w:rsid w:val="003847DC"/>
    <w:rsid w:val="003853E4"/>
    <w:rsid w:val="00390A14"/>
    <w:rsid w:val="00391481"/>
    <w:rsid w:val="003916DE"/>
    <w:rsid w:val="00391B33"/>
    <w:rsid w:val="0039215F"/>
    <w:rsid w:val="00392486"/>
    <w:rsid w:val="0039593F"/>
    <w:rsid w:val="003A018D"/>
    <w:rsid w:val="003A060E"/>
    <w:rsid w:val="003A07D1"/>
    <w:rsid w:val="003A15E4"/>
    <w:rsid w:val="003A19DF"/>
    <w:rsid w:val="003A1A79"/>
    <w:rsid w:val="003A26FB"/>
    <w:rsid w:val="003A2C91"/>
    <w:rsid w:val="003A3B63"/>
    <w:rsid w:val="003A3CDF"/>
    <w:rsid w:val="003A50D4"/>
    <w:rsid w:val="003A5854"/>
    <w:rsid w:val="003A5FCF"/>
    <w:rsid w:val="003B06D3"/>
    <w:rsid w:val="003B1E64"/>
    <w:rsid w:val="003B2AA1"/>
    <w:rsid w:val="003B2DD8"/>
    <w:rsid w:val="003B483E"/>
    <w:rsid w:val="003B4C85"/>
    <w:rsid w:val="003B5149"/>
    <w:rsid w:val="003B736A"/>
    <w:rsid w:val="003C04C3"/>
    <w:rsid w:val="003C16A3"/>
    <w:rsid w:val="003C1722"/>
    <w:rsid w:val="003C31BC"/>
    <w:rsid w:val="003C3482"/>
    <w:rsid w:val="003C50C9"/>
    <w:rsid w:val="003C5803"/>
    <w:rsid w:val="003C5F35"/>
    <w:rsid w:val="003C5FCB"/>
    <w:rsid w:val="003C7AD3"/>
    <w:rsid w:val="003C7FF6"/>
    <w:rsid w:val="003D0389"/>
    <w:rsid w:val="003D073E"/>
    <w:rsid w:val="003D0B4C"/>
    <w:rsid w:val="003D1763"/>
    <w:rsid w:val="003D1CA3"/>
    <w:rsid w:val="003D2180"/>
    <w:rsid w:val="003D236F"/>
    <w:rsid w:val="003D421B"/>
    <w:rsid w:val="003D4C95"/>
    <w:rsid w:val="003D53D1"/>
    <w:rsid w:val="003D5C1F"/>
    <w:rsid w:val="003D61C1"/>
    <w:rsid w:val="003D6EA3"/>
    <w:rsid w:val="003E00F6"/>
    <w:rsid w:val="003E020A"/>
    <w:rsid w:val="003E09D5"/>
    <w:rsid w:val="003E2D93"/>
    <w:rsid w:val="003E3B68"/>
    <w:rsid w:val="003E461C"/>
    <w:rsid w:val="003E646C"/>
    <w:rsid w:val="003E78A4"/>
    <w:rsid w:val="003E7D84"/>
    <w:rsid w:val="003E7FAF"/>
    <w:rsid w:val="003F06A1"/>
    <w:rsid w:val="003F0CA2"/>
    <w:rsid w:val="003F0D00"/>
    <w:rsid w:val="003F0D5D"/>
    <w:rsid w:val="003F1C31"/>
    <w:rsid w:val="003F247F"/>
    <w:rsid w:val="003F287E"/>
    <w:rsid w:val="003F3ACD"/>
    <w:rsid w:val="003F3B44"/>
    <w:rsid w:val="003F498F"/>
    <w:rsid w:val="003F49DE"/>
    <w:rsid w:val="003F533D"/>
    <w:rsid w:val="003F54CB"/>
    <w:rsid w:val="003F6578"/>
    <w:rsid w:val="003F65BC"/>
    <w:rsid w:val="003F771B"/>
    <w:rsid w:val="004000E0"/>
    <w:rsid w:val="004006B3"/>
    <w:rsid w:val="00400784"/>
    <w:rsid w:val="00400CA4"/>
    <w:rsid w:val="00400FD2"/>
    <w:rsid w:val="00401676"/>
    <w:rsid w:val="004022E5"/>
    <w:rsid w:val="00402AEA"/>
    <w:rsid w:val="00404FFE"/>
    <w:rsid w:val="00405FF7"/>
    <w:rsid w:val="00406167"/>
    <w:rsid w:val="00406758"/>
    <w:rsid w:val="004074BA"/>
    <w:rsid w:val="00407D4B"/>
    <w:rsid w:val="004107B7"/>
    <w:rsid w:val="00410AF7"/>
    <w:rsid w:val="004114B0"/>
    <w:rsid w:val="004122A8"/>
    <w:rsid w:val="00413CD3"/>
    <w:rsid w:val="00413DDA"/>
    <w:rsid w:val="00414E41"/>
    <w:rsid w:val="004156DD"/>
    <w:rsid w:val="004156FF"/>
    <w:rsid w:val="00415A34"/>
    <w:rsid w:val="00415B66"/>
    <w:rsid w:val="004169C1"/>
    <w:rsid w:val="00416DAC"/>
    <w:rsid w:val="00417314"/>
    <w:rsid w:val="00417C69"/>
    <w:rsid w:val="00420792"/>
    <w:rsid w:val="0042094D"/>
    <w:rsid w:val="00421108"/>
    <w:rsid w:val="004228CF"/>
    <w:rsid w:val="004233F5"/>
    <w:rsid w:val="00423638"/>
    <w:rsid w:val="00423920"/>
    <w:rsid w:val="0042395D"/>
    <w:rsid w:val="00423E04"/>
    <w:rsid w:val="004244A9"/>
    <w:rsid w:val="0042490A"/>
    <w:rsid w:val="004253BD"/>
    <w:rsid w:val="00425977"/>
    <w:rsid w:val="004260C1"/>
    <w:rsid w:val="004268E4"/>
    <w:rsid w:val="0043100F"/>
    <w:rsid w:val="004317E9"/>
    <w:rsid w:val="00431C92"/>
    <w:rsid w:val="00432F83"/>
    <w:rsid w:val="00433C5E"/>
    <w:rsid w:val="00433CC9"/>
    <w:rsid w:val="00434814"/>
    <w:rsid w:val="00434E86"/>
    <w:rsid w:val="00435A7C"/>
    <w:rsid w:val="00435DFB"/>
    <w:rsid w:val="00435FB9"/>
    <w:rsid w:val="00436B91"/>
    <w:rsid w:val="00441796"/>
    <w:rsid w:val="00443054"/>
    <w:rsid w:val="00444670"/>
    <w:rsid w:val="00444714"/>
    <w:rsid w:val="00444922"/>
    <w:rsid w:val="00444D36"/>
    <w:rsid w:val="004455F2"/>
    <w:rsid w:val="00446AAA"/>
    <w:rsid w:val="0045089C"/>
    <w:rsid w:val="004513AF"/>
    <w:rsid w:val="0045200D"/>
    <w:rsid w:val="00452A57"/>
    <w:rsid w:val="004537CC"/>
    <w:rsid w:val="004542B6"/>
    <w:rsid w:val="00454D8F"/>
    <w:rsid w:val="0045532A"/>
    <w:rsid w:val="004559F0"/>
    <w:rsid w:val="00457476"/>
    <w:rsid w:val="004576C3"/>
    <w:rsid w:val="00457A68"/>
    <w:rsid w:val="00457DA6"/>
    <w:rsid w:val="00461CF9"/>
    <w:rsid w:val="00463360"/>
    <w:rsid w:val="00463831"/>
    <w:rsid w:val="00463CD7"/>
    <w:rsid w:val="00464A12"/>
    <w:rsid w:val="00465688"/>
    <w:rsid w:val="00466FA9"/>
    <w:rsid w:val="004678CE"/>
    <w:rsid w:val="00471A96"/>
    <w:rsid w:val="00471B20"/>
    <w:rsid w:val="00472B4F"/>
    <w:rsid w:val="00473D97"/>
    <w:rsid w:val="00473DBD"/>
    <w:rsid w:val="00474317"/>
    <w:rsid w:val="004748C5"/>
    <w:rsid w:val="00474C0A"/>
    <w:rsid w:val="0047541A"/>
    <w:rsid w:val="0047549D"/>
    <w:rsid w:val="004757A0"/>
    <w:rsid w:val="00476392"/>
    <w:rsid w:val="004771A9"/>
    <w:rsid w:val="0047779B"/>
    <w:rsid w:val="00477D77"/>
    <w:rsid w:val="0048017D"/>
    <w:rsid w:val="00480CE0"/>
    <w:rsid w:val="00480F5D"/>
    <w:rsid w:val="00481577"/>
    <w:rsid w:val="00483E22"/>
    <w:rsid w:val="00484835"/>
    <w:rsid w:val="00484931"/>
    <w:rsid w:val="00484DA3"/>
    <w:rsid w:val="0048502E"/>
    <w:rsid w:val="0048664D"/>
    <w:rsid w:val="00487B00"/>
    <w:rsid w:val="00487EE5"/>
    <w:rsid w:val="004903FD"/>
    <w:rsid w:val="00490645"/>
    <w:rsid w:val="0049084B"/>
    <w:rsid w:val="0049203C"/>
    <w:rsid w:val="0049250A"/>
    <w:rsid w:val="00492C8F"/>
    <w:rsid w:val="00493F47"/>
    <w:rsid w:val="004951C5"/>
    <w:rsid w:val="004960D5"/>
    <w:rsid w:val="004963AD"/>
    <w:rsid w:val="00496949"/>
    <w:rsid w:val="0049717B"/>
    <w:rsid w:val="0049728C"/>
    <w:rsid w:val="00497437"/>
    <w:rsid w:val="00497C57"/>
    <w:rsid w:val="004A0CB9"/>
    <w:rsid w:val="004A334D"/>
    <w:rsid w:val="004A33D3"/>
    <w:rsid w:val="004A3805"/>
    <w:rsid w:val="004A38F6"/>
    <w:rsid w:val="004A46D4"/>
    <w:rsid w:val="004A5077"/>
    <w:rsid w:val="004A5EA1"/>
    <w:rsid w:val="004A5EB2"/>
    <w:rsid w:val="004A6038"/>
    <w:rsid w:val="004A6150"/>
    <w:rsid w:val="004A74E8"/>
    <w:rsid w:val="004A7B81"/>
    <w:rsid w:val="004B0BEA"/>
    <w:rsid w:val="004B0EAA"/>
    <w:rsid w:val="004B1029"/>
    <w:rsid w:val="004B21C0"/>
    <w:rsid w:val="004B2F0E"/>
    <w:rsid w:val="004B3151"/>
    <w:rsid w:val="004B3E6A"/>
    <w:rsid w:val="004B4303"/>
    <w:rsid w:val="004B4C30"/>
    <w:rsid w:val="004B5716"/>
    <w:rsid w:val="004B587A"/>
    <w:rsid w:val="004B5F87"/>
    <w:rsid w:val="004B6317"/>
    <w:rsid w:val="004B6F83"/>
    <w:rsid w:val="004B7F74"/>
    <w:rsid w:val="004C0306"/>
    <w:rsid w:val="004C0428"/>
    <w:rsid w:val="004C0640"/>
    <w:rsid w:val="004C0919"/>
    <w:rsid w:val="004C09D9"/>
    <w:rsid w:val="004C0F2F"/>
    <w:rsid w:val="004C1522"/>
    <w:rsid w:val="004C2111"/>
    <w:rsid w:val="004C27D8"/>
    <w:rsid w:val="004C36CF"/>
    <w:rsid w:val="004C4283"/>
    <w:rsid w:val="004C45CB"/>
    <w:rsid w:val="004C49BA"/>
    <w:rsid w:val="004C517F"/>
    <w:rsid w:val="004C51B9"/>
    <w:rsid w:val="004C5250"/>
    <w:rsid w:val="004C526E"/>
    <w:rsid w:val="004C5293"/>
    <w:rsid w:val="004C5FF1"/>
    <w:rsid w:val="004C6BC5"/>
    <w:rsid w:val="004C73FD"/>
    <w:rsid w:val="004D10FC"/>
    <w:rsid w:val="004D2CED"/>
    <w:rsid w:val="004D2D38"/>
    <w:rsid w:val="004D3592"/>
    <w:rsid w:val="004D35E5"/>
    <w:rsid w:val="004D3EAC"/>
    <w:rsid w:val="004D4263"/>
    <w:rsid w:val="004D47EA"/>
    <w:rsid w:val="004D4CE9"/>
    <w:rsid w:val="004D6673"/>
    <w:rsid w:val="004D781C"/>
    <w:rsid w:val="004E0B5F"/>
    <w:rsid w:val="004E15D5"/>
    <w:rsid w:val="004E1768"/>
    <w:rsid w:val="004E295D"/>
    <w:rsid w:val="004E2B00"/>
    <w:rsid w:val="004E306B"/>
    <w:rsid w:val="004E33C3"/>
    <w:rsid w:val="004E4054"/>
    <w:rsid w:val="004E5240"/>
    <w:rsid w:val="004E6FCF"/>
    <w:rsid w:val="004E7336"/>
    <w:rsid w:val="004F0456"/>
    <w:rsid w:val="004F0711"/>
    <w:rsid w:val="004F094C"/>
    <w:rsid w:val="004F0FBF"/>
    <w:rsid w:val="004F2C39"/>
    <w:rsid w:val="004F34A8"/>
    <w:rsid w:val="004F361E"/>
    <w:rsid w:val="004F38E6"/>
    <w:rsid w:val="004F3B51"/>
    <w:rsid w:val="004F3C21"/>
    <w:rsid w:val="004F4E0B"/>
    <w:rsid w:val="004F50B7"/>
    <w:rsid w:val="004F51DE"/>
    <w:rsid w:val="004F5522"/>
    <w:rsid w:val="004F567B"/>
    <w:rsid w:val="004F59CA"/>
    <w:rsid w:val="004F61A2"/>
    <w:rsid w:val="004F6217"/>
    <w:rsid w:val="004F6E63"/>
    <w:rsid w:val="004F6F73"/>
    <w:rsid w:val="004F76F7"/>
    <w:rsid w:val="00500405"/>
    <w:rsid w:val="005006C9"/>
    <w:rsid w:val="005014E8"/>
    <w:rsid w:val="005025E7"/>
    <w:rsid w:val="00502832"/>
    <w:rsid w:val="00502B6A"/>
    <w:rsid w:val="0050338F"/>
    <w:rsid w:val="005047D6"/>
    <w:rsid w:val="005050E1"/>
    <w:rsid w:val="00505997"/>
    <w:rsid w:val="00505CBF"/>
    <w:rsid w:val="005060D0"/>
    <w:rsid w:val="005064BC"/>
    <w:rsid w:val="00506725"/>
    <w:rsid w:val="00507386"/>
    <w:rsid w:val="00507396"/>
    <w:rsid w:val="005073EF"/>
    <w:rsid w:val="00510049"/>
    <w:rsid w:val="00510645"/>
    <w:rsid w:val="0051183C"/>
    <w:rsid w:val="00511A97"/>
    <w:rsid w:val="00512B55"/>
    <w:rsid w:val="00513DE8"/>
    <w:rsid w:val="00513F60"/>
    <w:rsid w:val="00513FBD"/>
    <w:rsid w:val="00515A0E"/>
    <w:rsid w:val="00516030"/>
    <w:rsid w:val="005200FB"/>
    <w:rsid w:val="00520459"/>
    <w:rsid w:val="005207F6"/>
    <w:rsid w:val="00520FB2"/>
    <w:rsid w:val="00521563"/>
    <w:rsid w:val="00521BED"/>
    <w:rsid w:val="00521F94"/>
    <w:rsid w:val="00523D80"/>
    <w:rsid w:val="00524565"/>
    <w:rsid w:val="005246FB"/>
    <w:rsid w:val="005249E3"/>
    <w:rsid w:val="00525A86"/>
    <w:rsid w:val="0052613D"/>
    <w:rsid w:val="005262E2"/>
    <w:rsid w:val="005264F8"/>
    <w:rsid w:val="00526ADE"/>
    <w:rsid w:val="0052710A"/>
    <w:rsid w:val="00530EC7"/>
    <w:rsid w:val="00531BEE"/>
    <w:rsid w:val="00531E06"/>
    <w:rsid w:val="0053240B"/>
    <w:rsid w:val="00532A36"/>
    <w:rsid w:val="00532F8A"/>
    <w:rsid w:val="00533622"/>
    <w:rsid w:val="00533899"/>
    <w:rsid w:val="0053434A"/>
    <w:rsid w:val="00535762"/>
    <w:rsid w:val="00535DEF"/>
    <w:rsid w:val="00536448"/>
    <w:rsid w:val="00537069"/>
    <w:rsid w:val="00540025"/>
    <w:rsid w:val="0054015D"/>
    <w:rsid w:val="005412EE"/>
    <w:rsid w:val="00541D23"/>
    <w:rsid w:val="00543D14"/>
    <w:rsid w:val="005444CA"/>
    <w:rsid w:val="00544F85"/>
    <w:rsid w:val="00545293"/>
    <w:rsid w:val="00545565"/>
    <w:rsid w:val="00546038"/>
    <w:rsid w:val="00546343"/>
    <w:rsid w:val="0054687B"/>
    <w:rsid w:val="005477FA"/>
    <w:rsid w:val="00547A44"/>
    <w:rsid w:val="00547C05"/>
    <w:rsid w:val="00550B3C"/>
    <w:rsid w:val="005518FA"/>
    <w:rsid w:val="00551952"/>
    <w:rsid w:val="00551B51"/>
    <w:rsid w:val="0055214C"/>
    <w:rsid w:val="00552A19"/>
    <w:rsid w:val="00553626"/>
    <w:rsid w:val="0055366E"/>
    <w:rsid w:val="00553678"/>
    <w:rsid w:val="00553D3E"/>
    <w:rsid w:val="00553D47"/>
    <w:rsid w:val="0055443C"/>
    <w:rsid w:val="00554990"/>
    <w:rsid w:val="00554AB3"/>
    <w:rsid w:val="00556D8C"/>
    <w:rsid w:val="00556DDB"/>
    <w:rsid w:val="00556E0A"/>
    <w:rsid w:val="0055787B"/>
    <w:rsid w:val="00560B97"/>
    <w:rsid w:val="00560EE4"/>
    <w:rsid w:val="0056126A"/>
    <w:rsid w:val="00562046"/>
    <w:rsid w:val="005639C3"/>
    <w:rsid w:val="005645DA"/>
    <w:rsid w:val="00564D75"/>
    <w:rsid w:val="00565B91"/>
    <w:rsid w:val="00565E66"/>
    <w:rsid w:val="00565FB1"/>
    <w:rsid w:val="00566479"/>
    <w:rsid w:val="00566E53"/>
    <w:rsid w:val="005673F7"/>
    <w:rsid w:val="005674FB"/>
    <w:rsid w:val="005710E6"/>
    <w:rsid w:val="00571D7C"/>
    <w:rsid w:val="00571FD2"/>
    <w:rsid w:val="0057477A"/>
    <w:rsid w:val="00575360"/>
    <w:rsid w:val="005754AC"/>
    <w:rsid w:val="00576111"/>
    <w:rsid w:val="005800DE"/>
    <w:rsid w:val="005809E3"/>
    <w:rsid w:val="005810FE"/>
    <w:rsid w:val="00581C05"/>
    <w:rsid w:val="005826A4"/>
    <w:rsid w:val="00582A41"/>
    <w:rsid w:val="00582B6E"/>
    <w:rsid w:val="00583093"/>
    <w:rsid w:val="00584270"/>
    <w:rsid w:val="005847BC"/>
    <w:rsid w:val="00584C94"/>
    <w:rsid w:val="00584D21"/>
    <w:rsid w:val="005851D0"/>
    <w:rsid w:val="00585A86"/>
    <w:rsid w:val="005860E4"/>
    <w:rsid w:val="00587805"/>
    <w:rsid w:val="00587AFE"/>
    <w:rsid w:val="00587B89"/>
    <w:rsid w:val="00587EC3"/>
    <w:rsid w:val="00591F70"/>
    <w:rsid w:val="00592210"/>
    <w:rsid w:val="00592724"/>
    <w:rsid w:val="0059380A"/>
    <w:rsid w:val="00593B36"/>
    <w:rsid w:val="00594524"/>
    <w:rsid w:val="005947D2"/>
    <w:rsid w:val="005954C9"/>
    <w:rsid w:val="005965AA"/>
    <w:rsid w:val="00596F5B"/>
    <w:rsid w:val="005976A6"/>
    <w:rsid w:val="005977CE"/>
    <w:rsid w:val="005979F2"/>
    <w:rsid w:val="005A00BC"/>
    <w:rsid w:val="005A053C"/>
    <w:rsid w:val="005A08E2"/>
    <w:rsid w:val="005A10AD"/>
    <w:rsid w:val="005A17C1"/>
    <w:rsid w:val="005A42B3"/>
    <w:rsid w:val="005A453B"/>
    <w:rsid w:val="005A485D"/>
    <w:rsid w:val="005A569C"/>
    <w:rsid w:val="005A66CD"/>
    <w:rsid w:val="005A7B38"/>
    <w:rsid w:val="005B0E97"/>
    <w:rsid w:val="005B1512"/>
    <w:rsid w:val="005B2691"/>
    <w:rsid w:val="005B30FB"/>
    <w:rsid w:val="005B3245"/>
    <w:rsid w:val="005B328A"/>
    <w:rsid w:val="005B6345"/>
    <w:rsid w:val="005B6DD2"/>
    <w:rsid w:val="005B6F56"/>
    <w:rsid w:val="005B6F5A"/>
    <w:rsid w:val="005B709A"/>
    <w:rsid w:val="005B7331"/>
    <w:rsid w:val="005B79EF"/>
    <w:rsid w:val="005B7B2A"/>
    <w:rsid w:val="005C01C6"/>
    <w:rsid w:val="005C0B7A"/>
    <w:rsid w:val="005C0FAB"/>
    <w:rsid w:val="005C2B1C"/>
    <w:rsid w:val="005C3632"/>
    <w:rsid w:val="005C4125"/>
    <w:rsid w:val="005C4587"/>
    <w:rsid w:val="005C6EDC"/>
    <w:rsid w:val="005D1B3A"/>
    <w:rsid w:val="005D1E11"/>
    <w:rsid w:val="005D1E58"/>
    <w:rsid w:val="005D1FBF"/>
    <w:rsid w:val="005D2307"/>
    <w:rsid w:val="005D28DF"/>
    <w:rsid w:val="005D454A"/>
    <w:rsid w:val="005D4821"/>
    <w:rsid w:val="005D4CA4"/>
    <w:rsid w:val="005D5B24"/>
    <w:rsid w:val="005D672F"/>
    <w:rsid w:val="005D750A"/>
    <w:rsid w:val="005D7AC9"/>
    <w:rsid w:val="005E033A"/>
    <w:rsid w:val="005E0941"/>
    <w:rsid w:val="005E09C7"/>
    <w:rsid w:val="005E0DF2"/>
    <w:rsid w:val="005E1A5B"/>
    <w:rsid w:val="005E231B"/>
    <w:rsid w:val="005E2725"/>
    <w:rsid w:val="005E307C"/>
    <w:rsid w:val="005E36C4"/>
    <w:rsid w:val="005E5C7B"/>
    <w:rsid w:val="005E647A"/>
    <w:rsid w:val="005E654B"/>
    <w:rsid w:val="005E6A86"/>
    <w:rsid w:val="005E6B00"/>
    <w:rsid w:val="005E708C"/>
    <w:rsid w:val="005E712E"/>
    <w:rsid w:val="005E79F5"/>
    <w:rsid w:val="005E7D01"/>
    <w:rsid w:val="005F0167"/>
    <w:rsid w:val="005F11AA"/>
    <w:rsid w:val="005F1919"/>
    <w:rsid w:val="005F1D5C"/>
    <w:rsid w:val="005F232F"/>
    <w:rsid w:val="005F321F"/>
    <w:rsid w:val="005F4EBD"/>
    <w:rsid w:val="005F530B"/>
    <w:rsid w:val="005F590F"/>
    <w:rsid w:val="005F623C"/>
    <w:rsid w:val="005F6525"/>
    <w:rsid w:val="005F7BC5"/>
    <w:rsid w:val="006003D7"/>
    <w:rsid w:val="00600BB5"/>
    <w:rsid w:val="006014DB"/>
    <w:rsid w:val="006042FA"/>
    <w:rsid w:val="0060635D"/>
    <w:rsid w:val="00607747"/>
    <w:rsid w:val="00607924"/>
    <w:rsid w:val="006108EE"/>
    <w:rsid w:val="00611C7D"/>
    <w:rsid w:val="006121E6"/>
    <w:rsid w:val="006140F3"/>
    <w:rsid w:val="00614CD6"/>
    <w:rsid w:val="00614DA0"/>
    <w:rsid w:val="00615A26"/>
    <w:rsid w:val="00615A2E"/>
    <w:rsid w:val="00620EE4"/>
    <w:rsid w:val="00622637"/>
    <w:rsid w:val="00623A9C"/>
    <w:rsid w:val="0062428C"/>
    <w:rsid w:val="0062429B"/>
    <w:rsid w:val="00624805"/>
    <w:rsid w:val="00625A02"/>
    <w:rsid w:val="00625AE7"/>
    <w:rsid w:val="00630415"/>
    <w:rsid w:val="006325C7"/>
    <w:rsid w:val="00633139"/>
    <w:rsid w:val="0063358D"/>
    <w:rsid w:val="006345CE"/>
    <w:rsid w:val="006353B1"/>
    <w:rsid w:val="006354F8"/>
    <w:rsid w:val="00637C2D"/>
    <w:rsid w:val="00640B08"/>
    <w:rsid w:val="00641F45"/>
    <w:rsid w:val="00642CC9"/>
    <w:rsid w:val="00644079"/>
    <w:rsid w:val="00644124"/>
    <w:rsid w:val="0064422E"/>
    <w:rsid w:val="00644768"/>
    <w:rsid w:val="00645127"/>
    <w:rsid w:val="00645926"/>
    <w:rsid w:val="0064648C"/>
    <w:rsid w:val="00646B58"/>
    <w:rsid w:val="00646BEB"/>
    <w:rsid w:val="00646CCB"/>
    <w:rsid w:val="00646E28"/>
    <w:rsid w:val="0065199F"/>
    <w:rsid w:val="006521B2"/>
    <w:rsid w:val="006532B4"/>
    <w:rsid w:val="0065351F"/>
    <w:rsid w:val="00653DAD"/>
    <w:rsid w:val="006544DC"/>
    <w:rsid w:val="00656339"/>
    <w:rsid w:val="0065675E"/>
    <w:rsid w:val="00657030"/>
    <w:rsid w:val="006608F1"/>
    <w:rsid w:val="00660B06"/>
    <w:rsid w:val="00660C1B"/>
    <w:rsid w:val="00660E5B"/>
    <w:rsid w:val="0066192D"/>
    <w:rsid w:val="00662993"/>
    <w:rsid w:val="00662C01"/>
    <w:rsid w:val="00663874"/>
    <w:rsid w:val="00663B24"/>
    <w:rsid w:val="00664167"/>
    <w:rsid w:val="00664EE2"/>
    <w:rsid w:val="00664EE4"/>
    <w:rsid w:val="00665365"/>
    <w:rsid w:val="00665C01"/>
    <w:rsid w:val="00665D6C"/>
    <w:rsid w:val="0066697F"/>
    <w:rsid w:val="006675A7"/>
    <w:rsid w:val="00667C59"/>
    <w:rsid w:val="0067002C"/>
    <w:rsid w:val="00670AEB"/>
    <w:rsid w:val="00670BB2"/>
    <w:rsid w:val="00670D99"/>
    <w:rsid w:val="00671837"/>
    <w:rsid w:val="0067225C"/>
    <w:rsid w:val="00672D7C"/>
    <w:rsid w:val="00673AF8"/>
    <w:rsid w:val="00673B28"/>
    <w:rsid w:val="006741D7"/>
    <w:rsid w:val="00674F70"/>
    <w:rsid w:val="00675836"/>
    <w:rsid w:val="00675F43"/>
    <w:rsid w:val="0067632A"/>
    <w:rsid w:val="00677315"/>
    <w:rsid w:val="00677720"/>
    <w:rsid w:val="00680304"/>
    <w:rsid w:val="00680AF4"/>
    <w:rsid w:val="006811EF"/>
    <w:rsid w:val="0068124D"/>
    <w:rsid w:val="00681E06"/>
    <w:rsid w:val="00681F3E"/>
    <w:rsid w:val="00682612"/>
    <w:rsid w:val="0068332B"/>
    <w:rsid w:val="00683A3A"/>
    <w:rsid w:val="00683DF4"/>
    <w:rsid w:val="00683F6B"/>
    <w:rsid w:val="006841B2"/>
    <w:rsid w:val="006851B1"/>
    <w:rsid w:val="0068575A"/>
    <w:rsid w:val="00685792"/>
    <w:rsid w:val="00685C63"/>
    <w:rsid w:val="006863DE"/>
    <w:rsid w:val="00686729"/>
    <w:rsid w:val="00687549"/>
    <w:rsid w:val="006879C6"/>
    <w:rsid w:val="00687C33"/>
    <w:rsid w:val="00693567"/>
    <w:rsid w:val="006936A2"/>
    <w:rsid w:val="00693826"/>
    <w:rsid w:val="00694C49"/>
    <w:rsid w:val="00694F01"/>
    <w:rsid w:val="006954FE"/>
    <w:rsid w:val="006955B0"/>
    <w:rsid w:val="006960E4"/>
    <w:rsid w:val="00696202"/>
    <w:rsid w:val="00696451"/>
    <w:rsid w:val="0069745E"/>
    <w:rsid w:val="006974A5"/>
    <w:rsid w:val="00697815"/>
    <w:rsid w:val="00697E55"/>
    <w:rsid w:val="00697F65"/>
    <w:rsid w:val="006A01AD"/>
    <w:rsid w:val="006A1957"/>
    <w:rsid w:val="006A29F4"/>
    <w:rsid w:val="006A2CB0"/>
    <w:rsid w:val="006A35D9"/>
    <w:rsid w:val="006A38D8"/>
    <w:rsid w:val="006A409E"/>
    <w:rsid w:val="006A42E4"/>
    <w:rsid w:val="006A48A0"/>
    <w:rsid w:val="006A49AE"/>
    <w:rsid w:val="006A4C36"/>
    <w:rsid w:val="006A4E0B"/>
    <w:rsid w:val="006A5922"/>
    <w:rsid w:val="006A5BDE"/>
    <w:rsid w:val="006A72DB"/>
    <w:rsid w:val="006B02B6"/>
    <w:rsid w:val="006B0C53"/>
    <w:rsid w:val="006B0CAA"/>
    <w:rsid w:val="006B12C4"/>
    <w:rsid w:val="006B140F"/>
    <w:rsid w:val="006B22E3"/>
    <w:rsid w:val="006B25FF"/>
    <w:rsid w:val="006B2655"/>
    <w:rsid w:val="006B2E16"/>
    <w:rsid w:val="006B33B9"/>
    <w:rsid w:val="006B3A47"/>
    <w:rsid w:val="006B47E3"/>
    <w:rsid w:val="006B488E"/>
    <w:rsid w:val="006B4A48"/>
    <w:rsid w:val="006B4BB5"/>
    <w:rsid w:val="006B5229"/>
    <w:rsid w:val="006B531B"/>
    <w:rsid w:val="006B670E"/>
    <w:rsid w:val="006B703C"/>
    <w:rsid w:val="006B7D34"/>
    <w:rsid w:val="006B7F0A"/>
    <w:rsid w:val="006C120F"/>
    <w:rsid w:val="006C1937"/>
    <w:rsid w:val="006C27E7"/>
    <w:rsid w:val="006C4B00"/>
    <w:rsid w:val="006C553A"/>
    <w:rsid w:val="006C5A9C"/>
    <w:rsid w:val="006C5FB5"/>
    <w:rsid w:val="006C62C2"/>
    <w:rsid w:val="006C66F7"/>
    <w:rsid w:val="006D0EA1"/>
    <w:rsid w:val="006D1338"/>
    <w:rsid w:val="006D1D39"/>
    <w:rsid w:val="006D247B"/>
    <w:rsid w:val="006D2641"/>
    <w:rsid w:val="006D3A34"/>
    <w:rsid w:val="006D47E5"/>
    <w:rsid w:val="006D5035"/>
    <w:rsid w:val="006D5977"/>
    <w:rsid w:val="006D5CC1"/>
    <w:rsid w:val="006D64BD"/>
    <w:rsid w:val="006D670E"/>
    <w:rsid w:val="006D749F"/>
    <w:rsid w:val="006D7971"/>
    <w:rsid w:val="006D7E3B"/>
    <w:rsid w:val="006E075F"/>
    <w:rsid w:val="006E0F7E"/>
    <w:rsid w:val="006E10A3"/>
    <w:rsid w:val="006E10E4"/>
    <w:rsid w:val="006E20FB"/>
    <w:rsid w:val="006E23CE"/>
    <w:rsid w:val="006E2C5D"/>
    <w:rsid w:val="006E2F60"/>
    <w:rsid w:val="006E30F9"/>
    <w:rsid w:val="006E37D9"/>
    <w:rsid w:val="006E3A3C"/>
    <w:rsid w:val="006E3AB7"/>
    <w:rsid w:val="006E573E"/>
    <w:rsid w:val="006E7A2C"/>
    <w:rsid w:val="006F0DC7"/>
    <w:rsid w:val="006F2037"/>
    <w:rsid w:val="006F3688"/>
    <w:rsid w:val="006F6F59"/>
    <w:rsid w:val="006F750E"/>
    <w:rsid w:val="006F7B4D"/>
    <w:rsid w:val="00700CFE"/>
    <w:rsid w:val="0070166C"/>
    <w:rsid w:val="0070179E"/>
    <w:rsid w:val="0070369F"/>
    <w:rsid w:val="0070413A"/>
    <w:rsid w:val="00704DDE"/>
    <w:rsid w:val="00704F07"/>
    <w:rsid w:val="007053CD"/>
    <w:rsid w:val="007057DA"/>
    <w:rsid w:val="007064A9"/>
    <w:rsid w:val="00706BF8"/>
    <w:rsid w:val="00706F65"/>
    <w:rsid w:val="00712858"/>
    <w:rsid w:val="00713786"/>
    <w:rsid w:val="00714375"/>
    <w:rsid w:val="007150E0"/>
    <w:rsid w:val="0071570C"/>
    <w:rsid w:val="00716231"/>
    <w:rsid w:val="00716581"/>
    <w:rsid w:val="0071668F"/>
    <w:rsid w:val="00720741"/>
    <w:rsid w:val="0072083C"/>
    <w:rsid w:val="0072135E"/>
    <w:rsid w:val="00721CDE"/>
    <w:rsid w:val="0072397A"/>
    <w:rsid w:val="00723F5C"/>
    <w:rsid w:val="007248A2"/>
    <w:rsid w:val="00725BD0"/>
    <w:rsid w:val="007260FC"/>
    <w:rsid w:val="00726990"/>
    <w:rsid w:val="00726C7F"/>
    <w:rsid w:val="00727E80"/>
    <w:rsid w:val="007300B0"/>
    <w:rsid w:val="00730C03"/>
    <w:rsid w:val="007318FD"/>
    <w:rsid w:val="00731FF9"/>
    <w:rsid w:val="00732C61"/>
    <w:rsid w:val="0073344D"/>
    <w:rsid w:val="00735043"/>
    <w:rsid w:val="0073551E"/>
    <w:rsid w:val="007355E4"/>
    <w:rsid w:val="00735886"/>
    <w:rsid w:val="007369F5"/>
    <w:rsid w:val="00736BF7"/>
    <w:rsid w:val="00737315"/>
    <w:rsid w:val="0073763A"/>
    <w:rsid w:val="0073783F"/>
    <w:rsid w:val="0074005B"/>
    <w:rsid w:val="00741379"/>
    <w:rsid w:val="00741518"/>
    <w:rsid w:val="0074192F"/>
    <w:rsid w:val="00741C93"/>
    <w:rsid w:val="00741EFF"/>
    <w:rsid w:val="007432EA"/>
    <w:rsid w:val="00743517"/>
    <w:rsid w:val="00744442"/>
    <w:rsid w:val="00745253"/>
    <w:rsid w:val="00745AA1"/>
    <w:rsid w:val="00745BB9"/>
    <w:rsid w:val="0074643A"/>
    <w:rsid w:val="00747049"/>
    <w:rsid w:val="00747412"/>
    <w:rsid w:val="007476D2"/>
    <w:rsid w:val="00747972"/>
    <w:rsid w:val="00747D83"/>
    <w:rsid w:val="007509EF"/>
    <w:rsid w:val="00750D6E"/>
    <w:rsid w:val="00751ADB"/>
    <w:rsid w:val="007530BF"/>
    <w:rsid w:val="00754F83"/>
    <w:rsid w:val="007555E4"/>
    <w:rsid w:val="00756074"/>
    <w:rsid w:val="00756F56"/>
    <w:rsid w:val="00757C04"/>
    <w:rsid w:val="00757CCB"/>
    <w:rsid w:val="007612AA"/>
    <w:rsid w:val="0076179F"/>
    <w:rsid w:val="00761866"/>
    <w:rsid w:val="007619FB"/>
    <w:rsid w:val="00761BE9"/>
    <w:rsid w:val="007626BD"/>
    <w:rsid w:val="00765666"/>
    <w:rsid w:val="007657DA"/>
    <w:rsid w:val="00766053"/>
    <w:rsid w:val="00766FA8"/>
    <w:rsid w:val="007703FE"/>
    <w:rsid w:val="00770B14"/>
    <w:rsid w:val="00770C85"/>
    <w:rsid w:val="00771928"/>
    <w:rsid w:val="00771B62"/>
    <w:rsid w:val="00773AFA"/>
    <w:rsid w:val="00774310"/>
    <w:rsid w:val="0077449D"/>
    <w:rsid w:val="00774A2E"/>
    <w:rsid w:val="0078270A"/>
    <w:rsid w:val="00782FD6"/>
    <w:rsid w:val="00783AA6"/>
    <w:rsid w:val="00783BE7"/>
    <w:rsid w:val="00783EC5"/>
    <w:rsid w:val="007856F9"/>
    <w:rsid w:val="0078571B"/>
    <w:rsid w:val="00785D24"/>
    <w:rsid w:val="007865C4"/>
    <w:rsid w:val="00787650"/>
    <w:rsid w:val="00787B67"/>
    <w:rsid w:val="00790169"/>
    <w:rsid w:val="007913AE"/>
    <w:rsid w:val="0079236F"/>
    <w:rsid w:val="0079247D"/>
    <w:rsid w:val="007928E4"/>
    <w:rsid w:val="00793A0F"/>
    <w:rsid w:val="00796E2A"/>
    <w:rsid w:val="007A05E0"/>
    <w:rsid w:val="007A0C45"/>
    <w:rsid w:val="007A1061"/>
    <w:rsid w:val="007A2386"/>
    <w:rsid w:val="007A3F71"/>
    <w:rsid w:val="007A4712"/>
    <w:rsid w:val="007A5A37"/>
    <w:rsid w:val="007A703C"/>
    <w:rsid w:val="007A70ED"/>
    <w:rsid w:val="007A7661"/>
    <w:rsid w:val="007B015F"/>
    <w:rsid w:val="007B0ECE"/>
    <w:rsid w:val="007B1EC1"/>
    <w:rsid w:val="007B3A08"/>
    <w:rsid w:val="007B4552"/>
    <w:rsid w:val="007B57F7"/>
    <w:rsid w:val="007B5E79"/>
    <w:rsid w:val="007B63C0"/>
    <w:rsid w:val="007B6CE6"/>
    <w:rsid w:val="007B7A72"/>
    <w:rsid w:val="007B7EA9"/>
    <w:rsid w:val="007B7F48"/>
    <w:rsid w:val="007C0910"/>
    <w:rsid w:val="007C0C22"/>
    <w:rsid w:val="007C224F"/>
    <w:rsid w:val="007C2EFE"/>
    <w:rsid w:val="007C31F6"/>
    <w:rsid w:val="007C3D21"/>
    <w:rsid w:val="007C4906"/>
    <w:rsid w:val="007C4AA7"/>
    <w:rsid w:val="007C4CD5"/>
    <w:rsid w:val="007C505A"/>
    <w:rsid w:val="007C5632"/>
    <w:rsid w:val="007C5AA4"/>
    <w:rsid w:val="007C5D27"/>
    <w:rsid w:val="007C6900"/>
    <w:rsid w:val="007C786E"/>
    <w:rsid w:val="007C7F40"/>
    <w:rsid w:val="007D03F9"/>
    <w:rsid w:val="007D0D37"/>
    <w:rsid w:val="007D0DF3"/>
    <w:rsid w:val="007D24BF"/>
    <w:rsid w:val="007D273A"/>
    <w:rsid w:val="007D278B"/>
    <w:rsid w:val="007D2B30"/>
    <w:rsid w:val="007D45B8"/>
    <w:rsid w:val="007D4860"/>
    <w:rsid w:val="007D4885"/>
    <w:rsid w:val="007D4E72"/>
    <w:rsid w:val="007D6970"/>
    <w:rsid w:val="007E0C4D"/>
    <w:rsid w:val="007E0FF4"/>
    <w:rsid w:val="007E1A2D"/>
    <w:rsid w:val="007E3DE8"/>
    <w:rsid w:val="007E4194"/>
    <w:rsid w:val="007E45E0"/>
    <w:rsid w:val="007E49AE"/>
    <w:rsid w:val="007E4D96"/>
    <w:rsid w:val="007E4DFA"/>
    <w:rsid w:val="007E4EAF"/>
    <w:rsid w:val="007E5712"/>
    <w:rsid w:val="007E5AA3"/>
    <w:rsid w:val="007E6098"/>
    <w:rsid w:val="007E7615"/>
    <w:rsid w:val="007F0441"/>
    <w:rsid w:val="007F2FD1"/>
    <w:rsid w:val="007F45BE"/>
    <w:rsid w:val="007F4620"/>
    <w:rsid w:val="007F4B0E"/>
    <w:rsid w:val="007F4C67"/>
    <w:rsid w:val="007F52DF"/>
    <w:rsid w:val="007F5C8E"/>
    <w:rsid w:val="007F67F8"/>
    <w:rsid w:val="00800658"/>
    <w:rsid w:val="00801357"/>
    <w:rsid w:val="00801EB4"/>
    <w:rsid w:val="00802D21"/>
    <w:rsid w:val="008035F8"/>
    <w:rsid w:val="00804137"/>
    <w:rsid w:val="00804285"/>
    <w:rsid w:val="00804C56"/>
    <w:rsid w:val="0080506B"/>
    <w:rsid w:val="00805370"/>
    <w:rsid w:val="008067E0"/>
    <w:rsid w:val="00806EE5"/>
    <w:rsid w:val="008103B5"/>
    <w:rsid w:val="00813BC7"/>
    <w:rsid w:val="0081594D"/>
    <w:rsid w:val="00815B55"/>
    <w:rsid w:val="00815C56"/>
    <w:rsid w:val="00816250"/>
    <w:rsid w:val="00816AE5"/>
    <w:rsid w:val="00817711"/>
    <w:rsid w:val="00820522"/>
    <w:rsid w:val="00821544"/>
    <w:rsid w:val="008215CB"/>
    <w:rsid w:val="00821660"/>
    <w:rsid w:val="008218A6"/>
    <w:rsid w:val="0082272D"/>
    <w:rsid w:val="008227E3"/>
    <w:rsid w:val="008236B6"/>
    <w:rsid w:val="00823B78"/>
    <w:rsid w:val="00823D73"/>
    <w:rsid w:val="008240C2"/>
    <w:rsid w:val="00824428"/>
    <w:rsid w:val="00824ABE"/>
    <w:rsid w:val="008255BA"/>
    <w:rsid w:val="00825F0C"/>
    <w:rsid w:val="00826E27"/>
    <w:rsid w:val="00826EFD"/>
    <w:rsid w:val="008270C2"/>
    <w:rsid w:val="00827615"/>
    <w:rsid w:val="00827776"/>
    <w:rsid w:val="00830492"/>
    <w:rsid w:val="00830AED"/>
    <w:rsid w:val="008329E9"/>
    <w:rsid w:val="00832C00"/>
    <w:rsid w:val="008338DD"/>
    <w:rsid w:val="00834DE7"/>
    <w:rsid w:val="0083522C"/>
    <w:rsid w:val="008355D8"/>
    <w:rsid w:val="00835AC1"/>
    <w:rsid w:val="00836B07"/>
    <w:rsid w:val="0084018A"/>
    <w:rsid w:val="00841383"/>
    <w:rsid w:val="008416EC"/>
    <w:rsid w:val="008425EF"/>
    <w:rsid w:val="008427F7"/>
    <w:rsid w:val="008429B9"/>
    <w:rsid w:val="00842A3D"/>
    <w:rsid w:val="00842E6C"/>
    <w:rsid w:val="00843761"/>
    <w:rsid w:val="008446B6"/>
    <w:rsid w:val="0084540C"/>
    <w:rsid w:val="00847521"/>
    <w:rsid w:val="0084775A"/>
    <w:rsid w:val="00850323"/>
    <w:rsid w:val="00850874"/>
    <w:rsid w:val="00850CE9"/>
    <w:rsid w:val="00851001"/>
    <w:rsid w:val="008537D4"/>
    <w:rsid w:val="00855618"/>
    <w:rsid w:val="0085593E"/>
    <w:rsid w:val="00855AAA"/>
    <w:rsid w:val="00856168"/>
    <w:rsid w:val="00857114"/>
    <w:rsid w:val="0086039B"/>
    <w:rsid w:val="008608B6"/>
    <w:rsid w:val="00860F3C"/>
    <w:rsid w:val="00861146"/>
    <w:rsid w:val="00861399"/>
    <w:rsid w:val="0086212C"/>
    <w:rsid w:val="00862ECE"/>
    <w:rsid w:val="0086354A"/>
    <w:rsid w:val="00864057"/>
    <w:rsid w:val="00864BF5"/>
    <w:rsid w:val="00867175"/>
    <w:rsid w:val="00867DAD"/>
    <w:rsid w:val="008702A6"/>
    <w:rsid w:val="008711F2"/>
    <w:rsid w:val="00872768"/>
    <w:rsid w:val="00872D74"/>
    <w:rsid w:val="0087300E"/>
    <w:rsid w:val="00873027"/>
    <w:rsid w:val="0087317C"/>
    <w:rsid w:val="00873B6A"/>
    <w:rsid w:val="00874155"/>
    <w:rsid w:val="0087498C"/>
    <w:rsid w:val="008749EA"/>
    <w:rsid w:val="008754C8"/>
    <w:rsid w:val="00875E33"/>
    <w:rsid w:val="00876282"/>
    <w:rsid w:val="0087684C"/>
    <w:rsid w:val="008778F3"/>
    <w:rsid w:val="008802FC"/>
    <w:rsid w:val="008808D8"/>
    <w:rsid w:val="00880C48"/>
    <w:rsid w:val="00880F2D"/>
    <w:rsid w:val="008812F3"/>
    <w:rsid w:val="00881A77"/>
    <w:rsid w:val="00881DDE"/>
    <w:rsid w:val="00882945"/>
    <w:rsid w:val="00883B74"/>
    <w:rsid w:val="00883D71"/>
    <w:rsid w:val="00886573"/>
    <w:rsid w:val="00886FCD"/>
    <w:rsid w:val="008872DC"/>
    <w:rsid w:val="0088764A"/>
    <w:rsid w:val="00887C5F"/>
    <w:rsid w:val="00891E82"/>
    <w:rsid w:val="008922D8"/>
    <w:rsid w:val="008925E0"/>
    <w:rsid w:val="00892BA5"/>
    <w:rsid w:val="008938A4"/>
    <w:rsid w:val="00893E42"/>
    <w:rsid w:val="00895C2D"/>
    <w:rsid w:val="0089605C"/>
    <w:rsid w:val="00897343"/>
    <w:rsid w:val="00897372"/>
    <w:rsid w:val="008A2C93"/>
    <w:rsid w:val="008A4E00"/>
    <w:rsid w:val="008A56BD"/>
    <w:rsid w:val="008A5FA4"/>
    <w:rsid w:val="008A6619"/>
    <w:rsid w:val="008A69C9"/>
    <w:rsid w:val="008A6ADE"/>
    <w:rsid w:val="008A6D39"/>
    <w:rsid w:val="008A7591"/>
    <w:rsid w:val="008B0B9E"/>
    <w:rsid w:val="008B1293"/>
    <w:rsid w:val="008B1B8A"/>
    <w:rsid w:val="008B29AD"/>
    <w:rsid w:val="008B310A"/>
    <w:rsid w:val="008B4011"/>
    <w:rsid w:val="008B4106"/>
    <w:rsid w:val="008B422E"/>
    <w:rsid w:val="008B4941"/>
    <w:rsid w:val="008B49AF"/>
    <w:rsid w:val="008B4BB7"/>
    <w:rsid w:val="008B7172"/>
    <w:rsid w:val="008B75C7"/>
    <w:rsid w:val="008B78D9"/>
    <w:rsid w:val="008C013E"/>
    <w:rsid w:val="008C01FD"/>
    <w:rsid w:val="008C02ED"/>
    <w:rsid w:val="008C0E05"/>
    <w:rsid w:val="008C0EC4"/>
    <w:rsid w:val="008C10BE"/>
    <w:rsid w:val="008C2868"/>
    <w:rsid w:val="008C2A1D"/>
    <w:rsid w:val="008C2F90"/>
    <w:rsid w:val="008C2FE9"/>
    <w:rsid w:val="008C3394"/>
    <w:rsid w:val="008C3658"/>
    <w:rsid w:val="008C3EC4"/>
    <w:rsid w:val="008C49EC"/>
    <w:rsid w:val="008C4B84"/>
    <w:rsid w:val="008C6A51"/>
    <w:rsid w:val="008C6E51"/>
    <w:rsid w:val="008D138D"/>
    <w:rsid w:val="008D1B58"/>
    <w:rsid w:val="008D1F0A"/>
    <w:rsid w:val="008D29EF"/>
    <w:rsid w:val="008D2F73"/>
    <w:rsid w:val="008D3DA9"/>
    <w:rsid w:val="008D3E9A"/>
    <w:rsid w:val="008D45FC"/>
    <w:rsid w:val="008D5CBA"/>
    <w:rsid w:val="008D744B"/>
    <w:rsid w:val="008E0D26"/>
    <w:rsid w:val="008E1472"/>
    <w:rsid w:val="008E1D82"/>
    <w:rsid w:val="008E2181"/>
    <w:rsid w:val="008E21AE"/>
    <w:rsid w:val="008E26F0"/>
    <w:rsid w:val="008E2B9E"/>
    <w:rsid w:val="008E2EDB"/>
    <w:rsid w:val="008E311D"/>
    <w:rsid w:val="008E35EB"/>
    <w:rsid w:val="008E42AE"/>
    <w:rsid w:val="008E46A6"/>
    <w:rsid w:val="008E474D"/>
    <w:rsid w:val="008E4D7B"/>
    <w:rsid w:val="008E510F"/>
    <w:rsid w:val="008E56A7"/>
    <w:rsid w:val="008E5973"/>
    <w:rsid w:val="008E5A90"/>
    <w:rsid w:val="008E681A"/>
    <w:rsid w:val="008E732C"/>
    <w:rsid w:val="008E777D"/>
    <w:rsid w:val="008F0C20"/>
    <w:rsid w:val="008F170E"/>
    <w:rsid w:val="008F1DB7"/>
    <w:rsid w:val="008F263F"/>
    <w:rsid w:val="008F5B67"/>
    <w:rsid w:val="008F6E60"/>
    <w:rsid w:val="008F7329"/>
    <w:rsid w:val="008F76CC"/>
    <w:rsid w:val="008F782E"/>
    <w:rsid w:val="00901640"/>
    <w:rsid w:val="00903446"/>
    <w:rsid w:val="00903B1C"/>
    <w:rsid w:val="009077E7"/>
    <w:rsid w:val="009100C1"/>
    <w:rsid w:val="0091029F"/>
    <w:rsid w:val="00910948"/>
    <w:rsid w:val="00910AA5"/>
    <w:rsid w:val="00910B90"/>
    <w:rsid w:val="00911456"/>
    <w:rsid w:val="00911AE9"/>
    <w:rsid w:val="009133FC"/>
    <w:rsid w:val="009143D9"/>
    <w:rsid w:val="009147B3"/>
    <w:rsid w:val="009169F4"/>
    <w:rsid w:val="009171C5"/>
    <w:rsid w:val="00917FB9"/>
    <w:rsid w:val="00920B87"/>
    <w:rsid w:val="00920FD2"/>
    <w:rsid w:val="0092154F"/>
    <w:rsid w:val="009223B2"/>
    <w:rsid w:val="00922C9F"/>
    <w:rsid w:val="00923126"/>
    <w:rsid w:val="00923261"/>
    <w:rsid w:val="00923A7F"/>
    <w:rsid w:val="00924410"/>
    <w:rsid w:val="00924546"/>
    <w:rsid w:val="00925052"/>
    <w:rsid w:val="00926263"/>
    <w:rsid w:val="009262E9"/>
    <w:rsid w:val="009267D8"/>
    <w:rsid w:val="0092695C"/>
    <w:rsid w:val="00926BDC"/>
    <w:rsid w:val="00926D50"/>
    <w:rsid w:val="00930227"/>
    <w:rsid w:val="00931041"/>
    <w:rsid w:val="0093112A"/>
    <w:rsid w:val="009316BF"/>
    <w:rsid w:val="00931ACB"/>
    <w:rsid w:val="009323B9"/>
    <w:rsid w:val="00932D57"/>
    <w:rsid w:val="00932F88"/>
    <w:rsid w:val="0093349F"/>
    <w:rsid w:val="009334CB"/>
    <w:rsid w:val="009358FD"/>
    <w:rsid w:val="0093685C"/>
    <w:rsid w:val="00936CD4"/>
    <w:rsid w:val="0093747B"/>
    <w:rsid w:val="00937ADD"/>
    <w:rsid w:val="00937B20"/>
    <w:rsid w:val="0094020D"/>
    <w:rsid w:val="009408AC"/>
    <w:rsid w:val="009409DE"/>
    <w:rsid w:val="0094232B"/>
    <w:rsid w:val="00942EEB"/>
    <w:rsid w:val="00943993"/>
    <w:rsid w:val="00943DBD"/>
    <w:rsid w:val="009440F9"/>
    <w:rsid w:val="009444C5"/>
    <w:rsid w:val="00944DBA"/>
    <w:rsid w:val="0094564A"/>
    <w:rsid w:val="00945728"/>
    <w:rsid w:val="00945F5F"/>
    <w:rsid w:val="009466A0"/>
    <w:rsid w:val="00946806"/>
    <w:rsid w:val="0094685F"/>
    <w:rsid w:val="00946C22"/>
    <w:rsid w:val="00950AF3"/>
    <w:rsid w:val="009515F5"/>
    <w:rsid w:val="009523D9"/>
    <w:rsid w:val="00952669"/>
    <w:rsid w:val="00952AC3"/>
    <w:rsid w:val="009532DF"/>
    <w:rsid w:val="00953431"/>
    <w:rsid w:val="0095348C"/>
    <w:rsid w:val="009534F1"/>
    <w:rsid w:val="00954629"/>
    <w:rsid w:val="0095511A"/>
    <w:rsid w:val="00955B23"/>
    <w:rsid w:val="00955BC3"/>
    <w:rsid w:val="0095616F"/>
    <w:rsid w:val="009568B8"/>
    <w:rsid w:val="00956CE2"/>
    <w:rsid w:val="009571A3"/>
    <w:rsid w:val="009614B1"/>
    <w:rsid w:val="00961F83"/>
    <w:rsid w:val="0096340A"/>
    <w:rsid w:val="00963CC7"/>
    <w:rsid w:val="00963E79"/>
    <w:rsid w:val="00965ABF"/>
    <w:rsid w:val="00965E11"/>
    <w:rsid w:val="0097064A"/>
    <w:rsid w:val="00970C52"/>
    <w:rsid w:val="00970C88"/>
    <w:rsid w:val="00972F12"/>
    <w:rsid w:val="0097469A"/>
    <w:rsid w:val="00975A7B"/>
    <w:rsid w:val="00976F29"/>
    <w:rsid w:val="0097761F"/>
    <w:rsid w:val="00980380"/>
    <w:rsid w:val="0098085D"/>
    <w:rsid w:val="00980FC1"/>
    <w:rsid w:val="00982031"/>
    <w:rsid w:val="00983408"/>
    <w:rsid w:val="00983CC6"/>
    <w:rsid w:val="00984903"/>
    <w:rsid w:val="00984BDD"/>
    <w:rsid w:val="00984CDA"/>
    <w:rsid w:val="00984F9C"/>
    <w:rsid w:val="009862CF"/>
    <w:rsid w:val="00986C7D"/>
    <w:rsid w:val="00986E75"/>
    <w:rsid w:val="00987995"/>
    <w:rsid w:val="00990909"/>
    <w:rsid w:val="00990DAE"/>
    <w:rsid w:val="00991978"/>
    <w:rsid w:val="0099252A"/>
    <w:rsid w:val="00993824"/>
    <w:rsid w:val="00994C63"/>
    <w:rsid w:val="00995BA0"/>
    <w:rsid w:val="009965F7"/>
    <w:rsid w:val="0099662F"/>
    <w:rsid w:val="00997C03"/>
    <w:rsid w:val="009A04D3"/>
    <w:rsid w:val="009A07BE"/>
    <w:rsid w:val="009A23D0"/>
    <w:rsid w:val="009A55A8"/>
    <w:rsid w:val="009A59C2"/>
    <w:rsid w:val="009A59DD"/>
    <w:rsid w:val="009A6C67"/>
    <w:rsid w:val="009A766B"/>
    <w:rsid w:val="009A77C5"/>
    <w:rsid w:val="009A799A"/>
    <w:rsid w:val="009B03FC"/>
    <w:rsid w:val="009B065A"/>
    <w:rsid w:val="009B0D5F"/>
    <w:rsid w:val="009B10C7"/>
    <w:rsid w:val="009B1CF6"/>
    <w:rsid w:val="009B2260"/>
    <w:rsid w:val="009B2491"/>
    <w:rsid w:val="009B3573"/>
    <w:rsid w:val="009B3B52"/>
    <w:rsid w:val="009B48DA"/>
    <w:rsid w:val="009B505B"/>
    <w:rsid w:val="009B6659"/>
    <w:rsid w:val="009B7888"/>
    <w:rsid w:val="009B79E4"/>
    <w:rsid w:val="009C0B67"/>
    <w:rsid w:val="009C0DCA"/>
    <w:rsid w:val="009C16E3"/>
    <w:rsid w:val="009C1C9C"/>
    <w:rsid w:val="009C2838"/>
    <w:rsid w:val="009C2877"/>
    <w:rsid w:val="009C28D5"/>
    <w:rsid w:val="009C3C63"/>
    <w:rsid w:val="009C47F4"/>
    <w:rsid w:val="009C48B3"/>
    <w:rsid w:val="009C4911"/>
    <w:rsid w:val="009C5600"/>
    <w:rsid w:val="009C5796"/>
    <w:rsid w:val="009C6442"/>
    <w:rsid w:val="009C65D5"/>
    <w:rsid w:val="009C6B72"/>
    <w:rsid w:val="009C7188"/>
    <w:rsid w:val="009C7865"/>
    <w:rsid w:val="009C7D39"/>
    <w:rsid w:val="009D00D8"/>
    <w:rsid w:val="009D1334"/>
    <w:rsid w:val="009D1C72"/>
    <w:rsid w:val="009D1D9C"/>
    <w:rsid w:val="009D21A2"/>
    <w:rsid w:val="009D24D4"/>
    <w:rsid w:val="009D2521"/>
    <w:rsid w:val="009D27B2"/>
    <w:rsid w:val="009D2D08"/>
    <w:rsid w:val="009D2ED5"/>
    <w:rsid w:val="009D4F3F"/>
    <w:rsid w:val="009D5DDE"/>
    <w:rsid w:val="009D61A5"/>
    <w:rsid w:val="009D66DE"/>
    <w:rsid w:val="009D71C7"/>
    <w:rsid w:val="009D79B4"/>
    <w:rsid w:val="009D7E26"/>
    <w:rsid w:val="009D7E68"/>
    <w:rsid w:val="009E042D"/>
    <w:rsid w:val="009E06AB"/>
    <w:rsid w:val="009E1DEB"/>
    <w:rsid w:val="009E2896"/>
    <w:rsid w:val="009E3160"/>
    <w:rsid w:val="009E5536"/>
    <w:rsid w:val="009E56BA"/>
    <w:rsid w:val="009E5B96"/>
    <w:rsid w:val="009E63AF"/>
    <w:rsid w:val="009E7008"/>
    <w:rsid w:val="009E74C2"/>
    <w:rsid w:val="009E769C"/>
    <w:rsid w:val="009F0E77"/>
    <w:rsid w:val="009F0E8A"/>
    <w:rsid w:val="009F1367"/>
    <w:rsid w:val="009F1410"/>
    <w:rsid w:val="009F1B26"/>
    <w:rsid w:val="009F1DA4"/>
    <w:rsid w:val="009F1DC9"/>
    <w:rsid w:val="009F2F2A"/>
    <w:rsid w:val="009F3BE9"/>
    <w:rsid w:val="009F58A7"/>
    <w:rsid w:val="009F61D7"/>
    <w:rsid w:val="009F6358"/>
    <w:rsid w:val="009F75CE"/>
    <w:rsid w:val="009F790B"/>
    <w:rsid w:val="009F7DA3"/>
    <w:rsid w:val="00A0095D"/>
    <w:rsid w:val="00A00976"/>
    <w:rsid w:val="00A00B1B"/>
    <w:rsid w:val="00A01847"/>
    <w:rsid w:val="00A020DC"/>
    <w:rsid w:val="00A02FF4"/>
    <w:rsid w:val="00A033E6"/>
    <w:rsid w:val="00A0406E"/>
    <w:rsid w:val="00A04C6C"/>
    <w:rsid w:val="00A05436"/>
    <w:rsid w:val="00A06924"/>
    <w:rsid w:val="00A07136"/>
    <w:rsid w:val="00A07C15"/>
    <w:rsid w:val="00A104A5"/>
    <w:rsid w:val="00A112FF"/>
    <w:rsid w:val="00A12893"/>
    <w:rsid w:val="00A13881"/>
    <w:rsid w:val="00A13E52"/>
    <w:rsid w:val="00A144F2"/>
    <w:rsid w:val="00A14D04"/>
    <w:rsid w:val="00A15766"/>
    <w:rsid w:val="00A16E61"/>
    <w:rsid w:val="00A17B22"/>
    <w:rsid w:val="00A2064B"/>
    <w:rsid w:val="00A20B06"/>
    <w:rsid w:val="00A211B8"/>
    <w:rsid w:val="00A21E94"/>
    <w:rsid w:val="00A2325F"/>
    <w:rsid w:val="00A235A2"/>
    <w:rsid w:val="00A23749"/>
    <w:rsid w:val="00A24359"/>
    <w:rsid w:val="00A24594"/>
    <w:rsid w:val="00A25CCE"/>
    <w:rsid w:val="00A27AE0"/>
    <w:rsid w:val="00A30ED6"/>
    <w:rsid w:val="00A311E1"/>
    <w:rsid w:val="00A31DCE"/>
    <w:rsid w:val="00A33DEB"/>
    <w:rsid w:val="00A3401E"/>
    <w:rsid w:val="00A3445F"/>
    <w:rsid w:val="00A3507E"/>
    <w:rsid w:val="00A35471"/>
    <w:rsid w:val="00A35C4F"/>
    <w:rsid w:val="00A36880"/>
    <w:rsid w:val="00A36C44"/>
    <w:rsid w:val="00A3752D"/>
    <w:rsid w:val="00A377E9"/>
    <w:rsid w:val="00A40223"/>
    <w:rsid w:val="00A40A4A"/>
    <w:rsid w:val="00A40E64"/>
    <w:rsid w:val="00A415C2"/>
    <w:rsid w:val="00A42685"/>
    <w:rsid w:val="00A42B99"/>
    <w:rsid w:val="00A4304F"/>
    <w:rsid w:val="00A439DD"/>
    <w:rsid w:val="00A43AC6"/>
    <w:rsid w:val="00A43B1E"/>
    <w:rsid w:val="00A447F7"/>
    <w:rsid w:val="00A4481C"/>
    <w:rsid w:val="00A44D01"/>
    <w:rsid w:val="00A44F96"/>
    <w:rsid w:val="00A45F9C"/>
    <w:rsid w:val="00A46B1A"/>
    <w:rsid w:val="00A46E38"/>
    <w:rsid w:val="00A50737"/>
    <w:rsid w:val="00A5104D"/>
    <w:rsid w:val="00A51B26"/>
    <w:rsid w:val="00A51CC4"/>
    <w:rsid w:val="00A51F48"/>
    <w:rsid w:val="00A5281F"/>
    <w:rsid w:val="00A52935"/>
    <w:rsid w:val="00A53466"/>
    <w:rsid w:val="00A536F5"/>
    <w:rsid w:val="00A53D38"/>
    <w:rsid w:val="00A544D8"/>
    <w:rsid w:val="00A54787"/>
    <w:rsid w:val="00A54BE6"/>
    <w:rsid w:val="00A55239"/>
    <w:rsid w:val="00A56355"/>
    <w:rsid w:val="00A565C8"/>
    <w:rsid w:val="00A57351"/>
    <w:rsid w:val="00A609DC"/>
    <w:rsid w:val="00A60CC6"/>
    <w:rsid w:val="00A61388"/>
    <w:rsid w:val="00A61AA8"/>
    <w:rsid w:val="00A61CE3"/>
    <w:rsid w:val="00A630D2"/>
    <w:rsid w:val="00A6445E"/>
    <w:rsid w:val="00A644BD"/>
    <w:rsid w:val="00A64FAE"/>
    <w:rsid w:val="00A65287"/>
    <w:rsid w:val="00A65746"/>
    <w:rsid w:val="00A65755"/>
    <w:rsid w:val="00A673AB"/>
    <w:rsid w:val="00A67AEE"/>
    <w:rsid w:val="00A70085"/>
    <w:rsid w:val="00A70B72"/>
    <w:rsid w:val="00A73508"/>
    <w:rsid w:val="00A74965"/>
    <w:rsid w:val="00A7712E"/>
    <w:rsid w:val="00A7741B"/>
    <w:rsid w:val="00A77C3D"/>
    <w:rsid w:val="00A80A0E"/>
    <w:rsid w:val="00A81DE9"/>
    <w:rsid w:val="00A81FF7"/>
    <w:rsid w:val="00A822EC"/>
    <w:rsid w:val="00A835F5"/>
    <w:rsid w:val="00A836A9"/>
    <w:rsid w:val="00A8507C"/>
    <w:rsid w:val="00A852C4"/>
    <w:rsid w:val="00A85519"/>
    <w:rsid w:val="00A867E6"/>
    <w:rsid w:val="00A87811"/>
    <w:rsid w:val="00A8791C"/>
    <w:rsid w:val="00A87EF0"/>
    <w:rsid w:val="00A91CF7"/>
    <w:rsid w:val="00A92250"/>
    <w:rsid w:val="00A94429"/>
    <w:rsid w:val="00A94590"/>
    <w:rsid w:val="00A948BF"/>
    <w:rsid w:val="00A949E2"/>
    <w:rsid w:val="00A9556B"/>
    <w:rsid w:val="00A95637"/>
    <w:rsid w:val="00A95B87"/>
    <w:rsid w:val="00A95F7B"/>
    <w:rsid w:val="00A967D3"/>
    <w:rsid w:val="00A9709B"/>
    <w:rsid w:val="00A97AEC"/>
    <w:rsid w:val="00AA01F7"/>
    <w:rsid w:val="00AA165D"/>
    <w:rsid w:val="00AA1E21"/>
    <w:rsid w:val="00AA1FF5"/>
    <w:rsid w:val="00AA2D9D"/>
    <w:rsid w:val="00AA39B0"/>
    <w:rsid w:val="00AA3DD7"/>
    <w:rsid w:val="00AA75D4"/>
    <w:rsid w:val="00AA75DC"/>
    <w:rsid w:val="00AA79A1"/>
    <w:rsid w:val="00AA7E4C"/>
    <w:rsid w:val="00AB0310"/>
    <w:rsid w:val="00AB06C3"/>
    <w:rsid w:val="00AB0ED1"/>
    <w:rsid w:val="00AB1856"/>
    <w:rsid w:val="00AB2572"/>
    <w:rsid w:val="00AB3785"/>
    <w:rsid w:val="00AB3C22"/>
    <w:rsid w:val="00AB4721"/>
    <w:rsid w:val="00AB4D1E"/>
    <w:rsid w:val="00AB5FF8"/>
    <w:rsid w:val="00AB6091"/>
    <w:rsid w:val="00AB7618"/>
    <w:rsid w:val="00AB7DA0"/>
    <w:rsid w:val="00AC03B1"/>
    <w:rsid w:val="00AC03BE"/>
    <w:rsid w:val="00AC0A86"/>
    <w:rsid w:val="00AC0C5D"/>
    <w:rsid w:val="00AC27D8"/>
    <w:rsid w:val="00AC3A6A"/>
    <w:rsid w:val="00AC3B94"/>
    <w:rsid w:val="00AC42E4"/>
    <w:rsid w:val="00AC44F8"/>
    <w:rsid w:val="00AC4B70"/>
    <w:rsid w:val="00AC598D"/>
    <w:rsid w:val="00AC5A1C"/>
    <w:rsid w:val="00AC5A68"/>
    <w:rsid w:val="00AC6F82"/>
    <w:rsid w:val="00AC739B"/>
    <w:rsid w:val="00AC7E75"/>
    <w:rsid w:val="00AC7FC5"/>
    <w:rsid w:val="00AD0774"/>
    <w:rsid w:val="00AD0AE8"/>
    <w:rsid w:val="00AD1251"/>
    <w:rsid w:val="00AD1DCE"/>
    <w:rsid w:val="00AD2C66"/>
    <w:rsid w:val="00AD365F"/>
    <w:rsid w:val="00AD3BA1"/>
    <w:rsid w:val="00AD4D9F"/>
    <w:rsid w:val="00AD4FF5"/>
    <w:rsid w:val="00AD566F"/>
    <w:rsid w:val="00AD617C"/>
    <w:rsid w:val="00AD682C"/>
    <w:rsid w:val="00AD6DD7"/>
    <w:rsid w:val="00AD6F97"/>
    <w:rsid w:val="00AD7BC4"/>
    <w:rsid w:val="00AD7DDF"/>
    <w:rsid w:val="00AE07DA"/>
    <w:rsid w:val="00AE10AC"/>
    <w:rsid w:val="00AE1597"/>
    <w:rsid w:val="00AE1A74"/>
    <w:rsid w:val="00AE2077"/>
    <w:rsid w:val="00AE303D"/>
    <w:rsid w:val="00AE415B"/>
    <w:rsid w:val="00AE49C9"/>
    <w:rsid w:val="00AE4ACB"/>
    <w:rsid w:val="00AE5755"/>
    <w:rsid w:val="00AE5B84"/>
    <w:rsid w:val="00AE7EC6"/>
    <w:rsid w:val="00AF0E9D"/>
    <w:rsid w:val="00AF1F5D"/>
    <w:rsid w:val="00AF2034"/>
    <w:rsid w:val="00AF2BD4"/>
    <w:rsid w:val="00AF2D1E"/>
    <w:rsid w:val="00AF3ADA"/>
    <w:rsid w:val="00AF3C92"/>
    <w:rsid w:val="00AF4979"/>
    <w:rsid w:val="00AF4AEF"/>
    <w:rsid w:val="00AF51FC"/>
    <w:rsid w:val="00AF599A"/>
    <w:rsid w:val="00AF5C74"/>
    <w:rsid w:val="00AF5F82"/>
    <w:rsid w:val="00AF6CB0"/>
    <w:rsid w:val="00AF6F2E"/>
    <w:rsid w:val="00AF72C6"/>
    <w:rsid w:val="00B0072F"/>
    <w:rsid w:val="00B01423"/>
    <w:rsid w:val="00B02412"/>
    <w:rsid w:val="00B02819"/>
    <w:rsid w:val="00B04704"/>
    <w:rsid w:val="00B053FF"/>
    <w:rsid w:val="00B05C17"/>
    <w:rsid w:val="00B061AF"/>
    <w:rsid w:val="00B07342"/>
    <w:rsid w:val="00B07ABF"/>
    <w:rsid w:val="00B10719"/>
    <w:rsid w:val="00B108A4"/>
    <w:rsid w:val="00B11046"/>
    <w:rsid w:val="00B11217"/>
    <w:rsid w:val="00B1139B"/>
    <w:rsid w:val="00B11730"/>
    <w:rsid w:val="00B11B9A"/>
    <w:rsid w:val="00B11EE4"/>
    <w:rsid w:val="00B13DD8"/>
    <w:rsid w:val="00B14687"/>
    <w:rsid w:val="00B146B3"/>
    <w:rsid w:val="00B15452"/>
    <w:rsid w:val="00B1623A"/>
    <w:rsid w:val="00B170C9"/>
    <w:rsid w:val="00B17A39"/>
    <w:rsid w:val="00B21476"/>
    <w:rsid w:val="00B21935"/>
    <w:rsid w:val="00B21E3A"/>
    <w:rsid w:val="00B21F7F"/>
    <w:rsid w:val="00B23FEC"/>
    <w:rsid w:val="00B2470C"/>
    <w:rsid w:val="00B256BE"/>
    <w:rsid w:val="00B25EB9"/>
    <w:rsid w:val="00B275AD"/>
    <w:rsid w:val="00B3078E"/>
    <w:rsid w:val="00B3110C"/>
    <w:rsid w:val="00B31509"/>
    <w:rsid w:val="00B31A60"/>
    <w:rsid w:val="00B31BB3"/>
    <w:rsid w:val="00B325F4"/>
    <w:rsid w:val="00B32ACF"/>
    <w:rsid w:val="00B3321A"/>
    <w:rsid w:val="00B33916"/>
    <w:rsid w:val="00B33C9D"/>
    <w:rsid w:val="00B344F9"/>
    <w:rsid w:val="00B35095"/>
    <w:rsid w:val="00B3605A"/>
    <w:rsid w:val="00B36A9C"/>
    <w:rsid w:val="00B36FEA"/>
    <w:rsid w:val="00B37743"/>
    <w:rsid w:val="00B3775A"/>
    <w:rsid w:val="00B3776A"/>
    <w:rsid w:val="00B402CD"/>
    <w:rsid w:val="00B406BE"/>
    <w:rsid w:val="00B41924"/>
    <w:rsid w:val="00B41C8E"/>
    <w:rsid w:val="00B42F98"/>
    <w:rsid w:val="00B43372"/>
    <w:rsid w:val="00B43E2B"/>
    <w:rsid w:val="00B44736"/>
    <w:rsid w:val="00B4592C"/>
    <w:rsid w:val="00B4698C"/>
    <w:rsid w:val="00B476FB"/>
    <w:rsid w:val="00B5238D"/>
    <w:rsid w:val="00B52D24"/>
    <w:rsid w:val="00B53753"/>
    <w:rsid w:val="00B53BCA"/>
    <w:rsid w:val="00B54AE0"/>
    <w:rsid w:val="00B54C2F"/>
    <w:rsid w:val="00B54FFF"/>
    <w:rsid w:val="00B56112"/>
    <w:rsid w:val="00B566D5"/>
    <w:rsid w:val="00B56FFC"/>
    <w:rsid w:val="00B60ACA"/>
    <w:rsid w:val="00B61F8E"/>
    <w:rsid w:val="00B620AF"/>
    <w:rsid w:val="00B6246D"/>
    <w:rsid w:val="00B624D6"/>
    <w:rsid w:val="00B62813"/>
    <w:rsid w:val="00B62D29"/>
    <w:rsid w:val="00B6413E"/>
    <w:rsid w:val="00B642D8"/>
    <w:rsid w:val="00B647A9"/>
    <w:rsid w:val="00B65C18"/>
    <w:rsid w:val="00B66520"/>
    <w:rsid w:val="00B669AD"/>
    <w:rsid w:val="00B6797B"/>
    <w:rsid w:val="00B70AE3"/>
    <w:rsid w:val="00B71780"/>
    <w:rsid w:val="00B7272F"/>
    <w:rsid w:val="00B72EDB"/>
    <w:rsid w:val="00B7339A"/>
    <w:rsid w:val="00B739EC"/>
    <w:rsid w:val="00B73C6D"/>
    <w:rsid w:val="00B74C1D"/>
    <w:rsid w:val="00B7564E"/>
    <w:rsid w:val="00B75BF2"/>
    <w:rsid w:val="00B765B3"/>
    <w:rsid w:val="00B76B79"/>
    <w:rsid w:val="00B76BDB"/>
    <w:rsid w:val="00B777C2"/>
    <w:rsid w:val="00B77EBA"/>
    <w:rsid w:val="00B77F92"/>
    <w:rsid w:val="00B82084"/>
    <w:rsid w:val="00B8307A"/>
    <w:rsid w:val="00B83807"/>
    <w:rsid w:val="00B84067"/>
    <w:rsid w:val="00B848F8"/>
    <w:rsid w:val="00B84A39"/>
    <w:rsid w:val="00B8529F"/>
    <w:rsid w:val="00B85639"/>
    <w:rsid w:val="00B85C69"/>
    <w:rsid w:val="00B86607"/>
    <w:rsid w:val="00B8681B"/>
    <w:rsid w:val="00B90614"/>
    <w:rsid w:val="00B9075C"/>
    <w:rsid w:val="00B90F81"/>
    <w:rsid w:val="00B921D7"/>
    <w:rsid w:val="00B922AE"/>
    <w:rsid w:val="00B926AF"/>
    <w:rsid w:val="00B92C76"/>
    <w:rsid w:val="00B95099"/>
    <w:rsid w:val="00B9582E"/>
    <w:rsid w:val="00B96949"/>
    <w:rsid w:val="00B97053"/>
    <w:rsid w:val="00B9730E"/>
    <w:rsid w:val="00B97F42"/>
    <w:rsid w:val="00BA0519"/>
    <w:rsid w:val="00BA0C39"/>
    <w:rsid w:val="00BA1CB2"/>
    <w:rsid w:val="00BA1CB9"/>
    <w:rsid w:val="00BA395A"/>
    <w:rsid w:val="00BA40B7"/>
    <w:rsid w:val="00BA4397"/>
    <w:rsid w:val="00BA47B3"/>
    <w:rsid w:val="00BA538C"/>
    <w:rsid w:val="00BA581E"/>
    <w:rsid w:val="00BA5860"/>
    <w:rsid w:val="00BA6E9D"/>
    <w:rsid w:val="00BA721D"/>
    <w:rsid w:val="00BA7B0E"/>
    <w:rsid w:val="00BB00D2"/>
    <w:rsid w:val="00BB01D5"/>
    <w:rsid w:val="00BB020F"/>
    <w:rsid w:val="00BB06AF"/>
    <w:rsid w:val="00BB1793"/>
    <w:rsid w:val="00BB253B"/>
    <w:rsid w:val="00BB3C74"/>
    <w:rsid w:val="00BB46AD"/>
    <w:rsid w:val="00BB572D"/>
    <w:rsid w:val="00BB7003"/>
    <w:rsid w:val="00BB734A"/>
    <w:rsid w:val="00BB76EB"/>
    <w:rsid w:val="00BB7974"/>
    <w:rsid w:val="00BC03CA"/>
    <w:rsid w:val="00BC0A06"/>
    <w:rsid w:val="00BC0D6E"/>
    <w:rsid w:val="00BC1CA0"/>
    <w:rsid w:val="00BC2486"/>
    <w:rsid w:val="00BC273A"/>
    <w:rsid w:val="00BC28A4"/>
    <w:rsid w:val="00BC2A74"/>
    <w:rsid w:val="00BC3D28"/>
    <w:rsid w:val="00BC4638"/>
    <w:rsid w:val="00BC49D8"/>
    <w:rsid w:val="00BC49EA"/>
    <w:rsid w:val="00BC5355"/>
    <w:rsid w:val="00BC6C48"/>
    <w:rsid w:val="00BC6F10"/>
    <w:rsid w:val="00BC7189"/>
    <w:rsid w:val="00BC74D7"/>
    <w:rsid w:val="00BD016F"/>
    <w:rsid w:val="00BD0C9F"/>
    <w:rsid w:val="00BD1165"/>
    <w:rsid w:val="00BD1461"/>
    <w:rsid w:val="00BD1DD9"/>
    <w:rsid w:val="00BD2B19"/>
    <w:rsid w:val="00BD2C07"/>
    <w:rsid w:val="00BD2D14"/>
    <w:rsid w:val="00BD3A45"/>
    <w:rsid w:val="00BD49E8"/>
    <w:rsid w:val="00BD5064"/>
    <w:rsid w:val="00BD5385"/>
    <w:rsid w:val="00BD6D2C"/>
    <w:rsid w:val="00BD726A"/>
    <w:rsid w:val="00BE079A"/>
    <w:rsid w:val="00BE08D9"/>
    <w:rsid w:val="00BE0BA2"/>
    <w:rsid w:val="00BE1888"/>
    <w:rsid w:val="00BE19B0"/>
    <w:rsid w:val="00BE2085"/>
    <w:rsid w:val="00BE27CC"/>
    <w:rsid w:val="00BE2D84"/>
    <w:rsid w:val="00BE2F95"/>
    <w:rsid w:val="00BE4AAB"/>
    <w:rsid w:val="00BE4F39"/>
    <w:rsid w:val="00BE52AA"/>
    <w:rsid w:val="00BE685E"/>
    <w:rsid w:val="00BE692F"/>
    <w:rsid w:val="00BF0216"/>
    <w:rsid w:val="00BF0845"/>
    <w:rsid w:val="00BF08D2"/>
    <w:rsid w:val="00BF24B7"/>
    <w:rsid w:val="00BF270E"/>
    <w:rsid w:val="00BF340F"/>
    <w:rsid w:val="00BF3569"/>
    <w:rsid w:val="00BF37A7"/>
    <w:rsid w:val="00BF3B3A"/>
    <w:rsid w:val="00BF41D3"/>
    <w:rsid w:val="00BF4863"/>
    <w:rsid w:val="00BF7065"/>
    <w:rsid w:val="00BF78BE"/>
    <w:rsid w:val="00C003A2"/>
    <w:rsid w:val="00C00C4F"/>
    <w:rsid w:val="00C00C87"/>
    <w:rsid w:val="00C015A6"/>
    <w:rsid w:val="00C016D8"/>
    <w:rsid w:val="00C01DB2"/>
    <w:rsid w:val="00C02974"/>
    <w:rsid w:val="00C03225"/>
    <w:rsid w:val="00C05375"/>
    <w:rsid w:val="00C062C5"/>
    <w:rsid w:val="00C07260"/>
    <w:rsid w:val="00C07985"/>
    <w:rsid w:val="00C1011C"/>
    <w:rsid w:val="00C101D7"/>
    <w:rsid w:val="00C10D85"/>
    <w:rsid w:val="00C12974"/>
    <w:rsid w:val="00C12BD7"/>
    <w:rsid w:val="00C13D3A"/>
    <w:rsid w:val="00C1508A"/>
    <w:rsid w:val="00C1539D"/>
    <w:rsid w:val="00C158F5"/>
    <w:rsid w:val="00C1604C"/>
    <w:rsid w:val="00C16674"/>
    <w:rsid w:val="00C16891"/>
    <w:rsid w:val="00C170A7"/>
    <w:rsid w:val="00C179A2"/>
    <w:rsid w:val="00C20A57"/>
    <w:rsid w:val="00C21113"/>
    <w:rsid w:val="00C21987"/>
    <w:rsid w:val="00C2198E"/>
    <w:rsid w:val="00C21FD9"/>
    <w:rsid w:val="00C22557"/>
    <w:rsid w:val="00C22DAD"/>
    <w:rsid w:val="00C230ED"/>
    <w:rsid w:val="00C23766"/>
    <w:rsid w:val="00C24F95"/>
    <w:rsid w:val="00C25079"/>
    <w:rsid w:val="00C255D1"/>
    <w:rsid w:val="00C25C1D"/>
    <w:rsid w:val="00C2606D"/>
    <w:rsid w:val="00C319AF"/>
    <w:rsid w:val="00C3232D"/>
    <w:rsid w:val="00C3257C"/>
    <w:rsid w:val="00C330FF"/>
    <w:rsid w:val="00C3378F"/>
    <w:rsid w:val="00C3381F"/>
    <w:rsid w:val="00C34CFD"/>
    <w:rsid w:val="00C35391"/>
    <w:rsid w:val="00C35F5F"/>
    <w:rsid w:val="00C36DA3"/>
    <w:rsid w:val="00C37E01"/>
    <w:rsid w:val="00C400B5"/>
    <w:rsid w:val="00C40158"/>
    <w:rsid w:val="00C407E0"/>
    <w:rsid w:val="00C40B78"/>
    <w:rsid w:val="00C412CC"/>
    <w:rsid w:val="00C43115"/>
    <w:rsid w:val="00C431BE"/>
    <w:rsid w:val="00C435FA"/>
    <w:rsid w:val="00C44600"/>
    <w:rsid w:val="00C453AD"/>
    <w:rsid w:val="00C4602D"/>
    <w:rsid w:val="00C4621D"/>
    <w:rsid w:val="00C471D3"/>
    <w:rsid w:val="00C47527"/>
    <w:rsid w:val="00C5077A"/>
    <w:rsid w:val="00C50A6A"/>
    <w:rsid w:val="00C50DB7"/>
    <w:rsid w:val="00C51460"/>
    <w:rsid w:val="00C51AA5"/>
    <w:rsid w:val="00C524AC"/>
    <w:rsid w:val="00C5351F"/>
    <w:rsid w:val="00C53E40"/>
    <w:rsid w:val="00C5465D"/>
    <w:rsid w:val="00C557EE"/>
    <w:rsid w:val="00C55CA5"/>
    <w:rsid w:val="00C5607B"/>
    <w:rsid w:val="00C5685B"/>
    <w:rsid w:val="00C570A2"/>
    <w:rsid w:val="00C60664"/>
    <w:rsid w:val="00C60B61"/>
    <w:rsid w:val="00C61574"/>
    <w:rsid w:val="00C645E2"/>
    <w:rsid w:val="00C65232"/>
    <w:rsid w:val="00C6674B"/>
    <w:rsid w:val="00C67689"/>
    <w:rsid w:val="00C67D1F"/>
    <w:rsid w:val="00C67E5D"/>
    <w:rsid w:val="00C702C1"/>
    <w:rsid w:val="00C703AD"/>
    <w:rsid w:val="00C70B20"/>
    <w:rsid w:val="00C70C3A"/>
    <w:rsid w:val="00C70E1C"/>
    <w:rsid w:val="00C722A1"/>
    <w:rsid w:val="00C74E37"/>
    <w:rsid w:val="00C80AEE"/>
    <w:rsid w:val="00C811FC"/>
    <w:rsid w:val="00C8233D"/>
    <w:rsid w:val="00C82440"/>
    <w:rsid w:val="00C82535"/>
    <w:rsid w:val="00C831D5"/>
    <w:rsid w:val="00C83411"/>
    <w:rsid w:val="00C836C7"/>
    <w:rsid w:val="00C83B76"/>
    <w:rsid w:val="00C84CDC"/>
    <w:rsid w:val="00C84D0E"/>
    <w:rsid w:val="00C8560A"/>
    <w:rsid w:val="00C86A40"/>
    <w:rsid w:val="00C87407"/>
    <w:rsid w:val="00C8745F"/>
    <w:rsid w:val="00C875F8"/>
    <w:rsid w:val="00C8767B"/>
    <w:rsid w:val="00C87DA2"/>
    <w:rsid w:val="00C87F28"/>
    <w:rsid w:val="00C87FEB"/>
    <w:rsid w:val="00C903DA"/>
    <w:rsid w:val="00C903FF"/>
    <w:rsid w:val="00C90714"/>
    <w:rsid w:val="00C915AF"/>
    <w:rsid w:val="00C91B3D"/>
    <w:rsid w:val="00C92CA1"/>
    <w:rsid w:val="00C92D64"/>
    <w:rsid w:val="00C93202"/>
    <w:rsid w:val="00C93592"/>
    <w:rsid w:val="00C93CD2"/>
    <w:rsid w:val="00C94291"/>
    <w:rsid w:val="00C94306"/>
    <w:rsid w:val="00C948A7"/>
    <w:rsid w:val="00C958C3"/>
    <w:rsid w:val="00C9724B"/>
    <w:rsid w:val="00C97F4B"/>
    <w:rsid w:val="00CA065D"/>
    <w:rsid w:val="00CA1923"/>
    <w:rsid w:val="00CA34EE"/>
    <w:rsid w:val="00CA3D48"/>
    <w:rsid w:val="00CA40E2"/>
    <w:rsid w:val="00CA522B"/>
    <w:rsid w:val="00CA5C73"/>
    <w:rsid w:val="00CA5D02"/>
    <w:rsid w:val="00CA5EC8"/>
    <w:rsid w:val="00CA61F4"/>
    <w:rsid w:val="00CA745E"/>
    <w:rsid w:val="00CB001A"/>
    <w:rsid w:val="00CB00B8"/>
    <w:rsid w:val="00CB168A"/>
    <w:rsid w:val="00CB1717"/>
    <w:rsid w:val="00CB1924"/>
    <w:rsid w:val="00CB1E5F"/>
    <w:rsid w:val="00CB1F2D"/>
    <w:rsid w:val="00CB2DD0"/>
    <w:rsid w:val="00CB4755"/>
    <w:rsid w:val="00CB480B"/>
    <w:rsid w:val="00CB6057"/>
    <w:rsid w:val="00CB68FB"/>
    <w:rsid w:val="00CB6FC3"/>
    <w:rsid w:val="00CB74EF"/>
    <w:rsid w:val="00CB7772"/>
    <w:rsid w:val="00CB7FC7"/>
    <w:rsid w:val="00CC24F6"/>
    <w:rsid w:val="00CC3590"/>
    <w:rsid w:val="00CC3B30"/>
    <w:rsid w:val="00CC5D7C"/>
    <w:rsid w:val="00CC7BD3"/>
    <w:rsid w:val="00CD0D5A"/>
    <w:rsid w:val="00CD197F"/>
    <w:rsid w:val="00CD2980"/>
    <w:rsid w:val="00CD2DCB"/>
    <w:rsid w:val="00CD2FB3"/>
    <w:rsid w:val="00CD379D"/>
    <w:rsid w:val="00CD3AF1"/>
    <w:rsid w:val="00CD3E4D"/>
    <w:rsid w:val="00CD55CC"/>
    <w:rsid w:val="00CD573B"/>
    <w:rsid w:val="00CD5BAD"/>
    <w:rsid w:val="00CD601C"/>
    <w:rsid w:val="00CD625A"/>
    <w:rsid w:val="00CD65AB"/>
    <w:rsid w:val="00CD6B64"/>
    <w:rsid w:val="00CD6C75"/>
    <w:rsid w:val="00CD721B"/>
    <w:rsid w:val="00CD7DAB"/>
    <w:rsid w:val="00CE00F6"/>
    <w:rsid w:val="00CE05E7"/>
    <w:rsid w:val="00CE09F6"/>
    <w:rsid w:val="00CE12E9"/>
    <w:rsid w:val="00CE14AC"/>
    <w:rsid w:val="00CE1C09"/>
    <w:rsid w:val="00CE2153"/>
    <w:rsid w:val="00CE39C1"/>
    <w:rsid w:val="00CE4239"/>
    <w:rsid w:val="00CE53E8"/>
    <w:rsid w:val="00CE56EB"/>
    <w:rsid w:val="00CE6352"/>
    <w:rsid w:val="00CE73FB"/>
    <w:rsid w:val="00CE797F"/>
    <w:rsid w:val="00CF05F7"/>
    <w:rsid w:val="00CF0633"/>
    <w:rsid w:val="00CF1865"/>
    <w:rsid w:val="00CF207A"/>
    <w:rsid w:val="00CF2991"/>
    <w:rsid w:val="00CF38DD"/>
    <w:rsid w:val="00CF42F7"/>
    <w:rsid w:val="00CF5902"/>
    <w:rsid w:val="00CF687B"/>
    <w:rsid w:val="00CF74D4"/>
    <w:rsid w:val="00CF7A8E"/>
    <w:rsid w:val="00D00A46"/>
    <w:rsid w:val="00D012A4"/>
    <w:rsid w:val="00D0299D"/>
    <w:rsid w:val="00D02A0C"/>
    <w:rsid w:val="00D02B25"/>
    <w:rsid w:val="00D03721"/>
    <w:rsid w:val="00D042F0"/>
    <w:rsid w:val="00D0508F"/>
    <w:rsid w:val="00D057A7"/>
    <w:rsid w:val="00D061DB"/>
    <w:rsid w:val="00D06B5C"/>
    <w:rsid w:val="00D0748E"/>
    <w:rsid w:val="00D07887"/>
    <w:rsid w:val="00D07BCE"/>
    <w:rsid w:val="00D10939"/>
    <w:rsid w:val="00D10FCD"/>
    <w:rsid w:val="00D11349"/>
    <w:rsid w:val="00D12A55"/>
    <w:rsid w:val="00D12BB9"/>
    <w:rsid w:val="00D13EF9"/>
    <w:rsid w:val="00D14B83"/>
    <w:rsid w:val="00D1515B"/>
    <w:rsid w:val="00D15241"/>
    <w:rsid w:val="00D15C25"/>
    <w:rsid w:val="00D17D9F"/>
    <w:rsid w:val="00D17DA4"/>
    <w:rsid w:val="00D224DB"/>
    <w:rsid w:val="00D23797"/>
    <w:rsid w:val="00D25381"/>
    <w:rsid w:val="00D255D5"/>
    <w:rsid w:val="00D259ED"/>
    <w:rsid w:val="00D2635B"/>
    <w:rsid w:val="00D27035"/>
    <w:rsid w:val="00D27B65"/>
    <w:rsid w:val="00D301AC"/>
    <w:rsid w:val="00D30442"/>
    <w:rsid w:val="00D3057F"/>
    <w:rsid w:val="00D31B03"/>
    <w:rsid w:val="00D31D63"/>
    <w:rsid w:val="00D325E7"/>
    <w:rsid w:val="00D32C44"/>
    <w:rsid w:val="00D33081"/>
    <w:rsid w:val="00D339DE"/>
    <w:rsid w:val="00D33CC9"/>
    <w:rsid w:val="00D34424"/>
    <w:rsid w:val="00D34801"/>
    <w:rsid w:val="00D3618F"/>
    <w:rsid w:val="00D37E51"/>
    <w:rsid w:val="00D43629"/>
    <w:rsid w:val="00D437C2"/>
    <w:rsid w:val="00D44664"/>
    <w:rsid w:val="00D458B9"/>
    <w:rsid w:val="00D46FFD"/>
    <w:rsid w:val="00D47089"/>
    <w:rsid w:val="00D47AA5"/>
    <w:rsid w:val="00D503E7"/>
    <w:rsid w:val="00D50F43"/>
    <w:rsid w:val="00D520F2"/>
    <w:rsid w:val="00D5299C"/>
    <w:rsid w:val="00D52F51"/>
    <w:rsid w:val="00D53320"/>
    <w:rsid w:val="00D54177"/>
    <w:rsid w:val="00D54216"/>
    <w:rsid w:val="00D556D8"/>
    <w:rsid w:val="00D56D74"/>
    <w:rsid w:val="00D60A41"/>
    <w:rsid w:val="00D61205"/>
    <w:rsid w:val="00D61CB8"/>
    <w:rsid w:val="00D6271F"/>
    <w:rsid w:val="00D634F9"/>
    <w:rsid w:val="00D6395F"/>
    <w:rsid w:val="00D640A7"/>
    <w:rsid w:val="00D642F1"/>
    <w:rsid w:val="00D65276"/>
    <w:rsid w:val="00D653D8"/>
    <w:rsid w:val="00D65D01"/>
    <w:rsid w:val="00D65D48"/>
    <w:rsid w:val="00D65E3C"/>
    <w:rsid w:val="00D65E53"/>
    <w:rsid w:val="00D66050"/>
    <w:rsid w:val="00D6750A"/>
    <w:rsid w:val="00D67F1A"/>
    <w:rsid w:val="00D67FE9"/>
    <w:rsid w:val="00D7098C"/>
    <w:rsid w:val="00D710F1"/>
    <w:rsid w:val="00D71755"/>
    <w:rsid w:val="00D71B07"/>
    <w:rsid w:val="00D71B6B"/>
    <w:rsid w:val="00D72629"/>
    <w:rsid w:val="00D732C5"/>
    <w:rsid w:val="00D7385D"/>
    <w:rsid w:val="00D75168"/>
    <w:rsid w:val="00D752A6"/>
    <w:rsid w:val="00D756CC"/>
    <w:rsid w:val="00D756E7"/>
    <w:rsid w:val="00D759D1"/>
    <w:rsid w:val="00D76453"/>
    <w:rsid w:val="00D76723"/>
    <w:rsid w:val="00D76EAA"/>
    <w:rsid w:val="00D7720D"/>
    <w:rsid w:val="00D77743"/>
    <w:rsid w:val="00D77933"/>
    <w:rsid w:val="00D809A8"/>
    <w:rsid w:val="00D80ACF"/>
    <w:rsid w:val="00D80F74"/>
    <w:rsid w:val="00D81544"/>
    <w:rsid w:val="00D818B2"/>
    <w:rsid w:val="00D8272A"/>
    <w:rsid w:val="00D8290B"/>
    <w:rsid w:val="00D82CF1"/>
    <w:rsid w:val="00D82E97"/>
    <w:rsid w:val="00D8348B"/>
    <w:rsid w:val="00D8385F"/>
    <w:rsid w:val="00D8399D"/>
    <w:rsid w:val="00D83F53"/>
    <w:rsid w:val="00D84416"/>
    <w:rsid w:val="00D84547"/>
    <w:rsid w:val="00D84A5A"/>
    <w:rsid w:val="00D850ED"/>
    <w:rsid w:val="00D85A1D"/>
    <w:rsid w:val="00D865A8"/>
    <w:rsid w:val="00D86AFE"/>
    <w:rsid w:val="00D86C5C"/>
    <w:rsid w:val="00D8761B"/>
    <w:rsid w:val="00D8771E"/>
    <w:rsid w:val="00D8777D"/>
    <w:rsid w:val="00D90103"/>
    <w:rsid w:val="00D906F8"/>
    <w:rsid w:val="00D914C7"/>
    <w:rsid w:val="00D93172"/>
    <w:rsid w:val="00D93318"/>
    <w:rsid w:val="00D9595D"/>
    <w:rsid w:val="00D95CE1"/>
    <w:rsid w:val="00D9673D"/>
    <w:rsid w:val="00D96B4F"/>
    <w:rsid w:val="00D97451"/>
    <w:rsid w:val="00DA02E4"/>
    <w:rsid w:val="00DA11A4"/>
    <w:rsid w:val="00DA16F7"/>
    <w:rsid w:val="00DA17EC"/>
    <w:rsid w:val="00DA1F4D"/>
    <w:rsid w:val="00DA26A6"/>
    <w:rsid w:val="00DA2BF0"/>
    <w:rsid w:val="00DA31DC"/>
    <w:rsid w:val="00DA3C22"/>
    <w:rsid w:val="00DA5849"/>
    <w:rsid w:val="00DA5D0A"/>
    <w:rsid w:val="00DA6052"/>
    <w:rsid w:val="00DA6AF4"/>
    <w:rsid w:val="00DA6B0C"/>
    <w:rsid w:val="00DA7F27"/>
    <w:rsid w:val="00DB078E"/>
    <w:rsid w:val="00DB2172"/>
    <w:rsid w:val="00DB25FA"/>
    <w:rsid w:val="00DB2F07"/>
    <w:rsid w:val="00DB3059"/>
    <w:rsid w:val="00DB3280"/>
    <w:rsid w:val="00DB42D4"/>
    <w:rsid w:val="00DB44B2"/>
    <w:rsid w:val="00DB5571"/>
    <w:rsid w:val="00DB55CF"/>
    <w:rsid w:val="00DB6704"/>
    <w:rsid w:val="00DB6912"/>
    <w:rsid w:val="00DB6C9F"/>
    <w:rsid w:val="00DB6D9B"/>
    <w:rsid w:val="00DB6F89"/>
    <w:rsid w:val="00DC08D5"/>
    <w:rsid w:val="00DC1B53"/>
    <w:rsid w:val="00DC3471"/>
    <w:rsid w:val="00DC525E"/>
    <w:rsid w:val="00DC5B42"/>
    <w:rsid w:val="00DC680D"/>
    <w:rsid w:val="00DC68C7"/>
    <w:rsid w:val="00DC77EB"/>
    <w:rsid w:val="00DC7C57"/>
    <w:rsid w:val="00DD05AD"/>
    <w:rsid w:val="00DD11B3"/>
    <w:rsid w:val="00DD1401"/>
    <w:rsid w:val="00DD14E3"/>
    <w:rsid w:val="00DD1F4A"/>
    <w:rsid w:val="00DD1F9F"/>
    <w:rsid w:val="00DD2891"/>
    <w:rsid w:val="00DD3316"/>
    <w:rsid w:val="00DD3B19"/>
    <w:rsid w:val="00DD5EB4"/>
    <w:rsid w:val="00DD6E30"/>
    <w:rsid w:val="00DD751F"/>
    <w:rsid w:val="00DE06BA"/>
    <w:rsid w:val="00DE0750"/>
    <w:rsid w:val="00DE1A22"/>
    <w:rsid w:val="00DE1C5C"/>
    <w:rsid w:val="00DE2939"/>
    <w:rsid w:val="00DE4615"/>
    <w:rsid w:val="00DE4CB3"/>
    <w:rsid w:val="00DE53E5"/>
    <w:rsid w:val="00DE5AC3"/>
    <w:rsid w:val="00DE6B87"/>
    <w:rsid w:val="00DE75A7"/>
    <w:rsid w:val="00DF0B5A"/>
    <w:rsid w:val="00DF139F"/>
    <w:rsid w:val="00DF1BAD"/>
    <w:rsid w:val="00DF362B"/>
    <w:rsid w:val="00DF397B"/>
    <w:rsid w:val="00DF3DBD"/>
    <w:rsid w:val="00DF504D"/>
    <w:rsid w:val="00DF63C0"/>
    <w:rsid w:val="00DF64BF"/>
    <w:rsid w:val="00DF7583"/>
    <w:rsid w:val="00DF7656"/>
    <w:rsid w:val="00E000DE"/>
    <w:rsid w:val="00E00332"/>
    <w:rsid w:val="00E00997"/>
    <w:rsid w:val="00E00A92"/>
    <w:rsid w:val="00E00FAB"/>
    <w:rsid w:val="00E032EF"/>
    <w:rsid w:val="00E03506"/>
    <w:rsid w:val="00E0403D"/>
    <w:rsid w:val="00E04986"/>
    <w:rsid w:val="00E04A9D"/>
    <w:rsid w:val="00E04BFC"/>
    <w:rsid w:val="00E04F02"/>
    <w:rsid w:val="00E05502"/>
    <w:rsid w:val="00E0596A"/>
    <w:rsid w:val="00E0667E"/>
    <w:rsid w:val="00E077AF"/>
    <w:rsid w:val="00E07BAD"/>
    <w:rsid w:val="00E10309"/>
    <w:rsid w:val="00E106CB"/>
    <w:rsid w:val="00E120EF"/>
    <w:rsid w:val="00E12274"/>
    <w:rsid w:val="00E137A5"/>
    <w:rsid w:val="00E13E96"/>
    <w:rsid w:val="00E1414F"/>
    <w:rsid w:val="00E1471B"/>
    <w:rsid w:val="00E14D56"/>
    <w:rsid w:val="00E14F2F"/>
    <w:rsid w:val="00E15861"/>
    <w:rsid w:val="00E162F3"/>
    <w:rsid w:val="00E167CF"/>
    <w:rsid w:val="00E16DAC"/>
    <w:rsid w:val="00E20C11"/>
    <w:rsid w:val="00E211FF"/>
    <w:rsid w:val="00E2184A"/>
    <w:rsid w:val="00E2213B"/>
    <w:rsid w:val="00E249B8"/>
    <w:rsid w:val="00E24DAA"/>
    <w:rsid w:val="00E251BC"/>
    <w:rsid w:val="00E251D6"/>
    <w:rsid w:val="00E25454"/>
    <w:rsid w:val="00E25AA0"/>
    <w:rsid w:val="00E26A84"/>
    <w:rsid w:val="00E27C21"/>
    <w:rsid w:val="00E27D25"/>
    <w:rsid w:val="00E3018E"/>
    <w:rsid w:val="00E30884"/>
    <w:rsid w:val="00E31751"/>
    <w:rsid w:val="00E31B16"/>
    <w:rsid w:val="00E31E49"/>
    <w:rsid w:val="00E31FAE"/>
    <w:rsid w:val="00E32E1C"/>
    <w:rsid w:val="00E36165"/>
    <w:rsid w:val="00E36423"/>
    <w:rsid w:val="00E41920"/>
    <w:rsid w:val="00E42CE3"/>
    <w:rsid w:val="00E42F7F"/>
    <w:rsid w:val="00E438D6"/>
    <w:rsid w:val="00E43E5A"/>
    <w:rsid w:val="00E44F8E"/>
    <w:rsid w:val="00E46463"/>
    <w:rsid w:val="00E473C0"/>
    <w:rsid w:val="00E47804"/>
    <w:rsid w:val="00E47DE4"/>
    <w:rsid w:val="00E513DD"/>
    <w:rsid w:val="00E51C1E"/>
    <w:rsid w:val="00E51DCB"/>
    <w:rsid w:val="00E5267B"/>
    <w:rsid w:val="00E52D69"/>
    <w:rsid w:val="00E547CC"/>
    <w:rsid w:val="00E55277"/>
    <w:rsid w:val="00E5770B"/>
    <w:rsid w:val="00E5779A"/>
    <w:rsid w:val="00E57D9A"/>
    <w:rsid w:val="00E60295"/>
    <w:rsid w:val="00E60650"/>
    <w:rsid w:val="00E6117C"/>
    <w:rsid w:val="00E61685"/>
    <w:rsid w:val="00E620CE"/>
    <w:rsid w:val="00E629F8"/>
    <w:rsid w:val="00E63105"/>
    <w:rsid w:val="00E6314E"/>
    <w:rsid w:val="00E633EC"/>
    <w:rsid w:val="00E63D6E"/>
    <w:rsid w:val="00E63DFE"/>
    <w:rsid w:val="00E645CA"/>
    <w:rsid w:val="00E64B4D"/>
    <w:rsid w:val="00E653FF"/>
    <w:rsid w:val="00E65971"/>
    <w:rsid w:val="00E66B0A"/>
    <w:rsid w:val="00E67314"/>
    <w:rsid w:val="00E70152"/>
    <w:rsid w:val="00E706BE"/>
    <w:rsid w:val="00E7266A"/>
    <w:rsid w:val="00E72B52"/>
    <w:rsid w:val="00E72D2D"/>
    <w:rsid w:val="00E73168"/>
    <w:rsid w:val="00E736C3"/>
    <w:rsid w:val="00E74641"/>
    <w:rsid w:val="00E74B22"/>
    <w:rsid w:val="00E74F37"/>
    <w:rsid w:val="00E775B5"/>
    <w:rsid w:val="00E77958"/>
    <w:rsid w:val="00E810C0"/>
    <w:rsid w:val="00E8178E"/>
    <w:rsid w:val="00E81E2A"/>
    <w:rsid w:val="00E83545"/>
    <w:rsid w:val="00E83BAA"/>
    <w:rsid w:val="00E84012"/>
    <w:rsid w:val="00E841E9"/>
    <w:rsid w:val="00E8535A"/>
    <w:rsid w:val="00E8547B"/>
    <w:rsid w:val="00E86593"/>
    <w:rsid w:val="00E86CC5"/>
    <w:rsid w:val="00E86E17"/>
    <w:rsid w:val="00E8702A"/>
    <w:rsid w:val="00E87305"/>
    <w:rsid w:val="00E87AB9"/>
    <w:rsid w:val="00E87F66"/>
    <w:rsid w:val="00E9114D"/>
    <w:rsid w:val="00E9127F"/>
    <w:rsid w:val="00E9168F"/>
    <w:rsid w:val="00E923DC"/>
    <w:rsid w:val="00E92AAC"/>
    <w:rsid w:val="00E92C43"/>
    <w:rsid w:val="00E93129"/>
    <w:rsid w:val="00E94166"/>
    <w:rsid w:val="00E9554D"/>
    <w:rsid w:val="00E9598A"/>
    <w:rsid w:val="00E973D6"/>
    <w:rsid w:val="00E975AF"/>
    <w:rsid w:val="00E9793A"/>
    <w:rsid w:val="00EA137D"/>
    <w:rsid w:val="00EA276D"/>
    <w:rsid w:val="00EA3035"/>
    <w:rsid w:val="00EA340D"/>
    <w:rsid w:val="00EA3EF7"/>
    <w:rsid w:val="00EA4426"/>
    <w:rsid w:val="00EA5999"/>
    <w:rsid w:val="00EA62B3"/>
    <w:rsid w:val="00EA63B3"/>
    <w:rsid w:val="00EA65F2"/>
    <w:rsid w:val="00EA6795"/>
    <w:rsid w:val="00EA6A80"/>
    <w:rsid w:val="00EA6EE3"/>
    <w:rsid w:val="00EA7666"/>
    <w:rsid w:val="00EA7C92"/>
    <w:rsid w:val="00EA7FC1"/>
    <w:rsid w:val="00EB0BD3"/>
    <w:rsid w:val="00EB0E92"/>
    <w:rsid w:val="00EB0F3C"/>
    <w:rsid w:val="00EB1A00"/>
    <w:rsid w:val="00EB1E2D"/>
    <w:rsid w:val="00EB1EFB"/>
    <w:rsid w:val="00EB2FDB"/>
    <w:rsid w:val="00EB4CA2"/>
    <w:rsid w:val="00EB5E63"/>
    <w:rsid w:val="00EB6BF8"/>
    <w:rsid w:val="00EB72BD"/>
    <w:rsid w:val="00EB7549"/>
    <w:rsid w:val="00EC1767"/>
    <w:rsid w:val="00EC302F"/>
    <w:rsid w:val="00EC4597"/>
    <w:rsid w:val="00EC4D86"/>
    <w:rsid w:val="00EC533A"/>
    <w:rsid w:val="00EC5369"/>
    <w:rsid w:val="00EC711C"/>
    <w:rsid w:val="00EC76E1"/>
    <w:rsid w:val="00ED183A"/>
    <w:rsid w:val="00ED2FF4"/>
    <w:rsid w:val="00ED37FE"/>
    <w:rsid w:val="00ED452A"/>
    <w:rsid w:val="00ED45D8"/>
    <w:rsid w:val="00ED46BE"/>
    <w:rsid w:val="00ED489D"/>
    <w:rsid w:val="00ED4B23"/>
    <w:rsid w:val="00ED55E0"/>
    <w:rsid w:val="00ED64C2"/>
    <w:rsid w:val="00ED6549"/>
    <w:rsid w:val="00ED7388"/>
    <w:rsid w:val="00ED7D95"/>
    <w:rsid w:val="00EE08EA"/>
    <w:rsid w:val="00EE2EB8"/>
    <w:rsid w:val="00EE3118"/>
    <w:rsid w:val="00EE410F"/>
    <w:rsid w:val="00EE4944"/>
    <w:rsid w:val="00EE5643"/>
    <w:rsid w:val="00EE5DAF"/>
    <w:rsid w:val="00EE60C0"/>
    <w:rsid w:val="00EE6A96"/>
    <w:rsid w:val="00EE7D0D"/>
    <w:rsid w:val="00EF0040"/>
    <w:rsid w:val="00EF0CE7"/>
    <w:rsid w:val="00EF18C0"/>
    <w:rsid w:val="00EF23BB"/>
    <w:rsid w:val="00EF3B2F"/>
    <w:rsid w:val="00EF48E9"/>
    <w:rsid w:val="00EF4CDF"/>
    <w:rsid w:val="00EF58A2"/>
    <w:rsid w:val="00EF6A1C"/>
    <w:rsid w:val="00EF7589"/>
    <w:rsid w:val="00EF75AD"/>
    <w:rsid w:val="00EF79A7"/>
    <w:rsid w:val="00EF7EEF"/>
    <w:rsid w:val="00F00524"/>
    <w:rsid w:val="00F00643"/>
    <w:rsid w:val="00F007D0"/>
    <w:rsid w:val="00F00EDE"/>
    <w:rsid w:val="00F01400"/>
    <w:rsid w:val="00F0189E"/>
    <w:rsid w:val="00F02C6E"/>
    <w:rsid w:val="00F04B43"/>
    <w:rsid w:val="00F04E7D"/>
    <w:rsid w:val="00F05C46"/>
    <w:rsid w:val="00F05C5E"/>
    <w:rsid w:val="00F062A8"/>
    <w:rsid w:val="00F06479"/>
    <w:rsid w:val="00F07D23"/>
    <w:rsid w:val="00F07E9A"/>
    <w:rsid w:val="00F10544"/>
    <w:rsid w:val="00F10B94"/>
    <w:rsid w:val="00F10E43"/>
    <w:rsid w:val="00F1121E"/>
    <w:rsid w:val="00F116C2"/>
    <w:rsid w:val="00F1194E"/>
    <w:rsid w:val="00F11F9B"/>
    <w:rsid w:val="00F120FC"/>
    <w:rsid w:val="00F12832"/>
    <w:rsid w:val="00F12861"/>
    <w:rsid w:val="00F12C74"/>
    <w:rsid w:val="00F13F1B"/>
    <w:rsid w:val="00F14021"/>
    <w:rsid w:val="00F14394"/>
    <w:rsid w:val="00F151A7"/>
    <w:rsid w:val="00F15CA1"/>
    <w:rsid w:val="00F16B71"/>
    <w:rsid w:val="00F175C6"/>
    <w:rsid w:val="00F21212"/>
    <w:rsid w:val="00F2145D"/>
    <w:rsid w:val="00F21666"/>
    <w:rsid w:val="00F23179"/>
    <w:rsid w:val="00F24F34"/>
    <w:rsid w:val="00F25647"/>
    <w:rsid w:val="00F25802"/>
    <w:rsid w:val="00F2718A"/>
    <w:rsid w:val="00F276DD"/>
    <w:rsid w:val="00F300E5"/>
    <w:rsid w:val="00F302E9"/>
    <w:rsid w:val="00F30E37"/>
    <w:rsid w:val="00F31DD6"/>
    <w:rsid w:val="00F32D9D"/>
    <w:rsid w:val="00F332D8"/>
    <w:rsid w:val="00F336A0"/>
    <w:rsid w:val="00F363C3"/>
    <w:rsid w:val="00F36D66"/>
    <w:rsid w:val="00F405B4"/>
    <w:rsid w:val="00F405D9"/>
    <w:rsid w:val="00F40B0B"/>
    <w:rsid w:val="00F40B79"/>
    <w:rsid w:val="00F40D47"/>
    <w:rsid w:val="00F40FC0"/>
    <w:rsid w:val="00F42045"/>
    <w:rsid w:val="00F42F5A"/>
    <w:rsid w:val="00F4316A"/>
    <w:rsid w:val="00F43FB4"/>
    <w:rsid w:val="00F44571"/>
    <w:rsid w:val="00F44DEA"/>
    <w:rsid w:val="00F45146"/>
    <w:rsid w:val="00F4641D"/>
    <w:rsid w:val="00F470B6"/>
    <w:rsid w:val="00F47655"/>
    <w:rsid w:val="00F47670"/>
    <w:rsid w:val="00F47B8A"/>
    <w:rsid w:val="00F47CAA"/>
    <w:rsid w:val="00F50163"/>
    <w:rsid w:val="00F507A9"/>
    <w:rsid w:val="00F51634"/>
    <w:rsid w:val="00F52257"/>
    <w:rsid w:val="00F534E9"/>
    <w:rsid w:val="00F538D8"/>
    <w:rsid w:val="00F53F45"/>
    <w:rsid w:val="00F54310"/>
    <w:rsid w:val="00F60849"/>
    <w:rsid w:val="00F6151C"/>
    <w:rsid w:val="00F6197D"/>
    <w:rsid w:val="00F629BD"/>
    <w:rsid w:val="00F63227"/>
    <w:rsid w:val="00F6356E"/>
    <w:rsid w:val="00F63807"/>
    <w:rsid w:val="00F63FD8"/>
    <w:rsid w:val="00F649F2"/>
    <w:rsid w:val="00F65319"/>
    <w:rsid w:val="00F6564F"/>
    <w:rsid w:val="00F65AAF"/>
    <w:rsid w:val="00F65D71"/>
    <w:rsid w:val="00F65DDC"/>
    <w:rsid w:val="00F6636E"/>
    <w:rsid w:val="00F66F02"/>
    <w:rsid w:val="00F70CAE"/>
    <w:rsid w:val="00F71247"/>
    <w:rsid w:val="00F72D89"/>
    <w:rsid w:val="00F74D7E"/>
    <w:rsid w:val="00F74EF3"/>
    <w:rsid w:val="00F7620D"/>
    <w:rsid w:val="00F7687B"/>
    <w:rsid w:val="00F776C2"/>
    <w:rsid w:val="00F77A9B"/>
    <w:rsid w:val="00F80122"/>
    <w:rsid w:val="00F81CB4"/>
    <w:rsid w:val="00F82907"/>
    <w:rsid w:val="00F82C76"/>
    <w:rsid w:val="00F83BB4"/>
    <w:rsid w:val="00F85571"/>
    <w:rsid w:val="00F85A26"/>
    <w:rsid w:val="00F87057"/>
    <w:rsid w:val="00F8727D"/>
    <w:rsid w:val="00F87FAC"/>
    <w:rsid w:val="00F906CC"/>
    <w:rsid w:val="00F90EE3"/>
    <w:rsid w:val="00F92259"/>
    <w:rsid w:val="00F9231B"/>
    <w:rsid w:val="00F92326"/>
    <w:rsid w:val="00F93E3F"/>
    <w:rsid w:val="00F9582D"/>
    <w:rsid w:val="00F95BC8"/>
    <w:rsid w:val="00F97511"/>
    <w:rsid w:val="00F9768E"/>
    <w:rsid w:val="00FA2B7C"/>
    <w:rsid w:val="00FA314C"/>
    <w:rsid w:val="00FA39CF"/>
    <w:rsid w:val="00FA5388"/>
    <w:rsid w:val="00FA6420"/>
    <w:rsid w:val="00FA71B2"/>
    <w:rsid w:val="00FA71FF"/>
    <w:rsid w:val="00FA75D1"/>
    <w:rsid w:val="00FA78C8"/>
    <w:rsid w:val="00FA7FD2"/>
    <w:rsid w:val="00FB02F2"/>
    <w:rsid w:val="00FB2169"/>
    <w:rsid w:val="00FB4183"/>
    <w:rsid w:val="00FB5BBE"/>
    <w:rsid w:val="00FB5FC6"/>
    <w:rsid w:val="00FB6BEC"/>
    <w:rsid w:val="00FB7575"/>
    <w:rsid w:val="00FB7876"/>
    <w:rsid w:val="00FB7E3D"/>
    <w:rsid w:val="00FC00B1"/>
    <w:rsid w:val="00FC05A3"/>
    <w:rsid w:val="00FC0E29"/>
    <w:rsid w:val="00FC0E42"/>
    <w:rsid w:val="00FC1180"/>
    <w:rsid w:val="00FC119D"/>
    <w:rsid w:val="00FC2C49"/>
    <w:rsid w:val="00FC354D"/>
    <w:rsid w:val="00FC3A62"/>
    <w:rsid w:val="00FC3B40"/>
    <w:rsid w:val="00FC3F05"/>
    <w:rsid w:val="00FC47A6"/>
    <w:rsid w:val="00FC53E9"/>
    <w:rsid w:val="00FC6E46"/>
    <w:rsid w:val="00FC704D"/>
    <w:rsid w:val="00FC71F0"/>
    <w:rsid w:val="00FC723D"/>
    <w:rsid w:val="00FC7C50"/>
    <w:rsid w:val="00FD0230"/>
    <w:rsid w:val="00FD0265"/>
    <w:rsid w:val="00FD0B8C"/>
    <w:rsid w:val="00FD177F"/>
    <w:rsid w:val="00FD1976"/>
    <w:rsid w:val="00FD1E19"/>
    <w:rsid w:val="00FD237C"/>
    <w:rsid w:val="00FD251D"/>
    <w:rsid w:val="00FD3056"/>
    <w:rsid w:val="00FD3D91"/>
    <w:rsid w:val="00FD4A18"/>
    <w:rsid w:val="00FD6C6B"/>
    <w:rsid w:val="00FD73B4"/>
    <w:rsid w:val="00FD7C34"/>
    <w:rsid w:val="00FD7E2A"/>
    <w:rsid w:val="00FE00B7"/>
    <w:rsid w:val="00FE0287"/>
    <w:rsid w:val="00FE076D"/>
    <w:rsid w:val="00FE1134"/>
    <w:rsid w:val="00FE1ADB"/>
    <w:rsid w:val="00FE2A63"/>
    <w:rsid w:val="00FE2BF2"/>
    <w:rsid w:val="00FE3892"/>
    <w:rsid w:val="00FE39FC"/>
    <w:rsid w:val="00FE3AB2"/>
    <w:rsid w:val="00FE3E05"/>
    <w:rsid w:val="00FE4176"/>
    <w:rsid w:val="00FE4474"/>
    <w:rsid w:val="00FE5721"/>
    <w:rsid w:val="00FE6D8B"/>
    <w:rsid w:val="00FE72EE"/>
    <w:rsid w:val="00FE76C8"/>
    <w:rsid w:val="00FE77CC"/>
    <w:rsid w:val="00FF1DFD"/>
    <w:rsid w:val="00FF2ABA"/>
    <w:rsid w:val="00FF3967"/>
    <w:rsid w:val="00FF3EE4"/>
    <w:rsid w:val="00FF4058"/>
    <w:rsid w:val="00FF4534"/>
    <w:rsid w:val="00FF4886"/>
    <w:rsid w:val="00FF4F4C"/>
    <w:rsid w:val="00FF53A9"/>
    <w:rsid w:val="00FF53EE"/>
    <w:rsid w:val="00FF6BCA"/>
    <w:rsid w:val="010057A7"/>
    <w:rsid w:val="010F2882"/>
    <w:rsid w:val="01233A9E"/>
    <w:rsid w:val="01247755"/>
    <w:rsid w:val="01303F65"/>
    <w:rsid w:val="013A09C4"/>
    <w:rsid w:val="014C5266"/>
    <w:rsid w:val="015567C9"/>
    <w:rsid w:val="01683BB5"/>
    <w:rsid w:val="017572A2"/>
    <w:rsid w:val="0176597C"/>
    <w:rsid w:val="018351D3"/>
    <w:rsid w:val="018710A3"/>
    <w:rsid w:val="01A53EA2"/>
    <w:rsid w:val="01A7086A"/>
    <w:rsid w:val="01A93A5A"/>
    <w:rsid w:val="01AD7D01"/>
    <w:rsid w:val="01B009AB"/>
    <w:rsid w:val="01B82220"/>
    <w:rsid w:val="01C601C2"/>
    <w:rsid w:val="01E462AD"/>
    <w:rsid w:val="01E92F08"/>
    <w:rsid w:val="020016FD"/>
    <w:rsid w:val="0201252C"/>
    <w:rsid w:val="02060918"/>
    <w:rsid w:val="020B6A0C"/>
    <w:rsid w:val="02145195"/>
    <w:rsid w:val="021576DD"/>
    <w:rsid w:val="02293759"/>
    <w:rsid w:val="023748A0"/>
    <w:rsid w:val="02624329"/>
    <w:rsid w:val="02810618"/>
    <w:rsid w:val="029C1412"/>
    <w:rsid w:val="02A818C0"/>
    <w:rsid w:val="02C32F68"/>
    <w:rsid w:val="02DF4971"/>
    <w:rsid w:val="02F21EEB"/>
    <w:rsid w:val="02FA132F"/>
    <w:rsid w:val="02FC4B9B"/>
    <w:rsid w:val="032166EF"/>
    <w:rsid w:val="033F7C3E"/>
    <w:rsid w:val="034663E3"/>
    <w:rsid w:val="03470120"/>
    <w:rsid w:val="034D4DD8"/>
    <w:rsid w:val="035D7D75"/>
    <w:rsid w:val="035E5F74"/>
    <w:rsid w:val="0365592C"/>
    <w:rsid w:val="036B7E52"/>
    <w:rsid w:val="0372035D"/>
    <w:rsid w:val="03831553"/>
    <w:rsid w:val="03960557"/>
    <w:rsid w:val="03C36E72"/>
    <w:rsid w:val="03ED1BFC"/>
    <w:rsid w:val="03ED2838"/>
    <w:rsid w:val="04302795"/>
    <w:rsid w:val="043729FA"/>
    <w:rsid w:val="04591A2E"/>
    <w:rsid w:val="0461422D"/>
    <w:rsid w:val="046E7456"/>
    <w:rsid w:val="04826CFA"/>
    <w:rsid w:val="048605CC"/>
    <w:rsid w:val="04976926"/>
    <w:rsid w:val="04A05494"/>
    <w:rsid w:val="04A722F0"/>
    <w:rsid w:val="04A9499D"/>
    <w:rsid w:val="04B45435"/>
    <w:rsid w:val="04D55D13"/>
    <w:rsid w:val="04DC666C"/>
    <w:rsid w:val="04EC78FC"/>
    <w:rsid w:val="04FF46D6"/>
    <w:rsid w:val="050B39B0"/>
    <w:rsid w:val="0511503F"/>
    <w:rsid w:val="05241AEC"/>
    <w:rsid w:val="05301C5F"/>
    <w:rsid w:val="05447943"/>
    <w:rsid w:val="054D67F1"/>
    <w:rsid w:val="0559183C"/>
    <w:rsid w:val="05720B50"/>
    <w:rsid w:val="057A69BF"/>
    <w:rsid w:val="057B0E62"/>
    <w:rsid w:val="0580785F"/>
    <w:rsid w:val="058A1C57"/>
    <w:rsid w:val="05964489"/>
    <w:rsid w:val="0597082A"/>
    <w:rsid w:val="05CB0E27"/>
    <w:rsid w:val="05CC0218"/>
    <w:rsid w:val="05D05124"/>
    <w:rsid w:val="05D81D19"/>
    <w:rsid w:val="05F33C03"/>
    <w:rsid w:val="05FA781A"/>
    <w:rsid w:val="0608114D"/>
    <w:rsid w:val="063C7A07"/>
    <w:rsid w:val="065036EF"/>
    <w:rsid w:val="066811D3"/>
    <w:rsid w:val="066F5174"/>
    <w:rsid w:val="06706E5D"/>
    <w:rsid w:val="06737F68"/>
    <w:rsid w:val="06792D62"/>
    <w:rsid w:val="06A238AF"/>
    <w:rsid w:val="06A42BBF"/>
    <w:rsid w:val="06AB7E54"/>
    <w:rsid w:val="06AD4DCE"/>
    <w:rsid w:val="06CC4A19"/>
    <w:rsid w:val="06D84107"/>
    <w:rsid w:val="06D937FF"/>
    <w:rsid w:val="06DA6645"/>
    <w:rsid w:val="06E930F9"/>
    <w:rsid w:val="07027CB2"/>
    <w:rsid w:val="0708176C"/>
    <w:rsid w:val="070E1192"/>
    <w:rsid w:val="070F0EB1"/>
    <w:rsid w:val="07265ECA"/>
    <w:rsid w:val="073841B1"/>
    <w:rsid w:val="073F6540"/>
    <w:rsid w:val="074F4521"/>
    <w:rsid w:val="07505787"/>
    <w:rsid w:val="076707A0"/>
    <w:rsid w:val="07707E48"/>
    <w:rsid w:val="07761B42"/>
    <w:rsid w:val="0780311D"/>
    <w:rsid w:val="07862D11"/>
    <w:rsid w:val="07981A91"/>
    <w:rsid w:val="079B4158"/>
    <w:rsid w:val="07A27EEC"/>
    <w:rsid w:val="07AC389C"/>
    <w:rsid w:val="07BA375B"/>
    <w:rsid w:val="07CB2146"/>
    <w:rsid w:val="07CE525D"/>
    <w:rsid w:val="07CF512D"/>
    <w:rsid w:val="07D04F64"/>
    <w:rsid w:val="07DE1E80"/>
    <w:rsid w:val="07E17544"/>
    <w:rsid w:val="080001B0"/>
    <w:rsid w:val="0806636F"/>
    <w:rsid w:val="080E5F49"/>
    <w:rsid w:val="0810264A"/>
    <w:rsid w:val="081661AF"/>
    <w:rsid w:val="08664345"/>
    <w:rsid w:val="08697816"/>
    <w:rsid w:val="086D3F47"/>
    <w:rsid w:val="08723626"/>
    <w:rsid w:val="089C5B28"/>
    <w:rsid w:val="08BB2017"/>
    <w:rsid w:val="08CE3215"/>
    <w:rsid w:val="08DE4389"/>
    <w:rsid w:val="08FE4DC1"/>
    <w:rsid w:val="090C2147"/>
    <w:rsid w:val="09167A44"/>
    <w:rsid w:val="0927512D"/>
    <w:rsid w:val="09573866"/>
    <w:rsid w:val="0960347E"/>
    <w:rsid w:val="09652590"/>
    <w:rsid w:val="097653E7"/>
    <w:rsid w:val="097C0DEA"/>
    <w:rsid w:val="097E16AA"/>
    <w:rsid w:val="098415CA"/>
    <w:rsid w:val="098766D8"/>
    <w:rsid w:val="09917881"/>
    <w:rsid w:val="099536FE"/>
    <w:rsid w:val="09CF2721"/>
    <w:rsid w:val="09D21BBD"/>
    <w:rsid w:val="09F71624"/>
    <w:rsid w:val="09F92B47"/>
    <w:rsid w:val="0A0E2098"/>
    <w:rsid w:val="0A372A6D"/>
    <w:rsid w:val="0A645543"/>
    <w:rsid w:val="0A6D4E8D"/>
    <w:rsid w:val="0AAB0902"/>
    <w:rsid w:val="0AB079D6"/>
    <w:rsid w:val="0AB80DB3"/>
    <w:rsid w:val="0AE4227C"/>
    <w:rsid w:val="0AE77A0C"/>
    <w:rsid w:val="0AE81B19"/>
    <w:rsid w:val="0AFB755B"/>
    <w:rsid w:val="0AFF2C5A"/>
    <w:rsid w:val="0B046039"/>
    <w:rsid w:val="0B61769D"/>
    <w:rsid w:val="0B6A78FF"/>
    <w:rsid w:val="0B821434"/>
    <w:rsid w:val="0BA24BD2"/>
    <w:rsid w:val="0BA67E6C"/>
    <w:rsid w:val="0BAD401F"/>
    <w:rsid w:val="0BB55567"/>
    <w:rsid w:val="0BC40744"/>
    <w:rsid w:val="0BD64040"/>
    <w:rsid w:val="0BDC1CE9"/>
    <w:rsid w:val="0BDC46A3"/>
    <w:rsid w:val="0C0B58EB"/>
    <w:rsid w:val="0C0B6D68"/>
    <w:rsid w:val="0C0C3F82"/>
    <w:rsid w:val="0C197785"/>
    <w:rsid w:val="0C1A3D59"/>
    <w:rsid w:val="0C257B40"/>
    <w:rsid w:val="0C2C064B"/>
    <w:rsid w:val="0C3E34A5"/>
    <w:rsid w:val="0C546315"/>
    <w:rsid w:val="0C610DA4"/>
    <w:rsid w:val="0C6874EB"/>
    <w:rsid w:val="0C812DED"/>
    <w:rsid w:val="0C950BA6"/>
    <w:rsid w:val="0CAF695A"/>
    <w:rsid w:val="0CB12611"/>
    <w:rsid w:val="0CB70393"/>
    <w:rsid w:val="0CEA36C2"/>
    <w:rsid w:val="0CEF2175"/>
    <w:rsid w:val="0CFF53BF"/>
    <w:rsid w:val="0D124D83"/>
    <w:rsid w:val="0D16252B"/>
    <w:rsid w:val="0D203DB4"/>
    <w:rsid w:val="0D2E24AB"/>
    <w:rsid w:val="0D396BF9"/>
    <w:rsid w:val="0D422A1C"/>
    <w:rsid w:val="0D434BB0"/>
    <w:rsid w:val="0D4E642E"/>
    <w:rsid w:val="0D5D17E3"/>
    <w:rsid w:val="0D5E1D12"/>
    <w:rsid w:val="0D8C68E2"/>
    <w:rsid w:val="0D9943EA"/>
    <w:rsid w:val="0DB51F5E"/>
    <w:rsid w:val="0DB545D2"/>
    <w:rsid w:val="0DC7118E"/>
    <w:rsid w:val="0DDB2C34"/>
    <w:rsid w:val="0DE01F75"/>
    <w:rsid w:val="0DE5659B"/>
    <w:rsid w:val="0DE56FE8"/>
    <w:rsid w:val="0DED34C2"/>
    <w:rsid w:val="0DF40F7F"/>
    <w:rsid w:val="0DF47AE0"/>
    <w:rsid w:val="0E1E3AB1"/>
    <w:rsid w:val="0E245078"/>
    <w:rsid w:val="0E331822"/>
    <w:rsid w:val="0E4928DC"/>
    <w:rsid w:val="0E5B7068"/>
    <w:rsid w:val="0E671431"/>
    <w:rsid w:val="0E710B71"/>
    <w:rsid w:val="0E72294F"/>
    <w:rsid w:val="0E8F5C4C"/>
    <w:rsid w:val="0E96765D"/>
    <w:rsid w:val="0E9733D5"/>
    <w:rsid w:val="0E985B27"/>
    <w:rsid w:val="0E99541D"/>
    <w:rsid w:val="0EB653B4"/>
    <w:rsid w:val="0EB72DE1"/>
    <w:rsid w:val="0ED42113"/>
    <w:rsid w:val="0ED60F8A"/>
    <w:rsid w:val="0ED6340D"/>
    <w:rsid w:val="0EF04DE5"/>
    <w:rsid w:val="0EFF43BA"/>
    <w:rsid w:val="0F01683C"/>
    <w:rsid w:val="0F061FFE"/>
    <w:rsid w:val="0F092CD6"/>
    <w:rsid w:val="0F143963"/>
    <w:rsid w:val="0F1B0CFC"/>
    <w:rsid w:val="0F242EBB"/>
    <w:rsid w:val="0F4425B0"/>
    <w:rsid w:val="0F57471B"/>
    <w:rsid w:val="0F5B6AB1"/>
    <w:rsid w:val="0F777651"/>
    <w:rsid w:val="0F7A203F"/>
    <w:rsid w:val="0FA37114"/>
    <w:rsid w:val="100C34AE"/>
    <w:rsid w:val="100D5F57"/>
    <w:rsid w:val="10274F13"/>
    <w:rsid w:val="10286655"/>
    <w:rsid w:val="102B1565"/>
    <w:rsid w:val="103E6637"/>
    <w:rsid w:val="103F5AD3"/>
    <w:rsid w:val="10454916"/>
    <w:rsid w:val="105C6197"/>
    <w:rsid w:val="10672A16"/>
    <w:rsid w:val="107E71D4"/>
    <w:rsid w:val="107F13A6"/>
    <w:rsid w:val="108160EB"/>
    <w:rsid w:val="10A76C07"/>
    <w:rsid w:val="10B4070D"/>
    <w:rsid w:val="10C20616"/>
    <w:rsid w:val="10E832B4"/>
    <w:rsid w:val="10EA3953"/>
    <w:rsid w:val="10EF0884"/>
    <w:rsid w:val="10FE28C6"/>
    <w:rsid w:val="111369C6"/>
    <w:rsid w:val="111934E7"/>
    <w:rsid w:val="112172C2"/>
    <w:rsid w:val="114D7618"/>
    <w:rsid w:val="11527F92"/>
    <w:rsid w:val="116F6BC1"/>
    <w:rsid w:val="11766346"/>
    <w:rsid w:val="1186449F"/>
    <w:rsid w:val="11950A49"/>
    <w:rsid w:val="11983D3E"/>
    <w:rsid w:val="119F34BD"/>
    <w:rsid w:val="11AE39F8"/>
    <w:rsid w:val="11C53F61"/>
    <w:rsid w:val="11F8380E"/>
    <w:rsid w:val="11F93D82"/>
    <w:rsid w:val="12056CBD"/>
    <w:rsid w:val="1207758E"/>
    <w:rsid w:val="1208619C"/>
    <w:rsid w:val="120E0D54"/>
    <w:rsid w:val="121767DB"/>
    <w:rsid w:val="122E26AC"/>
    <w:rsid w:val="12383E59"/>
    <w:rsid w:val="12445E42"/>
    <w:rsid w:val="12465C21"/>
    <w:rsid w:val="12550B18"/>
    <w:rsid w:val="12663BE0"/>
    <w:rsid w:val="12735753"/>
    <w:rsid w:val="12CA084D"/>
    <w:rsid w:val="12DE6746"/>
    <w:rsid w:val="130E11A0"/>
    <w:rsid w:val="131A603D"/>
    <w:rsid w:val="133D6799"/>
    <w:rsid w:val="136007E7"/>
    <w:rsid w:val="136E327B"/>
    <w:rsid w:val="1387472C"/>
    <w:rsid w:val="138E393C"/>
    <w:rsid w:val="13914F8E"/>
    <w:rsid w:val="13A07738"/>
    <w:rsid w:val="13AB36C5"/>
    <w:rsid w:val="13B43589"/>
    <w:rsid w:val="13BB0808"/>
    <w:rsid w:val="13BC175F"/>
    <w:rsid w:val="13CB5FFB"/>
    <w:rsid w:val="14060571"/>
    <w:rsid w:val="141D090C"/>
    <w:rsid w:val="1426082A"/>
    <w:rsid w:val="142A5FDC"/>
    <w:rsid w:val="14561D62"/>
    <w:rsid w:val="145A5FD6"/>
    <w:rsid w:val="147014A9"/>
    <w:rsid w:val="147815B3"/>
    <w:rsid w:val="147A5F3A"/>
    <w:rsid w:val="14B856A7"/>
    <w:rsid w:val="14CE4AB6"/>
    <w:rsid w:val="14DE0C0F"/>
    <w:rsid w:val="14DE573A"/>
    <w:rsid w:val="14DF3546"/>
    <w:rsid w:val="14E804E7"/>
    <w:rsid w:val="14E8498B"/>
    <w:rsid w:val="14EE1A04"/>
    <w:rsid w:val="14F134BB"/>
    <w:rsid w:val="15045DEC"/>
    <w:rsid w:val="151246ED"/>
    <w:rsid w:val="152C2AC9"/>
    <w:rsid w:val="15367333"/>
    <w:rsid w:val="153C255C"/>
    <w:rsid w:val="153C4BCC"/>
    <w:rsid w:val="154304FD"/>
    <w:rsid w:val="154923E9"/>
    <w:rsid w:val="156952E9"/>
    <w:rsid w:val="157D32D4"/>
    <w:rsid w:val="15924B9F"/>
    <w:rsid w:val="15957D8F"/>
    <w:rsid w:val="15BD5E7C"/>
    <w:rsid w:val="15DA10CC"/>
    <w:rsid w:val="15DD0268"/>
    <w:rsid w:val="15E45152"/>
    <w:rsid w:val="15EA37AE"/>
    <w:rsid w:val="1606775E"/>
    <w:rsid w:val="160A610E"/>
    <w:rsid w:val="16462E87"/>
    <w:rsid w:val="16783AEC"/>
    <w:rsid w:val="16786253"/>
    <w:rsid w:val="169F561C"/>
    <w:rsid w:val="16A132F1"/>
    <w:rsid w:val="16A90C06"/>
    <w:rsid w:val="16BC04A0"/>
    <w:rsid w:val="16BE3BF5"/>
    <w:rsid w:val="16C8192A"/>
    <w:rsid w:val="16D5258E"/>
    <w:rsid w:val="16DF5A1B"/>
    <w:rsid w:val="171A332F"/>
    <w:rsid w:val="17251EAC"/>
    <w:rsid w:val="172F5A62"/>
    <w:rsid w:val="174602F3"/>
    <w:rsid w:val="174B3433"/>
    <w:rsid w:val="175201A4"/>
    <w:rsid w:val="17581F6D"/>
    <w:rsid w:val="1763479D"/>
    <w:rsid w:val="177A1481"/>
    <w:rsid w:val="177B2B64"/>
    <w:rsid w:val="17844E8E"/>
    <w:rsid w:val="179914B3"/>
    <w:rsid w:val="17A116AE"/>
    <w:rsid w:val="17B33E4D"/>
    <w:rsid w:val="17D252F9"/>
    <w:rsid w:val="17EF5266"/>
    <w:rsid w:val="18071B33"/>
    <w:rsid w:val="180E5A00"/>
    <w:rsid w:val="1813342D"/>
    <w:rsid w:val="181B2BBC"/>
    <w:rsid w:val="181B53C4"/>
    <w:rsid w:val="183C091C"/>
    <w:rsid w:val="183F3519"/>
    <w:rsid w:val="1841459E"/>
    <w:rsid w:val="184A01D4"/>
    <w:rsid w:val="186F7BC5"/>
    <w:rsid w:val="187D225E"/>
    <w:rsid w:val="187E196E"/>
    <w:rsid w:val="188C47E4"/>
    <w:rsid w:val="189039E8"/>
    <w:rsid w:val="18906202"/>
    <w:rsid w:val="189E7C17"/>
    <w:rsid w:val="18B157FE"/>
    <w:rsid w:val="18D32F39"/>
    <w:rsid w:val="18EB4A89"/>
    <w:rsid w:val="18ED10F1"/>
    <w:rsid w:val="18ED14A8"/>
    <w:rsid w:val="19104A6E"/>
    <w:rsid w:val="194818B4"/>
    <w:rsid w:val="195C2DAE"/>
    <w:rsid w:val="19670B39"/>
    <w:rsid w:val="196846B9"/>
    <w:rsid w:val="1979599D"/>
    <w:rsid w:val="19A65C35"/>
    <w:rsid w:val="19A86CE9"/>
    <w:rsid w:val="19C72EE6"/>
    <w:rsid w:val="19D55685"/>
    <w:rsid w:val="19D63097"/>
    <w:rsid w:val="19E27BFB"/>
    <w:rsid w:val="19FC64CD"/>
    <w:rsid w:val="19FD504D"/>
    <w:rsid w:val="1A08732E"/>
    <w:rsid w:val="1A0D2A4A"/>
    <w:rsid w:val="1A276252"/>
    <w:rsid w:val="1A2F6045"/>
    <w:rsid w:val="1A400204"/>
    <w:rsid w:val="1A4C2D0F"/>
    <w:rsid w:val="1A513B03"/>
    <w:rsid w:val="1A685EB8"/>
    <w:rsid w:val="1A817DEA"/>
    <w:rsid w:val="1A977783"/>
    <w:rsid w:val="1A994D33"/>
    <w:rsid w:val="1AAC1FB7"/>
    <w:rsid w:val="1ABE7DC8"/>
    <w:rsid w:val="1AC57478"/>
    <w:rsid w:val="1AD35B55"/>
    <w:rsid w:val="1B055346"/>
    <w:rsid w:val="1B571741"/>
    <w:rsid w:val="1B5D2AD8"/>
    <w:rsid w:val="1B6F33E5"/>
    <w:rsid w:val="1B7F2276"/>
    <w:rsid w:val="1B871004"/>
    <w:rsid w:val="1B963FA6"/>
    <w:rsid w:val="1B9B5BFE"/>
    <w:rsid w:val="1B9D0B46"/>
    <w:rsid w:val="1BA0147A"/>
    <w:rsid w:val="1BA94E24"/>
    <w:rsid w:val="1BB362E2"/>
    <w:rsid w:val="1BBA15EF"/>
    <w:rsid w:val="1BC162E8"/>
    <w:rsid w:val="1BD83779"/>
    <w:rsid w:val="1BEB4746"/>
    <w:rsid w:val="1C000FBC"/>
    <w:rsid w:val="1C010D1D"/>
    <w:rsid w:val="1C0A3439"/>
    <w:rsid w:val="1C154BFE"/>
    <w:rsid w:val="1C207F73"/>
    <w:rsid w:val="1C282F6F"/>
    <w:rsid w:val="1C3B4A23"/>
    <w:rsid w:val="1C471697"/>
    <w:rsid w:val="1C556DAA"/>
    <w:rsid w:val="1C57773B"/>
    <w:rsid w:val="1C762B3D"/>
    <w:rsid w:val="1C80194D"/>
    <w:rsid w:val="1C814E6F"/>
    <w:rsid w:val="1C837BC5"/>
    <w:rsid w:val="1C884775"/>
    <w:rsid w:val="1C8D776B"/>
    <w:rsid w:val="1CA0383F"/>
    <w:rsid w:val="1CA40E5C"/>
    <w:rsid w:val="1CCC1EBA"/>
    <w:rsid w:val="1CFB7BD4"/>
    <w:rsid w:val="1D083E1C"/>
    <w:rsid w:val="1D1D4E2E"/>
    <w:rsid w:val="1D1F2F14"/>
    <w:rsid w:val="1D3407C8"/>
    <w:rsid w:val="1D470019"/>
    <w:rsid w:val="1D494CCF"/>
    <w:rsid w:val="1D52669D"/>
    <w:rsid w:val="1D5E4918"/>
    <w:rsid w:val="1D6C240E"/>
    <w:rsid w:val="1D740B6A"/>
    <w:rsid w:val="1D8645B5"/>
    <w:rsid w:val="1D8675F0"/>
    <w:rsid w:val="1DB753E9"/>
    <w:rsid w:val="1DBA2E2E"/>
    <w:rsid w:val="1DBB1C42"/>
    <w:rsid w:val="1DCF0496"/>
    <w:rsid w:val="1DD14E8B"/>
    <w:rsid w:val="1DE103FA"/>
    <w:rsid w:val="1DE72F8B"/>
    <w:rsid w:val="1DF23E7B"/>
    <w:rsid w:val="1DF41671"/>
    <w:rsid w:val="1E1D71A4"/>
    <w:rsid w:val="1E2E6377"/>
    <w:rsid w:val="1E3104EB"/>
    <w:rsid w:val="1E3B7B3E"/>
    <w:rsid w:val="1E6D128D"/>
    <w:rsid w:val="1E722C69"/>
    <w:rsid w:val="1EB072B1"/>
    <w:rsid w:val="1EB50BBD"/>
    <w:rsid w:val="1EC06BEC"/>
    <w:rsid w:val="1ED91410"/>
    <w:rsid w:val="1EF43A77"/>
    <w:rsid w:val="1EF87EC0"/>
    <w:rsid w:val="1F0A3F2F"/>
    <w:rsid w:val="1F2C46E9"/>
    <w:rsid w:val="1F403A40"/>
    <w:rsid w:val="1F5B5733"/>
    <w:rsid w:val="1F5F2F92"/>
    <w:rsid w:val="1F677541"/>
    <w:rsid w:val="1F6F5384"/>
    <w:rsid w:val="1FA31C4E"/>
    <w:rsid w:val="1FAA1EEE"/>
    <w:rsid w:val="1FB20C2C"/>
    <w:rsid w:val="1FCD35E0"/>
    <w:rsid w:val="1FD02EE8"/>
    <w:rsid w:val="1FD20711"/>
    <w:rsid w:val="1FD2597E"/>
    <w:rsid w:val="1FD71810"/>
    <w:rsid w:val="1FF20FA0"/>
    <w:rsid w:val="1FFF6B0A"/>
    <w:rsid w:val="2004034F"/>
    <w:rsid w:val="20084C24"/>
    <w:rsid w:val="200B13E8"/>
    <w:rsid w:val="201E1EB2"/>
    <w:rsid w:val="203129D6"/>
    <w:rsid w:val="203F0AAD"/>
    <w:rsid w:val="204149C1"/>
    <w:rsid w:val="2044159C"/>
    <w:rsid w:val="20492558"/>
    <w:rsid w:val="205A55A3"/>
    <w:rsid w:val="205E38F0"/>
    <w:rsid w:val="206521F7"/>
    <w:rsid w:val="2075089D"/>
    <w:rsid w:val="20AA0500"/>
    <w:rsid w:val="20AD3BEB"/>
    <w:rsid w:val="20C02E9F"/>
    <w:rsid w:val="20E4625D"/>
    <w:rsid w:val="210920EF"/>
    <w:rsid w:val="21192D55"/>
    <w:rsid w:val="21392153"/>
    <w:rsid w:val="213D3995"/>
    <w:rsid w:val="213E63DA"/>
    <w:rsid w:val="214572A0"/>
    <w:rsid w:val="21514B5B"/>
    <w:rsid w:val="216A4356"/>
    <w:rsid w:val="217F7026"/>
    <w:rsid w:val="21992531"/>
    <w:rsid w:val="21A4757C"/>
    <w:rsid w:val="21AB746C"/>
    <w:rsid w:val="21BA7AFB"/>
    <w:rsid w:val="21BD7A67"/>
    <w:rsid w:val="21C66054"/>
    <w:rsid w:val="21D132BC"/>
    <w:rsid w:val="21D92705"/>
    <w:rsid w:val="21F0010E"/>
    <w:rsid w:val="221A4E49"/>
    <w:rsid w:val="223B02CB"/>
    <w:rsid w:val="223F0C2A"/>
    <w:rsid w:val="2253337B"/>
    <w:rsid w:val="22753104"/>
    <w:rsid w:val="22781D0B"/>
    <w:rsid w:val="227A07EE"/>
    <w:rsid w:val="228850B7"/>
    <w:rsid w:val="22A50CDA"/>
    <w:rsid w:val="22C0182E"/>
    <w:rsid w:val="22C54964"/>
    <w:rsid w:val="22D75201"/>
    <w:rsid w:val="22F310EC"/>
    <w:rsid w:val="22F6254F"/>
    <w:rsid w:val="230B3186"/>
    <w:rsid w:val="232A7F55"/>
    <w:rsid w:val="232E17C5"/>
    <w:rsid w:val="2363312E"/>
    <w:rsid w:val="236E7FC9"/>
    <w:rsid w:val="23704814"/>
    <w:rsid w:val="237F3F46"/>
    <w:rsid w:val="23A07B25"/>
    <w:rsid w:val="23A835D3"/>
    <w:rsid w:val="23BF2684"/>
    <w:rsid w:val="23C11335"/>
    <w:rsid w:val="23DF4103"/>
    <w:rsid w:val="24055FBC"/>
    <w:rsid w:val="241271DB"/>
    <w:rsid w:val="242F013F"/>
    <w:rsid w:val="24381601"/>
    <w:rsid w:val="24442FCC"/>
    <w:rsid w:val="2447266E"/>
    <w:rsid w:val="247E4D59"/>
    <w:rsid w:val="24944FF6"/>
    <w:rsid w:val="2498033F"/>
    <w:rsid w:val="249C22E1"/>
    <w:rsid w:val="24F11672"/>
    <w:rsid w:val="251331E9"/>
    <w:rsid w:val="251E464F"/>
    <w:rsid w:val="252E3513"/>
    <w:rsid w:val="25345D39"/>
    <w:rsid w:val="25493364"/>
    <w:rsid w:val="254F7A0F"/>
    <w:rsid w:val="255C378E"/>
    <w:rsid w:val="25754019"/>
    <w:rsid w:val="258A22CD"/>
    <w:rsid w:val="258C2F14"/>
    <w:rsid w:val="259C58FE"/>
    <w:rsid w:val="25B152B5"/>
    <w:rsid w:val="25B66950"/>
    <w:rsid w:val="25B74631"/>
    <w:rsid w:val="25B862D0"/>
    <w:rsid w:val="25C001F1"/>
    <w:rsid w:val="25CB3A81"/>
    <w:rsid w:val="25EE0FAE"/>
    <w:rsid w:val="25F9257C"/>
    <w:rsid w:val="262C5C6D"/>
    <w:rsid w:val="265D48E5"/>
    <w:rsid w:val="266B0F78"/>
    <w:rsid w:val="266F480A"/>
    <w:rsid w:val="267D1FC5"/>
    <w:rsid w:val="26805560"/>
    <w:rsid w:val="26833A48"/>
    <w:rsid w:val="268414F9"/>
    <w:rsid w:val="269E1774"/>
    <w:rsid w:val="26A71D59"/>
    <w:rsid w:val="26B97F35"/>
    <w:rsid w:val="26C14A80"/>
    <w:rsid w:val="26CA79B1"/>
    <w:rsid w:val="26DC6C93"/>
    <w:rsid w:val="26E36DA9"/>
    <w:rsid w:val="270D444F"/>
    <w:rsid w:val="271916C3"/>
    <w:rsid w:val="27204C2E"/>
    <w:rsid w:val="273A24AE"/>
    <w:rsid w:val="274370EE"/>
    <w:rsid w:val="27456DDA"/>
    <w:rsid w:val="274704F7"/>
    <w:rsid w:val="27506187"/>
    <w:rsid w:val="27512C81"/>
    <w:rsid w:val="27591CFC"/>
    <w:rsid w:val="276F63C2"/>
    <w:rsid w:val="276F6648"/>
    <w:rsid w:val="27703BAC"/>
    <w:rsid w:val="27816204"/>
    <w:rsid w:val="278909E9"/>
    <w:rsid w:val="278D77E9"/>
    <w:rsid w:val="27900E5F"/>
    <w:rsid w:val="279F2ADE"/>
    <w:rsid w:val="27A72656"/>
    <w:rsid w:val="27B039C8"/>
    <w:rsid w:val="27CB356E"/>
    <w:rsid w:val="27D75B9B"/>
    <w:rsid w:val="27DB14E9"/>
    <w:rsid w:val="27E61A3A"/>
    <w:rsid w:val="27E63708"/>
    <w:rsid w:val="27E73D64"/>
    <w:rsid w:val="27E852AA"/>
    <w:rsid w:val="27F95DF6"/>
    <w:rsid w:val="27FC68FC"/>
    <w:rsid w:val="28015AEC"/>
    <w:rsid w:val="280B7F29"/>
    <w:rsid w:val="281175D2"/>
    <w:rsid w:val="281F6326"/>
    <w:rsid w:val="28242737"/>
    <w:rsid w:val="282D1BC7"/>
    <w:rsid w:val="28335A7B"/>
    <w:rsid w:val="28335AC5"/>
    <w:rsid w:val="28501150"/>
    <w:rsid w:val="28637B86"/>
    <w:rsid w:val="28642840"/>
    <w:rsid w:val="286B37C0"/>
    <w:rsid w:val="286F6445"/>
    <w:rsid w:val="28722A91"/>
    <w:rsid w:val="2880029E"/>
    <w:rsid w:val="28872154"/>
    <w:rsid w:val="289243A6"/>
    <w:rsid w:val="28943227"/>
    <w:rsid w:val="28AD4E25"/>
    <w:rsid w:val="28B214EF"/>
    <w:rsid w:val="28B46C06"/>
    <w:rsid w:val="28F8088B"/>
    <w:rsid w:val="290D4165"/>
    <w:rsid w:val="291E414A"/>
    <w:rsid w:val="292661E0"/>
    <w:rsid w:val="29326F94"/>
    <w:rsid w:val="293A5C24"/>
    <w:rsid w:val="29496672"/>
    <w:rsid w:val="295223C1"/>
    <w:rsid w:val="29704239"/>
    <w:rsid w:val="29970233"/>
    <w:rsid w:val="299710B2"/>
    <w:rsid w:val="29C03002"/>
    <w:rsid w:val="29C341ED"/>
    <w:rsid w:val="29D17C06"/>
    <w:rsid w:val="29D3340F"/>
    <w:rsid w:val="29E13C7C"/>
    <w:rsid w:val="29E26806"/>
    <w:rsid w:val="29F4710C"/>
    <w:rsid w:val="29FF0B07"/>
    <w:rsid w:val="2A0E00CA"/>
    <w:rsid w:val="2A0E1706"/>
    <w:rsid w:val="2A264443"/>
    <w:rsid w:val="2A2D064F"/>
    <w:rsid w:val="2A497078"/>
    <w:rsid w:val="2A4B3C6C"/>
    <w:rsid w:val="2A4C5B4D"/>
    <w:rsid w:val="2A615D77"/>
    <w:rsid w:val="2A630D17"/>
    <w:rsid w:val="2A791B21"/>
    <w:rsid w:val="2A87357D"/>
    <w:rsid w:val="2AA5169E"/>
    <w:rsid w:val="2AAA5DF1"/>
    <w:rsid w:val="2AE57AC4"/>
    <w:rsid w:val="2AED38FF"/>
    <w:rsid w:val="2AF13218"/>
    <w:rsid w:val="2AFD3174"/>
    <w:rsid w:val="2B367DA6"/>
    <w:rsid w:val="2B4A012D"/>
    <w:rsid w:val="2B5934AE"/>
    <w:rsid w:val="2B626BBA"/>
    <w:rsid w:val="2B69017C"/>
    <w:rsid w:val="2B717030"/>
    <w:rsid w:val="2B7A5423"/>
    <w:rsid w:val="2B7F51D7"/>
    <w:rsid w:val="2B8123CB"/>
    <w:rsid w:val="2B853CF9"/>
    <w:rsid w:val="2B914B5D"/>
    <w:rsid w:val="2BA9469B"/>
    <w:rsid w:val="2BE529C4"/>
    <w:rsid w:val="2BF544D2"/>
    <w:rsid w:val="2BFF28CE"/>
    <w:rsid w:val="2C063C1D"/>
    <w:rsid w:val="2C251BC9"/>
    <w:rsid w:val="2C2C361D"/>
    <w:rsid w:val="2C3D1CE0"/>
    <w:rsid w:val="2C5F332D"/>
    <w:rsid w:val="2C9E0649"/>
    <w:rsid w:val="2CB17932"/>
    <w:rsid w:val="2CB83EEC"/>
    <w:rsid w:val="2CBC5FB0"/>
    <w:rsid w:val="2CBF274A"/>
    <w:rsid w:val="2CD17CCF"/>
    <w:rsid w:val="2CDE6947"/>
    <w:rsid w:val="2CF81347"/>
    <w:rsid w:val="2CFB648A"/>
    <w:rsid w:val="2D1C517B"/>
    <w:rsid w:val="2D2824B2"/>
    <w:rsid w:val="2D355A17"/>
    <w:rsid w:val="2D6138B7"/>
    <w:rsid w:val="2D666BF9"/>
    <w:rsid w:val="2D680546"/>
    <w:rsid w:val="2D833B32"/>
    <w:rsid w:val="2D896548"/>
    <w:rsid w:val="2D8B5FDC"/>
    <w:rsid w:val="2D917EAF"/>
    <w:rsid w:val="2DB0030F"/>
    <w:rsid w:val="2DC74596"/>
    <w:rsid w:val="2DCA0BF2"/>
    <w:rsid w:val="2DCB3C37"/>
    <w:rsid w:val="2DD02FC8"/>
    <w:rsid w:val="2DE14B3C"/>
    <w:rsid w:val="2DE55A1E"/>
    <w:rsid w:val="2DFF2CE2"/>
    <w:rsid w:val="2E002321"/>
    <w:rsid w:val="2E1C647D"/>
    <w:rsid w:val="2E2F1CD6"/>
    <w:rsid w:val="2E3C37AA"/>
    <w:rsid w:val="2E3F37FA"/>
    <w:rsid w:val="2E414B35"/>
    <w:rsid w:val="2E4B4DBA"/>
    <w:rsid w:val="2E580F8F"/>
    <w:rsid w:val="2E7926B6"/>
    <w:rsid w:val="2E8639C6"/>
    <w:rsid w:val="2EA75CC0"/>
    <w:rsid w:val="2EB81807"/>
    <w:rsid w:val="2EC47A74"/>
    <w:rsid w:val="2ED9015F"/>
    <w:rsid w:val="2EDB7001"/>
    <w:rsid w:val="2F06700C"/>
    <w:rsid w:val="2F177EEF"/>
    <w:rsid w:val="2F321BEF"/>
    <w:rsid w:val="2F331B4A"/>
    <w:rsid w:val="2F5E5535"/>
    <w:rsid w:val="2F67006B"/>
    <w:rsid w:val="2F7F38EF"/>
    <w:rsid w:val="2F841DC0"/>
    <w:rsid w:val="2F992A53"/>
    <w:rsid w:val="2FAB044B"/>
    <w:rsid w:val="2FDD7AA8"/>
    <w:rsid w:val="2FDF05E9"/>
    <w:rsid w:val="2FE6799D"/>
    <w:rsid w:val="301221C0"/>
    <w:rsid w:val="302A451F"/>
    <w:rsid w:val="302E0A39"/>
    <w:rsid w:val="30407780"/>
    <w:rsid w:val="3045651F"/>
    <w:rsid w:val="305A76AB"/>
    <w:rsid w:val="30841252"/>
    <w:rsid w:val="30A21A3A"/>
    <w:rsid w:val="30AE5D9B"/>
    <w:rsid w:val="30B96527"/>
    <w:rsid w:val="30BD5A46"/>
    <w:rsid w:val="30C670C4"/>
    <w:rsid w:val="30CA166B"/>
    <w:rsid w:val="30E87423"/>
    <w:rsid w:val="30ED1101"/>
    <w:rsid w:val="30F64606"/>
    <w:rsid w:val="30F72E6E"/>
    <w:rsid w:val="30F857B9"/>
    <w:rsid w:val="31170894"/>
    <w:rsid w:val="313A36E5"/>
    <w:rsid w:val="31445C71"/>
    <w:rsid w:val="314F6742"/>
    <w:rsid w:val="31554AE7"/>
    <w:rsid w:val="31570D79"/>
    <w:rsid w:val="315C7F7F"/>
    <w:rsid w:val="317452BC"/>
    <w:rsid w:val="31785A4E"/>
    <w:rsid w:val="31CF2D29"/>
    <w:rsid w:val="31D0274C"/>
    <w:rsid w:val="31E82675"/>
    <w:rsid w:val="31F05FAD"/>
    <w:rsid w:val="31FE41EC"/>
    <w:rsid w:val="320A31B2"/>
    <w:rsid w:val="321E6DA8"/>
    <w:rsid w:val="32280685"/>
    <w:rsid w:val="324E222E"/>
    <w:rsid w:val="325869D8"/>
    <w:rsid w:val="326D7BCF"/>
    <w:rsid w:val="32792D2B"/>
    <w:rsid w:val="327A6BD0"/>
    <w:rsid w:val="32832ED6"/>
    <w:rsid w:val="3287538B"/>
    <w:rsid w:val="32AC1117"/>
    <w:rsid w:val="32C258EB"/>
    <w:rsid w:val="32C31B6B"/>
    <w:rsid w:val="32CA7F95"/>
    <w:rsid w:val="32D1723E"/>
    <w:rsid w:val="32D45531"/>
    <w:rsid w:val="32D96982"/>
    <w:rsid w:val="32F33E15"/>
    <w:rsid w:val="33050AAD"/>
    <w:rsid w:val="33116608"/>
    <w:rsid w:val="331D35FA"/>
    <w:rsid w:val="332C3F79"/>
    <w:rsid w:val="33392236"/>
    <w:rsid w:val="334530F3"/>
    <w:rsid w:val="33634866"/>
    <w:rsid w:val="336815C3"/>
    <w:rsid w:val="336E02D4"/>
    <w:rsid w:val="33861D25"/>
    <w:rsid w:val="338A56D7"/>
    <w:rsid w:val="33BE2810"/>
    <w:rsid w:val="33C32064"/>
    <w:rsid w:val="33C96CCF"/>
    <w:rsid w:val="33D1513C"/>
    <w:rsid w:val="33DA46B1"/>
    <w:rsid w:val="33E97899"/>
    <w:rsid w:val="33EC0EC0"/>
    <w:rsid w:val="33EF1DDB"/>
    <w:rsid w:val="33F30E32"/>
    <w:rsid w:val="33F85143"/>
    <w:rsid w:val="340505DC"/>
    <w:rsid w:val="342041F4"/>
    <w:rsid w:val="34270AC1"/>
    <w:rsid w:val="342927FC"/>
    <w:rsid w:val="343F154C"/>
    <w:rsid w:val="344469FD"/>
    <w:rsid w:val="34515C51"/>
    <w:rsid w:val="345356CC"/>
    <w:rsid w:val="34562F70"/>
    <w:rsid w:val="34691856"/>
    <w:rsid w:val="34793D6B"/>
    <w:rsid w:val="347E3539"/>
    <w:rsid w:val="34830369"/>
    <w:rsid w:val="34C603ED"/>
    <w:rsid w:val="34DF0931"/>
    <w:rsid w:val="34F15F64"/>
    <w:rsid w:val="34FD6D1A"/>
    <w:rsid w:val="350D00B1"/>
    <w:rsid w:val="350D407B"/>
    <w:rsid w:val="351C0A51"/>
    <w:rsid w:val="352128A9"/>
    <w:rsid w:val="352548D7"/>
    <w:rsid w:val="3528106A"/>
    <w:rsid w:val="354503F4"/>
    <w:rsid w:val="35453CE8"/>
    <w:rsid w:val="35465780"/>
    <w:rsid w:val="357D5012"/>
    <w:rsid w:val="357F609B"/>
    <w:rsid w:val="35841377"/>
    <w:rsid w:val="358F1EC3"/>
    <w:rsid w:val="359A09ED"/>
    <w:rsid w:val="35AA1BCA"/>
    <w:rsid w:val="35B33563"/>
    <w:rsid w:val="35B910F2"/>
    <w:rsid w:val="35BC4AB2"/>
    <w:rsid w:val="35DB1F89"/>
    <w:rsid w:val="35E13004"/>
    <w:rsid w:val="35E936E6"/>
    <w:rsid w:val="35EB0A3D"/>
    <w:rsid w:val="35FA1982"/>
    <w:rsid w:val="35FA7F90"/>
    <w:rsid w:val="35FE2F69"/>
    <w:rsid w:val="35FF12E2"/>
    <w:rsid w:val="36056B5B"/>
    <w:rsid w:val="360C3486"/>
    <w:rsid w:val="36201A4D"/>
    <w:rsid w:val="36441F53"/>
    <w:rsid w:val="364C0351"/>
    <w:rsid w:val="365B705D"/>
    <w:rsid w:val="36694098"/>
    <w:rsid w:val="367E53BD"/>
    <w:rsid w:val="36816371"/>
    <w:rsid w:val="368559A2"/>
    <w:rsid w:val="36995CF0"/>
    <w:rsid w:val="36B15DF4"/>
    <w:rsid w:val="36C070E9"/>
    <w:rsid w:val="36D121F1"/>
    <w:rsid w:val="37117919"/>
    <w:rsid w:val="371C0FF6"/>
    <w:rsid w:val="37203126"/>
    <w:rsid w:val="37237201"/>
    <w:rsid w:val="37383C9E"/>
    <w:rsid w:val="37393FF5"/>
    <w:rsid w:val="375A58F9"/>
    <w:rsid w:val="376D0505"/>
    <w:rsid w:val="376D4567"/>
    <w:rsid w:val="37717A3A"/>
    <w:rsid w:val="378E4453"/>
    <w:rsid w:val="37947BDC"/>
    <w:rsid w:val="37965470"/>
    <w:rsid w:val="37A058ED"/>
    <w:rsid w:val="37B07E7F"/>
    <w:rsid w:val="37B1241A"/>
    <w:rsid w:val="37D56240"/>
    <w:rsid w:val="37E17558"/>
    <w:rsid w:val="37F609F5"/>
    <w:rsid w:val="38142EE2"/>
    <w:rsid w:val="382D35E2"/>
    <w:rsid w:val="383E613C"/>
    <w:rsid w:val="386D4B70"/>
    <w:rsid w:val="387719FE"/>
    <w:rsid w:val="387F6F98"/>
    <w:rsid w:val="38843864"/>
    <w:rsid w:val="38890DD2"/>
    <w:rsid w:val="38A914AA"/>
    <w:rsid w:val="38AC2771"/>
    <w:rsid w:val="38CF1737"/>
    <w:rsid w:val="38D421D8"/>
    <w:rsid w:val="38EB788B"/>
    <w:rsid w:val="38EE54CC"/>
    <w:rsid w:val="390715C9"/>
    <w:rsid w:val="391477F6"/>
    <w:rsid w:val="39202BE9"/>
    <w:rsid w:val="3937628D"/>
    <w:rsid w:val="3945589A"/>
    <w:rsid w:val="397054D7"/>
    <w:rsid w:val="397131B7"/>
    <w:rsid w:val="39755F3E"/>
    <w:rsid w:val="397B172D"/>
    <w:rsid w:val="397F6BAE"/>
    <w:rsid w:val="39C616EE"/>
    <w:rsid w:val="39D10532"/>
    <w:rsid w:val="39D178FD"/>
    <w:rsid w:val="39D20836"/>
    <w:rsid w:val="39E55C79"/>
    <w:rsid w:val="39F529BD"/>
    <w:rsid w:val="39FC3CDD"/>
    <w:rsid w:val="39FE27D5"/>
    <w:rsid w:val="3A005897"/>
    <w:rsid w:val="3A0E4A66"/>
    <w:rsid w:val="3A0F5041"/>
    <w:rsid w:val="3A4458BD"/>
    <w:rsid w:val="3A49697E"/>
    <w:rsid w:val="3A57248F"/>
    <w:rsid w:val="3A5930B4"/>
    <w:rsid w:val="3A667F7C"/>
    <w:rsid w:val="3A6F731F"/>
    <w:rsid w:val="3A73368B"/>
    <w:rsid w:val="3A8551B2"/>
    <w:rsid w:val="3AAA1FCB"/>
    <w:rsid w:val="3AAE4831"/>
    <w:rsid w:val="3AC22C8F"/>
    <w:rsid w:val="3AE82205"/>
    <w:rsid w:val="3B393FE1"/>
    <w:rsid w:val="3B401F9F"/>
    <w:rsid w:val="3B596F6F"/>
    <w:rsid w:val="3B5A3279"/>
    <w:rsid w:val="3B703203"/>
    <w:rsid w:val="3B754CFB"/>
    <w:rsid w:val="3B8770EE"/>
    <w:rsid w:val="3B91770A"/>
    <w:rsid w:val="3B951E85"/>
    <w:rsid w:val="3B967E52"/>
    <w:rsid w:val="3B9823CE"/>
    <w:rsid w:val="3BB227A5"/>
    <w:rsid w:val="3BB56FEB"/>
    <w:rsid w:val="3BD76595"/>
    <w:rsid w:val="3BEA121A"/>
    <w:rsid w:val="3C1017BA"/>
    <w:rsid w:val="3C1C1508"/>
    <w:rsid w:val="3C266A0E"/>
    <w:rsid w:val="3C3519B4"/>
    <w:rsid w:val="3C404ADE"/>
    <w:rsid w:val="3C4D6189"/>
    <w:rsid w:val="3C7A1ABD"/>
    <w:rsid w:val="3C812464"/>
    <w:rsid w:val="3C85139E"/>
    <w:rsid w:val="3C8E7AB6"/>
    <w:rsid w:val="3CB30A45"/>
    <w:rsid w:val="3CC51781"/>
    <w:rsid w:val="3CC84549"/>
    <w:rsid w:val="3D080961"/>
    <w:rsid w:val="3D0C0513"/>
    <w:rsid w:val="3D143CBF"/>
    <w:rsid w:val="3D231415"/>
    <w:rsid w:val="3D2321D5"/>
    <w:rsid w:val="3D2A2527"/>
    <w:rsid w:val="3D3E055F"/>
    <w:rsid w:val="3D4628FC"/>
    <w:rsid w:val="3D631D18"/>
    <w:rsid w:val="3D791D75"/>
    <w:rsid w:val="3D7A7FC6"/>
    <w:rsid w:val="3D865F4C"/>
    <w:rsid w:val="3D9B0FF3"/>
    <w:rsid w:val="3D9E12A1"/>
    <w:rsid w:val="3DB836BF"/>
    <w:rsid w:val="3DBA1054"/>
    <w:rsid w:val="3DBF01AF"/>
    <w:rsid w:val="3DBF54D1"/>
    <w:rsid w:val="3DC701EB"/>
    <w:rsid w:val="3DD0070F"/>
    <w:rsid w:val="3DD0314B"/>
    <w:rsid w:val="3DD24540"/>
    <w:rsid w:val="3DD31094"/>
    <w:rsid w:val="3DE11624"/>
    <w:rsid w:val="3DE25B6C"/>
    <w:rsid w:val="3DFA21F0"/>
    <w:rsid w:val="3DFF6D97"/>
    <w:rsid w:val="3E0A6273"/>
    <w:rsid w:val="3E1A5306"/>
    <w:rsid w:val="3E4A01B8"/>
    <w:rsid w:val="3E4C2268"/>
    <w:rsid w:val="3E536402"/>
    <w:rsid w:val="3E5D2E08"/>
    <w:rsid w:val="3E65120B"/>
    <w:rsid w:val="3E6825AB"/>
    <w:rsid w:val="3E817133"/>
    <w:rsid w:val="3E990BCE"/>
    <w:rsid w:val="3EA74100"/>
    <w:rsid w:val="3EC4153C"/>
    <w:rsid w:val="3ECE71E3"/>
    <w:rsid w:val="3ED71CC0"/>
    <w:rsid w:val="3ED723E2"/>
    <w:rsid w:val="3EE36D79"/>
    <w:rsid w:val="3EE43339"/>
    <w:rsid w:val="3EE80F60"/>
    <w:rsid w:val="3EF53C17"/>
    <w:rsid w:val="3F0538C0"/>
    <w:rsid w:val="3F0C16B6"/>
    <w:rsid w:val="3F2244FB"/>
    <w:rsid w:val="3F2376C5"/>
    <w:rsid w:val="3F373E09"/>
    <w:rsid w:val="3F396430"/>
    <w:rsid w:val="3F3D51AB"/>
    <w:rsid w:val="3F46049A"/>
    <w:rsid w:val="3F483449"/>
    <w:rsid w:val="3F4C559B"/>
    <w:rsid w:val="3F6646D3"/>
    <w:rsid w:val="3F80503B"/>
    <w:rsid w:val="3F8276E6"/>
    <w:rsid w:val="3F8C483D"/>
    <w:rsid w:val="3F900958"/>
    <w:rsid w:val="3F956F3B"/>
    <w:rsid w:val="3F9738B9"/>
    <w:rsid w:val="3FA91189"/>
    <w:rsid w:val="3FB54320"/>
    <w:rsid w:val="3FD40286"/>
    <w:rsid w:val="3FD85B95"/>
    <w:rsid w:val="3FE1730C"/>
    <w:rsid w:val="3FFB7026"/>
    <w:rsid w:val="3FFFD864"/>
    <w:rsid w:val="40006203"/>
    <w:rsid w:val="401A0A3D"/>
    <w:rsid w:val="4025470B"/>
    <w:rsid w:val="402E0D38"/>
    <w:rsid w:val="40355480"/>
    <w:rsid w:val="404439DB"/>
    <w:rsid w:val="40454E93"/>
    <w:rsid w:val="40457334"/>
    <w:rsid w:val="404A1C06"/>
    <w:rsid w:val="40533686"/>
    <w:rsid w:val="405D597D"/>
    <w:rsid w:val="405E6311"/>
    <w:rsid w:val="406B6BFC"/>
    <w:rsid w:val="40805696"/>
    <w:rsid w:val="40945BD7"/>
    <w:rsid w:val="40C07E55"/>
    <w:rsid w:val="40F81899"/>
    <w:rsid w:val="410406EE"/>
    <w:rsid w:val="411A2CA9"/>
    <w:rsid w:val="411C1CDD"/>
    <w:rsid w:val="412E769D"/>
    <w:rsid w:val="4159217C"/>
    <w:rsid w:val="415A2939"/>
    <w:rsid w:val="416B0A4A"/>
    <w:rsid w:val="418A1B92"/>
    <w:rsid w:val="418A2F70"/>
    <w:rsid w:val="41963683"/>
    <w:rsid w:val="41A5138A"/>
    <w:rsid w:val="41AA597E"/>
    <w:rsid w:val="41BD7303"/>
    <w:rsid w:val="41C470D5"/>
    <w:rsid w:val="420A2842"/>
    <w:rsid w:val="420E585D"/>
    <w:rsid w:val="4214206C"/>
    <w:rsid w:val="421D3B80"/>
    <w:rsid w:val="421E197A"/>
    <w:rsid w:val="421F4397"/>
    <w:rsid w:val="42553004"/>
    <w:rsid w:val="425560C8"/>
    <w:rsid w:val="42640A6C"/>
    <w:rsid w:val="428B1BDB"/>
    <w:rsid w:val="428C60A6"/>
    <w:rsid w:val="428E0BC9"/>
    <w:rsid w:val="429121FE"/>
    <w:rsid w:val="429644F7"/>
    <w:rsid w:val="42AC25E0"/>
    <w:rsid w:val="42DA0918"/>
    <w:rsid w:val="42E6012C"/>
    <w:rsid w:val="42E63401"/>
    <w:rsid w:val="42F33C51"/>
    <w:rsid w:val="42FA5706"/>
    <w:rsid w:val="430C340A"/>
    <w:rsid w:val="4324415B"/>
    <w:rsid w:val="432B2BDD"/>
    <w:rsid w:val="433B24A0"/>
    <w:rsid w:val="43442D25"/>
    <w:rsid w:val="434737C5"/>
    <w:rsid w:val="434C6777"/>
    <w:rsid w:val="43803E5D"/>
    <w:rsid w:val="438172BC"/>
    <w:rsid w:val="438D7205"/>
    <w:rsid w:val="43A31501"/>
    <w:rsid w:val="43A51A0F"/>
    <w:rsid w:val="43A63ED9"/>
    <w:rsid w:val="43CA4ED5"/>
    <w:rsid w:val="43D3039E"/>
    <w:rsid w:val="43F50C88"/>
    <w:rsid w:val="440F5CB7"/>
    <w:rsid w:val="4410164C"/>
    <w:rsid w:val="4421190E"/>
    <w:rsid w:val="44387A96"/>
    <w:rsid w:val="443C3511"/>
    <w:rsid w:val="443F6059"/>
    <w:rsid w:val="4440389E"/>
    <w:rsid w:val="44404FD8"/>
    <w:rsid w:val="44467B33"/>
    <w:rsid w:val="44471594"/>
    <w:rsid w:val="44507687"/>
    <w:rsid w:val="446108C6"/>
    <w:rsid w:val="44983E14"/>
    <w:rsid w:val="449E6B70"/>
    <w:rsid w:val="44D101C0"/>
    <w:rsid w:val="44D37D84"/>
    <w:rsid w:val="44E7070D"/>
    <w:rsid w:val="44E96140"/>
    <w:rsid w:val="44EF407A"/>
    <w:rsid w:val="45151EC2"/>
    <w:rsid w:val="452D6EC8"/>
    <w:rsid w:val="452E7CA8"/>
    <w:rsid w:val="455D6C0E"/>
    <w:rsid w:val="456237E3"/>
    <w:rsid w:val="456357E4"/>
    <w:rsid w:val="45646473"/>
    <w:rsid w:val="45674650"/>
    <w:rsid w:val="45995EE5"/>
    <w:rsid w:val="45996092"/>
    <w:rsid w:val="45A20D7F"/>
    <w:rsid w:val="45A96BB7"/>
    <w:rsid w:val="45AD6A5F"/>
    <w:rsid w:val="45B70AB6"/>
    <w:rsid w:val="45BE1896"/>
    <w:rsid w:val="45C21258"/>
    <w:rsid w:val="45C374F7"/>
    <w:rsid w:val="45CF5588"/>
    <w:rsid w:val="45E535E5"/>
    <w:rsid w:val="45FD2A9F"/>
    <w:rsid w:val="46185997"/>
    <w:rsid w:val="46480C46"/>
    <w:rsid w:val="464E5B22"/>
    <w:rsid w:val="465719BA"/>
    <w:rsid w:val="466A2D2D"/>
    <w:rsid w:val="46C53057"/>
    <w:rsid w:val="46D2232B"/>
    <w:rsid w:val="46D766B5"/>
    <w:rsid w:val="46DB548E"/>
    <w:rsid w:val="46DD6135"/>
    <w:rsid w:val="470D6DF4"/>
    <w:rsid w:val="470E5757"/>
    <w:rsid w:val="471609FC"/>
    <w:rsid w:val="473F2635"/>
    <w:rsid w:val="47470193"/>
    <w:rsid w:val="474E6020"/>
    <w:rsid w:val="4753398A"/>
    <w:rsid w:val="47537F64"/>
    <w:rsid w:val="476676F8"/>
    <w:rsid w:val="477E64CE"/>
    <w:rsid w:val="478A2625"/>
    <w:rsid w:val="478D0FC4"/>
    <w:rsid w:val="47995509"/>
    <w:rsid w:val="47A40992"/>
    <w:rsid w:val="47BA075C"/>
    <w:rsid w:val="47BE498F"/>
    <w:rsid w:val="47C71FE4"/>
    <w:rsid w:val="47CD0F8C"/>
    <w:rsid w:val="47D85091"/>
    <w:rsid w:val="47DA3EE6"/>
    <w:rsid w:val="47E80D20"/>
    <w:rsid w:val="47F161C2"/>
    <w:rsid w:val="47F66132"/>
    <w:rsid w:val="47FE205C"/>
    <w:rsid w:val="48064ED6"/>
    <w:rsid w:val="48170CBE"/>
    <w:rsid w:val="48286180"/>
    <w:rsid w:val="48340FA3"/>
    <w:rsid w:val="4843730A"/>
    <w:rsid w:val="484E10BE"/>
    <w:rsid w:val="485F529B"/>
    <w:rsid w:val="48662799"/>
    <w:rsid w:val="48691363"/>
    <w:rsid w:val="48897354"/>
    <w:rsid w:val="48917477"/>
    <w:rsid w:val="48945E7F"/>
    <w:rsid w:val="489770C9"/>
    <w:rsid w:val="48B23078"/>
    <w:rsid w:val="48CB623B"/>
    <w:rsid w:val="48D27C15"/>
    <w:rsid w:val="48E44E8E"/>
    <w:rsid w:val="48FA645F"/>
    <w:rsid w:val="490D0375"/>
    <w:rsid w:val="490F4371"/>
    <w:rsid w:val="4922557C"/>
    <w:rsid w:val="494A18A7"/>
    <w:rsid w:val="4953099D"/>
    <w:rsid w:val="495D5A00"/>
    <w:rsid w:val="49656C49"/>
    <w:rsid w:val="49813E8A"/>
    <w:rsid w:val="4989236D"/>
    <w:rsid w:val="49D6259B"/>
    <w:rsid w:val="49D62DD0"/>
    <w:rsid w:val="49DF7B2A"/>
    <w:rsid w:val="49E52C6C"/>
    <w:rsid w:val="49ED3805"/>
    <w:rsid w:val="49F444EB"/>
    <w:rsid w:val="49F64E79"/>
    <w:rsid w:val="49FE8A55"/>
    <w:rsid w:val="4A285F26"/>
    <w:rsid w:val="4A300C6A"/>
    <w:rsid w:val="4A3029FF"/>
    <w:rsid w:val="4A317426"/>
    <w:rsid w:val="4A495F64"/>
    <w:rsid w:val="4A5F5DCB"/>
    <w:rsid w:val="4A6361B0"/>
    <w:rsid w:val="4A6D5817"/>
    <w:rsid w:val="4A6D5A21"/>
    <w:rsid w:val="4A764CF9"/>
    <w:rsid w:val="4A780E6E"/>
    <w:rsid w:val="4A7A4F85"/>
    <w:rsid w:val="4A7D61F3"/>
    <w:rsid w:val="4A9B63A3"/>
    <w:rsid w:val="4A9C4AA6"/>
    <w:rsid w:val="4AC13BA7"/>
    <w:rsid w:val="4AD0298E"/>
    <w:rsid w:val="4AD43CC2"/>
    <w:rsid w:val="4B03568E"/>
    <w:rsid w:val="4B073250"/>
    <w:rsid w:val="4B157281"/>
    <w:rsid w:val="4B1B4D9A"/>
    <w:rsid w:val="4B244692"/>
    <w:rsid w:val="4B2B0B52"/>
    <w:rsid w:val="4B2D35EC"/>
    <w:rsid w:val="4B3D2633"/>
    <w:rsid w:val="4B43338C"/>
    <w:rsid w:val="4B596AA2"/>
    <w:rsid w:val="4B6865B5"/>
    <w:rsid w:val="4B6F6DF7"/>
    <w:rsid w:val="4B8455EB"/>
    <w:rsid w:val="4B845D24"/>
    <w:rsid w:val="4BA05124"/>
    <w:rsid w:val="4BAF5721"/>
    <w:rsid w:val="4BB932E2"/>
    <w:rsid w:val="4BBA1147"/>
    <w:rsid w:val="4C037012"/>
    <w:rsid w:val="4C2C12C3"/>
    <w:rsid w:val="4C3008D0"/>
    <w:rsid w:val="4C3679C6"/>
    <w:rsid w:val="4C390B55"/>
    <w:rsid w:val="4C5C5F9D"/>
    <w:rsid w:val="4C720AD0"/>
    <w:rsid w:val="4C75532B"/>
    <w:rsid w:val="4C7A5603"/>
    <w:rsid w:val="4C8111CA"/>
    <w:rsid w:val="4C8220ED"/>
    <w:rsid w:val="4C961F41"/>
    <w:rsid w:val="4CA334F9"/>
    <w:rsid w:val="4CAB4709"/>
    <w:rsid w:val="4CB5597E"/>
    <w:rsid w:val="4CC153CA"/>
    <w:rsid w:val="4CCA2622"/>
    <w:rsid w:val="4CCF5635"/>
    <w:rsid w:val="4CD27DDB"/>
    <w:rsid w:val="4CD951A0"/>
    <w:rsid w:val="4CE05184"/>
    <w:rsid w:val="4CE524B9"/>
    <w:rsid w:val="4CE61651"/>
    <w:rsid w:val="4CF2752F"/>
    <w:rsid w:val="4D0835E9"/>
    <w:rsid w:val="4D271487"/>
    <w:rsid w:val="4D2A7EDF"/>
    <w:rsid w:val="4D2B58BF"/>
    <w:rsid w:val="4D2E3A04"/>
    <w:rsid w:val="4D4030BE"/>
    <w:rsid w:val="4D6C1330"/>
    <w:rsid w:val="4D756297"/>
    <w:rsid w:val="4D8515C9"/>
    <w:rsid w:val="4D890E9D"/>
    <w:rsid w:val="4D8F7DD5"/>
    <w:rsid w:val="4D901638"/>
    <w:rsid w:val="4D916E14"/>
    <w:rsid w:val="4D9F6363"/>
    <w:rsid w:val="4DA413A1"/>
    <w:rsid w:val="4DC22632"/>
    <w:rsid w:val="4DD80CDF"/>
    <w:rsid w:val="4DDF6B8F"/>
    <w:rsid w:val="4DF236E4"/>
    <w:rsid w:val="4DF75681"/>
    <w:rsid w:val="4DFA0703"/>
    <w:rsid w:val="4E031912"/>
    <w:rsid w:val="4E67354A"/>
    <w:rsid w:val="4E73266B"/>
    <w:rsid w:val="4E7929BA"/>
    <w:rsid w:val="4E7B6778"/>
    <w:rsid w:val="4E8642F1"/>
    <w:rsid w:val="4E991BE4"/>
    <w:rsid w:val="4EA847B3"/>
    <w:rsid w:val="4EAA4484"/>
    <w:rsid w:val="4EC5306C"/>
    <w:rsid w:val="4ECC7F56"/>
    <w:rsid w:val="4ED15497"/>
    <w:rsid w:val="4ED4741A"/>
    <w:rsid w:val="4EE70BFC"/>
    <w:rsid w:val="4EEE643C"/>
    <w:rsid w:val="4EEF4A17"/>
    <w:rsid w:val="4EF0048C"/>
    <w:rsid w:val="4EFD28C2"/>
    <w:rsid w:val="4F1E452A"/>
    <w:rsid w:val="4F3A6603"/>
    <w:rsid w:val="4F3B2DCB"/>
    <w:rsid w:val="4F3C0C95"/>
    <w:rsid w:val="4F691C49"/>
    <w:rsid w:val="4F7D3F49"/>
    <w:rsid w:val="4F8B50E7"/>
    <w:rsid w:val="4FB45182"/>
    <w:rsid w:val="4FB71A5D"/>
    <w:rsid w:val="4FB72C7A"/>
    <w:rsid w:val="4FC4795B"/>
    <w:rsid w:val="4FCF827D"/>
    <w:rsid w:val="4FD25C82"/>
    <w:rsid w:val="4FD6135A"/>
    <w:rsid w:val="4FE00F0B"/>
    <w:rsid w:val="4FF379A4"/>
    <w:rsid w:val="4FFF16B7"/>
    <w:rsid w:val="500217A5"/>
    <w:rsid w:val="500F14D6"/>
    <w:rsid w:val="50220E8F"/>
    <w:rsid w:val="50410FC1"/>
    <w:rsid w:val="504E2135"/>
    <w:rsid w:val="50500572"/>
    <w:rsid w:val="505C064C"/>
    <w:rsid w:val="50693ADF"/>
    <w:rsid w:val="506D5405"/>
    <w:rsid w:val="50771A9C"/>
    <w:rsid w:val="50950C9A"/>
    <w:rsid w:val="50AC4899"/>
    <w:rsid w:val="50E920BD"/>
    <w:rsid w:val="50EE3B03"/>
    <w:rsid w:val="50F82A75"/>
    <w:rsid w:val="51053257"/>
    <w:rsid w:val="51431E42"/>
    <w:rsid w:val="51450494"/>
    <w:rsid w:val="5146092A"/>
    <w:rsid w:val="51634A9A"/>
    <w:rsid w:val="516923D4"/>
    <w:rsid w:val="51693415"/>
    <w:rsid w:val="517073FB"/>
    <w:rsid w:val="517600F9"/>
    <w:rsid w:val="517A0EF1"/>
    <w:rsid w:val="51826FF2"/>
    <w:rsid w:val="51852DBA"/>
    <w:rsid w:val="518E3D0C"/>
    <w:rsid w:val="51906CB3"/>
    <w:rsid w:val="51A947E6"/>
    <w:rsid w:val="51D9122E"/>
    <w:rsid w:val="51FB5766"/>
    <w:rsid w:val="52003972"/>
    <w:rsid w:val="52011459"/>
    <w:rsid w:val="5201513B"/>
    <w:rsid w:val="520274EA"/>
    <w:rsid w:val="52047653"/>
    <w:rsid w:val="521D17EC"/>
    <w:rsid w:val="52384E06"/>
    <w:rsid w:val="52387C4A"/>
    <w:rsid w:val="52497018"/>
    <w:rsid w:val="52535BCC"/>
    <w:rsid w:val="52623D08"/>
    <w:rsid w:val="52644CB0"/>
    <w:rsid w:val="52757A71"/>
    <w:rsid w:val="527C7722"/>
    <w:rsid w:val="52834F24"/>
    <w:rsid w:val="52863AC7"/>
    <w:rsid w:val="52BF212E"/>
    <w:rsid w:val="52EC5B41"/>
    <w:rsid w:val="52F469E0"/>
    <w:rsid w:val="52F6155C"/>
    <w:rsid w:val="52F9655C"/>
    <w:rsid w:val="531460EC"/>
    <w:rsid w:val="5315385C"/>
    <w:rsid w:val="531600F1"/>
    <w:rsid w:val="533162A1"/>
    <w:rsid w:val="5342491C"/>
    <w:rsid w:val="53A06ACE"/>
    <w:rsid w:val="53A85BF6"/>
    <w:rsid w:val="53B86A58"/>
    <w:rsid w:val="53C02053"/>
    <w:rsid w:val="53C072FC"/>
    <w:rsid w:val="53C56D73"/>
    <w:rsid w:val="53CC7CB4"/>
    <w:rsid w:val="53D233D8"/>
    <w:rsid w:val="53DD44AD"/>
    <w:rsid w:val="53E002AC"/>
    <w:rsid w:val="53E120F2"/>
    <w:rsid w:val="53FF5EFB"/>
    <w:rsid w:val="54196B64"/>
    <w:rsid w:val="541B0AFD"/>
    <w:rsid w:val="541F6D7A"/>
    <w:rsid w:val="54217E20"/>
    <w:rsid w:val="54273E81"/>
    <w:rsid w:val="542875FB"/>
    <w:rsid w:val="54297BF9"/>
    <w:rsid w:val="542B76DA"/>
    <w:rsid w:val="543547EF"/>
    <w:rsid w:val="544822BD"/>
    <w:rsid w:val="544A5CAC"/>
    <w:rsid w:val="547025C3"/>
    <w:rsid w:val="54AF5270"/>
    <w:rsid w:val="54B1543D"/>
    <w:rsid w:val="54C27769"/>
    <w:rsid w:val="54C4350C"/>
    <w:rsid w:val="54F53048"/>
    <w:rsid w:val="55036E2A"/>
    <w:rsid w:val="55157F87"/>
    <w:rsid w:val="5519173E"/>
    <w:rsid w:val="551D6E0E"/>
    <w:rsid w:val="55246B06"/>
    <w:rsid w:val="5534121F"/>
    <w:rsid w:val="55390B69"/>
    <w:rsid w:val="553B71F6"/>
    <w:rsid w:val="553F1160"/>
    <w:rsid w:val="553F1E51"/>
    <w:rsid w:val="55427D1E"/>
    <w:rsid w:val="5579725C"/>
    <w:rsid w:val="557C65CC"/>
    <w:rsid w:val="55890B98"/>
    <w:rsid w:val="559F30F0"/>
    <w:rsid w:val="55A84BFE"/>
    <w:rsid w:val="55B45F63"/>
    <w:rsid w:val="55B90C0A"/>
    <w:rsid w:val="55D63591"/>
    <w:rsid w:val="55ED6C72"/>
    <w:rsid w:val="55FD7369"/>
    <w:rsid w:val="560A087F"/>
    <w:rsid w:val="56122C31"/>
    <w:rsid w:val="561974BB"/>
    <w:rsid w:val="56230B5C"/>
    <w:rsid w:val="56281E78"/>
    <w:rsid w:val="562A4387"/>
    <w:rsid w:val="56334986"/>
    <w:rsid w:val="56394FFE"/>
    <w:rsid w:val="564E2FEA"/>
    <w:rsid w:val="56520376"/>
    <w:rsid w:val="56533581"/>
    <w:rsid w:val="56556A86"/>
    <w:rsid w:val="565A2E32"/>
    <w:rsid w:val="56694C24"/>
    <w:rsid w:val="568858B4"/>
    <w:rsid w:val="56AE4AD0"/>
    <w:rsid w:val="56AE6CD3"/>
    <w:rsid w:val="56CE0807"/>
    <w:rsid w:val="56CF1ADE"/>
    <w:rsid w:val="56DB2BAE"/>
    <w:rsid w:val="56FA2C95"/>
    <w:rsid w:val="57075BF9"/>
    <w:rsid w:val="57082B77"/>
    <w:rsid w:val="570E2351"/>
    <w:rsid w:val="57172D90"/>
    <w:rsid w:val="57260DE0"/>
    <w:rsid w:val="57313A9F"/>
    <w:rsid w:val="57386662"/>
    <w:rsid w:val="574F03D9"/>
    <w:rsid w:val="57500B92"/>
    <w:rsid w:val="576946C4"/>
    <w:rsid w:val="576F626A"/>
    <w:rsid w:val="576F699C"/>
    <w:rsid w:val="577F71B5"/>
    <w:rsid w:val="57850AAF"/>
    <w:rsid w:val="57900DA2"/>
    <w:rsid w:val="57923690"/>
    <w:rsid w:val="57960F05"/>
    <w:rsid w:val="57A21B1B"/>
    <w:rsid w:val="57A60B39"/>
    <w:rsid w:val="57AD6121"/>
    <w:rsid w:val="57BC62D0"/>
    <w:rsid w:val="57C04710"/>
    <w:rsid w:val="57C6377C"/>
    <w:rsid w:val="57DB7459"/>
    <w:rsid w:val="57DC32D5"/>
    <w:rsid w:val="57DF96B7"/>
    <w:rsid w:val="57EC6F5E"/>
    <w:rsid w:val="58050D13"/>
    <w:rsid w:val="58185E8D"/>
    <w:rsid w:val="582020A9"/>
    <w:rsid w:val="58271974"/>
    <w:rsid w:val="58290DC5"/>
    <w:rsid w:val="583170EE"/>
    <w:rsid w:val="58366D88"/>
    <w:rsid w:val="584279F0"/>
    <w:rsid w:val="58527FC8"/>
    <w:rsid w:val="585C536F"/>
    <w:rsid w:val="58647470"/>
    <w:rsid w:val="58715F13"/>
    <w:rsid w:val="58723020"/>
    <w:rsid w:val="587303D7"/>
    <w:rsid w:val="58806C98"/>
    <w:rsid w:val="58961943"/>
    <w:rsid w:val="58A75590"/>
    <w:rsid w:val="58B45DE2"/>
    <w:rsid w:val="58C67691"/>
    <w:rsid w:val="58CB0566"/>
    <w:rsid w:val="58D411FE"/>
    <w:rsid w:val="58D606BB"/>
    <w:rsid w:val="58E20B05"/>
    <w:rsid w:val="58E40C92"/>
    <w:rsid w:val="590162FC"/>
    <w:rsid w:val="590B0BE2"/>
    <w:rsid w:val="590E217B"/>
    <w:rsid w:val="59121580"/>
    <w:rsid w:val="592B0EE9"/>
    <w:rsid w:val="593E4EAE"/>
    <w:rsid w:val="595D7890"/>
    <w:rsid w:val="59695CB6"/>
    <w:rsid w:val="59796611"/>
    <w:rsid w:val="598C3104"/>
    <w:rsid w:val="59A07F5E"/>
    <w:rsid w:val="59A41CA5"/>
    <w:rsid w:val="59A801F0"/>
    <w:rsid w:val="59B2180F"/>
    <w:rsid w:val="59B24FB1"/>
    <w:rsid w:val="59CC6F66"/>
    <w:rsid w:val="59E22D24"/>
    <w:rsid w:val="59F82FAA"/>
    <w:rsid w:val="59FA6DBB"/>
    <w:rsid w:val="5A18706C"/>
    <w:rsid w:val="5A2956B2"/>
    <w:rsid w:val="5A2F034B"/>
    <w:rsid w:val="5A334CA4"/>
    <w:rsid w:val="5A376642"/>
    <w:rsid w:val="5A3E0892"/>
    <w:rsid w:val="5A4C460E"/>
    <w:rsid w:val="5A4D497B"/>
    <w:rsid w:val="5A537740"/>
    <w:rsid w:val="5A766C37"/>
    <w:rsid w:val="5A874A8D"/>
    <w:rsid w:val="5A8B33BB"/>
    <w:rsid w:val="5A97386D"/>
    <w:rsid w:val="5A9A2F72"/>
    <w:rsid w:val="5AA73B01"/>
    <w:rsid w:val="5AB250D9"/>
    <w:rsid w:val="5AB44254"/>
    <w:rsid w:val="5AB47148"/>
    <w:rsid w:val="5AB95DB4"/>
    <w:rsid w:val="5ABB4FF8"/>
    <w:rsid w:val="5ABC62D9"/>
    <w:rsid w:val="5AE64A95"/>
    <w:rsid w:val="5AF12B77"/>
    <w:rsid w:val="5B2A3919"/>
    <w:rsid w:val="5B351435"/>
    <w:rsid w:val="5B5555DB"/>
    <w:rsid w:val="5B691FD4"/>
    <w:rsid w:val="5B926846"/>
    <w:rsid w:val="5BA57414"/>
    <w:rsid w:val="5BAC183B"/>
    <w:rsid w:val="5BB8544A"/>
    <w:rsid w:val="5BE72873"/>
    <w:rsid w:val="5C1C73FB"/>
    <w:rsid w:val="5C2A2C70"/>
    <w:rsid w:val="5C4952DC"/>
    <w:rsid w:val="5C51394C"/>
    <w:rsid w:val="5C72662A"/>
    <w:rsid w:val="5C960E86"/>
    <w:rsid w:val="5C9A5AE0"/>
    <w:rsid w:val="5C9B6BC5"/>
    <w:rsid w:val="5CBC60DC"/>
    <w:rsid w:val="5CC15D47"/>
    <w:rsid w:val="5CCE3449"/>
    <w:rsid w:val="5CDC04E1"/>
    <w:rsid w:val="5CDE7166"/>
    <w:rsid w:val="5CE23177"/>
    <w:rsid w:val="5CE86B44"/>
    <w:rsid w:val="5CEE15FE"/>
    <w:rsid w:val="5CFD25D5"/>
    <w:rsid w:val="5D033BE7"/>
    <w:rsid w:val="5D2B4537"/>
    <w:rsid w:val="5D3C2E5D"/>
    <w:rsid w:val="5D5C0BDE"/>
    <w:rsid w:val="5D604509"/>
    <w:rsid w:val="5D703211"/>
    <w:rsid w:val="5D9D02B2"/>
    <w:rsid w:val="5D9E1D99"/>
    <w:rsid w:val="5DAD470E"/>
    <w:rsid w:val="5DC85EB7"/>
    <w:rsid w:val="5DD33B7E"/>
    <w:rsid w:val="5DDE0981"/>
    <w:rsid w:val="5DE03167"/>
    <w:rsid w:val="5DEF5A0F"/>
    <w:rsid w:val="5DFC0FC1"/>
    <w:rsid w:val="5DFD783A"/>
    <w:rsid w:val="5DFF7AD9"/>
    <w:rsid w:val="5E135FCC"/>
    <w:rsid w:val="5E1A3FFA"/>
    <w:rsid w:val="5E47579C"/>
    <w:rsid w:val="5E4D0A45"/>
    <w:rsid w:val="5E50105F"/>
    <w:rsid w:val="5E6458A3"/>
    <w:rsid w:val="5E6939C8"/>
    <w:rsid w:val="5E870EC2"/>
    <w:rsid w:val="5E8D672F"/>
    <w:rsid w:val="5E8F0FA0"/>
    <w:rsid w:val="5E9138DC"/>
    <w:rsid w:val="5EB56C59"/>
    <w:rsid w:val="5EC461DB"/>
    <w:rsid w:val="5EC64E6D"/>
    <w:rsid w:val="5EE44A5F"/>
    <w:rsid w:val="5EE72B8A"/>
    <w:rsid w:val="5EEB1665"/>
    <w:rsid w:val="5F0A4389"/>
    <w:rsid w:val="5F0F007C"/>
    <w:rsid w:val="5F1F0C4B"/>
    <w:rsid w:val="5F2A0360"/>
    <w:rsid w:val="5F3D3A6B"/>
    <w:rsid w:val="5F5E1D1B"/>
    <w:rsid w:val="5F635AAB"/>
    <w:rsid w:val="5F702B80"/>
    <w:rsid w:val="5F85487D"/>
    <w:rsid w:val="5F973A30"/>
    <w:rsid w:val="5FB223E4"/>
    <w:rsid w:val="5FB34363"/>
    <w:rsid w:val="5FBC1F08"/>
    <w:rsid w:val="5FC446C9"/>
    <w:rsid w:val="5FC61843"/>
    <w:rsid w:val="5FCA04E2"/>
    <w:rsid w:val="5FCB0E07"/>
    <w:rsid w:val="5FD62FEA"/>
    <w:rsid w:val="5FDD424F"/>
    <w:rsid w:val="5FDF6B44"/>
    <w:rsid w:val="5FF13B6D"/>
    <w:rsid w:val="5FF31011"/>
    <w:rsid w:val="5FF9505A"/>
    <w:rsid w:val="5FFE0263"/>
    <w:rsid w:val="5FFE462F"/>
    <w:rsid w:val="600F52EB"/>
    <w:rsid w:val="60152B0C"/>
    <w:rsid w:val="603424E2"/>
    <w:rsid w:val="60555991"/>
    <w:rsid w:val="608655C1"/>
    <w:rsid w:val="609465DD"/>
    <w:rsid w:val="60A10BD7"/>
    <w:rsid w:val="60B915E0"/>
    <w:rsid w:val="61071A00"/>
    <w:rsid w:val="611F1BFA"/>
    <w:rsid w:val="6127216E"/>
    <w:rsid w:val="612826A2"/>
    <w:rsid w:val="61302D6A"/>
    <w:rsid w:val="614B240F"/>
    <w:rsid w:val="61767A26"/>
    <w:rsid w:val="617732D0"/>
    <w:rsid w:val="61A07A90"/>
    <w:rsid w:val="61A41EF3"/>
    <w:rsid w:val="61BB42C9"/>
    <w:rsid w:val="61CF1393"/>
    <w:rsid w:val="61D601BD"/>
    <w:rsid w:val="61E80983"/>
    <w:rsid w:val="61EF14EF"/>
    <w:rsid w:val="62132500"/>
    <w:rsid w:val="621A1EA2"/>
    <w:rsid w:val="62567799"/>
    <w:rsid w:val="625A2D1C"/>
    <w:rsid w:val="627574D8"/>
    <w:rsid w:val="62812FAA"/>
    <w:rsid w:val="62894684"/>
    <w:rsid w:val="62903706"/>
    <w:rsid w:val="629358D4"/>
    <w:rsid w:val="629A5B3F"/>
    <w:rsid w:val="62AC1B8A"/>
    <w:rsid w:val="62BC587D"/>
    <w:rsid w:val="62C03E1E"/>
    <w:rsid w:val="62C13140"/>
    <w:rsid w:val="62C570C0"/>
    <w:rsid w:val="62D17FA8"/>
    <w:rsid w:val="62DD2EA7"/>
    <w:rsid w:val="62EB02B5"/>
    <w:rsid w:val="62EB04C8"/>
    <w:rsid w:val="62F51941"/>
    <w:rsid w:val="62F77154"/>
    <w:rsid w:val="630F0EC2"/>
    <w:rsid w:val="6318550E"/>
    <w:rsid w:val="63353BCF"/>
    <w:rsid w:val="634F383A"/>
    <w:rsid w:val="63500CFE"/>
    <w:rsid w:val="636447A9"/>
    <w:rsid w:val="637D1ECB"/>
    <w:rsid w:val="63BA052F"/>
    <w:rsid w:val="63BE0AD3"/>
    <w:rsid w:val="63CA7044"/>
    <w:rsid w:val="63F221BC"/>
    <w:rsid w:val="63F6567C"/>
    <w:rsid w:val="64032C6B"/>
    <w:rsid w:val="64087A7B"/>
    <w:rsid w:val="640B57D3"/>
    <w:rsid w:val="641A5836"/>
    <w:rsid w:val="6432180C"/>
    <w:rsid w:val="64421735"/>
    <w:rsid w:val="64452D39"/>
    <w:rsid w:val="64585427"/>
    <w:rsid w:val="645B2788"/>
    <w:rsid w:val="64612F19"/>
    <w:rsid w:val="646D21E8"/>
    <w:rsid w:val="646F5CE5"/>
    <w:rsid w:val="6477726A"/>
    <w:rsid w:val="64783308"/>
    <w:rsid w:val="648D6455"/>
    <w:rsid w:val="6497689E"/>
    <w:rsid w:val="64B72E0C"/>
    <w:rsid w:val="64B86B2D"/>
    <w:rsid w:val="64CB244A"/>
    <w:rsid w:val="64E31C9A"/>
    <w:rsid w:val="64EA4C89"/>
    <w:rsid w:val="64F32289"/>
    <w:rsid w:val="64F4303F"/>
    <w:rsid w:val="64FE0A7A"/>
    <w:rsid w:val="65036497"/>
    <w:rsid w:val="650B74EE"/>
    <w:rsid w:val="65150451"/>
    <w:rsid w:val="651C6FE9"/>
    <w:rsid w:val="651D3FC4"/>
    <w:rsid w:val="652D26C7"/>
    <w:rsid w:val="655059E1"/>
    <w:rsid w:val="65571136"/>
    <w:rsid w:val="65585F78"/>
    <w:rsid w:val="65604F99"/>
    <w:rsid w:val="65682F42"/>
    <w:rsid w:val="6584208A"/>
    <w:rsid w:val="65895139"/>
    <w:rsid w:val="65947981"/>
    <w:rsid w:val="659A1FB5"/>
    <w:rsid w:val="659A4539"/>
    <w:rsid w:val="65A652CF"/>
    <w:rsid w:val="65B57B97"/>
    <w:rsid w:val="65C32871"/>
    <w:rsid w:val="65C328EA"/>
    <w:rsid w:val="65D51FB2"/>
    <w:rsid w:val="65DA4CF7"/>
    <w:rsid w:val="65DF0CA7"/>
    <w:rsid w:val="65E24BB0"/>
    <w:rsid w:val="66014227"/>
    <w:rsid w:val="66052F3E"/>
    <w:rsid w:val="660C7630"/>
    <w:rsid w:val="660E3E13"/>
    <w:rsid w:val="661C5600"/>
    <w:rsid w:val="66206B4D"/>
    <w:rsid w:val="66405DB3"/>
    <w:rsid w:val="664811B3"/>
    <w:rsid w:val="66530A5C"/>
    <w:rsid w:val="665836A7"/>
    <w:rsid w:val="667E108E"/>
    <w:rsid w:val="667F356D"/>
    <w:rsid w:val="66B34699"/>
    <w:rsid w:val="66C34609"/>
    <w:rsid w:val="66C52DAC"/>
    <w:rsid w:val="66EE7969"/>
    <w:rsid w:val="670B6EA6"/>
    <w:rsid w:val="67187ECE"/>
    <w:rsid w:val="6727739D"/>
    <w:rsid w:val="67320624"/>
    <w:rsid w:val="673A09AE"/>
    <w:rsid w:val="673E76D0"/>
    <w:rsid w:val="67504513"/>
    <w:rsid w:val="67724BEA"/>
    <w:rsid w:val="677C68AC"/>
    <w:rsid w:val="678C79E3"/>
    <w:rsid w:val="67A1421E"/>
    <w:rsid w:val="67A16DDF"/>
    <w:rsid w:val="67AD71F1"/>
    <w:rsid w:val="67B558B7"/>
    <w:rsid w:val="67B96881"/>
    <w:rsid w:val="67D16185"/>
    <w:rsid w:val="67ED5C91"/>
    <w:rsid w:val="680A12F6"/>
    <w:rsid w:val="682928D9"/>
    <w:rsid w:val="683318FD"/>
    <w:rsid w:val="6845768F"/>
    <w:rsid w:val="68694A1F"/>
    <w:rsid w:val="68727727"/>
    <w:rsid w:val="68786E71"/>
    <w:rsid w:val="688B4389"/>
    <w:rsid w:val="68A0671B"/>
    <w:rsid w:val="68B93CC3"/>
    <w:rsid w:val="68B960C7"/>
    <w:rsid w:val="68E11F64"/>
    <w:rsid w:val="68EF0D46"/>
    <w:rsid w:val="68EF2D67"/>
    <w:rsid w:val="68FE23F7"/>
    <w:rsid w:val="692C1C8F"/>
    <w:rsid w:val="69320D51"/>
    <w:rsid w:val="693370F8"/>
    <w:rsid w:val="69384D87"/>
    <w:rsid w:val="69452AD1"/>
    <w:rsid w:val="694B590C"/>
    <w:rsid w:val="694F16CF"/>
    <w:rsid w:val="696848C8"/>
    <w:rsid w:val="696B2CBA"/>
    <w:rsid w:val="696F7F2A"/>
    <w:rsid w:val="697237C8"/>
    <w:rsid w:val="69763488"/>
    <w:rsid w:val="69817BF8"/>
    <w:rsid w:val="698A4AA9"/>
    <w:rsid w:val="698B577F"/>
    <w:rsid w:val="69972F92"/>
    <w:rsid w:val="69981827"/>
    <w:rsid w:val="69990F25"/>
    <w:rsid w:val="69A23D5A"/>
    <w:rsid w:val="69A60607"/>
    <w:rsid w:val="69B87748"/>
    <w:rsid w:val="69CB53D9"/>
    <w:rsid w:val="6A426C8D"/>
    <w:rsid w:val="6A44524F"/>
    <w:rsid w:val="6A68006A"/>
    <w:rsid w:val="6A6A371E"/>
    <w:rsid w:val="6A6E1944"/>
    <w:rsid w:val="6A8C0077"/>
    <w:rsid w:val="6A8F1412"/>
    <w:rsid w:val="6A903551"/>
    <w:rsid w:val="6A944812"/>
    <w:rsid w:val="6A9F203B"/>
    <w:rsid w:val="6ABE50E7"/>
    <w:rsid w:val="6AD02208"/>
    <w:rsid w:val="6AD42F1C"/>
    <w:rsid w:val="6ADE3F6B"/>
    <w:rsid w:val="6AF32E2F"/>
    <w:rsid w:val="6AFF3CC9"/>
    <w:rsid w:val="6B030D4C"/>
    <w:rsid w:val="6B0B793A"/>
    <w:rsid w:val="6B132234"/>
    <w:rsid w:val="6B4610E1"/>
    <w:rsid w:val="6B5A3D3B"/>
    <w:rsid w:val="6B7B079E"/>
    <w:rsid w:val="6B7E1823"/>
    <w:rsid w:val="6B81330D"/>
    <w:rsid w:val="6BA12017"/>
    <w:rsid w:val="6BA24C08"/>
    <w:rsid w:val="6BA55399"/>
    <w:rsid w:val="6BBC293F"/>
    <w:rsid w:val="6BC97482"/>
    <w:rsid w:val="6BDA2FAE"/>
    <w:rsid w:val="6BDE7AE6"/>
    <w:rsid w:val="6BEF1E2F"/>
    <w:rsid w:val="6BFC50BC"/>
    <w:rsid w:val="6C11344C"/>
    <w:rsid w:val="6C134FBF"/>
    <w:rsid w:val="6C317854"/>
    <w:rsid w:val="6C380E3A"/>
    <w:rsid w:val="6C4B4758"/>
    <w:rsid w:val="6C4F06C1"/>
    <w:rsid w:val="6C4F6C96"/>
    <w:rsid w:val="6C576F2D"/>
    <w:rsid w:val="6C680298"/>
    <w:rsid w:val="6C6D5838"/>
    <w:rsid w:val="6C7B0CBE"/>
    <w:rsid w:val="6C7D3F88"/>
    <w:rsid w:val="6C8A5926"/>
    <w:rsid w:val="6C952553"/>
    <w:rsid w:val="6C9F051B"/>
    <w:rsid w:val="6CC22FFA"/>
    <w:rsid w:val="6CC74771"/>
    <w:rsid w:val="6CEF4B0B"/>
    <w:rsid w:val="6CF879DA"/>
    <w:rsid w:val="6CFD0614"/>
    <w:rsid w:val="6CFE2E1D"/>
    <w:rsid w:val="6D036C13"/>
    <w:rsid w:val="6D207157"/>
    <w:rsid w:val="6D3E5422"/>
    <w:rsid w:val="6D55344D"/>
    <w:rsid w:val="6D5F6682"/>
    <w:rsid w:val="6D7B66EA"/>
    <w:rsid w:val="6D7C5122"/>
    <w:rsid w:val="6DB51690"/>
    <w:rsid w:val="6DB876AF"/>
    <w:rsid w:val="6DC42A14"/>
    <w:rsid w:val="6DCA1943"/>
    <w:rsid w:val="6DCB4E90"/>
    <w:rsid w:val="6DD416E4"/>
    <w:rsid w:val="6DDE5E7F"/>
    <w:rsid w:val="6DE555D6"/>
    <w:rsid w:val="6DED0138"/>
    <w:rsid w:val="6DF74044"/>
    <w:rsid w:val="6DFEBF2F"/>
    <w:rsid w:val="6E005A16"/>
    <w:rsid w:val="6E090523"/>
    <w:rsid w:val="6E113780"/>
    <w:rsid w:val="6E16168F"/>
    <w:rsid w:val="6E205FD6"/>
    <w:rsid w:val="6E2F26AE"/>
    <w:rsid w:val="6E471F93"/>
    <w:rsid w:val="6E5E7234"/>
    <w:rsid w:val="6E667928"/>
    <w:rsid w:val="6E6F2871"/>
    <w:rsid w:val="6E7921E8"/>
    <w:rsid w:val="6E863EA4"/>
    <w:rsid w:val="6E871171"/>
    <w:rsid w:val="6E8941F3"/>
    <w:rsid w:val="6E8E1B2B"/>
    <w:rsid w:val="6E9F5E9B"/>
    <w:rsid w:val="6EAA17BE"/>
    <w:rsid w:val="6EB8323D"/>
    <w:rsid w:val="6EBD15FB"/>
    <w:rsid w:val="6EE63F17"/>
    <w:rsid w:val="6EEB3AF6"/>
    <w:rsid w:val="6EEE4ED9"/>
    <w:rsid w:val="6F222A98"/>
    <w:rsid w:val="6F394D3C"/>
    <w:rsid w:val="6F523436"/>
    <w:rsid w:val="6F7166F6"/>
    <w:rsid w:val="6F933322"/>
    <w:rsid w:val="6F940239"/>
    <w:rsid w:val="6FA27D4C"/>
    <w:rsid w:val="6FB241F8"/>
    <w:rsid w:val="6FCC5990"/>
    <w:rsid w:val="6FD14EA5"/>
    <w:rsid w:val="6FD31471"/>
    <w:rsid w:val="6FDB5D5E"/>
    <w:rsid w:val="6FDC4FC3"/>
    <w:rsid w:val="6FFB7662"/>
    <w:rsid w:val="70094ED2"/>
    <w:rsid w:val="70192438"/>
    <w:rsid w:val="703D260A"/>
    <w:rsid w:val="70570FF5"/>
    <w:rsid w:val="705A7660"/>
    <w:rsid w:val="7060463A"/>
    <w:rsid w:val="70715C7C"/>
    <w:rsid w:val="708417D4"/>
    <w:rsid w:val="70894A34"/>
    <w:rsid w:val="709C1327"/>
    <w:rsid w:val="70AF0B0E"/>
    <w:rsid w:val="70CA782D"/>
    <w:rsid w:val="70D43718"/>
    <w:rsid w:val="70EE23B6"/>
    <w:rsid w:val="70FF69B3"/>
    <w:rsid w:val="71007D30"/>
    <w:rsid w:val="710A3193"/>
    <w:rsid w:val="711102D2"/>
    <w:rsid w:val="713245A2"/>
    <w:rsid w:val="71336BE7"/>
    <w:rsid w:val="713C6FC6"/>
    <w:rsid w:val="71444497"/>
    <w:rsid w:val="71535404"/>
    <w:rsid w:val="715541A6"/>
    <w:rsid w:val="71687B5B"/>
    <w:rsid w:val="717B05A6"/>
    <w:rsid w:val="71840E5C"/>
    <w:rsid w:val="7184489C"/>
    <w:rsid w:val="71877002"/>
    <w:rsid w:val="71902AE4"/>
    <w:rsid w:val="71924BD7"/>
    <w:rsid w:val="71A73234"/>
    <w:rsid w:val="71B06E02"/>
    <w:rsid w:val="71BF0765"/>
    <w:rsid w:val="71D71F74"/>
    <w:rsid w:val="71D912D4"/>
    <w:rsid w:val="71DB4038"/>
    <w:rsid w:val="71F20DEA"/>
    <w:rsid w:val="72080E01"/>
    <w:rsid w:val="7229032E"/>
    <w:rsid w:val="723430FA"/>
    <w:rsid w:val="72357A4A"/>
    <w:rsid w:val="725513DB"/>
    <w:rsid w:val="72953F04"/>
    <w:rsid w:val="72A62153"/>
    <w:rsid w:val="72AA7EE7"/>
    <w:rsid w:val="72B27CB2"/>
    <w:rsid w:val="72BD5C84"/>
    <w:rsid w:val="72CA1C8E"/>
    <w:rsid w:val="72E160D3"/>
    <w:rsid w:val="72EE2FB8"/>
    <w:rsid w:val="72F62DED"/>
    <w:rsid w:val="730078FC"/>
    <w:rsid w:val="730A3E35"/>
    <w:rsid w:val="731B32C3"/>
    <w:rsid w:val="732A3D34"/>
    <w:rsid w:val="733A5DD6"/>
    <w:rsid w:val="733B309E"/>
    <w:rsid w:val="734934E2"/>
    <w:rsid w:val="734C5BFD"/>
    <w:rsid w:val="73576CED"/>
    <w:rsid w:val="737A164B"/>
    <w:rsid w:val="73892A07"/>
    <w:rsid w:val="738C335A"/>
    <w:rsid w:val="73CA5314"/>
    <w:rsid w:val="73D24CA1"/>
    <w:rsid w:val="73DF7FDA"/>
    <w:rsid w:val="73F25E01"/>
    <w:rsid w:val="740B7090"/>
    <w:rsid w:val="742C2582"/>
    <w:rsid w:val="74493C73"/>
    <w:rsid w:val="74820981"/>
    <w:rsid w:val="74835319"/>
    <w:rsid w:val="74A01E17"/>
    <w:rsid w:val="74A72014"/>
    <w:rsid w:val="74AA2238"/>
    <w:rsid w:val="74C70189"/>
    <w:rsid w:val="74C84547"/>
    <w:rsid w:val="74CE2B0B"/>
    <w:rsid w:val="74F35FA9"/>
    <w:rsid w:val="750A4841"/>
    <w:rsid w:val="751A3921"/>
    <w:rsid w:val="751F6AD9"/>
    <w:rsid w:val="75341056"/>
    <w:rsid w:val="75437BDD"/>
    <w:rsid w:val="75506001"/>
    <w:rsid w:val="755A2348"/>
    <w:rsid w:val="755D5A0A"/>
    <w:rsid w:val="75694E17"/>
    <w:rsid w:val="756D3B06"/>
    <w:rsid w:val="75724C91"/>
    <w:rsid w:val="75752FAA"/>
    <w:rsid w:val="75860E1A"/>
    <w:rsid w:val="7587423B"/>
    <w:rsid w:val="758A609D"/>
    <w:rsid w:val="759C3C2D"/>
    <w:rsid w:val="759E1D8F"/>
    <w:rsid w:val="75A35A28"/>
    <w:rsid w:val="75B81F99"/>
    <w:rsid w:val="75C55FD3"/>
    <w:rsid w:val="75D7705D"/>
    <w:rsid w:val="75DE1737"/>
    <w:rsid w:val="75FA20BE"/>
    <w:rsid w:val="75FF7F78"/>
    <w:rsid w:val="76003BE2"/>
    <w:rsid w:val="7618178E"/>
    <w:rsid w:val="761B584F"/>
    <w:rsid w:val="76343CA5"/>
    <w:rsid w:val="763D4F16"/>
    <w:rsid w:val="764A3CD3"/>
    <w:rsid w:val="76635A18"/>
    <w:rsid w:val="766E31EC"/>
    <w:rsid w:val="76752F45"/>
    <w:rsid w:val="768704C9"/>
    <w:rsid w:val="768946F7"/>
    <w:rsid w:val="769C0E3E"/>
    <w:rsid w:val="76AE24B4"/>
    <w:rsid w:val="76AF60AC"/>
    <w:rsid w:val="76B145E2"/>
    <w:rsid w:val="76BC4508"/>
    <w:rsid w:val="76DEEA8D"/>
    <w:rsid w:val="76F26DE2"/>
    <w:rsid w:val="770B4DD1"/>
    <w:rsid w:val="771C566F"/>
    <w:rsid w:val="7726192C"/>
    <w:rsid w:val="773076F2"/>
    <w:rsid w:val="7733706B"/>
    <w:rsid w:val="773A0EE5"/>
    <w:rsid w:val="77653B81"/>
    <w:rsid w:val="7769030A"/>
    <w:rsid w:val="77877C60"/>
    <w:rsid w:val="77BA0EA6"/>
    <w:rsid w:val="77C2448A"/>
    <w:rsid w:val="77C556C0"/>
    <w:rsid w:val="77C822DD"/>
    <w:rsid w:val="77E46BAB"/>
    <w:rsid w:val="781836F9"/>
    <w:rsid w:val="782563B0"/>
    <w:rsid w:val="78374B57"/>
    <w:rsid w:val="784126A6"/>
    <w:rsid w:val="784A3CD3"/>
    <w:rsid w:val="78615480"/>
    <w:rsid w:val="78812164"/>
    <w:rsid w:val="788C2661"/>
    <w:rsid w:val="78A703AF"/>
    <w:rsid w:val="78AC1E9F"/>
    <w:rsid w:val="78B76EA7"/>
    <w:rsid w:val="78FC3F71"/>
    <w:rsid w:val="79063F3E"/>
    <w:rsid w:val="790A172B"/>
    <w:rsid w:val="79206F6D"/>
    <w:rsid w:val="792E189B"/>
    <w:rsid w:val="79493484"/>
    <w:rsid w:val="795310F0"/>
    <w:rsid w:val="795D308D"/>
    <w:rsid w:val="79673400"/>
    <w:rsid w:val="79676DE2"/>
    <w:rsid w:val="796850A8"/>
    <w:rsid w:val="79703CB2"/>
    <w:rsid w:val="7977219F"/>
    <w:rsid w:val="7978273D"/>
    <w:rsid w:val="799C2A97"/>
    <w:rsid w:val="79AC79FB"/>
    <w:rsid w:val="79AD1192"/>
    <w:rsid w:val="79D264B9"/>
    <w:rsid w:val="79DA518F"/>
    <w:rsid w:val="79DB1DF5"/>
    <w:rsid w:val="79FE700A"/>
    <w:rsid w:val="7A02599B"/>
    <w:rsid w:val="7A1547FF"/>
    <w:rsid w:val="7A17176E"/>
    <w:rsid w:val="7A481EBA"/>
    <w:rsid w:val="7A5507C4"/>
    <w:rsid w:val="7A643CD7"/>
    <w:rsid w:val="7A652B57"/>
    <w:rsid w:val="7A8B1C79"/>
    <w:rsid w:val="7A9F1116"/>
    <w:rsid w:val="7AB42307"/>
    <w:rsid w:val="7ACD1F36"/>
    <w:rsid w:val="7AD62AFA"/>
    <w:rsid w:val="7AE364A4"/>
    <w:rsid w:val="7AFA5C24"/>
    <w:rsid w:val="7B097BDE"/>
    <w:rsid w:val="7B123EC9"/>
    <w:rsid w:val="7B2037E2"/>
    <w:rsid w:val="7B376C34"/>
    <w:rsid w:val="7B3A0A78"/>
    <w:rsid w:val="7B484A08"/>
    <w:rsid w:val="7B614722"/>
    <w:rsid w:val="7B675BAF"/>
    <w:rsid w:val="7B6C2665"/>
    <w:rsid w:val="7B935302"/>
    <w:rsid w:val="7BA65D51"/>
    <w:rsid w:val="7BBF53C8"/>
    <w:rsid w:val="7BC37918"/>
    <w:rsid w:val="7BC44B32"/>
    <w:rsid w:val="7BC90C1C"/>
    <w:rsid w:val="7BD16478"/>
    <w:rsid w:val="7BDD0E17"/>
    <w:rsid w:val="7BDE611C"/>
    <w:rsid w:val="7BE160A9"/>
    <w:rsid w:val="7BE85E4B"/>
    <w:rsid w:val="7BEC509E"/>
    <w:rsid w:val="7BEDF4DB"/>
    <w:rsid w:val="7BF7CCCB"/>
    <w:rsid w:val="7C021D23"/>
    <w:rsid w:val="7C0750B2"/>
    <w:rsid w:val="7C0C4CCC"/>
    <w:rsid w:val="7C15390B"/>
    <w:rsid w:val="7C1B3232"/>
    <w:rsid w:val="7C3A0ED0"/>
    <w:rsid w:val="7C4D0079"/>
    <w:rsid w:val="7C4F2764"/>
    <w:rsid w:val="7C602641"/>
    <w:rsid w:val="7C772D42"/>
    <w:rsid w:val="7C80182D"/>
    <w:rsid w:val="7C8810B1"/>
    <w:rsid w:val="7C9712F4"/>
    <w:rsid w:val="7CB138FF"/>
    <w:rsid w:val="7CB336CB"/>
    <w:rsid w:val="7CBCD606"/>
    <w:rsid w:val="7CD347C3"/>
    <w:rsid w:val="7CDC699E"/>
    <w:rsid w:val="7D1563E6"/>
    <w:rsid w:val="7D366D5F"/>
    <w:rsid w:val="7D387271"/>
    <w:rsid w:val="7D3E0B18"/>
    <w:rsid w:val="7D3E15B4"/>
    <w:rsid w:val="7D3E70D3"/>
    <w:rsid w:val="7D4069DF"/>
    <w:rsid w:val="7D4F6073"/>
    <w:rsid w:val="7D511DEB"/>
    <w:rsid w:val="7D5C3EB4"/>
    <w:rsid w:val="7D5F0804"/>
    <w:rsid w:val="7D663E6F"/>
    <w:rsid w:val="7D71615B"/>
    <w:rsid w:val="7D912F29"/>
    <w:rsid w:val="7DA54F3A"/>
    <w:rsid w:val="7DB14677"/>
    <w:rsid w:val="7DBD0F25"/>
    <w:rsid w:val="7DC5730E"/>
    <w:rsid w:val="7DCA57F6"/>
    <w:rsid w:val="7DD64891"/>
    <w:rsid w:val="7DD73BA6"/>
    <w:rsid w:val="7DD74E45"/>
    <w:rsid w:val="7DFC1D56"/>
    <w:rsid w:val="7E1C6248"/>
    <w:rsid w:val="7E2B5B66"/>
    <w:rsid w:val="7E3D6F9A"/>
    <w:rsid w:val="7E4D14B0"/>
    <w:rsid w:val="7E5514BB"/>
    <w:rsid w:val="7E5C0A47"/>
    <w:rsid w:val="7E5E1B1E"/>
    <w:rsid w:val="7E704832"/>
    <w:rsid w:val="7E761F9C"/>
    <w:rsid w:val="7E800C15"/>
    <w:rsid w:val="7E853073"/>
    <w:rsid w:val="7E892F73"/>
    <w:rsid w:val="7E8D63FC"/>
    <w:rsid w:val="7E8F2119"/>
    <w:rsid w:val="7E953617"/>
    <w:rsid w:val="7EA63720"/>
    <w:rsid w:val="7ED634A8"/>
    <w:rsid w:val="7EE1748E"/>
    <w:rsid w:val="7EE439ED"/>
    <w:rsid w:val="7EF1686D"/>
    <w:rsid w:val="7EFC1C0D"/>
    <w:rsid w:val="7F0A4EC1"/>
    <w:rsid w:val="7F171A2C"/>
    <w:rsid w:val="7F2A7F3B"/>
    <w:rsid w:val="7F3E07EB"/>
    <w:rsid w:val="7F531E4A"/>
    <w:rsid w:val="7F593177"/>
    <w:rsid w:val="7F5CCBC0"/>
    <w:rsid w:val="7F737DF6"/>
    <w:rsid w:val="7F96147F"/>
    <w:rsid w:val="7F9711EC"/>
    <w:rsid w:val="7F9814CA"/>
    <w:rsid w:val="7FB004FC"/>
    <w:rsid w:val="7FB53AF5"/>
    <w:rsid w:val="7FC95C68"/>
    <w:rsid w:val="7FDD0187"/>
    <w:rsid w:val="7FDF53D3"/>
    <w:rsid w:val="7FE173B3"/>
    <w:rsid w:val="9ECA60FD"/>
    <w:rsid w:val="A7F3175D"/>
    <w:rsid w:val="BDDE37AA"/>
    <w:rsid w:val="D0ABEC99"/>
    <w:rsid w:val="DB5F8C82"/>
    <w:rsid w:val="EF77AE8C"/>
    <w:rsid w:val="F7FD3619"/>
    <w:rsid w:val="F8ED59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3"/>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4"/>
    <w:autoRedefine/>
    <w:qFormat/>
    <w:uiPriority w:val="0"/>
    <w:pPr>
      <w:keepNext/>
      <w:keepLines/>
      <w:spacing w:before="260" w:after="260" w:line="412" w:lineRule="auto"/>
      <w:outlineLvl w:val="1"/>
    </w:pPr>
    <w:rPr>
      <w:rFonts w:ascii="Arial" w:hAnsi="Arial" w:eastAsia="??"/>
      <w:b/>
      <w:sz w:val="32"/>
      <w:szCs w:val="28"/>
    </w:rPr>
  </w:style>
  <w:style w:type="paragraph" w:styleId="4">
    <w:name w:val="heading 3"/>
    <w:basedOn w:val="1"/>
    <w:next w:val="1"/>
    <w:autoRedefine/>
    <w:qFormat/>
    <w:uiPriority w:val="0"/>
    <w:pPr>
      <w:keepNext/>
      <w:keepLines/>
      <w:autoSpaceDE w:val="0"/>
      <w:autoSpaceDN w:val="0"/>
      <w:adjustRightInd w:val="0"/>
      <w:spacing w:before="360" w:after="120"/>
      <w:jc w:val="left"/>
      <w:outlineLvl w:val="2"/>
    </w:pPr>
    <w:rPr>
      <w:rFonts w:ascii="宋体" w:hAnsi="Tahoma"/>
      <w:b/>
      <w:kern w:val="0"/>
      <w:sz w:val="24"/>
      <w:u w:val="single"/>
    </w:rPr>
  </w:style>
  <w:style w:type="paragraph" w:styleId="5">
    <w:name w:val="heading 5"/>
    <w:basedOn w:val="1"/>
    <w:next w:val="1"/>
    <w:autoRedefine/>
    <w:qFormat/>
    <w:uiPriority w:val="9"/>
    <w:pPr>
      <w:keepNext/>
      <w:keepLines/>
      <w:spacing w:before="280" w:after="290" w:line="376" w:lineRule="auto"/>
      <w:outlineLvl w:val="4"/>
    </w:pPr>
    <w:rPr>
      <w:b/>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List Number"/>
    <w:basedOn w:val="1"/>
    <w:autoRedefine/>
    <w:qFormat/>
    <w:uiPriority w:val="0"/>
    <w:pPr>
      <w:widowControl/>
      <w:tabs>
        <w:tab w:val="left" w:pos="360"/>
        <w:tab w:val="left" w:pos="454"/>
        <w:tab w:val="left" w:pos="720"/>
      </w:tabs>
      <w:spacing w:afterLines="50"/>
      <w:ind w:left="454" w:hanging="284"/>
      <w:jc w:val="left"/>
    </w:pPr>
    <w:rPr>
      <w:kern w:val="0"/>
      <w:sz w:val="24"/>
    </w:rPr>
  </w:style>
  <w:style w:type="paragraph" w:styleId="7">
    <w:name w:val="Normal Indent"/>
    <w:basedOn w:val="1"/>
    <w:next w:val="1"/>
    <w:autoRedefine/>
    <w:qFormat/>
    <w:uiPriority w:val="0"/>
    <w:pPr>
      <w:spacing w:line="300" w:lineRule="auto"/>
      <w:ind w:firstLine="420"/>
    </w:pPr>
  </w:style>
  <w:style w:type="paragraph" w:styleId="8">
    <w:name w:val="Document Map"/>
    <w:basedOn w:val="1"/>
    <w:link w:val="101"/>
    <w:autoRedefine/>
    <w:qFormat/>
    <w:uiPriority w:val="0"/>
    <w:rPr>
      <w:rFonts w:ascii="宋体"/>
      <w:sz w:val="18"/>
      <w:szCs w:val="18"/>
    </w:rPr>
  </w:style>
  <w:style w:type="paragraph" w:styleId="9">
    <w:name w:val="annotation text"/>
    <w:basedOn w:val="1"/>
    <w:link w:val="45"/>
    <w:autoRedefine/>
    <w:qFormat/>
    <w:uiPriority w:val="0"/>
    <w:pPr>
      <w:jc w:val="left"/>
    </w:pPr>
    <w:rPr>
      <w:szCs w:val="24"/>
    </w:rPr>
  </w:style>
  <w:style w:type="paragraph" w:styleId="10">
    <w:name w:val="Body Text"/>
    <w:basedOn w:val="1"/>
    <w:next w:val="1"/>
    <w:link w:val="37"/>
    <w:autoRedefine/>
    <w:qFormat/>
    <w:uiPriority w:val="0"/>
    <w:pPr>
      <w:spacing w:after="120"/>
    </w:pPr>
    <w:rPr>
      <w:rFonts w:eastAsia="??"/>
      <w:sz w:val="28"/>
      <w:szCs w:val="28"/>
    </w:rPr>
  </w:style>
  <w:style w:type="paragraph" w:styleId="11">
    <w:name w:val="Body Text Indent"/>
    <w:basedOn w:val="1"/>
    <w:next w:val="7"/>
    <w:link w:val="41"/>
    <w:autoRedefine/>
    <w:qFormat/>
    <w:uiPriority w:val="0"/>
    <w:pPr>
      <w:spacing w:after="120"/>
      <w:ind w:left="420" w:leftChars="200"/>
    </w:pPr>
  </w:style>
  <w:style w:type="paragraph" w:styleId="12">
    <w:name w:val="Block Text"/>
    <w:basedOn w:val="1"/>
    <w:autoRedefine/>
    <w:qFormat/>
    <w:uiPriority w:val="0"/>
    <w:pPr>
      <w:adjustRightInd w:val="0"/>
      <w:spacing w:line="300" w:lineRule="auto"/>
      <w:ind w:left="958" w:right="-120" w:rightChars="-120"/>
      <w:jc w:val="left"/>
    </w:pPr>
    <w:rPr>
      <w:rFonts w:ascii="宋体" w:hAnsi="宋体"/>
      <w:sz w:val="28"/>
    </w:rPr>
  </w:style>
  <w:style w:type="paragraph" w:styleId="13">
    <w:name w:val="Plain Text"/>
    <w:basedOn w:val="1"/>
    <w:next w:val="1"/>
    <w:link w:val="46"/>
    <w:autoRedefine/>
    <w:qFormat/>
    <w:uiPriority w:val="0"/>
    <w:rPr>
      <w:rFonts w:ascii="宋体" w:hAnsi="Courier New" w:eastAsia="仿宋_GB2312"/>
      <w:sz w:val="30"/>
    </w:rPr>
  </w:style>
  <w:style w:type="paragraph" w:styleId="14">
    <w:name w:val="Body Text Indent 2"/>
    <w:basedOn w:val="1"/>
    <w:link w:val="47"/>
    <w:autoRedefine/>
    <w:qFormat/>
    <w:uiPriority w:val="0"/>
    <w:pPr>
      <w:spacing w:line="500" w:lineRule="exact"/>
      <w:ind w:left="105" w:firstLine="465" w:firstLineChars="166"/>
    </w:pPr>
    <w:rPr>
      <w:sz w:val="28"/>
    </w:rPr>
  </w:style>
  <w:style w:type="paragraph" w:styleId="15">
    <w:name w:val="Balloon Text"/>
    <w:basedOn w:val="1"/>
    <w:link w:val="48"/>
    <w:autoRedefine/>
    <w:qFormat/>
    <w:uiPriority w:val="0"/>
    <w:rPr>
      <w:sz w:val="18"/>
      <w:szCs w:val="18"/>
    </w:rPr>
  </w:style>
  <w:style w:type="paragraph" w:styleId="16">
    <w:name w:val="footer"/>
    <w:basedOn w:val="1"/>
    <w:next w:val="17"/>
    <w:link w:val="49"/>
    <w:autoRedefine/>
    <w:qFormat/>
    <w:uiPriority w:val="99"/>
    <w:pPr>
      <w:tabs>
        <w:tab w:val="center" w:pos="4153"/>
        <w:tab w:val="right" w:pos="8306"/>
      </w:tabs>
      <w:snapToGrid w:val="0"/>
      <w:jc w:val="left"/>
    </w:pPr>
    <w:rPr>
      <w:sz w:val="18"/>
      <w:szCs w:val="18"/>
    </w:rPr>
  </w:style>
  <w:style w:type="paragraph" w:styleId="17">
    <w:name w:val="toc 2"/>
    <w:basedOn w:val="1"/>
    <w:next w:val="1"/>
    <w:autoRedefine/>
    <w:qFormat/>
    <w:uiPriority w:val="0"/>
    <w:pPr>
      <w:tabs>
        <w:tab w:val="right" w:leader="middleDot" w:pos="8948"/>
      </w:tabs>
      <w:spacing w:before="60" w:after="60"/>
      <w:ind w:left="210"/>
    </w:pPr>
    <w:rPr>
      <w:smallCaps/>
    </w:rPr>
  </w:style>
  <w:style w:type="paragraph" w:styleId="18">
    <w:name w:val="header"/>
    <w:basedOn w:val="1"/>
    <w:link w:val="50"/>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autoRedefine/>
    <w:qFormat/>
    <w:uiPriority w:val="0"/>
    <w:pPr>
      <w:ind w:left="200" w:hanging="200" w:hangingChars="200"/>
    </w:pPr>
  </w:style>
  <w:style w:type="paragraph" w:styleId="20">
    <w:name w:val="toc 6"/>
    <w:basedOn w:val="1"/>
    <w:next w:val="1"/>
    <w:autoRedefine/>
    <w:qFormat/>
    <w:uiPriority w:val="0"/>
    <w:pPr>
      <w:ind w:left="1000" w:leftChars="1000"/>
    </w:pPr>
  </w:style>
  <w:style w:type="paragraph" w:styleId="21">
    <w:name w:val="Body Text Indent 3"/>
    <w:basedOn w:val="1"/>
    <w:link w:val="51"/>
    <w:autoRedefine/>
    <w:qFormat/>
    <w:uiPriority w:val="0"/>
    <w:pPr>
      <w:spacing w:after="120"/>
      <w:ind w:left="420" w:leftChars="200"/>
    </w:pPr>
    <w:rPr>
      <w:sz w:val="16"/>
      <w:szCs w:val="16"/>
    </w:rPr>
  </w:style>
  <w:style w:type="paragraph" w:styleId="22">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3">
    <w:name w:val="Title"/>
    <w:basedOn w:val="1"/>
    <w:link w:val="52"/>
    <w:autoRedefine/>
    <w:qFormat/>
    <w:uiPriority w:val="0"/>
    <w:pPr>
      <w:jc w:val="center"/>
    </w:pPr>
    <w:rPr>
      <w:rFonts w:ascii="Calibri" w:hAnsi="Calibri"/>
      <w:sz w:val="30"/>
      <w:szCs w:val="30"/>
    </w:rPr>
  </w:style>
  <w:style w:type="paragraph" w:styleId="24">
    <w:name w:val="annotation subject"/>
    <w:basedOn w:val="9"/>
    <w:next w:val="9"/>
    <w:link w:val="53"/>
    <w:autoRedefine/>
    <w:qFormat/>
    <w:uiPriority w:val="0"/>
    <w:rPr>
      <w:b/>
      <w:bCs/>
    </w:rPr>
  </w:style>
  <w:style w:type="paragraph" w:styleId="25">
    <w:name w:val="Body Text First Indent"/>
    <w:basedOn w:val="10"/>
    <w:next w:val="1"/>
    <w:autoRedefine/>
    <w:qFormat/>
    <w:uiPriority w:val="0"/>
    <w:pPr>
      <w:ind w:firstLine="420" w:firstLineChars="100"/>
    </w:pPr>
    <w:rPr>
      <w:szCs w:val="24"/>
    </w:rPr>
  </w:style>
  <w:style w:type="paragraph" w:styleId="26">
    <w:name w:val="Body Text First Indent 2"/>
    <w:basedOn w:val="11"/>
    <w:next w:val="1"/>
    <w:link w:val="42"/>
    <w:autoRedefine/>
    <w:qFormat/>
    <w:uiPriority w:val="0"/>
    <w:pPr>
      <w:ind w:firstLine="420" w:firstLineChars="200"/>
    </w:p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rFonts w:ascii="Times New Roman" w:hAnsi="Times New Roman" w:eastAsia="宋体" w:cs="Times New Roman"/>
      <w:b/>
      <w:bCs/>
    </w:rPr>
  </w:style>
  <w:style w:type="character" w:styleId="31">
    <w:name w:val="page number"/>
    <w:autoRedefine/>
    <w:qFormat/>
    <w:uiPriority w:val="0"/>
    <w:rPr>
      <w:rFonts w:ascii="Times New Roman" w:hAnsi="Times New Roman" w:eastAsia="宋体" w:cs="Times New Roman"/>
    </w:rPr>
  </w:style>
  <w:style w:type="character" w:styleId="32">
    <w:name w:val="Hyperlink"/>
    <w:autoRedefine/>
    <w:qFormat/>
    <w:uiPriority w:val="0"/>
    <w:rPr>
      <w:rFonts w:ascii="Times New Roman" w:hAnsi="Times New Roman" w:eastAsia="宋体" w:cs="Times New Roman"/>
      <w:color w:val="0000FF"/>
      <w:u w:val="single"/>
    </w:rPr>
  </w:style>
  <w:style w:type="character" w:styleId="33">
    <w:name w:val="annotation reference"/>
    <w:autoRedefine/>
    <w:qFormat/>
    <w:uiPriority w:val="0"/>
    <w:rPr>
      <w:rFonts w:ascii="Times New Roman" w:hAnsi="Times New Roman" w:eastAsia="宋体" w:cs="Times New Roman"/>
      <w:sz w:val="21"/>
      <w:szCs w:val="21"/>
    </w:rPr>
  </w:style>
  <w:style w:type="character" w:styleId="34">
    <w:name w:val="HTML Sample"/>
    <w:autoRedefine/>
    <w:qFormat/>
    <w:uiPriority w:val="0"/>
    <w:rPr>
      <w:rFonts w:ascii="Courier New" w:hAnsi="Courier New" w:eastAsia="宋体" w:cs="Times New Roman"/>
    </w:rPr>
  </w:style>
  <w:style w:type="paragraph" w:customStyle="1" w:styleId="35">
    <w:name w:val="BodyText1I2"/>
    <w:basedOn w:val="36"/>
    <w:qFormat/>
    <w:uiPriority w:val="0"/>
    <w:pPr>
      <w:widowControl w:val="0"/>
      <w:spacing w:after="120"/>
      <w:ind w:left="420" w:leftChars="200" w:firstLine="420"/>
      <w:jc w:val="both"/>
      <w:textAlignment w:val="baseline"/>
    </w:pPr>
    <w:rPr>
      <w:rFonts w:ascii="Times New Roman" w:hAnsi="Times New Roman" w:eastAsia="宋体" w:cs="Times New Roman"/>
      <w:kern w:val="2"/>
      <w:sz w:val="21"/>
      <w:szCs w:val="20"/>
      <w:lang w:val="en-US" w:eastAsia="zh-CN" w:bidi="ar-SA"/>
    </w:rPr>
  </w:style>
  <w:style w:type="paragraph" w:customStyle="1" w:styleId="36">
    <w:name w:val="BodyTextIndent"/>
    <w:qFormat/>
    <w:uiPriority w:val="0"/>
    <w:pPr>
      <w:widowControl w:val="0"/>
      <w:spacing w:after="120"/>
      <w:ind w:left="420" w:leftChars="200"/>
      <w:jc w:val="both"/>
      <w:textAlignment w:val="baseline"/>
    </w:pPr>
    <w:rPr>
      <w:rFonts w:ascii="Times New Roman" w:hAnsi="Times New Roman" w:eastAsia="宋体" w:cs="Times New Roman"/>
      <w:kern w:val="2"/>
      <w:sz w:val="21"/>
      <w:lang w:val="en-US" w:eastAsia="zh-CN" w:bidi="ar-SA"/>
    </w:rPr>
  </w:style>
  <w:style w:type="character" w:customStyle="1" w:styleId="37">
    <w:name w:val="正文文本 字符"/>
    <w:link w:val="10"/>
    <w:autoRedefine/>
    <w:qFormat/>
    <w:uiPriority w:val="0"/>
    <w:rPr>
      <w:rFonts w:ascii="Times New Roman" w:hAnsi="Times New Roman" w:eastAsia="??" w:cs="Times New Roman"/>
      <w:kern w:val="2"/>
      <w:sz w:val="28"/>
      <w:szCs w:val="28"/>
      <w:lang w:val="en-US" w:eastAsia="zh-CN" w:bidi="ar-SA"/>
    </w:rPr>
  </w:style>
  <w:style w:type="paragraph" w:customStyle="1" w:styleId="3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9">
    <w:name w:val="正文1"/>
    <w:basedOn w:val="1"/>
    <w:next w:val="1"/>
    <w:autoRedefine/>
    <w:qFormat/>
    <w:uiPriority w:val="0"/>
    <w:pPr>
      <w:adjustRightInd w:val="0"/>
      <w:spacing w:line="318" w:lineRule="atLeast"/>
      <w:ind w:left="369" w:firstLine="369"/>
      <w:textAlignment w:val="baseline"/>
    </w:pPr>
    <w:rPr>
      <w:rFonts w:ascii="宋体"/>
    </w:rPr>
  </w:style>
  <w:style w:type="paragraph" w:customStyle="1" w:styleId="40">
    <w:name w:val="样式 正文文本缩进 + 首行缩进:  2 字符 行距: 1.5 倍行距"/>
    <w:basedOn w:val="11"/>
    <w:autoRedefine/>
    <w:qFormat/>
    <w:uiPriority w:val="0"/>
    <w:pPr>
      <w:spacing w:before="156" w:line="360" w:lineRule="auto"/>
      <w:ind w:left="0" w:leftChars="0" w:firstLine="482"/>
    </w:pPr>
    <w:rPr>
      <w:rFonts w:eastAsia="仿宋" w:cs="宋体"/>
      <w:b/>
      <w:sz w:val="20"/>
    </w:rPr>
  </w:style>
  <w:style w:type="character" w:customStyle="1" w:styleId="41">
    <w:name w:val="正文文本缩进 字符"/>
    <w:link w:val="11"/>
    <w:autoRedefine/>
    <w:qFormat/>
    <w:uiPriority w:val="0"/>
    <w:rPr>
      <w:rFonts w:ascii="Times New Roman" w:hAnsi="Times New Roman" w:eastAsia="宋体" w:cs="Times New Roman"/>
      <w:kern w:val="2"/>
      <w:sz w:val="21"/>
    </w:rPr>
  </w:style>
  <w:style w:type="character" w:customStyle="1" w:styleId="42">
    <w:name w:val="正文文本首行缩进 2 字符"/>
    <w:link w:val="26"/>
    <w:autoRedefine/>
    <w:qFormat/>
    <w:uiPriority w:val="0"/>
    <w:rPr>
      <w:rFonts w:ascii="Times New Roman" w:hAnsi="Times New Roman" w:eastAsia="宋体" w:cs="Times New Roman"/>
    </w:rPr>
  </w:style>
  <w:style w:type="character" w:customStyle="1" w:styleId="43">
    <w:name w:val="标题 1 字符"/>
    <w:link w:val="2"/>
    <w:autoRedefine/>
    <w:qFormat/>
    <w:uiPriority w:val="0"/>
    <w:rPr>
      <w:rFonts w:ascii="Times New Roman" w:hAnsi="Times New Roman" w:eastAsia="宋体" w:cs="Times New Roman"/>
      <w:b/>
      <w:bCs/>
      <w:kern w:val="44"/>
      <w:sz w:val="44"/>
      <w:szCs w:val="44"/>
    </w:rPr>
  </w:style>
  <w:style w:type="character" w:customStyle="1" w:styleId="44">
    <w:name w:val="标题 2 字符"/>
    <w:link w:val="3"/>
    <w:autoRedefine/>
    <w:qFormat/>
    <w:uiPriority w:val="0"/>
    <w:rPr>
      <w:rFonts w:ascii="Arial" w:hAnsi="Arial" w:eastAsia="??" w:cs="Times New Roman"/>
      <w:b/>
      <w:kern w:val="2"/>
      <w:sz w:val="32"/>
      <w:szCs w:val="28"/>
      <w:lang w:val="en-US" w:eastAsia="zh-CN" w:bidi="ar-SA"/>
    </w:rPr>
  </w:style>
  <w:style w:type="character" w:customStyle="1" w:styleId="45">
    <w:name w:val="批注文字 字符"/>
    <w:link w:val="9"/>
    <w:autoRedefine/>
    <w:qFormat/>
    <w:uiPriority w:val="0"/>
    <w:rPr>
      <w:rFonts w:ascii="Times New Roman" w:hAnsi="Times New Roman" w:eastAsia="宋体" w:cs="Times New Roman"/>
      <w:kern w:val="2"/>
      <w:sz w:val="21"/>
      <w:szCs w:val="24"/>
    </w:rPr>
  </w:style>
  <w:style w:type="character" w:customStyle="1" w:styleId="46">
    <w:name w:val="纯文本 字符"/>
    <w:link w:val="13"/>
    <w:autoRedefine/>
    <w:qFormat/>
    <w:uiPriority w:val="0"/>
    <w:rPr>
      <w:rFonts w:ascii="宋体" w:hAnsi="Courier New" w:eastAsia="仿宋_GB2312" w:cs="Times New Roman"/>
      <w:kern w:val="2"/>
      <w:sz w:val="30"/>
      <w:lang w:val="en-US" w:eastAsia="zh-CN" w:bidi="ar-SA"/>
    </w:rPr>
  </w:style>
  <w:style w:type="character" w:customStyle="1" w:styleId="47">
    <w:name w:val="正文文本缩进 2 字符"/>
    <w:link w:val="14"/>
    <w:autoRedefine/>
    <w:qFormat/>
    <w:uiPriority w:val="0"/>
    <w:rPr>
      <w:rFonts w:ascii="Times New Roman" w:hAnsi="Times New Roman" w:eastAsia="宋体" w:cs="Times New Roman"/>
      <w:kern w:val="2"/>
      <w:sz w:val="28"/>
    </w:rPr>
  </w:style>
  <w:style w:type="character" w:customStyle="1" w:styleId="48">
    <w:name w:val="批注框文本 字符"/>
    <w:link w:val="15"/>
    <w:autoRedefine/>
    <w:qFormat/>
    <w:uiPriority w:val="0"/>
    <w:rPr>
      <w:rFonts w:ascii="Times New Roman" w:hAnsi="Times New Roman" w:eastAsia="宋体" w:cs="Times New Roman"/>
      <w:kern w:val="2"/>
      <w:sz w:val="18"/>
      <w:szCs w:val="18"/>
    </w:rPr>
  </w:style>
  <w:style w:type="character" w:customStyle="1" w:styleId="49">
    <w:name w:val="页脚 字符"/>
    <w:link w:val="16"/>
    <w:autoRedefine/>
    <w:qFormat/>
    <w:uiPriority w:val="99"/>
    <w:rPr>
      <w:rFonts w:ascii="Times New Roman" w:hAnsi="Times New Roman" w:eastAsia="宋体" w:cs="Times New Roman"/>
      <w:kern w:val="2"/>
      <w:sz w:val="18"/>
      <w:szCs w:val="18"/>
    </w:rPr>
  </w:style>
  <w:style w:type="character" w:customStyle="1" w:styleId="50">
    <w:name w:val="页眉 字符"/>
    <w:link w:val="18"/>
    <w:autoRedefine/>
    <w:qFormat/>
    <w:uiPriority w:val="99"/>
    <w:rPr>
      <w:rFonts w:ascii="Times New Roman" w:hAnsi="Times New Roman" w:eastAsia="宋体" w:cs="Times New Roman"/>
      <w:kern w:val="2"/>
      <w:sz w:val="18"/>
      <w:szCs w:val="18"/>
    </w:rPr>
  </w:style>
  <w:style w:type="character" w:customStyle="1" w:styleId="51">
    <w:name w:val="正文文本缩进 3 字符"/>
    <w:link w:val="21"/>
    <w:autoRedefine/>
    <w:qFormat/>
    <w:uiPriority w:val="0"/>
    <w:rPr>
      <w:rFonts w:ascii="Times New Roman" w:hAnsi="Times New Roman" w:eastAsia="宋体" w:cs="Times New Roman"/>
      <w:kern w:val="2"/>
      <w:sz w:val="16"/>
      <w:szCs w:val="16"/>
    </w:rPr>
  </w:style>
  <w:style w:type="character" w:customStyle="1" w:styleId="52">
    <w:name w:val="标题 字符"/>
    <w:link w:val="23"/>
    <w:autoRedefine/>
    <w:qFormat/>
    <w:uiPriority w:val="0"/>
    <w:rPr>
      <w:rFonts w:ascii="Calibri" w:hAnsi="Calibri" w:eastAsia="宋体" w:cs="Times New Roman"/>
      <w:kern w:val="2"/>
      <w:sz w:val="30"/>
      <w:szCs w:val="30"/>
    </w:rPr>
  </w:style>
  <w:style w:type="character" w:customStyle="1" w:styleId="53">
    <w:name w:val="批注主题 字符"/>
    <w:link w:val="24"/>
    <w:autoRedefine/>
    <w:qFormat/>
    <w:uiPriority w:val="0"/>
    <w:rPr>
      <w:rFonts w:ascii="Times New Roman" w:hAnsi="Times New Roman" w:eastAsia="宋体" w:cs="Times New Roman"/>
      <w:b/>
      <w:bCs/>
      <w:kern w:val="2"/>
      <w:sz w:val="21"/>
      <w:szCs w:val="24"/>
    </w:rPr>
  </w:style>
  <w:style w:type="paragraph" w:customStyle="1" w:styleId="54">
    <w:name w:val="_Style 3"/>
    <w:basedOn w:val="1"/>
    <w:autoRedefine/>
    <w:qFormat/>
    <w:uiPriority w:val="0"/>
    <w:pPr>
      <w:widowControl/>
      <w:spacing w:after="200" w:line="276" w:lineRule="auto"/>
      <w:ind w:left="720"/>
      <w:contextualSpacing/>
      <w:jc w:val="left"/>
    </w:pPr>
    <w:rPr>
      <w:rFonts w:ascii="Calibri" w:hAnsi="Calibri"/>
      <w:kern w:val="0"/>
      <w:sz w:val="22"/>
      <w:szCs w:val="22"/>
    </w:rPr>
  </w:style>
  <w:style w:type="paragraph" w:customStyle="1" w:styleId="55">
    <w:name w:val="正文首行缩进 21"/>
    <w:basedOn w:val="56"/>
    <w:autoRedefine/>
    <w:qFormat/>
    <w:uiPriority w:val="0"/>
    <w:pPr>
      <w:ind w:firstLine="420"/>
    </w:pPr>
    <w:rPr>
      <w:rFonts w:ascii="Times New Roman" w:eastAsia="宋体"/>
    </w:rPr>
  </w:style>
  <w:style w:type="paragraph" w:customStyle="1" w:styleId="56">
    <w:name w:val="正文文本缩进1"/>
    <w:basedOn w:val="1"/>
    <w:autoRedefine/>
    <w:qFormat/>
    <w:uiPriority w:val="0"/>
    <w:pPr>
      <w:ind w:firstLine="200"/>
    </w:pPr>
    <w:rPr>
      <w:rFonts w:ascii="仿宋_GB2312" w:eastAsia="仿宋_GB2312"/>
      <w:sz w:val="32"/>
    </w:rPr>
  </w:style>
  <w:style w:type="paragraph" w:customStyle="1" w:styleId="57">
    <w:name w:val="Default Text"/>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58">
    <w:name w:val="表格文字"/>
    <w:basedOn w:val="13"/>
    <w:next w:val="10"/>
    <w:autoRedefine/>
    <w:qFormat/>
    <w:uiPriority w:val="0"/>
    <w:pPr>
      <w:adjustRightInd w:val="0"/>
      <w:spacing w:line="420" w:lineRule="atLeast"/>
      <w:textAlignment w:val="baseline"/>
    </w:pPr>
    <w:rPr>
      <w:rFonts w:ascii="Calibri" w:hAnsi="Calibri" w:eastAsia="宋体"/>
      <w:sz w:val="28"/>
    </w:rPr>
  </w:style>
  <w:style w:type="paragraph" w:customStyle="1" w:styleId="59">
    <w:name w:val="无间隔1"/>
    <w:autoRedefine/>
    <w:qFormat/>
    <w:uiPriority w:val="0"/>
    <w:pPr>
      <w:widowControl w:val="0"/>
      <w:jc w:val="both"/>
    </w:pPr>
    <w:rPr>
      <w:rFonts w:ascii="Times New Roman" w:hAnsi="Times New Roman" w:eastAsia="Times New Roman" w:cs="Calibri"/>
      <w:kern w:val="2"/>
      <w:sz w:val="21"/>
      <w:szCs w:val="22"/>
      <w:lang w:val="en-US" w:eastAsia="zh-CN" w:bidi="ar-SA"/>
    </w:rPr>
  </w:style>
  <w:style w:type="character" w:customStyle="1" w:styleId="60">
    <w:name w:val="apple-style-span"/>
    <w:autoRedefine/>
    <w:qFormat/>
    <w:uiPriority w:val="0"/>
    <w:rPr>
      <w:rFonts w:ascii="Tahoma" w:hAnsi="Tahoma" w:eastAsia="宋体" w:cs="Times New Roman"/>
      <w:sz w:val="24"/>
      <w:szCs w:val="20"/>
    </w:rPr>
  </w:style>
  <w:style w:type="character" w:customStyle="1" w:styleId="61">
    <w:name w:val="font51"/>
    <w:autoRedefine/>
    <w:qFormat/>
    <w:uiPriority w:val="0"/>
    <w:rPr>
      <w:rFonts w:hint="eastAsia" w:ascii="宋体" w:hAnsi="宋体" w:eastAsia="宋体" w:cs="宋体"/>
      <w:color w:val="000000"/>
      <w:sz w:val="22"/>
      <w:szCs w:val="22"/>
      <w:u w:val="none"/>
    </w:rPr>
  </w:style>
  <w:style w:type="character" w:customStyle="1" w:styleId="62">
    <w:name w:val="NormalCharacter"/>
    <w:autoRedefine/>
    <w:qFormat/>
    <w:uiPriority w:val="0"/>
    <w:rPr>
      <w:rFonts w:ascii="Calibri" w:hAnsi="Calibri" w:eastAsia="宋体" w:cs="Times New Roman"/>
    </w:rPr>
  </w:style>
  <w:style w:type="character" w:customStyle="1" w:styleId="63">
    <w:name w:val="font01"/>
    <w:autoRedefine/>
    <w:qFormat/>
    <w:uiPriority w:val="0"/>
    <w:rPr>
      <w:rFonts w:hint="eastAsia" w:ascii="宋体" w:hAnsi="宋体" w:eastAsia="宋体" w:cs="宋体"/>
      <w:b/>
      <w:color w:val="000000"/>
      <w:sz w:val="40"/>
      <w:szCs w:val="40"/>
      <w:u w:val="none"/>
    </w:rPr>
  </w:style>
  <w:style w:type="character" w:customStyle="1" w:styleId="64">
    <w:name w:val="font91"/>
    <w:autoRedefine/>
    <w:qFormat/>
    <w:uiPriority w:val="0"/>
    <w:rPr>
      <w:rFonts w:hint="eastAsia" w:ascii="宋体" w:hAnsi="宋体" w:eastAsia="宋体" w:cs="宋体"/>
      <w:color w:val="000000"/>
      <w:sz w:val="20"/>
      <w:szCs w:val="20"/>
      <w:u w:val="none"/>
    </w:rPr>
  </w:style>
  <w:style w:type="character" w:customStyle="1" w:styleId="65">
    <w:name w:val="font11"/>
    <w:autoRedefine/>
    <w:qFormat/>
    <w:uiPriority w:val="0"/>
    <w:rPr>
      <w:rFonts w:hint="eastAsia" w:ascii="宋体" w:hAnsi="宋体" w:eastAsia="宋体" w:cs="宋体"/>
      <w:b/>
      <w:color w:val="000000"/>
      <w:sz w:val="22"/>
      <w:szCs w:val="22"/>
      <w:u w:val="none"/>
    </w:rPr>
  </w:style>
  <w:style w:type="character" w:customStyle="1" w:styleId="66">
    <w:name w:val="font112"/>
    <w:autoRedefine/>
    <w:qFormat/>
    <w:uiPriority w:val="0"/>
    <w:rPr>
      <w:rFonts w:hint="eastAsia" w:ascii="宋体" w:hAnsi="宋体" w:eastAsia="宋体" w:cs="宋体"/>
      <w:color w:val="000000"/>
      <w:sz w:val="22"/>
      <w:szCs w:val="22"/>
      <w:u w:val="none"/>
    </w:rPr>
  </w:style>
  <w:style w:type="character" w:customStyle="1" w:styleId="67">
    <w:name w:val="font61"/>
    <w:autoRedefine/>
    <w:qFormat/>
    <w:uiPriority w:val="0"/>
    <w:rPr>
      <w:rFonts w:hint="default" w:ascii="Times New Roman" w:hAnsi="Times New Roman" w:eastAsia="宋体" w:cs="Times New Roman"/>
      <w:color w:val="000000"/>
      <w:sz w:val="20"/>
      <w:szCs w:val="20"/>
      <w:u w:val="none"/>
    </w:rPr>
  </w:style>
  <w:style w:type="character" w:customStyle="1" w:styleId="68">
    <w:name w:val="font81"/>
    <w:autoRedefine/>
    <w:qFormat/>
    <w:uiPriority w:val="0"/>
    <w:rPr>
      <w:rFonts w:hint="eastAsia" w:ascii="宋体" w:hAnsi="宋体" w:eastAsia="宋体" w:cs="宋体"/>
      <w:color w:val="000000"/>
      <w:sz w:val="20"/>
      <w:szCs w:val="20"/>
      <w:u w:val="none"/>
    </w:rPr>
  </w:style>
  <w:style w:type="character" w:customStyle="1" w:styleId="69">
    <w:name w:val="Char Char7"/>
    <w:autoRedefine/>
    <w:qFormat/>
    <w:uiPriority w:val="0"/>
    <w:rPr>
      <w:rFonts w:ascii="??" w:hAnsi="??" w:eastAsia="??" w:cs="宋体"/>
      <w:kern w:val="2"/>
      <w:sz w:val="24"/>
      <w:szCs w:val="28"/>
    </w:rPr>
  </w:style>
  <w:style w:type="character" w:customStyle="1" w:styleId="70">
    <w:name w:val="font71"/>
    <w:autoRedefine/>
    <w:qFormat/>
    <w:uiPriority w:val="0"/>
    <w:rPr>
      <w:rFonts w:ascii="Arial" w:hAnsi="Arial" w:eastAsia="宋体" w:cs="Arial"/>
      <w:color w:val="000000"/>
      <w:sz w:val="20"/>
      <w:szCs w:val="20"/>
      <w:u w:val="none"/>
    </w:rPr>
  </w:style>
  <w:style w:type="paragraph" w:customStyle="1" w:styleId="71">
    <w:name w:val="中等深浅列表 2 - 强调文字颜色 41"/>
    <w:basedOn w:val="1"/>
    <w:autoRedefine/>
    <w:qFormat/>
    <w:uiPriority w:val="0"/>
    <w:pPr>
      <w:ind w:firstLine="420" w:firstLineChars="200"/>
    </w:pPr>
    <w:rPr>
      <w:rFonts w:ascii="Calibri" w:hAnsi="Calibri"/>
      <w:szCs w:val="22"/>
    </w:rPr>
  </w:style>
  <w:style w:type="paragraph" w:customStyle="1" w:styleId="72">
    <w:name w:val="正文样式"/>
    <w:basedOn w:val="1"/>
    <w:autoRedefine/>
    <w:qFormat/>
    <w:uiPriority w:val="0"/>
    <w:pPr>
      <w:spacing w:beforeLines="50" w:line="312" w:lineRule="auto"/>
      <w:ind w:firstLine="200" w:firstLineChars="200"/>
    </w:pPr>
    <w:rPr>
      <w:rFonts w:ascii="Calibri" w:hAnsi="Calibri"/>
      <w:sz w:val="24"/>
      <w:szCs w:val="24"/>
    </w:rPr>
  </w:style>
  <w:style w:type="paragraph" w:customStyle="1" w:styleId="73">
    <w:name w:val="p16"/>
    <w:basedOn w:val="1"/>
    <w:autoRedefine/>
    <w:qFormat/>
    <w:uiPriority w:val="0"/>
    <w:pPr>
      <w:widowControl/>
    </w:pPr>
    <w:rPr>
      <w:rFonts w:ascii="宋体" w:hAnsi="宋体" w:cs="宋体"/>
      <w:kern w:val="0"/>
      <w:sz w:val="30"/>
      <w:szCs w:val="30"/>
    </w:rPr>
  </w:style>
  <w:style w:type="paragraph" w:styleId="74">
    <w:name w:val="List Paragraph"/>
    <w:basedOn w:val="1"/>
    <w:autoRedefine/>
    <w:qFormat/>
    <w:uiPriority w:val="0"/>
    <w:pPr>
      <w:autoSpaceDE w:val="0"/>
      <w:autoSpaceDN w:val="0"/>
      <w:adjustRightInd w:val="0"/>
      <w:ind w:firstLine="200" w:firstLineChars="200"/>
      <w:jc w:val="left"/>
    </w:pPr>
    <w:rPr>
      <w:rFonts w:eastAsia="??"/>
      <w:kern w:val="0"/>
      <w:sz w:val="24"/>
      <w:szCs w:val="24"/>
    </w:rPr>
  </w:style>
  <w:style w:type="paragraph" w:customStyle="1" w:styleId="75">
    <w:name w:val="_Style 8"/>
    <w:basedOn w:val="1"/>
    <w:next w:val="74"/>
    <w:autoRedefine/>
    <w:qFormat/>
    <w:uiPriority w:val="0"/>
    <w:pPr>
      <w:ind w:firstLine="420" w:firstLineChars="200"/>
    </w:pPr>
    <w:rPr>
      <w:rFonts w:ascii="Calibri" w:hAnsi="Calibri"/>
      <w:szCs w:val="22"/>
    </w:rPr>
  </w:style>
  <w:style w:type="paragraph" w:customStyle="1" w:styleId="76">
    <w:name w:val="书籍标题1"/>
    <w:basedOn w:val="1"/>
    <w:next w:val="1"/>
    <w:autoRedefine/>
    <w:qFormat/>
    <w:uiPriority w:val="0"/>
    <w:pPr>
      <w:pageBreakBefore/>
      <w:widowControl/>
      <w:tabs>
        <w:tab w:val="left" w:pos="360"/>
      </w:tabs>
      <w:spacing w:beforeLines="200" w:afterLines="200"/>
      <w:ind w:hanging="360"/>
      <w:jc w:val="center"/>
      <w:outlineLvl w:val="0"/>
    </w:pPr>
    <w:rPr>
      <w:rFonts w:eastAsia="黑体"/>
      <w:b/>
      <w:bCs/>
      <w:spacing w:val="20"/>
      <w:kern w:val="44"/>
      <w:sz w:val="44"/>
    </w:rPr>
  </w:style>
  <w:style w:type="paragraph" w:customStyle="1" w:styleId="77">
    <w:name w:val="newnewnewnew"/>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8">
    <w:name w:val="正文2"/>
    <w:autoRedefine/>
    <w:qFormat/>
    <w:uiPriority w:val="0"/>
    <w:pPr>
      <w:jc w:val="both"/>
    </w:pPr>
    <w:rPr>
      <w:rFonts w:ascii="Calibri" w:hAnsi="Calibri" w:eastAsia="宋体" w:cs="宋体"/>
      <w:kern w:val="2"/>
      <w:sz w:val="21"/>
      <w:szCs w:val="21"/>
      <w:lang w:val="en-US" w:eastAsia="zh-CN" w:bidi="ar-SA"/>
    </w:rPr>
  </w:style>
  <w:style w:type="paragraph" w:customStyle="1" w:styleId="79">
    <w:name w:val="newnew"/>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0">
    <w:name w:val="列出段落1"/>
    <w:basedOn w:val="1"/>
    <w:autoRedefine/>
    <w:qFormat/>
    <w:uiPriority w:val="0"/>
    <w:pPr>
      <w:ind w:firstLine="420" w:firstLineChars="200"/>
    </w:pPr>
    <w:rPr>
      <w:rFonts w:ascii="Calibri" w:hAnsi="Calibri"/>
      <w:szCs w:val="22"/>
    </w:rPr>
  </w:style>
  <w:style w:type="paragraph" w:customStyle="1" w:styleId="81">
    <w:name w:val="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2">
    <w:name w:val="Body text|1"/>
    <w:basedOn w:val="1"/>
    <w:autoRedefine/>
    <w:qFormat/>
    <w:uiPriority w:val="0"/>
    <w:pPr>
      <w:spacing w:line="413" w:lineRule="auto"/>
    </w:pPr>
    <w:rPr>
      <w:rFonts w:ascii="宋体" w:hAnsi="宋体" w:cs="宋体"/>
      <w:sz w:val="20"/>
      <w:lang w:val="zh-CN" w:bidi="zh-CN"/>
    </w:rPr>
  </w:style>
  <w:style w:type="paragraph" w:customStyle="1" w:styleId="83">
    <w:name w:val="xl35"/>
    <w:basedOn w:val="1"/>
    <w:autoRedefine/>
    <w:qFormat/>
    <w:uiPriority w:val="0"/>
    <w:pPr>
      <w:widowControl/>
      <w:spacing w:before="100" w:beforeAutospacing="1" w:after="100" w:afterAutospacing="1"/>
      <w:jc w:val="right"/>
      <w:textAlignment w:val="center"/>
    </w:pPr>
    <w:rPr>
      <w:rFonts w:ascii="宋体" w:hAnsi="宋体"/>
      <w:kern w:val="0"/>
      <w:sz w:val="18"/>
    </w:rPr>
  </w:style>
  <w:style w:type="paragraph" w:customStyle="1" w:styleId="84">
    <w:name w:val="List Paragraph1"/>
    <w:basedOn w:val="1"/>
    <w:autoRedefine/>
    <w:qFormat/>
    <w:uiPriority w:val="0"/>
    <w:pPr>
      <w:ind w:firstLine="420" w:firstLineChars="200"/>
    </w:pPr>
  </w:style>
  <w:style w:type="paragraph" w:customStyle="1" w:styleId="85">
    <w:name w:val="reader-word-layer reader-word-s1-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6">
    <w:name w:val="font5"/>
    <w:basedOn w:val="1"/>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87">
    <w:name w:val="Char"/>
    <w:basedOn w:val="1"/>
    <w:autoRedefine/>
    <w:qFormat/>
    <w:uiPriority w:val="0"/>
    <w:rPr>
      <w:szCs w:val="24"/>
    </w:rPr>
  </w:style>
  <w:style w:type="paragraph" w:customStyle="1" w:styleId="88">
    <w:name w:val="xl30"/>
    <w:basedOn w:val="1"/>
    <w:autoRedefine/>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89">
    <w:name w:val="[Normal]"/>
    <w:autoRedefine/>
    <w:qFormat/>
    <w:uiPriority w:val="0"/>
    <w:rPr>
      <w:rFonts w:ascii="宋体" w:hAnsi="宋体" w:eastAsia="宋体" w:cs="Times New Roman"/>
      <w:sz w:val="24"/>
      <w:szCs w:val="22"/>
      <w:lang w:val="zh-CN" w:eastAsia="zh-CN" w:bidi="ar-SA"/>
    </w:rPr>
  </w:style>
  <w:style w:type="paragraph" w:customStyle="1" w:styleId="90">
    <w:name w:val="p0"/>
    <w:basedOn w:val="1"/>
    <w:autoRedefine/>
    <w:qFormat/>
    <w:uiPriority w:val="0"/>
    <w:pPr>
      <w:widowControl/>
    </w:pPr>
    <w:rPr>
      <w:kern w:val="0"/>
      <w:szCs w:val="21"/>
    </w:rPr>
  </w:style>
  <w:style w:type="table" w:customStyle="1" w:styleId="91">
    <w:name w:val="网格型1"/>
    <w:basedOn w:val="27"/>
    <w:autoRedefine/>
    <w:qFormat/>
    <w:uiPriority w:val="0"/>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
    <w:name w:val="Table Paragraph"/>
    <w:basedOn w:val="1"/>
    <w:autoRedefine/>
    <w:qFormat/>
    <w:uiPriority w:val="0"/>
    <w:rPr>
      <w:rFonts w:ascii="宋体" w:hAnsi="宋体" w:cs="宋体"/>
      <w:lang w:val="zh-CN" w:bidi="zh-CN"/>
    </w:rPr>
  </w:style>
  <w:style w:type="paragraph" w:customStyle="1" w:styleId="93">
    <w:name w:val="正文（首行缩进2字符）"/>
    <w:basedOn w:val="1"/>
    <w:autoRedefine/>
    <w:qFormat/>
    <w:uiPriority w:val="0"/>
    <w:pPr>
      <w:spacing w:line="360" w:lineRule="auto"/>
      <w:ind w:firstLine="420" w:firstLineChars="200"/>
    </w:pPr>
    <w:rPr>
      <w:szCs w:val="21"/>
    </w:rPr>
  </w:style>
  <w:style w:type="paragraph" w:customStyle="1" w:styleId="94">
    <w:name w:val="文档正文"/>
    <w:basedOn w:val="1"/>
    <w:autoRedefine/>
    <w:qFormat/>
    <w:uiPriority w:val="0"/>
    <w:rPr>
      <w:rFonts w:ascii="宋体" w:hAnsi="宋体" w:cs="Arial"/>
      <w:bCs/>
      <w:szCs w:val="21"/>
    </w:rPr>
  </w:style>
  <w:style w:type="paragraph" w:customStyle="1" w:styleId="95">
    <w:name w:val="form"/>
    <w:basedOn w:val="1"/>
    <w:autoRedefine/>
    <w:qFormat/>
    <w:uiPriority w:val="0"/>
    <w:pPr>
      <w:wordWrap w:val="0"/>
      <w:jc w:val="center"/>
    </w:pPr>
    <w:rPr>
      <w:rFonts w:ascii="宋体" w:hAnsi="Calibri" w:cs="宋体"/>
    </w:rPr>
  </w:style>
  <w:style w:type="paragraph" w:customStyle="1" w:styleId="96">
    <w:name w:val="仿宋小四"/>
    <w:basedOn w:val="7"/>
    <w:autoRedefine/>
    <w:qFormat/>
    <w:uiPriority w:val="0"/>
    <w:pPr>
      <w:spacing w:line="360" w:lineRule="auto"/>
      <w:ind w:firstLine="480"/>
    </w:pPr>
    <w:rPr>
      <w:rFonts w:ascii="仿宋_GB2312" w:hAnsi="仿宋_GB2312" w:eastAsia="仿宋_GB2312"/>
      <w:sz w:val="24"/>
    </w:rPr>
  </w:style>
  <w:style w:type="character" w:customStyle="1" w:styleId="97">
    <w:name w:val="font21"/>
    <w:basedOn w:val="29"/>
    <w:autoRedefine/>
    <w:qFormat/>
    <w:uiPriority w:val="0"/>
    <w:rPr>
      <w:rFonts w:hint="eastAsia" w:ascii="宋体" w:hAnsi="宋体" w:eastAsia="宋体" w:cs="宋体"/>
      <w:color w:val="000000"/>
      <w:sz w:val="24"/>
      <w:szCs w:val="24"/>
      <w:u w:val="none"/>
    </w:rPr>
  </w:style>
  <w:style w:type="table" w:customStyle="1" w:styleId="98">
    <w:name w:val="Table Normal"/>
    <w:autoRedefine/>
    <w:semiHidden/>
    <w:unhideWhenUsed/>
    <w:qFormat/>
    <w:uiPriority w:val="0"/>
    <w:tblPr>
      <w:tblCellMar>
        <w:top w:w="0" w:type="dxa"/>
        <w:left w:w="0" w:type="dxa"/>
        <w:bottom w:w="0" w:type="dxa"/>
        <w:right w:w="0" w:type="dxa"/>
      </w:tblCellMar>
    </w:tblPr>
  </w:style>
  <w:style w:type="character" w:customStyle="1" w:styleId="99">
    <w:name w:val="font41"/>
    <w:basedOn w:val="29"/>
    <w:autoRedefine/>
    <w:qFormat/>
    <w:uiPriority w:val="0"/>
    <w:rPr>
      <w:rFonts w:hint="eastAsia" w:ascii="宋体" w:hAnsi="宋体" w:eastAsia="宋体" w:cs="宋体"/>
      <w:b/>
      <w:bCs/>
      <w:color w:val="000000"/>
      <w:sz w:val="21"/>
      <w:szCs w:val="21"/>
      <w:u w:val="none"/>
    </w:rPr>
  </w:style>
  <w:style w:type="character" w:customStyle="1" w:styleId="100">
    <w:name w:val="font31"/>
    <w:basedOn w:val="29"/>
    <w:autoRedefine/>
    <w:qFormat/>
    <w:uiPriority w:val="0"/>
    <w:rPr>
      <w:rFonts w:hint="eastAsia" w:ascii="宋体" w:hAnsi="宋体" w:eastAsia="宋体" w:cs="宋体"/>
      <w:color w:val="000000"/>
      <w:sz w:val="21"/>
      <w:szCs w:val="21"/>
      <w:u w:val="none"/>
    </w:rPr>
  </w:style>
  <w:style w:type="character" w:customStyle="1" w:styleId="101">
    <w:name w:val="文档结构图 字符"/>
    <w:basedOn w:val="29"/>
    <w:link w:val="8"/>
    <w:autoRedefine/>
    <w:qFormat/>
    <w:uiPriority w:val="0"/>
    <w:rPr>
      <w:rFonts w:ascii="宋体"/>
      <w:kern w:val="2"/>
      <w:sz w:val="18"/>
      <w:szCs w:val="18"/>
    </w:rPr>
  </w:style>
  <w:style w:type="paragraph" w:customStyle="1" w:styleId="102">
    <w:name w:val="文章正文"/>
    <w:basedOn w:val="1"/>
    <w:autoRedefine/>
    <w:qFormat/>
    <w:uiPriority w:val="0"/>
    <w:pPr>
      <w:spacing w:line="360" w:lineRule="auto"/>
      <w:ind w:firstLine="200" w:firstLineChars="200"/>
    </w:pPr>
    <w:rPr>
      <w:rFonts w:ascii="Times New Roman" w:hAnsi="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40</Pages>
  <Words>16807</Words>
  <Characters>17970</Characters>
  <Lines>231</Lines>
  <Paragraphs>65</Paragraphs>
  <TotalTime>21</TotalTime>
  <ScaleCrop>false</ScaleCrop>
  <LinksUpToDate>false</LinksUpToDate>
  <CharactersWithSpaces>18168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2020-04-26T22:04:00Z</dcterms:created>
  <dc:creator>Administrator</dc:creator>
  <cp:lastModifiedBy>NTKO</cp:lastModifiedBy>
  <cp:lastPrinted>2024-04-11T14:38:00Z</cp:lastPrinted>
  <dcterms:modified xsi:type="dcterms:W3CDTF">2024-11-14T07:58:33Z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CF6BD7F8DCEF494CAD3477E72975E263</vt:lpwstr>
  </property>
  <property fmtid="{D5CDD505-2E9C-101B-9397-08002B2CF9AE}" pid="4" name="commondata">
    <vt:lpwstr>eyJoZGlkIjoiMTY3NmVmZDMzNjIyYzhhNDE2N2E5MmI0Mzg3OGM1YTYifQ==</vt:lpwstr>
  </property>
</Properties>
</file>