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8FE30">
      <w:pPr>
        <w:pStyle w:val="26"/>
        <w:jc w:val="both"/>
        <w:rPr>
          <w:rFonts w:ascii="宋体" w:hAnsi="宋体" w:cs="宋体"/>
          <w:color w:val="auto"/>
          <w:sz w:val="52"/>
          <w:highlight w:val="none"/>
        </w:rPr>
      </w:pPr>
    </w:p>
    <w:p w14:paraId="125F1917">
      <w:pPr>
        <w:pStyle w:val="26"/>
        <w:spacing w:line="600" w:lineRule="exact"/>
        <w:ind w:left="2883" w:leftChars="914" w:hanging="964" w:hangingChars="200"/>
        <w:jc w:val="both"/>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val="en-US" w:eastAsia="zh-CN"/>
        </w:rPr>
        <w:t>嵊泗县人民法院安保服务</w:t>
      </w:r>
    </w:p>
    <w:p w14:paraId="77CDA19D">
      <w:pPr>
        <w:pStyle w:val="26"/>
        <w:spacing w:line="600" w:lineRule="exact"/>
        <w:rPr>
          <w:rFonts w:hint="eastAsia" w:ascii="宋体" w:hAnsi="宋体" w:cs="宋体"/>
          <w:color w:val="auto"/>
          <w:sz w:val="48"/>
          <w:szCs w:val="48"/>
          <w:highlight w:val="none"/>
          <w:lang w:eastAsia="zh-CN"/>
        </w:rPr>
      </w:pPr>
    </w:p>
    <w:p w14:paraId="40D03B94">
      <w:pPr>
        <w:pStyle w:val="26"/>
        <w:spacing w:line="600" w:lineRule="exact"/>
        <w:rPr>
          <w:rFonts w:hint="eastAsia" w:ascii="宋体" w:hAnsi="宋体" w:cs="宋体"/>
          <w:color w:val="auto"/>
          <w:sz w:val="44"/>
          <w:szCs w:val="44"/>
          <w:highlight w:val="none"/>
          <w:lang w:eastAsia="zh-CN"/>
        </w:rPr>
      </w:pPr>
    </w:p>
    <w:p w14:paraId="053801AC">
      <w:pPr>
        <w:pStyle w:val="26"/>
        <w:spacing w:line="600" w:lineRule="exact"/>
        <w:rPr>
          <w:rFonts w:hint="eastAsia" w:ascii="宋体" w:hAnsi="宋体" w:cs="宋体"/>
          <w:color w:val="auto"/>
          <w:sz w:val="44"/>
          <w:szCs w:val="44"/>
          <w:highlight w:val="none"/>
          <w:lang w:eastAsia="zh-CN"/>
        </w:rPr>
      </w:pPr>
    </w:p>
    <w:p w14:paraId="0DD78241">
      <w:pPr>
        <w:pStyle w:val="26"/>
        <w:spacing w:line="600" w:lineRule="exact"/>
        <w:ind w:firstLine="3092" w:firstLineChars="700"/>
        <w:jc w:val="both"/>
        <w:rPr>
          <w:rFonts w:ascii="宋体" w:hAnsi="宋体" w:cs="宋体"/>
          <w:color w:val="auto"/>
          <w:sz w:val="44"/>
          <w:szCs w:val="44"/>
          <w:highlight w:val="none"/>
        </w:rPr>
      </w:pPr>
      <w:r>
        <w:rPr>
          <w:rFonts w:hint="eastAsia" w:ascii="宋体" w:hAnsi="宋体" w:cs="宋体"/>
          <w:color w:val="auto"/>
          <w:sz w:val="44"/>
          <w:szCs w:val="44"/>
          <w:highlight w:val="none"/>
          <w:lang w:eastAsia="zh-CN"/>
        </w:rPr>
        <w:t>竞争性磋商</w:t>
      </w:r>
      <w:r>
        <w:rPr>
          <w:rFonts w:hint="eastAsia" w:ascii="宋体" w:hAnsi="宋体" w:cs="宋体"/>
          <w:color w:val="auto"/>
          <w:sz w:val="44"/>
          <w:szCs w:val="44"/>
          <w:highlight w:val="none"/>
        </w:rPr>
        <w:t>文件</w:t>
      </w:r>
    </w:p>
    <w:p w14:paraId="4D5E42D7">
      <w:pPr>
        <w:pStyle w:val="26"/>
        <w:rPr>
          <w:rFonts w:ascii="宋体" w:hAnsi="宋体" w:cs="宋体"/>
          <w:color w:val="auto"/>
          <w:sz w:val="52"/>
          <w:highlight w:val="none"/>
        </w:rPr>
      </w:pPr>
    </w:p>
    <w:p w14:paraId="0CD7AC18">
      <w:pPr>
        <w:pStyle w:val="26"/>
        <w:rPr>
          <w:rFonts w:ascii="宋体" w:hAnsi="宋体" w:cs="宋体"/>
          <w:color w:val="auto"/>
          <w:sz w:val="52"/>
          <w:highlight w:val="none"/>
        </w:rPr>
      </w:pPr>
    </w:p>
    <w:p w14:paraId="4BA694CB">
      <w:pPr>
        <w:pStyle w:val="26"/>
        <w:rPr>
          <w:rFonts w:ascii="宋体" w:hAnsi="宋体" w:cs="宋体"/>
          <w:color w:val="auto"/>
          <w:sz w:val="52"/>
          <w:highlight w:val="none"/>
        </w:rPr>
      </w:pPr>
    </w:p>
    <w:p w14:paraId="5D0274CB">
      <w:pPr>
        <w:tabs>
          <w:tab w:val="left" w:pos="7063"/>
        </w:tabs>
        <w:rPr>
          <w:rFonts w:ascii="宋体" w:hAnsi="宋体" w:cs="宋体"/>
          <w:b/>
          <w:color w:val="auto"/>
          <w:sz w:val="36"/>
          <w:highlight w:val="none"/>
        </w:rPr>
      </w:pPr>
    </w:p>
    <w:p w14:paraId="07FFB54B">
      <w:pPr>
        <w:spacing w:line="480" w:lineRule="auto"/>
        <w:ind w:firstLine="1285" w:firstLineChars="400"/>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项目编码：ZSJS-2025-007</w:t>
      </w:r>
    </w:p>
    <w:p w14:paraId="27777D51">
      <w:pPr>
        <w:spacing w:line="480" w:lineRule="auto"/>
        <w:ind w:firstLine="1285" w:firstLineChars="400"/>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rPr>
        <w:t xml:space="preserve">采购单位: </w:t>
      </w:r>
      <w:r>
        <w:rPr>
          <w:rFonts w:hint="eastAsia" w:ascii="宋体" w:hAnsi="宋体" w:cs="宋体"/>
          <w:b/>
          <w:color w:val="auto"/>
          <w:sz w:val="32"/>
          <w:szCs w:val="32"/>
          <w:highlight w:val="none"/>
          <w:lang w:eastAsia="zh-CN"/>
        </w:rPr>
        <w:t>嵊泗县人民法院</w:t>
      </w:r>
    </w:p>
    <w:p w14:paraId="17E63DC8">
      <w:pPr>
        <w:spacing w:line="480" w:lineRule="auto"/>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代理单位: 舟山市嘉嵊咨询管理有限公司</w:t>
      </w:r>
    </w:p>
    <w:p w14:paraId="19637A50">
      <w:pPr>
        <w:spacing w:line="480" w:lineRule="auto"/>
        <w:ind w:firstLine="3213" w:firstLineChars="1000"/>
        <w:jc w:val="both"/>
        <w:rPr>
          <w:rFonts w:hint="eastAsia" w:ascii="宋体" w:hAnsi="宋体" w:cs="宋体"/>
          <w:b/>
          <w:color w:val="auto"/>
          <w:sz w:val="32"/>
          <w:szCs w:val="32"/>
          <w:highlight w:val="none"/>
        </w:rPr>
      </w:pPr>
    </w:p>
    <w:p w14:paraId="63DD20F7">
      <w:pPr>
        <w:spacing w:line="480" w:lineRule="auto"/>
        <w:ind w:firstLine="3213" w:firstLineChars="1000"/>
        <w:jc w:val="both"/>
        <w:rPr>
          <w:rFonts w:ascii="宋体" w:hAnsi="宋体" w:cs="宋体"/>
          <w:b/>
          <w:color w:val="auto"/>
          <w:sz w:val="32"/>
          <w:szCs w:val="32"/>
          <w:highlight w:val="none"/>
        </w:rPr>
        <w:sectPr>
          <w:headerReference r:id="rId3" w:type="default"/>
          <w:footerReference r:id="rId4" w:type="default"/>
          <w:pgSz w:w="11906" w:h="16838"/>
          <w:pgMar w:top="1134" w:right="1361" w:bottom="1134" w:left="1361" w:header="851" w:footer="992" w:gutter="0"/>
          <w:cols w:space="720" w:num="1"/>
          <w:docGrid w:type="lines" w:linePitch="312" w:charSpace="0"/>
        </w:sect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02</w:t>
      </w:r>
      <w:r>
        <w:rPr>
          <w:rFonts w:hint="eastAsia" w:ascii="宋体" w:hAnsi="宋体" w:cs="宋体"/>
          <w:b/>
          <w:color w:val="auto"/>
          <w:sz w:val="32"/>
          <w:szCs w:val="32"/>
          <w:highlight w:val="none"/>
        </w:rPr>
        <w:t>月</w:t>
      </w:r>
    </w:p>
    <w:p w14:paraId="721BB210">
      <w:pPr>
        <w:spacing w:line="600" w:lineRule="exact"/>
        <w:jc w:val="center"/>
        <w:rPr>
          <w:rFonts w:ascii="宋体" w:hAnsi="宋体" w:cs="宋体"/>
          <w:b/>
          <w:color w:val="auto"/>
          <w:sz w:val="32"/>
          <w:szCs w:val="32"/>
          <w:highlight w:val="none"/>
        </w:rPr>
      </w:pPr>
    </w:p>
    <w:p w14:paraId="37916F5B">
      <w:pPr>
        <w:spacing w:line="600" w:lineRule="exact"/>
        <w:rPr>
          <w:rFonts w:ascii="宋体" w:hAnsi="宋体" w:cs="宋体"/>
          <w:b/>
          <w:color w:val="auto"/>
          <w:sz w:val="32"/>
          <w:szCs w:val="32"/>
          <w:highlight w:val="none"/>
        </w:rPr>
      </w:pPr>
    </w:p>
    <w:p w14:paraId="4DD6266F">
      <w:pPr>
        <w:pStyle w:val="15"/>
        <w:spacing w:before="120" w:after="120" w:line="360" w:lineRule="auto"/>
        <w:jc w:val="center"/>
        <w:rPr>
          <w:rFonts w:hAnsi="宋体" w:cs="宋体"/>
          <w:b/>
          <w:bCs/>
          <w:color w:val="auto"/>
          <w:sz w:val="44"/>
          <w:szCs w:val="44"/>
          <w:highlight w:val="none"/>
        </w:rPr>
      </w:pPr>
      <w:r>
        <w:rPr>
          <w:rFonts w:hint="eastAsia" w:hAnsi="宋体" w:cs="宋体"/>
          <w:b/>
          <w:bCs/>
          <w:color w:val="auto"/>
          <w:sz w:val="44"/>
          <w:szCs w:val="44"/>
          <w:highlight w:val="none"/>
        </w:rPr>
        <w:t>目  录</w:t>
      </w:r>
    </w:p>
    <w:p w14:paraId="0D6B8477">
      <w:pPr>
        <w:pStyle w:val="15"/>
        <w:spacing w:before="120" w:after="120" w:line="360" w:lineRule="auto"/>
        <w:jc w:val="center"/>
        <w:rPr>
          <w:rFonts w:hAnsi="宋体" w:cs="宋体"/>
          <w:color w:val="auto"/>
          <w:sz w:val="44"/>
          <w:szCs w:val="44"/>
          <w:highlight w:val="none"/>
        </w:rPr>
      </w:pPr>
    </w:p>
    <w:p w14:paraId="73D5C0DC">
      <w:pPr>
        <w:numPr>
          <w:ilvl w:val="0"/>
          <w:numId w:val="3"/>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lang w:eastAsia="zh-CN"/>
        </w:rPr>
        <w:t>竞争性磋商</w:t>
      </w:r>
      <w:r>
        <w:rPr>
          <w:rFonts w:hint="eastAsia" w:ascii="宋体" w:hAnsi="宋体" w:cs="宋体"/>
          <w:color w:val="auto"/>
          <w:sz w:val="32"/>
          <w:szCs w:val="32"/>
          <w:highlight w:val="none"/>
        </w:rPr>
        <w:t>公告</w:t>
      </w:r>
    </w:p>
    <w:p w14:paraId="493894B7">
      <w:pPr>
        <w:numPr>
          <w:ilvl w:val="0"/>
          <w:numId w:val="3"/>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招标需求</w:t>
      </w:r>
    </w:p>
    <w:p w14:paraId="31A4C285">
      <w:pPr>
        <w:numPr>
          <w:ilvl w:val="0"/>
          <w:numId w:val="3"/>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供应商须知</w:t>
      </w:r>
    </w:p>
    <w:p w14:paraId="63C2047D">
      <w:pPr>
        <w:numPr>
          <w:ilvl w:val="0"/>
          <w:numId w:val="3"/>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评标办法及评分标准</w:t>
      </w:r>
    </w:p>
    <w:p w14:paraId="04911FA7">
      <w:pPr>
        <w:numPr>
          <w:ilvl w:val="0"/>
          <w:numId w:val="3"/>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政府采购合同主要条款</w:t>
      </w:r>
    </w:p>
    <w:p w14:paraId="1028E33D">
      <w:pPr>
        <w:numPr>
          <w:ilvl w:val="0"/>
          <w:numId w:val="3"/>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投标文件格式</w:t>
      </w:r>
    </w:p>
    <w:p w14:paraId="0D1E9DF8">
      <w:pPr>
        <w:spacing w:before="31" w:beforeLines="10" w:after="31" w:afterLines="10"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7C7C3CDC">
      <w:pPr>
        <w:spacing w:before="31" w:beforeLines="10" w:after="31" w:afterLines="10" w:line="360" w:lineRule="auto"/>
        <w:jc w:val="center"/>
        <w:rPr>
          <w:rFonts w:ascii="宋体" w:hAnsi="宋体" w:cs="宋体"/>
          <w:color w:val="auto"/>
          <w:sz w:val="30"/>
          <w:szCs w:val="30"/>
          <w:highlight w:val="none"/>
        </w:rPr>
      </w:pPr>
    </w:p>
    <w:p w14:paraId="287C5366">
      <w:pPr>
        <w:spacing w:before="31" w:beforeLines="10" w:after="31" w:afterLines="10" w:line="360" w:lineRule="auto"/>
        <w:jc w:val="center"/>
        <w:rPr>
          <w:rFonts w:ascii="宋体" w:hAnsi="宋体" w:cs="宋体"/>
          <w:color w:val="auto"/>
          <w:sz w:val="30"/>
          <w:szCs w:val="30"/>
          <w:highlight w:val="none"/>
        </w:rPr>
      </w:pPr>
      <w:r>
        <w:rPr>
          <w:rFonts w:hint="eastAsia" w:ascii="宋体" w:hAnsi="宋体" w:cs="宋体"/>
          <w:b/>
          <w:bCs/>
          <w:color w:val="auto"/>
          <w:sz w:val="32"/>
          <w:szCs w:val="32"/>
          <w:highlight w:val="none"/>
        </w:rPr>
        <w:t xml:space="preserve">第一章  </w:t>
      </w:r>
      <w:r>
        <w:rPr>
          <w:rFonts w:hint="eastAsia" w:ascii="宋体" w:hAnsi="宋体" w:cs="宋体"/>
          <w:b/>
          <w:bCs/>
          <w:color w:val="auto"/>
          <w:sz w:val="32"/>
          <w:szCs w:val="32"/>
          <w:highlight w:val="none"/>
          <w:lang w:eastAsia="zh-CN"/>
        </w:rPr>
        <w:t>竞争性磋商</w:t>
      </w:r>
      <w:r>
        <w:rPr>
          <w:rFonts w:hint="eastAsia" w:ascii="宋体" w:hAnsi="宋体" w:cs="宋体"/>
          <w:b/>
          <w:bCs/>
          <w:color w:val="auto"/>
          <w:sz w:val="32"/>
          <w:szCs w:val="32"/>
          <w:highlight w:val="none"/>
        </w:rPr>
        <w:t>公告</w:t>
      </w:r>
    </w:p>
    <w:p w14:paraId="608BB525">
      <w:pPr>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根据《中华人民共和国政府采购法》、《中华人民共和国政府采购法实施条例》等规定，</w:t>
      </w:r>
      <w:r>
        <w:rPr>
          <w:rFonts w:hint="eastAsia" w:ascii="宋体" w:hAnsi="宋体" w:eastAsia="宋体" w:cs="宋体"/>
          <w:b/>
          <w:bCs/>
          <w:color w:val="auto"/>
          <w:sz w:val="21"/>
          <w:szCs w:val="21"/>
          <w:highlight w:val="none"/>
          <w:u w:val="single"/>
          <w:lang w:eastAsia="zh-Hans"/>
        </w:rPr>
        <w:t>舟山市嘉嵊咨询管理有限公司</w:t>
      </w:r>
      <w:r>
        <w:rPr>
          <w:rFonts w:hint="eastAsia" w:ascii="宋体" w:hAnsi="宋体" w:eastAsia="宋体" w:cs="宋体"/>
          <w:color w:val="auto"/>
          <w:sz w:val="21"/>
          <w:szCs w:val="21"/>
          <w:highlight w:val="none"/>
          <w:u w:val="none"/>
          <w:lang w:eastAsia="zh-Hans"/>
        </w:rPr>
        <w:t>受</w:t>
      </w:r>
      <w:r>
        <w:rPr>
          <w:rFonts w:hint="eastAsia" w:ascii="宋体" w:hAnsi="宋体" w:eastAsia="宋体" w:cs="宋体"/>
          <w:b/>
          <w:bCs/>
          <w:color w:val="auto"/>
          <w:sz w:val="21"/>
          <w:szCs w:val="21"/>
          <w:highlight w:val="none"/>
          <w:u w:val="single"/>
          <w:lang w:eastAsia="zh-CN"/>
        </w:rPr>
        <w:t>嵊泗县人民法院</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委托，</w:t>
      </w:r>
      <w:r>
        <w:rPr>
          <w:rFonts w:hint="eastAsia" w:ascii="宋体" w:hAnsi="宋体" w:eastAsia="宋体" w:cs="宋体"/>
          <w:sz w:val="21"/>
          <w:szCs w:val="21"/>
        </w:rPr>
        <w:t>并</w:t>
      </w:r>
      <w:r>
        <w:rPr>
          <w:rFonts w:hint="eastAsia" w:ascii="宋体" w:hAnsi="宋体" w:eastAsia="宋体" w:cs="宋体"/>
          <w:color w:val="auto"/>
          <w:sz w:val="21"/>
          <w:szCs w:val="21"/>
          <w:highlight w:val="none"/>
        </w:rPr>
        <w:t>经</w:t>
      </w:r>
      <w:r>
        <w:rPr>
          <w:rFonts w:hint="eastAsia" w:ascii="宋体" w:hAnsi="宋体" w:eastAsia="宋体" w:cs="宋体"/>
          <w:b/>
          <w:bCs/>
          <w:color w:val="auto"/>
          <w:sz w:val="21"/>
          <w:szCs w:val="21"/>
          <w:highlight w:val="none"/>
          <w:u w:val="single"/>
          <w:lang w:val="en-US" w:eastAsia="zh-CN"/>
        </w:rPr>
        <w:t>嵊财采确临</w:t>
      </w:r>
      <w:r>
        <w:rPr>
          <w:rFonts w:hint="eastAsia" w:ascii="宋体" w:hAnsi="宋体" w:cs="宋体"/>
          <w:b/>
          <w:bCs/>
          <w:color w:val="auto"/>
          <w:sz w:val="21"/>
          <w:szCs w:val="21"/>
          <w:highlight w:val="none"/>
          <w:u w:val="single"/>
          <w:lang w:eastAsia="zh-CN"/>
        </w:rPr>
        <w:t>[2025]85号</w:t>
      </w:r>
      <w:r>
        <w:rPr>
          <w:rFonts w:hint="eastAsia" w:ascii="宋体" w:hAnsi="宋体" w:eastAsia="宋体" w:cs="宋体"/>
          <w:color w:val="auto"/>
          <w:sz w:val="21"/>
          <w:szCs w:val="21"/>
          <w:highlight w:val="none"/>
        </w:rPr>
        <w:t>采购</w:t>
      </w:r>
      <w:r>
        <w:rPr>
          <w:rFonts w:hint="eastAsia" w:ascii="宋体" w:hAnsi="宋体" w:eastAsia="宋体" w:cs="宋体"/>
          <w:sz w:val="21"/>
          <w:szCs w:val="21"/>
        </w:rPr>
        <w:t>计划确认批准</w:t>
      </w:r>
      <w:r>
        <w:rPr>
          <w:rFonts w:hint="eastAsia" w:ascii="宋体" w:hAnsi="宋体" w:eastAsia="宋体" w:cs="宋体"/>
          <w:color w:val="auto"/>
          <w:sz w:val="21"/>
          <w:szCs w:val="21"/>
          <w:highlight w:val="none"/>
        </w:rPr>
        <w:t>现就</w:t>
      </w:r>
      <w:r>
        <w:rPr>
          <w:rFonts w:hint="eastAsia" w:ascii="宋体" w:hAnsi="宋体" w:eastAsia="宋体" w:cs="宋体"/>
          <w:b/>
          <w:bCs/>
          <w:color w:val="auto"/>
          <w:sz w:val="21"/>
          <w:szCs w:val="21"/>
          <w:highlight w:val="none"/>
          <w:u w:val="single"/>
          <w:lang w:val="en-US" w:eastAsia="zh-CN"/>
        </w:rPr>
        <w:t>嵊泗县人民法院安保服务</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，欢迎国内合格的投标人前来投标，现将有关事项公告如下：</w:t>
      </w:r>
    </w:p>
    <w:p w14:paraId="0617ADE5">
      <w:pPr>
        <w:spacing w:line="360" w:lineRule="auto"/>
        <w:ind w:firstLine="420" w:firstLineChars="200"/>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rPr>
        <w:t>一、</w:t>
      </w:r>
      <w:r>
        <w:rPr>
          <w:rFonts w:hint="eastAsia" w:ascii="宋体" w:hAnsi="宋体" w:cs="宋体"/>
          <w:b/>
          <w:bCs/>
          <w:color w:val="auto"/>
          <w:sz w:val="21"/>
          <w:szCs w:val="21"/>
          <w:highlight w:val="none"/>
        </w:rPr>
        <w:t>项目编码：</w:t>
      </w:r>
      <w:r>
        <w:rPr>
          <w:rFonts w:hint="eastAsia" w:ascii="宋体" w:hAnsi="宋体" w:cs="宋体"/>
          <w:color w:val="auto"/>
          <w:sz w:val="21"/>
          <w:szCs w:val="21"/>
          <w:highlight w:val="none"/>
          <w:lang w:eastAsia="zh-CN"/>
        </w:rPr>
        <w:t>ZSJS-2025-007</w:t>
      </w:r>
    </w:p>
    <w:p w14:paraId="08BEBAB2">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二、</w:t>
      </w:r>
      <w:r>
        <w:rPr>
          <w:rFonts w:hint="eastAsia" w:ascii="宋体" w:hAnsi="宋体" w:cs="宋体"/>
          <w:b/>
          <w:color w:val="auto"/>
          <w:sz w:val="21"/>
          <w:szCs w:val="21"/>
          <w:highlight w:val="none"/>
        </w:rPr>
        <w:t>采购组织类型：</w:t>
      </w:r>
      <w:r>
        <w:rPr>
          <w:rFonts w:hint="eastAsia" w:ascii="宋体" w:hAnsi="宋体"/>
          <w:color w:val="auto"/>
          <w:sz w:val="21"/>
          <w:szCs w:val="21"/>
          <w:highlight w:val="none"/>
        </w:rPr>
        <w:t>分散采购委托中介</w:t>
      </w:r>
    </w:p>
    <w:p w14:paraId="39993C57">
      <w:pPr>
        <w:snapToGrid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三、采购方式：</w:t>
      </w:r>
      <w:r>
        <w:rPr>
          <w:rFonts w:hint="eastAsia" w:ascii="宋体" w:hAnsi="宋体" w:cs="宋体"/>
          <w:color w:val="auto"/>
          <w:sz w:val="21"/>
          <w:szCs w:val="21"/>
          <w:highlight w:val="none"/>
          <w:lang w:eastAsia="zh-CN"/>
        </w:rPr>
        <w:t>竞争性磋商</w:t>
      </w:r>
    </w:p>
    <w:p w14:paraId="2A49D20F">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四、</w:t>
      </w:r>
      <w:r>
        <w:rPr>
          <w:rFonts w:hint="eastAsia" w:ascii="宋体" w:hAnsi="宋体" w:cs="宋体"/>
          <w:b/>
          <w:bCs/>
          <w:color w:val="auto"/>
          <w:sz w:val="21"/>
          <w:szCs w:val="21"/>
          <w:highlight w:val="none"/>
        </w:rPr>
        <w:t>采购内容</w:t>
      </w:r>
      <w:r>
        <w:rPr>
          <w:rFonts w:hint="eastAsia" w:ascii="宋体" w:hAnsi="宋体" w:cs="宋体"/>
          <w:b/>
          <w:color w:val="auto"/>
          <w:sz w:val="21"/>
          <w:szCs w:val="21"/>
          <w:highlight w:val="none"/>
        </w:rPr>
        <w:t>：</w:t>
      </w:r>
      <w:r>
        <w:rPr>
          <w:rFonts w:hint="eastAsia" w:ascii="宋体" w:hAnsi="宋体" w:cs="宋体"/>
          <w:color w:val="auto"/>
          <w:sz w:val="21"/>
          <w:szCs w:val="21"/>
          <w:highlight w:val="none"/>
          <w:u w:val="single"/>
          <w:lang w:val="en-US" w:eastAsia="zh-CN"/>
        </w:rPr>
        <w:t>嵊泗县人民法院安保服务</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预算金额：人民币</w:t>
      </w:r>
      <w:r>
        <w:rPr>
          <w:rFonts w:hint="eastAsia" w:ascii="宋体" w:hAnsi="宋体" w:cs="宋体"/>
          <w:bCs/>
          <w:color w:val="auto"/>
          <w:sz w:val="21"/>
          <w:szCs w:val="21"/>
          <w:highlight w:val="none"/>
          <w:lang w:val="en-US" w:eastAsia="zh-CN"/>
        </w:rPr>
        <w:t>31.5万元整</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项目投标报价最高限价为</w:t>
      </w:r>
      <w:r>
        <w:rPr>
          <w:rFonts w:hint="eastAsia" w:ascii="宋体" w:hAnsi="宋体" w:cs="宋体"/>
          <w:color w:val="auto"/>
          <w:sz w:val="21"/>
          <w:szCs w:val="21"/>
          <w:highlight w:val="none"/>
          <w:lang w:val="en-US" w:eastAsia="zh-CN"/>
        </w:rPr>
        <w:t>31.5万元</w:t>
      </w:r>
      <w:r>
        <w:rPr>
          <w:rFonts w:hint="eastAsia" w:ascii="宋体" w:hAnsi="宋体" w:cs="宋体"/>
          <w:color w:val="auto"/>
          <w:sz w:val="21"/>
          <w:szCs w:val="21"/>
          <w:highlight w:val="none"/>
        </w:rPr>
        <w:t>。</w:t>
      </w:r>
    </w:p>
    <w:p w14:paraId="495BD20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五、合格投标人的资格要求：</w:t>
      </w:r>
    </w:p>
    <w:p w14:paraId="5492BC5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64820FC5">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14:paraId="40FCFB1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w:t>
      </w:r>
    </w:p>
    <w:p w14:paraId="34144DE0">
      <w:pPr>
        <w:spacing w:line="4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注：本采购项目，中标单位与采购单位签订的政府采购合同适用于舟山市政府采购贷款政策，简称“政采贷”。</w:t>
      </w:r>
    </w:p>
    <w:p w14:paraId="2E57645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六、招标文件的获取：</w:t>
      </w:r>
    </w:p>
    <w:p w14:paraId="2AD6AF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1、本项目招标文件实行“政府采购云平台”在线获取，不提供招标文件纸质版。供应商获取招标文件前应先完成“政府采购云平台”的账号注册；</w:t>
      </w:r>
    </w:p>
    <w:p w14:paraId="642DB1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2、地点：政采云平台（https://www.zcygov.cn/）；</w:t>
      </w:r>
    </w:p>
    <w:p w14:paraId="586A0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14851802">
      <w:pPr>
        <w:tabs>
          <w:tab w:val="left" w:pos="5734"/>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4、供应商获取招标文件时须提交的文件资料：无；</w:t>
      </w:r>
      <w:r>
        <w:rPr>
          <w:rFonts w:hint="eastAsia" w:ascii="宋体" w:hAnsi="宋体" w:cs="宋体"/>
          <w:color w:val="auto"/>
          <w:szCs w:val="21"/>
          <w:highlight w:val="none"/>
        </w:rPr>
        <w:tab/>
      </w:r>
    </w:p>
    <w:p w14:paraId="7BE20E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9963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注：请供应商按上述要求获取招标文件，如未在“政采云”系统内完成相关流程，引起的投标无效责任自负。</w:t>
      </w:r>
    </w:p>
    <w:p w14:paraId="6C36070B">
      <w:pPr>
        <w:numPr>
          <w:ilvl w:val="0"/>
          <w:numId w:val="4"/>
        </w:num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报名截止时间：</w:t>
      </w:r>
      <w:r>
        <w:rPr>
          <w:rFonts w:hint="eastAsia" w:ascii="宋体" w:hAnsi="宋体" w:cs="宋体"/>
          <w:b/>
          <w:bCs/>
          <w:color w:val="auto"/>
          <w:szCs w:val="21"/>
          <w:highlight w:val="none"/>
          <w:lang w:eastAsia="zh-CN"/>
        </w:rPr>
        <w:t>2025年03月17日14时30分。</w:t>
      </w:r>
    </w:p>
    <w:p w14:paraId="7A6BA9D2">
      <w:pPr>
        <w:pStyle w:val="25"/>
        <w:numPr>
          <w:ilvl w:val="0"/>
          <w:numId w:val="4"/>
        </w:numPr>
        <w:rPr>
          <w:color w:val="auto"/>
          <w:highlight w:val="none"/>
        </w:rPr>
      </w:pPr>
      <w:r>
        <w:rPr>
          <w:rFonts w:hint="eastAsia"/>
          <w:color w:val="auto"/>
          <w:highlight w:val="none"/>
        </w:rPr>
        <w:t>投标截止时间：</w:t>
      </w:r>
      <w:r>
        <w:rPr>
          <w:rFonts w:hint="eastAsia" w:ascii="宋体" w:hAnsi="宋体"/>
          <w:b/>
          <w:bCs/>
          <w:color w:val="auto"/>
          <w:szCs w:val="21"/>
          <w:highlight w:val="none"/>
        </w:rPr>
        <w:t>时间：</w:t>
      </w:r>
      <w:r>
        <w:rPr>
          <w:rFonts w:hint="eastAsia" w:ascii="宋体" w:hAnsi="宋体"/>
          <w:b/>
          <w:bCs/>
          <w:color w:val="auto"/>
          <w:szCs w:val="21"/>
          <w:highlight w:val="none"/>
          <w:lang w:eastAsia="zh-CN"/>
        </w:rPr>
        <w:t>2025年03月17日14时30分。</w:t>
      </w:r>
    </w:p>
    <w:p w14:paraId="389564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九、投标地点：政采云线上投标。</w:t>
      </w:r>
    </w:p>
    <w:p w14:paraId="54C310E3">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十、开标时间：</w:t>
      </w:r>
      <w:r>
        <w:rPr>
          <w:rFonts w:hint="eastAsia" w:ascii="宋体" w:hAnsi="宋体" w:cs="宋体"/>
          <w:b/>
          <w:bCs/>
          <w:color w:val="auto"/>
          <w:szCs w:val="21"/>
          <w:highlight w:val="none"/>
          <w:lang w:eastAsia="zh-CN"/>
        </w:rPr>
        <w:t>2025年03月17日14时30分。</w:t>
      </w:r>
    </w:p>
    <w:p w14:paraId="0E3D89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十一、开标地点：政采云线上开标。</w:t>
      </w:r>
    </w:p>
    <w:p w14:paraId="7DFADF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十二、投标保证金：无</w:t>
      </w:r>
    </w:p>
    <w:p w14:paraId="0E66C20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十三、在线投标响应（电子投标）说明</w:t>
      </w:r>
    </w:p>
    <w:p w14:paraId="0985F4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w:t>
      </w:r>
    </w:p>
    <w:p w14:paraId="54AAA1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申领CA，并在政采云平台完成绑定方可进行投标文件的编制，CA相关操作可参考“浙江政府采购网-下载专区-电子交易客户端-CA驱动和申领流程”。注：供应商在进行上述操作时，如遇技术问题可致电400-881-7190进行咨询或查阅《供应商项目采购-电子招投标操作指南》。操作指南在政府采购电子卖场-服务中心-帮助文档-供应商登录后，查看最新版指南。</w:t>
      </w:r>
    </w:p>
    <w:p w14:paraId="4E3793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3、投标供应商应当在投标截止时间前，将生成的“电子加密投标文件”上传递交至“政府采购云平台”。</w:t>
      </w:r>
      <w:r>
        <w:rPr>
          <w:rFonts w:hint="eastAsia" w:ascii="宋体" w:hAnsi="宋体" w:cs="宋体"/>
          <w:b/>
          <w:bCs/>
          <w:color w:val="auto"/>
          <w:szCs w:val="21"/>
          <w:highlight w:val="none"/>
        </w:rPr>
        <w:t>投标截止时间以后上传递交的投标文件将被“政府采购云平台”拒收。</w:t>
      </w:r>
    </w:p>
    <w:p w14:paraId="24AC1C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346BBBC7">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269D69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十四、其他事项：</w:t>
      </w:r>
    </w:p>
    <w:p w14:paraId="614FF0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1、本项目公告期限：5个工作日（公告期截止后，允许投标单位参加本项目投标活动）</w:t>
      </w:r>
    </w:p>
    <w:p w14:paraId="420EFD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34ECEA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十五、业务咨询：</w:t>
      </w:r>
    </w:p>
    <w:p w14:paraId="5D4A0534">
      <w:pPr>
        <w:spacing w:line="360" w:lineRule="auto"/>
        <w:ind w:firstLine="420" w:firstLineChars="200"/>
        <w:rPr>
          <w:rFonts w:hint="eastAsia" w:ascii="宋体" w:hAnsi="宋体" w:cs="宋体"/>
          <w:color w:val="auto"/>
          <w:szCs w:val="21"/>
          <w:highlight w:val="none"/>
          <w:lang w:eastAsia="zh-CN"/>
        </w:rPr>
      </w:pPr>
      <w:bookmarkStart w:id="0" w:name="OLE_LINK33"/>
      <w:r>
        <w:rPr>
          <w:rFonts w:hint="eastAsia" w:ascii="宋体" w:hAnsi="宋体" w:cs="宋体"/>
          <w:color w:val="auto"/>
          <w:szCs w:val="21"/>
          <w:highlight w:val="none"/>
        </w:rPr>
        <w:t>采购单位：</w:t>
      </w:r>
      <w:r>
        <w:rPr>
          <w:rFonts w:hint="eastAsia" w:ascii="宋体" w:hAnsi="宋体" w:cs="宋体"/>
          <w:color w:val="auto"/>
          <w:szCs w:val="21"/>
          <w:highlight w:val="none"/>
          <w:lang w:eastAsia="zh-CN"/>
        </w:rPr>
        <w:t>嵊泗县人民法院</w:t>
      </w:r>
    </w:p>
    <w:p w14:paraId="029436B3">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沈先生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0580-5082025</w:t>
      </w:r>
    </w:p>
    <w:p w14:paraId="0202B2C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 xml:space="preserve"> 刘女士      </w:t>
      </w: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0580-5083822</w:t>
      </w:r>
    </w:p>
    <w:p w14:paraId="54E457FC">
      <w:pPr>
        <w:spacing w:line="360" w:lineRule="auto"/>
        <w:ind w:firstLine="472" w:firstLineChars="225"/>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地址：</w:t>
      </w:r>
      <w:r>
        <w:rPr>
          <w:rFonts w:hint="eastAsia" w:ascii="宋体" w:hAnsi="宋体"/>
          <w:color w:val="auto"/>
          <w:kern w:val="0"/>
          <w:highlight w:val="none"/>
          <w:lang w:eastAsia="zh-CN"/>
        </w:rPr>
        <w:t>嵊泗县</w:t>
      </w:r>
      <w:r>
        <w:rPr>
          <w:rFonts w:hint="eastAsia" w:ascii="宋体" w:hAnsi="宋体"/>
          <w:color w:val="auto"/>
          <w:kern w:val="0"/>
          <w:highlight w:val="none"/>
          <w:lang w:val="en-US" w:eastAsia="zh-CN"/>
        </w:rPr>
        <w:t>菜园镇海滨西路15号</w:t>
      </w:r>
    </w:p>
    <w:p w14:paraId="777995C9">
      <w:pPr>
        <w:pStyle w:val="25"/>
        <w:rPr>
          <w:color w:val="auto"/>
          <w:highlight w:val="none"/>
        </w:rPr>
      </w:pPr>
    </w:p>
    <w:p w14:paraId="5FF7D7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代理单位：舟山市嘉嵊咨询管理有限公司</w:t>
      </w:r>
    </w:p>
    <w:p w14:paraId="3FDEEB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联系人：黄健             联系电话：0580-5085222</w:t>
      </w:r>
    </w:p>
    <w:p w14:paraId="432108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向女士       </w:t>
      </w:r>
      <w:r>
        <w:rPr>
          <w:rFonts w:hint="eastAsia" w:ascii="宋体" w:hAnsi="宋体" w:cs="宋体"/>
          <w:color w:val="auto"/>
          <w:szCs w:val="21"/>
          <w:highlight w:val="none"/>
        </w:rPr>
        <w:t>联系电话：0580-5085222</w:t>
      </w:r>
    </w:p>
    <w:p w14:paraId="55EA01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嵊泗县</w:t>
      </w:r>
      <w:r>
        <w:rPr>
          <w:rFonts w:hint="eastAsia" w:ascii="宋体" w:hAnsi="宋体" w:cs="宋体"/>
          <w:color w:val="auto"/>
          <w:szCs w:val="21"/>
          <w:highlight w:val="none"/>
          <w:lang w:val="en-US" w:eastAsia="zh-CN"/>
        </w:rPr>
        <w:t>菜园镇沙河路263号4</w:t>
      </w:r>
      <w:r>
        <w:rPr>
          <w:rFonts w:hint="eastAsia" w:ascii="宋体" w:hAnsi="宋体" w:cs="宋体"/>
          <w:color w:val="auto"/>
          <w:szCs w:val="21"/>
          <w:highlight w:val="none"/>
        </w:rPr>
        <w:t>楼</w:t>
      </w:r>
    </w:p>
    <w:p w14:paraId="4A3328A6">
      <w:pPr>
        <w:rPr>
          <w:color w:val="auto"/>
          <w:highlight w:val="none"/>
        </w:rPr>
      </w:pPr>
    </w:p>
    <w:p w14:paraId="73AD54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同级政府采购监督管理部门名称：嵊泗县财政局政府采购监管科 </w:t>
      </w:r>
    </w:p>
    <w:p w14:paraId="5C9621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联系人：张伟</w:t>
      </w:r>
    </w:p>
    <w:p w14:paraId="489C3E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监督投诉电话：0580-5087363 </w:t>
      </w:r>
    </w:p>
    <w:p w14:paraId="288A4C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传真：0580-5084056 </w:t>
      </w:r>
    </w:p>
    <w:p w14:paraId="4A3808E4">
      <w:pPr>
        <w:spacing w:line="360" w:lineRule="auto"/>
        <w:ind w:firstLine="420" w:firstLineChars="200"/>
        <w:rPr>
          <w:rFonts w:ascii="宋体" w:hAnsi="宋体" w:cs="宋体"/>
          <w:b/>
          <w:color w:val="auto"/>
          <w:sz w:val="32"/>
          <w:szCs w:val="32"/>
          <w:highlight w:val="none"/>
        </w:rPr>
        <w:sectPr>
          <w:headerReference r:id="rId5" w:type="default"/>
          <w:footerReference r:id="rId6" w:type="default"/>
          <w:pgSz w:w="11906" w:h="16838"/>
          <w:pgMar w:top="1134" w:right="1361" w:bottom="1134" w:left="1361" w:header="851" w:footer="992" w:gutter="0"/>
          <w:cols w:space="720" w:num="1"/>
          <w:docGrid w:type="lines" w:linePitch="312" w:charSpace="0"/>
        </w:sect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嵊泗县</w:t>
      </w:r>
      <w:r>
        <w:rPr>
          <w:rFonts w:hint="eastAsia" w:ascii="宋体" w:hAnsi="宋体" w:cs="宋体"/>
          <w:color w:val="auto"/>
          <w:szCs w:val="21"/>
          <w:highlight w:val="none"/>
          <w:lang w:val="en-US" w:eastAsia="zh-CN"/>
        </w:rPr>
        <w:t>菜园镇</w:t>
      </w:r>
      <w:r>
        <w:rPr>
          <w:rFonts w:hint="eastAsia" w:ascii="宋体" w:hAnsi="宋体" w:cs="宋体"/>
          <w:color w:val="auto"/>
          <w:szCs w:val="21"/>
          <w:highlight w:val="none"/>
        </w:rPr>
        <w:t>海滨中路136号</w:t>
      </w:r>
      <w:bookmarkEnd w:id="0"/>
    </w:p>
    <w:p w14:paraId="7B5F7B73">
      <w:pPr>
        <w:jc w:val="center"/>
        <w:rPr>
          <w:rFonts w:ascii="宋体" w:hAnsi="宋体" w:cs="宋体"/>
          <w:b/>
          <w:color w:val="FF0000"/>
          <w:sz w:val="32"/>
          <w:szCs w:val="32"/>
          <w:highlight w:val="none"/>
        </w:rPr>
      </w:pPr>
      <w:r>
        <w:rPr>
          <w:rFonts w:hint="eastAsia" w:ascii="宋体" w:hAnsi="宋体" w:cs="宋体"/>
          <w:b/>
          <w:color w:val="auto"/>
          <w:sz w:val="32"/>
          <w:szCs w:val="32"/>
          <w:highlight w:val="none"/>
        </w:rPr>
        <w:t>第二章、</w:t>
      </w:r>
      <w:r>
        <w:rPr>
          <w:rFonts w:hint="eastAsia" w:ascii="宋体" w:hAnsi="宋体" w:cs="宋体"/>
          <w:b/>
          <w:bCs/>
          <w:color w:val="auto"/>
          <w:sz w:val="32"/>
          <w:szCs w:val="32"/>
          <w:highlight w:val="none"/>
        </w:rPr>
        <w:t>招</w:t>
      </w:r>
      <w:r>
        <w:rPr>
          <w:rFonts w:hint="eastAsia" w:ascii="宋体" w:hAnsi="宋体" w:cs="宋体"/>
          <w:b/>
          <w:color w:val="auto"/>
          <w:sz w:val="32"/>
          <w:szCs w:val="32"/>
          <w:highlight w:val="none"/>
        </w:rPr>
        <w:t>标需求</w:t>
      </w:r>
    </w:p>
    <w:p w14:paraId="46F94CE8">
      <w:pPr>
        <w:numPr>
          <w:ilvl w:val="0"/>
          <w:numId w:val="0"/>
        </w:numPr>
        <w:spacing w:line="360" w:lineRule="auto"/>
        <w:jc w:val="left"/>
        <w:rPr>
          <w:rFonts w:hint="eastAsia" w:ascii="宋体" w:hAnsi="宋体" w:cs="宋体"/>
          <w:b/>
          <w:color w:val="auto"/>
          <w:sz w:val="24"/>
        </w:rPr>
      </w:pPr>
      <w:r>
        <w:rPr>
          <w:rFonts w:hint="eastAsia" w:ascii="宋体" w:hAnsi="宋体" w:cs="宋体"/>
          <w:b/>
          <w:color w:val="auto"/>
          <w:sz w:val="24"/>
          <w:lang w:eastAsia="zh-CN"/>
        </w:rPr>
        <w:t>一、</w:t>
      </w:r>
      <w:r>
        <w:rPr>
          <w:rFonts w:hint="eastAsia" w:ascii="宋体" w:hAnsi="宋体" w:cs="宋体"/>
          <w:b/>
          <w:color w:val="auto"/>
          <w:sz w:val="24"/>
        </w:rPr>
        <w:t>服务范围与要求</w:t>
      </w:r>
    </w:p>
    <w:p w14:paraId="0F5E8A3A">
      <w:pPr>
        <w:numPr>
          <w:ilvl w:val="0"/>
          <w:numId w:val="5"/>
        </w:numPr>
        <w:spacing w:line="360" w:lineRule="auto"/>
        <w:jc w:val="left"/>
        <w:rPr>
          <w:rFonts w:hint="eastAsia" w:ascii="宋体" w:hAnsi="宋体" w:cs="宋体"/>
          <w:b/>
          <w:color w:val="auto"/>
          <w:szCs w:val="21"/>
        </w:rPr>
      </w:pPr>
      <w:r>
        <w:rPr>
          <w:rFonts w:hint="eastAsia" w:ascii="宋体" w:hAnsi="宋体" w:cs="宋体"/>
          <w:b/>
          <w:color w:val="auto"/>
          <w:szCs w:val="21"/>
          <w:lang w:val="en-US" w:eastAsia="zh-CN"/>
        </w:rPr>
        <w:t>安保</w:t>
      </w:r>
      <w:r>
        <w:rPr>
          <w:rFonts w:hint="eastAsia" w:ascii="宋体" w:hAnsi="宋体" w:cs="宋体"/>
          <w:b/>
          <w:color w:val="auto"/>
          <w:szCs w:val="21"/>
        </w:rPr>
        <w:t>服务范围与要求</w:t>
      </w:r>
    </w:p>
    <w:p w14:paraId="17688448">
      <w:pPr>
        <w:pStyle w:val="10"/>
        <w:spacing w:line="380" w:lineRule="exact"/>
        <w:rPr>
          <w:b/>
          <w:bCs w:val="0"/>
        </w:rPr>
      </w:pPr>
      <w:r>
        <w:rPr>
          <w:rFonts w:hint="eastAsia" w:ascii="宋体" w:hAnsi="宋体" w:cs="宋体"/>
          <w:b/>
          <w:bCs w:val="0"/>
          <w:kern w:val="2"/>
          <w:sz w:val="21"/>
          <w:szCs w:val="21"/>
        </w:rPr>
        <w:t>1、保安员服务要求</w:t>
      </w:r>
    </w:p>
    <w:p w14:paraId="10B78261">
      <w:pPr>
        <w:pStyle w:val="10"/>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2"/>
          <w:sz w:val="21"/>
          <w:szCs w:val="21"/>
        </w:rPr>
        <w:t>①保安员应当具备相应的政治、业务、身体素质，</w:t>
      </w:r>
      <w:r>
        <w:rPr>
          <w:rFonts w:hint="eastAsia" w:ascii="宋体" w:hAnsi="宋体" w:cs="宋体"/>
          <w:bCs/>
          <w:color w:val="auto"/>
          <w:sz w:val="21"/>
          <w:szCs w:val="21"/>
        </w:rPr>
        <w:t>无犯罪前科，经训练合格后，持证上岗，年龄</w:t>
      </w:r>
      <w:r>
        <w:rPr>
          <w:rFonts w:hint="eastAsia" w:ascii="宋体" w:hAnsi="宋体" w:cs="宋体"/>
          <w:bCs/>
          <w:color w:val="auto"/>
          <w:sz w:val="21"/>
          <w:szCs w:val="21"/>
          <w:lang w:eastAsia="zh-CN"/>
        </w:rPr>
        <w:t>男性</w:t>
      </w:r>
      <w:r>
        <w:rPr>
          <w:rFonts w:hint="eastAsia" w:ascii="宋体" w:hAnsi="宋体" w:cs="宋体"/>
          <w:bCs/>
          <w:color w:val="auto"/>
          <w:sz w:val="21"/>
          <w:szCs w:val="21"/>
        </w:rPr>
        <w:t>一般不超过55周岁</w:t>
      </w:r>
      <w:r>
        <w:rPr>
          <w:rFonts w:hint="eastAsia" w:ascii="宋体" w:hAnsi="宋体" w:cs="宋体"/>
          <w:bCs/>
          <w:color w:val="auto"/>
          <w:sz w:val="21"/>
          <w:szCs w:val="21"/>
          <w:lang w:eastAsia="zh-CN"/>
        </w:rPr>
        <w:t>，女性</w:t>
      </w:r>
      <w:r>
        <w:rPr>
          <w:rFonts w:hint="eastAsia" w:ascii="宋体" w:hAnsi="宋体" w:cs="宋体"/>
          <w:bCs/>
          <w:color w:val="auto"/>
          <w:sz w:val="21"/>
          <w:szCs w:val="21"/>
        </w:rPr>
        <w:t>一般不超过</w:t>
      </w:r>
      <w:r>
        <w:rPr>
          <w:rFonts w:hint="eastAsia" w:ascii="宋体" w:hAnsi="宋体" w:cs="宋体"/>
          <w:bCs/>
          <w:color w:val="auto"/>
          <w:sz w:val="21"/>
          <w:szCs w:val="21"/>
          <w:lang w:val="en-US" w:eastAsia="zh-CN"/>
        </w:rPr>
        <w:t>45</w:t>
      </w:r>
      <w:r>
        <w:rPr>
          <w:rFonts w:hint="eastAsia" w:ascii="宋体" w:hAnsi="宋体" w:cs="宋体"/>
          <w:bCs/>
          <w:color w:val="auto"/>
          <w:sz w:val="21"/>
          <w:szCs w:val="21"/>
        </w:rPr>
        <w:t>周岁。接受保安公司和</w:t>
      </w:r>
      <w:r>
        <w:rPr>
          <w:rFonts w:hint="eastAsia" w:ascii="宋体" w:hAnsi="宋体" w:cs="宋体"/>
          <w:bCs/>
          <w:color w:val="auto"/>
          <w:sz w:val="21"/>
          <w:szCs w:val="21"/>
          <w:lang w:eastAsia="zh-CN"/>
        </w:rPr>
        <w:t>嵊泗县人民法院</w:t>
      </w:r>
      <w:r>
        <w:rPr>
          <w:rFonts w:hint="eastAsia" w:ascii="宋体" w:hAnsi="宋体" w:cs="宋体"/>
          <w:bCs/>
          <w:color w:val="auto"/>
          <w:sz w:val="21"/>
          <w:szCs w:val="21"/>
        </w:rPr>
        <w:t>的双重管理，日常管理以</w:t>
      </w:r>
      <w:r>
        <w:rPr>
          <w:rFonts w:hint="eastAsia" w:ascii="宋体" w:hAnsi="宋体" w:cs="宋体"/>
          <w:bCs/>
          <w:color w:val="auto"/>
          <w:sz w:val="21"/>
          <w:szCs w:val="21"/>
          <w:lang w:eastAsia="zh-CN"/>
        </w:rPr>
        <w:t>嵊泗县人民法院</w:t>
      </w:r>
      <w:r>
        <w:rPr>
          <w:rFonts w:hint="eastAsia" w:ascii="宋体" w:hAnsi="宋体" w:cs="宋体"/>
          <w:bCs/>
          <w:color w:val="auto"/>
          <w:sz w:val="21"/>
          <w:szCs w:val="21"/>
        </w:rPr>
        <w:t>为主。</w:t>
      </w:r>
      <w:r>
        <w:rPr>
          <w:rFonts w:hint="eastAsia" w:ascii="宋体" w:hAnsi="宋体" w:cs="宋体"/>
          <w:bCs/>
          <w:color w:val="auto"/>
          <w:sz w:val="21"/>
          <w:szCs w:val="21"/>
          <w:lang w:eastAsia="zh-CN"/>
        </w:rPr>
        <w:t>嵊泗县人民法院</w:t>
      </w:r>
      <w:r>
        <w:rPr>
          <w:rFonts w:hint="eastAsia" w:ascii="宋体" w:hAnsi="宋体" w:cs="宋体"/>
          <w:bCs/>
          <w:color w:val="auto"/>
          <w:sz w:val="21"/>
          <w:szCs w:val="21"/>
        </w:rPr>
        <w:t>按月对保安队员进行考核，保安公司以</w:t>
      </w:r>
      <w:r>
        <w:rPr>
          <w:rFonts w:hint="eastAsia" w:ascii="宋体" w:hAnsi="宋体" w:cs="宋体"/>
          <w:bCs/>
          <w:color w:val="auto"/>
          <w:sz w:val="21"/>
          <w:szCs w:val="21"/>
          <w:lang w:eastAsia="zh-CN"/>
        </w:rPr>
        <w:t>嵊泗县人民法院</w:t>
      </w:r>
      <w:r>
        <w:rPr>
          <w:rFonts w:hint="eastAsia" w:ascii="宋体" w:hAnsi="宋体" w:cs="宋体"/>
          <w:bCs/>
          <w:color w:val="auto"/>
          <w:sz w:val="21"/>
          <w:szCs w:val="21"/>
        </w:rPr>
        <w:t>提供的考核为主要依据，对保安队员发放考核奖。对达不到</w:t>
      </w:r>
      <w:r>
        <w:rPr>
          <w:rFonts w:hint="eastAsia" w:ascii="宋体" w:hAnsi="宋体" w:cs="宋体"/>
          <w:bCs/>
          <w:color w:val="auto"/>
          <w:sz w:val="21"/>
          <w:szCs w:val="21"/>
          <w:lang w:eastAsia="zh-CN"/>
        </w:rPr>
        <w:t>嵊泗县人民法院</w:t>
      </w:r>
      <w:r>
        <w:rPr>
          <w:rFonts w:hint="eastAsia" w:ascii="宋体" w:hAnsi="宋体" w:cs="宋体"/>
          <w:bCs/>
          <w:color w:val="auto"/>
          <w:sz w:val="21"/>
          <w:szCs w:val="21"/>
        </w:rPr>
        <w:t>管理要求的保安，保安公司要根据</w:t>
      </w:r>
      <w:r>
        <w:rPr>
          <w:rFonts w:hint="eastAsia" w:ascii="宋体" w:hAnsi="宋体" w:cs="宋体"/>
          <w:bCs/>
          <w:color w:val="auto"/>
          <w:sz w:val="21"/>
          <w:szCs w:val="21"/>
          <w:lang w:eastAsia="zh-CN"/>
        </w:rPr>
        <w:t>嵊泗县人民法院</w:t>
      </w:r>
      <w:r>
        <w:rPr>
          <w:rFonts w:hint="eastAsia" w:ascii="宋体" w:hAnsi="宋体" w:cs="宋体"/>
          <w:bCs/>
          <w:color w:val="auto"/>
          <w:sz w:val="21"/>
          <w:szCs w:val="21"/>
        </w:rPr>
        <w:t>意向及时调换人员。保安公司对保安人员的专业技能培训每</w:t>
      </w:r>
      <w:r>
        <w:rPr>
          <w:rFonts w:hint="eastAsia" w:ascii="宋体" w:hAnsi="宋体" w:cs="宋体"/>
          <w:bCs/>
          <w:color w:val="auto"/>
          <w:sz w:val="21"/>
          <w:szCs w:val="21"/>
          <w:lang w:eastAsia="zh-CN"/>
        </w:rPr>
        <w:t>半年</w:t>
      </w:r>
      <w:r>
        <w:rPr>
          <w:rFonts w:hint="eastAsia" w:ascii="宋体" w:hAnsi="宋体" w:cs="宋体"/>
          <w:bCs/>
          <w:color w:val="auto"/>
          <w:sz w:val="21"/>
          <w:szCs w:val="21"/>
        </w:rPr>
        <w:t>不少于1次。</w:t>
      </w:r>
    </w:p>
    <w:p w14:paraId="5A5E6923">
      <w:pPr>
        <w:pStyle w:val="10"/>
        <w:spacing w:line="360" w:lineRule="auto"/>
        <w:ind w:firstLine="420" w:firstLineChars="200"/>
        <w:rPr>
          <w:rFonts w:ascii="宋体" w:hAnsi="宋体" w:cs="宋体"/>
          <w:bCs/>
          <w:color w:val="auto"/>
          <w:kern w:val="2"/>
          <w:sz w:val="21"/>
          <w:szCs w:val="21"/>
        </w:rPr>
      </w:pPr>
      <w:r>
        <w:rPr>
          <w:rFonts w:hint="eastAsia" w:ascii="宋体" w:hAnsi="宋体" w:cs="宋体"/>
          <w:bCs/>
          <w:color w:val="auto"/>
          <w:kern w:val="2"/>
          <w:sz w:val="21"/>
          <w:szCs w:val="21"/>
        </w:rPr>
        <w:t>②</w:t>
      </w:r>
      <w:r>
        <w:rPr>
          <w:rFonts w:hint="eastAsia" w:ascii="宋体" w:hAnsi="宋体" w:cs="宋体"/>
          <w:bCs/>
          <w:color w:val="auto"/>
          <w:sz w:val="21"/>
          <w:szCs w:val="21"/>
        </w:rPr>
        <w:t>保安员执勤时，应按有关规定穿着保安服装，携带必要的安全防卫器械和应急处置装备，并熟悉使用方法。</w:t>
      </w:r>
      <w:r>
        <w:rPr>
          <w:rFonts w:hint="eastAsia" w:ascii="宋体" w:hAnsi="宋体" w:cs="宋体"/>
          <w:bCs/>
          <w:color w:val="auto"/>
          <w:sz w:val="21"/>
          <w:szCs w:val="21"/>
          <w:lang w:eastAsia="zh-CN"/>
        </w:rPr>
        <w:t>上班、下班</w:t>
      </w:r>
      <w:r>
        <w:rPr>
          <w:rFonts w:hint="eastAsia" w:ascii="宋体" w:hAnsi="宋体" w:cs="宋体"/>
          <w:bCs/>
          <w:color w:val="auto"/>
          <w:sz w:val="21"/>
          <w:szCs w:val="21"/>
        </w:rPr>
        <w:t>时段，保安员应携带头盔、防刺背心、警棍等装备上岗执勤。</w:t>
      </w:r>
    </w:p>
    <w:p w14:paraId="7B03E010">
      <w:pPr>
        <w:pStyle w:val="10"/>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2"/>
          <w:sz w:val="21"/>
          <w:szCs w:val="21"/>
        </w:rPr>
        <w:t>③</w:t>
      </w:r>
      <w:r>
        <w:rPr>
          <w:rFonts w:hint="eastAsia" w:ascii="宋体" w:hAnsi="宋体" w:cs="宋体"/>
          <w:bCs/>
          <w:color w:val="auto"/>
          <w:sz w:val="21"/>
          <w:szCs w:val="21"/>
        </w:rPr>
        <w:t>保安员应能熟练操作视频监控系统，严格落实外来人员、车辆、物品的出入查验、登记管理制度，严防可疑人员、车辆以及管制刀具、危险物品等带入</w:t>
      </w:r>
      <w:r>
        <w:rPr>
          <w:rFonts w:hint="eastAsia" w:ascii="宋体" w:hAnsi="宋体" w:cs="宋体"/>
          <w:bCs/>
          <w:color w:val="auto"/>
          <w:sz w:val="21"/>
          <w:szCs w:val="21"/>
          <w:lang w:eastAsia="zh-CN"/>
        </w:rPr>
        <w:t>法院（法庭）</w:t>
      </w:r>
      <w:r>
        <w:rPr>
          <w:rFonts w:hint="eastAsia" w:ascii="宋体" w:hAnsi="宋体" w:cs="宋体"/>
          <w:bCs/>
          <w:color w:val="auto"/>
          <w:sz w:val="21"/>
          <w:szCs w:val="21"/>
        </w:rPr>
        <w:t>。</w:t>
      </w:r>
      <w:r>
        <w:rPr>
          <w:rFonts w:hint="eastAsia" w:ascii="宋体" w:hAnsi="宋体" w:cs="宋体"/>
          <w:bCs/>
          <w:color w:val="auto"/>
          <w:sz w:val="21"/>
          <w:szCs w:val="21"/>
          <w:lang w:eastAsia="zh-CN"/>
        </w:rPr>
        <w:t>法院（法庭）</w:t>
      </w:r>
      <w:r>
        <w:rPr>
          <w:rFonts w:hint="eastAsia" w:ascii="宋体" w:hAnsi="宋体" w:cs="宋体"/>
          <w:bCs/>
          <w:color w:val="auto"/>
          <w:sz w:val="21"/>
          <w:szCs w:val="21"/>
        </w:rPr>
        <w:t>重点部位及周边巡查每日不少于5次，一旦发现异常情况，及时报告并开展先期处置。</w:t>
      </w:r>
    </w:p>
    <w:p w14:paraId="46AF3F8E">
      <w:pPr>
        <w:pStyle w:val="10"/>
        <w:spacing w:line="360" w:lineRule="auto"/>
        <w:ind w:firstLine="420" w:firstLineChars="200"/>
        <w:rPr>
          <w:rFonts w:ascii="宋体" w:hAnsi="宋体" w:cs="宋体"/>
          <w:bCs/>
          <w:color w:val="auto"/>
          <w:kern w:val="2"/>
          <w:sz w:val="21"/>
          <w:szCs w:val="21"/>
        </w:rPr>
      </w:pPr>
      <w:r>
        <w:rPr>
          <w:rFonts w:hint="eastAsia" w:ascii="宋体" w:hAnsi="宋体" w:cs="宋体"/>
          <w:bCs/>
          <w:color w:val="auto"/>
          <w:kern w:val="2"/>
          <w:sz w:val="21"/>
          <w:szCs w:val="21"/>
        </w:rPr>
        <w:t>④</w:t>
      </w:r>
      <w:r>
        <w:rPr>
          <w:rFonts w:hint="eastAsia" w:ascii="宋体" w:hAnsi="宋体" w:cs="宋体"/>
          <w:bCs/>
          <w:color w:val="auto"/>
          <w:sz w:val="21"/>
          <w:szCs w:val="21"/>
        </w:rPr>
        <w:t>保安员应做好保密工作，禁止将</w:t>
      </w:r>
      <w:r>
        <w:rPr>
          <w:rFonts w:hint="eastAsia" w:ascii="宋体" w:hAnsi="宋体" w:cs="宋体"/>
          <w:bCs/>
          <w:color w:val="auto"/>
          <w:sz w:val="21"/>
          <w:szCs w:val="21"/>
          <w:lang w:eastAsia="zh-CN"/>
        </w:rPr>
        <w:t>法院（法庭）</w:t>
      </w:r>
      <w:r>
        <w:rPr>
          <w:rFonts w:hint="eastAsia" w:ascii="宋体" w:hAnsi="宋体" w:cs="宋体"/>
          <w:bCs/>
          <w:color w:val="auto"/>
          <w:sz w:val="21"/>
          <w:szCs w:val="21"/>
        </w:rPr>
        <w:t>监控视频及图片外传。</w:t>
      </w:r>
    </w:p>
    <w:p w14:paraId="0ABC55BB">
      <w:pPr>
        <w:pStyle w:val="10"/>
        <w:spacing w:line="360" w:lineRule="auto"/>
        <w:ind w:firstLine="420" w:firstLineChars="200"/>
        <w:rPr>
          <w:rFonts w:ascii="宋体" w:hAnsi="宋体" w:cs="宋体"/>
          <w:bCs/>
          <w:color w:val="auto"/>
          <w:kern w:val="2"/>
          <w:sz w:val="21"/>
          <w:szCs w:val="21"/>
        </w:rPr>
      </w:pPr>
      <w:r>
        <w:rPr>
          <w:rFonts w:hint="eastAsia" w:ascii="宋体" w:hAnsi="宋体" w:cs="宋体"/>
          <w:bCs/>
          <w:color w:val="auto"/>
          <w:kern w:val="2"/>
          <w:sz w:val="21"/>
          <w:szCs w:val="21"/>
        </w:rPr>
        <w:t>⑤</w:t>
      </w:r>
      <w:r>
        <w:rPr>
          <w:rFonts w:hint="eastAsia" w:ascii="宋体" w:hAnsi="宋体" w:cs="宋体"/>
          <w:bCs/>
          <w:color w:val="auto"/>
          <w:sz w:val="21"/>
          <w:szCs w:val="21"/>
        </w:rPr>
        <w:t>保安</w:t>
      </w:r>
      <w:r>
        <w:rPr>
          <w:rFonts w:hint="eastAsia" w:ascii="宋体" w:hAnsi="宋体" w:cs="宋体"/>
          <w:bCs/>
          <w:color w:val="auto"/>
          <w:sz w:val="21"/>
          <w:szCs w:val="21"/>
          <w:lang w:eastAsia="zh-CN"/>
        </w:rPr>
        <w:t>员</w:t>
      </w:r>
      <w:r>
        <w:rPr>
          <w:rFonts w:hint="eastAsia" w:ascii="宋体" w:hAnsi="宋体" w:cs="宋体"/>
          <w:bCs/>
          <w:color w:val="auto"/>
          <w:sz w:val="21"/>
          <w:szCs w:val="21"/>
        </w:rPr>
        <w:t>上班时间应遵循</w:t>
      </w:r>
      <w:r>
        <w:rPr>
          <w:rFonts w:hint="eastAsia" w:ascii="宋体" w:hAnsi="宋体" w:cs="宋体"/>
          <w:bCs/>
          <w:color w:val="auto"/>
          <w:sz w:val="21"/>
          <w:szCs w:val="21"/>
          <w:lang w:eastAsia="zh-CN"/>
        </w:rPr>
        <w:t>法院（法庭）</w:t>
      </w:r>
      <w:r>
        <w:rPr>
          <w:rFonts w:hint="eastAsia" w:ascii="宋体" w:hAnsi="宋体" w:cs="宋体"/>
          <w:bCs/>
          <w:color w:val="auto"/>
          <w:sz w:val="21"/>
          <w:szCs w:val="21"/>
        </w:rPr>
        <w:t>实际作息时间，服从</w:t>
      </w:r>
      <w:r>
        <w:rPr>
          <w:rFonts w:hint="eastAsia" w:ascii="宋体" w:hAnsi="宋体" w:cs="宋体"/>
          <w:bCs/>
          <w:color w:val="auto"/>
          <w:sz w:val="21"/>
          <w:szCs w:val="21"/>
          <w:lang w:eastAsia="zh-CN"/>
        </w:rPr>
        <w:t>法院（法庭）</w:t>
      </w:r>
      <w:r>
        <w:rPr>
          <w:rFonts w:hint="eastAsia" w:ascii="宋体" w:hAnsi="宋体" w:cs="宋体"/>
          <w:bCs/>
          <w:color w:val="auto"/>
          <w:sz w:val="21"/>
          <w:szCs w:val="21"/>
        </w:rPr>
        <w:t>安排（原则上全年工作总时间不超过国家法定工作时间总和）。</w:t>
      </w:r>
    </w:p>
    <w:p w14:paraId="0B29FA42">
      <w:pPr>
        <w:spacing w:line="360" w:lineRule="auto"/>
        <w:ind w:firstLine="420" w:firstLineChars="200"/>
        <w:rPr>
          <w:rFonts w:ascii="宋体" w:hAnsi="宋体" w:cs="宋体"/>
          <w:bCs/>
          <w:color w:val="auto"/>
          <w:szCs w:val="21"/>
        </w:rPr>
      </w:pPr>
      <w:r>
        <w:rPr>
          <w:rFonts w:hint="eastAsia" w:ascii="宋体" w:hAnsi="宋体" w:cs="宋体"/>
          <w:bCs/>
          <w:color w:val="auto"/>
          <w:kern w:val="2"/>
          <w:sz w:val="21"/>
          <w:szCs w:val="21"/>
        </w:rPr>
        <w:t>⑥</w:t>
      </w:r>
      <w:r>
        <w:rPr>
          <w:rFonts w:hint="eastAsia" w:ascii="宋体" w:hAnsi="宋体" w:cs="宋体"/>
          <w:bCs/>
          <w:color w:val="auto"/>
          <w:szCs w:val="21"/>
        </w:rPr>
        <w:t>保安员必须严格履行工作职责，积极工作，严格执行双方单位建立的各项规章制度。</w:t>
      </w:r>
    </w:p>
    <w:p w14:paraId="502FECF5">
      <w:pPr>
        <w:spacing w:line="360" w:lineRule="auto"/>
        <w:rPr>
          <w:rFonts w:ascii="宋体" w:hAnsi="宋体" w:cs="宋体"/>
          <w:b/>
          <w:bCs w:val="0"/>
          <w:color w:val="auto"/>
          <w:szCs w:val="21"/>
        </w:rPr>
      </w:pPr>
      <w:r>
        <w:rPr>
          <w:rFonts w:hint="eastAsia" w:ascii="宋体" w:hAnsi="宋体" w:cs="宋体"/>
          <w:b/>
          <w:bCs w:val="0"/>
          <w:color w:val="auto"/>
          <w:szCs w:val="21"/>
        </w:rPr>
        <w:t>2、</w:t>
      </w:r>
      <w:r>
        <w:rPr>
          <w:rFonts w:hint="eastAsia" w:ascii="宋体" w:hAnsi="宋体" w:cs="宋体"/>
          <w:b/>
          <w:color w:val="auto"/>
          <w:sz w:val="21"/>
          <w:szCs w:val="21"/>
        </w:rPr>
        <w:t>保安公司应做的物防建设及</w:t>
      </w:r>
      <w:r>
        <w:rPr>
          <w:rFonts w:hint="eastAsia" w:ascii="宋体" w:hAnsi="宋体" w:cs="宋体"/>
          <w:b/>
          <w:color w:val="auto"/>
          <w:sz w:val="21"/>
          <w:szCs w:val="21"/>
          <w:lang w:val="en-US" w:eastAsia="zh-CN"/>
        </w:rPr>
        <w:t>其他</w:t>
      </w:r>
      <w:r>
        <w:rPr>
          <w:rFonts w:hint="eastAsia" w:ascii="宋体" w:hAnsi="宋体" w:cs="宋体"/>
          <w:b/>
          <w:bCs w:val="0"/>
          <w:color w:val="auto"/>
          <w:szCs w:val="21"/>
        </w:rPr>
        <w:t>服务需求：</w:t>
      </w:r>
    </w:p>
    <w:p w14:paraId="02F78695">
      <w:pPr>
        <w:pStyle w:val="10"/>
        <w:spacing w:line="360" w:lineRule="auto"/>
        <w:ind w:firstLine="420" w:firstLineChars="200"/>
        <w:rPr>
          <w:rFonts w:hint="eastAsia" w:ascii="宋体" w:hAnsi="宋体" w:eastAsia="宋体" w:cs="宋体"/>
          <w:bCs/>
          <w:kern w:val="2"/>
          <w:sz w:val="21"/>
          <w:szCs w:val="21"/>
          <w:lang w:eastAsia="zh-CN"/>
        </w:rPr>
      </w:pPr>
      <w:r>
        <w:rPr>
          <w:rFonts w:hint="eastAsia" w:ascii="宋体" w:hAnsi="宋体" w:cs="宋体"/>
          <w:bCs/>
          <w:kern w:val="2"/>
          <w:sz w:val="21"/>
          <w:szCs w:val="21"/>
        </w:rPr>
        <w:t>①保安公司</w:t>
      </w:r>
      <w:r>
        <w:rPr>
          <w:rFonts w:hint="eastAsia" w:ascii="宋体" w:hAnsi="宋体" w:cs="宋体"/>
          <w:bCs/>
          <w:kern w:val="2"/>
          <w:sz w:val="21"/>
          <w:szCs w:val="21"/>
          <w:lang w:eastAsia="zh-CN"/>
        </w:rPr>
        <w:t>对</w:t>
      </w:r>
      <w:r>
        <w:rPr>
          <w:rFonts w:hint="eastAsia" w:ascii="宋体" w:hAnsi="宋体" w:cs="宋体"/>
          <w:bCs/>
          <w:kern w:val="2"/>
          <w:sz w:val="21"/>
          <w:szCs w:val="21"/>
        </w:rPr>
        <w:t>每个</w:t>
      </w:r>
      <w:r>
        <w:rPr>
          <w:rFonts w:hint="eastAsia" w:ascii="宋体" w:hAnsi="宋体" w:cs="宋体"/>
          <w:bCs/>
          <w:kern w:val="2"/>
          <w:sz w:val="21"/>
          <w:szCs w:val="21"/>
          <w:lang w:eastAsia="zh-CN"/>
        </w:rPr>
        <w:t>岗点</w:t>
      </w:r>
      <w:r>
        <w:rPr>
          <w:rFonts w:hint="eastAsia" w:ascii="宋体" w:hAnsi="宋体" w:cs="宋体"/>
          <w:bCs/>
          <w:kern w:val="2"/>
          <w:sz w:val="21"/>
          <w:szCs w:val="21"/>
        </w:rPr>
        <w:t>应配备以下基本防卫器械：防暴头盔（1顶）、防护盾牌（1副）、防刺背心（1件）、防割手套（1副）、橡胶警棍</w:t>
      </w:r>
      <w:r>
        <w:rPr>
          <w:rFonts w:hint="eastAsia" w:ascii="宋体" w:hAnsi="宋体" w:cs="宋体"/>
          <w:bCs/>
          <w:kern w:val="2"/>
          <w:sz w:val="21"/>
          <w:szCs w:val="21"/>
          <w:lang w:eastAsia="zh-CN"/>
        </w:rPr>
        <w:t>或伸缩警棍</w:t>
      </w:r>
      <w:r>
        <w:rPr>
          <w:rFonts w:hint="eastAsia" w:ascii="宋体" w:hAnsi="宋体" w:cs="宋体"/>
          <w:bCs/>
          <w:kern w:val="2"/>
          <w:sz w:val="21"/>
          <w:szCs w:val="21"/>
        </w:rPr>
        <w:t>（1支）、强光电筒（1支）、自卫喷雾器（1支）、安全钢叉</w:t>
      </w:r>
      <w:r>
        <w:rPr>
          <w:rFonts w:hint="eastAsia" w:ascii="宋体" w:hAnsi="宋体" w:cs="宋体"/>
          <w:bCs/>
          <w:kern w:val="2"/>
          <w:sz w:val="21"/>
          <w:szCs w:val="21"/>
          <w:lang w:val="en-US" w:eastAsia="zh-CN"/>
        </w:rPr>
        <w:t>1</w:t>
      </w:r>
      <w:r>
        <w:rPr>
          <w:rFonts w:hint="eastAsia" w:ascii="宋体" w:hAnsi="宋体" w:cs="宋体"/>
          <w:bCs/>
          <w:kern w:val="2"/>
          <w:sz w:val="21"/>
          <w:szCs w:val="21"/>
        </w:rPr>
        <w:t>套。保证设备完好率达100%。</w:t>
      </w:r>
    </w:p>
    <w:p w14:paraId="0196BDE5">
      <w:pPr>
        <w:pStyle w:val="10"/>
        <w:spacing w:line="360" w:lineRule="auto"/>
        <w:ind w:firstLine="420" w:firstLineChars="200"/>
        <w:rPr>
          <w:rFonts w:hint="eastAsia" w:ascii="宋体" w:hAnsi="宋体" w:eastAsia="宋体" w:cs="宋体"/>
          <w:bCs/>
          <w:kern w:val="2"/>
          <w:sz w:val="21"/>
          <w:szCs w:val="21"/>
          <w:lang w:eastAsia="zh-CN"/>
        </w:rPr>
      </w:pPr>
      <w:r>
        <w:rPr>
          <w:rFonts w:hint="eastAsia" w:ascii="宋体" w:hAnsi="宋体" w:cs="宋体"/>
          <w:bCs/>
          <w:kern w:val="2"/>
          <w:sz w:val="21"/>
          <w:szCs w:val="21"/>
        </w:rPr>
        <w:t>②保安公司每月至少一次到</w:t>
      </w:r>
      <w:r>
        <w:rPr>
          <w:rFonts w:hint="eastAsia" w:ascii="宋体" w:hAnsi="宋体" w:cs="宋体"/>
          <w:bCs/>
          <w:kern w:val="2"/>
          <w:sz w:val="21"/>
          <w:szCs w:val="21"/>
          <w:lang w:eastAsia="zh-CN"/>
        </w:rPr>
        <w:t>各岗点</w:t>
      </w:r>
      <w:r>
        <w:rPr>
          <w:rFonts w:hint="eastAsia" w:ascii="宋体" w:hAnsi="宋体" w:cs="宋体"/>
          <w:bCs/>
          <w:kern w:val="2"/>
          <w:sz w:val="21"/>
          <w:szCs w:val="21"/>
        </w:rPr>
        <w:t>进行安防设施设备的检查，检查指导保安业务能力，配合</w:t>
      </w:r>
      <w:r>
        <w:rPr>
          <w:rFonts w:hint="eastAsia" w:ascii="宋体" w:hAnsi="宋体" w:cs="宋体"/>
          <w:bCs/>
          <w:kern w:val="2"/>
          <w:sz w:val="21"/>
          <w:szCs w:val="21"/>
          <w:lang w:eastAsia="zh-CN"/>
        </w:rPr>
        <w:t>法院</w:t>
      </w:r>
      <w:r>
        <w:rPr>
          <w:rFonts w:hint="eastAsia" w:ascii="宋体" w:hAnsi="宋体" w:cs="宋体"/>
          <w:bCs/>
          <w:kern w:val="2"/>
          <w:sz w:val="21"/>
          <w:szCs w:val="21"/>
        </w:rPr>
        <w:t>对门岗、重点部位开展安全检查，每月向</w:t>
      </w:r>
      <w:r>
        <w:rPr>
          <w:rFonts w:hint="eastAsia" w:ascii="宋体" w:hAnsi="宋体" w:cs="宋体"/>
          <w:bCs/>
          <w:kern w:val="2"/>
          <w:sz w:val="21"/>
          <w:szCs w:val="21"/>
          <w:lang w:eastAsia="zh-CN"/>
        </w:rPr>
        <w:t>嵊泗县人民法院</w:t>
      </w:r>
      <w:r>
        <w:rPr>
          <w:rFonts w:hint="eastAsia" w:ascii="宋体" w:hAnsi="宋体" w:cs="宋体"/>
          <w:bCs/>
          <w:kern w:val="2"/>
          <w:sz w:val="21"/>
          <w:szCs w:val="21"/>
        </w:rPr>
        <w:t>提交一份对相关</w:t>
      </w:r>
      <w:r>
        <w:rPr>
          <w:rFonts w:hint="eastAsia" w:ascii="宋体" w:hAnsi="宋体" w:cs="宋体"/>
          <w:bCs/>
          <w:kern w:val="2"/>
          <w:sz w:val="21"/>
          <w:szCs w:val="21"/>
          <w:lang w:eastAsia="zh-CN"/>
        </w:rPr>
        <w:t>岗点</w:t>
      </w:r>
      <w:r>
        <w:rPr>
          <w:rFonts w:hint="eastAsia" w:ascii="宋体" w:hAnsi="宋体" w:cs="宋体"/>
          <w:bCs/>
          <w:kern w:val="2"/>
          <w:sz w:val="21"/>
          <w:szCs w:val="21"/>
        </w:rPr>
        <w:t>检查的报告。</w:t>
      </w:r>
    </w:p>
    <w:p w14:paraId="38955295">
      <w:pPr>
        <w:pStyle w:val="10"/>
        <w:spacing w:line="360" w:lineRule="auto"/>
        <w:ind w:firstLine="210" w:firstLineChars="100"/>
        <w:rPr>
          <w:rFonts w:hint="eastAsia" w:ascii="宋体" w:hAnsi="宋体" w:cs="宋体"/>
          <w:bCs/>
          <w:kern w:val="2"/>
          <w:sz w:val="21"/>
          <w:szCs w:val="21"/>
        </w:rPr>
      </w:pPr>
      <w:r>
        <w:rPr>
          <w:rFonts w:hint="eastAsia" w:ascii="宋体" w:hAnsi="宋体" w:cs="宋体"/>
          <w:bCs/>
          <w:kern w:val="2"/>
          <w:sz w:val="21"/>
          <w:szCs w:val="21"/>
          <w:lang w:val="en-US" w:eastAsia="zh-CN"/>
        </w:rPr>
        <w:t xml:space="preserve">  </w:t>
      </w:r>
      <w:r>
        <w:rPr>
          <w:rFonts w:hint="eastAsia" w:ascii="宋体" w:hAnsi="宋体" w:cs="宋体"/>
          <w:bCs/>
          <w:kern w:val="2"/>
          <w:sz w:val="21"/>
          <w:szCs w:val="21"/>
        </w:rPr>
        <w:t>③保安公司要做到对</w:t>
      </w:r>
      <w:r>
        <w:rPr>
          <w:rFonts w:hint="eastAsia" w:ascii="宋体" w:hAnsi="宋体" w:cs="宋体"/>
          <w:bCs/>
          <w:kern w:val="2"/>
          <w:sz w:val="21"/>
          <w:szCs w:val="21"/>
          <w:lang w:eastAsia="zh-CN"/>
        </w:rPr>
        <w:t>法院</w:t>
      </w:r>
      <w:r>
        <w:rPr>
          <w:rFonts w:hint="eastAsia" w:ascii="宋体" w:hAnsi="宋体" w:cs="宋体"/>
          <w:bCs/>
          <w:kern w:val="2"/>
          <w:sz w:val="21"/>
          <w:szCs w:val="21"/>
        </w:rPr>
        <w:t>的各项信息保密，不得泄露各项技术与教学信息，一经发现将追究保安公司责任，造成重大影响的</w:t>
      </w:r>
      <w:r>
        <w:rPr>
          <w:rFonts w:hint="eastAsia" w:ascii="宋体" w:hAnsi="宋体" w:cs="宋体"/>
          <w:bCs/>
          <w:kern w:val="2"/>
          <w:sz w:val="21"/>
          <w:szCs w:val="21"/>
          <w:lang w:eastAsia="zh-CN"/>
        </w:rPr>
        <w:t>法院</w:t>
      </w:r>
      <w:r>
        <w:rPr>
          <w:rFonts w:hint="eastAsia" w:ascii="宋体" w:hAnsi="宋体" w:cs="宋体"/>
          <w:bCs/>
          <w:kern w:val="2"/>
          <w:sz w:val="21"/>
          <w:szCs w:val="21"/>
        </w:rPr>
        <w:t>除追究责任并有权解除合同。</w:t>
      </w:r>
    </w:p>
    <w:p w14:paraId="5771F1CD">
      <w:pPr>
        <w:pStyle w:val="10"/>
        <w:spacing w:line="360" w:lineRule="auto"/>
        <w:ind w:firstLine="420" w:firstLineChars="200"/>
        <w:rPr>
          <w:rFonts w:hint="eastAsia" w:ascii="宋体" w:hAnsi="宋体" w:cs="宋体"/>
          <w:bCs/>
          <w:color w:val="auto"/>
          <w:kern w:val="2"/>
          <w:sz w:val="21"/>
          <w:szCs w:val="21"/>
        </w:rPr>
      </w:pPr>
      <w:r>
        <w:rPr>
          <w:rFonts w:hint="eastAsia" w:ascii="宋体" w:hAnsi="宋体" w:cs="宋体"/>
          <w:bCs/>
          <w:color w:val="auto"/>
          <w:kern w:val="2"/>
          <w:sz w:val="21"/>
          <w:szCs w:val="21"/>
        </w:rPr>
        <w:t>④保安员基本工资不得低于舟山市劳动和社会保障局最新发布的舟山市最低劳动工资。</w:t>
      </w:r>
    </w:p>
    <w:p w14:paraId="2E9F1348">
      <w:pPr>
        <w:pStyle w:val="10"/>
        <w:spacing w:line="360" w:lineRule="auto"/>
        <w:ind w:firstLine="420" w:firstLineChars="200"/>
        <w:rPr>
          <w:rFonts w:hint="default" w:ascii="宋体" w:hAnsi="宋体" w:cs="宋体"/>
          <w:bCs/>
          <w:kern w:val="2"/>
          <w:sz w:val="21"/>
          <w:szCs w:val="21"/>
          <w:lang w:val="en-US" w:eastAsia="zh-CN"/>
        </w:rPr>
      </w:pPr>
      <w:r>
        <w:rPr>
          <w:rFonts w:hint="eastAsia" w:ascii="宋体" w:hAnsi="宋体" w:cs="宋体"/>
          <w:bCs/>
          <w:color w:val="auto"/>
          <w:kern w:val="2"/>
          <w:sz w:val="21"/>
          <w:szCs w:val="21"/>
        </w:rPr>
        <w:t>⑤上班时间以法院实际的工作时间为标准（每个保安员的工作时间按国家劳动法规定的时间为标准，工作日每天不超过8小时，即每周不超过40小时）。如法院因工作需要加班（包括节假日和双休日），按规定由法院直接支付加班费给保安公司。</w:t>
      </w:r>
    </w:p>
    <w:p w14:paraId="11B3729D">
      <w:pPr>
        <w:numPr>
          <w:ilvl w:val="0"/>
          <w:numId w:val="0"/>
        </w:numPr>
        <w:spacing w:line="360" w:lineRule="auto"/>
        <w:jc w:val="left"/>
        <w:rPr>
          <w:rFonts w:hint="eastAsia" w:ascii="宋体" w:hAnsi="宋体" w:cs="宋体"/>
          <w:b/>
          <w:bCs w:val="0"/>
          <w:color w:val="auto"/>
          <w:szCs w:val="21"/>
        </w:rPr>
      </w:pPr>
      <w:r>
        <w:rPr>
          <w:rFonts w:hint="eastAsia" w:ascii="宋体" w:hAnsi="宋体" w:cs="宋体"/>
          <w:b/>
          <w:bCs w:val="0"/>
          <w:color w:val="auto"/>
          <w:szCs w:val="21"/>
          <w:lang w:val="en-US" w:eastAsia="zh-CN"/>
        </w:rPr>
        <w:t>3、</w:t>
      </w:r>
      <w:r>
        <w:rPr>
          <w:rFonts w:hint="eastAsia" w:ascii="宋体" w:hAnsi="宋体" w:cs="宋体"/>
          <w:b/>
          <w:bCs w:val="0"/>
          <w:color w:val="auto"/>
          <w:szCs w:val="21"/>
          <w:lang w:eastAsia="zh-CN"/>
        </w:rPr>
        <w:t>门岗</w:t>
      </w:r>
      <w:r>
        <w:rPr>
          <w:rFonts w:hint="eastAsia" w:ascii="宋体" w:hAnsi="宋体" w:cs="宋体"/>
          <w:b/>
          <w:bCs w:val="0"/>
          <w:color w:val="auto"/>
          <w:szCs w:val="21"/>
        </w:rPr>
        <w:t>管理：</w:t>
      </w:r>
    </w:p>
    <w:p w14:paraId="2922F77A">
      <w:pPr>
        <w:numPr>
          <w:ilvl w:val="0"/>
          <w:numId w:val="0"/>
        </w:numPr>
        <w:spacing w:line="360" w:lineRule="auto"/>
        <w:ind w:firstLine="420" w:firstLineChars="200"/>
        <w:jc w:val="left"/>
        <w:rPr>
          <w:rFonts w:hint="eastAsia" w:ascii="宋体" w:hAnsi="宋体" w:eastAsia="宋体" w:cs="宋体"/>
          <w:bCs/>
          <w:color w:val="auto"/>
          <w:szCs w:val="21"/>
          <w:lang w:val="en-US" w:eastAsia="zh-CN"/>
        </w:rPr>
      </w:pPr>
      <w:r>
        <w:rPr>
          <w:rFonts w:hint="eastAsia" w:ascii="宋体" w:hAnsi="宋体" w:cs="宋体"/>
          <w:bCs/>
          <w:szCs w:val="21"/>
        </w:rPr>
        <w:t>①</w:t>
      </w:r>
      <w:r>
        <w:rPr>
          <w:rFonts w:hint="eastAsia" w:ascii="宋体" w:hAnsi="宋体" w:cs="宋体"/>
          <w:bCs/>
          <w:color w:val="auto"/>
          <w:szCs w:val="21"/>
          <w:lang w:eastAsia="zh-CN"/>
        </w:rPr>
        <w:t>县法院大楼门岗</w:t>
      </w:r>
      <w:r>
        <w:rPr>
          <w:rFonts w:hint="eastAsia" w:ascii="宋体" w:hAnsi="宋体" w:cs="宋体"/>
          <w:bCs/>
          <w:color w:val="auto"/>
          <w:szCs w:val="21"/>
        </w:rPr>
        <w:t>实行24小时</w:t>
      </w:r>
      <w:r>
        <w:rPr>
          <w:rFonts w:hint="eastAsia" w:ascii="宋体" w:hAnsi="宋体" w:cs="宋体"/>
          <w:bCs/>
          <w:color w:val="auto"/>
          <w:szCs w:val="21"/>
          <w:lang w:eastAsia="zh-CN"/>
        </w:rPr>
        <w:t>有人值班</w:t>
      </w:r>
      <w:r>
        <w:rPr>
          <w:rFonts w:hint="eastAsia" w:ascii="宋体" w:hAnsi="宋体" w:cs="宋体"/>
          <w:bCs/>
          <w:color w:val="auto"/>
          <w:szCs w:val="21"/>
        </w:rPr>
        <w:t>制，发现问题及时上报</w:t>
      </w:r>
      <w:r>
        <w:rPr>
          <w:rFonts w:hint="eastAsia" w:ascii="宋体" w:hAnsi="宋体" w:cs="宋体"/>
          <w:bCs/>
          <w:color w:val="auto"/>
          <w:szCs w:val="21"/>
          <w:lang w:eastAsia="zh-CN"/>
        </w:rPr>
        <w:t>、处置</w:t>
      </w:r>
      <w:r>
        <w:rPr>
          <w:rFonts w:hint="eastAsia" w:ascii="宋体" w:hAnsi="宋体" w:cs="宋体"/>
          <w:bCs/>
          <w:color w:val="auto"/>
          <w:szCs w:val="21"/>
        </w:rPr>
        <w:t>，并做好</w:t>
      </w:r>
      <w:r>
        <w:rPr>
          <w:rFonts w:hint="eastAsia" w:ascii="宋体" w:hAnsi="宋体" w:cs="宋体"/>
          <w:bCs/>
          <w:color w:val="auto"/>
          <w:szCs w:val="21"/>
          <w:lang w:eastAsia="zh-CN"/>
        </w:rPr>
        <w:t>外来人员、车辆入内的确认、安全检查、登记</w:t>
      </w:r>
      <w:r>
        <w:rPr>
          <w:rFonts w:hint="eastAsia" w:ascii="宋体" w:hAnsi="宋体" w:cs="宋体"/>
          <w:bCs/>
          <w:color w:val="auto"/>
          <w:szCs w:val="21"/>
        </w:rPr>
        <w:t>记录</w:t>
      </w:r>
      <w:r>
        <w:rPr>
          <w:rFonts w:hint="eastAsia" w:ascii="宋体" w:hAnsi="宋体" w:cs="宋体"/>
          <w:bCs/>
          <w:color w:val="auto"/>
          <w:szCs w:val="21"/>
          <w:lang w:eastAsia="zh-CN"/>
        </w:rPr>
        <w:t>工作</w:t>
      </w:r>
      <w:r>
        <w:rPr>
          <w:rFonts w:hint="eastAsia" w:ascii="宋体" w:hAnsi="宋体" w:cs="宋体"/>
          <w:bCs/>
          <w:color w:val="auto"/>
          <w:szCs w:val="21"/>
        </w:rPr>
        <w:t>和交接班手续。</w:t>
      </w:r>
      <w:r>
        <w:rPr>
          <w:rFonts w:hint="eastAsia" w:ascii="宋体" w:hAnsi="宋体" w:cs="宋体"/>
          <w:bCs/>
          <w:color w:val="auto"/>
          <w:szCs w:val="21"/>
          <w:lang w:eastAsia="zh-CN"/>
        </w:rPr>
        <w:t>嵊山法庭、洋山法庭在工作日工作期间有人值班制，发现问题及时上报处置，</w:t>
      </w:r>
      <w:r>
        <w:rPr>
          <w:rFonts w:hint="eastAsia" w:ascii="宋体" w:hAnsi="宋体" w:cs="宋体"/>
          <w:bCs/>
          <w:color w:val="auto"/>
          <w:szCs w:val="21"/>
        </w:rPr>
        <w:t>并做好</w:t>
      </w:r>
      <w:r>
        <w:rPr>
          <w:rFonts w:hint="eastAsia" w:ascii="宋体" w:hAnsi="宋体" w:cs="宋体"/>
          <w:bCs/>
          <w:color w:val="auto"/>
          <w:szCs w:val="21"/>
          <w:lang w:eastAsia="zh-CN"/>
        </w:rPr>
        <w:t>外来人员入内的确认、安全检查、登记</w:t>
      </w:r>
      <w:r>
        <w:rPr>
          <w:rFonts w:hint="eastAsia" w:ascii="宋体" w:hAnsi="宋体" w:cs="宋体"/>
          <w:bCs/>
          <w:color w:val="auto"/>
          <w:szCs w:val="21"/>
        </w:rPr>
        <w:t>记录</w:t>
      </w:r>
      <w:r>
        <w:rPr>
          <w:rFonts w:hint="eastAsia" w:ascii="宋体" w:hAnsi="宋体" w:cs="宋体"/>
          <w:bCs/>
          <w:color w:val="auto"/>
          <w:szCs w:val="21"/>
          <w:lang w:eastAsia="zh-CN"/>
        </w:rPr>
        <w:t>工作</w:t>
      </w:r>
      <w:r>
        <w:rPr>
          <w:rFonts w:hint="eastAsia" w:ascii="宋体" w:hAnsi="宋体" w:cs="宋体"/>
          <w:bCs/>
          <w:color w:val="auto"/>
          <w:szCs w:val="21"/>
        </w:rPr>
        <w:t>手续。</w:t>
      </w:r>
    </w:p>
    <w:p w14:paraId="0BA44277">
      <w:pPr>
        <w:pStyle w:val="11"/>
        <w:numPr>
          <w:ilvl w:val="0"/>
          <w:numId w:val="0"/>
        </w:numPr>
        <w:spacing w:line="360" w:lineRule="auto"/>
        <w:rPr>
          <w:rFonts w:hint="eastAsia" w:ascii="宋体" w:hAnsi="宋体" w:cs="宋体"/>
          <w:b/>
          <w:bCs w:val="0"/>
          <w:color w:val="auto"/>
          <w:sz w:val="21"/>
          <w:szCs w:val="21"/>
        </w:rPr>
      </w:pPr>
      <w:r>
        <w:rPr>
          <w:rFonts w:hint="eastAsia" w:ascii="宋体" w:hAnsi="宋体" w:cs="宋体"/>
          <w:b/>
          <w:bCs w:val="0"/>
          <w:color w:val="auto"/>
          <w:sz w:val="21"/>
          <w:szCs w:val="21"/>
          <w:lang w:val="en-US" w:eastAsia="zh-CN"/>
        </w:rPr>
        <w:t>4、</w:t>
      </w:r>
      <w:r>
        <w:rPr>
          <w:rFonts w:hint="eastAsia" w:ascii="宋体" w:hAnsi="宋体" w:cs="宋体"/>
          <w:b/>
          <w:bCs w:val="0"/>
          <w:color w:val="auto"/>
          <w:sz w:val="21"/>
          <w:szCs w:val="21"/>
        </w:rPr>
        <w:t>车辆管理服务：</w:t>
      </w:r>
    </w:p>
    <w:p w14:paraId="3F9CAC39">
      <w:pPr>
        <w:pStyle w:val="11"/>
        <w:numPr>
          <w:ilvl w:val="0"/>
          <w:numId w:val="0"/>
        </w:numPr>
        <w:spacing w:line="360" w:lineRule="auto"/>
        <w:ind w:firstLine="420" w:firstLineChars="200"/>
        <w:rPr>
          <w:rFonts w:hint="eastAsia" w:ascii="宋体" w:hAnsi="宋体" w:cs="宋体"/>
          <w:bCs/>
          <w:color w:val="auto"/>
          <w:sz w:val="21"/>
          <w:szCs w:val="21"/>
        </w:rPr>
      </w:pPr>
      <w:r>
        <w:rPr>
          <w:rFonts w:hint="eastAsia" w:ascii="宋体" w:hAnsi="宋体" w:cs="宋体"/>
          <w:bCs/>
          <w:szCs w:val="21"/>
        </w:rPr>
        <w:t>①</w:t>
      </w:r>
      <w:r>
        <w:rPr>
          <w:rFonts w:hint="eastAsia" w:ascii="宋体" w:hAnsi="宋体" w:cs="宋体"/>
          <w:bCs/>
          <w:color w:val="auto"/>
          <w:sz w:val="21"/>
          <w:szCs w:val="21"/>
        </w:rPr>
        <w:t>做好停车场的秩序维护及车辆停放管理工作。</w:t>
      </w:r>
    </w:p>
    <w:p w14:paraId="71E7E5A8">
      <w:pPr>
        <w:spacing w:line="360" w:lineRule="auto"/>
        <w:ind w:firstLine="420" w:firstLineChars="200"/>
        <w:jc w:val="left"/>
        <w:rPr>
          <w:rFonts w:hint="eastAsia" w:ascii="宋体" w:hAnsi="宋体" w:cs="宋体"/>
          <w:color w:val="auto"/>
          <w:szCs w:val="21"/>
        </w:rPr>
      </w:pPr>
      <w:r>
        <w:rPr>
          <w:rFonts w:hint="eastAsia" w:ascii="宋体" w:hAnsi="宋体" w:cs="宋体"/>
          <w:bCs/>
          <w:kern w:val="2"/>
          <w:sz w:val="21"/>
          <w:szCs w:val="21"/>
        </w:rPr>
        <w:t>②</w:t>
      </w:r>
      <w:r>
        <w:rPr>
          <w:rFonts w:hint="eastAsia" w:ascii="宋体" w:hAnsi="宋体" w:cs="宋体"/>
          <w:color w:val="auto"/>
          <w:szCs w:val="21"/>
        </w:rPr>
        <w:t>消防通道保持畅通，消防器材完好；在“禁止烟火”和控烟区域发现有吸烟和用火现象，要及时劝阻和阻止。</w:t>
      </w:r>
    </w:p>
    <w:p w14:paraId="4D5D054A">
      <w:pPr>
        <w:numPr>
          <w:ilvl w:val="0"/>
          <w:numId w:val="0"/>
        </w:numPr>
        <w:spacing w:line="360" w:lineRule="auto"/>
        <w:jc w:val="left"/>
        <w:rPr>
          <w:rFonts w:hint="eastAsia" w:ascii="宋体" w:hAnsi="宋体" w:cs="宋体"/>
          <w:b/>
          <w:bCs w:val="0"/>
          <w:color w:val="auto"/>
          <w:szCs w:val="21"/>
          <w:lang w:val="en-US" w:eastAsia="zh-CN"/>
        </w:rPr>
      </w:pPr>
      <w:r>
        <w:rPr>
          <w:rFonts w:hint="eastAsia" w:ascii="宋体" w:hAnsi="宋体" w:cs="宋体"/>
          <w:b/>
          <w:bCs w:val="0"/>
          <w:color w:val="auto"/>
          <w:szCs w:val="21"/>
          <w:lang w:val="en-US" w:eastAsia="zh-CN"/>
        </w:rPr>
        <w:t>5、安检管理服务：</w:t>
      </w:r>
    </w:p>
    <w:p w14:paraId="61E782F6">
      <w:pPr>
        <w:numPr>
          <w:ilvl w:val="0"/>
          <w:numId w:val="0"/>
        </w:num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对进入县法院大楼、嵊山法庭大楼、洋山法庭大楼的外来人员进行人身及所携带物品安检。发现管制刀具、违禁物品时及时报告或报警，严禁管制刀具、违禁物品被携带入内。</w:t>
      </w:r>
    </w:p>
    <w:p w14:paraId="7757AC3D">
      <w:pPr>
        <w:numPr>
          <w:ilvl w:val="0"/>
          <w:numId w:val="5"/>
        </w:numPr>
        <w:spacing w:line="360" w:lineRule="auto"/>
        <w:jc w:val="left"/>
        <w:rPr>
          <w:rFonts w:hint="eastAsia" w:ascii="宋体" w:hAnsi="宋体" w:cs="宋体"/>
          <w:b/>
          <w:color w:val="auto"/>
          <w:szCs w:val="21"/>
          <w:lang w:val="en-US" w:eastAsia="zh-CN"/>
        </w:rPr>
      </w:pPr>
      <w:r>
        <w:rPr>
          <w:rFonts w:hint="eastAsia" w:ascii="宋体" w:hAnsi="宋体" w:cs="宋体"/>
          <w:b/>
          <w:color w:val="auto"/>
          <w:szCs w:val="21"/>
          <w:lang w:val="en-US" w:eastAsia="zh-CN"/>
        </w:rPr>
        <w:t>人员配置范围及要求</w:t>
      </w:r>
    </w:p>
    <w:p w14:paraId="63A0F27B">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bCs/>
          <w:color w:val="auto"/>
          <w:sz w:val="21"/>
          <w:szCs w:val="21"/>
          <w:lang w:eastAsia="zh-CN"/>
        </w:rPr>
        <w:t>嵊泗县人民法院本院</w:t>
      </w:r>
      <w:r>
        <w:rPr>
          <w:rFonts w:hint="eastAsia" w:ascii="宋体" w:hAnsi="宋体" w:cs="宋体"/>
          <w:bCs/>
          <w:color w:val="auto"/>
          <w:sz w:val="21"/>
          <w:szCs w:val="21"/>
        </w:rPr>
        <w:t>：</w:t>
      </w:r>
      <w:r>
        <w:rPr>
          <w:rFonts w:hint="eastAsia" w:ascii="宋体" w:hAnsi="宋体" w:cs="宋体"/>
          <w:bCs/>
          <w:color w:val="auto"/>
          <w:sz w:val="21"/>
          <w:szCs w:val="21"/>
          <w:lang w:eastAsia="zh-CN"/>
        </w:rPr>
        <w:t>安检保安</w:t>
      </w:r>
      <w:r>
        <w:rPr>
          <w:rFonts w:hint="eastAsia" w:ascii="宋体" w:hAnsi="宋体" w:cs="宋体"/>
          <w:bCs/>
          <w:color w:val="auto"/>
          <w:sz w:val="21"/>
          <w:szCs w:val="21"/>
          <w:lang w:val="en-US" w:eastAsia="zh-CN"/>
        </w:rPr>
        <w:t>2名（上班时间于法院法定工作日上班时间相同），门岗保安4名（每天24小时由一名保安上班），</w:t>
      </w:r>
      <w:r>
        <w:rPr>
          <w:rFonts w:hint="eastAsia" w:ascii="宋体" w:hAnsi="宋体" w:cs="宋体"/>
          <w:bCs/>
          <w:color w:val="auto"/>
          <w:sz w:val="21"/>
          <w:szCs w:val="21"/>
        </w:rPr>
        <w:t>共</w:t>
      </w:r>
      <w:r>
        <w:rPr>
          <w:rFonts w:hint="eastAsia" w:ascii="宋体" w:hAnsi="宋体" w:cs="宋体"/>
          <w:bCs/>
          <w:color w:val="auto"/>
          <w:sz w:val="21"/>
          <w:szCs w:val="21"/>
          <w:lang w:val="en-US" w:eastAsia="zh-CN"/>
        </w:rPr>
        <w:t>6</w:t>
      </w:r>
      <w:r>
        <w:rPr>
          <w:rFonts w:hint="eastAsia" w:ascii="宋体" w:hAnsi="宋体" w:cs="宋体"/>
          <w:bCs/>
          <w:color w:val="auto"/>
          <w:sz w:val="21"/>
          <w:szCs w:val="21"/>
        </w:rPr>
        <w:t>名保安。</w:t>
      </w:r>
    </w:p>
    <w:p w14:paraId="7A06E61B">
      <w:pPr>
        <w:pStyle w:val="1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bCs/>
          <w:color w:val="auto"/>
          <w:sz w:val="21"/>
          <w:szCs w:val="21"/>
          <w:lang w:eastAsia="zh-CN"/>
        </w:rPr>
        <w:t>洋山法庭</w:t>
      </w:r>
      <w:r>
        <w:rPr>
          <w:rFonts w:hint="eastAsia" w:ascii="宋体" w:hAnsi="宋体" w:cs="宋体"/>
          <w:bCs/>
          <w:color w:val="auto"/>
          <w:sz w:val="21"/>
          <w:szCs w:val="21"/>
        </w:rPr>
        <w:t>：</w:t>
      </w:r>
      <w:r>
        <w:rPr>
          <w:rFonts w:hint="eastAsia" w:ascii="宋体" w:hAnsi="宋体" w:cs="宋体"/>
          <w:bCs/>
          <w:color w:val="auto"/>
          <w:sz w:val="21"/>
          <w:szCs w:val="21"/>
          <w:lang w:eastAsia="zh-CN"/>
        </w:rPr>
        <w:t>门岗保安</w:t>
      </w:r>
      <w:r>
        <w:rPr>
          <w:rFonts w:hint="eastAsia" w:ascii="宋体" w:hAnsi="宋体" w:cs="宋体"/>
          <w:bCs/>
          <w:color w:val="auto"/>
          <w:sz w:val="21"/>
          <w:szCs w:val="21"/>
          <w:lang w:val="en-US" w:eastAsia="zh-CN"/>
        </w:rPr>
        <w:t>1名（上班时间于法院法定工作日上班时间相同），</w:t>
      </w:r>
      <w:r>
        <w:rPr>
          <w:rFonts w:hint="eastAsia" w:ascii="宋体" w:hAnsi="宋体" w:cs="宋体"/>
          <w:bCs/>
          <w:color w:val="auto"/>
          <w:sz w:val="21"/>
          <w:szCs w:val="21"/>
        </w:rPr>
        <w:t>共</w:t>
      </w:r>
      <w:r>
        <w:rPr>
          <w:rFonts w:hint="eastAsia" w:ascii="宋体" w:hAnsi="宋体" w:cs="宋体"/>
          <w:bCs/>
          <w:color w:val="auto"/>
          <w:sz w:val="21"/>
          <w:szCs w:val="21"/>
          <w:lang w:val="en-US" w:eastAsia="zh-CN"/>
        </w:rPr>
        <w:t>1</w:t>
      </w:r>
      <w:r>
        <w:rPr>
          <w:rFonts w:hint="eastAsia" w:ascii="宋体" w:hAnsi="宋体" w:cs="宋体"/>
          <w:bCs/>
          <w:color w:val="auto"/>
          <w:sz w:val="21"/>
          <w:szCs w:val="21"/>
        </w:rPr>
        <w:t>名保安。</w:t>
      </w:r>
    </w:p>
    <w:p w14:paraId="69FA54CE">
      <w:pPr>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3、嵊山法庭：</w:t>
      </w:r>
      <w:r>
        <w:rPr>
          <w:rFonts w:hint="eastAsia" w:ascii="宋体" w:hAnsi="宋体" w:cs="宋体"/>
          <w:bCs/>
          <w:color w:val="auto"/>
          <w:sz w:val="21"/>
          <w:szCs w:val="21"/>
          <w:lang w:eastAsia="zh-CN"/>
        </w:rPr>
        <w:t>门岗保安</w:t>
      </w:r>
      <w:r>
        <w:rPr>
          <w:rFonts w:hint="eastAsia" w:ascii="宋体" w:hAnsi="宋体" w:cs="宋体"/>
          <w:bCs/>
          <w:color w:val="auto"/>
          <w:sz w:val="21"/>
          <w:szCs w:val="21"/>
          <w:lang w:val="en-US" w:eastAsia="zh-CN"/>
        </w:rPr>
        <w:t>1名（上班时间于法院法定工作日上班时间相同），</w:t>
      </w:r>
      <w:r>
        <w:rPr>
          <w:rFonts w:hint="eastAsia" w:ascii="宋体" w:hAnsi="宋体" w:cs="宋体"/>
          <w:bCs/>
          <w:color w:val="auto"/>
          <w:sz w:val="21"/>
          <w:szCs w:val="21"/>
        </w:rPr>
        <w:t>共</w:t>
      </w:r>
      <w:r>
        <w:rPr>
          <w:rFonts w:hint="eastAsia" w:ascii="宋体" w:hAnsi="宋体" w:cs="宋体"/>
          <w:bCs/>
          <w:color w:val="auto"/>
          <w:sz w:val="21"/>
          <w:szCs w:val="21"/>
          <w:lang w:val="en-US" w:eastAsia="zh-CN"/>
        </w:rPr>
        <w:t>1</w:t>
      </w:r>
      <w:r>
        <w:rPr>
          <w:rFonts w:hint="eastAsia" w:ascii="宋体" w:hAnsi="宋体" w:cs="宋体"/>
          <w:bCs/>
          <w:color w:val="auto"/>
          <w:sz w:val="21"/>
          <w:szCs w:val="21"/>
        </w:rPr>
        <w:t>名保安</w:t>
      </w:r>
      <w:r>
        <w:rPr>
          <w:rFonts w:hint="eastAsia" w:ascii="宋体" w:hAnsi="宋体" w:cs="宋体"/>
          <w:bCs/>
          <w:color w:val="auto"/>
          <w:sz w:val="21"/>
          <w:szCs w:val="21"/>
          <w:lang w:eastAsia="zh-CN"/>
        </w:rPr>
        <w:t>。</w:t>
      </w:r>
    </w:p>
    <w:p w14:paraId="6F2772E6">
      <w:pPr>
        <w:pStyle w:val="28"/>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二、服务周期</w:t>
      </w:r>
    </w:p>
    <w:p w14:paraId="30E9BFBA">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1、服务期限9个月。</w:t>
      </w:r>
    </w:p>
    <w:p w14:paraId="016CA8D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2、采购</w:t>
      </w:r>
      <w:r>
        <w:rPr>
          <w:rFonts w:hint="eastAsia" w:ascii="宋体" w:hAnsi="宋体" w:cs="宋体"/>
          <w:color w:val="auto"/>
          <w:szCs w:val="21"/>
          <w:highlight w:val="none"/>
        </w:rPr>
        <w:t>人根据实际情况通知中标人进场时间。</w:t>
      </w:r>
    </w:p>
    <w:p w14:paraId="32DE835D">
      <w:pPr>
        <w:pStyle w:val="10"/>
        <w:spacing w:line="400" w:lineRule="exact"/>
        <w:rPr>
          <w:rFonts w:ascii="宋体" w:hAnsi="宋体" w:cs="宋体"/>
          <w:b/>
          <w:sz w:val="21"/>
          <w:szCs w:val="21"/>
        </w:rPr>
      </w:pPr>
      <w:r>
        <w:rPr>
          <w:rFonts w:hint="eastAsia" w:ascii="宋体" w:hAnsi="宋体" w:cs="宋体"/>
          <w:b/>
          <w:sz w:val="21"/>
          <w:szCs w:val="21"/>
        </w:rPr>
        <w:t>三、投标人报价</w:t>
      </w:r>
    </w:p>
    <w:p w14:paraId="0F2AE296">
      <w:pPr>
        <w:pStyle w:val="10"/>
        <w:spacing w:line="400" w:lineRule="exact"/>
        <w:ind w:firstLine="420" w:firstLineChars="200"/>
        <w:rPr>
          <w:rFonts w:hint="default"/>
          <w:lang w:val="en-US" w:eastAsia="zh-CN"/>
        </w:rPr>
      </w:pPr>
      <w:r>
        <w:rPr>
          <w:rFonts w:hint="eastAsia" w:ascii="宋体" w:hAnsi="宋体" w:cs="宋体"/>
          <w:bCs/>
          <w:sz w:val="21"/>
          <w:szCs w:val="21"/>
        </w:rPr>
        <w:t>投标人报价以项目所确定的保安人数服务期（</w:t>
      </w:r>
      <w:r>
        <w:rPr>
          <w:rFonts w:hint="eastAsia" w:ascii="宋体" w:hAnsi="宋体" w:cs="宋体"/>
          <w:bCs/>
          <w:sz w:val="21"/>
          <w:szCs w:val="21"/>
          <w:lang w:val="en-US" w:eastAsia="zh-CN"/>
        </w:rPr>
        <w:t>9个月的</w:t>
      </w:r>
      <w:r>
        <w:rPr>
          <w:rFonts w:hint="eastAsia" w:ascii="宋体" w:hAnsi="宋体" w:cs="宋体"/>
          <w:bCs/>
          <w:sz w:val="21"/>
          <w:szCs w:val="21"/>
        </w:rPr>
        <w:t>）的保安服务的总费用呈现。其中包括工资、福利、社保、培训、装备、管理费用、税金等等。除特殊情况双方另行约定外，甲方不再支付另外费用。</w:t>
      </w:r>
    </w:p>
    <w:p w14:paraId="1B291E95">
      <w:pPr>
        <w:pStyle w:val="10"/>
        <w:spacing w:line="400" w:lineRule="exact"/>
        <w:rPr>
          <w:rFonts w:hint="default" w:ascii="宋体" w:hAnsi="宋体" w:cs="宋体"/>
          <w:b/>
          <w:sz w:val="21"/>
          <w:szCs w:val="21"/>
          <w:lang w:val="en-US" w:eastAsia="zh-CN"/>
        </w:rPr>
      </w:pPr>
      <w:r>
        <w:rPr>
          <w:rFonts w:hint="eastAsia" w:ascii="宋体" w:hAnsi="宋体" w:cs="宋体"/>
          <w:b/>
          <w:sz w:val="21"/>
          <w:szCs w:val="21"/>
          <w:lang w:val="en-US" w:eastAsia="zh-CN"/>
        </w:rPr>
        <w:t>四、支付方式</w:t>
      </w:r>
    </w:p>
    <w:p w14:paraId="2301F91D">
      <w:pPr>
        <w:spacing w:line="360" w:lineRule="auto"/>
        <w:ind w:firstLine="420" w:firstLineChars="200"/>
        <w:jc w:val="left"/>
        <w:rPr>
          <w:rFonts w:hint="eastAsia" w:hAnsi="宋体"/>
          <w:bCs/>
          <w:color w:val="auto"/>
          <w:szCs w:val="21"/>
          <w:highlight w:val="none"/>
        </w:rPr>
      </w:pPr>
      <w:r>
        <w:rPr>
          <w:rFonts w:hAnsi="宋体"/>
          <w:bCs/>
          <w:color w:val="auto"/>
          <w:szCs w:val="21"/>
          <w:highlight w:val="none"/>
        </w:rPr>
        <w:t>1、合同签订后15个工作日内，</w:t>
      </w:r>
      <w:r>
        <w:rPr>
          <w:rFonts w:hint="eastAsia" w:hAnsi="宋体"/>
          <w:bCs/>
          <w:color w:val="auto"/>
          <w:szCs w:val="21"/>
          <w:highlight w:val="none"/>
          <w:lang w:val="en-US" w:eastAsia="zh-CN"/>
        </w:rPr>
        <w:t>采购人</w:t>
      </w:r>
      <w:r>
        <w:rPr>
          <w:rFonts w:hAnsi="宋体"/>
          <w:bCs/>
          <w:color w:val="auto"/>
          <w:szCs w:val="21"/>
          <w:highlight w:val="none"/>
        </w:rPr>
        <w:t>收到</w:t>
      </w:r>
      <w:r>
        <w:rPr>
          <w:rFonts w:hint="eastAsia" w:hAnsi="宋体"/>
          <w:bCs/>
          <w:color w:val="auto"/>
          <w:szCs w:val="21"/>
          <w:highlight w:val="none"/>
        </w:rPr>
        <w:t>中标人</w:t>
      </w:r>
      <w:r>
        <w:rPr>
          <w:rFonts w:hAnsi="宋体"/>
          <w:bCs/>
          <w:color w:val="auto"/>
          <w:szCs w:val="21"/>
          <w:highlight w:val="none"/>
        </w:rPr>
        <w:t>开具的正规发票支付合同总额</w:t>
      </w:r>
      <w:r>
        <w:rPr>
          <w:rFonts w:hint="eastAsia" w:hAnsi="宋体"/>
          <w:bCs/>
          <w:color w:val="auto"/>
          <w:szCs w:val="21"/>
          <w:highlight w:val="none"/>
          <w:lang w:val="en-US" w:eastAsia="zh-CN"/>
        </w:rPr>
        <w:t>预付款的4</w:t>
      </w:r>
      <w:r>
        <w:rPr>
          <w:rFonts w:hAnsi="宋体"/>
          <w:bCs/>
          <w:color w:val="auto"/>
          <w:szCs w:val="21"/>
          <w:highlight w:val="none"/>
        </w:rPr>
        <w:t>0%。</w:t>
      </w:r>
    </w:p>
    <w:p w14:paraId="0AA2144C">
      <w:pPr>
        <w:ind w:firstLine="420" w:firstLineChars="200"/>
        <w:rPr>
          <w:rFonts w:hint="default"/>
          <w:highlight w:val="none"/>
          <w:lang w:val="en-US" w:eastAsia="zh-CN"/>
        </w:rPr>
      </w:pPr>
      <w:r>
        <w:rPr>
          <w:rFonts w:hint="eastAsia" w:hAnsi="宋体"/>
          <w:bCs/>
          <w:color w:val="auto"/>
          <w:szCs w:val="21"/>
          <w:highlight w:val="none"/>
          <w:u w:val="none"/>
        </w:rPr>
        <w:t>2、</w:t>
      </w:r>
      <w:r>
        <w:rPr>
          <w:rFonts w:hint="eastAsia" w:hAnsi="宋体"/>
          <w:bCs/>
          <w:color w:val="auto"/>
          <w:szCs w:val="21"/>
          <w:highlight w:val="none"/>
          <w:u w:val="none"/>
          <w:lang w:val="en-US" w:eastAsia="zh-CN"/>
        </w:rPr>
        <w:t>项目结束，经</w:t>
      </w: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人对中标人</w:t>
      </w:r>
      <w:r>
        <w:rPr>
          <w:rFonts w:hint="eastAsia" w:ascii="宋体" w:hAnsi="宋体" w:cs="宋体"/>
          <w:color w:val="auto"/>
          <w:szCs w:val="21"/>
          <w:highlight w:val="none"/>
          <w:u w:val="none"/>
          <w:lang w:val="en-US" w:eastAsia="zh-CN"/>
        </w:rPr>
        <w:t>验收合格15个工作日内，</w:t>
      </w:r>
      <w:r>
        <w:rPr>
          <w:rFonts w:hint="eastAsia" w:hAnsi="宋体"/>
          <w:bCs/>
          <w:color w:val="auto"/>
          <w:szCs w:val="21"/>
          <w:highlight w:val="none"/>
          <w:lang w:val="en-US" w:eastAsia="zh-CN"/>
        </w:rPr>
        <w:t>采购人</w:t>
      </w:r>
      <w:r>
        <w:rPr>
          <w:rFonts w:hAnsi="宋体"/>
          <w:bCs/>
          <w:color w:val="auto"/>
          <w:szCs w:val="21"/>
          <w:highlight w:val="none"/>
        </w:rPr>
        <w:t>收到</w:t>
      </w:r>
      <w:r>
        <w:rPr>
          <w:rFonts w:hint="eastAsia" w:hAnsi="宋体"/>
          <w:bCs/>
          <w:color w:val="auto"/>
          <w:szCs w:val="21"/>
          <w:highlight w:val="none"/>
        </w:rPr>
        <w:t>中标人</w:t>
      </w:r>
      <w:r>
        <w:rPr>
          <w:rFonts w:hAnsi="宋体"/>
          <w:bCs/>
          <w:color w:val="auto"/>
          <w:szCs w:val="21"/>
          <w:highlight w:val="none"/>
        </w:rPr>
        <w:t>开具的正规发票支付合同总额</w:t>
      </w:r>
      <w:r>
        <w:rPr>
          <w:rFonts w:hint="eastAsia" w:hAnsi="宋体"/>
          <w:bCs/>
          <w:color w:val="auto"/>
          <w:szCs w:val="21"/>
          <w:highlight w:val="none"/>
          <w:lang w:val="en-US" w:eastAsia="zh-CN"/>
        </w:rPr>
        <w:t>的</w:t>
      </w:r>
      <w:r>
        <w:rPr>
          <w:rFonts w:hint="eastAsia" w:ascii="宋体" w:hAnsi="宋体" w:cs="宋体"/>
          <w:color w:val="auto"/>
          <w:szCs w:val="21"/>
          <w:highlight w:val="none"/>
          <w:u w:val="none"/>
          <w:lang w:val="en-US" w:eastAsia="zh-CN"/>
        </w:rPr>
        <w:t>60%。</w:t>
      </w:r>
    </w:p>
    <w:p w14:paraId="625D046B">
      <w:pPr>
        <w:pStyle w:val="11"/>
        <w:rPr>
          <w:rFonts w:hint="default"/>
          <w:lang w:val="en-US" w:eastAsia="zh-CN"/>
        </w:rPr>
      </w:pPr>
    </w:p>
    <w:p w14:paraId="0FD6E4C9">
      <w:pPr>
        <w:numPr>
          <w:ilvl w:val="0"/>
          <w:numId w:val="6"/>
        </w:numPr>
        <w:ind w:firstLine="1285" w:firstLineChars="4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供应商须知</w:t>
      </w:r>
    </w:p>
    <w:p w14:paraId="20D7B2C0">
      <w:pPr>
        <w:snapToGrid w:val="0"/>
        <w:spacing w:line="360" w:lineRule="auto"/>
        <w:ind w:left="238"/>
        <w:jc w:val="center"/>
        <w:outlineLvl w:val="1"/>
        <w:rPr>
          <w:rFonts w:hint="eastAsia" w:ascii="宋体" w:hAnsi="宋体" w:cs="宋体"/>
          <w:b/>
          <w:color w:val="auto"/>
          <w:szCs w:val="21"/>
          <w:highlight w:val="none"/>
        </w:rPr>
      </w:pPr>
      <w:bookmarkStart w:id="1" w:name="_Toc33535345"/>
    </w:p>
    <w:p w14:paraId="29DD9559">
      <w:pPr>
        <w:snapToGrid w:val="0"/>
        <w:spacing w:line="360" w:lineRule="auto"/>
        <w:ind w:left="238"/>
        <w:jc w:val="center"/>
        <w:outlineLvl w:val="1"/>
        <w:rPr>
          <w:rFonts w:ascii="宋体" w:hAnsi="宋体" w:cs="宋体"/>
          <w:b/>
          <w:color w:val="auto"/>
          <w:szCs w:val="21"/>
          <w:highlight w:val="none"/>
        </w:rPr>
      </w:pPr>
      <w:r>
        <w:rPr>
          <w:rFonts w:hint="eastAsia" w:ascii="宋体" w:hAnsi="宋体" w:cs="宋体"/>
          <w:b/>
          <w:color w:val="auto"/>
          <w:szCs w:val="21"/>
          <w:highlight w:val="none"/>
        </w:rPr>
        <w:t>前附表</w:t>
      </w:r>
      <w:bookmarkEnd w:id="1"/>
    </w:p>
    <w:tbl>
      <w:tblPr>
        <w:tblStyle w:val="31"/>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36E9C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A84FD3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noWrap/>
            <w:vAlign w:val="center"/>
          </w:tcPr>
          <w:p w14:paraId="773C0FC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15320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2CE0A9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39FCA909">
            <w:pPr>
              <w:snapToGrid w:val="0"/>
              <w:spacing w:line="360" w:lineRule="auto"/>
              <w:ind w:left="1050" w:hanging="1050" w:hangingChars="5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嵊泗县人民法院安保服务</w:t>
            </w:r>
          </w:p>
        </w:tc>
      </w:tr>
      <w:tr w14:paraId="5738A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54C8E0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6E4ACCF6">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ZSJS-2025-007</w:t>
            </w:r>
          </w:p>
        </w:tc>
      </w:tr>
      <w:tr w14:paraId="0DB82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F47FE0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noWrap/>
            <w:vAlign w:val="center"/>
          </w:tcPr>
          <w:p w14:paraId="1432229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投标报价及费用：1、本项目投标应以人民币报价；2、不论投标结果如何，投标人均应自行承担所有与投标有关的全部费用。</w:t>
            </w:r>
            <w:r>
              <w:rPr>
                <w:rFonts w:hint="eastAsia" w:ascii="宋体" w:hAnsi="宋体" w:cs="宋体"/>
                <w:color w:val="auto"/>
                <w:szCs w:val="21"/>
                <w:highlight w:val="none"/>
                <w:lang w:eastAsia="zh-CN"/>
              </w:rPr>
              <w:t>（</w:t>
            </w:r>
            <w:r>
              <w:rPr>
                <w:rFonts w:hint="eastAsia" w:ascii="宋体" w:hAnsi="宋体" w:cs="宋体"/>
                <w:color w:val="auto"/>
                <w:szCs w:val="21"/>
                <w:highlight w:val="none"/>
              </w:rPr>
              <w:t>该费用包括完成该项目所需的劳务费调研差旅费、资料费设备费、管理费、利润、税金等各种费用以及项目征求意见、评审期间所需的专家差旅和咨询费)</w:t>
            </w:r>
          </w:p>
        </w:tc>
      </w:tr>
      <w:tr w14:paraId="2728F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EE57DF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noWrap/>
            <w:vAlign w:val="center"/>
          </w:tcPr>
          <w:p w14:paraId="1F6C484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投标保证金：无</w:t>
            </w:r>
          </w:p>
        </w:tc>
      </w:tr>
      <w:tr w14:paraId="44543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1F1012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noWrap/>
            <w:vAlign w:val="center"/>
          </w:tcPr>
          <w:p w14:paraId="50F3EE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现场踏勘：无</w:t>
            </w:r>
          </w:p>
        </w:tc>
      </w:tr>
      <w:tr w14:paraId="75E5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D0BCB4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noWrap/>
          </w:tcPr>
          <w:p w14:paraId="5A8B2F27">
            <w:pPr>
              <w:adjustRightInd w:val="0"/>
              <w:snapToGrid w:val="0"/>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演示：</w:t>
            </w:r>
            <w:r>
              <w:rPr>
                <w:rFonts w:hint="eastAsia" w:ascii="宋体" w:hAnsi="宋体" w:cs="宋体"/>
                <w:color w:val="auto"/>
                <w:szCs w:val="21"/>
                <w:highlight w:val="none"/>
                <w:lang w:val="en-US" w:eastAsia="zh-CN"/>
              </w:rPr>
              <w:t>无</w:t>
            </w:r>
          </w:p>
        </w:tc>
      </w:tr>
      <w:tr w14:paraId="2600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4AB3AE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17D7200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答疑与澄清：无</w:t>
            </w:r>
          </w:p>
        </w:tc>
      </w:tr>
      <w:tr w14:paraId="1BB99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C94F5F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60806EC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w:t>
            </w:r>
            <w:r>
              <w:rPr>
                <w:rFonts w:hint="eastAsia" w:ascii="宋体" w:hAnsi="宋体" w:cs="宋体"/>
                <w:bCs/>
                <w:color w:val="auto"/>
                <w:szCs w:val="21"/>
                <w:highlight w:val="none"/>
              </w:rPr>
              <w:t>完整的《投标文件》由</w:t>
            </w:r>
            <w:r>
              <w:rPr>
                <w:rFonts w:hint="eastAsia" w:ascii="宋体" w:hAnsi="宋体" w:cs="宋体"/>
                <w:b/>
                <w:color w:val="auto"/>
                <w:szCs w:val="21"/>
                <w:highlight w:val="none"/>
              </w:rPr>
              <w:t>资格文件、商务技术文件及报价文件三部份组成</w:t>
            </w:r>
            <w:r>
              <w:rPr>
                <w:rFonts w:hint="eastAsia" w:ascii="宋体" w:hAnsi="宋体" w:cs="宋体"/>
                <w:bCs/>
                <w:color w:val="auto"/>
                <w:szCs w:val="21"/>
                <w:highlight w:val="none"/>
              </w:rPr>
              <w:t>。</w:t>
            </w:r>
          </w:p>
        </w:tc>
      </w:tr>
      <w:tr w14:paraId="1ECAB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7A257D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noWrap/>
            <w:vAlign w:val="center"/>
          </w:tcPr>
          <w:p w14:paraId="58907E11">
            <w:pPr>
              <w:spacing w:line="600" w:lineRule="exact"/>
              <w:jc w:val="both"/>
              <w:rPr>
                <w:rFonts w:ascii="宋体" w:hAnsi="宋体" w:cs="宋体"/>
                <w:color w:val="auto"/>
                <w:szCs w:val="21"/>
                <w:highlight w:val="none"/>
              </w:rPr>
            </w:pPr>
            <w:r>
              <w:rPr>
                <w:rFonts w:hint="eastAsia" w:ascii="宋体" w:hAnsi="宋体" w:cs="宋体"/>
                <w:color w:val="auto"/>
                <w:szCs w:val="21"/>
              </w:rPr>
              <w:t>投标文件的编制：供应商应先安装“政采云电子交易客户端”，并按照本采购文件和“政府采购云平台”的要求，通过“政采云电子交易客户端”编制并加密投标文件。</w:t>
            </w:r>
          </w:p>
        </w:tc>
      </w:tr>
      <w:tr w14:paraId="6D143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CC00E33">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noWrap/>
            <w:vAlign w:val="center"/>
          </w:tcPr>
          <w:p w14:paraId="6123211A">
            <w:pPr>
              <w:jc w:val="left"/>
              <w:rPr>
                <w:rFonts w:ascii="宋体" w:hAnsi="宋体" w:cs="宋体"/>
                <w:color w:val="auto"/>
                <w:szCs w:val="21"/>
                <w:highlight w:val="none"/>
              </w:rPr>
            </w:pPr>
            <w:r>
              <w:rPr>
                <w:rFonts w:hint="eastAsia" w:ascii="宋体" w:hAnsi="宋体" w:cs="宋体"/>
                <w:color w:val="auto"/>
                <w:szCs w:val="21"/>
                <w:highlight w:val="none"/>
              </w:rPr>
              <w:t>投标文件的签章：电子签章。</w:t>
            </w:r>
          </w:p>
        </w:tc>
      </w:tr>
      <w:tr w14:paraId="178EC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5B16047">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noWrap/>
            <w:vAlign w:val="center"/>
          </w:tcPr>
          <w:p w14:paraId="37952C83">
            <w:pPr>
              <w:spacing w:line="440" w:lineRule="exact"/>
              <w:jc w:val="left"/>
              <w:rPr>
                <w:rFonts w:hint="eastAsia" w:ascii="宋体" w:hAnsi="宋体" w:cs="宋体"/>
                <w:color w:val="auto"/>
                <w:szCs w:val="21"/>
              </w:rPr>
            </w:pPr>
            <w:r>
              <w:rPr>
                <w:rFonts w:hint="eastAsia" w:ascii="宋体" w:hAnsi="宋体" w:cs="宋体"/>
                <w:color w:val="auto"/>
                <w:szCs w:val="21"/>
              </w:rPr>
              <w:t>投标文件的形式：☑电子投标文件（包括“电子加密投标文件”和“备份投标文件”，在投标文件编制完成后同时生成）；</w:t>
            </w:r>
          </w:p>
          <w:p w14:paraId="0D17ADD2">
            <w:pPr>
              <w:spacing w:line="440" w:lineRule="exact"/>
              <w:jc w:val="left"/>
              <w:rPr>
                <w:rFonts w:hint="eastAsia" w:ascii="宋体" w:hAnsi="宋体" w:cs="宋体"/>
                <w:color w:val="auto"/>
                <w:szCs w:val="21"/>
              </w:rPr>
            </w:pPr>
            <w:r>
              <w:rPr>
                <w:rFonts w:hint="eastAsia" w:ascii="宋体" w:hAnsi="宋体" w:cs="宋体"/>
                <w:color w:val="auto"/>
                <w:szCs w:val="21"/>
              </w:rPr>
              <w:t>（1）“电子加密投标文件”是指通过“政采云电子交易客户端”完成投标文件编制后生成并加密的数据电文形式的投标文件。</w:t>
            </w:r>
          </w:p>
          <w:p w14:paraId="3A5B651C">
            <w:pPr>
              <w:spacing w:line="440" w:lineRule="exact"/>
              <w:jc w:val="left"/>
              <w:rPr>
                <w:rFonts w:ascii="宋体" w:hAnsi="宋体" w:cs="宋体"/>
                <w:color w:val="auto"/>
                <w:szCs w:val="21"/>
                <w:highlight w:val="none"/>
              </w:rPr>
            </w:pPr>
            <w:r>
              <w:rPr>
                <w:rFonts w:hint="eastAsia" w:ascii="宋体" w:hAnsi="宋体" w:cs="宋体"/>
                <w:color w:val="auto"/>
                <w:szCs w:val="21"/>
              </w:rPr>
              <w:t>（2）“备份投标文件”是指与“电子加密投标文件”同时生成的数据电文形式的电子文件（备份标书），其他方式编制的备份投标文件视为无效备份投标文件。</w:t>
            </w:r>
          </w:p>
        </w:tc>
      </w:tr>
      <w:tr w14:paraId="2612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0FD7509">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noWrap/>
            <w:vAlign w:val="center"/>
          </w:tcPr>
          <w:p w14:paraId="0911AC6C">
            <w:pPr>
              <w:spacing w:line="440" w:lineRule="exact"/>
              <w:jc w:val="left"/>
              <w:rPr>
                <w:rFonts w:hint="eastAsia" w:ascii="宋体" w:hAnsi="宋体" w:cs="宋体"/>
                <w:color w:val="auto"/>
                <w:szCs w:val="21"/>
              </w:rPr>
            </w:pPr>
            <w:r>
              <w:rPr>
                <w:rFonts w:hint="eastAsia" w:ascii="宋体" w:hAnsi="宋体" w:cs="宋体"/>
                <w:color w:val="auto"/>
                <w:szCs w:val="21"/>
              </w:rPr>
              <w:t>投标文件份数：（1）“电子加密投标文件”：在线上传递交一份。（2）“备份投标文件”：密封包装后（邮寄形式）投标截止时间前递交一份（邮寄地址：浙江省舟山市</w:t>
            </w:r>
            <w:r>
              <w:rPr>
                <w:rFonts w:hint="eastAsia" w:ascii="宋体" w:hAnsi="宋体" w:cs="宋体"/>
                <w:color w:val="auto"/>
                <w:szCs w:val="21"/>
                <w:lang w:eastAsia="zh-CN"/>
              </w:rPr>
              <w:t>嵊泗县</w:t>
            </w:r>
            <w:r>
              <w:rPr>
                <w:rFonts w:hint="eastAsia" w:ascii="宋体" w:hAnsi="宋体" w:cs="宋体"/>
                <w:color w:val="auto"/>
                <w:szCs w:val="21"/>
                <w:lang w:val="en-US" w:eastAsia="zh-CN"/>
              </w:rPr>
              <w:t>菜园镇沙河路263号4</w:t>
            </w:r>
            <w:r>
              <w:rPr>
                <w:rFonts w:hint="eastAsia" w:ascii="宋体" w:hAnsi="宋体" w:cs="宋体"/>
                <w:color w:val="auto"/>
                <w:szCs w:val="21"/>
              </w:rPr>
              <w:t>楼</w:t>
            </w:r>
            <w:r>
              <w:rPr>
                <w:rFonts w:hint="eastAsia" w:ascii="宋体" w:hAnsi="宋体" w:cs="宋体"/>
                <w:color w:val="auto"/>
                <w:szCs w:val="21"/>
                <w:lang w:val="en-US" w:eastAsia="zh-CN"/>
              </w:rPr>
              <w:t xml:space="preserve"> </w:t>
            </w:r>
            <w:r>
              <w:rPr>
                <w:rFonts w:hint="eastAsia" w:ascii="宋体" w:hAnsi="宋体" w:cs="宋体"/>
                <w:color w:val="auto"/>
                <w:szCs w:val="21"/>
              </w:rPr>
              <w:t>舟山市嘉嵊咨询管理有限公司（黄健    电话：13575602808）。</w:t>
            </w:r>
          </w:p>
        </w:tc>
      </w:tr>
      <w:tr w14:paraId="07153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AD31CD1">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noWrap/>
            <w:vAlign w:val="center"/>
          </w:tcPr>
          <w:p w14:paraId="742B6E7C">
            <w:pPr>
              <w:spacing w:line="440" w:lineRule="exact"/>
              <w:jc w:val="left"/>
              <w:rPr>
                <w:rFonts w:hint="eastAsia" w:ascii="宋体" w:hAnsi="宋体" w:cs="宋体"/>
                <w:color w:val="auto"/>
                <w:szCs w:val="21"/>
              </w:rPr>
            </w:pPr>
            <w:r>
              <w:rPr>
                <w:rFonts w:hint="eastAsia" w:ascii="宋体" w:hAnsi="宋体" w:cs="宋体"/>
                <w:color w:val="auto"/>
                <w:szCs w:val="21"/>
              </w:rPr>
              <w:t>投标文件的上传和递交：</w:t>
            </w:r>
          </w:p>
          <w:p w14:paraId="163D3958">
            <w:pPr>
              <w:spacing w:line="440" w:lineRule="exact"/>
              <w:jc w:val="left"/>
              <w:rPr>
                <w:rFonts w:hint="eastAsia" w:ascii="宋体" w:hAnsi="宋体" w:cs="宋体"/>
                <w:color w:val="auto"/>
                <w:szCs w:val="21"/>
              </w:rPr>
            </w:pPr>
            <w:r>
              <w:rPr>
                <w:rFonts w:hint="eastAsia" w:ascii="宋体" w:hAnsi="宋体" w:cs="宋体"/>
                <w:color w:val="auto"/>
                <w:szCs w:val="21"/>
              </w:rPr>
              <w:t>（1）“电子加密投标文件”的上传、递交：</w:t>
            </w:r>
          </w:p>
          <w:p w14:paraId="22CB72AD">
            <w:pPr>
              <w:spacing w:line="440" w:lineRule="exact"/>
              <w:jc w:val="left"/>
              <w:rPr>
                <w:rFonts w:hint="eastAsia" w:ascii="宋体" w:hAnsi="宋体" w:cs="宋体"/>
                <w:color w:val="auto"/>
                <w:szCs w:val="21"/>
              </w:rPr>
            </w:pPr>
            <w:r>
              <w:rPr>
                <w:rFonts w:hint="eastAsia" w:ascii="宋体" w:hAnsi="宋体" w:cs="宋体"/>
                <w:color w:val="auto"/>
                <w:szCs w:val="21"/>
              </w:rPr>
              <w:t>a.投标供应商应在投标截止时间前将“电子加密投标文件”成功上传递交至“政府采购云平台”，否则投标无效。</w:t>
            </w:r>
          </w:p>
          <w:p w14:paraId="24BE198C">
            <w:pPr>
              <w:spacing w:line="440" w:lineRule="exact"/>
              <w:jc w:val="left"/>
              <w:rPr>
                <w:rFonts w:hint="eastAsia" w:ascii="宋体" w:hAnsi="宋体" w:cs="宋体"/>
                <w:color w:val="auto"/>
                <w:szCs w:val="21"/>
              </w:rPr>
            </w:pPr>
            <w:r>
              <w:rPr>
                <w:rFonts w:hint="eastAsia" w:ascii="宋体" w:hAnsi="宋体" w:cs="宋体"/>
                <w:color w:val="auto"/>
                <w:szCs w:val="21"/>
              </w:rPr>
              <w:t>b.“电子加密投标文件”成功上传递交后，供应商可自行打印投标文件接收回执。</w:t>
            </w:r>
          </w:p>
          <w:p w14:paraId="01825CE9">
            <w:pPr>
              <w:spacing w:line="440" w:lineRule="exact"/>
              <w:jc w:val="left"/>
              <w:rPr>
                <w:rFonts w:hint="eastAsia" w:ascii="宋体" w:hAnsi="宋体" w:cs="宋体"/>
                <w:color w:val="auto"/>
                <w:szCs w:val="21"/>
              </w:rPr>
            </w:pPr>
            <w:r>
              <w:rPr>
                <w:rFonts w:hint="eastAsia" w:ascii="宋体" w:hAnsi="宋体" w:cs="宋体"/>
                <w:color w:val="auto"/>
                <w:szCs w:val="21"/>
              </w:rPr>
              <w:t>（2）“备份投标文件”的密封包装、递交：</w:t>
            </w:r>
          </w:p>
          <w:p w14:paraId="4696ED1A">
            <w:pPr>
              <w:spacing w:line="440" w:lineRule="exact"/>
              <w:jc w:val="left"/>
              <w:rPr>
                <w:rFonts w:hint="eastAsia" w:ascii="宋体" w:hAnsi="宋体" w:cs="宋体"/>
                <w:color w:val="auto"/>
                <w:szCs w:val="21"/>
              </w:rPr>
            </w:pPr>
            <w:r>
              <w:rPr>
                <w:rFonts w:hint="eastAsia" w:ascii="宋体" w:hAnsi="宋体" w:cs="宋体"/>
                <w:color w:val="auto"/>
                <w:szCs w:val="21"/>
              </w:rPr>
              <w:t>a.投标供应商在“政府采购云平台”完成“电子加密投标文件”的上传递交后，还可以（邮寄形式）在投标截止时间前递交以介质（U盘）存储的“备份投标文件”（一份）；</w:t>
            </w:r>
          </w:p>
          <w:p w14:paraId="552EA322">
            <w:pPr>
              <w:spacing w:line="440" w:lineRule="exact"/>
              <w:jc w:val="left"/>
              <w:rPr>
                <w:rFonts w:hint="eastAsia" w:ascii="宋体" w:hAnsi="宋体" w:cs="宋体"/>
                <w:color w:val="auto"/>
                <w:szCs w:val="21"/>
              </w:rPr>
            </w:pPr>
            <w:r>
              <w:rPr>
                <w:rFonts w:hint="eastAsia" w:ascii="宋体" w:hAnsi="宋体" w:cs="宋体"/>
                <w:color w:val="auto"/>
                <w:szCs w:val="21"/>
              </w:rPr>
              <w:t>b.“备份投标文件”应当密封包装，并在包装上标注投标项目名称、投标单位名称并加盖公章。没有密封包装或者逾期邮寄送达至上述邮寄地点的“备份投标文件”将不予接收；</w:t>
            </w:r>
          </w:p>
          <w:p w14:paraId="15FAB7F5">
            <w:pPr>
              <w:spacing w:line="440" w:lineRule="exact"/>
              <w:jc w:val="left"/>
              <w:rPr>
                <w:rFonts w:hint="eastAsia" w:ascii="宋体" w:hAnsi="宋体" w:cs="宋体"/>
                <w:color w:val="auto"/>
                <w:szCs w:val="21"/>
              </w:rPr>
            </w:pPr>
            <w:r>
              <w:rPr>
                <w:rFonts w:hint="eastAsia" w:ascii="宋体" w:hAnsi="宋体" w:cs="宋体"/>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DFD5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A678246">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noWrap/>
            <w:vAlign w:val="center"/>
          </w:tcPr>
          <w:p w14:paraId="454F1ABE">
            <w:pPr>
              <w:spacing w:line="440" w:lineRule="exact"/>
              <w:jc w:val="left"/>
              <w:rPr>
                <w:rFonts w:hint="eastAsia" w:ascii="宋体" w:hAnsi="宋体" w:cs="宋体"/>
                <w:color w:val="auto"/>
                <w:szCs w:val="21"/>
              </w:rPr>
            </w:pPr>
            <w:r>
              <w:rPr>
                <w:rFonts w:hint="eastAsia" w:ascii="宋体" w:hAnsi="宋体" w:cs="宋体"/>
                <w:color w:val="auto"/>
                <w:szCs w:val="21"/>
              </w:rPr>
              <w:t>电子加密投标文件的解密和异常情况处理：</w:t>
            </w:r>
          </w:p>
          <w:p w14:paraId="6571A642">
            <w:pPr>
              <w:spacing w:line="440" w:lineRule="exact"/>
              <w:jc w:val="left"/>
              <w:rPr>
                <w:rFonts w:hint="eastAsia" w:ascii="宋体" w:hAnsi="宋体" w:cs="宋体"/>
                <w:color w:val="auto"/>
                <w:szCs w:val="21"/>
              </w:rPr>
            </w:pPr>
            <w:r>
              <w:rPr>
                <w:rFonts w:hint="eastAsia" w:ascii="宋体" w:hAnsi="宋体" w:cs="宋体"/>
                <w:color w:val="auto"/>
                <w:szCs w:val="21"/>
              </w:rPr>
              <w:t>（1）开标后，采购组织机构将向各投标供应商发出“电子加密投标文件”的解密通知，各投标供应商代表应当在接到解密通知后30分钟内自行完成“电子加密投标文件”的在线解密。</w:t>
            </w:r>
          </w:p>
          <w:p w14:paraId="0802089A">
            <w:pPr>
              <w:spacing w:line="440" w:lineRule="exact"/>
              <w:jc w:val="left"/>
              <w:rPr>
                <w:rFonts w:ascii="宋体" w:hAnsi="宋体" w:cs="宋体"/>
                <w:color w:val="auto"/>
                <w:szCs w:val="21"/>
                <w:highlight w:val="none"/>
              </w:rPr>
            </w:pPr>
            <w:r>
              <w:rPr>
                <w:rFonts w:hint="eastAsia" w:ascii="宋体" w:hAnsi="宋体" w:cs="宋体"/>
                <w:color w:val="auto"/>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3AF75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C67D55A">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noWrap/>
            <w:vAlign w:val="center"/>
          </w:tcPr>
          <w:p w14:paraId="0B89E0D0">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报名</w:t>
            </w:r>
            <w:r>
              <w:rPr>
                <w:rFonts w:hint="eastAsia" w:ascii="宋体" w:hAnsi="宋体" w:cs="宋体"/>
                <w:color w:val="auto"/>
                <w:szCs w:val="21"/>
                <w:highlight w:val="none"/>
              </w:rPr>
              <w:t>截止时间及地点：</w:t>
            </w:r>
            <w:r>
              <w:rPr>
                <w:rFonts w:hint="eastAsia" w:ascii="宋体" w:hAnsi="宋体" w:cs="宋体"/>
                <w:b/>
                <w:bCs/>
                <w:color w:val="auto"/>
                <w:szCs w:val="21"/>
                <w:highlight w:val="none"/>
                <w:lang w:eastAsia="zh-CN"/>
              </w:rPr>
              <w:t>2025年03月17日14时30分。</w:t>
            </w:r>
          </w:p>
          <w:p w14:paraId="47EB6404">
            <w:pPr>
              <w:snapToGrid w:val="0"/>
              <w:spacing w:line="360" w:lineRule="auto"/>
              <w:ind w:firstLine="1470" w:firstLineChars="700"/>
              <w:rPr>
                <w:rFonts w:ascii="宋体" w:hAnsi="宋体" w:cs="宋体"/>
                <w:color w:val="auto"/>
                <w:kern w:val="0"/>
                <w:szCs w:val="21"/>
                <w:highlight w:val="none"/>
              </w:rPr>
            </w:pPr>
            <w:bookmarkStart w:id="73" w:name="_GoBack"/>
            <w:bookmarkEnd w:id="73"/>
            <w:r>
              <w:rPr>
                <w:rFonts w:hint="eastAsia" w:ascii="宋体" w:hAnsi="宋体" w:cs="宋体"/>
                <w:color w:val="auto"/>
                <w:kern w:val="0"/>
                <w:szCs w:val="21"/>
                <w:highlight w:val="none"/>
              </w:rPr>
              <w:t>政采云线上报名</w:t>
            </w:r>
          </w:p>
          <w:p w14:paraId="6E92802D">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投标截止时间及地点：</w:t>
            </w:r>
            <w:r>
              <w:rPr>
                <w:rFonts w:hint="eastAsia" w:ascii="宋体" w:hAnsi="宋体" w:cs="宋体"/>
                <w:b/>
                <w:bCs/>
                <w:color w:val="auto"/>
                <w:szCs w:val="21"/>
                <w:highlight w:val="none"/>
                <w:lang w:eastAsia="zh-CN"/>
              </w:rPr>
              <w:t>2025年03月17日14时30分。</w:t>
            </w:r>
          </w:p>
          <w:p w14:paraId="1DFA06B8">
            <w:pPr>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kern w:val="0"/>
                <w:szCs w:val="21"/>
                <w:highlight w:val="none"/>
              </w:rPr>
              <w:t>政采云线上投标</w:t>
            </w:r>
          </w:p>
        </w:tc>
      </w:tr>
      <w:tr w14:paraId="465B3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0A8601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noWrap/>
            <w:vAlign w:val="center"/>
          </w:tcPr>
          <w:p w14:paraId="614823D5">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开标时间及地点：</w:t>
            </w:r>
            <w:r>
              <w:rPr>
                <w:rFonts w:hint="eastAsia" w:ascii="宋体" w:hAnsi="宋体" w:cs="宋体"/>
                <w:b/>
                <w:bCs/>
                <w:color w:val="auto"/>
                <w:szCs w:val="21"/>
                <w:highlight w:val="none"/>
                <w:lang w:eastAsia="zh-CN"/>
              </w:rPr>
              <w:t>2025年03月17日14时30分。</w:t>
            </w:r>
          </w:p>
          <w:p w14:paraId="56C7089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政采云线上开标</w:t>
            </w:r>
          </w:p>
        </w:tc>
      </w:tr>
      <w:tr w14:paraId="0DC58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7BDD5F1">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23C86436">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签订合同时间：中标通知书发出后30日内。</w:t>
            </w:r>
          </w:p>
        </w:tc>
      </w:tr>
      <w:tr w14:paraId="1AC33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52BEF29">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1FEF10D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bCs/>
                <w:color w:val="auto"/>
                <w:szCs w:val="21"/>
                <w:highlight w:val="none"/>
              </w:rPr>
              <w:t>最高限价：</w:t>
            </w:r>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31.5万元</w:t>
            </w:r>
            <w:r>
              <w:rPr>
                <w:rFonts w:hint="eastAsia" w:ascii="宋体" w:hAnsi="宋体" w:cs="宋体"/>
                <w:b/>
                <w:color w:val="auto"/>
                <w:szCs w:val="21"/>
                <w:highlight w:val="none"/>
              </w:rPr>
              <w:t>。</w:t>
            </w:r>
          </w:p>
        </w:tc>
      </w:tr>
      <w:tr w14:paraId="49756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4B89B2E">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652" w:type="dxa"/>
            <w:tcBorders>
              <w:top w:val="single" w:color="auto" w:sz="4" w:space="0"/>
              <w:left w:val="single" w:color="auto" w:sz="4" w:space="0"/>
              <w:bottom w:val="single" w:color="auto" w:sz="4" w:space="0"/>
              <w:right w:val="single" w:color="auto" w:sz="4" w:space="0"/>
            </w:tcBorders>
            <w:noWrap/>
            <w:vAlign w:val="center"/>
          </w:tcPr>
          <w:p w14:paraId="1067DAF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bCs/>
                <w:color w:val="auto"/>
                <w:szCs w:val="21"/>
                <w:highlight w:val="none"/>
              </w:rPr>
              <w:t>履约保证金：</w:t>
            </w:r>
            <w:r>
              <w:rPr>
                <w:rFonts w:hint="eastAsia" w:ascii="宋体" w:hAnsi="宋体" w:cs="宋体"/>
                <w:b/>
                <w:bCs/>
                <w:color w:val="auto"/>
                <w:szCs w:val="21"/>
                <w:highlight w:val="none"/>
                <w:lang w:val="en-US" w:eastAsia="zh-CN"/>
              </w:rPr>
              <w:t>无</w:t>
            </w:r>
          </w:p>
        </w:tc>
      </w:tr>
      <w:tr w14:paraId="6B3F9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923EF30">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8652" w:type="dxa"/>
            <w:tcBorders>
              <w:top w:val="single" w:color="auto" w:sz="4" w:space="0"/>
              <w:left w:val="single" w:color="auto" w:sz="4" w:space="0"/>
              <w:bottom w:val="single" w:color="auto" w:sz="4" w:space="0"/>
              <w:right w:val="single" w:color="auto" w:sz="4" w:space="0"/>
            </w:tcBorders>
            <w:noWrap/>
            <w:vAlign w:val="center"/>
          </w:tcPr>
          <w:p w14:paraId="7A9C8798">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60</w:t>
            </w:r>
            <w:r>
              <w:rPr>
                <w:rFonts w:hint="eastAsia" w:ascii="宋体" w:hAnsi="宋体" w:cs="宋体"/>
                <w:color w:val="auto"/>
                <w:szCs w:val="21"/>
                <w:highlight w:val="none"/>
              </w:rPr>
              <w:t>天</w:t>
            </w:r>
          </w:p>
        </w:tc>
      </w:tr>
      <w:tr w14:paraId="453FA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4C8EC5A">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3DE058E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网上注册：</w:t>
            </w:r>
          </w:p>
          <w:p w14:paraId="66DF8CD6">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本项目不接受现场报名，须注册后进行网上报名。在浙江政府采购网进行供应商注册后完成报名。（详情请见第一章</w:t>
            </w:r>
            <w:r>
              <w:rPr>
                <w:rFonts w:hint="eastAsia" w:ascii="宋体" w:hAnsi="宋体" w:cs="宋体"/>
                <w:color w:val="auto"/>
                <w:kern w:val="0"/>
                <w:szCs w:val="21"/>
                <w:highlight w:val="none"/>
                <w:lang w:eastAsia="zh-CN"/>
              </w:rPr>
              <w:t>竞争性磋商</w:t>
            </w:r>
            <w:r>
              <w:rPr>
                <w:rFonts w:hint="eastAsia" w:ascii="宋体" w:hAnsi="宋体" w:cs="宋体"/>
                <w:color w:val="auto"/>
                <w:kern w:val="0"/>
                <w:szCs w:val="21"/>
                <w:highlight w:val="none"/>
              </w:rPr>
              <w:t>公告及招标文件的获取）</w:t>
            </w:r>
          </w:p>
        </w:tc>
      </w:tr>
      <w:tr w14:paraId="37889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DDDA8CD">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2F2FE8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解释：本招标文件的解释权属于招标采购单位。</w:t>
            </w:r>
          </w:p>
        </w:tc>
      </w:tr>
      <w:tr w14:paraId="3281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8330E5C">
            <w:pPr>
              <w:snapToGrid w:val="0"/>
              <w:spacing w:line="360" w:lineRule="auto"/>
              <w:jc w:val="center"/>
              <w:rPr>
                <w:rFonts w:ascii="宋体" w:hAnsi="宋体" w:cs="宋体"/>
                <w:color w:val="auto"/>
                <w:szCs w:val="21"/>
                <w:highlight w:val="none"/>
              </w:rPr>
            </w:pPr>
          </w:p>
        </w:tc>
        <w:tc>
          <w:tcPr>
            <w:tcW w:w="8652" w:type="dxa"/>
            <w:tcBorders>
              <w:top w:val="single" w:color="auto" w:sz="4" w:space="0"/>
              <w:left w:val="single" w:color="auto" w:sz="4" w:space="0"/>
              <w:bottom w:val="single" w:color="auto" w:sz="4" w:space="0"/>
              <w:right w:val="single" w:color="auto" w:sz="4" w:space="0"/>
            </w:tcBorders>
            <w:noWrap/>
            <w:vAlign w:val="center"/>
          </w:tcPr>
          <w:p w14:paraId="59F10FC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说明：</w:t>
            </w:r>
          </w:p>
          <w:p w14:paraId="2587AA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E731D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0692D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残疾人福利性单位</w:t>
            </w:r>
          </w:p>
          <w:p w14:paraId="435968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F9CC71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监狱企业</w:t>
            </w:r>
          </w:p>
          <w:p w14:paraId="7E56F7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180BD56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二、针对本项目的相关规定</w:t>
            </w:r>
          </w:p>
          <w:p w14:paraId="2415AAE4">
            <w:pPr>
              <w:spacing w:line="360" w:lineRule="exact"/>
              <w:jc w:val="left"/>
              <w:rPr>
                <w:rFonts w:ascii="宋体" w:hAnsi="宋体"/>
                <w:b/>
                <w:color w:val="auto"/>
                <w:szCs w:val="21"/>
                <w:highlight w:val="none"/>
              </w:rPr>
            </w:pPr>
            <w:r>
              <w:rPr>
                <w:rFonts w:hint="eastAsia" w:ascii="宋体" w:hAnsi="宋体"/>
                <w:b/>
                <w:color w:val="auto"/>
                <w:szCs w:val="21"/>
                <w:highlight w:val="none"/>
              </w:rPr>
              <w:t>1、本项目专门面向中小企业预留份额采购的采购项目。</w:t>
            </w:r>
          </w:p>
          <w:p w14:paraId="06EE6EDB">
            <w:pPr>
              <w:spacing w:line="360" w:lineRule="exact"/>
              <w:jc w:val="left"/>
              <w:rPr>
                <w:rFonts w:ascii="宋体" w:hAnsi="宋体"/>
                <w:b/>
                <w:color w:val="auto"/>
                <w:szCs w:val="21"/>
                <w:highlight w:val="none"/>
              </w:rPr>
            </w:pPr>
            <w:r>
              <w:rPr>
                <w:rFonts w:hint="eastAsia" w:ascii="宋体" w:hAnsi="宋体"/>
                <w:b/>
                <w:color w:val="auto"/>
                <w:szCs w:val="21"/>
                <w:highlight w:val="none"/>
              </w:rPr>
              <w:t xml:space="preserve">2、根据财政部财库[2020]46号关于印发《政府采购促进中小企业发展管理办法》的通知、浙财采监[2022]8号《浙江省财政厅关于进一步加大政府采购支持中小企业力度助力扎实稳住经济的通知》，本项目获得采购合同的大中型企业供应商可将采购项目分包给小微企业，并在投标文件中提供分包意向协议书。如提供分包意向协议书的，意向协议书中约定小微企业合同份额占到合同总金额30%以上的，同时提供了小微企业《中小企业声明函》的，对大中型企业的投标报价给与6%的扣除，用扣除后的价格参加评审。组成联合体或者接受分包的小微企业与联合体内其他企业、分包企业之间存在直接控股、管理关系的，不享受价格扣除优惠政策。 </w:t>
            </w:r>
          </w:p>
          <w:p w14:paraId="15BF1762">
            <w:pPr>
              <w:snapToGrid w:val="0"/>
              <w:spacing w:line="360" w:lineRule="auto"/>
              <w:rPr>
                <w:rFonts w:ascii="宋体" w:hAnsi="宋体"/>
                <w:b/>
                <w:color w:val="auto"/>
                <w:szCs w:val="21"/>
                <w:highlight w:val="none"/>
              </w:rPr>
            </w:pPr>
            <w:r>
              <w:rPr>
                <w:rFonts w:hint="eastAsia" w:ascii="宋体" w:hAnsi="宋体"/>
                <w:b/>
                <w:color w:val="auto"/>
                <w:szCs w:val="21"/>
                <w:highlight w:val="none"/>
              </w:rPr>
              <w:t>3、根据财库[2020]46号及浙财采监[2022]8号的相关规定，在评审时对小型和微型企业的投标报价给予</w:t>
            </w:r>
            <w:r>
              <w:rPr>
                <w:rFonts w:hint="eastAsia" w:ascii="宋体" w:hAnsi="宋体"/>
                <w:b/>
                <w:color w:val="auto"/>
                <w:szCs w:val="21"/>
                <w:highlight w:val="none"/>
                <w:lang w:val="en-US" w:eastAsia="zh-CN"/>
              </w:rPr>
              <w:t>1</w:t>
            </w:r>
            <w:r>
              <w:rPr>
                <w:rFonts w:hint="eastAsia" w:ascii="宋体" w:hAnsi="宋体"/>
                <w:b/>
                <w:color w:val="auto"/>
                <w:szCs w:val="21"/>
                <w:highlight w:val="none"/>
              </w:rPr>
              <w:t>0%的扣除，用取扣除后的价格参与评审（仅参与为价格分计算）。属于小型和微型企业的，投标文件中投标人必须提供的《中小企业声明函》</w:t>
            </w:r>
          </w:p>
          <w:p w14:paraId="0B992B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本项目采购标的对应的中小企业计划分标准所属行业为：</w:t>
            </w:r>
            <w:r>
              <w:rPr>
                <w:rFonts w:hint="eastAsia" w:ascii="宋体" w:hAnsi="宋体" w:cs="宋体"/>
                <w:kern w:val="2"/>
                <w:sz w:val="21"/>
                <w:szCs w:val="21"/>
                <w:u w:val="single"/>
                <w:lang w:val="en-US" w:eastAsia="zh-CN" w:bidi="ar"/>
              </w:rPr>
              <w:t>服务</w:t>
            </w:r>
            <w:r>
              <w:rPr>
                <w:rFonts w:hint="eastAsia" w:ascii="宋体" w:hAnsi="宋体" w:eastAsia="宋体" w:cs="宋体"/>
                <w:kern w:val="2"/>
                <w:sz w:val="21"/>
                <w:szCs w:val="21"/>
                <w:u w:val="single"/>
                <w:lang w:val="en-US" w:eastAsia="zh-CN" w:bidi="ar"/>
              </w:rPr>
              <w:t>行业</w:t>
            </w:r>
            <w:r>
              <w:rPr>
                <w:rFonts w:hint="eastAsia" w:ascii="宋体" w:hAnsi="宋体" w:cs="宋体"/>
                <w:color w:val="auto"/>
                <w:szCs w:val="21"/>
                <w:highlight w:val="none"/>
                <w:lang w:val="en-US" w:eastAsia="zh-CN"/>
              </w:rPr>
              <w:t>。</w:t>
            </w:r>
          </w:p>
        </w:tc>
      </w:tr>
      <w:tr w14:paraId="4A059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8E0A334">
            <w:pPr>
              <w:snapToGrid w:val="0"/>
              <w:spacing w:line="360" w:lineRule="auto"/>
              <w:jc w:val="center"/>
              <w:rPr>
                <w:rFonts w:ascii="宋体" w:hAnsi="宋体" w:cs="宋体"/>
                <w:color w:val="auto"/>
                <w:szCs w:val="21"/>
                <w:highlight w:val="none"/>
              </w:rPr>
            </w:pPr>
          </w:p>
        </w:tc>
        <w:tc>
          <w:tcPr>
            <w:tcW w:w="8652" w:type="dxa"/>
            <w:tcBorders>
              <w:top w:val="single" w:color="auto" w:sz="4" w:space="0"/>
              <w:left w:val="single" w:color="auto" w:sz="4" w:space="0"/>
              <w:bottom w:val="single" w:color="auto" w:sz="4" w:space="0"/>
              <w:right w:val="single" w:color="auto" w:sz="4" w:space="0"/>
            </w:tcBorders>
            <w:noWrap/>
            <w:vAlign w:val="center"/>
          </w:tcPr>
          <w:p w14:paraId="1DCB0E03">
            <w:pPr>
              <w:snapToGrid w:val="0"/>
              <w:spacing w:line="360" w:lineRule="auto"/>
              <w:rPr>
                <w:rFonts w:ascii="宋体" w:hAnsi="宋体" w:cs="宋体"/>
                <w:color w:val="auto"/>
                <w:szCs w:val="21"/>
                <w:highlight w:val="none"/>
              </w:rPr>
            </w:pPr>
          </w:p>
        </w:tc>
      </w:tr>
    </w:tbl>
    <w:p w14:paraId="1B9A74D1">
      <w:pPr>
        <w:pStyle w:val="15"/>
        <w:snapToGrid w:val="0"/>
        <w:spacing w:line="420" w:lineRule="exact"/>
        <w:jc w:val="both"/>
        <w:rPr>
          <w:rFonts w:hint="eastAsia" w:hAnsi="宋体" w:cs="宋体"/>
          <w:b/>
          <w:color w:val="auto"/>
          <w:sz w:val="28"/>
          <w:szCs w:val="28"/>
          <w:highlight w:val="none"/>
        </w:rPr>
      </w:pPr>
    </w:p>
    <w:p w14:paraId="5DEA839A">
      <w:pPr>
        <w:pStyle w:val="7"/>
        <w:ind w:left="0" w:leftChars="0" w:firstLine="0" w:firstLineChars="0"/>
        <w:rPr>
          <w:rFonts w:hint="eastAsia"/>
        </w:rPr>
      </w:pPr>
    </w:p>
    <w:p w14:paraId="1D68BD4F">
      <w:pPr>
        <w:pStyle w:val="7"/>
        <w:rPr>
          <w:rFonts w:hint="eastAsia"/>
        </w:rPr>
      </w:pPr>
    </w:p>
    <w:p w14:paraId="75656A82">
      <w:pPr>
        <w:pStyle w:val="7"/>
        <w:rPr>
          <w:rFonts w:hint="eastAsia"/>
        </w:rPr>
      </w:pPr>
    </w:p>
    <w:p w14:paraId="06588492">
      <w:pPr>
        <w:pStyle w:val="15"/>
        <w:snapToGrid w:val="0"/>
        <w:spacing w:line="420" w:lineRule="exact"/>
        <w:jc w:val="center"/>
        <w:rPr>
          <w:rFonts w:hAnsi="宋体" w:cs="宋体"/>
          <w:b/>
          <w:color w:val="auto"/>
          <w:sz w:val="28"/>
          <w:szCs w:val="28"/>
          <w:highlight w:val="none"/>
        </w:rPr>
      </w:pPr>
      <w:r>
        <w:rPr>
          <w:rFonts w:hint="eastAsia" w:hAnsi="宋体" w:cs="宋体"/>
          <w:b/>
          <w:color w:val="auto"/>
          <w:sz w:val="28"/>
          <w:szCs w:val="28"/>
          <w:highlight w:val="none"/>
        </w:rPr>
        <w:t>一、总  则</w:t>
      </w:r>
    </w:p>
    <w:p w14:paraId="45B1E2E9">
      <w:pPr>
        <w:snapToGrid w:val="0"/>
        <w:spacing w:line="420" w:lineRule="exact"/>
        <w:ind w:firstLine="422" w:firstLineChars="200"/>
        <w:jc w:val="left"/>
        <w:outlineLvl w:val="1"/>
        <w:rPr>
          <w:rFonts w:ascii="宋体" w:hAnsi="宋体" w:cs="宋体"/>
          <w:b/>
          <w:color w:val="auto"/>
          <w:szCs w:val="21"/>
          <w:highlight w:val="none"/>
        </w:rPr>
      </w:pPr>
      <w:bookmarkStart w:id="2" w:name="_Toc33535346"/>
      <w:r>
        <w:rPr>
          <w:rFonts w:hint="eastAsia" w:ascii="宋体" w:hAnsi="宋体" w:cs="宋体"/>
          <w:b/>
          <w:color w:val="auto"/>
          <w:szCs w:val="21"/>
          <w:highlight w:val="none"/>
        </w:rPr>
        <w:t>（一）适用范围</w:t>
      </w:r>
      <w:bookmarkEnd w:id="2"/>
    </w:p>
    <w:p w14:paraId="610EDC7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本招标文件适用于本项目的招标、投标、评标、定标、验收、合同履约、付款等行为（法律、法规另有规定的，从其规定）。</w:t>
      </w:r>
    </w:p>
    <w:p w14:paraId="0F685988">
      <w:pPr>
        <w:snapToGrid w:val="0"/>
        <w:spacing w:line="420" w:lineRule="exact"/>
        <w:ind w:firstLine="422" w:firstLineChars="200"/>
        <w:jc w:val="left"/>
        <w:outlineLvl w:val="1"/>
        <w:rPr>
          <w:rFonts w:ascii="宋体" w:hAnsi="宋体" w:cs="宋体"/>
          <w:b/>
          <w:color w:val="auto"/>
          <w:szCs w:val="21"/>
          <w:highlight w:val="none"/>
        </w:rPr>
      </w:pPr>
      <w:bookmarkStart w:id="3" w:name="_Toc33535347"/>
      <w:r>
        <w:rPr>
          <w:rFonts w:hint="eastAsia" w:ascii="宋体" w:hAnsi="宋体" w:cs="宋体"/>
          <w:b/>
          <w:color w:val="auto"/>
          <w:szCs w:val="21"/>
          <w:highlight w:val="none"/>
        </w:rPr>
        <w:t>（二）定义</w:t>
      </w:r>
      <w:bookmarkEnd w:id="3"/>
    </w:p>
    <w:p w14:paraId="4E6082A9">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1、招标采购人：系指组织本次招标的代理机构或采购人。</w:t>
      </w:r>
    </w:p>
    <w:p w14:paraId="05D3811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2、“供应商”系指向招标方提交投标文件的单位或个人。</w:t>
      </w:r>
    </w:p>
    <w:p w14:paraId="097802E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3、“产品”系指供方按招标文件规定，须向采购人提供的一切设备、保险、税金、备品备件、工具、手册及其它有关技术资料和材料。</w:t>
      </w:r>
    </w:p>
    <w:p w14:paraId="718A1DA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4.、服务”系指招标文件规定供应商须承担的安装、调试、技术协助、校准、培训、技术指导以及其他类似的义务。</w:t>
      </w:r>
    </w:p>
    <w:p w14:paraId="19CAE32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5、“项目”系指供应商按招标文件规定向采购人提供的产品和服务。</w:t>
      </w:r>
    </w:p>
    <w:p w14:paraId="40459E4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14:paraId="49DDAA01">
      <w:pPr>
        <w:snapToGrid w:val="0"/>
        <w:spacing w:line="420" w:lineRule="exact"/>
        <w:ind w:firstLine="420" w:firstLineChars="200"/>
        <w:jc w:val="left"/>
        <w:outlineLvl w:val="1"/>
        <w:rPr>
          <w:rFonts w:ascii="宋体" w:hAnsi="宋体" w:cs="宋体"/>
          <w:color w:val="auto"/>
          <w:szCs w:val="21"/>
          <w:highlight w:val="none"/>
        </w:rPr>
      </w:pPr>
      <w:bookmarkStart w:id="4" w:name="_Toc33535348"/>
      <w:r>
        <w:rPr>
          <w:rFonts w:hint="eastAsia" w:ascii="宋体" w:hAnsi="宋体" w:cs="宋体"/>
          <w:color w:val="auto"/>
          <w:szCs w:val="21"/>
          <w:highlight w:val="none"/>
        </w:rPr>
        <w:t>7.“▲”系指实质性要求条款，不满足实质性要求条款的投标文件无效。“★”系重要条款。</w:t>
      </w:r>
    </w:p>
    <w:p w14:paraId="5DCFBE11">
      <w:pPr>
        <w:snapToGrid w:val="0"/>
        <w:spacing w:line="420" w:lineRule="exact"/>
        <w:ind w:firstLine="422" w:firstLineChars="200"/>
        <w:jc w:val="left"/>
        <w:outlineLvl w:val="1"/>
        <w:rPr>
          <w:rFonts w:ascii="宋体" w:hAnsi="宋体" w:cs="宋体"/>
          <w:b/>
          <w:color w:val="auto"/>
          <w:szCs w:val="21"/>
          <w:highlight w:val="none"/>
        </w:rPr>
      </w:pPr>
      <w:r>
        <w:rPr>
          <w:rFonts w:hint="eastAsia" w:ascii="宋体" w:hAnsi="宋体" w:cs="宋体"/>
          <w:b/>
          <w:color w:val="auto"/>
          <w:szCs w:val="21"/>
          <w:highlight w:val="none"/>
        </w:rPr>
        <w:t>（三）招标方式</w:t>
      </w:r>
      <w:bookmarkEnd w:id="4"/>
    </w:p>
    <w:p w14:paraId="785592E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w:t>
      </w:r>
      <w:r>
        <w:rPr>
          <w:rFonts w:hint="eastAsia" w:ascii="宋体" w:hAnsi="宋体" w:cs="宋体"/>
          <w:color w:val="auto"/>
          <w:szCs w:val="21"/>
          <w:highlight w:val="none"/>
          <w:u w:val="single"/>
          <w:lang w:eastAsia="zh-CN"/>
        </w:rPr>
        <w:t>竞争性磋商</w:t>
      </w:r>
      <w:r>
        <w:rPr>
          <w:rFonts w:hint="eastAsia" w:ascii="宋体" w:hAnsi="宋体" w:cs="宋体"/>
          <w:color w:val="auto"/>
          <w:szCs w:val="21"/>
          <w:highlight w:val="none"/>
        </w:rPr>
        <w:t>方式进行。</w:t>
      </w:r>
    </w:p>
    <w:p w14:paraId="6AF3CECC">
      <w:pPr>
        <w:snapToGrid w:val="0"/>
        <w:spacing w:line="420" w:lineRule="exact"/>
        <w:ind w:firstLine="422" w:firstLineChars="200"/>
        <w:jc w:val="left"/>
        <w:outlineLvl w:val="1"/>
        <w:rPr>
          <w:rFonts w:ascii="宋体" w:hAnsi="宋体" w:cs="宋体"/>
          <w:b/>
          <w:color w:val="auto"/>
          <w:szCs w:val="21"/>
          <w:highlight w:val="none"/>
        </w:rPr>
      </w:pPr>
      <w:bookmarkStart w:id="5" w:name="_Toc33535350"/>
      <w:r>
        <w:rPr>
          <w:rFonts w:hint="eastAsia" w:ascii="宋体" w:hAnsi="宋体" w:cs="宋体"/>
          <w:b/>
          <w:color w:val="auto"/>
          <w:szCs w:val="21"/>
          <w:highlight w:val="none"/>
        </w:rPr>
        <w:t>（四）投标费用</w:t>
      </w:r>
      <w:bookmarkEnd w:id="5"/>
    </w:p>
    <w:p w14:paraId="1D84B791">
      <w:pPr>
        <w:snapToGrid w:val="0"/>
        <w:spacing w:line="42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不论投标结果如何，供应商均应自行承担所有与投标有关的全部费用。（招标文件有相反规定除外</w:t>
      </w:r>
      <w:r>
        <w:rPr>
          <w:rFonts w:hint="eastAsia" w:ascii="宋体" w:hAnsi="宋体" w:cs="宋体"/>
          <w:color w:val="auto"/>
          <w:szCs w:val="21"/>
          <w:highlight w:val="none"/>
          <w:lang w:val="en-US" w:eastAsia="zh-CN"/>
        </w:rPr>
        <w:t>)</w:t>
      </w:r>
    </w:p>
    <w:p w14:paraId="2D303B5F">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（五）联合体投标</w:t>
      </w:r>
    </w:p>
    <w:p w14:paraId="3EE70489">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）联合体投标</w:t>
      </w:r>
      <w:r>
        <w:rPr>
          <w:rFonts w:hint="eastAsia" w:ascii="宋体" w:hAnsi="宋体" w:cs="宋体"/>
          <w:color w:val="auto"/>
          <w:szCs w:val="21"/>
          <w:highlight w:val="none"/>
        </w:rPr>
        <w:t>。</w:t>
      </w:r>
    </w:p>
    <w:p w14:paraId="0D17E93A">
      <w:pPr>
        <w:snapToGrid w:val="0"/>
        <w:spacing w:line="42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转包与分包</w:t>
      </w:r>
    </w:p>
    <w:p w14:paraId="2DD49B86">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本项目不允许转包</w:t>
      </w:r>
      <w:r>
        <w:rPr>
          <w:rFonts w:hint="eastAsia" w:ascii="宋体" w:hAnsi="宋体" w:cs="宋体"/>
          <w:b w:val="0"/>
          <w:bCs/>
          <w:color w:val="auto"/>
          <w:kern w:val="0"/>
          <w:szCs w:val="21"/>
          <w:highlight w:val="none"/>
        </w:rPr>
        <w:t>与分包</w:t>
      </w:r>
      <w:r>
        <w:rPr>
          <w:rFonts w:hint="eastAsia" w:ascii="宋体" w:hAnsi="宋体" w:cs="宋体"/>
          <w:color w:val="auto"/>
          <w:kern w:val="0"/>
          <w:szCs w:val="21"/>
          <w:highlight w:val="none"/>
        </w:rPr>
        <w:t>。</w:t>
      </w:r>
    </w:p>
    <w:p w14:paraId="0345E6E2">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（七）是否允许采购进口产品</w:t>
      </w:r>
    </w:p>
    <w:p w14:paraId="6BD0A284">
      <w:pPr>
        <w:snapToGrid w:val="0"/>
        <w:spacing w:line="420" w:lineRule="exact"/>
        <w:ind w:firstLine="420" w:firstLineChars="200"/>
        <w:jc w:val="left"/>
        <w:outlineLvl w:val="1"/>
        <w:rPr>
          <w:rFonts w:ascii="宋体" w:hAnsi="宋体" w:cs="宋体"/>
          <w:color w:val="auto"/>
          <w:kern w:val="0"/>
          <w:szCs w:val="21"/>
          <w:highlight w:val="none"/>
        </w:rPr>
      </w:pPr>
      <w:bookmarkStart w:id="6" w:name="_Toc33535351"/>
      <w:r>
        <w:rPr>
          <w:rFonts w:hint="eastAsia" w:ascii="宋体" w:hAnsi="宋体" w:cs="宋体"/>
          <w:color w:val="auto"/>
          <w:kern w:val="0"/>
          <w:szCs w:val="21"/>
          <w:highlight w:val="none"/>
        </w:rPr>
        <w:t>不允许采购进口产品。</w:t>
      </w:r>
      <w:bookmarkEnd w:id="6"/>
    </w:p>
    <w:p w14:paraId="27DBFF40">
      <w:pPr>
        <w:snapToGrid w:val="0"/>
        <w:spacing w:line="420" w:lineRule="exact"/>
        <w:ind w:firstLine="422" w:firstLineChars="200"/>
        <w:jc w:val="left"/>
        <w:outlineLvl w:val="1"/>
        <w:rPr>
          <w:rFonts w:ascii="宋体" w:hAnsi="宋体" w:cs="宋体"/>
          <w:b/>
          <w:color w:val="auto"/>
          <w:szCs w:val="21"/>
          <w:highlight w:val="none"/>
        </w:rPr>
      </w:pPr>
      <w:bookmarkStart w:id="7" w:name="_Toc33535352"/>
      <w:r>
        <w:rPr>
          <w:rFonts w:hint="eastAsia" w:ascii="宋体" w:hAnsi="宋体" w:cs="宋体"/>
          <w:b/>
          <w:color w:val="auto"/>
          <w:szCs w:val="21"/>
          <w:highlight w:val="none"/>
        </w:rPr>
        <w:t>（八）特别说明：</w:t>
      </w:r>
      <w:bookmarkEnd w:id="7"/>
    </w:p>
    <w:p w14:paraId="3C0B82C3">
      <w:pPr>
        <w:pStyle w:val="27"/>
        <w:shd w:val="clear" w:color="auto" w:fill="FFFFFF"/>
        <w:spacing w:before="0" w:beforeAutospacing="0" w:after="0" w:afterAutospacing="0" w:line="420" w:lineRule="exact"/>
        <w:ind w:firstLine="420"/>
        <w:rPr>
          <w:rFonts w:cs="宋体"/>
          <w:color w:val="auto"/>
          <w:kern w:val="2"/>
          <w:sz w:val="21"/>
          <w:szCs w:val="21"/>
          <w:highlight w:val="none"/>
        </w:rPr>
      </w:pPr>
      <w:bookmarkStart w:id="8" w:name="_Toc33535353"/>
      <w:r>
        <w:rPr>
          <w:rFonts w:hint="eastAsia" w:cs="宋体"/>
          <w:color w:val="auto"/>
          <w:kern w:val="2"/>
          <w:sz w:val="21"/>
          <w:szCs w:val="21"/>
          <w:highlight w:val="none"/>
        </w:rPr>
        <w:t>1、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880965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w:t>
      </w:r>
    </w:p>
    <w:p w14:paraId="38C946A1">
      <w:pPr>
        <w:pStyle w:val="15"/>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2、供应商投标所使用的资格、信誉、荣誉、业绩与企业认证必须为本法人所拥有。供应商投标所使用的采购项目实施人员必须为本法人员工（或必须为本法人或控股公司正式员工）。</w:t>
      </w:r>
    </w:p>
    <w:p w14:paraId="226206FD">
      <w:pPr>
        <w:pStyle w:val="15"/>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3、供应商应仔细阅读招标文件的所有内容，按照招标文件的要求提交投标文件，并对所提供的全部资料的真实性承担法律责任。</w:t>
      </w:r>
    </w:p>
    <w:p w14:paraId="169207F8">
      <w:pPr>
        <w:pStyle w:val="15"/>
        <w:snapToGrid w:val="0"/>
        <w:spacing w:line="420" w:lineRule="exact"/>
        <w:ind w:left="2" w:leftChars="1" w:firstLine="420" w:firstLineChars="200"/>
        <w:rPr>
          <w:rFonts w:hAnsi="宋体" w:cs="宋体"/>
          <w:color w:val="auto"/>
          <w:szCs w:val="21"/>
          <w:highlight w:val="none"/>
        </w:rPr>
      </w:pPr>
      <w:r>
        <w:rPr>
          <w:rFonts w:hint="eastAsia" w:hAnsi="宋体" w:cs="宋体"/>
          <w:color w:val="auto"/>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46BF0950">
      <w:pPr>
        <w:pStyle w:val="15"/>
        <w:snapToGrid w:val="0"/>
        <w:spacing w:line="420" w:lineRule="exact"/>
        <w:ind w:firstLine="422" w:firstLineChars="200"/>
        <w:outlineLvl w:val="1"/>
        <w:rPr>
          <w:rFonts w:hAnsi="宋体" w:cs="宋体"/>
          <w:b/>
          <w:bCs/>
          <w:color w:val="auto"/>
          <w:szCs w:val="21"/>
          <w:highlight w:val="none"/>
        </w:rPr>
      </w:pPr>
      <w:r>
        <w:rPr>
          <w:rFonts w:hint="eastAsia" w:hAnsi="宋体" w:cs="宋体"/>
          <w:b/>
          <w:bCs/>
          <w:color w:val="auto"/>
          <w:szCs w:val="21"/>
          <w:highlight w:val="none"/>
        </w:rPr>
        <w:t>（九）质疑和投诉</w:t>
      </w:r>
      <w:bookmarkEnd w:id="8"/>
    </w:p>
    <w:p w14:paraId="35F4F628">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1D65FCEB">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2、供应商须在法定质疑期内一次性提出针对同一采购程序环节的质疑.</w:t>
      </w:r>
    </w:p>
    <w:p w14:paraId="4E0EBDB7">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3、供应商认为采购代理机构在质疑答复程序中启用的调查和复评等程序，在该程序操作过程未明显违反法律禁止性规定时，不得提出疑义。</w:t>
      </w:r>
    </w:p>
    <w:p w14:paraId="7712545A">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4、质疑和投诉应当满足《政府采购质疑和投诉办法》（中华人民共和国财政部令第94号）要求。</w:t>
      </w:r>
    </w:p>
    <w:p w14:paraId="2039F03F">
      <w:pPr>
        <w:pStyle w:val="15"/>
        <w:snapToGrid w:val="0"/>
        <w:spacing w:line="420" w:lineRule="exact"/>
        <w:ind w:firstLine="413" w:firstLineChars="196"/>
        <w:jc w:val="center"/>
        <w:outlineLvl w:val="0"/>
        <w:rPr>
          <w:rFonts w:hAnsi="宋体" w:cs="宋体"/>
          <w:b/>
          <w:color w:val="auto"/>
          <w:szCs w:val="21"/>
          <w:highlight w:val="none"/>
        </w:rPr>
      </w:pPr>
      <w:bookmarkStart w:id="9" w:name="_Toc33535354"/>
      <w:bookmarkStart w:id="10" w:name="_Toc406402943"/>
      <w:bookmarkStart w:id="11" w:name="_Toc406402987"/>
    </w:p>
    <w:p w14:paraId="4B82215A">
      <w:pPr>
        <w:pStyle w:val="15"/>
        <w:snapToGrid w:val="0"/>
        <w:spacing w:line="420" w:lineRule="exact"/>
        <w:ind w:firstLine="551" w:firstLineChars="196"/>
        <w:jc w:val="center"/>
        <w:outlineLvl w:val="0"/>
        <w:rPr>
          <w:rFonts w:hAnsi="宋体" w:cs="宋体"/>
          <w:b/>
          <w:color w:val="auto"/>
          <w:sz w:val="28"/>
          <w:szCs w:val="28"/>
          <w:highlight w:val="none"/>
        </w:rPr>
      </w:pPr>
      <w:r>
        <w:rPr>
          <w:rFonts w:hint="eastAsia" w:hAnsi="宋体" w:cs="宋体"/>
          <w:b/>
          <w:color w:val="auto"/>
          <w:sz w:val="28"/>
          <w:szCs w:val="28"/>
          <w:highlight w:val="none"/>
        </w:rPr>
        <w:t>二、招标文件</w:t>
      </w:r>
      <w:bookmarkEnd w:id="9"/>
      <w:bookmarkEnd w:id="10"/>
      <w:bookmarkEnd w:id="11"/>
    </w:p>
    <w:p w14:paraId="2B8CE774">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（一）招标文件的构成。本招标文件由以下部份组成：</w:t>
      </w:r>
    </w:p>
    <w:p w14:paraId="004A33E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14:paraId="486552E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2、招标需求</w:t>
      </w:r>
    </w:p>
    <w:p w14:paraId="3C995F4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14:paraId="09FC481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4、评标办法及标准</w:t>
      </w:r>
    </w:p>
    <w:p w14:paraId="078D966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7D5CC9A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38B01E2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56615337">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14:paraId="30719881">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供应商没有按照招标文件要求提供全部资料，或者供应商没有对招标文件在各方面作出实质性响应是供应商的风险，并可能导致其投标为无效标。</w:t>
      </w:r>
    </w:p>
    <w:p w14:paraId="16DC5A35">
      <w:pPr>
        <w:pStyle w:val="6"/>
        <w:numPr>
          <w:ilvl w:val="0"/>
          <w:numId w:val="0"/>
        </w:numPr>
        <w:tabs>
          <w:tab w:val="left" w:pos="720"/>
        </w:tabs>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（三）招标文件的澄清与修改 </w:t>
      </w:r>
    </w:p>
    <w:p w14:paraId="49582B38">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1、</w:t>
      </w:r>
      <w:r>
        <w:rPr>
          <w:rFonts w:hint="eastAsia" w:hAnsi="宋体" w:cs="宋体"/>
          <w:bCs/>
          <w:color w:val="auto"/>
          <w:szCs w:val="21"/>
          <w:highlight w:val="none"/>
        </w:rPr>
        <w:t>供应商应认真阅读本招标文件，发现其中有误或有不合理要求的，可要求招标采购人澄清</w:t>
      </w:r>
      <w:r>
        <w:rPr>
          <w:rFonts w:hint="eastAsia" w:hAnsi="宋体" w:cs="宋体"/>
          <w:color w:val="auto"/>
          <w:szCs w:val="21"/>
          <w:highlight w:val="none"/>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6471AD5F">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2、招标文件澄清或者修改的内容为招标文件的组成部分。当招标文件与澄清或者修改就同一内容的表述不一致时，以最后发出的书面文件为准。</w:t>
      </w:r>
    </w:p>
    <w:p w14:paraId="50FEA037">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3、对招标文件的澄清、答复、修改或补充都应该通过采购代理机构以法定形式发布，采购人非通过本机构，不得擅自澄清、答复、修改或补充招标文件。</w:t>
      </w:r>
    </w:p>
    <w:p w14:paraId="3247B053">
      <w:pPr>
        <w:pStyle w:val="15"/>
        <w:snapToGrid w:val="0"/>
        <w:spacing w:line="420" w:lineRule="exact"/>
        <w:ind w:firstLine="420" w:firstLineChars="200"/>
        <w:rPr>
          <w:rFonts w:hAnsi="宋体" w:cs="宋体"/>
          <w:color w:val="auto"/>
          <w:szCs w:val="21"/>
          <w:highlight w:val="none"/>
        </w:rPr>
      </w:pPr>
    </w:p>
    <w:p w14:paraId="4C028DE8">
      <w:pPr>
        <w:pStyle w:val="15"/>
        <w:snapToGrid w:val="0"/>
        <w:spacing w:line="420" w:lineRule="exact"/>
        <w:jc w:val="center"/>
        <w:outlineLvl w:val="0"/>
        <w:rPr>
          <w:rFonts w:hAnsi="宋体" w:cs="宋体"/>
          <w:b/>
          <w:color w:val="auto"/>
          <w:sz w:val="28"/>
          <w:szCs w:val="28"/>
          <w:highlight w:val="none"/>
        </w:rPr>
      </w:pPr>
      <w:bookmarkStart w:id="12" w:name="_Toc33535355"/>
      <w:r>
        <w:rPr>
          <w:rFonts w:hint="eastAsia" w:hAnsi="宋体" w:cs="宋体"/>
          <w:b/>
          <w:color w:val="auto"/>
          <w:sz w:val="28"/>
          <w:szCs w:val="28"/>
          <w:highlight w:val="none"/>
        </w:rPr>
        <w:t>三、投标文件的编制</w:t>
      </w:r>
      <w:bookmarkEnd w:id="12"/>
    </w:p>
    <w:p w14:paraId="4A3E0E4D">
      <w:pPr>
        <w:pStyle w:val="15"/>
        <w:snapToGrid w:val="0"/>
        <w:spacing w:line="420" w:lineRule="exact"/>
        <w:ind w:firstLine="422" w:firstLineChars="200"/>
        <w:outlineLvl w:val="1"/>
        <w:rPr>
          <w:rFonts w:hAnsi="宋体" w:cs="宋体"/>
          <w:b/>
          <w:color w:val="auto"/>
          <w:szCs w:val="21"/>
          <w:highlight w:val="none"/>
        </w:rPr>
      </w:pPr>
      <w:bookmarkStart w:id="13" w:name="_Toc33535356"/>
      <w:r>
        <w:rPr>
          <w:rFonts w:hint="eastAsia" w:hAnsi="宋体" w:cs="宋体"/>
          <w:b/>
          <w:color w:val="auto"/>
          <w:szCs w:val="21"/>
          <w:highlight w:val="none"/>
        </w:rPr>
        <w:t>本项目所涉投标文件格式请详见第六章，未给出的格式请自拟。</w:t>
      </w:r>
      <w:bookmarkEnd w:id="13"/>
    </w:p>
    <w:p w14:paraId="7FDA0772">
      <w:pPr>
        <w:pStyle w:val="15"/>
        <w:snapToGrid w:val="0"/>
        <w:spacing w:line="420" w:lineRule="exact"/>
        <w:ind w:firstLine="422" w:firstLineChars="200"/>
        <w:outlineLvl w:val="1"/>
        <w:rPr>
          <w:rFonts w:hAnsi="宋体" w:cs="宋体"/>
          <w:b/>
          <w:color w:val="auto"/>
          <w:szCs w:val="21"/>
          <w:highlight w:val="none"/>
        </w:rPr>
      </w:pPr>
      <w:bookmarkStart w:id="14" w:name="_Toc33535357"/>
      <w:r>
        <w:rPr>
          <w:rFonts w:hint="eastAsia" w:hAnsi="宋体" w:cs="宋体"/>
          <w:b/>
          <w:color w:val="auto"/>
          <w:szCs w:val="21"/>
          <w:highlight w:val="none"/>
        </w:rPr>
        <w:t>（一）总体要求：</w:t>
      </w:r>
      <w:bookmarkEnd w:id="14"/>
    </w:p>
    <w:p w14:paraId="2EE18BD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1、供应商应仔细阅读招标文件的所有内容，按本文件的要求提供投标文件，并保证所提供的全部资料的真实性，以使其投标文件对招标文件作出实质性响应，否则，投标文件可能视为无效投标文件。</w:t>
      </w:r>
    </w:p>
    <w:p w14:paraId="00379A3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2、投标文件及供应商与采购有关的来往通知，函件和文件均应使用中文。</w:t>
      </w:r>
    </w:p>
    <w:p w14:paraId="5E394B1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3、供应商应按本文件中提供的文件格式、内容和要求制作投标文件。</w:t>
      </w:r>
    </w:p>
    <w:p w14:paraId="7EC6EE5A">
      <w:pPr>
        <w:spacing w:line="420" w:lineRule="exact"/>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rPr>
        <w:t>4、投标文件的效力：投标文件的启用，按先后顺位分别为电子投标文件、电子备份投标文件。</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58D8CD2">
      <w:pPr>
        <w:snapToGrid w:val="0"/>
        <w:spacing w:line="420" w:lineRule="exact"/>
        <w:ind w:firstLine="422" w:firstLineChars="200"/>
        <w:jc w:val="left"/>
        <w:outlineLvl w:val="0"/>
        <w:rPr>
          <w:rFonts w:ascii="宋体" w:hAnsi="宋体" w:cs="宋体"/>
          <w:b/>
          <w:color w:val="auto"/>
          <w:szCs w:val="21"/>
          <w:highlight w:val="none"/>
        </w:rPr>
      </w:pPr>
      <w:bookmarkStart w:id="15" w:name="_Toc33535358"/>
      <w:bookmarkStart w:id="16" w:name="_Toc406402944"/>
      <w:bookmarkStart w:id="17" w:name="_Toc406402988"/>
      <w:r>
        <w:rPr>
          <w:rFonts w:hint="eastAsia" w:ascii="宋体" w:hAnsi="宋体" w:cs="宋体"/>
          <w:b/>
          <w:color w:val="auto"/>
          <w:szCs w:val="21"/>
          <w:highlight w:val="none"/>
        </w:rPr>
        <w:t>（二）投标文件的组成</w:t>
      </w:r>
      <w:bookmarkEnd w:id="15"/>
      <w:bookmarkEnd w:id="16"/>
      <w:bookmarkEnd w:id="17"/>
    </w:p>
    <w:p w14:paraId="208878E0">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包括电子投标文件和电子备份投标文件（选送），均由资格文件、商务技术文件及报价文件三部份组成。其中电子投标文件中所须加盖投标单位公章部分均采用CA签章；要求法定代表人签字或盖章也可采用相应CA签章。</w:t>
      </w:r>
    </w:p>
    <w:p w14:paraId="1E973AC9">
      <w:pPr>
        <w:snapToGrid w:val="0"/>
        <w:spacing w:line="420" w:lineRule="exact"/>
        <w:ind w:firstLine="422" w:firstLineChars="200"/>
        <w:jc w:val="left"/>
        <w:rPr>
          <w:rFonts w:ascii="宋体" w:hAnsi="宋体" w:cs="宋体"/>
          <w:b/>
          <w:color w:val="auto"/>
          <w:szCs w:val="21"/>
          <w:highlight w:val="none"/>
        </w:rPr>
      </w:pPr>
      <w:bookmarkStart w:id="18" w:name="_Toc406402989"/>
      <w:bookmarkStart w:id="19" w:name="_Toc406402945"/>
      <w:bookmarkStart w:id="20" w:name="_Toc33535359"/>
      <w:r>
        <w:rPr>
          <w:rFonts w:hint="eastAsia" w:ascii="宋体" w:hAnsi="宋体" w:cs="宋体"/>
          <w:b/>
          <w:color w:val="auto"/>
          <w:szCs w:val="21"/>
          <w:highlight w:val="none"/>
        </w:rPr>
        <w:t>1、资格文件：</w:t>
      </w:r>
    </w:p>
    <w:p w14:paraId="611FCE20">
      <w:pPr>
        <w:pStyle w:val="16"/>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（1）投标声明书(格式见附件)；</w:t>
      </w:r>
    </w:p>
    <w:p w14:paraId="3221591A">
      <w:pPr>
        <w:pStyle w:val="16"/>
        <w:snapToGrid w:val="0"/>
        <w:spacing w:line="412" w:lineRule="exact"/>
        <w:ind w:left="-178" w:leftChars="-85" w:firstLine="575" w:firstLineChars="274"/>
        <w:rPr>
          <w:rFonts w:hint="eastAsia" w:ascii="宋体" w:hAnsi="宋体" w:eastAsia="宋体" w:cs="Times New Roman"/>
          <w:color w:val="auto"/>
          <w:sz w:val="21"/>
          <w:szCs w:val="21"/>
          <w:highlight w:val="none"/>
        </w:rPr>
      </w:pPr>
      <w:r>
        <w:rPr>
          <w:rFonts w:hint="eastAsia" w:ascii="宋体" w:hAnsi="宋体" w:eastAsia="宋体"/>
          <w:color w:val="auto"/>
          <w:sz w:val="21"/>
          <w:szCs w:val="21"/>
          <w:highlight w:val="none"/>
        </w:rPr>
        <w:t>（2）法定代表人授权委托</w:t>
      </w:r>
      <w:r>
        <w:rPr>
          <w:rFonts w:hint="eastAsia" w:ascii="宋体" w:hAnsi="宋体" w:eastAsia="宋体" w:cs="Times New Roman"/>
          <w:color w:val="auto"/>
          <w:sz w:val="21"/>
          <w:szCs w:val="21"/>
          <w:highlight w:val="none"/>
        </w:rPr>
        <w:t>书或法定代表人（单位负责人、自然人本人）身份证明</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(格式见附件)；</w:t>
      </w:r>
    </w:p>
    <w:p w14:paraId="7A8E21C4">
      <w:pPr>
        <w:pStyle w:val="16"/>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（3）供应商市场行为信誉（信用）情况承诺书(格式见附件)；</w:t>
      </w:r>
    </w:p>
    <w:p w14:paraId="5AC7D743">
      <w:pPr>
        <w:pStyle w:val="16"/>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（4）承诺函(格式见附件)；</w:t>
      </w:r>
    </w:p>
    <w:p w14:paraId="2885B48A">
      <w:pPr>
        <w:pStyle w:val="16"/>
        <w:snapToGrid w:val="0"/>
        <w:spacing w:line="412" w:lineRule="exact"/>
        <w:ind w:left="-178" w:leftChars="-85" w:firstLine="575" w:firstLineChars="274"/>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（5）营业执照等资格证明资料。</w:t>
      </w:r>
    </w:p>
    <w:p w14:paraId="74A1708B">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）中小企业声明函（格式见附件）；</w:t>
      </w:r>
    </w:p>
    <w:p w14:paraId="380218DF">
      <w:pPr>
        <w:spacing w:line="412"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）残疾人福利性单位声明函（格式见附件）；</w:t>
      </w:r>
    </w:p>
    <w:p w14:paraId="3669AA8D">
      <w:pPr>
        <w:spacing w:line="412"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）监狱企业声明函（格式见附件）。</w:t>
      </w:r>
    </w:p>
    <w:p w14:paraId="1A708BD0">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2、商务技术文件：</w:t>
      </w:r>
    </w:p>
    <w:p w14:paraId="060CC5F0">
      <w:pPr>
        <w:pStyle w:val="16"/>
        <w:snapToGrid w:val="0"/>
        <w:spacing w:line="410" w:lineRule="exact"/>
        <w:ind w:left="-178" w:leftChars="-85" w:firstLine="575" w:firstLineChars="2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w:t>
      </w:r>
    </w:p>
    <w:p w14:paraId="759B8B1A">
      <w:pPr>
        <w:pStyle w:val="16"/>
        <w:snapToGrid w:val="0"/>
        <w:spacing w:line="410" w:lineRule="exact"/>
        <w:ind w:left="-178" w:leftChars="-85" w:firstLine="575" w:firstLineChars="274"/>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）对本项目总体要求的叙述；</w:t>
      </w:r>
    </w:p>
    <w:p w14:paraId="09BC7EB6">
      <w:pPr>
        <w:pStyle w:val="16"/>
        <w:snapToGrid w:val="0"/>
        <w:spacing w:line="410" w:lineRule="exact"/>
        <w:ind w:left="-178" w:leftChars="-85" w:firstLine="575" w:firstLineChars="274"/>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）组织实施方案；</w:t>
      </w:r>
    </w:p>
    <w:p w14:paraId="7F96C59B">
      <w:pPr>
        <w:pStyle w:val="16"/>
        <w:snapToGrid w:val="0"/>
        <w:spacing w:line="410" w:lineRule="exact"/>
        <w:ind w:left="-178" w:leftChars="-85" w:firstLine="575" w:firstLineChars="274"/>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）项目实施人员一览表；</w:t>
      </w:r>
    </w:p>
    <w:p w14:paraId="03C99644">
      <w:pPr>
        <w:pStyle w:val="16"/>
        <w:snapToGrid w:val="0"/>
        <w:spacing w:line="410" w:lineRule="exact"/>
        <w:ind w:left="-178" w:leftChars="-85" w:firstLine="575" w:firstLineChars="274"/>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）服务承诺等；</w:t>
      </w:r>
    </w:p>
    <w:p w14:paraId="262B1619">
      <w:pPr>
        <w:pStyle w:val="16"/>
        <w:snapToGrid w:val="0"/>
        <w:spacing w:line="410" w:lineRule="exact"/>
        <w:ind w:left="-178" w:leftChars="-85" w:firstLine="575" w:firstLineChars="274"/>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）项目业绩；</w:t>
      </w:r>
    </w:p>
    <w:p w14:paraId="357A27C5">
      <w:pPr>
        <w:pStyle w:val="16"/>
        <w:snapToGrid w:val="0"/>
        <w:spacing w:line="410" w:lineRule="exact"/>
        <w:ind w:left="-178" w:leftChars="-85" w:firstLine="578" w:firstLineChars="274"/>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）投标人需要说明的其他内容（未尽事宜可按评分细则部分制作）。</w:t>
      </w:r>
    </w:p>
    <w:p w14:paraId="609CC648">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3、投标报价文件：</w:t>
      </w:r>
    </w:p>
    <w:p w14:paraId="6CB851D2">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（1）投标函（格式见附件）；</w:t>
      </w:r>
    </w:p>
    <w:p w14:paraId="69FD347D">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72EBD946">
      <w:pPr>
        <w:tabs>
          <w:tab w:val="left" w:pos="3870"/>
          <w:tab w:val="left" w:pos="4085"/>
        </w:tabs>
        <w:snapToGrid w:val="0"/>
        <w:spacing w:line="412"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（3）投标报价明细表。</w:t>
      </w:r>
    </w:p>
    <w:p w14:paraId="5D8581BA">
      <w:pPr>
        <w:snapToGrid w:val="0"/>
        <w:spacing w:line="420" w:lineRule="exact"/>
        <w:ind w:firstLine="422" w:firstLineChars="200"/>
        <w:jc w:val="left"/>
        <w:outlineLvl w:val="0"/>
        <w:rPr>
          <w:rFonts w:ascii="宋体" w:hAnsi="宋体" w:cs="宋体"/>
          <w:b/>
          <w:bCs/>
          <w:color w:val="auto"/>
          <w:szCs w:val="21"/>
          <w:highlight w:val="none"/>
        </w:rPr>
      </w:pPr>
      <w:r>
        <w:rPr>
          <w:rFonts w:hint="eastAsia" w:ascii="宋体" w:hAnsi="宋体" w:cs="宋体"/>
          <w:b/>
          <w:bCs/>
          <w:color w:val="auto"/>
          <w:szCs w:val="21"/>
          <w:highlight w:val="none"/>
        </w:rPr>
        <w:t>法定代表人授权委托书、投标声明书、投标函、开标一览表必须有法定代表人或被授权人签字（或签章）并加盖单位公章。</w:t>
      </w:r>
      <w:bookmarkEnd w:id="18"/>
      <w:bookmarkEnd w:id="19"/>
      <w:bookmarkEnd w:id="20"/>
    </w:p>
    <w:p w14:paraId="07F5CA37">
      <w:pPr>
        <w:snapToGrid w:val="0"/>
        <w:spacing w:line="420" w:lineRule="exact"/>
        <w:ind w:firstLine="422" w:firstLineChars="200"/>
        <w:jc w:val="left"/>
        <w:outlineLvl w:val="0"/>
        <w:rPr>
          <w:rFonts w:ascii="宋体" w:hAnsi="宋体" w:cs="宋体"/>
          <w:b/>
          <w:color w:val="auto"/>
          <w:szCs w:val="21"/>
          <w:highlight w:val="none"/>
        </w:rPr>
      </w:pPr>
      <w:bookmarkStart w:id="21" w:name="_Toc406402990"/>
      <w:bookmarkStart w:id="22" w:name="_Toc385854146"/>
      <w:bookmarkStart w:id="23" w:name="_Toc402963084"/>
      <w:bookmarkStart w:id="24" w:name="_Toc385854100"/>
      <w:bookmarkStart w:id="25" w:name="_Toc406402946"/>
      <w:bookmarkStart w:id="26" w:name="_Toc402963117"/>
      <w:bookmarkStart w:id="27" w:name="_Toc33535360"/>
      <w:r>
        <w:rPr>
          <w:rFonts w:hint="eastAsia" w:ascii="宋体" w:hAnsi="宋体" w:cs="宋体"/>
          <w:b/>
          <w:color w:val="auto"/>
          <w:szCs w:val="21"/>
          <w:highlight w:val="none"/>
        </w:rPr>
        <w:t>（三）投标文件的语言及计量</w:t>
      </w:r>
      <w:bookmarkEnd w:id="21"/>
      <w:bookmarkEnd w:id="22"/>
      <w:bookmarkEnd w:id="23"/>
      <w:bookmarkEnd w:id="24"/>
      <w:bookmarkEnd w:id="25"/>
      <w:bookmarkEnd w:id="26"/>
      <w:bookmarkEnd w:id="27"/>
    </w:p>
    <w:p w14:paraId="1ED2369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611E66B2">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687DDC1C">
      <w:pPr>
        <w:snapToGrid w:val="0"/>
        <w:spacing w:line="420" w:lineRule="exact"/>
        <w:ind w:firstLine="422" w:firstLineChars="200"/>
        <w:jc w:val="left"/>
        <w:outlineLvl w:val="0"/>
        <w:rPr>
          <w:rFonts w:ascii="宋体" w:hAnsi="宋体" w:cs="宋体"/>
          <w:b/>
          <w:color w:val="auto"/>
          <w:szCs w:val="21"/>
          <w:highlight w:val="none"/>
        </w:rPr>
      </w:pPr>
      <w:bookmarkStart w:id="28" w:name="_Toc406402947"/>
      <w:bookmarkStart w:id="29" w:name="_Toc385854101"/>
      <w:bookmarkStart w:id="30" w:name="_Toc406402991"/>
      <w:bookmarkStart w:id="31" w:name="_Toc385854147"/>
      <w:bookmarkStart w:id="32" w:name="_Toc402963118"/>
      <w:bookmarkStart w:id="33" w:name="_Toc33535361"/>
      <w:bookmarkStart w:id="34" w:name="_Toc402963085"/>
      <w:r>
        <w:rPr>
          <w:rFonts w:hint="eastAsia" w:ascii="宋体" w:hAnsi="宋体" w:cs="宋体"/>
          <w:b/>
          <w:color w:val="auto"/>
          <w:szCs w:val="21"/>
          <w:highlight w:val="none"/>
        </w:rPr>
        <w:t>（四）投标报价</w:t>
      </w:r>
      <w:bookmarkEnd w:id="28"/>
      <w:bookmarkEnd w:id="29"/>
      <w:bookmarkEnd w:id="30"/>
      <w:bookmarkEnd w:id="31"/>
      <w:bookmarkEnd w:id="32"/>
      <w:bookmarkEnd w:id="33"/>
      <w:bookmarkEnd w:id="34"/>
    </w:p>
    <w:p w14:paraId="1F988003">
      <w:pPr>
        <w:pStyle w:val="15"/>
        <w:snapToGrid w:val="0"/>
        <w:spacing w:line="360" w:lineRule="auto"/>
        <w:ind w:firstLine="420" w:firstLineChars="200"/>
        <w:jc w:val="left"/>
        <w:rPr>
          <w:rFonts w:hAnsi="宋体" w:cs="宋体"/>
          <w:color w:val="auto"/>
          <w:szCs w:val="21"/>
          <w:highlight w:val="none"/>
        </w:rPr>
      </w:pPr>
      <w:r>
        <w:rPr>
          <w:rFonts w:hint="eastAsia" w:hAnsi="宋体" w:cs="宋体"/>
          <w:color w:val="auto"/>
          <w:szCs w:val="21"/>
          <w:highlight w:val="none"/>
        </w:rPr>
        <w:t>1、投标报价应按招标文件中相关附表格式填写。</w:t>
      </w:r>
    </w:p>
    <w:p w14:paraId="40E7508B">
      <w:pPr>
        <w:pStyle w:val="8"/>
        <w:spacing w:line="360" w:lineRule="auto"/>
        <w:ind w:firstLine="420" w:firstLineChars="200"/>
        <w:rPr>
          <w:rFonts w:hAnsi="宋体"/>
          <w:color w:val="auto"/>
          <w:szCs w:val="21"/>
          <w:highlight w:val="none"/>
        </w:rPr>
      </w:pPr>
      <w:r>
        <w:rPr>
          <w:rFonts w:hint="eastAsia" w:hAnsi="宋体" w:cs="宋体"/>
          <w:color w:val="auto"/>
          <w:szCs w:val="21"/>
          <w:highlight w:val="none"/>
        </w:rPr>
        <w:t>2、</w:t>
      </w:r>
      <w:r>
        <w:rPr>
          <w:rFonts w:hint="eastAsia"/>
          <w:color w:val="auto"/>
          <w:highlight w:val="none"/>
        </w:rPr>
        <w:t>投标报价</w:t>
      </w:r>
      <w:r>
        <w:rPr>
          <w:rFonts w:hint="eastAsia"/>
          <w:b/>
          <w:bCs/>
          <w:color w:val="auto"/>
          <w:highlight w:val="none"/>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50F79A31">
      <w:pPr>
        <w:pStyle w:val="15"/>
        <w:snapToGrid w:val="0"/>
        <w:spacing w:line="420" w:lineRule="exact"/>
        <w:ind w:firstLine="420" w:firstLineChars="200"/>
        <w:jc w:val="left"/>
        <w:rPr>
          <w:rFonts w:hint="eastAsia" w:hAnsi="宋体" w:cs="宋体"/>
          <w:color w:val="auto"/>
          <w:szCs w:val="21"/>
          <w:highlight w:val="none"/>
        </w:rPr>
      </w:pPr>
      <w:r>
        <w:rPr>
          <w:rFonts w:hint="eastAsia" w:hAnsi="宋体" w:cs="宋体"/>
          <w:color w:val="auto"/>
          <w:szCs w:val="21"/>
          <w:highlight w:val="none"/>
        </w:rPr>
        <w:t>3、投标文件只允许有一个报价，有选择的或有条件的报价将不予接受。</w:t>
      </w:r>
    </w:p>
    <w:p w14:paraId="4113B0CE">
      <w:pPr>
        <w:pStyle w:val="15"/>
        <w:snapToGrid w:val="0"/>
        <w:spacing w:line="420" w:lineRule="exact"/>
        <w:ind w:firstLine="420" w:firstLineChars="200"/>
        <w:jc w:val="left"/>
        <w:rPr>
          <w:rFonts w:hAnsi="宋体" w:cs="宋体"/>
          <w:color w:val="auto"/>
          <w:szCs w:val="21"/>
          <w:highlight w:val="none"/>
        </w:rPr>
      </w:pPr>
      <w:r>
        <w:rPr>
          <w:rFonts w:hint="eastAsia" w:hAnsi="宋体" w:cs="宋体"/>
          <w:color w:val="auto"/>
          <w:szCs w:val="21"/>
          <w:highlight w:val="none"/>
          <w:lang w:val="en-US" w:eastAsia="zh-CN"/>
        </w:rPr>
        <w:t>4.具体磋商程序(响应文件开启、磋商、二次报价均在电子交易平台线上完成)。</w:t>
      </w:r>
    </w:p>
    <w:p w14:paraId="2624002B">
      <w:pP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（五）投标文件的有效期</w:t>
      </w:r>
    </w:p>
    <w:p w14:paraId="6055866A">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1、自投标截止日起60天投标文件应保持有效。有效期不足的投标文件将被拒绝。</w:t>
      </w:r>
    </w:p>
    <w:p w14:paraId="7667A119">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2、在特殊情况下，采购人可与供应商协商延长投标书的有效期，这种要求和答复均以书面形式进行。</w:t>
      </w:r>
    </w:p>
    <w:p w14:paraId="313EC1E5">
      <w:pPr>
        <w:snapToGrid w:val="0"/>
        <w:spacing w:line="420" w:lineRule="exact"/>
        <w:ind w:firstLine="420" w:firstLineChars="200"/>
        <w:jc w:val="left"/>
        <w:outlineLvl w:val="0"/>
        <w:rPr>
          <w:rFonts w:ascii="宋体" w:hAnsi="宋体" w:cs="宋体"/>
          <w:b/>
          <w:color w:val="auto"/>
          <w:szCs w:val="21"/>
          <w:highlight w:val="none"/>
        </w:rPr>
      </w:pPr>
      <w:bookmarkStart w:id="35" w:name="_Toc402963086"/>
      <w:bookmarkStart w:id="36" w:name="_Toc406402948"/>
      <w:bookmarkStart w:id="37" w:name="_Toc402963119"/>
      <w:bookmarkStart w:id="38" w:name="_Toc385854148"/>
      <w:bookmarkStart w:id="39" w:name="_Toc406402992"/>
      <w:bookmarkStart w:id="40" w:name="_Toc385854102"/>
      <w:bookmarkStart w:id="41" w:name="_Toc33535362"/>
      <w:r>
        <w:rPr>
          <w:rFonts w:hint="eastAsia" w:ascii="宋体" w:hAnsi="宋体" w:cs="宋体"/>
          <w:color w:val="auto"/>
          <w:szCs w:val="21"/>
          <w:highlight w:val="none"/>
        </w:rPr>
        <w:t>3、供应商可拒绝接受延期要求。同意延长有效期的供应商不能修改投标文件。</w:t>
      </w:r>
      <w:bookmarkEnd w:id="35"/>
      <w:bookmarkEnd w:id="36"/>
      <w:bookmarkEnd w:id="37"/>
      <w:bookmarkEnd w:id="38"/>
      <w:bookmarkEnd w:id="39"/>
      <w:bookmarkEnd w:id="40"/>
      <w:bookmarkEnd w:id="41"/>
    </w:p>
    <w:p w14:paraId="4D4EB599">
      <w:pPr>
        <w:snapToGrid w:val="0"/>
        <w:spacing w:line="420" w:lineRule="exact"/>
        <w:ind w:firstLine="420" w:firstLineChars="200"/>
        <w:jc w:val="left"/>
        <w:outlineLvl w:val="0"/>
        <w:rPr>
          <w:rFonts w:ascii="宋体" w:hAnsi="宋体" w:cs="宋体"/>
          <w:b/>
          <w:color w:val="auto"/>
          <w:szCs w:val="21"/>
          <w:highlight w:val="none"/>
        </w:rPr>
      </w:pPr>
      <w:bookmarkStart w:id="42" w:name="_Toc385854149"/>
      <w:bookmarkStart w:id="43" w:name="_Toc33535363"/>
      <w:bookmarkStart w:id="44" w:name="_Toc402963120"/>
      <w:bookmarkStart w:id="45" w:name="_Toc402963087"/>
      <w:bookmarkStart w:id="46" w:name="_Toc385854103"/>
      <w:bookmarkStart w:id="47" w:name="_Toc406402993"/>
      <w:bookmarkStart w:id="48" w:name="_Toc406402949"/>
      <w:r>
        <w:rPr>
          <w:rFonts w:hint="eastAsia" w:ascii="宋体" w:hAnsi="宋体" w:cs="宋体"/>
          <w:color w:val="auto"/>
          <w:szCs w:val="21"/>
          <w:highlight w:val="none"/>
        </w:rPr>
        <w:t>4、中标人的投标文件自开标之日起至合同履行完毕止均应保持有效。</w:t>
      </w:r>
      <w:bookmarkEnd w:id="42"/>
      <w:bookmarkEnd w:id="43"/>
      <w:bookmarkEnd w:id="44"/>
      <w:bookmarkEnd w:id="45"/>
      <w:bookmarkEnd w:id="46"/>
      <w:bookmarkEnd w:id="47"/>
      <w:bookmarkEnd w:id="48"/>
    </w:p>
    <w:p w14:paraId="4E3549F6">
      <w:pPr>
        <w:snapToGrid w:val="0"/>
        <w:spacing w:line="420" w:lineRule="exact"/>
        <w:ind w:firstLine="422" w:firstLineChars="200"/>
        <w:jc w:val="left"/>
        <w:outlineLvl w:val="0"/>
        <w:rPr>
          <w:rFonts w:ascii="宋体" w:hAnsi="宋体" w:cs="宋体"/>
          <w:b/>
          <w:color w:val="auto"/>
          <w:szCs w:val="21"/>
          <w:highlight w:val="none"/>
        </w:rPr>
      </w:pPr>
      <w:bookmarkStart w:id="49" w:name="_Toc406402995"/>
      <w:bookmarkStart w:id="50" w:name="_Toc402963122"/>
      <w:bookmarkStart w:id="51" w:name="_Toc385854151"/>
      <w:bookmarkStart w:id="52" w:name="_Toc402963089"/>
      <w:bookmarkStart w:id="53" w:name="_Toc385854105"/>
      <w:bookmarkStart w:id="54" w:name="_Toc406402951"/>
      <w:bookmarkStart w:id="55" w:name="_Toc33535364"/>
      <w:r>
        <w:rPr>
          <w:rFonts w:hint="eastAsia" w:ascii="宋体" w:hAnsi="宋体" w:cs="宋体"/>
          <w:b/>
          <w:color w:val="auto"/>
          <w:szCs w:val="21"/>
          <w:highlight w:val="none"/>
        </w:rPr>
        <w:t>（六）投标文件的签署和份数</w:t>
      </w:r>
      <w:bookmarkEnd w:id="49"/>
      <w:bookmarkEnd w:id="50"/>
      <w:bookmarkEnd w:id="51"/>
      <w:bookmarkEnd w:id="52"/>
      <w:bookmarkEnd w:id="53"/>
      <w:bookmarkEnd w:id="54"/>
      <w:bookmarkEnd w:id="55"/>
    </w:p>
    <w:p w14:paraId="33F78780">
      <w:pPr>
        <w:snapToGrid w:val="0"/>
        <w:spacing w:line="420" w:lineRule="exact"/>
        <w:ind w:firstLine="420" w:firstLineChars="200"/>
        <w:jc w:val="left"/>
        <w:outlineLvl w:val="0"/>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115315B7">
      <w:pPr>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1A7D782E">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60B4BD85">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（七）</w:t>
      </w:r>
      <w:bookmarkStart w:id="56" w:name="_Toc33535368"/>
      <w:r>
        <w:rPr>
          <w:rFonts w:hint="eastAsia" w:ascii="宋体" w:hAnsi="宋体" w:cs="宋体"/>
          <w:b/>
          <w:bCs/>
          <w:color w:val="auto"/>
          <w:szCs w:val="21"/>
          <w:highlight w:val="none"/>
        </w:rPr>
        <w:t>投标文件的上传和递交：</w:t>
      </w:r>
    </w:p>
    <w:p w14:paraId="0ECA0EA3">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1C644F4A">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0205C297">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1D4C04F3">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a.投标供应商在“政府采购云平台”完成“电子加密投标文件”的上传递交后，还可以（邮寄形式）在投标截止时间前递交以介质（U盘）存储的“备份投标文件”（一份）；</w:t>
      </w:r>
    </w:p>
    <w:p w14:paraId="4416C081">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4FDBD412">
      <w:pPr>
        <w:snapToGrid w:val="0"/>
        <w:spacing w:line="42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67A3451">
      <w:pPr>
        <w:snapToGrid w:val="0"/>
        <w:spacing w:line="420" w:lineRule="exact"/>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（八）投标无效的情形</w:t>
      </w:r>
      <w:bookmarkEnd w:id="56"/>
    </w:p>
    <w:p w14:paraId="54C3474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根据《政府采购货物和服务招标投标管理办法》有下列情形之一的，视为供应商串通投标，其投标无效：</w:t>
      </w:r>
    </w:p>
    <w:p w14:paraId="401086B9">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14:paraId="54DE45A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7FB59E6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14:paraId="74D9633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14:paraId="30D81A6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p w14:paraId="45006877">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实质上没有响应招标文件要求的投标将被视为无效投标：</w:t>
      </w:r>
    </w:p>
    <w:p w14:paraId="5FC3E0A1">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1、电子投标文件解密失败的，且未在规定时间内提交备份投标文件的。</w:t>
      </w:r>
    </w:p>
    <w:p w14:paraId="22B4C557">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2、没有通过资格审查的，投标文件将被视为无效。</w:t>
      </w:r>
    </w:p>
    <w:p w14:paraId="5B0E5D6A">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3、在符合性审查和商务评审时，如发现下列情形之一的，投标文件将被视为无效：</w:t>
      </w:r>
    </w:p>
    <w:p w14:paraId="1A8EA7C1">
      <w:pPr>
        <w:snapToGrid w:val="0"/>
        <w:spacing w:line="42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电子投标文件未按规定要求提供电子签章的；</w:t>
      </w:r>
    </w:p>
    <w:p w14:paraId="5C89BC38">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（2）单位负责人为同一人或者存在直接控股、管理关系的不同供应商参加同一合同项下的政府采购活动；</w:t>
      </w:r>
    </w:p>
    <w:p w14:paraId="1E650546">
      <w:pPr>
        <w:snapToGrid w:val="0"/>
        <w:spacing w:line="420" w:lineRule="exact"/>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（3）投标文件无法定代表人签字（或盖章）,或未</w:t>
      </w:r>
      <w:r>
        <w:rPr>
          <w:rFonts w:hint="eastAsia" w:ascii="宋体" w:hAnsi="宋体" w:cs="宋体"/>
          <w:bCs/>
          <w:color w:val="auto"/>
          <w:kern w:val="0"/>
          <w:szCs w:val="21"/>
          <w:highlight w:val="none"/>
        </w:rPr>
        <w:t>提供法定代表人授权委托书、投标声明书或者填写项目不齐全的；</w:t>
      </w:r>
    </w:p>
    <w:p w14:paraId="4B753934">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投标文件格式不规范、项目不齐全或者内容虚假的；</w:t>
      </w:r>
    </w:p>
    <w:p w14:paraId="1877AC03">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4E7BAB27">
      <w:pPr>
        <w:pStyle w:val="12"/>
        <w:snapToGrid w:val="0"/>
        <w:spacing w:line="420" w:lineRule="exact"/>
        <w:ind w:firstLine="420"/>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6）投标有效期、工期、质保期等商务条款不能满足招标文件要求的；</w:t>
      </w:r>
    </w:p>
    <w:p w14:paraId="09FBCF1B">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（7）未实质性响应招标文件要求或者投标文件有招标方不能接受的附加条件的；</w:t>
      </w:r>
    </w:p>
    <w:p w14:paraId="17A129AF">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（8）不符合法律法规的相关规定。</w:t>
      </w:r>
    </w:p>
    <w:p w14:paraId="5F3257A8">
      <w:pPr>
        <w:pStyle w:val="12"/>
        <w:snapToGrid w:val="0"/>
        <w:spacing w:line="42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4、在技术评审时，如发现下列情形之一的，投标文件将被视为无效：</w:t>
      </w:r>
    </w:p>
    <w:p w14:paraId="7532D043">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（1）未提供或未如实提供投标货物的技术参数，或者投标文件标明的响应或偏离与事实不符或虚假投标的；</w:t>
      </w:r>
    </w:p>
    <w:p w14:paraId="29A155AA">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snapToGrid w:val="0"/>
          <w:color w:val="auto"/>
          <w:sz w:val="21"/>
          <w:szCs w:val="21"/>
          <w:highlight w:val="none"/>
        </w:rPr>
        <w:t>明显不符合招标文件要求的规格型号、质量标准，或者与</w:t>
      </w:r>
      <w:r>
        <w:rPr>
          <w:rFonts w:hint="eastAsia" w:ascii="宋体" w:hAnsi="宋体" w:cs="宋体"/>
          <w:color w:val="auto"/>
          <w:sz w:val="21"/>
          <w:szCs w:val="21"/>
          <w:highlight w:val="none"/>
        </w:rPr>
        <w:t>招标文件中标“</w:t>
      </w:r>
      <w:r>
        <w:rPr>
          <w:rFonts w:hint="eastAsia" w:ascii="宋体" w:hAnsi="宋体" w:cs="宋体"/>
          <w:color w:val="auto"/>
          <w:kern w:val="0"/>
          <w:sz w:val="20"/>
          <w:szCs w:val="20"/>
          <w:highlight w:val="none"/>
        </w:rPr>
        <w:t>▲</w:t>
      </w:r>
      <w:r>
        <w:rPr>
          <w:rFonts w:hint="eastAsia" w:ascii="宋体" w:hAnsi="宋体" w:cs="宋体"/>
          <w:color w:val="auto"/>
          <w:sz w:val="21"/>
          <w:szCs w:val="21"/>
          <w:highlight w:val="none"/>
        </w:rPr>
        <w:t>”的技术指标、主要功能项目发生实质性偏离的；</w:t>
      </w:r>
    </w:p>
    <w:p w14:paraId="0D03BFC1">
      <w:pPr>
        <w:pStyle w:val="12"/>
        <w:snapToGrid w:val="0"/>
        <w:spacing w:line="420" w:lineRule="exact"/>
        <w:ind w:firstLine="420"/>
        <w:rPr>
          <w:rFonts w:ascii="宋体" w:hAnsi="宋体" w:cs="宋体"/>
          <w:color w:val="auto"/>
          <w:sz w:val="21"/>
          <w:szCs w:val="21"/>
          <w:highlight w:val="none"/>
        </w:rPr>
      </w:pPr>
      <w:r>
        <w:rPr>
          <w:rFonts w:hint="eastAsia" w:ascii="宋体" w:hAnsi="宋体" w:cs="宋体"/>
          <w:snapToGrid w:val="0"/>
          <w:color w:val="auto"/>
          <w:sz w:val="21"/>
          <w:szCs w:val="21"/>
          <w:highlight w:val="none"/>
        </w:rPr>
        <w:t>（3）</w:t>
      </w:r>
      <w:r>
        <w:rPr>
          <w:rFonts w:hint="eastAsia" w:ascii="宋体" w:hAnsi="宋体" w:cs="宋体"/>
          <w:color w:val="auto"/>
          <w:sz w:val="21"/>
          <w:szCs w:val="21"/>
          <w:highlight w:val="none"/>
        </w:rPr>
        <w:t>投标技术方案不明确，存在一个或一个以上备选（替代）投标方案的；</w:t>
      </w:r>
    </w:p>
    <w:p w14:paraId="0E1B00C1">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未实质性响应招标文件要求或者投标文件有招标方不能接受的附加条件的。</w:t>
      </w:r>
    </w:p>
    <w:p w14:paraId="0BDA5108">
      <w:pPr>
        <w:pStyle w:val="12"/>
        <w:snapToGrid w:val="0"/>
        <w:spacing w:line="420" w:lineRule="exact"/>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5、在报价评审时，如发现下列情形之一的，投标文件将被视为无效：</w:t>
      </w:r>
    </w:p>
    <w:p w14:paraId="7C7352B9">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（1）未采用人民币报价或者未按照招标文件标明的币种报价的；</w:t>
      </w:r>
    </w:p>
    <w:p w14:paraId="5FD3015D">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（2）报价超出最高限价的；</w:t>
      </w:r>
    </w:p>
    <w:p w14:paraId="0B3BC8DE">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（3）投标报价具有选择性，或者开标价格与投标文件承诺的优惠（折扣）价格不一致的；</w:t>
      </w:r>
    </w:p>
    <w:p w14:paraId="234F5621">
      <w:pPr>
        <w:pStyle w:val="12"/>
        <w:snapToGrid w:val="0"/>
        <w:spacing w:line="42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4）</w:t>
      </w:r>
      <w:r>
        <w:rPr>
          <w:rFonts w:hint="eastAsia" w:ascii="宋体" w:hAnsi="宋体" w:cs="宋体"/>
          <w:color w:val="auto"/>
          <w:sz w:val="21"/>
          <w:szCs w:val="21"/>
          <w:highlight w:val="none"/>
        </w:rPr>
        <w:t>未实质性响应招标文件要求或者投标文件有招标方不能接受的附加条件的。</w:t>
      </w:r>
    </w:p>
    <w:p w14:paraId="3C1C8A4C">
      <w:pPr>
        <w:pStyle w:val="12"/>
        <w:snapToGrid w:val="0"/>
        <w:spacing w:line="420" w:lineRule="exact"/>
        <w:ind w:firstLine="422"/>
        <w:rPr>
          <w:rFonts w:ascii="宋体" w:hAnsi="宋体" w:cs="宋体"/>
          <w:b/>
          <w:snapToGrid w:val="0"/>
          <w:color w:val="auto"/>
          <w:sz w:val="21"/>
          <w:szCs w:val="21"/>
          <w:highlight w:val="none"/>
        </w:rPr>
      </w:pPr>
      <w:r>
        <w:rPr>
          <w:rFonts w:hint="eastAsia" w:ascii="宋体" w:hAnsi="宋体" w:cs="宋体"/>
          <w:b/>
          <w:color w:val="auto"/>
          <w:sz w:val="21"/>
          <w:szCs w:val="21"/>
          <w:highlight w:val="none"/>
        </w:rPr>
        <w:t>6、被拒绝的投标文件为无效。</w:t>
      </w:r>
    </w:p>
    <w:p w14:paraId="161A28B5">
      <w:pPr>
        <w:pStyle w:val="12"/>
        <w:snapToGrid w:val="0"/>
        <w:spacing w:line="420" w:lineRule="exact"/>
        <w:ind w:firstLine="413" w:firstLineChars="196"/>
        <w:jc w:val="center"/>
        <w:outlineLvl w:val="1"/>
        <w:rPr>
          <w:rFonts w:ascii="宋体" w:hAnsi="宋体" w:cs="宋体"/>
          <w:b/>
          <w:color w:val="auto"/>
          <w:sz w:val="21"/>
          <w:szCs w:val="21"/>
          <w:highlight w:val="none"/>
        </w:rPr>
      </w:pPr>
      <w:bookmarkStart w:id="57" w:name="_Toc33535369"/>
    </w:p>
    <w:p w14:paraId="2957B1B9">
      <w:pPr>
        <w:pStyle w:val="12"/>
        <w:snapToGrid w:val="0"/>
        <w:spacing w:line="420" w:lineRule="exact"/>
        <w:ind w:firstLine="551" w:firstLineChars="196"/>
        <w:jc w:val="center"/>
        <w:outlineLvl w:val="1"/>
        <w:rPr>
          <w:rFonts w:ascii="宋体" w:hAnsi="宋体" w:cs="宋体"/>
          <w:b/>
          <w:snapToGrid w:val="0"/>
          <w:color w:val="auto"/>
          <w:szCs w:val="28"/>
          <w:highlight w:val="none"/>
        </w:rPr>
      </w:pPr>
      <w:r>
        <w:rPr>
          <w:rFonts w:hint="eastAsia" w:ascii="宋体" w:hAnsi="宋体" w:cs="宋体"/>
          <w:b/>
          <w:color w:val="auto"/>
          <w:szCs w:val="28"/>
          <w:highlight w:val="none"/>
        </w:rPr>
        <w:t>四、开标</w:t>
      </w:r>
      <w:bookmarkEnd w:id="57"/>
    </w:p>
    <w:p w14:paraId="52BC760A">
      <w:pPr>
        <w:pStyle w:val="15"/>
        <w:snapToGrid w:val="0"/>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（一）开标准备</w:t>
      </w:r>
    </w:p>
    <w:p w14:paraId="178EA88B">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1、开标的准备工作由采购组织机构负责落实。</w:t>
      </w:r>
    </w:p>
    <w:p w14:paraId="3EDD3C56">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2、采购组织机构将按照招标文件规定的时间通过“政府采购云平台”组织开标、开启投标文件，所有供应商均</w:t>
      </w:r>
      <w:r>
        <w:rPr>
          <w:rFonts w:hint="eastAsia" w:hAnsi="宋体" w:cs="宋体"/>
          <w:b/>
          <w:color w:val="auto"/>
          <w:szCs w:val="21"/>
          <w:highlight w:val="none"/>
        </w:rPr>
        <w:t>应当准时在线参加</w:t>
      </w:r>
      <w:r>
        <w:rPr>
          <w:rFonts w:hint="eastAsia" w:hAnsi="宋体" w:cs="宋体"/>
          <w:bCs/>
          <w:color w:val="auto"/>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ED233CE">
      <w:pPr>
        <w:pStyle w:val="15"/>
        <w:snapToGrid w:val="0"/>
        <w:spacing w:line="420" w:lineRule="exact"/>
        <w:ind w:firstLine="422" w:firstLineChars="200"/>
        <w:rPr>
          <w:rFonts w:hAnsi="宋体" w:cs="宋体"/>
          <w:b/>
          <w:color w:val="auto"/>
          <w:szCs w:val="21"/>
          <w:highlight w:val="none"/>
        </w:rPr>
      </w:pPr>
      <w:r>
        <w:rPr>
          <w:rFonts w:hint="eastAsia" w:hAnsi="宋体" w:cs="宋体"/>
          <w:b/>
          <w:bCs/>
          <w:color w:val="auto"/>
          <w:szCs w:val="21"/>
          <w:highlight w:val="none"/>
        </w:rPr>
        <w:t>（二）</w:t>
      </w:r>
      <w:r>
        <w:rPr>
          <w:rFonts w:hint="eastAsia" w:hAnsi="宋体" w:cs="宋体"/>
          <w:b/>
          <w:color w:val="auto"/>
          <w:szCs w:val="21"/>
          <w:highlight w:val="none"/>
        </w:rPr>
        <w:t>采购人或者采购代理机构职责</w:t>
      </w:r>
    </w:p>
    <w:p w14:paraId="31904321">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采购人或者采购代理机构负责组织评标工作，并履行下列职责：</w:t>
      </w:r>
    </w:p>
    <w:p w14:paraId="709B22C4">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1、核对评审专家身份和采购人代表授权函，对评审专家在政府采购活动中的职责履行情况予以记录，并及时将有关违法违规行为向财政部门报告；</w:t>
      </w:r>
    </w:p>
    <w:p w14:paraId="001A0201">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2、宣布评标纪律；</w:t>
      </w:r>
    </w:p>
    <w:p w14:paraId="43A6C108">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3、公布供应商名单，告知评审专家应当回避的情形；</w:t>
      </w:r>
    </w:p>
    <w:p w14:paraId="09498967">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4、组织评标委员会推选评标组长，采购人代表不得担任组长；</w:t>
      </w:r>
    </w:p>
    <w:p w14:paraId="52BD2E39">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5、在评标期间采取必要的通讯管理措施，保证评标活动不受外界干扰；</w:t>
      </w:r>
    </w:p>
    <w:p w14:paraId="6E41BD52">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6、根据评标委员会的要求介绍政府采购相关政策法规、招标文件；</w:t>
      </w:r>
    </w:p>
    <w:p w14:paraId="7A7E9D8A">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70FAC9A5">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1A14B03F">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9、评审工作完成后，按照规定向评审专家支付劳务报酬和异地评审差旅费；</w:t>
      </w:r>
    </w:p>
    <w:p w14:paraId="62EAB777">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10、处理与评标有关的其他事项。</w:t>
      </w:r>
    </w:p>
    <w:p w14:paraId="72C0A069">
      <w:pPr>
        <w:pStyle w:val="15"/>
        <w:snapToGrid w:val="0"/>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（三）开标流程（两阶段）</w:t>
      </w:r>
    </w:p>
    <w:p w14:paraId="4804A8DC">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1、开标第一阶段</w:t>
      </w:r>
    </w:p>
    <w:p w14:paraId="7157A7BC">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8591192">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（2）开启投标文件，进入资格审查；</w:t>
      </w:r>
    </w:p>
    <w:p w14:paraId="40B32D19">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（3）开启资格审查通过的投标供应商的商务技术文件进入符合性审查、商务技术评审；</w:t>
      </w:r>
    </w:p>
    <w:p w14:paraId="0F626DFA">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（4）第一阶段开标结束。</w:t>
      </w:r>
    </w:p>
    <w:p w14:paraId="66059BCF">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备注：采购人或采购代理机构将依法对投标供应商的资格进行审查，资格审查结束后进入符合性审查和商务技术的评审工作，具体见本章节“投标供应商资格审查”相关规定。</w:t>
      </w:r>
    </w:p>
    <w:p w14:paraId="2B0B647F">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2、开标大会第二阶段</w:t>
      </w:r>
    </w:p>
    <w:p w14:paraId="56DFCAB3">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大会第二阶段会议。首先公布符合性审查、商务技术评审无效供应商名称及理由；公布经商务技术评审后有效投标供应商的名单，同时公布其商务资信技术部分得分情况。</w:t>
      </w:r>
    </w:p>
    <w:p w14:paraId="1B2DB372">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（2）开启符合性审查、商务技术评审有效投标供应商的《报价文件》，供应商可在政采云系统中确认报价</w:t>
      </w:r>
      <w:r>
        <w:rPr>
          <w:rFonts w:hint="eastAsia" w:ascii="宋体" w:hAnsi="宋体" w:cs="宋体"/>
          <w:b/>
          <w:bCs/>
          <w:color w:val="auto"/>
          <w:kern w:val="0"/>
          <w:szCs w:val="21"/>
          <w:highlight w:val="none"/>
        </w:rPr>
        <w:t>（不予确认的应说明理由，否则视为无异议）</w:t>
      </w:r>
      <w:r>
        <w:rPr>
          <w:rFonts w:hint="eastAsia" w:ascii="宋体" w:hAnsi="宋体" w:cs="宋体"/>
          <w:color w:val="auto"/>
          <w:kern w:val="0"/>
          <w:szCs w:val="21"/>
          <w:highlight w:val="none"/>
        </w:rPr>
        <w:t>。然后由评标委员会对报价的合理性、准确性等进行审查核实。</w:t>
      </w:r>
    </w:p>
    <w:p w14:paraId="4D068775">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（3）评审结束后，公布中标（成交）候选供应商名单，及采购人最终确定中标或成交供应商名单的时间和公告方式等。</w:t>
      </w:r>
    </w:p>
    <w:p w14:paraId="49BD9162">
      <w:pPr>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007E7E1D">
      <w:pPr>
        <w:pStyle w:val="15"/>
        <w:snapToGrid w:val="0"/>
        <w:spacing w:line="420" w:lineRule="exact"/>
        <w:ind w:firstLine="422" w:firstLineChars="200"/>
        <w:rPr>
          <w:rFonts w:hAnsi="宋体" w:cs="宋体"/>
          <w:b/>
          <w:bCs/>
          <w:color w:val="auto"/>
          <w:szCs w:val="21"/>
          <w:highlight w:val="none"/>
        </w:rPr>
      </w:pPr>
      <w:bookmarkStart w:id="58" w:name="_Toc33194393"/>
      <w:bookmarkStart w:id="59" w:name="_Toc24550037"/>
      <w:r>
        <w:rPr>
          <w:rFonts w:hint="eastAsia" w:hAnsi="宋体" w:cs="宋体"/>
          <w:b/>
          <w:bCs/>
          <w:color w:val="auto"/>
          <w:szCs w:val="21"/>
          <w:highlight w:val="none"/>
        </w:rPr>
        <w:t>（四）投标供应商资格审查</w:t>
      </w:r>
      <w:bookmarkEnd w:id="58"/>
      <w:bookmarkEnd w:id="59"/>
    </w:p>
    <w:p w14:paraId="6E7DE288">
      <w:pPr>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1、采购人或采购代理机构首先依法对各投标供应商的资格进行审查，审查各投标供应商的资格是否满足招标文件的要求。</w:t>
      </w:r>
      <w:r>
        <w:rPr>
          <w:rFonts w:hint="eastAsia" w:ascii="宋体" w:hAnsi="宋体" w:cs="宋体"/>
          <w:color w:val="auto"/>
          <w:szCs w:val="21"/>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731571A8">
      <w:pPr>
        <w:spacing w:line="42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2、投标供应商提交的资格证明材料无法证明其符合招标文件规定的“投标供应商资格要求”的，采购人或采购代理机构</w:t>
      </w:r>
      <w:r>
        <w:rPr>
          <w:rFonts w:hint="eastAsia" w:ascii="宋体" w:hAnsi="宋体" w:cs="宋体"/>
          <w:b/>
          <w:color w:val="auto"/>
          <w:kern w:val="0"/>
          <w:szCs w:val="21"/>
          <w:highlight w:val="none"/>
        </w:rPr>
        <w:t>将对其作资格审查不通过处理（无效投标），并不再将其投标提交评标委员会进行后续评审。</w:t>
      </w:r>
    </w:p>
    <w:p w14:paraId="4F0AE78B">
      <w:pPr>
        <w:pStyle w:val="34"/>
        <w:rPr>
          <w:color w:val="auto"/>
          <w:highlight w:val="none"/>
        </w:rPr>
      </w:pPr>
    </w:p>
    <w:p w14:paraId="667B6064">
      <w:pPr>
        <w:pStyle w:val="15"/>
        <w:snapToGrid w:val="0"/>
        <w:spacing w:line="420" w:lineRule="exact"/>
        <w:ind w:left="842" w:leftChars="267" w:hanging="281" w:hangingChars="100"/>
        <w:jc w:val="center"/>
        <w:outlineLvl w:val="1"/>
        <w:rPr>
          <w:rFonts w:hAnsi="宋体" w:cs="宋体"/>
          <w:b/>
          <w:color w:val="auto"/>
          <w:sz w:val="28"/>
          <w:szCs w:val="28"/>
          <w:highlight w:val="none"/>
        </w:rPr>
      </w:pPr>
      <w:bookmarkStart w:id="60" w:name="_Toc33535370"/>
      <w:r>
        <w:rPr>
          <w:rFonts w:hint="eastAsia" w:hAnsi="宋体" w:cs="宋体"/>
          <w:b/>
          <w:color w:val="auto"/>
          <w:sz w:val="28"/>
          <w:szCs w:val="28"/>
          <w:highlight w:val="none"/>
        </w:rPr>
        <w:t>五、评标</w:t>
      </w:r>
      <w:bookmarkEnd w:id="60"/>
    </w:p>
    <w:p w14:paraId="4E4B0901">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（一）组建评标委员会</w:t>
      </w:r>
    </w:p>
    <w:p w14:paraId="7C173AA3">
      <w:pPr>
        <w:pStyle w:val="15"/>
        <w:snapToGrid w:val="0"/>
        <w:spacing w:line="420" w:lineRule="exact"/>
        <w:ind w:firstLine="420" w:firstLineChars="200"/>
        <w:rPr>
          <w:rFonts w:hAnsi="宋体" w:cs="宋体"/>
          <w:color w:val="auto"/>
          <w:szCs w:val="21"/>
          <w:highlight w:val="none"/>
        </w:rPr>
      </w:pPr>
      <w:r>
        <w:rPr>
          <w:rFonts w:hint="eastAsia" w:hAnsi="宋体" w:cs="宋体"/>
          <w:color w:val="auto"/>
          <w:kern w:val="0"/>
          <w:szCs w:val="21"/>
          <w:highlight w:val="none"/>
        </w:rPr>
        <w:t>评标委员会由</w:t>
      </w:r>
      <w:r>
        <w:rPr>
          <w:rFonts w:hint="eastAsia" w:hAnsi="宋体" w:cs="宋体"/>
          <w:color w:val="auto"/>
          <w:szCs w:val="21"/>
          <w:highlight w:val="none"/>
        </w:rPr>
        <w:t>政府采购评审</w:t>
      </w:r>
      <w:r>
        <w:rPr>
          <w:rFonts w:hint="eastAsia" w:hAnsi="宋体" w:cs="宋体"/>
          <w:color w:val="000000" w:themeColor="text1"/>
          <w:szCs w:val="21"/>
          <w:highlight w:val="none"/>
          <w14:textFill>
            <w14:solidFill>
              <w14:schemeClr w14:val="tx1"/>
            </w14:solidFill>
          </w14:textFill>
        </w:rPr>
        <w:t>专家</w:t>
      </w:r>
      <w:r>
        <w:rPr>
          <w:rFonts w:hint="eastAsia" w:hAnsi="宋体" w:cs="宋体"/>
          <w:color w:val="000000" w:themeColor="text1"/>
          <w:szCs w:val="21"/>
          <w:highlight w:val="none"/>
          <w:u w:val="single"/>
          <w:lang w:val="en-US" w:eastAsia="zh-CN"/>
          <w14:textFill>
            <w14:solidFill>
              <w14:schemeClr w14:val="tx1"/>
            </w14:solidFill>
          </w14:textFill>
        </w:rPr>
        <w:t xml:space="preserve"> 3</w:t>
      </w:r>
      <w:r>
        <w:rPr>
          <w:rFonts w:hint="eastAsia" w:hAnsi="宋体" w:cs="宋体"/>
          <w:color w:val="000000" w:themeColor="text1"/>
          <w:szCs w:val="21"/>
          <w:highlight w:val="none"/>
          <w14:textFill>
            <w14:solidFill>
              <w14:schemeClr w14:val="tx1"/>
            </w14:solidFill>
          </w14:textFill>
        </w:rPr>
        <w:t>人组</w:t>
      </w:r>
      <w:r>
        <w:rPr>
          <w:rFonts w:hint="eastAsia" w:hAnsi="宋体" w:cs="宋体"/>
          <w:color w:val="auto"/>
          <w:szCs w:val="21"/>
          <w:highlight w:val="none"/>
        </w:rPr>
        <w:t>成。</w:t>
      </w:r>
    </w:p>
    <w:p w14:paraId="15BF6B48">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11B0C9B0">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1、审查、评价投标文件是否符合招标文件的商务技术等实质性要求；</w:t>
      </w:r>
    </w:p>
    <w:p w14:paraId="0B90DDBE">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1BA84112">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6B737F66">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59B7C05D">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5、向采购人、采购代理机构或者有关部门报告评标中发现的违法行为。</w:t>
      </w:r>
    </w:p>
    <w:p w14:paraId="7BB5CEBE">
      <w:pPr>
        <w:widowControl/>
        <w:shd w:val="clear" w:color="auto" w:fill="FFFFFF"/>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除采购人代表、评标现场组织人员外，采购人的其他工作人员以及与评标工作无关的人员不得进入评标现场。</w:t>
      </w:r>
    </w:p>
    <w:p w14:paraId="6D78562E">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（二）评标的方式</w:t>
      </w:r>
    </w:p>
    <w:p w14:paraId="1C161942">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本项目采用不公开方式评标，评标的依据为招标文件和投标文件。</w:t>
      </w:r>
    </w:p>
    <w:p w14:paraId="31AC6028">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（三）评标程序</w:t>
      </w:r>
    </w:p>
    <w:p w14:paraId="5C70B523">
      <w:pPr>
        <w:pStyle w:val="15"/>
        <w:snapToGrid w:val="0"/>
        <w:spacing w:line="420" w:lineRule="exact"/>
        <w:ind w:firstLine="420" w:firstLineChars="200"/>
        <w:rPr>
          <w:rFonts w:hAnsi="宋体" w:cs="宋体"/>
          <w:bCs/>
          <w:color w:val="auto"/>
          <w:szCs w:val="21"/>
          <w:highlight w:val="none"/>
        </w:rPr>
      </w:pPr>
      <w:r>
        <w:rPr>
          <w:rFonts w:hint="eastAsia" w:hAnsi="宋体" w:cs="宋体"/>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6031842F">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1、形式审查</w:t>
      </w:r>
    </w:p>
    <w:p w14:paraId="1C834004">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14:paraId="0BD3BF6A">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2、实质审查与比较</w:t>
      </w:r>
    </w:p>
    <w:p w14:paraId="11F3F87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14:paraId="65337BB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044FDD3C">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询标时，供应商代表未在线或者拒绝澄清或者澄清的内容改变了投标文件的实质性内容的，评标委员会有权对该投标文件作出不利于供应商的评判。</w:t>
      </w:r>
    </w:p>
    <w:p w14:paraId="6582556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（3）各供应商的商务资信技术分按照评标委员会成员的独立评分结果汇总后的算术平均分计算。</w:t>
      </w:r>
    </w:p>
    <w:p w14:paraId="717BFA7C">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（4）采购代理机构工作人员协助评标委员会根据本项目的评分标准操作政府采购业务系统，由系统计算各供应商的商务报价得分。</w:t>
      </w:r>
    </w:p>
    <w:p w14:paraId="4530F97B">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41DCB1B2">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（四）澄清问题的形式</w:t>
      </w:r>
    </w:p>
    <w:p w14:paraId="5BDBE9E2">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65848E1">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49ECEF3">
      <w:pPr>
        <w:pStyle w:val="15"/>
        <w:tabs>
          <w:tab w:val="left" w:pos="630"/>
        </w:tabs>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（五）错误修正</w:t>
      </w:r>
    </w:p>
    <w:p w14:paraId="56D422BC">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投标文件如果出现计算或表达上的错误，修正错误的原则如下：</w:t>
      </w:r>
    </w:p>
    <w:p w14:paraId="200A71D8">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71F504E4">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2、投标文件的大写金额和小写金额不一致的，以大写金额为准；</w:t>
      </w:r>
    </w:p>
    <w:p w14:paraId="399DC03D">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3、总价金额与按单价汇总金额不一致的，以单价金额计算结果为准；</w:t>
      </w:r>
    </w:p>
    <w:p w14:paraId="4D132C70">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4、对不同文字文本投标文件的解释发生异议的，以中文文本为准。</w:t>
      </w:r>
    </w:p>
    <w:p w14:paraId="7FF7A6F2">
      <w:pPr>
        <w:pStyle w:val="15"/>
        <w:tabs>
          <w:tab w:val="left" w:pos="630"/>
        </w:tabs>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（六）评标原则和评标办法</w:t>
      </w:r>
    </w:p>
    <w:p w14:paraId="25DF2910">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83707E3">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2、评标办法。本项目评标办法是 综合评标法 ，具体评标内容及评分标准等详见《第四章：评标办法及评分标准》。</w:t>
      </w:r>
    </w:p>
    <w:p w14:paraId="56CF4AB9">
      <w:pPr>
        <w:pStyle w:val="15"/>
        <w:snapToGrid w:val="0"/>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（七）评标过程的监控</w:t>
      </w:r>
    </w:p>
    <w:p w14:paraId="0E92C27F">
      <w:pPr>
        <w:pStyle w:val="15"/>
        <w:snapToGrid w:val="0"/>
        <w:spacing w:line="420" w:lineRule="exact"/>
        <w:ind w:firstLine="420" w:firstLineChars="200"/>
        <w:rPr>
          <w:rFonts w:hAnsi="宋体" w:cs="宋体"/>
          <w:color w:val="auto"/>
          <w:szCs w:val="21"/>
          <w:highlight w:val="none"/>
        </w:rPr>
      </w:pPr>
      <w:r>
        <w:rPr>
          <w:rFonts w:hint="eastAsia" w:hAnsi="宋体" w:cs="宋体"/>
          <w:color w:val="auto"/>
          <w:szCs w:val="21"/>
          <w:highlight w:val="none"/>
        </w:rPr>
        <w:t>本项目评标过程实行全程录音、录像监控。供应商在评标过程中所进行的试图影响评标结果的不公正活动，可能导致其投标被拒绝。</w:t>
      </w:r>
    </w:p>
    <w:p w14:paraId="67BACCC3">
      <w:pPr>
        <w:pStyle w:val="15"/>
        <w:snapToGrid w:val="0"/>
        <w:spacing w:line="420" w:lineRule="exact"/>
        <w:ind w:firstLine="413" w:firstLineChars="196"/>
        <w:jc w:val="center"/>
        <w:outlineLvl w:val="1"/>
        <w:rPr>
          <w:rFonts w:hAnsi="宋体" w:cs="宋体"/>
          <w:b/>
          <w:color w:val="auto"/>
          <w:szCs w:val="21"/>
          <w:highlight w:val="none"/>
        </w:rPr>
      </w:pPr>
      <w:bookmarkStart w:id="61" w:name="_Toc33535371"/>
    </w:p>
    <w:p w14:paraId="30605B3F">
      <w:pPr>
        <w:pStyle w:val="15"/>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六、定标</w:t>
      </w:r>
      <w:bookmarkEnd w:id="61"/>
    </w:p>
    <w:p w14:paraId="7E224698">
      <w:pPr>
        <w:pStyle w:val="15"/>
        <w:snapToGrid w:val="0"/>
        <w:spacing w:line="420" w:lineRule="exact"/>
        <w:ind w:firstLine="413" w:firstLineChars="196"/>
        <w:rPr>
          <w:rFonts w:hAnsi="宋体" w:cs="宋体"/>
          <w:b/>
          <w:bCs/>
          <w:color w:val="auto"/>
          <w:szCs w:val="21"/>
          <w:highlight w:val="none"/>
        </w:rPr>
      </w:pPr>
      <w:r>
        <w:rPr>
          <w:rFonts w:hint="eastAsia" w:hAnsi="宋体" w:cs="宋体"/>
          <w:b/>
          <w:bCs/>
          <w:color w:val="auto"/>
          <w:szCs w:val="21"/>
          <w:highlight w:val="none"/>
        </w:rPr>
        <w:t>（一）确定中标人。</w:t>
      </w:r>
    </w:p>
    <w:p w14:paraId="6BEE42B0">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1、采购代理机构在评标结束后2个工作日内将评标报告交采购人确认，同时在发布招标公告的网站上对评标结果进行公告。</w:t>
      </w:r>
    </w:p>
    <w:p w14:paraId="6A9459FB">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16877696">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3.在公告中标结果的同时，采购代理机构向中标人发出中标通知书。</w:t>
      </w:r>
    </w:p>
    <w:p w14:paraId="2CCC53E0">
      <w:pPr>
        <w:pStyle w:val="15"/>
        <w:snapToGrid w:val="0"/>
        <w:spacing w:line="420" w:lineRule="exact"/>
        <w:ind w:firstLine="413" w:firstLineChars="196"/>
        <w:jc w:val="center"/>
        <w:outlineLvl w:val="1"/>
        <w:rPr>
          <w:rFonts w:hAnsi="宋体" w:cs="宋体"/>
          <w:b/>
          <w:color w:val="auto"/>
          <w:szCs w:val="21"/>
          <w:highlight w:val="none"/>
        </w:rPr>
      </w:pPr>
      <w:bookmarkStart w:id="62" w:name="_Toc33535372"/>
    </w:p>
    <w:p w14:paraId="2C07344B">
      <w:pPr>
        <w:pStyle w:val="15"/>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七、合同授予</w:t>
      </w:r>
      <w:bookmarkEnd w:id="62"/>
    </w:p>
    <w:p w14:paraId="78DC159B">
      <w:pPr>
        <w:snapToGrid w:val="0"/>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2670872D">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14:paraId="39D45F3C">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14:paraId="6EB1E868">
      <w:pPr>
        <w:pStyle w:val="34"/>
        <w:rPr>
          <w:color w:val="auto"/>
          <w:highlight w:val="none"/>
        </w:rPr>
      </w:pPr>
    </w:p>
    <w:p w14:paraId="58AD3CB3">
      <w:pPr>
        <w:pStyle w:val="15"/>
        <w:snapToGrid w:val="0"/>
        <w:spacing w:line="420" w:lineRule="exact"/>
        <w:ind w:firstLine="551" w:firstLineChars="196"/>
        <w:jc w:val="center"/>
        <w:outlineLvl w:val="1"/>
        <w:rPr>
          <w:rFonts w:hAnsi="宋体" w:cs="宋体"/>
          <w:b/>
          <w:color w:val="auto"/>
          <w:sz w:val="28"/>
          <w:szCs w:val="28"/>
          <w:highlight w:val="none"/>
        </w:rPr>
      </w:pPr>
      <w:r>
        <w:rPr>
          <w:rFonts w:hint="eastAsia" w:hAnsi="宋体" w:cs="宋体"/>
          <w:b/>
          <w:color w:val="auto"/>
          <w:sz w:val="28"/>
          <w:szCs w:val="28"/>
          <w:highlight w:val="none"/>
        </w:rPr>
        <w:t>八、招标代理费</w:t>
      </w:r>
    </w:p>
    <w:p w14:paraId="1CC5902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1、本项目招标代理服务由</w:t>
      </w:r>
      <w:r>
        <w:rPr>
          <w:rFonts w:hint="eastAsia" w:ascii="宋体" w:hAnsi="宋体" w:cs="宋体"/>
          <w:color w:val="auto"/>
          <w:szCs w:val="21"/>
          <w:highlight w:val="none"/>
          <w:lang w:val="en-US" w:eastAsia="zh-CN"/>
        </w:rPr>
        <w:t>中标供应商</w:t>
      </w:r>
      <w:r>
        <w:rPr>
          <w:rFonts w:hint="eastAsia" w:ascii="宋体" w:hAnsi="宋体" w:cs="宋体"/>
          <w:color w:val="auto"/>
          <w:szCs w:val="21"/>
          <w:highlight w:val="none"/>
        </w:rPr>
        <w:t>支付。</w:t>
      </w:r>
    </w:p>
    <w:p w14:paraId="68A8D54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2、服务费的货币为人民币。</w:t>
      </w:r>
    </w:p>
    <w:p w14:paraId="48C065A3">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3、服务费支付方式：一次性以银行划账、电汇、汇票或支票的形式支付。</w:t>
      </w:r>
    </w:p>
    <w:p w14:paraId="0627724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4、服务费以银行划账方式按下列要求提交：</w:t>
      </w:r>
    </w:p>
    <w:p w14:paraId="383F42B7">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户名：舟山市嘉嵊咨询管理有限公司</w:t>
      </w:r>
    </w:p>
    <w:p w14:paraId="516DF604">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开户银行：中国工商银行股份有限公司嵊泗支行</w:t>
      </w:r>
    </w:p>
    <w:p w14:paraId="29E0CF84">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账号：1206013209200147766</w:t>
      </w:r>
    </w:p>
    <w:p w14:paraId="2EBF195D">
      <w:pPr>
        <w:snapToGrid w:val="0"/>
        <w:spacing w:line="420" w:lineRule="exact"/>
        <w:ind w:firstLine="420" w:firstLineChars="200"/>
        <w:jc w:val="left"/>
        <w:rPr>
          <w:rFonts w:ascii="宋体" w:hAnsi="宋体" w:cs="宋体"/>
          <w:b/>
          <w:color w:val="auto"/>
          <w:sz w:val="30"/>
          <w:szCs w:val="30"/>
          <w:highlight w:val="none"/>
        </w:rPr>
      </w:pPr>
      <w:r>
        <w:rPr>
          <w:rFonts w:hint="eastAsia" w:ascii="宋体" w:hAnsi="宋体" w:cs="宋体"/>
          <w:color w:val="auto"/>
          <w:szCs w:val="21"/>
          <w:highlight w:val="none"/>
        </w:rPr>
        <w:t>5、服务费不在投标报价中单列。</w:t>
      </w:r>
    </w:p>
    <w:p w14:paraId="06F95CB4">
      <w:pPr>
        <w:pStyle w:val="15"/>
        <w:spacing w:before="120" w:after="120" w:line="420" w:lineRule="exact"/>
        <w:jc w:val="center"/>
        <w:rPr>
          <w:rFonts w:hAnsi="宋体" w:cs="宋体"/>
          <w:b/>
          <w:color w:val="auto"/>
          <w:sz w:val="30"/>
          <w:szCs w:val="30"/>
          <w:highlight w:val="none"/>
        </w:rPr>
      </w:pPr>
      <w:r>
        <w:rPr>
          <w:rFonts w:hint="eastAsia" w:hAnsi="宋体" w:cs="宋体"/>
          <w:b/>
          <w:color w:val="auto"/>
          <w:sz w:val="30"/>
          <w:szCs w:val="30"/>
          <w:highlight w:val="none"/>
        </w:rPr>
        <w:br w:type="page"/>
      </w:r>
    </w:p>
    <w:p w14:paraId="5252CC3A">
      <w:pPr>
        <w:pStyle w:val="15"/>
        <w:spacing w:before="120" w:after="120" w:line="420" w:lineRule="exact"/>
        <w:jc w:val="center"/>
        <w:rPr>
          <w:rFonts w:hAnsi="宋体" w:cs="宋体"/>
          <w:b/>
          <w:color w:val="auto"/>
          <w:sz w:val="30"/>
          <w:szCs w:val="30"/>
          <w:highlight w:val="none"/>
        </w:rPr>
      </w:pPr>
      <w:r>
        <w:rPr>
          <w:rFonts w:hint="eastAsia" w:hAnsi="宋体" w:cs="宋体"/>
          <w:b/>
          <w:color w:val="auto"/>
          <w:sz w:val="32"/>
          <w:szCs w:val="32"/>
          <w:highlight w:val="none"/>
        </w:rPr>
        <w:t>第四章  评标办法及评分标准</w:t>
      </w:r>
    </w:p>
    <w:p w14:paraId="1982F5AC">
      <w:pPr>
        <w:spacing w:line="420" w:lineRule="exact"/>
        <w:ind w:firstLine="420"/>
        <w:rPr>
          <w:rFonts w:ascii="宋体" w:hAnsi="宋体" w:cs="宋体"/>
          <w:color w:val="auto"/>
          <w:szCs w:val="21"/>
          <w:highlight w:val="none"/>
        </w:rPr>
      </w:pPr>
      <w:bookmarkStart w:id="63" w:name="_Toc19362"/>
      <w:bookmarkEnd w:id="63"/>
      <w:r>
        <w:rPr>
          <w:rFonts w:hint="eastAsia" w:ascii="宋体" w:hAnsi="宋体" w:cs="宋体"/>
          <w:color w:val="auto"/>
          <w:szCs w:val="21"/>
          <w:highlight w:val="none"/>
        </w:rPr>
        <w:t>为公正、公平、科学地选择中标人，根据《中华人民共和国政府采购法》等有关法律法规的规定，并结合本项目的实际，按照公正、公平、科学、择优的原则选择中标单位，制定本办法。</w:t>
      </w:r>
    </w:p>
    <w:p w14:paraId="1DA20995">
      <w:pPr>
        <w:spacing w:line="420" w:lineRule="exact"/>
        <w:rPr>
          <w:rFonts w:ascii="宋体" w:hAnsi="宋体" w:cs="宋体"/>
          <w:b/>
          <w:color w:val="auto"/>
          <w:szCs w:val="21"/>
          <w:highlight w:val="none"/>
        </w:rPr>
      </w:pPr>
      <w:bookmarkStart w:id="64" w:name="_Toc170792813"/>
      <w:r>
        <w:rPr>
          <w:rFonts w:hint="eastAsia" w:ascii="宋体" w:hAnsi="宋体" w:cs="宋体"/>
          <w:b/>
          <w:color w:val="auto"/>
          <w:szCs w:val="21"/>
          <w:highlight w:val="none"/>
        </w:rPr>
        <w:t>一、总则</w:t>
      </w:r>
    </w:p>
    <w:bookmarkEnd w:id="64"/>
    <w:p w14:paraId="1E5E706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本次评标采用综合评分法，其中商务资信技术分</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分，价格分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共计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cs="宋体"/>
          <w:b/>
          <w:bCs/>
          <w:color w:val="auto"/>
          <w:szCs w:val="21"/>
          <w:highlight w:val="none"/>
        </w:rPr>
        <w:t>总得分第一名的投标人为中标候选人，排名第二的投标人为候补中标候选人，其他投标人中标候选资格依此类推。</w:t>
      </w:r>
    </w:p>
    <w:p w14:paraId="788E9BD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投标人评标总得分=商务资信技术分+价格分（评分过程中采用四舍五入法，并保留小数2位）</w:t>
      </w:r>
    </w:p>
    <w:p w14:paraId="10B46E14">
      <w:pPr>
        <w:numPr>
          <w:ilvl w:val="0"/>
          <w:numId w:val="7"/>
        </w:num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评标内容和标准</w:t>
      </w:r>
    </w:p>
    <w:tbl>
      <w:tblPr>
        <w:tblStyle w:val="31"/>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85"/>
        <w:gridCol w:w="7001"/>
        <w:gridCol w:w="751"/>
      </w:tblGrid>
      <w:tr w14:paraId="019A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636" w:type="dxa"/>
            <w:vAlign w:val="center"/>
          </w:tcPr>
          <w:p w14:paraId="1BF39E64">
            <w:pPr>
              <w:spacing w:line="360" w:lineRule="auto"/>
              <w:jc w:val="center"/>
              <w:rPr>
                <w:rFonts w:ascii="宋体" w:hAnsi="宋体" w:cs="宋体"/>
                <w:b/>
                <w:szCs w:val="21"/>
              </w:rPr>
            </w:pPr>
            <w:r>
              <w:rPr>
                <w:rFonts w:ascii="Times New Roman" w:hAnsi="Times New Roman" w:eastAsia="宋体" w:cs="Times New Roman"/>
              </w:rPr>
              <w:t>评审项目</w:t>
            </w:r>
          </w:p>
        </w:tc>
        <w:tc>
          <w:tcPr>
            <w:tcW w:w="973" w:type="dxa"/>
            <w:vAlign w:val="center"/>
          </w:tcPr>
          <w:p w14:paraId="60B1D846">
            <w:pPr>
              <w:spacing w:line="360" w:lineRule="auto"/>
              <w:jc w:val="both"/>
              <w:rPr>
                <w:rFonts w:ascii="Times New Roman" w:hAnsi="Times New Roman" w:eastAsia="宋体" w:cs="Times New Roman"/>
              </w:rPr>
            </w:pPr>
            <w:r>
              <w:rPr>
                <w:rFonts w:ascii="Times New Roman" w:hAnsi="Times New Roman" w:eastAsia="宋体" w:cs="Times New Roman"/>
              </w:rPr>
              <w:t>评</w:t>
            </w:r>
            <w:r>
              <w:rPr>
                <w:rFonts w:hint="eastAsia" w:cs="Times New Roman"/>
                <w:lang w:val="en-US" w:eastAsia="zh-CN"/>
              </w:rPr>
              <w:t xml:space="preserve"> </w:t>
            </w:r>
            <w:r>
              <w:rPr>
                <w:rFonts w:ascii="Times New Roman" w:hAnsi="Times New Roman" w:eastAsia="宋体" w:cs="Times New Roman"/>
              </w:rPr>
              <w:t>审</w:t>
            </w:r>
          </w:p>
          <w:p w14:paraId="684B4E8F">
            <w:pPr>
              <w:spacing w:line="360" w:lineRule="auto"/>
              <w:jc w:val="both"/>
              <w:rPr>
                <w:rFonts w:ascii="宋体" w:hAnsi="宋体" w:cs="宋体"/>
                <w:b/>
                <w:szCs w:val="21"/>
              </w:rPr>
            </w:pPr>
            <w:r>
              <w:rPr>
                <w:rFonts w:ascii="Times New Roman" w:hAnsi="Times New Roman" w:eastAsia="宋体" w:cs="Times New Roman"/>
              </w:rPr>
              <w:t>内</w:t>
            </w:r>
            <w:r>
              <w:rPr>
                <w:rFonts w:hint="eastAsia" w:cs="Times New Roman"/>
                <w:lang w:val="en-US" w:eastAsia="zh-CN"/>
              </w:rPr>
              <w:t xml:space="preserve"> </w:t>
            </w:r>
            <w:r>
              <w:rPr>
                <w:rFonts w:ascii="Times New Roman" w:hAnsi="Times New Roman" w:eastAsia="宋体" w:cs="Times New Roman"/>
              </w:rPr>
              <w:t>容</w:t>
            </w:r>
          </w:p>
        </w:tc>
        <w:tc>
          <w:tcPr>
            <w:tcW w:w="6916" w:type="dxa"/>
            <w:vAlign w:val="center"/>
          </w:tcPr>
          <w:p w14:paraId="39397B5B">
            <w:pPr>
              <w:spacing w:line="360" w:lineRule="auto"/>
              <w:ind w:firstLine="210" w:firstLineChars="0"/>
              <w:jc w:val="center"/>
              <w:rPr>
                <w:rFonts w:ascii="宋体" w:hAnsi="宋体" w:cs="宋体"/>
                <w:b/>
                <w:szCs w:val="21"/>
              </w:rPr>
            </w:pPr>
            <w:r>
              <w:rPr>
                <w:rFonts w:ascii="Times New Roman" w:hAnsi="Times New Roman" w:eastAsia="宋体" w:cs="Times New Roman"/>
              </w:rPr>
              <w:t>评分标准</w:t>
            </w:r>
          </w:p>
        </w:tc>
        <w:tc>
          <w:tcPr>
            <w:tcW w:w="742" w:type="dxa"/>
            <w:vAlign w:val="center"/>
          </w:tcPr>
          <w:p w14:paraId="31E7E614">
            <w:pPr>
              <w:spacing w:line="360" w:lineRule="auto"/>
              <w:jc w:val="center"/>
              <w:rPr>
                <w:rFonts w:ascii="宋体" w:hAnsi="宋体" w:cs="宋体"/>
                <w:b/>
                <w:szCs w:val="21"/>
              </w:rPr>
            </w:pPr>
            <w:r>
              <w:rPr>
                <w:rFonts w:ascii="Times New Roman" w:hAnsi="Times New Roman" w:eastAsia="宋体" w:cs="Times New Roman"/>
              </w:rPr>
              <w:t>得分</w:t>
            </w:r>
          </w:p>
        </w:tc>
      </w:tr>
      <w:tr w14:paraId="602D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6" w:type="dxa"/>
            <w:vMerge w:val="restart"/>
            <w:vAlign w:val="center"/>
          </w:tcPr>
          <w:p w14:paraId="1AAA1207">
            <w:pPr>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商务技术</w:t>
            </w:r>
          </w:p>
          <w:p w14:paraId="573AA9C2">
            <w:pPr>
              <w:spacing w:line="360" w:lineRule="auto"/>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得分</w:t>
            </w:r>
          </w:p>
          <w:p w14:paraId="0F87A6F9">
            <w:pPr>
              <w:spacing w:line="360" w:lineRule="auto"/>
              <w:jc w:val="center"/>
              <w:rPr>
                <w:rFonts w:ascii="宋体" w:hAnsi="宋体" w:cs="宋体"/>
                <w:szCs w:val="21"/>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9</w:t>
            </w:r>
            <w:r>
              <w:rPr>
                <w:rFonts w:ascii="Times New Roman" w:hAnsi="Times New Roman" w:eastAsia="宋体" w:cs="Times New Roman"/>
                <w:color w:val="auto"/>
                <w:highlight w:val="none"/>
              </w:rPr>
              <w:t>0分）</w:t>
            </w:r>
          </w:p>
        </w:tc>
        <w:tc>
          <w:tcPr>
            <w:tcW w:w="973" w:type="dxa"/>
            <w:vAlign w:val="center"/>
          </w:tcPr>
          <w:p w14:paraId="372CC4B8">
            <w:pPr>
              <w:spacing w:line="360" w:lineRule="auto"/>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同</w:t>
            </w:r>
            <w:r>
              <w:rPr>
                <w:rFonts w:hint="eastAsia" w:ascii="宋体" w:hAnsi="宋体" w:cs="Times New Roman"/>
                <w:color w:val="auto"/>
                <w:highlight w:val="none"/>
                <w:lang w:val="en-US" w:eastAsia="zh-CN"/>
              </w:rPr>
              <w:t xml:space="preserve"> </w:t>
            </w:r>
            <w:r>
              <w:rPr>
                <w:rFonts w:hint="eastAsia" w:ascii="宋体" w:hAnsi="宋体" w:eastAsia="宋体" w:cs="Times New Roman"/>
                <w:color w:val="auto"/>
                <w:highlight w:val="none"/>
              </w:rPr>
              <w:t>类</w:t>
            </w:r>
          </w:p>
          <w:p w14:paraId="05B342F7">
            <w:pPr>
              <w:spacing w:line="360" w:lineRule="auto"/>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案</w:t>
            </w:r>
            <w:r>
              <w:rPr>
                <w:rFonts w:hint="eastAsia" w:ascii="宋体" w:hAnsi="宋体" w:cs="Times New Roman"/>
                <w:color w:val="auto"/>
                <w:highlight w:val="none"/>
                <w:lang w:val="en-US" w:eastAsia="zh-CN"/>
              </w:rPr>
              <w:t xml:space="preserve"> </w:t>
            </w:r>
            <w:r>
              <w:rPr>
                <w:rFonts w:hint="eastAsia" w:ascii="宋体" w:hAnsi="宋体" w:eastAsia="宋体" w:cs="Times New Roman"/>
                <w:color w:val="auto"/>
                <w:highlight w:val="none"/>
              </w:rPr>
              <w:t>例</w:t>
            </w:r>
          </w:p>
          <w:p w14:paraId="263110E2">
            <w:pPr>
              <w:spacing w:line="360" w:lineRule="auto"/>
              <w:jc w:val="both"/>
              <w:rPr>
                <w:szCs w:val="20"/>
                <w:highlight w:val="none"/>
              </w:rPr>
            </w:pPr>
            <w:r>
              <w:rPr>
                <w:rFonts w:hint="eastAsia" w:ascii="Times New Roman" w:hAnsi="Calibri" w:eastAsia="宋体" w:cs="Times New Roman"/>
                <w:color w:val="auto"/>
                <w:kern w:val="0"/>
                <w:highlight w:val="none"/>
              </w:rPr>
              <w:t>（1分）</w:t>
            </w:r>
          </w:p>
        </w:tc>
        <w:tc>
          <w:tcPr>
            <w:tcW w:w="6916" w:type="dxa"/>
            <w:tcBorders>
              <w:bottom w:val="single" w:color="auto" w:sz="4" w:space="0"/>
            </w:tcBorders>
            <w:vAlign w:val="center"/>
          </w:tcPr>
          <w:p w14:paraId="3DCCC0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提供</w:t>
            </w:r>
            <w:r>
              <w:rPr>
                <w:rFonts w:hint="eastAsia" w:ascii="宋体" w:hAnsi="宋体" w:eastAsia="宋体" w:cs="Times New Roman"/>
                <w:color w:val="auto"/>
                <w:szCs w:val="21"/>
                <w:highlight w:val="none"/>
              </w:rPr>
              <w:t>202</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年1月1日以来，</w:t>
            </w:r>
            <w:r>
              <w:rPr>
                <w:rFonts w:hint="eastAsia" w:ascii="宋体" w:hAnsi="宋体" w:cs="Times New Roman"/>
                <w:color w:val="auto"/>
                <w:szCs w:val="21"/>
                <w:highlight w:val="none"/>
                <w:lang w:val="en-US" w:eastAsia="zh-CN"/>
              </w:rPr>
              <w:t>承接过行政事业单位类似服务</w:t>
            </w:r>
            <w:r>
              <w:rPr>
                <w:rFonts w:hint="eastAsia" w:ascii="宋体" w:hAnsi="宋体" w:eastAsia="宋体" w:cs="Times New Roman"/>
                <w:color w:val="auto"/>
                <w:szCs w:val="21"/>
                <w:highlight w:val="none"/>
              </w:rPr>
              <w:t>项目成功案例</w:t>
            </w:r>
            <w:r>
              <w:rPr>
                <w:rFonts w:hint="eastAsia" w:ascii="宋体" w:hAnsi="宋体" w:cs="Times New Roman"/>
                <w:color w:val="auto"/>
                <w:szCs w:val="21"/>
                <w:highlight w:val="none"/>
                <w:lang w:val="en-US" w:eastAsia="zh-CN"/>
              </w:rPr>
              <w:t>的</w:t>
            </w:r>
            <w:r>
              <w:rPr>
                <w:rFonts w:hint="eastAsia" w:ascii="宋体" w:hAnsi="宋体" w:eastAsia="宋体" w:cs="Times New Roman"/>
                <w:color w:val="auto"/>
                <w:szCs w:val="21"/>
                <w:highlight w:val="none"/>
              </w:rPr>
              <w:t>，每提供一个合同得</w:t>
            </w:r>
            <w:r>
              <w:rPr>
                <w:rFonts w:hint="eastAsia" w:ascii="宋体" w:hAnsi="宋体" w:cs="Times New Roman"/>
                <w:color w:val="auto"/>
                <w:szCs w:val="21"/>
                <w:highlight w:val="none"/>
                <w:lang w:val="en-US" w:eastAsia="zh-CN"/>
              </w:rPr>
              <w:t>0.2</w:t>
            </w:r>
            <w:r>
              <w:rPr>
                <w:rFonts w:hint="eastAsia" w:ascii="宋体" w:hAnsi="宋体" w:eastAsia="宋体" w:cs="Times New Roman"/>
                <w:color w:val="auto"/>
                <w:szCs w:val="21"/>
                <w:highlight w:val="none"/>
              </w:rPr>
              <w:t>分，最多得1分。</w:t>
            </w:r>
          </w:p>
          <w:p w14:paraId="39F0C9A9">
            <w:pPr>
              <w:keepNext w:val="0"/>
              <w:keepLines w:val="0"/>
              <w:pageBreakBefore w:val="0"/>
              <w:widowControl w:val="0"/>
              <w:kinsoku/>
              <w:wordWrap/>
              <w:overflowPunct/>
              <w:topLinePunct w:val="0"/>
              <w:autoSpaceDE/>
              <w:autoSpaceDN/>
              <w:bidi w:val="0"/>
              <w:adjustRightInd/>
              <w:snapToGrid/>
              <w:spacing w:line="560" w:lineRule="exact"/>
              <w:textAlignment w:val="auto"/>
              <w:rPr>
                <w:szCs w:val="20"/>
                <w:highlight w:val="none"/>
              </w:rPr>
            </w:pPr>
            <w:r>
              <w:rPr>
                <w:rFonts w:hint="eastAsia" w:ascii="宋体" w:hAnsi="宋体" w:eastAsia="宋体" w:cs="宋体"/>
                <w:b/>
                <w:bCs/>
                <w:color w:val="auto"/>
                <w:sz w:val="21"/>
                <w:szCs w:val="21"/>
                <w:highlight w:val="none"/>
              </w:rPr>
              <w:t>（提供合同复印件加盖公章）</w:t>
            </w:r>
          </w:p>
        </w:tc>
        <w:tc>
          <w:tcPr>
            <w:tcW w:w="742" w:type="dxa"/>
            <w:vAlign w:val="center"/>
          </w:tcPr>
          <w:p w14:paraId="1E4C0B5A">
            <w:pPr>
              <w:spacing w:line="360" w:lineRule="auto"/>
              <w:ind w:firstLine="210" w:firstLineChars="100"/>
              <w:rPr>
                <w:rFonts w:ascii="宋体" w:hAnsi="宋体" w:cs="宋体"/>
                <w:szCs w:val="21"/>
                <w:highlight w:val="none"/>
              </w:rPr>
            </w:pPr>
          </w:p>
        </w:tc>
      </w:tr>
      <w:tr w14:paraId="616C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36" w:type="dxa"/>
            <w:vMerge w:val="continue"/>
            <w:tcBorders>
              <w:top w:val="single" w:color="auto" w:sz="4" w:space="0"/>
            </w:tcBorders>
            <w:vAlign w:val="center"/>
          </w:tcPr>
          <w:p w14:paraId="2C7D8B89">
            <w:pPr>
              <w:spacing w:line="360" w:lineRule="auto"/>
              <w:jc w:val="center"/>
              <w:rPr>
                <w:rFonts w:ascii="宋体" w:hAnsi="宋体" w:cs="宋体"/>
                <w:szCs w:val="21"/>
              </w:rPr>
            </w:pPr>
          </w:p>
        </w:tc>
        <w:tc>
          <w:tcPr>
            <w:tcW w:w="973" w:type="dxa"/>
            <w:tcBorders>
              <w:top w:val="single" w:color="auto" w:sz="4" w:space="0"/>
              <w:right w:val="single" w:color="auto" w:sz="4" w:space="0"/>
            </w:tcBorders>
            <w:vAlign w:val="center"/>
          </w:tcPr>
          <w:p w14:paraId="50443145">
            <w:pPr>
              <w:spacing w:line="360" w:lineRule="auto"/>
              <w:jc w:val="both"/>
              <w:rPr>
                <w:szCs w:val="20"/>
                <w:highlight w:val="none"/>
              </w:rPr>
            </w:pPr>
            <w:r>
              <w:rPr>
                <w:rFonts w:hint="eastAsia" w:ascii="宋体" w:hAnsi="宋体" w:eastAsia="宋体" w:cs="Times New Roman"/>
                <w:color w:val="auto"/>
                <w:highlight w:val="none"/>
              </w:rPr>
              <w:t>项目负责人</w:t>
            </w:r>
            <w:r>
              <w:rPr>
                <w:rFonts w:hint="eastAsia" w:ascii="宋体" w:hAnsi="宋体" w:cs="Times New Roman"/>
                <w:color w:val="auto"/>
                <w:highlight w:val="none"/>
                <w:lang w:eastAsia="zh-CN"/>
              </w:rPr>
              <w:t>及团队</w:t>
            </w: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12</w:t>
            </w:r>
            <w:r>
              <w:rPr>
                <w:rFonts w:hint="eastAsia" w:ascii="宋体" w:hAnsi="宋体" w:eastAsia="宋体" w:cs="Times New Roman"/>
                <w:color w:val="auto"/>
                <w:highlight w:val="none"/>
              </w:rPr>
              <w:t>分）</w:t>
            </w:r>
          </w:p>
        </w:tc>
        <w:tc>
          <w:tcPr>
            <w:tcW w:w="6916" w:type="dxa"/>
            <w:tcBorders>
              <w:top w:val="single" w:color="auto" w:sz="4" w:space="0"/>
              <w:left w:val="single" w:color="auto" w:sz="4" w:space="0"/>
              <w:right w:val="single" w:color="auto" w:sz="4" w:space="0"/>
            </w:tcBorders>
            <w:vAlign w:val="center"/>
          </w:tcPr>
          <w:p w14:paraId="0B9C36D2">
            <w:pPr>
              <w:pStyle w:val="5"/>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本项目所安排参与项目从业人员的素质、能力、资格和经验，人员是否具有相关服务资格等，不满足条件的不得分。</w:t>
            </w:r>
          </w:p>
          <w:p w14:paraId="60308AC3">
            <w:pPr>
              <w:numPr>
                <w:ilvl w:val="0"/>
                <w:numId w:val="8"/>
              </w:numPr>
              <w:spacing w:line="360" w:lineRule="auto"/>
              <w:rPr>
                <w:rFonts w:hint="default" w:ascii="宋体" w:hAnsi="宋体" w:cs="宋体"/>
                <w:b w:val="0"/>
                <w:bCs w:val="0"/>
                <w:color w:val="auto"/>
                <w:sz w:val="21"/>
                <w:szCs w:val="21"/>
                <w:highlight w:val="none"/>
                <w:lang w:val="en-US" w:eastAsia="zh-CN"/>
              </w:rPr>
            </w:pPr>
            <w:r>
              <w:rPr>
                <w:rFonts w:hint="eastAsia"/>
                <w:color w:val="auto"/>
                <w:highlight w:val="none"/>
                <w:lang w:val="en-US" w:eastAsia="zh-CN"/>
              </w:rPr>
              <w:t>投标人派驻具有3名以上二级保安员证书的得3分；并拥有5名以上三级保安员证书的得1分，本项最高4分。</w:t>
            </w:r>
          </w:p>
          <w:p w14:paraId="4FEBB46A">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项目负责人具有</w:t>
            </w:r>
            <w:r>
              <w:rPr>
                <w:rFonts w:hint="eastAsia" w:ascii="宋体" w:hAnsi="宋体" w:cs="Times New Roman"/>
                <w:color w:val="auto"/>
                <w:szCs w:val="21"/>
                <w:highlight w:val="none"/>
                <w:lang w:val="en-US" w:eastAsia="zh-CN"/>
              </w:rPr>
              <w:t>安保管理服务</w:t>
            </w:r>
            <w:r>
              <w:rPr>
                <w:rFonts w:hint="eastAsia" w:ascii="宋体" w:hAnsi="宋体" w:eastAsia="宋体" w:cs="宋体"/>
                <w:color w:val="auto"/>
                <w:sz w:val="21"/>
                <w:szCs w:val="21"/>
                <w:highlight w:val="none"/>
              </w:rPr>
              <w:t>类似项目业绩的得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分，合同若不能体现项目负责人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可提供业主方</w:t>
            </w:r>
            <w:r>
              <w:rPr>
                <w:rFonts w:hint="eastAsia" w:ascii="宋体" w:hAnsi="宋体" w:cs="宋体"/>
                <w:color w:val="auto"/>
                <w:sz w:val="21"/>
                <w:szCs w:val="21"/>
                <w:highlight w:val="none"/>
                <w:lang w:val="en-US" w:eastAsia="zh-CN"/>
              </w:rPr>
              <w:t>盖章的</w:t>
            </w:r>
            <w:r>
              <w:rPr>
                <w:rFonts w:hint="eastAsia" w:ascii="宋体" w:hAnsi="宋体" w:eastAsia="宋体" w:cs="宋体"/>
                <w:color w:val="auto"/>
                <w:sz w:val="21"/>
                <w:szCs w:val="21"/>
                <w:highlight w:val="none"/>
              </w:rPr>
              <w:t>相关证明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并提供</w:t>
            </w:r>
            <w:r>
              <w:rPr>
                <w:rFonts w:hint="eastAsia" w:ascii="宋体" w:hAnsi="宋体" w:eastAsia="宋体" w:cs="宋体"/>
                <w:color w:val="auto"/>
                <w:sz w:val="21"/>
                <w:szCs w:val="21"/>
                <w:highlight w:val="none"/>
              </w:rPr>
              <w:t>项目业绩相关证明</w:t>
            </w:r>
            <w:r>
              <w:rPr>
                <w:rFonts w:hint="eastAsia" w:ascii="宋体" w:hAnsi="宋体" w:cs="宋体"/>
                <w:color w:val="auto"/>
                <w:sz w:val="21"/>
                <w:szCs w:val="21"/>
                <w:highlight w:val="none"/>
                <w:lang w:eastAsia="zh-CN"/>
              </w:rPr>
              <w:t>。</w:t>
            </w:r>
          </w:p>
          <w:p w14:paraId="1A3609B0">
            <w:pPr>
              <w:pStyle w:val="11"/>
              <w:spacing w:line="36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3、项目负责人至2021年以来连续两年获得过市级及以上二等治安荣誉的得3分。</w:t>
            </w:r>
          </w:p>
          <w:p w14:paraId="5DDCF1AE">
            <w:pPr>
              <w:pStyle w:val="11"/>
              <w:spacing w:line="360" w:lineRule="auto"/>
              <w:ind w:left="0" w:leftChars="0" w:firstLine="0" w:firstLineChars="0"/>
              <w:rPr>
                <w:rFonts w:hint="default"/>
                <w:highlight w:val="none"/>
                <w:lang w:val="en-US" w:eastAsia="zh-CN"/>
              </w:rPr>
            </w:pPr>
            <w:r>
              <w:rPr>
                <w:rFonts w:hint="eastAsia" w:ascii="宋体" w:hAnsi="宋体" w:cs="宋体"/>
                <w:color w:val="auto"/>
                <w:sz w:val="21"/>
                <w:szCs w:val="21"/>
                <w:highlight w:val="none"/>
                <w:lang w:val="en-US" w:eastAsia="zh-CN"/>
              </w:rPr>
              <w:t>4、保安员个人获得过地市级荣誉奖项的得1分；获得过省级的得3分，本项最高3分。</w:t>
            </w:r>
          </w:p>
          <w:p w14:paraId="299E9380">
            <w:pPr>
              <w:spacing w:line="360" w:lineRule="auto"/>
              <w:rPr>
                <w:szCs w:val="20"/>
                <w:highlight w:val="none"/>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eastAsia="zh-CN"/>
              </w:rPr>
              <w:t>投标单位</w:t>
            </w:r>
            <w:r>
              <w:rPr>
                <w:rFonts w:hint="eastAsia" w:ascii="宋体" w:hAnsi="宋体" w:cs="宋体"/>
                <w:b/>
                <w:bCs/>
                <w:color w:val="auto"/>
                <w:sz w:val="21"/>
                <w:szCs w:val="21"/>
                <w:highlight w:val="none"/>
                <w:lang w:val="en-US" w:eastAsia="zh-CN"/>
              </w:rPr>
              <w:t>最近一个季度</w:t>
            </w:r>
            <w:r>
              <w:rPr>
                <w:rFonts w:hint="eastAsia" w:ascii="宋体" w:hAnsi="宋体" w:eastAsia="宋体" w:cs="宋体"/>
                <w:b/>
                <w:bCs/>
                <w:color w:val="auto"/>
                <w:sz w:val="21"/>
                <w:szCs w:val="21"/>
                <w:highlight w:val="none"/>
              </w:rPr>
              <w:t>的社保</w:t>
            </w:r>
            <w:r>
              <w:rPr>
                <w:rFonts w:hint="eastAsia" w:ascii="宋体" w:hAnsi="宋体" w:cs="宋体"/>
                <w:b/>
                <w:bCs/>
                <w:color w:val="auto"/>
                <w:sz w:val="21"/>
                <w:szCs w:val="21"/>
                <w:highlight w:val="none"/>
                <w:lang w:val="en-US" w:eastAsia="zh-CN"/>
              </w:rPr>
              <w:t>证明</w:t>
            </w:r>
            <w:r>
              <w:rPr>
                <w:rFonts w:hint="eastAsia" w:ascii="宋体" w:hAnsi="宋体" w:eastAsia="宋体" w:cs="宋体"/>
                <w:b/>
                <w:bCs/>
                <w:color w:val="auto"/>
                <w:sz w:val="21"/>
                <w:szCs w:val="21"/>
                <w:highlight w:val="none"/>
              </w:rPr>
              <w:t>、相关证书及相关证明文件，复印件加盖公章）</w:t>
            </w:r>
            <w:r>
              <w:rPr>
                <w:rFonts w:hint="eastAsia" w:ascii="宋体" w:hAnsi="宋体" w:cs="宋体"/>
                <w:b/>
                <w:bCs/>
                <w:color w:val="auto"/>
                <w:sz w:val="21"/>
                <w:szCs w:val="21"/>
                <w:highlight w:val="none"/>
                <w:lang w:eastAsia="zh-CN"/>
              </w:rPr>
              <w:t>。</w:t>
            </w:r>
          </w:p>
        </w:tc>
        <w:tc>
          <w:tcPr>
            <w:tcW w:w="742" w:type="dxa"/>
            <w:tcBorders>
              <w:top w:val="single" w:color="auto" w:sz="4" w:space="0"/>
              <w:left w:val="single" w:color="auto" w:sz="4" w:space="0"/>
            </w:tcBorders>
            <w:vAlign w:val="center"/>
          </w:tcPr>
          <w:p w14:paraId="305102B0">
            <w:pPr>
              <w:spacing w:line="360" w:lineRule="auto"/>
              <w:ind w:firstLine="210" w:firstLineChars="100"/>
              <w:rPr>
                <w:rFonts w:ascii="宋体" w:hAnsi="宋体" w:cs="宋体"/>
                <w:szCs w:val="21"/>
                <w:highlight w:val="none"/>
              </w:rPr>
            </w:pPr>
          </w:p>
        </w:tc>
      </w:tr>
      <w:tr w14:paraId="58F7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636" w:type="dxa"/>
            <w:vMerge w:val="continue"/>
            <w:vAlign w:val="center"/>
          </w:tcPr>
          <w:p w14:paraId="2322D72F">
            <w:pPr>
              <w:spacing w:line="360" w:lineRule="auto"/>
              <w:jc w:val="center"/>
              <w:rPr>
                <w:rFonts w:ascii="宋体" w:hAnsi="宋体" w:cs="宋体"/>
                <w:szCs w:val="21"/>
              </w:rPr>
            </w:pPr>
          </w:p>
        </w:tc>
        <w:tc>
          <w:tcPr>
            <w:tcW w:w="973" w:type="dxa"/>
            <w:vAlign w:val="center"/>
          </w:tcPr>
          <w:p w14:paraId="6E46BAE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szCs w:val="20"/>
                <w:highlight w:val="none"/>
              </w:rPr>
            </w:pPr>
            <w:r>
              <w:rPr>
                <w:rFonts w:hint="eastAsia" w:ascii="宋体" w:hAnsi="宋体" w:eastAsia="宋体" w:cs="宋体"/>
                <w:color w:val="auto"/>
                <w:sz w:val="21"/>
                <w:szCs w:val="21"/>
                <w:highlight w:val="none"/>
              </w:rPr>
              <w:t>体系认证证书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6分）</w:t>
            </w:r>
          </w:p>
        </w:tc>
        <w:tc>
          <w:tcPr>
            <w:tcW w:w="6916" w:type="dxa"/>
            <w:tcBorders>
              <w:top w:val="single" w:color="auto" w:sz="4" w:space="0"/>
            </w:tcBorders>
            <w:vAlign w:val="center"/>
          </w:tcPr>
          <w:p w14:paraId="238AC799">
            <w:pPr>
              <w:keepNext w:val="0"/>
              <w:keepLines w:val="0"/>
              <w:pageBreakBefore w:val="0"/>
              <w:numPr>
                <w:ilvl w:val="0"/>
                <w:numId w:val="9"/>
              </w:numPr>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具有世标认证质量管理认证体系符合（GB/T19001-2016/ISO9001:2015）认证证书、世标认证环境管理体系符合（GB/T24001-2016/ISO14001:2015）认证证书、世标认证职业健康安全管理体系符合（GB/T45001-2020/ISO45001:2018）证书的，每个2分，最高得6分。</w:t>
            </w:r>
          </w:p>
          <w:p w14:paraId="2287746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szCs w:val="20"/>
                <w:highlight w:val="none"/>
                <w:lang w:val="zh-CN"/>
              </w:rPr>
            </w:pPr>
            <w:r>
              <w:rPr>
                <w:rFonts w:hint="eastAsia" w:ascii="宋体" w:hAnsi="宋体" w:cs="宋体"/>
                <w:b/>
                <w:bCs/>
                <w:color w:val="auto"/>
                <w:sz w:val="21"/>
                <w:szCs w:val="21"/>
                <w:highlight w:val="none"/>
                <w:lang w:val="en-US" w:eastAsia="zh-CN"/>
              </w:rPr>
              <w:t>注：投标文件中须提供有效的认证体系证书复印件盖供应商单位公章。</w:t>
            </w:r>
          </w:p>
        </w:tc>
        <w:tc>
          <w:tcPr>
            <w:tcW w:w="742" w:type="dxa"/>
            <w:tcBorders>
              <w:top w:val="single" w:color="auto" w:sz="4" w:space="0"/>
            </w:tcBorders>
            <w:vAlign w:val="center"/>
          </w:tcPr>
          <w:p w14:paraId="4AB5667A">
            <w:pPr>
              <w:spacing w:line="360" w:lineRule="auto"/>
              <w:ind w:firstLine="210" w:firstLineChars="100"/>
              <w:rPr>
                <w:rFonts w:ascii="宋体" w:hAnsi="宋体" w:cs="宋体"/>
                <w:szCs w:val="21"/>
                <w:highlight w:val="none"/>
              </w:rPr>
            </w:pPr>
          </w:p>
        </w:tc>
      </w:tr>
      <w:tr w14:paraId="5FD4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636" w:type="dxa"/>
            <w:vMerge w:val="continue"/>
            <w:vAlign w:val="center"/>
          </w:tcPr>
          <w:p w14:paraId="14EE6394">
            <w:pPr>
              <w:spacing w:line="360" w:lineRule="auto"/>
              <w:jc w:val="center"/>
              <w:rPr>
                <w:rFonts w:ascii="宋体" w:hAnsi="宋体" w:cs="宋体"/>
                <w:szCs w:val="21"/>
              </w:rPr>
            </w:pPr>
          </w:p>
        </w:tc>
        <w:tc>
          <w:tcPr>
            <w:tcW w:w="973" w:type="dxa"/>
            <w:vAlign w:val="center"/>
          </w:tcPr>
          <w:p w14:paraId="674CBAA2">
            <w:pPr>
              <w:keepNext w:val="0"/>
              <w:keepLines w:val="0"/>
              <w:pageBreakBefore w:val="0"/>
              <w:kinsoku/>
              <w:wordWrap/>
              <w:overflowPunct/>
              <w:topLinePunct w:val="0"/>
              <w:autoSpaceDE/>
              <w:autoSpaceDN/>
              <w:bidi w:val="0"/>
              <w:adjustRightInd/>
              <w:snapToGrid/>
              <w:spacing w:line="360" w:lineRule="auto"/>
              <w:jc w:val="both"/>
              <w:textAlignment w:val="auto"/>
              <w:outlineLvl w:val="9"/>
              <w:rPr>
                <w:szCs w:val="20"/>
                <w:highlight w:val="yellow"/>
              </w:rPr>
            </w:pPr>
            <w:r>
              <w:rPr>
                <w:rFonts w:hint="eastAsia" w:ascii="宋体" w:hAnsi="宋体" w:cs="宋体"/>
                <w:b w:val="0"/>
                <w:bCs w:val="0"/>
                <w:color w:val="auto"/>
                <w:sz w:val="21"/>
                <w:szCs w:val="21"/>
                <w:highlight w:val="none"/>
                <w:lang w:val="en-US" w:eastAsia="zh-CN"/>
              </w:rPr>
              <w:t>综合能力（15分）</w:t>
            </w:r>
          </w:p>
        </w:tc>
        <w:tc>
          <w:tcPr>
            <w:tcW w:w="6916" w:type="dxa"/>
            <w:tcBorders>
              <w:top w:val="single" w:color="auto" w:sz="4" w:space="0"/>
            </w:tcBorders>
            <w:vAlign w:val="center"/>
          </w:tcPr>
          <w:p w14:paraId="1E58D3D0">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1、提供2021年以来省公安厅评定的保安服务人力资源类信用B级及以上证书的得3分。</w:t>
            </w:r>
          </w:p>
          <w:p w14:paraId="6540C84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2、提供海岛保安服务运营项目经验得得2分（提供合同）。</w:t>
            </w:r>
          </w:p>
          <w:p w14:paraId="09A2E7C4">
            <w:pPr>
              <w:pStyle w:val="10"/>
              <w:numPr>
                <w:ilvl w:val="0"/>
                <w:numId w:val="0"/>
              </w:numPr>
              <w:spacing w:line="360" w:lineRule="auto"/>
              <w:ind w:leftChars="0"/>
              <w:rPr>
                <w:rFonts w:hint="default"/>
                <w:lang w:val="en-US" w:eastAsia="zh-CN"/>
              </w:rPr>
            </w:pPr>
            <w:r>
              <w:rPr>
                <w:rFonts w:hint="eastAsia"/>
                <w:lang w:val="en-US" w:eastAsia="zh-CN"/>
              </w:rPr>
              <w:t>3、获得过市级高质量发展保安服务单位的得2分。</w:t>
            </w:r>
          </w:p>
          <w:p w14:paraId="43F130B0">
            <w:pPr>
              <w:pStyle w:val="11"/>
              <w:numPr>
                <w:ilvl w:val="0"/>
                <w:numId w:val="0"/>
              </w:numPr>
              <w:spacing w:line="360" w:lineRule="auto"/>
              <w:ind w:leftChars="0"/>
              <w:rPr>
                <w:rFonts w:hint="eastAsia"/>
                <w:highlight w:val="none"/>
                <w:lang w:val="en-US" w:eastAsia="zh-CN"/>
              </w:rPr>
            </w:pPr>
            <w:r>
              <w:rPr>
                <w:rFonts w:hint="eastAsia"/>
                <w:highlight w:val="none"/>
                <w:lang w:val="en-US" w:eastAsia="zh-CN"/>
              </w:rPr>
              <w:t>4、连续3年获得过市级单位颁发优秀保安服务公司荣誉的得3分。</w:t>
            </w:r>
          </w:p>
          <w:p w14:paraId="12C81377">
            <w:pPr>
              <w:numPr>
                <w:ilvl w:val="0"/>
                <w:numId w:val="0"/>
              </w:numPr>
              <w:spacing w:line="360" w:lineRule="auto"/>
              <w:ind w:leftChars="0"/>
              <w:rPr>
                <w:rFonts w:hint="default"/>
                <w:lang w:val="en-US" w:eastAsia="zh-CN"/>
              </w:rPr>
            </w:pPr>
            <w:r>
              <w:rPr>
                <w:rFonts w:hint="eastAsia" w:hAnsi="宋体"/>
                <w:sz w:val="21"/>
                <w:szCs w:val="21"/>
                <w:highlight w:val="none"/>
                <w:lang w:val="en-US" w:eastAsia="zh-CN"/>
              </w:rPr>
              <w:t>5、具有省公安厅颁发的《保安服务许可证》的得2分。</w:t>
            </w:r>
          </w:p>
          <w:p w14:paraId="2DF0A343">
            <w:pPr>
              <w:pStyle w:val="11"/>
              <w:spacing w:line="360" w:lineRule="auto"/>
              <w:ind w:left="0" w:leftChars="0" w:firstLine="0" w:firstLineChars="0"/>
              <w:rPr>
                <w:rFonts w:hint="default"/>
                <w:lang w:val="en-US" w:eastAsia="zh-CN"/>
              </w:rPr>
            </w:pPr>
            <w:r>
              <w:rPr>
                <w:rFonts w:hint="eastAsia" w:hAnsi="宋体"/>
                <w:sz w:val="21"/>
                <w:szCs w:val="21"/>
                <w:highlight w:val="none"/>
                <w:lang w:val="en-US" w:eastAsia="zh-CN"/>
              </w:rPr>
              <w:t>6、连续2年获得过市级及以上警保联盟提升工程先进单位荣誉</w:t>
            </w:r>
            <w:r>
              <w:rPr>
                <w:rFonts w:hint="eastAsia" w:hAnsi="宋体" w:cs="宋体"/>
                <w:b w:val="0"/>
                <w:bCs w:val="0"/>
                <w:color w:val="auto"/>
                <w:sz w:val="21"/>
                <w:szCs w:val="21"/>
                <w:highlight w:val="none"/>
                <w:lang w:val="en-US" w:eastAsia="zh-CN"/>
              </w:rPr>
              <w:t>的得3分。</w:t>
            </w:r>
          </w:p>
          <w:p w14:paraId="30456C7C">
            <w:pPr>
              <w:keepNext w:val="0"/>
              <w:keepLines w:val="0"/>
              <w:pageBreakBefore w:val="0"/>
              <w:kinsoku/>
              <w:wordWrap/>
              <w:overflowPunct/>
              <w:topLinePunct w:val="0"/>
              <w:autoSpaceDE/>
              <w:autoSpaceDN/>
              <w:bidi w:val="0"/>
              <w:adjustRightInd/>
              <w:snapToGrid/>
              <w:spacing w:line="360" w:lineRule="auto"/>
              <w:textAlignment w:val="auto"/>
              <w:outlineLvl w:val="9"/>
              <w:rPr>
                <w:szCs w:val="20"/>
                <w:highlight w:val="none"/>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eastAsia="zh-CN"/>
              </w:rPr>
              <w:t>投标文件中须提供有效的认证体系证书复印件盖供应商单位公章</w:t>
            </w:r>
            <w:r>
              <w:rPr>
                <w:rFonts w:hint="eastAsia" w:ascii="宋体" w:hAnsi="宋体" w:cs="宋体"/>
                <w:b/>
                <w:bCs/>
                <w:color w:val="auto"/>
                <w:sz w:val="21"/>
                <w:szCs w:val="21"/>
                <w:highlight w:val="none"/>
                <w:lang w:eastAsia="zh-CN"/>
              </w:rPr>
              <w:t>。</w:t>
            </w:r>
          </w:p>
        </w:tc>
        <w:tc>
          <w:tcPr>
            <w:tcW w:w="742" w:type="dxa"/>
            <w:tcBorders>
              <w:top w:val="single" w:color="auto" w:sz="4" w:space="0"/>
            </w:tcBorders>
            <w:vAlign w:val="center"/>
          </w:tcPr>
          <w:p w14:paraId="01498CAE">
            <w:pPr>
              <w:spacing w:line="360" w:lineRule="auto"/>
              <w:ind w:firstLine="210" w:firstLineChars="100"/>
              <w:rPr>
                <w:rFonts w:ascii="宋体" w:hAnsi="宋体" w:cs="宋体"/>
                <w:szCs w:val="21"/>
                <w:highlight w:val="yellow"/>
              </w:rPr>
            </w:pPr>
          </w:p>
        </w:tc>
      </w:tr>
      <w:tr w14:paraId="28DB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65D8A007">
            <w:pPr>
              <w:spacing w:line="360" w:lineRule="auto"/>
              <w:jc w:val="center"/>
              <w:rPr>
                <w:rFonts w:ascii="宋体" w:hAnsi="宋体" w:cs="宋体"/>
                <w:szCs w:val="21"/>
              </w:rPr>
            </w:pPr>
          </w:p>
        </w:tc>
        <w:tc>
          <w:tcPr>
            <w:tcW w:w="973" w:type="dxa"/>
            <w:vAlign w:val="center"/>
          </w:tcPr>
          <w:p w14:paraId="0E61FD3B">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宋体" w:hAnsi="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团队人员要求（10分）</w:t>
            </w:r>
          </w:p>
        </w:tc>
        <w:tc>
          <w:tcPr>
            <w:tcW w:w="6916" w:type="dxa"/>
            <w:tcBorders>
              <w:top w:val="single" w:color="auto" w:sz="4" w:space="0"/>
            </w:tcBorders>
            <w:vAlign w:val="center"/>
          </w:tcPr>
          <w:p w14:paraId="7C2EE788">
            <w:pPr>
              <w:spacing w:line="360" w:lineRule="auto"/>
              <w:rPr>
                <w:rFonts w:ascii="宋体" w:hAnsi="宋体"/>
                <w:spacing w:val="-2"/>
                <w:szCs w:val="21"/>
                <w:lang w:bidi="ar"/>
              </w:rPr>
            </w:pPr>
            <w:r>
              <w:rPr>
                <w:rFonts w:hint="eastAsia" w:ascii="宋体" w:hAnsi="宋体"/>
                <w:b/>
                <w:bCs/>
                <w:spacing w:val="-2"/>
                <w:szCs w:val="21"/>
                <w:lang w:bidi="ar"/>
              </w:rPr>
              <w:t>1、投标</w:t>
            </w:r>
            <w:r>
              <w:rPr>
                <w:rFonts w:hint="eastAsia" w:ascii="宋体" w:hAnsi="宋体"/>
                <w:b/>
                <w:bCs/>
                <w:spacing w:val="-2"/>
                <w:szCs w:val="21"/>
                <w:lang w:val="en-US" w:eastAsia="zh-CN" w:bidi="ar"/>
              </w:rPr>
              <w:t>供应商</w:t>
            </w:r>
            <w:r>
              <w:rPr>
                <w:rFonts w:hint="eastAsia" w:ascii="宋体" w:hAnsi="宋体"/>
                <w:b/>
                <w:bCs/>
                <w:spacing w:val="-2"/>
                <w:szCs w:val="21"/>
                <w:lang w:bidi="ar"/>
              </w:rPr>
              <w:t>安排参与本项目的项目负责人情况，根据其资历、经验，由评委进行打分</w:t>
            </w:r>
            <w:r>
              <w:rPr>
                <w:rFonts w:hint="eastAsia" w:ascii="宋体" w:hAnsi="宋体"/>
                <w:spacing w:val="-2"/>
                <w:szCs w:val="21"/>
                <w:lang w:bidi="ar"/>
              </w:rPr>
              <w:t>：</w:t>
            </w:r>
          </w:p>
          <w:p w14:paraId="13902E8F">
            <w:pPr>
              <w:spacing w:line="360" w:lineRule="auto"/>
              <w:rPr>
                <w:rFonts w:ascii="宋体" w:hAnsi="宋体"/>
                <w:spacing w:val="-2"/>
                <w:szCs w:val="21"/>
                <w:lang w:bidi="ar"/>
              </w:rPr>
            </w:pPr>
            <w:r>
              <w:rPr>
                <w:rFonts w:hint="eastAsia" w:ascii="宋体" w:hAnsi="宋体"/>
                <w:spacing w:val="-2"/>
                <w:szCs w:val="21"/>
                <w:lang w:bidi="ar"/>
              </w:rPr>
              <w:t>（1）项目负责人经验丰富，能力强的得5分；</w:t>
            </w:r>
          </w:p>
          <w:p w14:paraId="103C9BC1">
            <w:pPr>
              <w:spacing w:line="360" w:lineRule="auto"/>
              <w:rPr>
                <w:rFonts w:ascii="宋体" w:hAnsi="宋体"/>
                <w:spacing w:val="-2"/>
                <w:szCs w:val="21"/>
                <w:lang w:bidi="ar"/>
              </w:rPr>
            </w:pPr>
            <w:r>
              <w:rPr>
                <w:rFonts w:hint="eastAsia" w:ascii="宋体" w:hAnsi="宋体"/>
                <w:spacing w:val="-2"/>
                <w:szCs w:val="21"/>
                <w:lang w:bidi="ar"/>
              </w:rPr>
              <w:t>（2）项目负责人经验比较丰富，能力较强的得3分；</w:t>
            </w:r>
          </w:p>
          <w:p w14:paraId="5E4E025F">
            <w:pPr>
              <w:spacing w:line="360" w:lineRule="auto"/>
              <w:rPr>
                <w:rFonts w:ascii="宋体" w:hAnsi="宋体"/>
                <w:spacing w:val="-2"/>
                <w:szCs w:val="21"/>
              </w:rPr>
            </w:pPr>
            <w:r>
              <w:rPr>
                <w:rFonts w:hint="eastAsia" w:ascii="宋体" w:hAnsi="宋体"/>
                <w:spacing w:val="-2"/>
                <w:szCs w:val="21"/>
                <w:lang w:bidi="ar"/>
              </w:rPr>
              <w:t>（3）项目负责人经验缺乏，能力一般的得1分。</w:t>
            </w:r>
          </w:p>
          <w:p w14:paraId="58D34634">
            <w:pPr>
              <w:spacing w:line="360" w:lineRule="auto"/>
              <w:rPr>
                <w:rFonts w:ascii="宋体" w:hAnsi="宋体"/>
                <w:spacing w:val="-2"/>
                <w:szCs w:val="21"/>
                <w:lang w:bidi="ar"/>
              </w:rPr>
            </w:pPr>
            <w:r>
              <w:rPr>
                <w:rFonts w:hint="eastAsia" w:ascii="宋体" w:hAnsi="宋体"/>
                <w:spacing w:val="-2"/>
                <w:szCs w:val="21"/>
                <w:lang w:bidi="ar"/>
              </w:rPr>
              <w:t>2、除项目负责人外投入本项目的团队成员，根据人数、分工合理性、素质、从业经历与本项目需求的匹配度等情况由评委进行打分：</w:t>
            </w:r>
          </w:p>
          <w:p w14:paraId="46411429">
            <w:pPr>
              <w:spacing w:line="360" w:lineRule="auto"/>
              <w:rPr>
                <w:rFonts w:ascii="宋体" w:hAnsi="宋体"/>
                <w:spacing w:val="-2"/>
                <w:szCs w:val="21"/>
                <w:lang w:bidi="ar"/>
              </w:rPr>
            </w:pPr>
            <w:r>
              <w:rPr>
                <w:rFonts w:hint="eastAsia" w:ascii="宋体" w:hAnsi="宋体"/>
                <w:spacing w:val="-2"/>
                <w:szCs w:val="21"/>
                <w:lang w:bidi="ar"/>
              </w:rPr>
              <w:t>（1）团队人数多，分工合理，素质高，从业经历与本项目匹配度高的得5分；</w:t>
            </w:r>
          </w:p>
          <w:p w14:paraId="7632661A">
            <w:pPr>
              <w:spacing w:line="360" w:lineRule="auto"/>
              <w:rPr>
                <w:rFonts w:ascii="宋体" w:hAnsi="宋体"/>
                <w:spacing w:val="-2"/>
                <w:szCs w:val="21"/>
                <w:lang w:bidi="ar"/>
              </w:rPr>
            </w:pPr>
            <w:r>
              <w:rPr>
                <w:rFonts w:hint="eastAsia" w:ascii="宋体" w:hAnsi="宋体"/>
                <w:spacing w:val="-2"/>
                <w:szCs w:val="21"/>
                <w:lang w:bidi="ar"/>
              </w:rPr>
              <w:t>（2）团队人数较多，分工基本合理，素质高，从业经历与本项目基本匹配的得3分；</w:t>
            </w:r>
          </w:p>
          <w:p w14:paraId="74A07F9F">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spacing w:val="-2"/>
                <w:szCs w:val="21"/>
                <w:lang w:bidi="ar"/>
              </w:rPr>
              <w:t>（3）团队人数少，分工不合理，素质较低，从业经历与本项目匹配度低的的得1分。</w:t>
            </w:r>
          </w:p>
        </w:tc>
        <w:tc>
          <w:tcPr>
            <w:tcW w:w="742" w:type="dxa"/>
            <w:tcBorders>
              <w:top w:val="single" w:color="auto" w:sz="4" w:space="0"/>
            </w:tcBorders>
            <w:vAlign w:val="center"/>
          </w:tcPr>
          <w:p w14:paraId="22124E6C">
            <w:pPr>
              <w:spacing w:line="360" w:lineRule="auto"/>
              <w:ind w:firstLine="210" w:firstLineChars="100"/>
              <w:rPr>
                <w:rFonts w:ascii="宋体" w:hAnsi="宋体" w:cs="宋体"/>
                <w:szCs w:val="21"/>
                <w:highlight w:val="yellow"/>
              </w:rPr>
            </w:pPr>
          </w:p>
        </w:tc>
      </w:tr>
      <w:tr w14:paraId="3B2D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636" w:type="dxa"/>
            <w:vMerge w:val="continue"/>
            <w:vAlign w:val="center"/>
          </w:tcPr>
          <w:p w14:paraId="271094C1">
            <w:pPr>
              <w:spacing w:line="360" w:lineRule="auto"/>
              <w:jc w:val="center"/>
              <w:rPr>
                <w:rFonts w:ascii="宋体" w:hAnsi="宋体" w:cs="宋体"/>
                <w:szCs w:val="21"/>
              </w:rPr>
            </w:pPr>
          </w:p>
        </w:tc>
        <w:tc>
          <w:tcPr>
            <w:tcW w:w="973" w:type="dxa"/>
            <w:vAlign w:val="center"/>
          </w:tcPr>
          <w:p w14:paraId="71A656E8">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培训方案（8分）</w:t>
            </w:r>
          </w:p>
        </w:tc>
        <w:tc>
          <w:tcPr>
            <w:tcW w:w="6916" w:type="dxa"/>
            <w:tcBorders>
              <w:top w:val="single" w:color="auto" w:sz="4" w:space="0"/>
            </w:tcBorders>
            <w:vAlign w:val="center"/>
          </w:tcPr>
          <w:p w14:paraId="0DE836FB">
            <w:pPr>
              <w:spacing w:line="360" w:lineRule="auto"/>
              <w:ind w:firstLine="0" w:firstLineChars="0"/>
              <w:textAlignment w:val="baseline"/>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根据投标人的培训方案、计划、内容以及配备的培训人员的专业技能等由评标委员会进行综合评分：</w:t>
            </w:r>
          </w:p>
          <w:p w14:paraId="24287BB9">
            <w:pPr>
              <w:spacing w:line="360" w:lineRule="auto"/>
              <w:ind w:firstLine="0" w:firstLineChars="0"/>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1、培训方案内容完整，计划科学，</w:t>
            </w:r>
            <w:r>
              <w:rPr>
                <w:rFonts w:hint="eastAsia" w:ascii="宋体" w:hAnsi="宋体" w:eastAsia="宋体" w:cs="宋体"/>
                <w:kern w:val="0"/>
                <w:sz w:val="21"/>
                <w:szCs w:val="21"/>
                <w:highlight w:val="none"/>
                <w:lang w:val="en-US" w:eastAsia="zh-CN"/>
              </w:rPr>
              <w:t>培训</w:t>
            </w:r>
            <w:r>
              <w:rPr>
                <w:rFonts w:hint="eastAsia" w:ascii="宋体" w:hAnsi="宋体" w:eastAsia="宋体" w:cs="宋体"/>
                <w:kern w:val="0"/>
                <w:sz w:val="21"/>
                <w:szCs w:val="21"/>
                <w:highlight w:val="none"/>
              </w:rPr>
              <w:t>人员符合项目需求的，得</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w:t>
            </w:r>
            <w:r>
              <w:rPr>
                <w:rFonts w:hint="eastAsia" w:ascii="宋体" w:hAnsi="宋体" w:cs="宋体"/>
                <w:kern w:val="0"/>
                <w:sz w:val="21"/>
                <w:szCs w:val="21"/>
                <w:highlight w:val="none"/>
                <w:lang w:eastAsia="zh-CN"/>
              </w:rPr>
              <w:t>；</w:t>
            </w:r>
          </w:p>
          <w:p w14:paraId="35C6934F">
            <w:pPr>
              <w:spacing w:line="360" w:lineRule="auto"/>
              <w:ind w:firstLine="0" w:firstLineChars="0"/>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2、培训方案内容较为完整，计划较为科学，</w:t>
            </w:r>
            <w:r>
              <w:rPr>
                <w:rFonts w:hint="eastAsia" w:ascii="宋体" w:hAnsi="宋体" w:eastAsia="宋体" w:cs="宋体"/>
                <w:kern w:val="0"/>
                <w:sz w:val="21"/>
                <w:szCs w:val="21"/>
                <w:highlight w:val="none"/>
                <w:lang w:val="en-US" w:eastAsia="zh-CN"/>
              </w:rPr>
              <w:t>培训</w:t>
            </w:r>
            <w:r>
              <w:rPr>
                <w:rFonts w:hint="eastAsia" w:ascii="宋体" w:hAnsi="宋体" w:eastAsia="宋体" w:cs="宋体"/>
                <w:kern w:val="0"/>
                <w:sz w:val="21"/>
                <w:szCs w:val="21"/>
                <w:highlight w:val="none"/>
              </w:rPr>
              <w:t>人员较为符合项目需求的，得</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w:t>
            </w:r>
          </w:p>
          <w:p w14:paraId="3F2CD251">
            <w:pPr>
              <w:spacing w:line="360" w:lineRule="auto"/>
              <w:ind w:firstLine="0" w:firstLineChars="0"/>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3、培训方案内容有欠缺，计划不够科学，</w:t>
            </w:r>
            <w:r>
              <w:rPr>
                <w:rFonts w:hint="eastAsia" w:ascii="宋体" w:hAnsi="宋体" w:eastAsia="宋体" w:cs="宋体"/>
                <w:kern w:val="0"/>
                <w:sz w:val="21"/>
                <w:szCs w:val="21"/>
                <w:highlight w:val="none"/>
                <w:lang w:val="en-US" w:eastAsia="zh-CN"/>
              </w:rPr>
              <w:t>培训</w:t>
            </w:r>
            <w:r>
              <w:rPr>
                <w:rFonts w:hint="eastAsia" w:ascii="宋体" w:hAnsi="宋体" w:eastAsia="宋体" w:cs="宋体"/>
                <w:kern w:val="0"/>
                <w:sz w:val="21"/>
                <w:szCs w:val="21"/>
                <w:highlight w:val="none"/>
              </w:rPr>
              <w:t>人员不太符合项目需求的，得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w:t>
            </w:r>
          </w:p>
          <w:p w14:paraId="680AC42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auto"/>
                <w:sz w:val="21"/>
                <w:szCs w:val="21"/>
                <w:highlight w:val="none"/>
                <w:lang w:val="en-US" w:eastAsia="zh-CN"/>
              </w:rPr>
            </w:pPr>
            <w:r>
              <w:rPr>
                <w:rFonts w:hint="eastAsia" w:ascii="宋体" w:hAnsi="宋体" w:eastAsia="宋体" w:cs="宋体"/>
                <w:kern w:val="0"/>
                <w:sz w:val="21"/>
                <w:szCs w:val="21"/>
                <w:highlight w:val="none"/>
              </w:rPr>
              <w:t>4、未提供者不得分。</w:t>
            </w:r>
          </w:p>
        </w:tc>
        <w:tc>
          <w:tcPr>
            <w:tcW w:w="742" w:type="dxa"/>
            <w:tcBorders>
              <w:top w:val="single" w:color="auto" w:sz="4" w:space="0"/>
            </w:tcBorders>
            <w:vAlign w:val="center"/>
          </w:tcPr>
          <w:p w14:paraId="49EF57D7">
            <w:pPr>
              <w:spacing w:line="360" w:lineRule="auto"/>
              <w:ind w:firstLine="210" w:firstLineChars="100"/>
              <w:rPr>
                <w:rFonts w:ascii="宋体" w:hAnsi="宋体" w:cs="宋体"/>
                <w:szCs w:val="21"/>
                <w:highlight w:val="yellow"/>
              </w:rPr>
            </w:pPr>
          </w:p>
        </w:tc>
      </w:tr>
      <w:tr w14:paraId="446F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289E038B">
            <w:pPr>
              <w:spacing w:line="360" w:lineRule="auto"/>
              <w:jc w:val="center"/>
              <w:rPr>
                <w:rFonts w:ascii="宋体" w:hAnsi="宋体" w:cs="宋体"/>
                <w:szCs w:val="21"/>
              </w:rPr>
            </w:pPr>
          </w:p>
        </w:tc>
        <w:tc>
          <w:tcPr>
            <w:tcW w:w="973" w:type="dxa"/>
            <w:vAlign w:val="center"/>
          </w:tcPr>
          <w:p w14:paraId="7987AC9B">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highlight w:val="none"/>
                <w:lang w:val="en-US" w:eastAsia="zh-CN"/>
              </w:rPr>
            </w:pPr>
            <w:r>
              <w:rPr>
                <w:rFonts w:ascii="宋体" w:hAnsi="宋体" w:cs="宋体"/>
                <w:kern w:val="1"/>
                <w:szCs w:val="21"/>
              </w:rPr>
              <w:t>保安档案的管理</w:t>
            </w:r>
            <w:r>
              <w:rPr>
                <w:rFonts w:hint="eastAsia" w:ascii="宋体" w:hAnsi="宋体" w:cs="宋体"/>
                <w:kern w:val="1"/>
                <w:szCs w:val="21"/>
                <w:lang w:eastAsia="zh-CN"/>
              </w:rPr>
              <w:t>（</w:t>
            </w:r>
            <w:r>
              <w:rPr>
                <w:rFonts w:hint="eastAsia" w:ascii="宋体" w:hAnsi="宋体" w:cs="宋体"/>
                <w:kern w:val="1"/>
                <w:szCs w:val="21"/>
                <w:lang w:val="en-US" w:eastAsia="zh-CN"/>
              </w:rPr>
              <w:t>4分</w:t>
            </w:r>
            <w:r>
              <w:rPr>
                <w:rFonts w:hint="eastAsia" w:ascii="宋体" w:hAnsi="宋体" w:cs="宋体"/>
                <w:kern w:val="1"/>
                <w:szCs w:val="21"/>
                <w:lang w:eastAsia="zh-CN"/>
              </w:rPr>
              <w:t>）</w:t>
            </w:r>
          </w:p>
        </w:tc>
        <w:tc>
          <w:tcPr>
            <w:tcW w:w="6916" w:type="dxa"/>
            <w:tcBorders>
              <w:top w:val="single" w:color="auto" w:sz="4" w:space="0"/>
            </w:tcBorders>
            <w:vAlign w:val="center"/>
          </w:tcPr>
          <w:p w14:paraId="1B15017E">
            <w:pPr>
              <w:spacing w:line="360" w:lineRule="auto"/>
              <w:ind w:firstLine="0" w:firstLineChars="0"/>
              <w:textAlignment w:val="baseline"/>
              <w:rPr>
                <w:rFonts w:hint="eastAsia" w:ascii="宋体" w:hAnsi="宋体" w:eastAsia="宋体" w:cs="宋体"/>
                <w:b/>
                <w:bCs/>
                <w:kern w:val="0"/>
                <w:sz w:val="21"/>
                <w:szCs w:val="21"/>
                <w:highlight w:val="none"/>
                <w:lang w:eastAsia="zh-CN"/>
              </w:rPr>
            </w:pPr>
            <w:r>
              <w:rPr>
                <w:rFonts w:hint="eastAsia" w:ascii="宋体" w:hAnsi="宋体"/>
                <w:b/>
                <w:bCs/>
              </w:rPr>
              <w:t>根据提供的</w:t>
            </w:r>
            <w:r>
              <w:rPr>
                <w:rFonts w:hint="eastAsia" w:ascii="宋体" w:hAnsi="宋体" w:eastAsia="宋体" w:cs="宋体"/>
                <w:b/>
                <w:bCs/>
                <w:kern w:val="0"/>
                <w:sz w:val="21"/>
                <w:szCs w:val="21"/>
                <w:highlight w:val="none"/>
              </w:rPr>
              <w:t>保安档案建立与保存措施以及交接过渡工作方案是否完善性、可行性等情况比较酌情打分</w:t>
            </w:r>
            <w:r>
              <w:rPr>
                <w:rFonts w:hint="eastAsia" w:ascii="宋体" w:hAnsi="宋体" w:cs="宋体"/>
                <w:b/>
                <w:bCs/>
                <w:kern w:val="0"/>
                <w:sz w:val="21"/>
                <w:szCs w:val="21"/>
                <w:highlight w:val="none"/>
                <w:lang w:eastAsia="zh-CN"/>
              </w:rPr>
              <w:t>：</w:t>
            </w:r>
          </w:p>
          <w:p w14:paraId="7856B034">
            <w:pPr>
              <w:spacing w:line="360" w:lineRule="auto"/>
              <w:ind w:firstLine="0" w:firstLineChars="0"/>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1、满足本项目需求的：</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w:t>
            </w:r>
          </w:p>
          <w:p w14:paraId="67AD36D6">
            <w:pPr>
              <w:spacing w:line="360" w:lineRule="auto"/>
              <w:ind w:firstLine="0" w:firstLineChars="0"/>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2、基本满足本项目需求的：2分；</w:t>
            </w:r>
          </w:p>
          <w:p w14:paraId="00B1B8EF">
            <w:pPr>
              <w:spacing w:line="360" w:lineRule="auto"/>
              <w:ind w:firstLine="0" w:firstLineChars="0"/>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3、满足本项目需求程度一般的：1分</w:t>
            </w:r>
            <w:r>
              <w:rPr>
                <w:rFonts w:hint="eastAsia" w:ascii="宋体" w:hAnsi="宋体" w:eastAsia="宋体" w:cs="宋体"/>
                <w:kern w:val="0"/>
                <w:sz w:val="21"/>
                <w:szCs w:val="21"/>
                <w:highlight w:val="none"/>
                <w:lang w:eastAsia="zh-CN"/>
              </w:rPr>
              <w:t>；</w:t>
            </w:r>
          </w:p>
          <w:p w14:paraId="0ADF620D">
            <w:pPr>
              <w:pStyle w:val="11"/>
              <w:ind w:left="0" w:leftChars="0" w:firstLine="0" w:firstLineChars="0"/>
              <w:rPr>
                <w:rFonts w:hint="default"/>
                <w:lang w:val="en-US" w:eastAsia="zh-CN"/>
              </w:rPr>
            </w:pPr>
            <w:r>
              <w:rPr>
                <w:rFonts w:hint="eastAsia" w:ascii="宋体" w:hAnsi="宋体" w:eastAsia="宋体" w:cs="宋体"/>
                <w:kern w:val="0"/>
                <w:sz w:val="21"/>
                <w:szCs w:val="21"/>
                <w:highlight w:val="none"/>
                <w:lang w:val="en-US" w:eastAsia="zh-CN"/>
              </w:rPr>
              <w:t>4、不提供的不得分。</w:t>
            </w:r>
          </w:p>
        </w:tc>
        <w:tc>
          <w:tcPr>
            <w:tcW w:w="742" w:type="dxa"/>
            <w:tcBorders>
              <w:top w:val="single" w:color="auto" w:sz="4" w:space="0"/>
            </w:tcBorders>
            <w:vAlign w:val="center"/>
          </w:tcPr>
          <w:p w14:paraId="010BDE76">
            <w:pPr>
              <w:spacing w:line="360" w:lineRule="auto"/>
              <w:ind w:firstLine="210" w:firstLineChars="100"/>
              <w:rPr>
                <w:rFonts w:ascii="宋体" w:hAnsi="宋体" w:cs="宋体"/>
                <w:sz w:val="21"/>
                <w:szCs w:val="21"/>
                <w:highlight w:val="yellow"/>
              </w:rPr>
            </w:pPr>
          </w:p>
        </w:tc>
      </w:tr>
      <w:tr w14:paraId="6212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636" w:type="dxa"/>
            <w:vMerge w:val="continue"/>
            <w:vAlign w:val="center"/>
          </w:tcPr>
          <w:p w14:paraId="64A997C0">
            <w:pPr>
              <w:spacing w:line="360" w:lineRule="auto"/>
              <w:jc w:val="center"/>
              <w:rPr>
                <w:rFonts w:ascii="宋体" w:hAnsi="宋体" w:cs="宋体"/>
                <w:szCs w:val="21"/>
              </w:rPr>
            </w:pPr>
          </w:p>
        </w:tc>
        <w:tc>
          <w:tcPr>
            <w:tcW w:w="973" w:type="dxa"/>
            <w:vAlign w:val="center"/>
          </w:tcPr>
          <w:p w14:paraId="2D313638">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Times New Roman"/>
                <w:szCs w:val="21"/>
              </w:rPr>
              <w:t>应急预案</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8分）</w:t>
            </w:r>
            <w:r>
              <w:rPr>
                <w:rFonts w:hint="eastAsia" w:ascii="宋体" w:hAnsi="宋体" w:eastAsia="宋体" w:cs="Times New Roman"/>
                <w:szCs w:val="21"/>
                <w:lang w:eastAsia="zh-CN"/>
              </w:rPr>
              <w:t>）</w:t>
            </w:r>
          </w:p>
        </w:tc>
        <w:tc>
          <w:tcPr>
            <w:tcW w:w="6916" w:type="dxa"/>
            <w:tcBorders>
              <w:top w:val="single" w:color="auto" w:sz="4" w:space="0"/>
            </w:tcBorders>
            <w:vAlign w:val="center"/>
          </w:tcPr>
          <w:p w14:paraId="7CDBB650">
            <w:pPr>
              <w:spacing w:line="360" w:lineRule="auto"/>
              <w:rPr>
                <w:rFonts w:ascii="宋体" w:hAnsi="宋体"/>
                <w:b/>
                <w:bCs/>
                <w:szCs w:val="21"/>
                <w:lang w:val="zh-CN"/>
              </w:rPr>
            </w:pPr>
            <w:r>
              <w:rPr>
                <w:rFonts w:hint="eastAsia" w:ascii="宋体" w:hAnsi="宋体"/>
                <w:b/>
                <w:bCs/>
                <w:szCs w:val="21"/>
              </w:rPr>
              <w:t>投标</w:t>
            </w:r>
            <w:r>
              <w:rPr>
                <w:rFonts w:hint="eastAsia" w:ascii="宋体" w:hAnsi="宋体"/>
                <w:b/>
                <w:bCs/>
                <w:szCs w:val="21"/>
                <w:lang w:val="en-US" w:eastAsia="zh-CN"/>
              </w:rPr>
              <w:t>供应商</w:t>
            </w:r>
            <w:r>
              <w:rPr>
                <w:rFonts w:hint="eastAsia" w:ascii="宋体" w:hAnsi="宋体"/>
                <w:b/>
                <w:bCs/>
                <w:szCs w:val="21"/>
              </w:rPr>
              <w:t>针对各类人员意外伤害与纠纷应急处置预案、</w:t>
            </w:r>
            <w:r>
              <w:rPr>
                <w:rFonts w:hint="eastAsia" w:ascii="宋体" w:hAnsi="宋体"/>
                <w:b/>
                <w:bCs/>
                <w:szCs w:val="21"/>
                <w:lang w:val="zh-CN"/>
              </w:rPr>
              <w:t>突发事件应急保障措施方案：</w:t>
            </w:r>
          </w:p>
          <w:p w14:paraId="2075336A">
            <w:pPr>
              <w:pStyle w:val="4"/>
              <w:numPr>
                <w:ilvl w:val="0"/>
                <w:numId w:val="10"/>
              </w:numPr>
              <w:spacing w:line="360" w:lineRule="auto"/>
              <w:rPr>
                <w:rFonts w:ascii="宋体" w:hAnsi="宋体" w:eastAsia="宋体" w:cs="宋体"/>
                <w:color w:val="000000"/>
                <w:szCs w:val="21"/>
              </w:rPr>
            </w:pPr>
            <w:r>
              <w:rPr>
                <w:rFonts w:hint="eastAsia" w:ascii="宋体" w:hAnsi="宋体" w:eastAsia="宋体" w:cs="宋体"/>
                <w:color w:val="000000"/>
                <w:szCs w:val="21"/>
              </w:rPr>
              <w:t>措施内容详细、完整、到位、针对性强，与项目匹配度高得</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分</w:t>
            </w:r>
          </w:p>
          <w:p w14:paraId="15EDA804">
            <w:pPr>
              <w:pStyle w:val="4"/>
              <w:numPr>
                <w:ilvl w:val="0"/>
                <w:numId w:val="10"/>
              </w:numPr>
              <w:spacing w:line="360" w:lineRule="auto"/>
              <w:rPr>
                <w:rFonts w:ascii="宋体" w:hAnsi="宋体" w:eastAsia="宋体" w:cs="宋体"/>
                <w:color w:val="000000"/>
                <w:szCs w:val="21"/>
              </w:rPr>
            </w:pPr>
            <w:r>
              <w:rPr>
                <w:rFonts w:hint="eastAsia" w:ascii="宋体" w:hAnsi="宋体" w:eastAsia="宋体" w:cs="宋体"/>
                <w:color w:val="000000"/>
                <w:szCs w:val="21"/>
              </w:rPr>
              <w:t>措施内容较详细、较完整、针对性较强、与项目较匹配得</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分；</w:t>
            </w:r>
          </w:p>
          <w:p w14:paraId="2CAF3884">
            <w:pPr>
              <w:pStyle w:val="4"/>
              <w:numPr>
                <w:ilvl w:val="0"/>
                <w:numId w:val="0"/>
              </w:numPr>
              <w:spacing w:line="360" w:lineRule="auto"/>
              <w:rPr>
                <w:rFonts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措施内容完整度、针对性一般、与项目较匹度一般得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w:t>
            </w:r>
          </w:p>
          <w:p w14:paraId="3BB61726">
            <w:pPr>
              <w:pStyle w:val="4"/>
              <w:numPr>
                <w:ilvl w:val="0"/>
                <w:numId w:val="0"/>
              </w:numPr>
              <w:spacing w:line="360" w:lineRule="auto"/>
              <w:rPr>
                <w:rFonts w:hint="eastAsia" w:ascii="宋体" w:hAnsi="宋体" w:eastAsia="宋体" w:cs="宋体"/>
                <w:sz w:val="21"/>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措施内容缺失、不够科学、针对性不强，与项目匹配度不得分</w:t>
            </w:r>
            <w:r>
              <w:rPr>
                <w:rFonts w:hint="eastAsia" w:ascii="宋体" w:hAnsi="宋体" w:eastAsia="宋体" w:cs="宋体"/>
                <w:color w:val="000000"/>
                <w:szCs w:val="21"/>
                <w:lang w:eastAsia="zh-CN"/>
              </w:rPr>
              <w:t>。</w:t>
            </w:r>
          </w:p>
        </w:tc>
        <w:tc>
          <w:tcPr>
            <w:tcW w:w="742" w:type="dxa"/>
            <w:tcBorders>
              <w:top w:val="single" w:color="auto" w:sz="4" w:space="0"/>
            </w:tcBorders>
            <w:vAlign w:val="center"/>
          </w:tcPr>
          <w:p w14:paraId="667DC792">
            <w:pPr>
              <w:spacing w:line="360" w:lineRule="auto"/>
              <w:ind w:firstLine="210" w:firstLineChars="100"/>
              <w:rPr>
                <w:rFonts w:ascii="宋体" w:hAnsi="宋体" w:cs="宋体"/>
                <w:sz w:val="21"/>
                <w:szCs w:val="21"/>
                <w:highlight w:val="yellow"/>
              </w:rPr>
            </w:pPr>
          </w:p>
        </w:tc>
      </w:tr>
      <w:tr w14:paraId="396A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6" w:type="dxa"/>
            <w:vMerge w:val="continue"/>
            <w:vAlign w:val="center"/>
          </w:tcPr>
          <w:p w14:paraId="302161FB">
            <w:pPr>
              <w:spacing w:line="360" w:lineRule="auto"/>
              <w:jc w:val="center"/>
              <w:rPr>
                <w:rFonts w:ascii="宋体" w:hAnsi="宋体" w:cs="宋体"/>
                <w:szCs w:val="21"/>
              </w:rPr>
            </w:pPr>
          </w:p>
        </w:tc>
        <w:tc>
          <w:tcPr>
            <w:tcW w:w="973" w:type="dxa"/>
            <w:vMerge w:val="restart"/>
            <w:vAlign w:val="center"/>
          </w:tcPr>
          <w:p w14:paraId="16D7627E">
            <w:pPr>
              <w:spacing w:line="360" w:lineRule="auto"/>
              <w:jc w:val="both"/>
              <w:rPr>
                <w:rFonts w:ascii="宋体" w:hAnsi="宋体" w:eastAsia="宋体" w:cs="Times New Roman"/>
                <w:szCs w:val="21"/>
              </w:rPr>
            </w:pPr>
            <w:r>
              <w:rPr>
                <w:rFonts w:hint="eastAsia" w:ascii="宋体" w:hAnsi="宋体" w:eastAsia="宋体" w:cs="Times New Roman"/>
                <w:szCs w:val="21"/>
              </w:rPr>
              <w:t>管理计划方案</w:t>
            </w:r>
          </w:p>
          <w:p w14:paraId="178BA381">
            <w:pPr>
              <w:pStyle w:val="12"/>
              <w:spacing w:line="360" w:lineRule="auto"/>
              <w:ind w:left="0" w:leftChars="0" w:firstLine="0" w:firstLineChars="0"/>
              <w:rPr>
                <w:szCs w:val="20"/>
              </w:rPr>
            </w:pPr>
            <w:r>
              <w:rPr>
                <w:rFonts w:hint="eastAsia"/>
                <w:sz w:val="21"/>
                <w:szCs w:val="21"/>
              </w:rPr>
              <w:t>（</w:t>
            </w:r>
            <w:r>
              <w:rPr>
                <w:rFonts w:hint="eastAsia"/>
                <w:sz w:val="21"/>
                <w:szCs w:val="21"/>
                <w:lang w:val="en-US" w:eastAsia="zh-CN"/>
              </w:rPr>
              <w:t>26</w:t>
            </w:r>
            <w:r>
              <w:rPr>
                <w:rFonts w:hint="eastAsia"/>
                <w:sz w:val="21"/>
                <w:szCs w:val="21"/>
              </w:rPr>
              <w:t>分）</w:t>
            </w:r>
          </w:p>
        </w:tc>
        <w:tc>
          <w:tcPr>
            <w:tcW w:w="6916" w:type="dxa"/>
            <w:tcBorders>
              <w:top w:val="single" w:color="auto" w:sz="4" w:space="0"/>
            </w:tcBorders>
            <w:vAlign w:val="center"/>
          </w:tcPr>
          <w:p w14:paraId="47FABC5A">
            <w:pPr>
              <w:spacing w:line="360" w:lineRule="auto"/>
              <w:rPr>
                <w:rFonts w:ascii="宋体" w:hAnsi="宋体" w:eastAsia="宋体" w:cs="Times New Roman"/>
                <w:b/>
                <w:bCs/>
                <w:szCs w:val="21"/>
              </w:rPr>
            </w:pPr>
            <w:r>
              <w:rPr>
                <w:rFonts w:hint="eastAsia" w:ascii="宋体" w:hAnsi="宋体" w:cs="Times New Roman"/>
                <w:b/>
                <w:bCs/>
                <w:szCs w:val="21"/>
                <w:lang w:val="en-US" w:eastAsia="zh-CN"/>
              </w:rPr>
              <w:t>一.</w:t>
            </w:r>
            <w:r>
              <w:rPr>
                <w:rFonts w:ascii="宋体" w:hAnsi="宋体" w:eastAsia="宋体" w:cs="Times New Roman"/>
                <w:b/>
                <w:bCs/>
                <w:szCs w:val="21"/>
              </w:rPr>
              <w:t>对本项目的理解和分析（</w:t>
            </w:r>
            <w:r>
              <w:rPr>
                <w:rFonts w:hint="eastAsia" w:ascii="宋体" w:hAnsi="宋体" w:cs="Times New Roman"/>
                <w:b/>
                <w:bCs/>
                <w:szCs w:val="21"/>
                <w:lang w:val="en-US" w:eastAsia="zh-CN"/>
              </w:rPr>
              <w:t>5</w:t>
            </w:r>
            <w:r>
              <w:rPr>
                <w:rFonts w:ascii="宋体" w:hAnsi="宋体" w:eastAsia="宋体" w:cs="Times New Roman"/>
                <w:b/>
                <w:bCs/>
                <w:szCs w:val="21"/>
              </w:rPr>
              <w:t>分）：</w:t>
            </w:r>
          </w:p>
          <w:p w14:paraId="6FD7CEE1">
            <w:pPr>
              <w:spacing w:line="360" w:lineRule="auto"/>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ascii="宋体" w:hAnsi="宋体" w:eastAsia="宋体" w:cs="Times New Roman"/>
                <w:szCs w:val="21"/>
              </w:rPr>
              <w:t>投标人对本项目各区域管理特点和规律的理解和分析</w:t>
            </w:r>
            <w:r>
              <w:rPr>
                <w:rFonts w:hint="eastAsia" w:ascii="宋体" w:hAnsi="宋体" w:eastAsia="宋体" w:cs="Times New Roman"/>
                <w:szCs w:val="21"/>
              </w:rPr>
              <w:t>，</w:t>
            </w:r>
            <w:r>
              <w:rPr>
                <w:rFonts w:ascii="宋体" w:hAnsi="宋体" w:eastAsia="宋体" w:cs="Times New Roman"/>
                <w:szCs w:val="21"/>
              </w:rPr>
              <w:t>分析</w:t>
            </w:r>
            <w:r>
              <w:rPr>
                <w:rFonts w:hint="eastAsia" w:ascii="宋体" w:hAnsi="宋体" w:cs="Times New Roman"/>
                <w:szCs w:val="21"/>
                <w:lang w:val="en-US" w:eastAsia="zh-CN"/>
              </w:rPr>
              <w:t>非常</w:t>
            </w:r>
            <w:r>
              <w:rPr>
                <w:rFonts w:ascii="宋体" w:hAnsi="宋体" w:eastAsia="宋体" w:cs="Times New Roman"/>
                <w:szCs w:val="21"/>
              </w:rPr>
              <w:t>全面、完整的</w:t>
            </w:r>
            <w:r>
              <w:rPr>
                <w:rFonts w:hint="eastAsia" w:ascii="宋体" w:hAnsi="宋体" w:cs="Times New Roman"/>
                <w:szCs w:val="21"/>
                <w:lang w:val="en-US" w:eastAsia="zh-CN"/>
              </w:rPr>
              <w:t>得5</w:t>
            </w:r>
            <w:r>
              <w:rPr>
                <w:rFonts w:ascii="宋体" w:hAnsi="宋体" w:eastAsia="宋体" w:cs="Times New Roman"/>
                <w:szCs w:val="21"/>
              </w:rPr>
              <w:t>分</w:t>
            </w:r>
            <w:r>
              <w:rPr>
                <w:rFonts w:hint="eastAsia" w:ascii="宋体" w:hAnsi="宋体" w:cs="Times New Roman"/>
                <w:szCs w:val="21"/>
                <w:lang w:eastAsia="zh-CN"/>
              </w:rPr>
              <w:t>；</w:t>
            </w:r>
          </w:p>
          <w:p w14:paraId="00FA8819">
            <w:pPr>
              <w:spacing w:line="360" w:lineRule="auto"/>
              <w:rPr>
                <w:rFonts w:hint="eastAsia" w:ascii="宋体" w:hAnsi="宋体" w:eastAsia="宋体" w:cs="Times New Roman"/>
                <w:szCs w:val="21"/>
                <w:lang w:eastAsia="zh-CN"/>
              </w:rPr>
            </w:pPr>
            <w:r>
              <w:rPr>
                <w:rFonts w:hint="eastAsia" w:ascii="宋体" w:hAnsi="宋体" w:cs="Times New Roman"/>
                <w:szCs w:val="21"/>
                <w:lang w:val="en-US" w:eastAsia="zh-CN"/>
              </w:rPr>
              <w:t>2、</w:t>
            </w:r>
            <w:r>
              <w:rPr>
                <w:rFonts w:ascii="宋体" w:hAnsi="宋体" w:eastAsia="宋体" w:cs="Times New Roman"/>
                <w:szCs w:val="21"/>
              </w:rPr>
              <w:t>分析</w:t>
            </w:r>
            <w:r>
              <w:rPr>
                <w:rFonts w:hint="eastAsia" w:ascii="宋体" w:hAnsi="宋体" w:eastAsia="宋体" w:cs="Times New Roman"/>
                <w:szCs w:val="21"/>
                <w:lang w:val="en-US" w:eastAsia="zh-CN"/>
              </w:rPr>
              <w:t>比较</w:t>
            </w:r>
            <w:r>
              <w:rPr>
                <w:rFonts w:ascii="宋体" w:hAnsi="宋体" w:eastAsia="宋体" w:cs="Times New Roman"/>
                <w:szCs w:val="21"/>
              </w:rPr>
              <w:t>全面、</w:t>
            </w:r>
            <w:r>
              <w:rPr>
                <w:rFonts w:hint="eastAsia" w:ascii="宋体" w:hAnsi="宋体" w:cs="Times New Roman"/>
                <w:szCs w:val="21"/>
                <w:lang w:val="en-US" w:eastAsia="zh-CN"/>
              </w:rPr>
              <w:t>较</w:t>
            </w:r>
            <w:r>
              <w:rPr>
                <w:rFonts w:ascii="宋体" w:hAnsi="宋体" w:eastAsia="宋体" w:cs="Times New Roman"/>
                <w:szCs w:val="21"/>
              </w:rPr>
              <w:t>完整的</w:t>
            </w:r>
            <w:r>
              <w:rPr>
                <w:rFonts w:hint="eastAsia" w:ascii="宋体" w:hAnsi="宋体" w:cs="Times New Roman"/>
                <w:szCs w:val="21"/>
                <w:lang w:val="en-US" w:eastAsia="zh-CN"/>
              </w:rPr>
              <w:t>得3</w:t>
            </w:r>
            <w:r>
              <w:rPr>
                <w:rFonts w:ascii="宋体" w:hAnsi="宋体" w:eastAsia="宋体" w:cs="Times New Roman"/>
                <w:szCs w:val="21"/>
              </w:rPr>
              <w:t>分</w:t>
            </w:r>
            <w:r>
              <w:rPr>
                <w:rFonts w:hint="eastAsia" w:ascii="宋体" w:hAnsi="宋体" w:cs="Times New Roman"/>
                <w:szCs w:val="21"/>
                <w:lang w:eastAsia="zh-CN"/>
              </w:rPr>
              <w:t>；</w:t>
            </w:r>
          </w:p>
          <w:p w14:paraId="41B2393F">
            <w:pPr>
              <w:spacing w:line="360" w:lineRule="auto"/>
              <w:rPr>
                <w:rFonts w:hint="eastAsia" w:ascii="宋体" w:hAnsi="宋体" w:eastAsia="宋体" w:cs="Times New Roman"/>
                <w:szCs w:val="21"/>
                <w:lang w:eastAsia="zh-CN"/>
              </w:rPr>
            </w:pPr>
            <w:r>
              <w:rPr>
                <w:rFonts w:hint="eastAsia" w:ascii="宋体" w:hAnsi="宋体" w:cs="Times New Roman"/>
                <w:szCs w:val="21"/>
                <w:lang w:val="en-US" w:eastAsia="zh-CN"/>
              </w:rPr>
              <w:t>3、</w:t>
            </w:r>
            <w:r>
              <w:rPr>
                <w:rFonts w:ascii="宋体" w:hAnsi="宋体" w:eastAsia="宋体" w:cs="Times New Roman"/>
                <w:szCs w:val="21"/>
              </w:rPr>
              <w:t>分析</w:t>
            </w:r>
            <w:r>
              <w:rPr>
                <w:rFonts w:hint="eastAsia" w:ascii="宋体" w:hAnsi="宋体" w:cs="Times New Roman"/>
                <w:szCs w:val="21"/>
                <w:lang w:val="en-US" w:eastAsia="zh-CN"/>
              </w:rPr>
              <w:t>基本完整</w:t>
            </w:r>
            <w:r>
              <w:rPr>
                <w:rFonts w:ascii="宋体" w:hAnsi="宋体" w:eastAsia="宋体" w:cs="Times New Roman"/>
                <w:szCs w:val="21"/>
              </w:rPr>
              <w:t>的</w:t>
            </w:r>
            <w:r>
              <w:rPr>
                <w:rFonts w:hint="eastAsia" w:ascii="宋体" w:hAnsi="宋体" w:cs="Times New Roman"/>
                <w:szCs w:val="21"/>
                <w:lang w:val="en-US" w:eastAsia="zh-CN"/>
              </w:rPr>
              <w:t>得2</w:t>
            </w:r>
            <w:r>
              <w:rPr>
                <w:rFonts w:ascii="宋体" w:hAnsi="宋体" w:eastAsia="宋体" w:cs="Times New Roman"/>
                <w:szCs w:val="21"/>
              </w:rPr>
              <w:t>分</w:t>
            </w:r>
            <w:r>
              <w:rPr>
                <w:rFonts w:hint="eastAsia" w:ascii="宋体" w:hAnsi="宋体" w:cs="Times New Roman"/>
                <w:szCs w:val="21"/>
                <w:lang w:eastAsia="zh-CN"/>
              </w:rPr>
              <w:t>；</w:t>
            </w:r>
          </w:p>
          <w:p w14:paraId="16B19AD6">
            <w:pPr>
              <w:spacing w:line="360" w:lineRule="auto"/>
              <w:rPr>
                <w:b/>
                <w:bCs/>
                <w:szCs w:val="20"/>
              </w:rPr>
            </w:pPr>
            <w:r>
              <w:rPr>
                <w:rFonts w:hint="eastAsia" w:ascii="宋体" w:hAnsi="宋体" w:cs="Times New Roman"/>
                <w:szCs w:val="21"/>
                <w:lang w:val="en-US" w:eastAsia="zh-CN"/>
              </w:rPr>
              <w:t>4、</w:t>
            </w:r>
            <w:r>
              <w:rPr>
                <w:rFonts w:hint="eastAsia" w:ascii="宋体" w:hAnsi="宋体" w:eastAsia="宋体" w:cs="Times New Roman"/>
                <w:szCs w:val="21"/>
              </w:rPr>
              <w:t>分析</w:t>
            </w:r>
            <w:r>
              <w:rPr>
                <w:rFonts w:hint="eastAsia" w:ascii="宋体" w:hAnsi="宋体" w:cs="Times New Roman"/>
                <w:szCs w:val="21"/>
                <w:lang w:val="en-US" w:eastAsia="zh-CN"/>
              </w:rPr>
              <w:t>有所欠缺的</w:t>
            </w:r>
            <w:r>
              <w:rPr>
                <w:rFonts w:hint="eastAsia" w:ascii="宋体" w:hAnsi="宋体" w:eastAsia="宋体" w:cs="Times New Roman"/>
                <w:szCs w:val="21"/>
              </w:rPr>
              <w:t>得</w:t>
            </w:r>
            <w:r>
              <w:rPr>
                <w:rFonts w:hint="eastAsia" w:ascii="宋体" w:hAnsi="宋体" w:cs="Times New Roman"/>
                <w:szCs w:val="21"/>
                <w:lang w:val="en-US" w:eastAsia="zh-CN"/>
              </w:rPr>
              <w:t>1</w:t>
            </w:r>
            <w:r>
              <w:rPr>
                <w:rFonts w:hint="eastAsia" w:ascii="宋体" w:hAnsi="宋体" w:eastAsia="宋体" w:cs="Times New Roman"/>
                <w:szCs w:val="21"/>
              </w:rPr>
              <w:t>分</w:t>
            </w:r>
            <w:r>
              <w:rPr>
                <w:rFonts w:ascii="宋体" w:hAnsi="宋体" w:eastAsia="宋体" w:cs="Times New Roman"/>
                <w:szCs w:val="21"/>
              </w:rPr>
              <w:t>。</w:t>
            </w:r>
          </w:p>
        </w:tc>
        <w:tc>
          <w:tcPr>
            <w:tcW w:w="742" w:type="dxa"/>
            <w:tcBorders>
              <w:top w:val="single" w:color="auto" w:sz="4" w:space="0"/>
            </w:tcBorders>
            <w:vAlign w:val="center"/>
          </w:tcPr>
          <w:p w14:paraId="60E29273">
            <w:pPr>
              <w:spacing w:line="360" w:lineRule="auto"/>
              <w:ind w:firstLine="210" w:firstLineChars="100"/>
              <w:rPr>
                <w:rFonts w:ascii="宋体" w:hAnsi="宋体" w:cs="宋体"/>
                <w:szCs w:val="21"/>
              </w:rPr>
            </w:pPr>
          </w:p>
        </w:tc>
      </w:tr>
      <w:tr w14:paraId="5B40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36" w:type="dxa"/>
            <w:vMerge w:val="continue"/>
            <w:vAlign w:val="center"/>
          </w:tcPr>
          <w:p w14:paraId="25DE73E0">
            <w:pPr>
              <w:spacing w:line="360" w:lineRule="auto"/>
              <w:jc w:val="center"/>
              <w:rPr>
                <w:rFonts w:ascii="宋体" w:hAnsi="宋体" w:cs="宋体"/>
                <w:szCs w:val="21"/>
              </w:rPr>
            </w:pPr>
          </w:p>
        </w:tc>
        <w:tc>
          <w:tcPr>
            <w:tcW w:w="973" w:type="dxa"/>
            <w:vMerge w:val="continue"/>
            <w:vAlign w:val="center"/>
          </w:tcPr>
          <w:p w14:paraId="37E91831">
            <w:pPr>
              <w:spacing w:line="360" w:lineRule="auto"/>
              <w:jc w:val="center"/>
              <w:rPr>
                <w:szCs w:val="20"/>
                <w:highlight w:val="yellow"/>
              </w:rPr>
            </w:pPr>
          </w:p>
        </w:tc>
        <w:tc>
          <w:tcPr>
            <w:tcW w:w="6916" w:type="dxa"/>
            <w:tcBorders>
              <w:top w:val="single" w:color="auto" w:sz="4" w:space="0"/>
              <w:bottom w:val="single" w:color="auto" w:sz="4" w:space="0"/>
            </w:tcBorders>
            <w:vAlign w:val="center"/>
          </w:tcPr>
          <w:p w14:paraId="6CAAD9AA">
            <w:pPr>
              <w:spacing w:line="360" w:lineRule="auto"/>
              <w:rPr>
                <w:rFonts w:ascii="宋体" w:hAnsi="宋体" w:eastAsia="宋体" w:cs="Times New Roman"/>
                <w:b/>
                <w:bCs/>
                <w:szCs w:val="21"/>
              </w:rPr>
            </w:pPr>
            <w:r>
              <w:rPr>
                <w:rFonts w:hint="eastAsia" w:ascii="宋体" w:hAnsi="宋体" w:cs="Times New Roman"/>
                <w:b/>
                <w:bCs/>
                <w:szCs w:val="21"/>
                <w:lang w:val="en-US" w:eastAsia="zh-CN"/>
              </w:rPr>
              <w:t>二．</w:t>
            </w:r>
            <w:r>
              <w:rPr>
                <w:rFonts w:ascii="宋体" w:hAnsi="宋体" w:eastAsia="宋体" w:cs="Times New Roman"/>
                <w:b/>
                <w:bCs/>
                <w:szCs w:val="21"/>
              </w:rPr>
              <w:t>日常管理方案（</w:t>
            </w:r>
            <w:r>
              <w:rPr>
                <w:rFonts w:hint="eastAsia" w:ascii="宋体" w:hAnsi="宋体" w:cs="Times New Roman"/>
                <w:b/>
                <w:bCs/>
                <w:szCs w:val="21"/>
                <w:lang w:val="en-US" w:eastAsia="zh-CN"/>
              </w:rPr>
              <w:t>5</w:t>
            </w:r>
            <w:r>
              <w:rPr>
                <w:rFonts w:ascii="宋体" w:hAnsi="宋体" w:eastAsia="宋体" w:cs="Times New Roman"/>
                <w:b/>
                <w:bCs/>
                <w:szCs w:val="21"/>
              </w:rPr>
              <w:t>分）：</w:t>
            </w:r>
          </w:p>
          <w:p w14:paraId="2F544655">
            <w:pPr>
              <w:spacing w:line="360" w:lineRule="auto"/>
              <w:rPr>
                <w:rFonts w:hint="eastAsia" w:ascii="宋体" w:hAnsi="宋体" w:cs="Times New Roman"/>
                <w:szCs w:val="21"/>
                <w:lang w:eastAsia="zh-CN"/>
              </w:rPr>
            </w:pPr>
            <w:r>
              <w:rPr>
                <w:rFonts w:hint="eastAsia" w:ascii="宋体" w:hAnsi="宋体" w:cs="Times New Roman"/>
                <w:szCs w:val="21"/>
                <w:lang w:val="en-US" w:eastAsia="zh-CN"/>
              </w:rPr>
              <w:t>1、</w:t>
            </w:r>
            <w:r>
              <w:rPr>
                <w:rFonts w:ascii="宋体" w:hAnsi="宋体" w:eastAsia="宋体" w:cs="Times New Roman"/>
                <w:szCs w:val="21"/>
              </w:rPr>
              <w:t>日常管理方案完整全面，</w:t>
            </w:r>
            <w:r>
              <w:rPr>
                <w:rFonts w:hint="eastAsia" w:ascii="宋体" w:hAnsi="宋体" w:eastAsia="宋体" w:cs="Times New Roman"/>
                <w:szCs w:val="21"/>
              </w:rPr>
              <w:t>完全满足招标文件的要求</w:t>
            </w:r>
            <w:r>
              <w:rPr>
                <w:rFonts w:hint="eastAsia" w:ascii="宋体" w:hAnsi="宋体" w:cs="Times New Roman"/>
                <w:szCs w:val="21"/>
                <w:lang w:val="en-US" w:eastAsia="zh-CN"/>
              </w:rPr>
              <w:t>的得5</w:t>
            </w:r>
            <w:r>
              <w:rPr>
                <w:rFonts w:ascii="宋体" w:hAnsi="宋体" w:eastAsia="宋体" w:cs="Times New Roman"/>
                <w:szCs w:val="21"/>
              </w:rPr>
              <w:t>分</w:t>
            </w:r>
            <w:r>
              <w:rPr>
                <w:rFonts w:hint="eastAsia" w:ascii="宋体" w:hAnsi="宋体" w:cs="Times New Roman"/>
                <w:szCs w:val="21"/>
                <w:lang w:eastAsia="zh-CN"/>
              </w:rPr>
              <w:t>；</w:t>
            </w:r>
          </w:p>
          <w:p w14:paraId="26259439">
            <w:pPr>
              <w:spacing w:line="360" w:lineRule="auto"/>
              <w:rPr>
                <w:rFonts w:hint="eastAsia" w:ascii="宋体" w:hAnsi="宋体" w:eastAsia="宋体" w:cs="Times New Roman"/>
                <w:szCs w:val="21"/>
                <w:lang w:val="en-US" w:eastAsia="zh-CN"/>
              </w:rPr>
            </w:pPr>
            <w:r>
              <w:rPr>
                <w:rFonts w:hint="eastAsia" w:ascii="宋体" w:hAnsi="宋体" w:cs="Times New Roman"/>
                <w:szCs w:val="21"/>
                <w:lang w:val="en-US" w:eastAsia="zh-CN"/>
              </w:rPr>
              <w:t>2、日常</w:t>
            </w:r>
            <w:r>
              <w:rPr>
                <w:rFonts w:ascii="宋体" w:hAnsi="宋体" w:eastAsia="宋体" w:cs="Times New Roman"/>
                <w:szCs w:val="21"/>
              </w:rPr>
              <w:t>方案相对完整，</w:t>
            </w:r>
            <w:r>
              <w:rPr>
                <w:rFonts w:hint="eastAsia" w:ascii="宋体" w:hAnsi="宋体" w:cs="Times New Roman"/>
                <w:szCs w:val="21"/>
                <w:lang w:val="en-US" w:eastAsia="zh-CN"/>
              </w:rPr>
              <w:t>比较</w:t>
            </w:r>
            <w:r>
              <w:rPr>
                <w:rFonts w:hint="eastAsia" w:ascii="宋体" w:hAnsi="宋体" w:eastAsia="宋体" w:cs="Times New Roman"/>
                <w:szCs w:val="21"/>
              </w:rPr>
              <w:t>满足招标文件要求</w:t>
            </w:r>
            <w:r>
              <w:rPr>
                <w:rFonts w:hint="eastAsia" w:ascii="宋体" w:hAnsi="宋体" w:cs="Times New Roman"/>
                <w:szCs w:val="21"/>
                <w:lang w:val="en-US" w:eastAsia="zh-CN"/>
              </w:rPr>
              <w:t>的得3分；</w:t>
            </w:r>
          </w:p>
          <w:p w14:paraId="60BBD0C9">
            <w:pPr>
              <w:spacing w:line="360" w:lineRule="auto"/>
              <w:rPr>
                <w:rFonts w:hint="eastAsia" w:ascii="宋体" w:hAnsi="宋体" w:cs="Times New Roman"/>
                <w:szCs w:val="21"/>
                <w:lang w:eastAsia="zh-CN"/>
              </w:rPr>
            </w:pPr>
            <w:r>
              <w:rPr>
                <w:rFonts w:hint="eastAsia" w:ascii="宋体" w:hAnsi="宋体" w:cs="Times New Roman"/>
                <w:szCs w:val="21"/>
                <w:lang w:val="en-US" w:eastAsia="zh-CN"/>
              </w:rPr>
              <w:t>3、日常</w:t>
            </w:r>
            <w:r>
              <w:rPr>
                <w:rFonts w:ascii="宋体" w:hAnsi="宋体" w:eastAsia="宋体" w:cs="Times New Roman"/>
                <w:szCs w:val="21"/>
              </w:rPr>
              <w:t>方案完整性较差，</w:t>
            </w:r>
            <w:r>
              <w:rPr>
                <w:rFonts w:hint="eastAsia" w:ascii="宋体" w:hAnsi="宋体" w:eastAsia="宋体" w:cs="Times New Roman"/>
                <w:szCs w:val="21"/>
              </w:rPr>
              <w:t>内容简单</w:t>
            </w:r>
            <w:r>
              <w:rPr>
                <w:rFonts w:hint="eastAsia" w:ascii="宋体" w:hAnsi="宋体" w:cs="Times New Roman"/>
                <w:szCs w:val="21"/>
                <w:lang w:val="en-US" w:eastAsia="zh-CN"/>
              </w:rPr>
              <w:t>的得2</w:t>
            </w:r>
            <w:r>
              <w:rPr>
                <w:rFonts w:ascii="宋体" w:hAnsi="宋体" w:eastAsia="宋体" w:cs="Times New Roman"/>
                <w:szCs w:val="21"/>
              </w:rPr>
              <w:t>分</w:t>
            </w:r>
            <w:r>
              <w:rPr>
                <w:rFonts w:hint="eastAsia" w:ascii="宋体" w:hAnsi="宋体" w:cs="Times New Roman"/>
                <w:szCs w:val="21"/>
                <w:lang w:eastAsia="zh-CN"/>
              </w:rPr>
              <w:t>；</w:t>
            </w:r>
          </w:p>
          <w:p w14:paraId="66699F37">
            <w:pPr>
              <w:spacing w:line="360" w:lineRule="auto"/>
              <w:rPr>
                <w:rFonts w:hint="default"/>
                <w:lang w:val="en-US" w:eastAsia="zh-CN"/>
              </w:rPr>
            </w:pPr>
            <w:r>
              <w:rPr>
                <w:rFonts w:hint="eastAsia" w:ascii="宋体" w:hAnsi="宋体" w:cs="Times New Roman"/>
                <w:szCs w:val="21"/>
                <w:lang w:val="en-US" w:eastAsia="zh-CN"/>
              </w:rPr>
              <w:t>4、日常</w:t>
            </w:r>
            <w:r>
              <w:rPr>
                <w:rFonts w:ascii="宋体" w:hAnsi="宋体" w:eastAsia="宋体" w:cs="Times New Roman"/>
                <w:szCs w:val="21"/>
              </w:rPr>
              <w:t>方案</w:t>
            </w:r>
            <w:r>
              <w:rPr>
                <w:rFonts w:hint="eastAsia" w:ascii="宋体" w:hAnsi="宋体" w:eastAsia="宋体" w:cs="Times New Roman"/>
                <w:szCs w:val="21"/>
              </w:rPr>
              <w:t>完全不满足招标文件的要求或未提及不得分</w:t>
            </w:r>
            <w:r>
              <w:rPr>
                <w:rFonts w:ascii="宋体" w:hAnsi="宋体" w:eastAsia="宋体" w:cs="Times New Roman"/>
                <w:szCs w:val="21"/>
              </w:rPr>
              <w:t>。</w:t>
            </w:r>
          </w:p>
        </w:tc>
        <w:tc>
          <w:tcPr>
            <w:tcW w:w="742" w:type="dxa"/>
            <w:tcBorders>
              <w:top w:val="single" w:color="auto" w:sz="4" w:space="0"/>
              <w:bottom w:val="single" w:color="auto" w:sz="4" w:space="0"/>
            </w:tcBorders>
            <w:vAlign w:val="center"/>
          </w:tcPr>
          <w:p w14:paraId="268B4165">
            <w:pPr>
              <w:spacing w:line="360" w:lineRule="auto"/>
              <w:ind w:firstLine="210" w:firstLineChars="100"/>
              <w:rPr>
                <w:rFonts w:ascii="宋体" w:hAnsi="宋体" w:cs="宋体"/>
                <w:szCs w:val="21"/>
                <w:highlight w:val="yellow"/>
              </w:rPr>
            </w:pPr>
          </w:p>
        </w:tc>
      </w:tr>
      <w:tr w14:paraId="5C2A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636" w:type="dxa"/>
            <w:vMerge w:val="continue"/>
            <w:vAlign w:val="center"/>
          </w:tcPr>
          <w:p w14:paraId="130AA255">
            <w:pPr>
              <w:spacing w:line="360" w:lineRule="auto"/>
              <w:jc w:val="center"/>
              <w:rPr>
                <w:rFonts w:ascii="宋体" w:hAnsi="宋体" w:cs="宋体"/>
                <w:szCs w:val="21"/>
              </w:rPr>
            </w:pPr>
          </w:p>
        </w:tc>
        <w:tc>
          <w:tcPr>
            <w:tcW w:w="973" w:type="dxa"/>
            <w:vMerge w:val="continue"/>
            <w:vAlign w:val="center"/>
          </w:tcPr>
          <w:p w14:paraId="7DB3F8B7">
            <w:pPr>
              <w:spacing w:line="360" w:lineRule="auto"/>
              <w:jc w:val="center"/>
              <w:rPr>
                <w:szCs w:val="20"/>
              </w:rPr>
            </w:pPr>
          </w:p>
        </w:tc>
        <w:tc>
          <w:tcPr>
            <w:tcW w:w="6916" w:type="dxa"/>
            <w:tcBorders>
              <w:top w:val="single" w:color="auto" w:sz="4" w:space="0"/>
              <w:bottom w:val="single" w:color="auto" w:sz="4" w:space="0"/>
            </w:tcBorders>
            <w:vAlign w:val="center"/>
          </w:tcPr>
          <w:p w14:paraId="3DA89695">
            <w:pPr>
              <w:spacing w:line="360" w:lineRule="auto"/>
              <w:rPr>
                <w:rFonts w:ascii="宋体" w:hAnsi="宋体" w:eastAsia="宋体" w:cs="Times New Roman"/>
                <w:b/>
                <w:bCs/>
                <w:szCs w:val="21"/>
                <w:highlight w:val="none"/>
              </w:rPr>
            </w:pPr>
            <w:r>
              <w:rPr>
                <w:rFonts w:hint="eastAsia" w:ascii="宋体" w:hAnsi="宋体" w:cs="Times New Roman"/>
                <w:b/>
                <w:bCs/>
                <w:szCs w:val="21"/>
                <w:highlight w:val="none"/>
                <w:lang w:val="en-US" w:eastAsia="zh-CN"/>
              </w:rPr>
              <w:t>三.</w:t>
            </w:r>
            <w:r>
              <w:rPr>
                <w:rFonts w:ascii="宋体" w:hAnsi="宋体" w:eastAsia="宋体" w:cs="Times New Roman"/>
                <w:b/>
                <w:bCs/>
                <w:szCs w:val="21"/>
                <w:highlight w:val="none"/>
              </w:rPr>
              <w:t>实施方案（</w:t>
            </w:r>
            <w:r>
              <w:rPr>
                <w:rFonts w:hint="eastAsia" w:ascii="宋体" w:hAnsi="宋体" w:cs="Times New Roman"/>
                <w:b/>
                <w:bCs/>
                <w:szCs w:val="21"/>
                <w:highlight w:val="none"/>
                <w:lang w:val="en-US" w:eastAsia="zh-CN"/>
              </w:rPr>
              <w:t>8</w:t>
            </w:r>
            <w:r>
              <w:rPr>
                <w:rFonts w:ascii="宋体" w:hAnsi="宋体" w:eastAsia="宋体" w:cs="Times New Roman"/>
                <w:b/>
                <w:bCs/>
                <w:szCs w:val="21"/>
                <w:highlight w:val="none"/>
              </w:rPr>
              <w:t>分）：</w:t>
            </w:r>
          </w:p>
          <w:p w14:paraId="58B29591">
            <w:pPr>
              <w:widowControl/>
              <w:spacing w:line="360" w:lineRule="auto"/>
              <w:textAlignment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为保障</w:t>
            </w:r>
            <w:r>
              <w:rPr>
                <w:rFonts w:hint="eastAsia" w:ascii="宋体" w:hAnsi="宋体" w:eastAsia="宋体" w:cs="宋体"/>
                <w:b/>
                <w:bCs/>
                <w:kern w:val="0"/>
                <w:szCs w:val="21"/>
                <w:highlight w:val="none"/>
                <w:lang w:val="en-US" w:eastAsia="zh-CN"/>
              </w:rPr>
              <w:t>实施</w:t>
            </w:r>
            <w:r>
              <w:rPr>
                <w:rFonts w:hint="eastAsia" w:ascii="宋体" w:hAnsi="宋体" w:eastAsia="宋体" w:cs="宋体"/>
                <w:b/>
                <w:bCs/>
                <w:kern w:val="0"/>
                <w:szCs w:val="21"/>
                <w:highlight w:val="none"/>
              </w:rPr>
              <w:t>方案可行性、合规性及可落地性，保障项目可稳定有效进行，对投标人所提供的</w:t>
            </w:r>
            <w:r>
              <w:rPr>
                <w:rFonts w:hint="eastAsia" w:ascii="宋体" w:hAnsi="宋体" w:eastAsia="宋体" w:cs="宋体"/>
                <w:b/>
                <w:bCs/>
                <w:kern w:val="0"/>
                <w:szCs w:val="21"/>
                <w:highlight w:val="none"/>
                <w:lang w:val="en-US" w:eastAsia="zh-CN"/>
              </w:rPr>
              <w:t>实施</w:t>
            </w:r>
            <w:r>
              <w:rPr>
                <w:rFonts w:hint="eastAsia" w:ascii="宋体" w:hAnsi="宋体" w:eastAsia="宋体" w:cs="宋体"/>
                <w:b/>
                <w:bCs/>
                <w:kern w:val="0"/>
                <w:szCs w:val="21"/>
                <w:highlight w:val="none"/>
              </w:rPr>
              <w:t>方案进行</w:t>
            </w:r>
            <w:r>
              <w:rPr>
                <w:rFonts w:hint="eastAsia" w:ascii="宋体" w:hAnsi="宋体" w:eastAsia="宋体" w:cs="宋体"/>
                <w:b/>
                <w:bCs/>
                <w:kern w:val="0"/>
                <w:szCs w:val="21"/>
                <w:highlight w:val="none"/>
                <w:lang w:val="en-US" w:eastAsia="zh-CN"/>
              </w:rPr>
              <w:t>评分。</w:t>
            </w:r>
          </w:p>
          <w:p w14:paraId="7970ABC2">
            <w:pPr>
              <w:widowControl/>
              <w:numPr>
                <w:ilvl w:val="0"/>
                <w:numId w:val="11"/>
              </w:numPr>
              <w:spacing w:line="360" w:lineRule="auto"/>
              <w:textAlignment w:val="center"/>
              <w:rPr>
                <w:rFonts w:hint="eastAsia" w:ascii="宋体" w:hAnsi="宋体" w:eastAsia="宋体" w:cs="宋体"/>
                <w:kern w:val="0"/>
                <w:szCs w:val="21"/>
                <w:highlight w:val="none"/>
              </w:rPr>
            </w:pPr>
            <w:r>
              <w:rPr>
                <w:rFonts w:ascii="宋体" w:hAnsi="宋体" w:eastAsia="宋体" w:cs="宋体"/>
                <w:kern w:val="0"/>
                <w:szCs w:val="21"/>
                <w:highlight w:val="none"/>
              </w:rPr>
              <w:t>技术方案完整全面，</w:t>
            </w:r>
            <w:r>
              <w:rPr>
                <w:rFonts w:hint="eastAsia" w:ascii="宋体" w:hAnsi="宋体" w:eastAsia="宋体" w:cs="宋体"/>
                <w:kern w:val="0"/>
                <w:szCs w:val="21"/>
                <w:highlight w:val="none"/>
              </w:rPr>
              <w:t>得</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分；</w:t>
            </w:r>
          </w:p>
          <w:p w14:paraId="284EA45C">
            <w:pPr>
              <w:widowControl/>
              <w:numPr>
                <w:ilvl w:val="0"/>
                <w:numId w:val="11"/>
              </w:numPr>
              <w:spacing w:line="360" w:lineRule="auto"/>
              <w:ind w:left="0" w:leftChars="0" w:firstLine="0" w:firstLineChars="0"/>
              <w:textAlignment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技术方案</w:t>
            </w:r>
            <w:r>
              <w:rPr>
                <w:rFonts w:hint="eastAsia" w:ascii="宋体" w:hAnsi="宋体" w:eastAsia="宋体" w:cs="Times New Roman"/>
                <w:szCs w:val="21"/>
                <w:highlight w:val="none"/>
                <w:lang w:val="en-US" w:eastAsia="zh-CN"/>
              </w:rPr>
              <w:t>基本</w:t>
            </w:r>
            <w:r>
              <w:rPr>
                <w:rFonts w:hint="eastAsia" w:ascii="宋体" w:hAnsi="宋体" w:eastAsia="宋体" w:cs="Times New Roman"/>
                <w:szCs w:val="21"/>
                <w:highlight w:val="none"/>
              </w:rPr>
              <w:t>完整全面，得</w:t>
            </w:r>
            <w:r>
              <w:rPr>
                <w:rFonts w:hint="eastAsia" w:ascii="宋体" w:hAnsi="宋体" w:cs="Times New Roman"/>
                <w:szCs w:val="21"/>
                <w:highlight w:val="none"/>
                <w:lang w:val="en-US" w:eastAsia="zh-CN"/>
              </w:rPr>
              <w:t>6</w:t>
            </w:r>
            <w:r>
              <w:rPr>
                <w:rFonts w:hint="eastAsia" w:ascii="宋体" w:hAnsi="宋体" w:eastAsia="宋体" w:cs="Times New Roman"/>
                <w:szCs w:val="21"/>
                <w:highlight w:val="none"/>
              </w:rPr>
              <w:t>分；</w:t>
            </w:r>
          </w:p>
          <w:p w14:paraId="09D32BD7">
            <w:pPr>
              <w:widowControl/>
              <w:numPr>
                <w:ilvl w:val="0"/>
                <w:numId w:val="11"/>
              </w:numPr>
              <w:spacing w:line="360" w:lineRule="auto"/>
              <w:ind w:left="0" w:leftChars="0" w:firstLine="0" w:firstLineChars="0"/>
              <w:textAlignment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技术方案有所欠缺的得</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分；</w:t>
            </w:r>
          </w:p>
          <w:p w14:paraId="277C9488">
            <w:pPr>
              <w:numPr>
                <w:ilvl w:val="0"/>
                <w:numId w:val="11"/>
              </w:numPr>
              <w:spacing w:line="360" w:lineRule="auto"/>
              <w:ind w:left="0" w:leftChars="0" w:firstLine="0" w:firstLineChars="0"/>
            </w:pPr>
            <w:r>
              <w:rPr>
                <w:rFonts w:ascii="Times New Roman" w:hAnsi="Times New Roman" w:eastAsia="宋体" w:cs="Times New Roman"/>
                <w:highlight w:val="none"/>
              </w:rPr>
              <w:t>技术</w:t>
            </w:r>
            <w:r>
              <w:rPr>
                <w:rFonts w:hint="eastAsia" w:ascii="Times New Roman" w:hAnsi="Times New Roman" w:eastAsia="宋体" w:cs="Times New Roman"/>
                <w:highlight w:val="none"/>
              </w:rPr>
              <w:t>方案无法满足招标文件要求的，不得分。</w:t>
            </w:r>
          </w:p>
        </w:tc>
        <w:tc>
          <w:tcPr>
            <w:tcW w:w="742" w:type="dxa"/>
            <w:tcBorders>
              <w:top w:val="single" w:color="auto" w:sz="4" w:space="0"/>
              <w:bottom w:val="single" w:color="auto" w:sz="4" w:space="0"/>
            </w:tcBorders>
            <w:vAlign w:val="center"/>
          </w:tcPr>
          <w:p w14:paraId="5797063E">
            <w:pPr>
              <w:spacing w:line="360" w:lineRule="auto"/>
              <w:ind w:firstLine="210" w:firstLineChars="100"/>
              <w:rPr>
                <w:rFonts w:ascii="宋体" w:hAnsi="宋体" w:cs="宋体"/>
                <w:kern w:val="0"/>
                <w:szCs w:val="21"/>
                <w:lang w:bidi="ar"/>
              </w:rPr>
            </w:pPr>
          </w:p>
        </w:tc>
      </w:tr>
      <w:tr w14:paraId="79F7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36" w:type="dxa"/>
            <w:vMerge w:val="continue"/>
            <w:vAlign w:val="center"/>
          </w:tcPr>
          <w:p w14:paraId="3FDBE53A">
            <w:pPr>
              <w:spacing w:line="360" w:lineRule="auto"/>
              <w:jc w:val="center"/>
              <w:rPr>
                <w:rFonts w:ascii="宋体" w:hAnsi="宋体" w:cs="宋体"/>
                <w:szCs w:val="21"/>
              </w:rPr>
            </w:pPr>
          </w:p>
        </w:tc>
        <w:tc>
          <w:tcPr>
            <w:tcW w:w="973" w:type="dxa"/>
            <w:vMerge w:val="continue"/>
            <w:vAlign w:val="center"/>
          </w:tcPr>
          <w:p w14:paraId="43F5ED9D">
            <w:pPr>
              <w:spacing w:line="360" w:lineRule="auto"/>
              <w:jc w:val="center"/>
              <w:rPr>
                <w:szCs w:val="20"/>
              </w:rPr>
            </w:pPr>
          </w:p>
        </w:tc>
        <w:tc>
          <w:tcPr>
            <w:tcW w:w="6916" w:type="dxa"/>
            <w:tcBorders>
              <w:top w:val="single" w:color="auto" w:sz="4" w:space="0"/>
            </w:tcBorders>
            <w:vAlign w:val="center"/>
          </w:tcPr>
          <w:p w14:paraId="620D8DCF">
            <w:pPr>
              <w:spacing w:line="360" w:lineRule="auto"/>
              <w:rPr>
                <w:rFonts w:ascii="宋体" w:hAnsi="宋体" w:eastAsia="宋体" w:cs="Times New Roman"/>
                <w:b/>
                <w:bCs/>
                <w:szCs w:val="21"/>
              </w:rPr>
            </w:pPr>
            <w:r>
              <w:rPr>
                <w:rFonts w:hint="eastAsia" w:ascii="宋体" w:hAnsi="宋体" w:cs="Times New Roman"/>
                <w:b/>
                <w:bCs/>
                <w:szCs w:val="21"/>
                <w:lang w:val="en-US" w:eastAsia="zh-CN"/>
              </w:rPr>
              <w:t>四</w:t>
            </w:r>
            <w:r>
              <w:rPr>
                <w:rFonts w:hint="eastAsia" w:ascii="宋体" w:hAnsi="宋体" w:eastAsia="宋体" w:cs="Times New Roman"/>
                <w:b/>
                <w:bCs/>
                <w:szCs w:val="21"/>
              </w:rPr>
              <w:t>.</w:t>
            </w:r>
            <w:r>
              <w:rPr>
                <w:rFonts w:ascii="宋体" w:hAnsi="宋体" w:eastAsia="宋体" w:cs="Times New Roman"/>
                <w:b/>
                <w:bCs/>
                <w:szCs w:val="21"/>
              </w:rPr>
              <w:t>项目重点难点分析及解决方案（</w:t>
            </w:r>
            <w:r>
              <w:rPr>
                <w:rFonts w:hint="eastAsia" w:ascii="宋体" w:hAnsi="宋体" w:cs="Times New Roman"/>
                <w:b/>
                <w:bCs/>
                <w:szCs w:val="21"/>
                <w:lang w:val="en-US" w:eastAsia="zh-CN"/>
              </w:rPr>
              <w:t>8</w:t>
            </w:r>
            <w:r>
              <w:rPr>
                <w:rFonts w:ascii="宋体" w:hAnsi="宋体" w:eastAsia="宋体" w:cs="Times New Roman"/>
                <w:b/>
                <w:bCs/>
                <w:szCs w:val="21"/>
              </w:rPr>
              <w:t>分）：</w:t>
            </w:r>
          </w:p>
          <w:p w14:paraId="5B13A34B">
            <w:pPr>
              <w:spacing w:line="360" w:lineRule="auto"/>
              <w:rPr>
                <w:rFonts w:hint="eastAsia" w:ascii="宋体" w:hAnsi="宋体" w:eastAsia="宋体" w:cs="Times New Roman"/>
                <w:b/>
                <w:bCs/>
                <w:szCs w:val="21"/>
              </w:rPr>
            </w:pPr>
            <w:r>
              <w:rPr>
                <w:rFonts w:ascii="宋体" w:hAnsi="宋体" w:eastAsia="宋体" w:cs="Times New Roman"/>
                <w:b/>
                <w:bCs/>
                <w:szCs w:val="21"/>
              </w:rPr>
              <w:t>投标人对本项目现状、存在的问题和难点、要点等问题的分析、调查</w:t>
            </w:r>
            <w:r>
              <w:rPr>
                <w:rFonts w:hint="eastAsia" w:ascii="宋体" w:hAnsi="宋体" w:eastAsia="宋体" w:cs="Times New Roman"/>
                <w:b/>
                <w:bCs/>
                <w:szCs w:val="21"/>
              </w:rPr>
              <w:t>。</w:t>
            </w:r>
          </w:p>
          <w:p w14:paraId="1D26DE8A">
            <w:pPr>
              <w:spacing w:line="360" w:lineRule="auto"/>
              <w:rPr>
                <w:rFonts w:ascii="宋体" w:hAnsi="宋体" w:eastAsia="宋体" w:cs="Times New Roman"/>
                <w:szCs w:val="21"/>
              </w:rPr>
            </w:pPr>
            <w:r>
              <w:rPr>
                <w:rFonts w:hint="eastAsia" w:ascii="宋体" w:hAnsi="宋体" w:cs="Times New Roman"/>
                <w:b w:val="0"/>
                <w:bCs w:val="0"/>
                <w:szCs w:val="21"/>
                <w:lang w:val="en-US" w:eastAsia="zh-CN"/>
              </w:rPr>
              <w:t>1、</w:t>
            </w:r>
            <w:r>
              <w:rPr>
                <w:rFonts w:hint="eastAsia" w:ascii="宋体" w:hAnsi="宋体" w:eastAsia="宋体" w:cs="Times New Roman"/>
                <w:szCs w:val="21"/>
              </w:rPr>
              <w:t>分析深刻透彻，有针对性，有清晰</w:t>
            </w:r>
            <w:r>
              <w:rPr>
                <w:rFonts w:hint="eastAsia" w:ascii="宋体" w:hAnsi="宋体" w:cs="Times New Roman"/>
                <w:szCs w:val="21"/>
                <w:lang w:val="en-US" w:eastAsia="zh-CN"/>
              </w:rPr>
              <w:t>详尽的</w:t>
            </w:r>
            <w:r>
              <w:rPr>
                <w:rFonts w:hint="eastAsia" w:ascii="宋体" w:hAnsi="宋体" w:eastAsia="宋体" w:cs="Times New Roman"/>
                <w:szCs w:val="21"/>
              </w:rPr>
              <w:t>处理方法</w:t>
            </w:r>
            <w:r>
              <w:rPr>
                <w:rFonts w:hint="eastAsia" w:ascii="宋体" w:hAnsi="宋体" w:cs="Times New Roman"/>
                <w:szCs w:val="21"/>
                <w:lang w:val="en-US" w:eastAsia="zh-CN"/>
              </w:rPr>
              <w:t>的，得8</w:t>
            </w:r>
            <w:r>
              <w:rPr>
                <w:rFonts w:ascii="宋体" w:hAnsi="宋体" w:eastAsia="宋体" w:cs="Times New Roman"/>
                <w:szCs w:val="21"/>
              </w:rPr>
              <w:t>分；</w:t>
            </w:r>
          </w:p>
          <w:p w14:paraId="2319CE4C">
            <w:pPr>
              <w:spacing w:line="360" w:lineRule="auto"/>
              <w:rPr>
                <w:rFonts w:ascii="宋体" w:hAnsi="宋体" w:eastAsia="宋体" w:cs="Times New Roman"/>
                <w:szCs w:val="21"/>
              </w:rPr>
            </w:pPr>
            <w:r>
              <w:rPr>
                <w:rFonts w:hint="eastAsia" w:ascii="宋体" w:hAnsi="宋体" w:cs="Times New Roman"/>
                <w:szCs w:val="21"/>
                <w:lang w:val="en-US" w:eastAsia="zh-CN"/>
              </w:rPr>
              <w:t>2、</w:t>
            </w:r>
            <w:r>
              <w:rPr>
                <w:rFonts w:hint="eastAsia" w:ascii="宋体" w:hAnsi="宋体" w:eastAsia="宋体" w:cs="Times New Roman"/>
                <w:szCs w:val="21"/>
              </w:rPr>
              <w:t>分析基本合理、内容简单，处理方法阐述</w:t>
            </w:r>
            <w:r>
              <w:rPr>
                <w:rFonts w:hint="eastAsia" w:ascii="宋体" w:hAnsi="宋体" w:cs="Times New Roman"/>
                <w:szCs w:val="21"/>
                <w:lang w:val="en-US" w:eastAsia="zh-CN"/>
              </w:rPr>
              <w:t>比较</w:t>
            </w:r>
            <w:r>
              <w:rPr>
                <w:rFonts w:hint="eastAsia" w:ascii="宋体" w:hAnsi="宋体" w:eastAsia="宋体" w:cs="Times New Roman"/>
                <w:szCs w:val="21"/>
              </w:rPr>
              <w:t>详尽</w:t>
            </w:r>
            <w:r>
              <w:rPr>
                <w:rFonts w:hint="eastAsia" w:ascii="宋体" w:hAnsi="宋体" w:cs="Times New Roman"/>
                <w:szCs w:val="21"/>
                <w:lang w:val="en-US" w:eastAsia="zh-CN"/>
              </w:rPr>
              <w:t>的得6</w:t>
            </w:r>
            <w:r>
              <w:rPr>
                <w:rFonts w:ascii="宋体" w:hAnsi="宋体" w:eastAsia="宋体" w:cs="Times New Roman"/>
                <w:szCs w:val="21"/>
              </w:rPr>
              <w:t>分；</w:t>
            </w:r>
          </w:p>
          <w:p w14:paraId="7B1AB239">
            <w:pPr>
              <w:spacing w:line="360" w:lineRule="auto"/>
              <w:rPr>
                <w:rFonts w:ascii="宋体" w:hAnsi="宋体" w:eastAsia="宋体" w:cs="Times New Roman"/>
                <w:szCs w:val="21"/>
              </w:rPr>
            </w:pPr>
            <w:r>
              <w:rPr>
                <w:rFonts w:hint="eastAsia" w:ascii="宋体" w:hAnsi="宋体" w:cs="Times New Roman"/>
                <w:szCs w:val="21"/>
                <w:lang w:val="en-US" w:eastAsia="zh-CN"/>
              </w:rPr>
              <w:t>3、</w:t>
            </w:r>
            <w:r>
              <w:rPr>
                <w:rFonts w:hint="eastAsia" w:ascii="宋体" w:hAnsi="宋体" w:eastAsia="宋体" w:cs="Times New Roman"/>
                <w:szCs w:val="21"/>
              </w:rPr>
              <w:t>分析片面，处理方法缺乏针对性</w:t>
            </w:r>
            <w:r>
              <w:rPr>
                <w:rFonts w:hint="eastAsia" w:ascii="宋体" w:hAnsi="宋体" w:cs="Times New Roman"/>
                <w:szCs w:val="21"/>
                <w:lang w:val="en-US" w:eastAsia="zh-CN"/>
              </w:rPr>
              <w:t>的得4</w:t>
            </w:r>
            <w:r>
              <w:rPr>
                <w:rFonts w:ascii="宋体" w:hAnsi="宋体" w:eastAsia="宋体" w:cs="Times New Roman"/>
                <w:szCs w:val="21"/>
              </w:rPr>
              <w:t>分；</w:t>
            </w:r>
          </w:p>
          <w:p w14:paraId="0611400C">
            <w:pPr>
              <w:spacing w:line="360" w:lineRule="auto"/>
              <w:rPr>
                <w:rFonts w:hint="default" w:eastAsia="宋体"/>
                <w:szCs w:val="20"/>
                <w:lang w:val="en-US" w:eastAsia="zh-CN"/>
              </w:rPr>
            </w:pPr>
            <w:r>
              <w:rPr>
                <w:rFonts w:hint="eastAsia" w:ascii="宋体" w:hAnsi="宋体" w:cs="Times New Roman"/>
                <w:szCs w:val="21"/>
                <w:lang w:val="en-US" w:eastAsia="zh-CN"/>
              </w:rPr>
              <w:t>4、</w:t>
            </w:r>
            <w:r>
              <w:rPr>
                <w:rFonts w:ascii="宋体" w:hAnsi="宋体" w:eastAsia="宋体" w:cs="Times New Roman"/>
                <w:szCs w:val="21"/>
              </w:rPr>
              <w:t>没有</w:t>
            </w:r>
            <w:r>
              <w:rPr>
                <w:rFonts w:hint="eastAsia" w:ascii="宋体" w:hAnsi="宋体" w:cs="Times New Roman"/>
                <w:szCs w:val="21"/>
                <w:lang w:val="en-US" w:eastAsia="zh-CN"/>
              </w:rPr>
              <w:t>分析的</w:t>
            </w:r>
            <w:r>
              <w:rPr>
                <w:rFonts w:ascii="宋体" w:hAnsi="宋体" w:eastAsia="宋体" w:cs="Times New Roman"/>
                <w:szCs w:val="21"/>
              </w:rPr>
              <w:t>不得分。</w:t>
            </w:r>
          </w:p>
        </w:tc>
        <w:tc>
          <w:tcPr>
            <w:tcW w:w="742" w:type="dxa"/>
            <w:tcBorders>
              <w:top w:val="single" w:color="auto" w:sz="4" w:space="0"/>
            </w:tcBorders>
            <w:vAlign w:val="center"/>
          </w:tcPr>
          <w:p w14:paraId="11B3A504">
            <w:pPr>
              <w:spacing w:line="360" w:lineRule="auto"/>
              <w:ind w:firstLine="210" w:firstLineChars="100"/>
              <w:rPr>
                <w:rFonts w:ascii="宋体" w:hAnsi="宋体" w:cs="宋体"/>
                <w:kern w:val="0"/>
                <w:szCs w:val="21"/>
                <w:lang w:bidi="ar"/>
              </w:rPr>
            </w:pPr>
          </w:p>
        </w:tc>
      </w:tr>
    </w:tbl>
    <w:p w14:paraId="369637EA">
      <w:pPr>
        <w:adjustRightInd w:val="0"/>
        <w:snapToGrid w:val="0"/>
        <w:spacing w:line="360" w:lineRule="auto"/>
        <w:rPr>
          <w:rFonts w:hint="eastAsia" w:ascii="宋体" w:hAnsi="宋体" w:cs="宋体"/>
          <w:b/>
          <w:color w:val="auto"/>
          <w:szCs w:val="21"/>
          <w:highlight w:val="none"/>
        </w:rPr>
      </w:pPr>
    </w:p>
    <w:p w14:paraId="350014D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（二）价格分（满分</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0分）</w:t>
      </w:r>
    </w:p>
    <w:p w14:paraId="59CA2C9A">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1、投标报价在采购人公布的最高限价以下、在各阶段评审中未被定为无效响应文件或废标，其投标人的投标报价为有效投标报价</w:t>
      </w:r>
    </w:p>
    <w:p w14:paraId="48686122">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政采云平台填报的开标一览表中的价格与上传的报价文件中开标一览表的报价不一致的，以上传的报价文件为准</w:t>
      </w:r>
    </w:p>
    <w:p w14:paraId="607CBBBC">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价格分采用低价优先法计算，即满足招标文件要求且投标报价最低的投标报价为评标基准价</w:t>
      </w:r>
      <w:r>
        <w:rPr>
          <w:rFonts w:hint="eastAsia" w:hAnsi="宋体" w:cs="宋体"/>
          <w:color w:val="auto"/>
          <w:kern w:val="0"/>
          <w:szCs w:val="21"/>
          <w:highlight w:val="none"/>
        </w:rPr>
        <w:t>，其价格分为满分。</w:t>
      </w:r>
      <w:r>
        <w:rPr>
          <w:rFonts w:hint="eastAsia" w:hAnsi="宋体" w:cs="宋体"/>
          <w:color w:val="auto"/>
          <w:szCs w:val="21"/>
          <w:highlight w:val="none"/>
        </w:rPr>
        <w:t>其他投标人的价格分按照下列公式计算：</w:t>
      </w:r>
    </w:p>
    <w:p w14:paraId="6EA5205F">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价格分=（评标基准价/投标报价）×</w:t>
      </w:r>
      <w:r>
        <w:rPr>
          <w:rFonts w:hint="eastAsia" w:hAnsi="宋体" w:cs="宋体"/>
          <w:color w:val="auto"/>
          <w:szCs w:val="21"/>
          <w:highlight w:val="none"/>
          <w:lang w:val="en-US" w:eastAsia="zh-CN"/>
        </w:rPr>
        <w:t>1</w:t>
      </w:r>
      <w:r>
        <w:rPr>
          <w:rFonts w:hint="eastAsia" w:hAnsi="宋体" w:cs="宋体"/>
          <w:b w:val="0"/>
          <w:bCs w:val="0"/>
          <w:color w:val="auto"/>
          <w:szCs w:val="21"/>
          <w:highlight w:val="none"/>
        </w:rPr>
        <w:t>0%</w:t>
      </w:r>
      <w:r>
        <w:rPr>
          <w:rFonts w:hint="eastAsia" w:hAnsi="宋体" w:cs="宋体"/>
          <w:b/>
          <w:color w:val="auto"/>
          <w:szCs w:val="21"/>
          <w:highlight w:val="none"/>
        </w:rPr>
        <w:t>×</w:t>
      </w:r>
      <w:r>
        <w:rPr>
          <w:rFonts w:hint="eastAsia" w:hAnsi="宋体" w:cs="宋体"/>
          <w:color w:val="auto"/>
          <w:szCs w:val="21"/>
          <w:highlight w:val="none"/>
        </w:rPr>
        <w:t>100</w:t>
      </w:r>
    </w:p>
    <w:p w14:paraId="67F0FCAE">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2.中小企业有关政策：根据财库﹝2022﹞8号的相关规定，在评审时对小型和微型企业的投标报价给予20%的扣除，取扣除后的价格作为最终投标报价（此最终投标报价仅作为价格分计算）。属于小型和微型企业的，投标文件中提供《中小企业声明函》（见附件）。</w:t>
      </w:r>
    </w:p>
    <w:p w14:paraId="3B5E99EE">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DEFDF1F">
      <w:pPr>
        <w:pStyle w:val="15"/>
        <w:tabs>
          <w:tab w:val="left" w:pos="630"/>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4.根据财库〔2014〕68号的相关规定，在政府采购活动中，监狱企业视同小型、微型企业，享受评审中价格扣除政策。属于享受政府采购支持政策的监狱企业，应满足财库〔2014〕68号文件第一条的规定，并在投标文件中提供监狱企业声明函（见附件）。</w:t>
      </w:r>
    </w:p>
    <w:p w14:paraId="2600E12A">
      <w:pPr>
        <w:pStyle w:val="15"/>
        <w:tabs>
          <w:tab w:val="left" w:pos="630"/>
        </w:tabs>
        <w:spacing w:line="420" w:lineRule="exact"/>
        <w:ind w:firstLine="422" w:firstLineChars="200"/>
        <w:rPr>
          <w:rFonts w:hAnsi="宋体" w:cs="宋体"/>
          <w:b/>
          <w:bCs/>
          <w:color w:val="auto"/>
          <w:szCs w:val="21"/>
          <w:highlight w:val="none"/>
        </w:rPr>
      </w:pPr>
      <w:r>
        <w:rPr>
          <w:rFonts w:hint="eastAsia" w:hAnsi="宋体" w:cs="宋体"/>
          <w:b/>
          <w:bCs/>
          <w:color w:val="auto"/>
          <w:szCs w:val="21"/>
          <w:highlight w:val="none"/>
        </w:rPr>
        <w:t>5.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4C7287">
      <w:pPr>
        <w:widowControl/>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第五章  政府采购合同主要条款</w:t>
      </w:r>
    </w:p>
    <w:p w14:paraId="51B506F3">
      <w:pPr>
        <w:widowControl/>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一、通用条款部分</w:t>
      </w:r>
    </w:p>
    <w:p w14:paraId="06764385">
      <w:pPr>
        <w:widowControl/>
        <w:spacing w:line="42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招标编号：</w:t>
      </w:r>
      <w:r>
        <w:rPr>
          <w:rFonts w:hint="eastAsia" w:ascii="宋体" w:hAnsi="宋体" w:cs="宋体"/>
          <w:color w:val="auto"/>
          <w:kern w:val="0"/>
          <w:szCs w:val="21"/>
          <w:highlight w:val="none"/>
          <w:lang w:eastAsia="zh-CN"/>
        </w:rPr>
        <w:t>ZSJS-2025-007</w:t>
      </w:r>
    </w:p>
    <w:p w14:paraId="4836E0D7">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合同编号：</w:t>
      </w:r>
    </w:p>
    <w:p w14:paraId="41F7B743">
      <w:pPr>
        <w:widowControl/>
        <w:spacing w:line="420" w:lineRule="exact"/>
        <w:jc w:val="left"/>
        <w:rPr>
          <w:rFonts w:hint="eastAsia" w:ascii="宋体" w:hAnsi="宋体" w:eastAsia="宋体" w:cs="宋体"/>
          <w:b w:val="0"/>
          <w:bCs w:val="0"/>
          <w:color w:val="auto"/>
          <w:kern w:val="0"/>
          <w:szCs w:val="21"/>
          <w:highlight w:val="none"/>
          <w:lang w:eastAsia="zh-CN"/>
        </w:rPr>
      </w:pPr>
      <w:r>
        <w:rPr>
          <w:rFonts w:hint="eastAsia" w:ascii="宋体" w:hAnsi="宋体" w:cs="宋体"/>
          <w:color w:val="auto"/>
          <w:kern w:val="0"/>
          <w:szCs w:val="21"/>
          <w:highlight w:val="none"/>
        </w:rPr>
        <w:t xml:space="preserve">政府采购计划（预算）确认号 </w:t>
      </w:r>
      <w:r>
        <w:rPr>
          <w:rFonts w:hint="eastAsia" w:ascii="宋体" w:hAnsi="宋体" w:eastAsia="宋体" w:cs="宋体"/>
          <w:b w:val="0"/>
          <w:bCs w:val="0"/>
          <w:color w:val="auto"/>
          <w:sz w:val="21"/>
          <w:szCs w:val="21"/>
          <w:highlight w:val="none"/>
          <w:u w:val="single"/>
          <w:lang w:val="en-US" w:eastAsia="zh-CN"/>
        </w:rPr>
        <w:t>嵊财采确临</w:t>
      </w:r>
      <w:r>
        <w:rPr>
          <w:rFonts w:hint="eastAsia" w:ascii="宋体" w:hAnsi="宋体" w:cs="宋体"/>
          <w:b w:val="0"/>
          <w:bCs w:val="0"/>
          <w:color w:val="auto"/>
          <w:sz w:val="21"/>
          <w:szCs w:val="21"/>
          <w:highlight w:val="none"/>
          <w:u w:val="single"/>
          <w:lang w:eastAsia="zh-CN"/>
        </w:rPr>
        <w:t>[2025]85号</w:t>
      </w:r>
    </w:p>
    <w:p w14:paraId="55960352">
      <w:pPr>
        <w:widowControl/>
        <w:spacing w:line="420" w:lineRule="exact"/>
        <w:jc w:val="left"/>
        <w:rPr>
          <w:rFonts w:ascii="宋体" w:hAnsi="宋体" w:cs="宋体"/>
          <w:color w:val="auto"/>
          <w:szCs w:val="21"/>
          <w:highlight w:val="none"/>
        </w:rPr>
      </w:pPr>
      <w:r>
        <w:rPr>
          <w:rFonts w:hint="eastAsia" w:ascii="宋体" w:hAnsi="宋体" w:cs="宋体"/>
          <w:color w:val="auto"/>
          <w:kern w:val="0"/>
          <w:szCs w:val="21"/>
          <w:highlight w:val="none"/>
        </w:rPr>
        <w:t>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31.5万元整</w:t>
      </w:r>
      <w:r>
        <w:rPr>
          <w:rFonts w:hint="eastAsia" w:ascii="宋体" w:hAnsi="宋体" w:cs="宋体"/>
          <w:color w:val="auto"/>
          <w:szCs w:val="21"/>
          <w:highlight w:val="none"/>
        </w:rPr>
        <w:t>，最高限价为</w:t>
      </w:r>
      <w:r>
        <w:rPr>
          <w:rFonts w:hint="eastAsia" w:ascii="宋体" w:hAnsi="宋体" w:cs="宋体"/>
          <w:color w:val="auto"/>
          <w:szCs w:val="21"/>
          <w:highlight w:val="none"/>
          <w:lang w:val="en-US" w:eastAsia="zh-CN"/>
        </w:rPr>
        <w:t>31.5万元</w:t>
      </w:r>
      <w:r>
        <w:rPr>
          <w:rFonts w:hint="eastAsia" w:ascii="宋体" w:hAnsi="宋体" w:cs="宋体"/>
          <w:color w:val="auto"/>
          <w:szCs w:val="21"/>
          <w:highlight w:val="none"/>
        </w:rPr>
        <w:t>。</w:t>
      </w:r>
    </w:p>
    <w:p w14:paraId="02CB9F3E">
      <w:pPr>
        <w:tabs>
          <w:tab w:val="left" w:pos="7767"/>
        </w:tabs>
        <w:spacing w:line="360" w:lineRule="auto"/>
        <w:rPr>
          <w:rFonts w:hint="eastAsia" w:ascii="宋体" w:hAnsi="宋体" w:cs="宋体"/>
          <w:color w:val="auto"/>
          <w:szCs w:val="21"/>
          <w:highlight w:val="none"/>
          <w:lang w:eastAsia="zh-CN"/>
        </w:rPr>
      </w:pPr>
      <w:r>
        <w:rPr>
          <w:rFonts w:hint="eastAsia" w:ascii="宋体" w:hAnsi="宋体" w:cs="宋体"/>
          <w:color w:val="auto"/>
          <w:kern w:val="0"/>
          <w:szCs w:val="21"/>
          <w:highlight w:val="none"/>
        </w:rPr>
        <w:t>甲方：</w:t>
      </w:r>
      <w:r>
        <w:rPr>
          <w:rFonts w:hint="eastAsia" w:ascii="宋体" w:hAnsi="宋体" w:cs="宋体"/>
          <w:color w:val="auto"/>
          <w:szCs w:val="21"/>
          <w:highlight w:val="none"/>
          <w:lang w:eastAsia="zh-CN"/>
        </w:rPr>
        <w:t>嵊泗县人民法院</w:t>
      </w:r>
      <w:r>
        <w:rPr>
          <w:rFonts w:hint="eastAsia" w:ascii="宋体" w:hAnsi="宋体" w:cs="宋体"/>
          <w:color w:val="auto"/>
          <w:szCs w:val="21"/>
          <w:highlight w:val="none"/>
          <w:lang w:eastAsia="zh-CN"/>
        </w:rPr>
        <w:tab/>
      </w:r>
    </w:p>
    <w:p w14:paraId="231FAA1F">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乙方：</w:t>
      </w:r>
    </w:p>
    <w:p w14:paraId="0A787714">
      <w:pPr>
        <w:widowControl/>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r>
        <w:rPr>
          <w:rFonts w:hint="eastAsia" w:ascii="宋体" w:hAnsi="宋体"/>
          <w:kern w:val="0"/>
          <w:szCs w:val="21"/>
          <w:highlight w:val="none"/>
        </w:rPr>
        <w:t>舟山市嘉嵊咨询管理有限公司</w:t>
      </w:r>
      <w:r>
        <w:rPr>
          <w:rFonts w:ascii="宋体" w:hAnsi="宋体" w:cs="宋体"/>
          <w:color w:val="auto"/>
          <w:kern w:val="0"/>
          <w:szCs w:val="21"/>
          <w:highlight w:val="none"/>
        </w:rPr>
        <w:t xml:space="preserve">  </w:t>
      </w:r>
    </w:p>
    <w:p w14:paraId="79CA0C23">
      <w:pPr>
        <w:widowControl/>
        <w:spacing w:line="4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采购方式：</w:t>
      </w:r>
      <w:r>
        <w:rPr>
          <w:rFonts w:hint="eastAsia" w:ascii="宋体" w:hAnsi="宋体" w:cs="宋体"/>
          <w:color w:val="auto"/>
          <w:kern w:val="0"/>
          <w:szCs w:val="21"/>
          <w:highlight w:val="none"/>
          <w:lang w:eastAsia="zh-CN"/>
        </w:rPr>
        <w:t>竞争性磋商</w:t>
      </w:r>
    </w:p>
    <w:p w14:paraId="2E7FD8BA">
      <w:pPr>
        <w:spacing w:line="48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甲方对</w:t>
      </w:r>
      <w:r>
        <w:rPr>
          <w:rFonts w:hint="eastAsia" w:ascii="宋体" w:hAnsi="宋体" w:cs="宋体"/>
          <w:color w:val="auto"/>
          <w:spacing w:val="4"/>
          <w:szCs w:val="21"/>
          <w:highlight w:val="none"/>
          <w:u w:val="single"/>
          <w:lang w:val="en-US" w:eastAsia="zh-CN"/>
        </w:rPr>
        <w:t>嵊泗县人民法院安保服务</w:t>
      </w:r>
      <w:r>
        <w:rPr>
          <w:rFonts w:hint="eastAsia" w:ascii="宋体" w:hAnsi="宋体" w:cs="宋体"/>
          <w:color w:val="auto"/>
          <w:spacing w:val="4"/>
          <w:szCs w:val="21"/>
          <w:highlight w:val="none"/>
        </w:rPr>
        <w:t>，采购编号：</w:t>
      </w:r>
      <w:r>
        <w:rPr>
          <w:rFonts w:ascii="宋体" w:hAnsi="宋体" w:cs="宋体"/>
          <w:color w:val="auto"/>
          <w:kern w:val="0"/>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cs="宋体"/>
          <w:color w:val="auto"/>
          <w:spacing w:val="4"/>
          <w:szCs w:val="21"/>
          <w:highlight w:val="none"/>
          <w:u w:val="single"/>
          <w:lang w:val="en-US" w:eastAsia="zh-CN"/>
        </w:rPr>
        <w:t>ZSJS-2025-007</w:t>
      </w:r>
      <w:r>
        <w:rPr>
          <w:rFonts w:hint="eastAsia" w:ascii="宋体" w:hAnsi="宋体" w:cs="宋体"/>
          <w:color w:val="auto"/>
          <w:spacing w:val="4"/>
          <w:szCs w:val="21"/>
          <w:highlight w:val="none"/>
        </w:rPr>
        <w:t>进行</w:t>
      </w:r>
      <w:r>
        <w:rPr>
          <w:rFonts w:hint="eastAsia" w:ascii="宋体" w:hAnsi="宋体" w:cs="宋体"/>
          <w:color w:val="auto"/>
          <w:spacing w:val="4"/>
          <w:szCs w:val="21"/>
          <w:highlight w:val="none"/>
          <w:lang w:eastAsia="zh-CN"/>
        </w:rPr>
        <w:t>竞争性磋商</w:t>
      </w:r>
      <w:r>
        <w:rPr>
          <w:rFonts w:hint="eastAsia" w:ascii="宋体" w:hAnsi="宋体" w:cs="宋体"/>
          <w:color w:val="auto"/>
          <w:spacing w:val="4"/>
          <w:szCs w:val="21"/>
          <w:highlight w:val="none"/>
          <w:lang w:val="en-US" w:eastAsia="zh-CN"/>
        </w:rPr>
        <w:t>招标</w:t>
      </w:r>
      <w:r>
        <w:rPr>
          <w:rFonts w:hint="eastAsia" w:ascii="宋体" w:hAnsi="宋体" w:cs="宋体"/>
          <w:color w:val="auto"/>
          <w:spacing w:val="4"/>
          <w:szCs w:val="21"/>
          <w:highlight w:val="none"/>
        </w:rPr>
        <w:t>。经评审小组评定并最终审核通过，确定乙方为本项采购项目的乙方。甲乙双方根据《中华人民共和国政府采购法》、《中华人民共和国民法典》等相关法律法规及本项目招标文件的规定，双方经平等协商达成一致意见，订立本合同。</w:t>
      </w:r>
    </w:p>
    <w:p w14:paraId="79FF2402">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一、合同文件</w:t>
      </w:r>
    </w:p>
    <w:p w14:paraId="41AB097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下列文件构成本合同的组成部分：</w:t>
      </w:r>
    </w:p>
    <w:p w14:paraId="62F5754A">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（1）招标文件</w:t>
      </w:r>
    </w:p>
    <w:p w14:paraId="3DC1DC4E">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（2）投标文件</w:t>
      </w:r>
    </w:p>
    <w:p w14:paraId="332201ED">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（3）相关补充文件</w:t>
      </w:r>
    </w:p>
    <w:p w14:paraId="5EC5B11C">
      <w:pPr>
        <w:adjustRightInd w:val="0"/>
        <w:spacing w:line="360" w:lineRule="auto"/>
        <w:ind w:left="420"/>
        <w:textAlignment w:val="baseline"/>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中标或成交通知书</w:t>
      </w:r>
    </w:p>
    <w:p w14:paraId="44F610D8">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二、合同范围和条件</w:t>
      </w:r>
    </w:p>
    <w:p w14:paraId="4716F5A3">
      <w:pPr>
        <w:adjustRightInd w:val="0"/>
        <w:spacing w:line="360" w:lineRule="auto"/>
        <w:ind w:firstLine="630" w:firstLineChars="300"/>
        <w:textAlignment w:val="baseline"/>
        <w:rPr>
          <w:rFonts w:ascii="宋体" w:hAnsi="宋体" w:cs="宋体"/>
          <w:color w:val="auto"/>
          <w:szCs w:val="21"/>
          <w:highlight w:val="none"/>
        </w:rPr>
      </w:pPr>
      <w:r>
        <w:rPr>
          <w:rFonts w:hint="eastAsia" w:ascii="宋体" w:hAnsi="宋体" w:cs="宋体"/>
          <w:color w:val="auto"/>
          <w:szCs w:val="21"/>
          <w:highlight w:val="none"/>
        </w:rPr>
        <w:t>本合同的范围和条件与上述规定的合同文件内容一致。</w:t>
      </w:r>
    </w:p>
    <w:p w14:paraId="0158FA6A">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60C32D02">
      <w:pPr>
        <w:pStyle w:val="24"/>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项目中标合同金额：小写：元，大写：。</w:t>
      </w:r>
    </w:p>
    <w:p w14:paraId="6DF8B047">
      <w:pPr>
        <w:pStyle w:val="24"/>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附合同中标相关报价分项清单。</w:t>
      </w:r>
    </w:p>
    <w:p w14:paraId="21152C65">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 xml:space="preserve"> </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lang w:val="en-US" w:eastAsia="zh-CN"/>
        </w:rPr>
        <w:t>服务周期</w:t>
      </w:r>
    </w:p>
    <w:p w14:paraId="244FD95E">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1、服务期限9个月。</w:t>
      </w:r>
    </w:p>
    <w:p w14:paraId="7178288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2、采购</w:t>
      </w:r>
      <w:r>
        <w:rPr>
          <w:rFonts w:hint="eastAsia" w:ascii="宋体" w:hAnsi="宋体" w:cs="宋体"/>
          <w:color w:val="auto"/>
          <w:szCs w:val="21"/>
          <w:highlight w:val="none"/>
        </w:rPr>
        <w:t>人根据实际情况通知中标人进场时间。</w:t>
      </w:r>
    </w:p>
    <w:p w14:paraId="5D880F27">
      <w:pPr>
        <w:pStyle w:val="10"/>
        <w:spacing w:line="400" w:lineRule="exact"/>
        <w:ind w:firstLine="422" w:firstLineChars="200"/>
        <w:rPr>
          <w:rFonts w:hint="eastAsia" w:ascii="宋体" w:hAnsi="宋体" w:cs="宋体"/>
          <w:b/>
          <w:sz w:val="21"/>
          <w:szCs w:val="21"/>
          <w:highlight w:val="none"/>
          <w:lang w:val="en-US" w:eastAsia="zh-CN"/>
        </w:rPr>
      </w:pPr>
    </w:p>
    <w:p w14:paraId="58B627A6">
      <w:pPr>
        <w:pStyle w:val="10"/>
        <w:spacing w:line="400" w:lineRule="exact"/>
        <w:ind w:firstLine="422" w:firstLineChars="200"/>
        <w:rPr>
          <w:rFonts w:ascii="宋体" w:hAnsi="宋体" w:cs="宋体"/>
          <w:b/>
          <w:sz w:val="21"/>
          <w:szCs w:val="21"/>
          <w:highlight w:val="none"/>
        </w:rPr>
      </w:pPr>
      <w:r>
        <w:rPr>
          <w:rFonts w:hint="eastAsia" w:ascii="宋体" w:hAnsi="宋体" w:cs="宋体"/>
          <w:b/>
          <w:sz w:val="21"/>
          <w:szCs w:val="21"/>
          <w:highlight w:val="none"/>
          <w:lang w:val="en-US" w:eastAsia="zh-CN"/>
        </w:rPr>
        <w:t>五</w:t>
      </w:r>
      <w:r>
        <w:rPr>
          <w:rFonts w:hint="eastAsia" w:ascii="宋体" w:hAnsi="宋体" w:cs="宋体"/>
          <w:b/>
          <w:sz w:val="21"/>
          <w:szCs w:val="21"/>
          <w:highlight w:val="none"/>
        </w:rPr>
        <w:t>、投标人报价</w:t>
      </w:r>
    </w:p>
    <w:p w14:paraId="0F679A60">
      <w:pPr>
        <w:pStyle w:val="10"/>
        <w:spacing w:line="400" w:lineRule="exact"/>
        <w:ind w:firstLine="420" w:firstLineChars="200"/>
        <w:rPr>
          <w:rFonts w:hint="default"/>
          <w:highlight w:val="none"/>
          <w:lang w:val="en-US" w:eastAsia="zh-CN"/>
        </w:rPr>
      </w:pPr>
      <w:r>
        <w:rPr>
          <w:rFonts w:hint="eastAsia" w:ascii="宋体" w:hAnsi="宋体" w:cs="宋体"/>
          <w:bCs/>
          <w:sz w:val="21"/>
          <w:szCs w:val="21"/>
          <w:highlight w:val="none"/>
        </w:rPr>
        <w:t>投标人报价以项目所确定的保安人数服务期（</w:t>
      </w:r>
      <w:r>
        <w:rPr>
          <w:rFonts w:hint="eastAsia" w:ascii="宋体" w:hAnsi="宋体" w:cs="宋体"/>
          <w:bCs/>
          <w:sz w:val="21"/>
          <w:szCs w:val="21"/>
          <w:highlight w:val="none"/>
          <w:lang w:val="en-US" w:eastAsia="zh-CN"/>
        </w:rPr>
        <w:t>9个月的</w:t>
      </w:r>
      <w:r>
        <w:rPr>
          <w:rFonts w:hint="eastAsia" w:ascii="宋体" w:hAnsi="宋体" w:cs="宋体"/>
          <w:bCs/>
          <w:sz w:val="21"/>
          <w:szCs w:val="21"/>
          <w:highlight w:val="none"/>
        </w:rPr>
        <w:t>）的保安服务的总费用呈现。其中包括工资、福利、社保、培训、装备、管理费用、税金等等。除特殊情况双方另行约定外，甲方不再支付另外费用。</w:t>
      </w:r>
    </w:p>
    <w:p w14:paraId="69A07498">
      <w:pPr>
        <w:pStyle w:val="10"/>
        <w:spacing w:line="400" w:lineRule="exact"/>
        <w:ind w:firstLine="422" w:firstLineChars="200"/>
        <w:rPr>
          <w:rFonts w:hint="default" w:ascii="宋体" w:hAnsi="宋体" w:cs="宋体"/>
          <w:b/>
          <w:sz w:val="21"/>
          <w:szCs w:val="21"/>
          <w:highlight w:val="none"/>
          <w:lang w:val="en-US" w:eastAsia="zh-CN"/>
        </w:rPr>
      </w:pPr>
      <w:r>
        <w:rPr>
          <w:rFonts w:hint="eastAsia" w:ascii="宋体" w:hAnsi="宋体" w:cs="宋体"/>
          <w:b/>
          <w:sz w:val="21"/>
          <w:szCs w:val="21"/>
          <w:highlight w:val="none"/>
          <w:lang w:val="en-US" w:eastAsia="zh-CN"/>
        </w:rPr>
        <w:t>六、支付方式</w:t>
      </w:r>
    </w:p>
    <w:p w14:paraId="4E3A1F2F">
      <w:pPr>
        <w:spacing w:line="360" w:lineRule="auto"/>
        <w:ind w:firstLine="420" w:firstLineChars="200"/>
        <w:jc w:val="left"/>
        <w:rPr>
          <w:rFonts w:hint="eastAsia" w:hAnsi="宋体"/>
          <w:bCs/>
          <w:color w:val="auto"/>
          <w:szCs w:val="21"/>
          <w:highlight w:val="none"/>
        </w:rPr>
      </w:pPr>
      <w:r>
        <w:rPr>
          <w:rFonts w:hAnsi="宋体"/>
          <w:bCs/>
          <w:color w:val="auto"/>
          <w:szCs w:val="21"/>
          <w:highlight w:val="none"/>
        </w:rPr>
        <w:t>1、合同签订后15个工作日内，</w:t>
      </w:r>
      <w:r>
        <w:rPr>
          <w:rFonts w:hint="eastAsia" w:hAnsi="宋体"/>
          <w:bCs/>
          <w:color w:val="auto"/>
          <w:szCs w:val="21"/>
          <w:highlight w:val="none"/>
          <w:lang w:val="en-US" w:eastAsia="zh-CN"/>
        </w:rPr>
        <w:t>采购人</w:t>
      </w:r>
      <w:r>
        <w:rPr>
          <w:rFonts w:hAnsi="宋体"/>
          <w:bCs/>
          <w:color w:val="auto"/>
          <w:szCs w:val="21"/>
          <w:highlight w:val="none"/>
        </w:rPr>
        <w:t>收到</w:t>
      </w:r>
      <w:r>
        <w:rPr>
          <w:rFonts w:hint="eastAsia" w:hAnsi="宋体"/>
          <w:bCs/>
          <w:color w:val="auto"/>
          <w:szCs w:val="21"/>
          <w:highlight w:val="none"/>
        </w:rPr>
        <w:t>中标人</w:t>
      </w:r>
      <w:r>
        <w:rPr>
          <w:rFonts w:hAnsi="宋体"/>
          <w:bCs/>
          <w:color w:val="auto"/>
          <w:szCs w:val="21"/>
          <w:highlight w:val="none"/>
        </w:rPr>
        <w:t>开具的正规发票支付合同总额</w:t>
      </w:r>
      <w:r>
        <w:rPr>
          <w:rFonts w:hint="eastAsia" w:hAnsi="宋体"/>
          <w:bCs/>
          <w:color w:val="auto"/>
          <w:szCs w:val="21"/>
          <w:highlight w:val="none"/>
          <w:lang w:val="en-US" w:eastAsia="zh-CN"/>
        </w:rPr>
        <w:t>预付款的4</w:t>
      </w:r>
      <w:r>
        <w:rPr>
          <w:rFonts w:hAnsi="宋体"/>
          <w:bCs/>
          <w:color w:val="auto"/>
          <w:szCs w:val="21"/>
          <w:highlight w:val="none"/>
        </w:rPr>
        <w:t>0%。</w:t>
      </w:r>
    </w:p>
    <w:p w14:paraId="32559EAB">
      <w:pPr>
        <w:ind w:firstLine="420" w:firstLineChars="200"/>
        <w:rPr>
          <w:rFonts w:hint="eastAsia" w:ascii="宋体" w:hAnsi="宋体" w:cs="宋体"/>
          <w:color w:val="auto"/>
          <w:szCs w:val="21"/>
          <w:highlight w:val="none"/>
          <w:u w:val="none"/>
          <w:lang w:val="en-US" w:eastAsia="zh-CN"/>
        </w:rPr>
      </w:pPr>
      <w:r>
        <w:rPr>
          <w:rFonts w:hint="eastAsia" w:hAnsi="宋体"/>
          <w:bCs/>
          <w:color w:val="auto"/>
          <w:szCs w:val="21"/>
          <w:highlight w:val="none"/>
          <w:u w:val="none"/>
        </w:rPr>
        <w:t>2、</w:t>
      </w:r>
      <w:r>
        <w:rPr>
          <w:rFonts w:hint="eastAsia" w:hAnsi="宋体"/>
          <w:bCs/>
          <w:color w:val="auto"/>
          <w:szCs w:val="21"/>
          <w:highlight w:val="none"/>
          <w:u w:val="none"/>
          <w:lang w:val="en-US" w:eastAsia="zh-CN"/>
        </w:rPr>
        <w:t>项目结束经</w:t>
      </w: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人对中标人</w:t>
      </w:r>
      <w:r>
        <w:rPr>
          <w:rFonts w:hint="eastAsia" w:ascii="宋体" w:hAnsi="宋体" w:cs="宋体"/>
          <w:color w:val="auto"/>
          <w:szCs w:val="21"/>
          <w:highlight w:val="none"/>
          <w:u w:val="none"/>
          <w:lang w:val="en-US" w:eastAsia="zh-CN"/>
        </w:rPr>
        <w:t>验收合格15个工作日内，</w:t>
      </w:r>
      <w:r>
        <w:rPr>
          <w:rFonts w:hint="eastAsia" w:hAnsi="宋体"/>
          <w:bCs/>
          <w:color w:val="auto"/>
          <w:szCs w:val="21"/>
          <w:highlight w:val="none"/>
          <w:lang w:val="en-US" w:eastAsia="zh-CN"/>
        </w:rPr>
        <w:t>采购人</w:t>
      </w:r>
      <w:r>
        <w:rPr>
          <w:rFonts w:hAnsi="宋体"/>
          <w:bCs/>
          <w:color w:val="auto"/>
          <w:szCs w:val="21"/>
          <w:highlight w:val="none"/>
        </w:rPr>
        <w:t>收到</w:t>
      </w:r>
      <w:r>
        <w:rPr>
          <w:rFonts w:hint="eastAsia" w:hAnsi="宋体"/>
          <w:bCs/>
          <w:color w:val="auto"/>
          <w:szCs w:val="21"/>
          <w:highlight w:val="none"/>
        </w:rPr>
        <w:t>中标人</w:t>
      </w:r>
      <w:r>
        <w:rPr>
          <w:rFonts w:hAnsi="宋体"/>
          <w:bCs/>
          <w:color w:val="auto"/>
          <w:szCs w:val="21"/>
          <w:highlight w:val="none"/>
        </w:rPr>
        <w:t>开具的正规发票支付合同总额</w:t>
      </w:r>
      <w:r>
        <w:rPr>
          <w:rFonts w:hint="eastAsia" w:hAnsi="宋体"/>
          <w:bCs/>
          <w:color w:val="auto"/>
          <w:szCs w:val="21"/>
          <w:highlight w:val="none"/>
          <w:lang w:val="en-US" w:eastAsia="zh-CN"/>
        </w:rPr>
        <w:t>的</w:t>
      </w:r>
      <w:r>
        <w:rPr>
          <w:rFonts w:hint="eastAsia" w:ascii="宋体" w:hAnsi="宋体" w:cs="宋体"/>
          <w:color w:val="auto"/>
          <w:szCs w:val="21"/>
          <w:highlight w:val="none"/>
          <w:u w:val="none"/>
          <w:lang w:val="en-US" w:eastAsia="zh-CN"/>
        </w:rPr>
        <w:t>60%。</w:t>
      </w:r>
    </w:p>
    <w:p w14:paraId="62C20148">
      <w:pPr>
        <w:pStyle w:val="10"/>
        <w:rPr>
          <w:rFonts w:hint="default"/>
          <w:highlight w:val="none"/>
          <w:lang w:val="en-US" w:eastAsia="zh-CN"/>
        </w:rPr>
      </w:pPr>
    </w:p>
    <w:p w14:paraId="4531A851">
      <w:pPr>
        <w:spacing w:line="360" w:lineRule="auto"/>
        <w:ind w:left="420" w:leftChars="200"/>
        <w:rPr>
          <w:rFonts w:ascii="宋体" w:hAnsi="宋体" w:cs="宋体"/>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、违约责任：</w:t>
      </w:r>
    </w:p>
    <w:p w14:paraId="6AC12450">
      <w:pPr>
        <w:snapToGrid w:val="0"/>
        <w:spacing w:before="50" w:line="360" w:lineRule="auto"/>
        <w:ind w:firstLine="420"/>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若由于甲方的原因致使乙方不能按期安装调试完毕的，乙方不承担相应的违约责任。</w:t>
      </w:r>
    </w:p>
    <w:p w14:paraId="1C92F194">
      <w:pPr>
        <w:snapToGrid w:val="0"/>
        <w:spacing w:before="50" w:line="360" w:lineRule="auto"/>
        <w:ind w:firstLine="420"/>
        <w:rPr>
          <w:rFonts w:ascii="宋体" w:hAnsi="宋体" w:cs="宋体"/>
          <w:color w:val="auto"/>
          <w:szCs w:val="21"/>
          <w:highlight w:val="none"/>
        </w:rPr>
      </w:pPr>
      <w:r>
        <w:rPr>
          <w:rFonts w:hint="eastAsia" w:ascii="宋体" w:hAnsi="宋体" w:cs="宋体"/>
          <w:bCs/>
          <w:color w:val="auto"/>
          <w:szCs w:val="21"/>
          <w:highlight w:val="none"/>
          <w:lang w:val="en-US" w:eastAsia="zh-CN"/>
        </w:rPr>
        <w:t>7</w:t>
      </w:r>
      <w:r>
        <w:rPr>
          <w:rFonts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经甲乙双方友好协商同意</w:t>
      </w:r>
      <w:r>
        <w:rPr>
          <w:rFonts w:hint="eastAsia" w:ascii="宋体" w:hAnsi="宋体" w:cs="宋体"/>
          <w:color w:val="auto"/>
          <w:szCs w:val="21"/>
          <w:highlight w:val="none"/>
        </w:rPr>
        <w:t>延期交货、安装调试、延期支付资金且无须罚款者可不受上述条款约束。</w:t>
      </w:r>
    </w:p>
    <w:p w14:paraId="116956EF">
      <w:pPr>
        <w:spacing w:before="50" w:line="360" w:lineRule="auto"/>
        <w:ind w:left="1" w:firstLine="417" w:firstLineChars="199"/>
        <w:rPr>
          <w:rFonts w:ascii="宋体" w:hAnsi="宋体" w:cs="宋体"/>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.3</w:t>
      </w:r>
      <w:r>
        <w:rPr>
          <w:rFonts w:hint="eastAsia" w:ascii="宋体" w:hAnsi="宋体" w:cs="宋体"/>
          <w:color w:val="auto"/>
          <w:szCs w:val="21"/>
          <w:highlight w:val="none"/>
        </w:rPr>
        <w:t>在诉讼期间，除正在进行诉讼的部分外，本合同其它部分可继续执行。</w:t>
      </w:r>
    </w:p>
    <w:p w14:paraId="1A07E0DC">
      <w:pPr>
        <w:adjustRightInd w:val="0"/>
        <w:snapToGrid w:val="0"/>
        <w:spacing w:line="360" w:lineRule="auto"/>
        <w:ind w:left="1" w:firstLine="417" w:firstLineChars="199"/>
        <w:rPr>
          <w:rFonts w:ascii="宋体" w:hAnsi="宋体" w:cs="宋体"/>
          <w:bCs/>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.4</w:t>
      </w:r>
      <w:r>
        <w:rPr>
          <w:rFonts w:hint="eastAsia" w:ascii="宋体" w:hAnsi="宋体" w:cs="宋体"/>
          <w:color w:val="auto"/>
          <w:szCs w:val="21"/>
          <w:highlight w:val="none"/>
        </w:rPr>
        <w:t>在诉讼期间，除正在进行诉讼的部分外，本合同其它部分可继续执行。</w:t>
      </w:r>
    </w:p>
    <w:p w14:paraId="07A0B857">
      <w:pPr>
        <w:adjustRightInd w:val="0"/>
        <w:snapToGrid w:val="0"/>
        <w:spacing w:line="360" w:lineRule="auto"/>
        <w:ind w:left="1" w:firstLine="417" w:firstLineChars="199"/>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.5</w:t>
      </w:r>
      <w:r>
        <w:rPr>
          <w:rFonts w:hint="eastAsia" w:ascii="宋体" w:hAnsi="宋体" w:cs="宋体"/>
          <w:color w:val="auto"/>
          <w:szCs w:val="21"/>
          <w:highlight w:val="none"/>
        </w:rPr>
        <w:t>如果在甲方发出索赔书面通知（送达地址以本合同载明的地址为准）后10个工作日内，乙方未作答复，上述索赔应视为已被乙方接受。甲方有权在甲方需支付给乙方的合同总金额中直接扣除。</w:t>
      </w:r>
    </w:p>
    <w:p w14:paraId="1A585850">
      <w:pPr>
        <w:spacing w:line="360" w:lineRule="auto"/>
        <w:ind w:firstLine="361" w:firstLineChars="171"/>
        <w:rPr>
          <w:rFonts w:ascii="宋体" w:hAnsi="宋体" w:cs="宋体"/>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、争议的解决：</w:t>
      </w:r>
    </w:p>
    <w:p w14:paraId="37D7B8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.1甲乙双方应通过友好协商，解决在执行本合同中所发生的或与本合同有关的一切争端，如果协商得不到解决，任何一方均可按《中华人民共和国民</w:t>
      </w:r>
      <w:r>
        <w:rPr>
          <w:rFonts w:hint="eastAsia" w:ascii="宋体" w:hAnsi="宋体" w:cs="宋体"/>
          <w:color w:val="auto"/>
          <w:spacing w:val="4"/>
          <w:szCs w:val="21"/>
          <w:highlight w:val="none"/>
        </w:rPr>
        <w:t>法典</w:t>
      </w:r>
      <w:r>
        <w:rPr>
          <w:rFonts w:hint="eastAsia" w:ascii="宋体" w:hAnsi="宋体" w:cs="宋体"/>
          <w:color w:val="auto"/>
          <w:szCs w:val="21"/>
          <w:highlight w:val="none"/>
        </w:rPr>
        <w:t>》规定提交诉讼，诉讼应在甲方所在地进行。</w:t>
      </w:r>
    </w:p>
    <w:p w14:paraId="6E61B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.2诉讼费应由败诉方负担。</w:t>
      </w:r>
    </w:p>
    <w:p w14:paraId="600609F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、合同修改：</w:t>
      </w:r>
    </w:p>
    <w:p w14:paraId="1ED4C4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合同条款的任何改动，均须由合同签署双方签署合同修改书或合同补充协议。该合同修改或补充被视为本合同的组成部分，具有与本合同同等法律效力。</w:t>
      </w:r>
    </w:p>
    <w:p w14:paraId="15C98BA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十、不可抗力的处理：</w:t>
      </w:r>
    </w:p>
    <w:p w14:paraId="04D981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19A468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.2不可抗力的事故发生后尽快通知另一方，将有关部门出具的证明文件用挂号信邮寄或派人送达另一方。</w:t>
      </w:r>
    </w:p>
    <w:p w14:paraId="0D07DBC2">
      <w:pPr>
        <w:spacing w:line="360" w:lineRule="auto"/>
        <w:ind w:firstLine="422" w:firstLineChars="200"/>
        <w:rPr>
          <w:rFonts w:hint="eastAsia" w:ascii="宋体" w:hAnsi="宋体" w:cs="宋体"/>
          <w:b/>
          <w:color w:val="auto"/>
          <w:szCs w:val="21"/>
          <w:highlight w:val="none"/>
        </w:rPr>
      </w:pPr>
    </w:p>
    <w:p w14:paraId="5312C56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、适用法律：</w:t>
      </w:r>
    </w:p>
    <w:p w14:paraId="5A4D3C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甲乙双方所订立的合同应按照中华人民共和国的法律进行解释。</w:t>
      </w:r>
    </w:p>
    <w:p w14:paraId="258659B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、合同生效及其它</w:t>
      </w:r>
    </w:p>
    <w:p w14:paraId="49207A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.1合同经双方法定代表人或授权委托代理人签字并加盖单位公章或合同专用章后生效。</w:t>
      </w:r>
    </w:p>
    <w:p w14:paraId="4349E3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w:t>
      </w:r>
      <w:r>
        <w:rPr>
          <w:rFonts w:hint="eastAsia" w:ascii="宋体" w:hAnsi="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14:paraId="63F979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.3本合同未尽事宜，遵照《</w:t>
      </w:r>
      <w:r>
        <w:rPr>
          <w:rFonts w:hint="eastAsia" w:ascii="宋体" w:hAnsi="宋体" w:cs="宋体"/>
          <w:color w:val="auto"/>
          <w:spacing w:val="4"/>
          <w:szCs w:val="21"/>
          <w:highlight w:val="none"/>
        </w:rPr>
        <w:t>民法典</w:t>
      </w:r>
      <w:r>
        <w:rPr>
          <w:rFonts w:hint="eastAsia" w:ascii="宋体" w:hAnsi="宋体" w:cs="宋体"/>
          <w:color w:val="auto"/>
          <w:szCs w:val="21"/>
          <w:highlight w:val="none"/>
        </w:rPr>
        <w:t>》有关条文执行。</w:t>
      </w:r>
    </w:p>
    <w:p w14:paraId="7FEE9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本合同正本一式五份，具有同等法律效力，甲乙双方各执两份，</w:t>
      </w:r>
      <w:r>
        <w:rPr>
          <w:rFonts w:hint="eastAsia" w:ascii="宋体" w:hAnsi="宋体" w:cs="宋体"/>
          <w:color w:val="auto"/>
          <w:kern w:val="0"/>
          <w:szCs w:val="21"/>
          <w:highlight w:val="none"/>
        </w:rPr>
        <w:t>采购代理单位</w:t>
      </w:r>
      <w:r>
        <w:rPr>
          <w:rFonts w:hint="eastAsia" w:ascii="宋体" w:hAnsi="宋体" w:cs="宋体"/>
          <w:color w:val="auto"/>
          <w:szCs w:val="21"/>
          <w:highlight w:val="none"/>
        </w:rPr>
        <w:t>执一份。</w:t>
      </w:r>
    </w:p>
    <w:p w14:paraId="08191D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7A7A80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40BFD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法定代表人或授权签字代表：              法定代表人或授权签字代表：</w:t>
      </w:r>
    </w:p>
    <w:p w14:paraId="3F5DDF19">
      <w:pPr>
        <w:spacing w:line="360" w:lineRule="auto"/>
        <w:ind w:firstLine="420" w:firstLineChars="200"/>
        <w:rPr>
          <w:rFonts w:hAnsi="宋体" w:cs="宋体"/>
          <w:color w:val="auto"/>
          <w:szCs w:val="21"/>
          <w:highlight w:val="none"/>
        </w:rPr>
      </w:pPr>
      <w:r>
        <w:rPr>
          <w:rFonts w:hint="eastAsia" w:ascii="宋体" w:hAnsi="宋体" w:cs="宋体"/>
          <w:color w:val="auto"/>
          <w:szCs w:val="21"/>
          <w:highlight w:val="none"/>
        </w:rPr>
        <w:t>签订日期：   年  月  日                 签订日期：   年  月  日</w:t>
      </w:r>
    </w:p>
    <w:p w14:paraId="4CC864A8">
      <w:pPr>
        <w:pStyle w:val="15"/>
        <w:snapToGrid w:val="0"/>
        <w:spacing w:before="120" w:after="120" w:line="360" w:lineRule="auto"/>
        <w:ind w:firstLine="420" w:firstLineChars="200"/>
        <w:outlineLvl w:val="0"/>
        <w:rPr>
          <w:rFonts w:hint="eastAsia" w:ascii="宋体" w:hAnsi="宋体" w:cs="宋体"/>
          <w:b/>
          <w:color w:val="auto"/>
          <w:sz w:val="30"/>
          <w:szCs w:val="30"/>
          <w:highlight w:val="none"/>
        </w:rPr>
      </w:pPr>
      <w:r>
        <w:rPr>
          <w:rFonts w:hint="eastAsia" w:hAnsi="宋体" w:cs="宋体"/>
          <w:color w:val="auto"/>
          <w:szCs w:val="21"/>
          <w:highlight w:val="none"/>
        </w:rPr>
        <w:t>鉴证方：（盖章）</w:t>
      </w:r>
    </w:p>
    <w:p w14:paraId="1AD09001">
      <w:pPr>
        <w:spacing w:before="156" w:beforeLines="50" w:after="156" w:afterLines="50" w:line="440" w:lineRule="exact"/>
        <w:jc w:val="center"/>
        <w:rPr>
          <w:rFonts w:hint="eastAsia" w:ascii="宋体" w:hAnsi="宋体" w:cs="宋体"/>
          <w:b/>
          <w:color w:val="auto"/>
          <w:sz w:val="30"/>
          <w:szCs w:val="30"/>
          <w:highlight w:val="none"/>
        </w:rPr>
      </w:pPr>
    </w:p>
    <w:p w14:paraId="381C3F5F">
      <w:pPr>
        <w:pStyle w:val="10"/>
        <w:rPr>
          <w:rFonts w:hint="eastAsia" w:ascii="宋体" w:hAnsi="宋体" w:cs="宋体"/>
          <w:b/>
          <w:color w:val="auto"/>
          <w:sz w:val="30"/>
          <w:szCs w:val="30"/>
          <w:highlight w:val="none"/>
        </w:rPr>
      </w:pPr>
    </w:p>
    <w:p w14:paraId="3C8ACF43">
      <w:pPr>
        <w:pStyle w:val="11"/>
        <w:rPr>
          <w:rFonts w:hint="eastAsia" w:ascii="宋体" w:hAnsi="宋体" w:cs="宋体"/>
          <w:b/>
          <w:color w:val="auto"/>
          <w:sz w:val="30"/>
          <w:szCs w:val="30"/>
          <w:highlight w:val="none"/>
        </w:rPr>
      </w:pPr>
    </w:p>
    <w:p w14:paraId="7C4CD05E">
      <w:pPr>
        <w:rPr>
          <w:rFonts w:hint="eastAsia" w:ascii="宋体" w:hAnsi="宋体" w:cs="宋体"/>
          <w:b/>
          <w:color w:val="auto"/>
          <w:sz w:val="30"/>
          <w:szCs w:val="30"/>
          <w:highlight w:val="none"/>
        </w:rPr>
      </w:pPr>
    </w:p>
    <w:p w14:paraId="41ED5395">
      <w:pPr>
        <w:pStyle w:val="10"/>
        <w:rPr>
          <w:rFonts w:hint="eastAsia" w:ascii="宋体" w:hAnsi="宋体" w:cs="宋体"/>
          <w:b/>
          <w:color w:val="auto"/>
          <w:sz w:val="30"/>
          <w:szCs w:val="30"/>
          <w:highlight w:val="none"/>
        </w:rPr>
      </w:pPr>
    </w:p>
    <w:p w14:paraId="0FCDF448">
      <w:pPr>
        <w:pStyle w:val="11"/>
        <w:rPr>
          <w:rFonts w:hint="eastAsia" w:ascii="宋体" w:hAnsi="宋体" w:cs="宋体"/>
          <w:b/>
          <w:color w:val="auto"/>
          <w:sz w:val="30"/>
          <w:szCs w:val="30"/>
          <w:highlight w:val="none"/>
        </w:rPr>
      </w:pPr>
    </w:p>
    <w:p w14:paraId="48F27A46">
      <w:pPr>
        <w:rPr>
          <w:rFonts w:hint="eastAsia" w:ascii="宋体" w:hAnsi="宋体" w:cs="宋体"/>
          <w:b/>
          <w:color w:val="auto"/>
          <w:sz w:val="30"/>
          <w:szCs w:val="30"/>
          <w:highlight w:val="none"/>
        </w:rPr>
      </w:pPr>
    </w:p>
    <w:p w14:paraId="3D9A2C58">
      <w:pPr>
        <w:pStyle w:val="10"/>
        <w:rPr>
          <w:rFonts w:hint="eastAsia" w:ascii="宋体" w:hAnsi="宋体" w:cs="宋体"/>
          <w:b/>
          <w:color w:val="auto"/>
          <w:sz w:val="30"/>
          <w:szCs w:val="30"/>
          <w:highlight w:val="none"/>
        </w:rPr>
      </w:pPr>
    </w:p>
    <w:p w14:paraId="0771D318">
      <w:pPr>
        <w:pStyle w:val="11"/>
        <w:rPr>
          <w:rFonts w:hint="eastAsia" w:ascii="宋体" w:hAnsi="宋体" w:cs="宋体"/>
          <w:b/>
          <w:color w:val="auto"/>
          <w:sz w:val="30"/>
          <w:szCs w:val="30"/>
          <w:highlight w:val="none"/>
        </w:rPr>
      </w:pPr>
    </w:p>
    <w:p w14:paraId="422939E2">
      <w:pPr>
        <w:rPr>
          <w:rFonts w:hint="eastAsia" w:ascii="宋体" w:hAnsi="宋体" w:cs="宋体"/>
          <w:b/>
          <w:color w:val="auto"/>
          <w:sz w:val="30"/>
          <w:szCs w:val="30"/>
          <w:highlight w:val="none"/>
        </w:rPr>
      </w:pPr>
    </w:p>
    <w:p w14:paraId="097EB718">
      <w:pPr>
        <w:pStyle w:val="10"/>
        <w:rPr>
          <w:rFonts w:hint="eastAsia" w:ascii="宋体" w:hAnsi="宋体" w:cs="宋体"/>
          <w:b/>
          <w:color w:val="auto"/>
          <w:sz w:val="30"/>
          <w:szCs w:val="30"/>
          <w:highlight w:val="none"/>
        </w:rPr>
      </w:pPr>
    </w:p>
    <w:p w14:paraId="6CDFB018">
      <w:pPr>
        <w:pStyle w:val="11"/>
        <w:rPr>
          <w:rFonts w:hint="eastAsia"/>
        </w:rPr>
      </w:pPr>
    </w:p>
    <w:p w14:paraId="5F6F26F5">
      <w:pPr>
        <w:spacing w:before="156" w:beforeLines="50" w:after="156" w:afterLines="5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投标文件格式</w:t>
      </w:r>
    </w:p>
    <w:p w14:paraId="2E32521E">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b/>
          <w:bCs/>
          <w:color w:val="auto"/>
          <w:sz w:val="24"/>
          <w:highlight w:val="none"/>
        </w:rPr>
        <w:t>一、资格文件格式</w:t>
      </w:r>
    </w:p>
    <w:p w14:paraId="29C09EE1">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·资格文件封面格式：</w:t>
      </w:r>
    </w:p>
    <w:p w14:paraId="08944EBC">
      <w:pPr>
        <w:snapToGrid w:val="0"/>
        <w:spacing w:before="156" w:beforeLines="50" w:after="50" w:line="440" w:lineRule="exact"/>
        <w:rPr>
          <w:rFonts w:ascii="宋体" w:hAnsi="宋体" w:cs="宋体"/>
          <w:b/>
          <w:bCs/>
          <w:color w:val="auto"/>
          <w:sz w:val="32"/>
          <w:highlight w:val="none"/>
        </w:rPr>
      </w:pPr>
    </w:p>
    <w:p w14:paraId="5AD4DCAE">
      <w:pPr>
        <w:snapToGrid w:val="0"/>
        <w:spacing w:before="156" w:beforeLines="50" w:after="50" w:line="440" w:lineRule="exact"/>
        <w:rPr>
          <w:rFonts w:ascii="宋体" w:hAnsi="宋体" w:cs="宋体"/>
          <w:color w:val="auto"/>
          <w:sz w:val="24"/>
          <w:highlight w:val="none"/>
        </w:rPr>
      </w:pPr>
    </w:p>
    <w:p w14:paraId="17E517EE">
      <w:pPr>
        <w:snapToGrid w:val="0"/>
        <w:spacing w:before="156" w:beforeLines="50" w:after="50" w:line="440" w:lineRule="exact"/>
        <w:jc w:val="center"/>
        <w:rPr>
          <w:rFonts w:ascii="宋体" w:hAnsi="宋体" w:cs="宋体"/>
          <w:bCs/>
          <w:color w:val="auto"/>
          <w:sz w:val="24"/>
          <w:highlight w:val="none"/>
        </w:rPr>
      </w:pPr>
    </w:p>
    <w:p w14:paraId="57F508FE">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资格</w:t>
      </w:r>
      <w:r>
        <w:rPr>
          <w:rFonts w:hint="eastAsia" w:ascii="宋体" w:hAnsi="宋体" w:cs="宋体"/>
          <w:color w:val="auto"/>
          <w:sz w:val="24"/>
          <w:highlight w:val="none"/>
        </w:rPr>
        <w:t>文件</w:t>
      </w:r>
    </w:p>
    <w:p w14:paraId="6EC29EEF">
      <w:pPr>
        <w:snapToGrid w:val="0"/>
        <w:spacing w:before="156" w:beforeLines="50" w:after="50" w:line="440" w:lineRule="exact"/>
        <w:rPr>
          <w:rFonts w:ascii="宋体" w:hAnsi="宋体" w:cs="宋体"/>
          <w:bCs/>
          <w:color w:val="auto"/>
          <w:sz w:val="24"/>
          <w:highlight w:val="none"/>
        </w:rPr>
      </w:pPr>
    </w:p>
    <w:p w14:paraId="0B4DDCDA">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571B9A3E">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046F040C">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67F0C40A">
      <w:pPr>
        <w:pStyle w:val="7"/>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6BCD125F">
      <w:pPr>
        <w:snapToGrid w:val="0"/>
        <w:spacing w:before="156" w:beforeLines="50" w:after="50" w:line="440" w:lineRule="exact"/>
        <w:ind w:firstLine="4080" w:firstLineChars="1700"/>
        <w:rPr>
          <w:rFonts w:ascii="宋体" w:hAnsi="宋体" w:cs="宋体"/>
          <w:color w:val="auto"/>
          <w:sz w:val="24"/>
          <w:highlight w:val="none"/>
        </w:rPr>
      </w:pPr>
    </w:p>
    <w:p w14:paraId="28551C37">
      <w:pPr>
        <w:snapToGrid w:val="0"/>
        <w:spacing w:before="156" w:beforeLines="50" w:after="50" w:line="440" w:lineRule="exact"/>
        <w:ind w:firstLine="645"/>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CB21799">
      <w:pPr>
        <w:pStyle w:val="41"/>
        <w:snapToGrid w:val="0"/>
        <w:spacing w:line="400" w:lineRule="exact"/>
        <w:jc w:val="center"/>
        <w:rPr>
          <w:rFonts w:hAnsi="宋体" w:cs="宋体"/>
          <w:b/>
          <w:color w:val="auto"/>
          <w:szCs w:val="21"/>
          <w:highlight w:val="none"/>
        </w:rPr>
      </w:pPr>
      <w:r>
        <w:rPr>
          <w:rFonts w:hint="eastAsia" w:hAnsi="宋体" w:eastAsia="宋体" w:cs="宋体"/>
          <w:b/>
          <w:color w:val="auto"/>
          <w:sz w:val="24"/>
          <w:highlight w:val="none"/>
        </w:rPr>
        <w:br w:type="page"/>
      </w:r>
    </w:p>
    <w:p w14:paraId="639A5F52">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资格文件、商务技术文件及报价文件目录</w:t>
      </w:r>
      <w:r>
        <w:rPr>
          <w:rFonts w:hint="eastAsia" w:ascii="宋体" w:hAnsi="宋体" w:cs="宋体"/>
          <w:b/>
          <w:bCs/>
          <w:color w:val="auto"/>
          <w:szCs w:val="21"/>
          <w:highlight w:val="none"/>
        </w:rPr>
        <w:t>（请按照“第三章投标人须知，三、投标文件的编制”的顺序、评分内容自行编制目录）</w:t>
      </w:r>
    </w:p>
    <w:p w14:paraId="7A4C9108">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例如：</w:t>
      </w:r>
    </w:p>
    <w:p w14:paraId="5FB9DCD7">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资格文件：</w:t>
      </w:r>
    </w:p>
    <w:p w14:paraId="7D50DAB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（1）投标声明书(格式见附件)————————页码</w:t>
      </w:r>
    </w:p>
    <w:p w14:paraId="2D5F0E9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授权委托书(格式见附件)————————</w:t>
      </w:r>
    </w:p>
    <w:p w14:paraId="148D18CF">
      <w:pPr>
        <w:snapToGrid w:val="0"/>
        <w:spacing w:line="360" w:lineRule="auto"/>
        <w:jc w:val="left"/>
        <w:rPr>
          <w:rFonts w:ascii="宋体" w:hAnsi="宋体" w:cs="宋体"/>
          <w:b/>
          <w:color w:val="auto"/>
          <w:szCs w:val="21"/>
          <w:highlight w:val="none"/>
        </w:rPr>
      </w:pPr>
    </w:p>
    <w:p w14:paraId="3D5CA5E8">
      <w:pPr>
        <w:snapToGrid w:val="0"/>
        <w:spacing w:line="360" w:lineRule="auto"/>
        <w:rPr>
          <w:rFonts w:ascii="宋体" w:hAnsi="宋体" w:cs="宋体"/>
          <w:color w:val="auto"/>
          <w:sz w:val="32"/>
          <w:szCs w:val="32"/>
          <w:highlight w:val="none"/>
        </w:rPr>
      </w:pPr>
      <w:bookmarkStart w:id="65" w:name="OLE_LINK11"/>
    </w:p>
    <w:p w14:paraId="24F83CFC">
      <w:pPr>
        <w:spacing w:line="460" w:lineRule="exac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1、投标声明书格式：</w:t>
      </w:r>
    </w:p>
    <w:bookmarkEnd w:id="65"/>
    <w:p w14:paraId="121486E9">
      <w:pPr>
        <w:snapToGrid w:val="0"/>
        <w:spacing w:before="156" w:beforeLines="50" w:after="50" w:line="440" w:lineRule="exact"/>
        <w:jc w:val="center"/>
        <w:rPr>
          <w:rFonts w:ascii="宋体" w:hAnsi="宋体" w:cs="宋体"/>
          <w:b/>
          <w:bCs/>
          <w:color w:val="auto"/>
          <w:sz w:val="32"/>
          <w:szCs w:val="32"/>
          <w:highlight w:val="none"/>
        </w:rPr>
      </w:pPr>
      <w:bookmarkStart w:id="66" w:name="OLE_LINK12"/>
      <w:r>
        <w:rPr>
          <w:rFonts w:hint="eastAsia" w:ascii="宋体" w:hAnsi="宋体" w:cs="宋体"/>
          <w:b/>
          <w:bCs/>
          <w:color w:val="auto"/>
          <w:sz w:val="32"/>
          <w:szCs w:val="32"/>
          <w:highlight w:val="none"/>
        </w:rPr>
        <w:t>投标声明书</w:t>
      </w:r>
    </w:p>
    <w:p w14:paraId="0FD42014">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（采购单位名称）：</w:t>
      </w:r>
    </w:p>
    <w:p w14:paraId="6B7995AA">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10E65F80">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项目的投标，为便于贵方公正、择优地确定中标人及服务，我方就本次投标有关事项郑重声明如下：</w:t>
      </w:r>
    </w:p>
    <w:p w14:paraId="533FA44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4078BBE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2.我方不是采购人的附属机构；在获知本项目投标信息后，与采购人聘请的为此项目提供招标代理公司及其附属机构没有任何联系。</w:t>
      </w:r>
    </w:p>
    <w:p w14:paraId="1B98C26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14:paraId="4ED89239">
      <w:pPr>
        <w:pStyle w:val="14"/>
        <w:tabs>
          <w:tab w:val="left" w:pos="939"/>
        </w:tabs>
        <w:snapToGrid w:val="0"/>
        <w:spacing w:line="440" w:lineRule="exact"/>
        <w:ind w:left="773" w:leftChars="150" w:hanging="458" w:hangingChars="191"/>
        <w:rPr>
          <w:rFonts w:ascii="宋体" w:hAnsi="宋体" w:cs="宋体"/>
          <w:color w:val="auto"/>
          <w:sz w:val="24"/>
          <w:highlight w:val="none"/>
        </w:rPr>
      </w:pPr>
    </w:p>
    <w:p w14:paraId="1E31239B">
      <w:pPr>
        <w:pStyle w:val="14"/>
        <w:tabs>
          <w:tab w:val="left" w:pos="939"/>
        </w:tabs>
        <w:snapToGrid w:val="0"/>
        <w:spacing w:line="440" w:lineRule="exact"/>
        <w:ind w:left="773" w:leftChars="150" w:hanging="458" w:hangingChars="191"/>
        <w:rPr>
          <w:rFonts w:ascii="宋体" w:hAnsi="宋体" w:cs="宋体"/>
          <w:color w:val="auto"/>
          <w:sz w:val="24"/>
          <w:highlight w:val="none"/>
        </w:rPr>
      </w:pPr>
    </w:p>
    <w:p w14:paraId="4A6F2374">
      <w:pPr>
        <w:snapToGrid w:val="0"/>
        <w:spacing w:before="156" w:beforeLines="50" w:line="44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2375338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投标人公章：</w:t>
      </w:r>
    </w:p>
    <w:p w14:paraId="2AD8EAB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66"/>
    <w:p w14:paraId="137A1030">
      <w:pPr>
        <w:widowControl/>
        <w:spacing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p>
    <w:p w14:paraId="7AC0A387">
      <w:pPr>
        <w:widowControl/>
        <w:spacing w:line="360" w:lineRule="auto"/>
        <w:jc w:val="left"/>
        <w:rPr>
          <w:rFonts w:ascii="宋体" w:hAnsi="宋体" w:cs="宋体"/>
          <w:b/>
          <w:color w:val="auto"/>
          <w:sz w:val="24"/>
          <w:highlight w:val="none"/>
        </w:rPr>
      </w:pPr>
      <w:bookmarkStart w:id="67" w:name="OLE_LINK15"/>
      <w:r>
        <w:rPr>
          <w:rFonts w:hint="eastAsia" w:ascii="宋体" w:hAnsi="宋体" w:cs="宋体"/>
          <w:b/>
          <w:bCs/>
          <w:color w:val="auto"/>
          <w:sz w:val="24"/>
          <w:highlight w:val="none"/>
        </w:rPr>
        <w:t>2、法定代表人</w:t>
      </w:r>
      <w:r>
        <w:rPr>
          <w:rFonts w:hint="eastAsia" w:ascii="宋体" w:hAnsi="宋体" w:cs="宋体"/>
          <w:b/>
          <w:bCs/>
          <w:color w:val="auto"/>
          <w:sz w:val="24"/>
          <w:highlight w:val="none"/>
          <w:lang w:val="en-US" w:eastAsia="zh-CN"/>
        </w:rPr>
        <w:t>或</w:t>
      </w:r>
      <w:r>
        <w:rPr>
          <w:rFonts w:hint="eastAsia" w:ascii="宋体" w:hAnsi="宋体" w:cs="宋体"/>
          <w:b/>
          <w:bCs/>
          <w:color w:val="auto"/>
          <w:sz w:val="24"/>
          <w:highlight w:val="none"/>
        </w:rPr>
        <w:t>授权委托书格式：</w:t>
      </w:r>
      <w:bookmarkEnd w:id="67"/>
    </w:p>
    <w:p w14:paraId="276E03E4">
      <w:pPr>
        <w:snapToGrid w:val="0"/>
        <w:spacing w:before="156" w:beforeLines="50" w:after="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5A3A9AF6">
      <w:pPr>
        <w:snapToGrid w:val="0"/>
        <w:spacing w:before="156" w:beforeLines="50" w:after="50" w:line="440" w:lineRule="exact"/>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（采购单位名称）：</w:t>
      </w:r>
    </w:p>
    <w:p w14:paraId="47ACF7A7">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我（姓名）系（投标人名称）的法定代表人，现授权委托本单位在职职工（姓名）以我方的名义参加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项目的投标活动，并代表我方全权办理针对上述项目的投标、开标、评标、签约等具体事务和签署相关文件。</w:t>
      </w:r>
    </w:p>
    <w:p w14:paraId="73D8BDA8">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3DB87BD8">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24F8BB66">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2396E1D6">
      <w:pPr>
        <w:snapToGrid w:val="0"/>
        <w:spacing w:before="156" w:beforeLines="50" w:after="50" w:line="440" w:lineRule="exact"/>
        <w:rPr>
          <w:rFonts w:ascii="宋体" w:hAnsi="宋体" w:cs="宋体"/>
          <w:color w:val="auto"/>
          <w:sz w:val="24"/>
          <w:highlight w:val="none"/>
        </w:rPr>
      </w:pPr>
    </w:p>
    <w:p w14:paraId="32C7F5DB">
      <w:pPr>
        <w:snapToGrid w:val="0"/>
        <w:spacing w:before="156" w:beforeLines="50" w:after="50" w:line="440" w:lineRule="exact"/>
        <w:rPr>
          <w:rFonts w:ascii="宋体" w:hAnsi="宋体" w:cs="宋体"/>
          <w:color w:val="auto"/>
          <w:sz w:val="24"/>
          <w:u w:val="single"/>
        </w:rPr>
      </w:pPr>
      <w:r>
        <w:rPr>
          <w:rFonts w:hint="eastAsia" w:ascii="宋体" w:hAnsi="宋体" w:cs="宋体"/>
          <w:color w:val="auto"/>
          <w:sz w:val="24"/>
        </w:rPr>
        <w:t>被授权人：</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法定代表人签名或盖章：</w:t>
      </w:r>
      <w:r>
        <w:rPr>
          <w:rFonts w:hint="eastAsia" w:ascii="宋体" w:hAnsi="宋体" w:cs="宋体"/>
          <w:color w:val="auto"/>
          <w:sz w:val="24"/>
          <w:u w:val="single"/>
        </w:rPr>
        <w:t xml:space="preserve">          </w:t>
      </w:r>
    </w:p>
    <w:p w14:paraId="4E98FEF4">
      <w:pPr>
        <w:snapToGrid w:val="0"/>
        <w:spacing w:before="156" w:beforeLines="50" w:after="50" w:line="440" w:lineRule="exact"/>
        <w:ind w:firstLine="480" w:firstLineChars="200"/>
        <w:rPr>
          <w:rFonts w:ascii="宋体" w:hAnsi="宋体" w:cs="宋体"/>
          <w:color w:val="auto"/>
          <w:sz w:val="24"/>
        </w:rPr>
      </w:pP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4FA5CE8E">
      <w:pPr>
        <w:snapToGrid w:val="0"/>
        <w:spacing w:before="156" w:beforeLines="50" w:after="50" w:line="440" w:lineRule="exact"/>
        <w:rPr>
          <w:rFonts w:ascii="宋体" w:hAnsi="宋体" w:cs="宋体"/>
          <w:color w:val="auto"/>
          <w:sz w:val="24"/>
        </w:rPr>
      </w:pPr>
      <w:r>
        <w:rPr>
          <w:rFonts w:hint="eastAsia" w:ascii="宋体" w:hAnsi="宋体" w:cs="宋体"/>
          <w:color w:val="auto"/>
          <w:sz w:val="24"/>
        </w:rPr>
        <w:t>被授权人</w:t>
      </w:r>
      <w:r>
        <w:rPr>
          <w:rFonts w:hint="eastAsia" w:ascii="宋体" w:hAnsi="宋体" w:cs="宋体"/>
          <w:color w:val="auto"/>
          <w:sz w:val="24"/>
          <w:lang w:eastAsia="zh-CN"/>
        </w:rPr>
        <w:t>、</w:t>
      </w:r>
      <w:r>
        <w:rPr>
          <w:rFonts w:hint="eastAsia" w:ascii="宋体" w:hAnsi="宋体" w:cs="宋体"/>
          <w:color w:val="auto"/>
          <w:sz w:val="24"/>
          <w:highlight w:val="none"/>
          <w:lang w:val="en-US" w:eastAsia="zh-CN"/>
        </w:rPr>
        <w:t>法定代表人</w:t>
      </w:r>
      <w:r>
        <w:rPr>
          <w:rFonts w:hint="eastAsia" w:ascii="宋体" w:hAnsi="宋体" w:cs="宋体"/>
          <w:color w:val="auto"/>
          <w:sz w:val="24"/>
          <w:highlight w:val="none"/>
        </w:rPr>
        <w:t>身份证</w:t>
      </w:r>
      <w:r>
        <w:rPr>
          <w:rFonts w:hint="eastAsia" w:ascii="宋体" w:hAnsi="宋体" w:cs="宋体"/>
          <w:color w:val="auto"/>
          <w:sz w:val="24"/>
          <w:highlight w:val="none"/>
          <w:lang w:val="en-US" w:eastAsia="zh-CN"/>
        </w:rPr>
        <w:t>正反面</w:t>
      </w:r>
      <w:r>
        <w:rPr>
          <w:rFonts w:hint="eastAsia" w:ascii="宋体" w:hAnsi="宋体" w:cs="宋体"/>
          <w:color w:val="auto"/>
          <w:sz w:val="24"/>
          <w:highlight w:val="none"/>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8766697">
      <w:pPr>
        <w:snapToGrid w:val="0"/>
        <w:spacing w:before="156" w:beforeLines="50" w:after="50" w:line="440" w:lineRule="exact"/>
        <w:rPr>
          <w:rFonts w:ascii="宋体" w:hAnsi="宋体" w:cs="宋体"/>
          <w:color w:val="auto"/>
          <w:sz w:val="24"/>
        </w:rPr>
      </w:pPr>
      <w:r>
        <w:rPr>
          <w:rFonts w:hint="eastAsia" w:ascii="宋体" w:hAnsi="宋体" w:cs="宋体"/>
          <w:color w:val="auto"/>
          <w:sz w:val="24"/>
        </w:rPr>
        <w:t xml:space="preserve">                                     投标人公章：</w:t>
      </w:r>
    </w:p>
    <w:p w14:paraId="5C7E99FE">
      <w:pPr>
        <w:snapToGrid w:val="0"/>
        <w:spacing w:before="156" w:beforeLines="50" w:after="50" w:line="440" w:lineRule="exact"/>
        <w:jc w:val="center"/>
        <w:rPr>
          <w:rFonts w:ascii="宋体" w:hAnsi="宋体" w:cs="宋体"/>
          <w:color w:val="auto"/>
          <w:sz w:val="24"/>
        </w:rPr>
      </w:pPr>
      <w:r>
        <w:rPr>
          <w:rFonts w:hint="eastAsia" w:ascii="宋体" w:hAnsi="宋体" w:cs="宋体"/>
          <w:color w:val="auto"/>
          <w:sz w:val="24"/>
        </w:rPr>
        <w:t xml:space="preserve">                                        年    月    日</w:t>
      </w:r>
    </w:p>
    <w:p w14:paraId="44A82BD8">
      <w:pPr>
        <w:snapToGrid w:val="0"/>
        <w:spacing w:before="156" w:beforeLines="50" w:line="360" w:lineRule="auto"/>
        <w:rPr>
          <w:rFonts w:hint="eastAsia" w:ascii="宋体" w:hAnsi="宋体" w:cs="宋体"/>
          <w:b/>
          <w:bCs/>
          <w:color w:val="auto"/>
          <w:sz w:val="24"/>
          <w:highlight w:val="none"/>
        </w:rPr>
      </w:pPr>
    </w:p>
    <w:p w14:paraId="6F5C2134">
      <w:pPr>
        <w:snapToGrid w:val="0"/>
        <w:spacing w:before="156" w:beforeLines="50" w:line="360" w:lineRule="auto"/>
        <w:rPr>
          <w:rFonts w:hint="eastAsia" w:ascii="宋体" w:hAnsi="宋体" w:cs="宋体"/>
          <w:b/>
          <w:bCs/>
          <w:color w:val="auto"/>
          <w:sz w:val="24"/>
          <w:highlight w:val="none"/>
        </w:rPr>
      </w:pPr>
    </w:p>
    <w:p w14:paraId="264C2173">
      <w:pPr>
        <w:snapToGrid w:val="0"/>
        <w:spacing w:before="156" w:beforeLines="50" w:line="360" w:lineRule="auto"/>
        <w:rPr>
          <w:rFonts w:hint="eastAsia" w:ascii="宋体" w:hAnsi="宋体" w:cs="宋体"/>
          <w:b/>
          <w:bCs/>
          <w:color w:val="auto"/>
          <w:sz w:val="24"/>
          <w:highlight w:val="none"/>
        </w:rPr>
      </w:pPr>
    </w:p>
    <w:p w14:paraId="2003DC17">
      <w:pPr>
        <w:snapToGrid w:val="0"/>
        <w:spacing w:before="156" w:beforeLines="50" w:line="360" w:lineRule="auto"/>
        <w:rPr>
          <w:rFonts w:hint="eastAsia" w:ascii="宋体" w:hAnsi="宋体" w:cs="宋体"/>
          <w:b/>
          <w:bCs/>
          <w:color w:val="auto"/>
          <w:sz w:val="24"/>
          <w:highlight w:val="none"/>
        </w:rPr>
      </w:pPr>
    </w:p>
    <w:p w14:paraId="7254914C">
      <w:pPr>
        <w:snapToGrid w:val="0"/>
        <w:spacing w:before="156" w:beforeLines="50" w:line="360" w:lineRule="auto"/>
        <w:rPr>
          <w:rFonts w:hint="eastAsia" w:ascii="宋体" w:hAnsi="宋体" w:cs="宋体"/>
          <w:b/>
          <w:bCs/>
          <w:color w:val="auto"/>
          <w:sz w:val="24"/>
          <w:highlight w:val="none"/>
        </w:rPr>
      </w:pPr>
    </w:p>
    <w:p w14:paraId="41E819DD">
      <w:pPr>
        <w:snapToGrid w:val="0"/>
        <w:spacing w:before="156" w:beforeLines="50" w:line="360" w:lineRule="auto"/>
        <w:rPr>
          <w:rFonts w:hint="eastAsia" w:ascii="宋体" w:hAnsi="宋体" w:cs="宋体"/>
          <w:b/>
          <w:bCs/>
          <w:color w:val="auto"/>
          <w:sz w:val="24"/>
          <w:highlight w:val="none"/>
        </w:rPr>
      </w:pPr>
    </w:p>
    <w:p w14:paraId="1E36F01A">
      <w:pPr>
        <w:pStyle w:val="2"/>
        <w:rPr>
          <w:rFonts w:hint="eastAsia"/>
        </w:rPr>
      </w:pPr>
    </w:p>
    <w:p w14:paraId="18BA3B7D">
      <w:pPr>
        <w:snapToGrid w:val="0"/>
        <w:spacing w:before="156" w:beforeLines="50" w:line="360" w:lineRule="auto"/>
        <w:rPr>
          <w:rFonts w:hint="eastAsia" w:ascii="宋体" w:hAnsi="宋体" w:cs="宋体"/>
          <w:b/>
          <w:bCs/>
          <w:color w:val="auto"/>
          <w:sz w:val="24"/>
          <w:highlight w:val="none"/>
        </w:rPr>
      </w:pPr>
    </w:p>
    <w:p w14:paraId="27FD3EE2">
      <w:pPr>
        <w:snapToGrid w:val="0"/>
        <w:spacing w:before="156" w:beforeLines="50" w:line="360" w:lineRule="auto"/>
        <w:rPr>
          <w:rFonts w:ascii="宋体" w:hAnsi="宋体" w:cs="宋体"/>
          <w:color w:val="auto"/>
          <w:sz w:val="24"/>
          <w:highlight w:val="none"/>
        </w:rPr>
      </w:pPr>
      <w:r>
        <w:rPr>
          <w:rFonts w:hint="eastAsia" w:ascii="宋体" w:hAnsi="宋体" w:cs="宋体"/>
          <w:b/>
          <w:bCs/>
          <w:color w:val="auto"/>
          <w:sz w:val="24"/>
          <w:highlight w:val="none"/>
        </w:rPr>
        <w:t>3、供应商市场行为信誉（信用）情况承诺书：</w:t>
      </w:r>
    </w:p>
    <w:p w14:paraId="38AB3F09">
      <w:pPr>
        <w:pStyle w:val="22"/>
        <w:snapToGrid w:val="0"/>
        <w:spacing w:line="360" w:lineRule="auto"/>
        <w:ind w:left="643" w:hanging="643"/>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供应商市场行为信誉（信用）情况承诺书（申明书）</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6CC78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noWrap/>
            <w:vAlign w:val="center"/>
          </w:tcPr>
          <w:p w14:paraId="1CB350EE">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投（竞）标</w:t>
            </w:r>
            <w:r>
              <w:rPr>
                <w:rFonts w:hint="eastAsia" w:ascii="宋体" w:hAnsi="宋体" w:cs="宋体"/>
                <w:b/>
                <w:bCs/>
                <w:color w:val="auto"/>
                <w:highlight w:val="none"/>
              </w:rPr>
              <w:t>供应商</w:t>
            </w:r>
            <w:r>
              <w:rPr>
                <w:rFonts w:hint="eastAsia" w:ascii="宋体" w:hAnsi="宋体" w:cs="宋体"/>
                <w:color w:val="auto"/>
                <w:highlight w:val="none"/>
              </w:rPr>
              <w:t xml:space="preserve">名称 </w:t>
            </w:r>
          </w:p>
        </w:tc>
        <w:tc>
          <w:tcPr>
            <w:tcW w:w="2685" w:type="dxa"/>
            <w:tcBorders>
              <w:top w:val="single" w:color="auto" w:sz="4" w:space="0"/>
              <w:left w:val="dotted" w:color="auto" w:sz="4" w:space="0"/>
              <w:bottom w:val="dotted" w:color="auto" w:sz="4" w:space="0"/>
              <w:right w:val="dotted" w:color="auto" w:sz="4" w:space="0"/>
            </w:tcBorders>
            <w:noWrap/>
            <w:vAlign w:val="center"/>
          </w:tcPr>
          <w:p w14:paraId="59FDA781">
            <w:pPr>
              <w:spacing w:line="260" w:lineRule="exact"/>
              <w:rPr>
                <w:rFonts w:ascii="宋体" w:hAnsi="宋体" w:cs="宋体"/>
                <w:color w:val="auto"/>
                <w:sz w:val="18"/>
                <w:szCs w:val="18"/>
                <w:highlight w:val="none"/>
              </w:rPr>
            </w:pPr>
          </w:p>
        </w:tc>
        <w:tc>
          <w:tcPr>
            <w:tcW w:w="2112" w:type="dxa"/>
            <w:tcBorders>
              <w:top w:val="single" w:color="auto" w:sz="4" w:space="0"/>
              <w:left w:val="dotted" w:color="auto" w:sz="4" w:space="0"/>
              <w:bottom w:val="dotted" w:color="auto" w:sz="4" w:space="0"/>
              <w:right w:val="dotted" w:color="auto" w:sz="4" w:space="0"/>
            </w:tcBorders>
            <w:noWrap/>
            <w:vAlign w:val="center"/>
          </w:tcPr>
          <w:p w14:paraId="012F9627">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企业资质等级</w:t>
            </w:r>
          </w:p>
          <w:p w14:paraId="23159862">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（如 有） </w:t>
            </w:r>
          </w:p>
        </w:tc>
        <w:tc>
          <w:tcPr>
            <w:tcW w:w="2340" w:type="dxa"/>
            <w:tcBorders>
              <w:top w:val="single" w:color="auto" w:sz="4" w:space="0"/>
              <w:left w:val="dotted" w:color="auto" w:sz="4" w:space="0"/>
              <w:bottom w:val="dotted" w:color="auto" w:sz="4" w:space="0"/>
              <w:right w:val="single" w:color="auto" w:sz="4" w:space="0"/>
            </w:tcBorders>
            <w:noWrap/>
            <w:vAlign w:val="center"/>
          </w:tcPr>
          <w:p w14:paraId="35A34A68">
            <w:pPr>
              <w:spacing w:line="260" w:lineRule="exact"/>
              <w:rPr>
                <w:rFonts w:ascii="宋体" w:hAnsi="宋体" w:cs="宋体"/>
                <w:color w:val="auto"/>
                <w:sz w:val="18"/>
                <w:szCs w:val="18"/>
                <w:highlight w:val="none"/>
              </w:rPr>
            </w:pPr>
          </w:p>
        </w:tc>
      </w:tr>
      <w:tr w14:paraId="51483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31971DBB">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ign w:val="center"/>
          </w:tcPr>
          <w:p w14:paraId="3557746B">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6858BD44">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ign w:val="center"/>
          </w:tcPr>
          <w:p w14:paraId="0A6A8911">
            <w:pPr>
              <w:spacing w:line="260" w:lineRule="exact"/>
              <w:rPr>
                <w:rFonts w:ascii="宋体" w:hAnsi="宋体" w:cs="宋体"/>
                <w:color w:val="auto"/>
                <w:sz w:val="18"/>
                <w:szCs w:val="18"/>
                <w:highlight w:val="none"/>
              </w:rPr>
            </w:pPr>
          </w:p>
        </w:tc>
      </w:tr>
      <w:tr w14:paraId="66921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31ACBAE5">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ign w:val="center"/>
          </w:tcPr>
          <w:p w14:paraId="2E7995AC">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60A98645">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tcPr>
          <w:p w14:paraId="36019F73">
            <w:pPr>
              <w:spacing w:line="260" w:lineRule="exact"/>
              <w:rPr>
                <w:rFonts w:ascii="宋体" w:hAnsi="宋体" w:cs="宋体"/>
                <w:color w:val="auto"/>
                <w:sz w:val="18"/>
                <w:szCs w:val="18"/>
                <w:highlight w:val="none"/>
              </w:rPr>
            </w:pPr>
          </w:p>
        </w:tc>
      </w:tr>
      <w:tr w14:paraId="5DAB9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ign w:val="center"/>
          </w:tcPr>
          <w:p w14:paraId="64C6CBFA">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4D98DB00">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市场</w:t>
            </w:r>
          </w:p>
          <w:p w14:paraId="6343C38C">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行为</w:t>
            </w:r>
          </w:p>
          <w:p w14:paraId="72ED0078">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信誉</w:t>
            </w:r>
          </w:p>
          <w:p w14:paraId="0D535949">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情况</w:t>
            </w: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013E07F3">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tcPr>
          <w:p w14:paraId="21ABBACC">
            <w:pPr>
              <w:spacing w:line="260" w:lineRule="exact"/>
              <w:rPr>
                <w:rFonts w:ascii="宋体" w:hAnsi="宋体" w:cs="宋体"/>
                <w:color w:val="auto"/>
                <w:sz w:val="18"/>
                <w:szCs w:val="18"/>
                <w:highlight w:val="none"/>
              </w:rPr>
            </w:pPr>
          </w:p>
        </w:tc>
      </w:tr>
      <w:tr w14:paraId="470F0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ign w:val="center"/>
          </w:tcPr>
          <w:p w14:paraId="50BDB168">
            <w:pPr>
              <w:spacing w:before="100" w:beforeAutospacing="1" w:after="100" w:afterAutospacing="1" w:line="260" w:lineRule="exact"/>
              <w:jc w:val="center"/>
              <w:rPr>
                <w:rFonts w:ascii="宋体" w:hAnsi="宋体" w:cs="宋体"/>
                <w:color w:val="auto"/>
                <w:highlight w:val="none"/>
              </w:rPr>
            </w:pP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3899B925">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tcPr>
          <w:p w14:paraId="39387580">
            <w:pPr>
              <w:spacing w:line="260" w:lineRule="exact"/>
              <w:rPr>
                <w:rFonts w:ascii="宋体" w:hAnsi="宋体" w:cs="宋体"/>
                <w:color w:val="auto"/>
                <w:sz w:val="18"/>
                <w:szCs w:val="18"/>
                <w:highlight w:val="none"/>
              </w:rPr>
            </w:pPr>
          </w:p>
        </w:tc>
      </w:tr>
      <w:tr w14:paraId="5657A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noWrap/>
            <w:vAlign w:val="center"/>
          </w:tcPr>
          <w:p w14:paraId="55C7410F">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right w:val="dotted" w:color="auto" w:sz="4" w:space="0"/>
            </w:tcBorders>
            <w:noWrap/>
            <w:vAlign w:val="center"/>
          </w:tcPr>
          <w:p w14:paraId="114D0480">
            <w:pPr>
              <w:spacing w:before="100" w:beforeAutospacing="1" w:after="100" w:afterAutospacing="1" w:line="260" w:lineRule="exact"/>
              <w:rPr>
                <w:rFonts w:ascii="宋体" w:hAnsi="宋体" w:cs="宋体"/>
                <w:color w:val="auto"/>
                <w:sz w:val="24"/>
                <w:highlight w:val="none"/>
              </w:rPr>
            </w:pPr>
            <w:r>
              <w:rPr>
                <w:rFonts w:hint="eastAsia" w:ascii="宋体" w:hAnsi="宋体" w:cs="宋体"/>
                <w:color w:val="auto"/>
                <w:highlight w:val="none"/>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tcPr>
          <w:p w14:paraId="186C8008">
            <w:pPr>
              <w:spacing w:line="260" w:lineRule="exact"/>
              <w:rPr>
                <w:rFonts w:ascii="宋体" w:hAnsi="宋体" w:cs="宋体"/>
                <w:color w:val="auto"/>
                <w:sz w:val="18"/>
                <w:szCs w:val="18"/>
                <w:highlight w:val="none"/>
              </w:rPr>
            </w:pPr>
          </w:p>
        </w:tc>
      </w:tr>
      <w:tr w14:paraId="67B74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7" w:hRule="atLeast"/>
        </w:trPr>
        <w:tc>
          <w:tcPr>
            <w:tcW w:w="1209" w:type="dxa"/>
            <w:vMerge w:val="continue"/>
            <w:tcBorders>
              <w:left w:val="single" w:color="auto" w:sz="4" w:space="0"/>
              <w:bottom w:val="dotted" w:color="auto" w:sz="4" w:space="0"/>
              <w:right w:val="dotted" w:color="auto" w:sz="4" w:space="0"/>
            </w:tcBorders>
            <w:noWrap/>
            <w:vAlign w:val="center"/>
          </w:tcPr>
          <w:p w14:paraId="377635BA">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4D932756">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一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noWrap/>
          </w:tcPr>
          <w:p w14:paraId="466670D1">
            <w:pPr>
              <w:spacing w:line="260" w:lineRule="exact"/>
              <w:rPr>
                <w:rFonts w:ascii="宋体" w:hAnsi="宋体" w:cs="宋体"/>
                <w:color w:val="auto"/>
                <w:sz w:val="18"/>
                <w:szCs w:val="18"/>
                <w:highlight w:val="none"/>
              </w:rPr>
            </w:pPr>
          </w:p>
        </w:tc>
      </w:tr>
      <w:tr w14:paraId="28A9B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ign w:val="center"/>
          </w:tcPr>
          <w:p w14:paraId="0B8CAADF">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3070B34C">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信用</w:t>
            </w:r>
          </w:p>
          <w:p w14:paraId="67EE7DF1">
            <w:pPr>
              <w:spacing w:line="260" w:lineRule="exact"/>
              <w:jc w:val="center"/>
              <w:rPr>
                <w:rFonts w:ascii="宋体" w:hAnsi="宋体" w:cs="宋体"/>
                <w:color w:val="auto"/>
                <w:sz w:val="24"/>
                <w:highlight w:val="none"/>
              </w:rPr>
            </w:pPr>
            <w:r>
              <w:rPr>
                <w:rFonts w:hint="eastAsia" w:ascii="宋体" w:hAnsi="宋体" w:cs="宋体"/>
                <w:color w:val="auto"/>
                <w:highlight w:val="none"/>
              </w:rPr>
              <w:t>情况</w:t>
            </w: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37B041F8">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是否列入失信被执行人、重大税收违法案件当事人名单、政府采购严重违法失信行为记录名单</w:t>
            </w:r>
            <w:r>
              <w:rPr>
                <w:rFonts w:hint="eastAsia" w:ascii="宋体" w:hAnsi="宋体" w:cs="宋体"/>
                <w:color w:val="auto"/>
                <w:szCs w:val="21"/>
                <w:highlight w:val="none"/>
                <w:shd w:val="clear" w:color="auto" w:fill="FFFFFF"/>
              </w:rPr>
              <w:t>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tcPr>
          <w:p w14:paraId="07CF9B12">
            <w:pPr>
              <w:spacing w:line="260" w:lineRule="exact"/>
              <w:rPr>
                <w:rFonts w:ascii="宋体" w:hAnsi="宋体" w:cs="宋体"/>
                <w:color w:val="auto"/>
                <w:sz w:val="18"/>
                <w:szCs w:val="18"/>
                <w:highlight w:val="none"/>
              </w:rPr>
            </w:pPr>
          </w:p>
        </w:tc>
      </w:tr>
      <w:tr w14:paraId="78323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ign w:val="center"/>
          </w:tcPr>
          <w:p w14:paraId="3B34EBCC">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投标供应商</w:t>
            </w:r>
          </w:p>
          <w:p w14:paraId="4ED025CB">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tcPr>
          <w:p w14:paraId="09CBC20E">
            <w:pPr>
              <w:pStyle w:val="12"/>
              <w:spacing w:line="260" w:lineRule="exact"/>
              <w:ind w:firstLine="411" w:firstLineChars="196"/>
              <w:rPr>
                <w:rFonts w:ascii="宋体" w:hAnsi="宋体" w:cs="宋体"/>
                <w:color w:val="auto"/>
                <w:sz w:val="21"/>
                <w:szCs w:val="18"/>
                <w:highlight w:val="none"/>
              </w:rPr>
            </w:pPr>
            <w:r>
              <w:rPr>
                <w:rFonts w:hint="eastAsia" w:ascii="宋体" w:hAnsi="宋体" w:cs="宋体"/>
                <w:color w:val="auto"/>
                <w:sz w:val="21"/>
                <w:szCs w:val="18"/>
                <w:highlight w:val="none"/>
              </w:rPr>
              <w:t>以上内容是本企业市场行为信誉（信用）的真实反映，如有不实，愿取消本项目投标资格。</w:t>
            </w:r>
          </w:p>
          <w:p w14:paraId="4C119D92">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法定代表人签名或盖章： </w:t>
            </w:r>
          </w:p>
          <w:p w14:paraId="528362D9">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(单位公章) </w:t>
            </w:r>
          </w:p>
          <w:p w14:paraId="54001E32">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日 期：    年  月   日 </w:t>
            </w:r>
          </w:p>
        </w:tc>
      </w:tr>
    </w:tbl>
    <w:p w14:paraId="55B7A3C5">
      <w:pPr>
        <w:rPr>
          <w:rFonts w:ascii="宋体" w:hAnsi="宋体" w:cs="宋体"/>
          <w:color w:val="auto"/>
          <w:highlight w:val="none"/>
        </w:rPr>
      </w:pPr>
      <w:r>
        <w:rPr>
          <w:rFonts w:hint="eastAsia" w:ascii="宋体" w:hAnsi="宋体" w:cs="宋体"/>
          <w:color w:val="auto"/>
          <w:highlight w:val="none"/>
        </w:rPr>
        <w:t>注：1、本表格内容须如实填写；</w:t>
      </w:r>
    </w:p>
    <w:p w14:paraId="13BFF0EF">
      <w:pPr>
        <w:ind w:firstLine="420" w:firstLineChars="200"/>
        <w:rPr>
          <w:rFonts w:ascii="宋体" w:hAnsi="宋体" w:cs="宋体"/>
          <w:color w:val="auto"/>
          <w:highlight w:val="none"/>
        </w:rPr>
      </w:pPr>
      <w:r>
        <w:rPr>
          <w:rFonts w:hint="eastAsia" w:ascii="宋体" w:hAnsi="宋体" w:cs="宋体"/>
          <w:color w:val="auto"/>
          <w:highlight w:val="none"/>
        </w:rPr>
        <w:t>2、本表格须放入投（竞）标文件中；</w:t>
      </w:r>
    </w:p>
    <w:p w14:paraId="0DA26DFB">
      <w:pPr>
        <w:ind w:firstLine="420" w:firstLineChars="200"/>
        <w:rPr>
          <w:rFonts w:ascii="宋体" w:hAnsi="宋体" w:cs="宋体"/>
          <w:color w:val="auto"/>
          <w:highlight w:val="none"/>
        </w:rPr>
      </w:pPr>
      <w:r>
        <w:rPr>
          <w:rFonts w:hint="eastAsia" w:ascii="宋体" w:hAnsi="宋体" w:cs="宋体"/>
          <w:color w:val="auto"/>
          <w:highlight w:val="none"/>
        </w:rPr>
        <w:t>3、本表格由供应商自己填写，若无表中所列情况，则在相应栏中写“无”，若有，须按具体次数分别说明（包括处罚时间、事由、处罚主体等）；</w:t>
      </w:r>
    </w:p>
    <w:p w14:paraId="1DC0A70F">
      <w:pPr>
        <w:ind w:firstLine="435"/>
        <w:rPr>
          <w:rFonts w:ascii="宋体" w:hAnsi="宋体" w:cs="宋体"/>
          <w:color w:val="auto"/>
          <w:highlight w:val="none"/>
        </w:rPr>
      </w:pPr>
      <w:r>
        <w:rPr>
          <w:rFonts w:hint="eastAsia" w:ascii="宋体" w:hAnsi="宋体" w:cs="宋体"/>
          <w:color w:val="auto"/>
          <w:highlight w:val="none"/>
        </w:rPr>
        <w:t>4、联合体成员存在不良信用记录的，视同联合体存在不良信用记录；</w:t>
      </w:r>
    </w:p>
    <w:p w14:paraId="33736BC3">
      <w:pPr>
        <w:pStyle w:val="3"/>
        <w:rPr>
          <w:color w:val="auto"/>
          <w:highlight w:val="none"/>
        </w:rPr>
      </w:pPr>
    </w:p>
    <w:p w14:paraId="75349CD1">
      <w:pPr>
        <w:wordWrap w:val="0"/>
        <w:snapToGrid w:val="0"/>
        <w:spacing w:after="156" w:afterLines="50" w:line="360" w:lineRule="auto"/>
        <w:jc w:val="left"/>
        <w:rPr>
          <w:rFonts w:ascii="宋体" w:hAnsi="宋体" w:cs="宋体"/>
          <w:b/>
          <w:bCs/>
          <w:color w:val="auto"/>
          <w:sz w:val="24"/>
          <w:highlight w:val="none"/>
        </w:rPr>
      </w:pPr>
      <w:bookmarkStart w:id="68" w:name="OLE_LINK16"/>
    </w:p>
    <w:p w14:paraId="47A987BE">
      <w:pPr>
        <w:wordWrap w:val="0"/>
        <w:snapToGrid w:val="0"/>
        <w:spacing w:after="156" w:afterLines="50" w:line="360" w:lineRule="auto"/>
        <w:jc w:val="left"/>
        <w:rPr>
          <w:rFonts w:ascii="宋体" w:hAnsi="宋体" w:cs="宋体"/>
          <w:b/>
          <w:color w:val="auto"/>
          <w:sz w:val="24"/>
          <w:highlight w:val="none"/>
        </w:rPr>
      </w:pPr>
      <w:r>
        <w:rPr>
          <w:rFonts w:hint="eastAsia" w:ascii="宋体" w:hAnsi="宋体" w:cs="宋体"/>
          <w:b/>
          <w:bCs/>
          <w:color w:val="auto"/>
          <w:sz w:val="24"/>
          <w:highlight w:val="none"/>
        </w:rPr>
        <w:t>4、承诺函格式</w:t>
      </w:r>
    </w:p>
    <w:p w14:paraId="7A6220E4">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承诺函</w:t>
      </w:r>
    </w:p>
    <w:p w14:paraId="6DE1EE2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06CD8C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我方在参加贵单位的政府采购项目的招投标活动中，郑重承诺如下：</w:t>
      </w:r>
    </w:p>
    <w:p w14:paraId="4C301F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79A681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22306B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3、我方未处于被各级行政主管部门作出停止市场行为处罚的期限内；</w:t>
      </w:r>
    </w:p>
    <w:p w14:paraId="16CA5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6042EB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48D68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0B9C1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220085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0E87EAC5">
      <w:pPr>
        <w:spacing w:line="360" w:lineRule="auto"/>
        <w:ind w:firstLine="480" w:firstLineChars="200"/>
        <w:rPr>
          <w:rFonts w:ascii="宋体" w:hAnsi="宋体" w:cs="宋体"/>
          <w:color w:val="auto"/>
          <w:sz w:val="24"/>
          <w:highlight w:val="none"/>
        </w:rPr>
      </w:pPr>
    </w:p>
    <w:p w14:paraId="01D72907">
      <w:pPr>
        <w:pStyle w:val="3"/>
        <w:rPr>
          <w:rFonts w:ascii="宋体" w:hAnsi="宋体" w:eastAsia="宋体" w:cs="宋体"/>
          <w:color w:val="auto"/>
          <w:highlight w:val="none"/>
        </w:rPr>
      </w:pPr>
    </w:p>
    <w:p w14:paraId="3A8E56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供应商（加盖公章）：</w:t>
      </w:r>
    </w:p>
    <w:p w14:paraId="1D81CF9A">
      <w:pPr>
        <w:pStyle w:val="3"/>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时间：</w:t>
      </w:r>
      <w:r>
        <w:rPr>
          <w:rFonts w:hint="eastAsia" w:ascii="宋体" w:hAnsi="宋体" w:eastAsia="宋体" w:cs="宋体"/>
          <w:color w:val="auto"/>
          <w:highlight w:val="none"/>
        </w:rPr>
        <w:t xml:space="preserve">    年  月   日 </w:t>
      </w:r>
    </w:p>
    <w:p w14:paraId="047A0773">
      <w:pPr>
        <w:snapToGrid w:val="0"/>
        <w:spacing w:before="156" w:beforeLines="50" w:after="50" w:line="440" w:lineRule="exact"/>
        <w:rPr>
          <w:rFonts w:ascii="宋体" w:hAnsi="宋体" w:cs="宋体"/>
          <w:b/>
          <w:bCs/>
          <w:color w:val="auto"/>
          <w:sz w:val="24"/>
          <w:highlight w:val="none"/>
        </w:rPr>
      </w:pPr>
      <w:r>
        <w:rPr>
          <w:rFonts w:hint="eastAsia" w:ascii="宋体" w:hAnsi="宋体" w:cs="宋体"/>
          <w:color w:val="auto"/>
          <w:sz w:val="24"/>
          <w:highlight w:val="none"/>
        </w:rPr>
        <w:br w:type="page"/>
      </w:r>
    </w:p>
    <w:p w14:paraId="7044664C">
      <w:pPr>
        <w:snapToGrid w:val="0"/>
        <w:spacing w:line="460" w:lineRule="atLeast"/>
        <w:jc w:val="left"/>
        <w:rPr>
          <w:rFonts w:ascii="宋体" w:hAnsi="宋体" w:cs="宋体"/>
          <w:b/>
          <w:bCs/>
          <w:color w:val="auto"/>
          <w:sz w:val="24"/>
          <w:highlight w:val="none"/>
        </w:rPr>
      </w:pPr>
      <w:r>
        <w:rPr>
          <w:rFonts w:hint="eastAsia" w:ascii="宋体" w:hAnsi="宋体" w:cs="宋体"/>
          <w:b/>
          <w:bCs/>
          <w:color w:val="auto"/>
          <w:sz w:val="24"/>
          <w:highlight w:val="none"/>
        </w:rPr>
        <w:t>5、营业执照、资质证明文件等资料</w:t>
      </w:r>
    </w:p>
    <w:p w14:paraId="024D1A0D">
      <w:pPr>
        <w:snapToGrid w:val="0"/>
        <w:spacing w:before="156" w:beforeLines="50" w:after="50" w:line="440" w:lineRule="exact"/>
        <w:rPr>
          <w:rFonts w:ascii="宋体" w:hAnsi="宋体" w:cs="宋体"/>
          <w:color w:val="auto"/>
          <w:sz w:val="24"/>
          <w:highlight w:val="none"/>
        </w:rPr>
      </w:pPr>
    </w:p>
    <w:p w14:paraId="10B89809">
      <w:pPr>
        <w:snapToGrid w:val="0"/>
        <w:spacing w:before="156" w:beforeLines="50" w:after="50" w:line="440" w:lineRule="exact"/>
        <w:rPr>
          <w:rFonts w:ascii="宋体" w:hAnsi="宋体" w:cs="宋体"/>
          <w:color w:val="auto"/>
          <w:sz w:val="24"/>
          <w:highlight w:val="none"/>
        </w:rPr>
      </w:pPr>
    </w:p>
    <w:p w14:paraId="54E4111F">
      <w:pPr>
        <w:snapToGrid w:val="0"/>
        <w:spacing w:before="156" w:beforeLines="50" w:after="50" w:line="440" w:lineRule="exact"/>
        <w:jc w:val="center"/>
        <w:outlineLvl w:val="1"/>
        <w:rPr>
          <w:rFonts w:hint="eastAsia" w:ascii="宋体" w:hAnsi="宋体" w:cs="宋体"/>
          <w:color w:val="auto"/>
          <w:sz w:val="24"/>
          <w:highlight w:val="none"/>
        </w:rPr>
      </w:pPr>
    </w:p>
    <w:p w14:paraId="7CF8AF15">
      <w:pPr>
        <w:bidi w:val="0"/>
        <w:rPr>
          <w:rFonts w:hint="eastAsia" w:ascii="宋体" w:hAnsi="宋体" w:cs="宋体"/>
          <w:color w:val="auto"/>
          <w:sz w:val="24"/>
          <w:highlight w:val="none"/>
        </w:rPr>
      </w:pPr>
    </w:p>
    <w:p w14:paraId="1CBE0385">
      <w:pPr>
        <w:bidi w:val="0"/>
        <w:rPr>
          <w:rFonts w:hint="eastAsia" w:ascii="宋体" w:hAnsi="宋体" w:cs="宋体"/>
          <w:color w:val="auto"/>
          <w:sz w:val="24"/>
          <w:highlight w:val="none"/>
        </w:rPr>
      </w:pPr>
    </w:p>
    <w:p w14:paraId="0CB9ADE9">
      <w:pPr>
        <w:bidi w:val="0"/>
        <w:rPr>
          <w:rFonts w:hint="eastAsia" w:ascii="宋体" w:hAnsi="宋体" w:cs="宋体"/>
          <w:color w:val="auto"/>
          <w:sz w:val="24"/>
          <w:highlight w:val="none"/>
        </w:rPr>
      </w:pPr>
    </w:p>
    <w:p w14:paraId="0C0F8B15">
      <w:pPr>
        <w:bidi w:val="0"/>
        <w:rPr>
          <w:rFonts w:hint="eastAsia" w:ascii="宋体" w:hAnsi="宋体" w:cs="宋体"/>
          <w:color w:val="auto"/>
          <w:sz w:val="24"/>
          <w:highlight w:val="none"/>
        </w:rPr>
      </w:pPr>
    </w:p>
    <w:p w14:paraId="15F971B0">
      <w:pPr>
        <w:bidi w:val="0"/>
        <w:rPr>
          <w:rFonts w:hint="eastAsia" w:ascii="宋体" w:hAnsi="宋体" w:cs="宋体"/>
          <w:color w:val="auto"/>
          <w:sz w:val="24"/>
          <w:highlight w:val="none"/>
        </w:rPr>
      </w:pPr>
    </w:p>
    <w:p w14:paraId="79F00FD4">
      <w:pPr>
        <w:bidi w:val="0"/>
        <w:rPr>
          <w:rFonts w:hint="eastAsia" w:ascii="宋体" w:hAnsi="宋体" w:cs="宋体"/>
          <w:color w:val="auto"/>
          <w:sz w:val="24"/>
          <w:highlight w:val="none"/>
        </w:rPr>
      </w:pPr>
    </w:p>
    <w:p w14:paraId="6A133151">
      <w:pPr>
        <w:bidi w:val="0"/>
        <w:rPr>
          <w:rFonts w:hint="eastAsia" w:ascii="宋体" w:hAnsi="宋体" w:cs="宋体"/>
          <w:color w:val="auto"/>
          <w:sz w:val="24"/>
          <w:highlight w:val="none"/>
        </w:rPr>
      </w:pPr>
    </w:p>
    <w:p w14:paraId="3AB1A1AF">
      <w:pPr>
        <w:bidi w:val="0"/>
        <w:rPr>
          <w:rFonts w:hint="eastAsia" w:ascii="宋体" w:hAnsi="宋体" w:cs="宋体"/>
          <w:color w:val="auto"/>
          <w:sz w:val="24"/>
          <w:highlight w:val="none"/>
        </w:rPr>
      </w:pPr>
    </w:p>
    <w:p w14:paraId="25BD1515">
      <w:pPr>
        <w:bidi w:val="0"/>
        <w:rPr>
          <w:rFonts w:hint="eastAsia" w:ascii="宋体" w:hAnsi="宋体" w:cs="宋体"/>
          <w:color w:val="auto"/>
          <w:sz w:val="24"/>
          <w:highlight w:val="none"/>
        </w:rPr>
      </w:pPr>
    </w:p>
    <w:p w14:paraId="44AC0C46">
      <w:pPr>
        <w:pStyle w:val="29"/>
        <w:rPr>
          <w:rFonts w:hint="eastAsia" w:ascii="宋体" w:hAnsi="宋体" w:cs="宋体"/>
          <w:color w:val="auto"/>
          <w:sz w:val="24"/>
          <w:highlight w:val="none"/>
        </w:rPr>
      </w:pPr>
    </w:p>
    <w:p w14:paraId="5BAA5985">
      <w:pPr>
        <w:pStyle w:val="10"/>
        <w:rPr>
          <w:rFonts w:hint="eastAsia" w:ascii="宋体" w:hAnsi="宋体" w:cs="宋体"/>
          <w:color w:val="auto"/>
          <w:sz w:val="24"/>
          <w:highlight w:val="none"/>
        </w:rPr>
      </w:pPr>
    </w:p>
    <w:p w14:paraId="06E9F534">
      <w:pPr>
        <w:pStyle w:val="11"/>
        <w:rPr>
          <w:rFonts w:hint="eastAsia" w:ascii="宋体" w:hAnsi="宋体" w:cs="宋体"/>
          <w:color w:val="auto"/>
          <w:sz w:val="24"/>
          <w:highlight w:val="none"/>
        </w:rPr>
      </w:pPr>
    </w:p>
    <w:p w14:paraId="7B7C4BAA">
      <w:pPr>
        <w:rPr>
          <w:rFonts w:hint="eastAsia" w:ascii="宋体" w:hAnsi="宋体" w:cs="宋体"/>
          <w:color w:val="auto"/>
          <w:sz w:val="24"/>
          <w:highlight w:val="none"/>
        </w:rPr>
      </w:pPr>
    </w:p>
    <w:p w14:paraId="3DEB7457">
      <w:pPr>
        <w:pStyle w:val="29"/>
        <w:rPr>
          <w:rFonts w:hint="eastAsia" w:ascii="宋体" w:hAnsi="宋体" w:cs="宋体"/>
          <w:color w:val="auto"/>
          <w:sz w:val="24"/>
          <w:highlight w:val="none"/>
        </w:rPr>
      </w:pPr>
    </w:p>
    <w:p w14:paraId="37A17E1F">
      <w:pPr>
        <w:pStyle w:val="10"/>
        <w:rPr>
          <w:rFonts w:hint="eastAsia" w:ascii="宋体" w:hAnsi="宋体" w:cs="宋体"/>
          <w:color w:val="auto"/>
          <w:sz w:val="24"/>
          <w:highlight w:val="none"/>
        </w:rPr>
      </w:pPr>
    </w:p>
    <w:p w14:paraId="3DC9E57E">
      <w:pPr>
        <w:pStyle w:val="11"/>
        <w:rPr>
          <w:rFonts w:hint="eastAsia" w:ascii="宋体" w:hAnsi="宋体" w:cs="宋体"/>
          <w:color w:val="auto"/>
          <w:sz w:val="24"/>
          <w:highlight w:val="none"/>
        </w:rPr>
      </w:pPr>
    </w:p>
    <w:p w14:paraId="6A48DC7A">
      <w:pPr>
        <w:rPr>
          <w:rFonts w:hint="eastAsia" w:ascii="宋体" w:hAnsi="宋体" w:cs="宋体"/>
          <w:color w:val="auto"/>
          <w:sz w:val="24"/>
          <w:highlight w:val="none"/>
        </w:rPr>
      </w:pPr>
    </w:p>
    <w:p w14:paraId="7C49D311">
      <w:pPr>
        <w:pStyle w:val="29"/>
        <w:rPr>
          <w:rFonts w:hint="eastAsia" w:ascii="宋体" w:hAnsi="宋体" w:cs="宋体"/>
          <w:color w:val="auto"/>
          <w:sz w:val="24"/>
          <w:highlight w:val="none"/>
        </w:rPr>
      </w:pPr>
    </w:p>
    <w:p w14:paraId="641422C8">
      <w:pPr>
        <w:pStyle w:val="10"/>
        <w:rPr>
          <w:rFonts w:hint="eastAsia" w:ascii="宋体" w:hAnsi="宋体" w:cs="宋体"/>
          <w:color w:val="auto"/>
          <w:sz w:val="24"/>
          <w:highlight w:val="none"/>
        </w:rPr>
      </w:pPr>
    </w:p>
    <w:p w14:paraId="07A3D551">
      <w:pPr>
        <w:pStyle w:val="11"/>
        <w:rPr>
          <w:rFonts w:hint="eastAsia" w:ascii="宋体" w:hAnsi="宋体" w:cs="宋体"/>
          <w:color w:val="auto"/>
          <w:sz w:val="24"/>
          <w:highlight w:val="none"/>
        </w:rPr>
      </w:pPr>
    </w:p>
    <w:p w14:paraId="10A5180F">
      <w:pPr>
        <w:rPr>
          <w:rFonts w:hint="eastAsia" w:ascii="宋体" w:hAnsi="宋体" w:cs="宋体"/>
          <w:color w:val="auto"/>
          <w:sz w:val="24"/>
          <w:highlight w:val="none"/>
        </w:rPr>
      </w:pPr>
    </w:p>
    <w:p w14:paraId="0CFFDF02">
      <w:pPr>
        <w:pStyle w:val="29"/>
        <w:rPr>
          <w:rFonts w:hint="eastAsia" w:ascii="宋体" w:hAnsi="宋体" w:cs="宋体"/>
          <w:color w:val="auto"/>
          <w:sz w:val="24"/>
          <w:highlight w:val="none"/>
        </w:rPr>
      </w:pPr>
    </w:p>
    <w:p w14:paraId="21D9817E">
      <w:pPr>
        <w:pStyle w:val="10"/>
        <w:rPr>
          <w:rFonts w:hint="eastAsia" w:ascii="宋体" w:hAnsi="宋体" w:cs="宋体"/>
          <w:color w:val="auto"/>
          <w:sz w:val="24"/>
          <w:highlight w:val="none"/>
        </w:rPr>
      </w:pPr>
    </w:p>
    <w:p w14:paraId="53AECB04">
      <w:pPr>
        <w:pStyle w:val="11"/>
        <w:rPr>
          <w:rFonts w:hint="eastAsia" w:ascii="宋体" w:hAnsi="宋体" w:cs="宋体"/>
          <w:color w:val="auto"/>
          <w:sz w:val="24"/>
          <w:highlight w:val="none"/>
        </w:rPr>
      </w:pPr>
    </w:p>
    <w:p w14:paraId="69CB9444">
      <w:pPr>
        <w:rPr>
          <w:rFonts w:hint="eastAsia" w:ascii="宋体" w:hAnsi="宋体" w:cs="宋体"/>
          <w:color w:val="auto"/>
          <w:sz w:val="24"/>
          <w:highlight w:val="none"/>
        </w:rPr>
      </w:pPr>
    </w:p>
    <w:p w14:paraId="78662315">
      <w:pPr>
        <w:pStyle w:val="29"/>
        <w:rPr>
          <w:rFonts w:hint="eastAsia" w:ascii="宋体" w:hAnsi="宋体" w:cs="宋体"/>
          <w:color w:val="auto"/>
          <w:sz w:val="24"/>
          <w:highlight w:val="none"/>
        </w:rPr>
      </w:pPr>
    </w:p>
    <w:p w14:paraId="539D6236">
      <w:pPr>
        <w:pStyle w:val="10"/>
        <w:rPr>
          <w:rFonts w:hint="eastAsia" w:ascii="宋体" w:hAnsi="宋体" w:cs="宋体"/>
          <w:color w:val="auto"/>
          <w:sz w:val="24"/>
          <w:highlight w:val="none"/>
        </w:rPr>
      </w:pPr>
    </w:p>
    <w:p w14:paraId="6641A4B2">
      <w:pPr>
        <w:pStyle w:val="11"/>
        <w:rPr>
          <w:rFonts w:hint="eastAsia" w:ascii="宋体" w:hAnsi="宋体" w:cs="宋体"/>
          <w:color w:val="auto"/>
          <w:sz w:val="24"/>
          <w:highlight w:val="none"/>
        </w:rPr>
      </w:pPr>
    </w:p>
    <w:p w14:paraId="047BB638">
      <w:pPr>
        <w:rPr>
          <w:rFonts w:hint="eastAsia"/>
        </w:rPr>
      </w:pPr>
    </w:p>
    <w:p w14:paraId="53641613">
      <w:pPr>
        <w:bidi w:val="0"/>
        <w:rPr>
          <w:rFonts w:hint="eastAsia" w:ascii="宋体" w:hAnsi="宋体" w:cs="宋体"/>
          <w:color w:val="auto"/>
          <w:sz w:val="24"/>
          <w:highlight w:val="none"/>
        </w:rPr>
      </w:pPr>
    </w:p>
    <w:p w14:paraId="413B4311">
      <w:pPr>
        <w:bidi w:val="0"/>
        <w:rPr>
          <w:rFonts w:hint="eastAsia" w:ascii="宋体" w:hAnsi="宋体" w:cs="宋体"/>
          <w:color w:val="auto"/>
          <w:sz w:val="24"/>
          <w:highlight w:val="none"/>
        </w:rPr>
      </w:pPr>
    </w:p>
    <w:p w14:paraId="4A9CC9A1">
      <w:pPr>
        <w:bidi w:val="0"/>
        <w:rPr>
          <w:rFonts w:hint="eastAsia" w:ascii="宋体" w:hAnsi="宋体" w:cs="宋体"/>
          <w:color w:val="auto"/>
          <w:sz w:val="24"/>
          <w:highlight w:val="none"/>
        </w:rPr>
      </w:pPr>
    </w:p>
    <w:p w14:paraId="6D1C4ACC">
      <w:pPr>
        <w:pStyle w:val="27"/>
        <w:jc w:val="both"/>
        <w:rPr>
          <w:b/>
        </w:rPr>
      </w:pPr>
      <w:r>
        <w:rPr>
          <w:rFonts w:hint="eastAsia"/>
          <w:b/>
        </w:rPr>
        <w:t>6.中小企业声明函格式</w:t>
      </w:r>
    </w:p>
    <w:p w14:paraId="0057B879">
      <w:pPr>
        <w:pStyle w:val="15"/>
        <w:snapToGrid w:val="0"/>
        <w:spacing w:before="31" w:beforeLines="10" w:after="31" w:afterLines="10"/>
        <w:jc w:val="center"/>
        <w:rPr>
          <w:rFonts w:hAnsi="宋体"/>
          <w:b/>
          <w:sz w:val="32"/>
          <w:szCs w:val="32"/>
        </w:rPr>
      </w:pPr>
      <w:r>
        <w:rPr>
          <w:rFonts w:hint="eastAsia" w:hAnsi="宋体"/>
          <w:b/>
          <w:sz w:val="32"/>
          <w:szCs w:val="32"/>
        </w:rPr>
        <w:t>中小企业声明函</w:t>
      </w:r>
    </w:p>
    <w:p w14:paraId="6FB1154F">
      <w:pPr>
        <w:pStyle w:val="15"/>
        <w:snapToGrid w:val="0"/>
        <w:spacing w:before="31" w:beforeLines="10" w:after="31" w:afterLines="10"/>
        <w:jc w:val="both"/>
        <w:rPr>
          <w:rFonts w:hint="default" w:hAnsi="宋体" w:eastAsia="宋体"/>
          <w:b/>
          <w:sz w:val="32"/>
          <w:szCs w:val="32"/>
          <w:lang w:val="en-US" w:eastAsia="zh-CN"/>
        </w:rPr>
      </w:pPr>
      <w:r>
        <w:rPr>
          <w:rFonts w:hint="eastAsia" w:hAnsi="宋体"/>
          <w:b/>
          <w:sz w:val="32"/>
          <w:szCs w:val="32"/>
          <w:lang w:val="en-US" w:eastAsia="zh-CN"/>
        </w:rPr>
        <w:t xml:space="preserve">                     </w:t>
      </w:r>
    </w:p>
    <w:p w14:paraId="605DCBA7">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426F27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48AB58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A7F5693">
      <w:pPr>
        <w:spacing w:line="360" w:lineRule="auto"/>
        <w:ind w:firstLine="480" w:firstLineChars="200"/>
        <w:rPr>
          <w:rFonts w:ascii="宋体" w:hAnsi="宋体" w:cs="宋体"/>
          <w:sz w:val="24"/>
        </w:rPr>
      </w:pPr>
      <w:r>
        <w:rPr>
          <w:rFonts w:hint="eastAsia" w:ascii="宋体" w:hAnsi="宋体" w:cs="宋体"/>
          <w:sz w:val="24"/>
        </w:rPr>
        <w:t>……</w:t>
      </w:r>
    </w:p>
    <w:p w14:paraId="464EBD5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BBF096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BF6850A">
      <w:pPr>
        <w:spacing w:line="360" w:lineRule="auto"/>
        <w:ind w:firstLine="480" w:firstLineChars="200"/>
        <w:rPr>
          <w:rFonts w:ascii="宋体" w:hAnsi="宋体" w:cs="宋体"/>
          <w:sz w:val="24"/>
        </w:rPr>
      </w:pPr>
    </w:p>
    <w:p w14:paraId="698782B6">
      <w:pPr>
        <w:pStyle w:val="3"/>
        <w:rPr>
          <w:rFonts w:ascii="宋体" w:hAnsi="宋体" w:eastAsia="宋体"/>
        </w:rPr>
      </w:pPr>
    </w:p>
    <w:p w14:paraId="3D2D441C">
      <w:pPr>
        <w:spacing w:line="360" w:lineRule="auto"/>
        <w:ind w:firstLine="5280" w:firstLineChars="2200"/>
        <w:rPr>
          <w:rFonts w:ascii="宋体" w:hAnsi="宋体" w:cs="宋体"/>
          <w:sz w:val="24"/>
        </w:rPr>
      </w:pPr>
      <w:r>
        <w:rPr>
          <w:rFonts w:hint="eastAsia" w:ascii="宋体" w:hAnsi="宋体" w:cs="宋体"/>
          <w:sz w:val="24"/>
        </w:rPr>
        <w:t>企业名称（盖章）：</w:t>
      </w:r>
    </w:p>
    <w:p w14:paraId="705A4E18">
      <w:pPr>
        <w:spacing w:line="360" w:lineRule="auto"/>
        <w:ind w:firstLine="6000" w:firstLineChars="2500"/>
        <w:rPr>
          <w:rFonts w:ascii="宋体" w:hAnsi="宋体" w:cs="宋体"/>
          <w:sz w:val="24"/>
        </w:rPr>
      </w:pPr>
      <w:r>
        <w:rPr>
          <w:rFonts w:hint="eastAsia" w:ascii="宋体" w:hAnsi="宋体" w:cs="宋体"/>
          <w:sz w:val="24"/>
        </w:rPr>
        <w:t>日 期：</w:t>
      </w:r>
    </w:p>
    <w:p w14:paraId="0AC50DD7">
      <w:pPr>
        <w:spacing w:line="360" w:lineRule="auto"/>
        <w:ind w:firstLine="480" w:firstLineChars="200"/>
        <w:rPr>
          <w:rFonts w:ascii="宋体" w:hAnsi="宋体" w:cs="宋体"/>
          <w:sz w:val="24"/>
        </w:rPr>
      </w:pPr>
      <w:r>
        <w:rPr>
          <w:rFonts w:hint="eastAsia" w:ascii="宋体" w:hAnsi="宋体" w:cs="宋体"/>
          <w:sz w:val="24"/>
        </w:rPr>
        <w:t>说明：</w:t>
      </w:r>
    </w:p>
    <w:p w14:paraId="158EADA8">
      <w:pPr>
        <w:spacing w:line="360" w:lineRule="auto"/>
        <w:ind w:firstLine="480" w:firstLineChars="200"/>
        <w:rPr>
          <w:rFonts w:ascii="宋体" w:hAnsi="宋体" w:cs="宋体"/>
          <w:sz w:val="24"/>
        </w:rPr>
      </w:pPr>
      <w:r>
        <w:rPr>
          <w:rFonts w:hint="eastAsia" w:ascii="宋体" w:hAnsi="宋体" w:cs="宋体"/>
          <w:sz w:val="24"/>
        </w:rPr>
        <w:t>1、从业人员、营业收入、资产总额填报上一年度数据，无上一年度数据的新成立企业可不填报。</w:t>
      </w:r>
    </w:p>
    <w:p w14:paraId="56A52848">
      <w:pPr>
        <w:pStyle w:val="27"/>
        <w:ind w:firstLine="482" w:firstLineChars="200"/>
        <w:jc w:val="both"/>
        <w:rPr>
          <w:b/>
        </w:rPr>
      </w:pPr>
      <w:r>
        <w:rPr>
          <w:rFonts w:hint="eastAsia"/>
          <w:b/>
        </w:rPr>
        <w:br w:type="page"/>
      </w:r>
      <w:r>
        <w:rPr>
          <w:rFonts w:hint="eastAsia"/>
          <w:b/>
        </w:rPr>
        <w:t>7.残疾人福利性单位声明函格式</w:t>
      </w:r>
    </w:p>
    <w:p w14:paraId="0707E1E7">
      <w:pPr>
        <w:pStyle w:val="15"/>
        <w:snapToGrid w:val="0"/>
        <w:spacing w:before="31" w:beforeLines="10" w:after="31" w:afterLines="10" w:line="360" w:lineRule="auto"/>
        <w:jc w:val="center"/>
        <w:rPr>
          <w:rFonts w:hAnsi="宋体"/>
          <w:b/>
          <w:sz w:val="32"/>
          <w:szCs w:val="32"/>
        </w:rPr>
      </w:pPr>
      <w:r>
        <w:rPr>
          <w:rFonts w:hint="eastAsia" w:hAnsi="宋体"/>
          <w:b/>
          <w:sz w:val="32"/>
          <w:szCs w:val="32"/>
        </w:rPr>
        <w:t>残疾人福利性单位声明函</w:t>
      </w:r>
    </w:p>
    <w:p w14:paraId="62B6B572">
      <w:pPr>
        <w:pStyle w:val="15"/>
        <w:snapToGrid w:val="0"/>
        <w:spacing w:before="31" w:beforeLines="10" w:after="31" w:afterLines="10" w:line="360" w:lineRule="auto"/>
        <w:ind w:firstLine="480" w:firstLineChars="200"/>
        <w:rPr>
          <w:rFonts w:hAnsi="宋体"/>
          <w:sz w:val="24"/>
        </w:rPr>
      </w:pPr>
      <w:r>
        <w:rPr>
          <w:rFonts w:hint="eastAsia" w:hAnsi="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sz w:val="24"/>
          <w:u w:val="single"/>
        </w:rPr>
        <w:t xml:space="preserve">                     </w:t>
      </w:r>
      <w:r>
        <w:rPr>
          <w:rFonts w:hint="eastAsia" w:hAnsi="宋体"/>
          <w:sz w:val="24"/>
        </w:rPr>
        <w:t>单位的</w:t>
      </w:r>
      <w:r>
        <w:rPr>
          <w:rFonts w:hint="eastAsia" w:hAnsi="宋体"/>
          <w:sz w:val="24"/>
          <w:u w:val="single"/>
        </w:rPr>
        <w:t xml:space="preserve">                </w:t>
      </w:r>
      <w:r>
        <w:rPr>
          <w:rFonts w:hint="eastAsia" w:hAnsi="宋体"/>
          <w:sz w:val="24"/>
        </w:rPr>
        <w:t>项目采购活动提供本单位制造的货物（由本单位承担工程、提供服务），或者提供其他残疾人福利性单位制造的货物（不包括使用非残疾人福利性单位注册商标的货物）。</w:t>
      </w:r>
    </w:p>
    <w:p w14:paraId="18FE5CA6">
      <w:pPr>
        <w:pStyle w:val="15"/>
        <w:snapToGrid w:val="0"/>
        <w:spacing w:before="31" w:beforeLines="10" w:after="31" w:afterLines="10" w:line="360" w:lineRule="auto"/>
        <w:ind w:firstLine="480" w:firstLineChars="200"/>
        <w:rPr>
          <w:rFonts w:hAnsi="宋体"/>
          <w:sz w:val="24"/>
        </w:rPr>
      </w:pPr>
      <w:r>
        <w:rPr>
          <w:rFonts w:hint="eastAsia" w:hAnsi="宋体"/>
          <w:sz w:val="24"/>
        </w:rPr>
        <w:t>本单位对上述声明的真实性负责。如有虚假，将依法承担相应责任。</w:t>
      </w:r>
    </w:p>
    <w:p w14:paraId="0DED2DA8">
      <w:pPr>
        <w:pStyle w:val="15"/>
        <w:snapToGrid w:val="0"/>
        <w:spacing w:before="31" w:beforeLines="10" w:after="31" w:afterLines="10" w:line="360" w:lineRule="auto"/>
        <w:rPr>
          <w:rFonts w:hAnsi="宋体"/>
          <w:sz w:val="24"/>
        </w:rPr>
      </w:pPr>
    </w:p>
    <w:p w14:paraId="6B23F77F">
      <w:pPr>
        <w:pStyle w:val="15"/>
        <w:snapToGrid w:val="0"/>
        <w:spacing w:before="31" w:beforeLines="10" w:after="31" w:afterLines="10" w:line="360" w:lineRule="auto"/>
        <w:rPr>
          <w:rFonts w:hAnsi="宋体"/>
          <w:sz w:val="24"/>
        </w:rPr>
      </w:pPr>
    </w:p>
    <w:p w14:paraId="0C161FB2">
      <w:pPr>
        <w:pStyle w:val="15"/>
        <w:snapToGrid w:val="0"/>
        <w:spacing w:before="31" w:beforeLines="10" w:after="31" w:afterLines="10" w:line="360" w:lineRule="auto"/>
        <w:ind w:firstLine="480" w:firstLineChars="200"/>
        <w:rPr>
          <w:rFonts w:hAnsi="宋体"/>
          <w:sz w:val="24"/>
        </w:rPr>
      </w:pPr>
      <w:r>
        <w:rPr>
          <w:rFonts w:hint="eastAsia" w:hAnsi="宋体"/>
          <w:sz w:val="24"/>
        </w:rPr>
        <w:t xml:space="preserve">                                              投标人（盖章）</w:t>
      </w:r>
    </w:p>
    <w:p w14:paraId="394CB2A7">
      <w:pPr>
        <w:pStyle w:val="15"/>
        <w:snapToGrid w:val="0"/>
        <w:spacing w:before="31" w:beforeLines="10" w:after="31" w:afterLines="10" w:line="360" w:lineRule="auto"/>
        <w:ind w:firstLine="480" w:firstLineChars="200"/>
        <w:rPr>
          <w:rFonts w:ascii="宋体" w:hAnsi="宋体" w:cs="宋体"/>
          <w:sz w:val="24"/>
        </w:rPr>
      </w:pPr>
      <w:r>
        <w:rPr>
          <w:rFonts w:hint="eastAsia" w:hAnsi="宋体"/>
          <w:sz w:val="24"/>
        </w:rPr>
        <w:t xml:space="preserve">                                              日期：    年   月   日</w:t>
      </w:r>
    </w:p>
    <w:p w14:paraId="4439FF7F">
      <w:pPr>
        <w:spacing w:line="360" w:lineRule="auto"/>
        <w:ind w:firstLine="480" w:firstLineChars="200"/>
        <w:rPr>
          <w:rFonts w:ascii="宋体" w:hAnsi="宋体" w:cs="宋体"/>
          <w:color w:val="auto"/>
          <w:sz w:val="24"/>
          <w:highlight w:val="none"/>
        </w:rPr>
      </w:pPr>
      <w:r>
        <w:rPr>
          <w:rFonts w:hint="eastAsia" w:ascii="宋体" w:hAnsi="宋体" w:cs="宋体"/>
          <w:sz w:val="24"/>
        </w:rPr>
        <w:t>说明：</w:t>
      </w:r>
      <w:r>
        <w:rPr>
          <w:rFonts w:hint="eastAsia" w:ascii="宋体" w:hAnsi="宋体" w:cs="宋体"/>
          <w:sz w:val="24"/>
          <w:lang w:val="en-US" w:eastAsia="zh-CN"/>
        </w:rPr>
        <w:t>1、</w:t>
      </w:r>
      <w:r>
        <w:rPr>
          <w:rFonts w:hint="eastAsia" w:ascii="宋体" w:hAnsi="宋体" w:cs="宋体"/>
          <w:color w:val="auto"/>
          <w:sz w:val="24"/>
          <w:highlight w:val="none"/>
        </w:rPr>
        <w:t>非残疾人福利性单位不需提供此声明函。</w:t>
      </w:r>
    </w:p>
    <w:p w14:paraId="2B09D0A2">
      <w:pPr>
        <w:ind w:firstLine="420" w:firstLineChars="200"/>
        <w:rPr>
          <w:rFonts w:hint="eastAsia" w:ascii="宋体" w:hAnsi="宋体" w:eastAsia="宋体" w:cs="宋体"/>
          <w:color w:val="000000"/>
        </w:rPr>
      </w:pPr>
    </w:p>
    <w:p w14:paraId="14B2A6C4">
      <w:pPr>
        <w:pStyle w:val="15"/>
        <w:snapToGrid w:val="0"/>
        <w:spacing w:before="31" w:beforeLines="10" w:after="31" w:afterLines="10" w:line="360" w:lineRule="auto"/>
        <w:ind w:firstLine="1200" w:firstLineChars="500"/>
        <w:rPr>
          <w:rFonts w:hAnsi="宋体"/>
          <w:b/>
        </w:rPr>
      </w:pPr>
      <w:r>
        <w:rPr>
          <w:rFonts w:hint="eastAsia" w:hAnsi="宋体"/>
          <w:color w:val="auto"/>
          <w:sz w:val="24"/>
          <w:highlight w:val="none"/>
          <w:lang w:val="en-US" w:eastAsia="zh-CN"/>
        </w:rPr>
        <w:t>2</w:t>
      </w:r>
      <w:r>
        <w:rPr>
          <w:rFonts w:hint="eastAsia" w:hAnsi="宋体"/>
          <w:color w:val="auto"/>
          <w:sz w:val="24"/>
          <w:highlight w:val="none"/>
        </w:rPr>
        <w:t>、联合体主办方和各成员单位分别提供此函。</w:t>
      </w:r>
      <w:r>
        <w:rPr>
          <w:rFonts w:hint="eastAsia" w:hAnsi="宋体"/>
          <w:b/>
          <w:sz w:val="24"/>
        </w:rPr>
        <w:br w:type="page"/>
      </w:r>
      <w:r>
        <w:rPr>
          <w:rFonts w:hint="eastAsia" w:hAnsi="宋体"/>
          <w:b/>
          <w:sz w:val="24"/>
        </w:rPr>
        <w:t>8.监狱企业声明函格式</w:t>
      </w:r>
    </w:p>
    <w:p w14:paraId="1F2EEFCA">
      <w:pPr>
        <w:pStyle w:val="15"/>
        <w:snapToGrid w:val="0"/>
        <w:spacing w:before="31" w:beforeLines="10" w:after="31" w:afterLines="10" w:line="360" w:lineRule="auto"/>
        <w:jc w:val="center"/>
        <w:rPr>
          <w:rFonts w:hAnsi="宋体"/>
          <w:b/>
          <w:sz w:val="32"/>
          <w:szCs w:val="32"/>
        </w:rPr>
      </w:pPr>
      <w:r>
        <w:rPr>
          <w:rFonts w:hint="eastAsia" w:hAnsi="宋体"/>
          <w:b/>
          <w:sz w:val="32"/>
          <w:szCs w:val="32"/>
        </w:rPr>
        <w:t>监狱企业声明函</w:t>
      </w:r>
    </w:p>
    <w:p w14:paraId="43769543">
      <w:pPr>
        <w:spacing w:line="360" w:lineRule="auto"/>
        <w:ind w:firstLine="480" w:firstLineChars="200"/>
        <w:rPr>
          <w:rFonts w:ascii="宋体" w:hAnsi="宋体" w:cs="宋体"/>
          <w:sz w:val="24"/>
        </w:rPr>
      </w:pPr>
      <w:r>
        <w:rPr>
          <w:rFonts w:hint="eastAsia" w:ascii="宋体" w:hAnsi="宋体" w:cs="宋体"/>
          <w:sz w:val="24"/>
        </w:rPr>
        <w:t>本单位郑重声明，根据《关于政府采购支持监狱企业发展有关问题的通知》（财库[2014]68号）的规定，本单位为监狱企业。</w:t>
      </w:r>
    </w:p>
    <w:p w14:paraId="4DFB1827">
      <w:pPr>
        <w:spacing w:line="360" w:lineRule="auto"/>
        <w:ind w:firstLine="480" w:firstLineChars="200"/>
        <w:rPr>
          <w:rFonts w:ascii="宋体" w:hAnsi="宋体" w:cs="宋体"/>
          <w:sz w:val="24"/>
        </w:rPr>
      </w:pPr>
      <w:r>
        <w:rPr>
          <w:rFonts w:hint="eastAsia" w:ascii="宋体" w:hAnsi="宋体" w:cs="宋体"/>
          <w:sz w:val="24"/>
        </w:rPr>
        <w:t>根据上述标准，我单位属于监狱企业的理由为：</w:t>
      </w:r>
      <w:r>
        <w:rPr>
          <w:rFonts w:hint="eastAsia" w:ascii="宋体" w:hAnsi="宋体" w:cs="宋体"/>
          <w:sz w:val="24"/>
          <w:u w:val="single"/>
        </w:rPr>
        <w:t xml:space="preserve">                     </w:t>
      </w:r>
      <w:r>
        <w:rPr>
          <w:rFonts w:hint="eastAsia" w:ascii="宋体" w:hAnsi="宋体" w:cs="宋体"/>
          <w:sz w:val="24"/>
        </w:rPr>
        <w:t>。</w:t>
      </w:r>
    </w:p>
    <w:p w14:paraId="1A57D0C3">
      <w:pPr>
        <w:pStyle w:val="15"/>
        <w:snapToGrid w:val="0"/>
        <w:spacing w:before="31" w:beforeLines="10" w:after="31" w:afterLines="10" w:line="360" w:lineRule="auto"/>
        <w:ind w:firstLine="480" w:firstLineChars="200"/>
        <w:rPr>
          <w:rFonts w:hAnsi="宋体"/>
          <w:sz w:val="24"/>
        </w:rPr>
      </w:pPr>
      <w:r>
        <w:rPr>
          <w:rFonts w:hint="eastAsia" w:hAnsi="宋体"/>
          <w:sz w:val="24"/>
        </w:rPr>
        <w:t>本单位参加</w:t>
      </w:r>
      <w:r>
        <w:rPr>
          <w:rFonts w:hint="eastAsia" w:hAnsi="宋体"/>
          <w:sz w:val="24"/>
          <w:u w:val="single"/>
        </w:rPr>
        <w:t xml:space="preserve">（采购人名称）       </w:t>
      </w:r>
      <w:r>
        <w:rPr>
          <w:rFonts w:hint="eastAsia" w:hAnsi="宋体"/>
          <w:sz w:val="24"/>
        </w:rPr>
        <w:t>单位的</w:t>
      </w:r>
      <w:r>
        <w:rPr>
          <w:rFonts w:hint="eastAsia" w:hAnsi="宋体"/>
          <w:sz w:val="24"/>
          <w:u w:val="single"/>
        </w:rPr>
        <w:t xml:space="preserve"> （项目名称）         </w:t>
      </w:r>
      <w:r>
        <w:rPr>
          <w:rFonts w:hint="eastAsia" w:hAnsi="宋体"/>
          <w:sz w:val="24"/>
        </w:rPr>
        <w:t>项目的采购活动，并由本单位为本项目提供货物。</w:t>
      </w:r>
    </w:p>
    <w:p w14:paraId="4CCCD163">
      <w:pPr>
        <w:pStyle w:val="15"/>
        <w:snapToGrid w:val="0"/>
        <w:spacing w:before="31" w:beforeLines="10" w:after="31" w:afterLines="10" w:line="360" w:lineRule="auto"/>
        <w:ind w:firstLine="480" w:firstLineChars="200"/>
        <w:rPr>
          <w:rFonts w:hAnsi="宋体"/>
          <w:sz w:val="24"/>
        </w:rPr>
      </w:pPr>
      <w:r>
        <w:rPr>
          <w:rFonts w:hint="eastAsia" w:hAnsi="宋体"/>
          <w:sz w:val="24"/>
        </w:rPr>
        <w:t>本单位对上述声明的真实性负责。如有虚假，将依法承担相应责任。</w:t>
      </w:r>
    </w:p>
    <w:p w14:paraId="691AEF66">
      <w:pPr>
        <w:pStyle w:val="15"/>
        <w:snapToGrid w:val="0"/>
        <w:spacing w:before="31" w:beforeLines="10" w:after="31" w:afterLines="10" w:line="360" w:lineRule="auto"/>
        <w:rPr>
          <w:rFonts w:hAnsi="宋体"/>
          <w:sz w:val="24"/>
        </w:rPr>
      </w:pPr>
    </w:p>
    <w:p w14:paraId="5A4DEB35">
      <w:pPr>
        <w:pStyle w:val="15"/>
        <w:snapToGrid w:val="0"/>
        <w:spacing w:before="31" w:beforeLines="10" w:after="31" w:afterLines="10" w:line="360" w:lineRule="auto"/>
        <w:rPr>
          <w:rFonts w:hAnsi="宋体"/>
          <w:sz w:val="24"/>
        </w:rPr>
      </w:pPr>
    </w:p>
    <w:p w14:paraId="7155F76D">
      <w:pPr>
        <w:pStyle w:val="15"/>
        <w:snapToGrid w:val="0"/>
        <w:spacing w:before="31" w:beforeLines="10" w:after="31" w:afterLines="10" w:line="360" w:lineRule="auto"/>
        <w:ind w:firstLine="480" w:firstLineChars="200"/>
        <w:rPr>
          <w:rFonts w:hAnsi="宋体"/>
          <w:sz w:val="24"/>
        </w:rPr>
      </w:pPr>
      <w:r>
        <w:rPr>
          <w:rFonts w:hint="eastAsia" w:hAnsi="宋体"/>
          <w:sz w:val="24"/>
        </w:rPr>
        <w:t xml:space="preserve">                                              投标人（盖章）</w:t>
      </w:r>
    </w:p>
    <w:p w14:paraId="6D562435">
      <w:pPr>
        <w:pStyle w:val="15"/>
        <w:snapToGrid w:val="0"/>
        <w:spacing w:before="31" w:beforeLines="10" w:after="31" w:afterLines="10" w:line="360" w:lineRule="auto"/>
        <w:ind w:firstLine="480" w:firstLineChars="200"/>
        <w:rPr>
          <w:rFonts w:hAnsi="宋体"/>
          <w:sz w:val="24"/>
        </w:rPr>
      </w:pPr>
      <w:r>
        <w:rPr>
          <w:rFonts w:hint="eastAsia" w:hAnsi="宋体"/>
          <w:sz w:val="24"/>
        </w:rPr>
        <w:t xml:space="preserve">                                              日期：    年   月   日</w:t>
      </w:r>
    </w:p>
    <w:p w14:paraId="2F5F7939">
      <w:pPr>
        <w:spacing w:line="360" w:lineRule="auto"/>
        <w:ind w:firstLine="480" w:firstLineChars="200"/>
        <w:rPr>
          <w:rFonts w:ascii="宋体" w:hAnsi="宋体" w:cs="宋体"/>
          <w:sz w:val="24"/>
        </w:rPr>
      </w:pPr>
      <w:r>
        <w:rPr>
          <w:rFonts w:hint="eastAsia" w:ascii="宋体" w:hAnsi="宋体" w:cs="宋体"/>
          <w:sz w:val="24"/>
        </w:rPr>
        <w:t>说明：</w:t>
      </w:r>
    </w:p>
    <w:p w14:paraId="17283218">
      <w:pPr>
        <w:spacing w:line="360" w:lineRule="auto"/>
        <w:ind w:firstLine="480" w:firstLineChars="200"/>
        <w:rPr>
          <w:rFonts w:ascii="宋体" w:hAnsi="宋体" w:cs="宋体"/>
          <w:sz w:val="24"/>
        </w:rPr>
      </w:pPr>
      <w:r>
        <w:rPr>
          <w:rFonts w:hint="eastAsia" w:ascii="宋体" w:hAnsi="宋体" w:cs="宋体"/>
          <w:sz w:val="24"/>
        </w:rPr>
        <w:t>1.监狱企业参加采购活动时，应当提供由省级以上监狱管理局、戒毒管理局（含新疆生产建设兵团）出具的属于监狱企业的证明文件。</w:t>
      </w:r>
    </w:p>
    <w:p w14:paraId="4907B4C7">
      <w:pPr>
        <w:spacing w:line="360" w:lineRule="auto"/>
        <w:ind w:firstLine="480" w:firstLineChars="200"/>
        <w:rPr>
          <w:rFonts w:ascii="宋体" w:hAnsi="宋体" w:cs="宋体"/>
          <w:sz w:val="24"/>
        </w:rPr>
      </w:pPr>
      <w:r>
        <w:rPr>
          <w:rFonts w:hint="eastAsia" w:ascii="宋体" w:hAnsi="宋体" w:cs="宋体"/>
          <w:sz w:val="24"/>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F77EDE">
      <w:pPr>
        <w:pStyle w:val="15"/>
        <w:snapToGrid w:val="0"/>
        <w:spacing w:before="31" w:beforeLines="10" w:after="31" w:afterLines="10" w:line="360" w:lineRule="auto"/>
        <w:ind w:firstLine="480" w:firstLineChars="200"/>
        <w:rPr>
          <w:rFonts w:hint="eastAsia" w:hAnsi="宋体" w:cs="Times New Roman"/>
          <w:sz w:val="24"/>
        </w:rPr>
      </w:pPr>
      <w:r>
        <w:rPr>
          <w:rFonts w:hint="eastAsia" w:hAnsi="宋体" w:cs="Times New Roman"/>
          <w:sz w:val="24"/>
          <w:lang w:val="en-US" w:eastAsia="zh-CN"/>
        </w:rPr>
        <w:t>3.</w:t>
      </w:r>
      <w:r>
        <w:rPr>
          <w:rFonts w:hint="eastAsia" w:hAnsi="宋体" w:cs="Times New Roman"/>
          <w:sz w:val="24"/>
        </w:rPr>
        <w:t>非监狱企业不需提供此声明函。</w:t>
      </w:r>
    </w:p>
    <w:p w14:paraId="37FDD429">
      <w:pPr>
        <w:pStyle w:val="15"/>
        <w:snapToGrid w:val="0"/>
        <w:spacing w:before="31" w:beforeLines="10" w:after="31" w:afterLines="10" w:line="360" w:lineRule="auto"/>
        <w:ind w:firstLine="480" w:firstLineChars="200"/>
        <w:rPr>
          <w:rFonts w:hint="eastAsia" w:hAnsi="宋体" w:cs="Times New Roman"/>
          <w:sz w:val="24"/>
        </w:rPr>
      </w:pPr>
    </w:p>
    <w:p w14:paraId="665D2487">
      <w:pPr>
        <w:pStyle w:val="42"/>
      </w:pPr>
    </w:p>
    <w:p w14:paraId="0E2A4B62">
      <w:pPr>
        <w:snapToGrid w:val="0"/>
        <w:spacing w:before="156" w:beforeLines="50" w:after="50" w:line="440" w:lineRule="exact"/>
        <w:jc w:val="center"/>
        <w:outlineLvl w:val="1"/>
        <w:rPr>
          <w:rFonts w:ascii="宋体" w:hAnsi="宋体" w:cs="宋体"/>
          <w:sz w:val="24"/>
        </w:rPr>
      </w:pPr>
    </w:p>
    <w:p w14:paraId="1C302B8F">
      <w:pPr>
        <w:snapToGrid w:val="0"/>
        <w:spacing w:before="156" w:beforeLines="50" w:after="50" w:line="440" w:lineRule="exact"/>
        <w:outlineLvl w:val="1"/>
        <w:rPr>
          <w:rFonts w:ascii="宋体" w:hAnsi="宋体" w:cs="宋体"/>
          <w:sz w:val="24"/>
        </w:rPr>
      </w:pPr>
    </w:p>
    <w:p w14:paraId="591DD576">
      <w:pPr>
        <w:snapToGrid w:val="0"/>
        <w:spacing w:before="156" w:beforeLines="50" w:after="50" w:line="440" w:lineRule="exact"/>
        <w:jc w:val="center"/>
        <w:outlineLvl w:val="1"/>
        <w:rPr>
          <w:rFonts w:ascii="宋体" w:hAnsi="宋体" w:cs="宋体"/>
          <w:sz w:val="24"/>
        </w:rPr>
      </w:pPr>
    </w:p>
    <w:p w14:paraId="70A41185">
      <w:pPr>
        <w:snapToGrid w:val="0"/>
        <w:spacing w:before="156" w:beforeLines="50" w:after="50" w:line="440" w:lineRule="exact"/>
        <w:jc w:val="center"/>
        <w:outlineLvl w:val="1"/>
        <w:rPr>
          <w:rFonts w:ascii="宋体" w:hAnsi="宋体" w:cs="宋体"/>
          <w:sz w:val="24"/>
        </w:rPr>
      </w:pPr>
    </w:p>
    <w:p w14:paraId="5C78F0BB">
      <w:pPr>
        <w:pStyle w:val="3"/>
        <w:rPr>
          <w:rFonts w:ascii="宋体" w:hAnsi="宋体" w:cs="宋体"/>
          <w:sz w:val="24"/>
        </w:rPr>
      </w:pPr>
    </w:p>
    <w:p w14:paraId="61FB9D12"/>
    <w:p w14:paraId="35C3D2AD">
      <w:pPr>
        <w:numPr>
          <w:ilvl w:val="0"/>
          <w:numId w:val="0"/>
        </w:numPr>
        <w:bidi w:val="0"/>
        <w:ind w:leftChars="0"/>
        <w:jc w:val="center"/>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二、</w:t>
      </w:r>
      <w:r>
        <w:rPr>
          <w:rFonts w:hint="eastAsia" w:ascii="宋体" w:hAnsi="宋体" w:cs="宋体"/>
          <w:b/>
          <w:bCs/>
          <w:color w:val="auto"/>
          <w:sz w:val="24"/>
          <w:highlight w:val="none"/>
        </w:rPr>
        <w:t>商务技术文件格式</w:t>
      </w:r>
    </w:p>
    <w:p w14:paraId="7D8E39ED">
      <w:pPr>
        <w:pStyle w:val="2"/>
        <w:numPr>
          <w:ilvl w:val="0"/>
          <w:numId w:val="0"/>
        </w:numPr>
        <w:ind w:leftChars="0"/>
      </w:pPr>
    </w:p>
    <w:p w14:paraId="11E7CAF2">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·商务技术文件封面格式：</w:t>
      </w:r>
    </w:p>
    <w:p w14:paraId="2DD8E11B">
      <w:pPr>
        <w:snapToGrid w:val="0"/>
        <w:spacing w:before="156" w:beforeLines="50" w:after="50" w:line="440" w:lineRule="exact"/>
        <w:rPr>
          <w:rFonts w:ascii="宋体" w:hAnsi="宋体" w:cs="宋体"/>
          <w:b/>
          <w:bCs/>
          <w:color w:val="auto"/>
          <w:sz w:val="32"/>
          <w:highlight w:val="none"/>
        </w:rPr>
      </w:pPr>
    </w:p>
    <w:p w14:paraId="2340F3F8">
      <w:pPr>
        <w:snapToGrid w:val="0"/>
        <w:spacing w:before="156" w:beforeLines="50" w:after="50" w:line="440" w:lineRule="exact"/>
        <w:rPr>
          <w:rFonts w:ascii="宋体" w:hAnsi="宋体" w:cs="宋体"/>
          <w:color w:val="auto"/>
          <w:sz w:val="24"/>
          <w:highlight w:val="none"/>
        </w:rPr>
      </w:pPr>
    </w:p>
    <w:p w14:paraId="1C88A6A7">
      <w:pPr>
        <w:snapToGrid w:val="0"/>
        <w:spacing w:before="156" w:beforeLines="50" w:after="50" w:line="440" w:lineRule="exact"/>
        <w:jc w:val="center"/>
        <w:rPr>
          <w:rFonts w:ascii="宋体" w:hAnsi="宋体" w:cs="宋体"/>
          <w:bCs/>
          <w:color w:val="auto"/>
          <w:sz w:val="24"/>
          <w:highlight w:val="none"/>
        </w:rPr>
      </w:pPr>
    </w:p>
    <w:p w14:paraId="79C58CCB">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商务技术</w:t>
      </w:r>
      <w:r>
        <w:rPr>
          <w:rFonts w:hint="eastAsia" w:ascii="宋体" w:hAnsi="宋体" w:cs="宋体"/>
          <w:color w:val="auto"/>
          <w:sz w:val="24"/>
          <w:highlight w:val="none"/>
        </w:rPr>
        <w:t>文件</w:t>
      </w:r>
    </w:p>
    <w:p w14:paraId="4EE47A2F">
      <w:pPr>
        <w:snapToGrid w:val="0"/>
        <w:spacing w:before="156" w:beforeLines="50" w:after="50" w:line="440" w:lineRule="exact"/>
        <w:rPr>
          <w:rFonts w:ascii="宋体" w:hAnsi="宋体" w:cs="宋体"/>
          <w:bCs/>
          <w:color w:val="auto"/>
          <w:sz w:val="24"/>
          <w:highlight w:val="none"/>
        </w:rPr>
      </w:pPr>
    </w:p>
    <w:p w14:paraId="20BC48A5">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507AFB04">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7193FF1A">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74CFAEA9">
      <w:pPr>
        <w:pStyle w:val="7"/>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5DF5D5BE">
      <w:pPr>
        <w:snapToGrid w:val="0"/>
        <w:spacing w:before="156" w:beforeLines="50" w:after="50" w:line="440" w:lineRule="exact"/>
        <w:ind w:firstLine="4080" w:firstLineChars="1700"/>
        <w:rPr>
          <w:rFonts w:ascii="宋体" w:hAnsi="宋体" w:cs="宋体"/>
          <w:color w:val="auto"/>
          <w:sz w:val="24"/>
          <w:highlight w:val="none"/>
        </w:rPr>
      </w:pPr>
    </w:p>
    <w:p w14:paraId="4FB22751">
      <w:pPr>
        <w:snapToGrid w:val="0"/>
        <w:spacing w:before="156" w:beforeLines="50" w:after="50" w:line="440" w:lineRule="exact"/>
        <w:ind w:firstLine="645"/>
        <w:jc w:val="center"/>
        <w:rPr>
          <w:rFonts w:ascii="宋体" w:hAnsi="宋体" w:cs="宋体"/>
          <w:b/>
          <w:color w:val="auto"/>
          <w:szCs w:val="21"/>
          <w:highlight w:val="none"/>
        </w:rPr>
      </w:pPr>
      <w:r>
        <w:rPr>
          <w:rFonts w:hint="eastAsia" w:ascii="宋体" w:hAnsi="宋体" w:cs="宋体"/>
          <w:color w:val="auto"/>
          <w:sz w:val="24"/>
          <w:highlight w:val="none"/>
        </w:rPr>
        <w:t xml:space="preserve">                        年  月  日</w:t>
      </w:r>
    </w:p>
    <w:p w14:paraId="0273E04A">
      <w:pPr>
        <w:pStyle w:val="41"/>
        <w:spacing w:line="360" w:lineRule="auto"/>
        <w:jc w:val="right"/>
        <w:rPr>
          <w:rFonts w:hAnsi="宋体" w:eastAsia="宋体" w:cs="宋体"/>
          <w:color w:val="auto"/>
          <w:szCs w:val="21"/>
          <w:highlight w:val="none"/>
        </w:rPr>
      </w:pPr>
    </w:p>
    <w:p w14:paraId="1EDA23AF">
      <w:pPr>
        <w:snapToGrid w:val="0"/>
        <w:spacing w:before="50" w:after="156" w:afterLines="50" w:line="440" w:lineRule="exact"/>
        <w:jc w:val="left"/>
        <w:rPr>
          <w:rFonts w:ascii="宋体" w:hAnsi="宋体" w:cs="宋体"/>
          <w:b/>
          <w:bCs/>
          <w:color w:val="auto"/>
          <w:sz w:val="24"/>
          <w:highlight w:val="none"/>
        </w:rPr>
      </w:pPr>
      <w:r>
        <w:rPr>
          <w:rFonts w:hint="eastAsia" w:ascii="宋体" w:hAnsi="宋体" w:cs="宋体"/>
          <w:color w:val="auto"/>
          <w:szCs w:val="21"/>
          <w:highlight w:val="none"/>
        </w:rPr>
        <w:br w:type="page"/>
      </w:r>
      <w:bookmarkEnd w:id="68"/>
      <w:bookmarkStart w:id="69" w:name="OLE_LINK17"/>
      <w:r>
        <w:rPr>
          <w:rFonts w:hint="eastAsia" w:ascii="宋体" w:hAnsi="宋体" w:cs="宋体"/>
          <w:b/>
          <w:bCs/>
          <w:color w:val="auto"/>
          <w:sz w:val="24"/>
          <w:highlight w:val="none"/>
        </w:rPr>
        <w:t>1、投标人情况介绍</w:t>
      </w:r>
    </w:p>
    <w:p w14:paraId="5BE10FDF">
      <w:pPr>
        <w:spacing w:before="72"/>
        <w:ind w:left="65" w:right="6"/>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tbl>
      <w:tblPr>
        <w:tblStyle w:val="31"/>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1EE0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ign w:val="center"/>
          </w:tcPr>
          <w:p w14:paraId="6218A6C4">
            <w:pPr>
              <w:rPr>
                <w:rFonts w:ascii="宋体" w:hAnsi="宋体" w:cs="宋体"/>
                <w:color w:val="auto"/>
                <w:sz w:val="24"/>
                <w:highlight w:val="none"/>
              </w:rPr>
            </w:pPr>
          </w:p>
          <w:p w14:paraId="204B796B">
            <w:pPr>
              <w:jc w:val="center"/>
              <w:rPr>
                <w:rFonts w:ascii="宋体" w:hAnsi="宋体" w:cs="宋体"/>
                <w:color w:val="auto"/>
                <w:sz w:val="24"/>
                <w:highlight w:val="none"/>
              </w:rPr>
            </w:pPr>
            <w:r>
              <w:rPr>
                <w:rFonts w:hint="eastAsia" w:ascii="宋体" w:hAnsi="宋体" w:cs="宋体"/>
                <w:color w:val="auto"/>
                <w:sz w:val="24"/>
                <w:highlight w:val="none"/>
              </w:rPr>
              <w:t>投</w:t>
            </w:r>
          </w:p>
          <w:p w14:paraId="439DFB2F">
            <w:pPr>
              <w:jc w:val="center"/>
              <w:rPr>
                <w:rFonts w:ascii="宋体" w:hAnsi="宋体" w:cs="宋体"/>
                <w:color w:val="auto"/>
                <w:sz w:val="24"/>
                <w:highlight w:val="none"/>
              </w:rPr>
            </w:pPr>
          </w:p>
          <w:p w14:paraId="1368AB7A">
            <w:pPr>
              <w:jc w:val="center"/>
              <w:rPr>
                <w:rFonts w:ascii="宋体" w:hAnsi="宋体" w:cs="宋体"/>
                <w:color w:val="auto"/>
                <w:sz w:val="24"/>
                <w:highlight w:val="none"/>
              </w:rPr>
            </w:pPr>
            <w:r>
              <w:rPr>
                <w:rFonts w:hint="eastAsia" w:ascii="宋体" w:hAnsi="宋体" w:cs="宋体"/>
                <w:color w:val="auto"/>
                <w:sz w:val="24"/>
                <w:highlight w:val="none"/>
              </w:rPr>
              <w:t>标</w:t>
            </w:r>
          </w:p>
          <w:p w14:paraId="7AAE6F9A">
            <w:pPr>
              <w:jc w:val="center"/>
              <w:rPr>
                <w:rFonts w:ascii="宋体" w:hAnsi="宋体" w:cs="宋体"/>
                <w:color w:val="auto"/>
                <w:sz w:val="24"/>
                <w:highlight w:val="none"/>
              </w:rPr>
            </w:pPr>
          </w:p>
          <w:p w14:paraId="094364B6">
            <w:pPr>
              <w:jc w:val="center"/>
              <w:rPr>
                <w:rFonts w:ascii="宋体" w:hAnsi="宋体" w:cs="宋体"/>
                <w:color w:val="auto"/>
                <w:sz w:val="24"/>
                <w:highlight w:val="none"/>
              </w:rPr>
            </w:pPr>
            <w:r>
              <w:rPr>
                <w:rFonts w:hint="eastAsia" w:ascii="宋体" w:hAnsi="宋体" w:cs="宋体"/>
                <w:color w:val="auto"/>
                <w:sz w:val="24"/>
                <w:highlight w:val="none"/>
              </w:rPr>
              <w:t>人</w:t>
            </w:r>
          </w:p>
          <w:p w14:paraId="17E18DC1">
            <w:pPr>
              <w:jc w:val="center"/>
              <w:rPr>
                <w:rFonts w:ascii="宋体" w:hAnsi="宋体" w:cs="宋体"/>
                <w:color w:val="auto"/>
                <w:sz w:val="24"/>
                <w:highlight w:val="none"/>
              </w:rPr>
            </w:pPr>
          </w:p>
          <w:p w14:paraId="4F126928">
            <w:pPr>
              <w:jc w:val="center"/>
              <w:rPr>
                <w:rFonts w:ascii="宋体" w:hAnsi="宋体" w:cs="宋体"/>
                <w:color w:val="auto"/>
                <w:sz w:val="24"/>
                <w:highlight w:val="none"/>
              </w:rPr>
            </w:pPr>
            <w:r>
              <w:rPr>
                <w:rFonts w:hint="eastAsia" w:ascii="宋体" w:hAnsi="宋体" w:cs="宋体"/>
                <w:color w:val="auto"/>
                <w:sz w:val="24"/>
                <w:highlight w:val="none"/>
              </w:rPr>
              <w:t>概</w:t>
            </w:r>
          </w:p>
          <w:p w14:paraId="21B1CC99">
            <w:pPr>
              <w:jc w:val="center"/>
              <w:rPr>
                <w:rFonts w:ascii="宋体" w:hAnsi="宋体" w:cs="宋体"/>
                <w:color w:val="auto"/>
                <w:sz w:val="24"/>
                <w:highlight w:val="none"/>
              </w:rPr>
            </w:pPr>
          </w:p>
          <w:p w14:paraId="78EB4726">
            <w:pPr>
              <w:jc w:val="center"/>
              <w:rPr>
                <w:rFonts w:ascii="宋体" w:hAnsi="宋体" w:cs="宋体"/>
                <w:color w:val="auto"/>
                <w:sz w:val="24"/>
                <w:highlight w:val="none"/>
              </w:rPr>
            </w:pPr>
            <w:r>
              <w:rPr>
                <w:rFonts w:hint="eastAsia" w:ascii="宋体" w:hAnsi="宋体" w:cs="宋体"/>
                <w:color w:val="auto"/>
                <w:sz w:val="24"/>
                <w:highlight w:val="none"/>
              </w:rPr>
              <w:t>况</w:t>
            </w:r>
          </w:p>
        </w:tc>
        <w:tc>
          <w:tcPr>
            <w:tcW w:w="2279" w:type="dxa"/>
            <w:noWrap/>
            <w:vAlign w:val="center"/>
          </w:tcPr>
          <w:p w14:paraId="49A59A29">
            <w:pPr>
              <w:jc w:val="center"/>
              <w:rPr>
                <w:rFonts w:ascii="宋体" w:hAnsi="宋体" w:cs="宋体"/>
                <w:color w:val="auto"/>
                <w:sz w:val="24"/>
                <w:highlight w:val="none"/>
              </w:rPr>
            </w:pPr>
            <w:r>
              <w:rPr>
                <w:rFonts w:hint="eastAsia" w:ascii="宋体" w:hAnsi="宋体" w:cs="宋体"/>
                <w:color w:val="auto"/>
                <w:sz w:val="24"/>
                <w:highlight w:val="none"/>
              </w:rPr>
              <w:t>公司名称</w:t>
            </w:r>
          </w:p>
        </w:tc>
        <w:tc>
          <w:tcPr>
            <w:tcW w:w="6316" w:type="dxa"/>
            <w:gridSpan w:val="3"/>
            <w:noWrap/>
            <w:vAlign w:val="center"/>
          </w:tcPr>
          <w:p w14:paraId="695B56D3">
            <w:pPr>
              <w:jc w:val="center"/>
              <w:rPr>
                <w:rFonts w:ascii="宋体" w:hAnsi="宋体" w:cs="宋体"/>
                <w:color w:val="auto"/>
                <w:sz w:val="24"/>
                <w:highlight w:val="none"/>
              </w:rPr>
            </w:pPr>
          </w:p>
        </w:tc>
      </w:tr>
      <w:tr w14:paraId="202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018D51B">
            <w:pPr>
              <w:jc w:val="center"/>
              <w:rPr>
                <w:rFonts w:ascii="宋体" w:hAnsi="宋体" w:cs="宋体"/>
                <w:color w:val="auto"/>
                <w:sz w:val="24"/>
                <w:highlight w:val="none"/>
              </w:rPr>
            </w:pPr>
          </w:p>
        </w:tc>
        <w:tc>
          <w:tcPr>
            <w:tcW w:w="2279" w:type="dxa"/>
            <w:noWrap/>
            <w:vAlign w:val="center"/>
          </w:tcPr>
          <w:p w14:paraId="74E04892">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6316" w:type="dxa"/>
            <w:gridSpan w:val="3"/>
            <w:noWrap/>
            <w:vAlign w:val="center"/>
          </w:tcPr>
          <w:p w14:paraId="539DEE9F">
            <w:pPr>
              <w:jc w:val="center"/>
              <w:rPr>
                <w:rFonts w:ascii="宋体" w:hAnsi="宋体" w:cs="宋体"/>
                <w:color w:val="auto"/>
                <w:sz w:val="24"/>
                <w:highlight w:val="none"/>
              </w:rPr>
            </w:pPr>
          </w:p>
        </w:tc>
      </w:tr>
      <w:tr w14:paraId="6211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3F9D2944">
            <w:pPr>
              <w:jc w:val="center"/>
              <w:rPr>
                <w:rFonts w:ascii="宋体" w:hAnsi="宋体" w:cs="宋体"/>
                <w:color w:val="auto"/>
                <w:sz w:val="24"/>
                <w:highlight w:val="none"/>
              </w:rPr>
            </w:pPr>
          </w:p>
        </w:tc>
        <w:tc>
          <w:tcPr>
            <w:tcW w:w="2279" w:type="dxa"/>
            <w:noWrap/>
            <w:vAlign w:val="center"/>
          </w:tcPr>
          <w:p w14:paraId="02801ACE">
            <w:pPr>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6316" w:type="dxa"/>
            <w:gridSpan w:val="3"/>
            <w:noWrap/>
            <w:vAlign w:val="center"/>
          </w:tcPr>
          <w:p w14:paraId="54C0F213">
            <w:pPr>
              <w:jc w:val="center"/>
              <w:rPr>
                <w:rFonts w:ascii="宋体" w:hAnsi="宋体" w:cs="宋体"/>
                <w:color w:val="auto"/>
                <w:sz w:val="24"/>
                <w:highlight w:val="none"/>
              </w:rPr>
            </w:pPr>
          </w:p>
        </w:tc>
      </w:tr>
      <w:tr w14:paraId="11C6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2B5E1A8">
            <w:pPr>
              <w:jc w:val="center"/>
              <w:rPr>
                <w:rFonts w:ascii="宋体" w:hAnsi="宋体" w:cs="宋体"/>
                <w:color w:val="auto"/>
                <w:sz w:val="24"/>
                <w:highlight w:val="none"/>
              </w:rPr>
            </w:pPr>
          </w:p>
        </w:tc>
        <w:tc>
          <w:tcPr>
            <w:tcW w:w="2279" w:type="dxa"/>
            <w:noWrap/>
            <w:vAlign w:val="center"/>
          </w:tcPr>
          <w:p w14:paraId="1CCF5901">
            <w:pPr>
              <w:jc w:val="center"/>
              <w:rPr>
                <w:rFonts w:ascii="宋体" w:hAnsi="宋体" w:cs="宋体"/>
                <w:color w:val="auto"/>
                <w:sz w:val="24"/>
                <w:highlight w:val="none"/>
              </w:rPr>
            </w:pPr>
            <w:r>
              <w:rPr>
                <w:rFonts w:hint="eastAsia" w:ascii="宋体" w:hAnsi="宋体" w:cs="宋体"/>
                <w:color w:val="auto"/>
                <w:sz w:val="24"/>
                <w:highlight w:val="none"/>
              </w:rPr>
              <w:t>统一社会信用代码</w:t>
            </w:r>
          </w:p>
        </w:tc>
        <w:tc>
          <w:tcPr>
            <w:tcW w:w="6316" w:type="dxa"/>
            <w:gridSpan w:val="3"/>
            <w:noWrap/>
            <w:vAlign w:val="center"/>
          </w:tcPr>
          <w:p w14:paraId="7BFD6443">
            <w:pPr>
              <w:jc w:val="center"/>
              <w:rPr>
                <w:rFonts w:ascii="宋体" w:hAnsi="宋体" w:cs="宋体"/>
                <w:color w:val="auto"/>
                <w:sz w:val="24"/>
                <w:highlight w:val="none"/>
              </w:rPr>
            </w:pPr>
          </w:p>
        </w:tc>
      </w:tr>
      <w:tr w14:paraId="4494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D4D56B7">
            <w:pPr>
              <w:jc w:val="center"/>
              <w:rPr>
                <w:rFonts w:ascii="宋体" w:hAnsi="宋体" w:cs="宋体"/>
                <w:color w:val="auto"/>
                <w:sz w:val="24"/>
                <w:highlight w:val="none"/>
              </w:rPr>
            </w:pPr>
          </w:p>
        </w:tc>
        <w:tc>
          <w:tcPr>
            <w:tcW w:w="2279" w:type="dxa"/>
            <w:noWrap/>
            <w:vAlign w:val="center"/>
          </w:tcPr>
          <w:p w14:paraId="009B4875">
            <w:pPr>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640" w:type="dxa"/>
            <w:noWrap/>
            <w:vAlign w:val="center"/>
          </w:tcPr>
          <w:p w14:paraId="376B91A2">
            <w:pPr>
              <w:jc w:val="center"/>
              <w:rPr>
                <w:rFonts w:ascii="宋体" w:hAnsi="宋体" w:cs="宋体"/>
                <w:color w:val="auto"/>
                <w:sz w:val="24"/>
                <w:highlight w:val="none"/>
              </w:rPr>
            </w:pPr>
          </w:p>
        </w:tc>
        <w:tc>
          <w:tcPr>
            <w:tcW w:w="1920" w:type="dxa"/>
            <w:noWrap/>
            <w:vAlign w:val="center"/>
          </w:tcPr>
          <w:p w14:paraId="3D8C5675">
            <w:pPr>
              <w:jc w:val="center"/>
              <w:rPr>
                <w:rFonts w:ascii="宋体" w:hAnsi="宋体" w:cs="宋体"/>
                <w:color w:val="auto"/>
                <w:sz w:val="24"/>
                <w:highlight w:val="none"/>
              </w:rPr>
            </w:pPr>
            <w:r>
              <w:rPr>
                <w:rFonts w:hint="eastAsia" w:ascii="宋体" w:hAnsi="宋体" w:cs="宋体"/>
                <w:color w:val="auto"/>
                <w:sz w:val="24"/>
                <w:highlight w:val="none"/>
              </w:rPr>
              <w:t>经济性质</w:t>
            </w:r>
          </w:p>
        </w:tc>
        <w:tc>
          <w:tcPr>
            <w:tcW w:w="2756" w:type="dxa"/>
            <w:noWrap/>
            <w:vAlign w:val="center"/>
          </w:tcPr>
          <w:p w14:paraId="49F1C4C1">
            <w:pPr>
              <w:jc w:val="center"/>
              <w:rPr>
                <w:rFonts w:ascii="宋体" w:hAnsi="宋体" w:cs="宋体"/>
                <w:color w:val="auto"/>
                <w:sz w:val="24"/>
                <w:highlight w:val="none"/>
              </w:rPr>
            </w:pPr>
          </w:p>
        </w:tc>
      </w:tr>
      <w:tr w14:paraId="1C0E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26F501E5">
            <w:pPr>
              <w:jc w:val="center"/>
              <w:rPr>
                <w:rFonts w:ascii="宋体" w:hAnsi="宋体" w:cs="宋体"/>
                <w:color w:val="auto"/>
                <w:sz w:val="24"/>
                <w:highlight w:val="none"/>
              </w:rPr>
            </w:pPr>
          </w:p>
        </w:tc>
        <w:tc>
          <w:tcPr>
            <w:tcW w:w="2279" w:type="dxa"/>
            <w:noWrap/>
            <w:vAlign w:val="center"/>
          </w:tcPr>
          <w:p w14:paraId="5C18BF75">
            <w:pPr>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640" w:type="dxa"/>
            <w:noWrap/>
            <w:vAlign w:val="center"/>
          </w:tcPr>
          <w:p w14:paraId="1680C605">
            <w:pPr>
              <w:jc w:val="center"/>
              <w:rPr>
                <w:rFonts w:ascii="宋体" w:hAnsi="宋体" w:cs="宋体"/>
                <w:color w:val="auto"/>
                <w:sz w:val="24"/>
                <w:highlight w:val="none"/>
              </w:rPr>
            </w:pPr>
          </w:p>
        </w:tc>
        <w:tc>
          <w:tcPr>
            <w:tcW w:w="1920" w:type="dxa"/>
            <w:noWrap/>
            <w:vAlign w:val="center"/>
          </w:tcPr>
          <w:p w14:paraId="126A7633">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2756" w:type="dxa"/>
            <w:noWrap/>
            <w:vAlign w:val="center"/>
          </w:tcPr>
          <w:p w14:paraId="2CCD5E3C">
            <w:pPr>
              <w:jc w:val="center"/>
              <w:rPr>
                <w:rFonts w:ascii="宋体" w:hAnsi="宋体" w:cs="宋体"/>
                <w:color w:val="auto"/>
                <w:sz w:val="24"/>
                <w:highlight w:val="none"/>
              </w:rPr>
            </w:pPr>
          </w:p>
        </w:tc>
      </w:tr>
      <w:tr w14:paraId="64D3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642F2962">
            <w:pPr>
              <w:jc w:val="center"/>
              <w:rPr>
                <w:rFonts w:ascii="宋体" w:hAnsi="宋体" w:cs="宋体"/>
                <w:color w:val="auto"/>
                <w:sz w:val="24"/>
                <w:highlight w:val="none"/>
              </w:rPr>
            </w:pPr>
          </w:p>
        </w:tc>
        <w:tc>
          <w:tcPr>
            <w:tcW w:w="2279" w:type="dxa"/>
            <w:noWrap/>
            <w:vAlign w:val="center"/>
          </w:tcPr>
          <w:p w14:paraId="5968E9C8">
            <w:pP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640" w:type="dxa"/>
            <w:noWrap/>
            <w:vAlign w:val="center"/>
          </w:tcPr>
          <w:p w14:paraId="47B9F7C9">
            <w:pPr>
              <w:jc w:val="center"/>
              <w:rPr>
                <w:rFonts w:ascii="宋体" w:hAnsi="宋体" w:cs="宋体"/>
                <w:color w:val="auto"/>
                <w:sz w:val="24"/>
                <w:highlight w:val="none"/>
              </w:rPr>
            </w:pPr>
          </w:p>
        </w:tc>
        <w:tc>
          <w:tcPr>
            <w:tcW w:w="1920" w:type="dxa"/>
            <w:noWrap/>
            <w:vAlign w:val="center"/>
          </w:tcPr>
          <w:p w14:paraId="337E991F">
            <w:pPr>
              <w:jc w:val="center"/>
              <w:rPr>
                <w:rFonts w:ascii="宋体" w:hAnsi="宋体" w:cs="宋体"/>
                <w:color w:val="auto"/>
                <w:sz w:val="24"/>
                <w:highlight w:val="none"/>
              </w:rPr>
            </w:pPr>
            <w:r>
              <w:rPr>
                <w:rFonts w:hint="eastAsia" w:ascii="宋体" w:hAnsi="宋体" w:cs="宋体"/>
                <w:color w:val="auto"/>
                <w:sz w:val="24"/>
                <w:highlight w:val="none"/>
              </w:rPr>
              <w:t>技术人员数</w:t>
            </w:r>
          </w:p>
        </w:tc>
        <w:tc>
          <w:tcPr>
            <w:tcW w:w="2756" w:type="dxa"/>
            <w:noWrap/>
            <w:vAlign w:val="center"/>
          </w:tcPr>
          <w:p w14:paraId="292F9B27">
            <w:pPr>
              <w:jc w:val="center"/>
              <w:rPr>
                <w:rFonts w:ascii="宋体" w:hAnsi="宋体" w:cs="宋体"/>
                <w:color w:val="auto"/>
                <w:sz w:val="24"/>
                <w:highlight w:val="none"/>
              </w:rPr>
            </w:pPr>
          </w:p>
        </w:tc>
      </w:tr>
      <w:tr w14:paraId="15D1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A3E6F52">
            <w:pPr>
              <w:jc w:val="center"/>
              <w:rPr>
                <w:rFonts w:ascii="宋体" w:hAnsi="宋体" w:cs="宋体"/>
                <w:color w:val="auto"/>
                <w:sz w:val="24"/>
                <w:highlight w:val="none"/>
              </w:rPr>
            </w:pPr>
          </w:p>
        </w:tc>
        <w:tc>
          <w:tcPr>
            <w:tcW w:w="2279" w:type="dxa"/>
            <w:noWrap/>
            <w:vAlign w:val="center"/>
          </w:tcPr>
          <w:p w14:paraId="64E6B42D">
            <w:pPr>
              <w:jc w:val="center"/>
              <w:rPr>
                <w:rFonts w:ascii="宋体" w:hAnsi="宋体" w:cs="宋体"/>
                <w:color w:val="auto"/>
                <w:sz w:val="24"/>
                <w:highlight w:val="none"/>
              </w:rPr>
            </w:pPr>
            <w:r>
              <w:rPr>
                <w:rFonts w:hint="eastAsia" w:ascii="宋体" w:hAnsi="宋体" w:cs="宋体"/>
                <w:color w:val="auto"/>
                <w:sz w:val="24"/>
                <w:highlight w:val="none"/>
              </w:rPr>
              <w:t>资产总额</w:t>
            </w:r>
          </w:p>
        </w:tc>
        <w:tc>
          <w:tcPr>
            <w:tcW w:w="1640" w:type="dxa"/>
            <w:noWrap/>
            <w:vAlign w:val="center"/>
          </w:tcPr>
          <w:p w14:paraId="6AB43404">
            <w:pPr>
              <w:jc w:val="center"/>
              <w:rPr>
                <w:rFonts w:ascii="宋体" w:hAnsi="宋体" w:cs="宋体"/>
                <w:color w:val="auto"/>
                <w:sz w:val="24"/>
                <w:highlight w:val="none"/>
              </w:rPr>
            </w:pPr>
          </w:p>
        </w:tc>
        <w:tc>
          <w:tcPr>
            <w:tcW w:w="1920" w:type="dxa"/>
            <w:noWrap/>
            <w:vAlign w:val="center"/>
          </w:tcPr>
          <w:p w14:paraId="152149F2">
            <w:pPr>
              <w:jc w:val="center"/>
              <w:rPr>
                <w:rFonts w:ascii="宋体" w:hAnsi="宋体" w:cs="宋体"/>
                <w:color w:val="auto"/>
                <w:sz w:val="24"/>
                <w:highlight w:val="none"/>
              </w:rPr>
            </w:pPr>
            <w:r>
              <w:rPr>
                <w:rFonts w:hint="eastAsia" w:ascii="宋体" w:hAnsi="宋体" w:cs="宋体"/>
                <w:color w:val="auto"/>
                <w:sz w:val="24"/>
                <w:highlight w:val="none"/>
              </w:rPr>
              <w:t>净资产</w:t>
            </w:r>
          </w:p>
        </w:tc>
        <w:tc>
          <w:tcPr>
            <w:tcW w:w="2756" w:type="dxa"/>
            <w:noWrap/>
            <w:vAlign w:val="center"/>
          </w:tcPr>
          <w:p w14:paraId="23E70088">
            <w:pPr>
              <w:jc w:val="center"/>
              <w:rPr>
                <w:rFonts w:ascii="宋体" w:hAnsi="宋体" w:cs="宋体"/>
                <w:color w:val="auto"/>
                <w:sz w:val="24"/>
                <w:highlight w:val="none"/>
              </w:rPr>
            </w:pPr>
          </w:p>
        </w:tc>
      </w:tr>
      <w:tr w14:paraId="5867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3E76F59">
            <w:pPr>
              <w:jc w:val="center"/>
              <w:rPr>
                <w:rFonts w:ascii="宋体" w:hAnsi="宋体" w:cs="宋体"/>
                <w:color w:val="auto"/>
                <w:sz w:val="24"/>
                <w:highlight w:val="none"/>
              </w:rPr>
            </w:pPr>
          </w:p>
        </w:tc>
        <w:tc>
          <w:tcPr>
            <w:tcW w:w="2279" w:type="dxa"/>
            <w:noWrap/>
            <w:vAlign w:val="center"/>
          </w:tcPr>
          <w:p w14:paraId="1E7F319B">
            <w:pPr>
              <w:jc w:val="center"/>
              <w:rPr>
                <w:rFonts w:ascii="宋体" w:hAnsi="宋体" w:cs="宋体"/>
                <w:color w:val="auto"/>
                <w:sz w:val="24"/>
                <w:highlight w:val="none"/>
              </w:rPr>
            </w:pPr>
            <w:r>
              <w:rPr>
                <w:rFonts w:hint="eastAsia" w:ascii="宋体" w:hAnsi="宋体" w:cs="宋体"/>
                <w:color w:val="auto"/>
                <w:sz w:val="24"/>
                <w:highlight w:val="none"/>
              </w:rPr>
              <w:t>是否依法纳税</w:t>
            </w:r>
          </w:p>
        </w:tc>
        <w:tc>
          <w:tcPr>
            <w:tcW w:w="1640" w:type="dxa"/>
            <w:noWrap/>
            <w:vAlign w:val="center"/>
          </w:tcPr>
          <w:p w14:paraId="0BB6E781">
            <w:pPr>
              <w:jc w:val="center"/>
              <w:rPr>
                <w:rFonts w:ascii="宋体" w:hAnsi="宋体" w:cs="宋体"/>
                <w:color w:val="auto"/>
                <w:sz w:val="24"/>
                <w:highlight w:val="none"/>
              </w:rPr>
            </w:pPr>
          </w:p>
        </w:tc>
        <w:tc>
          <w:tcPr>
            <w:tcW w:w="1920" w:type="dxa"/>
            <w:noWrap/>
            <w:vAlign w:val="center"/>
          </w:tcPr>
          <w:p w14:paraId="4116D2E9">
            <w:pPr>
              <w:jc w:val="center"/>
              <w:rPr>
                <w:rFonts w:ascii="宋体" w:hAnsi="宋体" w:cs="宋体"/>
                <w:color w:val="auto"/>
                <w:sz w:val="24"/>
                <w:highlight w:val="none"/>
              </w:rPr>
            </w:pPr>
            <w:r>
              <w:rPr>
                <w:rFonts w:hint="eastAsia" w:ascii="宋体" w:hAnsi="宋体" w:cs="宋体"/>
                <w:color w:val="auto"/>
                <w:sz w:val="24"/>
                <w:highlight w:val="none"/>
              </w:rPr>
              <w:t>是否参加社保</w:t>
            </w:r>
          </w:p>
        </w:tc>
        <w:tc>
          <w:tcPr>
            <w:tcW w:w="2756" w:type="dxa"/>
            <w:noWrap/>
            <w:vAlign w:val="center"/>
          </w:tcPr>
          <w:p w14:paraId="21D4F311">
            <w:pPr>
              <w:jc w:val="center"/>
              <w:rPr>
                <w:rFonts w:ascii="宋体" w:hAnsi="宋体" w:cs="宋体"/>
                <w:color w:val="auto"/>
                <w:sz w:val="24"/>
                <w:highlight w:val="none"/>
              </w:rPr>
            </w:pPr>
          </w:p>
        </w:tc>
      </w:tr>
      <w:tr w14:paraId="627D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ign w:val="center"/>
          </w:tcPr>
          <w:p w14:paraId="164F931A">
            <w:pPr>
              <w:jc w:val="center"/>
              <w:rPr>
                <w:rFonts w:ascii="宋体" w:hAnsi="宋体" w:cs="宋体"/>
                <w:color w:val="auto"/>
                <w:sz w:val="24"/>
                <w:highlight w:val="none"/>
              </w:rPr>
            </w:pPr>
          </w:p>
        </w:tc>
        <w:tc>
          <w:tcPr>
            <w:tcW w:w="2279" w:type="dxa"/>
            <w:noWrap/>
            <w:vAlign w:val="center"/>
          </w:tcPr>
          <w:p w14:paraId="3965078E">
            <w:pPr>
              <w:jc w:val="center"/>
              <w:rPr>
                <w:rFonts w:ascii="宋体" w:hAnsi="宋体" w:cs="宋体"/>
                <w:color w:val="auto"/>
                <w:sz w:val="24"/>
                <w:highlight w:val="none"/>
              </w:rPr>
            </w:pPr>
            <w:r>
              <w:rPr>
                <w:rFonts w:hint="eastAsia" w:ascii="宋体" w:hAnsi="宋体" w:cs="宋体"/>
                <w:color w:val="auto"/>
                <w:sz w:val="24"/>
                <w:highlight w:val="none"/>
              </w:rPr>
              <w:t>近三年公司</w:t>
            </w:r>
          </w:p>
          <w:p w14:paraId="63CF1E02">
            <w:pPr>
              <w:jc w:val="center"/>
              <w:rPr>
                <w:rFonts w:ascii="宋体" w:hAnsi="宋体" w:cs="宋体"/>
                <w:color w:val="auto"/>
                <w:sz w:val="24"/>
                <w:highlight w:val="none"/>
              </w:rPr>
            </w:pPr>
            <w:r>
              <w:rPr>
                <w:rFonts w:hint="eastAsia" w:ascii="宋体" w:hAnsi="宋体" w:cs="宋体"/>
                <w:color w:val="auto"/>
                <w:sz w:val="24"/>
                <w:highlight w:val="none"/>
              </w:rPr>
              <w:t>业绩、信誉</w:t>
            </w:r>
          </w:p>
        </w:tc>
        <w:tc>
          <w:tcPr>
            <w:tcW w:w="6316" w:type="dxa"/>
            <w:gridSpan w:val="3"/>
            <w:noWrap/>
            <w:vAlign w:val="center"/>
          </w:tcPr>
          <w:p w14:paraId="5E53F546">
            <w:pPr>
              <w:jc w:val="center"/>
              <w:rPr>
                <w:rFonts w:ascii="宋体" w:hAnsi="宋体" w:cs="宋体"/>
                <w:color w:val="auto"/>
                <w:sz w:val="24"/>
                <w:highlight w:val="none"/>
              </w:rPr>
            </w:pPr>
          </w:p>
          <w:p w14:paraId="0DB8E8D7">
            <w:pPr>
              <w:rPr>
                <w:rFonts w:ascii="宋体" w:hAnsi="宋体" w:cs="宋体"/>
                <w:color w:val="auto"/>
                <w:sz w:val="24"/>
                <w:highlight w:val="none"/>
              </w:rPr>
            </w:pPr>
          </w:p>
        </w:tc>
      </w:tr>
      <w:tr w14:paraId="000F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ign w:val="center"/>
          </w:tcPr>
          <w:p w14:paraId="1B3764B3">
            <w:pPr>
              <w:jc w:val="center"/>
              <w:rPr>
                <w:rFonts w:ascii="宋体" w:hAnsi="宋体" w:cs="宋体"/>
                <w:color w:val="auto"/>
                <w:sz w:val="24"/>
                <w:highlight w:val="none"/>
              </w:rPr>
            </w:pPr>
          </w:p>
        </w:tc>
        <w:tc>
          <w:tcPr>
            <w:tcW w:w="8595" w:type="dxa"/>
            <w:gridSpan w:val="4"/>
            <w:noWrap/>
          </w:tcPr>
          <w:p w14:paraId="0E783FA0">
            <w:pPr>
              <w:rPr>
                <w:rFonts w:ascii="宋体" w:hAnsi="宋体" w:cs="宋体"/>
                <w:color w:val="auto"/>
                <w:sz w:val="24"/>
                <w:highlight w:val="none"/>
              </w:rPr>
            </w:pPr>
            <w:r>
              <w:rPr>
                <w:rFonts w:hint="eastAsia" w:ascii="宋体" w:hAnsi="宋体" w:cs="宋体"/>
                <w:color w:val="auto"/>
                <w:sz w:val="24"/>
                <w:highlight w:val="none"/>
              </w:rPr>
              <w:t>单位优势及特点：</w:t>
            </w:r>
          </w:p>
        </w:tc>
      </w:tr>
    </w:tbl>
    <w:p w14:paraId="128DB7DD">
      <w:pPr>
        <w:pStyle w:val="27"/>
        <w:spacing w:before="0" w:beforeAutospacing="0" w:after="0" w:afterAutospacing="0"/>
        <w:rPr>
          <w:rFonts w:cs="宋体"/>
          <w:snapToGrid w:val="0"/>
          <w:color w:val="auto"/>
          <w:highlight w:val="none"/>
        </w:rPr>
      </w:pPr>
      <w:r>
        <w:rPr>
          <w:rFonts w:hint="eastAsia" w:cs="宋体"/>
          <w:snapToGrid w:val="0"/>
          <w:color w:val="auto"/>
          <w:highlight w:val="none"/>
        </w:rPr>
        <w:t>说明：本表后应附有单位简介。</w:t>
      </w:r>
    </w:p>
    <w:p w14:paraId="7E9ECDD1">
      <w:pPr>
        <w:snapToGrid w:val="0"/>
        <w:spacing w:before="50" w:after="50" w:line="360" w:lineRule="auto"/>
        <w:rPr>
          <w:rFonts w:ascii="宋体" w:hAnsi="宋体" w:cs="宋体"/>
          <w:color w:val="auto"/>
          <w:sz w:val="24"/>
          <w:highlight w:val="none"/>
        </w:rPr>
      </w:pPr>
    </w:p>
    <w:p w14:paraId="0E74556F">
      <w:pPr>
        <w:pStyle w:val="3"/>
        <w:rPr>
          <w:color w:val="auto"/>
          <w:highlight w:val="none"/>
        </w:rPr>
      </w:pPr>
    </w:p>
    <w:p w14:paraId="21AABEE3">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472999F8">
      <w:pPr>
        <w:pStyle w:val="41"/>
        <w:spacing w:line="360" w:lineRule="auto"/>
        <w:ind w:right="480"/>
        <w:rPr>
          <w:rFonts w:hAnsi="宋体" w:eastAsia="宋体" w:cs="宋体"/>
          <w:b/>
          <w:color w:val="auto"/>
          <w:szCs w:val="21"/>
          <w:highlight w:val="none"/>
        </w:rPr>
      </w:pPr>
      <w:r>
        <w:rPr>
          <w:rFonts w:hint="eastAsia" w:hAnsi="宋体" w:eastAsia="宋体" w:cs="宋体"/>
          <w:color w:val="auto"/>
          <w:sz w:val="24"/>
          <w:highlight w:val="none"/>
        </w:rPr>
        <w:t>投标人公章：                           年    月    日</w:t>
      </w:r>
    </w:p>
    <w:bookmarkEnd w:id="69"/>
    <w:p w14:paraId="4A22A504">
      <w:pPr>
        <w:snapToGrid w:val="0"/>
        <w:spacing w:before="156" w:beforeLines="50" w:after="50" w:line="440" w:lineRule="exact"/>
        <w:rPr>
          <w:rFonts w:ascii="宋体" w:hAnsi="宋体" w:cs="宋体"/>
          <w:b/>
          <w:bCs/>
          <w:color w:val="auto"/>
          <w:sz w:val="24"/>
          <w:highlight w:val="none"/>
        </w:rPr>
      </w:pPr>
    </w:p>
    <w:p w14:paraId="0EE4FFDC">
      <w:pPr>
        <w:snapToGrid w:val="0"/>
        <w:spacing w:before="156" w:beforeLines="50" w:after="50" w:line="440" w:lineRule="exact"/>
        <w:rPr>
          <w:rFonts w:ascii="宋体" w:hAnsi="宋体" w:cs="宋体"/>
          <w:b/>
          <w:bCs/>
          <w:color w:val="auto"/>
          <w:sz w:val="24"/>
          <w:highlight w:val="none"/>
        </w:rPr>
      </w:pPr>
    </w:p>
    <w:p w14:paraId="28E0BA9D">
      <w:pPr>
        <w:snapToGrid w:val="0"/>
        <w:spacing w:before="156" w:beforeLines="50" w:after="50" w:line="44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、对本项目总体要求的</w:t>
      </w:r>
      <w:r>
        <w:rPr>
          <w:rFonts w:hint="eastAsia" w:ascii="宋体" w:hAnsi="宋体" w:cs="宋体"/>
          <w:b/>
          <w:bCs/>
          <w:color w:val="auto"/>
          <w:sz w:val="24"/>
          <w:highlight w:val="none"/>
          <w:lang w:val="en-US" w:eastAsia="zh-CN"/>
        </w:rPr>
        <w:t>叙述：</w:t>
      </w:r>
    </w:p>
    <w:p w14:paraId="6F59D365">
      <w:pPr>
        <w:pStyle w:val="27"/>
        <w:spacing w:before="0" w:beforeAutospacing="0" w:after="0" w:afterAutospacing="0"/>
        <w:jc w:val="both"/>
        <w:rPr>
          <w:rFonts w:cs="宋体"/>
          <w:color w:val="auto"/>
          <w:highlight w:val="none"/>
        </w:rPr>
      </w:pPr>
    </w:p>
    <w:p w14:paraId="506323E4">
      <w:pPr>
        <w:pStyle w:val="41"/>
        <w:spacing w:line="360" w:lineRule="auto"/>
        <w:ind w:right="480"/>
        <w:rPr>
          <w:rFonts w:hAnsi="宋体" w:eastAsia="宋体" w:cs="宋体"/>
          <w:color w:val="auto"/>
          <w:sz w:val="24"/>
          <w:highlight w:val="none"/>
        </w:rPr>
      </w:pPr>
      <w:r>
        <w:rPr>
          <w:rFonts w:hint="eastAsia" w:ascii="宋体" w:hAnsi="宋体" w:cs="宋体"/>
          <w:color w:val="auto"/>
          <w:highlight w:val="none"/>
        </w:rPr>
        <w:br w:type="page"/>
      </w:r>
    </w:p>
    <w:p w14:paraId="7F0D824F">
      <w:pPr>
        <w:pStyle w:val="41"/>
        <w:spacing w:line="360" w:lineRule="auto"/>
        <w:ind w:right="480"/>
        <w:rPr>
          <w:rFonts w:hAnsi="宋体" w:eastAsia="宋体" w:cs="宋体"/>
          <w:color w:val="auto"/>
          <w:sz w:val="24"/>
          <w:highlight w:val="none"/>
        </w:rPr>
      </w:pPr>
    </w:p>
    <w:p w14:paraId="1EA3B650">
      <w:pPr>
        <w:snapToGrid w:val="0"/>
        <w:spacing w:before="50" w:after="50" w:line="360" w:lineRule="auto"/>
        <w:rPr>
          <w:rFonts w:ascii="宋体" w:hAnsi="宋体" w:cs="宋体"/>
          <w:b/>
          <w:bCs/>
          <w:color w:val="auto"/>
          <w:sz w:val="24"/>
          <w:highlight w:val="none"/>
        </w:rPr>
      </w:pPr>
      <w:r>
        <w:rPr>
          <w:rFonts w:hint="eastAsia" w:ascii="宋体" w:hAnsi="宋体" w:cs="宋体"/>
          <w:b/>
          <w:bCs/>
          <w:color w:val="auto"/>
          <w:spacing w:val="20"/>
          <w:sz w:val="24"/>
          <w:highlight w:val="none"/>
          <w:lang w:val="en-US" w:eastAsia="zh-CN"/>
        </w:rPr>
        <w:t>3、</w:t>
      </w:r>
      <w:r>
        <w:rPr>
          <w:rFonts w:hint="eastAsia" w:ascii="宋体" w:hAnsi="宋体" w:cs="宋体"/>
          <w:b/>
          <w:bCs/>
          <w:color w:val="auto"/>
          <w:sz w:val="24"/>
          <w:highlight w:val="none"/>
        </w:rPr>
        <w:t>组织实施方案</w:t>
      </w:r>
    </w:p>
    <w:p w14:paraId="0D3E063D">
      <w:pPr>
        <w:snapToGrid w:val="0"/>
        <w:spacing w:before="50" w:after="156" w:afterLines="50"/>
        <w:jc w:val="left"/>
        <w:rPr>
          <w:rFonts w:ascii="宋体" w:hAnsi="宋体" w:cs="宋体"/>
          <w:b/>
          <w:bCs/>
          <w:color w:val="auto"/>
          <w:sz w:val="24"/>
          <w:highlight w:val="none"/>
        </w:rPr>
      </w:pPr>
    </w:p>
    <w:p w14:paraId="01EB6332">
      <w:pPr>
        <w:snapToGrid w:val="0"/>
        <w:spacing w:before="50" w:after="156" w:afterLines="50"/>
        <w:jc w:val="left"/>
        <w:rPr>
          <w:rFonts w:ascii="宋体" w:hAnsi="宋体" w:cs="宋体"/>
          <w:b/>
          <w:bCs/>
          <w:color w:val="auto"/>
          <w:sz w:val="24"/>
          <w:highlight w:val="none"/>
        </w:rPr>
      </w:pPr>
    </w:p>
    <w:p w14:paraId="003DC44F">
      <w:pPr>
        <w:snapToGrid w:val="0"/>
        <w:spacing w:before="50" w:after="156" w:afterLines="50"/>
        <w:jc w:val="left"/>
        <w:rPr>
          <w:rFonts w:ascii="宋体" w:hAnsi="宋体" w:cs="宋体"/>
          <w:b/>
          <w:bCs/>
          <w:color w:val="auto"/>
          <w:sz w:val="24"/>
          <w:highlight w:val="none"/>
        </w:rPr>
      </w:pPr>
    </w:p>
    <w:p w14:paraId="719797A2">
      <w:pPr>
        <w:snapToGrid w:val="0"/>
        <w:spacing w:before="50" w:after="156" w:afterLines="50"/>
        <w:jc w:val="left"/>
        <w:rPr>
          <w:rFonts w:ascii="宋体" w:hAnsi="宋体" w:cs="宋体"/>
          <w:b/>
          <w:bCs/>
          <w:color w:val="auto"/>
          <w:sz w:val="24"/>
          <w:highlight w:val="none"/>
        </w:rPr>
      </w:pPr>
    </w:p>
    <w:p w14:paraId="348574E1">
      <w:pPr>
        <w:snapToGrid w:val="0"/>
        <w:spacing w:before="50" w:after="156" w:afterLines="50"/>
        <w:jc w:val="left"/>
        <w:rPr>
          <w:rFonts w:ascii="宋体" w:hAnsi="宋体" w:cs="宋体"/>
          <w:b/>
          <w:bCs/>
          <w:color w:val="auto"/>
          <w:sz w:val="24"/>
          <w:highlight w:val="none"/>
        </w:rPr>
      </w:pPr>
    </w:p>
    <w:p w14:paraId="7BBF096D">
      <w:pPr>
        <w:snapToGrid w:val="0"/>
        <w:spacing w:before="50" w:after="156" w:afterLines="50"/>
        <w:jc w:val="left"/>
        <w:rPr>
          <w:rFonts w:ascii="宋体" w:hAnsi="宋体" w:cs="宋体"/>
          <w:b/>
          <w:bCs/>
          <w:color w:val="auto"/>
          <w:sz w:val="24"/>
          <w:highlight w:val="none"/>
        </w:rPr>
      </w:pPr>
    </w:p>
    <w:p w14:paraId="7ACB3618">
      <w:pPr>
        <w:snapToGrid w:val="0"/>
        <w:spacing w:before="50" w:after="156" w:afterLines="50"/>
        <w:jc w:val="left"/>
        <w:rPr>
          <w:rFonts w:ascii="宋体" w:hAnsi="宋体" w:cs="宋体"/>
          <w:b/>
          <w:bCs/>
          <w:color w:val="auto"/>
          <w:sz w:val="24"/>
          <w:highlight w:val="none"/>
        </w:rPr>
      </w:pPr>
    </w:p>
    <w:p w14:paraId="25E5D5D3">
      <w:pPr>
        <w:snapToGrid w:val="0"/>
        <w:spacing w:before="50" w:after="156" w:afterLines="50"/>
        <w:jc w:val="left"/>
        <w:rPr>
          <w:rFonts w:ascii="宋体" w:hAnsi="宋体" w:cs="宋体"/>
          <w:b/>
          <w:bCs/>
          <w:color w:val="auto"/>
          <w:sz w:val="24"/>
          <w:highlight w:val="none"/>
        </w:rPr>
      </w:pPr>
    </w:p>
    <w:p w14:paraId="240AAD10">
      <w:pPr>
        <w:snapToGrid w:val="0"/>
        <w:spacing w:before="50" w:after="156" w:afterLines="50"/>
        <w:jc w:val="left"/>
        <w:rPr>
          <w:rFonts w:ascii="宋体" w:hAnsi="宋体" w:cs="宋体"/>
          <w:b/>
          <w:bCs/>
          <w:color w:val="auto"/>
          <w:sz w:val="24"/>
          <w:highlight w:val="none"/>
        </w:rPr>
      </w:pPr>
    </w:p>
    <w:p w14:paraId="10A7667C">
      <w:pPr>
        <w:snapToGrid w:val="0"/>
        <w:spacing w:before="50" w:after="156" w:afterLines="50"/>
        <w:jc w:val="left"/>
        <w:rPr>
          <w:rFonts w:ascii="宋体" w:hAnsi="宋体" w:cs="宋体"/>
          <w:b/>
          <w:bCs/>
          <w:color w:val="auto"/>
          <w:sz w:val="24"/>
          <w:highlight w:val="none"/>
        </w:rPr>
      </w:pPr>
    </w:p>
    <w:p w14:paraId="4AB33828">
      <w:pPr>
        <w:snapToGrid w:val="0"/>
        <w:spacing w:before="50" w:after="156" w:afterLines="50"/>
        <w:jc w:val="left"/>
        <w:rPr>
          <w:rFonts w:ascii="宋体" w:hAnsi="宋体" w:cs="宋体"/>
          <w:b/>
          <w:bCs/>
          <w:color w:val="auto"/>
          <w:sz w:val="24"/>
          <w:highlight w:val="none"/>
        </w:rPr>
      </w:pPr>
    </w:p>
    <w:p w14:paraId="04814611">
      <w:pPr>
        <w:snapToGrid w:val="0"/>
        <w:spacing w:before="50" w:after="156" w:afterLines="50"/>
        <w:jc w:val="left"/>
        <w:rPr>
          <w:rFonts w:ascii="宋体" w:hAnsi="宋体" w:cs="宋体"/>
          <w:b/>
          <w:bCs/>
          <w:color w:val="auto"/>
          <w:sz w:val="24"/>
          <w:highlight w:val="none"/>
        </w:rPr>
      </w:pPr>
    </w:p>
    <w:p w14:paraId="4C6D4F24">
      <w:pPr>
        <w:snapToGrid w:val="0"/>
        <w:spacing w:before="50" w:after="156" w:afterLines="50"/>
        <w:jc w:val="left"/>
        <w:rPr>
          <w:rFonts w:ascii="宋体" w:hAnsi="宋体" w:cs="宋体"/>
          <w:b/>
          <w:bCs/>
          <w:color w:val="auto"/>
          <w:sz w:val="24"/>
          <w:highlight w:val="none"/>
        </w:rPr>
      </w:pPr>
    </w:p>
    <w:p w14:paraId="3EE7C5BA">
      <w:pPr>
        <w:snapToGrid w:val="0"/>
        <w:spacing w:before="50" w:after="156" w:afterLines="50"/>
        <w:jc w:val="left"/>
        <w:rPr>
          <w:rFonts w:ascii="宋体" w:hAnsi="宋体" w:cs="宋体"/>
          <w:b/>
          <w:bCs/>
          <w:color w:val="auto"/>
          <w:sz w:val="24"/>
          <w:highlight w:val="none"/>
        </w:rPr>
      </w:pPr>
    </w:p>
    <w:p w14:paraId="4FFE39D9">
      <w:pPr>
        <w:snapToGrid w:val="0"/>
        <w:spacing w:before="50" w:after="156" w:afterLines="50"/>
        <w:jc w:val="left"/>
        <w:rPr>
          <w:rFonts w:ascii="宋体" w:hAnsi="宋体" w:cs="宋体"/>
          <w:b/>
          <w:bCs/>
          <w:color w:val="auto"/>
          <w:sz w:val="24"/>
          <w:highlight w:val="none"/>
        </w:rPr>
      </w:pPr>
    </w:p>
    <w:p w14:paraId="38B20BB9">
      <w:pPr>
        <w:snapToGrid w:val="0"/>
        <w:spacing w:before="50" w:after="156" w:afterLines="50"/>
        <w:jc w:val="left"/>
        <w:rPr>
          <w:rFonts w:ascii="宋体" w:hAnsi="宋体" w:cs="宋体"/>
          <w:b/>
          <w:bCs/>
          <w:color w:val="auto"/>
          <w:sz w:val="24"/>
          <w:highlight w:val="none"/>
        </w:rPr>
      </w:pPr>
    </w:p>
    <w:p w14:paraId="1E3E3DCC">
      <w:pPr>
        <w:snapToGrid w:val="0"/>
        <w:spacing w:before="50" w:after="156" w:afterLines="50"/>
        <w:jc w:val="left"/>
        <w:rPr>
          <w:rFonts w:ascii="宋体" w:hAnsi="宋体" w:cs="宋体"/>
          <w:color w:val="auto"/>
          <w:sz w:val="24"/>
          <w:highlight w:val="none"/>
        </w:rPr>
      </w:pPr>
    </w:p>
    <w:p w14:paraId="6D37F29A">
      <w:pPr>
        <w:snapToGrid w:val="0"/>
        <w:spacing w:before="50" w:after="156" w:afterLines="50"/>
        <w:jc w:val="left"/>
        <w:rPr>
          <w:rFonts w:ascii="宋体" w:hAnsi="宋体" w:cs="宋体"/>
          <w:color w:val="auto"/>
          <w:sz w:val="24"/>
          <w:highlight w:val="none"/>
        </w:rPr>
      </w:pPr>
    </w:p>
    <w:p w14:paraId="20B1FADF">
      <w:pPr>
        <w:snapToGrid w:val="0"/>
        <w:spacing w:before="50" w:after="156" w:afterLines="50"/>
        <w:jc w:val="left"/>
        <w:rPr>
          <w:rFonts w:ascii="宋体" w:hAnsi="宋体" w:cs="宋体"/>
          <w:color w:val="auto"/>
          <w:sz w:val="24"/>
          <w:highlight w:val="none"/>
        </w:rPr>
      </w:pPr>
    </w:p>
    <w:p w14:paraId="2842BCEA">
      <w:pPr>
        <w:snapToGrid w:val="0"/>
        <w:spacing w:before="50" w:after="156" w:afterLines="5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val="en-US" w:eastAsia="zh-CN"/>
        </w:rPr>
        <w:t>4</w:t>
      </w:r>
      <w:r>
        <w:rPr>
          <w:rFonts w:hint="eastAsia" w:ascii="宋体" w:hAnsi="宋体" w:cs="宋体"/>
          <w:b/>
          <w:bCs/>
          <w:color w:val="auto"/>
          <w:sz w:val="24"/>
          <w:highlight w:val="none"/>
        </w:rPr>
        <w:t>、项目实施人员一览表</w:t>
      </w:r>
    </w:p>
    <w:p w14:paraId="2020FF87">
      <w:pPr>
        <w:pStyle w:val="15"/>
        <w:adjustRightInd w:val="0"/>
        <w:spacing w:before="120" w:after="120" w:line="360" w:lineRule="auto"/>
        <w:jc w:val="center"/>
        <w:textAlignment w:val="baseline"/>
        <w:rPr>
          <w:rFonts w:hAnsi="宋体" w:cs="宋体"/>
          <w:color w:val="auto"/>
          <w:sz w:val="28"/>
          <w:szCs w:val="28"/>
          <w:highlight w:val="none"/>
        </w:rPr>
      </w:pPr>
      <w:r>
        <w:rPr>
          <w:rFonts w:hint="eastAsia" w:hAnsi="宋体" w:cs="宋体"/>
          <w:b/>
          <w:color w:val="auto"/>
          <w:sz w:val="28"/>
          <w:szCs w:val="28"/>
          <w:highlight w:val="none"/>
        </w:rPr>
        <w:t>项目实施人员一览表</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308"/>
        <w:gridCol w:w="915"/>
        <w:gridCol w:w="928"/>
        <w:gridCol w:w="1134"/>
        <w:gridCol w:w="1134"/>
        <w:gridCol w:w="976"/>
        <w:gridCol w:w="1798"/>
      </w:tblGrid>
      <w:tr w14:paraId="4BA5F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0C43A1DF">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08" w:type="dxa"/>
            <w:tcBorders>
              <w:top w:val="single" w:color="auto" w:sz="4" w:space="0"/>
              <w:left w:val="single" w:color="auto" w:sz="4" w:space="0"/>
              <w:bottom w:val="single" w:color="auto" w:sz="4" w:space="0"/>
              <w:right w:val="single" w:color="auto" w:sz="4" w:space="0"/>
            </w:tcBorders>
            <w:noWrap/>
            <w:vAlign w:val="center"/>
          </w:tcPr>
          <w:p w14:paraId="3962E9D9">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915" w:type="dxa"/>
            <w:tcBorders>
              <w:top w:val="single" w:color="auto" w:sz="4" w:space="0"/>
              <w:left w:val="single" w:color="auto" w:sz="4" w:space="0"/>
              <w:bottom w:val="single" w:color="auto" w:sz="4" w:space="0"/>
              <w:right w:val="single" w:color="auto" w:sz="4" w:space="0"/>
            </w:tcBorders>
            <w:noWrap/>
            <w:vAlign w:val="center"/>
          </w:tcPr>
          <w:p w14:paraId="509C87D6">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928" w:type="dxa"/>
            <w:tcBorders>
              <w:top w:val="single" w:color="auto" w:sz="4" w:space="0"/>
              <w:left w:val="single" w:color="auto" w:sz="4" w:space="0"/>
              <w:bottom w:val="single" w:color="auto" w:sz="4" w:space="0"/>
              <w:right w:val="single" w:color="auto" w:sz="4" w:space="0"/>
            </w:tcBorders>
            <w:noWrap/>
            <w:vAlign w:val="center"/>
          </w:tcPr>
          <w:p w14:paraId="6F8F7A66">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134" w:type="dxa"/>
            <w:tcBorders>
              <w:top w:val="single" w:color="auto" w:sz="4" w:space="0"/>
              <w:left w:val="single" w:color="auto" w:sz="4" w:space="0"/>
              <w:bottom w:val="single" w:color="auto" w:sz="4" w:space="0"/>
              <w:right w:val="single" w:color="auto" w:sz="4" w:space="0"/>
            </w:tcBorders>
            <w:noWrap/>
            <w:vAlign w:val="center"/>
          </w:tcPr>
          <w:p w14:paraId="11A32E60">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134" w:type="dxa"/>
            <w:tcBorders>
              <w:top w:val="single" w:color="auto" w:sz="4" w:space="0"/>
              <w:left w:val="single" w:color="auto" w:sz="4" w:space="0"/>
              <w:bottom w:val="single" w:color="auto" w:sz="4" w:space="0"/>
              <w:right w:val="single" w:color="auto" w:sz="4" w:space="0"/>
            </w:tcBorders>
            <w:noWrap/>
            <w:vAlign w:val="center"/>
          </w:tcPr>
          <w:p w14:paraId="2F3DE799">
            <w:pPr>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976" w:type="dxa"/>
            <w:tcBorders>
              <w:top w:val="single" w:color="auto" w:sz="4" w:space="0"/>
              <w:left w:val="single" w:color="auto" w:sz="4" w:space="0"/>
              <w:bottom w:val="single" w:color="auto" w:sz="4" w:space="0"/>
              <w:right w:val="single" w:color="auto" w:sz="4" w:space="0"/>
            </w:tcBorders>
            <w:noWrap/>
            <w:vAlign w:val="center"/>
          </w:tcPr>
          <w:p w14:paraId="4342CC65">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798" w:type="dxa"/>
            <w:tcBorders>
              <w:top w:val="single" w:color="auto" w:sz="4" w:space="0"/>
              <w:left w:val="single" w:color="auto" w:sz="4" w:space="0"/>
              <w:bottom w:val="single" w:color="auto" w:sz="4" w:space="0"/>
              <w:right w:val="single" w:color="auto" w:sz="4" w:space="0"/>
            </w:tcBorders>
            <w:noWrap/>
            <w:vAlign w:val="center"/>
          </w:tcPr>
          <w:p w14:paraId="5928E6F6">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r>
      <w:tr w14:paraId="6F13A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756B25E8">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08" w:type="dxa"/>
            <w:tcBorders>
              <w:top w:val="single" w:color="auto" w:sz="4" w:space="0"/>
              <w:left w:val="single" w:color="auto" w:sz="4" w:space="0"/>
              <w:bottom w:val="single" w:color="auto" w:sz="4" w:space="0"/>
              <w:right w:val="single" w:color="auto" w:sz="4" w:space="0"/>
            </w:tcBorders>
            <w:noWrap/>
            <w:vAlign w:val="center"/>
          </w:tcPr>
          <w:p w14:paraId="6AD45F6B">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0E25B3CC">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3602169B">
            <w:pPr>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C6321B6">
            <w:pPr>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FDD4A2A">
            <w:pPr>
              <w:jc w:val="center"/>
              <w:rPr>
                <w:rFonts w:ascii="宋体" w:hAnsi="宋体" w:cs="宋体"/>
                <w:color w:val="auto"/>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DEE18C2">
            <w:pPr>
              <w:jc w:val="center"/>
              <w:rPr>
                <w:rFonts w:ascii="宋体" w:hAnsi="宋体" w:cs="宋体"/>
                <w:color w:val="auto"/>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2A77155D">
            <w:pPr>
              <w:pStyle w:val="17"/>
              <w:jc w:val="center"/>
              <w:rPr>
                <w:rFonts w:ascii="宋体" w:hAnsi="宋体" w:cs="宋体"/>
                <w:color w:val="auto"/>
                <w:sz w:val="21"/>
                <w:szCs w:val="21"/>
                <w:highlight w:val="none"/>
              </w:rPr>
            </w:pPr>
          </w:p>
        </w:tc>
      </w:tr>
      <w:tr w14:paraId="557BB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7146DE05">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08" w:type="dxa"/>
            <w:tcBorders>
              <w:top w:val="single" w:color="auto" w:sz="4" w:space="0"/>
              <w:left w:val="single" w:color="auto" w:sz="4" w:space="0"/>
              <w:bottom w:val="single" w:color="auto" w:sz="4" w:space="0"/>
              <w:right w:val="single" w:color="auto" w:sz="4" w:space="0"/>
            </w:tcBorders>
            <w:noWrap/>
            <w:vAlign w:val="center"/>
          </w:tcPr>
          <w:p w14:paraId="61C3814A">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3E4782BB">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F4E7951">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D06D302">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0B1BE091">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125AA6D6">
            <w:pPr>
              <w:pStyle w:val="17"/>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5AB9AD61">
            <w:pPr>
              <w:pStyle w:val="17"/>
              <w:jc w:val="center"/>
              <w:rPr>
                <w:rFonts w:ascii="宋体" w:hAnsi="宋体" w:cs="宋体"/>
                <w:color w:val="auto"/>
                <w:sz w:val="21"/>
                <w:szCs w:val="21"/>
                <w:highlight w:val="none"/>
              </w:rPr>
            </w:pPr>
          </w:p>
        </w:tc>
      </w:tr>
      <w:tr w14:paraId="5232A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3AAA170F">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08" w:type="dxa"/>
            <w:tcBorders>
              <w:top w:val="single" w:color="auto" w:sz="4" w:space="0"/>
              <w:left w:val="single" w:color="auto" w:sz="4" w:space="0"/>
              <w:bottom w:val="single" w:color="auto" w:sz="4" w:space="0"/>
              <w:right w:val="single" w:color="auto" w:sz="4" w:space="0"/>
            </w:tcBorders>
            <w:noWrap/>
            <w:vAlign w:val="center"/>
          </w:tcPr>
          <w:p w14:paraId="3A874DBB">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153867A1">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57D42B27">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3F1232">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3137F063">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9A1F2C1">
            <w:pPr>
              <w:pStyle w:val="17"/>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2483412E">
            <w:pPr>
              <w:pStyle w:val="17"/>
              <w:jc w:val="center"/>
              <w:rPr>
                <w:rFonts w:ascii="宋体" w:hAnsi="宋体" w:cs="宋体"/>
                <w:color w:val="auto"/>
                <w:sz w:val="21"/>
                <w:szCs w:val="21"/>
                <w:highlight w:val="none"/>
              </w:rPr>
            </w:pPr>
          </w:p>
        </w:tc>
      </w:tr>
      <w:tr w14:paraId="1BC46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0105C5E6">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08" w:type="dxa"/>
            <w:tcBorders>
              <w:top w:val="single" w:color="auto" w:sz="4" w:space="0"/>
              <w:left w:val="single" w:color="auto" w:sz="4" w:space="0"/>
              <w:bottom w:val="single" w:color="auto" w:sz="4" w:space="0"/>
              <w:right w:val="single" w:color="auto" w:sz="4" w:space="0"/>
            </w:tcBorders>
            <w:noWrap/>
            <w:vAlign w:val="center"/>
          </w:tcPr>
          <w:p w14:paraId="4D74CDFF">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ACE438F">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6E2554FE">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9328A19">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1E1F1307">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23ECC94F">
            <w:pPr>
              <w:pStyle w:val="17"/>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7578D37D">
            <w:pPr>
              <w:pStyle w:val="17"/>
              <w:jc w:val="center"/>
              <w:rPr>
                <w:rFonts w:ascii="宋体" w:hAnsi="宋体" w:cs="宋体"/>
                <w:color w:val="auto"/>
                <w:sz w:val="21"/>
                <w:szCs w:val="21"/>
                <w:highlight w:val="none"/>
              </w:rPr>
            </w:pPr>
          </w:p>
        </w:tc>
      </w:tr>
      <w:tr w14:paraId="27906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26F4204B">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308" w:type="dxa"/>
            <w:tcBorders>
              <w:top w:val="single" w:color="auto" w:sz="4" w:space="0"/>
              <w:left w:val="single" w:color="auto" w:sz="4" w:space="0"/>
              <w:bottom w:val="single" w:color="auto" w:sz="4" w:space="0"/>
              <w:right w:val="single" w:color="auto" w:sz="4" w:space="0"/>
            </w:tcBorders>
            <w:noWrap/>
            <w:vAlign w:val="center"/>
          </w:tcPr>
          <w:p w14:paraId="7B4DDA0E">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265ADE48">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14F774A9">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54CF9E">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324A8477">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6D6552C">
            <w:pPr>
              <w:pStyle w:val="17"/>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2B8591A2">
            <w:pPr>
              <w:pStyle w:val="17"/>
              <w:jc w:val="center"/>
              <w:rPr>
                <w:rFonts w:ascii="宋体" w:hAnsi="宋体" w:cs="宋体"/>
                <w:color w:val="auto"/>
                <w:sz w:val="21"/>
                <w:szCs w:val="21"/>
                <w:highlight w:val="none"/>
              </w:rPr>
            </w:pPr>
          </w:p>
        </w:tc>
      </w:tr>
      <w:tr w14:paraId="14ABA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3AA25706">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308" w:type="dxa"/>
            <w:tcBorders>
              <w:top w:val="single" w:color="auto" w:sz="4" w:space="0"/>
              <w:left w:val="single" w:color="auto" w:sz="4" w:space="0"/>
              <w:bottom w:val="single" w:color="auto" w:sz="4" w:space="0"/>
              <w:right w:val="single" w:color="auto" w:sz="4" w:space="0"/>
            </w:tcBorders>
            <w:noWrap/>
            <w:vAlign w:val="center"/>
          </w:tcPr>
          <w:p w14:paraId="7045DB38">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092921D9">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2F1FFD06">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CA384A">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194219CA">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85ADD54">
            <w:pPr>
              <w:pStyle w:val="17"/>
              <w:jc w:val="center"/>
              <w:rPr>
                <w:rFonts w:ascii="宋体" w:hAnsi="宋体" w:cs="宋体"/>
                <w:color w:val="auto"/>
                <w:sz w:val="21"/>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5A760E4E">
            <w:pPr>
              <w:pStyle w:val="17"/>
              <w:jc w:val="center"/>
              <w:rPr>
                <w:rFonts w:ascii="宋体" w:hAnsi="宋体" w:cs="宋体"/>
                <w:color w:val="auto"/>
                <w:sz w:val="21"/>
                <w:szCs w:val="21"/>
                <w:highlight w:val="none"/>
              </w:rPr>
            </w:pPr>
          </w:p>
        </w:tc>
      </w:tr>
      <w:tr w14:paraId="66DEF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14:paraId="4CED0AAC">
            <w:pPr>
              <w:rPr>
                <w:rFonts w:ascii="宋体" w:hAnsi="宋体" w:cs="宋体"/>
                <w:color w:val="auto"/>
                <w:szCs w:val="21"/>
                <w:highlight w:val="none"/>
              </w:rPr>
            </w:pPr>
            <w:r>
              <w:rPr>
                <w:rFonts w:hint="eastAsia" w:ascii="宋体" w:hAnsi="宋体" w:cs="宋体"/>
                <w:color w:val="auto"/>
                <w:szCs w:val="21"/>
                <w:highlight w:val="none"/>
              </w:rPr>
              <w:t>…</w:t>
            </w:r>
          </w:p>
        </w:tc>
        <w:tc>
          <w:tcPr>
            <w:tcW w:w="1308" w:type="dxa"/>
            <w:tcBorders>
              <w:top w:val="single" w:color="auto" w:sz="4" w:space="0"/>
              <w:left w:val="single" w:color="auto" w:sz="4" w:space="0"/>
              <w:bottom w:val="single" w:color="auto" w:sz="4" w:space="0"/>
              <w:right w:val="single" w:color="auto" w:sz="4" w:space="0"/>
            </w:tcBorders>
            <w:noWrap/>
            <w:vAlign w:val="center"/>
          </w:tcPr>
          <w:p w14:paraId="6E890C31">
            <w:pPr>
              <w:rPr>
                <w:rFonts w:ascii="宋体" w:hAnsi="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31586438">
            <w:pP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5619EF1D">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12D5FF5">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3301C916">
            <w:pPr>
              <w:rPr>
                <w:rFonts w:ascii="宋体" w:hAnsi="宋体" w:cs="宋体"/>
                <w:color w:val="auto"/>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2C205345">
            <w:pPr>
              <w:rPr>
                <w:rFonts w:ascii="宋体" w:hAnsi="宋体" w:cs="宋体"/>
                <w:color w:val="auto"/>
                <w:szCs w:val="21"/>
                <w:highlight w:val="none"/>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75C6EC6D">
            <w:pPr>
              <w:rPr>
                <w:rFonts w:ascii="宋体" w:hAnsi="宋体" w:cs="宋体"/>
                <w:color w:val="auto"/>
                <w:szCs w:val="21"/>
                <w:highlight w:val="none"/>
              </w:rPr>
            </w:pPr>
          </w:p>
        </w:tc>
      </w:tr>
    </w:tbl>
    <w:p w14:paraId="44C22088">
      <w:pPr>
        <w:spacing w:line="360" w:lineRule="auto"/>
        <w:rPr>
          <w:rFonts w:ascii="宋体" w:hAnsi="宋体" w:cs="宋体"/>
          <w:b/>
          <w:color w:val="auto"/>
          <w:szCs w:val="21"/>
          <w:highlight w:val="none"/>
        </w:rPr>
      </w:pPr>
      <w:r>
        <w:rPr>
          <w:rFonts w:hint="eastAsia" w:ascii="宋体" w:hAnsi="宋体" w:cs="宋体"/>
          <w:b/>
          <w:color w:val="auto"/>
          <w:szCs w:val="21"/>
          <w:highlight w:val="none"/>
        </w:rPr>
        <w:t>注：1、“项目实施人员”指投标单位针对该项目实施所配备的人员。</w:t>
      </w:r>
    </w:p>
    <w:p w14:paraId="04A17EE9">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2、后附各专业人员相关证明材料扫描件；项目负责人须填写简历表。</w:t>
      </w:r>
    </w:p>
    <w:p w14:paraId="4D235FA2">
      <w:pPr>
        <w:spacing w:line="360" w:lineRule="auto"/>
        <w:ind w:firstLine="481"/>
        <w:rPr>
          <w:rFonts w:ascii="宋体" w:hAnsi="宋体" w:cs="宋体"/>
          <w:b/>
          <w:color w:val="auto"/>
          <w:szCs w:val="21"/>
          <w:highlight w:val="none"/>
        </w:rPr>
      </w:pPr>
      <w:r>
        <w:rPr>
          <w:rFonts w:hint="eastAsia" w:ascii="宋体" w:hAnsi="宋体" w:cs="宋体"/>
          <w:b/>
          <w:color w:val="auto"/>
          <w:szCs w:val="21"/>
          <w:highlight w:val="none"/>
        </w:rPr>
        <w:t>3、表格不够填写可添加。如本表格不适合投标人的实际情况，可自行制表填写。</w:t>
      </w:r>
    </w:p>
    <w:p w14:paraId="2C9A4A4C">
      <w:pPr>
        <w:spacing w:line="360" w:lineRule="auto"/>
        <w:rPr>
          <w:rFonts w:ascii="宋体" w:hAnsi="宋体" w:cs="宋体"/>
          <w:b/>
          <w:color w:val="auto"/>
          <w:sz w:val="24"/>
          <w:highlight w:val="none"/>
        </w:rPr>
      </w:pPr>
    </w:p>
    <w:p w14:paraId="165DA212">
      <w:pPr>
        <w:spacing w:line="360" w:lineRule="auto"/>
        <w:rPr>
          <w:rFonts w:ascii="宋体" w:hAnsi="宋体" w:cs="宋体"/>
          <w:b/>
          <w:color w:val="auto"/>
          <w:sz w:val="24"/>
          <w:highlight w:val="none"/>
        </w:rPr>
      </w:pPr>
    </w:p>
    <w:p w14:paraId="721928D6">
      <w:pPr>
        <w:snapToGrid w:val="0"/>
        <w:spacing w:before="50" w:after="50" w:line="360" w:lineRule="auto"/>
        <w:rPr>
          <w:rFonts w:ascii="宋体" w:hAnsi="宋体" w:cs="宋体"/>
          <w:color w:val="auto"/>
          <w:spacing w:val="20"/>
          <w:sz w:val="24"/>
          <w:highlight w:val="none"/>
          <w:u w:val="single"/>
        </w:rPr>
      </w:pPr>
      <w:bookmarkStart w:id="70" w:name="OLE_LINK32"/>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65CCF754">
      <w:pPr>
        <w:pStyle w:val="41"/>
        <w:spacing w:line="360" w:lineRule="auto"/>
        <w:ind w:right="480"/>
        <w:rPr>
          <w:rFonts w:hAnsi="宋体" w:eastAsia="宋体" w:cs="宋体"/>
          <w:color w:val="auto"/>
          <w:sz w:val="24"/>
          <w:highlight w:val="none"/>
        </w:rPr>
      </w:pPr>
      <w:r>
        <w:rPr>
          <w:rFonts w:hint="eastAsia" w:hAnsi="宋体" w:eastAsia="宋体" w:cs="宋体"/>
          <w:color w:val="auto"/>
          <w:sz w:val="24"/>
          <w:highlight w:val="none"/>
        </w:rPr>
        <w:t>投标人公章：                           年    月    日</w:t>
      </w:r>
    </w:p>
    <w:p w14:paraId="19E1F696">
      <w:pPr>
        <w:pStyle w:val="27"/>
        <w:spacing w:before="0" w:beforeAutospacing="0" w:after="0" w:afterAutospacing="0"/>
        <w:jc w:val="center"/>
        <w:rPr>
          <w:rFonts w:cs="宋体"/>
          <w:b/>
          <w:snapToGrid w:val="0"/>
          <w:color w:val="auto"/>
          <w:highlight w:val="none"/>
        </w:rPr>
      </w:pPr>
      <w:r>
        <w:rPr>
          <w:rFonts w:hint="eastAsia" w:cs="宋体"/>
          <w:color w:val="auto"/>
          <w:highlight w:val="none"/>
        </w:rPr>
        <w:br w:type="page"/>
      </w:r>
      <w:bookmarkEnd w:id="70"/>
      <w:r>
        <w:rPr>
          <w:rFonts w:hint="eastAsia" w:cs="宋体"/>
          <w:b/>
          <w:color w:val="auto"/>
          <w:sz w:val="28"/>
          <w:szCs w:val="28"/>
          <w:highlight w:val="none"/>
        </w:rPr>
        <w:t>项目负责人简历表</w:t>
      </w:r>
    </w:p>
    <w:tbl>
      <w:tblPr>
        <w:tblStyle w:val="31"/>
        <w:tblW w:w="0" w:type="auto"/>
        <w:jc w:val="center"/>
        <w:tblLayout w:type="fixed"/>
        <w:tblCellMar>
          <w:top w:w="57" w:type="dxa"/>
          <w:left w:w="57" w:type="dxa"/>
          <w:bottom w:w="57" w:type="dxa"/>
          <w:right w:w="57" w:type="dxa"/>
        </w:tblCellMar>
      </w:tblPr>
      <w:tblGrid>
        <w:gridCol w:w="1856"/>
        <w:gridCol w:w="205"/>
        <w:gridCol w:w="1951"/>
        <w:gridCol w:w="730"/>
        <w:gridCol w:w="424"/>
        <w:gridCol w:w="296"/>
        <w:gridCol w:w="602"/>
        <w:gridCol w:w="118"/>
        <w:gridCol w:w="180"/>
        <w:gridCol w:w="616"/>
        <w:gridCol w:w="433"/>
        <w:gridCol w:w="181"/>
        <w:gridCol w:w="1437"/>
      </w:tblGrid>
      <w:tr w14:paraId="386E3468">
        <w:tblPrEx>
          <w:tblCellMar>
            <w:top w:w="57" w:type="dxa"/>
            <w:left w:w="57" w:type="dxa"/>
            <w:bottom w:w="57" w:type="dxa"/>
            <w:right w:w="57" w:type="dxa"/>
          </w:tblCellMar>
        </w:tblPrEx>
        <w:trPr>
          <w:trHeight w:val="743"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642D7D20">
            <w:pPr>
              <w:jc w:val="distribute"/>
              <w:rPr>
                <w:rFonts w:ascii="宋体" w:hAnsi="宋体" w:cs="宋体"/>
                <w:color w:val="auto"/>
                <w:szCs w:val="21"/>
                <w:highlight w:val="none"/>
              </w:rPr>
            </w:pPr>
            <w:r>
              <w:rPr>
                <w:rFonts w:hint="eastAsia" w:ascii="宋体" w:hAnsi="宋体" w:cs="宋体"/>
                <w:color w:val="auto"/>
                <w:szCs w:val="21"/>
                <w:highlight w:val="none"/>
              </w:rPr>
              <w:t>项目负责</w:t>
            </w:r>
          </w:p>
          <w:p w14:paraId="130EDE79">
            <w:pPr>
              <w:jc w:val="distribute"/>
              <w:rPr>
                <w:rFonts w:ascii="宋体" w:hAnsi="宋体" w:cs="宋体"/>
                <w:color w:val="auto"/>
                <w:szCs w:val="21"/>
                <w:highlight w:val="none"/>
              </w:rPr>
            </w:pPr>
            <w:r>
              <w:rPr>
                <w:rFonts w:hint="eastAsia" w:ascii="宋体" w:hAnsi="宋体" w:cs="宋体"/>
                <w:color w:val="auto"/>
                <w:szCs w:val="21"/>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70D813DD">
            <w:pPr>
              <w:jc w:val="center"/>
              <w:rPr>
                <w:rFonts w:ascii="宋体" w:hAnsi="宋体" w:cs="宋体"/>
                <w:color w:val="auto"/>
                <w:szCs w:val="21"/>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0E62036A">
            <w:pPr>
              <w:jc w:val="center"/>
              <w:rPr>
                <w:rFonts w:ascii="宋体" w:hAnsi="宋体" w:cs="宋体"/>
                <w:color w:val="auto"/>
                <w:szCs w:val="21"/>
                <w:highlight w:val="none"/>
              </w:rPr>
            </w:pPr>
            <w:r>
              <w:rPr>
                <w:rFonts w:hint="eastAsia" w:ascii="宋体" w:hAnsi="宋体" w:cs="宋体"/>
                <w:color w:val="auto"/>
                <w:szCs w:val="21"/>
                <w:highlight w:val="none"/>
              </w:rPr>
              <w:t>性</w:t>
            </w:r>
          </w:p>
          <w:p w14:paraId="28D21111">
            <w:pPr>
              <w:jc w:val="center"/>
              <w:rPr>
                <w:rFonts w:ascii="宋体" w:hAnsi="宋体" w:cs="宋体"/>
                <w:color w:val="auto"/>
                <w:szCs w:val="21"/>
                <w:highlight w:val="none"/>
              </w:rPr>
            </w:pPr>
            <w:r>
              <w:rPr>
                <w:rFonts w:hint="eastAsia" w:ascii="宋体" w:hAnsi="宋体" w:cs="宋体"/>
                <w:color w:val="auto"/>
                <w:szCs w:val="21"/>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491CC3AD">
            <w:pPr>
              <w:jc w:val="center"/>
              <w:rPr>
                <w:rFonts w:ascii="宋体" w:hAnsi="宋体" w:cs="宋体"/>
                <w:color w:val="auto"/>
                <w:szCs w:val="21"/>
                <w:highlight w:val="none"/>
              </w:rPr>
            </w:pP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522A3856">
            <w:pPr>
              <w:jc w:val="center"/>
              <w:rPr>
                <w:rFonts w:ascii="宋体" w:hAnsi="宋体" w:cs="宋体"/>
                <w:color w:val="auto"/>
                <w:szCs w:val="21"/>
                <w:highlight w:val="none"/>
              </w:rPr>
            </w:pPr>
            <w:r>
              <w:rPr>
                <w:rFonts w:hint="eastAsia" w:ascii="宋体" w:hAnsi="宋体" w:cs="宋体"/>
                <w:color w:val="auto"/>
                <w:szCs w:val="21"/>
                <w:highlight w:val="none"/>
              </w:rPr>
              <w:t>年</w:t>
            </w:r>
          </w:p>
          <w:p w14:paraId="7BC16BD1">
            <w:pPr>
              <w:jc w:val="center"/>
              <w:rPr>
                <w:rFonts w:ascii="宋体" w:hAnsi="宋体" w:cs="宋体"/>
                <w:color w:val="auto"/>
                <w:szCs w:val="21"/>
                <w:highlight w:val="none"/>
              </w:rPr>
            </w:pPr>
            <w:r>
              <w:rPr>
                <w:rFonts w:hint="eastAsia" w:ascii="宋体" w:hAnsi="宋体" w:cs="宋体"/>
                <w:color w:val="auto"/>
                <w:szCs w:val="21"/>
                <w:highlight w:val="none"/>
              </w:rPr>
              <w:t>龄</w:t>
            </w:r>
          </w:p>
        </w:tc>
        <w:tc>
          <w:tcPr>
            <w:tcW w:w="796" w:type="dxa"/>
            <w:gridSpan w:val="2"/>
            <w:tcBorders>
              <w:top w:val="single" w:color="auto" w:sz="6" w:space="0"/>
              <w:left w:val="single" w:color="auto" w:sz="6" w:space="0"/>
              <w:bottom w:val="single" w:color="auto" w:sz="6" w:space="0"/>
              <w:right w:val="single" w:color="auto" w:sz="6" w:space="0"/>
            </w:tcBorders>
            <w:noWrap/>
            <w:vAlign w:val="center"/>
          </w:tcPr>
          <w:p w14:paraId="6D58C475">
            <w:pPr>
              <w:jc w:val="center"/>
              <w:rPr>
                <w:rFonts w:ascii="宋体" w:hAnsi="宋体" w:cs="宋体"/>
                <w:color w:val="auto"/>
                <w:szCs w:val="21"/>
                <w:highlight w:val="none"/>
              </w:rPr>
            </w:pPr>
          </w:p>
        </w:tc>
        <w:tc>
          <w:tcPr>
            <w:tcW w:w="614" w:type="dxa"/>
            <w:gridSpan w:val="2"/>
            <w:tcBorders>
              <w:top w:val="single" w:color="auto" w:sz="6" w:space="0"/>
              <w:left w:val="single" w:color="auto" w:sz="6" w:space="0"/>
              <w:bottom w:val="single" w:color="auto" w:sz="6" w:space="0"/>
              <w:right w:val="single" w:color="auto" w:sz="6" w:space="0"/>
            </w:tcBorders>
            <w:noWrap/>
            <w:vAlign w:val="center"/>
          </w:tcPr>
          <w:p w14:paraId="4B8F7429">
            <w:pPr>
              <w:jc w:val="center"/>
              <w:rPr>
                <w:rFonts w:ascii="宋体" w:hAnsi="宋体" w:cs="宋体"/>
                <w:color w:val="auto"/>
                <w:szCs w:val="21"/>
                <w:highlight w:val="none"/>
              </w:rPr>
            </w:pPr>
            <w:r>
              <w:rPr>
                <w:rFonts w:hint="eastAsia" w:ascii="宋体" w:hAnsi="宋体" w:cs="宋体"/>
                <w:color w:val="auto"/>
                <w:szCs w:val="21"/>
                <w:highlight w:val="none"/>
              </w:rPr>
              <w:t>学</w:t>
            </w:r>
          </w:p>
          <w:p w14:paraId="497C39CD">
            <w:pPr>
              <w:jc w:val="center"/>
              <w:rPr>
                <w:rFonts w:ascii="宋体" w:hAnsi="宋体" w:cs="宋体"/>
                <w:color w:val="auto"/>
                <w:szCs w:val="21"/>
                <w:highlight w:val="none"/>
              </w:rPr>
            </w:pPr>
            <w:r>
              <w:rPr>
                <w:rFonts w:hint="eastAsia" w:ascii="宋体" w:hAnsi="宋体" w:cs="宋体"/>
                <w:color w:val="auto"/>
                <w:szCs w:val="21"/>
                <w:highlight w:val="none"/>
              </w:rPr>
              <w:t>历</w:t>
            </w:r>
          </w:p>
        </w:tc>
        <w:tc>
          <w:tcPr>
            <w:tcW w:w="1437" w:type="dxa"/>
            <w:tcBorders>
              <w:top w:val="single" w:color="auto" w:sz="6" w:space="0"/>
              <w:left w:val="single" w:color="auto" w:sz="6" w:space="0"/>
              <w:bottom w:val="single" w:color="auto" w:sz="6" w:space="0"/>
              <w:right w:val="single" w:color="auto" w:sz="6" w:space="0"/>
            </w:tcBorders>
            <w:noWrap/>
            <w:vAlign w:val="center"/>
          </w:tcPr>
          <w:p w14:paraId="02806C3A">
            <w:pPr>
              <w:jc w:val="center"/>
              <w:rPr>
                <w:rFonts w:ascii="宋体" w:hAnsi="宋体" w:cs="宋体"/>
                <w:color w:val="auto"/>
                <w:szCs w:val="21"/>
                <w:highlight w:val="none"/>
              </w:rPr>
            </w:pPr>
          </w:p>
        </w:tc>
      </w:tr>
      <w:tr w14:paraId="3BE90126">
        <w:tblPrEx>
          <w:tblCellMar>
            <w:top w:w="57" w:type="dxa"/>
            <w:left w:w="57" w:type="dxa"/>
            <w:bottom w:w="57" w:type="dxa"/>
            <w:right w:w="57" w:type="dxa"/>
          </w:tblCellMar>
        </w:tblPrEx>
        <w:trPr>
          <w:trHeight w:val="490"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2FCBFE76">
            <w:pPr>
              <w:jc w:val="distribute"/>
              <w:rPr>
                <w:rFonts w:ascii="宋体" w:hAnsi="宋体" w:cs="宋体"/>
                <w:color w:val="auto"/>
                <w:szCs w:val="21"/>
                <w:highlight w:val="none"/>
              </w:rPr>
            </w:pPr>
            <w:r>
              <w:rPr>
                <w:rFonts w:hint="eastAsia" w:ascii="宋体" w:hAnsi="宋体" w:cs="宋体"/>
                <w:color w:val="auto"/>
                <w:szCs w:val="21"/>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0A12AEF5">
            <w:pPr>
              <w:jc w:val="center"/>
              <w:rPr>
                <w:rFonts w:ascii="宋体" w:hAnsi="宋体" w:cs="宋体"/>
                <w:color w:val="auto"/>
                <w:szCs w:val="21"/>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2C0286D3">
            <w:pPr>
              <w:jc w:val="center"/>
              <w:rPr>
                <w:rFonts w:ascii="宋体" w:hAnsi="宋体" w:cs="宋体"/>
                <w:color w:val="auto"/>
                <w:szCs w:val="21"/>
                <w:highlight w:val="none"/>
              </w:rPr>
            </w:pPr>
            <w:r>
              <w:rPr>
                <w:rFonts w:hint="eastAsia" w:ascii="宋体" w:hAnsi="宋体" w:cs="宋体"/>
                <w:color w:val="auto"/>
                <w:szCs w:val="21"/>
                <w:highlight w:val="none"/>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ign w:val="center"/>
          </w:tcPr>
          <w:p w14:paraId="2949F3E9">
            <w:pPr>
              <w:jc w:val="center"/>
              <w:rPr>
                <w:rFonts w:ascii="宋体" w:hAnsi="宋体" w:cs="宋体"/>
                <w:color w:val="auto"/>
                <w:szCs w:val="21"/>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13A9F198">
            <w:pPr>
              <w:jc w:val="center"/>
              <w:rPr>
                <w:rFonts w:ascii="宋体" w:hAnsi="宋体" w:cs="宋体"/>
                <w:color w:val="auto"/>
                <w:szCs w:val="21"/>
                <w:highlight w:val="none"/>
              </w:rPr>
            </w:pPr>
            <w:r>
              <w:rPr>
                <w:rFonts w:hint="eastAsia" w:ascii="宋体" w:hAnsi="宋体" w:cs="宋体"/>
                <w:color w:val="auto"/>
                <w:szCs w:val="21"/>
                <w:highlight w:val="none"/>
              </w:rPr>
              <w:t>专业年限</w:t>
            </w:r>
          </w:p>
        </w:tc>
        <w:tc>
          <w:tcPr>
            <w:tcW w:w="1618" w:type="dxa"/>
            <w:gridSpan w:val="2"/>
            <w:tcBorders>
              <w:top w:val="single" w:color="auto" w:sz="6" w:space="0"/>
              <w:left w:val="single" w:color="auto" w:sz="6" w:space="0"/>
              <w:bottom w:val="single" w:color="auto" w:sz="6" w:space="0"/>
              <w:right w:val="single" w:color="auto" w:sz="6" w:space="0"/>
            </w:tcBorders>
            <w:noWrap/>
            <w:vAlign w:val="center"/>
          </w:tcPr>
          <w:p w14:paraId="6527B18A">
            <w:pPr>
              <w:jc w:val="center"/>
              <w:rPr>
                <w:rFonts w:ascii="宋体" w:hAnsi="宋体" w:cs="宋体"/>
                <w:color w:val="auto"/>
                <w:szCs w:val="21"/>
                <w:highlight w:val="none"/>
              </w:rPr>
            </w:pPr>
          </w:p>
        </w:tc>
      </w:tr>
      <w:tr w14:paraId="5E4BABC1">
        <w:tblPrEx>
          <w:tblCellMar>
            <w:top w:w="57" w:type="dxa"/>
            <w:left w:w="57" w:type="dxa"/>
            <w:bottom w:w="57" w:type="dxa"/>
            <w:right w:w="57" w:type="dxa"/>
          </w:tblCellMar>
        </w:tblPrEx>
        <w:trPr>
          <w:cantSplit/>
          <w:trHeight w:val="469"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62726F41">
            <w:pPr>
              <w:jc w:val="center"/>
              <w:rPr>
                <w:rFonts w:ascii="宋体" w:hAnsi="宋体" w:cs="宋体"/>
                <w:color w:val="auto"/>
                <w:szCs w:val="21"/>
                <w:highlight w:val="none"/>
              </w:rPr>
            </w:pPr>
            <w:r>
              <w:rPr>
                <w:rFonts w:hint="eastAsia" w:ascii="宋体" w:hAnsi="宋体" w:cs="宋体"/>
                <w:color w:val="auto"/>
                <w:szCs w:val="21"/>
                <w:highlight w:val="none"/>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4032123E">
            <w:pPr>
              <w:jc w:val="center"/>
              <w:rPr>
                <w:rFonts w:ascii="宋体" w:hAnsi="宋体" w:cs="宋体"/>
                <w:color w:val="auto"/>
                <w:szCs w:val="21"/>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63225693">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618" w:type="dxa"/>
            <w:gridSpan w:val="2"/>
            <w:tcBorders>
              <w:top w:val="single" w:color="auto" w:sz="6" w:space="0"/>
              <w:left w:val="single" w:color="auto" w:sz="6" w:space="0"/>
              <w:bottom w:val="single" w:color="auto" w:sz="6" w:space="0"/>
              <w:right w:val="single" w:color="auto" w:sz="6" w:space="0"/>
            </w:tcBorders>
            <w:noWrap/>
            <w:vAlign w:val="center"/>
          </w:tcPr>
          <w:p w14:paraId="583A1065">
            <w:pPr>
              <w:jc w:val="center"/>
              <w:rPr>
                <w:rFonts w:ascii="宋体" w:hAnsi="宋体" w:cs="宋体"/>
                <w:color w:val="auto"/>
                <w:szCs w:val="21"/>
                <w:highlight w:val="none"/>
              </w:rPr>
            </w:pPr>
          </w:p>
        </w:tc>
      </w:tr>
      <w:tr w14:paraId="33336C6A">
        <w:tblPrEx>
          <w:tblCellMar>
            <w:top w:w="57" w:type="dxa"/>
            <w:left w:w="57" w:type="dxa"/>
            <w:bottom w:w="57" w:type="dxa"/>
            <w:right w:w="57" w:type="dxa"/>
          </w:tblCellMar>
        </w:tblPrEx>
        <w:trPr>
          <w:trHeight w:val="469" w:hRule="atLeast"/>
          <w:jc w:val="center"/>
        </w:trPr>
        <w:tc>
          <w:tcPr>
            <w:tcW w:w="1856" w:type="dxa"/>
            <w:tcBorders>
              <w:top w:val="single" w:color="auto" w:sz="6" w:space="0"/>
              <w:left w:val="single" w:color="auto" w:sz="6" w:space="0"/>
              <w:bottom w:val="single" w:color="auto" w:sz="6" w:space="0"/>
              <w:right w:val="single" w:color="auto" w:sz="6" w:space="0"/>
            </w:tcBorders>
            <w:noWrap/>
            <w:vAlign w:val="center"/>
          </w:tcPr>
          <w:p w14:paraId="054F9A9A">
            <w:pPr>
              <w:jc w:val="distribute"/>
              <w:rPr>
                <w:rFonts w:ascii="宋体" w:hAnsi="宋体" w:cs="宋体"/>
                <w:color w:val="auto"/>
                <w:szCs w:val="21"/>
                <w:highlight w:val="none"/>
              </w:rPr>
            </w:pPr>
            <w:r>
              <w:rPr>
                <w:rFonts w:hint="eastAsia" w:ascii="宋体" w:hAnsi="宋体" w:cs="宋体"/>
                <w:color w:val="auto"/>
                <w:szCs w:val="21"/>
                <w:highlight w:val="none"/>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0F282437">
            <w:pPr>
              <w:jc w:val="center"/>
              <w:rPr>
                <w:rFonts w:ascii="宋体" w:hAnsi="宋体" w:cs="宋体"/>
                <w:color w:val="auto"/>
                <w:szCs w:val="21"/>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0FC58AF5">
            <w:pPr>
              <w:jc w:val="center"/>
              <w:rPr>
                <w:rFonts w:ascii="宋体" w:hAnsi="宋体" w:cs="宋体"/>
                <w:color w:val="auto"/>
                <w:szCs w:val="21"/>
                <w:highlight w:val="none"/>
              </w:rPr>
            </w:pPr>
            <w:r>
              <w:rPr>
                <w:rFonts w:hint="eastAsia" w:ascii="宋体" w:hAnsi="宋体" w:cs="宋体"/>
                <w:color w:val="auto"/>
                <w:szCs w:val="21"/>
                <w:highlight w:val="none"/>
              </w:rPr>
              <w:t>邮编</w:t>
            </w:r>
          </w:p>
        </w:tc>
        <w:tc>
          <w:tcPr>
            <w:tcW w:w="1618" w:type="dxa"/>
            <w:gridSpan w:val="2"/>
            <w:tcBorders>
              <w:top w:val="single" w:color="auto" w:sz="6" w:space="0"/>
              <w:left w:val="single" w:color="auto" w:sz="6" w:space="0"/>
              <w:bottom w:val="single" w:color="auto" w:sz="6" w:space="0"/>
              <w:right w:val="single" w:color="auto" w:sz="6" w:space="0"/>
            </w:tcBorders>
            <w:noWrap/>
            <w:vAlign w:val="center"/>
          </w:tcPr>
          <w:p w14:paraId="7D6A5F51">
            <w:pPr>
              <w:jc w:val="center"/>
              <w:rPr>
                <w:rFonts w:ascii="宋体" w:hAnsi="宋体" w:cs="宋体"/>
                <w:color w:val="auto"/>
                <w:szCs w:val="21"/>
                <w:highlight w:val="none"/>
              </w:rPr>
            </w:pPr>
          </w:p>
        </w:tc>
      </w:tr>
      <w:tr w14:paraId="139045B6">
        <w:tblPrEx>
          <w:tblCellMar>
            <w:top w:w="57" w:type="dxa"/>
            <w:left w:w="57" w:type="dxa"/>
            <w:bottom w:w="57" w:type="dxa"/>
            <w:right w:w="57" w:type="dxa"/>
          </w:tblCellMar>
        </w:tblPrEx>
        <w:trPr>
          <w:cantSplit/>
          <w:trHeight w:val="551" w:hRule="atLeast"/>
          <w:jc w:val="center"/>
        </w:trPr>
        <w:tc>
          <w:tcPr>
            <w:tcW w:w="9029" w:type="dxa"/>
            <w:gridSpan w:val="13"/>
            <w:tcBorders>
              <w:top w:val="single" w:color="auto" w:sz="6" w:space="0"/>
              <w:left w:val="single" w:color="auto" w:sz="6" w:space="0"/>
              <w:bottom w:val="nil"/>
              <w:right w:val="single" w:color="auto" w:sz="6" w:space="0"/>
            </w:tcBorders>
            <w:noWrap/>
            <w:vAlign w:val="center"/>
          </w:tcPr>
          <w:p w14:paraId="6D4C5322">
            <w:pPr>
              <w:jc w:val="center"/>
              <w:rPr>
                <w:rFonts w:ascii="宋体" w:hAnsi="宋体" w:cs="宋体"/>
                <w:color w:val="auto"/>
                <w:szCs w:val="21"/>
                <w:highlight w:val="none"/>
              </w:rPr>
            </w:pPr>
            <w:r>
              <w:rPr>
                <w:rFonts w:hint="eastAsia" w:ascii="宋体" w:hAnsi="宋体" w:cs="宋体"/>
                <w:color w:val="auto"/>
                <w:szCs w:val="21"/>
                <w:highlight w:val="none"/>
              </w:rPr>
              <w:t>项目工作经验</w:t>
            </w:r>
          </w:p>
        </w:tc>
      </w:tr>
      <w:tr w14:paraId="736008C8">
        <w:tblPrEx>
          <w:tblCellMar>
            <w:top w:w="57" w:type="dxa"/>
            <w:left w:w="57" w:type="dxa"/>
            <w:bottom w:w="57" w:type="dxa"/>
            <w:right w:w="57" w:type="dxa"/>
          </w:tblCellMar>
        </w:tblPrEx>
        <w:trPr>
          <w:cantSplit/>
          <w:trHeight w:val="795" w:hRule="atLeast"/>
          <w:jc w:val="center"/>
        </w:trPr>
        <w:tc>
          <w:tcPr>
            <w:tcW w:w="2061" w:type="dxa"/>
            <w:gridSpan w:val="2"/>
            <w:tcBorders>
              <w:top w:val="single" w:color="auto" w:sz="6" w:space="0"/>
              <w:left w:val="single" w:color="auto" w:sz="6" w:space="0"/>
              <w:bottom w:val="single" w:color="auto" w:sz="6" w:space="0"/>
              <w:right w:val="single" w:color="auto" w:sz="6" w:space="0"/>
            </w:tcBorders>
            <w:noWrap/>
            <w:vAlign w:val="center"/>
          </w:tcPr>
          <w:p w14:paraId="4FB04188">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ign w:val="center"/>
          </w:tcPr>
          <w:p w14:paraId="174E27D7">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ign w:val="center"/>
          </w:tcPr>
          <w:p w14:paraId="7C7D803F">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667" w:type="dxa"/>
            <w:gridSpan w:val="4"/>
            <w:tcBorders>
              <w:top w:val="single" w:color="auto" w:sz="6" w:space="0"/>
              <w:left w:val="single" w:color="auto" w:sz="6" w:space="0"/>
              <w:bottom w:val="single" w:color="auto" w:sz="6" w:space="0"/>
              <w:right w:val="single" w:color="auto" w:sz="6" w:space="0"/>
            </w:tcBorders>
            <w:noWrap/>
            <w:vAlign w:val="center"/>
          </w:tcPr>
          <w:p w14:paraId="5E4D1188">
            <w:pPr>
              <w:ind w:firstLine="105" w:firstLineChars="50"/>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64A504A4">
        <w:tblPrEx>
          <w:tblCellMar>
            <w:top w:w="57" w:type="dxa"/>
            <w:left w:w="57" w:type="dxa"/>
            <w:bottom w:w="57" w:type="dxa"/>
            <w:right w:w="57" w:type="dxa"/>
          </w:tblCellMar>
        </w:tblPrEx>
        <w:trPr>
          <w:cantSplit/>
          <w:trHeight w:val="639" w:hRule="atLeast"/>
          <w:jc w:val="center"/>
        </w:trPr>
        <w:tc>
          <w:tcPr>
            <w:tcW w:w="2061" w:type="dxa"/>
            <w:gridSpan w:val="2"/>
            <w:tcBorders>
              <w:top w:val="single" w:color="auto" w:sz="6" w:space="0"/>
              <w:left w:val="single" w:color="auto" w:sz="6" w:space="0"/>
              <w:bottom w:val="single" w:color="auto" w:sz="4" w:space="0"/>
              <w:right w:val="single" w:color="auto" w:sz="6" w:space="0"/>
            </w:tcBorders>
            <w:noWrap/>
            <w:vAlign w:val="center"/>
          </w:tcPr>
          <w:p w14:paraId="0A8C9A73">
            <w:pPr>
              <w:spacing w:line="900" w:lineRule="auto"/>
              <w:jc w:val="center"/>
              <w:rPr>
                <w:rFonts w:ascii="宋体" w:hAnsi="宋体" w:cs="宋体"/>
                <w:color w:val="auto"/>
                <w:szCs w:val="21"/>
                <w:highlight w:val="none"/>
              </w:rPr>
            </w:pPr>
          </w:p>
          <w:p w14:paraId="518F1797">
            <w:pPr>
              <w:spacing w:line="900" w:lineRule="auto"/>
              <w:jc w:val="center"/>
              <w:rPr>
                <w:rFonts w:ascii="宋体" w:hAnsi="宋体" w:cs="宋体"/>
                <w:color w:val="auto"/>
                <w:szCs w:val="21"/>
                <w:highlight w:val="none"/>
              </w:rPr>
            </w:pPr>
          </w:p>
        </w:tc>
        <w:tc>
          <w:tcPr>
            <w:tcW w:w="3105" w:type="dxa"/>
            <w:gridSpan w:val="3"/>
            <w:tcBorders>
              <w:top w:val="single" w:color="auto" w:sz="6" w:space="0"/>
              <w:left w:val="single" w:color="auto" w:sz="6" w:space="0"/>
              <w:bottom w:val="single" w:color="auto" w:sz="4" w:space="0"/>
              <w:right w:val="single" w:color="auto" w:sz="6" w:space="0"/>
            </w:tcBorders>
            <w:noWrap/>
            <w:vAlign w:val="center"/>
          </w:tcPr>
          <w:p w14:paraId="01C5E30F">
            <w:pPr>
              <w:jc w:val="center"/>
              <w:rPr>
                <w:rFonts w:ascii="宋体" w:hAnsi="宋体" w:cs="宋体"/>
                <w:color w:val="auto"/>
                <w:szCs w:val="21"/>
                <w:highlight w:val="none"/>
              </w:rPr>
            </w:pPr>
          </w:p>
        </w:tc>
        <w:tc>
          <w:tcPr>
            <w:tcW w:w="1196" w:type="dxa"/>
            <w:gridSpan w:val="4"/>
            <w:tcBorders>
              <w:top w:val="single" w:color="auto" w:sz="6" w:space="0"/>
              <w:left w:val="single" w:color="auto" w:sz="6" w:space="0"/>
              <w:bottom w:val="single" w:color="auto" w:sz="4" w:space="0"/>
              <w:right w:val="single" w:color="auto" w:sz="6" w:space="0"/>
            </w:tcBorders>
            <w:noWrap/>
            <w:vAlign w:val="center"/>
          </w:tcPr>
          <w:p w14:paraId="1F8BB679">
            <w:pPr>
              <w:jc w:val="center"/>
              <w:rPr>
                <w:rFonts w:ascii="宋体" w:hAnsi="宋体" w:cs="宋体"/>
                <w:color w:val="auto"/>
                <w:szCs w:val="21"/>
                <w:highlight w:val="none"/>
              </w:rPr>
            </w:pPr>
          </w:p>
        </w:tc>
        <w:tc>
          <w:tcPr>
            <w:tcW w:w="2667" w:type="dxa"/>
            <w:gridSpan w:val="4"/>
            <w:tcBorders>
              <w:top w:val="single" w:color="auto" w:sz="6" w:space="0"/>
              <w:left w:val="single" w:color="auto" w:sz="6" w:space="0"/>
              <w:bottom w:val="single" w:color="auto" w:sz="6" w:space="0"/>
              <w:right w:val="single" w:color="auto" w:sz="6" w:space="0"/>
            </w:tcBorders>
            <w:noWrap/>
            <w:vAlign w:val="center"/>
          </w:tcPr>
          <w:p w14:paraId="4711EE91">
            <w:pPr>
              <w:jc w:val="center"/>
              <w:rPr>
                <w:rFonts w:ascii="宋体" w:hAnsi="宋体" w:cs="宋体"/>
                <w:color w:val="auto"/>
                <w:szCs w:val="21"/>
                <w:highlight w:val="none"/>
              </w:rPr>
            </w:pPr>
          </w:p>
        </w:tc>
      </w:tr>
    </w:tbl>
    <w:p w14:paraId="33C025FC">
      <w:pPr>
        <w:spacing w:line="460" w:lineRule="atLeast"/>
        <w:rPr>
          <w:rFonts w:ascii="宋体" w:hAnsi="宋体" w:cs="宋体"/>
          <w:b/>
          <w:color w:val="auto"/>
          <w:szCs w:val="21"/>
          <w:highlight w:val="none"/>
        </w:rPr>
      </w:pPr>
      <w:r>
        <w:rPr>
          <w:rFonts w:hint="eastAsia" w:ascii="宋体" w:hAnsi="宋体" w:cs="宋体"/>
          <w:b/>
          <w:color w:val="auto"/>
          <w:szCs w:val="21"/>
          <w:highlight w:val="none"/>
        </w:rPr>
        <w:t>注：后附项目负责人相关证明材料扫描件；</w:t>
      </w:r>
    </w:p>
    <w:p w14:paraId="629D373E">
      <w:pPr>
        <w:spacing w:line="460" w:lineRule="atLeast"/>
        <w:rPr>
          <w:rFonts w:ascii="宋体" w:hAnsi="宋体" w:cs="宋体"/>
          <w:b/>
          <w:color w:val="auto"/>
          <w:sz w:val="24"/>
          <w:highlight w:val="none"/>
        </w:rPr>
      </w:pPr>
    </w:p>
    <w:p w14:paraId="57972B23">
      <w:pPr>
        <w:spacing w:line="460" w:lineRule="atLeast"/>
        <w:rPr>
          <w:rFonts w:ascii="宋体" w:hAnsi="宋体" w:cs="宋体"/>
          <w:b/>
          <w:color w:val="auto"/>
          <w:sz w:val="24"/>
          <w:highlight w:val="none"/>
        </w:rPr>
      </w:pPr>
    </w:p>
    <w:p w14:paraId="653E29BC">
      <w:pPr>
        <w:snapToGrid w:val="0"/>
        <w:spacing w:before="50" w:after="50" w:line="360" w:lineRule="auto"/>
        <w:rPr>
          <w:rFonts w:ascii="宋体" w:hAnsi="宋体" w:cs="宋体"/>
          <w:color w:val="auto"/>
          <w:spacing w:val="20"/>
          <w:sz w:val="24"/>
          <w:highlight w:val="none"/>
          <w:u w:val="single"/>
        </w:rPr>
      </w:pPr>
      <w:bookmarkStart w:id="71" w:name="OLE_LINK47"/>
      <w:r>
        <w:rPr>
          <w:rFonts w:hint="eastAsia" w:ascii="宋体" w:hAnsi="宋体" w:cs="宋体"/>
          <w:color w:val="auto"/>
          <w:sz w:val="24"/>
          <w:highlight w:val="none"/>
        </w:rPr>
        <w:t>法定代表人签字或盖章</w:t>
      </w:r>
      <w:r>
        <w:rPr>
          <w:rFonts w:hint="eastAsia" w:ascii="宋体" w:hAnsi="宋体" w:cs="宋体"/>
          <w:color w:val="auto"/>
          <w:spacing w:val="20"/>
          <w:sz w:val="24"/>
          <w:highlight w:val="none"/>
        </w:rPr>
        <w:t>：</w:t>
      </w:r>
    </w:p>
    <w:p w14:paraId="2618EF36">
      <w:pPr>
        <w:spacing w:line="460" w:lineRule="atLeast"/>
        <w:rPr>
          <w:rFonts w:ascii="宋体" w:hAnsi="宋体" w:cs="宋体"/>
          <w:b/>
          <w:color w:val="auto"/>
          <w:sz w:val="24"/>
          <w:highlight w:val="none"/>
        </w:rPr>
      </w:pPr>
      <w:r>
        <w:rPr>
          <w:rFonts w:hint="eastAsia" w:ascii="宋体" w:hAnsi="宋体" w:cs="宋体"/>
          <w:color w:val="auto"/>
          <w:sz w:val="24"/>
          <w:highlight w:val="none"/>
        </w:rPr>
        <w:t>投标人公章：                           年    月    日</w:t>
      </w:r>
    </w:p>
    <w:bookmarkEnd w:id="71"/>
    <w:p w14:paraId="1763EA69">
      <w:pPr>
        <w:pStyle w:val="41"/>
        <w:spacing w:line="360" w:lineRule="auto"/>
        <w:rPr>
          <w:rFonts w:hAnsi="宋体" w:cs="宋体"/>
          <w:b/>
          <w:bCs/>
          <w:color w:val="auto"/>
          <w:sz w:val="24"/>
          <w:highlight w:val="none"/>
        </w:rPr>
      </w:pPr>
      <w:r>
        <w:rPr>
          <w:rFonts w:hint="eastAsia" w:hAnsi="宋体" w:eastAsia="宋体" w:cs="宋体"/>
          <w:b/>
          <w:snapToGrid w:val="0"/>
          <w:color w:val="auto"/>
          <w:highlight w:val="none"/>
        </w:rPr>
        <w:br w:type="page"/>
      </w:r>
      <w:bookmarkStart w:id="72" w:name="OLE_LINK48"/>
      <w:r>
        <w:rPr>
          <w:rFonts w:hint="eastAsia" w:hAnsi="宋体" w:eastAsia="宋体" w:cs="宋体"/>
          <w:b/>
          <w:snapToGrid w:val="0"/>
          <w:color w:val="auto"/>
          <w:highlight w:val="none"/>
          <w:lang w:val="en-US" w:eastAsia="zh-CN"/>
        </w:rPr>
        <w:t>5</w:t>
      </w:r>
      <w:r>
        <w:rPr>
          <w:rFonts w:hint="eastAsia" w:ascii="宋体" w:hAnsi="宋体" w:eastAsia="宋体" w:cs="宋体"/>
          <w:b/>
          <w:color w:val="auto"/>
          <w:kern w:val="0"/>
          <w:sz w:val="24"/>
          <w:szCs w:val="24"/>
          <w:highlight w:val="none"/>
          <w:lang w:val="en-US" w:eastAsia="zh-CN" w:bidi="ar-SA"/>
        </w:rPr>
        <w:t>、</w:t>
      </w:r>
      <w:bookmarkEnd w:id="72"/>
      <w:r>
        <w:rPr>
          <w:rFonts w:hint="eastAsia" w:ascii="宋体" w:hAnsi="宋体" w:eastAsia="宋体" w:cs="宋体"/>
          <w:b/>
          <w:color w:val="auto"/>
          <w:kern w:val="0"/>
          <w:sz w:val="24"/>
          <w:szCs w:val="24"/>
          <w:highlight w:val="none"/>
          <w:lang w:val="en-US" w:eastAsia="zh-CN" w:bidi="ar-SA"/>
        </w:rPr>
        <w:t>服务承诺等。</w:t>
      </w:r>
    </w:p>
    <w:p w14:paraId="36085CA6">
      <w:pPr>
        <w:snapToGrid w:val="0"/>
        <w:spacing w:before="50" w:after="156" w:afterLines="50"/>
        <w:jc w:val="left"/>
        <w:rPr>
          <w:rFonts w:ascii="宋体" w:hAnsi="宋体" w:cs="宋体"/>
          <w:b/>
          <w:bCs/>
          <w:color w:val="auto"/>
          <w:sz w:val="24"/>
          <w:highlight w:val="none"/>
        </w:rPr>
      </w:pPr>
    </w:p>
    <w:p w14:paraId="3765D062">
      <w:pPr>
        <w:snapToGrid w:val="0"/>
        <w:spacing w:before="50" w:after="156" w:afterLines="50"/>
        <w:jc w:val="left"/>
        <w:rPr>
          <w:rFonts w:ascii="宋体" w:hAnsi="宋体" w:cs="宋体"/>
          <w:b/>
          <w:bCs/>
          <w:color w:val="auto"/>
          <w:sz w:val="24"/>
          <w:highlight w:val="none"/>
        </w:rPr>
      </w:pPr>
    </w:p>
    <w:p w14:paraId="401B8174">
      <w:pPr>
        <w:snapToGrid w:val="0"/>
        <w:spacing w:before="50" w:after="156" w:afterLines="50"/>
        <w:jc w:val="left"/>
        <w:rPr>
          <w:rFonts w:ascii="宋体" w:hAnsi="宋体" w:cs="宋体"/>
          <w:b/>
          <w:bCs/>
          <w:color w:val="auto"/>
          <w:sz w:val="24"/>
          <w:highlight w:val="none"/>
        </w:rPr>
      </w:pPr>
    </w:p>
    <w:p w14:paraId="6639C38A">
      <w:pPr>
        <w:snapToGrid w:val="0"/>
        <w:spacing w:before="50" w:after="156" w:afterLines="50"/>
        <w:jc w:val="left"/>
        <w:rPr>
          <w:rFonts w:ascii="宋体" w:hAnsi="宋体" w:cs="宋体"/>
          <w:b/>
          <w:bCs/>
          <w:color w:val="auto"/>
          <w:sz w:val="24"/>
          <w:highlight w:val="none"/>
        </w:rPr>
      </w:pPr>
    </w:p>
    <w:p w14:paraId="61483BD3">
      <w:pPr>
        <w:snapToGrid w:val="0"/>
        <w:spacing w:before="50" w:after="156" w:afterLines="50"/>
        <w:jc w:val="left"/>
        <w:rPr>
          <w:rFonts w:ascii="宋体" w:hAnsi="宋体" w:cs="宋体"/>
          <w:b/>
          <w:bCs/>
          <w:color w:val="auto"/>
          <w:sz w:val="24"/>
          <w:highlight w:val="none"/>
        </w:rPr>
      </w:pPr>
    </w:p>
    <w:p w14:paraId="6C22CBDF">
      <w:pPr>
        <w:snapToGrid w:val="0"/>
        <w:spacing w:before="50" w:after="156" w:afterLines="50"/>
        <w:jc w:val="left"/>
        <w:rPr>
          <w:rFonts w:ascii="宋体" w:hAnsi="宋体" w:cs="宋体"/>
          <w:b/>
          <w:bCs/>
          <w:color w:val="auto"/>
          <w:sz w:val="24"/>
          <w:highlight w:val="none"/>
        </w:rPr>
      </w:pPr>
    </w:p>
    <w:p w14:paraId="43B9F48F">
      <w:pPr>
        <w:snapToGrid w:val="0"/>
        <w:spacing w:before="50" w:after="156" w:afterLines="50"/>
        <w:jc w:val="left"/>
        <w:rPr>
          <w:rFonts w:ascii="宋体" w:hAnsi="宋体" w:cs="宋体"/>
          <w:b/>
          <w:bCs/>
          <w:color w:val="auto"/>
          <w:sz w:val="24"/>
          <w:highlight w:val="none"/>
        </w:rPr>
      </w:pPr>
    </w:p>
    <w:p w14:paraId="1814D403">
      <w:pPr>
        <w:snapToGrid w:val="0"/>
        <w:spacing w:before="50" w:after="156" w:afterLines="50"/>
        <w:jc w:val="left"/>
        <w:rPr>
          <w:rFonts w:ascii="宋体" w:hAnsi="宋体" w:cs="宋体"/>
          <w:b/>
          <w:bCs/>
          <w:color w:val="auto"/>
          <w:sz w:val="24"/>
          <w:highlight w:val="none"/>
        </w:rPr>
      </w:pPr>
    </w:p>
    <w:p w14:paraId="1815A70E">
      <w:pPr>
        <w:snapToGrid w:val="0"/>
        <w:spacing w:before="50" w:after="156" w:afterLines="50"/>
        <w:jc w:val="left"/>
        <w:rPr>
          <w:rFonts w:ascii="宋体" w:hAnsi="宋体" w:cs="宋体"/>
          <w:b/>
          <w:bCs/>
          <w:color w:val="auto"/>
          <w:sz w:val="24"/>
          <w:highlight w:val="none"/>
        </w:rPr>
      </w:pPr>
    </w:p>
    <w:p w14:paraId="02F63EC5">
      <w:pPr>
        <w:pStyle w:val="3"/>
        <w:rPr>
          <w:rFonts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lang w:val="en-US" w:eastAsia="zh-CN"/>
        </w:rPr>
        <w:t>6</w:t>
      </w:r>
      <w:r>
        <w:rPr>
          <w:rFonts w:hint="eastAsia" w:ascii="宋体" w:hAnsi="宋体" w:eastAsia="宋体" w:cs="宋体"/>
          <w:b/>
          <w:color w:val="auto"/>
          <w:highlight w:val="none"/>
        </w:rPr>
        <w:t>、项目业绩格式</w:t>
      </w:r>
    </w:p>
    <w:p w14:paraId="2B5CFE8E">
      <w:pPr>
        <w:pStyle w:val="41"/>
        <w:spacing w:line="360" w:lineRule="auto"/>
        <w:jc w:val="center"/>
        <w:rPr>
          <w:rFonts w:hAnsi="宋体" w:eastAsia="宋体" w:cs="宋体"/>
          <w:b/>
          <w:color w:val="auto"/>
          <w:sz w:val="32"/>
          <w:szCs w:val="32"/>
          <w:highlight w:val="none"/>
        </w:rPr>
      </w:pPr>
      <w:r>
        <w:rPr>
          <w:rFonts w:hint="eastAsia" w:hAnsi="宋体" w:eastAsia="宋体" w:cs="宋体"/>
          <w:b/>
          <w:color w:val="auto"/>
          <w:sz w:val="32"/>
          <w:szCs w:val="32"/>
          <w:highlight w:val="none"/>
        </w:rPr>
        <w:t>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14:paraId="7139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ign w:val="center"/>
          </w:tcPr>
          <w:p w14:paraId="5B807553">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5" w:type="dxa"/>
            <w:noWrap/>
            <w:vAlign w:val="center"/>
          </w:tcPr>
          <w:p w14:paraId="26005D64">
            <w:pPr>
              <w:jc w:val="center"/>
              <w:rPr>
                <w:rFonts w:ascii="宋体" w:hAnsi="宋体" w:cs="宋体"/>
                <w:b/>
                <w:color w:val="auto"/>
                <w:sz w:val="24"/>
                <w:highlight w:val="none"/>
              </w:rPr>
            </w:pPr>
            <w:r>
              <w:rPr>
                <w:rFonts w:hint="eastAsia" w:ascii="宋体" w:hAnsi="宋体" w:cs="宋体"/>
                <w:b/>
                <w:color w:val="auto"/>
                <w:sz w:val="24"/>
                <w:highlight w:val="none"/>
              </w:rPr>
              <w:t>采购项目名称</w:t>
            </w:r>
          </w:p>
        </w:tc>
        <w:tc>
          <w:tcPr>
            <w:tcW w:w="1800" w:type="dxa"/>
            <w:noWrap/>
            <w:vAlign w:val="center"/>
          </w:tcPr>
          <w:p w14:paraId="5EF2140C">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项目起止时间</w:t>
            </w:r>
          </w:p>
        </w:tc>
        <w:tc>
          <w:tcPr>
            <w:tcW w:w="2100" w:type="dxa"/>
            <w:noWrap/>
            <w:vAlign w:val="center"/>
          </w:tcPr>
          <w:p w14:paraId="487AE887">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合同金额（万元）</w:t>
            </w:r>
          </w:p>
        </w:tc>
        <w:tc>
          <w:tcPr>
            <w:tcW w:w="2090" w:type="dxa"/>
            <w:noWrap/>
            <w:vAlign w:val="center"/>
          </w:tcPr>
          <w:p w14:paraId="3A0CDDA8">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采购单位联系人及联系电话</w:t>
            </w:r>
          </w:p>
        </w:tc>
      </w:tr>
      <w:tr w14:paraId="6ABF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ign w:val="center"/>
          </w:tcPr>
          <w:p w14:paraId="57ABE59F">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95" w:type="dxa"/>
            <w:noWrap/>
            <w:vAlign w:val="center"/>
          </w:tcPr>
          <w:p w14:paraId="7683EFF6">
            <w:pPr>
              <w:jc w:val="center"/>
              <w:rPr>
                <w:rFonts w:ascii="宋体" w:hAnsi="宋体" w:cs="宋体"/>
                <w:color w:val="auto"/>
                <w:sz w:val="24"/>
                <w:highlight w:val="none"/>
              </w:rPr>
            </w:pPr>
          </w:p>
        </w:tc>
        <w:tc>
          <w:tcPr>
            <w:tcW w:w="1800" w:type="dxa"/>
            <w:noWrap/>
          </w:tcPr>
          <w:p w14:paraId="0506A13E">
            <w:pPr>
              <w:jc w:val="center"/>
              <w:rPr>
                <w:rFonts w:ascii="宋体" w:hAnsi="宋体" w:cs="宋体"/>
                <w:color w:val="auto"/>
                <w:sz w:val="24"/>
                <w:highlight w:val="none"/>
              </w:rPr>
            </w:pPr>
          </w:p>
        </w:tc>
        <w:tc>
          <w:tcPr>
            <w:tcW w:w="2100" w:type="dxa"/>
            <w:noWrap/>
            <w:vAlign w:val="center"/>
          </w:tcPr>
          <w:p w14:paraId="4B82A5F0">
            <w:pPr>
              <w:jc w:val="center"/>
              <w:rPr>
                <w:rFonts w:ascii="宋体" w:hAnsi="宋体" w:cs="宋体"/>
                <w:color w:val="auto"/>
                <w:sz w:val="24"/>
                <w:highlight w:val="none"/>
              </w:rPr>
            </w:pPr>
          </w:p>
        </w:tc>
        <w:tc>
          <w:tcPr>
            <w:tcW w:w="2090" w:type="dxa"/>
            <w:noWrap/>
            <w:vAlign w:val="center"/>
          </w:tcPr>
          <w:p w14:paraId="55E5AE33">
            <w:pPr>
              <w:jc w:val="center"/>
              <w:rPr>
                <w:rFonts w:ascii="宋体" w:hAnsi="宋体" w:cs="宋体"/>
                <w:color w:val="auto"/>
                <w:sz w:val="24"/>
                <w:highlight w:val="none"/>
              </w:rPr>
            </w:pPr>
          </w:p>
        </w:tc>
      </w:tr>
      <w:tr w14:paraId="4942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ign w:val="center"/>
          </w:tcPr>
          <w:p w14:paraId="26702690">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95" w:type="dxa"/>
            <w:noWrap/>
            <w:vAlign w:val="center"/>
          </w:tcPr>
          <w:p w14:paraId="48EC4420">
            <w:pPr>
              <w:jc w:val="center"/>
              <w:rPr>
                <w:rFonts w:ascii="宋体" w:hAnsi="宋体" w:cs="宋体"/>
                <w:color w:val="auto"/>
                <w:sz w:val="24"/>
                <w:highlight w:val="none"/>
              </w:rPr>
            </w:pPr>
          </w:p>
        </w:tc>
        <w:tc>
          <w:tcPr>
            <w:tcW w:w="1800" w:type="dxa"/>
            <w:noWrap/>
          </w:tcPr>
          <w:p w14:paraId="25F2FC87">
            <w:pPr>
              <w:jc w:val="center"/>
              <w:rPr>
                <w:rFonts w:ascii="宋体" w:hAnsi="宋体" w:cs="宋体"/>
                <w:color w:val="auto"/>
                <w:sz w:val="24"/>
                <w:highlight w:val="none"/>
              </w:rPr>
            </w:pPr>
          </w:p>
        </w:tc>
        <w:tc>
          <w:tcPr>
            <w:tcW w:w="2100" w:type="dxa"/>
            <w:noWrap/>
            <w:vAlign w:val="center"/>
          </w:tcPr>
          <w:p w14:paraId="04E13048">
            <w:pPr>
              <w:jc w:val="center"/>
              <w:rPr>
                <w:rFonts w:ascii="宋体" w:hAnsi="宋体" w:cs="宋体"/>
                <w:color w:val="auto"/>
                <w:sz w:val="24"/>
                <w:highlight w:val="none"/>
              </w:rPr>
            </w:pPr>
          </w:p>
        </w:tc>
        <w:tc>
          <w:tcPr>
            <w:tcW w:w="2090" w:type="dxa"/>
            <w:noWrap/>
            <w:vAlign w:val="center"/>
          </w:tcPr>
          <w:p w14:paraId="0FFF6399">
            <w:pPr>
              <w:jc w:val="center"/>
              <w:rPr>
                <w:rFonts w:ascii="宋体" w:hAnsi="宋体" w:cs="宋体"/>
                <w:color w:val="auto"/>
                <w:sz w:val="24"/>
                <w:highlight w:val="none"/>
              </w:rPr>
            </w:pPr>
          </w:p>
        </w:tc>
      </w:tr>
      <w:tr w14:paraId="33E5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3E54EB91">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95" w:type="dxa"/>
            <w:noWrap/>
            <w:vAlign w:val="center"/>
          </w:tcPr>
          <w:p w14:paraId="6A2BF0EF">
            <w:pPr>
              <w:jc w:val="center"/>
              <w:rPr>
                <w:rFonts w:ascii="宋体" w:hAnsi="宋体" w:cs="宋体"/>
                <w:color w:val="auto"/>
                <w:sz w:val="24"/>
                <w:highlight w:val="none"/>
              </w:rPr>
            </w:pPr>
          </w:p>
        </w:tc>
        <w:tc>
          <w:tcPr>
            <w:tcW w:w="1800" w:type="dxa"/>
            <w:noWrap/>
          </w:tcPr>
          <w:p w14:paraId="4237CD5F">
            <w:pPr>
              <w:jc w:val="center"/>
              <w:rPr>
                <w:rFonts w:ascii="宋体" w:hAnsi="宋体" w:cs="宋体"/>
                <w:color w:val="auto"/>
                <w:sz w:val="24"/>
                <w:highlight w:val="none"/>
              </w:rPr>
            </w:pPr>
          </w:p>
        </w:tc>
        <w:tc>
          <w:tcPr>
            <w:tcW w:w="2100" w:type="dxa"/>
            <w:noWrap/>
            <w:vAlign w:val="center"/>
          </w:tcPr>
          <w:p w14:paraId="64F2A6A9">
            <w:pPr>
              <w:jc w:val="center"/>
              <w:rPr>
                <w:rFonts w:ascii="宋体" w:hAnsi="宋体" w:cs="宋体"/>
                <w:color w:val="auto"/>
                <w:sz w:val="24"/>
                <w:highlight w:val="none"/>
              </w:rPr>
            </w:pPr>
          </w:p>
        </w:tc>
        <w:tc>
          <w:tcPr>
            <w:tcW w:w="2090" w:type="dxa"/>
            <w:noWrap/>
            <w:vAlign w:val="center"/>
          </w:tcPr>
          <w:p w14:paraId="57760FC0">
            <w:pPr>
              <w:jc w:val="center"/>
              <w:rPr>
                <w:rFonts w:ascii="宋体" w:hAnsi="宋体" w:cs="宋体"/>
                <w:color w:val="auto"/>
                <w:sz w:val="24"/>
                <w:highlight w:val="none"/>
              </w:rPr>
            </w:pPr>
          </w:p>
        </w:tc>
      </w:tr>
      <w:tr w14:paraId="0517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1159833F">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95" w:type="dxa"/>
            <w:noWrap/>
            <w:vAlign w:val="center"/>
          </w:tcPr>
          <w:p w14:paraId="636E82EF">
            <w:pPr>
              <w:jc w:val="center"/>
              <w:rPr>
                <w:rFonts w:ascii="宋体" w:hAnsi="宋体" w:cs="宋体"/>
                <w:color w:val="auto"/>
                <w:sz w:val="24"/>
                <w:highlight w:val="none"/>
              </w:rPr>
            </w:pPr>
          </w:p>
        </w:tc>
        <w:tc>
          <w:tcPr>
            <w:tcW w:w="1800" w:type="dxa"/>
            <w:noWrap/>
          </w:tcPr>
          <w:p w14:paraId="37D40828">
            <w:pPr>
              <w:jc w:val="center"/>
              <w:rPr>
                <w:rFonts w:ascii="宋体" w:hAnsi="宋体" w:cs="宋体"/>
                <w:color w:val="auto"/>
                <w:sz w:val="24"/>
                <w:highlight w:val="none"/>
              </w:rPr>
            </w:pPr>
          </w:p>
        </w:tc>
        <w:tc>
          <w:tcPr>
            <w:tcW w:w="2100" w:type="dxa"/>
            <w:noWrap/>
            <w:vAlign w:val="center"/>
          </w:tcPr>
          <w:p w14:paraId="2E83ED12">
            <w:pPr>
              <w:jc w:val="center"/>
              <w:rPr>
                <w:rFonts w:ascii="宋体" w:hAnsi="宋体" w:cs="宋体"/>
                <w:color w:val="auto"/>
                <w:sz w:val="24"/>
                <w:highlight w:val="none"/>
              </w:rPr>
            </w:pPr>
          </w:p>
        </w:tc>
        <w:tc>
          <w:tcPr>
            <w:tcW w:w="2090" w:type="dxa"/>
            <w:noWrap/>
            <w:vAlign w:val="center"/>
          </w:tcPr>
          <w:p w14:paraId="5ACE277C">
            <w:pPr>
              <w:jc w:val="center"/>
              <w:rPr>
                <w:rFonts w:ascii="宋体" w:hAnsi="宋体" w:cs="宋体"/>
                <w:color w:val="auto"/>
                <w:sz w:val="24"/>
                <w:highlight w:val="none"/>
              </w:rPr>
            </w:pPr>
          </w:p>
        </w:tc>
      </w:tr>
      <w:tr w14:paraId="500D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ign w:val="center"/>
          </w:tcPr>
          <w:p w14:paraId="3496EF64">
            <w:pPr>
              <w:jc w:val="center"/>
              <w:rPr>
                <w:rFonts w:ascii="宋体" w:hAnsi="宋体" w:cs="宋体"/>
                <w:color w:val="auto"/>
                <w:sz w:val="24"/>
                <w:highlight w:val="none"/>
              </w:rPr>
            </w:pPr>
            <w:r>
              <w:rPr>
                <w:rFonts w:hint="eastAsia" w:ascii="宋体" w:hAnsi="宋体" w:cs="宋体"/>
                <w:color w:val="auto"/>
                <w:sz w:val="24"/>
                <w:highlight w:val="none"/>
              </w:rPr>
              <w:t>……</w:t>
            </w:r>
          </w:p>
        </w:tc>
        <w:tc>
          <w:tcPr>
            <w:tcW w:w="2095" w:type="dxa"/>
            <w:noWrap/>
            <w:vAlign w:val="center"/>
          </w:tcPr>
          <w:p w14:paraId="6175CA8C">
            <w:pPr>
              <w:jc w:val="center"/>
              <w:rPr>
                <w:rFonts w:ascii="宋体" w:hAnsi="宋体" w:cs="宋体"/>
                <w:color w:val="auto"/>
                <w:sz w:val="24"/>
                <w:highlight w:val="none"/>
              </w:rPr>
            </w:pPr>
          </w:p>
        </w:tc>
        <w:tc>
          <w:tcPr>
            <w:tcW w:w="1800" w:type="dxa"/>
            <w:noWrap/>
          </w:tcPr>
          <w:p w14:paraId="73FB14F1">
            <w:pPr>
              <w:jc w:val="center"/>
              <w:rPr>
                <w:rFonts w:ascii="宋体" w:hAnsi="宋体" w:cs="宋体"/>
                <w:color w:val="auto"/>
                <w:sz w:val="24"/>
                <w:highlight w:val="none"/>
              </w:rPr>
            </w:pPr>
          </w:p>
        </w:tc>
        <w:tc>
          <w:tcPr>
            <w:tcW w:w="2100" w:type="dxa"/>
            <w:noWrap/>
            <w:vAlign w:val="center"/>
          </w:tcPr>
          <w:p w14:paraId="40036714">
            <w:pPr>
              <w:jc w:val="center"/>
              <w:rPr>
                <w:rFonts w:ascii="宋体" w:hAnsi="宋体" w:cs="宋体"/>
                <w:color w:val="auto"/>
                <w:sz w:val="24"/>
                <w:highlight w:val="none"/>
              </w:rPr>
            </w:pPr>
          </w:p>
        </w:tc>
        <w:tc>
          <w:tcPr>
            <w:tcW w:w="2090" w:type="dxa"/>
            <w:noWrap/>
            <w:vAlign w:val="center"/>
          </w:tcPr>
          <w:p w14:paraId="47B9D0F8">
            <w:pPr>
              <w:jc w:val="center"/>
              <w:rPr>
                <w:rFonts w:ascii="宋体" w:hAnsi="宋体" w:cs="宋体"/>
                <w:color w:val="auto"/>
                <w:sz w:val="24"/>
                <w:highlight w:val="none"/>
              </w:rPr>
            </w:pPr>
          </w:p>
        </w:tc>
      </w:tr>
    </w:tbl>
    <w:p w14:paraId="4D51789D">
      <w:pPr>
        <w:snapToGrid w:val="0"/>
        <w:spacing w:line="240" w:lineRule="atLeast"/>
        <w:ind w:firstLine="200"/>
        <w:rPr>
          <w:rFonts w:ascii="宋体" w:hAnsi="宋体" w:cs="宋体"/>
          <w:b/>
          <w:color w:val="auto"/>
          <w:sz w:val="24"/>
          <w:highlight w:val="none"/>
        </w:rPr>
      </w:pPr>
      <w:r>
        <w:rPr>
          <w:rFonts w:hint="eastAsia" w:ascii="宋体" w:hAnsi="宋体" w:cs="宋体"/>
          <w:b/>
          <w:color w:val="auto"/>
          <w:sz w:val="24"/>
          <w:highlight w:val="none"/>
        </w:rPr>
        <w:t>注：1.此表不提供，视为无业绩。</w:t>
      </w:r>
    </w:p>
    <w:p w14:paraId="4776695C">
      <w:pPr>
        <w:snapToGrid w:val="0"/>
        <w:spacing w:line="240" w:lineRule="atLeast"/>
        <w:ind w:firstLine="704" w:firstLineChars="292"/>
        <w:rPr>
          <w:rFonts w:ascii="宋体" w:hAnsi="宋体" w:cs="宋体"/>
          <w:b/>
          <w:color w:val="auto"/>
          <w:sz w:val="24"/>
          <w:highlight w:val="none"/>
        </w:rPr>
      </w:pPr>
      <w:r>
        <w:rPr>
          <w:rFonts w:hint="eastAsia" w:ascii="宋体" w:hAnsi="宋体" w:cs="宋体"/>
          <w:b/>
          <w:color w:val="auto"/>
          <w:sz w:val="24"/>
          <w:highlight w:val="none"/>
        </w:rPr>
        <w:t>2.此表仅提供了格式，表格不够可自行增加。</w:t>
      </w:r>
    </w:p>
    <w:p w14:paraId="12934CC1">
      <w:pP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3.后附合同等资料。</w:t>
      </w:r>
    </w:p>
    <w:p w14:paraId="28C02C29">
      <w:pP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4.如本表格不适合投标人的实际情况，可自行制表填写。</w:t>
      </w:r>
    </w:p>
    <w:p w14:paraId="6AA2EB14">
      <w:pPr>
        <w:snapToGrid w:val="0"/>
        <w:spacing w:line="240" w:lineRule="atLeast"/>
        <w:ind w:firstLine="701" w:firstLineChars="291"/>
        <w:rPr>
          <w:rFonts w:ascii="宋体" w:hAnsi="宋体" w:cs="宋体"/>
          <w:b/>
          <w:color w:val="auto"/>
          <w:sz w:val="24"/>
          <w:highlight w:val="none"/>
        </w:rPr>
      </w:pPr>
    </w:p>
    <w:p w14:paraId="6438479A">
      <w:pPr>
        <w:snapToGrid w:val="0"/>
        <w:spacing w:line="240" w:lineRule="atLeast"/>
        <w:ind w:firstLine="701" w:firstLineChars="291"/>
        <w:rPr>
          <w:rFonts w:ascii="宋体" w:hAnsi="宋体" w:cs="宋体"/>
          <w:b/>
          <w:color w:val="auto"/>
          <w:sz w:val="24"/>
          <w:highlight w:val="none"/>
        </w:rPr>
      </w:pPr>
    </w:p>
    <w:p w14:paraId="7754D160">
      <w:pPr>
        <w:snapToGrid w:val="0"/>
        <w:spacing w:before="156" w:beforeLines="50" w:line="400" w:lineRule="exact"/>
        <w:ind w:firstLine="200"/>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0034894D">
      <w:pPr>
        <w:snapToGrid w:val="0"/>
        <w:spacing w:before="156"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投标人公章：</w:t>
      </w:r>
    </w:p>
    <w:p w14:paraId="3AC6EDA7">
      <w:pPr>
        <w:pStyle w:val="41"/>
        <w:spacing w:line="360" w:lineRule="auto"/>
        <w:ind w:right="480" w:firstLine="240" w:firstLineChars="100"/>
        <w:rPr>
          <w:rFonts w:hAnsi="宋体" w:eastAsia="宋体" w:cs="宋体"/>
          <w:b/>
          <w:color w:val="auto"/>
          <w:szCs w:val="21"/>
          <w:highlight w:val="none"/>
        </w:rPr>
      </w:pPr>
      <w:r>
        <w:rPr>
          <w:rFonts w:hint="eastAsia" w:hAnsi="宋体" w:eastAsia="宋体" w:cs="宋体"/>
          <w:color w:val="auto"/>
          <w:sz w:val="24"/>
          <w:highlight w:val="none"/>
        </w:rPr>
        <w:t>日期：    年    月    日</w:t>
      </w:r>
    </w:p>
    <w:p w14:paraId="7DA44C59">
      <w:pPr>
        <w:rPr>
          <w:rFonts w:ascii="宋体" w:hAnsi="宋体" w:cs="宋体"/>
          <w:color w:val="auto"/>
          <w:highlight w:val="none"/>
        </w:rPr>
      </w:pPr>
    </w:p>
    <w:p w14:paraId="4003C009">
      <w:pPr>
        <w:pStyle w:val="3"/>
        <w:rPr>
          <w:rFonts w:ascii="宋体" w:hAnsi="宋体" w:eastAsia="宋体" w:cs="宋体"/>
          <w:color w:val="auto"/>
          <w:highlight w:val="none"/>
        </w:rPr>
      </w:pPr>
    </w:p>
    <w:p w14:paraId="121B3E72">
      <w:pPr>
        <w:rPr>
          <w:rFonts w:ascii="宋体" w:hAnsi="宋体" w:cs="宋体"/>
          <w:color w:val="auto"/>
          <w:highlight w:val="none"/>
        </w:rPr>
      </w:pPr>
    </w:p>
    <w:p w14:paraId="48DABDBB">
      <w:pPr>
        <w:pStyle w:val="15"/>
        <w:snapToGrid w:val="0"/>
        <w:spacing w:before="31" w:beforeLines="10" w:after="31" w:afterLines="10" w:line="360" w:lineRule="auto"/>
        <w:ind w:firstLine="482" w:firstLineChars="200"/>
        <w:rPr>
          <w:rFonts w:hAnsi="宋体" w:cs="宋体"/>
          <w:b/>
          <w:color w:val="auto"/>
          <w:sz w:val="24"/>
          <w:szCs w:val="24"/>
          <w:highlight w:val="none"/>
        </w:rPr>
      </w:pPr>
      <w:r>
        <w:rPr>
          <w:rFonts w:hint="eastAsia" w:hAnsi="宋体" w:cs="宋体"/>
          <w:b/>
          <w:color w:val="auto"/>
          <w:sz w:val="24"/>
          <w:highlight w:val="none"/>
        </w:rPr>
        <w:br w:type="page"/>
      </w:r>
    </w:p>
    <w:p w14:paraId="6F3524B2">
      <w:pPr>
        <w:snapToGrid w:val="0"/>
        <w:spacing w:before="50" w:after="156" w:afterLines="50" w:line="440" w:lineRule="exact"/>
        <w:jc w:val="left"/>
        <w:rPr>
          <w:rFonts w:ascii="宋体" w:hAnsi="宋体" w:cs="宋体"/>
          <w:color w:val="auto"/>
          <w:sz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、投标人需要说明的其他内容。（未尽事宜可按评分细则部分制作）</w:t>
      </w:r>
    </w:p>
    <w:p w14:paraId="503793B0">
      <w:pPr>
        <w:spacing w:line="460" w:lineRule="atLeast"/>
        <w:rPr>
          <w:rFonts w:ascii="宋体" w:hAnsi="宋体" w:cs="宋体"/>
          <w:color w:val="auto"/>
          <w:highlight w:val="none"/>
        </w:rPr>
      </w:pPr>
    </w:p>
    <w:p w14:paraId="6CEBB4F9">
      <w:pPr>
        <w:spacing w:line="460" w:lineRule="atLeast"/>
        <w:jc w:val="center"/>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三、报价文件格式</w:t>
      </w:r>
    </w:p>
    <w:p w14:paraId="3A6719CC">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·报价文件封面格式： </w:t>
      </w:r>
    </w:p>
    <w:p w14:paraId="70FD4A44">
      <w:pPr>
        <w:snapToGrid w:val="0"/>
        <w:spacing w:before="156" w:beforeLines="50" w:after="50" w:line="440" w:lineRule="exact"/>
        <w:rPr>
          <w:rFonts w:ascii="宋体" w:hAnsi="宋体" w:cs="宋体"/>
          <w:b/>
          <w:bCs/>
          <w:color w:val="auto"/>
          <w:sz w:val="32"/>
          <w:highlight w:val="none"/>
        </w:rPr>
      </w:pPr>
    </w:p>
    <w:p w14:paraId="08409AB5">
      <w:pPr>
        <w:snapToGrid w:val="0"/>
        <w:spacing w:before="156" w:beforeLines="50" w:after="50" w:line="440" w:lineRule="exact"/>
        <w:rPr>
          <w:rFonts w:ascii="宋体" w:hAnsi="宋体" w:cs="宋体"/>
          <w:bCs/>
          <w:color w:val="auto"/>
          <w:sz w:val="24"/>
          <w:highlight w:val="none"/>
        </w:rPr>
      </w:pPr>
    </w:p>
    <w:p w14:paraId="2D9FABA2">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报 价 文 件</w:t>
      </w:r>
    </w:p>
    <w:p w14:paraId="2FC2F1E3">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4C5675DE">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2F76322E">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27295CCE">
      <w:pPr>
        <w:pStyle w:val="7"/>
        <w:spacing w:before="50" w:after="50" w:line="440" w:lineRule="exact"/>
        <w:ind w:firstLine="998" w:firstLineChars="416"/>
        <w:rPr>
          <w:rFonts w:hAnsi="宋体" w:cs="宋体"/>
          <w:bCs/>
          <w:color w:val="auto"/>
          <w:sz w:val="24"/>
          <w:szCs w:val="24"/>
          <w:highlight w:val="none"/>
        </w:rPr>
      </w:pPr>
      <w:r>
        <w:rPr>
          <w:rFonts w:hint="eastAsia" w:hAnsi="宋体" w:cs="宋体"/>
          <w:bCs/>
          <w:color w:val="auto"/>
          <w:sz w:val="24"/>
          <w:szCs w:val="24"/>
          <w:highlight w:val="none"/>
        </w:rPr>
        <w:t>投标人地址：</w:t>
      </w:r>
    </w:p>
    <w:p w14:paraId="14060947">
      <w:pPr>
        <w:snapToGrid w:val="0"/>
        <w:spacing w:before="156" w:beforeLines="50" w:after="50" w:line="440" w:lineRule="exact"/>
        <w:rPr>
          <w:rFonts w:ascii="宋体" w:hAnsi="宋体" w:cs="宋体"/>
          <w:color w:val="auto"/>
          <w:sz w:val="24"/>
          <w:highlight w:val="none"/>
        </w:rPr>
      </w:pPr>
    </w:p>
    <w:p w14:paraId="567C1BB3">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467ADB4D">
      <w:pPr>
        <w:snapToGrid w:val="0"/>
        <w:spacing w:before="156" w:beforeLines="50" w:after="50" w:line="440" w:lineRule="exac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1、投标函格式：</w:t>
      </w:r>
    </w:p>
    <w:p w14:paraId="7B6DBA92">
      <w:pPr>
        <w:pStyle w:val="15"/>
        <w:adjustRightInd w:val="0"/>
        <w:snapToGrid w:val="0"/>
        <w:spacing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投 标 函</w:t>
      </w:r>
    </w:p>
    <w:p w14:paraId="3B24B6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782615A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根据贵方为项目的招标公告（项目编号：），签字代表（全名）经正式授权并代表投标人（投标人名称）提交了电子投标文件。</w:t>
      </w:r>
    </w:p>
    <w:p w14:paraId="467CC8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28D691A">
      <w:pPr>
        <w:pStyle w:val="12"/>
        <w:spacing w:line="360" w:lineRule="auto"/>
        <w:ind w:right="-91" w:firstLine="460" w:firstLineChars="192"/>
        <w:rPr>
          <w:rFonts w:ascii="宋体" w:hAnsi="宋体" w:cs="宋体"/>
          <w:color w:val="auto"/>
          <w:sz w:val="24"/>
          <w:highlight w:val="none"/>
        </w:rPr>
      </w:pPr>
      <w:r>
        <w:rPr>
          <w:rFonts w:hint="eastAsia" w:ascii="宋体" w:hAnsi="宋体" w:cs="宋体"/>
          <w:color w:val="auto"/>
          <w:sz w:val="24"/>
          <w:highlight w:val="none"/>
        </w:rPr>
        <w:t>1、我方已详细审查了采购文件的全部内容及其相关补充文件</w:t>
      </w:r>
      <w:r>
        <w:rPr>
          <w:rFonts w:hint="eastAsia" w:ascii="宋体" w:hAnsi="宋体" w:cs="宋体"/>
          <w:b/>
          <w:color w:val="auto"/>
          <w:sz w:val="24"/>
          <w:highlight w:val="none"/>
        </w:rPr>
        <w:t>（若有）</w:t>
      </w:r>
      <w:r>
        <w:rPr>
          <w:rFonts w:hint="eastAsia" w:ascii="宋体" w:hAnsi="宋体" w:cs="宋体"/>
          <w:color w:val="auto"/>
          <w:sz w:val="24"/>
          <w:highlight w:val="none"/>
        </w:rPr>
        <w:t>，并完全清晰理解全部内容及相关的补充文件</w:t>
      </w:r>
      <w:r>
        <w:rPr>
          <w:rFonts w:hint="eastAsia" w:ascii="宋体" w:hAnsi="宋体" w:cs="宋体"/>
          <w:b/>
          <w:color w:val="auto"/>
          <w:sz w:val="24"/>
          <w:highlight w:val="none"/>
        </w:rPr>
        <w:t>（若有）</w:t>
      </w:r>
      <w:r>
        <w:rPr>
          <w:rFonts w:hint="eastAsia" w:ascii="宋体" w:hAnsi="宋体" w:cs="宋体"/>
          <w:color w:val="auto"/>
          <w:sz w:val="24"/>
          <w:highlight w:val="none"/>
        </w:rPr>
        <w:t>，不存在任何误解之处，同意放弃提出异议和质疑的权利。</w:t>
      </w:r>
    </w:p>
    <w:p w14:paraId="0D42609A">
      <w:pPr>
        <w:spacing w:line="360" w:lineRule="auto"/>
        <w:ind w:right="-89" w:firstLine="464" w:firstLineChars="200"/>
        <w:jc w:val="left"/>
        <w:rPr>
          <w:rFonts w:ascii="宋体" w:hAnsi="宋体" w:cs="宋体"/>
          <w:color w:val="auto"/>
          <w:spacing w:val="-4"/>
          <w:sz w:val="24"/>
          <w:highlight w:val="none"/>
        </w:rPr>
      </w:pPr>
      <w:r>
        <w:rPr>
          <w:rFonts w:hint="eastAsia" w:ascii="宋体" w:hAnsi="宋体" w:cs="宋体"/>
          <w:color w:val="auto"/>
          <w:spacing w:val="-4"/>
          <w:sz w:val="24"/>
          <w:highlight w:val="none"/>
        </w:rPr>
        <w:t>2、我方遵守《中华人民共和国政府采购法》及相关法律法规的规定。同意采购文件中所提到的无效标条款，并服从有关开标现场的会议纪律。否则，同意被废除投标资格。</w:t>
      </w:r>
    </w:p>
    <w:p w14:paraId="7DA9BC59">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883BB58">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4、投标有效期为自开标之日起</w:t>
      </w:r>
      <w:r>
        <w:rPr>
          <w:rFonts w:hint="eastAsia" w:ascii="宋体" w:hAnsi="宋体" w:cs="宋体"/>
          <w:color w:val="auto"/>
          <w:spacing w:val="-4"/>
          <w:sz w:val="24"/>
          <w:highlight w:val="none"/>
          <w:u w:val="single"/>
        </w:rPr>
        <w:t>60</w:t>
      </w:r>
      <w:r>
        <w:rPr>
          <w:rFonts w:hint="eastAsia" w:ascii="宋体" w:hAnsi="宋体" w:cs="宋体"/>
          <w:color w:val="auto"/>
          <w:spacing w:val="-4"/>
          <w:sz w:val="24"/>
          <w:highlight w:val="none"/>
        </w:rPr>
        <w:t>天内，如在投标有效期内撤回投标，我方同意被废除投标资格。</w:t>
      </w:r>
    </w:p>
    <w:p w14:paraId="3EA1AECE">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5、</w:t>
      </w:r>
      <w:r>
        <w:rPr>
          <w:rFonts w:hint="eastAsia" w:ascii="宋体" w:hAnsi="宋体" w:cs="宋体"/>
          <w:color w:val="auto"/>
          <w:sz w:val="24"/>
          <w:highlight w:val="none"/>
        </w:rPr>
        <w:t>若我方中标，则直至合同履行完毕为止，本投标文件有效。</w:t>
      </w:r>
    </w:p>
    <w:p w14:paraId="4AD958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739E318F">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地址：邮编：__________   电话：______________</w:t>
      </w:r>
    </w:p>
    <w:p w14:paraId="17EAF7B5">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w:t>
      </w:r>
    </w:p>
    <w:p w14:paraId="599BC99D">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0051557A">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开户银行：   银行帐号：</w:t>
      </w:r>
    </w:p>
    <w:p w14:paraId="184CFA0E">
      <w:pPr>
        <w:adjustRightInd w:val="0"/>
        <w:spacing w:line="440" w:lineRule="exact"/>
        <w:rPr>
          <w:rFonts w:ascii="宋体" w:hAnsi="宋体" w:cs="宋体"/>
          <w:b/>
          <w:color w:val="auto"/>
          <w:sz w:val="24"/>
          <w:highlight w:val="none"/>
        </w:rPr>
      </w:pPr>
      <w:r>
        <w:rPr>
          <w:rFonts w:hint="eastAsia" w:ascii="宋体" w:hAnsi="宋体" w:cs="宋体"/>
          <w:color w:val="auto"/>
          <w:sz w:val="24"/>
          <w:highlight w:val="none"/>
        </w:rPr>
        <w:t>法定代表人签字或盖章:___________                 日期:_____年___月___日</w:t>
      </w:r>
    </w:p>
    <w:p w14:paraId="57181EC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2、开标一览表格式</w:t>
      </w:r>
    </w:p>
    <w:p w14:paraId="460BA43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45DA44E6">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ZSJS-2025-007</w:t>
      </w:r>
      <w:r>
        <w:rPr>
          <w:rFonts w:hint="eastAsia" w:ascii="宋体" w:hAnsi="宋体" w:cs="宋体"/>
          <w:color w:val="auto"/>
          <w:sz w:val="24"/>
          <w:highlight w:val="none"/>
        </w:rPr>
        <w:t xml:space="preserve">                              报价单位：人民币（元）</w:t>
      </w:r>
    </w:p>
    <w:tbl>
      <w:tblPr>
        <w:tblStyle w:val="31"/>
        <w:tblpPr w:leftFromText="180" w:rightFromText="180" w:vertAnchor="text" w:horzAnchor="margin" w:tblpXSpec="center" w:tblpY="3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7376"/>
      </w:tblGrid>
      <w:tr w14:paraId="191C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785" w:type="dxa"/>
            <w:noWrap/>
            <w:vAlign w:val="center"/>
          </w:tcPr>
          <w:p w14:paraId="47AF0645">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项目名称</w:t>
            </w:r>
          </w:p>
        </w:tc>
        <w:tc>
          <w:tcPr>
            <w:tcW w:w="7376" w:type="dxa"/>
            <w:noWrap/>
            <w:vAlign w:val="center"/>
          </w:tcPr>
          <w:p w14:paraId="5EF83F27">
            <w:pPr>
              <w:widowControl/>
              <w:jc w:val="center"/>
              <w:textAlignment w:val="bottom"/>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嵊泗县人民法院安保服务</w:t>
            </w:r>
          </w:p>
        </w:tc>
      </w:tr>
      <w:tr w14:paraId="1DA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785" w:type="dxa"/>
            <w:noWrap/>
            <w:vAlign w:val="center"/>
          </w:tcPr>
          <w:p w14:paraId="78EE012F">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rPr>
              <w:t>总投标报价</w:t>
            </w:r>
          </w:p>
        </w:tc>
        <w:tc>
          <w:tcPr>
            <w:tcW w:w="7376" w:type="dxa"/>
            <w:noWrap/>
            <w:vAlign w:val="center"/>
          </w:tcPr>
          <w:p w14:paraId="799D9605">
            <w:pPr>
              <w:adjustRightInd w:val="0"/>
              <w:spacing w:line="440" w:lineRule="exact"/>
              <w:ind w:firstLine="240" w:firstLineChars="100"/>
              <w:jc w:val="left"/>
              <w:rPr>
                <w:rFonts w:ascii="宋体" w:hAnsi="宋体" w:cs="宋体"/>
                <w:color w:val="auto"/>
                <w:sz w:val="24"/>
                <w:highlight w:val="none"/>
                <w:u w:val="single"/>
              </w:rPr>
            </w:pPr>
            <w:r>
              <w:rPr>
                <w:rFonts w:hint="eastAsia" w:ascii="宋体" w:hAnsi="宋体" w:cs="宋体"/>
                <w:color w:val="auto"/>
                <w:sz w:val="24"/>
                <w:highlight w:val="none"/>
              </w:rPr>
              <w:t>大写（人民币）：</w:t>
            </w:r>
          </w:p>
          <w:p w14:paraId="3C070BE9">
            <w:pPr>
              <w:widowControl/>
              <w:ind w:firstLine="240" w:firstLineChars="100"/>
              <w:textAlignment w:val="bottom"/>
              <w:rPr>
                <w:rFonts w:ascii="宋体" w:hAnsi="宋体" w:cs="宋体"/>
                <w:color w:val="auto"/>
                <w:sz w:val="24"/>
                <w:highlight w:val="none"/>
                <w:u w:val="single"/>
              </w:rPr>
            </w:pPr>
            <w:r>
              <w:rPr>
                <w:rFonts w:hint="eastAsia" w:ascii="宋体" w:hAnsi="宋体" w:cs="宋体"/>
                <w:color w:val="auto"/>
                <w:sz w:val="24"/>
                <w:highlight w:val="none"/>
              </w:rPr>
              <w:t>小写：￥</w:t>
            </w:r>
          </w:p>
        </w:tc>
      </w:tr>
      <w:tr w14:paraId="77C8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85" w:type="dxa"/>
            <w:noWrap/>
            <w:vAlign w:val="center"/>
          </w:tcPr>
          <w:p w14:paraId="4D0C1A93">
            <w:pPr>
              <w:widowControl/>
              <w:jc w:val="center"/>
              <w:textAlignment w:val="bottom"/>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376" w:type="dxa"/>
            <w:noWrap/>
            <w:vAlign w:val="center"/>
          </w:tcPr>
          <w:p w14:paraId="6A497859">
            <w:pPr>
              <w:widowControl/>
              <w:ind w:firstLine="240" w:firstLineChars="100"/>
              <w:textAlignment w:val="bottom"/>
              <w:rPr>
                <w:rFonts w:ascii="宋体" w:hAnsi="宋体" w:cs="宋体"/>
                <w:color w:val="auto"/>
                <w:sz w:val="24"/>
                <w:highlight w:val="none"/>
              </w:rPr>
            </w:pPr>
          </w:p>
        </w:tc>
      </w:tr>
    </w:tbl>
    <w:p w14:paraId="51FE8171">
      <w:pPr>
        <w:adjustRightInd w:val="0"/>
        <w:spacing w:line="440" w:lineRule="exact"/>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：1、按以上</w:t>
      </w:r>
      <w:r>
        <w:rPr>
          <w:rFonts w:hint="eastAsia" w:ascii="宋体" w:hAnsi="宋体" w:cs="宋体"/>
          <w:color w:val="auto"/>
          <w:kern w:val="0"/>
          <w:szCs w:val="21"/>
          <w:highlight w:val="none"/>
        </w:rPr>
        <w:t>表格形式填写。</w:t>
      </w:r>
    </w:p>
    <w:p w14:paraId="1C6D6D7A">
      <w:pPr>
        <w:pStyle w:val="8"/>
        <w:ind w:firstLine="420" w:firstLineChars="200"/>
        <w:rPr>
          <w:rFonts w:hAnsi="宋体"/>
          <w:color w:val="auto"/>
          <w:szCs w:val="21"/>
          <w:highlight w:val="none"/>
        </w:rPr>
      </w:pPr>
      <w:r>
        <w:rPr>
          <w:rFonts w:hint="eastAsia" w:ascii="宋体" w:hAnsi="宋体" w:cs="宋体"/>
          <w:color w:val="auto"/>
          <w:szCs w:val="21"/>
          <w:highlight w:val="none"/>
        </w:rPr>
        <w:t>2、投标报价是履行合同的最终价格，</w:t>
      </w:r>
      <w:r>
        <w:rPr>
          <w:rFonts w:hint="eastAsia"/>
          <w:b/>
          <w:bCs/>
          <w:color w:val="auto"/>
          <w:highlight w:val="none"/>
        </w:rPr>
        <w:t>包括货款、人工、标准附件、备品备件、专用工具、包装、运输、装卸、保险、税金、货到就位以及安装、调试、培训、保修、运维等完成本项目的一切本身和不可或缺的所有工作开支、政策性文件规定及合同包含的所有风险、责任等各项全部费用。</w:t>
      </w:r>
    </w:p>
    <w:p w14:paraId="1C71A4A9">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3、投标人如果需要对报价、服务或其它内容加以说明，可在备注一栏中填写。</w:t>
      </w:r>
    </w:p>
    <w:p w14:paraId="3DD9F84A">
      <w:pPr>
        <w:spacing w:line="380" w:lineRule="exact"/>
        <w:rPr>
          <w:rFonts w:ascii="宋体" w:hAnsi="宋体" w:cs="宋体"/>
          <w:color w:val="auto"/>
          <w:sz w:val="24"/>
          <w:highlight w:val="none"/>
        </w:rPr>
      </w:pPr>
    </w:p>
    <w:p w14:paraId="08F685C5">
      <w:pPr>
        <w:spacing w:line="380" w:lineRule="exact"/>
        <w:rPr>
          <w:rFonts w:ascii="宋体" w:hAnsi="宋体" w:cs="宋体"/>
          <w:color w:val="auto"/>
          <w:sz w:val="24"/>
          <w:highlight w:val="none"/>
        </w:rPr>
      </w:pPr>
    </w:p>
    <w:p w14:paraId="4F9C4D26">
      <w:pPr>
        <w:spacing w:line="380" w:lineRule="exact"/>
        <w:rPr>
          <w:rFonts w:ascii="宋体" w:hAnsi="宋体" w:cs="宋体"/>
          <w:color w:val="auto"/>
          <w:sz w:val="24"/>
          <w:highlight w:val="none"/>
        </w:rPr>
      </w:pPr>
    </w:p>
    <w:p w14:paraId="46261FCD">
      <w:pPr>
        <w:spacing w:line="380" w:lineRule="exact"/>
        <w:rPr>
          <w:rFonts w:ascii="宋体" w:hAnsi="宋体" w:cs="宋体"/>
          <w:color w:val="auto"/>
          <w:sz w:val="24"/>
          <w:highlight w:val="none"/>
        </w:rPr>
      </w:pPr>
    </w:p>
    <w:p w14:paraId="56403E69">
      <w:pPr>
        <w:spacing w:line="380" w:lineRule="exact"/>
        <w:rPr>
          <w:rFonts w:ascii="宋体" w:hAnsi="宋体" w:cs="宋体"/>
          <w:color w:val="auto"/>
          <w:sz w:val="24"/>
          <w:highlight w:val="none"/>
        </w:rPr>
      </w:pPr>
    </w:p>
    <w:p w14:paraId="652D3645">
      <w:pPr>
        <w:spacing w:line="380" w:lineRule="exact"/>
        <w:rPr>
          <w:rFonts w:ascii="宋体" w:hAnsi="宋体" w:cs="宋体"/>
          <w:color w:val="auto"/>
          <w:sz w:val="24"/>
          <w:highlight w:val="none"/>
        </w:rPr>
      </w:pPr>
    </w:p>
    <w:p w14:paraId="5F0100A5">
      <w:pPr>
        <w:spacing w:line="380" w:lineRule="exact"/>
        <w:rPr>
          <w:rFonts w:ascii="宋体" w:hAnsi="宋体" w:cs="宋体"/>
          <w:color w:val="auto"/>
          <w:sz w:val="24"/>
          <w:highlight w:val="none"/>
        </w:rPr>
      </w:pPr>
    </w:p>
    <w:p w14:paraId="212D1E0B">
      <w:pPr>
        <w:spacing w:line="380" w:lineRule="exact"/>
        <w:rPr>
          <w:rFonts w:ascii="宋体" w:hAnsi="宋体" w:cs="宋体"/>
          <w:color w:val="auto"/>
          <w:sz w:val="24"/>
          <w:highlight w:val="none"/>
        </w:rPr>
      </w:pPr>
      <w:r>
        <w:rPr>
          <w:rFonts w:hint="eastAsia" w:ascii="宋体" w:hAnsi="宋体" w:cs="宋体"/>
          <w:color w:val="auto"/>
          <w:sz w:val="24"/>
          <w:highlight w:val="none"/>
        </w:rPr>
        <w:t>投标人全称(加盖公章)：</w:t>
      </w:r>
    </w:p>
    <w:p w14:paraId="7E7DB588">
      <w:pPr>
        <w:spacing w:line="38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333B834D">
      <w:pPr>
        <w:spacing w:line="380" w:lineRule="exact"/>
        <w:rPr>
          <w:rFonts w:ascii="宋体" w:hAnsi="宋体" w:cs="宋体"/>
          <w:color w:val="auto"/>
          <w:sz w:val="24"/>
          <w:highlight w:val="none"/>
        </w:rPr>
      </w:pPr>
      <w:r>
        <w:rPr>
          <w:rFonts w:hint="eastAsia" w:ascii="宋体" w:hAnsi="宋体" w:cs="宋体"/>
          <w:color w:val="auto"/>
          <w:sz w:val="24"/>
          <w:highlight w:val="none"/>
        </w:rPr>
        <w:t>日期：年月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753F4669">
      <w:pPr>
        <w:spacing w:line="380" w:lineRule="exact"/>
        <w:rPr>
          <w:rFonts w:ascii="宋体" w:hAnsi="宋体" w:cs="宋体"/>
          <w:color w:val="auto"/>
          <w:sz w:val="24"/>
          <w:highlight w:val="none"/>
        </w:rPr>
      </w:pPr>
    </w:p>
    <w:p w14:paraId="350C4720">
      <w:pPr>
        <w:snapToGrid w:val="0"/>
        <w:spacing w:before="50" w:after="50" w:line="440" w:lineRule="exact"/>
        <w:ind w:right="-817" w:rightChars="-389"/>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3、投标报价明细表（自拟）</w:t>
      </w:r>
    </w:p>
    <w:p w14:paraId="486F109D">
      <w:pPr>
        <w:snapToGrid w:val="0"/>
        <w:spacing w:line="240" w:lineRule="atLeast"/>
        <w:rPr>
          <w:rFonts w:ascii="宋体" w:hAnsi="宋体" w:cs="宋体"/>
          <w:b/>
          <w:color w:val="auto"/>
          <w:sz w:val="24"/>
          <w:highlight w:val="none"/>
        </w:rPr>
      </w:pPr>
    </w:p>
    <w:p w14:paraId="6C6659AD">
      <w:pPr>
        <w:snapToGrid w:val="0"/>
        <w:spacing w:line="240" w:lineRule="atLeast"/>
        <w:rPr>
          <w:rFonts w:ascii="宋体" w:hAnsi="宋体" w:cs="宋体"/>
          <w:b/>
          <w:color w:val="auto"/>
          <w:sz w:val="24"/>
          <w:highlight w:val="none"/>
        </w:rPr>
      </w:pPr>
    </w:p>
    <w:p w14:paraId="1715B983">
      <w:pPr>
        <w:snapToGrid w:val="0"/>
        <w:spacing w:line="240" w:lineRule="atLeast"/>
        <w:rPr>
          <w:rFonts w:ascii="宋体" w:hAnsi="宋体" w:cs="宋体"/>
          <w:b/>
          <w:color w:val="auto"/>
          <w:sz w:val="24"/>
          <w:highlight w:val="none"/>
        </w:rPr>
      </w:pPr>
    </w:p>
    <w:p w14:paraId="08DA8534">
      <w:pPr>
        <w:snapToGrid w:val="0"/>
        <w:spacing w:line="240" w:lineRule="atLeast"/>
        <w:rPr>
          <w:rFonts w:ascii="宋体" w:hAnsi="宋体" w:cs="宋体"/>
          <w:b/>
          <w:color w:val="auto"/>
          <w:sz w:val="24"/>
          <w:highlight w:val="none"/>
        </w:rPr>
      </w:pPr>
    </w:p>
    <w:p w14:paraId="0253272C">
      <w:pPr>
        <w:snapToGrid w:val="0"/>
        <w:spacing w:line="240" w:lineRule="atLeast"/>
        <w:rPr>
          <w:rFonts w:ascii="宋体" w:hAnsi="宋体" w:cs="宋体"/>
          <w:b/>
          <w:color w:val="auto"/>
          <w:sz w:val="24"/>
          <w:highlight w:val="none"/>
        </w:rPr>
      </w:pPr>
    </w:p>
    <w:p w14:paraId="125445EB">
      <w:pPr>
        <w:snapToGrid w:val="0"/>
        <w:spacing w:line="240" w:lineRule="atLeast"/>
        <w:rPr>
          <w:rFonts w:ascii="宋体" w:hAnsi="宋体" w:cs="宋体"/>
          <w:b/>
          <w:color w:val="auto"/>
          <w:sz w:val="24"/>
          <w:highlight w:val="none"/>
        </w:rPr>
      </w:pPr>
    </w:p>
    <w:p w14:paraId="50FD2DC2">
      <w:pPr>
        <w:snapToGrid w:val="0"/>
        <w:spacing w:line="240" w:lineRule="atLeast"/>
        <w:rPr>
          <w:rFonts w:ascii="宋体" w:hAnsi="宋体" w:cs="宋体"/>
          <w:b/>
          <w:color w:val="auto"/>
          <w:sz w:val="24"/>
          <w:highlight w:val="none"/>
        </w:rPr>
      </w:pPr>
    </w:p>
    <w:p w14:paraId="0E5DDA90">
      <w:pPr>
        <w:snapToGrid w:val="0"/>
        <w:spacing w:line="240" w:lineRule="atLeast"/>
        <w:rPr>
          <w:rFonts w:ascii="宋体" w:hAnsi="宋体" w:cs="宋体"/>
          <w:b/>
          <w:color w:val="auto"/>
          <w:sz w:val="24"/>
          <w:highlight w:val="none"/>
        </w:rPr>
      </w:pPr>
    </w:p>
    <w:p w14:paraId="6B10011D">
      <w:pPr>
        <w:snapToGrid w:val="0"/>
        <w:spacing w:line="240" w:lineRule="atLeast"/>
        <w:rPr>
          <w:rFonts w:ascii="宋体" w:hAnsi="宋体" w:cs="宋体"/>
          <w:b/>
          <w:color w:val="auto"/>
          <w:sz w:val="24"/>
          <w:highlight w:val="none"/>
        </w:rPr>
      </w:pPr>
    </w:p>
    <w:p w14:paraId="033D2807">
      <w:pPr>
        <w:snapToGrid w:val="0"/>
        <w:spacing w:line="240" w:lineRule="atLeast"/>
        <w:rPr>
          <w:rFonts w:ascii="宋体" w:hAnsi="宋体" w:cs="宋体"/>
          <w:b/>
          <w:color w:val="auto"/>
          <w:sz w:val="24"/>
          <w:highlight w:val="none"/>
        </w:rPr>
      </w:pPr>
    </w:p>
    <w:p w14:paraId="56EAD3BB">
      <w:pPr>
        <w:snapToGrid w:val="0"/>
        <w:spacing w:line="240" w:lineRule="atLeast"/>
        <w:rPr>
          <w:rFonts w:ascii="宋体" w:hAnsi="宋体" w:cs="宋体"/>
          <w:b/>
          <w:color w:val="auto"/>
          <w:sz w:val="24"/>
          <w:highlight w:val="none"/>
        </w:rPr>
      </w:pPr>
    </w:p>
    <w:p w14:paraId="31CBBF5C">
      <w:pPr>
        <w:snapToGrid w:val="0"/>
        <w:spacing w:line="240" w:lineRule="atLeast"/>
        <w:rPr>
          <w:rFonts w:ascii="宋体" w:hAnsi="宋体" w:cs="宋体"/>
          <w:b/>
          <w:color w:val="auto"/>
          <w:sz w:val="24"/>
          <w:highlight w:val="none"/>
        </w:rPr>
      </w:pPr>
    </w:p>
    <w:p w14:paraId="1F9EB80B">
      <w:pPr>
        <w:snapToGrid w:val="0"/>
        <w:spacing w:line="240" w:lineRule="atLeast"/>
        <w:rPr>
          <w:rFonts w:ascii="宋体" w:hAnsi="宋体" w:cs="宋体"/>
          <w:b/>
          <w:color w:val="auto"/>
          <w:sz w:val="24"/>
          <w:highlight w:val="none"/>
        </w:rPr>
      </w:pPr>
    </w:p>
    <w:p w14:paraId="50283EAB">
      <w:pPr>
        <w:snapToGrid w:val="0"/>
        <w:spacing w:line="240" w:lineRule="atLeast"/>
        <w:rPr>
          <w:rFonts w:ascii="宋体" w:hAnsi="宋体" w:cs="宋体"/>
          <w:b/>
          <w:color w:val="auto"/>
          <w:sz w:val="24"/>
          <w:highlight w:val="none"/>
        </w:rPr>
      </w:pPr>
    </w:p>
    <w:p w14:paraId="51356BB1">
      <w:pPr>
        <w:snapToGrid w:val="0"/>
        <w:spacing w:line="240" w:lineRule="atLeast"/>
        <w:rPr>
          <w:rFonts w:ascii="宋体" w:hAnsi="宋体" w:cs="宋体"/>
          <w:b/>
          <w:color w:val="auto"/>
          <w:sz w:val="24"/>
          <w:highlight w:val="none"/>
        </w:rPr>
      </w:pPr>
    </w:p>
    <w:p w14:paraId="2BCC5C66">
      <w:pPr>
        <w:snapToGrid w:val="0"/>
        <w:spacing w:line="240" w:lineRule="atLeast"/>
        <w:rPr>
          <w:rFonts w:ascii="宋体" w:hAnsi="宋体" w:cs="宋体"/>
          <w:b/>
          <w:color w:val="auto"/>
          <w:sz w:val="24"/>
          <w:highlight w:val="none"/>
        </w:rPr>
      </w:pPr>
    </w:p>
    <w:p w14:paraId="4888DD9C">
      <w:pPr>
        <w:snapToGrid w:val="0"/>
        <w:spacing w:line="240" w:lineRule="atLeast"/>
        <w:rPr>
          <w:rFonts w:ascii="宋体" w:hAnsi="宋体" w:cs="宋体"/>
          <w:b/>
          <w:color w:val="auto"/>
          <w:sz w:val="24"/>
          <w:highlight w:val="none"/>
        </w:rPr>
      </w:pPr>
    </w:p>
    <w:p w14:paraId="550CEB15">
      <w:pPr>
        <w:snapToGrid w:val="0"/>
        <w:spacing w:line="240" w:lineRule="atLeast"/>
        <w:rPr>
          <w:rFonts w:ascii="宋体" w:hAnsi="宋体" w:cs="宋体"/>
          <w:b/>
          <w:color w:val="auto"/>
          <w:sz w:val="24"/>
          <w:highlight w:val="none"/>
        </w:rPr>
      </w:pPr>
    </w:p>
    <w:p w14:paraId="0B0212F6">
      <w:pPr>
        <w:snapToGrid w:val="0"/>
        <w:spacing w:line="240" w:lineRule="atLeast"/>
        <w:rPr>
          <w:rFonts w:ascii="宋体" w:hAnsi="宋体" w:cs="宋体"/>
          <w:b/>
          <w:color w:val="auto"/>
          <w:sz w:val="24"/>
          <w:highlight w:val="none"/>
        </w:rPr>
      </w:pPr>
    </w:p>
    <w:p w14:paraId="1305E311">
      <w:pPr>
        <w:snapToGrid w:val="0"/>
        <w:spacing w:line="240" w:lineRule="atLeast"/>
        <w:rPr>
          <w:rFonts w:ascii="宋体" w:hAnsi="宋体" w:cs="宋体"/>
          <w:b/>
          <w:color w:val="auto"/>
          <w:sz w:val="24"/>
          <w:highlight w:val="none"/>
        </w:rPr>
      </w:pPr>
    </w:p>
    <w:p w14:paraId="3E7F226A">
      <w:pPr>
        <w:snapToGrid w:val="0"/>
        <w:spacing w:line="240" w:lineRule="atLeast"/>
        <w:rPr>
          <w:rFonts w:ascii="宋体" w:hAnsi="宋体" w:cs="宋体"/>
          <w:b/>
          <w:color w:val="auto"/>
          <w:sz w:val="24"/>
          <w:highlight w:val="none"/>
        </w:rPr>
      </w:pPr>
    </w:p>
    <w:p w14:paraId="6DB9F92D">
      <w:pPr>
        <w:snapToGrid w:val="0"/>
        <w:spacing w:line="240" w:lineRule="atLeast"/>
        <w:rPr>
          <w:rFonts w:ascii="宋体" w:hAnsi="宋体" w:cs="宋体"/>
          <w:b/>
          <w:color w:val="auto"/>
          <w:sz w:val="24"/>
          <w:highlight w:val="none"/>
        </w:rPr>
      </w:pPr>
    </w:p>
    <w:p w14:paraId="4B1E725C">
      <w:pPr>
        <w:snapToGrid w:val="0"/>
        <w:spacing w:line="240" w:lineRule="atLeast"/>
        <w:rPr>
          <w:rFonts w:ascii="宋体" w:hAnsi="宋体" w:cs="宋体"/>
          <w:b/>
          <w:color w:val="auto"/>
          <w:sz w:val="24"/>
          <w:highlight w:val="none"/>
        </w:rPr>
      </w:pPr>
    </w:p>
    <w:p w14:paraId="0D8AE107">
      <w:pPr>
        <w:snapToGrid w:val="0"/>
        <w:spacing w:line="240" w:lineRule="atLeast"/>
        <w:rPr>
          <w:rFonts w:ascii="宋体" w:hAnsi="宋体" w:cs="宋体"/>
          <w:b/>
          <w:color w:val="auto"/>
          <w:sz w:val="24"/>
          <w:highlight w:val="none"/>
        </w:rPr>
      </w:pPr>
    </w:p>
    <w:p w14:paraId="2125AC9F">
      <w:pPr>
        <w:snapToGrid w:val="0"/>
        <w:spacing w:line="240" w:lineRule="atLeast"/>
        <w:rPr>
          <w:rFonts w:ascii="宋体" w:hAnsi="宋体" w:cs="宋体"/>
          <w:b/>
          <w:color w:val="auto"/>
          <w:sz w:val="24"/>
          <w:highlight w:val="none"/>
        </w:rPr>
      </w:pPr>
    </w:p>
    <w:p w14:paraId="28513368">
      <w:pPr>
        <w:snapToGrid w:val="0"/>
        <w:spacing w:line="240" w:lineRule="atLeast"/>
        <w:rPr>
          <w:rFonts w:ascii="宋体" w:hAnsi="宋体" w:cs="宋体"/>
          <w:b/>
          <w:color w:val="auto"/>
          <w:sz w:val="24"/>
          <w:highlight w:val="none"/>
        </w:rPr>
      </w:pPr>
    </w:p>
    <w:p w14:paraId="3ADDFF24">
      <w:pPr>
        <w:snapToGrid w:val="0"/>
        <w:spacing w:line="240" w:lineRule="atLeast"/>
        <w:rPr>
          <w:rFonts w:ascii="宋体" w:hAnsi="宋体" w:cs="宋体"/>
          <w:b/>
          <w:color w:val="auto"/>
          <w:sz w:val="24"/>
          <w:highlight w:val="none"/>
        </w:rPr>
      </w:pPr>
    </w:p>
    <w:p w14:paraId="57DAA5BA">
      <w:pPr>
        <w:snapToGrid w:val="0"/>
        <w:spacing w:line="240" w:lineRule="atLeast"/>
        <w:rPr>
          <w:rFonts w:ascii="宋体" w:hAnsi="宋体" w:cs="宋体"/>
          <w:b/>
          <w:color w:val="auto"/>
          <w:sz w:val="24"/>
          <w:highlight w:val="none"/>
        </w:rPr>
      </w:pPr>
    </w:p>
    <w:p w14:paraId="685B38C2">
      <w:pPr>
        <w:snapToGrid w:val="0"/>
        <w:spacing w:line="240" w:lineRule="atLeast"/>
        <w:rPr>
          <w:rFonts w:ascii="宋体" w:hAnsi="宋体" w:cs="宋体"/>
          <w:b/>
          <w:color w:val="auto"/>
          <w:sz w:val="24"/>
          <w:highlight w:val="none"/>
        </w:rPr>
      </w:pPr>
    </w:p>
    <w:p w14:paraId="43908FEC">
      <w:pPr>
        <w:snapToGrid w:val="0"/>
        <w:spacing w:line="240" w:lineRule="atLeast"/>
        <w:rPr>
          <w:rFonts w:ascii="宋体" w:hAnsi="宋体" w:cs="宋体"/>
          <w:b/>
          <w:color w:val="auto"/>
          <w:sz w:val="24"/>
          <w:highlight w:val="none"/>
        </w:rPr>
      </w:pPr>
    </w:p>
    <w:p w14:paraId="61AD4756">
      <w:pPr>
        <w:snapToGrid w:val="0"/>
        <w:spacing w:line="240" w:lineRule="atLeast"/>
        <w:rPr>
          <w:rFonts w:ascii="宋体" w:hAnsi="宋体" w:cs="宋体"/>
          <w:b/>
          <w:color w:val="auto"/>
          <w:sz w:val="24"/>
          <w:highlight w:val="none"/>
        </w:rPr>
      </w:pPr>
    </w:p>
    <w:p w14:paraId="13D09C57">
      <w:pPr>
        <w:snapToGrid w:val="0"/>
        <w:spacing w:line="240" w:lineRule="atLeast"/>
        <w:rPr>
          <w:rFonts w:ascii="宋体" w:hAnsi="宋体" w:cs="宋体"/>
          <w:b/>
          <w:color w:val="auto"/>
          <w:sz w:val="24"/>
          <w:highlight w:val="none"/>
        </w:rPr>
      </w:pPr>
    </w:p>
    <w:p w14:paraId="69E1DB4C">
      <w:pPr>
        <w:snapToGrid w:val="0"/>
        <w:spacing w:line="240" w:lineRule="atLeast"/>
        <w:rPr>
          <w:rFonts w:ascii="宋体" w:hAnsi="宋体" w:cs="宋体"/>
          <w:b/>
          <w:color w:val="auto"/>
          <w:sz w:val="24"/>
          <w:highlight w:val="none"/>
        </w:rPr>
      </w:pPr>
    </w:p>
    <w:p w14:paraId="2011C27F">
      <w:pPr>
        <w:snapToGrid w:val="0"/>
        <w:spacing w:line="240" w:lineRule="atLeast"/>
        <w:rPr>
          <w:rFonts w:ascii="宋体" w:hAnsi="宋体" w:cs="宋体"/>
          <w:b/>
          <w:color w:val="auto"/>
          <w:sz w:val="24"/>
          <w:highlight w:val="none"/>
        </w:rPr>
      </w:pPr>
    </w:p>
    <w:p w14:paraId="6488A419">
      <w:pPr>
        <w:snapToGrid w:val="0"/>
        <w:spacing w:line="240" w:lineRule="atLeast"/>
        <w:rPr>
          <w:rFonts w:ascii="宋体" w:hAnsi="宋体" w:cs="宋体"/>
          <w:b/>
          <w:color w:val="auto"/>
          <w:sz w:val="24"/>
          <w:highlight w:val="none"/>
        </w:rPr>
      </w:pPr>
    </w:p>
    <w:p w14:paraId="796BEAAA">
      <w:pPr>
        <w:snapToGrid w:val="0"/>
        <w:spacing w:line="240" w:lineRule="atLeast"/>
        <w:rPr>
          <w:rFonts w:ascii="宋体" w:hAnsi="宋体" w:cs="宋体"/>
          <w:b/>
          <w:color w:val="auto"/>
          <w:sz w:val="24"/>
          <w:highlight w:val="none"/>
        </w:rPr>
      </w:pPr>
    </w:p>
    <w:p w14:paraId="2476B56D">
      <w:pPr>
        <w:snapToGrid w:val="0"/>
        <w:spacing w:line="240" w:lineRule="atLeast"/>
        <w:rPr>
          <w:rFonts w:ascii="宋体" w:hAnsi="宋体" w:cs="宋体"/>
          <w:b/>
          <w:color w:val="auto"/>
          <w:sz w:val="24"/>
          <w:highlight w:val="none"/>
        </w:rPr>
      </w:pPr>
    </w:p>
    <w:p w14:paraId="0B27ADCA">
      <w:pPr>
        <w:snapToGrid w:val="0"/>
        <w:spacing w:line="240" w:lineRule="atLeast"/>
        <w:rPr>
          <w:rFonts w:ascii="宋体" w:hAnsi="宋体" w:cs="宋体"/>
          <w:b/>
          <w:color w:val="auto"/>
          <w:sz w:val="24"/>
          <w:highlight w:val="none"/>
        </w:rPr>
      </w:pPr>
    </w:p>
    <w:p w14:paraId="10FC4EA8">
      <w:pPr>
        <w:snapToGrid w:val="0"/>
        <w:spacing w:line="240" w:lineRule="atLeast"/>
        <w:rPr>
          <w:rFonts w:ascii="宋体" w:hAnsi="宋体" w:cs="宋体"/>
          <w:b/>
          <w:color w:val="auto"/>
          <w:sz w:val="24"/>
          <w:highlight w:val="none"/>
        </w:rPr>
      </w:pPr>
    </w:p>
    <w:p w14:paraId="055F7EC1">
      <w:pPr>
        <w:snapToGrid w:val="0"/>
        <w:spacing w:line="240" w:lineRule="atLeast"/>
        <w:rPr>
          <w:rFonts w:ascii="宋体" w:hAnsi="宋体" w:cs="宋体"/>
          <w:b/>
          <w:color w:val="auto"/>
          <w:sz w:val="24"/>
          <w:highlight w:val="none"/>
        </w:rPr>
      </w:pPr>
    </w:p>
    <w:p w14:paraId="25A65D6C">
      <w:pPr>
        <w:snapToGrid w:val="0"/>
        <w:spacing w:line="240" w:lineRule="atLeast"/>
        <w:rPr>
          <w:rFonts w:ascii="宋体" w:hAnsi="宋体" w:cs="宋体"/>
          <w:b/>
          <w:color w:val="auto"/>
          <w:sz w:val="24"/>
          <w:highlight w:val="none"/>
        </w:rPr>
      </w:pPr>
    </w:p>
    <w:p w14:paraId="2D9F8D8E">
      <w:pPr>
        <w:snapToGrid w:val="0"/>
        <w:spacing w:line="240" w:lineRule="atLeast"/>
        <w:rPr>
          <w:rFonts w:ascii="宋体" w:hAnsi="宋体" w:cs="宋体"/>
          <w:b/>
          <w:color w:val="auto"/>
          <w:sz w:val="24"/>
          <w:highlight w:val="none"/>
        </w:rPr>
      </w:pPr>
    </w:p>
    <w:p w14:paraId="23B4EB96">
      <w:pPr>
        <w:snapToGrid w:val="0"/>
        <w:spacing w:line="240" w:lineRule="atLeast"/>
        <w:rPr>
          <w:rFonts w:ascii="宋体" w:hAnsi="宋体" w:cs="宋体"/>
          <w:b/>
          <w:color w:val="auto"/>
          <w:sz w:val="24"/>
          <w:highlight w:val="none"/>
        </w:rPr>
      </w:pPr>
    </w:p>
    <w:p w14:paraId="692EB0DD"/>
    <w:sectPr>
      <w:headerReference r:id="rId7" w:type="default"/>
      <w:footerReference r:id="rId8" w:type="default"/>
      <w:pgSz w:w="11906" w:h="16838"/>
      <w:pgMar w:top="1134"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2E8D">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C632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C632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71E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39040">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83904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1BD8">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CDD22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6E3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37BD">
    <w:pPr>
      <w:pStyle w:val="19"/>
      <w:rPr>
        <w:rFonts w:ascii="宋体" w:hAnsi="宋体" w:cs="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FD58">
    <w:pPr>
      <w:pStyle w:val="19"/>
      <w:pBdr>
        <w:bottom w:val="none" w:color="auto" w:sz="0" w:space="1"/>
      </w:pBdr>
      <w:jc w:val="right"/>
      <w:rPr>
        <w:rFonts w:ascii="仿宋_GB2312" w:eastAsia="仿宋_GB2312"/>
        <w:b/>
        <w:i/>
        <w:u w:val="single"/>
      </w:rP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DF8E"/>
    <w:multiLevelType w:val="singleLevel"/>
    <w:tmpl w:val="850BDF8E"/>
    <w:lvl w:ilvl="0" w:tentative="0">
      <w:start w:val="1"/>
      <w:numFmt w:val="decimal"/>
      <w:suff w:val="nothing"/>
      <w:lvlText w:val="%1、"/>
      <w:lvlJc w:val="left"/>
    </w:lvl>
  </w:abstractNum>
  <w:abstractNum w:abstractNumId="1">
    <w:nsid w:val="957B7AB0"/>
    <w:multiLevelType w:val="singleLevel"/>
    <w:tmpl w:val="957B7AB0"/>
    <w:lvl w:ilvl="0" w:tentative="0">
      <w:start w:val="7"/>
      <w:numFmt w:val="chineseCounting"/>
      <w:suff w:val="nothing"/>
      <w:lvlText w:val="%1、"/>
      <w:lvlJc w:val="left"/>
      <w:rPr>
        <w:rFonts w:hint="eastAsia"/>
      </w:rPr>
    </w:lvl>
  </w:abstractNum>
  <w:abstractNum w:abstractNumId="2">
    <w:nsid w:val="BAC889ED"/>
    <w:multiLevelType w:val="singleLevel"/>
    <w:tmpl w:val="BAC889ED"/>
    <w:lvl w:ilvl="0" w:tentative="0">
      <w:start w:val="1"/>
      <w:numFmt w:val="decimal"/>
      <w:suff w:val="nothing"/>
      <w:lvlText w:val="%1、"/>
      <w:lvlJc w:val="left"/>
    </w:lvl>
  </w:abstractNum>
  <w:abstractNum w:abstractNumId="3">
    <w:nsid w:val="BCEC958D"/>
    <w:multiLevelType w:val="singleLevel"/>
    <w:tmpl w:val="BCEC958D"/>
    <w:lvl w:ilvl="0" w:tentative="0">
      <w:start w:val="3"/>
      <w:numFmt w:val="chineseCounting"/>
      <w:suff w:val="space"/>
      <w:lvlText w:val="第%1章"/>
      <w:lvlJc w:val="left"/>
      <w:rPr>
        <w:rFonts w:hint="eastAsia"/>
      </w:rPr>
    </w:lvl>
  </w:abstractNum>
  <w:abstractNum w:abstractNumId="4">
    <w:nsid w:val="D8D9423C"/>
    <w:multiLevelType w:val="singleLevel"/>
    <w:tmpl w:val="D8D9423C"/>
    <w:lvl w:ilvl="0" w:tentative="0">
      <w:start w:val="1"/>
      <w:numFmt w:val="decimal"/>
      <w:suff w:val="nothing"/>
      <w:lvlText w:val="%1、"/>
      <w:lvlJc w:val="left"/>
    </w:lvl>
  </w:abstractNum>
  <w:abstractNum w:abstractNumId="5">
    <w:nsid w:val="31C13D59"/>
    <w:multiLevelType w:val="singleLevel"/>
    <w:tmpl w:val="31C13D59"/>
    <w:lvl w:ilvl="0" w:tentative="0">
      <w:start w:val="1"/>
      <w:numFmt w:val="decimal"/>
      <w:suff w:val="nothing"/>
      <w:lvlText w:val="%1、"/>
      <w:lvlJc w:val="left"/>
    </w:lvl>
  </w:abstractNum>
  <w:abstractNum w:abstractNumId="6">
    <w:nsid w:val="525384A8"/>
    <w:multiLevelType w:val="singleLevel"/>
    <w:tmpl w:val="525384A8"/>
    <w:lvl w:ilvl="0" w:tentative="0">
      <w:start w:val="2"/>
      <w:numFmt w:val="chineseCounting"/>
      <w:suff w:val="nothing"/>
      <w:lvlText w:val="%1、"/>
      <w:lvlJc w:val="left"/>
      <w:rPr>
        <w:rFonts w:hint="eastAsia"/>
      </w:rPr>
    </w:lvl>
  </w:abstractNum>
  <w:abstractNum w:abstractNumId="7">
    <w:nsid w:val="59BCCB1D"/>
    <w:multiLevelType w:val="singleLevel"/>
    <w:tmpl w:val="59BCCB1D"/>
    <w:lvl w:ilvl="0" w:tentative="0">
      <w:start w:val="1"/>
      <w:numFmt w:val="decimal"/>
      <w:pStyle w:val="6"/>
      <w:lvlText w:val="%1."/>
      <w:lvlJc w:val="left"/>
      <w:pPr>
        <w:tabs>
          <w:tab w:val="left" w:pos="360"/>
        </w:tabs>
        <w:ind w:left="360" w:hanging="360"/>
      </w:pPr>
    </w:lvl>
  </w:abstractNum>
  <w:abstractNum w:abstractNumId="8">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46"/>
      <w:lvlText w:val="%1.%2"/>
      <w:lvlJc w:val="left"/>
      <w:pPr>
        <w:ind w:left="1144"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580"/>
      </w:pPr>
      <w:rPr>
        <w:rFonts w:hint="eastAsia" w:cs="Times New Roman"/>
        <w:b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1008" w:hanging="554"/>
      </w:pPr>
      <w:rPr>
        <w:rFonts w:hint="eastAsia" w:cs="Times New Roman"/>
        <w:b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1152" w:hanging="1152"/>
      </w:pPr>
      <w:rPr>
        <w:rFonts w:hint="eastAsia" w:cs="Times New Roman"/>
        <w:b w:val="0"/>
        <w:i w:val="0"/>
        <w:iCs w:val="0"/>
        <w:caps w:val="0"/>
        <w:smallCaps w:val="0"/>
        <w:strike w:val="0"/>
        <w:dstrike w:val="0"/>
        <w:vanish w:val="0"/>
        <w:spacing w:val="0"/>
        <w:position w:val="0"/>
        <w:u w:val="none"/>
        <w:vertAlign w:val="baseline"/>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abstractNum w:abstractNumId="9">
    <w:nsid w:val="6CE47CBC"/>
    <w:multiLevelType w:val="singleLevel"/>
    <w:tmpl w:val="6CE47CBC"/>
    <w:lvl w:ilvl="0" w:tentative="0">
      <w:start w:val="1"/>
      <w:numFmt w:val="chineseCounting"/>
      <w:suff w:val="nothing"/>
      <w:lvlText w:val="（%1）"/>
      <w:lvlJc w:val="left"/>
      <w:rPr>
        <w:rFonts w:hint="eastAsia"/>
      </w:rPr>
    </w:lvl>
  </w:abstractNum>
  <w:abstractNum w:abstractNumId="10">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8"/>
  </w:num>
  <w:num w:numId="3">
    <w:abstractNumId w:val="10"/>
    <w:lvlOverride w:ilvl="0">
      <w:startOverride w:val="1"/>
    </w:lvlOverride>
  </w:num>
  <w:num w:numId="4">
    <w:abstractNumId w:val="1"/>
  </w:num>
  <w:num w:numId="5">
    <w:abstractNumId w:val="9"/>
  </w:num>
  <w:num w:numId="6">
    <w:abstractNumId w:val="3"/>
  </w:num>
  <w:num w:numId="7">
    <w:abstractNumId w:val="6"/>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TAwMjk2ZGY3NDI1ZDY4ZDJkMmUxY2YyMjcwMTQifQ=="/>
  </w:docVars>
  <w:rsids>
    <w:rsidRoot w:val="00000000"/>
    <w:rsid w:val="00004EEE"/>
    <w:rsid w:val="00103897"/>
    <w:rsid w:val="0026130D"/>
    <w:rsid w:val="00296707"/>
    <w:rsid w:val="00436E06"/>
    <w:rsid w:val="00627E6B"/>
    <w:rsid w:val="00641E35"/>
    <w:rsid w:val="00702588"/>
    <w:rsid w:val="00A516A4"/>
    <w:rsid w:val="00B32474"/>
    <w:rsid w:val="00D348C5"/>
    <w:rsid w:val="00E16FE2"/>
    <w:rsid w:val="00E54D24"/>
    <w:rsid w:val="00F9257D"/>
    <w:rsid w:val="01123989"/>
    <w:rsid w:val="01145609"/>
    <w:rsid w:val="014F4893"/>
    <w:rsid w:val="01505F15"/>
    <w:rsid w:val="0159126E"/>
    <w:rsid w:val="016043AA"/>
    <w:rsid w:val="019455AC"/>
    <w:rsid w:val="01A938CA"/>
    <w:rsid w:val="01C26E13"/>
    <w:rsid w:val="01C9430D"/>
    <w:rsid w:val="01DB29E9"/>
    <w:rsid w:val="01E74ACC"/>
    <w:rsid w:val="01EA636A"/>
    <w:rsid w:val="021653B1"/>
    <w:rsid w:val="021D673F"/>
    <w:rsid w:val="02306473"/>
    <w:rsid w:val="0243542A"/>
    <w:rsid w:val="026659F0"/>
    <w:rsid w:val="029702A0"/>
    <w:rsid w:val="029D33DC"/>
    <w:rsid w:val="029F0F02"/>
    <w:rsid w:val="02A36C44"/>
    <w:rsid w:val="02AB0EC1"/>
    <w:rsid w:val="02B0310F"/>
    <w:rsid w:val="02B80216"/>
    <w:rsid w:val="02BC3862"/>
    <w:rsid w:val="02BF3353"/>
    <w:rsid w:val="02D97086"/>
    <w:rsid w:val="02DE5ECF"/>
    <w:rsid w:val="02DE7C7D"/>
    <w:rsid w:val="02EE59E6"/>
    <w:rsid w:val="030A0A72"/>
    <w:rsid w:val="03100052"/>
    <w:rsid w:val="032338E1"/>
    <w:rsid w:val="03373831"/>
    <w:rsid w:val="035D5757"/>
    <w:rsid w:val="03600692"/>
    <w:rsid w:val="036B1DFD"/>
    <w:rsid w:val="038B1487"/>
    <w:rsid w:val="039667A9"/>
    <w:rsid w:val="039842DB"/>
    <w:rsid w:val="039A34DF"/>
    <w:rsid w:val="039E11BA"/>
    <w:rsid w:val="03A97ACD"/>
    <w:rsid w:val="03AC7D7B"/>
    <w:rsid w:val="03B569B6"/>
    <w:rsid w:val="03BB7FBE"/>
    <w:rsid w:val="03BE3F04"/>
    <w:rsid w:val="03DD6186"/>
    <w:rsid w:val="03E2379C"/>
    <w:rsid w:val="03E70DB3"/>
    <w:rsid w:val="03F434D0"/>
    <w:rsid w:val="03FF60FC"/>
    <w:rsid w:val="0405748B"/>
    <w:rsid w:val="040A684F"/>
    <w:rsid w:val="040F3E66"/>
    <w:rsid w:val="04153AA4"/>
    <w:rsid w:val="041E2A05"/>
    <w:rsid w:val="04207E21"/>
    <w:rsid w:val="042913CB"/>
    <w:rsid w:val="042A6EF2"/>
    <w:rsid w:val="0438160E"/>
    <w:rsid w:val="04695C6C"/>
    <w:rsid w:val="04732647"/>
    <w:rsid w:val="047D5273"/>
    <w:rsid w:val="047F2D99"/>
    <w:rsid w:val="0495080F"/>
    <w:rsid w:val="04A40A52"/>
    <w:rsid w:val="04A86794"/>
    <w:rsid w:val="04C3537C"/>
    <w:rsid w:val="04CE3D21"/>
    <w:rsid w:val="04E15451"/>
    <w:rsid w:val="05047743"/>
    <w:rsid w:val="05065269"/>
    <w:rsid w:val="050A56CA"/>
    <w:rsid w:val="050F05C1"/>
    <w:rsid w:val="05243941"/>
    <w:rsid w:val="054414DC"/>
    <w:rsid w:val="05467D5B"/>
    <w:rsid w:val="05544226"/>
    <w:rsid w:val="055C132D"/>
    <w:rsid w:val="056D178C"/>
    <w:rsid w:val="056D52E8"/>
    <w:rsid w:val="058663AA"/>
    <w:rsid w:val="05953E92"/>
    <w:rsid w:val="05AB7BBE"/>
    <w:rsid w:val="05B80C59"/>
    <w:rsid w:val="05B81ACA"/>
    <w:rsid w:val="05B9052D"/>
    <w:rsid w:val="05DC78B2"/>
    <w:rsid w:val="05EC0902"/>
    <w:rsid w:val="05EC445F"/>
    <w:rsid w:val="05ED01D7"/>
    <w:rsid w:val="05F23A3F"/>
    <w:rsid w:val="05F6352F"/>
    <w:rsid w:val="060043AE"/>
    <w:rsid w:val="060A6FDB"/>
    <w:rsid w:val="06180276"/>
    <w:rsid w:val="061D286A"/>
    <w:rsid w:val="062C6F51"/>
    <w:rsid w:val="06383B48"/>
    <w:rsid w:val="063E0A32"/>
    <w:rsid w:val="06450013"/>
    <w:rsid w:val="064766E6"/>
    <w:rsid w:val="065D106E"/>
    <w:rsid w:val="065F7326"/>
    <w:rsid w:val="06744454"/>
    <w:rsid w:val="067526A6"/>
    <w:rsid w:val="067F52D3"/>
    <w:rsid w:val="068B011B"/>
    <w:rsid w:val="068F686B"/>
    <w:rsid w:val="06A64DE8"/>
    <w:rsid w:val="06B01930"/>
    <w:rsid w:val="06E4782C"/>
    <w:rsid w:val="06FC4B75"/>
    <w:rsid w:val="070036FD"/>
    <w:rsid w:val="070D7D5D"/>
    <w:rsid w:val="071023CF"/>
    <w:rsid w:val="072365A6"/>
    <w:rsid w:val="072C42C4"/>
    <w:rsid w:val="07434552"/>
    <w:rsid w:val="077706A0"/>
    <w:rsid w:val="07846919"/>
    <w:rsid w:val="07967D30"/>
    <w:rsid w:val="079B25E0"/>
    <w:rsid w:val="07BA233A"/>
    <w:rsid w:val="07CC09EB"/>
    <w:rsid w:val="07CC279A"/>
    <w:rsid w:val="07D433FC"/>
    <w:rsid w:val="07E76DC5"/>
    <w:rsid w:val="07F869A4"/>
    <w:rsid w:val="08123F24"/>
    <w:rsid w:val="08202AE5"/>
    <w:rsid w:val="084A7B62"/>
    <w:rsid w:val="08566507"/>
    <w:rsid w:val="085B58CB"/>
    <w:rsid w:val="088A2646"/>
    <w:rsid w:val="088F37C7"/>
    <w:rsid w:val="08964B56"/>
    <w:rsid w:val="089D7C92"/>
    <w:rsid w:val="08A119E7"/>
    <w:rsid w:val="08AC25CB"/>
    <w:rsid w:val="08BC0A60"/>
    <w:rsid w:val="08E458C1"/>
    <w:rsid w:val="08E6788B"/>
    <w:rsid w:val="08EB6C4F"/>
    <w:rsid w:val="08FD6F5C"/>
    <w:rsid w:val="0913264A"/>
    <w:rsid w:val="09137F54"/>
    <w:rsid w:val="09367310"/>
    <w:rsid w:val="09371E95"/>
    <w:rsid w:val="094445B2"/>
    <w:rsid w:val="09497E1A"/>
    <w:rsid w:val="09665A85"/>
    <w:rsid w:val="096F5AD2"/>
    <w:rsid w:val="09722ECD"/>
    <w:rsid w:val="09754373"/>
    <w:rsid w:val="097F383C"/>
    <w:rsid w:val="0983157E"/>
    <w:rsid w:val="09866978"/>
    <w:rsid w:val="099472E7"/>
    <w:rsid w:val="099C619C"/>
    <w:rsid w:val="099E3CC2"/>
    <w:rsid w:val="09B259BF"/>
    <w:rsid w:val="09CA2D09"/>
    <w:rsid w:val="09EA33AB"/>
    <w:rsid w:val="09F558AC"/>
    <w:rsid w:val="0A402FCB"/>
    <w:rsid w:val="0A530F50"/>
    <w:rsid w:val="0A690774"/>
    <w:rsid w:val="0A6A0048"/>
    <w:rsid w:val="0A7333A0"/>
    <w:rsid w:val="0AA25A34"/>
    <w:rsid w:val="0AC41E4E"/>
    <w:rsid w:val="0AC43BFC"/>
    <w:rsid w:val="0AC57974"/>
    <w:rsid w:val="0B073AE9"/>
    <w:rsid w:val="0B0B35D9"/>
    <w:rsid w:val="0B0D0BD3"/>
    <w:rsid w:val="0B1F0E32"/>
    <w:rsid w:val="0B2621C1"/>
    <w:rsid w:val="0B350656"/>
    <w:rsid w:val="0B3C19E4"/>
    <w:rsid w:val="0B440899"/>
    <w:rsid w:val="0B460AB5"/>
    <w:rsid w:val="0B5605CC"/>
    <w:rsid w:val="0B770C6E"/>
    <w:rsid w:val="0B81389B"/>
    <w:rsid w:val="0B813DF6"/>
    <w:rsid w:val="0B880C6B"/>
    <w:rsid w:val="0B9A2626"/>
    <w:rsid w:val="0BB97C7D"/>
    <w:rsid w:val="0BBA0953"/>
    <w:rsid w:val="0BD7170D"/>
    <w:rsid w:val="0BEA7692"/>
    <w:rsid w:val="0C0011BA"/>
    <w:rsid w:val="0C063DA0"/>
    <w:rsid w:val="0C297DFA"/>
    <w:rsid w:val="0C300E1D"/>
    <w:rsid w:val="0C4A1EDF"/>
    <w:rsid w:val="0C5D60B6"/>
    <w:rsid w:val="0C607954"/>
    <w:rsid w:val="0C6531BD"/>
    <w:rsid w:val="0C6F1945"/>
    <w:rsid w:val="0C882A07"/>
    <w:rsid w:val="0CB97065"/>
    <w:rsid w:val="0CBF0B1F"/>
    <w:rsid w:val="0CD81938"/>
    <w:rsid w:val="0CDA72D1"/>
    <w:rsid w:val="0CF9271C"/>
    <w:rsid w:val="0CFA3905"/>
    <w:rsid w:val="0D0429D6"/>
    <w:rsid w:val="0D181FDD"/>
    <w:rsid w:val="0D197B03"/>
    <w:rsid w:val="0D1F15BD"/>
    <w:rsid w:val="0D386EBC"/>
    <w:rsid w:val="0D592C91"/>
    <w:rsid w:val="0D5B0F8B"/>
    <w:rsid w:val="0D6671EC"/>
    <w:rsid w:val="0D6C6406"/>
    <w:rsid w:val="0D795098"/>
    <w:rsid w:val="0D7C07BE"/>
    <w:rsid w:val="0D7C6A10"/>
    <w:rsid w:val="0D826FFA"/>
    <w:rsid w:val="0D827B6E"/>
    <w:rsid w:val="0D913B3D"/>
    <w:rsid w:val="0DAD4E1B"/>
    <w:rsid w:val="0DB5782C"/>
    <w:rsid w:val="0DBA12E6"/>
    <w:rsid w:val="0DC161D1"/>
    <w:rsid w:val="0DCB7AC6"/>
    <w:rsid w:val="0DD51C7C"/>
    <w:rsid w:val="0DD77D85"/>
    <w:rsid w:val="0DDF0D4D"/>
    <w:rsid w:val="0DE45C36"/>
    <w:rsid w:val="0DEE1FFE"/>
    <w:rsid w:val="0DF2282E"/>
    <w:rsid w:val="0DF90060"/>
    <w:rsid w:val="0E0D1416"/>
    <w:rsid w:val="0E286250"/>
    <w:rsid w:val="0E39220B"/>
    <w:rsid w:val="0E4D5CB6"/>
    <w:rsid w:val="0E71409B"/>
    <w:rsid w:val="0E792F4F"/>
    <w:rsid w:val="0E852606"/>
    <w:rsid w:val="0E8D2557"/>
    <w:rsid w:val="0E925DBF"/>
    <w:rsid w:val="0EAA3109"/>
    <w:rsid w:val="0EC248F6"/>
    <w:rsid w:val="0EEC1973"/>
    <w:rsid w:val="0EF44384"/>
    <w:rsid w:val="0F176D1D"/>
    <w:rsid w:val="0F24110D"/>
    <w:rsid w:val="0F2864A1"/>
    <w:rsid w:val="0F53554E"/>
    <w:rsid w:val="0F6C6610"/>
    <w:rsid w:val="0F713C26"/>
    <w:rsid w:val="0F84395A"/>
    <w:rsid w:val="0F895414"/>
    <w:rsid w:val="0F983903"/>
    <w:rsid w:val="0FA03DC1"/>
    <w:rsid w:val="0FB75ADD"/>
    <w:rsid w:val="0FC1695C"/>
    <w:rsid w:val="0FCE2E27"/>
    <w:rsid w:val="0FD07BC2"/>
    <w:rsid w:val="0FD77F2D"/>
    <w:rsid w:val="0FFC5BE6"/>
    <w:rsid w:val="0FFE195E"/>
    <w:rsid w:val="100B5E29"/>
    <w:rsid w:val="101747CE"/>
    <w:rsid w:val="101C3B92"/>
    <w:rsid w:val="10240C99"/>
    <w:rsid w:val="102962AF"/>
    <w:rsid w:val="10401F77"/>
    <w:rsid w:val="10437371"/>
    <w:rsid w:val="10484987"/>
    <w:rsid w:val="104E5D16"/>
    <w:rsid w:val="105570A4"/>
    <w:rsid w:val="1057106E"/>
    <w:rsid w:val="10645539"/>
    <w:rsid w:val="10815A29"/>
    <w:rsid w:val="10853E2D"/>
    <w:rsid w:val="10861954"/>
    <w:rsid w:val="108D11EF"/>
    <w:rsid w:val="109B71AD"/>
    <w:rsid w:val="10AB3168"/>
    <w:rsid w:val="10AD6EE0"/>
    <w:rsid w:val="10B65D95"/>
    <w:rsid w:val="10C009C2"/>
    <w:rsid w:val="10C83D1A"/>
    <w:rsid w:val="10DB3491"/>
    <w:rsid w:val="10E01064"/>
    <w:rsid w:val="10FB5E9E"/>
    <w:rsid w:val="10FB7C4C"/>
    <w:rsid w:val="110F1949"/>
    <w:rsid w:val="112C24FB"/>
    <w:rsid w:val="112E152D"/>
    <w:rsid w:val="1134315E"/>
    <w:rsid w:val="11433541"/>
    <w:rsid w:val="11515ABE"/>
    <w:rsid w:val="11534B75"/>
    <w:rsid w:val="115A0E16"/>
    <w:rsid w:val="115B693C"/>
    <w:rsid w:val="116021A5"/>
    <w:rsid w:val="11755C50"/>
    <w:rsid w:val="1178129C"/>
    <w:rsid w:val="11823EC9"/>
    <w:rsid w:val="119026F2"/>
    <w:rsid w:val="11951E4E"/>
    <w:rsid w:val="119A3908"/>
    <w:rsid w:val="11CC3396"/>
    <w:rsid w:val="11EC62E8"/>
    <w:rsid w:val="11EE77B0"/>
    <w:rsid w:val="12045226"/>
    <w:rsid w:val="122D5CC3"/>
    <w:rsid w:val="12463148"/>
    <w:rsid w:val="1255782F"/>
    <w:rsid w:val="12851EC3"/>
    <w:rsid w:val="12940358"/>
    <w:rsid w:val="12A045C5"/>
    <w:rsid w:val="12B24C82"/>
    <w:rsid w:val="12B46304"/>
    <w:rsid w:val="12C34EA2"/>
    <w:rsid w:val="12CD1ABC"/>
    <w:rsid w:val="12CD73C6"/>
    <w:rsid w:val="12DC139C"/>
    <w:rsid w:val="1300159C"/>
    <w:rsid w:val="130152C1"/>
    <w:rsid w:val="13016879"/>
    <w:rsid w:val="1319085D"/>
    <w:rsid w:val="132A2A6A"/>
    <w:rsid w:val="13383132"/>
    <w:rsid w:val="13392CAD"/>
    <w:rsid w:val="13581E27"/>
    <w:rsid w:val="136C3083"/>
    <w:rsid w:val="13781A27"/>
    <w:rsid w:val="138D521D"/>
    <w:rsid w:val="13A520F1"/>
    <w:rsid w:val="13BD38DE"/>
    <w:rsid w:val="13D604FC"/>
    <w:rsid w:val="13E250F3"/>
    <w:rsid w:val="13EE5846"/>
    <w:rsid w:val="13F56BD4"/>
    <w:rsid w:val="13FA6F5A"/>
    <w:rsid w:val="14171240"/>
    <w:rsid w:val="14322278"/>
    <w:rsid w:val="14373691"/>
    <w:rsid w:val="144D4C62"/>
    <w:rsid w:val="14522278"/>
    <w:rsid w:val="146D0E60"/>
    <w:rsid w:val="148768D2"/>
    <w:rsid w:val="14904B4F"/>
    <w:rsid w:val="14983A03"/>
    <w:rsid w:val="14A800EA"/>
    <w:rsid w:val="14B22D17"/>
    <w:rsid w:val="14B338CD"/>
    <w:rsid w:val="14CF7901"/>
    <w:rsid w:val="14D26F15"/>
    <w:rsid w:val="14D43789"/>
    <w:rsid w:val="14D64C58"/>
    <w:rsid w:val="14DD7293"/>
    <w:rsid w:val="14E10F12"/>
    <w:rsid w:val="14E1184E"/>
    <w:rsid w:val="14F275B8"/>
    <w:rsid w:val="15127C5A"/>
    <w:rsid w:val="1517701E"/>
    <w:rsid w:val="152139F9"/>
    <w:rsid w:val="1525173B"/>
    <w:rsid w:val="1536720E"/>
    <w:rsid w:val="15431BC1"/>
    <w:rsid w:val="15542020"/>
    <w:rsid w:val="157955E3"/>
    <w:rsid w:val="15806971"/>
    <w:rsid w:val="1598015F"/>
    <w:rsid w:val="15AE1730"/>
    <w:rsid w:val="15C54CCC"/>
    <w:rsid w:val="15CF70C6"/>
    <w:rsid w:val="15DA0777"/>
    <w:rsid w:val="160141E5"/>
    <w:rsid w:val="16102B43"/>
    <w:rsid w:val="16257519"/>
    <w:rsid w:val="163A2FC4"/>
    <w:rsid w:val="163A7468"/>
    <w:rsid w:val="163F4A7E"/>
    <w:rsid w:val="16526560"/>
    <w:rsid w:val="16640041"/>
    <w:rsid w:val="166D339A"/>
    <w:rsid w:val="1675224E"/>
    <w:rsid w:val="167F131F"/>
    <w:rsid w:val="168B3820"/>
    <w:rsid w:val="1699418F"/>
    <w:rsid w:val="16A04D1D"/>
    <w:rsid w:val="16A20671"/>
    <w:rsid w:val="16C17241"/>
    <w:rsid w:val="16C86822"/>
    <w:rsid w:val="16D329F2"/>
    <w:rsid w:val="16D6652D"/>
    <w:rsid w:val="16E86EC4"/>
    <w:rsid w:val="16EB42BE"/>
    <w:rsid w:val="16EF0253"/>
    <w:rsid w:val="16F2564D"/>
    <w:rsid w:val="17062EEA"/>
    <w:rsid w:val="17076407"/>
    <w:rsid w:val="170A0BE8"/>
    <w:rsid w:val="17180FD3"/>
    <w:rsid w:val="1762229D"/>
    <w:rsid w:val="178070FD"/>
    <w:rsid w:val="17822E75"/>
    <w:rsid w:val="17830FBE"/>
    <w:rsid w:val="179D1A5D"/>
    <w:rsid w:val="17B755CD"/>
    <w:rsid w:val="17DD62FD"/>
    <w:rsid w:val="17FE0021"/>
    <w:rsid w:val="17FF2717"/>
    <w:rsid w:val="18003D99"/>
    <w:rsid w:val="18133ACD"/>
    <w:rsid w:val="1816180F"/>
    <w:rsid w:val="181635BD"/>
    <w:rsid w:val="182643EE"/>
    <w:rsid w:val="18267CA4"/>
    <w:rsid w:val="182C5FCC"/>
    <w:rsid w:val="183B3024"/>
    <w:rsid w:val="183D0B4A"/>
    <w:rsid w:val="18502F73"/>
    <w:rsid w:val="185A16FC"/>
    <w:rsid w:val="185F4F64"/>
    <w:rsid w:val="18602A8A"/>
    <w:rsid w:val="187004C1"/>
    <w:rsid w:val="18846779"/>
    <w:rsid w:val="189235F7"/>
    <w:rsid w:val="18B711B2"/>
    <w:rsid w:val="18C336FC"/>
    <w:rsid w:val="18CD0120"/>
    <w:rsid w:val="18D80D9D"/>
    <w:rsid w:val="18E216F1"/>
    <w:rsid w:val="18F02060"/>
    <w:rsid w:val="18F27B86"/>
    <w:rsid w:val="18F356AC"/>
    <w:rsid w:val="19031D93"/>
    <w:rsid w:val="19063631"/>
    <w:rsid w:val="190B50EC"/>
    <w:rsid w:val="190F5864"/>
    <w:rsid w:val="19263CD4"/>
    <w:rsid w:val="193A152D"/>
    <w:rsid w:val="19483C4A"/>
    <w:rsid w:val="19742C91"/>
    <w:rsid w:val="19766A09"/>
    <w:rsid w:val="198033E4"/>
    <w:rsid w:val="198729C4"/>
    <w:rsid w:val="198A7DBF"/>
    <w:rsid w:val="199F7BDB"/>
    <w:rsid w:val="19A35324"/>
    <w:rsid w:val="19BB441C"/>
    <w:rsid w:val="19D41982"/>
    <w:rsid w:val="19F33BB6"/>
    <w:rsid w:val="19FE07AD"/>
    <w:rsid w:val="1A0538E9"/>
    <w:rsid w:val="1A0D01E4"/>
    <w:rsid w:val="1A2957F5"/>
    <w:rsid w:val="1A336821"/>
    <w:rsid w:val="1A610FBE"/>
    <w:rsid w:val="1A626F8D"/>
    <w:rsid w:val="1A6525DA"/>
    <w:rsid w:val="1A71601B"/>
    <w:rsid w:val="1A78230D"/>
    <w:rsid w:val="1A7D7923"/>
    <w:rsid w:val="1A7F369B"/>
    <w:rsid w:val="1AA72BF2"/>
    <w:rsid w:val="1AA7684B"/>
    <w:rsid w:val="1ABD41C4"/>
    <w:rsid w:val="1AC15A62"/>
    <w:rsid w:val="1AE41750"/>
    <w:rsid w:val="1AEB6F83"/>
    <w:rsid w:val="1AFF6CA4"/>
    <w:rsid w:val="1B2D1349"/>
    <w:rsid w:val="1B377C46"/>
    <w:rsid w:val="1B3E5305"/>
    <w:rsid w:val="1B3F60E7"/>
    <w:rsid w:val="1B4072CF"/>
    <w:rsid w:val="1B410951"/>
    <w:rsid w:val="1B520DB0"/>
    <w:rsid w:val="1B55264E"/>
    <w:rsid w:val="1B5570DA"/>
    <w:rsid w:val="1B59213E"/>
    <w:rsid w:val="1B6D7998"/>
    <w:rsid w:val="1B727505"/>
    <w:rsid w:val="1B8C2514"/>
    <w:rsid w:val="1B9B6711"/>
    <w:rsid w:val="1BE7599C"/>
    <w:rsid w:val="1BE85270"/>
    <w:rsid w:val="1BF9747E"/>
    <w:rsid w:val="1C026332"/>
    <w:rsid w:val="1C0A51E7"/>
    <w:rsid w:val="1C0E2F29"/>
    <w:rsid w:val="1C267B32"/>
    <w:rsid w:val="1C427076"/>
    <w:rsid w:val="1C4E1577"/>
    <w:rsid w:val="1C6568C1"/>
    <w:rsid w:val="1C6A2129"/>
    <w:rsid w:val="1C6F14EE"/>
    <w:rsid w:val="1C735482"/>
    <w:rsid w:val="1C856F63"/>
    <w:rsid w:val="1C890801"/>
    <w:rsid w:val="1C8E5E18"/>
    <w:rsid w:val="1C9B1C69"/>
    <w:rsid w:val="1CA7082B"/>
    <w:rsid w:val="1CA7512B"/>
    <w:rsid w:val="1CA94A00"/>
    <w:rsid w:val="1CAE0E10"/>
    <w:rsid w:val="1CBD04AB"/>
    <w:rsid w:val="1CC63804"/>
    <w:rsid w:val="1CCC06EE"/>
    <w:rsid w:val="1CDF0421"/>
    <w:rsid w:val="1CEF7F37"/>
    <w:rsid w:val="1D167BBB"/>
    <w:rsid w:val="1D2247B2"/>
    <w:rsid w:val="1D2251D7"/>
    <w:rsid w:val="1D3369BF"/>
    <w:rsid w:val="1D3764AF"/>
    <w:rsid w:val="1D4B1F5B"/>
    <w:rsid w:val="1D5C48CC"/>
    <w:rsid w:val="1D6D0123"/>
    <w:rsid w:val="1D7274E7"/>
    <w:rsid w:val="1D7768AC"/>
    <w:rsid w:val="1D7F1C04"/>
    <w:rsid w:val="1D84721B"/>
    <w:rsid w:val="1D886D0B"/>
    <w:rsid w:val="1D9751A0"/>
    <w:rsid w:val="1D990F18"/>
    <w:rsid w:val="1DA43419"/>
    <w:rsid w:val="1DA82F09"/>
    <w:rsid w:val="1DB25B36"/>
    <w:rsid w:val="1DB91C37"/>
    <w:rsid w:val="1DB91DEC"/>
    <w:rsid w:val="1DD97567"/>
    <w:rsid w:val="1DDA6E3B"/>
    <w:rsid w:val="1DE008F5"/>
    <w:rsid w:val="1DF3687A"/>
    <w:rsid w:val="1DF42937"/>
    <w:rsid w:val="1DF43819"/>
    <w:rsid w:val="1E116D00"/>
    <w:rsid w:val="1E2702D2"/>
    <w:rsid w:val="1E29229C"/>
    <w:rsid w:val="1E294D6F"/>
    <w:rsid w:val="1E2D03C3"/>
    <w:rsid w:val="1E334EC9"/>
    <w:rsid w:val="1E396257"/>
    <w:rsid w:val="1E586C2C"/>
    <w:rsid w:val="1E667EB5"/>
    <w:rsid w:val="1E6A6411"/>
    <w:rsid w:val="1E795006"/>
    <w:rsid w:val="1E9B0CC0"/>
    <w:rsid w:val="1EA00084"/>
    <w:rsid w:val="1EA47B74"/>
    <w:rsid w:val="1EBC2C15"/>
    <w:rsid w:val="1EC2624D"/>
    <w:rsid w:val="1EE00481"/>
    <w:rsid w:val="1EFF7C37"/>
    <w:rsid w:val="1F016D75"/>
    <w:rsid w:val="1F026649"/>
    <w:rsid w:val="1F15637C"/>
    <w:rsid w:val="1F2C1918"/>
    <w:rsid w:val="1F301408"/>
    <w:rsid w:val="1F3709E9"/>
    <w:rsid w:val="1F386500"/>
    <w:rsid w:val="1F3C6780"/>
    <w:rsid w:val="1F4948B4"/>
    <w:rsid w:val="1F4B4494"/>
    <w:rsid w:val="1F525822"/>
    <w:rsid w:val="1F615A66"/>
    <w:rsid w:val="1F7F7C9A"/>
    <w:rsid w:val="1FA0658E"/>
    <w:rsid w:val="1FA30067"/>
    <w:rsid w:val="1FA3607E"/>
    <w:rsid w:val="1FAA740D"/>
    <w:rsid w:val="1FB931AC"/>
    <w:rsid w:val="1FC236E6"/>
    <w:rsid w:val="1FC3402A"/>
    <w:rsid w:val="1FC97167"/>
    <w:rsid w:val="1FCC1887"/>
    <w:rsid w:val="1FD3120C"/>
    <w:rsid w:val="1FF16DE9"/>
    <w:rsid w:val="1FF73CD4"/>
    <w:rsid w:val="1FF97A4C"/>
    <w:rsid w:val="201C198C"/>
    <w:rsid w:val="20216FA3"/>
    <w:rsid w:val="20232D1B"/>
    <w:rsid w:val="20234AC9"/>
    <w:rsid w:val="202820DF"/>
    <w:rsid w:val="202D1DEC"/>
    <w:rsid w:val="20370574"/>
    <w:rsid w:val="20452C91"/>
    <w:rsid w:val="20493CA9"/>
    <w:rsid w:val="204A02A8"/>
    <w:rsid w:val="204D1B46"/>
    <w:rsid w:val="20511636"/>
    <w:rsid w:val="20515ADA"/>
    <w:rsid w:val="20541126"/>
    <w:rsid w:val="208512E0"/>
    <w:rsid w:val="20A91472"/>
    <w:rsid w:val="20AA343C"/>
    <w:rsid w:val="20AC2D10"/>
    <w:rsid w:val="20BA212F"/>
    <w:rsid w:val="20BD6CCC"/>
    <w:rsid w:val="20D06497"/>
    <w:rsid w:val="20E029BA"/>
    <w:rsid w:val="20E83C71"/>
    <w:rsid w:val="20EF2BFD"/>
    <w:rsid w:val="20FA1CCE"/>
    <w:rsid w:val="21022930"/>
    <w:rsid w:val="213D7E0C"/>
    <w:rsid w:val="21400CDB"/>
    <w:rsid w:val="21537630"/>
    <w:rsid w:val="21570ECE"/>
    <w:rsid w:val="21577120"/>
    <w:rsid w:val="21793303"/>
    <w:rsid w:val="217F0425"/>
    <w:rsid w:val="21817CF9"/>
    <w:rsid w:val="21843C8D"/>
    <w:rsid w:val="21962AA1"/>
    <w:rsid w:val="21B04A82"/>
    <w:rsid w:val="21B31E7D"/>
    <w:rsid w:val="21C072E9"/>
    <w:rsid w:val="21DE514B"/>
    <w:rsid w:val="21E31932"/>
    <w:rsid w:val="2208666C"/>
    <w:rsid w:val="22156F08"/>
    <w:rsid w:val="2217240B"/>
    <w:rsid w:val="22327245"/>
    <w:rsid w:val="2237485C"/>
    <w:rsid w:val="22401962"/>
    <w:rsid w:val="22552F34"/>
    <w:rsid w:val="22674401"/>
    <w:rsid w:val="226E2973"/>
    <w:rsid w:val="22873A35"/>
    <w:rsid w:val="229677D4"/>
    <w:rsid w:val="229F5D7A"/>
    <w:rsid w:val="22A87507"/>
    <w:rsid w:val="22AA3280"/>
    <w:rsid w:val="22B60939"/>
    <w:rsid w:val="22C24A6D"/>
    <w:rsid w:val="22C45203"/>
    <w:rsid w:val="22E06CA1"/>
    <w:rsid w:val="22E569AE"/>
    <w:rsid w:val="230010F2"/>
    <w:rsid w:val="23201794"/>
    <w:rsid w:val="233560BB"/>
    <w:rsid w:val="23356FED"/>
    <w:rsid w:val="233F60BE"/>
    <w:rsid w:val="23644BF0"/>
    <w:rsid w:val="23694EE9"/>
    <w:rsid w:val="23865A9B"/>
    <w:rsid w:val="239F4DAE"/>
    <w:rsid w:val="23A23091"/>
    <w:rsid w:val="23A67EEB"/>
    <w:rsid w:val="23D34A58"/>
    <w:rsid w:val="23DE58D7"/>
    <w:rsid w:val="23ED78C8"/>
    <w:rsid w:val="23EE3640"/>
    <w:rsid w:val="240F3CE2"/>
    <w:rsid w:val="241906BD"/>
    <w:rsid w:val="245E07C6"/>
    <w:rsid w:val="245F009A"/>
    <w:rsid w:val="246F29D3"/>
    <w:rsid w:val="2471674B"/>
    <w:rsid w:val="247753E3"/>
    <w:rsid w:val="24822706"/>
    <w:rsid w:val="249917FE"/>
    <w:rsid w:val="24B30B11"/>
    <w:rsid w:val="24B44889"/>
    <w:rsid w:val="24D32F62"/>
    <w:rsid w:val="24F00006"/>
    <w:rsid w:val="24F829C8"/>
    <w:rsid w:val="24F86524"/>
    <w:rsid w:val="24FC5F91"/>
    <w:rsid w:val="24FD3B3B"/>
    <w:rsid w:val="25096983"/>
    <w:rsid w:val="251B0032"/>
    <w:rsid w:val="252F3F10"/>
    <w:rsid w:val="25302162"/>
    <w:rsid w:val="254035A9"/>
    <w:rsid w:val="254B6F9C"/>
    <w:rsid w:val="255372EC"/>
    <w:rsid w:val="255A71DF"/>
    <w:rsid w:val="257F27A2"/>
    <w:rsid w:val="25830FE9"/>
    <w:rsid w:val="25873D4C"/>
    <w:rsid w:val="25877CF5"/>
    <w:rsid w:val="25891872"/>
    <w:rsid w:val="258A1146"/>
    <w:rsid w:val="25B12B77"/>
    <w:rsid w:val="25B6018D"/>
    <w:rsid w:val="25D03B55"/>
    <w:rsid w:val="25E57747"/>
    <w:rsid w:val="25E76599"/>
    <w:rsid w:val="25E90563"/>
    <w:rsid w:val="25EC3E43"/>
    <w:rsid w:val="25F27417"/>
    <w:rsid w:val="260016A2"/>
    <w:rsid w:val="26123616"/>
    <w:rsid w:val="26536A8F"/>
    <w:rsid w:val="266F2816"/>
    <w:rsid w:val="26720558"/>
    <w:rsid w:val="267267AA"/>
    <w:rsid w:val="26A1499A"/>
    <w:rsid w:val="26AF5308"/>
    <w:rsid w:val="26BE554B"/>
    <w:rsid w:val="26CD1C32"/>
    <w:rsid w:val="26D92385"/>
    <w:rsid w:val="26DC3C24"/>
    <w:rsid w:val="26DF753D"/>
    <w:rsid w:val="26EA363F"/>
    <w:rsid w:val="270218DC"/>
    <w:rsid w:val="27035654"/>
    <w:rsid w:val="270A69E3"/>
    <w:rsid w:val="270C62B7"/>
    <w:rsid w:val="27160EE4"/>
    <w:rsid w:val="27165388"/>
    <w:rsid w:val="27286E69"/>
    <w:rsid w:val="27295FB5"/>
    <w:rsid w:val="272C0707"/>
    <w:rsid w:val="272F1FA5"/>
    <w:rsid w:val="27343A60"/>
    <w:rsid w:val="2735476B"/>
    <w:rsid w:val="27561C28"/>
    <w:rsid w:val="275B2D9A"/>
    <w:rsid w:val="277327DA"/>
    <w:rsid w:val="27767BD4"/>
    <w:rsid w:val="27932534"/>
    <w:rsid w:val="27C13545"/>
    <w:rsid w:val="27C70430"/>
    <w:rsid w:val="27D843EB"/>
    <w:rsid w:val="27EC7E96"/>
    <w:rsid w:val="27F13590"/>
    <w:rsid w:val="27FD6FC8"/>
    <w:rsid w:val="28041CA3"/>
    <w:rsid w:val="280B2A12"/>
    <w:rsid w:val="280E605F"/>
    <w:rsid w:val="28100029"/>
    <w:rsid w:val="281F201A"/>
    <w:rsid w:val="285443B9"/>
    <w:rsid w:val="28544C78"/>
    <w:rsid w:val="2858552C"/>
    <w:rsid w:val="285F2D5E"/>
    <w:rsid w:val="287C56BE"/>
    <w:rsid w:val="288F719F"/>
    <w:rsid w:val="28976054"/>
    <w:rsid w:val="28BD7289"/>
    <w:rsid w:val="28CB3F50"/>
    <w:rsid w:val="28D70B46"/>
    <w:rsid w:val="28DA4193"/>
    <w:rsid w:val="28DE0127"/>
    <w:rsid w:val="28E03E9F"/>
    <w:rsid w:val="28EC45F2"/>
    <w:rsid w:val="28FA6886"/>
    <w:rsid w:val="29001E4B"/>
    <w:rsid w:val="29023E15"/>
    <w:rsid w:val="29361D11"/>
    <w:rsid w:val="29385A89"/>
    <w:rsid w:val="293B5DC7"/>
    <w:rsid w:val="295108F9"/>
    <w:rsid w:val="297168A5"/>
    <w:rsid w:val="29763EBB"/>
    <w:rsid w:val="29A31DD2"/>
    <w:rsid w:val="29B33362"/>
    <w:rsid w:val="29B844D4"/>
    <w:rsid w:val="29C27101"/>
    <w:rsid w:val="29D15596"/>
    <w:rsid w:val="29D3130E"/>
    <w:rsid w:val="29D67050"/>
    <w:rsid w:val="29E31D2F"/>
    <w:rsid w:val="29E4176D"/>
    <w:rsid w:val="29EF7A9C"/>
    <w:rsid w:val="29F714A0"/>
    <w:rsid w:val="2A0635A2"/>
    <w:rsid w:val="2A0C65CE"/>
    <w:rsid w:val="2A104310"/>
    <w:rsid w:val="2A233E46"/>
    <w:rsid w:val="2A297180"/>
    <w:rsid w:val="2A3873C3"/>
    <w:rsid w:val="2A3F4BF5"/>
    <w:rsid w:val="2A570191"/>
    <w:rsid w:val="2A6D3510"/>
    <w:rsid w:val="2A742AF1"/>
    <w:rsid w:val="2A77438F"/>
    <w:rsid w:val="2A7E1274"/>
    <w:rsid w:val="2A7F4FF2"/>
    <w:rsid w:val="2A992557"/>
    <w:rsid w:val="2A9C6515"/>
    <w:rsid w:val="2AAA6513"/>
    <w:rsid w:val="2ACF5F79"/>
    <w:rsid w:val="2ADB491E"/>
    <w:rsid w:val="2ADC0696"/>
    <w:rsid w:val="2AE61515"/>
    <w:rsid w:val="2AEC6B2B"/>
    <w:rsid w:val="2B0379D1"/>
    <w:rsid w:val="2B0D6AA1"/>
    <w:rsid w:val="2B177920"/>
    <w:rsid w:val="2B1B55AB"/>
    <w:rsid w:val="2B1C4F36"/>
    <w:rsid w:val="2B1E41E2"/>
    <w:rsid w:val="2B361B54"/>
    <w:rsid w:val="2B3F7ED0"/>
    <w:rsid w:val="2B590804"/>
    <w:rsid w:val="2B5B780D"/>
    <w:rsid w:val="2B726905"/>
    <w:rsid w:val="2B8723B0"/>
    <w:rsid w:val="2B8C79C6"/>
    <w:rsid w:val="2B944ACD"/>
    <w:rsid w:val="2BB807BB"/>
    <w:rsid w:val="2BD575BF"/>
    <w:rsid w:val="2BF57C61"/>
    <w:rsid w:val="2BF65788"/>
    <w:rsid w:val="2BFA7D3F"/>
    <w:rsid w:val="2C027C88"/>
    <w:rsid w:val="2C1005F7"/>
    <w:rsid w:val="2C131E96"/>
    <w:rsid w:val="2C1A1476"/>
    <w:rsid w:val="2C1C3440"/>
    <w:rsid w:val="2C251BC9"/>
    <w:rsid w:val="2C32392B"/>
    <w:rsid w:val="2C3F0EDD"/>
    <w:rsid w:val="2C4B5AD3"/>
    <w:rsid w:val="2C520C10"/>
    <w:rsid w:val="2C526E62"/>
    <w:rsid w:val="2C567FD4"/>
    <w:rsid w:val="2C5A7AC4"/>
    <w:rsid w:val="2C5C1A8E"/>
    <w:rsid w:val="2C734E47"/>
    <w:rsid w:val="2C7C3EDF"/>
    <w:rsid w:val="2C841EDC"/>
    <w:rsid w:val="2C9A25B7"/>
    <w:rsid w:val="2CA174A1"/>
    <w:rsid w:val="2CB01DDA"/>
    <w:rsid w:val="2CBB4EED"/>
    <w:rsid w:val="2CC17B44"/>
    <w:rsid w:val="2CE74B9F"/>
    <w:rsid w:val="2CF73565"/>
    <w:rsid w:val="2D012636"/>
    <w:rsid w:val="2D0619FA"/>
    <w:rsid w:val="2D297497"/>
    <w:rsid w:val="2D2D1D4E"/>
    <w:rsid w:val="2D427171"/>
    <w:rsid w:val="2D60110A"/>
    <w:rsid w:val="2D654973"/>
    <w:rsid w:val="2D656721"/>
    <w:rsid w:val="2D687FBF"/>
    <w:rsid w:val="2D850B71"/>
    <w:rsid w:val="2D9708A4"/>
    <w:rsid w:val="2DA84860"/>
    <w:rsid w:val="2DBA2F11"/>
    <w:rsid w:val="2DBB05CE"/>
    <w:rsid w:val="2DBD030B"/>
    <w:rsid w:val="2DEA4E78"/>
    <w:rsid w:val="2DF83A39"/>
    <w:rsid w:val="2E1F0FC6"/>
    <w:rsid w:val="2E2E1209"/>
    <w:rsid w:val="2E374561"/>
    <w:rsid w:val="2E454385"/>
    <w:rsid w:val="2E5073D1"/>
    <w:rsid w:val="2E5B7B24"/>
    <w:rsid w:val="2E5D564A"/>
    <w:rsid w:val="2E81512F"/>
    <w:rsid w:val="2E9077CD"/>
    <w:rsid w:val="2E941FEB"/>
    <w:rsid w:val="2EA414CB"/>
    <w:rsid w:val="2EA66FF1"/>
    <w:rsid w:val="2EA8083F"/>
    <w:rsid w:val="2EA96AE1"/>
    <w:rsid w:val="2EB45BB2"/>
    <w:rsid w:val="2EF73CF0"/>
    <w:rsid w:val="2F1F57A3"/>
    <w:rsid w:val="2F4476DE"/>
    <w:rsid w:val="2F57478F"/>
    <w:rsid w:val="2F58563B"/>
    <w:rsid w:val="2F642A08"/>
    <w:rsid w:val="2F715851"/>
    <w:rsid w:val="2F73601B"/>
    <w:rsid w:val="2F776BDF"/>
    <w:rsid w:val="2FAF6379"/>
    <w:rsid w:val="2FB13E9F"/>
    <w:rsid w:val="2FBD0C13"/>
    <w:rsid w:val="2FC55B9D"/>
    <w:rsid w:val="2FDE6C5E"/>
    <w:rsid w:val="2FE36023"/>
    <w:rsid w:val="2FEA5603"/>
    <w:rsid w:val="2FFD0E93"/>
    <w:rsid w:val="30073ABF"/>
    <w:rsid w:val="30077F63"/>
    <w:rsid w:val="30085A89"/>
    <w:rsid w:val="3014442E"/>
    <w:rsid w:val="303A20E7"/>
    <w:rsid w:val="303E14AB"/>
    <w:rsid w:val="30590093"/>
    <w:rsid w:val="30601421"/>
    <w:rsid w:val="3088654D"/>
    <w:rsid w:val="308B2942"/>
    <w:rsid w:val="308C2216"/>
    <w:rsid w:val="309A4933"/>
    <w:rsid w:val="30B26121"/>
    <w:rsid w:val="30BC1800"/>
    <w:rsid w:val="30C145B6"/>
    <w:rsid w:val="30D00355"/>
    <w:rsid w:val="30DF2C8E"/>
    <w:rsid w:val="30E91417"/>
    <w:rsid w:val="30F32296"/>
    <w:rsid w:val="30F5600E"/>
    <w:rsid w:val="30FA1876"/>
    <w:rsid w:val="311A4C6F"/>
    <w:rsid w:val="31215055"/>
    <w:rsid w:val="313B4368"/>
    <w:rsid w:val="313F6003"/>
    <w:rsid w:val="3148438F"/>
    <w:rsid w:val="31704D75"/>
    <w:rsid w:val="317E6003"/>
    <w:rsid w:val="3199108F"/>
    <w:rsid w:val="31A0241D"/>
    <w:rsid w:val="31AB491E"/>
    <w:rsid w:val="31D245A1"/>
    <w:rsid w:val="31D9592F"/>
    <w:rsid w:val="320F4EAD"/>
    <w:rsid w:val="322C1F03"/>
    <w:rsid w:val="3234700A"/>
    <w:rsid w:val="324E3C27"/>
    <w:rsid w:val="32687CBF"/>
    <w:rsid w:val="326A120E"/>
    <w:rsid w:val="32802563"/>
    <w:rsid w:val="32892EB1"/>
    <w:rsid w:val="32A0644D"/>
    <w:rsid w:val="32A75DC1"/>
    <w:rsid w:val="32AC3044"/>
    <w:rsid w:val="32B40498"/>
    <w:rsid w:val="32B67A1F"/>
    <w:rsid w:val="32B7217F"/>
    <w:rsid w:val="32D0288E"/>
    <w:rsid w:val="32D54349"/>
    <w:rsid w:val="32DA370D"/>
    <w:rsid w:val="32DC622C"/>
    <w:rsid w:val="32DF2AD1"/>
    <w:rsid w:val="32E60304"/>
    <w:rsid w:val="33136C1F"/>
    <w:rsid w:val="3321133C"/>
    <w:rsid w:val="33446DD8"/>
    <w:rsid w:val="33590AD6"/>
    <w:rsid w:val="33802506"/>
    <w:rsid w:val="33871D94"/>
    <w:rsid w:val="338B4246"/>
    <w:rsid w:val="33BD7658"/>
    <w:rsid w:val="33CA19D4"/>
    <w:rsid w:val="33DA14EB"/>
    <w:rsid w:val="33E16D1D"/>
    <w:rsid w:val="33E219AB"/>
    <w:rsid w:val="33E660E2"/>
    <w:rsid w:val="33E800AC"/>
    <w:rsid w:val="33EA7980"/>
    <w:rsid w:val="33F4269B"/>
    <w:rsid w:val="33F702EF"/>
    <w:rsid w:val="34056568"/>
    <w:rsid w:val="340622E0"/>
    <w:rsid w:val="34086058"/>
    <w:rsid w:val="34120C85"/>
    <w:rsid w:val="342D3D10"/>
    <w:rsid w:val="342F1837"/>
    <w:rsid w:val="342F5CDB"/>
    <w:rsid w:val="3431735D"/>
    <w:rsid w:val="344965DF"/>
    <w:rsid w:val="345474EF"/>
    <w:rsid w:val="345614B9"/>
    <w:rsid w:val="345D50D4"/>
    <w:rsid w:val="34695BBC"/>
    <w:rsid w:val="34733E19"/>
    <w:rsid w:val="347D6A46"/>
    <w:rsid w:val="348778C5"/>
    <w:rsid w:val="34A02734"/>
    <w:rsid w:val="34AE6C6D"/>
    <w:rsid w:val="34C24459"/>
    <w:rsid w:val="34C603ED"/>
    <w:rsid w:val="34CF6E14"/>
    <w:rsid w:val="34D83C7C"/>
    <w:rsid w:val="34E02B31"/>
    <w:rsid w:val="34F30AB6"/>
    <w:rsid w:val="34FA62E8"/>
    <w:rsid w:val="35007F09"/>
    <w:rsid w:val="351B1DBB"/>
    <w:rsid w:val="35447564"/>
    <w:rsid w:val="354E3F3E"/>
    <w:rsid w:val="355F614C"/>
    <w:rsid w:val="3563204B"/>
    <w:rsid w:val="35643762"/>
    <w:rsid w:val="35661288"/>
    <w:rsid w:val="35683252"/>
    <w:rsid w:val="35753BC1"/>
    <w:rsid w:val="35753E56"/>
    <w:rsid w:val="35AD5109"/>
    <w:rsid w:val="35B00755"/>
    <w:rsid w:val="35B30245"/>
    <w:rsid w:val="35B53FBD"/>
    <w:rsid w:val="35CE6E2D"/>
    <w:rsid w:val="35D72186"/>
    <w:rsid w:val="35E46651"/>
    <w:rsid w:val="35ED19A9"/>
    <w:rsid w:val="35F26FC0"/>
    <w:rsid w:val="360A60B7"/>
    <w:rsid w:val="36150497"/>
    <w:rsid w:val="36183AE9"/>
    <w:rsid w:val="36191DC3"/>
    <w:rsid w:val="36274EBB"/>
    <w:rsid w:val="36401AD9"/>
    <w:rsid w:val="364C2B74"/>
    <w:rsid w:val="365B4B65"/>
    <w:rsid w:val="367774C5"/>
    <w:rsid w:val="369938DF"/>
    <w:rsid w:val="36A007CA"/>
    <w:rsid w:val="36AB33AA"/>
    <w:rsid w:val="36B129D7"/>
    <w:rsid w:val="36CE5337"/>
    <w:rsid w:val="36E724CA"/>
    <w:rsid w:val="36E74237"/>
    <w:rsid w:val="36F34D9D"/>
    <w:rsid w:val="36FB1EA4"/>
    <w:rsid w:val="37074CED"/>
    <w:rsid w:val="370E4383"/>
    <w:rsid w:val="370E607B"/>
    <w:rsid w:val="372A370D"/>
    <w:rsid w:val="373A29CC"/>
    <w:rsid w:val="37461944"/>
    <w:rsid w:val="375C6DE7"/>
    <w:rsid w:val="378F225E"/>
    <w:rsid w:val="379A790F"/>
    <w:rsid w:val="37A442EA"/>
    <w:rsid w:val="37AB5678"/>
    <w:rsid w:val="37AD7642"/>
    <w:rsid w:val="37B207B5"/>
    <w:rsid w:val="37BF2ED1"/>
    <w:rsid w:val="37C36E66"/>
    <w:rsid w:val="37CA01F4"/>
    <w:rsid w:val="37CB1876"/>
    <w:rsid w:val="37D01583"/>
    <w:rsid w:val="37DF3574"/>
    <w:rsid w:val="37FE39FA"/>
    <w:rsid w:val="384302B8"/>
    <w:rsid w:val="386341A5"/>
    <w:rsid w:val="386F66A6"/>
    <w:rsid w:val="38703F75"/>
    <w:rsid w:val="38887767"/>
    <w:rsid w:val="388A19D1"/>
    <w:rsid w:val="388C7AF6"/>
    <w:rsid w:val="389B393F"/>
    <w:rsid w:val="38A65E3F"/>
    <w:rsid w:val="38B16CBE"/>
    <w:rsid w:val="38C63620"/>
    <w:rsid w:val="38CA6CB0"/>
    <w:rsid w:val="38CD0EFB"/>
    <w:rsid w:val="38D45B95"/>
    <w:rsid w:val="38D96215"/>
    <w:rsid w:val="38E85F5F"/>
    <w:rsid w:val="38F44DFD"/>
    <w:rsid w:val="39007C46"/>
    <w:rsid w:val="3905525C"/>
    <w:rsid w:val="390C2146"/>
    <w:rsid w:val="390F1C37"/>
    <w:rsid w:val="3914549F"/>
    <w:rsid w:val="39225E0E"/>
    <w:rsid w:val="392C27E9"/>
    <w:rsid w:val="39654F17"/>
    <w:rsid w:val="397D3044"/>
    <w:rsid w:val="39861EF9"/>
    <w:rsid w:val="399250DF"/>
    <w:rsid w:val="39932868"/>
    <w:rsid w:val="39A20CFD"/>
    <w:rsid w:val="39A829DD"/>
    <w:rsid w:val="39C742BF"/>
    <w:rsid w:val="39C90037"/>
    <w:rsid w:val="39CD5D7A"/>
    <w:rsid w:val="39D92970"/>
    <w:rsid w:val="39E135D3"/>
    <w:rsid w:val="39ED1F78"/>
    <w:rsid w:val="3A105C66"/>
    <w:rsid w:val="3A142CAF"/>
    <w:rsid w:val="3A175247"/>
    <w:rsid w:val="3A230DBA"/>
    <w:rsid w:val="3A232212"/>
    <w:rsid w:val="3A2636DC"/>
    <w:rsid w:val="3A3B7187"/>
    <w:rsid w:val="3A542DF7"/>
    <w:rsid w:val="3A544B2E"/>
    <w:rsid w:val="3A63223A"/>
    <w:rsid w:val="3A790209"/>
    <w:rsid w:val="3A8723CC"/>
    <w:rsid w:val="3AB428CC"/>
    <w:rsid w:val="3AC56A51"/>
    <w:rsid w:val="3AD412CD"/>
    <w:rsid w:val="3ADE3FB6"/>
    <w:rsid w:val="3AEC222F"/>
    <w:rsid w:val="3AFB6916"/>
    <w:rsid w:val="3B072F57"/>
    <w:rsid w:val="3B273268"/>
    <w:rsid w:val="3B2A71FC"/>
    <w:rsid w:val="3B2D45F6"/>
    <w:rsid w:val="3B3B6D13"/>
    <w:rsid w:val="3B443E1A"/>
    <w:rsid w:val="3B5D4EDB"/>
    <w:rsid w:val="3B9A1C8B"/>
    <w:rsid w:val="3B9B5A04"/>
    <w:rsid w:val="3BB014AF"/>
    <w:rsid w:val="3BBA232E"/>
    <w:rsid w:val="3BD36C58"/>
    <w:rsid w:val="3BDA69B0"/>
    <w:rsid w:val="3BDD601C"/>
    <w:rsid w:val="3BDF7FE6"/>
    <w:rsid w:val="3BEE1FD7"/>
    <w:rsid w:val="3BF47745"/>
    <w:rsid w:val="3BFA097C"/>
    <w:rsid w:val="3C277297"/>
    <w:rsid w:val="3C2E0626"/>
    <w:rsid w:val="3C3C64E7"/>
    <w:rsid w:val="3C5207B8"/>
    <w:rsid w:val="3C84433C"/>
    <w:rsid w:val="3C8B5A78"/>
    <w:rsid w:val="3C97266F"/>
    <w:rsid w:val="3CB46AF1"/>
    <w:rsid w:val="3CF278A5"/>
    <w:rsid w:val="3CFD1561"/>
    <w:rsid w:val="3D09356D"/>
    <w:rsid w:val="3D2464EB"/>
    <w:rsid w:val="3D255ECD"/>
    <w:rsid w:val="3D387E51"/>
    <w:rsid w:val="3D3B56F0"/>
    <w:rsid w:val="3D3D3216"/>
    <w:rsid w:val="3D540560"/>
    <w:rsid w:val="3D7275FD"/>
    <w:rsid w:val="3D7604D6"/>
    <w:rsid w:val="3D785FFC"/>
    <w:rsid w:val="3D853F47"/>
    <w:rsid w:val="3D98669F"/>
    <w:rsid w:val="3DA15C5B"/>
    <w:rsid w:val="3DA212CB"/>
    <w:rsid w:val="3DA2751D"/>
    <w:rsid w:val="3DBB238D"/>
    <w:rsid w:val="3DBD36B4"/>
    <w:rsid w:val="3DE50017"/>
    <w:rsid w:val="3DE94611"/>
    <w:rsid w:val="3DEB4AAE"/>
    <w:rsid w:val="3DEE2762"/>
    <w:rsid w:val="3DF5764D"/>
    <w:rsid w:val="3DFB79B3"/>
    <w:rsid w:val="3E225321"/>
    <w:rsid w:val="3E4405D4"/>
    <w:rsid w:val="3E483C21"/>
    <w:rsid w:val="3E52684D"/>
    <w:rsid w:val="3E554590"/>
    <w:rsid w:val="3E6842C3"/>
    <w:rsid w:val="3E6B3DB3"/>
    <w:rsid w:val="3E720C9E"/>
    <w:rsid w:val="3E7967B5"/>
    <w:rsid w:val="3E832EAB"/>
    <w:rsid w:val="3E864749"/>
    <w:rsid w:val="3EB50638"/>
    <w:rsid w:val="3EDB2CE7"/>
    <w:rsid w:val="3EF20030"/>
    <w:rsid w:val="3EF773F5"/>
    <w:rsid w:val="3F080A6C"/>
    <w:rsid w:val="3F2D2E17"/>
    <w:rsid w:val="3F373C95"/>
    <w:rsid w:val="3F3B4420"/>
    <w:rsid w:val="3F473ED8"/>
    <w:rsid w:val="3F4C5993"/>
    <w:rsid w:val="3F6A5E19"/>
    <w:rsid w:val="3F7A3C77"/>
    <w:rsid w:val="3F7F7B16"/>
    <w:rsid w:val="3F8073EA"/>
    <w:rsid w:val="3F93316B"/>
    <w:rsid w:val="3F93711E"/>
    <w:rsid w:val="3FA27361"/>
    <w:rsid w:val="3FA72BC9"/>
    <w:rsid w:val="3FBD419A"/>
    <w:rsid w:val="400809D9"/>
    <w:rsid w:val="400E49F6"/>
    <w:rsid w:val="40460157"/>
    <w:rsid w:val="406311E6"/>
    <w:rsid w:val="40644F5E"/>
    <w:rsid w:val="407F7C10"/>
    <w:rsid w:val="408514D1"/>
    <w:rsid w:val="40956EC5"/>
    <w:rsid w:val="40A02997"/>
    <w:rsid w:val="40BA4B7E"/>
    <w:rsid w:val="40CE4185"/>
    <w:rsid w:val="40CF603D"/>
    <w:rsid w:val="40D45C40"/>
    <w:rsid w:val="40E02836"/>
    <w:rsid w:val="40EE65D6"/>
    <w:rsid w:val="41016309"/>
    <w:rsid w:val="41083B3B"/>
    <w:rsid w:val="410F68BD"/>
    <w:rsid w:val="41175B2C"/>
    <w:rsid w:val="41544BB9"/>
    <w:rsid w:val="415B1EBD"/>
    <w:rsid w:val="41766CF7"/>
    <w:rsid w:val="41A970CC"/>
    <w:rsid w:val="41B45A71"/>
    <w:rsid w:val="41B82E6B"/>
    <w:rsid w:val="41D34149"/>
    <w:rsid w:val="41D63C39"/>
    <w:rsid w:val="41E73751"/>
    <w:rsid w:val="41E77BF5"/>
    <w:rsid w:val="41F8770C"/>
    <w:rsid w:val="420F0E3F"/>
    <w:rsid w:val="421309EA"/>
    <w:rsid w:val="423170C2"/>
    <w:rsid w:val="424961B9"/>
    <w:rsid w:val="42497F67"/>
    <w:rsid w:val="426B25D4"/>
    <w:rsid w:val="42725710"/>
    <w:rsid w:val="42890CAC"/>
    <w:rsid w:val="428C42F8"/>
    <w:rsid w:val="42927B60"/>
    <w:rsid w:val="42937435"/>
    <w:rsid w:val="429531AD"/>
    <w:rsid w:val="42C57F36"/>
    <w:rsid w:val="42E87780"/>
    <w:rsid w:val="4303280C"/>
    <w:rsid w:val="430976F7"/>
    <w:rsid w:val="431C1B20"/>
    <w:rsid w:val="43317379"/>
    <w:rsid w:val="43481A0D"/>
    <w:rsid w:val="43497547"/>
    <w:rsid w:val="43664B49"/>
    <w:rsid w:val="436B5C24"/>
    <w:rsid w:val="43701E13"/>
    <w:rsid w:val="4392593E"/>
    <w:rsid w:val="43A35D9D"/>
    <w:rsid w:val="43A92BF0"/>
    <w:rsid w:val="43C610C5"/>
    <w:rsid w:val="43C7383A"/>
    <w:rsid w:val="43DB5D75"/>
    <w:rsid w:val="43E93296"/>
    <w:rsid w:val="43EC14F2"/>
    <w:rsid w:val="43EF7354"/>
    <w:rsid w:val="44025290"/>
    <w:rsid w:val="4404683C"/>
    <w:rsid w:val="440A1978"/>
    <w:rsid w:val="443133A9"/>
    <w:rsid w:val="44337121"/>
    <w:rsid w:val="443D287E"/>
    <w:rsid w:val="443F1622"/>
    <w:rsid w:val="444529B0"/>
    <w:rsid w:val="4456696C"/>
    <w:rsid w:val="4473751E"/>
    <w:rsid w:val="447514E8"/>
    <w:rsid w:val="44782D86"/>
    <w:rsid w:val="44784B34"/>
    <w:rsid w:val="447A6AFE"/>
    <w:rsid w:val="448B0D0B"/>
    <w:rsid w:val="44B71B00"/>
    <w:rsid w:val="44C24001"/>
    <w:rsid w:val="44C361AF"/>
    <w:rsid w:val="44C63AF1"/>
    <w:rsid w:val="44C91065"/>
    <w:rsid w:val="44D37FBC"/>
    <w:rsid w:val="44DD0E3B"/>
    <w:rsid w:val="450E673B"/>
    <w:rsid w:val="45124600"/>
    <w:rsid w:val="451F1453"/>
    <w:rsid w:val="452F5B3A"/>
    <w:rsid w:val="45343151"/>
    <w:rsid w:val="453E7B2C"/>
    <w:rsid w:val="45594965"/>
    <w:rsid w:val="45667082"/>
    <w:rsid w:val="4568104C"/>
    <w:rsid w:val="45774DEB"/>
    <w:rsid w:val="457A4B71"/>
    <w:rsid w:val="457C0654"/>
    <w:rsid w:val="457F0150"/>
    <w:rsid w:val="457F7A93"/>
    <w:rsid w:val="45A100BA"/>
    <w:rsid w:val="45A51959"/>
    <w:rsid w:val="45A71DC5"/>
    <w:rsid w:val="45AC718B"/>
    <w:rsid w:val="45BB117C"/>
    <w:rsid w:val="45BC4EF4"/>
    <w:rsid w:val="45D87F80"/>
    <w:rsid w:val="45E16709"/>
    <w:rsid w:val="45E5444B"/>
    <w:rsid w:val="45E71F71"/>
    <w:rsid w:val="45F12DF0"/>
    <w:rsid w:val="45F85EB1"/>
    <w:rsid w:val="460E2E32"/>
    <w:rsid w:val="46162856"/>
    <w:rsid w:val="46192347"/>
    <w:rsid w:val="462238A9"/>
    <w:rsid w:val="462B12C1"/>
    <w:rsid w:val="46326F64"/>
    <w:rsid w:val="46340F2E"/>
    <w:rsid w:val="463E3B5B"/>
    <w:rsid w:val="46445615"/>
    <w:rsid w:val="465F41FD"/>
    <w:rsid w:val="46713F31"/>
    <w:rsid w:val="46935C55"/>
    <w:rsid w:val="46A240EA"/>
    <w:rsid w:val="46A55988"/>
    <w:rsid w:val="46BD0F24"/>
    <w:rsid w:val="46EA519A"/>
    <w:rsid w:val="471843AC"/>
    <w:rsid w:val="471C5C4A"/>
    <w:rsid w:val="471F1BDF"/>
    <w:rsid w:val="47200A12"/>
    <w:rsid w:val="473D3E13"/>
    <w:rsid w:val="474A6C5C"/>
    <w:rsid w:val="474D22A8"/>
    <w:rsid w:val="474E7DCE"/>
    <w:rsid w:val="475023E0"/>
    <w:rsid w:val="475353E4"/>
    <w:rsid w:val="47541888"/>
    <w:rsid w:val="478B6495"/>
    <w:rsid w:val="4791488A"/>
    <w:rsid w:val="479559FD"/>
    <w:rsid w:val="479F062A"/>
    <w:rsid w:val="47EA7AF7"/>
    <w:rsid w:val="47ED5839"/>
    <w:rsid w:val="47F15213"/>
    <w:rsid w:val="47F60B91"/>
    <w:rsid w:val="47FA7AD0"/>
    <w:rsid w:val="47FB4CDC"/>
    <w:rsid w:val="47FC5A7C"/>
    <w:rsid w:val="48091A67"/>
    <w:rsid w:val="48174664"/>
    <w:rsid w:val="481E59F2"/>
    <w:rsid w:val="48236291"/>
    <w:rsid w:val="48257914"/>
    <w:rsid w:val="4828061F"/>
    <w:rsid w:val="483416BA"/>
    <w:rsid w:val="484E4529"/>
    <w:rsid w:val="48541414"/>
    <w:rsid w:val="48577D5B"/>
    <w:rsid w:val="486626E8"/>
    <w:rsid w:val="486755EB"/>
    <w:rsid w:val="486F26F2"/>
    <w:rsid w:val="487B1097"/>
    <w:rsid w:val="487D6E9C"/>
    <w:rsid w:val="48AC74A2"/>
    <w:rsid w:val="48B56357"/>
    <w:rsid w:val="48C90054"/>
    <w:rsid w:val="48CD26E3"/>
    <w:rsid w:val="48D662CD"/>
    <w:rsid w:val="48E21116"/>
    <w:rsid w:val="48F86243"/>
    <w:rsid w:val="49170DBF"/>
    <w:rsid w:val="4941408E"/>
    <w:rsid w:val="4957480F"/>
    <w:rsid w:val="49667651"/>
    <w:rsid w:val="496833C9"/>
    <w:rsid w:val="496E6505"/>
    <w:rsid w:val="49726630"/>
    <w:rsid w:val="497C50C6"/>
    <w:rsid w:val="498E6BA8"/>
    <w:rsid w:val="49A07007"/>
    <w:rsid w:val="49A32653"/>
    <w:rsid w:val="49B06B1E"/>
    <w:rsid w:val="49BA174B"/>
    <w:rsid w:val="49BA799D"/>
    <w:rsid w:val="49C36851"/>
    <w:rsid w:val="49C83E68"/>
    <w:rsid w:val="49D00F6E"/>
    <w:rsid w:val="49DC5B65"/>
    <w:rsid w:val="49EA64D4"/>
    <w:rsid w:val="49FC1D63"/>
    <w:rsid w:val="49FE5ADB"/>
    <w:rsid w:val="4A1E1CDA"/>
    <w:rsid w:val="4A235542"/>
    <w:rsid w:val="4A2D3C72"/>
    <w:rsid w:val="4A392FB7"/>
    <w:rsid w:val="4A4945D5"/>
    <w:rsid w:val="4A4E6A63"/>
    <w:rsid w:val="4A50213C"/>
    <w:rsid w:val="4A534079"/>
    <w:rsid w:val="4A580775"/>
    <w:rsid w:val="4A600544"/>
    <w:rsid w:val="4A6F4C2B"/>
    <w:rsid w:val="4A7933B4"/>
    <w:rsid w:val="4AB32D6A"/>
    <w:rsid w:val="4AC00FE3"/>
    <w:rsid w:val="4AC14537"/>
    <w:rsid w:val="4AC26B09"/>
    <w:rsid w:val="4ACE6D58"/>
    <w:rsid w:val="4ACF1226"/>
    <w:rsid w:val="4AEE3DA2"/>
    <w:rsid w:val="4B1355B6"/>
    <w:rsid w:val="4B1D01E3"/>
    <w:rsid w:val="4B46773A"/>
    <w:rsid w:val="4B4B6AFE"/>
    <w:rsid w:val="4B5300A9"/>
    <w:rsid w:val="4B5C51AF"/>
    <w:rsid w:val="4B63653E"/>
    <w:rsid w:val="4B645E12"/>
    <w:rsid w:val="4B6E0A3F"/>
    <w:rsid w:val="4B6E3A0B"/>
    <w:rsid w:val="4B702839"/>
    <w:rsid w:val="4B78366B"/>
    <w:rsid w:val="4B7C13AE"/>
    <w:rsid w:val="4B7C315C"/>
    <w:rsid w:val="4B8B7843"/>
    <w:rsid w:val="4B9506C1"/>
    <w:rsid w:val="4B9C37FE"/>
    <w:rsid w:val="4BA6467C"/>
    <w:rsid w:val="4BAB57EF"/>
    <w:rsid w:val="4BAD5A0B"/>
    <w:rsid w:val="4BB26B7D"/>
    <w:rsid w:val="4BB943B0"/>
    <w:rsid w:val="4C043151"/>
    <w:rsid w:val="4C0575F5"/>
    <w:rsid w:val="4C0C1A81"/>
    <w:rsid w:val="4C15710C"/>
    <w:rsid w:val="4C1A71FA"/>
    <w:rsid w:val="4C2537F3"/>
    <w:rsid w:val="4C3103EA"/>
    <w:rsid w:val="4C39104D"/>
    <w:rsid w:val="4C43011D"/>
    <w:rsid w:val="4C59349D"/>
    <w:rsid w:val="4C5B0FC3"/>
    <w:rsid w:val="4C6360CA"/>
    <w:rsid w:val="4C72630D"/>
    <w:rsid w:val="4C742085"/>
    <w:rsid w:val="4C7B78B7"/>
    <w:rsid w:val="4C8524E4"/>
    <w:rsid w:val="4C871DB8"/>
    <w:rsid w:val="4C9E7102"/>
    <w:rsid w:val="4CA3296A"/>
    <w:rsid w:val="4CBD7ED0"/>
    <w:rsid w:val="4CDD40CE"/>
    <w:rsid w:val="4CF51418"/>
    <w:rsid w:val="4CFD02CC"/>
    <w:rsid w:val="4D0E072B"/>
    <w:rsid w:val="4D0F1DAD"/>
    <w:rsid w:val="4D203FBB"/>
    <w:rsid w:val="4D2C0564"/>
    <w:rsid w:val="4D5123C6"/>
    <w:rsid w:val="4D714816"/>
    <w:rsid w:val="4D746B23"/>
    <w:rsid w:val="4D7526D1"/>
    <w:rsid w:val="4D846882"/>
    <w:rsid w:val="4D992B4B"/>
    <w:rsid w:val="4DA7089B"/>
    <w:rsid w:val="4DAD1CF2"/>
    <w:rsid w:val="4DB352A9"/>
    <w:rsid w:val="4DBC1F35"/>
    <w:rsid w:val="4DC40DEA"/>
    <w:rsid w:val="4DF200CA"/>
    <w:rsid w:val="4DFB2A31"/>
    <w:rsid w:val="4DFF1E22"/>
    <w:rsid w:val="4E192EE4"/>
    <w:rsid w:val="4E1E3A5A"/>
    <w:rsid w:val="4E200716"/>
    <w:rsid w:val="4E204B09"/>
    <w:rsid w:val="4E2552AD"/>
    <w:rsid w:val="4E2F0959"/>
    <w:rsid w:val="4E403B29"/>
    <w:rsid w:val="4E4B5067"/>
    <w:rsid w:val="4E516B22"/>
    <w:rsid w:val="4E601418"/>
    <w:rsid w:val="4E6B74B7"/>
    <w:rsid w:val="4E74636C"/>
    <w:rsid w:val="4E834801"/>
    <w:rsid w:val="4E920EE8"/>
    <w:rsid w:val="4E9764FE"/>
    <w:rsid w:val="4EAA4484"/>
    <w:rsid w:val="4EB42C0C"/>
    <w:rsid w:val="4EC01701"/>
    <w:rsid w:val="4ECA2430"/>
    <w:rsid w:val="4ED03995"/>
    <w:rsid w:val="4ED212E5"/>
    <w:rsid w:val="4ED4505D"/>
    <w:rsid w:val="4EEA0D24"/>
    <w:rsid w:val="4EF324ED"/>
    <w:rsid w:val="4EFB6A8D"/>
    <w:rsid w:val="4F1638C7"/>
    <w:rsid w:val="4F1E452A"/>
    <w:rsid w:val="4F231B40"/>
    <w:rsid w:val="4F2A2ECF"/>
    <w:rsid w:val="4F3855EC"/>
    <w:rsid w:val="4F3F2E1E"/>
    <w:rsid w:val="4F47007F"/>
    <w:rsid w:val="4F563216"/>
    <w:rsid w:val="4F652159"/>
    <w:rsid w:val="4F6C34E7"/>
    <w:rsid w:val="4F701229"/>
    <w:rsid w:val="4F7B197C"/>
    <w:rsid w:val="4F836FD1"/>
    <w:rsid w:val="4F8B1BBF"/>
    <w:rsid w:val="4F8E5B53"/>
    <w:rsid w:val="4F93316A"/>
    <w:rsid w:val="4F9C201E"/>
    <w:rsid w:val="4F9D18F3"/>
    <w:rsid w:val="4FAD6978"/>
    <w:rsid w:val="4FAE1D52"/>
    <w:rsid w:val="4FDD43E5"/>
    <w:rsid w:val="4FE336ED"/>
    <w:rsid w:val="4FED3570"/>
    <w:rsid w:val="4FFC114C"/>
    <w:rsid w:val="4FFC5CA4"/>
    <w:rsid w:val="50151DD1"/>
    <w:rsid w:val="5019366F"/>
    <w:rsid w:val="501A2F43"/>
    <w:rsid w:val="501C6CBB"/>
    <w:rsid w:val="50267B3A"/>
    <w:rsid w:val="504306EC"/>
    <w:rsid w:val="5043249A"/>
    <w:rsid w:val="50446212"/>
    <w:rsid w:val="50506965"/>
    <w:rsid w:val="50577CF3"/>
    <w:rsid w:val="50595F65"/>
    <w:rsid w:val="50630D8E"/>
    <w:rsid w:val="506A5C79"/>
    <w:rsid w:val="508036EE"/>
    <w:rsid w:val="5080549C"/>
    <w:rsid w:val="50836D3A"/>
    <w:rsid w:val="508807F5"/>
    <w:rsid w:val="508C0995"/>
    <w:rsid w:val="508C1B7F"/>
    <w:rsid w:val="50914897"/>
    <w:rsid w:val="509176A9"/>
    <w:rsid w:val="50974594"/>
    <w:rsid w:val="50A867A1"/>
    <w:rsid w:val="50C8299F"/>
    <w:rsid w:val="50DC55D6"/>
    <w:rsid w:val="50EA500B"/>
    <w:rsid w:val="50EF2622"/>
    <w:rsid w:val="50F17293"/>
    <w:rsid w:val="510559A1"/>
    <w:rsid w:val="51136310"/>
    <w:rsid w:val="511F5C55"/>
    <w:rsid w:val="51220301"/>
    <w:rsid w:val="51274C16"/>
    <w:rsid w:val="513E2C61"/>
    <w:rsid w:val="514461E4"/>
    <w:rsid w:val="51542485"/>
    <w:rsid w:val="51556929"/>
    <w:rsid w:val="515B1A65"/>
    <w:rsid w:val="51750D79"/>
    <w:rsid w:val="518014CC"/>
    <w:rsid w:val="51850890"/>
    <w:rsid w:val="518E3BE9"/>
    <w:rsid w:val="51954F77"/>
    <w:rsid w:val="51B51175"/>
    <w:rsid w:val="51BA49DE"/>
    <w:rsid w:val="51E41A5B"/>
    <w:rsid w:val="51F53C68"/>
    <w:rsid w:val="520619D1"/>
    <w:rsid w:val="5209326F"/>
    <w:rsid w:val="52320A18"/>
    <w:rsid w:val="52497B10"/>
    <w:rsid w:val="525E7A5F"/>
    <w:rsid w:val="525F70CA"/>
    <w:rsid w:val="5264494A"/>
    <w:rsid w:val="52727066"/>
    <w:rsid w:val="52733715"/>
    <w:rsid w:val="5282312F"/>
    <w:rsid w:val="52BC6534"/>
    <w:rsid w:val="52C61160"/>
    <w:rsid w:val="52D31442"/>
    <w:rsid w:val="52DC6BD6"/>
    <w:rsid w:val="52EA1CAF"/>
    <w:rsid w:val="52ED2B91"/>
    <w:rsid w:val="52EF06B7"/>
    <w:rsid w:val="53146370"/>
    <w:rsid w:val="53285977"/>
    <w:rsid w:val="5331085C"/>
    <w:rsid w:val="53340D1A"/>
    <w:rsid w:val="533920AE"/>
    <w:rsid w:val="533E519B"/>
    <w:rsid w:val="536F4866"/>
    <w:rsid w:val="536F7A4A"/>
    <w:rsid w:val="5382777D"/>
    <w:rsid w:val="5391176E"/>
    <w:rsid w:val="5394300C"/>
    <w:rsid w:val="53B316E5"/>
    <w:rsid w:val="53B86CFB"/>
    <w:rsid w:val="53C75190"/>
    <w:rsid w:val="53E67D0C"/>
    <w:rsid w:val="541D3002"/>
    <w:rsid w:val="543C3DD0"/>
    <w:rsid w:val="54493DF7"/>
    <w:rsid w:val="54534C76"/>
    <w:rsid w:val="5455279C"/>
    <w:rsid w:val="54574766"/>
    <w:rsid w:val="54696247"/>
    <w:rsid w:val="546D3F89"/>
    <w:rsid w:val="547355EA"/>
    <w:rsid w:val="547A0454"/>
    <w:rsid w:val="54905ECA"/>
    <w:rsid w:val="54971006"/>
    <w:rsid w:val="54A13C33"/>
    <w:rsid w:val="54A5345E"/>
    <w:rsid w:val="54A656ED"/>
    <w:rsid w:val="54C17E31"/>
    <w:rsid w:val="54D20290"/>
    <w:rsid w:val="54D77655"/>
    <w:rsid w:val="54E51D72"/>
    <w:rsid w:val="54F14BBA"/>
    <w:rsid w:val="54FE2E33"/>
    <w:rsid w:val="55012924"/>
    <w:rsid w:val="550666EE"/>
    <w:rsid w:val="55124B31"/>
    <w:rsid w:val="55137B3E"/>
    <w:rsid w:val="551F7C31"/>
    <w:rsid w:val="55322ADD"/>
    <w:rsid w:val="55613240"/>
    <w:rsid w:val="5562187C"/>
    <w:rsid w:val="55652EB2"/>
    <w:rsid w:val="556A32FA"/>
    <w:rsid w:val="55915A56"/>
    <w:rsid w:val="559E0172"/>
    <w:rsid w:val="55AB2C58"/>
    <w:rsid w:val="55B026BB"/>
    <w:rsid w:val="55B4717A"/>
    <w:rsid w:val="55B654BC"/>
    <w:rsid w:val="55B856D8"/>
    <w:rsid w:val="55CC3C18"/>
    <w:rsid w:val="55CF31A5"/>
    <w:rsid w:val="55D24701"/>
    <w:rsid w:val="55D905F6"/>
    <w:rsid w:val="55E60748"/>
    <w:rsid w:val="55EF3A8D"/>
    <w:rsid w:val="55F85AD5"/>
    <w:rsid w:val="55FA7A9F"/>
    <w:rsid w:val="55FE106C"/>
    <w:rsid w:val="561B45B6"/>
    <w:rsid w:val="56206DD9"/>
    <w:rsid w:val="56462CE4"/>
    <w:rsid w:val="56493397"/>
    <w:rsid w:val="565A678F"/>
    <w:rsid w:val="567E247E"/>
    <w:rsid w:val="569021B1"/>
    <w:rsid w:val="569E48CE"/>
    <w:rsid w:val="56A3023E"/>
    <w:rsid w:val="56A417B8"/>
    <w:rsid w:val="56B04601"/>
    <w:rsid w:val="56CB31E9"/>
    <w:rsid w:val="56E524FD"/>
    <w:rsid w:val="56E865A0"/>
    <w:rsid w:val="56F40992"/>
    <w:rsid w:val="56FA587C"/>
    <w:rsid w:val="56FC33A3"/>
    <w:rsid w:val="570109B9"/>
    <w:rsid w:val="571050A0"/>
    <w:rsid w:val="571979D4"/>
    <w:rsid w:val="571C34EF"/>
    <w:rsid w:val="572172AD"/>
    <w:rsid w:val="57325016"/>
    <w:rsid w:val="57405905"/>
    <w:rsid w:val="57422161"/>
    <w:rsid w:val="574A6804"/>
    <w:rsid w:val="577B4C0F"/>
    <w:rsid w:val="577D2735"/>
    <w:rsid w:val="578D66F1"/>
    <w:rsid w:val="57962258"/>
    <w:rsid w:val="57996D1E"/>
    <w:rsid w:val="57A777B2"/>
    <w:rsid w:val="57AA2DFF"/>
    <w:rsid w:val="57B679F5"/>
    <w:rsid w:val="57B70A7D"/>
    <w:rsid w:val="57D44FE9"/>
    <w:rsid w:val="57D460CD"/>
    <w:rsid w:val="57FF46A2"/>
    <w:rsid w:val="580E5A83"/>
    <w:rsid w:val="581B7F2E"/>
    <w:rsid w:val="581F37ED"/>
    <w:rsid w:val="5823215B"/>
    <w:rsid w:val="583848AE"/>
    <w:rsid w:val="5842572D"/>
    <w:rsid w:val="584850B0"/>
    <w:rsid w:val="585B076B"/>
    <w:rsid w:val="586E02D0"/>
    <w:rsid w:val="588E44CE"/>
    <w:rsid w:val="58A14202"/>
    <w:rsid w:val="58A4102D"/>
    <w:rsid w:val="58AF09D0"/>
    <w:rsid w:val="58B8779D"/>
    <w:rsid w:val="58BC54DF"/>
    <w:rsid w:val="58C60DFE"/>
    <w:rsid w:val="58C919AA"/>
    <w:rsid w:val="58CE0D6F"/>
    <w:rsid w:val="58D2260D"/>
    <w:rsid w:val="58E660B8"/>
    <w:rsid w:val="58F22CAF"/>
    <w:rsid w:val="58FA6008"/>
    <w:rsid w:val="590D1897"/>
    <w:rsid w:val="590E74C4"/>
    <w:rsid w:val="591946E0"/>
    <w:rsid w:val="591B0458"/>
    <w:rsid w:val="5923730C"/>
    <w:rsid w:val="59254E33"/>
    <w:rsid w:val="59457283"/>
    <w:rsid w:val="59486D73"/>
    <w:rsid w:val="595B0854"/>
    <w:rsid w:val="596308FB"/>
    <w:rsid w:val="5981018A"/>
    <w:rsid w:val="59861649"/>
    <w:rsid w:val="599071EA"/>
    <w:rsid w:val="599D2616"/>
    <w:rsid w:val="59A0095D"/>
    <w:rsid w:val="59AA358A"/>
    <w:rsid w:val="59C75EEA"/>
    <w:rsid w:val="59CC52AE"/>
    <w:rsid w:val="59DB1995"/>
    <w:rsid w:val="59DE3233"/>
    <w:rsid w:val="59E7033A"/>
    <w:rsid w:val="59E92304"/>
    <w:rsid w:val="59F81632"/>
    <w:rsid w:val="5A0233C6"/>
    <w:rsid w:val="5A160C1F"/>
    <w:rsid w:val="5A252C10"/>
    <w:rsid w:val="5A386DE8"/>
    <w:rsid w:val="5A3D61AC"/>
    <w:rsid w:val="5A517EA9"/>
    <w:rsid w:val="5A6574B1"/>
    <w:rsid w:val="5A783688"/>
    <w:rsid w:val="5A81078E"/>
    <w:rsid w:val="5A8738CB"/>
    <w:rsid w:val="5A932270"/>
    <w:rsid w:val="5A987886"/>
    <w:rsid w:val="5AB87F28"/>
    <w:rsid w:val="5ADA39FB"/>
    <w:rsid w:val="5B064BA6"/>
    <w:rsid w:val="5B092532"/>
    <w:rsid w:val="5B296730"/>
    <w:rsid w:val="5B351579"/>
    <w:rsid w:val="5B3B6835"/>
    <w:rsid w:val="5B484E08"/>
    <w:rsid w:val="5B547C51"/>
    <w:rsid w:val="5B590DC3"/>
    <w:rsid w:val="5B637E94"/>
    <w:rsid w:val="5B793214"/>
    <w:rsid w:val="5B834092"/>
    <w:rsid w:val="5BA26C0E"/>
    <w:rsid w:val="5BA858A7"/>
    <w:rsid w:val="5BAF4E87"/>
    <w:rsid w:val="5BC14BBB"/>
    <w:rsid w:val="5BC22E0D"/>
    <w:rsid w:val="5BCF7320"/>
    <w:rsid w:val="5BD448EE"/>
    <w:rsid w:val="5BDE466E"/>
    <w:rsid w:val="5BE32D83"/>
    <w:rsid w:val="5BE508A9"/>
    <w:rsid w:val="5BED775E"/>
    <w:rsid w:val="5BF3746A"/>
    <w:rsid w:val="5C0D1BAE"/>
    <w:rsid w:val="5C11169E"/>
    <w:rsid w:val="5C164F06"/>
    <w:rsid w:val="5C190553"/>
    <w:rsid w:val="5C1967A5"/>
    <w:rsid w:val="5C34538D"/>
    <w:rsid w:val="5C36795D"/>
    <w:rsid w:val="5C69772C"/>
    <w:rsid w:val="5C6C4B26"/>
    <w:rsid w:val="5C6E6AF1"/>
    <w:rsid w:val="5C95407D"/>
    <w:rsid w:val="5C9D1184"/>
    <w:rsid w:val="5CAC6D2A"/>
    <w:rsid w:val="5CAE14F1"/>
    <w:rsid w:val="5CDD3C76"/>
    <w:rsid w:val="5CDF179C"/>
    <w:rsid w:val="5CE172C2"/>
    <w:rsid w:val="5CE648D9"/>
    <w:rsid w:val="5D0B2591"/>
    <w:rsid w:val="5D1B16EF"/>
    <w:rsid w:val="5D236733"/>
    <w:rsid w:val="5D2F032B"/>
    <w:rsid w:val="5D443CF5"/>
    <w:rsid w:val="5D505750"/>
    <w:rsid w:val="5D526412"/>
    <w:rsid w:val="5D573A29"/>
    <w:rsid w:val="5D5A52C7"/>
    <w:rsid w:val="5D6D4FFA"/>
    <w:rsid w:val="5D850596"/>
    <w:rsid w:val="5D9510F4"/>
    <w:rsid w:val="5DA12EF6"/>
    <w:rsid w:val="5DB06C95"/>
    <w:rsid w:val="5DC42740"/>
    <w:rsid w:val="5DE84681"/>
    <w:rsid w:val="5E015742"/>
    <w:rsid w:val="5E08087F"/>
    <w:rsid w:val="5E086AD1"/>
    <w:rsid w:val="5E1E4546"/>
    <w:rsid w:val="5E391380"/>
    <w:rsid w:val="5E3E24F3"/>
    <w:rsid w:val="5E4C10B3"/>
    <w:rsid w:val="5E4C2E61"/>
    <w:rsid w:val="5E602469"/>
    <w:rsid w:val="5E604B5F"/>
    <w:rsid w:val="5E655CD1"/>
    <w:rsid w:val="5E7F4FE5"/>
    <w:rsid w:val="5E8048B9"/>
    <w:rsid w:val="5E820631"/>
    <w:rsid w:val="5E8379C4"/>
    <w:rsid w:val="5E914D18"/>
    <w:rsid w:val="5E944DC1"/>
    <w:rsid w:val="5E9F11E3"/>
    <w:rsid w:val="5EAA7B88"/>
    <w:rsid w:val="5ECE0333"/>
    <w:rsid w:val="5ECE7D1A"/>
    <w:rsid w:val="5ED115B9"/>
    <w:rsid w:val="5ED35331"/>
    <w:rsid w:val="5EE017FC"/>
    <w:rsid w:val="5EE4309A"/>
    <w:rsid w:val="5EFC6636"/>
    <w:rsid w:val="5F1F40D2"/>
    <w:rsid w:val="5F313E05"/>
    <w:rsid w:val="5F446A72"/>
    <w:rsid w:val="5F4B022D"/>
    <w:rsid w:val="5F5226F9"/>
    <w:rsid w:val="5F5C0E82"/>
    <w:rsid w:val="5F697A43"/>
    <w:rsid w:val="5F7F2DC3"/>
    <w:rsid w:val="5FAB005C"/>
    <w:rsid w:val="5FBA3DFB"/>
    <w:rsid w:val="5FC44C79"/>
    <w:rsid w:val="5FCA04E2"/>
    <w:rsid w:val="5FFE018B"/>
    <w:rsid w:val="60082DB8"/>
    <w:rsid w:val="600E0450"/>
    <w:rsid w:val="602D6CC3"/>
    <w:rsid w:val="60367925"/>
    <w:rsid w:val="60432042"/>
    <w:rsid w:val="6051650D"/>
    <w:rsid w:val="606049A2"/>
    <w:rsid w:val="6065020A"/>
    <w:rsid w:val="606C1599"/>
    <w:rsid w:val="607E307A"/>
    <w:rsid w:val="60812864"/>
    <w:rsid w:val="608C1C3B"/>
    <w:rsid w:val="60934D78"/>
    <w:rsid w:val="609777F7"/>
    <w:rsid w:val="60A800F7"/>
    <w:rsid w:val="60AC7BE7"/>
    <w:rsid w:val="60B115FD"/>
    <w:rsid w:val="60BB607C"/>
    <w:rsid w:val="60CE7B5E"/>
    <w:rsid w:val="60FB0B6F"/>
    <w:rsid w:val="610417D1"/>
    <w:rsid w:val="610C5886"/>
    <w:rsid w:val="6118702B"/>
    <w:rsid w:val="6122434D"/>
    <w:rsid w:val="613227E3"/>
    <w:rsid w:val="61642270"/>
    <w:rsid w:val="61665FE8"/>
    <w:rsid w:val="616C6FFC"/>
    <w:rsid w:val="61774699"/>
    <w:rsid w:val="617F70AA"/>
    <w:rsid w:val="618225BF"/>
    <w:rsid w:val="61946FF9"/>
    <w:rsid w:val="619568CD"/>
    <w:rsid w:val="61971C41"/>
    <w:rsid w:val="619D5782"/>
    <w:rsid w:val="61A03900"/>
    <w:rsid w:val="61A3723C"/>
    <w:rsid w:val="61A905CB"/>
    <w:rsid w:val="61B2747F"/>
    <w:rsid w:val="61BF7DEE"/>
    <w:rsid w:val="61C13B66"/>
    <w:rsid w:val="61DE0274"/>
    <w:rsid w:val="61E11B13"/>
    <w:rsid w:val="620500A2"/>
    <w:rsid w:val="6205503B"/>
    <w:rsid w:val="621E2D67"/>
    <w:rsid w:val="622F0AD0"/>
    <w:rsid w:val="624F34D5"/>
    <w:rsid w:val="625E13B5"/>
    <w:rsid w:val="62644DED"/>
    <w:rsid w:val="62662018"/>
    <w:rsid w:val="627B3D15"/>
    <w:rsid w:val="628C5A67"/>
    <w:rsid w:val="62922E0D"/>
    <w:rsid w:val="62B15989"/>
    <w:rsid w:val="62B40FD5"/>
    <w:rsid w:val="62CA25A7"/>
    <w:rsid w:val="62CC631F"/>
    <w:rsid w:val="62D90A3C"/>
    <w:rsid w:val="62E33669"/>
    <w:rsid w:val="62EE1292"/>
    <w:rsid w:val="62FB05C2"/>
    <w:rsid w:val="62FD472A"/>
    <w:rsid w:val="630465BE"/>
    <w:rsid w:val="63260125"/>
    <w:rsid w:val="633F2F95"/>
    <w:rsid w:val="63506F50"/>
    <w:rsid w:val="6367429A"/>
    <w:rsid w:val="636E0BBA"/>
    <w:rsid w:val="637569B7"/>
    <w:rsid w:val="637846F9"/>
    <w:rsid w:val="638E7A78"/>
    <w:rsid w:val="63910C6B"/>
    <w:rsid w:val="63A70E45"/>
    <w:rsid w:val="63AB23D8"/>
    <w:rsid w:val="63DF02D4"/>
    <w:rsid w:val="63E678B4"/>
    <w:rsid w:val="63FF2724"/>
    <w:rsid w:val="641C6E32"/>
    <w:rsid w:val="642301C1"/>
    <w:rsid w:val="6424218B"/>
    <w:rsid w:val="64267CB1"/>
    <w:rsid w:val="64300B2F"/>
    <w:rsid w:val="644C27A0"/>
    <w:rsid w:val="645E38EF"/>
    <w:rsid w:val="64990483"/>
    <w:rsid w:val="649B244D"/>
    <w:rsid w:val="64A81A7D"/>
    <w:rsid w:val="64AC31D6"/>
    <w:rsid w:val="64AD03D2"/>
    <w:rsid w:val="64BB489D"/>
    <w:rsid w:val="64BE25DF"/>
    <w:rsid w:val="64C5571C"/>
    <w:rsid w:val="64E04304"/>
    <w:rsid w:val="64E35BA2"/>
    <w:rsid w:val="64F1206D"/>
    <w:rsid w:val="65031DA0"/>
    <w:rsid w:val="650747B5"/>
    <w:rsid w:val="6509385A"/>
    <w:rsid w:val="650A75D2"/>
    <w:rsid w:val="65110961"/>
    <w:rsid w:val="65136487"/>
    <w:rsid w:val="651A4F6C"/>
    <w:rsid w:val="651D5558"/>
    <w:rsid w:val="65297A59"/>
    <w:rsid w:val="652F2B95"/>
    <w:rsid w:val="653E10BD"/>
    <w:rsid w:val="65402FF4"/>
    <w:rsid w:val="65436640"/>
    <w:rsid w:val="6545060B"/>
    <w:rsid w:val="654523B9"/>
    <w:rsid w:val="65731F8A"/>
    <w:rsid w:val="65735178"/>
    <w:rsid w:val="65797E7F"/>
    <w:rsid w:val="65827D85"/>
    <w:rsid w:val="658405F0"/>
    <w:rsid w:val="658C6239"/>
    <w:rsid w:val="65956E9C"/>
    <w:rsid w:val="65982E30"/>
    <w:rsid w:val="659B5909"/>
    <w:rsid w:val="65BD2897"/>
    <w:rsid w:val="65C07C91"/>
    <w:rsid w:val="65C94D98"/>
    <w:rsid w:val="65DF78AD"/>
    <w:rsid w:val="66044E6F"/>
    <w:rsid w:val="660B3602"/>
    <w:rsid w:val="660D2ED6"/>
    <w:rsid w:val="6612673F"/>
    <w:rsid w:val="661E3335"/>
    <w:rsid w:val="66430FEE"/>
    <w:rsid w:val="66636F9A"/>
    <w:rsid w:val="66666A8A"/>
    <w:rsid w:val="667E2026"/>
    <w:rsid w:val="669748D6"/>
    <w:rsid w:val="66A3383B"/>
    <w:rsid w:val="66A51361"/>
    <w:rsid w:val="66AA6977"/>
    <w:rsid w:val="66AF21DF"/>
    <w:rsid w:val="66B45A48"/>
    <w:rsid w:val="66C35C8B"/>
    <w:rsid w:val="66C739CD"/>
    <w:rsid w:val="66C76EC0"/>
    <w:rsid w:val="66CA7019"/>
    <w:rsid w:val="66CC2D91"/>
    <w:rsid w:val="66CD24A8"/>
    <w:rsid w:val="66D41C46"/>
    <w:rsid w:val="66EC2AFF"/>
    <w:rsid w:val="67006EDF"/>
    <w:rsid w:val="670446F3"/>
    <w:rsid w:val="6707201B"/>
    <w:rsid w:val="6712451C"/>
    <w:rsid w:val="672608EF"/>
    <w:rsid w:val="672E2087"/>
    <w:rsid w:val="67346B89"/>
    <w:rsid w:val="673F5A4B"/>
    <w:rsid w:val="675E01F6"/>
    <w:rsid w:val="67654F94"/>
    <w:rsid w:val="67696832"/>
    <w:rsid w:val="676C6322"/>
    <w:rsid w:val="67786A75"/>
    <w:rsid w:val="677A27ED"/>
    <w:rsid w:val="677B0314"/>
    <w:rsid w:val="6787315C"/>
    <w:rsid w:val="679C2ADC"/>
    <w:rsid w:val="67A374E7"/>
    <w:rsid w:val="67BD6B7E"/>
    <w:rsid w:val="67DA7730"/>
    <w:rsid w:val="67E47654"/>
    <w:rsid w:val="67F24A7A"/>
    <w:rsid w:val="67F81964"/>
    <w:rsid w:val="68142C42"/>
    <w:rsid w:val="683F3A37"/>
    <w:rsid w:val="6847265E"/>
    <w:rsid w:val="68550B65"/>
    <w:rsid w:val="68664B20"/>
    <w:rsid w:val="68790CF7"/>
    <w:rsid w:val="68896A60"/>
    <w:rsid w:val="688D02FE"/>
    <w:rsid w:val="689350FD"/>
    <w:rsid w:val="68975621"/>
    <w:rsid w:val="689E250C"/>
    <w:rsid w:val="68BF2482"/>
    <w:rsid w:val="68E81FE4"/>
    <w:rsid w:val="68EA5751"/>
    <w:rsid w:val="68EF2D67"/>
    <w:rsid w:val="68FE2FAA"/>
    <w:rsid w:val="69054339"/>
    <w:rsid w:val="690F51B7"/>
    <w:rsid w:val="69224EEB"/>
    <w:rsid w:val="69676DA1"/>
    <w:rsid w:val="697274F4"/>
    <w:rsid w:val="69766FE4"/>
    <w:rsid w:val="6985191D"/>
    <w:rsid w:val="699E02E9"/>
    <w:rsid w:val="69A34019"/>
    <w:rsid w:val="69B25B9B"/>
    <w:rsid w:val="69C97A5C"/>
    <w:rsid w:val="69DA1D9A"/>
    <w:rsid w:val="69DD2D88"/>
    <w:rsid w:val="69E20B1E"/>
    <w:rsid w:val="69F50851"/>
    <w:rsid w:val="69F76313"/>
    <w:rsid w:val="6A0102D7"/>
    <w:rsid w:val="6A050368"/>
    <w:rsid w:val="6A1011E7"/>
    <w:rsid w:val="6A116D0D"/>
    <w:rsid w:val="6A164324"/>
    <w:rsid w:val="6A1A2066"/>
    <w:rsid w:val="6A1B410D"/>
    <w:rsid w:val="6A1B7B8C"/>
    <w:rsid w:val="6A3550F2"/>
    <w:rsid w:val="6A4964A7"/>
    <w:rsid w:val="6A58579C"/>
    <w:rsid w:val="6A773014"/>
    <w:rsid w:val="6A9462D5"/>
    <w:rsid w:val="6AC41FD2"/>
    <w:rsid w:val="6AD2649C"/>
    <w:rsid w:val="6AD541DF"/>
    <w:rsid w:val="6AE461D0"/>
    <w:rsid w:val="6AE508C6"/>
    <w:rsid w:val="6AF91C7B"/>
    <w:rsid w:val="6AFE1987"/>
    <w:rsid w:val="6AFE54E3"/>
    <w:rsid w:val="6B0D5727"/>
    <w:rsid w:val="6B2F38EF"/>
    <w:rsid w:val="6B511AB7"/>
    <w:rsid w:val="6B651855"/>
    <w:rsid w:val="6B6C68F1"/>
    <w:rsid w:val="6B73185A"/>
    <w:rsid w:val="6B767770"/>
    <w:rsid w:val="6BA834DC"/>
    <w:rsid w:val="6BDA7B41"/>
    <w:rsid w:val="6BDF3567"/>
    <w:rsid w:val="6BEA5A68"/>
    <w:rsid w:val="6BF80185"/>
    <w:rsid w:val="6BFB55D5"/>
    <w:rsid w:val="6C007039"/>
    <w:rsid w:val="6C1A634D"/>
    <w:rsid w:val="6C1D5E3D"/>
    <w:rsid w:val="6C411B2C"/>
    <w:rsid w:val="6C5F1FB2"/>
    <w:rsid w:val="6C5F1FEC"/>
    <w:rsid w:val="6C6106F3"/>
    <w:rsid w:val="6C621AA2"/>
    <w:rsid w:val="6C7F5DC1"/>
    <w:rsid w:val="6C865790"/>
    <w:rsid w:val="6C875EB7"/>
    <w:rsid w:val="6C9500C9"/>
    <w:rsid w:val="6CA200F0"/>
    <w:rsid w:val="6CA955E2"/>
    <w:rsid w:val="6CAB1D19"/>
    <w:rsid w:val="6CAD71C1"/>
    <w:rsid w:val="6CAE4CE7"/>
    <w:rsid w:val="6CCD7863"/>
    <w:rsid w:val="6CD7423E"/>
    <w:rsid w:val="6CD815B8"/>
    <w:rsid w:val="6CED1CB3"/>
    <w:rsid w:val="6D0A26AE"/>
    <w:rsid w:val="6D416A8E"/>
    <w:rsid w:val="6D4264BA"/>
    <w:rsid w:val="6D4F0278"/>
    <w:rsid w:val="6D592EA5"/>
    <w:rsid w:val="6D602485"/>
    <w:rsid w:val="6D673814"/>
    <w:rsid w:val="6D6A6E60"/>
    <w:rsid w:val="6D7970A3"/>
    <w:rsid w:val="6D836174"/>
    <w:rsid w:val="6D855A48"/>
    <w:rsid w:val="6D8F51E7"/>
    <w:rsid w:val="6D91263F"/>
    <w:rsid w:val="6D997745"/>
    <w:rsid w:val="6DA21853"/>
    <w:rsid w:val="6DA85BDA"/>
    <w:rsid w:val="6DAC1196"/>
    <w:rsid w:val="6DB427D1"/>
    <w:rsid w:val="6DC7127D"/>
    <w:rsid w:val="6E122327"/>
    <w:rsid w:val="6E1D2124"/>
    <w:rsid w:val="6E1F7C4B"/>
    <w:rsid w:val="6E380D0C"/>
    <w:rsid w:val="6E3D6323"/>
    <w:rsid w:val="6E4476B1"/>
    <w:rsid w:val="6E470F4F"/>
    <w:rsid w:val="6E4715B2"/>
    <w:rsid w:val="6E5F098F"/>
    <w:rsid w:val="6E623FDB"/>
    <w:rsid w:val="6E7A30D3"/>
    <w:rsid w:val="6E9A65BA"/>
    <w:rsid w:val="6E9C0F62"/>
    <w:rsid w:val="6EAB7671"/>
    <w:rsid w:val="6EAD16FA"/>
    <w:rsid w:val="6EAF0878"/>
    <w:rsid w:val="6EBE1E04"/>
    <w:rsid w:val="6ECA1F29"/>
    <w:rsid w:val="6ED053E9"/>
    <w:rsid w:val="6ED8604B"/>
    <w:rsid w:val="6EE2700F"/>
    <w:rsid w:val="6EEA6ECE"/>
    <w:rsid w:val="6EEC054A"/>
    <w:rsid w:val="6EF530A1"/>
    <w:rsid w:val="6F0B01CF"/>
    <w:rsid w:val="6F411E43"/>
    <w:rsid w:val="6F415569"/>
    <w:rsid w:val="6F437969"/>
    <w:rsid w:val="6F457B85"/>
    <w:rsid w:val="6F5956F7"/>
    <w:rsid w:val="6F7945FE"/>
    <w:rsid w:val="6F89114F"/>
    <w:rsid w:val="6F9401C4"/>
    <w:rsid w:val="6F9B77A5"/>
    <w:rsid w:val="6FAB550E"/>
    <w:rsid w:val="6FC767EC"/>
    <w:rsid w:val="6FDD7DBD"/>
    <w:rsid w:val="6FDE7692"/>
    <w:rsid w:val="6FE80510"/>
    <w:rsid w:val="6FF2313D"/>
    <w:rsid w:val="7000585A"/>
    <w:rsid w:val="70025A76"/>
    <w:rsid w:val="700A66D9"/>
    <w:rsid w:val="701A2DBF"/>
    <w:rsid w:val="70313C65"/>
    <w:rsid w:val="703419A7"/>
    <w:rsid w:val="705F4C76"/>
    <w:rsid w:val="70651B61"/>
    <w:rsid w:val="70765B1C"/>
    <w:rsid w:val="70875F7B"/>
    <w:rsid w:val="70A64653"/>
    <w:rsid w:val="70B32672"/>
    <w:rsid w:val="70B54896"/>
    <w:rsid w:val="70C25205"/>
    <w:rsid w:val="70D3473D"/>
    <w:rsid w:val="70DA254F"/>
    <w:rsid w:val="70E37655"/>
    <w:rsid w:val="70ED4030"/>
    <w:rsid w:val="70EE1B56"/>
    <w:rsid w:val="71173FF3"/>
    <w:rsid w:val="711C6337"/>
    <w:rsid w:val="7128150C"/>
    <w:rsid w:val="71341C5F"/>
    <w:rsid w:val="713954C7"/>
    <w:rsid w:val="714B6FA9"/>
    <w:rsid w:val="714D50EA"/>
    <w:rsid w:val="71532635"/>
    <w:rsid w:val="715A71EC"/>
    <w:rsid w:val="71706A0F"/>
    <w:rsid w:val="71791DBF"/>
    <w:rsid w:val="717C7162"/>
    <w:rsid w:val="71813B99"/>
    <w:rsid w:val="718524BB"/>
    <w:rsid w:val="71922E29"/>
    <w:rsid w:val="71A010A2"/>
    <w:rsid w:val="71A1306D"/>
    <w:rsid w:val="71BB12C5"/>
    <w:rsid w:val="71C72AD3"/>
    <w:rsid w:val="71D21478"/>
    <w:rsid w:val="71E85F93"/>
    <w:rsid w:val="71EB1B26"/>
    <w:rsid w:val="71F118FE"/>
    <w:rsid w:val="721B697B"/>
    <w:rsid w:val="7229553C"/>
    <w:rsid w:val="722E2B52"/>
    <w:rsid w:val="723E2669"/>
    <w:rsid w:val="7244764E"/>
    <w:rsid w:val="724759C2"/>
    <w:rsid w:val="7253520C"/>
    <w:rsid w:val="72695938"/>
    <w:rsid w:val="729F57FE"/>
    <w:rsid w:val="72A050D2"/>
    <w:rsid w:val="72A42E14"/>
    <w:rsid w:val="72BA6194"/>
    <w:rsid w:val="72C47013"/>
    <w:rsid w:val="72C76B03"/>
    <w:rsid w:val="72CC32D7"/>
    <w:rsid w:val="72D82ABE"/>
    <w:rsid w:val="72DA05E4"/>
    <w:rsid w:val="72E03E79"/>
    <w:rsid w:val="72E41463"/>
    <w:rsid w:val="72EC6569"/>
    <w:rsid w:val="72F01BB6"/>
    <w:rsid w:val="730E4732"/>
    <w:rsid w:val="731C0BFD"/>
    <w:rsid w:val="73221F8B"/>
    <w:rsid w:val="7329156C"/>
    <w:rsid w:val="732C6966"/>
    <w:rsid w:val="733D0B73"/>
    <w:rsid w:val="73463ECB"/>
    <w:rsid w:val="73522870"/>
    <w:rsid w:val="73572028"/>
    <w:rsid w:val="735D2FC3"/>
    <w:rsid w:val="736D3206"/>
    <w:rsid w:val="739369E5"/>
    <w:rsid w:val="73B726D3"/>
    <w:rsid w:val="73CC2623"/>
    <w:rsid w:val="73CD1EF7"/>
    <w:rsid w:val="73D47729"/>
    <w:rsid w:val="73E159A2"/>
    <w:rsid w:val="73F27BAF"/>
    <w:rsid w:val="73FC458A"/>
    <w:rsid w:val="74081311"/>
    <w:rsid w:val="741C69DA"/>
    <w:rsid w:val="742A636D"/>
    <w:rsid w:val="742C1313"/>
    <w:rsid w:val="743326A2"/>
    <w:rsid w:val="7452064E"/>
    <w:rsid w:val="745B39A7"/>
    <w:rsid w:val="748007A2"/>
    <w:rsid w:val="74822CE1"/>
    <w:rsid w:val="74994A31"/>
    <w:rsid w:val="74AA6CAD"/>
    <w:rsid w:val="74CD0DC6"/>
    <w:rsid w:val="74D84FF7"/>
    <w:rsid w:val="74DD0860"/>
    <w:rsid w:val="74F160B9"/>
    <w:rsid w:val="74F33BDF"/>
    <w:rsid w:val="74FA31C0"/>
    <w:rsid w:val="74FC0CE6"/>
    <w:rsid w:val="750608DA"/>
    <w:rsid w:val="75091655"/>
    <w:rsid w:val="751C3813"/>
    <w:rsid w:val="7524023C"/>
    <w:rsid w:val="75287D2D"/>
    <w:rsid w:val="75297601"/>
    <w:rsid w:val="752A0169"/>
    <w:rsid w:val="75322959"/>
    <w:rsid w:val="75422471"/>
    <w:rsid w:val="754507E6"/>
    <w:rsid w:val="754B7577"/>
    <w:rsid w:val="75587EE6"/>
    <w:rsid w:val="755A1EB0"/>
    <w:rsid w:val="75640639"/>
    <w:rsid w:val="75722D47"/>
    <w:rsid w:val="757A4300"/>
    <w:rsid w:val="757A60AE"/>
    <w:rsid w:val="757F36C5"/>
    <w:rsid w:val="758962F1"/>
    <w:rsid w:val="759E7FEF"/>
    <w:rsid w:val="75A03D67"/>
    <w:rsid w:val="75A1188D"/>
    <w:rsid w:val="75A60C51"/>
    <w:rsid w:val="75AB6268"/>
    <w:rsid w:val="75B0387E"/>
    <w:rsid w:val="75B07D22"/>
    <w:rsid w:val="75C872CE"/>
    <w:rsid w:val="75D0399E"/>
    <w:rsid w:val="75E023B5"/>
    <w:rsid w:val="75E55C1E"/>
    <w:rsid w:val="75E83018"/>
    <w:rsid w:val="75F419BD"/>
    <w:rsid w:val="760065B4"/>
    <w:rsid w:val="760338C7"/>
    <w:rsid w:val="7610431D"/>
    <w:rsid w:val="76127DF2"/>
    <w:rsid w:val="761539AE"/>
    <w:rsid w:val="76500BBD"/>
    <w:rsid w:val="76650B0D"/>
    <w:rsid w:val="76676633"/>
    <w:rsid w:val="766D79C1"/>
    <w:rsid w:val="76984A3E"/>
    <w:rsid w:val="769E5B87"/>
    <w:rsid w:val="76A038F3"/>
    <w:rsid w:val="76A30685"/>
    <w:rsid w:val="76A827A7"/>
    <w:rsid w:val="76B13D52"/>
    <w:rsid w:val="76B850E0"/>
    <w:rsid w:val="76CD220E"/>
    <w:rsid w:val="76D0242A"/>
    <w:rsid w:val="76E15536"/>
    <w:rsid w:val="76E557A9"/>
    <w:rsid w:val="76EF1037"/>
    <w:rsid w:val="77035102"/>
    <w:rsid w:val="770519A8"/>
    <w:rsid w:val="77112A42"/>
    <w:rsid w:val="773647F3"/>
    <w:rsid w:val="77521091"/>
    <w:rsid w:val="775939AE"/>
    <w:rsid w:val="776D47E2"/>
    <w:rsid w:val="779F1DFC"/>
    <w:rsid w:val="77B04009"/>
    <w:rsid w:val="77BA69E0"/>
    <w:rsid w:val="77C577DB"/>
    <w:rsid w:val="77ED700C"/>
    <w:rsid w:val="77FC724F"/>
    <w:rsid w:val="780E2ADE"/>
    <w:rsid w:val="78153E6C"/>
    <w:rsid w:val="782F4F2E"/>
    <w:rsid w:val="786F14F5"/>
    <w:rsid w:val="786F609A"/>
    <w:rsid w:val="788F1E71"/>
    <w:rsid w:val="789B6A68"/>
    <w:rsid w:val="78E36F6B"/>
    <w:rsid w:val="78E421BD"/>
    <w:rsid w:val="78E977D3"/>
    <w:rsid w:val="78FF6FF6"/>
    <w:rsid w:val="791B1956"/>
    <w:rsid w:val="792E168A"/>
    <w:rsid w:val="79425135"/>
    <w:rsid w:val="79490272"/>
    <w:rsid w:val="79534C4C"/>
    <w:rsid w:val="79556C16"/>
    <w:rsid w:val="795F5CE7"/>
    <w:rsid w:val="79605415"/>
    <w:rsid w:val="79853BFE"/>
    <w:rsid w:val="79915775"/>
    <w:rsid w:val="799314ED"/>
    <w:rsid w:val="79935991"/>
    <w:rsid w:val="79CE4C1B"/>
    <w:rsid w:val="79D420EA"/>
    <w:rsid w:val="7A0128FA"/>
    <w:rsid w:val="7A08012D"/>
    <w:rsid w:val="7A113B1B"/>
    <w:rsid w:val="7A2F56B9"/>
    <w:rsid w:val="7A490096"/>
    <w:rsid w:val="7A4B626B"/>
    <w:rsid w:val="7A560E98"/>
    <w:rsid w:val="7A5776C3"/>
    <w:rsid w:val="7A680BCB"/>
    <w:rsid w:val="7A6B1FA0"/>
    <w:rsid w:val="7A70182E"/>
    <w:rsid w:val="7A804167"/>
    <w:rsid w:val="7A884DCA"/>
    <w:rsid w:val="7A94551C"/>
    <w:rsid w:val="7AB91427"/>
    <w:rsid w:val="7ABD0F17"/>
    <w:rsid w:val="7ADF779D"/>
    <w:rsid w:val="7AF03C47"/>
    <w:rsid w:val="7B002BB2"/>
    <w:rsid w:val="7B142443"/>
    <w:rsid w:val="7B1D1E0B"/>
    <w:rsid w:val="7B2014A6"/>
    <w:rsid w:val="7B22521E"/>
    <w:rsid w:val="7B2C4D1E"/>
    <w:rsid w:val="7B3311D9"/>
    <w:rsid w:val="7B430CF1"/>
    <w:rsid w:val="7B6A44CF"/>
    <w:rsid w:val="7B735A7A"/>
    <w:rsid w:val="7B75534E"/>
    <w:rsid w:val="7B7D2454"/>
    <w:rsid w:val="7B8C08E9"/>
    <w:rsid w:val="7B9B28DB"/>
    <w:rsid w:val="7B9E0939"/>
    <w:rsid w:val="7BA03F1A"/>
    <w:rsid w:val="7BA63759"/>
    <w:rsid w:val="7BA94FF8"/>
    <w:rsid w:val="7BAE6AB2"/>
    <w:rsid w:val="7BB37C24"/>
    <w:rsid w:val="7BBA7205"/>
    <w:rsid w:val="7BC71922"/>
    <w:rsid w:val="7BE14791"/>
    <w:rsid w:val="7BE349AD"/>
    <w:rsid w:val="7BEB1639"/>
    <w:rsid w:val="7BEE6EAE"/>
    <w:rsid w:val="7C016BE2"/>
    <w:rsid w:val="7C022923"/>
    <w:rsid w:val="7C2A25DC"/>
    <w:rsid w:val="7C305719"/>
    <w:rsid w:val="7C326466"/>
    <w:rsid w:val="7C350F81"/>
    <w:rsid w:val="7C4371FA"/>
    <w:rsid w:val="7C444D20"/>
    <w:rsid w:val="7C460A98"/>
    <w:rsid w:val="7C6453C2"/>
    <w:rsid w:val="7C653614"/>
    <w:rsid w:val="7C6C34AF"/>
    <w:rsid w:val="7C75312C"/>
    <w:rsid w:val="7C7C095E"/>
    <w:rsid w:val="7C7E6484"/>
    <w:rsid w:val="7C8F0691"/>
    <w:rsid w:val="7CA05FD0"/>
    <w:rsid w:val="7CB225D2"/>
    <w:rsid w:val="7CB93960"/>
    <w:rsid w:val="7CED7166"/>
    <w:rsid w:val="7CEF7382"/>
    <w:rsid w:val="7CF93D5D"/>
    <w:rsid w:val="7CF95B0B"/>
    <w:rsid w:val="7D0B583E"/>
    <w:rsid w:val="7D113772"/>
    <w:rsid w:val="7D142945"/>
    <w:rsid w:val="7D1E37C3"/>
    <w:rsid w:val="7D2A03BA"/>
    <w:rsid w:val="7D2A7CD1"/>
    <w:rsid w:val="7D2C7019"/>
    <w:rsid w:val="7D380D29"/>
    <w:rsid w:val="7D540BCD"/>
    <w:rsid w:val="7D5B67C5"/>
    <w:rsid w:val="7D5D42EC"/>
    <w:rsid w:val="7DA57A41"/>
    <w:rsid w:val="7DBC3309"/>
    <w:rsid w:val="7DD65E4C"/>
    <w:rsid w:val="7DED1B13"/>
    <w:rsid w:val="7DFA5FDE"/>
    <w:rsid w:val="7DFC1D56"/>
    <w:rsid w:val="7DFF53A3"/>
    <w:rsid w:val="7E193542"/>
    <w:rsid w:val="7E2117BD"/>
    <w:rsid w:val="7E2748F9"/>
    <w:rsid w:val="7E410B20"/>
    <w:rsid w:val="7E417769"/>
    <w:rsid w:val="7E447410"/>
    <w:rsid w:val="7E527BC8"/>
    <w:rsid w:val="7E5576E8"/>
    <w:rsid w:val="7E633B84"/>
    <w:rsid w:val="7E794BBF"/>
    <w:rsid w:val="7E8458A8"/>
    <w:rsid w:val="7E857F9E"/>
    <w:rsid w:val="7E861620"/>
    <w:rsid w:val="7E930337"/>
    <w:rsid w:val="7E97182B"/>
    <w:rsid w:val="7EA7622E"/>
    <w:rsid w:val="7EAD4DFF"/>
    <w:rsid w:val="7EB20667"/>
    <w:rsid w:val="7EB22415"/>
    <w:rsid w:val="7EBA751C"/>
    <w:rsid w:val="7ECB1729"/>
    <w:rsid w:val="7ED37258"/>
    <w:rsid w:val="7ED95BF4"/>
    <w:rsid w:val="7EDC3936"/>
    <w:rsid w:val="7EE06F82"/>
    <w:rsid w:val="7EED0AB1"/>
    <w:rsid w:val="7EF7251E"/>
    <w:rsid w:val="7F21759B"/>
    <w:rsid w:val="7F2A644F"/>
    <w:rsid w:val="7F363046"/>
    <w:rsid w:val="7F3948E4"/>
    <w:rsid w:val="7F452F1B"/>
    <w:rsid w:val="7F455AEC"/>
    <w:rsid w:val="7F482D79"/>
    <w:rsid w:val="7F484B27"/>
    <w:rsid w:val="7F511C2E"/>
    <w:rsid w:val="7F62208D"/>
    <w:rsid w:val="7F6D458E"/>
    <w:rsid w:val="7F7973D7"/>
    <w:rsid w:val="7F8E710A"/>
    <w:rsid w:val="7F915F30"/>
    <w:rsid w:val="7F9A4CEF"/>
    <w:rsid w:val="7FA426A6"/>
    <w:rsid w:val="7FA501CC"/>
    <w:rsid w:val="7FAE0E2E"/>
    <w:rsid w:val="7FB14DC3"/>
    <w:rsid w:val="7FBA14A4"/>
    <w:rsid w:val="7FBB79EF"/>
    <w:rsid w:val="7FC248DA"/>
    <w:rsid w:val="7FD4460D"/>
    <w:rsid w:val="7FDC1E3F"/>
    <w:rsid w:val="7FE9455C"/>
    <w:rsid w:val="7FF805BF"/>
    <w:rsid w:val="7FFA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adjustRightInd w:val="0"/>
      <w:spacing w:line="400" w:lineRule="exact"/>
      <w:jc w:val="left"/>
      <w:textAlignment w:val="baseline"/>
      <w:outlineLvl w:val="0"/>
    </w:pPr>
    <w:rPr>
      <w:rFonts w:eastAsia="黑体"/>
      <w:kern w:val="0"/>
      <w:sz w:val="24"/>
    </w:rPr>
  </w:style>
  <w:style w:type="paragraph" w:styleId="2">
    <w:name w:val="heading 2"/>
    <w:basedOn w:val="1"/>
    <w:next w:val="1"/>
    <w:autoRedefine/>
    <w:semiHidden/>
    <w:unhideWhenUsed/>
    <w:qFormat/>
    <w:uiPriority w:val="9"/>
    <w:pPr>
      <w:spacing w:beforeAutospacing="1" w:afterAutospacing="1"/>
      <w:outlineLvl w:val="1"/>
    </w:pPr>
    <w:rPr>
      <w:rFonts w:hint="eastAsia" w:ascii="宋体" w:hAnsi="宋体"/>
      <w:b/>
      <w:bCs/>
      <w:sz w:val="36"/>
      <w:szCs w:val="36"/>
    </w:rPr>
  </w:style>
  <w:style w:type="paragraph" w:styleId="5">
    <w:name w:val="heading 3"/>
    <w:basedOn w:val="2"/>
    <w:next w:val="1"/>
    <w:qFormat/>
    <w:uiPriority w:val="0"/>
    <w:pPr>
      <w:keepNext/>
      <w:keepLines/>
      <w:tabs>
        <w:tab w:val="left" w:pos="1260"/>
        <w:tab w:val="left" w:pos="1575"/>
      </w:tabs>
      <w:spacing w:line="413" w:lineRule="auto"/>
      <w:outlineLvl w:val="2"/>
    </w:pPr>
    <w:rPr>
      <w:rFonts w:ascii="Calibri" w:hAnsi="Calibri"/>
      <w:sz w:val="32"/>
      <w:szCs w:val="32"/>
    </w:rPr>
  </w:style>
  <w:style w:type="character" w:default="1" w:styleId="33">
    <w:name w:val="Default Paragraph Font"/>
    <w:autoRedefine/>
    <w:semiHidden/>
    <w:qFormat/>
    <w:uiPriority w:val="0"/>
  </w:style>
  <w:style w:type="table" w:default="1" w:styleId="31">
    <w:name w:val="Normal Table"/>
    <w:autoRedefine/>
    <w:semiHidden/>
    <w:qFormat/>
    <w:uiPriority w:val="0"/>
    <w:tblPr>
      <w:tblCellMar>
        <w:top w:w="0" w:type="dxa"/>
        <w:left w:w="108" w:type="dxa"/>
        <w:bottom w:w="0" w:type="dxa"/>
        <w:right w:w="108" w:type="dxa"/>
      </w:tblCellMar>
    </w:tblPr>
  </w:style>
  <w:style w:type="paragraph" w:styleId="4">
    <w:name w:val="No Spacing"/>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widowControl/>
      <w:adjustRightInd w:val="0"/>
      <w:snapToGrid w:val="0"/>
      <w:spacing w:line="480" w:lineRule="exact"/>
      <w:ind w:firstLine="567"/>
    </w:pPr>
    <w:rPr>
      <w:rFonts w:ascii="宋体"/>
      <w:color w:val="000000"/>
      <w:kern w:val="28"/>
      <w:sz w:val="28"/>
      <w:szCs w:val="20"/>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1"/>
    <w:autoRedefine/>
    <w:qFormat/>
    <w:uiPriority w:val="0"/>
    <w:pPr>
      <w:spacing w:after="120"/>
    </w:pPr>
  </w:style>
  <w:style w:type="paragraph" w:styleId="11">
    <w:name w:val="Body Text First Indent"/>
    <w:basedOn w:val="10"/>
    <w:next w:val="1"/>
    <w:autoRedefine/>
    <w:unhideWhenUsed/>
    <w:qFormat/>
    <w:uiPriority w:val="99"/>
    <w:pPr>
      <w:ind w:firstLine="420" w:firstLineChars="100"/>
    </w:pPr>
  </w:style>
  <w:style w:type="paragraph" w:styleId="12">
    <w:name w:val="Body Text Indent"/>
    <w:basedOn w:val="1"/>
    <w:next w:val="13"/>
    <w:autoRedefine/>
    <w:qFormat/>
    <w:uiPriority w:val="0"/>
    <w:pPr>
      <w:ind w:firstLine="560" w:firstLineChars="200"/>
    </w:pPr>
    <w:rPr>
      <w:sz w:val="28"/>
    </w:rPr>
  </w:style>
  <w:style w:type="paragraph" w:styleId="13">
    <w:name w:val="envelope return"/>
    <w:basedOn w:val="1"/>
    <w:qFormat/>
    <w:uiPriority w:val="99"/>
    <w:pPr>
      <w:snapToGrid w:val="0"/>
    </w:pPr>
    <w:rPr>
      <w:rFonts w:ascii="Arial" w:hAnsi="Arial" w:cs="Arial"/>
    </w:rPr>
  </w:style>
  <w:style w:type="paragraph" w:styleId="14">
    <w:name w:val="List 2"/>
    <w:basedOn w:val="1"/>
    <w:autoRedefine/>
    <w:qFormat/>
    <w:uiPriority w:val="0"/>
    <w:pPr>
      <w:ind w:left="100" w:leftChars="200" w:hanging="200" w:hangingChars="200"/>
    </w:pPr>
  </w:style>
  <w:style w:type="paragraph" w:styleId="15">
    <w:name w:val="Plain Text"/>
    <w:basedOn w:val="1"/>
    <w:next w:val="7"/>
    <w:autoRedefine/>
    <w:qFormat/>
    <w:uiPriority w:val="0"/>
    <w:rPr>
      <w:rFonts w:ascii="宋体" w:hAnsi="Courier New"/>
      <w:szCs w:val="20"/>
    </w:rPr>
  </w:style>
  <w:style w:type="paragraph" w:styleId="16">
    <w:name w:val="Date"/>
    <w:basedOn w:val="1"/>
    <w:next w:val="1"/>
    <w:autoRedefine/>
    <w:qFormat/>
    <w:uiPriority w:val="0"/>
    <w:pPr>
      <w:ind w:left="2500" w:leftChars="2500"/>
    </w:pPr>
    <w:rPr>
      <w:rFonts w:eastAsia="楷体_GB2312"/>
      <w:sz w:val="32"/>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next w:val="2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21">
    <w:name w:val="toc 1"/>
    <w:basedOn w:val="1"/>
    <w:next w:val="1"/>
    <w:autoRedefine/>
    <w:qFormat/>
    <w:uiPriority w:val="0"/>
  </w:style>
  <w:style w:type="paragraph" w:styleId="22">
    <w:name w:val="List"/>
    <w:basedOn w:val="1"/>
    <w:autoRedefine/>
    <w:qFormat/>
    <w:uiPriority w:val="0"/>
    <w:pPr>
      <w:ind w:left="200" w:hanging="200"/>
    </w:pPr>
  </w:style>
  <w:style w:type="paragraph" w:styleId="23">
    <w:name w:val="toc 6"/>
    <w:basedOn w:val="1"/>
    <w:next w:val="1"/>
    <w:autoRedefine/>
    <w:unhideWhenUsed/>
    <w:qFormat/>
    <w:uiPriority w:val="39"/>
    <w:pPr>
      <w:widowControl/>
      <w:ind w:left="2100" w:leftChars="1000"/>
      <w:jc w:val="left"/>
    </w:pPr>
    <w:rPr>
      <w:rFonts w:ascii="Calibri" w:hAnsi="Calibri"/>
      <w:kern w:val="0"/>
      <w:lang w:eastAsia="en-US" w:bidi="en-US"/>
    </w:rPr>
  </w:style>
  <w:style w:type="paragraph" w:styleId="24">
    <w:name w:val="Body Text Indent 3"/>
    <w:basedOn w:val="1"/>
    <w:autoRedefine/>
    <w:qFormat/>
    <w:uiPriority w:val="0"/>
    <w:pPr>
      <w:adjustRightInd w:val="0"/>
      <w:spacing w:line="360" w:lineRule="auto"/>
      <w:ind w:left="638" w:leftChars="304"/>
    </w:pPr>
    <w:rPr>
      <w:sz w:val="32"/>
    </w:rPr>
  </w:style>
  <w:style w:type="paragraph" w:styleId="25">
    <w:name w:val="toc 2"/>
    <w:basedOn w:val="1"/>
    <w:next w:val="1"/>
    <w:autoRedefine/>
    <w:qFormat/>
    <w:uiPriority w:val="0"/>
    <w:pPr>
      <w:ind w:left="420" w:leftChars="200"/>
    </w:pPr>
    <w:rPr>
      <w:rFonts w:ascii="Calibri" w:hAnsi="Calibri" w:cs="宋体"/>
    </w:rPr>
  </w:style>
  <w:style w:type="paragraph" w:styleId="26">
    <w:name w:val="Body Text 2"/>
    <w:basedOn w:val="1"/>
    <w:autoRedefine/>
    <w:qFormat/>
    <w:uiPriority w:val="0"/>
    <w:pPr>
      <w:jc w:val="center"/>
    </w:pPr>
    <w:rPr>
      <w:b/>
      <w:sz w:val="72"/>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widowControl/>
      <w:overflowPunct w:val="0"/>
      <w:autoSpaceDE w:val="0"/>
      <w:autoSpaceDN w:val="0"/>
      <w:adjustRightInd w:val="0"/>
      <w:jc w:val="center"/>
      <w:textAlignment w:val="baseline"/>
    </w:pPr>
    <w:rPr>
      <w:rFonts w:ascii="Calibri" w:hAnsi="Calibri" w:cs="Times New Roman"/>
      <w:b/>
      <w:kern w:val="0"/>
      <w:sz w:val="24"/>
      <w:lang w:val="en-GB"/>
    </w:rPr>
  </w:style>
  <w:style w:type="paragraph" w:styleId="29">
    <w:name w:val="Body Text First Indent 2"/>
    <w:basedOn w:val="12"/>
    <w:next w:val="30"/>
    <w:autoRedefine/>
    <w:qFormat/>
    <w:uiPriority w:val="0"/>
    <w:pPr>
      <w:tabs>
        <w:tab w:val="left" w:pos="0"/>
        <w:tab w:val="left" w:pos="567"/>
        <w:tab w:val="left" w:pos="6237"/>
        <w:tab w:val="left" w:pos="7371"/>
        <w:tab w:val="center" w:pos="8505"/>
      </w:tabs>
      <w:spacing w:after="120" w:line="240" w:lineRule="auto"/>
      <w:ind w:left="420" w:leftChars="200" w:firstLine="420" w:firstLineChars="200"/>
      <w:jc w:val="both"/>
    </w:pPr>
    <w:rPr>
      <w:rFonts w:ascii="Times New Roman" w:hAnsi="Times New Roman"/>
      <w:lang w:val="en-US" w:eastAsia="zh-CN"/>
    </w:rPr>
  </w:style>
  <w:style w:type="paragraph" w:customStyle="1" w:styleId="30">
    <w:name w:val="xl53"/>
    <w:next w:val="1"/>
    <w:qFormat/>
    <w:uiPriority w:val="0"/>
    <w:pPr>
      <w:widowControl w:val="0"/>
      <w:spacing w:before="280" w:after="280" w:line="100" w:lineRule="exact"/>
      <w:jc w:val="center"/>
    </w:pPr>
    <w:rPr>
      <w:rFonts w:ascii="Times New Roman" w:hAnsi="Times New Roman" w:eastAsia="宋体" w:cs="Times New Roman"/>
      <w:b/>
      <w:kern w:val="2"/>
      <w:szCs w:val="22"/>
      <w:lang w:val="en-US" w:eastAsia="zh-CN" w:bidi="ar-SA"/>
    </w:rPr>
  </w:style>
  <w:style w:type="table" w:styleId="32">
    <w:name w:val="Table Grid"/>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character" w:customStyle="1" w:styleId="35">
    <w:name w:val="font01"/>
    <w:basedOn w:val="33"/>
    <w:autoRedefine/>
    <w:qFormat/>
    <w:uiPriority w:val="0"/>
    <w:rPr>
      <w:rFonts w:hint="default" w:ascii="Times New Roman" w:hAnsi="Times New Roman" w:cs="Times New Roman"/>
      <w:color w:val="000000"/>
      <w:sz w:val="20"/>
      <w:szCs w:val="20"/>
      <w:u w:val="none"/>
    </w:rPr>
  </w:style>
  <w:style w:type="paragraph" w:customStyle="1" w:styleId="36">
    <w:name w:val="表格文字"/>
    <w:basedOn w:val="1"/>
    <w:next w:val="10"/>
    <w:autoRedefine/>
    <w:qFormat/>
    <w:uiPriority w:val="99"/>
    <w:pPr>
      <w:spacing w:before="25" w:after="25" w:line="300" w:lineRule="auto"/>
    </w:pPr>
    <w:rPr>
      <w:rFonts w:ascii="Times" w:hAnsi="Times" w:cs="Times"/>
      <w:spacing w:val="10"/>
      <w:kern w:val="0"/>
      <w:sz w:val="24"/>
    </w:rPr>
  </w:style>
  <w:style w:type="character" w:customStyle="1" w:styleId="37">
    <w:name w:val="font11"/>
    <w:basedOn w:val="33"/>
    <w:autoRedefine/>
    <w:qFormat/>
    <w:uiPriority w:val="0"/>
    <w:rPr>
      <w:rFonts w:hint="eastAsia" w:ascii="仿宋" w:hAnsi="仿宋" w:eastAsia="仿宋" w:cs="仿宋"/>
      <w:b/>
      <w:bCs/>
      <w:color w:val="000000"/>
      <w:sz w:val="21"/>
      <w:szCs w:val="21"/>
      <w:u w:val="none"/>
    </w:rPr>
  </w:style>
  <w:style w:type="character" w:customStyle="1" w:styleId="38">
    <w:name w:val="font21"/>
    <w:basedOn w:val="33"/>
    <w:autoRedefine/>
    <w:qFormat/>
    <w:uiPriority w:val="0"/>
    <w:rPr>
      <w:rFonts w:hint="eastAsia" w:ascii="仿宋" w:hAnsi="仿宋" w:eastAsia="仿宋" w:cs="仿宋"/>
      <w:color w:val="000000"/>
      <w:sz w:val="21"/>
      <w:szCs w:val="21"/>
      <w:u w:val="none"/>
    </w:rPr>
  </w:style>
  <w:style w:type="character" w:customStyle="1" w:styleId="39">
    <w:name w:val="font41"/>
    <w:basedOn w:val="33"/>
    <w:autoRedefine/>
    <w:qFormat/>
    <w:uiPriority w:val="0"/>
    <w:rPr>
      <w:rFonts w:hint="eastAsia" w:ascii="仿宋" w:hAnsi="仿宋" w:eastAsia="仿宋" w:cs="仿宋"/>
      <w:strike/>
      <w:color w:val="000000"/>
      <w:sz w:val="21"/>
      <w:szCs w:val="21"/>
    </w:rPr>
  </w:style>
  <w:style w:type="character" w:customStyle="1" w:styleId="40">
    <w:name w:val="font31"/>
    <w:basedOn w:val="33"/>
    <w:autoRedefine/>
    <w:qFormat/>
    <w:uiPriority w:val="0"/>
    <w:rPr>
      <w:rFonts w:hint="eastAsia" w:ascii="仿宋" w:hAnsi="仿宋" w:eastAsia="仿宋" w:cs="仿宋"/>
      <w:color w:val="000000"/>
      <w:sz w:val="21"/>
      <w:szCs w:val="21"/>
      <w:u w:val="none"/>
    </w:rPr>
  </w:style>
  <w:style w:type="paragraph" w:customStyle="1" w:styleId="41">
    <w:name w:val="纯文本1"/>
    <w:basedOn w:val="1"/>
    <w:autoRedefine/>
    <w:qFormat/>
    <w:uiPriority w:val="0"/>
    <w:pPr>
      <w:adjustRightInd w:val="0"/>
      <w:textAlignment w:val="baseline"/>
    </w:pPr>
    <w:rPr>
      <w:rFonts w:ascii="宋体" w:hAnsi="Courier New" w:eastAsia="楷体_GB2312"/>
      <w:sz w:val="26"/>
    </w:rPr>
  </w:style>
  <w:style w:type="paragraph" w:customStyle="1" w:styleId="42">
    <w:name w:val="自动更正"/>
    <w:autoRedefine/>
    <w:qFormat/>
    <w:uiPriority w:val="99"/>
    <w:pPr>
      <w:widowControl w:val="0"/>
      <w:jc w:val="both"/>
    </w:pPr>
    <w:rPr>
      <w:rFonts w:ascii="黑体" w:hAnsi="黑体" w:eastAsia="微软雅黑" w:cs="黑体"/>
      <w:kern w:val="2"/>
      <w:sz w:val="21"/>
      <w:szCs w:val="21"/>
      <w:lang w:val="en-US" w:eastAsia="zh-CN" w:bidi="ar-SA"/>
    </w:rPr>
  </w:style>
  <w:style w:type="paragraph" w:customStyle="1" w:styleId="43">
    <w:name w:val="B"/>
    <w:basedOn w:val="1"/>
    <w:next w:val="44"/>
    <w:autoRedefine/>
    <w:qFormat/>
    <w:uiPriority w:val="0"/>
    <w:pPr>
      <w:tabs>
        <w:tab w:val="left" w:pos="1440"/>
      </w:tabs>
      <w:spacing w:line="360" w:lineRule="auto"/>
      <w:ind w:left="1440" w:hanging="720"/>
      <w:jc w:val="left"/>
      <w:outlineLvl w:val="1"/>
    </w:pPr>
    <w:rPr>
      <w:rFonts w:ascii="Calibri" w:hAnsi="Calibri" w:eastAsia="黑体" w:cs="Times New Roman"/>
      <w:sz w:val="28"/>
      <w:szCs w:val="20"/>
    </w:rPr>
  </w:style>
  <w:style w:type="paragraph" w:customStyle="1" w:styleId="44">
    <w:name w:val="D"/>
    <w:basedOn w:val="1"/>
    <w:autoRedefine/>
    <w:qFormat/>
    <w:uiPriority w:val="0"/>
    <w:pPr>
      <w:tabs>
        <w:tab w:val="left" w:pos="2160"/>
      </w:tabs>
      <w:spacing w:line="360" w:lineRule="auto"/>
      <w:ind w:left="2160" w:hanging="720"/>
      <w:jc w:val="left"/>
      <w:outlineLvl w:val="3"/>
    </w:pPr>
    <w:rPr>
      <w:rFonts w:ascii="Calibri" w:hAnsi="Calibri" w:eastAsia="宋体" w:cs="Times New Roman"/>
      <w:b/>
      <w:sz w:val="28"/>
      <w:szCs w:val="20"/>
    </w:rPr>
  </w:style>
  <w:style w:type="paragraph" w:customStyle="1" w:styleId="45">
    <w:name w:val="*正文"/>
    <w:basedOn w:val="1"/>
    <w:autoRedefine/>
    <w:qFormat/>
    <w:uiPriority w:val="0"/>
    <w:pPr>
      <w:spacing w:line="560" w:lineRule="exact"/>
      <w:ind w:firstLine="200" w:firstLineChars="200"/>
    </w:pPr>
    <w:rPr>
      <w:rFonts w:ascii="宋体" w:hAnsi="宋体"/>
      <w:sz w:val="28"/>
    </w:rPr>
  </w:style>
  <w:style w:type="paragraph" w:customStyle="1" w:styleId="46">
    <w:name w:val="2级标题"/>
    <w:basedOn w:val="1"/>
    <w:next w:val="1"/>
    <w:autoRedefine/>
    <w:qFormat/>
    <w:uiPriority w:val="0"/>
    <w:pPr>
      <w:numPr>
        <w:ilvl w:val="1"/>
        <w:numId w:val="2"/>
      </w:numPr>
      <w:spacing w:line="360" w:lineRule="auto"/>
      <w:outlineLvl w:val="1"/>
    </w:pPr>
    <w:rPr>
      <w:rFonts w:ascii="宋体" w:hAnsi="宋体"/>
      <w:b/>
      <w:sz w:val="24"/>
      <w:szCs w:val="28"/>
    </w:rPr>
  </w:style>
  <w:style w:type="character" w:customStyle="1" w:styleId="47">
    <w:name w:val="font91"/>
    <w:basedOn w:val="33"/>
    <w:autoRedefine/>
    <w:qFormat/>
    <w:uiPriority w:val="0"/>
    <w:rPr>
      <w:rFonts w:ascii="Calibri" w:hAnsi="Calibri" w:cs="Calibri"/>
      <w:color w:val="000000"/>
      <w:sz w:val="18"/>
      <w:szCs w:val="18"/>
      <w:u w:val="none"/>
    </w:rPr>
  </w:style>
  <w:style w:type="character" w:customStyle="1" w:styleId="48">
    <w:name w:val="font101"/>
    <w:basedOn w:val="33"/>
    <w:autoRedefine/>
    <w:qFormat/>
    <w:uiPriority w:val="0"/>
    <w:rPr>
      <w:rFonts w:hint="eastAsia" w:ascii="宋体" w:hAnsi="宋体" w:eastAsia="宋体" w:cs="宋体"/>
      <w:color w:val="000000"/>
      <w:sz w:val="18"/>
      <w:szCs w:val="18"/>
      <w:u w:val="none"/>
    </w:rPr>
  </w:style>
  <w:style w:type="character" w:customStyle="1" w:styleId="49">
    <w:name w:val="font51"/>
    <w:basedOn w:val="33"/>
    <w:autoRedefine/>
    <w:qFormat/>
    <w:uiPriority w:val="0"/>
    <w:rPr>
      <w:rFonts w:hint="eastAsia" w:ascii="宋体" w:hAnsi="宋体" w:eastAsia="宋体" w:cs="宋体"/>
      <w:color w:val="FF0000"/>
      <w:sz w:val="18"/>
      <w:szCs w:val="18"/>
      <w:u w:val="none"/>
    </w:rPr>
  </w:style>
  <w:style w:type="paragraph" w:customStyle="1" w:styleId="50">
    <w:name w:val="Default"/>
    <w:next w:val="5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2">
    <w:name w:val="List Paragraph"/>
    <w:basedOn w:val="1"/>
    <w:autoRedefine/>
    <w:qFormat/>
    <w:uiPriority w:val="34"/>
    <w:pPr>
      <w:ind w:firstLine="420" w:firstLineChars="200"/>
    </w:pPr>
  </w:style>
  <w:style w:type="paragraph" w:customStyle="1" w:styleId="53">
    <w:name w:val="纯文本_0_0"/>
    <w:basedOn w:val="54"/>
    <w:autoRedefine/>
    <w:qFormat/>
    <w:uiPriority w:val="0"/>
    <w:rPr>
      <w:rFonts w:ascii="宋体" w:hAnsi="Courier New"/>
      <w:szCs w:val="21"/>
    </w:rPr>
  </w:style>
  <w:style w:type="paragraph" w:customStyle="1" w:styleId="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3829</Words>
  <Characters>4063</Characters>
  <Lines>0</Lines>
  <Paragraphs>0</Paragraphs>
  <TotalTime>80</TotalTime>
  <ScaleCrop>false</ScaleCrop>
  <LinksUpToDate>false</LinksUpToDate>
  <CharactersWithSpaces>4115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2023-07-13T06:40:00Z</dcterms:created>
  <dc:creator>Administrator</dc:creator>
  <cp:lastModifiedBy>嵊泗黄健</cp:lastModifiedBy>
  <dcterms:modified xsi:type="dcterms:W3CDTF">2025-03-06T07:04:52Z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87BF4275A14844188FB28A1EE5DC7000_13</vt:lpwstr>
  </property>
  <property fmtid="{D5CDD505-2E9C-101B-9397-08002B2CF9AE}" pid="4" name="KSOTemplateDocerSaveRecord">
    <vt:lpwstr>eyJoZGlkIjoiZmYyNTAwMjk2ZGY3NDI1ZDY4ZDJkMmUxY2YyMjcwMTQiLCJ1c2VySWQiOiI0MzQ2MzU4NzAifQ==</vt:lpwstr>
  </property>
</Properties>
</file>