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B6D43">
      <w:pPr>
        <w:jc w:val="center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/>
          <w:sz w:val="30"/>
          <w:szCs w:val="30"/>
          <w:lang w:eastAsia="zh-CN"/>
        </w:rPr>
        <w:t>家具</w:t>
      </w:r>
      <w:r>
        <w:rPr>
          <w:rFonts w:hint="eastAsia" w:ascii="宋体" w:hAnsi="宋体"/>
          <w:sz w:val="30"/>
          <w:szCs w:val="30"/>
        </w:rPr>
        <w:t>采购</w:t>
      </w:r>
      <w:r>
        <w:rPr>
          <w:rFonts w:hint="eastAsia" w:ascii="宋体" w:hAnsi="宋体"/>
          <w:sz w:val="30"/>
          <w:szCs w:val="30"/>
          <w:lang w:eastAsia="zh-CN"/>
        </w:rPr>
        <w:t>清单更正内容</w:t>
      </w:r>
    </w:p>
    <w:p w14:paraId="27B93B1A">
      <w:pPr>
        <w:numPr>
          <w:ilvl w:val="0"/>
          <w:numId w:val="1"/>
        </w:numPr>
        <w:jc w:val="both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具体更正内容</w:t>
      </w:r>
    </w:p>
    <w:p w14:paraId="58DAC55F">
      <w:pPr>
        <w:widowControl w:val="0"/>
        <w:numPr>
          <w:ilvl w:val="0"/>
          <w:numId w:val="0"/>
        </w:num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更正前：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85"/>
        <w:gridCol w:w="1400"/>
        <w:gridCol w:w="3824"/>
        <w:gridCol w:w="1296"/>
        <w:gridCol w:w="444"/>
        <w:gridCol w:w="444"/>
      </w:tblGrid>
      <w:tr w14:paraId="543C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63" w:type="dxa"/>
          </w:tcPr>
          <w:p w14:paraId="704EAC4E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85" w:type="dxa"/>
          </w:tcPr>
          <w:p w14:paraId="518B1143">
            <w:pPr>
              <w:pStyle w:val="3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沙发</w:t>
            </w:r>
          </w:p>
        </w:tc>
        <w:tc>
          <w:tcPr>
            <w:tcW w:w="1400" w:type="dxa"/>
          </w:tcPr>
          <w:p w14:paraId="7AA806DF">
            <w:pPr>
              <w:pStyle w:val="3"/>
            </w:pPr>
            <w:r>
              <w:drawing>
                <wp:inline distT="0" distB="0" distL="114300" distR="114300">
                  <wp:extent cx="1133475" cy="532130"/>
                  <wp:effectExtent l="0" t="0" r="9525" b="1270"/>
                  <wp:docPr id="96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</w:tcPr>
          <w:p w14:paraId="7A440DDD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定型海绵+实心线切割脚+超迁皮饰面，海绵：依据GB/T 10802-2006《通用软质聚醚型聚氨酷泡沫塑料》、QB/T 2280-2016《办公家具办公椅》标准，其中：</w:t>
            </w:r>
          </w:p>
          <w:p w14:paraId="57F1A845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（1）.25%压陷硬度为≥130N；</w:t>
            </w:r>
          </w:p>
          <w:p w14:paraId="1A4EE753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（2）.65%/25%压陷比为≥2.5；75%压缩永久变形≤5.0；</w:t>
            </w:r>
          </w:p>
          <w:p w14:paraId="0A31BE2F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（3）.拉伸强度为≥130kPa；</w:t>
            </w:r>
          </w:p>
          <w:p w14:paraId="4E267A0F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（4）.拉伸率≥137%；</w:t>
            </w:r>
          </w:p>
          <w:p w14:paraId="0A94D5C5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（5）.撕裂强度≥2.7N/cm；</w:t>
            </w:r>
          </w:p>
          <w:p w14:paraId="37660CE4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（6）.泡沫塑料要求：表观密度座面≥35kg/m3 其他:/，回弹性能≥40%；</w:t>
            </w:r>
          </w:p>
          <w:p w14:paraId="04AF519A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（7）.甲醛释放量≤0.05mg/㎡h；</w:t>
            </w:r>
          </w:p>
        </w:tc>
        <w:tc>
          <w:tcPr>
            <w:tcW w:w="1296" w:type="dxa"/>
          </w:tcPr>
          <w:p w14:paraId="3896073A">
            <w:pPr>
              <w:pStyle w:val="3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</w:t>
            </w:r>
          </w:p>
        </w:tc>
        <w:tc>
          <w:tcPr>
            <w:tcW w:w="444" w:type="dxa"/>
          </w:tcPr>
          <w:p w14:paraId="67E4D302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4" w:type="dxa"/>
          </w:tcPr>
          <w:p w14:paraId="243EFC65">
            <w:pPr>
              <w:pStyle w:val="3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</w:tbl>
    <w:p w14:paraId="644BBEE2"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354E39BD"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更正后：</w:t>
      </w:r>
    </w:p>
    <w:tbl>
      <w:tblPr>
        <w:tblStyle w:val="6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85"/>
        <w:gridCol w:w="1400"/>
        <w:gridCol w:w="3824"/>
        <w:gridCol w:w="1296"/>
        <w:gridCol w:w="444"/>
        <w:gridCol w:w="444"/>
      </w:tblGrid>
      <w:tr w14:paraId="66E5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63" w:type="dxa"/>
          </w:tcPr>
          <w:p w14:paraId="183D97C1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85" w:type="dxa"/>
          </w:tcPr>
          <w:p w14:paraId="16F6FD19">
            <w:pPr>
              <w:pStyle w:val="3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6人位</w:t>
            </w:r>
            <w:r>
              <w:rPr>
                <w:rFonts w:hint="eastAsia"/>
                <w:vertAlign w:val="baseline"/>
                <w:lang w:eastAsia="zh-CN"/>
              </w:rPr>
              <w:t>沙发</w:t>
            </w:r>
          </w:p>
        </w:tc>
        <w:tc>
          <w:tcPr>
            <w:tcW w:w="1400" w:type="dxa"/>
          </w:tcPr>
          <w:p w14:paraId="33CD0E13">
            <w:pPr>
              <w:pStyle w:val="3"/>
            </w:pPr>
            <w:r>
              <w:drawing>
                <wp:inline distT="0" distB="0" distL="114300" distR="114300">
                  <wp:extent cx="1133475" cy="532130"/>
                  <wp:effectExtent l="0" t="0" r="9525" b="1270"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</w:tcPr>
          <w:p w14:paraId="61034591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定型海绵+实心线切割脚+超迁皮饰面，海绵：依据GB/T 10802-2006《通用软质聚醚型聚氨酷泡沫塑料》、QB/T 2280-2016《办公家具办公椅》标准，其中：</w:t>
            </w:r>
          </w:p>
          <w:p w14:paraId="6A0D5B5F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（1）.25%压陷硬度为≥130N；</w:t>
            </w:r>
          </w:p>
          <w:p w14:paraId="190930FC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（2）.65%/25%压陷比为≥2.5；75%压缩永久变形≤5.0；</w:t>
            </w:r>
          </w:p>
          <w:p w14:paraId="26D1718A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（3）.拉伸强度为≥130kPa；</w:t>
            </w:r>
          </w:p>
          <w:p w14:paraId="5196D6C4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（4）.拉伸率≥137%；</w:t>
            </w:r>
          </w:p>
          <w:p w14:paraId="40C9A9E3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（5）.撕裂强度≥2.7N/cm；</w:t>
            </w:r>
          </w:p>
          <w:p w14:paraId="643F0A46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（6）.泡沫塑料要求：表观密度座面≥35kg/m3 其他:/，回弹性能≥40%；</w:t>
            </w:r>
          </w:p>
          <w:p w14:paraId="6B1A361B">
            <w:pPr>
              <w:pStyle w:val="3"/>
              <w:spacing w:line="24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（7）.甲醛释放量≤0.05mg/㎡h；</w:t>
            </w:r>
          </w:p>
        </w:tc>
        <w:tc>
          <w:tcPr>
            <w:tcW w:w="1296" w:type="dxa"/>
          </w:tcPr>
          <w:p w14:paraId="102FBC20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定制(2800*1900*780)</w:t>
            </w:r>
          </w:p>
        </w:tc>
        <w:tc>
          <w:tcPr>
            <w:tcW w:w="444" w:type="dxa"/>
          </w:tcPr>
          <w:p w14:paraId="77DAB638"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4" w:type="dxa"/>
          </w:tcPr>
          <w:p w14:paraId="0E13DC15">
            <w:pPr>
              <w:pStyle w:val="3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把</w:t>
            </w:r>
          </w:p>
        </w:tc>
      </w:tr>
    </w:tbl>
    <w:p w14:paraId="11825931">
      <w:pPr>
        <w:jc w:val="left"/>
        <w:rPr>
          <w:rFonts w:hint="default" w:ascii="宋体" w:hAnsi="宋体"/>
          <w:sz w:val="30"/>
          <w:szCs w:val="30"/>
          <w:lang w:val="en-US" w:eastAsia="zh-CN"/>
        </w:rPr>
      </w:pPr>
    </w:p>
    <w:p w14:paraId="525E4107">
      <w:pPr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二、其余内容不变。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53E44"/>
    <w:multiLevelType w:val="singleLevel"/>
    <w:tmpl w:val="39653E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ThkNzI4N2M0MDVhNmUwMDg1NTFlNTExNzhiMGUifQ=="/>
  </w:docVars>
  <w:rsids>
    <w:rsidRoot w:val="00000000"/>
    <w:rsid w:val="12E97883"/>
    <w:rsid w:val="1DD83906"/>
    <w:rsid w:val="5AAF4552"/>
    <w:rsid w:val="5CAD72C2"/>
    <w:rsid w:val="7C5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sz w:val="20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21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547</Characters>
  <Lines>0</Lines>
  <Paragraphs>0</Paragraphs>
  <TotalTime>9</TotalTime>
  <ScaleCrop>false</ScaleCrop>
  <LinksUpToDate>false</LinksUpToDate>
  <CharactersWithSpaces>553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2024-11-22T01:17:00Z</dcterms:created>
  <dc:creator>Administrator</dc:creator>
  <cp:lastModifiedBy>姚欢</cp:lastModifiedBy>
  <dcterms:modified xsi:type="dcterms:W3CDTF">2024-11-22T02:05:57Z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BABD50F6CB5140D6B97816220F3C8EE6_12</vt:lpwstr>
  </property>
</Properties>
</file>