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CE52E">
      <w:pPr>
        <w:snapToGrid w:val="0"/>
        <w:spacing w:before="120" w:line="360" w:lineRule="auto"/>
        <w:jc w:val="center"/>
        <w:rPr>
          <w:rFonts w:hint="eastAsia" w:cs="仿宋" w:asciiTheme="minorEastAsia" w:hAnsiTheme="minorEastAsia" w:eastAsiaTheme="minorEastAsia"/>
          <w:b/>
          <w:color w:val="auto"/>
          <w:sz w:val="40"/>
          <w:szCs w:val="44"/>
          <w:highlight w:val="none"/>
        </w:rPr>
      </w:pPr>
      <w:r>
        <w:rPr>
          <w:rFonts w:hint="eastAsia" w:cs="仿宋" w:asciiTheme="minorEastAsia" w:hAnsiTheme="minorEastAsia" w:eastAsiaTheme="minorEastAsia"/>
          <w:b/>
          <w:color w:val="auto"/>
          <w:sz w:val="40"/>
          <w:szCs w:val="44"/>
          <w:highlight w:val="none"/>
        </w:rPr>
        <w:t>浙江衢州公信工程管理有限公司关于东阳市水务投资集团有限公司供水收费权资产证券化发行中介服务机构采购项目</w:t>
      </w:r>
    </w:p>
    <w:p w14:paraId="14AB9103">
      <w:pPr>
        <w:snapToGrid w:val="0"/>
        <w:spacing w:before="120"/>
        <w:jc w:val="center"/>
        <w:rPr>
          <w:rFonts w:hint="eastAsia" w:cs="仿宋" w:asciiTheme="minorEastAsia" w:hAnsiTheme="minorEastAsia" w:eastAsiaTheme="minorEastAsia"/>
          <w:b/>
          <w:color w:val="auto"/>
          <w:sz w:val="48"/>
          <w:highlight w:val="none"/>
        </w:rPr>
      </w:pPr>
    </w:p>
    <w:p w14:paraId="4C081753">
      <w:pPr>
        <w:snapToGrid w:val="0"/>
        <w:spacing w:before="120"/>
        <w:rPr>
          <w:rFonts w:hint="eastAsia" w:cs="仿宋" w:asciiTheme="minorEastAsia" w:hAnsiTheme="minorEastAsia" w:eastAsiaTheme="minorEastAsia"/>
          <w:b/>
          <w:bCs/>
          <w:color w:val="auto"/>
          <w:sz w:val="72"/>
          <w:highlight w:val="none"/>
        </w:rPr>
      </w:pPr>
    </w:p>
    <w:p w14:paraId="73639BB8">
      <w:pPr>
        <w:snapToGrid w:val="0"/>
        <w:spacing w:before="120"/>
        <w:jc w:val="center"/>
        <w:rPr>
          <w:rFonts w:hint="eastAsia" w:cs="仿宋" w:asciiTheme="minorEastAsia" w:hAnsiTheme="minorEastAsia" w:eastAsiaTheme="minorEastAsia"/>
          <w:b/>
          <w:bCs/>
          <w:color w:val="auto"/>
          <w:sz w:val="72"/>
          <w:highlight w:val="none"/>
        </w:rPr>
      </w:pPr>
    </w:p>
    <w:p w14:paraId="48640CE0">
      <w:pPr>
        <w:snapToGrid w:val="0"/>
        <w:spacing w:before="120"/>
        <w:jc w:val="center"/>
        <w:rPr>
          <w:rFonts w:hint="eastAsia" w:cs="仿宋" w:asciiTheme="minorEastAsia" w:hAnsiTheme="minorEastAsia" w:eastAsiaTheme="minorEastAsia"/>
          <w:b/>
          <w:bCs/>
          <w:color w:val="auto"/>
          <w:sz w:val="48"/>
          <w:szCs w:val="52"/>
          <w:highlight w:val="none"/>
        </w:rPr>
      </w:pPr>
      <w:r>
        <w:rPr>
          <w:rFonts w:hint="eastAsia" w:cs="仿宋" w:asciiTheme="minorEastAsia" w:hAnsiTheme="minorEastAsia" w:eastAsiaTheme="minorEastAsia"/>
          <w:b/>
          <w:bCs/>
          <w:color w:val="auto"/>
          <w:sz w:val="48"/>
          <w:szCs w:val="52"/>
          <w:highlight w:val="none"/>
        </w:rPr>
        <w:t>公开招标采购文件</w:t>
      </w:r>
    </w:p>
    <w:p w14:paraId="671A1932">
      <w:pPr>
        <w:pStyle w:val="5"/>
        <w:ind w:left="0"/>
        <w:rPr>
          <w:rFonts w:hint="eastAsia" w:cs="仿宋" w:asciiTheme="minorEastAsia" w:hAnsiTheme="minorEastAsia" w:eastAsiaTheme="minorEastAsia"/>
          <w:color w:val="auto"/>
          <w:highlight w:val="none"/>
        </w:rPr>
      </w:pPr>
    </w:p>
    <w:p w14:paraId="2367423E">
      <w:pPr>
        <w:tabs>
          <w:tab w:val="left" w:pos="2175"/>
        </w:tabs>
        <w:snapToGrid w:val="0"/>
        <w:spacing w:before="120" w:after="120" w:line="360" w:lineRule="auto"/>
        <w:ind w:firstLine="904"/>
        <w:rPr>
          <w:rFonts w:hint="eastAsia" w:cs="仿宋" w:asciiTheme="minorEastAsia" w:hAnsiTheme="minorEastAsia" w:eastAsiaTheme="minorEastAsia"/>
          <w:b/>
          <w:color w:val="auto"/>
          <w:sz w:val="30"/>
          <w:highlight w:val="none"/>
        </w:rPr>
      </w:pPr>
    </w:p>
    <w:p w14:paraId="16B45D8F">
      <w:pPr>
        <w:pStyle w:val="2"/>
        <w:ind w:firstLine="344"/>
        <w:rPr>
          <w:rFonts w:hint="eastAsia" w:asciiTheme="minorEastAsia" w:hAnsiTheme="minorEastAsia" w:eastAsiaTheme="minorEastAsia"/>
          <w:color w:val="auto"/>
          <w:highlight w:val="none"/>
        </w:rPr>
      </w:pPr>
    </w:p>
    <w:p w14:paraId="1BCA4CB2">
      <w:pPr>
        <w:tabs>
          <w:tab w:val="left" w:pos="2175"/>
        </w:tabs>
        <w:snapToGrid w:val="0"/>
        <w:spacing w:before="120" w:after="120" w:line="360" w:lineRule="auto"/>
        <w:ind w:firstLine="904"/>
        <w:rPr>
          <w:rFonts w:hint="eastAsia" w:cs="仿宋" w:asciiTheme="minorEastAsia" w:hAnsiTheme="minorEastAsia" w:eastAsiaTheme="minorEastAsia"/>
          <w:b/>
          <w:color w:val="auto"/>
          <w:sz w:val="30"/>
          <w:highlight w:val="none"/>
        </w:rPr>
      </w:pPr>
    </w:p>
    <w:p w14:paraId="21BF498C">
      <w:pPr>
        <w:tabs>
          <w:tab w:val="left" w:pos="2175"/>
        </w:tabs>
        <w:snapToGrid w:val="0"/>
        <w:spacing w:before="120" w:after="120" w:line="360" w:lineRule="auto"/>
        <w:ind w:firstLine="904"/>
        <w:rPr>
          <w:rFonts w:hint="eastAsia" w:cs="仿宋" w:asciiTheme="minorEastAsia" w:hAnsiTheme="minorEastAsia" w:eastAsiaTheme="minorEastAsia"/>
          <w:b/>
          <w:color w:val="auto"/>
          <w:sz w:val="30"/>
          <w:highlight w:val="none"/>
        </w:rPr>
      </w:pPr>
      <w:r>
        <w:rPr>
          <w:rFonts w:hint="eastAsia" w:cs="仿宋" w:asciiTheme="minorEastAsia" w:hAnsiTheme="minorEastAsia" w:eastAsiaTheme="minorEastAsia"/>
          <w:b/>
          <w:color w:val="auto"/>
          <w:sz w:val="30"/>
          <w:highlight w:val="none"/>
        </w:rPr>
        <w:t>项目编号：ZJQZGX2024-019</w:t>
      </w:r>
    </w:p>
    <w:p w14:paraId="004F0378">
      <w:pPr>
        <w:tabs>
          <w:tab w:val="left" w:pos="2175"/>
        </w:tabs>
        <w:snapToGrid w:val="0"/>
        <w:spacing w:before="120" w:after="120" w:line="360" w:lineRule="auto"/>
        <w:ind w:left="2406" w:leftChars="450" w:hanging="1506" w:hangingChars="500"/>
        <w:rPr>
          <w:rFonts w:hint="eastAsia" w:cs="仿宋" w:asciiTheme="minorEastAsia" w:hAnsiTheme="minorEastAsia" w:eastAsiaTheme="minorEastAsia"/>
          <w:b/>
          <w:color w:val="auto"/>
          <w:sz w:val="30"/>
          <w:highlight w:val="none"/>
        </w:rPr>
      </w:pPr>
      <w:r>
        <w:rPr>
          <w:rFonts w:hint="eastAsia" w:cs="仿宋" w:asciiTheme="minorEastAsia" w:hAnsiTheme="minorEastAsia" w:eastAsiaTheme="minorEastAsia"/>
          <w:b/>
          <w:color w:val="auto"/>
          <w:sz w:val="30"/>
          <w:highlight w:val="none"/>
        </w:rPr>
        <w:t>项目名称：东阳市水务投资集团有限公司供水收费权资产证券化发行中介服务机构采购项目</w:t>
      </w:r>
    </w:p>
    <w:p w14:paraId="3A7A2D36">
      <w:pPr>
        <w:tabs>
          <w:tab w:val="left" w:pos="2175"/>
        </w:tabs>
        <w:snapToGrid w:val="0"/>
        <w:spacing w:before="120" w:after="120" w:line="360" w:lineRule="auto"/>
        <w:ind w:firstLine="904"/>
        <w:rPr>
          <w:rFonts w:hint="eastAsia" w:cs="仿宋" w:asciiTheme="minorEastAsia" w:hAnsiTheme="minorEastAsia" w:eastAsiaTheme="minorEastAsia"/>
          <w:b/>
          <w:color w:val="auto"/>
          <w:sz w:val="30"/>
          <w:highlight w:val="none"/>
        </w:rPr>
      </w:pPr>
      <w:r>
        <w:rPr>
          <w:rFonts w:hint="eastAsia" w:cs="仿宋" w:asciiTheme="minorEastAsia" w:hAnsiTheme="minorEastAsia" w:eastAsiaTheme="minorEastAsia"/>
          <w:b/>
          <w:color w:val="auto"/>
          <w:sz w:val="30"/>
          <w:highlight w:val="none"/>
        </w:rPr>
        <w:t>采购单位：东阳市水务投资集团有限公司</w:t>
      </w:r>
    </w:p>
    <w:p w14:paraId="7FDB94DE">
      <w:pPr>
        <w:tabs>
          <w:tab w:val="left" w:pos="2175"/>
        </w:tabs>
        <w:snapToGrid w:val="0"/>
        <w:spacing w:before="120" w:after="120" w:line="360" w:lineRule="auto"/>
        <w:ind w:firstLine="904"/>
        <w:rPr>
          <w:rFonts w:hint="eastAsia" w:cs="仿宋" w:asciiTheme="minorEastAsia" w:hAnsiTheme="minorEastAsia" w:eastAsiaTheme="minorEastAsia"/>
          <w:b/>
          <w:color w:val="auto"/>
          <w:sz w:val="30"/>
          <w:szCs w:val="22"/>
          <w:highlight w:val="none"/>
        </w:rPr>
      </w:pPr>
      <w:r>
        <w:rPr>
          <w:rFonts w:hint="eastAsia" w:cs="仿宋" w:asciiTheme="minorEastAsia" w:hAnsiTheme="minorEastAsia" w:eastAsiaTheme="minorEastAsia"/>
          <w:b/>
          <w:color w:val="auto"/>
          <w:sz w:val="30"/>
          <w:szCs w:val="22"/>
          <w:highlight w:val="none"/>
        </w:rPr>
        <w:t>代理机构：浙江衢州公信工程管理有限公司</w:t>
      </w:r>
    </w:p>
    <w:p w14:paraId="38428D9C">
      <w:pPr>
        <w:tabs>
          <w:tab w:val="left" w:pos="2175"/>
        </w:tabs>
        <w:snapToGrid w:val="0"/>
        <w:spacing w:before="120" w:after="120" w:line="360" w:lineRule="auto"/>
        <w:ind w:firstLine="904"/>
        <w:rPr>
          <w:rFonts w:hint="eastAsia" w:cs="仿宋" w:asciiTheme="minorEastAsia" w:hAnsiTheme="minorEastAsia" w:eastAsiaTheme="minorEastAsia"/>
          <w:b/>
          <w:color w:val="auto"/>
          <w:sz w:val="30"/>
          <w:highlight w:val="none"/>
        </w:rPr>
      </w:pPr>
      <w:r>
        <w:rPr>
          <w:rFonts w:hint="eastAsia" w:cs="仿宋" w:asciiTheme="minorEastAsia" w:hAnsiTheme="minorEastAsia" w:eastAsiaTheme="minorEastAsia"/>
          <w:b/>
          <w:color w:val="auto"/>
          <w:sz w:val="30"/>
          <w:szCs w:val="22"/>
          <w:highlight w:val="none"/>
        </w:rPr>
        <w:t>监督部门：东阳市人民政府国有资产监督管理</w:t>
      </w:r>
      <w:r>
        <w:rPr>
          <w:rFonts w:hint="eastAsia" w:cs="仿宋" w:asciiTheme="minorEastAsia" w:hAnsiTheme="minorEastAsia" w:eastAsiaTheme="minorEastAsia"/>
          <w:b/>
          <w:color w:val="auto"/>
          <w:sz w:val="30"/>
          <w:highlight w:val="none"/>
        </w:rPr>
        <w:t>办公室</w:t>
      </w:r>
    </w:p>
    <w:p w14:paraId="1ADEE659">
      <w:pPr>
        <w:tabs>
          <w:tab w:val="left" w:pos="2175"/>
        </w:tabs>
        <w:snapToGrid w:val="0"/>
        <w:spacing w:before="120" w:after="120" w:line="360" w:lineRule="auto"/>
        <w:ind w:firstLine="3313" w:firstLineChars="1100"/>
        <w:jc w:val="left"/>
        <w:rPr>
          <w:rFonts w:hint="eastAsia" w:cs="仿宋" w:asciiTheme="minorEastAsia" w:hAnsiTheme="minorEastAsia" w:eastAsiaTheme="minorEastAsia"/>
          <w:b/>
          <w:color w:val="auto"/>
          <w:sz w:val="30"/>
          <w:highlight w:val="none"/>
        </w:rPr>
      </w:pPr>
      <w:r>
        <w:rPr>
          <w:rFonts w:hint="eastAsia" w:cs="仿宋" w:asciiTheme="minorEastAsia" w:hAnsiTheme="minorEastAsia" w:eastAsiaTheme="minorEastAsia"/>
          <w:b/>
          <w:color w:val="auto"/>
          <w:sz w:val="30"/>
          <w:highlight w:val="none"/>
        </w:rPr>
        <w:t>二○二四年</w:t>
      </w:r>
      <w:r>
        <w:rPr>
          <w:rFonts w:hint="eastAsia" w:cs="仿宋" w:asciiTheme="minorEastAsia" w:hAnsiTheme="minorEastAsia" w:eastAsiaTheme="minorEastAsia"/>
          <w:b/>
          <w:color w:val="auto"/>
          <w:sz w:val="30"/>
          <w:highlight w:val="none"/>
          <w:lang w:val="en-US" w:eastAsia="zh-CN"/>
        </w:rPr>
        <w:t>十</w:t>
      </w:r>
      <w:r>
        <w:rPr>
          <w:rFonts w:hint="eastAsia" w:cs="仿宋" w:asciiTheme="minorEastAsia" w:hAnsiTheme="minorEastAsia" w:eastAsiaTheme="minorEastAsia"/>
          <w:b/>
          <w:color w:val="auto"/>
          <w:sz w:val="30"/>
          <w:highlight w:val="none"/>
        </w:rPr>
        <w:t>月</w:t>
      </w:r>
    </w:p>
    <w:p w14:paraId="281403BC">
      <w:pPr>
        <w:pStyle w:val="2"/>
        <w:ind w:firstLine="344"/>
        <w:rPr>
          <w:rFonts w:hint="eastAsia" w:asciiTheme="minorEastAsia" w:hAnsiTheme="minorEastAsia" w:eastAsiaTheme="minorEastAsia"/>
          <w:color w:val="auto"/>
          <w:highlight w:val="none"/>
        </w:rPr>
      </w:pPr>
    </w:p>
    <w:p w14:paraId="4FBFCB81">
      <w:pPr>
        <w:tabs>
          <w:tab w:val="left" w:pos="2175"/>
        </w:tabs>
        <w:snapToGrid w:val="0"/>
        <w:spacing w:before="120" w:after="120" w:line="360" w:lineRule="auto"/>
        <w:jc w:val="center"/>
        <w:rPr>
          <w:rFonts w:hint="eastAsia" w:cs="仿宋" w:asciiTheme="minorEastAsia" w:hAnsiTheme="minorEastAsia" w:eastAsiaTheme="minorEastAsia"/>
          <w:b/>
          <w:bCs/>
          <w:color w:val="auto"/>
          <w:sz w:val="44"/>
          <w:highlight w:val="none"/>
        </w:rPr>
        <w:sectPr>
          <w:headerReference r:id="rId3" w:type="default"/>
          <w:footerReference r:id="rId4" w:type="default"/>
          <w:pgSz w:w="11906" w:h="16838"/>
          <w:pgMar w:top="1440" w:right="1080" w:bottom="1440" w:left="1080" w:header="851" w:footer="851" w:gutter="0"/>
          <w:cols w:space="720" w:num="1"/>
          <w:docGrid w:linePitch="312" w:charSpace="0"/>
        </w:sectPr>
      </w:pPr>
    </w:p>
    <w:p w14:paraId="4E2B8027">
      <w:pPr>
        <w:tabs>
          <w:tab w:val="left" w:pos="2175"/>
        </w:tabs>
        <w:snapToGrid w:val="0"/>
        <w:spacing w:before="120" w:after="120" w:line="360" w:lineRule="auto"/>
        <w:jc w:val="center"/>
        <w:rPr>
          <w:rFonts w:hint="eastAsia" w:cs="仿宋" w:asciiTheme="minorEastAsia" w:hAnsiTheme="minorEastAsia" w:eastAsiaTheme="minorEastAsia"/>
          <w:b/>
          <w:bCs/>
          <w:color w:val="auto"/>
          <w:sz w:val="44"/>
          <w:highlight w:val="none"/>
        </w:rPr>
      </w:pPr>
      <w:r>
        <w:rPr>
          <w:rFonts w:hint="eastAsia" w:cs="仿宋" w:asciiTheme="minorEastAsia" w:hAnsiTheme="minorEastAsia" w:eastAsiaTheme="minorEastAsia"/>
          <w:b/>
          <w:bCs/>
          <w:color w:val="auto"/>
          <w:sz w:val="44"/>
          <w:highlight w:val="none"/>
        </w:rPr>
        <w:t>目    录</w:t>
      </w:r>
    </w:p>
    <w:p w14:paraId="758F665D">
      <w:pPr>
        <w:numPr>
          <w:ilvl w:val="0"/>
          <w:numId w:val="1"/>
        </w:numPr>
        <w:tabs>
          <w:tab w:val="left" w:pos="2175"/>
        </w:tabs>
        <w:snapToGrid w:val="0"/>
        <w:spacing w:before="120" w:line="480" w:lineRule="exact"/>
        <w:ind w:left="2175"/>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公开招标采购公告</w:t>
      </w:r>
    </w:p>
    <w:p w14:paraId="6BB006E3">
      <w:pPr>
        <w:numPr>
          <w:ilvl w:val="0"/>
          <w:numId w:val="1"/>
        </w:numPr>
        <w:tabs>
          <w:tab w:val="left" w:pos="2175"/>
        </w:tabs>
        <w:snapToGrid w:val="0"/>
        <w:spacing w:before="120" w:line="480" w:lineRule="exact"/>
        <w:ind w:left="2175"/>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招标需求</w:t>
      </w:r>
    </w:p>
    <w:p w14:paraId="0FD50F43">
      <w:pPr>
        <w:numPr>
          <w:ilvl w:val="0"/>
          <w:numId w:val="1"/>
        </w:numPr>
        <w:tabs>
          <w:tab w:val="left" w:pos="2175"/>
        </w:tabs>
        <w:snapToGrid w:val="0"/>
        <w:spacing w:before="120" w:line="480" w:lineRule="exact"/>
        <w:ind w:left="2175"/>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主承销商须知</w:t>
      </w:r>
    </w:p>
    <w:p w14:paraId="4C0AD050">
      <w:pPr>
        <w:numPr>
          <w:ilvl w:val="0"/>
          <w:numId w:val="1"/>
        </w:numPr>
        <w:tabs>
          <w:tab w:val="left" w:pos="2175"/>
        </w:tabs>
        <w:snapToGrid w:val="0"/>
        <w:spacing w:before="120" w:line="480" w:lineRule="exact"/>
        <w:ind w:left="2175"/>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评标办法及评分标准</w:t>
      </w:r>
    </w:p>
    <w:p w14:paraId="14FF922A">
      <w:pPr>
        <w:numPr>
          <w:ilvl w:val="0"/>
          <w:numId w:val="1"/>
        </w:numPr>
        <w:tabs>
          <w:tab w:val="left" w:pos="2175"/>
        </w:tabs>
        <w:snapToGrid w:val="0"/>
        <w:spacing w:before="120" w:line="480" w:lineRule="exact"/>
        <w:ind w:left="2175"/>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合同主要条款</w:t>
      </w:r>
    </w:p>
    <w:p w14:paraId="64440D4C">
      <w:pPr>
        <w:numPr>
          <w:ilvl w:val="0"/>
          <w:numId w:val="1"/>
        </w:numPr>
        <w:tabs>
          <w:tab w:val="left" w:pos="2175"/>
        </w:tabs>
        <w:snapToGrid w:val="0"/>
        <w:spacing w:before="120" w:line="480" w:lineRule="exact"/>
        <w:ind w:left="2175"/>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响应文件格式</w:t>
      </w:r>
    </w:p>
    <w:p w14:paraId="2F6BC2AE">
      <w:pPr>
        <w:tabs>
          <w:tab w:val="left" w:pos="2175"/>
        </w:tabs>
        <w:snapToGrid w:val="0"/>
        <w:spacing w:before="120" w:after="120"/>
        <w:rPr>
          <w:rFonts w:hint="eastAsia" w:asciiTheme="minorEastAsia" w:hAnsiTheme="minorEastAsia" w:eastAsiaTheme="minorEastAsia"/>
          <w:color w:val="auto"/>
          <w:sz w:val="30"/>
          <w:highlight w:val="none"/>
        </w:rPr>
      </w:pPr>
    </w:p>
    <w:p w14:paraId="6E6245F8">
      <w:pPr>
        <w:tabs>
          <w:tab w:val="left" w:pos="2175"/>
        </w:tabs>
        <w:snapToGrid w:val="0"/>
        <w:spacing w:before="120" w:after="120"/>
        <w:rPr>
          <w:rFonts w:hint="eastAsia" w:asciiTheme="minorEastAsia" w:hAnsiTheme="minorEastAsia" w:eastAsiaTheme="minorEastAsia"/>
          <w:color w:val="auto"/>
          <w:sz w:val="30"/>
          <w:highlight w:val="none"/>
        </w:rPr>
      </w:pPr>
    </w:p>
    <w:p w14:paraId="467C3564">
      <w:pPr>
        <w:tabs>
          <w:tab w:val="left" w:pos="2175"/>
        </w:tabs>
        <w:snapToGrid w:val="0"/>
        <w:spacing w:before="120" w:after="120"/>
        <w:rPr>
          <w:rFonts w:hint="eastAsia" w:asciiTheme="minorEastAsia" w:hAnsiTheme="minorEastAsia" w:eastAsiaTheme="minorEastAsia"/>
          <w:color w:val="auto"/>
          <w:sz w:val="30"/>
          <w:highlight w:val="none"/>
        </w:rPr>
      </w:pPr>
    </w:p>
    <w:p w14:paraId="7EEBC9F1">
      <w:pPr>
        <w:tabs>
          <w:tab w:val="left" w:pos="2175"/>
        </w:tabs>
        <w:snapToGrid w:val="0"/>
        <w:spacing w:before="120" w:after="120"/>
        <w:rPr>
          <w:rFonts w:hint="eastAsia" w:asciiTheme="minorEastAsia" w:hAnsiTheme="minorEastAsia" w:eastAsiaTheme="minorEastAsia"/>
          <w:color w:val="auto"/>
          <w:sz w:val="30"/>
          <w:highlight w:val="none"/>
        </w:rPr>
      </w:pPr>
    </w:p>
    <w:p w14:paraId="34372DC3">
      <w:pPr>
        <w:tabs>
          <w:tab w:val="left" w:pos="2175"/>
        </w:tabs>
        <w:snapToGrid w:val="0"/>
        <w:spacing w:before="120" w:after="120"/>
        <w:rPr>
          <w:rFonts w:hint="eastAsia" w:asciiTheme="minorEastAsia" w:hAnsiTheme="minorEastAsia" w:eastAsiaTheme="minorEastAsia"/>
          <w:color w:val="auto"/>
          <w:sz w:val="30"/>
          <w:highlight w:val="none"/>
        </w:rPr>
      </w:pPr>
    </w:p>
    <w:p w14:paraId="2170F89B">
      <w:pPr>
        <w:tabs>
          <w:tab w:val="left" w:pos="2175"/>
        </w:tabs>
        <w:snapToGrid w:val="0"/>
        <w:spacing w:before="120" w:after="120"/>
        <w:rPr>
          <w:rFonts w:hint="eastAsia" w:asciiTheme="minorEastAsia" w:hAnsiTheme="minorEastAsia" w:eastAsiaTheme="minorEastAsia"/>
          <w:color w:val="auto"/>
          <w:sz w:val="30"/>
          <w:highlight w:val="none"/>
        </w:rPr>
      </w:pPr>
    </w:p>
    <w:p w14:paraId="12A6917B">
      <w:pPr>
        <w:tabs>
          <w:tab w:val="left" w:pos="2175"/>
        </w:tabs>
        <w:snapToGrid w:val="0"/>
        <w:spacing w:before="120" w:after="120"/>
        <w:rPr>
          <w:rFonts w:hint="eastAsia" w:asciiTheme="minorEastAsia" w:hAnsiTheme="minorEastAsia" w:eastAsiaTheme="minorEastAsia"/>
          <w:color w:val="auto"/>
          <w:sz w:val="30"/>
          <w:highlight w:val="none"/>
        </w:rPr>
      </w:pPr>
    </w:p>
    <w:p w14:paraId="2B702F73">
      <w:pPr>
        <w:tabs>
          <w:tab w:val="left" w:pos="2175"/>
        </w:tabs>
        <w:snapToGrid w:val="0"/>
        <w:spacing w:before="120" w:after="120"/>
        <w:rPr>
          <w:rFonts w:hint="eastAsia" w:asciiTheme="minorEastAsia" w:hAnsiTheme="minorEastAsia" w:eastAsiaTheme="minorEastAsia"/>
          <w:color w:val="auto"/>
          <w:sz w:val="30"/>
          <w:highlight w:val="none"/>
        </w:rPr>
      </w:pPr>
    </w:p>
    <w:p w14:paraId="7B6788FC">
      <w:pPr>
        <w:tabs>
          <w:tab w:val="left" w:pos="2175"/>
        </w:tabs>
        <w:snapToGrid w:val="0"/>
        <w:spacing w:before="120" w:after="120"/>
        <w:rPr>
          <w:rFonts w:hint="eastAsia" w:asciiTheme="minorEastAsia" w:hAnsiTheme="minorEastAsia" w:eastAsiaTheme="minorEastAsia"/>
          <w:color w:val="auto"/>
          <w:sz w:val="30"/>
          <w:highlight w:val="none"/>
        </w:rPr>
      </w:pPr>
    </w:p>
    <w:p w14:paraId="6124C7A1">
      <w:pPr>
        <w:tabs>
          <w:tab w:val="left" w:pos="2175"/>
        </w:tabs>
        <w:snapToGrid w:val="0"/>
        <w:spacing w:before="120" w:after="120"/>
        <w:rPr>
          <w:rFonts w:hint="eastAsia" w:asciiTheme="minorEastAsia" w:hAnsiTheme="minorEastAsia" w:eastAsiaTheme="minorEastAsia"/>
          <w:color w:val="auto"/>
          <w:sz w:val="30"/>
          <w:highlight w:val="none"/>
        </w:rPr>
      </w:pPr>
    </w:p>
    <w:p w14:paraId="3BC06A17">
      <w:pPr>
        <w:tabs>
          <w:tab w:val="left" w:pos="2175"/>
        </w:tabs>
        <w:snapToGrid w:val="0"/>
        <w:spacing w:before="120" w:after="120"/>
        <w:rPr>
          <w:rFonts w:hint="eastAsia" w:asciiTheme="minorEastAsia" w:hAnsiTheme="minorEastAsia" w:eastAsiaTheme="minorEastAsia"/>
          <w:color w:val="auto"/>
          <w:sz w:val="30"/>
          <w:highlight w:val="none"/>
        </w:rPr>
      </w:pPr>
    </w:p>
    <w:p w14:paraId="24DFE386">
      <w:pPr>
        <w:snapToGrid w:val="0"/>
        <w:ind w:left="-178" w:right="-178" w:firstLine="178"/>
        <w:rPr>
          <w:rFonts w:hint="eastAsia" w:asciiTheme="minorEastAsia" w:hAnsiTheme="minorEastAsia" w:eastAsiaTheme="minorEastAsia"/>
          <w:color w:val="auto"/>
          <w:sz w:val="21"/>
          <w:highlight w:val="none"/>
        </w:rPr>
      </w:pPr>
    </w:p>
    <w:p w14:paraId="1C06B920">
      <w:pPr>
        <w:pStyle w:val="2"/>
        <w:rPr>
          <w:rFonts w:hint="eastAsia" w:asciiTheme="minorEastAsia" w:hAnsiTheme="minorEastAsia" w:eastAsiaTheme="minorEastAsia"/>
          <w:b/>
          <w:bCs/>
          <w:color w:val="auto"/>
          <w:sz w:val="30"/>
          <w:highlight w:val="none"/>
        </w:rPr>
        <w:sectPr>
          <w:footerReference r:id="rId5" w:type="default"/>
          <w:pgSz w:w="11906" w:h="16838"/>
          <w:pgMar w:top="1440" w:right="1080" w:bottom="1440" w:left="1080" w:header="851" w:footer="851" w:gutter="0"/>
          <w:pgNumType w:start="1"/>
          <w:cols w:space="720" w:num="1"/>
          <w:docGrid w:linePitch="312" w:charSpace="0"/>
        </w:sectPr>
      </w:pPr>
    </w:p>
    <w:p w14:paraId="1D716E78">
      <w:pPr>
        <w:tabs>
          <w:tab w:val="left" w:pos="2175"/>
        </w:tabs>
        <w:snapToGrid w:val="0"/>
        <w:spacing w:before="120" w:after="120"/>
        <w:jc w:val="center"/>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第一章 公开招标采购公告</w:t>
      </w:r>
    </w:p>
    <w:p w14:paraId="2B770C98">
      <w:pPr>
        <w:widowControl/>
        <w:snapToGrid w:val="0"/>
        <w:spacing w:after="120" w:line="440" w:lineRule="exact"/>
        <w:ind w:firstLine="480"/>
        <w:contextualSpacing/>
        <w:rPr>
          <w:rFonts w:hint="eastAsia" w:cs="仿宋" w:asciiTheme="minorEastAsia" w:hAnsiTheme="minorEastAsia" w:eastAsiaTheme="minorEastAsia"/>
          <w:color w:val="auto"/>
          <w:sz w:val="24"/>
          <w:highlight w:val="none"/>
          <w:u w:val="single"/>
        </w:rPr>
      </w:pPr>
      <w:bookmarkStart w:id="10" w:name="_GoBack"/>
      <w:r>
        <w:rPr>
          <w:rFonts w:hint="eastAsia" w:cs="仿宋" w:asciiTheme="minorEastAsia" w:hAnsiTheme="minorEastAsia" w:eastAsiaTheme="minorEastAsia"/>
          <w:color w:val="auto"/>
          <w:sz w:val="24"/>
          <w:highlight w:val="none"/>
        </w:rPr>
        <w:t>根据《东阳市国有企业采购管理办法（2020年修订）》等有关法律规定，经东阳市人民政府国有资产监督管理办公室批准，浙江衢州公信工程管理有限公司受</w:t>
      </w:r>
      <w:r>
        <w:rPr>
          <w:rFonts w:hint="eastAsia" w:cs="仿宋" w:asciiTheme="minorEastAsia" w:hAnsiTheme="minorEastAsia" w:eastAsiaTheme="minorEastAsia"/>
          <w:color w:val="auto"/>
          <w:sz w:val="24"/>
          <w:highlight w:val="none"/>
          <w:u w:val="single"/>
        </w:rPr>
        <w:t>东阳市水务投资集团有限公司</w:t>
      </w:r>
      <w:r>
        <w:rPr>
          <w:rFonts w:hint="eastAsia" w:cs="仿宋" w:asciiTheme="minorEastAsia" w:hAnsiTheme="minorEastAsia" w:eastAsiaTheme="minorEastAsia"/>
          <w:color w:val="auto"/>
          <w:sz w:val="24"/>
          <w:highlight w:val="none"/>
        </w:rPr>
        <w:t>委托，现就</w:t>
      </w:r>
      <w:r>
        <w:rPr>
          <w:rFonts w:hint="eastAsia" w:cs="仿宋" w:asciiTheme="minorEastAsia" w:hAnsiTheme="minorEastAsia" w:eastAsiaTheme="minorEastAsia"/>
          <w:color w:val="auto"/>
          <w:sz w:val="24"/>
          <w:highlight w:val="none"/>
          <w:u w:val="single"/>
        </w:rPr>
        <w:t>东阳市水务投资集团有限公司供水收费权资产证券化发行中介服务机构采购项目</w:t>
      </w:r>
      <w:r>
        <w:rPr>
          <w:rFonts w:hint="eastAsia" w:cs="仿宋" w:asciiTheme="minorEastAsia" w:hAnsiTheme="minorEastAsia" w:eastAsiaTheme="minorEastAsia"/>
          <w:color w:val="auto"/>
          <w:sz w:val="24"/>
          <w:highlight w:val="none"/>
        </w:rPr>
        <w:t>进行公开招标采购，欢迎符合资格条件的、有能力提供本项目所需服务的合格供应商参加本项目的招标。</w:t>
      </w:r>
    </w:p>
    <w:p w14:paraId="21A4992E">
      <w:pPr>
        <w:snapToGrid w:val="0"/>
        <w:spacing w:line="440" w:lineRule="exact"/>
        <w:ind w:firstLine="482"/>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一、项目编号：ZJQZGX2024-019</w:t>
      </w:r>
    </w:p>
    <w:p w14:paraId="3DD470E7">
      <w:pPr>
        <w:snapToGrid w:val="0"/>
        <w:spacing w:line="440" w:lineRule="exact"/>
        <w:ind w:firstLine="482"/>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二、采购组织类型：分散采购委托代理</w:t>
      </w:r>
    </w:p>
    <w:p w14:paraId="08AD53BF">
      <w:pPr>
        <w:snapToGrid w:val="0"/>
        <w:spacing w:line="440" w:lineRule="exact"/>
        <w:ind w:firstLine="482"/>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三、采购方式：公开招标</w:t>
      </w:r>
    </w:p>
    <w:p w14:paraId="7DBE3375">
      <w:pPr>
        <w:snapToGrid w:val="0"/>
        <w:spacing w:line="440" w:lineRule="exact"/>
        <w:ind w:firstLine="482"/>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四、采购项目概况</w:t>
      </w:r>
    </w:p>
    <w:p w14:paraId="21B3D054">
      <w:pPr>
        <w:snapToGrid w:val="0"/>
        <w:spacing w:line="440" w:lineRule="exac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1、东阳市水务投资集团有限公司计划2024年度向证券交易所申请不超过5.23亿元（含  5.23亿元）人民币的资产支持证券，期限为3+2+2年。拟通过公开招标方式确定1家</w:t>
      </w:r>
      <w:bookmarkStart w:id="0" w:name="OLE_LINK6"/>
      <w:r>
        <w:rPr>
          <w:rFonts w:hint="eastAsia" w:cs="仿宋" w:asciiTheme="minorEastAsia" w:hAnsiTheme="minorEastAsia" w:eastAsiaTheme="minorEastAsia"/>
          <w:bCs/>
          <w:color w:val="auto"/>
          <w:sz w:val="24"/>
          <w:highlight w:val="none"/>
        </w:rPr>
        <w:t>资产支持证券主承销商</w:t>
      </w:r>
      <w:bookmarkEnd w:id="0"/>
      <w:r>
        <w:rPr>
          <w:rFonts w:hint="eastAsia" w:cs="仿宋" w:asciiTheme="minorEastAsia" w:hAnsiTheme="minorEastAsia" w:eastAsiaTheme="minorEastAsia"/>
          <w:bCs/>
          <w:color w:val="auto"/>
          <w:sz w:val="24"/>
          <w:highlight w:val="none"/>
        </w:rPr>
        <w:t>中介服务机构，为招标人提供公司资产整合和发行证券服务。</w:t>
      </w:r>
    </w:p>
    <w:p w14:paraId="08570600">
      <w:pPr>
        <w:snapToGrid w:val="0"/>
        <w:spacing w:line="440" w:lineRule="exact"/>
        <w:ind w:firstLine="480"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Cs/>
          <w:color w:val="auto"/>
          <w:sz w:val="24"/>
          <w:highlight w:val="none"/>
        </w:rPr>
        <w:t>2、募集资金用途说明：主要用于偿付到期的应付债券、项目建设、补充流动资金等法律法规允许的用途。</w:t>
      </w:r>
    </w:p>
    <w:p w14:paraId="0DCF41AE">
      <w:pPr>
        <w:snapToGrid w:val="0"/>
        <w:spacing w:line="440" w:lineRule="exac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五</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b/>
          <w:color w:val="auto"/>
          <w:sz w:val="24"/>
          <w:highlight w:val="none"/>
        </w:rPr>
        <w:t>合格投标人的资格要求</w:t>
      </w:r>
    </w:p>
    <w:p w14:paraId="557301C5">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1、符合东阳市国有企业采购管理办法（2020年修订）二、采购当事人 第（三）条规定的投标人资格条件；</w:t>
      </w:r>
    </w:p>
    <w:p w14:paraId="0E3E21FD">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r>
        <w:rPr>
          <w:rFonts w:hint="eastAsia" w:cs="仿宋" w:asciiTheme="minorEastAsia" w:hAnsiTheme="minorEastAsia" w:eastAsiaTheme="minorEastAsia"/>
          <w:bCs/>
          <w:color w:val="auto"/>
          <w:sz w:val="24"/>
          <w:highlight w:val="none"/>
        </w:rPr>
        <w:t>资产支持证券主承销商</w:t>
      </w:r>
      <w:r>
        <w:rPr>
          <w:rFonts w:hint="eastAsia" w:cs="仿宋" w:asciiTheme="minorEastAsia" w:hAnsiTheme="minorEastAsia" w:eastAsiaTheme="minorEastAsia"/>
          <w:color w:val="auto"/>
          <w:sz w:val="24"/>
          <w:highlight w:val="none"/>
        </w:rPr>
        <w:t>为具备行业监管部门认定的债券承销业务的资格；其他中介服务机构应具有中国证监会、证券交易所从事债券承销、发行服务的相关资质；</w:t>
      </w:r>
    </w:p>
    <w:p w14:paraId="136A9468">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3、本项目不接受联合体投标。</w:t>
      </w:r>
    </w:p>
    <w:p w14:paraId="38D16D42">
      <w:pPr>
        <w:snapToGrid w:val="0"/>
        <w:spacing w:line="440" w:lineRule="exact"/>
        <w:ind w:firstLine="542"/>
        <w:rPr>
          <w:rFonts w:hint="eastAsia" w:cs="仿宋" w:asciiTheme="minorEastAsia" w:hAnsiTheme="minorEastAsia" w:eastAsiaTheme="minorEastAsia"/>
          <w:b/>
          <w:color w:val="auto"/>
          <w:sz w:val="24"/>
          <w:szCs w:val="22"/>
          <w:highlight w:val="none"/>
        </w:rPr>
      </w:pPr>
      <w:r>
        <w:rPr>
          <w:rFonts w:hint="eastAsia" w:cs="仿宋" w:asciiTheme="minorEastAsia" w:hAnsiTheme="minorEastAsia" w:eastAsiaTheme="minorEastAsia"/>
          <w:b/>
          <w:color w:val="auto"/>
          <w:sz w:val="24"/>
          <w:szCs w:val="22"/>
          <w:highlight w:val="none"/>
        </w:rPr>
        <w:t>六、报名方式</w:t>
      </w:r>
    </w:p>
    <w:p w14:paraId="57CE0F46">
      <w:pPr>
        <w:snapToGrid w:val="0"/>
        <w:spacing w:line="440" w:lineRule="exact"/>
        <w:ind w:firstLine="542"/>
        <w:rPr>
          <w:rFonts w:hint="eastAsia" w:cs="仿宋" w:asciiTheme="minorEastAsia" w:hAnsiTheme="minorEastAsia" w:eastAsiaTheme="minorEastAsia"/>
          <w:b/>
          <w:bCs/>
          <w:color w:val="auto"/>
          <w:sz w:val="24"/>
          <w:szCs w:val="22"/>
          <w:highlight w:val="none"/>
        </w:rPr>
      </w:pPr>
      <w:r>
        <w:rPr>
          <w:rFonts w:hint="eastAsia" w:cs="仿宋" w:asciiTheme="minorEastAsia" w:hAnsiTheme="minorEastAsia" w:eastAsiaTheme="minorEastAsia"/>
          <w:b/>
          <w:bCs/>
          <w:color w:val="auto"/>
          <w:sz w:val="24"/>
          <w:szCs w:val="22"/>
          <w:highlight w:val="none"/>
        </w:rPr>
        <w:t>1、招标文件发售、报名截止日期：2024年</w:t>
      </w:r>
      <w:r>
        <w:rPr>
          <w:rFonts w:hint="eastAsia" w:cs="仿宋" w:asciiTheme="minorEastAsia" w:hAnsiTheme="minorEastAsia" w:eastAsiaTheme="minorEastAsia"/>
          <w:b/>
          <w:bCs/>
          <w:color w:val="auto"/>
          <w:sz w:val="24"/>
          <w:szCs w:val="22"/>
          <w:highlight w:val="none"/>
          <w:lang w:val="en-US" w:eastAsia="zh-CN"/>
        </w:rPr>
        <w:t>11</w:t>
      </w:r>
      <w:r>
        <w:rPr>
          <w:rFonts w:hint="eastAsia" w:cs="仿宋" w:asciiTheme="minorEastAsia" w:hAnsiTheme="minorEastAsia" w:eastAsiaTheme="minorEastAsia"/>
          <w:b/>
          <w:bCs/>
          <w:color w:val="auto"/>
          <w:sz w:val="24"/>
          <w:szCs w:val="22"/>
          <w:highlight w:val="none"/>
        </w:rPr>
        <w:t>月</w:t>
      </w:r>
      <w:r>
        <w:rPr>
          <w:rFonts w:hint="eastAsia" w:cs="仿宋" w:asciiTheme="minorEastAsia" w:hAnsiTheme="minorEastAsia" w:eastAsiaTheme="minorEastAsia"/>
          <w:b/>
          <w:bCs/>
          <w:color w:val="auto"/>
          <w:sz w:val="24"/>
          <w:szCs w:val="22"/>
          <w:highlight w:val="none"/>
          <w:lang w:val="en-US" w:eastAsia="zh-CN"/>
        </w:rPr>
        <w:t>11</w:t>
      </w:r>
      <w:r>
        <w:rPr>
          <w:rFonts w:hint="eastAsia" w:cs="仿宋" w:asciiTheme="minorEastAsia" w:hAnsiTheme="minorEastAsia" w:eastAsiaTheme="minorEastAsia"/>
          <w:b/>
          <w:bCs/>
          <w:color w:val="auto"/>
          <w:sz w:val="24"/>
          <w:szCs w:val="22"/>
          <w:highlight w:val="none"/>
        </w:rPr>
        <w:t>日17:00时前；</w:t>
      </w:r>
    </w:p>
    <w:p w14:paraId="71CC5404">
      <w:pPr>
        <w:snapToGrid w:val="0"/>
        <w:spacing w:line="440" w:lineRule="exact"/>
        <w:ind w:firstLine="542"/>
        <w:rPr>
          <w:rFonts w:hint="eastAsia" w:cs="仿宋" w:asciiTheme="minorEastAsia" w:hAnsiTheme="minorEastAsia" w:eastAsiaTheme="minorEastAsia"/>
          <w:b/>
          <w:bCs/>
          <w:color w:val="auto"/>
          <w:sz w:val="24"/>
          <w:szCs w:val="22"/>
          <w:highlight w:val="none"/>
        </w:rPr>
      </w:pPr>
      <w:r>
        <w:rPr>
          <w:rFonts w:hint="eastAsia" w:cs="仿宋" w:asciiTheme="minorEastAsia" w:hAnsiTheme="minorEastAsia" w:eastAsiaTheme="minorEastAsia"/>
          <w:b/>
          <w:bCs/>
          <w:color w:val="auto"/>
          <w:sz w:val="24"/>
          <w:szCs w:val="22"/>
          <w:highlight w:val="none"/>
        </w:rPr>
        <w:t>2、售价：招标文件工本费每套</w:t>
      </w:r>
      <w:r>
        <w:rPr>
          <w:rFonts w:hint="eastAsia" w:cs="仿宋" w:asciiTheme="minorEastAsia" w:hAnsiTheme="minorEastAsia" w:eastAsiaTheme="minorEastAsia"/>
          <w:b/>
          <w:bCs/>
          <w:color w:val="auto"/>
          <w:sz w:val="24"/>
          <w:szCs w:val="22"/>
          <w:highlight w:val="none"/>
          <w:u w:val="single"/>
        </w:rPr>
        <w:t>0元</w:t>
      </w:r>
      <w:r>
        <w:rPr>
          <w:rFonts w:hint="eastAsia" w:cs="仿宋" w:asciiTheme="minorEastAsia" w:hAnsiTheme="minorEastAsia" w:eastAsiaTheme="minorEastAsia"/>
          <w:b/>
          <w:bCs/>
          <w:color w:val="auto"/>
          <w:sz w:val="24"/>
          <w:szCs w:val="22"/>
          <w:highlight w:val="none"/>
        </w:rPr>
        <w:t>，投标人自行在网上下载。</w:t>
      </w:r>
    </w:p>
    <w:p w14:paraId="1FFE91F5">
      <w:pPr>
        <w:snapToGrid w:val="0"/>
        <w:spacing w:line="440" w:lineRule="exact"/>
        <w:ind w:firstLine="542"/>
        <w:rPr>
          <w:rFonts w:hint="eastAsia" w:cs="仿宋" w:asciiTheme="minorEastAsia" w:hAnsiTheme="minorEastAsia" w:eastAsiaTheme="minorEastAsia"/>
          <w:b/>
          <w:color w:val="auto"/>
          <w:sz w:val="24"/>
          <w:szCs w:val="22"/>
          <w:highlight w:val="none"/>
        </w:rPr>
      </w:pPr>
      <w:r>
        <w:rPr>
          <w:rFonts w:hint="eastAsia" w:cs="仿宋" w:asciiTheme="minorEastAsia" w:hAnsiTheme="minorEastAsia" w:eastAsiaTheme="minorEastAsia"/>
          <w:b/>
          <w:color w:val="auto"/>
          <w:sz w:val="24"/>
          <w:szCs w:val="22"/>
          <w:highlight w:val="none"/>
        </w:rPr>
        <w:t>3、报名方式：</w:t>
      </w:r>
    </w:p>
    <w:p w14:paraId="6647E2A0">
      <w:pPr>
        <w:snapToGrid w:val="0"/>
        <w:spacing w:line="400" w:lineRule="exact"/>
        <w:ind w:firstLine="359" w:firstLineChars="149"/>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（1）现场报名</w:t>
      </w:r>
    </w:p>
    <w:p w14:paraId="7709CADE">
      <w:pPr>
        <w:snapToGrid w:val="0"/>
        <w:spacing w:line="400" w:lineRule="exact"/>
        <w:ind w:firstLine="480"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color w:val="auto"/>
          <w:sz w:val="24"/>
          <w:highlight w:val="none"/>
        </w:rPr>
        <w:t>报名时间：2024年</w:t>
      </w:r>
      <w:r>
        <w:rPr>
          <w:rFonts w:hint="eastAsia" w:cs="仿宋" w:asciiTheme="minorEastAsia" w:hAnsiTheme="minorEastAsia" w:eastAsiaTheme="minorEastAsia"/>
          <w:color w:val="auto"/>
          <w:sz w:val="24"/>
          <w:highlight w:val="none"/>
          <w:lang w:val="en-US" w:eastAsia="zh-CN"/>
        </w:rPr>
        <w:t>10</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lang w:val="en-US" w:eastAsia="zh-CN"/>
        </w:rPr>
        <w:t>22</w:t>
      </w:r>
      <w:r>
        <w:rPr>
          <w:rFonts w:hint="eastAsia" w:cs="仿宋" w:asciiTheme="minorEastAsia" w:hAnsiTheme="minorEastAsia" w:eastAsiaTheme="minorEastAsia"/>
          <w:color w:val="auto"/>
          <w:sz w:val="24"/>
          <w:highlight w:val="none"/>
        </w:rPr>
        <w:t>日至2024年</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rPr>
        <w:t>日，上午8:30-11:30；下午13:30-17:00 （节假日除外）。</w:t>
      </w:r>
    </w:p>
    <w:p w14:paraId="0A8B91DC">
      <w:pPr>
        <w:snapToGrid w:val="0"/>
        <w:spacing w:line="400" w:lineRule="exact"/>
        <w:ind w:firstLine="240" w:firstLineChars="1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报名地点：浙江省东阳市江滨南街555号（浙江衢州公信工程管理有限公司）。</w:t>
      </w:r>
    </w:p>
    <w:p w14:paraId="5C4DDAA2">
      <w:pPr>
        <w:snapToGrid w:val="0"/>
        <w:spacing w:line="400" w:lineRule="exact"/>
        <w:ind w:firstLine="236" w:firstLineChars="98"/>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（2）通过发送电子邮件进行报名</w:t>
      </w:r>
    </w:p>
    <w:p w14:paraId="3367EC57">
      <w:pPr>
        <w:snapToGrid w:val="0"/>
        <w:spacing w:line="400" w:lineRule="exact"/>
        <w:ind w:firstLine="540" w:firstLineChars="225"/>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潜在的投标人可以通过发送电子邮件进行报名（浙江衢州公信工程管理有限公司，电子邮箱：477628472@qq.com）（注：电子邮件收到时间和报名时间均应在招标文件发售、报名截止时间前）。</w:t>
      </w:r>
    </w:p>
    <w:p w14:paraId="401B2531">
      <w:pPr>
        <w:snapToGrid w:val="0"/>
        <w:spacing w:line="400" w:lineRule="exact"/>
        <w:ind w:firstLine="477" w:firstLineChars="198"/>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七、投标确认：</w:t>
      </w:r>
    </w:p>
    <w:p w14:paraId="399EC8B1">
      <w:pPr>
        <w:snapToGrid w:val="0"/>
        <w:spacing w:line="400" w:lineRule="exact"/>
        <w:ind w:firstLine="475" w:firstLineChars="198"/>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1、投标人须按投标确认函的要求进行投标确认后方可参加投标，投标确认时间：2024年 </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rPr>
        <w:t>日下午17时前；投标确认函（格式见附件）。</w:t>
      </w:r>
    </w:p>
    <w:p w14:paraId="18EC0787">
      <w:pPr>
        <w:snapToGrid w:val="0"/>
        <w:spacing w:line="400" w:lineRule="exact"/>
        <w:ind w:firstLine="475" w:firstLineChars="198"/>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2、未在招标代理机构进行报名登记和未发送投标确认函的投标文件将予以拒收。</w:t>
      </w:r>
    </w:p>
    <w:p w14:paraId="71B36D31">
      <w:pPr>
        <w:snapToGrid w:val="0"/>
        <w:spacing w:line="400" w:lineRule="exact"/>
        <w:ind w:firstLine="477" w:firstLineChars="198"/>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3、资格审查方式：本次招标采取开标后资格审查，不保证所有已完成报名的潜在投标人都符合资格要求。</w:t>
      </w:r>
    </w:p>
    <w:p w14:paraId="6E992BAC">
      <w:pPr>
        <w:snapToGrid w:val="0"/>
        <w:spacing w:line="400" w:lineRule="exact"/>
        <w:ind w:firstLine="477" w:firstLineChars="198"/>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八、投标保证金：本项目不收取投标保证金。</w:t>
      </w:r>
    </w:p>
    <w:p w14:paraId="77690571">
      <w:pPr>
        <w:snapToGrid w:val="0"/>
        <w:spacing w:line="440" w:lineRule="exact"/>
        <w:ind w:firstLine="482"/>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九、投标截止时间和投标文件递交方式：</w:t>
      </w:r>
    </w:p>
    <w:p w14:paraId="08C4E170">
      <w:pPr>
        <w:snapToGrid w:val="0"/>
        <w:spacing w:line="440" w:lineRule="exact"/>
        <w:ind w:firstLine="482"/>
        <w:rPr>
          <w:rFonts w:hint="eastAsia" w:cs="仿宋" w:asciiTheme="minorEastAsia" w:hAnsiTheme="minorEastAsia" w:eastAsiaTheme="minorEastAsia"/>
          <w:b/>
          <w:bCs/>
          <w:color w:val="auto"/>
          <w:sz w:val="24"/>
          <w:highlight w:val="none"/>
          <w:u w:val="single"/>
          <w:lang w:eastAsia="zh-CN"/>
        </w:rPr>
      </w:pPr>
      <w:r>
        <w:rPr>
          <w:rFonts w:hint="eastAsia" w:cs="仿宋" w:asciiTheme="minorEastAsia" w:hAnsiTheme="minorEastAsia" w:eastAsiaTheme="minorEastAsia"/>
          <w:b/>
          <w:bCs/>
          <w:color w:val="auto"/>
          <w:sz w:val="24"/>
          <w:highlight w:val="none"/>
        </w:rPr>
        <w:t>投标截止时间为</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b/>
          <w:bCs/>
          <w:color w:val="auto"/>
          <w:sz w:val="24"/>
          <w:highlight w:val="none"/>
          <w:u w:val="single"/>
        </w:rPr>
        <w:t>2024年</w:t>
      </w:r>
      <w:r>
        <w:rPr>
          <w:rFonts w:hint="eastAsia" w:cs="仿宋" w:asciiTheme="minorEastAsia" w:hAnsiTheme="minorEastAsia" w:eastAsiaTheme="minorEastAsia"/>
          <w:b/>
          <w:bCs/>
          <w:color w:val="auto"/>
          <w:sz w:val="24"/>
          <w:highlight w:val="none"/>
          <w:u w:val="single"/>
          <w:lang w:val="en-US" w:eastAsia="zh-CN"/>
        </w:rPr>
        <w:t>11</w:t>
      </w:r>
      <w:r>
        <w:rPr>
          <w:rFonts w:hint="eastAsia" w:cs="仿宋" w:asciiTheme="minorEastAsia" w:hAnsiTheme="minorEastAsia" w:eastAsiaTheme="minorEastAsia"/>
          <w:b/>
          <w:bCs/>
          <w:color w:val="auto"/>
          <w:sz w:val="24"/>
          <w:highlight w:val="none"/>
          <w:u w:val="single"/>
        </w:rPr>
        <w:t>月</w:t>
      </w:r>
      <w:r>
        <w:rPr>
          <w:rFonts w:hint="eastAsia" w:cs="仿宋" w:asciiTheme="minorEastAsia" w:hAnsiTheme="minorEastAsia" w:eastAsiaTheme="minorEastAsia"/>
          <w:b/>
          <w:bCs/>
          <w:color w:val="auto"/>
          <w:sz w:val="24"/>
          <w:highlight w:val="none"/>
          <w:u w:val="single"/>
          <w:lang w:val="en-US" w:eastAsia="zh-CN"/>
        </w:rPr>
        <w:t>12</w:t>
      </w:r>
      <w:r>
        <w:rPr>
          <w:rFonts w:hint="eastAsia" w:cs="仿宋" w:asciiTheme="minorEastAsia" w:hAnsiTheme="minorEastAsia" w:eastAsiaTheme="minorEastAsia"/>
          <w:b/>
          <w:bCs/>
          <w:color w:val="auto"/>
          <w:sz w:val="24"/>
          <w:highlight w:val="none"/>
          <w:u w:val="single"/>
        </w:rPr>
        <w:t>日下午1</w:t>
      </w:r>
      <w:r>
        <w:rPr>
          <w:rFonts w:hint="eastAsia" w:cs="仿宋" w:asciiTheme="minorEastAsia" w:hAnsiTheme="minorEastAsia" w:eastAsiaTheme="minorEastAsia"/>
          <w:b/>
          <w:bCs/>
          <w:color w:val="auto"/>
          <w:sz w:val="24"/>
          <w:highlight w:val="none"/>
          <w:u w:val="single"/>
          <w:lang w:val="en-US" w:eastAsia="zh-CN"/>
        </w:rPr>
        <w:t>3</w:t>
      </w:r>
      <w:r>
        <w:rPr>
          <w:rFonts w:hint="eastAsia" w:cs="仿宋" w:asciiTheme="minorEastAsia" w:hAnsiTheme="minorEastAsia" w:eastAsiaTheme="minorEastAsia"/>
          <w:b/>
          <w:bCs/>
          <w:color w:val="auto"/>
          <w:sz w:val="24"/>
          <w:highlight w:val="none"/>
          <w:u w:val="single"/>
        </w:rPr>
        <w:t>:</w:t>
      </w:r>
      <w:r>
        <w:rPr>
          <w:rFonts w:hint="eastAsia" w:cs="仿宋" w:asciiTheme="minorEastAsia" w:hAnsiTheme="minorEastAsia" w:eastAsiaTheme="minorEastAsia"/>
          <w:b/>
          <w:bCs/>
          <w:color w:val="auto"/>
          <w:sz w:val="24"/>
          <w:highlight w:val="none"/>
          <w:u w:val="single"/>
          <w:lang w:val="en-US" w:eastAsia="zh-CN"/>
        </w:rPr>
        <w:t>3</w:t>
      </w:r>
      <w:r>
        <w:rPr>
          <w:rFonts w:hint="eastAsia" w:cs="仿宋" w:asciiTheme="minorEastAsia" w:hAnsiTheme="minorEastAsia" w:eastAsiaTheme="minorEastAsia"/>
          <w:b/>
          <w:bCs/>
          <w:color w:val="auto"/>
          <w:sz w:val="24"/>
          <w:highlight w:val="none"/>
          <w:u w:val="single"/>
        </w:rPr>
        <w:t>0</w:t>
      </w:r>
      <w:r>
        <w:rPr>
          <w:rFonts w:hint="eastAsia" w:cs="仿宋" w:asciiTheme="minorEastAsia" w:hAnsiTheme="minorEastAsia" w:eastAsiaTheme="minorEastAsia"/>
          <w:b/>
          <w:bCs/>
          <w:color w:val="auto"/>
          <w:sz w:val="24"/>
          <w:highlight w:val="none"/>
          <w:u w:val="single"/>
          <w:lang w:val="en-US" w:eastAsia="zh-CN"/>
        </w:rPr>
        <w:t>分；</w:t>
      </w:r>
    </w:p>
    <w:p w14:paraId="3DB8DB27">
      <w:pPr>
        <w:snapToGrid w:val="0"/>
        <w:spacing w:line="440" w:lineRule="exact"/>
        <w:ind w:firstLine="48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本项目采用不见面开标的形式开标，各投标人自行下载钉钉，在开标截止时间前1小时内招标人将邀请各投标人进入本项目钉钉群签到，并开启群视频直播，对开标现场情况进行全程直播。</w:t>
      </w:r>
    </w:p>
    <w:p w14:paraId="71F59F12">
      <w:pPr>
        <w:spacing w:line="360" w:lineRule="auto"/>
        <w:ind w:firstLine="480" w:firstLineChars="200"/>
        <w:textAlignment w:val="top"/>
        <w:rPr>
          <w:rFonts w:hint="eastAsia" w:cs="仿宋" w:asciiTheme="minorEastAsia" w:hAnsiTheme="minorEastAsia" w:eastAsiaTheme="minorEastAsia"/>
          <w:color w:val="auto"/>
          <w:highlight w:val="none"/>
        </w:rPr>
      </w:pPr>
      <w:r>
        <w:rPr>
          <w:rFonts w:hint="eastAsia" w:cs="仿宋" w:asciiTheme="minorEastAsia" w:hAnsiTheme="minorEastAsia" w:eastAsiaTheme="minorEastAsia"/>
          <w:color w:val="auto"/>
          <w:sz w:val="24"/>
          <w:highlight w:val="none"/>
        </w:rPr>
        <w:t>各投标人应先将投标文件按照招标文件规定的密封要求进行密封，然后快递邮寄或现场递交至浙江衢州公信工程管理有限公司（地址：浙江省东阳市江滨南街555号；联系人：张先生；联系电话：18267906178），快递邮件或现场递交应于</w:t>
      </w:r>
      <w:r>
        <w:rPr>
          <w:rFonts w:hint="eastAsia" w:cs="仿宋" w:asciiTheme="minorEastAsia" w:hAnsiTheme="minorEastAsia" w:eastAsiaTheme="minorEastAsia"/>
          <w:color w:val="auto"/>
          <w:sz w:val="24"/>
          <w:highlight w:val="none"/>
          <w:u w:val="single"/>
        </w:rPr>
        <w:t>2024年</w:t>
      </w:r>
      <w:r>
        <w:rPr>
          <w:rFonts w:hint="eastAsia" w:cs="仿宋" w:asciiTheme="minorEastAsia" w:hAnsiTheme="minorEastAsia" w:eastAsiaTheme="minorEastAsia"/>
          <w:color w:val="auto"/>
          <w:sz w:val="24"/>
          <w:highlight w:val="none"/>
          <w:u w:val="single"/>
          <w:lang w:val="en-US" w:eastAsia="zh-CN"/>
        </w:rPr>
        <w:t>11</w:t>
      </w:r>
      <w:r>
        <w:rPr>
          <w:rFonts w:hint="eastAsia" w:cs="仿宋" w:asciiTheme="minorEastAsia" w:hAnsiTheme="minorEastAsia" w:eastAsiaTheme="minorEastAsia"/>
          <w:color w:val="auto"/>
          <w:sz w:val="24"/>
          <w:highlight w:val="none"/>
          <w:u w:val="single"/>
        </w:rPr>
        <w:t>月</w:t>
      </w:r>
      <w:r>
        <w:rPr>
          <w:rFonts w:hint="eastAsia" w:cs="仿宋" w:asciiTheme="minorEastAsia" w:hAnsiTheme="minorEastAsia" w:eastAsiaTheme="minorEastAsia"/>
          <w:color w:val="auto"/>
          <w:sz w:val="24"/>
          <w:highlight w:val="none"/>
          <w:u w:val="single"/>
          <w:lang w:val="en-US" w:eastAsia="zh-CN"/>
        </w:rPr>
        <w:t>11</w:t>
      </w:r>
      <w:r>
        <w:rPr>
          <w:rFonts w:hint="eastAsia" w:cs="仿宋" w:asciiTheme="minorEastAsia" w:hAnsiTheme="minorEastAsia" w:eastAsiaTheme="minorEastAsia"/>
          <w:color w:val="auto"/>
          <w:sz w:val="24"/>
          <w:highlight w:val="none"/>
          <w:u w:val="single"/>
        </w:rPr>
        <w:t>日下午1</w:t>
      </w:r>
      <w:r>
        <w:rPr>
          <w:rFonts w:hint="eastAsia" w:cs="仿宋" w:asciiTheme="minorEastAsia" w:hAnsiTheme="minorEastAsia" w:eastAsiaTheme="minorEastAsia"/>
          <w:color w:val="auto"/>
          <w:sz w:val="24"/>
          <w:highlight w:val="none"/>
          <w:u w:val="single"/>
          <w:lang w:val="en-US" w:eastAsia="zh-CN"/>
        </w:rPr>
        <w:t>7</w:t>
      </w:r>
      <w:r>
        <w:rPr>
          <w:rFonts w:hint="eastAsia" w:cs="仿宋" w:asciiTheme="minorEastAsia" w:hAnsiTheme="minorEastAsia" w:eastAsiaTheme="minorEastAsia"/>
          <w:color w:val="auto"/>
          <w:sz w:val="24"/>
          <w:highlight w:val="none"/>
          <w:u w:val="single"/>
        </w:rPr>
        <w:t>时</w:t>
      </w:r>
      <w:r>
        <w:rPr>
          <w:rFonts w:hint="eastAsia" w:cs="仿宋" w:asciiTheme="minorEastAsia" w:hAnsiTheme="minorEastAsia" w:eastAsiaTheme="minorEastAsia"/>
          <w:color w:val="auto"/>
          <w:sz w:val="24"/>
          <w:highlight w:val="none"/>
        </w:rPr>
        <w:t>前送达浙江衢州公信工程管理有限公司，规定时间内收到的投标文件视为在投标截止时间前送达。浙江衢州公信工程管理有限公司将快递收到的投标文件原封（包括快递包装）不动的送往开标室。</w:t>
      </w:r>
      <w:r>
        <w:rPr>
          <w:rFonts w:hint="eastAsia" w:cs="仿宋" w:asciiTheme="minorEastAsia" w:hAnsiTheme="minorEastAsia" w:eastAsiaTheme="minorEastAsia"/>
          <w:b/>
          <w:bCs/>
          <w:color w:val="auto"/>
          <w:sz w:val="24"/>
          <w:highlight w:val="none"/>
        </w:rPr>
        <w:t>（相关的备查原件不必邮寄，如有需要，将会采用钉钉现场查询的方式随机抽查，为确保原件的真实性，采购人可以随时要求重新审查原件，如有造假，将被取消中标资格，并有被列入黑名单的风险）</w:t>
      </w:r>
    </w:p>
    <w:p w14:paraId="548E06E8">
      <w:pPr>
        <w:snapToGrid w:val="0"/>
        <w:spacing w:line="400" w:lineRule="exact"/>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color w:val="auto"/>
          <w:sz w:val="24"/>
          <w:highlight w:val="none"/>
        </w:rPr>
        <w:t>十、</w:t>
      </w:r>
      <w:r>
        <w:rPr>
          <w:rFonts w:hint="eastAsia" w:cs="仿宋" w:asciiTheme="minorEastAsia" w:hAnsiTheme="minorEastAsia" w:eastAsiaTheme="minorEastAsia"/>
          <w:b/>
          <w:bCs/>
          <w:color w:val="auto"/>
          <w:sz w:val="24"/>
          <w:highlight w:val="none"/>
        </w:rPr>
        <w:t xml:space="preserve">开标时间及地点： </w:t>
      </w:r>
    </w:p>
    <w:p w14:paraId="32AFD629">
      <w:pPr>
        <w:snapToGrid w:val="0"/>
        <w:spacing w:line="400" w:lineRule="exact"/>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b/>
          <w:bCs/>
          <w:color w:val="auto"/>
          <w:sz w:val="24"/>
          <w:highlight w:val="none"/>
        </w:rPr>
        <w:t>开标时间为</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b/>
          <w:bCs/>
          <w:color w:val="auto"/>
          <w:sz w:val="24"/>
          <w:highlight w:val="none"/>
          <w:u w:val="single"/>
        </w:rPr>
        <w:t>2024年</w:t>
      </w:r>
      <w:r>
        <w:rPr>
          <w:rFonts w:hint="eastAsia" w:cs="仿宋" w:asciiTheme="minorEastAsia" w:hAnsiTheme="minorEastAsia" w:eastAsiaTheme="minorEastAsia"/>
          <w:b/>
          <w:bCs/>
          <w:color w:val="auto"/>
          <w:sz w:val="24"/>
          <w:highlight w:val="none"/>
          <w:u w:val="single"/>
          <w:lang w:val="en-US" w:eastAsia="zh-CN"/>
        </w:rPr>
        <w:t>11</w:t>
      </w:r>
      <w:r>
        <w:rPr>
          <w:rFonts w:hint="eastAsia" w:cs="仿宋" w:asciiTheme="minorEastAsia" w:hAnsiTheme="minorEastAsia" w:eastAsiaTheme="minorEastAsia"/>
          <w:b/>
          <w:bCs/>
          <w:color w:val="auto"/>
          <w:sz w:val="24"/>
          <w:highlight w:val="none"/>
          <w:u w:val="single"/>
        </w:rPr>
        <w:t>月</w:t>
      </w:r>
      <w:r>
        <w:rPr>
          <w:rFonts w:hint="eastAsia" w:cs="仿宋" w:asciiTheme="minorEastAsia" w:hAnsiTheme="minorEastAsia" w:eastAsiaTheme="minorEastAsia"/>
          <w:b/>
          <w:bCs/>
          <w:color w:val="auto"/>
          <w:sz w:val="24"/>
          <w:highlight w:val="none"/>
          <w:u w:val="single"/>
          <w:lang w:val="en-US" w:eastAsia="zh-CN"/>
        </w:rPr>
        <w:t>12</w:t>
      </w:r>
      <w:r>
        <w:rPr>
          <w:rFonts w:hint="eastAsia" w:cs="仿宋" w:asciiTheme="minorEastAsia" w:hAnsiTheme="minorEastAsia" w:eastAsiaTheme="minorEastAsia"/>
          <w:b/>
          <w:bCs/>
          <w:color w:val="auto"/>
          <w:sz w:val="24"/>
          <w:highlight w:val="none"/>
          <w:u w:val="single"/>
        </w:rPr>
        <w:t>日下午1</w:t>
      </w:r>
      <w:r>
        <w:rPr>
          <w:rFonts w:hint="eastAsia" w:cs="仿宋" w:asciiTheme="minorEastAsia" w:hAnsiTheme="minorEastAsia" w:eastAsiaTheme="minorEastAsia"/>
          <w:b/>
          <w:bCs/>
          <w:color w:val="auto"/>
          <w:sz w:val="24"/>
          <w:highlight w:val="none"/>
          <w:u w:val="single"/>
          <w:lang w:val="en-US" w:eastAsia="zh-CN"/>
        </w:rPr>
        <w:t>3</w:t>
      </w:r>
      <w:r>
        <w:rPr>
          <w:rFonts w:hint="eastAsia" w:cs="仿宋" w:asciiTheme="minorEastAsia" w:hAnsiTheme="minorEastAsia" w:eastAsiaTheme="minorEastAsia"/>
          <w:b/>
          <w:bCs/>
          <w:color w:val="auto"/>
          <w:sz w:val="24"/>
          <w:highlight w:val="none"/>
          <w:u w:val="single"/>
        </w:rPr>
        <w:t>:</w:t>
      </w:r>
      <w:r>
        <w:rPr>
          <w:rFonts w:hint="eastAsia" w:cs="仿宋" w:asciiTheme="minorEastAsia" w:hAnsiTheme="minorEastAsia" w:eastAsiaTheme="minorEastAsia"/>
          <w:b/>
          <w:bCs/>
          <w:color w:val="auto"/>
          <w:sz w:val="24"/>
          <w:highlight w:val="none"/>
          <w:u w:val="single"/>
          <w:lang w:val="en-US" w:eastAsia="zh-CN"/>
        </w:rPr>
        <w:t>3</w:t>
      </w:r>
      <w:r>
        <w:rPr>
          <w:rFonts w:hint="eastAsia" w:cs="仿宋" w:asciiTheme="minorEastAsia" w:hAnsiTheme="minorEastAsia" w:eastAsiaTheme="minorEastAsia"/>
          <w:b/>
          <w:bCs/>
          <w:color w:val="auto"/>
          <w:sz w:val="24"/>
          <w:highlight w:val="none"/>
          <w:u w:val="single"/>
        </w:rPr>
        <w:t>0分；</w:t>
      </w:r>
      <w:r>
        <w:rPr>
          <w:rFonts w:hint="eastAsia" w:cs="仿宋" w:asciiTheme="minorEastAsia" w:hAnsiTheme="minorEastAsia" w:eastAsiaTheme="minorEastAsia"/>
          <w:b/>
          <w:bCs/>
          <w:color w:val="auto"/>
          <w:sz w:val="24"/>
          <w:highlight w:val="none"/>
        </w:rPr>
        <w:t xml:space="preserve"> </w:t>
      </w:r>
    </w:p>
    <w:p w14:paraId="6D33D1A4">
      <w:pPr>
        <w:snapToGrid w:val="0"/>
        <w:spacing w:line="440" w:lineRule="exac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开标地点：金华市公共资源交易中心东阳分中心（艺海北路388号B幢西区）10楼开标</w:t>
      </w:r>
    </w:p>
    <w:p w14:paraId="0DFD6001">
      <w:pPr>
        <w:snapToGrid w:val="0"/>
        <w:spacing w:line="440" w:lineRule="exact"/>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区开标室。</w:t>
      </w:r>
    </w:p>
    <w:p w14:paraId="11AB79A8">
      <w:pPr>
        <w:snapToGrid w:val="0"/>
        <w:spacing w:line="440" w:lineRule="exact"/>
        <w:ind w:firstLine="482"/>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供应商无须到开标现场开标，请在开标截止时间前加入指定钉钉群并签到，参与不见面开标会，供应商在投标文件开启后至开标会结束前需在钉钉群等候在线询标，同时请供应商保持电话畅通，因通讯不畅造成的一切后果由供应商自行承担。若在开评标过程中评审小组需要求供应商澄清、说明或者补正的，通过电子邮箱进行澄清、说明或者补正，供应商对电子邮箱中作出澄清、说明或者补正的相关内容承担全部责任。</w:t>
      </w:r>
    </w:p>
    <w:p w14:paraId="11E93C9E">
      <w:pPr>
        <w:snapToGrid w:val="0"/>
        <w:spacing w:line="440" w:lineRule="exact"/>
        <w:ind w:firstLine="482"/>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十一、招标文件下载地址：</w:t>
      </w:r>
    </w:p>
    <w:p w14:paraId="08117629">
      <w:pPr>
        <w:snapToGrid w:val="0"/>
        <w:spacing w:line="360" w:lineRule="auto"/>
        <w:ind w:firstLine="480" w:firstLineChars="200"/>
        <w:jc w:val="left"/>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21"/>
          <w:rFonts w:hint="eastAsia" w:cs="仿宋" w:asciiTheme="minorEastAsia" w:hAnsiTheme="minorEastAsia" w:eastAsiaTheme="minorEastAsia"/>
          <w:color w:val="auto"/>
          <w:sz w:val="24"/>
          <w:szCs w:val="24"/>
          <w:highlight w:val="none"/>
        </w:rPr>
        <w:t>https://zfcg.czt.zj.gov.cn/</w:t>
      </w:r>
      <w:r>
        <w:rPr>
          <w:rStyle w:val="21"/>
          <w:rFonts w:hint="eastAsia" w:cs="仿宋" w:asciiTheme="minorEastAsia" w:hAnsiTheme="minorEastAsia" w:eastAsiaTheme="minorEastAsia"/>
          <w:color w:val="auto"/>
          <w:sz w:val="24"/>
          <w:szCs w:val="24"/>
          <w:highlight w:val="none"/>
        </w:rPr>
        <w:fldChar w:fldCharType="end"/>
      </w:r>
      <w:r>
        <w:rPr>
          <w:rFonts w:hint="eastAsia" w:cs="仿宋" w:asciiTheme="minorEastAsia" w:hAnsiTheme="minorEastAsia" w:eastAsiaTheme="minorEastAsia"/>
          <w:color w:val="auto"/>
          <w:sz w:val="24"/>
          <w:szCs w:val="24"/>
          <w:highlight w:val="none"/>
        </w:rPr>
        <w:t>)；</w:t>
      </w:r>
    </w:p>
    <w:p w14:paraId="4A162495">
      <w:pPr>
        <w:snapToGrid w:val="0"/>
        <w:spacing w:line="360" w:lineRule="auto"/>
        <w:ind w:firstLine="480" w:firstLineChars="200"/>
        <w:jc w:val="left"/>
        <w:rPr>
          <w:rFonts w:hint="eastAsia" w:cs="宋体" w:asciiTheme="minorEastAsia" w:hAnsiTheme="minorEastAsia" w:eastAsiaTheme="minorEastAsia"/>
          <w:color w:val="auto"/>
          <w:sz w:val="24"/>
          <w:szCs w:val="24"/>
          <w:highlight w:val="none"/>
        </w:rPr>
      </w:pPr>
      <w:r>
        <w:rPr>
          <w:rFonts w:hint="eastAsia" w:ascii="宋体" w:hAnsi="宋体" w:cs="宋体"/>
          <w:color w:val="000000" w:themeColor="text1"/>
          <w:sz w:val="24"/>
          <w14:textFill>
            <w14:solidFill>
              <w14:schemeClr w14:val="tx1"/>
            </w14:solidFill>
          </w14:textFill>
        </w:rPr>
        <w:t>金华市公共资源交易网(</w:t>
      </w:r>
      <w:r>
        <w:rPr>
          <w:rFonts w:ascii="宋体" w:hAnsi="宋体" w:cs="宋体"/>
          <w:color w:val="000000" w:themeColor="text1"/>
          <w:sz w:val="24"/>
          <w:u w:val="single"/>
          <w14:textFill>
            <w14:solidFill>
              <w14:schemeClr w14:val="tx1"/>
            </w14:solidFill>
          </w14:textFill>
        </w:rPr>
        <w:t>http://ggzyjy.jinhua.gov.cn/</w:t>
      </w:r>
      <w:r>
        <w:rPr>
          <w:rFonts w:hint="eastAsia" w:ascii="宋体" w:hAnsi="宋体" w:cs="宋体"/>
          <w:color w:val="000000" w:themeColor="text1"/>
          <w:sz w:val="24"/>
          <w:u w:val="single"/>
          <w:lang w:eastAsia="zh-CN"/>
          <w14:textFill>
            <w14:solidFill>
              <w14:schemeClr w14:val="tx1"/>
            </w14:solidFill>
          </w14:textFill>
        </w:rPr>
        <w:t>）</w:t>
      </w:r>
      <w:r>
        <w:rPr>
          <w:rFonts w:hint="eastAsia" w:cs="宋体" w:asciiTheme="minorEastAsia" w:hAnsiTheme="minorEastAsia" w:eastAsiaTheme="minorEastAsia"/>
          <w:color w:val="auto"/>
          <w:sz w:val="24"/>
          <w:szCs w:val="24"/>
          <w:highlight w:val="none"/>
        </w:rPr>
        <w:t>。</w:t>
      </w:r>
    </w:p>
    <w:p w14:paraId="7049C1FC">
      <w:pPr>
        <w:snapToGrid w:val="0"/>
        <w:spacing w:line="360" w:lineRule="auto"/>
        <w:ind w:firstLine="482" w:firstLineChars="200"/>
        <w:jc w:val="left"/>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十二、其他事项：</w:t>
      </w:r>
    </w:p>
    <w:p w14:paraId="32856084">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为确保招投标活动的公开、公平、公正，切实维护各方合法权益，凡在招标投标、开标评标过程中，受到敲诈、勒索或发现围标串标、虚假投标、恶意竞标等涉黑涉恶线索者，请及时保留相关证据并向有关部门举报。举报电话：</w:t>
      </w:r>
    </w:p>
    <w:p w14:paraId="6047F53C">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市扫黑办：0579-86655381               市公安局：110、0579-86096000</w:t>
      </w:r>
    </w:p>
    <w:p w14:paraId="327F32BD">
      <w:pPr>
        <w:snapToGrid w:val="0"/>
        <w:spacing w:line="360" w:lineRule="auto"/>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市检察院: 0579-86642000               市 法 院：0579-86620148</w:t>
      </w:r>
    </w:p>
    <w:p w14:paraId="085BD3F8">
      <w:pPr>
        <w:snapToGrid w:val="0"/>
        <w:spacing w:line="360" w:lineRule="auto"/>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市公共资源办:0579-86691835            市公共资源交易中心:0579-86691729</w:t>
      </w:r>
    </w:p>
    <w:p w14:paraId="14E8E3AD">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2、公告期限：本项目公告期限为5个工作日（以公告发布次日开始计算）。</w:t>
      </w:r>
    </w:p>
    <w:p w14:paraId="64213103">
      <w:pPr>
        <w:snapToGrid w:val="0"/>
        <w:spacing w:line="360" w:lineRule="auto"/>
        <w:ind w:firstLine="482" w:firstLineChars="200"/>
        <w:jc w:val="left"/>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color w:val="auto"/>
          <w:sz w:val="24"/>
          <w:highlight w:val="none"/>
        </w:rPr>
        <w:t>十三、业务咨询</w:t>
      </w:r>
      <w:r>
        <w:rPr>
          <w:rFonts w:hint="eastAsia" w:cs="仿宋" w:asciiTheme="minorEastAsia" w:hAnsiTheme="minorEastAsia" w:eastAsiaTheme="minorEastAsia"/>
          <w:b/>
          <w:bCs/>
          <w:color w:val="auto"/>
          <w:sz w:val="24"/>
          <w:szCs w:val="24"/>
          <w:highlight w:val="none"/>
        </w:rPr>
        <w:t>：</w:t>
      </w:r>
    </w:p>
    <w:p w14:paraId="5A7BE1A0">
      <w:pPr>
        <w:snapToGrid w:val="0"/>
        <w:spacing w:line="360" w:lineRule="auto"/>
        <w:ind w:left="480" w:leftChars="240"/>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1、采购人信息</w:t>
      </w:r>
    </w:p>
    <w:p w14:paraId="11B4C94C">
      <w:pPr>
        <w:snapToGrid w:val="0"/>
        <w:spacing w:line="360" w:lineRule="auto"/>
        <w:ind w:left="480" w:leftChars="24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采购人名称：东阳市水务投资集团有限公司</w:t>
      </w:r>
    </w:p>
    <w:p w14:paraId="5F9B1CFC">
      <w:pPr>
        <w:snapToGrid w:val="0"/>
        <w:spacing w:line="360" w:lineRule="auto"/>
        <w:ind w:left="480" w:leftChars="24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采购人地址：东阳市吴宁街道卢宅社区汉宁东路311号</w:t>
      </w:r>
    </w:p>
    <w:p w14:paraId="5CB3C81C">
      <w:pPr>
        <w:snapToGrid w:val="0"/>
        <w:spacing w:line="360" w:lineRule="auto"/>
        <w:ind w:left="480" w:leftChars="24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联系人（询问）：李女士</w:t>
      </w:r>
    </w:p>
    <w:p w14:paraId="7810CED5">
      <w:pPr>
        <w:snapToGrid w:val="0"/>
        <w:spacing w:line="360" w:lineRule="auto"/>
        <w:ind w:left="480" w:leftChars="24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联系电话（询问）：0579-89300607</w:t>
      </w:r>
    </w:p>
    <w:p w14:paraId="36354B9E">
      <w:pPr>
        <w:snapToGrid w:val="0"/>
        <w:spacing w:line="360" w:lineRule="auto"/>
        <w:ind w:left="480" w:leftChars="24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质疑联系人：李女士      </w:t>
      </w:r>
    </w:p>
    <w:p w14:paraId="43C00413">
      <w:pPr>
        <w:snapToGrid w:val="0"/>
        <w:spacing w:line="360" w:lineRule="auto"/>
        <w:ind w:left="480" w:leftChars="24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联系电话：0579-89300607</w:t>
      </w:r>
    </w:p>
    <w:p w14:paraId="4BAFCF82">
      <w:pPr>
        <w:snapToGrid w:val="0"/>
        <w:spacing w:line="360" w:lineRule="auto"/>
        <w:ind w:left="480" w:leftChars="240"/>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2、采购代理机构信息</w:t>
      </w:r>
    </w:p>
    <w:p w14:paraId="64B1C838">
      <w:pPr>
        <w:snapToGrid w:val="0"/>
        <w:spacing w:line="360" w:lineRule="auto"/>
        <w:ind w:left="480" w:leftChars="24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名称：浙江衢州公信工程管理有限公司</w:t>
      </w:r>
    </w:p>
    <w:p w14:paraId="35E3F8F6">
      <w:pPr>
        <w:snapToGrid w:val="0"/>
        <w:spacing w:line="360" w:lineRule="auto"/>
        <w:ind w:firstLine="540" w:firstLineChars="225"/>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地址：浙江省东阳市江滨南街555号 </w:t>
      </w:r>
    </w:p>
    <w:p w14:paraId="1EC2846B">
      <w:pPr>
        <w:snapToGri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szCs w:val="24"/>
          <w:highlight w:val="none"/>
        </w:rPr>
        <w:t>项目联系人</w:t>
      </w:r>
      <w:r>
        <w:rPr>
          <w:rFonts w:hint="eastAsia" w:cs="仿宋" w:asciiTheme="minorEastAsia" w:hAnsiTheme="minorEastAsia" w:eastAsiaTheme="minorEastAsia"/>
          <w:color w:val="auto"/>
          <w:sz w:val="24"/>
          <w:highlight w:val="none"/>
        </w:rPr>
        <w:t>（询问）</w:t>
      </w:r>
      <w:r>
        <w:rPr>
          <w:rFonts w:hint="eastAsia" w:cs="仿宋" w:asciiTheme="minorEastAsia" w:hAnsiTheme="minorEastAsia" w:eastAsiaTheme="minorEastAsia"/>
          <w:color w:val="auto"/>
          <w:sz w:val="24"/>
          <w:szCs w:val="24"/>
          <w:highlight w:val="none"/>
        </w:rPr>
        <w:t xml:space="preserve">：张先生     </w:t>
      </w:r>
      <w:r>
        <w:rPr>
          <w:rFonts w:hint="eastAsia" w:cs="仿宋" w:asciiTheme="minorEastAsia" w:hAnsiTheme="minorEastAsia" w:eastAsiaTheme="minorEastAsia"/>
          <w:color w:val="auto"/>
          <w:sz w:val="24"/>
          <w:highlight w:val="none"/>
        </w:rPr>
        <w:t xml:space="preserve"> </w:t>
      </w:r>
    </w:p>
    <w:p w14:paraId="68BD78ED">
      <w:pPr>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highlight w:val="none"/>
        </w:rPr>
        <w:t>项目联系方式（询问）</w:t>
      </w:r>
      <w:r>
        <w:rPr>
          <w:rFonts w:hint="eastAsia" w:cs="仿宋" w:asciiTheme="minorEastAsia" w:hAnsiTheme="minorEastAsia" w:eastAsiaTheme="minorEastAsia"/>
          <w:color w:val="auto"/>
          <w:sz w:val="24"/>
          <w:szCs w:val="24"/>
          <w:highlight w:val="none"/>
        </w:rPr>
        <w:t xml:space="preserve">：18267906178     </w:t>
      </w:r>
    </w:p>
    <w:p w14:paraId="6EEC9785">
      <w:pPr>
        <w:adjustRightIn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 xml:space="preserve">质疑联系人：卜先生        </w:t>
      </w:r>
    </w:p>
    <w:p w14:paraId="54CA6BB8">
      <w:pPr>
        <w:adjustRightInd w:val="0"/>
        <w:spacing w:line="360" w:lineRule="auto"/>
        <w:ind w:firstLine="480" w:firstLineChars="200"/>
        <w:contextualSpacing/>
        <w:rPr>
          <w:color w:val="auto"/>
          <w:highlight w:val="none"/>
        </w:rPr>
      </w:pPr>
      <w:r>
        <w:rPr>
          <w:rFonts w:hint="eastAsia" w:ascii="宋体" w:hAnsi="宋体" w:cs="宋体"/>
          <w:color w:val="auto"/>
          <w:sz w:val="24"/>
          <w:highlight w:val="none"/>
        </w:rPr>
        <w:t>联系电话：15957956000</w:t>
      </w:r>
    </w:p>
    <w:p w14:paraId="0B276905">
      <w:pPr>
        <w:snapToGrid w:val="0"/>
        <w:spacing w:line="360" w:lineRule="auto"/>
        <w:ind w:firstLine="542" w:firstLineChars="225"/>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z w:val="24"/>
          <w:szCs w:val="24"/>
          <w:highlight w:val="none"/>
        </w:rPr>
        <w:t xml:space="preserve">3、国有企业采购行政监督部门：   </w:t>
      </w:r>
    </w:p>
    <w:p w14:paraId="5535A5E1">
      <w:pPr>
        <w:snapToGrid w:val="0"/>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东阳市人民政府国有资产监督管理办公室   联系电话：0579-86662632</w:t>
      </w:r>
    </w:p>
    <w:p w14:paraId="67DC7767">
      <w:pPr>
        <w:snapToGrid w:val="0"/>
        <w:spacing w:line="440" w:lineRule="exact"/>
        <w:ind w:firstLine="5608" w:firstLineChars="2337"/>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东阳市水务投资集团有限公司</w:t>
      </w:r>
    </w:p>
    <w:p w14:paraId="0CF0A8A8">
      <w:pPr>
        <w:snapToGrid w:val="0"/>
        <w:spacing w:line="440" w:lineRule="exact"/>
        <w:ind w:firstLine="5760" w:firstLineChars="24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浙江衢州公信工程管理有限公司  </w:t>
      </w:r>
    </w:p>
    <w:p w14:paraId="391699B4">
      <w:pPr>
        <w:snapToGrid w:val="0"/>
        <w:spacing w:line="440" w:lineRule="exact"/>
        <w:ind w:firstLine="6000" w:firstLineChars="2500"/>
        <w:rPr>
          <w:rFonts w:hint="eastAsia" w:cs="黑体" w:asciiTheme="minorEastAsia" w:hAnsiTheme="minorEastAsia" w:eastAsiaTheme="minorEastAsia"/>
          <w:b/>
          <w:bCs/>
          <w:color w:val="auto"/>
          <w:sz w:val="30"/>
          <w:szCs w:val="30"/>
          <w:highlight w:val="none"/>
        </w:rPr>
      </w:pPr>
      <w:r>
        <w:rPr>
          <w:rFonts w:hint="eastAsia" w:cs="仿宋" w:asciiTheme="minorEastAsia" w:hAnsiTheme="minorEastAsia" w:eastAsiaTheme="minorEastAsia"/>
          <w:color w:val="auto"/>
          <w:sz w:val="24"/>
          <w:szCs w:val="24"/>
          <w:highlight w:val="none"/>
        </w:rPr>
        <w:t>2024年</w:t>
      </w:r>
      <w:r>
        <w:rPr>
          <w:rFonts w:hint="eastAsia" w:cs="仿宋" w:asciiTheme="minorEastAsia" w:hAnsiTheme="minorEastAsia" w:eastAsiaTheme="minorEastAsia"/>
          <w:color w:val="auto"/>
          <w:sz w:val="24"/>
          <w:szCs w:val="24"/>
          <w:highlight w:val="none"/>
          <w:lang w:val="en-US" w:eastAsia="zh-CN"/>
        </w:rPr>
        <w:t>10</w:t>
      </w:r>
      <w:r>
        <w:rPr>
          <w:rFonts w:hint="eastAsia" w:cs="仿宋" w:asciiTheme="minorEastAsia" w:hAnsiTheme="minorEastAsia" w:eastAsiaTheme="minorEastAsia"/>
          <w:color w:val="auto"/>
          <w:sz w:val="24"/>
          <w:szCs w:val="24"/>
          <w:highlight w:val="none"/>
        </w:rPr>
        <w:t>月</w:t>
      </w:r>
      <w:r>
        <w:rPr>
          <w:rFonts w:hint="eastAsia" w:cs="仿宋" w:asciiTheme="minorEastAsia" w:hAnsiTheme="minorEastAsia" w:eastAsiaTheme="minorEastAsia"/>
          <w:color w:val="auto"/>
          <w:sz w:val="24"/>
          <w:szCs w:val="24"/>
          <w:highlight w:val="none"/>
          <w:lang w:val="en-US" w:eastAsia="zh-CN"/>
        </w:rPr>
        <w:t>21</w:t>
      </w:r>
      <w:r>
        <w:rPr>
          <w:rFonts w:hint="eastAsia" w:cs="仿宋" w:asciiTheme="minorEastAsia" w:hAnsiTheme="minorEastAsia" w:eastAsiaTheme="minorEastAsia"/>
          <w:color w:val="auto"/>
          <w:sz w:val="24"/>
          <w:szCs w:val="24"/>
          <w:highlight w:val="none"/>
        </w:rPr>
        <w:t xml:space="preserve">日   </w:t>
      </w:r>
      <w:bookmarkEnd w:id="10"/>
      <w:r>
        <w:rPr>
          <w:rFonts w:hint="eastAsia" w:cs="仿宋" w:asciiTheme="minorEastAsia" w:hAnsiTheme="minorEastAsia" w:eastAsiaTheme="minorEastAsia"/>
          <w:color w:val="auto"/>
          <w:sz w:val="24"/>
          <w:szCs w:val="24"/>
          <w:highlight w:val="none"/>
        </w:rPr>
        <w:t xml:space="preserve">      </w:t>
      </w:r>
    </w:p>
    <w:p w14:paraId="565D80F7">
      <w:pPr>
        <w:widowControl/>
        <w:jc w:val="left"/>
        <w:rPr>
          <w:rFonts w:hint="eastAsia" w:cs="仿宋" w:asciiTheme="minorEastAsia" w:hAnsiTheme="minorEastAsia" w:eastAsiaTheme="minorEastAsia"/>
          <w:b/>
          <w:bCs/>
          <w:color w:val="auto"/>
          <w:sz w:val="30"/>
          <w:szCs w:val="30"/>
          <w:highlight w:val="none"/>
        </w:rPr>
      </w:pPr>
      <w:r>
        <w:rPr>
          <w:rFonts w:cs="仿宋" w:asciiTheme="minorEastAsia" w:hAnsiTheme="minorEastAsia" w:eastAsiaTheme="minorEastAsia"/>
          <w:b/>
          <w:bCs/>
          <w:color w:val="auto"/>
          <w:sz w:val="30"/>
          <w:szCs w:val="30"/>
          <w:highlight w:val="none"/>
        </w:rPr>
        <w:br w:type="page"/>
      </w:r>
    </w:p>
    <w:p w14:paraId="6793C323">
      <w:pPr>
        <w:snapToGrid w:val="0"/>
        <w:spacing w:line="440" w:lineRule="exact"/>
        <w:ind w:firstLine="3614" w:firstLineChars="1200"/>
        <w:rPr>
          <w:rFonts w:hint="eastAsia" w:cs="仿宋" w:asciiTheme="minorEastAsia" w:hAnsiTheme="minorEastAsia" w:eastAsiaTheme="minorEastAsia"/>
          <w:b/>
          <w:bCs/>
          <w:color w:val="auto"/>
          <w:sz w:val="30"/>
          <w:szCs w:val="30"/>
          <w:highlight w:val="none"/>
        </w:rPr>
      </w:pPr>
      <w:r>
        <w:rPr>
          <w:rFonts w:hint="eastAsia" w:cs="仿宋" w:asciiTheme="minorEastAsia" w:hAnsiTheme="minorEastAsia" w:eastAsiaTheme="minorEastAsia"/>
          <w:b/>
          <w:bCs/>
          <w:color w:val="auto"/>
          <w:sz w:val="30"/>
          <w:szCs w:val="30"/>
          <w:highlight w:val="none"/>
        </w:rPr>
        <w:t>第二章   招标需求</w:t>
      </w:r>
    </w:p>
    <w:p w14:paraId="254033EB">
      <w:pPr>
        <w:snapToGrid w:val="0"/>
        <w:spacing w:line="440" w:lineRule="exact"/>
        <w:ind w:firstLine="241" w:firstLineChars="100"/>
        <w:rPr>
          <w:rFonts w:hint="eastAsia" w:cs="仿宋" w:asciiTheme="minorEastAsia" w:hAnsiTheme="minorEastAsia" w:eastAsiaTheme="minorEastAsia"/>
          <w:b/>
          <w:bCs/>
          <w:color w:val="auto"/>
          <w:sz w:val="24"/>
          <w:szCs w:val="22"/>
          <w:highlight w:val="none"/>
        </w:rPr>
      </w:pPr>
      <w:r>
        <w:rPr>
          <w:rFonts w:hint="eastAsia" w:cs="仿宋" w:asciiTheme="minorEastAsia" w:hAnsiTheme="minorEastAsia" w:eastAsiaTheme="minorEastAsia"/>
          <w:b/>
          <w:bCs/>
          <w:color w:val="auto"/>
          <w:sz w:val="24"/>
          <w:szCs w:val="22"/>
          <w:highlight w:val="none"/>
        </w:rPr>
        <w:t>一、项目名称：东阳市水务投资集团有限公司供水收费权资产证券化发行中介服务机构采购项目</w:t>
      </w:r>
    </w:p>
    <w:p w14:paraId="246E787A">
      <w:pPr>
        <w:snapToGrid w:val="0"/>
        <w:spacing w:line="440" w:lineRule="exact"/>
        <w:ind w:firstLine="241" w:firstLineChars="100"/>
        <w:rPr>
          <w:rFonts w:hint="eastAsia" w:cs="仿宋" w:asciiTheme="minorEastAsia" w:hAnsiTheme="minorEastAsia" w:eastAsiaTheme="minorEastAsia"/>
          <w:b/>
          <w:bCs/>
          <w:color w:val="auto"/>
          <w:sz w:val="24"/>
          <w:szCs w:val="22"/>
          <w:highlight w:val="none"/>
        </w:rPr>
      </w:pPr>
      <w:r>
        <w:rPr>
          <w:rFonts w:hint="eastAsia" w:cs="仿宋" w:asciiTheme="minorEastAsia" w:hAnsiTheme="minorEastAsia" w:eastAsiaTheme="minorEastAsia"/>
          <w:b/>
          <w:bCs/>
          <w:color w:val="auto"/>
          <w:sz w:val="24"/>
          <w:szCs w:val="22"/>
          <w:highlight w:val="none"/>
        </w:rPr>
        <w:t>二、项目编号：ZJQZGX2024-019</w:t>
      </w:r>
    </w:p>
    <w:p w14:paraId="78A19449">
      <w:pPr>
        <w:spacing w:line="440" w:lineRule="atLeast"/>
        <w:ind w:firstLine="241" w:firstLineChars="1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三、主承销商服务要求、质量和标准</w:t>
      </w:r>
    </w:p>
    <w:p w14:paraId="6FCF3BF3">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1.前期阶段</w:t>
      </w:r>
    </w:p>
    <w:p w14:paraId="7C3BCE9D">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中标公示期结束后供应商需与招标人签订合作协议，供应商应按相关规定进行充分尽职调查，收集公司资料，设计详尽的供水收费权资产证券化发行方案，包括但不限于发行期限、保障措施、发行时间安排、发行建议等，并负责协调各中介机构制定完善的供水收费权资产证券化申报材料。</w:t>
      </w:r>
    </w:p>
    <w:p w14:paraId="1D724843">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2.材料申报阶段</w:t>
      </w:r>
    </w:p>
    <w:p w14:paraId="444AE31E">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供应商负责制作本项目的申报材料并上报、与主管部门的沟通、完成供水收费权资产证券化的审核、获取交易所批复等工作。</w:t>
      </w:r>
    </w:p>
    <w:p w14:paraId="07F7D942">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3.发行阶段</w:t>
      </w:r>
    </w:p>
    <w:p w14:paraId="4A5666E8">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供应商需按照规定的发行方案、发行额及发行条件，积极寻找合格投资者，在约定期限内完成当期债券销售工作。</w:t>
      </w:r>
    </w:p>
    <w:p w14:paraId="6FB6B961">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4.发行完毕后，供应商负责协助公司及时完成备案及后续管理工作。</w:t>
      </w:r>
    </w:p>
    <w:p w14:paraId="4FF2BC0B">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5.其他工作，与供水收费权资产证券化发行、发行后存续期内相关的其他专业服务。</w:t>
      </w:r>
    </w:p>
    <w:p w14:paraId="2E24CAF0">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6.项目团队配置应不少于4人，职责分工明确、合理，团队人员应包含具有丰富的类似债券发行及销售经验的专业人员。</w:t>
      </w:r>
    </w:p>
    <w:p w14:paraId="548A23F7">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7.时间要求</w:t>
      </w:r>
    </w:p>
    <w:p w14:paraId="52929F35">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供应商应按照同招标人、相关中介机构确定的工作时间表时限要求，科学合理安排材料准备、材料申报事项，及时取得交易所批复，供应商牵头各中介服务机构按照招标人的要求积极推进评级及债券申报工作。</w:t>
      </w:r>
    </w:p>
    <w:p w14:paraId="5DF2A458">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（2）根据招标人的需求及市场情况，及时启动债券发行和销售工作。</w:t>
      </w:r>
    </w:p>
    <w:p w14:paraId="369C0FDF">
      <w:pPr>
        <w:spacing w:line="360" w:lineRule="auto"/>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四、主承销商服务内容</w:t>
      </w:r>
    </w:p>
    <w:p w14:paraId="17C6AF3F">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供应商应完成本次债券发行须完成的全部工作，主要包括但不限于以下内容：</w:t>
      </w:r>
    </w:p>
    <w:p w14:paraId="3C3DCE4B">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1.根据招标人提出的目标，设计融资方案并协调其他中介服务机构的相关工作；</w:t>
      </w:r>
    </w:p>
    <w:p w14:paraId="2A1FD4E3">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2.协助招标人完成全部债券发行申报文件及有关审批程序，包括但不限于主管机关要求申报的文件、债券销售推介材料以及交易流通申请材料；</w:t>
      </w:r>
    </w:p>
    <w:p w14:paraId="2236C070">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3.通过询价工作促使招标人获得合理的发行利率；</w:t>
      </w:r>
    </w:p>
    <w:p w14:paraId="29815677">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4.存续期内协助招标人完成信息披露和本息偿付工作。</w:t>
      </w:r>
    </w:p>
    <w:p w14:paraId="23F820B8">
      <w:pPr>
        <w:spacing w:line="360" w:lineRule="auto"/>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五、项目采购要求</w:t>
      </w:r>
    </w:p>
    <w:p w14:paraId="7C6C8BCB">
      <w:pPr>
        <w:spacing w:line="360" w:lineRule="auto"/>
        <w:ind w:firstLine="480" w:firstLineChars="20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1.发行主体：东阳市水务投资集团有限公司；</w:t>
      </w:r>
    </w:p>
    <w:p w14:paraId="643C518E">
      <w:pPr>
        <w:spacing w:line="360" w:lineRule="auto"/>
        <w:ind w:firstLine="480" w:firstLineChars="20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2.债券品种：供水收费权资产证券化；</w:t>
      </w:r>
    </w:p>
    <w:p w14:paraId="07663194">
      <w:pPr>
        <w:spacing w:line="360" w:lineRule="auto"/>
        <w:ind w:firstLine="480" w:firstLineChars="20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3.发行规模：不超过人民币5.23亿元（含5.23亿元），可分期发行；</w:t>
      </w:r>
    </w:p>
    <w:p w14:paraId="6FCCAA61">
      <w:pPr>
        <w:spacing w:line="360" w:lineRule="auto"/>
        <w:ind w:firstLine="480" w:firstLineChars="20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4.发行期限：3+2+2年期；</w:t>
      </w:r>
    </w:p>
    <w:p w14:paraId="1BC228EA">
      <w:pPr>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bCs/>
          <w:color w:val="auto"/>
          <w:sz w:val="24"/>
          <w:szCs w:val="24"/>
          <w:highlight w:val="none"/>
        </w:rPr>
        <w:t>5.募集资金用途：</w:t>
      </w:r>
      <w:r>
        <w:rPr>
          <w:rFonts w:hint="eastAsia" w:cs="仿宋" w:asciiTheme="minorEastAsia" w:hAnsiTheme="minorEastAsia" w:eastAsiaTheme="minorEastAsia"/>
          <w:color w:val="auto"/>
          <w:sz w:val="24"/>
          <w:szCs w:val="24"/>
          <w:highlight w:val="none"/>
        </w:rPr>
        <w:t>主要用于偿付到期的应付债券、项目建设、补充流动资金等法律法规允许的用途。</w:t>
      </w:r>
    </w:p>
    <w:p w14:paraId="7DCBBF1F">
      <w:pPr>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6.本次招标综合得分第一名为中标单位。</w:t>
      </w:r>
    </w:p>
    <w:p w14:paraId="43435855">
      <w:pPr>
        <w:spacing w:line="360" w:lineRule="auto"/>
        <w:ind w:firstLine="480" w:firstLineChars="20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7.报价要求</w:t>
      </w:r>
    </w:p>
    <w:p w14:paraId="2FFE9D77">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bCs/>
          <w:color w:val="auto"/>
          <w:sz w:val="24"/>
          <w:szCs w:val="24"/>
          <w:highlight w:val="none"/>
          <w:lang w:val="zh-CN"/>
        </w:rPr>
        <w:t xml:space="preserve">  </w:t>
      </w:r>
      <w:r>
        <w:rPr>
          <w:rFonts w:hint="eastAsia" w:cs="仿宋" w:asciiTheme="minorEastAsia" w:hAnsiTheme="minorEastAsia" w:eastAsiaTheme="minorEastAsia"/>
          <w:bCs/>
          <w:color w:val="auto"/>
          <w:sz w:val="24"/>
          <w:szCs w:val="24"/>
          <w:highlight w:val="none"/>
        </w:rPr>
        <w:t xml:space="preserve"> </w:t>
      </w:r>
      <w:r>
        <w:rPr>
          <w:rFonts w:hint="eastAsia" w:cs="仿宋" w:asciiTheme="minorEastAsia" w:hAnsiTheme="minorEastAsia" w:eastAsiaTheme="minorEastAsia"/>
          <w:bCs/>
          <w:color w:val="auto"/>
          <w:sz w:val="24"/>
          <w:szCs w:val="24"/>
          <w:highlight w:val="none"/>
          <w:lang w:val="zh-CN"/>
        </w:rPr>
        <w:t xml:space="preserve"> </w:t>
      </w:r>
      <w:r>
        <w:rPr>
          <w:rFonts w:hint="eastAsia" w:cs="仿宋" w:asciiTheme="minorEastAsia" w:hAnsiTheme="minorEastAsia" w:eastAsiaTheme="minorEastAsia"/>
          <w:bCs/>
          <w:color w:val="auto"/>
          <w:sz w:val="24"/>
          <w:szCs w:val="24"/>
          <w:highlight w:val="none"/>
        </w:rPr>
        <w:t>8.</w:t>
      </w:r>
      <w:r>
        <w:rPr>
          <w:rFonts w:hint="eastAsia" w:cs="仿宋" w:asciiTheme="minorEastAsia" w:hAnsiTheme="minorEastAsia" w:eastAsiaTheme="minorEastAsia"/>
          <w:color w:val="auto"/>
          <w:sz w:val="24"/>
          <w:szCs w:val="24"/>
          <w:highlight w:val="none"/>
        </w:rPr>
        <w:t>报价要求（报价不在此范围内的投标作无效标处理）详见下表：</w:t>
      </w:r>
    </w:p>
    <w:tbl>
      <w:tblPr>
        <w:tblStyle w:val="19"/>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69"/>
        <w:gridCol w:w="3515"/>
        <w:gridCol w:w="4655"/>
      </w:tblGrid>
      <w:tr w14:paraId="18A4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1169" w:type="dxa"/>
            <w:vAlign w:val="center"/>
          </w:tcPr>
          <w:p w14:paraId="7E538B0C">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序号</w:t>
            </w:r>
          </w:p>
        </w:tc>
        <w:tc>
          <w:tcPr>
            <w:tcW w:w="3515" w:type="dxa"/>
            <w:vAlign w:val="center"/>
          </w:tcPr>
          <w:p w14:paraId="651EE7F5">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费用名称</w:t>
            </w:r>
          </w:p>
        </w:tc>
        <w:tc>
          <w:tcPr>
            <w:tcW w:w="4655" w:type="dxa"/>
            <w:vAlign w:val="center"/>
          </w:tcPr>
          <w:p w14:paraId="34170625">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最高限价</w:t>
            </w:r>
          </w:p>
        </w:tc>
      </w:tr>
      <w:tr w14:paraId="2694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jc w:val="center"/>
        </w:trPr>
        <w:tc>
          <w:tcPr>
            <w:tcW w:w="1169" w:type="dxa"/>
            <w:vAlign w:val="center"/>
          </w:tcPr>
          <w:p w14:paraId="4B9F2610">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1</w:t>
            </w:r>
          </w:p>
        </w:tc>
        <w:tc>
          <w:tcPr>
            <w:tcW w:w="3515" w:type="dxa"/>
            <w:vAlign w:val="center"/>
          </w:tcPr>
          <w:p w14:paraId="2F9ECC41">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承销费用</w:t>
            </w:r>
          </w:p>
        </w:tc>
        <w:tc>
          <w:tcPr>
            <w:tcW w:w="4655" w:type="dxa"/>
            <w:vAlign w:val="center"/>
          </w:tcPr>
          <w:p w14:paraId="1890AEBD">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实际发行额的0.14%/年（含）</w:t>
            </w:r>
          </w:p>
        </w:tc>
      </w:tr>
    </w:tbl>
    <w:p w14:paraId="0CB17492">
      <w:pPr>
        <w:spacing w:line="360" w:lineRule="auto"/>
        <w:ind w:firstLine="241" w:firstLineChars="100"/>
        <w:rPr>
          <w:rFonts w:hint="eastAsia"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9</w:t>
      </w:r>
      <w:r>
        <w:rPr>
          <w:rFonts w:hint="eastAsia" w:cs="仿宋" w:asciiTheme="minorEastAsia" w:hAnsiTheme="minorEastAsia" w:eastAsiaTheme="minorEastAsia"/>
          <w:bCs/>
          <w:color w:val="auto"/>
          <w:sz w:val="24"/>
          <w:szCs w:val="24"/>
          <w:highlight w:val="none"/>
        </w:rPr>
        <w:t>.</w:t>
      </w:r>
      <w:r>
        <w:rPr>
          <w:rFonts w:hint="eastAsia" w:cs="仿宋" w:asciiTheme="minorEastAsia" w:hAnsiTheme="minorEastAsia" w:eastAsiaTheme="minorEastAsia"/>
          <w:b/>
          <w:color w:val="auto"/>
          <w:sz w:val="24"/>
          <w:szCs w:val="24"/>
          <w:highlight w:val="none"/>
        </w:rPr>
        <w:t>具体商务需求内容（详见下表）</w:t>
      </w:r>
    </w:p>
    <w:tbl>
      <w:tblPr>
        <w:tblStyle w:val="19"/>
        <w:tblW w:w="9339" w:type="dxa"/>
        <w:jc w:val="center"/>
        <w:tblLayout w:type="fixed"/>
        <w:tblCellMar>
          <w:top w:w="15" w:type="dxa"/>
          <w:left w:w="15" w:type="dxa"/>
          <w:bottom w:w="15" w:type="dxa"/>
          <w:right w:w="15" w:type="dxa"/>
        </w:tblCellMar>
      </w:tblPr>
      <w:tblGrid>
        <w:gridCol w:w="656"/>
        <w:gridCol w:w="1801"/>
        <w:gridCol w:w="6882"/>
      </w:tblGrid>
      <w:tr w14:paraId="7BB74689">
        <w:tblPrEx>
          <w:tblCellMar>
            <w:top w:w="15" w:type="dxa"/>
            <w:left w:w="15" w:type="dxa"/>
            <w:bottom w:w="15" w:type="dxa"/>
            <w:right w:w="15" w:type="dxa"/>
          </w:tblCellMar>
        </w:tblPrEx>
        <w:trPr>
          <w:trHeight w:val="476"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34B8816">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序号</w:t>
            </w:r>
          </w:p>
        </w:tc>
        <w:tc>
          <w:tcPr>
            <w:tcW w:w="1801" w:type="dxa"/>
            <w:tcBorders>
              <w:top w:val="single" w:color="000000" w:sz="4" w:space="0"/>
              <w:left w:val="single" w:color="000000" w:sz="4" w:space="0"/>
              <w:bottom w:val="single" w:color="000000" w:sz="4" w:space="0"/>
              <w:right w:val="single" w:color="000000" w:sz="4" w:space="0"/>
            </w:tcBorders>
            <w:vAlign w:val="center"/>
          </w:tcPr>
          <w:p w14:paraId="7FC43B9F">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项目名称</w:t>
            </w:r>
          </w:p>
        </w:tc>
        <w:tc>
          <w:tcPr>
            <w:tcW w:w="6882" w:type="dxa"/>
            <w:tcBorders>
              <w:top w:val="single" w:color="000000" w:sz="4" w:space="0"/>
              <w:left w:val="single" w:color="000000" w:sz="4" w:space="0"/>
              <w:bottom w:val="single" w:color="000000" w:sz="4" w:space="0"/>
              <w:right w:val="single" w:color="000000" w:sz="4" w:space="0"/>
            </w:tcBorders>
            <w:vAlign w:val="center"/>
          </w:tcPr>
          <w:p w14:paraId="0DB0CED9">
            <w:pPr>
              <w:spacing w:line="360" w:lineRule="auto"/>
              <w:jc w:val="center"/>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项目承销内容</w:t>
            </w:r>
          </w:p>
        </w:tc>
      </w:tr>
      <w:tr w14:paraId="6552224A">
        <w:tblPrEx>
          <w:tblCellMar>
            <w:top w:w="15" w:type="dxa"/>
            <w:left w:w="15" w:type="dxa"/>
            <w:bottom w:w="15" w:type="dxa"/>
            <w:right w:w="15" w:type="dxa"/>
          </w:tblCellMar>
        </w:tblPrEx>
        <w:trPr>
          <w:trHeight w:val="1270"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35C4CABC">
            <w:pPr>
              <w:spacing w:line="360" w:lineRule="auto"/>
              <w:jc w:val="center"/>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w:t>
            </w:r>
          </w:p>
        </w:tc>
        <w:tc>
          <w:tcPr>
            <w:tcW w:w="1801" w:type="dxa"/>
            <w:tcBorders>
              <w:top w:val="single" w:color="000000" w:sz="4" w:space="0"/>
              <w:left w:val="single" w:color="000000" w:sz="4" w:space="0"/>
              <w:bottom w:val="single" w:color="000000" w:sz="4" w:space="0"/>
              <w:right w:val="single" w:color="000000" w:sz="4" w:space="0"/>
            </w:tcBorders>
            <w:vAlign w:val="center"/>
          </w:tcPr>
          <w:p w14:paraId="24E0B072">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对主承销商及包销需求</w:t>
            </w:r>
          </w:p>
        </w:tc>
        <w:tc>
          <w:tcPr>
            <w:tcW w:w="6882" w:type="dxa"/>
            <w:tcBorders>
              <w:top w:val="single" w:color="000000" w:sz="4" w:space="0"/>
              <w:left w:val="single" w:color="000000" w:sz="4" w:space="0"/>
              <w:bottom w:val="single" w:color="000000" w:sz="4" w:space="0"/>
              <w:right w:val="single" w:color="000000" w:sz="4" w:space="0"/>
            </w:tcBorders>
            <w:vAlign w:val="center"/>
          </w:tcPr>
          <w:p w14:paraId="6220B694">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全面负责东阳市水务投资集团有限公司资产支持证券的申报发行，协助本次债券发行方案报监管部门。最终发行规模以监管部门正式批复文件为准。承销方式为余额包销。</w:t>
            </w:r>
          </w:p>
        </w:tc>
      </w:tr>
      <w:tr w14:paraId="59F95BCA">
        <w:tblPrEx>
          <w:tblCellMar>
            <w:top w:w="15" w:type="dxa"/>
            <w:left w:w="15" w:type="dxa"/>
            <w:bottom w:w="15" w:type="dxa"/>
            <w:right w:w="15" w:type="dxa"/>
          </w:tblCellMar>
        </w:tblPrEx>
        <w:trPr>
          <w:trHeight w:val="1001"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47ABAF7">
            <w:pPr>
              <w:spacing w:line="360" w:lineRule="auto"/>
              <w:jc w:val="center"/>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w:t>
            </w:r>
          </w:p>
        </w:tc>
        <w:tc>
          <w:tcPr>
            <w:tcW w:w="1801" w:type="dxa"/>
            <w:tcBorders>
              <w:top w:val="single" w:color="000000" w:sz="4" w:space="0"/>
              <w:left w:val="single" w:color="000000" w:sz="4" w:space="0"/>
              <w:bottom w:val="single" w:color="000000" w:sz="4" w:space="0"/>
              <w:right w:val="single" w:color="000000" w:sz="4" w:space="0"/>
            </w:tcBorders>
            <w:vAlign w:val="center"/>
          </w:tcPr>
          <w:p w14:paraId="1A040F92">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主承销商的承销费用及支付要求</w:t>
            </w:r>
          </w:p>
        </w:tc>
        <w:tc>
          <w:tcPr>
            <w:tcW w:w="6882" w:type="dxa"/>
            <w:tcBorders>
              <w:top w:val="single" w:color="000000" w:sz="4" w:space="0"/>
              <w:left w:val="single" w:color="000000" w:sz="4" w:space="0"/>
              <w:bottom w:val="single" w:color="000000" w:sz="4" w:space="0"/>
              <w:right w:val="single" w:color="000000" w:sz="4" w:space="0"/>
            </w:tcBorders>
            <w:vAlign w:val="center"/>
          </w:tcPr>
          <w:p w14:paraId="0C70CA41">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债券发行成功后，采购人支付承销佣金，若发行不成功承销费用不支付。最终的承销佣金结算以实际发行额乘以中标费率为准。</w:t>
            </w:r>
          </w:p>
        </w:tc>
      </w:tr>
      <w:tr w14:paraId="33AF624E">
        <w:tblPrEx>
          <w:tblCellMar>
            <w:top w:w="15" w:type="dxa"/>
            <w:left w:w="15" w:type="dxa"/>
            <w:bottom w:w="15" w:type="dxa"/>
            <w:right w:w="15" w:type="dxa"/>
          </w:tblCellMar>
        </w:tblPrEx>
        <w:trPr>
          <w:trHeight w:val="1348" w:hRule="atLeast"/>
          <w:jc w:val="center"/>
        </w:trPr>
        <w:tc>
          <w:tcPr>
            <w:tcW w:w="656" w:type="dxa"/>
            <w:tcBorders>
              <w:top w:val="single" w:color="000000" w:sz="4" w:space="0"/>
              <w:left w:val="single" w:color="000000" w:sz="4" w:space="0"/>
              <w:bottom w:val="single" w:color="000000" w:sz="4" w:space="0"/>
              <w:right w:val="single" w:color="000000" w:sz="4" w:space="0"/>
            </w:tcBorders>
            <w:vAlign w:val="center"/>
          </w:tcPr>
          <w:p w14:paraId="19356042">
            <w:pPr>
              <w:spacing w:line="360" w:lineRule="auto"/>
              <w:jc w:val="center"/>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w:t>
            </w:r>
          </w:p>
        </w:tc>
        <w:tc>
          <w:tcPr>
            <w:tcW w:w="1801" w:type="dxa"/>
            <w:tcBorders>
              <w:top w:val="single" w:color="000000" w:sz="4" w:space="0"/>
              <w:left w:val="single" w:color="000000" w:sz="4" w:space="0"/>
              <w:bottom w:val="single" w:color="000000" w:sz="4" w:space="0"/>
              <w:right w:val="single" w:color="000000" w:sz="4" w:space="0"/>
            </w:tcBorders>
            <w:vAlign w:val="center"/>
          </w:tcPr>
          <w:p w14:paraId="0D22BE0A">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对发行债券的存续期要求</w:t>
            </w:r>
          </w:p>
        </w:tc>
        <w:tc>
          <w:tcPr>
            <w:tcW w:w="6882" w:type="dxa"/>
            <w:tcBorders>
              <w:top w:val="single" w:color="000000" w:sz="4" w:space="0"/>
              <w:left w:val="single" w:color="000000" w:sz="4" w:space="0"/>
              <w:bottom w:val="single" w:color="000000" w:sz="4" w:space="0"/>
              <w:right w:val="single" w:color="000000" w:sz="4" w:space="0"/>
            </w:tcBorders>
            <w:vAlign w:val="center"/>
          </w:tcPr>
          <w:p w14:paraId="73333E1C">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1.主承销商应协助</w:t>
            </w:r>
            <w:r>
              <w:rPr>
                <w:rFonts w:hint="eastAsia" w:cs="仿宋" w:asciiTheme="minorEastAsia" w:hAnsiTheme="minorEastAsia" w:eastAsiaTheme="minorEastAsia"/>
                <w:bCs/>
                <w:color w:val="auto"/>
                <w:sz w:val="24"/>
                <w:szCs w:val="24"/>
                <w:highlight w:val="none"/>
              </w:rPr>
              <w:t>招标人</w:t>
            </w:r>
            <w:r>
              <w:rPr>
                <w:rFonts w:hint="eastAsia" w:cs="仿宋" w:asciiTheme="minorEastAsia" w:hAnsiTheme="minorEastAsia" w:eastAsiaTheme="minorEastAsia"/>
                <w:color w:val="auto"/>
                <w:sz w:val="24"/>
                <w:szCs w:val="24"/>
                <w:highlight w:val="none"/>
              </w:rPr>
              <w:t>做好兑付债券本息手续。</w:t>
            </w:r>
          </w:p>
          <w:p w14:paraId="2DB26EE8">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2.主承销商存续期做好债券管理及信息披露工作。</w:t>
            </w:r>
          </w:p>
          <w:p w14:paraId="7E48C024">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3.存续期服务承诺以及协助</w:t>
            </w:r>
            <w:r>
              <w:rPr>
                <w:rFonts w:hint="eastAsia" w:cs="仿宋" w:asciiTheme="minorEastAsia" w:hAnsiTheme="minorEastAsia" w:eastAsiaTheme="minorEastAsia"/>
                <w:bCs/>
                <w:color w:val="auto"/>
                <w:sz w:val="24"/>
                <w:szCs w:val="24"/>
                <w:highlight w:val="none"/>
              </w:rPr>
              <w:t>招标人</w:t>
            </w:r>
            <w:r>
              <w:rPr>
                <w:rFonts w:hint="eastAsia" w:cs="仿宋" w:asciiTheme="minorEastAsia" w:hAnsiTheme="minorEastAsia" w:eastAsiaTheme="minorEastAsia"/>
                <w:color w:val="auto"/>
                <w:sz w:val="24"/>
                <w:szCs w:val="24"/>
                <w:highlight w:val="none"/>
              </w:rPr>
              <w:t>做好意外风险应变、备选方案。</w:t>
            </w:r>
          </w:p>
        </w:tc>
      </w:tr>
    </w:tbl>
    <w:p w14:paraId="4D30906F">
      <w:pPr>
        <w:snapToGrid w:val="0"/>
        <w:spacing w:line="440" w:lineRule="exact"/>
        <w:ind w:firstLine="3012" w:firstLineChars="1000"/>
        <w:rPr>
          <w:rFonts w:hint="eastAsia" w:asciiTheme="minorEastAsia" w:hAnsiTheme="minorEastAsia" w:eastAsiaTheme="minorEastAsia"/>
          <w:b/>
          <w:bCs/>
          <w:color w:val="auto"/>
          <w:sz w:val="30"/>
          <w:highlight w:val="none"/>
        </w:rPr>
      </w:pPr>
    </w:p>
    <w:p w14:paraId="495454C1">
      <w:pPr>
        <w:snapToGrid w:val="0"/>
        <w:spacing w:line="440" w:lineRule="exact"/>
        <w:ind w:firstLine="3012" w:firstLineChars="1000"/>
        <w:rPr>
          <w:rFonts w:hint="eastAsia" w:asciiTheme="minorEastAsia" w:hAnsiTheme="minorEastAsia" w:eastAsiaTheme="minorEastAsia"/>
          <w:b/>
          <w:bCs/>
          <w:color w:val="auto"/>
          <w:sz w:val="30"/>
          <w:highlight w:val="none"/>
        </w:rPr>
      </w:pPr>
    </w:p>
    <w:p w14:paraId="377AF9DB">
      <w:pPr>
        <w:pStyle w:val="2"/>
        <w:ind w:firstLine="586"/>
        <w:rPr>
          <w:rFonts w:hint="eastAsia" w:asciiTheme="minorEastAsia" w:hAnsiTheme="minorEastAsia" w:eastAsiaTheme="minorEastAsia"/>
          <w:b/>
          <w:bCs/>
          <w:color w:val="auto"/>
          <w:sz w:val="30"/>
          <w:highlight w:val="none"/>
        </w:rPr>
      </w:pPr>
    </w:p>
    <w:p w14:paraId="206A9314">
      <w:pPr>
        <w:rPr>
          <w:rFonts w:hint="eastAsia" w:asciiTheme="minorEastAsia" w:hAnsiTheme="minorEastAsia" w:eastAsiaTheme="minorEastAsia"/>
          <w:b/>
          <w:bCs/>
          <w:color w:val="auto"/>
          <w:sz w:val="30"/>
          <w:highlight w:val="none"/>
        </w:rPr>
      </w:pPr>
    </w:p>
    <w:p w14:paraId="74BA51B2">
      <w:pPr>
        <w:pStyle w:val="2"/>
        <w:ind w:firstLine="586"/>
        <w:rPr>
          <w:rFonts w:hint="eastAsia" w:asciiTheme="minorEastAsia" w:hAnsiTheme="minorEastAsia" w:eastAsiaTheme="minorEastAsia"/>
          <w:b/>
          <w:bCs/>
          <w:color w:val="auto"/>
          <w:sz w:val="30"/>
          <w:highlight w:val="none"/>
        </w:rPr>
      </w:pPr>
    </w:p>
    <w:p w14:paraId="7C75ED3A">
      <w:pPr>
        <w:rPr>
          <w:rFonts w:hint="eastAsia" w:asciiTheme="minorEastAsia" w:hAnsiTheme="minorEastAsia" w:eastAsiaTheme="minorEastAsia"/>
          <w:b/>
          <w:bCs/>
          <w:color w:val="auto"/>
          <w:sz w:val="30"/>
          <w:highlight w:val="none"/>
        </w:rPr>
      </w:pPr>
    </w:p>
    <w:p w14:paraId="2D1826C0">
      <w:pPr>
        <w:pStyle w:val="2"/>
        <w:ind w:firstLine="344"/>
        <w:rPr>
          <w:rFonts w:hint="eastAsia" w:asciiTheme="minorEastAsia" w:hAnsiTheme="minorEastAsia" w:eastAsiaTheme="minorEastAsia"/>
          <w:color w:val="auto"/>
          <w:highlight w:val="none"/>
        </w:rPr>
      </w:pPr>
    </w:p>
    <w:p w14:paraId="2B7A33AF">
      <w:pPr>
        <w:widowControl/>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14:paraId="4ECF633A">
      <w:pPr>
        <w:rPr>
          <w:rFonts w:hint="eastAsia" w:asciiTheme="minorEastAsia" w:hAnsiTheme="minorEastAsia" w:eastAsiaTheme="minorEastAsia"/>
          <w:color w:val="auto"/>
          <w:highlight w:val="none"/>
        </w:rPr>
      </w:pPr>
    </w:p>
    <w:p w14:paraId="4CAE85D7">
      <w:pPr>
        <w:numPr>
          <w:ilvl w:val="0"/>
          <w:numId w:val="2"/>
        </w:numPr>
        <w:snapToGrid w:val="0"/>
        <w:spacing w:line="440" w:lineRule="exact"/>
        <w:ind w:firstLine="3012" w:firstLineChars="1000"/>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 xml:space="preserve"> 主承销商须知</w:t>
      </w:r>
    </w:p>
    <w:p w14:paraId="148DC4EA">
      <w:pPr>
        <w:snapToGrid w:val="0"/>
        <w:spacing w:line="440" w:lineRule="exact"/>
        <w:ind w:firstLine="4216" w:firstLineChars="1400"/>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须知前附表</w:t>
      </w:r>
    </w:p>
    <w:tbl>
      <w:tblPr>
        <w:tblStyle w:val="19"/>
        <w:tblW w:w="10162" w:type="dxa"/>
        <w:tblInd w:w="-106" w:type="dxa"/>
        <w:tblLayout w:type="fixed"/>
        <w:tblCellMar>
          <w:top w:w="0" w:type="dxa"/>
          <w:left w:w="0" w:type="dxa"/>
          <w:bottom w:w="0" w:type="dxa"/>
          <w:right w:w="0" w:type="dxa"/>
        </w:tblCellMar>
      </w:tblPr>
      <w:tblGrid>
        <w:gridCol w:w="762"/>
        <w:gridCol w:w="9400"/>
      </w:tblGrid>
      <w:tr w14:paraId="48FA3EE7">
        <w:tblPrEx>
          <w:tblCellMar>
            <w:top w:w="0" w:type="dxa"/>
            <w:left w:w="0" w:type="dxa"/>
            <w:bottom w:w="0" w:type="dxa"/>
            <w:right w:w="0" w:type="dxa"/>
          </w:tblCellMar>
        </w:tblPrEx>
        <w:trPr>
          <w:trHeight w:val="47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7C46CE">
            <w:pPr>
              <w:snapToGrid w:val="0"/>
              <w:spacing w:line="440" w:lineRule="exact"/>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AE7E26">
            <w:pPr>
              <w:snapToGrid w:val="0"/>
              <w:spacing w:line="440" w:lineRule="exact"/>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内容、要求</w:t>
            </w:r>
          </w:p>
        </w:tc>
      </w:tr>
      <w:tr w14:paraId="0F2A5E89">
        <w:tblPrEx>
          <w:tblCellMar>
            <w:top w:w="0" w:type="dxa"/>
            <w:left w:w="0" w:type="dxa"/>
            <w:bottom w:w="0" w:type="dxa"/>
            <w:right w:w="0" w:type="dxa"/>
          </w:tblCellMar>
        </w:tblPrEx>
        <w:trPr>
          <w:trHeight w:val="515"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1E9247">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C00F3C">
            <w:pPr>
              <w:snapToGrid w:val="0"/>
              <w:spacing w:line="440" w:lineRule="exact"/>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项目名称：东阳市水务投资集团有限公司供水收费权资产证券化发行中介服务机构采购项目</w:t>
            </w:r>
          </w:p>
        </w:tc>
      </w:tr>
      <w:tr w14:paraId="299D7534">
        <w:tblPrEx>
          <w:tblCellMar>
            <w:top w:w="0" w:type="dxa"/>
            <w:left w:w="0" w:type="dxa"/>
            <w:bottom w:w="0" w:type="dxa"/>
            <w:right w:w="0" w:type="dxa"/>
          </w:tblCellMar>
        </w:tblPrEx>
        <w:trPr>
          <w:trHeight w:val="713"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EFA7D7">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8DEFD2">
            <w:pPr>
              <w:snapToGrid w:val="0"/>
              <w:spacing w:line="440" w:lineRule="exac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投标报价及费用：1、本项目投标应以费率报价；2、不论投标结果如何，投标人均应自行承担所有与投标有关的全部费用；3、本项目代理服务费按前附表第17条标准，向中标单位收取代理服务费。</w:t>
            </w:r>
          </w:p>
        </w:tc>
      </w:tr>
      <w:tr w14:paraId="22D585AC">
        <w:tblPrEx>
          <w:tblCellMar>
            <w:top w:w="0" w:type="dxa"/>
            <w:left w:w="0" w:type="dxa"/>
            <w:bottom w:w="0" w:type="dxa"/>
            <w:right w:w="0"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ABD046">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63CCE">
            <w:pPr>
              <w:snapToGrid w:val="0"/>
              <w:spacing w:line="440" w:lineRule="exac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现场踏勘：本项目不组织踏勘。</w:t>
            </w:r>
          </w:p>
        </w:tc>
      </w:tr>
      <w:tr w14:paraId="5673608D">
        <w:tblPrEx>
          <w:tblCellMar>
            <w:top w:w="0" w:type="dxa"/>
            <w:left w:w="0" w:type="dxa"/>
            <w:bottom w:w="0" w:type="dxa"/>
            <w:right w:w="0" w:type="dxa"/>
          </w:tblCellMar>
        </w:tblPrEx>
        <w:trPr>
          <w:trHeight w:val="84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2F422E">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1CD38C">
            <w:pPr>
              <w:snapToGrid w:val="0"/>
              <w:spacing w:line="440" w:lineRule="exac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答疑与澄清：</w:t>
            </w:r>
            <w:r>
              <w:rPr>
                <w:rFonts w:hint="eastAsia" w:ascii="宋体" w:hAnsi="宋体"/>
                <w:color w:val="auto"/>
                <w:sz w:val="24"/>
                <w:highlight w:val="none"/>
              </w:rPr>
              <w:t>投标人如认为招标文件表述不清晰、存在歧视性、排他性或者其他违法内容的，应当</w:t>
            </w:r>
            <w:r>
              <w:rPr>
                <w:rFonts w:hint="eastAsia" w:ascii="宋体" w:hAnsi="宋体"/>
                <w:color w:val="auto"/>
                <w:sz w:val="24"/>
                <w:highlight w:val="none"/>
                <w:shd w:val="clear" w:color="auto" w:fill="FFFFFF"/>
              </w:rPr>
              <w:t>于</w:t>
            </w:r>
            <w:r>
              <w:rPr>
                <w:rFonts w:hint="eastAsia" w:ascii="宋体" w:hAnsi="宋体"/>
                <w:b/>
                <w:bCs/>
                <w:color w:val="auto"/>
                <w:sz w:val="24"/>
                <w:highlight w:val="none"/>
                <w:u w:val="single"/>
                <w:shd w:val="clear" w:color="auto" w:fill="FFFFFF"/>
              </w:rPr>
              <w:t>质疑期限届满之日</w:t>
            </w:r>
            <w:r>
              <w:rPr>
                <w:rFonts w:hint="eastAsia" w:ascii="宋体" w:hAnsi="宋体"/>
                <w:color w:val="auto"/>
                <w:sz w:val="24"/>
                <w:highlight w:val="none"/>
                <w:shd w:val="clear" w:color="auto" w:fill="FFFFFF"/>
              </w:rPr>
              <w:t>前，</w:t>
            </w:r>
            <w:r>
              <w:rPr>
                <w:rFonts w:hint="eastAsia" w:ascii="宋体" w:hAnsi="宋体"/>
                <w:color w:val="auto"/>
                <w:sz w:val="24"/>
                <w:highlight w:val="none"/>
              </w:rPr>
              <w:t>以书面形式要求招标采购单位作出书面解释、澄清或者向招标采购单位提出书面质疑（</w:t>
            </w:r>
            <w:r>
              <w:rPr>
                <w:rFonts w:hint="eastAsia" w:ascii="宋体" w:hAnsi="宋体"/>
                <w:b/>
                <w:color w:val="auto"/>
                <w:sz w:val="24"/>
                <w:highlight w:val="none"/>
              </w:rPr>
              <w:t>超过此规定时间的质疑函将不予受理）</w:t>
            </w:r>
            <w:r>
              <w:rPr>
                <w:rFonts w:hint="eastAsia" w:ascii="宋体" w:hAnsi="宋体"/>
                <w:color w:val="auto"/>
                <w:sz w:val="24"/>
                <w:highlight w:val="none"/>
              </w:rPr>
              <w:t>；招标采购单位将于</w:t>
            </w:r>
            <w:r>
              <w:rPr>
                <w:rFonts w:hint="eastAsia" w:ascii="宋体" w:hAnsi="宋体"/>
                <w:b/>
                <w:bCs/>
                <w:color w:val="auto"/>
                <w:sz w:val="24"/>
                <w:highlight w:val="none"/>
                <w:u w:val="single"/>
                <w:shd w:val="clear" w:color="auto" w:fill="FFFFFF"/>
              </w:rPr>
              <w:t>答疑期限届满之日</w:t>
            </w:r>
            <w:r>
              <w:rPr>
                <w:rFonts w:hint="eastAsia" w:ascii="宋体" w:hAnsi="宋体"/>
                <w:b/>
                <w:bCs/>
                <w:color w:val="auto"/>
                <w:sz w:val="24"/>
                <w:highlight w:val="none"/>
                <w:shd w:val="clear" w:color="auto" w:fill="FFFFFF"/>
              </w:rPr>
              <w:t>前</w:t>
            </w:r>
            <w:r>
              <w:rPr>
                <w:rFonts w:hint="eastAsia" w:ascii="宋体" w:hAnsi="宋体"/>
                <w:color w:val="auto"/>
                <w:sz w:val="24"/>
                <w:highlight w:val="none"/>
                <w:shd w:val="clear" w:color="auto" w:fill="FFFFFF"/>
              </w:rPr>
              <w:t>将答疑内容以传真或网上发布公告的形式通知所有已报名的投标人；答疑内容是招标</w:t>
            </w:r>
            <w:r>
              <w:rPr>
                <w:rFonts w:hint="eastAsia" w:ascii="宋体" w:hAnsi="宋体"/>
                <w:color w:val="auto"/>
                <w:sz w:val="24"/>
                <w:highlight w:val="none"/>
              </w:rPr>
              <w:t>文件的组成部分；因其他紧急情况影响本项目正常招标活动的，招标采购单位将于投标截止日期</w:t>
            </w:r>
            <w:r>
              <w:rPr>
                <w:rFonts w:ascii="宋体" w:hAnsi="宋体"/>
                <w:color w:val="auto"/>
                <w:sz w:val="24"/>
                <w:highlight w:val="none"/>
              </w:rPr>
              <w:t>5</w:t>
            </w:r>
            <w:r>
              <w:rPr>
                <w:rFonts w:hint="eastAsia" w:ascii="宋体" w:hAnsi="宋体"/>
                <w:color w:val="auto"/>
                <w:sz w:val="24"/>
                <w:highlight w:val="none"/>
              </w:rPr>
              <w:t>天前书面通知所有已报名的投标人。</w:t>
            </w:r>
          </w:p>
        </w:tc>
      </w:tr>
      <w:tr w14:paraId="6FCB1018">
        <w:tblPrEx>
          <w:tblCellMar>
            <w:top w:w="0" w:type="dxa"/>
            <w:left w:w="0" w:type="dxa"/>
            <w:bottom w:w="0" w:type="dxa"/>
            <w:right w:w="0" w:type="dxa"/>
          </w:tblCellMar>
        </w:tblPrEx>
        <w:trPr>
          <w:trHeight w:val="58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5B51C7">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3AB2EE">
            <w:pPr>
              <w:autoSpaceDE w:val="0"/>
              <w:autoSpaceDN w:val="0"/>
              <w:snapToGrid w:val="0"/>
              <w:spacing w:line="440" w:lineRule="exac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投标文件组成：资格审查文件</w:t>
            </w:r>
            <w:r>
              <w:rPr>
                <w:rFonts w:hint="eastAsia" w:cs="仿宋" w:asciiTheme="minorEastAsia" w:hAnsiTheme="minorEastAsia" w:eastAsiaTheme="minorEastAsia"/>
                <w:b/>
                <w:color w:val="auto"/>
                <w:sz w:val="24"/>
                <w:highlight w:val="none"/>
                <w:u w:val="single"/>
              </w:rPr>
              <w:t xml:space="preserve"> 2 </w:t>
            </w:r>
            <w:r>
              <w:rPr>
                <w:rFonts w:hint="eastAsia" w:cs="仿宋" w:asciiTheme="minorEastAsia" w:hAnsiTheme="minorEastAsia" w:eastAsiaTheme="minorEastAsia"/>
                <w:b/>
                <w:color w:val="auto"/>
                <w:sz w:val="24"/>
                <w:highlight w:val="none"/>
              </w:rPr>
              <w:t>份，技术、资信及商务文件、报价文件正本各</w:t>
            </w:r>
            <w:r>
              <w:rPr>
                <w:rFonts w:hint="eastAsia" w:cs="仿宋" w:asciiTheme="minorEastAsia" w:hAnsiTheme="minorEastAsia" w:eastAsiaTheme="minorEastAsia"/>
                <w:b/>
                <w:color w:val="auto"/>
                <w:sz w:val="24"/>
                <w:highlight w:val="none"/>
                <w:u w:val="single"/>
              </w:rPr>
              <w:t xml:space="preserve"> 1 </w:t>
            </w:r>
            <w:r>
              <w:rPr>
                <w:rFonts w:hint="eastAsia" w:cs="仿宋" w:asciiTheme="minorEastAsia" w:hAnsiTheme="minorEastAsia" w:eastAsiaTheme="minorEastAsia"/>
                <w:b/>
                <w:color w:val="auto"/>
                <w:sz w:val="24"/>
                <w:highlight w:val="none"/>
              </w:rPr>
              <w:t>份，副本各</w:t>
            </w:r>
            <w:r>
              <w:rPr>
                <w:rFonts w:hint="eastAsia" w:cs="仿宋" w:asciiTheme="minorEastAsia" w:hAnsiTheme="minorEastAsia" w:eastAsiaTheme="minorEastAsia"/>
                <w:b/>
                <w:color w:val="auto"/>
                <w:sz w:val="24"/>
                <w:highlight w:val="none"/>
                <w:u w:val="single"/>
              </w:rPr>
              <w:t xml:space="preserve"> 4 </w:t>
            </w:r>
            <w:r>
              <w:rPr>
                <w:rFonts w:hint="eastAsia" w:cs="仿宋" w:asciiTheme="minorEastAsia" w:hAnsiTheme="minorEastAsia" w:eastAsiaTheme="minorEastAsia"/>
                <w:b/>
                <w:color w:val="auto"/>
                <w:sz w:val="24"/>
                <w:highlight w:val="none"/>
              </w:rPr>
              <w:t>份。</w:t>
            </w:r>
          </w:p>
        </w:tc>
      </w:tr>
      <w:tr w14:paraId="65C36D8A">
        <w:tblPrEx>
          <w:tblCellMar>
            <w:top w:w="0" w:type="dxa"/>
            <w:left w:w="0" w:type="dxa"/>
            <w:bottom w:w="0" w:type="dxa"/>
            <w:right w:w="0" w:type="dxa"/>
          </w:tblCellMar>
        </w:tblPrEx>
        <w:trPr>
          <w:trHeight w:val="58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F7D7D6">
            <w:pPr>
              <w:snapToGrid w:val="0"/>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102F99">
            <w:pPr>
              <w:snapToGrid w:val="0"/>
              <w:spacing w:line="390" w:lineRule="exact"/>
              <w:jc w:val="left"/>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各招标供应商报价超出限价范围的，其投标文件作无效标处理。（</w:t>
            </w:r>
            <w:r>
              <w:rPr>
                <w:rFonts w:hint="eastAsia" w:cs="仿宋" w:asciiTheme="minorEastAsia" w:hAnsiTheme="minorEastAsia" w:eastAsiaTheme="minorEastAsia"/>
                <w:b/>
                <w:color w:val="auto"/>
                <w:sz w:val="24"/>
                <w:highlight w:val="none"/>
              </w:rPr>
              <w:t>注意：供应商应根据合理市场水平进行报价，如评标委员会一致认为某投标人报价明显不合理，有降低质量、不能诚信履约的可能时，且该投标人未在规定期限内作出解释，或所作解释不合理的，将作无效标处理</w:t>
            </w:r>
            <w:r>
              <w:rPr>
                <w:rFonts w:hint="eastAsia" w:cs="仿宋" w:asciiTheme="minorEastAsia" w:hAnsiTheme="minorEastAsia" w:eastAsiaTheme="minorEastAsia"/>
                <w:color w:val="auto"/>
                <w:sz w:val="24"/>
                <w:highlight w:val="none"/>
              </w:rPr>
              <w:t>）</w:t>
            </w:r>
          </w:p>
        </w:tc>
      </w:tr>
      <w:tr w14:paraId="43BD2353">
        <w:tblPrEx>
          <w:tblCellMar>
            <w:top w:w="0" w:type="dxa"/>
            <w:left w:w="0" w:type="dxa"/>
            <w:bottom w:w="0" w:type="dxa"/>
            <w:right w:w="0" w:type="dxa"/>
          </w:tblCellMar>
        </w:tblPrEx>
        <w:trPr>
          <w:trHeight w:val="33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E437B6">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13FA10">
            <w:pPr>
              <w:spacing w:line="276" w:lineRule="auto"/>
              <w:jc w:val="left"/>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投标截止时间：</w:t>
            </w:r>
            <w:r>
              <w:rPr>
                <w:rFonts w:hint="eastAsia" w:cs="仿宋" w:asciiTheme="minorEastAsia" w:hAnsiTheme="minorEastAsia" w:eastAsiaTheme="minorEastAsia"/>
                <w:b/>
                <w:bCs/>
                <w:color w:val="auto"/>
                <w:sz w:val="24"/>
                <w:highlight w:val="none"/>
                <w:u w:val="single"/>
              </w:rPr>
              <w:t>2024年</w:t>
            </w:r>
            <w:r>
              <w:rPr>
                <w:rFonts w:hint="eastAsia" w:cs="仿宋" w:asciiTheme="minorEastAsia" w:hAnsiTheme="minorEastAsia" w:eastAsiaTheme="minorEastAsia"/>
                <w:b/>
                <w:bCs/>
                <w:color w:val="auto"/>
                <w:sz w:val="24"/>
                <w:highlight w:val="none"/>
                <w:u w:val="single"/>
                <w:lang w:val="en-US" w:eastAsia="zh-CN"/>
              </w:rPr>
              <w:t>11</w:t>
            </w:r>
            <w:r>
              <w:rPr>
                <w:rFonts w:hint="eastAsia" w:cs="仿宋" w:asciiTheme="minorEastAsia" w:hAnsiTheme="minorEastAsia" w:eastAsiaTheme="minorEastAsia"/>
                <w:b/>
                <w:bCs/>
                <w:color w:val="auto"/>
                <w:sz w:val="24"/>
                <w:highlight w:val="none"/>
                <w:u w:val="single"/>
              </w:rPr>
              <w:t>月</w:t>
            </w:r>
            <w:r>
              <w:rPr>
                <w:rFonts w:hint="eastAsia" w:cs="仿宋" w:asciiTheme="minorEastAsia" w:hAnsiTheme="minorEastAsia" w:eastAsiaTheme="minorEastAsia"/>
                <w:b/>
                <w:bCs/>
                <w:color w:val="auto"/>
                <w:sz w:val="24"/>
                <w:highlight w:val="none"/>
                <w:u w:val="single"/>
                <w:lang w:val="en-US" w:eastAsia="zh-CN"/>
              </w:rPr>
              <w:t>12</w:t>
            </w:r>
            <w:r>
              <w:rPr>
                <w:rFonts w:hint="eastAsia" w:cs="仿宋" w:asciiTheme="minorEastAsia" w:hAnsiTheme="minorEastAsia" w:eastAsiaTheme="minorEastAsia"/>
                <w:b/>
                <w:bCs/>
                <w:color w:val="auto"/>
                <w:sz w:val="24"/>
                <w:highlight w:val="none"/>
                <w:u w:val="single"/>
              </w:rPr>
              <w:t>日下午1</w:t>
            </w:r>
            <w:r>
              <w:rPr>
                <w:rFonts w:hint="eastAsia" w:cs="仿宋" w:asciiTheme="minorEastAsia" w:hAnsiTheme="minorEastAsia" w:eastAsiaTheme="minorEastAsia"/>
                <w:b/>
                <w:bCs/>
                <w:color w:val="auto"/>
                <w:sz w:val="24"/>
                <w:highlight w:val="none"/>
                <w:u w:val="single"/>
                <w:lang w:val="en-US" w:eastAsia="zh-CN"/>
              </w:rPr>
              <w:t>3</w:t>
            </w:r>
            <w:r>
              <w:rPr>
                <w:rFonts w:hint="eastAsia" w:cs="仿宋" w:asciiTheme="minorEastAsia" w:hAnsiTheme="minorEastAsia" w:eastAsiaTheme="minorEastAsia"/>
                <w:b/>
                <w:bCs/>
                <w:color w:val="auto"/>
                <w:sz w:val="24"/>
                <w:highlight w:val="none"/>
                <w:u w:val="single"/>
              </w:rPr>
              <w:t>:</w:t>
            </w:r>
            <w:r>
              <w:rPr>
                <w:rFonts w:hint="eastAsia" w:cs="仿宋" w:asciiTheme="minorEastAsia" w:hAnsiTheme="minorEastAsia" w:eastAsiaTheme="minorEastAsia"/>
                <w:b/>
                <w:bCs/>
                <w:color w:val="auto"/>
                <w:sz w:val="24"/>
                <w:highlight w:val="none"/>
                <w:u w:val="single"/>
                <w:lang w:val="en-US" w:eastAsia="zh-CN"/>
              </w:rPr>
              <w:t>3</w:t>
            </w:r>
            <w:r>
              <w:rPr>
                <w:rFonts w:hint="eastAsia" w:cs="仿宋" w:asciiTheme="minorEastAsia" w:hAnsiTheme="minorEastAsia" w:eastAsiaTheme="minorEastAsia"/>
                <w:b/>
                <w:bCs/>
                <w:color w:val="auto"/>
                <w:sz w:val="24"/>
                <w:highlight w:val="none"/>
                <w:u w:val="single"/>
              </w:rPr>
              <w:t>0分</w:t>
            </w:r>
          </w:p>
          <w:p w14:paraId="0D186D88">
            <w:pPr>
              <w:spacing w:line="276" w:lineRule="auto"/>
              <w:ind w:firstLine="480" w:firstLineChars="200"/>
              <w:textAlignment w:val="top"/>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本项目采用不见面开标的形式开标，各投标人自行下载钉钉，在开标截止时间前1小时内招标人将邀请各投标人进入本项目钉钉群签到，并开启群视频直播，对开标现场情况进行全程直播。</w:t>
            </w:r>
          </w:p>
          <w:p w14:paraId="040D38DE">
            <w:pPr>
              <w:spacing w:line="276" w:lineRule="auto"/>
              <w:ind w:firstLine="480" w:firstLineChars="200"/>
              <w:textAlignment w:val="top"/>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各投标人应先将投标文件按照招标文件规定的密封要求进行密封，然后快递邮寄或现场递交至浙江衢州公信工程管理有限公司（地址：浙江省东阳市江滨南街555号；联系人：张先生；联系电话：18267906178），快递邮件或现场递交应于2024年</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rPr>
              <w:t>日下午</w:t>
            </w:r>
            <w:r>
              <w:rPr>
                <w:rFonts w:hint="eastAsia" w:cs="仿宋" w:asciiTheme="minorEastAsia" w:hAnsiTheme="minorEastAsia" w:eastAsiaTheme="minorEastAsia"/>
                <w:color w:val="auto"/>
                <w:sz w:val="24"/>
                <w:highlight w:val="none"/>
                <w:lang w:val="en-US" w:eastAsia="zh-CN"/>
              </w:rPr>
              <w:t>17</w:t>
            </w:r>
            <w:r>
              <w:rPr>
                <w:rFonts w:hint="eastAsia" w:cs="仿宋" w:asciiTheme="minorEastAsia" w:hAnsiTheme="minorEastAsia" w:eastAsiaTheme="minorEastAsia"/>
                <w:color w:val="auto"/>
                <w:sz w:val="24"/>
                <w:highlight w:val="none"/>
              </w:rPr>
              <w:t>时前送达浙江衢州公信工程管理有限公司，规定时间内收到的投标文件视为在投标截止时间前送达。</w:t>
            </w:r>
          </w:p>
        </w:tc>
      </w:tr>
      <w:tr w14:paraId="74D2F5FC">
        <w:tblPrEx>
          <w:tblCellMar>
            <w:top w:w="0" w:type="dxa"/>
            <w:left w:w="0" w:type="dxa"/>
            <w:bottom w:w="0" w:type="dxa"/>
            <w:right w:w="0" w:type="dxa"/>
          </w:tblCellMar>
        </w:tblPrEx>
        <w:trPr>
          <w:trHeight w:val="645"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37F687">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8370EB">
            <w:pPr>
              <w:spacing w:line="520" w:lineRule="exact"/>
              <w:jc w:val="left"/>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开标时间：</w:t>
            </w:r>
            <w:r>
              <w:rPr>
                <w:rFonts w:hint="eastAsia" w:cs="仿宋" w:asciiTheme="minorEastAsia" w:hAnsiTheme="minorEastAsia" w:eastAsiaTheme="minorEastAsia"/>
                <w:b/>
                <w:bCs/>
                <w:color w:val="auto"/>
                <w:sz w:val="24"/>
                <w:highlight w:val="none"/>
                <w:u w:val="single"/>
              </w:rPr>
              <w:t>2024年</w:t>
            </w:r>
            <w:r>
              <w:rPr>
                <w:rFonts w:hint="eastAsia" w:cs="仿宋" w:asciiTheme="minorEastAsia" w:hAnsiTheme="minorEastAsia" w:eastAsiaTheme="minorEastAsia"/>
                <w:b/>
                <w:bCs/>
                <w:color w:val="auto"/>
                <w:sz w:val="24"/>
                <w:highlight w:val="none"/>
                <w:u w:val="single"/>
                <w:lang w:val="en-US" w:eastAsia="zh-CN"/>
              </w:rPr>
              <w:t>11</w:t>
            </w:r>
            <w:r>
              <w:rPr>
                <w:rFonts w:hint="eastAsia" w:cs="仿宋" w:asciiTheme="minorEastAsia" w:hAnsiTheme="minorEastAsia" w:eastAsiaTheme="minorEastAsia"/>
                <w:b/>
                <w:bCs/>
                <w:color w:val="auto"/>
                <w:sz w:val="24"/>
                <w:highlight w:val="none"/>
                <w:u w:val="single"/>
              </w:rPr>
              <w:t>月</w:t>
            </w:r>
            <w:r>
              <w:rPr>
                <w:rFonts w:hint="eastAsia" w:cs="仿宋" w:asciiTheme="minorEastAsia" w:hAnsiTheme="minorEastAsia" w:eastAsiaTheme="minorEastAsia"/>
                <w:b/>
                <w:bCs/>
                <w:color w:val="auto"/>
                <w:sz w:val="24"/>
                <w:highlight w:val="none"/>
                <w:u w:val="single"/>
                <w:lang w:val="en-US" w:eastAsia="zh-CN"/>
              </w:rPr>
              <w:t>12</w:t>
            </w:r>
            <w:r>
              <w:rPr>
                <w:rFonts w:hint="eastAsia" w:cs="仿宋" w:asciiTheme="minorEastAsia" w:hAnsiTheme="minorEastAsia" w:eastAsiaTheme="minorEastAsia"/>
                <w:b/>
                <w:bCs/>
                <w:color w:val="auto"/>
                <w:sz w:val="24"/>
                <w:highlight w:val="none"/>
                <w:u w:val="single"/>
              </w:rPr>
              <w:t>日下午1</w:t>
            </w:r>
            <w:r>
              <w:rPr>
                <w:rFonts w:hint="eastAsia" w:cs="仿宋" w:asciiTheme="minorEastAsia" w:hAnsiTheme="minorEastAsia" w:eastAsiaTheme="minorEastAsia"/>
                <w:b/>
                <w:bCs/>
                <w:color w:val="auto"/>
                <w:sz w:val="24"/>
                <w:highlight w:val="none"/>
                <w:u w:val="single"/>
                <w:lang w:val="en-US" w:eastAsia="zh-CN"/>
              </w:rPr>
              <w:t>3</w:t>
            </w:r>
            <w:r>
              <w:rPr>
                <w:rFonts w:hint="eastAsia" w:cs="仿宋" w:asciiTheme="minorEastAsia" w:hAnsiTheme="minorEastAsia" w:eastAsiaTheme="minorEastAsia"/>
                <w:b/>
                <w:bCs/>
                <w:color w:val="auto"/>
                <w:sz w:val="24"/>
                <w:highlight w:val="none"/>
                <w:u w:val="single"/>
              </w:rPr>
              <w:t>:</w:t>
            </w:r>
            <w:r>
              <w:rPr>
                <w:rFonts w:hint="eastAsia" w:cs="仿宋" w:asciiTheme="minorEastAsia" w:hAnsiTheme="minorEastAsia" w:eastAsiaTheme="minorEastAsia"/>
                <w:b/>
                <w:bCs/>
                <w:color w:val="auto"/>
                <w:sz w:val="24"/>
                <w:highlight w:val="none"/>
                <w:u w:val="single"/>
                <w:lang w:val="en-US" w:eastAsia="zh-CN"/>
              </w:rPr>
              <w:t>3</w:t>
            </w:r>
            <w:r>
              <w:rPr>
                <w:rFonts w:hint="eastAsia" w:cs="仿宋" w:asciiTheme="minorEastAsia" w:hAnsiTheme="minorEastAsia" w:eastAsiaTheme="minorEastAsia"/>
                <w:b/>
                <w:bCs/>
                <w:color w:val="auto"/>
                <w:sz w:val="24"/>
                <w:highlight w:val="none"/>
                <w:u w:val="single"/>
              </w:rPr>
              <w:t>0分</w:t>
            </w:r>
          </w:p>
          <w:p w14:paraId="10BE3B8C">
            <w:pPr>
              <w:snapToGrid w:val="0"/>
              <w:spacing w:line="440" w:lineRule="exact"/>
              <w:ind w:firstLine="482"/>
              <w:rPr>
                <w:rFonts w:hint="eastAsia" w:cs="仿宋" w:asciiTheme="minorEastAsia" w:hAnsiTheme="minorEastAsia" w:eastAsiaTheme="minorEastAsia"/>
                <w:b/>
                <w:color w:val="auto"/>
                <w:highlight w:val="none"/>
              </w:rPr>
            </w:pPr>
            <w:r>
              <w:rPr>
                <w:rFonts w:hint="eastAsia" w:cs="仿宋" w:asciiTheme="minorEastAsia" w:hAnsiTheme="minorEastAsia" w:eastAsiaTheme="minorEastAsia"/>
                <w:bCs/>
                <w:color w:val="auto"/>
                <w:sz w:val="24"/>
                <w:highlight w:val="none"/>
              </w:rPr>
              <w:t>供应商无须到开标现场开标，请在开标截止时间前加入指定钉钉群并签到，参与不见面开标会，供应商在投标文件开启后至开标会结束前需在钉钉群等候在线询标，同时请供应商保持电话畅通，因通讯不畅造成的一切后果由供应商自行承担。若在开评标过程中评审小组需要求供应商澄清、说明或者补正的，通过电子邮箱进行澄清、说明或者补正，供应商对电子邮箱中作出澄清、说明或者补正的相关内容承担全部责任。</w:t>
            </w:r>
          </w:p>
        </w:tc>
      </w:tr>
      <w:tr w14:paraId="579AA5A1">
        <w:tblPrEx>
          <w:tblCellMar>
            <w:top w:w="0" w:type="dxa"/>
            <w:left w:w="0" w:type="dxa"/>
            <w:bottom w:w="0" w:type="dxa"/>
            <w:right w:w="0" w:type="dxa"/>
          </w:tblCellMar>
        </w:tblPrEx>
        <w:trPr>
          <w:trHeight w:val="699"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360517">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9</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8CE9F9">
            <w:pPr>
              <w:autoSpaceDE w:val="0"/>
              <w:autoSpaceDN w:val="0"/>
              <w:snapToGrid w:val="0"/>
              <w:textAlignment w:val="bottom"/>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招标截止时间：详见招标公告</w:t>
            </w:r>
          </w:p>
          <w:p w14:paraId="733E3A8F">
            <w:pPr>
              <w:autoSpaceDE w:val="0"/>
              <w:autoSpaceDN w:val="0"/>
              <w:snapToGrid w:val="0"/>
              <w:textAlignment w:val="bottom"/>
              <w:rPr>
                <w:rFonts w:hint="eastAsia" w:cs="仿宋"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招标响应文件递交地点： 详见招标公告</w:t>
            </w:r>
          </w:p>
        </w:tc>
      </w:tr>
      <w:tr w14:paraId="64D97379">
        <w:tblPrEx>
          <w:tblCellMar>
            <w:top w:w="0" w:type="dxa"/>
            <w:left w:w="0" w:type="dxa"/>
            <w:bottom w:w="0" w:type="dxa"/>
            <w:right w:w="0" w:type="dxa"/>
          </w:tblCellMar>
        </w:tblPrEx>
        <w:trPr>
          <w:trHeight w:val="762"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9AD741">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10</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7C621C">
            <w:pPr>
              <w:autoSpaceDE w:val="0"/>
              <w:autoSpaceDN w:val="0"/>
              <w:snapToGrid w:val="0"/>
              <w:textAlignment w:val="bottom"/>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招标时间：详见招标公告</w:t>
            </w:r>
          </w:p>
          <w:p w14:paraId="3DB70D03">
            <w:pPr>
              <w:autoSpaceDE w:val="0"/>
              <w:autoSpaceDN w:val="0"/>
              <w:snapToGrid w:val="0"/>
              <w:textAlignment w:val="bottom"/>
              <w:rPr>
                <w:rFonts w:hint="eastAsia" w:cs="仿宋"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招标地点：详见招标公告</w:t>
            </w:r>
          </w:p>
        </w:tc>
      </w:tr>
      <w:tr w14:paraId="244378E7">
        <w:tblPrEx>
          <w:tblCellMar>
            <w:top w:w="0" w:type="dxa"/>
            <w:left w:w="0" w:type="dxa"/>
            <w:bottom w:w="0" w:type="dxa"/>
            <w:right w:w="0" w:type="dxa"/>
          </w:tblCellMar>
        </w:tblPrEx>
        <w:trPr>
          <w:trHeight w:val="552"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09099">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50FA1F">
            <w:pPr>
              <w:autoSpaceDE w:val="0"/>
              <w:autoSpaceDN w:val="0"/>
              <w:snapToGrid w:val="0"/>
              <w:textAlignment w:val="bottom"/>
              <w:rPr>
                <w:rFonts w:hint="eastAsia"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评标办法及评分标准：综合评分法，具体标准见第四章内容。</w:t>
            </w:r>
          </w:p>
        </w:tc>
      </w:tr>
      <w:tr w14:paraId="03DD143E">
        <w:tblPrEx>
          <w:tblCellMar>
            <w:top w:w="0" w:type="dxa"/>
            <w:left w:w="0" w:type="dxa"/>
            <w:bottom w:w="0" w:type="dxa"/>
            <w:right w:w="0" w:type="dxa"/>
          </w:tblCellMar>
        </w:tblPrEx>
        <w:trPr>
          <w:trHeight w:val="90"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03DA9E">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1EB442">
            <w:pPr>
              <w:snapToGrid w:val="0"/>
              <w:spacing w:line="440" w:lineRule="exac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中标结果公告：自中标人确定之日起2个工作日内，中标结果公告于浙江省政府采购网(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21"/>
                <w:rFonts w:hint="eastAsia" w:cs="仿宋" w:asciiTheme="minorEastAsia" w:hAnsiTheme="minorEastAsia" w:eastAsiaTheme="minorEastAsia"/>
                <w:color w:val="auto"/>
                <w:sz w:val="24"/>
                <w:highlight w:val="none"/>
              </w:rPr>
              <w:t>https://zfcg.czt.zj.gov.cn/</w:t>
            </w:r>
            <w:r>
              <w:rPr>
                <w:rStyle w:val="21"/>
                <w:rFonts w:hint="eastAsia" w:cs="仿宋" w:asciiTheme="minorEastAsia" w:hAnsiTheme="minorEastAsia" w:eastAsiaTheme="minorEastAsia"/>
                <w:color w:val="auto"/>
                <w:sz w:val="24"/>
                <w:highlight w:val="none"/>
              </w:rPr>
              <w:fldChar w:fldCharType="end"/>
            </w:r>
            <w:r>
              <w:rPr>
                <w:rFonts w:hint="eastAsia" w:cs="仿宋" w:asciiTheme="minorEastAsia" w:hAnsiTheme="minorEastAsia" w:eastAsiaTheme="minorEastAsia"/>
                <w:color w:val="auto"/>
                <w:sz w:val="24"/>
                <w:highlight w:val="none"/>
              </w:rPr>
              <w:t>)、东阳市公共资源交易网</w:t>
            </w:r>
            <w:r>
              <w:rPr>
                <w:rFonts w:hint="eastAsia" w:cs="仿宋" w:asciiTheme="minorEastAsia" w:hAnsiTheme="minorEastAsia" w:eastAsiaTheme="minorEastAsia"/>
                <w:color w:val="auto"/>
                <w:sz w:val="24"/>
                <w:szCs w:val="24"/>
                <w:highlight w:val="none"/>
              </w:rPr>
              <w:t>（</w:t>
            </w:r>
            <w:r>
              <w:rPr>
                <w:rFonts w:hint="eastAsia" w:cs="仿宋" w:asciiTheme="minorEastAsia" w:hAnsiTheme="minorEastAsia" w:eastAsiaTheme="minorEastAsia"/>
                <w:color w:val="auto"/>
                <w:sz w:val="24"/>
                <w:highlight w:val="none"/>
                <w:u w:val="single"/>
              </w:rPr>
              <w:t>http://www.dongyang.gov.cn/ggzyjy/）</w:t>
            </w:r>
            <w:r>
              <w:rPr>
                <w:rFonts w:hint="eastAsia" w:cs="仿宋" w:asciiTheme="minorEastAsia" w:hAnsiTheme="minorEastAsia" w:eastAsiaTheme="minorEastAsia"/>
                <w:color w:val="auto"/>
                <w:sz w:val="24"/>
                <w:highlight w:val="none"/>
              </w:rPr>
              <w:t>，公告3个工作日。</w:t>
            </w:r>
          </w:p>
        </w:tc>
      </w:tr>
      <w:tr w14:paraId="00BA0BE6">
        <w:tblPrEx>
          <w:tblCellMar>
            <w:top w:w="0" w:type="dxa"/>
            <w:left w:w="0" w:type="dxa"/>
            <w:bottom w:w="0" w:type="dxa"/>
            <w:right w:w="0" w:type="dxa"/>
          </w:tblCellMar>
        </w:tblPrEx>
        <w:trPr>
          <w:trHeight w:val="53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0987E9">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4C6D0F">
            <w:pPr>
              <w:autoSpaceDE w:val="0"/>
              <w:autoSpaceDN w:val="0"/>
              <w:snapToGrid w:val="0"/>
              <w:spacing w:line="440" w:lineRule="exac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中标通知书：确定中标人后，中标人应在三个工作日内，向招标人领取《中标通知书》，否则按放弃中标资格处理。</w:t>
            </w:r>
          </w:p>
        </w:tc>
      </w:tr>
      <w:tr w14:paraId="6C7815C7">
        <w:tblPrEx>
          <w:tblCellMar>
            <w:top w:w="0" w:type="dxa"/>
            <w:left w:w="0" w:type="dxa"/>
            <w:bottom w:w="0" w:type="dxa"/>
            <w:right w:w="0" w:type="dxa"/>
          </w:tblCellMar>
        </w:tblPrEx>
        <w:trPr>
          <w:trHeight w:val="582"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0D8FD5">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14</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4171E7">
            <w:pPr>
              <w:autoSpaceDE w:val="0"/>
              <w:autoSpaceDN w:val="0"/>
              <w:snapToGrid w:val="0"/>
              <w:spacing w:line="440" w:lineRule="exac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签订合同时间：中标通知书发出后</w:t>
            </w:r>
            <w:r>
              <w:rPr>
                <w:rFonts w:hint="eastAsia" w:cs="仿宋" w:asciiTheme="minorEastAsia" w:hAnsiTheme="minorEastAsia" w:eastAsiaTheme="minorEastAsia"/>
                <w:color w:val="auto"/>
                <w:sz w:val="24"/>
                <w:highlight w:val="none"/>
                <w:u w:val="single"/>
              </w:rPr>
              <w:t>30</w:t>
            </w:r>
            <w:r>
              <w:rPr>
                <w:rFonts w:hint="eastAsia" w:cs="仿宋" w:asciiTheme="minorEastAsia" w:hAnsiTheme="minorEastAsia" w:eastAsiaTheme="minorEastAsia"/>
                <w:color w:val="auto"/>
                <w:sz w:val="24"/>
                <w:highlight w:val="none"/>
              </w:rPr>
              <w:t>日内。</w:t>
            </w:r>
          </w:p>
        </w:tc>
      </w:tr>
      <w:tr w14:paraId="476D1AEA">
        <w:tblPrEx>
          <w:tblCellMar>
            <w:top w:w="0" w:type="dxa"/>
            <w:left w:w="0" w:type="dxa"/>
            <w:bottom w:w="0" w:type="dxa"/>
            <w:right w:w="0" w:type="dxa"/>
          </w:tblCellMar>
        </w:tblPrEx>
        <w:trPr>
          <w:trHeight w:val="516"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0CC6E6">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3D366A">
            <w:pPr>
              <w:snapToGrid w:val="0"/>
              <w:spacing w:line="440" w:lineRule="exac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投标文件有效期：</w:t>
            </w:r>
            <w:r>
              <w:rPr>
                <w:rFonts w:hint="eastAsia" w:cs="仿宋" w:asciiTheme="minorEastAsia" w:hAnsiTheme="minorEastAsia" w:eastAsiaTheme="minorEastAsia"/>
                <w:color w:val="auto"/>
                <w:sz w:val="24"/>
                <w:highlight w:val="none"/>
                <w:u w:val="single"/>
              </w:rPr>
              <w:t>90天</w:t>
            </w:r>
          </w:p>
        </w:tc>
      </w:tr>
      <w:tr w14:paraId="6DC2FF07">
        <w:tblPrEx>
          <w:tblCellMar>
            <w:top w:w="0" w:type="dxa"/>
            <w:left w:w="0" w:type="dxa"/>
            <w:bottom w:w="0" w:type="dxa"/>
            <w:right w:w="0" w:type="dxa"/>
          </w:tblCellMar>
        </w:tblPrEx>
        <w:trPr>
          <w:trHeight w:val="508"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83B6C3">
            <w:pPr>
              <w:snapToGrid w:val="0"/>
              <w:spacing w:line="440" w:lineRule="exact"/>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16</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8235AB">
            <w:pPr>
              <w:snapToGrid w:val="0"/>
              <w:spacing w:line="440" w:lineRule="exac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解释：本招标文件的解释权属于招标采购单位。</w:t>
            </w:r>
          </w:p>
        </w:tc>
      </w:tr>
      <w:tr w14:paraId="7EBF7D34">
        <w:tblPrEx>
          <w:tblCellMar>
            <w:top w:w="0" w:type="dxa"/>
            <w:left w:w="0" w:type="dxa"/>
            <w:bottom w:w="0" w:type="dxa"/>
            <w:right w:w="0" w:type="dxa"/>
          </w:tblCellMar>
        </w:tblPrEx>
        <w:trPr>
          <w:trHeight w:val="2938" w:hRule="atLeast"/>
        </w:trPr>
        <w:tc>
          <w:tcPr>
            <w:tcW w:w="7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8C5BFD">
            <w:pPr>
              <w:snapToGrid w:val="0"/>
              <w:jc w:val="center"/>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17</w:t>
            </w:r>
          </w:p>
        </w:tc>
        <w:tc>
          <w:tcPr>
            <w:tcW w:w="94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12AB40">
            <w:pPr>
              <w:snapToGrid w:val="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投标费用：</w:t>
            </w:r>
          </w:p>
          <w:p w14:paraId="0A568D3F">
            <w:pPr>
              <w:snapToGrid w:val="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1.不论投标结果如何，投标人均应自行承担所有与投标有关的全部费用（招标文件有相关规定除外）。</w:t>
            </w:r>
          </w:p>
          <w:p w14:paraId="28791391">
            <w:pPr>
              <w:snapToGrid w:val="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2.中标服务费按以下收费标准收取，在领取中标通知书前，向采购代理机构直接交纳，以中标价为基数，可用现金、汇票、电汇付款方式。</w:t>
            </w:r>
          </w:p>
          <w:tbl>
            <w:tblPr>
              <w:tblStyle w:val="19"/>
              <w:tblW w:w="9184" w:type="dxa"/>
              <w:tblCellSpacing w:w="15" w:type="dxa"/>
              <w:tblInd w:w="0" w:type="dxa"/>
              <w:tblLayout w:type="fixed"/>
              <w:tblCellMar>
                <w:top w:w="15" w:type="dxa"/>
                <w:left w:w="15" w:type="dxa"/>
                <w:bottom w:w="15" w:type="dxa"/>
                <w:right w:w="15" w:type="dxa"/>
              </w:tblCellMar>
            </w:tblPr>
            <w:tblGrid>
              <w:gridCol w:w="5797"/>
              <w:gridCol w:w="2365"/>
              <w:gridCol w:w="1022"/>
            </w:tblGrid>
            <w:tr w14:paraId="3217287C">
              <w:tblPrEx>
                <w:tblCellMar>
                  <w:top w:w="15" w:type="dxa"/>
                  <w:left w:w="15" w:type="dxa"/>
                  <w:bottom w:w="15" w:type="dxa"/>
                  <w:right w:w="15" w:type="dxa"/>
                </w:tblCellMar>
              </w:tblPrEx>
              <w:trPr>
                <w:trHeight w:val="300" w:hRule="atLeast"/>
                <w:tblCellSpacing w:w="15" w:type="dxa"/>
              </w:trPr>
              <w:tc>
                <w:tcPr>
                  <w:tcW w:w="3130" w:type="pct"/>
                  <w:tcBorders>
                    <w:top w:val="inset" w:color="000000" w:sz="6" w:space="0"/>
                    <w:left w:val="inset" w:color="000000" w:sz="6" w:space="0"/>
                    <w:bottom w:val="inset" w:color="000000" w:sz="6" w:space="0"/>
                    <w:right w:val="inset" w:color="000000" w:sz="6" w:space="0"/>
                  </w:tcBorders>
                  <w:tcMar>
                    <w:top w:w="0" w:type="dxa"/>
                    <w:left w:w="0" w:type="dxa"/>
                    <w:bottom w:w="0" w:type="dxa"/>
                    <w:right w:w="0" w:type="dxa"/>
                  </w:tcMar>
                  <w:vAlign w:val="center"/>
                </w:tcPr>
                <w:p w14:paraId="4EE83F12">
                  <w:pPr>
                    <w:widowControl/>
                    <w:spacing w:line="360" w:lineRule="atLeas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服务类型</w:t>
                  </w:r>
                </w:p>
                <w:p w14:paraId="0FA7AB47">
                  <w:pPr>
                    <w:widowControl/>
                    <w:spacing w:line="360" w:lineRule="atLeas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中标金额（万元）</w:t>
                  </w:r>
                </w:p>
              </w:tc>
              <w:tc>
                <w:tcPr>
                  <w:tcW w:w="1270" w:type="pct"/>
                  <w:tcBorders>
                    <w:top w:val="inset" w:color="000000" w:sz="6" w:space="0"/>
                    <w:left w:val="single" w:color="auto" w:sz="0" w:space="0"/>
                    <w:bottom w:val="inset" w:color="000000" w:sz="6" w:space="0"/>
                    <w:right w:val="single" w:color="auto" w:sz="4" w:space="0"/>
                  </w:tcBorders>
                  <w:tcMar>
                    <w:top w:w="0" w:type="dxa"/>
                    <w:left w:w="0" w:type="dxa"/>
                    <w:bottom w:w="0" w:type="dxa"/>
                    <w:right w:w="0" w:type="dxa"/>
                  </w:tcMar>
                  <w:vAlign w:val="center"/>
                </w:tcPr>
                <w:p w14:paraId="2289E76F">
                  <w:pPr>
                    <w:widowControl/>
                    <w:spacing w:before="105" w:after="105" w:line="360" w:lineRule="atLeas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服务招标</w:t>
                  </w:r>
                </w:p>
              </w:tc>
              <w:tc>
                <w:tcPr>
                  <w:tcW w:w="532" w:type="pct"/>
                  <w:tcBorders>
                    <w:top w:val="inset" w:color="000000" w:sz="6" w:space="0"/>
                    <w:left w:val="single" w:color="auto" w:sz="4" w:space="0"/>
                    <w:bottom w:val="inset" w:color="000000" w:sz="6" w:space="0"/>
                    <w:right w:val="inset" w:color="000000" w:sz="6" w:space="0"/>
                  </w:tcBorders>
                  <w:tcMar>
                    <w:top w:w="0" w:type="dxa"/>
                    <w:left w:w="0" w:type="dxa"/>
                    <w:bottom w:w="0" w:type="dxa"/>
                    <w:right w:w="0" w:type="dxa"/>
                  </w:tcMar>
                  <w:vAlign w:val="center"/>
                </w:tcPr>
                <w:p w14:paraId="01FE33F6">
                  <w:pPr>
                    <w:widowControl/>
                    <w:spacing w:before="105" w:after="105" w:line="360" w:lineRule="atLeast"/>
                    <w:jc w:val="center"/>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下浮率</w:t>
                  </w:r>
                </w:p>
              </w:tc>
            </w:tr>
            <w:tr w14:paraId="1A4CAFD6">
              <w:tblPrEx>
                <w:tblCellMar>
                  <w:top w:w="15" w:type="dxa"/>
                  <w:left w:w="15" w:type="dxa"/>
                  <w:bottom w:w="15" w:type="dxa"/>
                  <w:right w:w="15" w:type="dxa"/>
                </w:tblCellMar>
              </w:tblPrEx>
              <w:trPr>
                <w:trHeight w:val="210" w:hRule="atLeast"/>
                <w:tblCellSpacing w:w="15" w:type="dxa"/>
              </w:trPr>
              <w:tc>
                <w:tcPr>
                  <w:tcW w:w="3130" w:type="pct"/>
                  <w:tcBorders>
                    <w:top w:val="single" w:color="auto" w:sz="0" w:space="0"/>
                    <w:left w:val="inset" w:color="000000" w:sz="6" w:space="0"/>
                    <w:bottom w:val="single" w:color="auto" w:sz="0" w:space="0"/>
                    <w:right w:val="inset" w:color="000000" w:sz="6" w:space="0"/>
                  </w:tcBorders>
                  <w:tcMar>
                    <w:top w:w="0" w:type="dxa"/>
                    <w:left w:w="0" w:type="dxa"/>
                    <w:bottom w:w="0" w:type="dxa"/>
                    <w:right w:w="0" w:type="dxa"/>
                  </w:tcMar>
                  <w:vAlign w:val="center"/>
                </w:tcPr>
                <w:p w14:paraId="07656C67">
                  <w:pPr>
                    <w:widowControl/>
                    <w:spacing w:line="360" w:lineRule="atLeas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100以下</w:t>
                  </w:r>
                </w:p>
              </w:tc>
              <w:tc>
                <w:tcPr>
                  <w:tcW w:w="1270" w:type="pct"/>
                  <w:tcBorders>
                    <w:top w:val="single" w:color="auto" w:sz="0" w:space="0"/>
                    <w:left w:val="single" w:color="auto" w:sz="0" w:space="0"/>
                    <w:bottom w:val="single" w:color="auto" w:sz="0" w:space="0"/>
                    <w:right w:val="single" w:color="auto" w:sz="4" w:space="0"/>
                  </w:tcBorders>
                  <w:tcMar>
                    <w:top w:w="0" w:type="dxa"/>
                    <w:left w:w="0" w:type="dxa"/>
                    <w:bottom w:w="0" w:type="dxa"/>
                    <w:right w:w="0" w:type="dxa"/>
                  </w:tcMar>
                  <w:vAlign w:val="center"/>
                </w:tcPr>
                <w:p w14:paraId="732A666A">
                  <w:pPr>
                    <w:widowControl/>
                    <w:spacing w:line="360" w:lineRule="atLeas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5</w:t>
                  </w:r>
                  <w:r>
                    <w:rPr>
                      <w:rFonts w:hint="eastAsia" w:asciiTheme="minorEastAsia" w:hAnsiTheme="minorEastAsia" w:eastAsiaTheme="minorEastAsia"/>
                      <w:color w:val="auto"/>
                      <w:sz w:val="24"/>
                      <w:highlight w:val="none"/>
                    </w:rPr>
                    <w:t>％</w:t>
                  </w:r>
                </w:p>
              </w:tc>
              <w:tc>
                <w:tcPr>
                  <w:tcW w:w="532" w:type="pct"/>
                  <w:tcBorders>
                    <w:top w:val="single" w:color="auto" w:sz="0" w:space="0"/>
                    <w:left w:val="single" w:color="auto" w:sz="4" w:space="0"/>
                    <w:bottom w:val="single" w:color="auto" w:sz="0" w:space="0"/>
                    <w:right w:val="inset" w:color="000000" w:sz="6" w:space="0"/>
                  </w:tcBorders>
                  <w:tcMar>
                    <w:top w:w="0" w:type="dxa"/>
                    <w:left w:w="0" w:type="dxa"/>
                    <w:bottom w:w="0" w:type="dxa"/>
                    <w:right w:w="0" w:type="dxa"/>
                  </w:tcMar>
                  <w:vAlign w:val="center"/>
                </w:tcPr>
                <w:p w14:paraId="07273085">
                  <w:pPr>
                    <w:widowControl/>
                    <w:spacing w:line="360" w:lineRule="atLeas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w:t>
                  </w:r>
                </w:p>
              </w:tc>
            </w:tr>
            <w:tr w14:paraId="357D7B82">
              <w:tblPrEx>
                <w:tblCellMar>
                  <w:top w:w="15" w:type="dxa"/>
                  <w:left w:w="15" w:type="dxa"/>
                  <w:bottom w:w="15" w:type="dxa"/>
                  <w:right w:w="15" w:type="dxa"/>
                </w:tblCellMar>
              </w:tblPrEx>
              <w:trPr>
                <w:trHeight w:val="210" w:hRule="atLeast"/>
                <w:tblCellSpacing w:w="15" w:type="dxa"/>
              </w:trPr>
              <w:tc>
                <w:tcPr>
                  <w:tcW w:w="3130" w:type="pct"/>
                  <w:tcBorders>
                    <w:top w:val="single" w:color="auto" w:sz="0" w:space="0"/>
                    <w:left w:val="inset" w:color="000000" w:sz="6" w:space="0"/>
                    <w:bottom w:val="single" w:color="auto" w:sz="0" w:space="0"/>
                    <w:right w:val="inset" w:color="000000" w:sz="6" w:space="0"/>
                  </w:tcBorders>
                  <w:tcMar>
                    <w:top w:w="0" w:type="dxa"/>
                    <w:left w:w="0" w:type="dxa"/>
                    <w:bottom w:w="0" w:type="dxa"/>
                    <w:right w:w="0" w:type="dxa"/>
                  </w:tcMar>
                  <w:vAlign w:val="center"/>
                </w:tcPr>
                <w:p w14:paraId="2B661DB8">
                  <w:pPr>
                    <w:widowControl/>
                    <w:spacing w:line="360" w:lineRule="atLeas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100-500</w:t>
                  </w:r>
                </w:p>
              </w:tc>
              <w:tc>
                <w:tcPr>
                  <w:tcW w:w="1270" w:type="pct"/>
                  <w:tcBorders>
                    <w:top w:val="single" w:color="auto" w:sz="0" w:space="0"/>
                    <w:left w:val="single" w:color="auto" w:sz="0" w:space="0"/>
                    <w:bottom w:val="single" w:color="auto" w:sz="0" w:space="0"/>
                    <w:right w:val="single" w:color="auto" w:sz="4" w:space="0"/>
                  </w:tcBorders>
                  <w:tcMar>
                    <w:top w:w="0" w:type="dxa"/>
                    <w:left w:w="0" w:type="dxa"/>
                    <w:bottom w:w="0" w:type="dxa"/>
                    <w:right w:w="0" w:type="dxa"/>
                  </w:tcMar>
                  <w:vAlign w:val="center"/>
                </w:tcPr>
                <w:p w14:paraId="5CBE77CC">
                  <w:pPr>
                    <w:widowControl/>
                    <w:spacing w:line="360" w:lineRule="atLeas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0.8%</w:t>
                  </w:r>
                </w:p>
              </w:tc>
              <w:tc>
                <w:tcPr>
                  <w:tcW w:w="532" w:type="pct"/>
                  <w:tcBorders>
                    <w:top w:val="single" w:color="auto" w:sz="0" w:space="0"/>
                    <w:left w:val="single" w:color="auto" w:sz="4" w:space="0"/>
                    <w:bottom w:val="single" w:color="auto" w:sz="0" w:space="0"/>
                    <w:right w:val="inset" w:color="000000" w:sz="6" w:space="0"/>
                  </w:tcBorders>
                  <w:tcMar>
                    <w:top w:w="0" w:type="dxa"/>
                    <w:left w:w="0" w:type="dxa"/>
                    <w:bottom w:w="0" w:type="dxa"/>
                    <w:right w:w="0" w:type="dxa"/>
                  </w:tcMar>
                  <w:vAlign w:val="center"/>
                </w:tcPr>
                <w:p w14:paraId="13F1EBA7">
                  <w:pPr>
                    <w:widowControl/>
                    <w:spacing w:line="360" w:lineRule="atLeast"/>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w:t>
                  </w:r>
                </w:p>
              </w:tc>
            </w:tr>
          </w:tbl>
          <w:p w14:paraId="26EED0DE">
            <w:pPr>
              <w:adjustRightInd w:val="0"/>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汇款帐户名称：浙江衢州公信工程管理有限公司东阳分公司</w:t>
            </w:r>
          </w:p>
          <w:p w14:paraId="2B8927BC">
            <w:pPr>
              <w:adjustRightInd w:val="0"/>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银行账号：1208040009200230330</w:t>
            </w:r>
          </w:p>
          <w:p w14:paraId="5545B38F">
            <w:pPr>
              <w:adjustRightInd w:val="0"/>
              <w:snapToGrid w:val="0"/>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开户银行：工商银行东阳支行</w:t>
            </w:r>
          </w:p>
          <w:p w14:paraId="6723A87E">
            <w:pPr>
              <w:snapToGrid w:val="0"/>
              <w:rPr>
                <w:rFonts w:hint="eastAsia" w:asciiTheme="minorEastAsia" w:hAnsiTheme="minorEastAsia" w:eastAsiaTheme="minorEastAsia"/>
                <w:color w:val="auto"/>
                <w:highlight w:val="none"/>
              </w:rPr>
            </w:pPr>
          </w:p>
        </w:tc>
      </w:tr>
    </w:tbl>
    <w:p w14:paraId="16E5667B">
      <w:pPr>
        <w:pStyle w:val="13"/>
        <w:snapToGrid w:val="0"/>
        <w:spacing w:before="120" w:after="120" w:line="440" w:lineRule="exact"/>
        <w:rPr>
          <w:rFonts w:hint="eastAsia" w:cs="仿宋" w:asciiTheme="minorEastAsia" w:hAnsiTheme="minorEastAsia" w:eastAsiaTheme="minorEastAsia"/>
          <w:b/>
          <w:color w:val="auto"/>
          <w:sz w:val="28"/>
          <w:highlight w:val="none"/>
        </w:rPr>
      </w:pPr>
      <w:r>
        <w:rPr>
          <w:rFonts w:hint="eastAsia" w:cs="仿宋" w:asciiTheme="minorEastAsia" w:hAnsiTheme="minorEastAsia" w:eastAsiaTheme="minorEastAsia"/>
          <w:b/>
          <w:color w:val="auto"/>
          <w:highlight w:val="none"/>
        </w:rPr>
        <w:t>注：如本招标文件后面的条款与本表有矛盾的以本表的内容为准。</w:t>
      </w:r>
    </w:p>
    <w:p w14:paraId="6A638741">
      <w:pPr>
        <w:autoSpaceDE w:val="0"/>
        <w:autoSpaceDN w:val="0"/>
        <w:adjustRightInd w:val="0"/>
        <w:spacing w:line="360" w:lineRule="auto"/>
        <w:rPr>
          <w:rFonts w:hint="eastAsia" w:asciiTheme="minorEastAsia" w:hAnsiTheme="minorEastAsia" w:eastAsiaTheme="minorEastAsia"/>
          <w:b/>
          <w:color w:val="auto"/>
          <w:sz w:val="24"/>
          <w:highlight w:val="none"/>
          <w:lang w:val="zh-CN"/>
        </w:rPr>
      </w:pPr>
    </w:p>
    <w:p w14:paraId="70169196">
      <w:pPr>
        <w:autoSpaceDE w:val="0"/>
        <w:autoSpaceDN w:val="0"/>
        <w:adjustRightInd w:val="0"/>
        <w:spacing w:line="360" w:lineRule="auto"/>
        <w:rPr>
          <w:rFonts w:hint="eastAsia" w:asciiTheme="minorEastAsia" w:hAnsiTheme="minorEastAsia" w:eastAsiaTheme="minorEastAsia"/>
          <w:b/>
          <w:color w:val="auto"/>
          <w:sz w:val="24"/>
          <w:highlight w:val="none"/>
          <w:lang w:val="zh-CN"/>
        </w:rPr>
      </w:pPr>
    </w:p>
    <w:p w14:paraId="3D6272BE">
      <w:pPr>
        <w:autoSpaceDE w:val="0"/>
        <w:autoSpaceDN w:val="0"/>
        <w:adjustRightInd w:val="0"/>
        <w:spacing w:line="360" w:lineRule="auto"/>
        <w:rPr>
          <w:rFonts w:hint="eastAsia" w:asciiTheme="minorEastAsia" w:hAnsiTheme="minorEastAsia" w:eastAsiaTheme="minorEastAsia"/>
          <w:b/>
          <w:color w:val="auto"/>
          <w:sz w:val="24"/>
          <w:highlight w:val="none"/>
          <w:lang w:val="zh-CN"/>
        </w:rPr>
      </w:pPr>
      <w:r>
        <w:rPr>
          <w:rFonts w:hint="eastAsia" w:asciiTheme="minorEastAsia" w:hAnsiTheme="minorEastAsia" w:eastAsiaTheme="minorEastAsia"/>
          <w:b/>
          <w:color w:val="auto"/>
          <w:sz w:val="24"/>
          <w:highlight w:val="none"/>
          <w:lang w:val="zh-CN"/>
        </w:rPr>
        <w:t>一、说明</w:t>
      </w:r>
    </w:p>
    <w:p w14:paraId="540C0797">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（一）总则</w:t>
      </w:r>
    </w:p>
    <w:p w14:paraId="23EC8C19">
      <w:pPr>
        <w:autoSpaceDE w:val="0"/>
        <w:autoSpaceDN w:val="0"/>
        <w:adjustRightIn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1.本次招标工作是参照《东阳市国有企业采购管理办法（2020年修订）》等相关规定组织和实施。</w:t>
      </w:r>
    </w:p>
    <w:p w14:paraId="2DC1E70A">
      <w:pPr>
        <w:autoSpaceDE w:val="0"/>
        <w:autoSpaceDN w:val="0"/>
        <w:adjustRightIn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2.无论招标过程中的做法和结果如何，投标人自行承担招标活动中所发生的全部费用。</w:t>
      </w:r>
    </w:p>
    <w:p w14:paraId="04B0FD61">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（二）合格承销商</w:t>
      </w:r>
    </w:p>
    <w:p w14:paraId="0B4207BF">
      <w:pPr>
        <w:autoSpaceDE w:val="0"/>
        <w:autoSpaceDN w:val="0"/>
        <w:adjustRightIn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1.符合东阳市国有企业采购管理办法（2020年修订）第（三）条规定的投标人资格条件。</w:t>
      </w:r>
    </w:p>
    <w:p w14:paraId="236AC10E">
      <w:pPr>
        <w:autoSpaceDE w:val="0"/>
        <w:autoSpaceDN w:val="0"/>
        <w:adjustRightIn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2.▲投标人的特定条件：详见招标公告。</w:t>
      </w:r>
    </w:p>
    <w:p w14:paraId="1A29AFDC">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（三）定义</w:t>
      </w:r>
    </w:p>
    <w:p w14:paraId="01D33621">
      <w:pPr>
        <w:autoSpaceDE w:val="0"/>
        <w:autoSpaceDN w:val="0"/>
        <w:adjustRightIn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1.“采购单位”系指东阳市水务投资集团有限公司。</w:t>
      </w:r>
    </w:p>
    <w:p w14:paraId="20A9318F">
      <w:pPr>
        <w:autoSpaceDE w:val="0"/>
        <w:autoSpaceDN w:val="0"/>
        <w:adjustRightIn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2.“招标代理机构”系指受采购单位委托组织招标的浙江衢州公信工程管理有限公司。</w:t>
      </w:r>
    </w:p>
    <w:p w14:paraId="6E27A9F1">
      <w:pPr>
        <w:autoSpaceDE w:val="0"/>
        <w:autoSpaceDN w:val="0"/>
        <w:adjustRightIn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3.“供应商”是指向采购单位提供招标响应文件所叙述的合格竞标单位，同 “投标人”。</w:t>
      </w:r>
    </w:p>
    <w:p w14:paraId="4D51248A">
      <w:pPr>
        <w:autoSpaceDE w:val="0"/>
        <w:autoSpaceDN w:val="0"/>
        <w:adjustRightInd w:val="0"/>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4.“▲”系指实质性要求条款，投标人必须做出实质性响应。</w:t>
      </w:r>
    </w:p>
    <w:p w14:paraId="6F1EFC19">
      <w:pPr>
        <w:autoSpaceDE w:val="0"/>
        <w:autoSpaceDN w:val="0"/>
        <w:adjustRightInd w:val="0"/>
        <w:spacing w:line="360" w:lineRule="auto"/>
        <w:rPr>
          <w:rFonts w:hint="eastAsia" w:cs="仿宋" w:asciiTheme="minorEastAsia" w:hAnsiTheme="minorEastAsia" w:eastAsiaTheme="minorEastAsia"/>
          <w:b/>
          <w:color w:val="auto"/>
          <w:sz w:val="24"/>
          <w:highlight w:val="none"/>
          <w:lang w:val="zh-CN"/>
        </w:rPr>
      </w:pPr>
      <w:r>
        <w:rPr>
          <w:rFonts w:hint="eastAsia" w:cs="仿宋" w:asciiTheme="minorEastAsia" w:hAnsiTheme="minorEastAsia" w:eastAsiaTheme="minorEastAsia"/>
          <w:b/>
          <w:color w:val="auto"/>
          <w:sz w:val="24"/>
          <w:highlight w:val="none"/>
          <w:lang w:val="zh-CN"/>
        </w:rPr>
        <w:t>二、响应文件</w:t>
      </w:r>
    </w:p>
    <w:p w14:paraId="6CE82DFD">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（一） 响应文件的要求</w:t>
      </w:r>
    </w:p>
    <w:p w14:paraId="43754FA4">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1.主承销商应当按照招标文件的要求编制响应文件，并对其提交的响应文件的真实性、合法性承担法律责任。</w:t>
      </w:r>
    </w:p>
    <w:p w14:paraId="43C08A83">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bCs/>
          <w:color w:val="auto"/>
          <w:sz w:val="24"/>
          <w:highlight w:val="none"/>
        </w:rPr>
        <w:t>响应文件的语言及度量衡单位</w:t>
      </w:r>
    </w:p>
    <w:p w14:paraId="19AA54DE">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 主承销商提交的响应文件以及主承销商与采购人就有关招标的所有来往通知、函件和文件均应使用简体中文。</w:t>
      </w:r>
    </w:p>
    <w:p w14:paraId="1CC6FBC4">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（2）除技术性能另有规定外，响应文件所使用的度量衡单位，均须采用国家法定计量单位。</w:t>
      </w:r>
    </w:p>
    <w:p w14:paraId="61DBE286">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3.不按招标文件的要求提供的招标响应文件将被拒绝。</w:t>
      </w:r>
    </w:p>
    <w:p w14:paraId="1FEAEA71">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（二）响应文件的构成</w:t>
      </w:r>
    </w:p>
    <w:p w14:paraId="02534588">
      <w:pPr>
        <w:spacing w:line="360" w:lineRule="auto"/>
        <w:ind w:firstLine="600" w:firstLineChars="25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zh-CN"/>
        </w:rPr>
        <w:t>招标</w:t>
      </w:r>
      <w:r>
        <w:rPr>
          <w:rFonts w:hint="eastAsia" w:cs="仿宋" w:asciiTheme="minorEastAsia" w:hAnsiTheme="minorEastAsia" w:eastAsiaTheme="minorEastAsia"/>
          <w:color w:val="auto"/>
          <w:sz w:val="24"/>
          <w:highlight w:val="none"/>
        </w:rPr>
        <w:t>文件组成</w:t>
      </w:r>
    </w:p>
    <w:p w14:paraId="21F6F454">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招标</w:t>
      </w:r>
      <w:r>
        <w:rPr>
          <w:rFonts w:hint="eastAsia" w:cs="仿宋" w:asciiTheme="minorEastAsia" w:hAnsiTheme="minorEastAsia" w:eastAsiaTheme="minorEastAsia"/>
          <w:color w:val="auto"/>
          <w:sz w:val="24"/>
          <w:highlight w:val="none"/>
        </w:rPr>
        <w:t>文件由</w:t>
      </w:r>
      <w:r>
        <w:rPr>
          <w:rFonts w:hint="eastAsia" w:cs="仿宋" w:asciiTheme="minorEastAsia" w:hAnsiTheme="minorEastAsia" w:eastAsiaTheme="minorEastAsia"/>
          <w:color w:val="auto"/>
          <w:sz w:val="24"/>
          <w:highlight w:val="none"/>
          <w:lang w:val="zh-CN"/>
        </w:rPr>
        <w:t>总目录所列内容组成。</w:t>
      </w:r>
    </w:p>
    <w:p w14:paraId="7E060764">
      <w:pPr>
        <w:spacing w:line="360" w:lineRule="auto"/>
        <w:ind w:firstLine="600" w:firstLineChars="25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2.招标文件的澄清</w:t>
      </w:r>
    </w:p>
    <w:p w14:paraId="44B51161">
      <w:pPr>
        <w:autoSpaceDE w:val="0"/>
        <w:autoSpaceDN w:val="0"/>
        <w:adjustRightInd w:val="0"/>
        <w:spacing w:line="360" w:lineRule="auto"/>
        <w:ind w:firstLine="480" w:firstLineChars="200"/>
        <w:rPr>
          <w:rFonts w:hint="eastAsia"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供应商如发现招标文件中内容存在含糊不清、相互矛盾、多种含义以及歧视性不公正条款或违法、违规等有疑点要求澄清的，</w:t>
      </w:r>
      <w:r>
        <w:rPr>
          <w:rFonts w:hint="eastAsia" w:cs="仿宋" w:asciiTheme="minorEastAsia" w:hAnsiTheme="minorEastAsia" w:eastAsiaTheme="minorEastAsia"/>
          <w:bCs/>
          <w:color w:val="auto"/>
          <w:sz w:val="24"/>
          <w:highlight w:val="none"/>
          <w:lang w:val="zh-CN"/>
        </w:rPr>
        <w:t>请在</w:t>
      </w:r>
      <w:r>
        <w:rPr>
          <w:rFonts w:hint="eastAsia" w:cs="仿宋" w:asciiTheme="minorEastAsia" w:hAnsiTheme="minorEastAsia" w:eastAsiaTheme="minorEastAsia"/>
          <w:bCs/>
          <w:color w:val="auto"/>
          <w:sz w:val="24"/>
          <w:highlight w:val="none"/>
        </w:rPr>
        <w:t>“招标须知”规定的时间内</w:t>
      </w:r>
      <w:r>
        <w:rPr>
          <w:rFonts w:hint="eastAsia" w:cs="仿宋" w:asciiTheme="minorEastAsia" w:hAnsiTheme="minorEastAsia" w:eastAsiaTheme="minorEastAsia"/>
          <w:bCs/>
          <w:color w:val="auto"/>
          <w:sz w:val="24"/>
          <w:highlight w:val="none"/>
          <w:lang w:val="zh-CN"/>
        </w:rPr>
        <w:t>把所需答疑的问题</w:t>
      </w:r>
      <w:r>
        <w:rPr>
          <w:rFonts w:hint="eastAsia" w:cs="仿宋" w:asciiTheme="minorEastAsia" w:hAnsiTheme="minorEastAsia" w:eastAsiaTheme="minorEastAsia"/>
          <w:b/>
          <w:bCs/>
          <w:color w:val="auto"/>
          <w:sz w:val="24"/>
          <w:highlight w:val="none"/>
          <w:lang w:val="zh-CN"/>
        </w:rPr>
        <w:t>以书面形式（盖单位公章）提交至招标代理机构，逾期不得再对招标文件的条款提出疑问</w:t>
      </w:r>
      <w:r>
        <w:rPr>
          <w:rFonts w:hint="eastAsia" w:cs="仿宋" w:asciiTheme="minorEastAsia" w:hAnsiTheme="minorEastAsia" w:eastAsiaTheme="minorEastAsia"/>
          <w:color w:val="auto"/>
          <w:sz w:val="24"/>
          <w:highlight w:val="none"/>
          <w:lang w:val="zh-CN"/>
        </w:rPr>
        <w:t>，由此而导致供应商不成交或成交后产生不利因素的，责任由供应商自负。</w:t>
      </w:r>
    </w:p>
    <w:p w14:paraId="12018E63">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（三）招标文件的修改</w:t>
      </w:r>
    </w:p>
    <w:p w14:paraId="7402ED81">
      <w:pPr>
        <w:autoSpaceDE w:val="0"/>
        <w:autoSpaceDN w:val="0"/>
        <w:adjustRightInd w:val="0"/>
        <w:spacing w:line="360" w:lineRule="auto"/>
        <w:ind w:firstLine="480" w:firstLineChars="200"/>
        <w:rPr>
          <w:rFonts w:hint="eastAsia"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1</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zh-CN"/>
        </w:rPr>
        <w:t>在招标文件提交截止时间前，招标采购单位有权修改招标文件，并以书面形式通知所有参加招标的供应商。修改文件作为招标文件的补充和组成部分，对所有供应商均有约束力。</w:t>
      </w:r>
    </w:p>
    <w:p w14:paraId="6313865C">
      <w:pPr>
        <w:autoSpaceDE w:val="0"/>
        <w:autoSpaceDN w:val="0"/>
        <w:adjustRightInd w:val="0"/>
        <w:spacing w:line="360" w:lineRule="auto"/>
        <w:ind w:firstLine="480"/>
        <w:rPr>
          <w:rFonts w:hint="eastAsia"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2</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zh-CN"/>
        </w:rPr>
        <w:t>为使供应商有足够的时间按修改文件要求修正供应商招标响应文件，招标采购单位可视情推迟供应商招标文件提交截止时间和招标时间，并将此变更通知各供应商。</w:t>
      </w:r>
    </w:p>
    <w:p w14:paraId="0251E319">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3</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zh-CN"/>
        </w:rPr>
        <w:t>招标</w:t>
      </w:r>
      <w:r>
        <w:rPr>
          <w:rFonts w:hint="eastAsia" w:cs="仿宋" w:asciiTheme="minorEastAsia" w:hAnsiTheme="minorEastAsia" w:eastAsiaTheme="minorEastAsia"/>
          <w:color w:val="auto"/>
          <w:sz w:val="24"/>
          <w:highlight w:val="none"/>
        </w:rPr>
        <w:t>文件的澄清、修改、补充等内容均以书面明确的内容为准。当</w:t>
      </w:r>
      <w:r>
        <w:rPr>
          <w:rFonts w:hint="eastAsia" w:cs="仿宋" w:asciiTheme="minorEastAsia" w:hAnsiTheme="minorEastAsia" w:eastAsiaTheme="minorEastAsia"/>
          <w:color w:val="auto"/>
          <w:sz w:val="24"/>
          <w:highlight w:val="none"/>
          <w:lang w:val="zh-CN"/>
        </w:rPr>
        <w:t>招标</w:t>
      </w:r>
      <w:r>
        <w:rPr>
          <w:rFonts w:hint="eastAsia" w:cs="仿宋" w:asciiTheme="minorEastAsia" w:hAnsiTheme="minorEastAsia" w:eastAsiaTheme="minorEastAsia"/>
          <w:color w:val="auto"/>
          <w:sz w:val="24"/>
          <w:highlight w:val="none"/>
        </w:rPr>
        <w:t>文件与</w:t>
      </w:r>
      <w:r>
        <w:rPr>
          <w:rFonts w:hint="eastAsia" w:cs="仿宋" w:asciiTheme="minorEastAsia" w:hAnsiTheme="minorEastAsia" w:eastAsiaTheme="minorEastAsia"/>
          <w:color w:val="auto"/>
          <w:sz w:val="24"/>
          <w:highlight w:val="none"/>
          <w:lang w:val="zh-CN"/>
        </w:rPr>
        <w:t>招标</w:t>
      </w:r>
      <w:r>
        <w:rPr>
          <w:rFonts w:hint="eastAsia" w:cs="仿宋" w:asciiTheme="minorEastAsia" w:hAnsiTheme="minorEastAsia" w:eastAsiaTheme="minorEastAsia"/>
          <w:color w:val="auto"/>
          <w:sz w:val="24"/>
          <w:highlight w:val="none"/>
        </w:rPr>
        <w:t>文件的澄清、修改、补充等在同一内容的表述上不一致时，以最后发出的书面文件为准。</w:t>
      </w:r>
    </w:p>
    <w:p w14:paraId="4DE2D297">
      <w:pPr>
        <w:autoSpaceDE w:val="0"/>
        <w:autoSpaceDN w:val="0"/>
        <w:adjustRightInd w:val="0"/>
        <w:spacing w:line="360" w:lineRule="auto"/>
        <w:rPr>
          <w:rFonts w:hint="eastAsia" w:cs="仿宋" w:asciiTheme="minorEastAsia" w:hAnsiTheme="minorEastAsia" w:eastAsiaTheme="minorEastAsia"/>
          <w:b/>
          <w:color w:val="auto"/>
          <w:sz w:val="24"/>
          <w:highlight w:val="none"/>
          <w:lang w:val="zh-CN"/>
        </w:rPr>
      </w:pPr>
      <w:bookmarkStart w:id="1" w:name="_Toc174767470"/>
      <w:bookmarkStart w:id="2" w:name="_Toc172338036"/>
      <w:bookmarkStart w:id="3" w:name="_Toc182125820"/>
      <w:bookmarkStart w:id="4" w:name="_Toc182125897"/>
      <w:bookmarkStart w:id="5" w:name="_Toc172337886"/>
      <w:bookmarkStart w:id="6" w:name="_Toc269397670"/>
      <w:r>
        <w:rPr>
          <w:rFonts w:hint="eastAsia" w:cs="仿宋" w:asciiTheme="minorEastAsia" w:hAnsiTheme="minorEastAsia" w:eastAsiaTheme="minorEastAsia"/>
          <w:b/>
          <w:color w:val="auto"/>
          <w:sz w:val="24"/>
          <w:highlight w:val="none"/>
          <w:lang w:val="zh-CN"/>
        </w:rPr>
        <w:t>三、</w:t>
      </w:r>
      <w:bookmarkEnd w:id="1"/>
      <w:bookmarkEnd w:id="2"/>
      <w:bookmarkEnd w:id="3"/>
      <w:bookmarkEnd w:id="4"/>
      <w:bookmarkEnd w:id="5"/>
      <w:r>
        <w:rPr>
          <w:rFonts w:hint="eastAsia" w:cs="仿宋" w:asciiTheme="minorEastAsia" w:hAnsiTheme="minorEastAsia" w:eastAsiaTheme="minorEastAsia"/>
          <w:b/>
          <w:color w:val="auto"/>
          <w:sz w:val="24"/>
          <w:highlight w:val="none"/>
          <w:lang w:val="zh-CN"/>
        </w:rPr>
        <w:t>供应商招标响应文件的编制</w:t>
      </w:r>
      <w:bookmarkEnd w:id="6"/>
    </w:p>
    <w:p w14:paraId="0A04AF8D">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（一）供应商招标响应文件格式</w:t>
      </w:r>
    </w:p>
    <w:p w14:paraId="38B70AC5">
      <w:pPr>
        <w:spacing w:line="360" w:lineRule="auto"/>
        <w:ind w:firstLine="528" w:firstLineChars="220"/>
        <w:rPr>
          <w:rFonts w:hint="eastAsia"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1</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zh-CN"/>
        </w:rPr>
        <w:t>供应商应按招标文件中所提出的格式要求编制。</w:t>
      </w:r>
    </w:p>
    <w:p w14:paraId="05C321D4">
      <w:pPr>
        <w:spacing w:line="360" w:lineRule="auto"/>
        <w:ind w:firstLine="528" w:firstLineChars="22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2</w:t>
      </w:r>
      <w:r>
        <w:rPr>
          <w:rFonts w:hint="eastAsia" w:cs="仿宋" w:asciiTheme="minorEastAsia" w:hAnsiTheme="minorEastAsia" w:eastAsiaTheme="minorEastAsia"/>
          <w:color w:val="auto"/>
          <w:sz w:val="24"/>
          <w:highlight w:val="none"/>
        </w:rPr>
        <w:t>.本次</w:t>
      </w:r>
      <w:r>
        <w:rPr>
          <w:rFonts w:hint="eastAsia" w:cs="仿宋" w:asciiTheme="minorEastAsia" w:hAnsiTheme="minorEastAsia" w:eastAsiaTheme="minorEastAsia"/>
          <w:color w:val="auto"/>
          <w:sz w:val="24"/>
          <w:highlight w:val="none"/>
          <w:lang w:val="zh-CN"/>
        </w:rPr>
        <w:t>供应商</w:t>
      </w:r>
      <w:r>
        <w:rPr>
          <w:rFonts w:hint="eastAsia" w:cs="仿宋" w:asciiTheme="minorEastAsia" w:hAnsiTheme="minorEastAsia" w:eastAsiaTheme="minorEastAsia"/>
          <w:color w:val="auto"/>
          <w:sz w:val="24"/>
          <w:highlight w:val="none"/>
        </w:rPr>
        <w:t>招标响应文件所用的纸张一律采用A4型纸，相关内容需打印或用不褪色的墨水填写。</w:t>
      </w:r>
    </w:p>
    <w:p w14:paraId="10CA8420">
      <w:pPr>
        <w:spacing w:line="360" w:lineRule="auto"/>
        <w:ind w:firstLine="53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w:t>
      </w:r>
      <w:r>
        <w:rPr>
          <w:rFonts w:hint="eastAsia" w:cs="仿宋" w:asciiTheme="minorEastAsia" w:hAnsiTheme="minorEastAsia" w:eastAsiaTheme="minorEastAsia"/>
          <w:color w:val="auto"/>
          <w:sz w:val="24"/>
          <w:highlight w:val="none"/>
          <w:lang w:val="zh-CN"/>
        </w:rPr>
        <w:t>供应商</w:t>
      </w:r>
      <w:r>
        <w:rPr>
          <w:rFonts w:hint="eastAsia" w:cs="仿宋" w:asciiTheme="minorEastAsia" w:hAnsiTheme="minorEastAsia" w:eastAsiaTheme="minorEastAsia"/>
          <w:color w:val="auto"/>
          <w:sz w:val="24"/>
          <w:highlight w:val="none"/>
        </w:rPr>
        <w:t>招标响应文件使用的度量衡单位，均采用中华人民共和国法定计量单位（除规范另有规定外）。</w:t>
      </w:r>
    </w:p>
    <w:p w14:paraId="63A02F1E">
      <w:pPr>
        <w:autoSpaceDE w:val="0"/>
        <w:autoSpaceDN w:val="0"/>
        <w:adjustRightInd w:val="0"/>
        <w:spacing w:line="360" w:lineRule="auto"/>
        <w:ind w:firstLine="480"/>
        <w:rPr>
          <w:rFonts w:hint="eastAsia"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rPr>
        <w:t>4.</w:t>
      </w:r>
      <w:r>
        <w:rPr>
          <w:rFonts w:hint="eastAsia" w:cs="仿宋" w:asciiTheme="minorEastAsia" w:hAnsiTheme="minorEastAsia" w:eastAsiaTheme="minorEastAsia"/>
          <w:color w:val="auto"/>
          <w:sz w:val="24"/>
          <w:highlight w:val="none"/>
          <w:lang w:val="zh-CN"/>
        </w:rPr>
        <w:t>供应商应仔细阅读招标文件中的所有内容，按招标文件要求详细编制供应商招标</w:t>
      </w:r>
      <w:r>
        <w:rPr>
          <w:rFonts w:hint="eastAsia" w:cs="仿宋" w:asciiTheme="minorEastAsia" w:hAnsiTheme="minorEastAsia" w:eastAsiaTheme="minorEastAsia"/>
          <w:color w:val="auto"/>
          <w:sz w:val="24"/>
          <w:highlight w:val="none"/>
        </w:rPr>
        <w:t>响应</w:t>
      </w:r>
      <w:r>
        <w:rPr>
          <w:rFonts w:hint="eastAsia" w:cs="仿宋" w:asciiTheme="minorEastAsia" w:hAnsiTheme="minorEastAsia" w:eastAsiaTheme="minorEastAsia"/>
          <w:color w:val="auto"/>
          <w:sz w:val="24"/>
          <w:highlight w:val="none"/>
          <w:lang w:val="zh-CN"/>
        </w:rPr>
        <w:t>文件，并保证供应商招标</w:t>
      </w:r>
      <w:r>
        <w:rPr>
          <w:rFonts w:hint="eastAsia" w:cs="仿宋" w:asciiTheme="minorEastAsia" w:hAnsiTheme="minorEastAsia" w:eastAsiaTheme="minorEastAsia"/>
          <w:color w:val="auto"/>
          <w:sz w:val="24"/>
          <w:highlight w:val="none"/>
        </w:rPr>
        <w:t>响应</w:t>
      </w:r>
      <w:r>
        <w:rPr>
          <w:rFonts w:hint="eastAsia" w:cs="仿宋" w:asciiTheme="minorEastAsia" w:hAnsiTheme="minorEastAsia" w:eastAsiaTheme="minorEastAsia"/>
          <w:color w:val="auto"/>
          <w:sz w:val="24"/>
          <w:highlight w:val="none"/>
          <w:lang w:val="zh-CN"/>
        </w:rPr>
        <w:t>文件的正确性和真实性，所有文件资料必须是针对本次招标。</w:t>
      </w:r>
    </w:p>
    <w:p w14:paraId="0182D6DA">
      <w:pPr>
        <w:autoSpaceDE w:val="0"/>
        <w:autoSpaceDN w:val="0"/>
        <w:adjustRightInd w:val="0"/>
        <w:spacing w:line="360" w:lineRule="auto"/>
        <w:ind w:firstLine="480"/>
        <w:rPr>
          <w:rFonts w:hint="eastAsia"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5</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zh-CN"/>
        </w:rPr>
        <w:t>供应商招标</w:t>
      </w:r>
      <w:r>
        <w:rPr>
          <w:rFonts w:hint="eastAsia" w:cs="仿宋" w:asciiTheme="minorEastAsia" w:hAnsiTheme="minorEastAsia" w:eastAsiaTheme="minorEastAsia"/>
          <w:color w:val="auto"/>
          <w:sz w:val="24"/>
          <w:highlight w:val="none"/>
        </w:rPr>
        <w:t>响应</w:t>
      </w:r>
      <w:r>
        <w:rPr>
          <w:rFonts w:hint="eastAsia" w:cs="仿宋" w:asciiTheme="minorEastAsia" w:hAnsiTheme="minorEastAsia" w:eastAsiaTheme="minorEastAsia"/>
          <w:color w:val="auto"/>
          <w:sz w:val="24"/>
          <w:highlight w:val="none"/>
          <w:lang w:val="zh-CN"/>
        </w:rPr>
        <w:t>文件如有错漏必须修改，修改处须加盖单位公章或校正章。</w:t>
      </w:r>
    </w:p>
    <w:p w14:paraId="46A0DB27">
      <w:pPr>
        <w:autoSpaceDE w:val="0"/>
        <w:autoSpaceDN w:val="0"/>
        <w:adjustRightInd w:val="0"/>
        <w:spacing w:line="360" w:lineRule="auto"/>
        <w:ind w:firstLine="480"/>
        <w:rPr>
          <w:rFonts w:hint="eastAsia"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6</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zh-CN"/>
        </w:rPr>
        <w:t>由于字迹模糊或表达不清所引起的后果由供应商自负。</w:t>
      </w:r>
    </w:p>
    <w:p w14:paraId="742F8457">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7</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val="zh-CN"/>
        </w:rPr>
        <w:t>不按招标文件要求密封的供应商招标</w:t>
      </w:r>
      <w:r>
        <w:rPr>
          <w:rFonts w:hint="eastAsia" w:cs="仿宋" w:asciiTheme="minorEastAsia" w:hAnsiTheme="minorEastAsia" w:eastAsiaTheme="minorEastAsia"/>
          <w:color w:val="auto"/>
          <w:sz w:val="24"/>
          <w:highlight w:val="none"/>
        </w:rPr>
        <w:t>响应</w:t>
      </w:r>
      <w:r>
        <w:rPr>
          <w:rFonts w:hint="eastAsia" w:cs="仿宋" w:asciiTheme="minorEastAsia" w:hAnsiTheme="minorEastAsia" w:eastAsiaTheme="minorEastAsia"/>
          <w:color w:val="auto"/>
          <w:sz w:val="24"/>
          <w:highlight w:val="none"/>
          <w:lang w:val="zh-CN"/>
        </w:rPr>
        <w:t>文件将被拒绝。</w:t>
      </w:r>
    </w:p>
    <w:p w14:paraId="7295E990">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（二）投标承销商应当按照以下内容及顺序要求制作投标响应文件：</w:t>
      </w:r>
    </w:p>
    <w:p w14:paraId="67D534D4">
      <w:pPr>
        <w:spacing w:line="360" w:lineRule="auto"/>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1.资格审查文件（正本1份，副本1份）</w:t>
      </w:r>
    </w:p>
    <w:p w14:paraId="7B22C036">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（1）营业执照复印件；</w:t>
      </w:r>
    </w:p>
    <w:p w14:paraId="72DAA7EE">
      <w:pPr>
        <w:spacing w:line="360" w:lineRule="auto"/>
        <w:ind w:left="480" w:leftChars="24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（2）法定代表人（或法定负责人）授权书及授权代表有效身份证复印件（格式见附件）；（3）投标人情况简介（包括机构规模、主要财务数据、在行业内的综合排名、分支机构</w:t>
      </w:r>
    </w:p>
    <w:p w14:paraId="60DF23E8">
      <w:pPr>
        <w:spacing w:line="360" w:lineRule="auto"/>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数量、从业人员数量、人员资历等）；</w:t>
      </w:r>
    </w:p>
    <w:p w14:paraId="24303F52">
      <w:pPr>
        <w:spacing w:line="360" w:lineRule="auto"/>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（4）债券主承销商为具备行业监管部门认定的债券承销业务的资格；其他中介服务机构应具有中国证监会、证券交易所从事债券承销、发行服务的相关资质；</w:t>
      </w:r>
    </w:p>
    <w:p w14:paraId="6EADE9F0">
      <w:pPr>
        <w:spacing w:line="360" w:lineRule="auto"/>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（5）近三年内经营活动无重大违法违纪记录、未发生金融风险及重大违约事件的承诺；</w:t>
      </w:r>
    </w:p>
    <w:p w14:paraId="6D38B7AB">
      <w:pPr>
        <w:pStyle w:val="11"/>
        <w:spacing w:line="360" w:lineRule="auto"/>
        <w:ind w:firstLine="280"/>
        <w:jc w:val="left"/>
        <w:rPr>
          <w:rFonts w:hint="eastAsia" w:cs="仿宋" w:asciiTheme="minorEastAsia" w:hAnsiTheme="minorEastAsia" w:eastAsiaTheme="minorEastAsia"/>
          <w:color w:val="auto"/>
          <w:sz w:val="24"/>
          <w:highlight w:val="none"/>
        </w:rPr>
      </w:pPr>
      <w:r>
        <w:rPr>
          <w:rFonts w:hint="eastAsia"/>
          <w:color w:val="auto"/>
          <w:highlight w:val="none"/>
        </w:rPr>
        <w:t xml:space="preserve"> </w:t>
      </w:r>
      <w:r>
        <w:rPr>
          <w:rFonts w:hint="eastAsia" w:cs="仿宋" w:asciiTheme="minorEastAsia" w:hAnsiTheme="minorEastAsia" w:eastAsiaTheme="minorEastAsia"/>
          <w:color w:val="auto"/>
          <w:sz w:val="24"/>
          <w:highlight w:val="none"/>
        </w:rPr>
        <w:t xml:space="preserve"> （6）联合体协议（如有）（格式见附件）。</w:t>
      </w:r>
    </w:p>
    <w:p w14:paraId="7867E991">
      <w:pPr>
        <w:spacing w:line="360" w:lineRule="auto"/>
        <w:ind w:firstLine="482" w:firstLineChars="200"/>
        <w:jc w:val="left"/>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2、技术、资信及商务文件（正本1份，副本4分）</w:t>
      </w:r>
    </w:p>
    <w:p w14:paraId="1E1A67DC">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（1）投标人资信商务、技术自评得分表（格式见附件）；</w:t>
      </w:r>
    </w:p>
    <w:p w14:paraId="10695172">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（2）商务响应表（格式见附件）；</w:t>
      </w:r>
    </w:p>
    <w:p w14:paraId="1685ED54">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（3）技术响应表（格式见附件）；</w:t>
      </w:r>
    </w:p>
    <w:p w14:paraId="15A91063">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（4）券商监管评级；</w:t>
      </w:r>
    </w:p>
    <w:p w14:paraId="3610CF4C">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（5）同类项目经验,提供相关计划说明书证明材料（至少包括说明书首页、投标人参与角色相关页面，并加盖公章）；</w:t>
      </w:r>
    </w:p>
    <w:p w14:paraId="27D44D84">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（6）票面利率能力,</w:t>
      </w:r>
      <w:r>
        <w:rPr>
          <w:rFonts w:hint="eastAsia"/>
          <w:color w:val="auto"/>
          <w:highlight w:val="none"/>
        </w:rPr>
        <w:t xml:space="preserve"> </w:t>
      </w:r>
      <w:r>
        <w:rPr>
          <w:rFonts w:hint="eastAsia" w:cs="仿宋" w:asciiTheme="minorEastAsia" w:hAnsiTheme="minorEastAsia" w:eastAsiaTheme="minorEastAsia"/>
          <w:bCs/>
          <w:color w:val="auto"/>
          <w:sz w:val="24"/>
          <w:highlight w:val="none"/>
        </w:rPr>
        <w:t>提供wind截图并加盖投标人公章;</w:t>
      </w:r>
    </w:p>
    <w:p w14:paraId="209D90DB">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（7）承销能力（包括人2023年全口径债券累计总承销金额和2023年资产证券化累计总承销金额），提供Wind资讯截图并加盖供应商公章编入投标文件中；</w:t>
      </w:r>
    </w:p>
    <w:p w14:paraId="396CE365">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（8）企业ABS发行情况表，提供Wind资讯截图并加盖供应商公章编入投标文件中；</w:t>
      </w:r>
    </w:p>
    <w:p w14:paraId="65D12622">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（9）发行方案；</w:t>
      </w:r>
    </w:p>
    <w:p w14:paraId="1EE6803A">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（10）专业服务团队人员配置及人员能力（格式见附件）；</w:t>
      </w:r>
    </w:p>
    <w:p w14:paraId="35E74FBF">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（11）发行承诺；</w:t>
      </w:r>
    </w:p>
    <w:p w14:paraId="733A0D0E">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（12）存续期服务；</w:t>
      </w:r>
    </w:p>
    <w:p w14:paraId="4621CC75">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（13）投标人需要说明的其他文件和说明</w:t>
      </w:r>
      <w:r>
        <w:rPr>
          <w:rFonts w:hint="eastAsia" w:cs="仿宋_GB2312" w:asciiTheme="minorEastAsia" w:hAnsiTheme="minorEastAsia" w:eastAsiaTheme="minorEastAsia"/>
          <w:bCs/>
          <w:color w:val="auto"/>
          <w:sz w:val="24"/>
          <w:highlight w:val="none"/>
        </w:rPr>
        <w:t>；</w:t>
      </w:r>
    </w:p>
    <w:p w14:paraId="7B226A49">
      <w:pPr>
        <w:spacing w:line="360" w:lineRule="auto"/>
        <w:ind w:firstLine="480" w:firstLineChars="200"/>
        <w:jc w:val="left"/>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Cs/>
          <w:color w:val="auto"/>
          <w:sz w:val="24"/>
          <w:highlight w:val="none"/>
        </w:rPr>
        <w:t>（14）投标人认为有必要提供的其它文件。</w:t>
      </w:r>
    </w:p>
    <w:p w14:paraId="4A27CC57">
      <w:pPr>
        <w:spacing w:line="360" w:lineRule="auto"/>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3、报价文件（正本1份，副本4分）</w:t>
      </w:r>
    </w:p>
    <w:p w14:paraId="04CFB2D6">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 xml:space="preserve">（1）投标函（格式见附件）； </w:t>
      </w:r>
    </w:p>
    <w:p w14:paraId="10F6ED50">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 xml:space="preserve">（2）报价函（格式见附件）； </w:t>
      </w:r>
    </w:p>
    <w:p w14:paraId="47214092">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bCs/>
          <w:color w:val="auto"/>
          <w:sz w:val="24"/>
          <w:highlight w:val="none"/>
        </w:rPr>
        <w:t>（3）投标人针对报价需要说明的其他文件和说明（格式自拟）。</w:t>
      </w:r>
    </w:p>
    <w:p w14:paraId="058F7827">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（三）响应文件编制要求</w:t>
      </w:r>
    </w:p>
    <w:p w14:paraId="32EC1ADC">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1.响应承销商应当按照招标文件构成内容及顺序要求制作投标响应文件，需要正本与副本；</w:t>
      </w:r>
    </w:p>
    <w:p w14:paraId="0B6B722C">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2.招标文件中的商务技术条款要求逐项做出响应，并说明原因；</w:t>
      </w:r>
    </w:p>
    <w:p w14:paraId="71757A29">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3.详细阐述响应方案内容；</w:t>
      </w:r>
    </w:p>
    <w:p w14:paraId="56E95D4D">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4.与本次招标无关的内容请不要制作在内，确保响应文件有针对性、简洁明了，同时节约纸张；</w:t>
      </w:r>
    </w:p>
    <w:p w14:paraId="2F21D736">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5.不按招标文件要求制作响应文件的将视为废标。</w:t>
      </w:r>
    </w:p>
    <w:p w14:paraId="6583257C">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（四）响应文件份数和签署</w:t>
      </w:r>
    </w:p>
    <w:p w14:paraId="4E666A1E">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1.主承销商应严格按照招标文件要求的份数准备响应文件，资格审查文件</w:t>
      </w:r>
      <w:r>
        <w:rPr>
          <w:rFonts w:hint="eastAsia" w:cs="仿宋" w:asciiTheme="minorEastAsia" w:hAnsiTheme="minorEastAsia" w:eastAsiaTheme="minorEastAsia"/>
          <w:color w:val="auto"/>
          <w:sz w:val="24"/>
          <w:highlight w:val="none"/>
          <w:u w:val="single"/>
        </w:rPr>
        <w:t>正本1份</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u w:val="single"/>
        </w:rPr>
        <w:t>副本1份</w:t>
      </w:r>
      <w:r>
        <w:rPr>
          <w:rFonts w:hint="eastAsia" w:cs="仿宋" w:asciiTheme="minorEastAsia" w:hAnsiTheme="minorEastAsia" w:eastAsiaTheme="minorEastAsia"/>
          <w:color w:val="auto"/>
          <w:sz w:val="24"/>
          <w:highlight w:val="none"/>
        </w:rPr>
        <w:t>，技术、资信及商务文件、报价文件各</w:t>
      </w:r>
      <w:r>
        <w:rPr>
          <w:rFonts w:hint="eastAsia" w:cs="仿宋" w:asciiTheme="minorEastAsia" w:hAnsiTheme="minorEastAsia" w:eastAsiaTheme="minorEastAsia"/>
          <w:color w:val="auto"/>
          <w:sz w:val="24"/>
          <w:highlight w:val="none"/>
          <w:u w:val="single"/>
        </w:rPr>
        <w:t>正本1份</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u w:val="single"/>
        </w:rPr>
        <w:t>副本4份</w:t>
      </w:r>
      <w:r>
        <w:rPr>
          <w:rFonts w:hint="eastAsia" w:cs="仿宋" w:asciiTheme="minorEastAsia" w:hAnsiTheme="minorEastAsia" w:eastAsiaTheme="minorEastAsia"/>
          <w:color w:val="auto"/>
          <w:sz w:val="24"/>
          <w:highlight w:val="none"/>
        </w:rPr>
        <w:t>。每份响应文件封面须清楚地标明“正本”或“副本”字样。一旦正本和副本不符，以正本为准。</w:t>
      </w:r>
    </w:p>
    <w:p w14:paraId="5A1E4D67">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2.响应文件的正本和所有的副本均需打印或复印，正本由主承销商法定代表人（或法定负责人）或其授权代表签字。</w:t>
      </w:r>
    </w:p>
    <w:p w14:paraId="2789A9DB">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3.除主承销商对错处做必要修改外，响应文件不得行间插字、涂改或增删。如有修改错漏处，必须由响应文件签署人签字或盖章。</w:t>
      </w:r>
    </w:p>
    <w:p w14:paraId="47CE86DB">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（五）响应文件的装订、密封和标记</w:t>
      </w:r>
    </w:p>
    <w:p w14:paraId="5EB8BB27">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1.响应文件正、副本均须按招标文件要求的内容及顺序用线装（或钉书钉）或胶装分别装订成册，文件装订后页面不可抽取、不得有活动页、无破坏、不可拆分。所有须盖章的均为主承销商公章。</w:t>
      </w:r>
    </w:p>
    <w:p w14:paraId="36FAF87E">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请在响应文件封面上加盖“正本”或“副本”字样，正本及副本密封在包封内，封口处应有招标主承销商公章或招标主承销商全权代表签字。封皮上写明招标项目名称、响应主承销商名称，并注明“招标响应文件”、“招标时启封”等字样。</w:t>
      </w:r>
    </w:p>
    <w:p w14:paraId="3985B693">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3.如果响应主承销商未按上述要求密封及加写标记，采购方对招标响应文件的误投和提前启封不负责任。不论主承销商成交与否，响应文件均不退回。</w:t>
      </w:r>
    </w:p>
    <w:p w14:paraId="1879337D">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（六）响应文件提交截止时间</w:t>
      </w:r>
    </w:p>
    <w:p w14:paraId="297C0096">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1.响应文件必须在规定的招标截止时间前派人送达指定的招标地点。</w:t>
      </w:r>
    </w:p>
    <w:p w14:paraId="0178A92D">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2.如有特殊情况，可推迟或取消采购，但应在相关的采购信息发布媒体上发布变更公告，告之所有招标主承销商。</w:t>
      </w:r>
    </w:p>
    <w:p w14:paraId="2F7FEAAD">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（七）响应文件的修改和撤回</w:t>
      </w:r>
    </w:p>
    <w:p w14:paraId="4B9BB63C">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1.响应主承销商如必须修改或撤回招标文件，必须在招标截止时间以前将书面的修改文件或撤消通知送达代理采购机构。</w:t>
      </w:r>
    </w:p>
    <w:p w14:paraId="1C236EAC">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2.修改文件必须密封，在密封袋上写明招标文件编号、采购项目名称、主承销商名称、并注明“招标修改响应文件”、“招标时启封”字样。</w:t>
      </w:r>
    </w:p>
    <w:p w14:paraId="203FD03A">
      <w:pPr>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（八）招标文件的有效期</w:t>
      </w:r>
    </w:p>
    <w:p w14:paraId="55FA3416">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自招标截止日起90天内响应文件应保持有效，有效期不足的响应文件将被拒绝。</w:t>
      </w:r>
    </w:p>
    <w:p w14:paraId="5246025A">
      <w:pPr>
        <w:autoSpaceDE w:val="0"/>
        <w:autoSpaceDN w:val="0"/>
        <w:adjustRightInd w:val="0"/>
        <w:spacing w:line="360" w:lineRule="auto"/>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color w:val="auto"/>
          <w:sz w:val="24"/>
          <w:highlight w:val="none"/>
          <w:lang w:val="zh-CN"/>
        </w:rPr>
        <w:t>四、响应无效及招标终止条款</w:t>
      </w:r>
    </w:p>
    <w:p w14:paraId="1B9923FD">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b/>
          <w:bCs/>
          <w:color w:val="auto"/>
          <w:sz w:val="24"/>
          <w:highlight w:val="none"/>
        </w:rPr>
        <w:t>一）响应无效条款：</w:t>
      </w:r>
    </w:p>
    <w:p w14:paraId="26EC4106">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1.主承销商不具备招标文件中规定资格条件的；</w:t>
      </w:r>
    </w:p>
    <w:p w14:paraId="398C028F">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2.招标代表人未能出具有效身份证明或与法定代表人（或法定负责人）授权委托人身份不符的；</w:t>
      </w:r>
    </w:p>
    <w:p w14:paraId="14A5AB86">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评标委员会认为主承销商的报价明显低于其他通过符合性审查主承销商的报价，有可能影响服务质量和不能诚信履约的，可以要求其在招标现场合理的时间内提出书面说明，必要时提交相关证明材料；主承销商不能证明其报价合理性的，评标委员会可以认定该主承销商响应无效;</w:t>
      </w:r>
    </w:p>
    <w:p w14:paraId="2BC3FF48">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4.响应报价高于市场平均价格，评标委员会认为有背《中华人民共和国政府采购法》第十七条的；</w:t>
      </w:r>
    </w:p>
    <w:p w14:paraId="36AFD9D7">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5.商务需求不响应的；</w:t>
      </w:r>
    </w:p>
    <w:p w14:paraId="75D697B3">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6.响应文件提供虚假材料的； </w:t>
      </w:r>
    </w:p>
    <w:p w14:paraId="09901B30">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7.未按照响应文件规定要求密封、签署、盖章的（所有盖章均加盖招标单位公章，其它印章均作无效）；</w:t>
      </w:r>
    </w:p>
    <w:p w14:paraId="473B770B">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8.本招标文件规定的属响应无效的情形。</w:t>
      </w:r>
    </w:p>
    <w:p w14:paraId="3B3EE342">
      <w:pPr>
        <w:spacing w:line="360" w:lineRule="auto"/>
        <w:ind w:firstLine="482"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b/>
          <w:bCs/>
          <w:color w:val="auto"/>
          <w:sz w:val="24"/>
          <w:highlight w:val="none"/>
        </w:rPr>
        <w:t>（二）招标终止条款</w:t>
      </w:r>
      <w:r>
        <w:rPr>
          <w:rFonts w:hint="eastAsia" w:cs="仿宋" w:asciiTheme="minorEastAsia" w:hAnsiTheme="minorEastAsia" w:eastAsiaTheme="minorEastAsia"/>
          <w:color w:val="auto"/>
          <w:sz w:val="24"/>
          <w:highlight w:val="none"/>
        </w:rPr>
        <w:t>：</w:t>
      </w:r>
    </w:p>
    <w:p w14:paraId="6B648BFD">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1.因情况变化，不再符合规定的招标采购方式适用情形的；</w:t>
      </w:r>
    </w:p>
    <w:p w14:paraId="1DA4266E">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2.出现影响采购公正的违法、违规行为的；</w:t>
      </w:r>
    </w:p>
    <w:p w14:paraId="48DC7EE6">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3.因重大变故，采购任务取消的。</w:t>
      </w:r>
    </w:p>
    <w:p w14:paraId="446D7FFB">
      <w:pPr>
        <w:autoSpaceDE w:val="0"/>
        <w:autoSpaceDN w:val="0"/>
        <w:adjustRightInd w:val="0"/>
        <w:spacing w:line="360" w:lineRule="auto"/>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color w:val="auto"/>
          <w:sz w:val="24"/>
          <w:highlight w:val="none"/>
          <w:lang w:val="zh-CN"/>
        </w:rPr>
        <w:t>五、</w:t>
      </w:r>
      <w:r>
        <w:rPr>
          <w:rFonts w:hint="eastAsia" w:cs="仿宋" w:asciiTheme="minorEastAsia" w:hAnsiTheme="minorEastAsia" w:eastAsiaTheme="minorEastAsia"/>
          <w:b/>
          <w:color w:val="auto"/>
          <w:sz w:val="24"/>
          <w:highlight w:val="none"/>
        </w:rPr>
        <w:t>开标</w:t>
      </w:r>
      <w:r>
        <w:rPr>
          <w:rFonts w:hint="eastAsia" w:cs="仿宋" w:asciiTheme="minorEastAsia" w:hAnsiTheme="minorEastAsia" w:eastAsiaTheme="minorEastAsia"/>
          <w:b/>
          <w:color w:val="auto"/>
          <w:sz w:val="24"/>
          <w:highlight w:val="none"/>
          <w:lang w:val="zh-CN"/>
        </w:rPr>
        <w:t>、</w:t>
      </w:r>
      <w:r>
        <w:rPr>
          <w:rFonts w:hint="eastAsia" w:cs="仿宋" w:asciiTheme="minorEastAsia" w:hAnsiTheme="minorEastAsia" w:eastAsiaTheme="minorEastAsia"/>
          <w:b/>
          <w:color w:val="auto"/>
          <w:sz w:val="24"/>
          <w:highlight w:val="none"/>
        </w:rPr>
        <w:t>无效标、评标</w:t>
      </w:r>
    </w:p>
    <w:p w14:paraId="751AF2BD">
      <w:pPr>
        <w:spacing w:line="360" w:lineRule="auto"/>
        <w:ind w:firstLine="484" w:firstLineChars="201"/>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（一）开标程序</w:t>
      </w:r>
    </w:p>
    <w:p w14:paraId="19147751">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highlight w:val="none"/>
        </w:rPr>
        <w:t>1.本项目将于前附表规定的时间和地点准时开标，</w:t>
      </w:r>
      <w:r>
        <w:rPr>
          <w:rFonts w:hint="eastAsia" w:cs="仿宋" w:asciiTheme="minorEastAsia" w:hAnsiTheme="minorEastAsia" w:eastAsiaTheme="minorEastAsia"/>
          <w:color w:val="auto"/>
          <w:sz w:val="24"/>
          <w:highlight w:val="none"/>
          <w:lang w:val="zh-CN"/>
        </w:rPr>
        <w:t>投标人</w:t>
      </w:r>
      <w:r>
        <w:rPr>
          <w:rFonts w:hint="eastAsia" w:cs="仿宋" w:asciiTheme="minorEastAsia" w:hAnsiTheme="minorEastAsia" w:eastAsiaTheme="minorEastAsia"/>
          <w:color w:val="auto"/>
          <w:sz w:val="24"/>
          <w:highlight w:val="none"/>
        </w:rPr>
        <w:t>可派代表参加开标会。参加开标会的</w:t>
      </w:r>
      <w:r>
        <w:rPr>
          <w:rFonts w:hint="eastAsia" w:cs="仿宋" w:asciiTheme="minorEastAsia" w:hAnsiTheme="minorEastAsia" w:eastAsiaTheme="minorEastAsia"/>
          <w:color w:val="auto"/>
          <w:sz w:val="24"/>
          <w:highlight w:val="none"/>
          <w:lang w:val="zh-CN"/>
        </w:rPr>
        <w:t>投标人</w:t>
      </w:r>
      <w:r>
        <w:rPr>
          <w:rFonts w:hint="eastAsia" w:cs="仿宋" w:asciiTheme="minorEastAsia" w:hAnsiTheme="minorEastAsia" w:eastAsiaTheme="minorEastAsia"/>
          <w:color w:val="auto"/>
          <w:sz w:val="24"/>
          <w:highlight w:val="none"/>
        </w:rPr>
        <w:t>的法定代表人（或法定负责人）或其授权代理人应出具其有效身份证明、授权委托书，</w:t>
      </w:r>
      <w:r>
        <w:rPr>
          <w:rFonts w:hint="eastAsia" w:cs="仿宋" w:asciiTheme="minorEastAsia" w:hAnsiTheme="minorEastAsia" w:eastAsiaTheme="minorEastAsia"/>
          <w:color w:val="auto"/>
          <w:sz w:val="24"/>
          <w:highlight w:val="none"/>
          <w:lang w:val="zh-CN"/>
        </w:rPr>
        <w:t>投标人</w:t>
      </w:r>
      <w:r>
        <w:rPr>
          <w:rFonts w:hint="eastAsia" w:cs="仿宋" w:asciiTheme="minorEastAsia" w:hAnsiTheme="minorEastAsia" w:eastAsiaTheme="minorEastAsia"/>
          <w:color w:val="auto"/>
          <w:sz w:val="24"/>
          <w:highlight w:val="none"/>
        </w:rPr>
        <w:t>的法定代表人（或法定负责人）或其授权代理人未参加开标会或迟到的，视为对本项</w:t>
      </w:r>
      <w:r>
        <w:rPr>
          <w:rFonts w:hint="eastAsia" w:cs="仿宋" w:asciiTheme="minorEastAsia" w:hAnsiTheme="minorEastAsia" w:eastAsiaTheme="minorEastAsia"/>
          <w:color w:val="auto"/>
          <w:sz w:val="24"/>
          <w:szCs w:val="24"/>
          <w:highlight w:val="none"/>
        </w:rPr>
        <w:t>目开标过程和开标结果无异议；</w:t>
      </w:r>
    </w:p>
    <w:p w14:paraId="72B08C5C">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2.主持人介绍参加开标会的成员，宣布开标期间的有关事项、开评标纪律、应当回避的情形等注意事项，提请有关人员回避；</w:t>
      </w:r>
    </w:p>
    <w:p w14:paraId="5ECDE20E">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3.现场监督人员或投标人代表检查响应文件密封情况并签字确认；</w:t>
      </w:r>
    </w:p>
    <w:p w14:paraId="1DFF6C4D">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4.开启响应文件外包装，清点正本、副本数量；</w:t>
      </w:r>
    </w:p>
    <w:p w14:paraId="6AACA462">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5.评标小组对投标人的响应文件进行符合性审查和内容评审；</w:t>
      </w:r>
    </w:p>
    <w:p w14:paraId="599745C4">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6.做好开标记录，现场监督人员对开标记录进行当场校核及勘误，并签字确认。</w:t>
      </w:r>
    </w:p>
    <w:p w14:paraId="31364243">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7.评标结束，由主持人宣布无效标及缘由，有效投标人的评分结果和推荐的中标候选人。</w:t>
      </w:r>
    </w:p>
    <w:p w14:paraId="44A50FBF">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8.开标会议结束。</w:t>
      </w:r>
    </w:p>
    <w:p w14:paraId="09BA5DA0">
      <w:pPr>
        <w:spacing w:line="360" w:lineRule="auto"/>
        <w:ind w:firstLine="484" w:firstLineChars="201"/>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（二）无效标情形</w:t>
      </w:r>
    </w:p>
    <w:p w14:paraId="261D0C66">
      <w:pPr>
        <w:tabs>
          <w:tab w:val="left" w:pos="720"/>
        </w:tabs>
        <w:spacing w:line="360" w:lineRule="auto"/>
        <w:ind w:firstLine="616" w:firstLineChars="257"/>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对</w:t>
      </w:r>
      <w:r>
        <w:rPr>
          <w:rFonts w:hint="eastAsia" w:cs="仿宋" w:asciiTheme="minorEastAsia" w:hAnsiTheme="minorEastAsia" w:eastAsiaTheme="minorEastAsia"/>
          <w:color w:val="auto"/>
          <w:sz w:val="24"/>
          <w:highlight w:val="none"/>
          <w:lang w:val="zh-CN"/>
        </w:rPr>
        <w:t>投标人</w:t>
      </w:r>
      <w:r>
        <w:rPr>
          <w:rFonts w:hint="eastAsia" w:cs="仿宋" w:asciiTheme="minorEastAsia" w:hAnsiTheme="minorEastAsia" w:eastAsiaTheme="minorEastAsia"/>
          <w:color w:val="auto"/>
          <w:sz w:val="24"/>
          <w:highlight w:val="none"/>
        </w:rPr>
        <w:t>的投标响应文件出现下列情况之一的，按照无效标处理：</w:t>
      </w:r>
    </w:p>
    <w:p w14:paraId="3724F2D5">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（1）投标响应文件逾期送达或未按规定的地点送达的；</w:t>
      </w:r>
    </w:p>
    <w:p w14:paraId="25A7CA30">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（2）未按招标文件规定响应招标内容的；</w:t>
      </w:r>
    </w:p>
    <w:p w14:paraId="7FD3665C">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（3）未按照招标文件规定的要求密封、签署、盖章、装订的；</w:t>
      </w:r>
    </w:p>
    <w:p w14:paraId="69B1C556">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（4）不具备招标文件中规定的资格条件要求的；</w:t>
      </w:r>
    </w:p>
    <w:p w14:paraId="151411E0">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w:t>
      </w:r>
      <w:r>
        <w:rPr>
          <w:rFonts w:hint="eastAsia" w:cs="仿宋" w:asciiTheme="minorEastAsia" w:hAnsiTheme="minorEastAsia" w:eastAsiaTheme="minorEastAsia"/>
          <w:color w:val="auto"/>
          <w:sz w:val="24"/>
          <w:highlight w:val="none"/>
          <w:lang w:val="zh-CN"/>
        </w:rPr>
        <w:t>投标人</w:t>
      </w:r>
      <w:r>
        <w:rPr>
          <w:rFonts w:hint="eastAsia" w:cs="仿宋" w:asciiTheme="minorEastAsia" w:hAnsiTheme="minorEastAsia" w:eastAsiaTheme="minorEastAsia"/>
          <w:color w:val="auto"/>
          <w:sz w:val="24"/>
          <w:highlight w:val="none"/>
        </w:rPr>
        <w:t>提交两份或两份以上内容不同的投标响应文件，或在一份投标响应文件中对同一采购项目有两个或两个以上报价的；</w:t>
      </w:r>
    </w:p>
    <w:p w14:paraId="01F14054">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（6）投标响应文件载明的采购项目完成期限超过招标文件规定的期限，采购人不能接受的；</w:t>
      </w:r>
    </w:p>
    <w:p w14:paraId="4BC34973">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（7）投标响应文件载明的采购项目投标有效期、服务质保期少于招标文件规定期限的；</w:t>
      </w:r>
    </w:p>
    <w:p w14:paraId="3736D28C">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（8）投标响应文件未响应招标文件规定的报价方式的；</w:t>
      </w:r>
    </w:p>
    <w:p w14:paraId="67CEB37D">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（9）投标响应文件的份数少于规定要求；</w:t>
      </w:r>
    </w:p>
    <w:p w14:paraId="13D655EA">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（10）投标响应文件的货物或服务技术规范、技术标准明显不符合国家强制性要求的；</w:t>
      </w:r>
    </w:p>
    <w:p w14:paraId="3B6DB10E">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（11）投标响应文件字迹模糊辨认不清的（评标小组一致认为难以确认）；</w:t>
      </w:r>
    </w:p>
    <w:p w14:paraId="03BFE060">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（12）超出经营范围投标的；</w:t>
      </w:r>
    </w:p>
    <w:p w14:paraId="6BED0B55">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（13）提供不真实资料的；</w:t>
      </w:r>
    </w:p>
    <w:p w14:paraId="23974F6C">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（14）不符合法律、法规和招标文件规定的其他实质性要求（评标小组一致认定）的；</w:t>
      </w:r>
    </w:p>
    <w:p w14:paraId="45FCD928">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（15）投标价超出本项目限价范围的；</w:t>
      </w:r>
    </w:p>
    <w:p w14:paraId="42826C92">
      <w:pPr>
        <w:spacing w:line="360" w:lineRule="auto"/>
        <w:ind w:firstLine="482" w:firstLineChars="201"/>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（16）法律、法规、规章及省级以上规范性文件等规定的其他情形。</w:t>
      </w:r>
    </w:p>
    <w:p w14:paraId="6465AEB3">
      <w:pPr>
        <w:spacing w:line="360" w:lineRule="auto"/>
        <w:ind w:firstLine="484" w:firstLineChars="201"/>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 评标小组与评标原则</w:t>
      </w:r>
    </w:p>
    <w:p w14:paraId="736B0026">
      <w:pPr>
        <w:tabs>
          <w:tab w:val="left" w:pos="720"/>
        </w:tabs>
        <w:spacing w:line="360" w:lineRule="auto"/>
        <w:ind w:firstLine="616" w:firstLineChars="257"/>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本项目评标委员会由</w:t>
      </w:r>
      <w:r>
        <w:rPr>
          <w:rFonts w:hint="eastAsia" w:cs="仿宋" w:asciiTheme="minorEastAsia" w:hAnsiTheme="minorEastAsia" w:eastAsiaTheme="minorEastAsia"/>
          <w:color w:val="auto"/>
          <w:sz w:val="24"/>
          <w:highlight w:val="none"/>
          <w:u w:val="single"/>
        </w:rPr>
        <w:t>评审专家4人</w:t>
      </w:r>
      <w:r>
        <w:rPr>
          <w:rFonts w:hint="eastAsia" w:cs="仿宋" w:asciiTheme="minorEastAsia" w:hAnsiTheme="minorEastAsia" w:eastAsiaTheme="minorEastAsia"/>
          <w:color w:val="auto"/>
          <w:sz w:val="24"/>
          <w:highlight w:val="none"/>
        </w:rPr>
        <w:t>和</w:t>
      </w:r>
      <w:r>
        <w:rPr>
          <w:rFonts w:hint="eastAsia" w:cs="仿宋" w:asciiTheme="minorEastAsia" w:hAnsiTheme="minorEastAsia" w:eastAsiaTheme="minorEastAsia"/>
          <w:color w:val="auto"/>
          <w:sz w:val="24"/>
          <w:highlight w:val="none"/>
          <w:u w:val="single"/>
        </w:rPr>
        <w:t>采购人代表 1 人</w:t>
      </w:r>
      <w:r>
        <w:rPr>
          <w:rFonts w:hint="eastAsia" w:cs="仿宋" w:asciiTheme="minorEastAsia" w:hAnsiTheme="minorEastAsia" w:eastAsiaTheme="minorEastAsia"/>
          <w:color w:val="auto"/>
          <w:sz w:val="24"/>
          <w:highlight w:val="none"/>
        </w:rPr>
        <w:t>，共</w:t>
      </w:r>
      <w:r>
        <w:rPr>
          <w:rFonts w:hint="eastAsia" w:cs="仿宋" w:asciiTheme="minorEastAsia" w:hAnsiTheme="minorEastAsia" w:eastAsiaTheme="minorEastAsia"/>
          <w:color w:val="auto"/>
          <w:sz w:val="24"/>
          <w:highlight w:val="none"/>
          <w:u w:val="single"/>
        </w:rPr>
        <w:t>5人</w:t>
      </w:r>
      <w:r>
        <w:rPr>
          <w:rFonts w:hint="eastAsia" w:cs="仿宋" w:asciiTheme="minorEastAsia" w:hAnsiTheme="minorEastAsia" w:eastAsiaTheme="minorEastAsia"/>
          <w:color w:val="auto"/>
          <w:sz w:val="24"/>
          <w:highlight w:val="none"/>
        </w:rPr>
        <w:t>组成，从东阳市国资办专家库中抽取。评标小组遵循公开、公平、公正、科学合理，竞争择优的原则。</w:t>
      </w:r>
    </w:p>
    <w:p w14:paraId="24428E3C">
      <w:pPr>
        <w:spacing w:line="360" w:lineRule="auto"/>
        <w:ind w:firstLine="484" w:firstLineChars="201"/>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（四）评标过程的保密</w:t>
      </w:r>
    </w:p>
    <w:p w14:paraId="7BD97C81">
      <w:pPr>
        <w:tabs>
          <w:tab w:val="left" w:pos="720"/>
        </w:tabs>
        <w:spacing w:line="360" w:lineRule="auto"/>
        <w:ind w:firstLine="616" w:firstLineChars="257"/>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1.评标会开始后，直至授予成交承销商合同为止，凡属于对投标响应文件的审查、澄清、评判和比较的有关资料、中标候选人的推荐情况及与招标有关的其他任何情况均依法严格保密。</w:t>
      </w:r>
    </w:p>
    <w:p w14:paraId="7872D9C9">
      <w:pPr>
        <w:tabs>
          <w:tab w:val="left" w:pos="720"/>
        </w:tabs>
        <w:spacing w:line="360" w:lineRule="auto"/>
        <w:ind w:firstLine="616" w:firstLineChars="257"/>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2.在投标响应文件的评判和比较、中标候选人推荐以及授予合同的过程中，</w:t>
      </w:r>
      <w:r>
        <w:rPr>
          <w:rFonts w:hint="eastAsia" w:cs="仿宋" w:asciiTheme="minorEastAsia" w:hAnsiTheme="minorEastAsia" w:eastAsiaTheme="minorEastAsia"/>
          <w:color w:val="auto"/>
          <w:sz w:val="24"/>
          <w:highlight w:val="none"/>
          <w:lang w:val="zh-CN"/>
        </w:rPr>
        <w:t>承销商</w:t>
      </w:r>
      <w:r>
        <w:rPr>
          <w:rFonts w:hint="eastAsia" w:cs="仿宋" w:asciiTheme="minorEastAsia" w:hAnsiTheme="minorEastAsia" w:eastAsiaTheme="minorEastAsia"/>
          <w:color w:val="auto"/>
          <w:sz w:val="24"/>
          <w:highlight w:val="none"/>
        </w:rPr>
        <w:t>向招标采购单位和评标小组施加影响的任何行为，都将会导致其招标被拒绝。</w:t>
      </w:r>
    </w:p>
    <w:p w14:paraId="6ACAB630">
      <w:pPr>
        <w:tabs>
          <w:tab w:val="left" w:pos="720"/>
        </w:tabs>
        <w:spacing w:line="360" w:lineRule="auto"/>
        <w:ind w:firstLine="616" w:firstLineChars="257"/>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 评标小组分别各</w:t>
      </w:r>
      <w:r>
        <w:rPr>
          <w:rFonts w:hint="eastAsia" w:cs="仿宋" w:asciiTheme="minorEastAsia" w:hAnsiTheme="minorEastAsia" w:eastAsiaTheme="minorEastAsia"/>
          <w:color w:val="auto"/>
          <w:sz w:val="24"/>
          <w:highlight w:val="none"/>
          <w:lang w:val="zh-CN"/>
        </w:rPr>
        <w:t>投标人</w:t>
      </w:r>
      <w:r>
        <w:rPr>
          <w:rFonts w:hint="eastAsia" w:cs="仿宋" w:asciiTheme="minorEastAsia" w:hAnsiTheme="minorEastAsia" w:eastAsiaTheme="minorEastAsia"/>
          <w:color w:val="auto"/>
          <w:sz w:val="24"/>
          <w:highlight w:val="none"/>
        </w:rPr>
        <w:t>提交的响应文件进行资信商务、技术及价格内容评审，在招标过程中，评标小组成员不得透露其他</w:t>
      </w:r>
      <w:r>
        <w:rPr>
          <w:rFonts w:hint="eastAsia" w:cs="仿宋" w:asciiTheme="minorEastAsia" w:hAnsiTheme="minorEastAsia" w:eastAsiaTheme="minorEastAsia"/>
          <w:color w:val="auto"/>
          <w:sz w:val="24"/>
          <w:highlight w:val="none"/>
          <w:lang w:val="zh-CN"/>
        </w:rPr>
        <w:t>承销商</w:t>
      </w:r>
      <w:r>
        <w:rPr>
          <w:rFonts w:hint="eastAsia" w:cs="仿宋" w:asciiTheme="minorEastAsia" w:hAnsiTheme="minorEastAsia" w:eastAsiaTheme="minorEastAsia"/>
          <w:color w:val="auto"/>
          <w:sz w:val="24"/>
          <w:highlight w:val="none"/>
        </w:rPr>
        <w:t>的投标信息，严守商业秘密。</w:t>
      </w:r>
    </w:p>
    <w:p w14:paraId="33E138BB">
      <w:pPr>
        <w:spacing w:line="360" w:lineRule="auto"/>
        <w:ind w:firstLine="484" w:firstLineChars="201"/>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（五）投标响应文件的澄清</w:t>
      </w:r>
    </w:p>
    <w:p w14:paraId="312D12A3">
      <w:pPr>
        <w:tabs>
          <w:tab w:val="left" w:pos="720"/>
        </w:tabs>
        <w:spacing w:line="360" w:lineRule="auto"/>
        <w:ind w:firstLine="616" w:firstLineChars="257"/>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为有助于投标响应文件的审查、评判和比较，评标小组可以书面形式要求</w:t>
      </w:r>
      <w:r>
        <w:rPr>
          <w:rFonts w:hint="eastAsia" w:cs="仿宋" w:asciiTheme="minorEastAsia" w:hAnsiTheme="minorEastAsia" w:eastAsiaTheme="minorEastAsia"/>
          <w:color w:val="auto"/>
          <w:sz w:val="24"/>
          <w:highlight w:val="none"/>
          <w:lang w:val="zh-CN"/>
        </w:rPr>
        <w:t>承销商</w:t>
      </w:r>
      <w:r>
        <w:rPr>
          <w:rFonts w:hint="eastAsia" w:cs="仿宋" w:asciiTheme="minorEastAsia" w:hAnsiTheme="minorEastAsia" w:eastAsiaTheme="minorEastAsia"/>
          <w:color w:val="auto"/>
          <w:sz w:val="24"/>
          <w:highlight w:val="none"/>
        </w:rPr>
        <w:t>对投标响应文件含义不明确的内容作必要的澄清或说明，</w:t>
      </w:r>
      <w:r>
        <w:rPr>
          <w:rFonts w:hint="eastAsia" w:cs="仿宋" w:asciiTheme="minorEastAsia" w:hAnsiTheme="minorEastAsia" w:eastAsiaTheme="minorEastAsia"/>
          <w:color w:val="auto"/>
          <w:sz w:val="24"/>
          <w:highlight w:val="none"/>
          <w:lang w:val="zh-CN"/>
        </w:rPr>
        <w:t>承销商</w:t>
      </w:r>
      <w:r>
        <w:rPr>
          <w:rFonts w:hint="eastAsia" w:cs="仿宋" w:asciiTheme="minorEastAsia" w:hAnsiTheme="minorEastAsia" w:eastAsiaTheme="minorEastAsia"/>
          <w:color w:val="auto"/>
          <w:sz w:val="24"/>
          <w:highlight w:val="none"/>
        </w:rPr>
        <w:t>应采用书面形式进行澄清、说明或承诺。</w:t>
      </w:r>
    </w:p>
    <w:p w14:paraId="21E51DA3">
      <w:pPr>
        <w:tabs>
          <w:tab w:val="left" w:pos="720"/>
        </w:tabs>
        <w:spacing w:line="360" w:lineRule="auto"/>
        <w:ind w:firstLine="241" w:firstLineChars="100"/>
        <w:rPr>
          <w:rFonts w:hint="eastAsia"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（六）评标原则</w:t>
      </w:r>
    </w:p>
    <w:p w14:paraId="7F83BD07">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1.评标小组必须公平、公正、客观，不带任何倾向性和启发性；按照招标文件的要求和条件进行评标；客观、公正地对待所有投标人，对所有投标评审，均采用相同的程序和标准。</w:t>
      </w:r>
    </w:p>
    <w:p w14:paraId="5BE17074">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评标小组要审查每份投标响应文件是否实质上响应了招标文件的要求。实质上响应的投标文件应该是与招标文件要求的全部条款、条件相符，没有重大偏离的投标。评标小组决定投标的响应性只根据响应文件的内容，而不寻求外部的证据。投标人不得通过修改或撤消不合要求的偏离或保留从而使其投标成为实质上响应的投标</w:t>
      </w:r>
    </w:p>
    <w:p w14:paraId="1705FDDF">
      <w:pPr>
        <w:tabs>
          <w:tab w:val="left" w:pos="720"/>
        </w:tabs>
        <w:spacing w:line="360" w:lineRule="auto"/>
        <w:ind w:firstLine="480" w:firstLineChars="200"/>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3.在评标过程中，评标小组及有关工作人员不得私下与投标人接触，在招标工作结束后，凡与评标情况有</w:t>
      </w:r>
    </w:p>
    <w:p w14:paraId="79A32131">
      <w:pPr>
        <w:tabs>
          <w:tab w:val="left" w:pos="720"/>
        </w:tabs>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接触的人不得向外界透露任何与评标有关的内容。招标代理机构不向落标方解释落标原因。</w:t>
      </w:r>
    </w:p>
    <w:p w14:paraId="2DF43405">
      <w:pPr>
        <w:tabs>
          <w:tab w:val="left" w:pos="720"/>
        </w:tabs>
        <w:spacing w:line="360" w:lineRule="auto"/>
        <w:ind w:firstLine="480" w:firstLineChars="200"/>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color w:val="auto"/>
          <w:sz w:val="24"/>
          <w:szCs w:val="24"/>
          <w:highlight w:val="none"/>
        </w:rPr>
        <w:t>4.在开标、评标期间，任何单位和个人不得干扰、影响评标的正常进行，投标人不得向评标小组成员询问评标情况，不得进行旨在影响评标结果的活动，否则将废除其投标资格。</w:t>
      </w:r>
    </w:p>
    <w:p w14:paraId="7C7B097D">
      <w:pPr>
        <w:spacing w:line="360" w:lineRule="auto"/>
        <w:ind w:firstLine="484" w:firstLineChars="201"/>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（七）评标程序</w:t>
      </w:r>
    </w:p>
    <w:p w14:paraId="5D78ED09">
      <w:pPr>
        <w:spacing w:line="460" w:lineRule="exact"/>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本项目评标一般将按以下程序进行：投标响应文件符合性检查、投标响应文件的澄清（如有）、实质审查与比较、推荐中标候选人和编写评标报告等。</w:t>
      </w:r>
    </w:p>
    <w:p w14:paraId="4E9DBED7">
      <w:pPr>
        <w:spacing w:line="460" w:lineRule="exact"/>
        <w:ind w:firstLine="480" w:firstLineChars="200"/>
        <w:jc w:val="left"/>
        <w:rPr>
          <w:rFonts w:hint="eastAsia" w:cs="仿宋" w:asciiTheme="minorEastAsia" w:hAnsiTheme="minorEastAsia" w:eastAsiaTheme="minorEastAsia"/>
          <w:b/>
          <w:bCs/>
          <w:color w:val="auto"/>
          <w:highlight w:val="none"/>
          <w:u w:val="double"/>
        </w:rPr>
      </w:pPr>
      <w:r>
        <w:rPr>
          <w:rFonts w:hint="eastAsia" w:cs="仿宋" w:asciiTheme="minorEastAsia" w:hAnsiTheme="minorEastAsia" w:eastAsiaTheme="minorEastAsia"/>
          <w:color w:val="auto"/>
          <w:sz w:val="24"/>
          <w:highlight w:val="none"/>
        </w:rPr>
        <w:t>1.投标响应文件符合性检查</w:t>
      </w:r>
    </w:p>
    <w:p w14:paraId="64D9C86F">
      <w:pPr>
        <w:spacing w:line="460" w:lineRule="exact"/>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依据招标文件的规定，从投标响应文件的有效性、完整性和对招标文件的响应程度进行审查、比较和评估，以确定是否对招标文件的实质性要求作出响应。符合性检查不合格的投标人，投标文件判定为不合格。</w:t>
      </w:r>
    </w:p>
    <w:p w14:paraId="6760D307">
      <w:pPr>
        <w:spacing w:line="460" w:lineRule="exact"/>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投标响应文件的澄清。对投标响应文件中含义不明确、同类问题表述不一致或者有明显文字和计算错误的内容，评标小组可要求投标人以书面形式作出必要的澄清、说明或者纠正。并不得超出投标响应文件的范围或者改变响应文件的实质性内容。</w:t>
      </w:r>
    </w:p>
    <w:p w14:paraId="0CE81D26">
      <w:pPr>
        <w:spacing w:line="460" w:lineRule="exact"/>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3.实质审查和比较。按招标文件中规定的评标方法和标准，对符合性检查合格的投标响应文件进行评估，综合比较与评价。</w:t>
      </w:r>
    </w:p>
    <w:p w14:paraId="272C4A76">
      <w:pPr>
        <w:spacing w:line="460" w:lineRule="exact"/>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4.推荐中标候选人。评标小组完成评标后,评标小组按评标原则、标准和方法推荐中标候选人同时起草评标报告。</w:t>
      </w:r>
    </w:p>
    <w:p w14:paraId="01DC208C">
      <w:pPr>
        <w:spacing w:line="460" w:lineRule="exact"/>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5.投标人拒绝澄清或者澄清的内容改变了投标响应文件的实质性内容的，评标小组有权对该投标响应文件作出不利于投标人的评判。</w:t>
      </w:r>
    </w:p>
    <w:p w14:paraId="4F70D7E4">
      <w:pPr>
        <w:spacing w:line="460" w:lineRule="exact"/>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▲6.经澄清后，若偏差仍存在，且不可接受，该投标投标人则被认为是“没有实质性响应招标文件要求”，其响应文件不进入下一步评审。</w:t>
      </w:r>
    </w:p>
    <w:p w14:paraId="6EA7ABC3">
      <w:pPr>
        <w:tabs>
          <w:tab w:val="left" w:pos="720"/>
        </w:tabs>
        <w:spacing w:line="360" w:lineRule="auto"/>
        <w:ind w:firstLine="487" w:firstLineChars="202"/>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（八）错误修正原则</w:t>
      </w:r>
    </w:p>
    <w:p w14:paraId="711DBA5C">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（1）投标响应文件中报价函的内容与分项明细报价内容不一致的，以报价函为准；</w:t>
      </w:r>
    </w:p>
    <w:p w14:paraId="7B428CA2">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（2）投标响应文件的大写金额和小写金额不一致的，以大写金额为准；</w:t>
      </w:r>
    </w:p>
    <w:p w14:paraId="648B2E16">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（3）总价金额与按单价汇总金额不一致的，以单价金额计算结果为准;</w:t>
      </w:r>
    </w:p>
    <w:p w14:paraId="2ED32021">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（4）单价金额小数点有明显错位的，应以总价为准，并修改单价；</w:t>
      </w:r>
    </w:p>
    <w:p w14:paraId="5800AAD5">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（5）对不同文字文本投标响应文件的解释发生异议的，以中文文本为准。</w:t>
      </w:r>
    </w:p>
    <w:p w14:paraId="5A786FFC">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（6）投标人应根据市场平均水平进行报价，如评标小组一致认为某投标人报价明显不合理，有降低质量、不能诚信履约的可能时，且该投标人未在规定期限内作出解释，或所作解释不合理的，将作无效标处理。</w:t>
      </w:r>
    </w:p>
    <w:p w14:paraId="1ECDB733">
      <w:pPr>
        <w:tabs>
          <w:tab w:val="left" w:pos="720"/>
        </w:tabs>
        <w:spacing w:line="360" w:lineRule="auto"/>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六、废标</w:t>
      </w:r>
    </w:p>
    <w:p w14:paraId="74E34007">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在招标中，出现下列情形之一的，应予废标：</w:t>
      </w:r>
    </w:p>
    <w:p w14:paraId="28AB8E9F">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（1）出现影响采购公正的违法、违规行为的；</w:t>
      </w:r>
    </w:p>
    <w:p w14:paraId="74B56412">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（2）因重大变故，采购任务取消的；</w:t>
      </w:r>
    </w:p>
    <w:p w14:paraId="2ABC1FD6">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（3）法律、法规、规章等规定的其他情形除外。</w:t>
      </w:r>
    </w:p>
    <w:p w14:paraId="582DEB0F">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废标后，招标采购单位将废标理由通知所有</w:t>
      </w:r>
      <w:r>
        <w:rPr>
          <w:rFonts w:hint="eastAsia" w:cs="仿宋" w:asciiTheme="minorEastAsia" w:hAnsiTheme="minorEastAsia" w:eastAsiaTheme="minorEastAsia"/>
          <w:color w:val="auto"/>
          <w:sz w:val="24"/>
          <w:highlight w:val="none"/>
          <w:lang w:val="zh-CN"/>
        </w:rPr>
        <w:t>投标人</w:t>
      </w:r>
      <w:r>
        <w:rPr>
          <w:rFonts w:hint="eastAsia" w:cs="仿宋" w:asciiTheme="minorEastAsia" w:hAnsiTheme="minorEastAsia" w:eastAsiaTheme="minorEastAsia"/>
          <w:color w:val="auto"/>
          <w:sz w:val="24"/>
          <w:highlight w:val="none"/>
        </w:rPr>
        <w:t>。</w:t>
      </w:r>
    </w:p>
    <w:p w14:paraId="7A79EE41">
      <w:pPr>
        <w:numPr>
          <w:ilvl w:val="0"/>
          <w:numId w:val="3"/>
        </w:numPr>
        <w:tabs>
          <w:tab w:val="left" w:pos="720"/>
        </w:tabs>
        <w:spacing w:line="360" w:lineRule="auto"/>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定标</w:t>
      </w:r>
    </w:p>
    <w:p w14:paraId="0A21774B">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在最大限度地满足招标文件实质性要求前提下，评审专家小组按照招标文件中规定的各项因素进行综合评审后，以评审总得分由高到低来进行排名，总得分相同时，按照报价得分由高到低的顺序确定排名。总得分且报价得分均相同的，按照资信技术部分得分由高到低确定排名。总得分、报价得分、资信技术部分得分均相同的，由评标委员会抽签确定排名。</w:t>
      </w:r>
    </w:p>
    <w:p w14:paraId="2A2A115B">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（2）采购代理机构应当在招标结束后二个工作日内将招标评审报告送采购人确认。</w:t>
      </w:r>
    </w:p>
    <w:p w14:paraId="35D5427F">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（3）采购人应当在收到招标评审报告后五个工作日内，按照招标评审报告中推荐的排列顺序依法确定承销商。</w:t>
      </w:r>
    </w:p>
    <w:p w14:paraId="46B9005B">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（4）替补候选人的设定与使用：中标候选人放弃中标或者因不可抗力提出不能履行合同，采购人可以按照评分高低递补确定候补中标候选人为中标人。</w:t>
      </w:r>
    </w:p>
    <w:p w14:paraId="7A84C6A5">
      <w:pPr>
        <w:tabs>
          <w:tab w:val="left" w:pos="720"/>
        </w:tabs>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（5）在中标公示期满后，由采购人向中标人发出中标通知书并同时通知落标人；</w:t>
      </w:r>
    </w:p>
    <w:p w14:paraId="34C640C1">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（6）中标通知书为双方签订合同的依据；</w:t>
      </w:r>
    </w:p>
    <w:p w14:paraId="1C32484C">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（7）中标人应根据中标通知书中规定的时间内，由法定代表人（或法定负责人）或其授权代理人与采购人签订合同。</w:t>
      </w:r>
    </w:p>
    <w:p w14:paraId="0CA6A9D1">
      <w:pPr>
        <w:tabs>
          <w:tab w:val="left" w:pos="720"/>
        </w:tabs>
        <w:spacing w:line="360" w:lineRule="auto"/>
        <w:rPr>
          <w:rFonts w:hint="eastAsia" w:cs="仿宋" w:asciiTheme="minorEastAsia" w:hAnsiTheme="minorEastAsia" w:eastAsiaTheme="minorEastAsia"/>
          <w:b/>
          <w:bCs/>
          <w:color w:val="auto"/>
          <w:sz w:val="24"/>
          <w:highlight w:val="none"/>
        </w:rPr>
      </w:pPr>
      <w:bookmarkStart w:id="7" w:name="_Toc410379357"/>
      <w:r>
        <w:rPr>
          <w:rFonts w:hint="eastAsia" w:cs="仿宋" w:asciiTheme="minorEastAsia" w:hAnsiTheme="minorEastAsia" w:eastAsiaTheme="minorEastAsia"/>
          <w:b/>
          <w:bCs/>
          <w:color w:val="auto"/>
          <w:sz w:val="24"/>
          <w:highlight w:val="none"/>
        </w:rPr>
        <w:t>八、授予合同</w:t>
      </w:r>
      <w:bookmarkEnd w:id="7"/>
    </w:p>
    <w:p w14:paraId="5E551870">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1.授予合同的依据</w:t>
      </w:r>
    </w:p>
    <w:p w14:paraId="0D0F2150">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（1）招标采购单位签发的中标通知书；</w:t>
      </w:r>
    </w:p>
    <w:p w14:paraId="480E3C7D">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（2）招标文件、招标文件的修改及补充通知（函）；</w:t>
      </w:r>
    </w:p>
    <w:p w14:paraId="56B737FE">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 投标文件和投标时</w:t>
      </w:r>
      <w:r>
        <w:rPr>
          <w:rFonts w:hint="eastAsia" w:cs="仿宋" w:asciiTheme="minorEastAsia" w:hAnsiTheme="minorEastAsia" w:eastAsiaTheme="minorEastAsia"/>
          <w:color w:val="auto"/>
          <w:sz w:val="24"/>
          <w:highlight w:val="none"/>
          <w:lang w:val="zh-CN"/>
        </w:rPr>
        <w:t>承销商</w:t>
      </w:r>
      <w:r>
        <w:rPr>
          <w:rFonts w:hint="eastAsia" w:cs="仿宋" w:asciiTheme="minorEastAsia" w:hAnsiTheme="minorEastAsia" w:eastAsiaTheme="minorEastAsia"/>
          <w:color w:val="auto"/>
          <w:sz w:val="24"/>
          <w:highlight w:val="none"/>
        </w:rPr>
        <w:t>作出的书面澄清、说明、纠正、承诺等。</w:t>
      </w:r>
    </w:p>
    <w:p w14:paraId="58043C22">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2.合同签订</w:t>
      </w:r>
    </w:p>
    <w:p w14:paraId="1565C867">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（1）成交承销商与采购人应按中标通知书中规定的时间、地点签订合同，否则应承担相应的法律责任。</w:t>
      </w:r>
    </w:p>
    <w:p w14:paraId="54CEB141">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（2）招标文件、成交承销商的投标响应文件及招标过程中有关澄清文件和承诺均为合同附件。</w:t>
      </w:r>
    </w:p>
    <w:p w14:paraId="5165B369">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（3）采购人与成交承销商将根据《中华人民共和国合同法》的规定，依据招标文件和成交承销商的投标响应文件签订书面合同。</w:t>
      </w:r>
    </w:p>
    <w:p w14:paraId="45247264">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 采购人如不与成交承销商订立合同，或者采购人、成交承销商订立背离合同实质性内容的协议，由政府有关部门责令改正，同时依法承担相应法律责任；</w:t>
      </w:r>
    </w:p>
    <w:p w14:paraId="1BE58888">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（5）成交承销商应当按照合同约定履行义务，完成成交项目各项工作，不得将成交项目违法转让（转包）给他人。</w:t>
      </w:r>
    </w:p>
    <w:p w14:paraId="45EE5B2A">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（6）招标文件中的合同文本仅做采购人和中标人参考，实际合同文本由双方另行商定。</w:t>
      </w:r>
    </w:p>
    <w:p w14:paraId="101946F7">
      <w:pPr>
        <w:spacing w:line="360" w:lineRule="auto"/>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九、履约保证金</w:t>
      </w:r>
    </w:p>
    <w:p w14:paraId="033BED40">
      <w:pPr>
        <w:tabs>
          <w:tab w:val="left" w:pos="720"/>
        </w:tabs>
        <w:spacing w:line="360" w:lineRule="auto"/>
        <w:ind w:firstLine="484" w:firstLineChars="202"/>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1、本项目免收履约保证金；</w:t>
      </w:r>
    </w:p>
    <w:p w14:paraId="119F2FFE">
      <w:pPr>
        <w:tabs>
          <w:tab w:val="left" w:pos="720"/>
        </w:tabs>
        <w:spacing w:line="360" w:lineRule="auto"/>
        <w:ind w:firstLine="484" w:firstLineChars="202"/>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color w:val="auto"/>
          <w:sz w:val="24"/>
          <w:highlight w:val="none"/>
        </w:rPr>
        <w:t>2、本项目承销费最高限价为发行债券总额的0.14 %/年（含），任何超过0.14%的报价按无效报价处理。为保证服务质量，本项目服务费率风险控制价为发行债券总额的0.12％（含），如果中标人的费率中标报价低于发行债券总额的0.12％的，应提供100万元服务质量风险金，在领取中标通知书（成交通知书）后30天内或签订合同前打入采购人指定的账户。中标人不能按投标人要求提供服务质量风险金的，视为放弃中标。采购人签订合同后，如中标人不按双方合同约定履约，则没收其全部服务质量风险金，服务质量风险金不足以赔偿损失的，按实际损失赔偿。在项目发行成功后，通过网银等方式退还服务质量风险金（不计息）。</w:t>
      </w:r>
    </w:p>
    <w:p w14:paraId="4EBBC79E">
      <w:pPr>
        <w:tabs>
          <w:tab w:val="left" w:pos="2175"/>
        </w:tabs>
        <w:snapToGrid w:val="0"/>
        <w:spacing w:before="120" w:after="120" w:line="440" w:lineRule="exact"/>
        <w:ind w:firstLine="2711" w:firstLineChars="900"/>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第四章   评标办法及评分标准</w:t>
      </w:r>
    </w:p>
    <w:p w14:paraId="069C1AC5">
      <w:pPr>
        <w:snapToGrid w:val="0"/>
        <w:spacing w:before="120" w:after="120" w:line="440" w:lineRule="exact"/>
        <w:ind w:firstLine="42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为公正、公平、科学地选择中标人，根据《东阳市国有企业采购管理办法（2020年修订）》等有关法律法规的规定，并结合本项目的实际，制定本办法。</w:t>
      </w:r>
    </w:p>
    <w:p w14:paraId="61FEE0AB">
      <w:pPr>
        <w:snapToGrid w:val="0"/>
        <w:spacing w:before="120" w:after="120" w:line="440" w:lineRule="exact"/>
        <w:ind w:firstLine="420"/>
        <w:rPr>
          <w:rFonts w:hint="eastAsia"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本办法适用于东阳市水务投资集团有限公司供水收费权资产证券化发行中介服务机构采购项目的评标。</w:t>
      </w:r>
      <w:r>
        <w:rPr>
          <w:rFonts w:hint="eastAsia" w:cs="宋体" w:asciiTheme="minorEastAsia" w:hAnsiTheme="minorEastAsia" w:eastAsiaTheme="minorEastAsia"/>
          <w:color w:val="auto"/>
          <w:sz w:val="24"/>
          <w:highlight w:val="none"/>
        </w:rPr>
        <w:t xml:space="preserve"> </w:t>
      </w:r>
    </w:p>
    <w:p w14:paraId="66191277">
      <w:pPr>
        <w:snapToGrid w:val="0"/>
        <w:spacing w:before="120" w:after="120" w:line="440" w:lineRule="exact"/>
        <w:ind w:firstLine="4146" w:firstLineChars="1475"/>
        <w:rPr>
          <w:rFonts w:hint="eastAsia" w:cs="仿宋" w:asciiTheme="minorEastAsia" w:hAnsiTheme="minorEastAsia" w:eastAsiaTheme="minorEastAsia"/>
          <w:b/>
          <w:color w:val="auto"/>
          <w:sz w:val="28"/>
          <w:highlight w:val="none"/>
        </w:rPr>
      </w:pPr>
      <w:r>
        <w:rPr>
          <w:rFonts w:hint="eastAsia" w:cs="仿宋" w:asciiTheme="minorEastAsia" w:hAnsiTheme="minorEastAsia" w:eastAsiaTheme="minorEastAsia"/>
          <w:b/>
          <w:color w:val="auto"/>
          <w:sz w:val="28"/>
          <w:highlight w:val="none"/>
        </w:rPr>
        <w:t>一、总 则</w:t>
      </w:r>
    </w:p>
    <w:p w14:paraId="05CD4C96">
      <w:pPr>
        <w:snapToGrid w:val="0"/>
        <w:spacing w:before="120" w:after="120" w:line="440" w:lineRule="exact"/>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本次评标采用综合评分法，总分为100分，其中技术、资信及商务分</w:t>
      </w:r>
      <w:r>
        <w:rPr>
          <w:rFonts w:hint="eastAsia" w:cs="仿宋" w:asciiTheme="minorEastAsia" w:hAnsiTheme="minorEastAsia" w:eastAsiaTheme="minorEastAsia"/>
          <w:color w:val="auto"/>
          <w:sz w:val="24"/>
          <w:highlight w:val="none"/>
        </w:rPr>
        <w:t>80分</w:t>
      </w:r>
      <w:r>
        <w:rPr>
          <w:rFonts w:hint="eastAsia" w:cs="仿宋" w:asciiTheme="minorEastAsia" w:hAnsiTheme="minorEastAsia" w:eastAsiaTheme="minorEastAsia"/>
          <w:color w:val="auto"/>
          <w:sz w:val="24"/>
          <w:highlight w:val="none"/>
        </w:rPr>
        <w:t>、报价分</w:t>
      </w:r>
      <w:r>
        <w:rPr>
          <w:rFonts w:hint="eastAsia" w:cs="仿宋" w:asciiTheme="minorEastAsia" w:hAnsiTheme="minorEastAsia" w:eastAsiaTheme="minorEastAsia"/>
          <w:color w:val="auto"/>
          <w:sz w:val="24"/>
          <w:highlight w:val="none"/>
        </w:rPr>
        <w:t>20</w:t>
      </w:r>
      <w:r>
        <w:rPr>
          <w:rFonts w:hint="eastAsia" w:cs="仿宋" w:asciiTheme="minorEastAsia" w:hAnsiTheme="minorEastAsia" w:eastAsiaTheme="minorEastAsia"/>
          <w:color w:val="auto"/>
          <w:sz w:val="24"/>
          <w:highlight w:val="none"/>
        </w:rPr>
        <w:t>分。合格投标人的评标得分为各项目汇总得分，中标候选资格按评标得分由高到低顺序排列，得分相同的，按投标报价由低到高顺序排列；得分且投标报价相同的，按技术、资信及商务得分由高到低顺序排列。排名第一的投标人为中标候选人,排名第二的投标人为候补中标候选人</w:t>
      </w:r>
      <w:r>
        <w:rPr>
          <w:rFonts w:hint="eastAsia" w:hAnsi="宋体" w:cs="宋体"/>
          <w:color w:val="auto"/>
          <w:sz w:val="24"/>
          <w:szCs w:val="24"/>
          <w:highlight w:val="none"/>
        </w:rPr>
        <w:t>（有效投标人为三家时推荐2名中标候选人，有效标大于3家时，推荐3名中标候选人）</w:t>
      </w:r>
      <w:r>
        <w:rPr>
          <w:rFonts w:hint="eastAsia" w:cs="仿宋" w:asciiTheme="minorEastAsia" w:hAnsiTheme="minorEastAsia" w:eastAsiaTheme="minorEastAsia"/>
          <w:color w:val="auto"/>
          <w:sz w:val="24"/>
          <w:highlight w:val="none"/>
        </w:rPr>
        <w:t>，……其他投标人中标候选资格依此类推。评分过程中采用四舍五入法，并保留小数2位。</w:t>
      </w:r>
    </w:p>
    <w:p w14:paraId="70BF7926">
      <w:pPr>
        <w:snapToGrid w:val="0"/>
        <w:spacing w:before="120" w:after="120" w:line="440" w:lineRule="exact"/>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投标人评标综合得分=技术和资信商务分+报价分</w:t>
      </w:r>
    </w:p>
    <w:p w14:paraId="31CB708F">
      <w:pPr>
        <w:numPr>
          <w:ilvl w:val="0"/>
          <w:numId w:val="4"/>
        </w:numPr>
        <w:snapToGrid w:val="0"/>
        <w:spacing w:before="120" w:after="120" w:line="440" w:lineRule="exact"/>
        <w:ind w:firstLine="3598" w:firstLineChars="1280"/>
        <w:rPr>
          <w:rFonts w:hint="eastAsia" w:cs="仿宋" w:asciiTheme="minorEastAsia" w:hAnsiTheme="minorEastAsia" w:eastAsiaTheme="minorEastAsia"/>
          <w:b/>
          <w:color w:val="auto"/>
          <w:sz w:val="28"/>
          <w:highlight w:val="none"/>
        </w:rPr>
      </w:pPr>
      <w:r>
        <w:rPr>
          <w:rFonts w:hint="eastAsia" w:cs="仿宋" w:asciiTheme="minorEastAsia" w:hAnsiTheme="minorEastAsia" w:eastAsiaTheme="minorEastAsia"/>
          <w:b/>
          <w:color w:val="auto"/>
          <w:sz w:val="28"/>
          <w:highlight w:val="none"/>
        </w:rPr>
        <w:t>评标内容及标准</w:t>
      </w:r>
    </w:p>
    <w:p w14:paraId="6918A625">
      <w:pPr>
        <w:pStyle w:val="35"/>
        <w:numPr>
          <w:ilvl w:val="0"/>
          <w:numId w:val="5"/>
        </w:numPr>
        <w:spacing w:before="120" w:beforeLines="50" w:after="120" w:afterLines="50" w:line="520" w:lineRule="exact"/>
        <w:ind w:firstLine="482"/>
        <w:jc w:val="center"/>
        <w:rPr>
          <w:rFonts w:hint="eastAsia"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技术、商务、资信及其他分评分标准</w:t>
      </w:r>
      <w:r>
        <w:rPr>
          <w:rFonts w:hint="eastAsia" w:cs="仿宋" w:asciiTheme="minorEastAsia" w:hAnsiTheme="minorEastAsia" w:eastAsiaTheme="minorEastAsia"/>
          <w:b/>
          <w:color w:val="auto"/>
          <w:sz w:val="24"/>
          <w:szCs w:val="24"/>
          <w:highlight w:val="none"/>
        </w:rPr>
        <w:t>80分</w:t>
      </w:r>
    </w:p>
    <w:tbl>
      <w:tblPr>
        <w:tblStyle w:val="19"/>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186"/>
        <w:gridCol w:w="4571"/>
        <w:gridCol w:w="2911"/>
      </w:tblGrid>
      <w:tr w14:paraId="24C8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61" w:type="dxa"/>
            <w:vAlign w:val="center"/>
          </w:tcPr>
          <w:p w14:paraId="2DD16308">
            <w:pPr>
              <w:pStyle w:val="10"/>
              <w:jc w:val="center"/>
              <w:rPr>
                <w:b/>
                <w:color w:val="auto"/>
                <w:sz w:val="24"/>
                <w:szCs w:val="24"/>
                <w:highlight w:val="none"/>
              </w:rPr>
            </w:pPr>
            <w:r>
              <w:rPr>
                <w:rFonts w:hint="eastAsia"/>
                <w:b/>
                <w:color w:val="auto"/>
                <w:sz w:val="24"/>
                <w:szCs w:val="24"/>
                <w:highlight w:val="none"/>
              </w:rPr>
              <w:t>评审内容</w:t>
            </w:r>
          </w:p>
        </w:tc>
        <w:tc>
          <w:tcPr>
            <w:tcW w:w="1186" w:type="dxa"/>
            <w:vAlign w:val="center"/>
          </w:tcPr>
          <w:p w14:paraId="396CF09F">
            <w:pPr>
              <w:pStyle w:val="10"/>
              <w:jc w:val="center"/>
              <w:rPr>
                <w:b/>
                <w:color w:val="auto"/>
                <w:sz w:val="24"/>
                <w:szCs w:val="24"/>
                <w:highlight w:val="none"/>
              </w:rPr>
            </w:pPr>
            <w:r>
              <w:rPr>
                <w:rFonts w:hint="eastAsia"/>
                <w:b/>
                <w:color w:val="auto"/>
                <w:sz w:val="24"/>
                <w:szCs w:val="24"/>
                <w:highlight w:val="none"/>
              </w:rPr>
              <w:t>评分标准</w:t>
            </w:r>
          </w:p>
        </w:tc>
        <w:tc>
          <w:tcPr>
            <w:tcW w:w="4571" w:type="dxa"/>
            <w:vAlign w:val="center"/>
          </w:tcPr>
          <w:p w14:paraId="176752BC">
            <w:pPr>
              <w:pStyle w:val="10"/>
              <w:jc w:val="center"/>
              <w:rPr>
                <w:b/>
                <w:color w:val="auto"/>
                <w:sz w:val="24"/>
                <w:szCs w:val="24"/>
                <w:highlight w:val="none"/>
              </w:rPr>
            </w:pPr>
            <w:r>
              <w:rPr>
                <w:rFonts w:hint="eastAsia"/>
                <w:b/>
                <w:color w:val="auto"/>
                <w:sz w:val="24"/>
                <w:szCs w:val="24"/>
                <w:highlight w:val="none"/>
              </w:rPr>
              <w:t>分值</w:t>
            </w:r>
          </w:p>
        </w:tc>
        <w:tc>
          <w:tcPr>
            <w:tcW w:w="2911" w:type="dxa"/>
            <w:vAlign w:val="center"/>
          </w:tcPr>
          <w:p w14:paraId="4D3E58DB">
            <w:pPr>
              <w:pStyle w:val="10"/>
              <w:jc w:val="center"/>
              <w:rPr>
                <w:b/>
                <w:color w:val="auto"/>
                <w:sz w:val="24"/>
                <w:szCs w:val="24"/>
                <w:highlight w:val="none"/>
              </w:rPr>
            </w:pPr>
            <w:r>
              <w:rPr>
                <w:rFonts w:hint="eastAsia"/>
                <w:b/>
                <w:color w:val="auto"/>
                <w:sz w:val="24"/>
                <w:szCs w:val="24"/>
                <w:highlight w:val="none"/>
              </w:rPr>
              <w:t>评审内容</w:t>
            </w:r>
          </w:p>
        </w:tc>
      </w:tr>
      <w:tr w14:paraId="58A2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1" w:type="dxa"/>
            <w:vMerge w:val="restart"/>
            <w:vAlign w:val="center"/>
          </w:tcPr>
          <w:p w14:paraId="4FC7A604">
            <w:pPr>
              <w:pStyle w:val="10"/>
              <w:rPr>
                <w:color w:val="auto"/>
                <w:sz w:val="24"/>
                <w:szCs w:val="24"/>
                <w:highlight w:val="none"/>
              </w:rPr>
            </w:pPr>
            <w:r>
              <w:rPr>
                <w:rFonts w:hint="eastAsia"/>
                <w:color w:val="auto"/>
                <w:sz w:val="24"/>
                <w:szCs w:val="24"/>
                <w:highlight w:val="none"/>
              </w:rPr>
              <w:t>投标人综合实力（55分）</w:t>
            </w:r>
          </w:p>
        </w:tc>
        <w:tc>
          <w:tcPr>
            <w:tcW w:w="1186" w:type="dxa"/>
            <w:vAlign w:val="center"/>
          </w:tcPr>
          <w:p w14:paraId="3938D406">
            <w:pPr>
              <w:pStyle w:val="10"/>
              <w:rPr>
                <w:color w:val="auto"/>
                <w:sz w:val="24"/>
                <w:szCs w:val="24"/>
                <w:highlight w:val="none"/>
              </w:rPr>
            </w:pPr>
            <w:r>
              <w:rPr>
                <w:rFonts w:hint="eastAsia"/>
                <w:color w:val="auto"/>
                <w:sz w:val="24"/>
                <w:szCs w:val="24"/>
                <w:highlight w:val="none"/>
              </w:rPr>
              <w:t>监管评级（5分）</w:t>
            </w:r>
          </w:p>
        </w:tc>
        <w:tc>
          <w:tcPr>
            <w:tcW w:w="4571" w:type="dxa"/>
            <w:vAlign w:val="center"/>
          </w:tcPr>
          <w:p w14:paraId="542ACB96">
            <w:pPr>
              <w:pStyle w:val="10"/>
              <w:rPr>
                <w:color w:val="auto"/>
                <w:sz w:val="24"/>
                <w:szCs w:val="24"/>
                <w:highlight w:val="none"/>
              </w:rPr>
            </w:pPr>
            <w:r>
              <w:rPr>
                <w:rFonts w:hint="eastAsia"/>
                <w:color w:val="auto"/>
                <w:sz w:val="24"/>
                <w:szCs w:val="24"/>
                <w:highlight w:val="none"/>
              </w:rPr>
              <w:t>中国证券业协会证券公司分类结果2021年-2023年连续三年评为AA类以上（含）得5分，有一年评为AA类以上（含）得3分，连续两年评为A以上（含）得2分，有一年评为A类以上（含）得1分，其余不得分。</w:t>
            </w:r>
          </w:p>
        </w:tc>
        <w:tc>
          <w:tcPr>
            <w:tcW w:w="2911" w:type="dxa"/>
            <w:vAlign w:val="center"/>
          </w:tcPr>
          <w:p w14:paraId="08D1186E">
            <w:pPr>
              <w:pStyle w:val="10"/>
              <w:rPr>
                <w:color w:val="auto"/>
                <w:sz w:val="24"/>
                <w:szCs w:val="24"/>
                <w:highlight w:val="none"/>
              </w:rPr>
            </w:pPr>
            <w:r>
              <w:rPr>
                <w:rFonts w:hint="eastAsia"/>
                <w:color w:val="auto"/>
                <w:sz w:val="24"/>
                <w:szCs w:val="24"/>
                <w:highlight w:val="none"/>
              </w:rPr>
              <w:t>本项由投标人提供公司证明材料。</w:t>
            </w:r>
          </w:p>
        </w:tc>
      </w:tr>
      <w:tr w14:paraId="5102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1" w:type="dxa"/>
            <w:vMerge w:val="continue"/>
            <w:vAlign w:val="center"/>
          </w:tcPr>
          <w:p w14:paraId="33FFB7C7">
            <w:pPr>
              <w:pStyle w:val="10"/>
              <w:rPr>
                <w:color w:val="auto"/>
                <w:sz w:val="24"/>
                <w:szCs w:val="24"/>
                <w:highlight w:val="none"/>
              </w:rPr>
            </w:pPr>
          </w:p>
        </w:tc>
        <w:tc>
          <w:tcPr>
            <w:tcW w:w="1186" w:type="dxa"/>
            <w:vAlign w:val="center"/>
          </w:tcPr>
          <w:p w14:paraId="743A2F72">
            <w:pPr>
              <w:pStyle w:val="10"/>
              <w:rPr>
                <w:color w:val="auto"/>
                <w:sz w:val="24"/>
                <w:szCs w:val="24"/>
                <w:highlight w:val="none"/>
              </w:rPr>
            </w:pPr>
            <w:r>
              <w:rPr>
                <w:rFonts w:hint="eastAsia"/>
                <w:color w:val="auto"/>
                <w:sz w:val="24"/>
                <w:szCs w:val="24"/>
                <w:highlight w:val="none"/>
              </w:rPr>
              <w:t>同类项目经验（2分）</w:t>
            </w:r>
          </w:p>
        </w:tc>
        <w:tc>
          <w:tcPr>
            <w:tcW w:w="4571" w:type="dxa"/>
            <w:shd w:val="clear" w:color="auto" w:fill="auto"/>
            <w:vAlign w:val="center"/>
          </w:tcPr>
          <w:p w14:paraId="773B26AA">
            <w:pPr>
              <w:pStyle w:val="10"/>
              <w:rPr>
                <w:rFonts w:hint="eastAsia" w:eastAsia="宋体" w:cs="Calibri"/>
                <w:color w:val="auto"/>
                <w:sz w:val="24"/>
                <w:szCs w:val="24"/>
                <w:highlight w:val="none"/>
                <w:lang w:eastAsia="zh-CN"/>
              </w:rPr>
            </w:pPr>
            <w:r>
              <w:rPr>
                <w:rFonts w:hint="eastAsia" w:cs="Calibri"/>
                <w:color w:val="auto"/>
                <w:sz w:val="24"/>
                <w:szCs w:val="24"/>
                <w:highlight w:val="none"/>
              </w:rPr>
              <w:t>2022年1月1日</w:t>
            </w:r>
            <w:r>
              <w:rPr>
                <w:rFonts w:hint="eastAsia" w:cs="Calibri"/>
                <w:color w:val="auto"/>
                <w:sz w:val="24"/>
                <w:szCs w:val="24"/>
                <w:highlight w:val="none"/>
                <w:lang w:val="en-US" w:eastAsia="zh-CN"/>
              </w:rPr>
              <w:t>以来</w:t>
            </w:r>
            <w:r>
              <w:rPr>
                <w:rFonts w:hint="eastAsia" w:cs="Calibri"/>
                <w:color w:val="auto"/>
                <w:sz w:val="24"/>
                <w:szCs w:val="24"/>
                <w:highlight w:val="none"/>
              </w:rPr>
              <w:t>，投标人作为计划管理人参与</w:t>
            </w:r>
            <w:r>
              <w:rPr>
                <w:rFonts w:hint="eastAsia" w:cs="Calibri"/>
                <w:color w:val="auto"/>
                <w:sz w:val="24"/>
                <w:szCs w:val="24"/>
                <w:highlight w:val="none"/>
                <w:lang w:val="en-US" w:eastAsia="zh-CN"/>
              </w:rPr>
              <w:t>类似</w:t>
            </w:r>
            <w:r>
              <w:rPr>
                <w:rFonts w:hint="eastAsia" w:cs="Calibri"/>
                <w:color w:val="auto"/>
                <w:sz w:val="24"/>
                <w:szCs w:val="24"/>
                <w:highlight w:val="none"/>
              </w:rPr>
              <w:t>项目</w:t>
            </w:r>
            <w:r>
              <w:rPr>
                <w:rFonts w:hint="eastAsia" w:cs="Calibri"/>
                <w:color w:val="auto"/>
                <w:sz w:val="24"/>
                <w:szCs w:val="24"/>
                <w:highlight w:val="none"/>
                <w:lang w:val="en-US" w:eastAsia="zh-CN"/>
              </w:rPr>
              <w:t>业绩</w:t>
            </w:r>
            <w:r>
              <w:rPr>
                <w:rFonts w:hint="eastAsia" w:cs="Calibri"/>
                <w:color w:val="auto"/>
                <w:sz w:val="24"/>
                <w:szCs w:val="24"/>
                <w:highlight w:val="none"/>
              </w:rPr>
              <w:t>的，得2分，没有相关案例不得分</w:t>
            </w:r>
            <w:r>
              <w:rPr>
                <w:rFonts w:hint="eastAsia" w:cs="Calibri"/>
                <w:color w:val="auto"/>
                <w:sz w:val="24"/>
                <w:szCs w:val="24"/>
                <w:highlight w:val="none"/>
                <w:lang w:eastAsia="zh-CN"/>
              </w:rPr>
              <w:t>。</w:t>
            </w:r>
          </w:p>
        </w:tc>
        <w:tc>
          <w:tcPr>
            <w:tcW w:w="2911" w:type="dxa"/>
            <w:shd w:val="clear" w:color="auto" w:fill="auto"/>
            <w:vAlign w:val="center"/>
          </w:tcPr>
          <w:p w14:paraId="33474A82">
            <w:pPr>
              <w:pStyle w:val="10"/>
              <w:rPr>
                <w:rFonts w:cs="Calibri"/>
                <w:color w:val="auto"/>
                <w:sz w:val="24"/>
                <w:szCs w:val="24"/>
                <w:highlight w:val="none"/>
              </w:rPr>
            </w:pPr>
            <w:r>
              <w:rPr>
                <w:rFonts w:hint="eastAsia" w:cs="Calibri"/>
                <w:color w:val="auto"/>
                <w:sz w:val="24"/>
                <w:szCs w:val="24"/>
                <w:highlight w:val="none"/>
              </w:rPr>
              <w:t>须提供相关计划说明书证明材料（至少包括说明书首页、投标人参与角色相关页面，并加盖公章）</w:t>
            </w:r>
          </w:p>
        </w:tc>
      </w:tr>
      <w:tr w14:paraId="2716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1" w:type="dxa"/>
            <w:vMerge w:val="continue"/>
            <w:vAlign w:val="center"/>
          </w:tcPr>
          <w:p w14:paraId="1D54027D">
            <w:pPr>
              <w:pStyle w:val="10"/>
              <w:rPr>
                <w:color w:val="auto"/>
                <w:sz w:val="24"/>
                <w:szCs w:val="24"/>
                <w:highlight w:val="none"/>
              </w:rPr>
            </w:pPr>
          </w:p>
        </w:tc>
        <w:tc>
          <w:tcPr>
            <w:tcW w:w="1186" w:type="dxa"/>
            <w:vAlign w:val="center"/>
          </w:tcPr>
          <w:p w14:paraId="3AF04150">
            <w:pPr>
              <w:pStyle w:val="10"/>
              <w:rPr>
                <w:color w:val="auto"/>
                <w:sz w:val="24"/>
                <w:szCs w:val="24"/>
                <w:highlight w:val="none"/>
              </w:rPr>
            </w:pPr>
            <w:r>
              <w:rPr>
                <w:rFonts w:hint="eastAsia"/>
                <w:color w:val="auto"/>
                <w:sz w:val="24"/>
                <w:szCs w:val="24"/>
                <w:highlight w:val="none"/>
              </w:rPr>
              <w:t>票面利率能力（8分）</w:t>
            </w:r>
          </w:p>
        </w:tc>
        <w:tc>
          <w:tcPr>
            <w:tcW w:w="4571" w:type="dxa"/>
            <w:shd w:val="clear" w:color="auto" w:fill="auto"/>
            <w:vAlign w:val="center"/>
          </w:tcPr>
          <w:p w14:paraId="2E0673FA">
            <w:pPr>
              <w:pStyle w:val="10"/>
              <w:rPr>
                <w:rFonts w:cs="Calibri"/>
                <w:color w:val="auto"/>
                <w:sz w:val="24"/>
                <w:szCs w:val="24"/>
                <w:highlight w:val="none"/>
              </w:rPr>
            </w:pPr>
            <w:r>
              <w:rPr>
                <w:rFonts w:hint="eastAsia" w:cs="Calibri"/>
                <w:color w:val="auto"/>
                <w:sz w:val="24"/>
                <w:szCs w:val="24"/>
                <w:highlight w:val="none"/>
              </w:rPr>
              <w:t>按照投标人作为计划管理人于2024年1月1日-2024年9月30日在浙江省内发行的交易所ABS项目优先级证券票面利率从低到高排名，所有投标人中排名第1名得8分，每降一个名次扣1分，扣完为止。没有相关项目发行经验不得分。</w:t>
            </w:r>
          </w:p>
        </w:tc>
        <w:tc>
          <w:tcPr>
            <w:tcW w:w="2911" w:type="dxa"/>
            <w:shd w:val="clear" w:color="auto" w:fill="auto"/>
            <w:vAlign w:val="center"/>
          </w:tcPr>
          <w:p w14:paraId="489C1676">
            <w:pPr>
              <w:pStyle w:val="10"/>
              <w:rPr>
                <w:rFonts w:cs="Calibri"/>
                <w:color w:val="auto"/>
                <w:sz w:val="24"/>
                <w:szCs w:val="24"/>
                <w:highlight w:val="none"/>
              </w:rPr>
            </w:pPr>
            <w:r>
              <w:rPr>
                <w:rFonts w:hint="eastAsia" w:cs="Calibri"/>
                <w:color w:val="auto"/>
                <w:sz w:val="24"/>
                <w:szCs w:val="24"/>
                <w:highlight w:val="none"/>
              </w:rPr>
              <w:t>注：票面利率以WIND-债券-资产支持证券-ABS项目大全-“发行方式”选择“全部”-“当前状态”选择“全部”-“市场类型”选择“企业ABS”-“基础资产”选择“全部”-“主体地区”选择“浙江”-“发行起始日”选择“2024-01-01 - 2024-9-30”-自定义指标增加“优先级加权利率”，结果为准。请提供Wind截图并加盖公章。</w:t>
            </w:r>
          </w:p>
        </w:tc>
      </w:tr>
      <w:tr w14:paraId="3FE1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261" w:type="dxa"/>
            <w:vMerge w:val="continue"/>
            <w:vAlign w:val="center"/>
          </w:tcPr>
          <w:p w14:paraId="6494BC0D">
            <w:pPr>
              <w:pStyle w:val="10"/>
              <w:rPr>
                <w:color w:val="auto"/>
                <w:sz w:val="24"/>
                <w:szCs w:val="24"/>
                <w:highlight w:val="none"/>
              </w:rPr>
            </w:pPr>
          </w:p>
        </w:tc>
        <w:tc>
          <w:tcPr>
            <w:tcW w:w="1186" w:type="dxa"/>
            <w:vMerge w:val="restart"/>
            <w:vAlign w:val="center"/>
          </w:tcPr>
          <w:p w14:paraId="38FF187D">
            <w:pPr>
              <w:pStyle w:val="10"/>
              <w:rPr>
                <w:color w:val="auto"/>
                <w:sz w:val="24"/>
                <w:szCs w:val="24"/>
                <w:highlight w:val="none"/>
              </w:rPr>
            </w:pPr>
            <w:r>
              <w:rPr>
                <w:rFonts w:hint="eastAsia"/>
                <w:color w:val="auto"/>
                <w:sz w:val="24"/>
                <w:szCs w:val="24"/>
                <w:highlight w:val="none"/>
              </w:rPr>
              <w:t>承销能力（20分）</w:t>
            </w:r>
          </w:p>
        </w:tc>
        <w:tc>
          <w:tcPr>
            <w:tcW w:w="4571" w:type="dxa"/>
            <w:vAlign w:val="center"/>
          </w:tcPr>
          <w:p w14:paraId="7488E2F8">
            <w:pPr>
              <w:pStyle w:val="10"/>
              <w:rPr>
                <w:rFonts w:cs="Calibri"/>
                <w:color w:val="auto"/>
                <w:sz w:val="24"/>
                <w:szCs w:val="24"/>
                <w:highlight w:val="none"/>
              </w:rPr>
            </w:pPr>
          </w:p>
          <w:p w14:paraId="15E28C8A">
            <w:pPr>
              <w:widowControl/>
              <w:jc w:val="left"/>
              <w:rPr>
                <w:rFonts w:cs="Calibri"/>
                <w:color w:val="auto"/>
                <w:sz w:val="24"/>
                <w:szCs w:val="24"/>
                <w:highlight w:val="none"/>
              </w:rPr>
            </w:pPr>
            <w:r>
              <w:rPr>
                <w:rFonts w:hint="eastAsia" w:cs="Calibri"/>
                <w:color w:val="auto"/>
                <w:sz w:val="24"/>
                <w:szCs w:val="24"/>
                <w:highlight w:val="none"/>
              </w:rPr>
              <w:t>投标人2023年1月1日至2023年12月31日作为主承销商在全国全口径债券累计总承销金额(按合并数统计)从高到低排名，所有参与投标的主承销商中排名第1的，得10分，每降一个名次扣2分，扣完为止。（若出现并列第1名，则均得10分，第2名得8分，以此类推。）</w:t>
            </w:r>
          </w:p>
          <w:p w14:paraId="04DDE61D">
            <w:pPr>
              <w:pStyle w:val="10"/>
              <w:rPr>
                <w:rFonts w:cs="Calibri"/>
                <w:color w:val="auto"/>
                <w:sz w:val="24"/>
                <w:szCs w:val="24"/>
                <w:highlight w:val="none"/>
              </w:rPr>
            </w:pPr>
          </w:p>
        </w:tc>
        <w:tc>
          <w:tcPr>
            <w:tcW w:w="2911" w:type="dxa"/>
            <w:vMerge w:val="restart"/>
            <w:vAlign w:val="center"/>
          </w:tcPr>
          <w:p w14:paraId="4C61F44B">
            <w:pPr>
              <w:pStyle w:val="10"/>
              <w:jc w:val="left"/>
              <w:rPr>
                <w:color w:val="auto"/>
                <w:sz w:val="24"/>
                <w:szCs w:val="24"/>
                <w:highlight w:val="none"/>
              </w:rPr>
            </w:pPr>
            <w:r>
              <w:rPr>
                <w:rFonts w:hint="eastAsia"/>
                <w:color w:val="auto"/>
                <w:sz w:val="24"/>
                <w:szCs w:val="24"/>
                <w:highlight w:val="none"/>
              </w:rPr>
              <w:t>注：资产支持证券累计承销排名以WIND“债券→专题统计→一级市场→债券承销排名（Wind口径）”为依据，统计年度为2023年，债券为全部，机构类型选择“证券”，勾选“联主实际比例”。需提供相应截图。</w:t>
            </w:r>
          </w:p>
          <w:p w14:paraId="64E5D130">
            <w:pPr>
              <w:pStyle w:val="10"/>
              <w:jc w:val="left"/>
              <w:rPr>
                <w:color w:val="auto"/>
                <w:sz w:val="24"/>
                <w:szCs w:val="24"/>
                <w:highlight w:val="none"/>
              </w:rPr>
            </w:pPr>
            <w:r>
              <w:rPr>
                <w:rFonts w:hint="eastAsia"/>
                <w:color w:val="auto"/>
                <w:sz w:val="24"/>
                <w:szCs w:val="24"/>
                <w:highlight w:val="none"/>
              </w:rPr>
              <w:t>注：资产支持证券累计承销排名以WIND“债券→专题统计→一级市场→ABS项目承销排名”为依据，统计年度为2023年，基础资产类型为“全部”，市场类型选择“资产支持证券总承销”。需提供相应截图。</w:t>
            </w:r>
          </w:p>
          <w:p w14:paraId="5F970683">
            <w:pPr>
              <w:pStyle w:val="10"/>
              <w:jc w:val="left"/>
              <w:rPr>
                <w:color w:val="auto"/>
                <w:sz w:val="24"/>
                <w:szCs w:val="24"/>
                <w:highlight w:val="none"/>
              </w:rPr>
            </w:pPr>
            <w:r>
              <w:rPr>
                <w:rFonts w:hint="eastAsia"/>
                <w:color w:val="auto"/>
                <w:sz w:val="24"/>
                <w:szCs w:val="24"/>
                <w:highlight w:val="none"/>
              </w:rPr>
              <w:t>债券承销能力得分为两项得分加总。</w:t>
            </w:r>
          </w:p>
        </w:tc>
      </w:tr>
      <w:tr w14:paraId="227E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1" w:type="dxa"/>
            <w:vMerge w:val="continue"/>
            <w:vAlign w:val="center"/>
          </w:tcPr>
          <w:p w14:paraId="50E57ED8">
            <w:pPr>
              <w:pStyle w:val="10"/>
              <w:rPr>
                <w:color w:val="auto"/>
                <w:sz w:val="24"/>
                <w:szCs w:val="24"/>
                <w:highlight w:val="none"/>
              </w:rPr>
            </w:pPr>
          </w:p>
        </w:tc>
        <w:tc>
          <w:tcPr>
            <w:tcW w:w="1186" w:type="dxa"/>
            <w:vMerge w:val="continue"/>
            <w:vAlign w:val="center"/>
          </w:tcPr>
          <w:p w14:paraId="0F401384">
            <w:pPr>
              <w:pStyle w:val="10"/>
              <w:rPr>
                <w:color w:val="auto"/>
                <w:sz w:val="24"/>
                <w:szCs w:val="24"/>
                <w:highlight w:val="none"/>
              </w:rPr>
            </w:pPr>
          </w:p>
        </w:tc>
        <w:tc>
          <w:tcPr>
            <w:tcW w:w="4571" w:type="dxa"/>
            <w:vAlign w:val="center"/>
          </w:tcPr>
          <w:p w14:paraId="6C1A5EA9">
            <w:pPr>
              <w:pStyle w:val="10"/>
              <w:rPr>
                <w:color w:val="auto"/>
                <w:sz w:val="24"/>
                <w:szCs w:val="24"/>
                <w:highlight w:val="none"/>
              </w:rPr>
            </w:pPr>
            <w:r>
              <w:rPr>
                <w:rFonts w:hint="eastAsia" w:cs="Calibri"/>
                <w:color w:val="auto"/>
                <w:sz w:val="24"/>
                <w:szCs w:val="24"/>
                <w:highlight w:val="none"/>
              </w:rPr>
              <w:t>投标人2023年1月1日至2023年12月31日作为主承销商在全国</w:t>
            </w:r>
            <w:r>
              <w:rPr>
                <w:rFonts w:hint="eastAsia"/>
                <w:color w:val="auto"/>
                <w:sz w:val="24"/>
                <w:szCs w:val="24"/>
                <w:highlight w:val="none"/>
              </w:rPr>
              <w:t>资产证券化累计总承销金额</w:t>
            </w:r>
            <w:r>
              <w:rPr>
                <w:rFonts w:hint="eastAsia" w:cs="Calibri"/>
                <w:color w:val="auto"/>
                <w:sz w:val="24"/>
                <w:szCs w:val="24"/>
                <w:highlight w:val="none"/>
              </w:rPr>
              <w:t>(按合并数统计)从高到低排名，所有参与投标的主承销商中排名第1的，得10分，每降一个名次扣2分，扣完为止。（若出现并列第1名，则均得10分，第2名得8分，以此类推。）</w:t>
            </w:r>
          </w:p>
        </w:tc>
        <w:tc>
          <w:tcPr>
            <w:tcW w:w="2911" w:type="dxa"/>
            <w:vMerge w:val="continue"/>
            <w:vAlign w:val="center"/>
          </w:tcPr>
          <w:p w14:paraId="4AAE79AC">
            <w:pPr>
              <w:pStyle w:val="10"/>
              <w:rPr>
                <w:color w:val="auto"/>
                <w:sz w:val="24"/>
                <w:szCs w:val="24"/>
                <w:highlight w:val="none"/>
              </w:rPr>
            </w:pPr>
          </w:p>
        </w:tc>
      </w:tr>
      <w:tr w14:paraId="7BD1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1" w:type="dxa"/>
            <w:vMerge w:val="continue"/>
            <w:vAlign w:val="center"/>
          </w:tcPr>
          <w:p w14:paraId="6F164D18">
            <w:pPr>
              <w:pStyle w:val="10"/>
              <w:rPr>
                <w:color w:val="auto"/>
                <w:sz w:val="24"/>
                <w:szCs w:val="24"/>
                <w:highlight w:val="none"/>
              </w:rPr>
            </w:pPr>
          </w:p>
        </w:tc>
        <w:tc>
          <w:tcPr>
            <w:tcW w:w="1186" w:type="dxa"/>
            <w:vAlign w:val="center"/>
          </w:tcPr>
          <w:p w14:paraId="45988FAC">
            <w:pPr>
              <w:pStyle w:val="10"/>
              <w:rPr>
                <w:color w:val="auto"/>
                <w:sz w:val="24"/>
                <w:szCs w:val="24"/>
                <w:highlight w:val="none"/>
              </w:rPr>
            </w:pPr>
            <w:r>
              <w:rPr>
                <w:rFonts w:hint="eastAsia"/>
                <w:color w:val="auto"/>
                <w:sz w:val="24"/>
                <w:szCs w:val="24"/>
                <w:highlight w:val="none"/>
              </w:rPr>
              <w:t>企业ABS发行情况（20分）</w:t>
            </w:r>
          </w:p>
        </w:tc>
        <w:tc>
          <w:tcPr>
            <w:tcW w:w="4571" w:type="dxa"/>
            <w:vAlign w:val="center"/>
          </w:tcPr>
          <w:p w14:paraId="08CCA05D">
            <w:pPr>
              <w:pStyle w:val="10"/>
              <w:rPr>
                <w:color w:val="auto"/>
                <w:sz w:val="24"/>
                <w:szCs w:val="24"/>
                <w:highlight w:val="none"/>
              </w:rPr>
            </w:pPr>
            <w:r>
              <w:rPr>
                <w:rFonts w:hint="eastAsia"/>
                <w:color w:val="auto"/>
                <w:sz w:val="24"/>
                <w:szCs w:val="24"/>
                <w:highlight w:val="none"/>
              </w:rPr>
              <w:t>投标人按WIND口径在全国范围按照2021年1月1日-2023年12月31日作为计划管理人，在市场上已发行的企业ABS项目数量及金额排名：</w:t>
            </w:r>
          </w:p>
          <w:p w14:paraId="2D30D253">
            <w:pPr>
              <w:pStyle w:val="10"/>
              <w:rPr>
                <w:color w:val="auto"/>
                <w:sz w:val="24"/>
                <w:szCs w:val="24"/>
                <w:highlight w:val="none"/>
              </w:rPr>
            </w:pPr>
            <w:r>
              <w:rPr>
                <w:rFonts w:hint="eastAsia"/>
                <w:color w:val="auto"/>
                <w:sz w:val="24"/>
                <w:szCs w:val="24"/>
                <w:highlight w:val="none"/>
              </w:rPr>
              <w:t>发行项目数量在第1-2名得10分，第3-20名得5分，21-50得2分，51-80得1分，其他不得分；</w:t>
            </w:r>
          </w:p>
          <w:p w14:paraId="45017904">
            <w:pPr>
              <w:pStyle w:val="10"/>
              <w:rPr>
                <w:color w:val="auto"/>
                <w:sz w:val="24"/>
                <w:szCs w:val="24"/>
                <w:highlight w:val="none"/>
              </w:rPr>
            </w:pPr>
            <w:r>
              <w:rPr>
                <w:rFonts w:hint="eastAsia"/>
                <w:color w:val="auto"/>
                <w:sz w:val="24"/>
                <w:szCs w:val="24"/>
                <w:highlight w:val="none"/>
              </w:rPr>
              <w:t>发行项目金额在第1-2名得10分，第3-20名得5分，21-50得2分，51-80得1分，其他不得分。</w:t>
            </w:r>
          </w:p>
        </w:tc>
        <w:tc>
          <w:tcPr>
            <w:tcW w:w="2911" w:type="dxa"/>
            <w:vAlign w:val="center"/>
          </w:tcPr>
          <w:p w14:paraId="648C7780">
            <w:pPr>
              <w:pStyle w:val="10"/>
              <w:rPr>
                <w:color w:val="auto"/>
                <w:sz w:val="24"/>
                <w:szCs w:val="24"/>
                <w:highlight w:val="none"/>
              </w:rPr>
            </w:pPr>
            <w:r>
              <w:rPr>
                <w:rFonts w:hint="eastAsia"/>
                <w:color w:val="auto"/>
                <w:sz w:val="24"/>
                <w:szCs w:val="24"/>
                <w:highlight w:val="none"/>
              </w:rPr>
              <w:t>投标人提供WIND统计截图，查找路径“债券→资产支持证券→企业ABS统计→计划管理人统计）。企业ABS发行情况得分为发行项目数量和发行项目金额两项得分加总。</w:t>
            </w:r>
          </w:p>
        </w:tc>
      </w:tr>
      <w:tr w14:paraId="1EB1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1" w:type="dxa"/>
            <w:vMerge w:val="restart"/>
            <w:vAlign w:val="center"/>
          </w:tcPr>
          <w:p w14:paraId="29DCC691">
            <w:pPr>
              <w:pStyle w:val="10"/>
              <w:rPr>
                <w:color w:val="auto"/>
                <w:sz w:val="24"/>
                <w:szCs w:val="24"/>
                <w:highlight w:val="none"/>
              </w:rPr>
            </w:pPr>
            <w:r>
              <w:rPr>
                <w:rFonts w:hint="eastAsia"/>
                <w:color w:val="auto"/>
                <w:sz w:val="24"/>
                <w:szCs w:val="24"/>
                <w:highlight w:val="none"/>
              </w:rPr>
              <w:t>方案设计（25分）</w:t>
            </w:r>
          </w:p>
        </w:tc>
        <w:tc>
          <w:tcPr>
            <w:tcW w:w="1186" w:type="dxa"/>
            <w:vAlign w:val="center"/>
          </w:tcPr>
          <w:p w14:paraId="15BA763B">
            <w:pPr>
              <w:pStyle w:val="10"/>
              <w:rPr>
                <w:color w:val="auto"/>
                <w:sz w:val="24"/>
                <w:szCs w:val="24"/>
                <w:highlight w:val="none"/>
              </w:rPr>
            </w:pPr>
            <w:r>
              <w:rPr>
                <w:rFonts w:hint="eastAsia"/>
                <w:color w:val="auto"/>
                <w:sz w:val="24"/>
                <w:szCs w:val="24"/>
                <w:highlight w:val="none"/>
              </w:rPr>
              <w:t>发行方案（10分）</w:t>
            </w:r>
          </w:p>
        </w:tc>
        <w:tc>
          <w:tcPr>
            <w:tcW w:w="4571" w:type="dxa"/>
            <w:vAlign w:val="center"/>
          </w:tcPr>
          <w:p w14:paraId="2D5668D6">
            <w:pPr>
              <w:pStyle w:val="10"/>
              <w:rPr>
                <w:color w:val="auto"/>
                <w:sz w:val="24"/>
                <w:szCs w:val="24"/>
                <w:highlight w:val="none"/>
              </w:rPr>
            </w:pPr>
            <w:r>
              <w:rPr>
                <w:rFonts w:hint="eastAsia"/>
                <w:color w:val="auto"/>
                <w:sz w:val="24"/>
                <w:szCs w:val="24"/>
                <w:highlight w:val="none"/>
              </w:rPr>
              <w:t>投标人应拟定申报发行时间的安排，内容包括但不仅限于：尽职调查的时间安排（0-2分）、撰写报告的时间安排（0-2分）、报批的时间安排（0-2分）、报批的跟进及反馈时间安排（0-2分）、整个申报发行时间安排的周期（0-2分）等，评标委员会根据各投标人对本项目基本条款设计、风险应对措施、销售工作安排及销售策略说明及可行性分析等，由评标委员会根据投标人提供方案的详细程度及合理性进行综合打分（0-10分）。</w:t>
            </w:r>
          </w:p>
        </w:tc>
        <w:tc>
          <w:tcPr>
            <w:tcW w:w="2911" w:type="dxa"/>
            <w:vAlign w:val="center"/>
          </w:tcPr>
          <w:p w14:paraId="6700A472">
            <w:pPr>
              <w:pStyle w:val="10"/>
              <w:rPr>
                <w:color w:val="auto"/>
                <w:sz w:val="24"/>
                <w:szCs w:val="24"/>
                <w:highlight w:val="none"/>
              </w:rPr>
            </w:pPr>
            <w:r>
              <w:rPr>
                <w:rFonts w:hint="eastAsia"/>
                <w:color w:val="auto"/>
                <w:sz w:val="24"/>
                <w:szCs w:val="24"/>
                <w:highlight w:val="none"/>
              </w:rPr>
              <w:t>本项由投标人提供。</w:t>
            </w:r>
          </w:p>
        </w:tc>
      </w:tr>
      <w:tr w14:paraId="718B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1" w:type="dxa"/>
            <w:vMerge w:val="continue"/>
            <w:vAlign w:val="center"/>
          </w:tcPr>
          <w:p w14:paraId="1B91FFF3">
            <w:pPr>
              <w:pStyle w:val="10"/>
              <w:rPr>
                <w:color w:val="auto"/>
                <w:sz w:val="24"/>
                <w:szCs w:val="24"/>
                <w:highlight w:val="none"/>
              </w:rPr>
            </w:pPr>
          </w:p>
        </w:tc>
        <w:tc>
          <w:tcPr>
            <w:tcW w:w="1186" w:type="dxa"/>
            <w:vAlign w:val="center"/>
          </w:tcPr>
          <w:p w14:paraId="4B14DC8D">
            <w:pPr>
              <w:pStyle w:val="10"/>
              <w:rPr>
                <w:color w:val="auto"/>
                <w:sz w:val="24"/>
                <w:szCs w:val="24"/>
                <w:highlight w:val="none"/>
              </w:rPr>
            </w:pPr>
            <w:r>
              <w:rPr>
                <w:rFonts w:hint="eastAsia"/>
                <w:color w:val="auto"/>
                <w:sz w:val="24"/>
                <w:szCs w:val="24"/>
                <w:highlight w:val="none"/>
              </w:rPr>
              <w:t>项目团队（5分）</w:t>
            </w:r>
          </w:p>
        </w:tc>
        <w:tc>
          <w:tcPr>
            <w:tcW w:w="4571" w:type="dxa"/>
            <w:vAlign w:val="center"/>
          </w:tcPr>
          <w:p w14:paraId="7A5DEDCD">
            <w:pPr>
              <w:pStyle w:val="10"/>
              <w:rPr>
                <w:color w:val="auto"/>
                <w:sz w:val="24"/>
                <w:szCs w:val="24"/>
                <w:highlight w:val="none"/>
              </w:rPr>
            </w:pPr>
            <w:r>
              <w:rPr>
                <w:rFonts w:hint="eastAsia"/>
                <w:color w:val="auto"/>
                <w:sz w:val="24"/>
                <w:szCs w:val="24"/>
                <w:highlight w:val="none"/>
              </w:rPr>
              <w:t>评标委员会根据投标人服务团队项目负责人及服务人员的履历（0-2分）、资格（0-1分）、业绩（0-1分）、荣誉情况（0-1分）。</w:t>
            </w:r>
          </w:p>
          <w:p w14:paraId="0078D6D9">
            <w:pPr>
              <w:pStyle w:val="10"/>
              <w:rPr>
                <w:color w:val="auto"/>
                <w:sz w:val="24"/>
                <w:szCs w:val="24"/>
                <w:highlight w:val="none"/>
              </w:rPr>
            </w:pPr>
            <w:r>
              <w:rPr>
                <w:rFonts w:hint="eastAsia"/>
                <w:color w:val="auto"/>
                <w:sz w:val="24"/>
                <w:szCs w:val="24"/>
                <w:highlight w:val="none"/>
              </w:rPr>
              <w:t>注：因投标人提供的相关证明材料的清晰度、真实性等原因造成评标委员会无法判定的，此项可能被严厉扣分或不得分。</w:t>
            </w:r>
          </w:p>
        </w:tc>
        <w:tc>
          <w:tcPr>
            <w:tcW w:w="2911" w:type="dxa"/>
            <w:vAlign w:val="center"/>
          </w:tcPr>
          <w:p w14:paraId="36D70299">
            <w:pPr>
              <w:pStyle w:val="10"/>
              <w:rPr>
                <w:color w:val="auto"/>
                <w:sz w:val="24"/>
                <w:szCs w:val="24"/>
                <w:highlight w:val="none"/>
              </w:rPr>
            </w:pPr>
            <w:r>
              <w:rPr>
                <w:rFonts w:hint="eastAsia"/>
                <w:color w:val="auto"/>
                <w:sz w:val="24"/>
                <w:szCs w:val="24"/>
                <w:highlight w:val="none"/>
              </w:rPr>
              <w:t>本项由投标人提供。</w:t>
            </w:r>
          </w:p>
        </w:tc>
      </w:tr>
      <w:tr w14:paraId="7000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261" w:type="dxa"/>
            <w:vMerge w:val="continue"/>
            <w:vAlign w:val="center"/>
          </w:tcPr>
          <w:p w14:paraId="0D812570">
            <w:pPr>
              <w:pStyle w:val="10"/>
              <w:rPr>
                <w:color w:val="auto"/>
                <w:sz w:val="24"/>
                <w:szCs w:val="24"/>
                <w:highlight w:val="none"/>
              </w:rPr>
            </w:pPr>
          </w:p>
        </w:tc>
        <w:tc>
          <w:tcPr>
            <w:tcW w:w="1186" w:type="dxa"/>
            <w:vAlign w:val="center"/>
          </w:tcPr>
          <w:p w14:paraId="2E85F0C3">
            <w:pPr>
              <w:pStyle w:val="10"/>
              <w:rPr>
                <w:color w:val="auto"/>
                <w:sz w:val="24"/>
                <w:szCs w:val="24"/>
                <w:highlight w:val="none"/>
              </w:rPr>
            </w:pPr>
            <w:r>
              <w:rPr>
                <w:rFonts w:hint="eastAsia"/>
                <w:color w:val="auto"/>
                <w:sz w:val="24"/>
                <w:szCs w:val="24"/>
                <w:highlight w:val="none"/>
              </w:rPr>
              <w:t>发行承诺（5分）</w:t>
            </w:r>
          </w:p>
        </w:tc>
        <w:tc>
          <w:tcPr>
            <w:tcW w:w="4571" w:type="dxa"/>
            <w:vAlign w:val="center"/>
          </w:tcPr>
          <w:p w14:paraId="63722FB8">
            <w:pPr>
              <w:pStyle w:val="10"/>
              <w:rPr>
                <w:color w:val="auto"/>
                <w:sz w:val="24"/>
                <w:szCs w:val="24"/>
                <w:highlight w:val="none"/>
              </w:rPr>
            </w:pPr>
            <w:r>
              <w:rPr>
                <w:rFonts w:hint="eastAsia"/>
                <w:color w:val="auto"/>
                <w:sz w:val="24"/>
                <w:szCs w:val="24"/>
                <w:highlight w:val="none"/>
              </w:rPr>
              <w:t>投标人承诺余额包销的得5分，否则不得分。</w:t>
            </w:r>
          </w:p>
        </w:tc>
        <w:tc>
          <w:tcPr>
            <w:tcW w:w="2911" w:type="dxa"/>
            <w:vAlign w:val="center"/>
          </w:tcPr>
          <w:p w14:paraId="2E9D9F9B">
            <w:pPr>
              <w:pStyle w:val="10"/>
              <w:rPr>
                <w:color w:val="auto"/>
                <w:sz w:val="24"/>
                <w:szCs w:val="24"/>
                <w:highlight w:val="none"/>
              </w:rPr>
            </w:pPr>
            <w:r>
              <w:rPr>
                <w:rFonts w:hint="eastAsia"/>
                <w:color w:val="auto"/>
                <w:sz w:val="24"/>
                <w:szCs w:val="24"/>
                <w:highlight w:val="none"/>
              </w:rPr>
              <w:t>本项由投标人提供。</w:t>
            </w:r>
          </w:p>
        </w:tc>
      </w:tr>
      <w:tr w14:paraId="4EB1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261" w:type="dxa"/>
            <w:vMerge w:val="continue"/>
            <w:vAlign w:val="center"/>
          </w:tcPr>
          <w:p w14:paraId="667F35B2">
            <w:pPr>
              <w:pStyle w:val="10"/>
              <w:rPr>
                <w:color w:val="auto"/>
                <w:sz w:val="24"/>
                <w:szCs w:val="24"/>
                <w:highlight w:val="none"/>
              </w:rPr>
            </w:pPr>
          </w:p>
        </w:tc>
        <w:tc>
          <w:tcPr>
            <w:tcW w:w="1186" w:type="dxa"/>
            <w:vAlign w:val="center"/>
          </w:tcPr>
          <w:p w14:paraId="393BE879">
            <w:pPr>
              <w:pStyle w:val="10"/>
              <w:rPr>
                <w:color w:val="auto"/>
                <w:sz w:val="24"/>
                <w:szCs w:val="24"/>
                <w:highlight w:val="none"/>
              </w:rPr>
            </w:pPr>
            <w:r>
              <w:rPr>
                <w:rFonts w:hint="eastAsia"/>
                <w:color w:val="auto"/>
                <w:sz w:val="24"/>
                <w:szCs w:val="24"/>
                <w:highlight w:val="none"/>
              </w:rPr>
              <w:t>存续期服务（5分）</w:t>
            </w:r>
          </w:p>
        </w:tc>
        <w:tc>
          <w:tcPr>
            <w:tcW w:w="4571" w:type="dxa"/>
            <w:vAlign w:val="center"/>
          </w:tcPr>
          <w:p w14:paraId="4A5238A2">
            <w:pPr>
              <w:pStyle w:val="10"/>
              <w:rPr>
                <w:color w:val="auto"/>
                <w:sz w:val="24"/>
                <w:szCs w:val="24"/>
                <w:highlight w:val="none"/>
              </w:rPr>
            </w:pPr>
            <w:r>
              <w:rPr>
                <w:rFonts w:hint="eastAsia"/>
                <w:color w:val="auto"/>
                <w:sz w:val="24"/>
                <w:szCs w:val="24"/>
                <w:highlight w:val="none"/>
              </w:rPr>
              <w:t>投</w:t>
            </w:r>
            <w:r>
              <w:rPr>
                <w:rFonts w:hint="eastAsia"/>
                <w:color w:val="auto"/>
                <w:sz w:val="24"/>
                <w:szCs w:val="24"/>
                <w:highlight w:val="none"/>
              </w:rPr>
              <w:t>标人能够提供有效的存续期服务，拥有存续期服务系统的，得5分，否则不得分。</w:t>
            </w:r>
          </w:p>
        </w:tc>
        <w:tc>
          <w:tcPr>
            <w:tcW w:w="2911" w:type="dxa"/>
            <w:vAlign w:val="center"/>
          </w:tcPr>
          <w:p w14:paraId="4F536E0D">
            <w:pPr>
              <w:pStyle w:val="10"/>
              <w:rPr>
                <w:color w:val="auto"/>
                <w:sz w:val="24"/>
                <w:szCs w:val="24"/>
                <w:highlight w:val="none"/>
              </w:rPr>
            </w:pPr>
            <w:r>
              <w:rPr>
                <w:rFonts w:hint="eastAsia"/>
                <w:color w:val="auto"/>
                <w:sz w:val="24"/>
                <w:szCs w:val="24"/>
                <w:highlight w:val="none"/>
              </w:rPr>
              <w:t>投标人提供存续期管理机制说明、系统截图等证明材料。</w:t>
            </w:r>
          </w:p>
        </w:tc>
      </w:tr>
    </w:tbl>
    <w:p w14:paraId="10E552F4">
      <w:pPr>
        <w:pStyle w:val="10"/>
        <w:rPr>
          <w:color w:val="auto"/>
          <w:sz w:val="24"/>
          <w:szCs w:val="24"/>
          <w:highlight w:val="none"/>
        </w:rPr>
      </w:pPr>
    </w:p>
    <w:p w14:paraId="357B26C4">
      <w:pPr>
        <w:snapToGrid w:val="0"/>
        <w:spacing w:before="120" w:after="120"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技术、资信及商务分按照评标委员会成员的独立评分结果，汇总数的算术平均分计算，计算公式为：</w:t>
      </w:r>
    </w:p>
    <w:p w14:paraId="6B70BB7E">
      <w:pPr>
        <w:tabs>
          <w:tab w:val="left" w:pos="1154"/>
        </w:tabs>
        <w:snapToGrid w:val="0"/>
        <w:spacing w:line="440" w:lineRule="exact"/>
        <w:ind w:left="240" w:leftChars="12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技术、资信及商务分=（评标委员会所有成员有效评分合计数）/（评标委员会组成人员数）</w:t>
      </w:r>
      <w:r>
        <w:rPr>
          <w:rFonts w:hint="eastAsia" w:cs="仿宋" w:asciiTheme="minorEastAsia" w:hAnsiTheme="minorEastAsia" w:eastAsiaTheme="minorEastAsia"/>
          <w:b/>
          <w:color w:val="auto"/>
          <w:sz w:val="24"/>
          <w:highlight w:val="none"/>
        </w:rPr>
        <w:t>（二）报价分(</w:t>
      </w:r>
      <w:r>
        <w:rPr>
          <w:rFonts w:hint="eastAsia" w:cs="仿宋" w:asciiTheme="minorEastAsia" w:hAnsiTheme="minorEastAsia" w:eastAsiaTheme="minorEastAsia"/>
          <w:b/>
          <w:color w:val="auto"/>
          <w:sz w:val="24"/>
          <w:highlight w:val="none"/>
        </w:rPr>
        <w:t>20分</w:t>
      </w:r>
      <w:r>
        <w:rPr>
          <w:rFonts w:hint="eastAsia" w:cs="仿宋" w:asciiTheme="minorEastAsia" w:hAnsiTheme="minorEastAsia" w:eastAsiaTheme="minorEastAsia"/>
          <w:b/>
          <w:color w:val="auto"/>
          <w:sz w:val="24"/>
          <w:highlight w:val="none"/>
        </w:rPr>
        <w:t>）</w:t>
      </w:r>
    </w:p>
    <w:p w14:paraId="0684F1F5">
      <w:pPr>
        <w:tabs>
          <w:tab w:val="left" w:pos="1154"/>
        </w:tabs>
        <w:snapToGrid w:val="0"/>
        <w:spacing w:line="440" w:lineRule="exact"/>
        <w:ind w:firstLine="482" w:firstLineChars="200"/>
        <w:rPr>
          <w:rFonts w:hint="eastAsia" w:cs="仿宋" w:asciiTheme="minorEastAsia" w:hAnsiTheme="minorEastAsia" w:eastAsiaTheme="minorEastAsia"/>
          <w:b/>
          <w:bCs/>
          <w:color w:val="auto"/>
          <w:sz w:val="24"/>
          <w:highlight w:val="none"/>
        </w:rPr>
      </w:pPr>
      <w:bookmarkStart w:id="8" w:name="OLE_LINK8"/>
      <w:r>
        <w:rPr>
          <w:rFonts w:hint="eastAsia" w:cs="仿宋" w:asciiTheme="minorEastAsia" w:hAnsiTheme="minorEastAsia" w:eastAsiaTheme="minorEastAsia"/>
          <w:b/>
          <w:bCs/>
          <w:color w:val="auto"/>
          <w:sz w:val="24"/>
          <w:highlight w:val="none"/>
        </w:rPr>
        <w:t>价格分采用低价优先法计算，取所有技术和资信商务得分入围投标人中，满足要求且价格最低的报价为评标基准价，以各投标人为本次项目发行所报的承销费率（注：含管理费，以百分比为单位，小数点后保留两位）为评分依据，承销费率不得高于</w:t>
      </w:r>
      <w:r>
        <w:rPr>
          <w:rFonts w:hint="eastAsia" w:cs="仿宋" w:asciiTheme="minorEastAsia" w:hAnsiTheme="minorEastAsia" w:eastAsiaTheme="minorEastAsia"/>
          <w:b/>
          <w:bCs/>
          <w:color w:val="auto"/>
          <w:sz w:val="24"/>
          <w:highlight w:val="none"/>
        </w:rPr>
        <w:t>0.14%/年</w:t>
      </w:r>
      <w:r>
        <w:rPr>
          <w:rFonts w:hint="eastAsia" w:cs="仿宋" w:asciiTheme="minorEastAsia" w:hAnsiTheme="minorEastAsia" w:eastAsiaTheme="minorEastAsia"/>
          <w:b/>
          <w:bCs/>
          <w:color w:val="auto"/>
          <w:sz w:val="24"/>
          <w:highlight w:val="none"/>
        </w:rPr>
        <w:t>，报价不得超过最高限价的承销费率，否则按无效标处理。价格分按照下列公式计算：</w:t>
      </w:r>
    </w:p>
    <w:p w14:paraId="377FC275">
      <w:pPr>
        <w:tabs>
          <w:tab w:val="left" w:pos="1154"/>
        </w:tabs>
        <w:snapToGrid w:val="0"/>
        <w:spacing w:line="440" w:lineRule="exact"/>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报价得分=评标基准价/投标人报价×</w:t>
      </w:r>
      <w:r>
        <w:rPr>
          <w:rFonts w:hint="eastAsia" w:cs="仿宋" w:asciiTheme="minorEastAsia" w:hAnsiTheme="minorEastAsia" w:eastAsiaTheme="minorEastAsia"/>
          <w:b/>
          <w:bCs/>
          <w:color w:val="auto"/>
          <w:sz w:val="24"/>
          <w:highlight w:val="none"/>
        </w:rPr>
        <w:t>20</w:t>
      </w:r>
    </w:p>
    <w:p w14:paraId="4328E009">
      <w:pPr>
        <w:tabs>
          <w:tab w:val="left" w:pos="1154"/>
        </w:tabs>
        <w:snapToGrid w:val="0"/>
        <w:spacing w:line="440" w:lineRule="exact"/>
        <w:ind w:firstLine="482" w:firstLineChars="200"/>
        <w:rPr>
          <w:rFonts w:hint="eastAsia" w:asciiTheme="minorEastAsia" w:hAnsiTheme="minorEastAsia" w:eastAsiaTheme="minorEastAsia"/>
          <w:b/>
          <w:bCs/>
          <w:color w:val="auto"/>
          <w:highlight w:val="none"/>
        </w:rPr>
      </w:pPr>
      <w:r>
        <w:rPr>
          <w:rFonts w:hint="eastAsia" w:cs="仿宋" w:asciiTheme="minorEastAsia" w:hAnsiTheme="minorEastAsia" w:eastAsiaTheme="minorEastAsia"/>
          <w:b/>
          <w:bCs/>
          <w:color w:val="auto"/>
          <w:sz w:val="24"/>
          <w:highlight w:val="none"/>
        </w:rPr>
        <w:t>评标委员会认为主承销商的报价明显低于其他通过符合性审查主承销商的报价，有可能影响服务质量和不能诚信履约的，可以要求其在招标现场合理的时间内提出书面说明，必要时提交相关证明材料；主承销商不能证明其报价合理性的，评标委员会可以认定该主承销商响应无效。</w:t>
      </w:r>
    </w:p>
    <w:bookmarkEnd w:id="8"/>
    <w:p w14:paraId="67592253">
      <w:pPr>
        <w:tabs>
          <w:tab w:val="left" w:pos="1154"/>
        </w:tabs>
        <w:snapToGrid w:val="0"/>
        <w:spacing w:line="440" w:lineRule="exact"/>
        <w:ind w:firstLine="48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（三）招标方不保证最低报价者为中标方。</w:t>
      </w:r>
    </w:p>
    <w:p w14:paraId="646642B5">
      <w:pPr>
        <w:tabs>
          <w:tab w:val="left" w:pos="1154"/>
        </w:tabs>
        <w:snapToGrid w:val="0"/>
        <w:spacing w:line="440" w:lineRule="exact"/>
        <w:ind w:firstLine="480"/>
        <w:rPr>
          <w:rFonts w:hint="eastAsia" w:cs="仿宋" w:asciiTheme="minorEastAsia" w:hAnsiTheme="minorEastAsia" w:eastAsiaTheme="minorEastAsia"/>
          <w:b/>
          <w:bCs/>
          <w:color w:val="auto"/>
          <w:sz w:val="24"/>
          <w:highlight w:val="none"/>
        </w:rPr>
        <w:sectPr>
          <w:footerReference r:id="rId6" w:type="default"/>
          <w:pgSz w:w="11906" w:h="16838"/>
          <w:pgMar w:top="1440" w:right="1080" w:bottom="1440" w:left="1080" w:header="851" w:footer="851" w:gutter="0"/>
          <w:pgNumType w:start="1"/>
          <w:cols w:space="720" w:num="1"/>
          <w:docGrid w:linePitch="312" w:charSpace="0"/>
        </w:sectPr>
      </w:pPr>
      <w:r>
        <w:rPr>
          <w:rFonts w:hint="eastAsia" w:cs="仿宋" w:asciiTheme="minorEastAsia" w:hAnsiTheme="minorEastAsia" w:eastAsiaTheme="minorEastAsia"/>
          <w:b/>
          <w:bCs/>
          <w:color w:val="auto"/>
          <w:sz w:val="24"/>
          <w:highlight w:val="none"/>
        </w:rPr>
        <w:t>（四）招标人不对落标原因作任何解释。</w:t>
      </w:r>
    </w:p>
    <w:p w14:paraId="48836A43">
      <w:pPr>
        <w:snapToGrid w:val="0"/>
        <w:spacing w:line="440" w:lineRule="exact"/>
        <w:ind w:firstLine="3313" w:firstLineChars="1100"/>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 xml:space="preserve">第五章  合同主要条款    </w:t>
      </w:r>
    </w:p>
    <w:p w14:paraId="537EEB7B">
      <w:pPr>
        <w:snapToGrid w:val="0"/>
        <w:spacing w:line="440" w:lineRule="exact"/>
        <w:ind w:firstLine="3012" w:firstLineChars="1000"/>
        <w:rPr>
          <w:rFonts w:hint="eastAsia" w:cs="仿宋" w:asciiTheme="minorEastAsia" w:hAnsiTheme="minorEastAsia" w:eastAsiaTheme="minorEastAsia"/>
          <w:color w:val="auto"/>
          <w:sz w:val="30"/>
          <w:highlight w:val="none"/>
        </w:rPr>
      </w:pPr>
      <w:r>
        <w:rPr>
          <w:rFonts w:hint="eastAsia" w:cs="仿宋" w:asciiTheme="minorEastAsia" w:hAnsiTheme="minorEastAsia" w:eastAsiaTheme="minorEastAsia"/>
          <w:b/>
          <w:bCs/>
          <w:color w:val="auto"/>
          <w:sz w:val="30"/>
          <w:highlight w:val="none"/>
        </w:rPr>
        <w:t>债券承销合同（协议样本）</w:t>
      </w:r>
      <w:r>
        <w:rPr>
          <w:rFonts w:hint="eastAsia" w:cs="仿宋" w:asciiTheme="minorEastAsia" w:hAnsiTheme="minorEastAsia" w:eastAsiaTheme="minorEastAsia"/>
          <w:b/>
          <w:bCs/>
          <w:color w:val="auto"/>
          <w:sz w:val="48"/>
          <w:highlight w:val="none"/>
        </w:rPr>
        <w:t xml:space="preserve"> </w:t>
      </w:r>
    </w:p>
    <w:p w14:paraId="239ADB1E">
      <w:pPr>
        <w:autoSpaceDE w:val="0"/>
        <w:autoSpaceDN w:val="0"/>
        <w:snapToGrid w:val="0"/>
        <w:spacing w:line="440" w:lineRule="exact"/>
        <w:ind w:firstLine="360"/>
        <w:jc w:val="left"/>
        <w:rPr>
          <w:rFonts w:hint="eastAsia" w:cs="仿宋" w:asciiTheme="minorEastAsia" w:hAnsiTheme="minorEastAsia" w:eastAsiaTheme="minorEastAsia"/>
          <w:color w:val="auto"/>
          <w:sz w:val="28"/>
          <w:highlight w:val="none"/>
        </w:rPr>
      </w:pPr>
      <w:r>
        <w:rPr>
          <w:rFonts w:hint="eastAsia" w:cs="仿宋" w:asciiTheme="minorEastAsia" w:hAnsiTheme="minorEastAsia" w:eastAsiaTheme="minorEastAsia"/>
          <w:color w:val="auto"/>
          <w:sz w:val="24"/>
          <w:highlight w:val="none"/>
        </w:rPr>
        <w:t>注：本合同仅为合同的参考文本，合同签订双方可根据项目的具体要求进行修订。</w:t>
      </w:r>
    </w:p>
    <w:p w14:paraId="6128D0AB">
      <w:pPr>
        <w:snapToGrid w:val="0"/>
        <w:spacing w:before="120" w:after="120"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                   项目编号：               合同号：</w:t>
      </w:r>
    </w:p>
    <w:p w14:paraId="2EFE7A12">
      <w:pPr>
        <w:snapToGrid w:val="0"/>
        <w:spacing w:before="120" w:after="120"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甲方（买方）：</w:t>
      </w:r>
    </w:p>
    <w:p w14:paraId="460367DE">
      <w:pPr>
        <w:snapToGrid w:val="0"/>
        <w:spacing w:before="120" w:after="120" w:line="440" w:lineRule="exac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乙方（卖方）：</w:t>
      </w:r>
    </w:p>
    <w:p w14:paraId="728FEAF7">
      <w:pPr>
        <w:snapToGrid w:val="0"/>
        <w:spacing w:line="440" w:lineRule="atLeas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根据 </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项目的采购结果，按照《东阳市国有企业采购管理办法（2020年修订）》、《中华人民共和国民法典》的规定，经双方协商，本着平等互利和诚实信用的原则，一致同意签订本合同如下。</w:t>
      </w:r>
    </w:p>
    <w:p w14:paraId="27109C2B">
      <w:pPr>
        <w:snapToGrid w:val="0"/>
        <w:spacing w:line="360" w:lineRule="auto"/>
        <w:ind w:firstLine="420" w:firstLineChars="200"/>
        <w:rPr>
          <w:rFonts w:hint="eastAsia"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b/>
          <w:bCs/>
          <w:color w:val="auto"/>
          <w:sz w:val="24"/>
          <w:highlight w:val="none"/>
        </w:rPr>
        <w:t>一、合同文件：</w:t>
      </w:r>
      <w:r>
        <w:rPr>
          <w:rFonts w:hint="eastAsia" w:cs="仿宋" w:asciiTheme="minorEastAsia" w:hAnsiTheme="minorEastAsia" w:eastAsiaTheme="minorEastAsia"/>
          <w:color w:val="auto"/>
          <w:sz w:val="24"/>
          <w:highlight w:val="none"/>
        </w:rPr>
        <w:t>招标文件、投标文件、技术澄清及询标答复的所有内容是构成合同不可分割的部分，与本合同具有同等法律效力，当文件之间、文件与本合同之间有相互矛盾之处，以有利于甲方之解释为准。</w:t>
      </w:r>
    </w:p>
    <w:p w14:paraId="3C57C852">
      <w:pPr>
        <w:snapToGrid w:val="0"/>
        <w:spacing w:line="360"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二、</w:t>
      </w:r>
      <w:r>
        <w:rPr>
          <w:rFonts w:hint="eastAsia" w:cs="仿宋" w:asciiTheme="minorEastAsia" w:hAnsiTheme="minorEastAsia" w:eastAsiaTheme="minorEastAsia"/>
          <w:b/>
          <w:color w:val="auto"/>
          <w:sz w:val="24"/>
          <w:highlight w:val="none"/>
        </w:rPr>
        <w:t>服务内容及服务标准：</w:t>
      </w:r>
    </w:p>
    <w:p w14:paraId="0838D59F">
      <w:pPr>
        <w:snapToGrid w:val="0"/>
        <w:spacing w:line="360" w:lineRule="auto"/>
        <w:ind w:firstLine="482" w:firstLineChars="200"/>
        <w:jc w:val="left"/>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（一）服务内容</w:t>
      </w:r>
    </w:p>
    <w:p w14:paraId="43B1C039">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1.根据招标人提出的目标，设计融资方案并协调其他中介服务机构的相关工作；</w:t>
      </w:r>
    </w:p>
    <w:p w14:paraId="2BBAA701">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2.协助招标人完成全部债券发行申报文件及有关审批程序，包括但不限于主管机关要求申报的文件、债券销售推介材料以及交易流通申请材料；</w:t>
      </w:r>
    </w:p>
    <w:p w14:paraId="2BCD9021">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3.通过询价工作促使招标人获得合理的发行利率；</w:t>
      </w:r>
    </w:p>
    <w:p w14:paraId="4E992C58">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4.存续期内协助招标人完成信息披露和本息偿付工作。</w:t>
      </w:r>
    </w:p>
    <w:p w14:paraId="2692815F">
      <w:pPr>
        <w:spacing w:line="360" w:lineRule="auto"/>
        <w:ind w:firstLine="480" w:firstLineChars="20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5、发行主体：东阳市水务投资集团有限公司；</w:t>
      </w:r>
    </w:p>
    <w:p w14:paraId="71EDCC19">
      <w:pPr>
        <w:spacing w:line="360" w:lineRule="auto"/>
        <w:ind w:firstLine="480" w:firstLineChars="20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6、债券品种：供水收费权资产证券化；</w:t>
      </w:r>
    </w:p>
    <w:p w14:paraId="68609942">
      <w:pPr>
        <w:spacing w:line="360" w:lineRule="auto"/>
        <w:ind w:firstLine="480" w:firstLineChars="20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7、发行规模：不超过人民币5.23亿元（含5.23亿元），可分期发行；</w:t>
      </w:r>
    </w:p>
    <w:p w14:paraId="211ED0C3">
      <w:pPr>
        <w:spacing w:line="360" w:lineRule="auto"/>
        <w:ind w:firstLine="480" w:firstLineChars="200"/>
        <w:rPr>
          <w:rFonts w:hint="eastAsia" w:cs="仿宋"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8、发行期限：3+2+2年期；</w:t>
      </w:r>
    </w:p>
    <w:p w14:paraId="583B32BA">
      <w:pPr>
        <w:spacing w:line="360" w:lineRule="auto"/>
        <w:ind w:firstLine="480" w:firstLineChars="200"/>
        <w:rPr>
          <w:color w:val="auto"/>
          <w:highlight w:val="none"/>
        </w:rPr>
      </w:pPr>
      <w:r>
        <w:rPr>
          <w:rFonts w:hint="eastAsia" w:cs="仿宋" w:asciiTheme="minorEastAsia" w:hAnsiTheme="minorEastAsia" w:eastAsiaTheme="minorEastAsia"/>
          <w:bCs/>
          <w:color w:val="auto"/>
          <w:sz w:val="24"/>
          <w:szCs w:val="24"/>
          <w:highlight w:val="none"/>
        </w:rPr>
        <w:t>9、募集资金用途：</w:t>
      </w:r>
      <w:r>
        <w:rPr>
          <w:rFonts w:hint="eastAsia" w:cs="仿宋" w:asciiTheme="minorEastAsia" w:hAnsiTheme="minorEastAsia" w:eastAsiaTheme="minorEastAsia"/>
          <w:color w:val="auto"/>
          <w:sz w:val="24"/>
          <w:szCs w:val="24"/>
          <w:highlight w:val="none"/>
        </w:rPr>
        <w:t>主要用于偿付到期的应付债券、项目建设、补充流动资金等法律法规允许的用途。</w:t>
      </w:r>
    </w:p>
    <w:p w14:paraId="488C4F56">
      <w:pPr>
        <w:snapToGrid w:val="0"/>
        <w:spacing w:line="360" w:lineRule="auto"/>
        <w:ind w:firstLine="482" w:firstLineChars="200"/>
        <w:jc w:val="left"/>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（二）服务标准</w:t>
      </w:r>
    </w:p>
    <w:p w14:paraId="74C9B078">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1.前期阶段</w:t>
      </w:r>
    </w:p>
    <w:p w14:paraId="40E90105">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中标公示期结束后供应商需与招标人签订合作协议，供应商应按相关规定进行充分尽职调查，收集公司资料，设计详尽的供水收费权资产证券化发行方案，包括但不限于发行期限、保障措施、发行时间安排、发行建议等，并负责协调各中介机构制定完善的供水收费权资产证券化申报材料。</w:t>
      </w:r>
    </w:p>
    <w:p w14:paraId="4A2F1B7E">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2.材料申报阶段</w:t>
      </w:r>
    </w:p>
    <w:p w14:paraId="35D2555C">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供应商负责制作本项目的申报材料并上报、与主管部门的沟通、完成供水收费权资产证券化的审核、获取交易所批复等工作。</w:t>
      </w:r>
    </w:p>
    <w:p w14:paraId="31184C9D">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3.发行阶段</w:t>
      </w:r>
    </w:p>
    <w:p w14:paraId="7FC6CF49">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供应商需按照规定的发行方案、发行额及发行条件，积极寻找合格投资者，在约定期限内完成当期债券销售工作。供应商可聘请不超过1家证券公司作为销售机构协助进行销售工作。</w:t>
      </w:r>
    </w:p>
    <w:p w14:paraId="3D862913">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4.发行完毕后，供应商负责协助公司及时完成备案及后续管理工作。</w:t>
      </w:r>
    </w:p>
    <w:p w14:paraId="2D6D065E">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5.其他工作，与供水收费权资产证券化发行、发行后存续期内相关的其他专业服务。</w:t>
      </w:r>
    </w:p>
    <w:p w14:paraId="073AB2E9">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6.项目团队配置应不少于4人，职责分工明确、合理，团队人员应包含具有丰富的类似债券发行及销售经验的专业人员。</w:t>
      </w:r>
    </w:p>
    <w:p w14:paraId="75E62DDF">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7.时间要求</w:t>
      </w:r>
    </w:p>
    <w:p w14:paraId="2777DCB0">
      <w:pPr>
        <w:snapToGrid w:val="0"/>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供应商应按照同招标人、相关中介机构确定的工作时间表时限要求，科学合理安排材料准备、材料申报事项，及时取得交易所批复，供应商牵头各中介服务机构按照招标人的要求积极推进评级及债券申报工作。</w:t>
      </w:r>
    </w:p>
    <w:p w14:paraId="69F6888D">
      <w:pPr>
        <w:snapToGrid w:val="0"/>
        <w:spacing w:line="360" w:lineRule="auto"/>
        <w:ind w:firstLine="480" w:firstLineChars="200"/>
        <w:jc w:val="left"/>
        <w:rPr>
          <w:rFonts w:hint="eastAsia" w:asciiTheme="minorEastAsia" w:hAnsiTheme="minorEastAsia" w:eastAsiaTheme="minorEastAsia"/>
          <w:b/>
          <w:color w:val="auto"/>
          <w:sz w:val="24"/>
          <w:highlight w:val="none"/>
        </w:rPr>
      </w:pPr>
      <w:r>
        <w:rPr>
          <w:rFonts w:hint="eastAsia" w:cs="仿宋" w:asciiTheme="minorEastAsia" w:hAnsiTheme="minorEastAsia" w:eastAsiaTheme="minorEastAsia"/>
          <w:bCs/>
          <w:color w:val="auto"/>
          <w:sz w:val="24"/>
          <w:highlight w:val="none"/>
        </w:rPr>
        <w:t>（2）根据招标人的需求及市场情况，及时启动债券发行和销售工作。</w:t>
      </w:r>
    </w:p>
    <w:p w14:paraId="260012A4">
      <w:pPr>
        <w:snapToGrid w:val="0"/>
        <w:spacing w:line="440" w:lineRule="atLeas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三、合同金额</w:t>
      </w:r>
    </w:p>
    <w:p w14:paraId="53200C7D">
      <w:pPr>
        <w:snapToGrid w:val="0"/>
        <w:spacing w:line="440" w:lineRule="atLeast"/>
        <w:ind w:firstLine="723" w:firstLineChars="3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服务费=实际发行规模×中标费率×3年</w:t>
      </w:r>
    </w:p>
    <w:p w14:paraId="7231423D">
      <w:pPr>
        <w:snapToGrid w:val="0"/>
        <w:spacing w:line="440" w:lineRule="atLeast"/>
        <w:ind w:firstLine="482" w:firstLineChars="200"/>
        <w:rPr>
          <w:rFonts w:hint="eastAsia" w:cs="仿宋" w:asciiTheme="minorEastAsia" w:hAnsiTheme="minorEastAsia" w:eastAsiaTheme="minorEastAsia"/>
          <w:b/>
          <w:color w:val="auto"/>
          <w:sz w:val="24"/>
          <w:highlight w:val="none"/>
        </w:rPr>
      </w:pPr>
    </w:p>
    <w:p w14:paraId="601C6AD1">
      <w:pPr>
        <w:snapToGrid w:val="0"/>
        <w:spacing w:line="440" w:lineRule="atLeas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四、甲乙双方责任</w:t>
      </w:r>
    </w:p>
    <w:p w14:paraId="132CF710">
      <w:pPr>
        <w:snapToGrid w:val="0"/>
        <w:spacing w:line="440" w:lineRule="atLeas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（一）甲方责任</w:t>
      </w:r>
    </w:p>
    <w:p w14:paraId="0BDF95C0">
      <w:pPr>
        <w:snapToGrid w:val="0"/>
        <w:spacing w:line="440" w:lineRule="atLeas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1.1.甲方的权利</w:t>
      </w:r>
    </w:p>
    <w:p w14:paraId="087B8C04">
      <w:pPr>
        <w:snapToGrid w:val="0"/>
        <w:spacing w:line="440" w:lineRule="atLeas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1.1.1.甲方有权就本项目中可能出现的障碍、问题与风险，向乙方进行咨询并提出相应的对策报告要求。</w:t>
      </w:r>
    </w:p>
    <w:p w14:paraId="59907D74">
      <w:pPr>
        <w:snapToGrid w:val="0"/>
        <w:spacing w:line="440" w:lineRule="atLeas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1.2.1.甲方有义务满足本项目实施过程中甲方依法应当具备的条件，遵循相 关监管要求，并出具相应的手续或证明。</w:t>
      </w:r>
    </w:p>
    <w:p w14:paraId="2E69C847">
      <w:pPr>
        <w:snapToGrid w:val="0"/>
        <w:spacing w:line="440" w:lineRule="atLeas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1.2.2.甲方有义务按照乙方的要求(包括乙方转达的中介机构要求、监管部 门要求)及时提供本项目运作所需的资料，并保证所提交的相关文件、资料、数据是真实、准确、完整和合法的，并主动配合乙方办理相关内部授权手续、取得 当地监管部门许可(如需要)。</w:t>
      </w:r>
    </w:p>
    <w:p w14:paraId="451345F8">
      <w:pPr>
        <w:snapToGrid w:val="0"/>
        <w:spacing w:line="440" w:lineRule="atLeast"/>
        <w:ind w:firstLine="480" w:firstLineChars="200"/>
        <w:rPr>
          <w:rFonts w:hint="eastAsia" w:cs="仿宋" w:asciiTheme="minorEastAsia" w:hAnsiTheme="minorEastAsia" w:eastAsiaTheme="minorEastAsia"/>
          <w:bCs/>
          <w:color w:val="auto"/>
          <w:sz w:val="24"/>
          <w:highlight w:val="none"/>
        </w:rPr>
      </w:pPr>
    </w:p>
    <w:p w14:paraId="4983BC9E">
      <w:pPr>
        <w:snapToGrid w:val="0"/>
        <w:spacing w:line="440" w:lineRule="atLeas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1.2.3.甲方有义务按照本协议第3条向乙方支付相关报酬。</w:t>
      </w:r>
    </w:p>
    <w:p w14:paraId="244A5284">
      <w:pPr>
        <w:snapToGrid w:val="0"/>
        <w:spacing w:line="440" w:lineRule="atLeas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1.2.4.甲方有义务根据本协议、我国有关法律法规及其他监管规定的要求， 配合乙方就本项目开展工作。</w:t>
      </w:r>
    </w:p>
    <w:p w14:paraId="5A42746A">
      <w:pPr>
        <w:snapToGrid w:val="0"/>
        <w:spacing w:line="440" w:lineRule="atLeast"/>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1.2.5.除根据法律、法规、规章、监管规则规定、或应监管机构、政府、司法机关等要求或者经乙方书面同意、或向各方的代表和顾问透露外，甲方不得将 双方已签署本协议的事实或者本协议的任何内容予以公开披露。该保密期限自本 协议生效之日起满24个月时终止。</w:t>
      </w:r>
    </w:p>
    <w:p w14:paraId="388D2D6D">
      <w:pPr>
        <w:snapToGrid w:val="0"/>
        <w:spacing w:line="440" w:lineRule="atLeas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（二）乙方责任</w:t>
      </w:r>
    </w:p>
    <w:p w14:paraId="12794D7A">
      <w:pPr>
        <w:snapToGrid w:val="0"/>
        <w:spacing w:line="440" w:lineRule="atLeast"/>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2.1.乙方的权利：</w:t>
      </w:r>
    </w:p>
    <w:p w14:paraId="59AA6A2B">
      <w:pPr>
        <w:snapToGrid w:val="0"/>
        <w:spacing w:line="440" w:lineRule="atLeast"/>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2.1.1.乙方有权参与本项目各方面的工作，对与本项目有关的信息均享有知情权。</w:t>
      </w:r>
    </w:p>
    <w:p w14:paraId="2F95525D">
      <w:pPr>
        <w:snapToGrid w:val="0"/>
        <w:spacing w:line="440" w:lineRule="atLeast"/>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2.1.2.为顺利开展本项目，乙方有权根据监管部门要求、自身项目经验、中介机构要求在项目结构、项目增信、项目承销、项目划款等提出对甲方的配合要 求，甲方应主动、积极、完好配合。</w:t>
      </w:r>
    </w:p>
    <w:p w14:paraId="4A99B77F">
      <w:pPr>
        <w:snapToGrid w:val="0"/>
        <w:spacing w:line="440" w:lineRule="atLeast"/>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2.2.乙方的义务：</w:t>
      </w:r>
    </w:p>
    <w:p w14:paraId="35E93ED3">
      <w:pPr>
        <w:snapToGrid w:val="0"/>
        <w:spacing w:line="440" w:lineRule="atLeast"/>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2.2.1.在与甲方充分沟通的基础上，根据本项目的需要，设计交易方案，准备相关文件；依据中国证监会、基金业协会、证券交易所等监管机构的规定，承 担专项计划的管理人职责；负责牵头销售本项目项下的优先级资产支持证券。</w:t>
      </w:r>
    </w:p>
    <w:p w14:paraId="2035C89D">
      <w:pPr>
        <w:snapToGrid w:val="0"/>
        <w:spacing w:line="440" w:lineRule="atLeast"/>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2.2.2.组织和协调代理销售机构(如有)、信用评级机构、律师事务所、审计机构、评估机构等相关中介机构(“中介机构”)为本项目提供服务，但上述各中介机构与本项目有关的责任和义务由其自身分别承担，乙方不承担任何连带责任。</w:t>
      </w:r>
    </w:p>
    <w:p w14:paraId="6FDCEE6A">
      <w:pPr>
        <w:snapToGrid w:val="0"/>
        <w:spacing w:line="440" w:lineRule="atLeast"/>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2.2.3.乙方对本项目项下所知晓的甲方任何信息资料，负有保密责任；乙方获悉的甲方信息资料只限于本项目使用，未经甲方同意，不得用于其它任何目的 和项目(但法律法规及其他监管规定要求需披露给相关部门的除外，专项计划设 立和销售中应向监管机构、投资者或其他中介机构、代理销售机构等进行的披露除外)。该保密期限自本协议生效之日起满24个月时终止。</w:t>
      </w:r>
    </w:p>
    <w:p w14:paraId="52C57329">
      <w:pPr>
        <w:snapToGrid w:val="0"/>
        <w:spacing w:line="440" w:lineRule="atLeast"/>
        <w:ind w:firstLine="480" w:firstLineChars="200"/>
        <w:rPr>
          <w:rFonts w:hint="eastAsia" w:cs="宋体" w:asciiTheme="minorEastAsia" w:hAnsiTheme="minorEastAsia" w:eastAsiaTheme="minorEastAsia"/>
          <w:bCs/>
          <w:color w:val="auto"/>
          <w:sz w:val="24"/>
          <w:highlight w:val="none"/>
        </w:rPr>
      </w:pPr>
      <w:r>
        <w:rPr>
          <w:rFonts w:cs="宋体" w:asciiTheme="minorEastAsia" w:hAnsiTheme="minorEastAsia" w:eastAsiaTheme="minorEastAsia"/>
          <w:bCs/>
          <w:color w:val="auto"/>
          <w:sz w:val="24"/>
          <w:highlight w:val="none"/>
        </w:rPr>
        <w:t>2.2.4.乙方承诺由乙方或组织代理销售机构承销优先级资产支持证券。如专项计划优先级资产支持证券出现未销售完的情况，则乙方应在甲方、乙方双方协商一致的利率区间范围内，对尚未售出的优先级资产支持证券承担余额包销责任。</w:t>
      </w:r>
    </w:p>
    <w:p w14:paraId="15AD153F">
      <w:pPr>
        <w:snapToGrid w:val="0"/>
        <w:spacing w:line="440" w:lineRule="atLeas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四、技术资料</w:t>
      </w:r>
    </w:p>
    <w:p w14:paraId="12F323B1">
      <w:pPr>
        <w:snapToGrid w:val="0"/>
        <w:spacing w:line="440" w:lineRule="atLeas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1、乙方应按招标文件规定的时间向甲方提供有关技术资料。</w:t>
      </w:r>
    </w:p>
    <w:p w14:paraId="5DEFD174">
      <w:pPr>
        <w:snapToGrid w:val="0"/>
        <w:spacing w:line="440" w:lineRule="atLeas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87980D8">
      <w:pPr>
        <w:snapToGrid w:val="0"/>
        <w:spacing w:line="440" w:lineRule="atLeas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bCs/>
          <w:color w:val="auto"/>
          <w:sz w:val="24"/>
          <w:highlight w:val="none"/>
        </w:rPr>
        <w:t>五</w:t>
      </w:r>
      <w:r>
        <w:rPr>
          <w:rFonts w:hint="eastAsia" w:cs="仿宋" w:asciiTheme="minorEastAsia" w:hAnsiTheme="minorEastAsia" w:eastAsiaTheme="minorEastAsia"/>
          <w:b/>
          <w:color w:val="auto"/>
          <w:sz w:val="24"/>
          <w:highlight w:val="none"/>
        </w:rPr>
        <w:t>、知识产权</w:t>
      </w:r>
    </w:p>
    <w:p w14:paraId="5CDA803C">
      <w:pPr>
        <w:snapToGrid w:val="0"/>
        <w:spacing w:line="440" w:lineRule="atLeast"/>
        <w:ind w:firstLine="480"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color w:val="auto"/>
          <w:sz w:val="24"/>
          <w:highlight w:val="none"/>
        </w:rPr>
        <w:t>乙方应保证提供服务过程中不会侵犯任何第三方的</w:t>
      </w:r>
      <w:r>
        <w:rPr>
          <w:rFonts w:hint="eastAsia" w:cs="仿宋" w:asciiTheme="minorEastAsia" w:hAnsiTheme="minorEastAsia" w:eastAsiaTheme="minorEastAsia"/>
          <w:b/>
          <w:color w:val="auto"/>
          <w:sz w:val="24"/>
          <w:highlight w:val="none"/>
        </w:rPr>
        <w:t>知识产权</w:t>
      </w:r>
      <w:r>
        <w:rPr>
          <w:rFonts w:hint="eastAsia" w:cs="仿宋" w:asciiTheme="minorEastAsia" w:hAnsiTheme="minorEastAsia" w:eastAsiaTheme="minorEastAsia"/>
          <w:b/>
          <w:bCs/>
          <w:color w:val="auto"/>
          <w:sz w:val="24"/>
          <w:highlight w:val="none"/>
        </w:rPr>
        <w:t>。</w:t>
      </w:r>
    </w:p>
    <w:p w14:paraId="0E464BF6">
      <w:pPr>
        <w:snapToGrid w:val="0"/>
        <w:spacing w:line="440" w:lineRule="atLeast"/>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六、转包或分包</w:t>
      </w:r>
    </w:p>
    <w:p w14:paraId="16D00769">
      <w:pPr>
        <w:snapToGrid w:val="0"/>
        <w:spacing w:line="440" w:lineRule="atLeas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1、本合同范围的服务，应由乙方直接供应，不得转让他人供应；</w:t>
      </w:r>
    </w:p>
    <w:p w14:paraId="1603612D">
      <w:pPr>
        <w:snapToGrid w:val="0"/>
        <w:spacing w:line="440" w:lineRule="atLeast"/>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2、如有转让和分包行为，甲方有权解除合同，并追究乙方的违约责任。</w:t>
      </w:r>
    </w:p>
    <w:p w14:paraId="7E612F76">
      <w:pPr>
        <w:snapToGrid w:val="0"/>
        <w:spacing w:line="440" w:lineRule="atLeast"/>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七、履约保证金</w:t>
      </w:r>
    </w:p>
    <w:p w14:paraId="51A0A410">
      <w:pPr>
        <w:snapToGrid w:val="0"/>
        <w:spacing w:line="440" w:lineRule="atLeast"/>
        <w:ind w:firstLine="482" w:firstLineChars="200"/>
        <w:rPr>
          <w:rFonts w:hint="eastAsia" w:cs="仿宋" w:asciiTheme="minorEastAsia" w:hAnsiTheme="minorEastAsia" w:eastAsiaTheme="minorEastAsia"/>
          <w:b/>
          <w:bCs/>
          <w:color w:val="auto"/>
          <w:sz w:val="24"/>
          <w:highlight w:val="none"/>
        </w:rPr>
      </w:pPr>
    </w:p>
    <w:p w14:paraId="7A89FC66">
      <w:pPr>
        <w:snapToGrid w:val="0"/>
        <w:spacing w:line="440" w:lineRule="atLeast"/>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八、款项支付</w:t>
      </w:r>
    </w:p>
    <w:p w14:paraId="22F8FB6E">
      <w:pPr>
        <w:snapToGrid w:val="0"/>
        <w:spacing w:line="276" w:lineRule="auto"/>
        <w:ind w:firstLine="482" w:firstLineChars="200"/>
        <w:rPr>
          <w:rFonts w:hint="eastAsia" w:cs="仿宋" w:asciiTheme="minorEastAsia" w:hAnsiTheme="minorEastAsia" w:eastAsiaTheme="minorEastAsia"/>
          <w:b/>
          <w:bCs/>
          <w:color w:val="auto"/>
          <w:sz w:val="24"/>
          <w:highlight w:val="none"/>
        </w:rPr>
      </w:pPr>
    </w:p>
    <w:p w14:paraId="4819513E">
      <w:pPr>
        <w:snapToGrid w:val="0"/>
        <w:spacing w:line="276" w:lineRule="auto"/>
        <w:ind w:firstLine="482" w:firstLineChars="200"/>
        <w:rPr>
          <w:rFonts w:hint="eastAsia" w:cs="仿宋" w:asciiTheme="minorEastAsia" w:hAnsiTheme="minorEastAsia" w:eastAsiaTheme="minorEastAsia"/>
          <w:b/>
          <w:bCs/>
          <w:color w:val="auto"/>
          <w:sz w:val="24"/>
          <w:highlight w:val="none"/>
        </w:rPr>
      </w:pPr>
    </w:p>
    <w:p w14:paraId="0B7122FA">
      <w:pPr>
        <w:spacing w:line="360" w:lineRule="auto"/>
        <w:ind w:firstLine="482" w:firstLineChars="200"/>
        <w:rPr>
          <w:rFonts w:hint="eastAsia" w:cs="仿宋_GB2312"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九、</w:t>
      </w:r>
      <w:r>
        <w:rPr>
          <w:rFonts w:hint="eastAsia" w:cs="仿宋_GB2312" w:asciiTheme="minorEastAsia" w:hAnsiTheme="minorEastAsia" w:eastAsiaTheme="minorEastAsia"/>
          <w:b/>
          <w:bCs/>
          <w:color w:val="auto"/>
          <w:sz w:val="24"/>
          <w:highlight w:val="none"/>
        </w:rPr>
        <w:t>合同履行时间、履行方式及履行地点</w:t>
      </w:r>
    </w:p>
    <w:p w14:paraId="1E156ABB">
      <w:pPr>
        <w:snapToGrid w:val="0"/>
        <w:spacing w:line="276" w:lineRule="auto"/>
        <w:ind w:firstLine="482" w:firstLineChars="200"/>
        <w:rPr>
          <w:rFonts w:hint="eastAsia" w:cs="仿宋" w:asciiTheme="minorEastAsia" w:hAnsiTheme="minorEastAsia" w:eastAsiaTheme="minorEastAsia"/>
          <w:b/>
          <w:bCs/>
          <w:color w:val="auto"/>
          <w:sz w:val="24"/>
          <w:highlight w:val="none"/>
        </w:rPr>
      </w:pPr>
    </w:p>
    <w:p w14:paraId="498D9BAE">
      <w:pPr>
        <w:snapToGrid w:val="0"/>
        <w:spacing w:line="276" w:lineRule="auto"/>
        <w:ind w:firstLine="482"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rPr>
        <w:t>十、税费</w:t>
      </w:r>
    </w:p>
    <w:p w14:paraId="66F76193">
      <w:pPr>
        <w:snapToGrid w:val="0"/>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本合同执行中相关的一切税费均由乙方负担。</w:t>
      </w:r>
    </w:p>
    <w:p w14:paraId="6899C207">
      <w:pPr>
        <w:spacing w:line="360" w:lineRule="auto"/>
        <w:ind w:firstLine="482" w:firstLineChars="200"/>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十一、质量保证及后续服务</w:t>
      </w:r>
    </w:p>
    <w:p w14:paraId="0403489D">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 乙方应按招标文件规定向甲方提供服务。</w:t>
      </w:r>
    </w:p>
    <w:p w14:paraId="009D4CAA">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 乙方提供的服务成果在服务期内发生债券发行不成功的情况，甲方按双方约定不予支付承销费用,乙方应负责免费提供后续服务。对达不到要求者，根据实际情况，甲方有权选择按以下办法处理：</w:t>
      </w:r>
    </w:p>
    <w:p w14:paraId="65B0D05F">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⑴重做：由乙方承担所发生的全部费用。</w:t>
      </w:r>
    </w:p>
    <w:p w14:paraId="0D95DBF9">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⑵解除合同。</w:t>
      </w:r>
    </w:p>
    <w:p w14:paraId="07A4674A">
      <w:pPr>
        <w:spacing w:line="360" w:lineRule="auto"/>
        <w:ind w:firstLine="480"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3．在服务期内，乙方应对出现的质量问题负责处理解决并承担一切费用。</w:t>
      </w:r>
    </w:p>
    <w:p w14:paraId="71E4E19A">
      <w:pPr>
        <w:autoSpaceDE w:val="0"/>
        <w:autoSpaceDN w:val="0"/>
        <w:snapToGrid w:val="0"/>
        <w:spacing w:line="440" w:lineRule="atLeast"/>
        <w:ind w:firstLine="482" w:firstLineChars="200"/>
        <w:jc w:val="left"/>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十二、违约责任</w:t>
      </w:r>
    </w:p>
    <w:p w14:paraId="717333D5">
      <w:pPr>
        <w:autoSpaceDE w:val="0"/>
        <w:autoSpaceDN w:val="0"/>
        <w:snapToGrid w:val="0"/>
        <w:spacing w:line="440" w:lineRule="atLeast"/>
        <w:ind w:firstLine="480" w:firstLineChars="200"/>
        <w:jc w:val="left"/>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甲、乙任何一方违反本协议项下约定之义务，均应承担相应的违约责任，依 法赔偿给对方造成的直接经济损失。</w:t>
      </w:r>
    </w:p>
    <w:p w14:paraId="1E614E94">
      <w:pPr>
        <w:autoSpaceDE w:val="0"/>
        <w:autoSpaceDN w:val="0"/>
        <w:snapToGrid w:val="0"/>
        <w:spacing w:line="440" w:lineRule="atLeast"/>
        <w:ind w:firstLine="482" w:firstLineChars="200"/>
        <w:jc w:val="left"/>
        <w:rPr>
          <w:rFonts w:hint="eastAsia" w:cs="仿宋" w:asciiTheme="minorEastAsia" w:hAnsiTheme="minorEastAsia" w:eastAsiaTheme="minorEastAsia"/>
          <w:b/>
          <w:color w:val="auto"/>
          <w:sz w:val="24"/>
          <w:szCs w:val="22"/>
          <w:highlight w:val="none"/>
        </w:rPr>
      </w:pPr>
      <w:r>
        <w:rPr>
          <w:rFonts w:hint="eastAsia" w:cs="仿宋" w:asciiTheme="minorEastAsia" w:hAnsiTheme="minorEastAsia" w:eastAsiaTheme="minorEastAsia"/>
          <w:b/>
          <w:color w:val="auto"/>
          <w:sz w:val="24"/>
          <w:szCs w:val="22"/>
          <w:highlight w:val="none"/>
        </w:rPr>
        <w:t>十三、不可抗力事件处理</w:t>
      </w:r>
    </w:p>
    <w:p w14:paraId="6B235B61">
      <w:pPr>
        <w:snapToGrid w:val="0"/>
        <w:spacing w:line="440" w:lineRule="atLeast"/>
        <w:ind w:firstLine="480" w:firstLineChars="200"/>
        <w:contextualSpacing/>
        <w:rPr>
          <w:rFonts w:hint="eastAsia" w:cs="仿宋" w:asciiTheme="minorEastAsia" w:hAnsiTheme="minorEastAsia" w:eastAsiaTheme="minorEastAsia"/>
          <w:color w:val="auto"/>
          <w:sz w:val="24"/>
          <w:szCs w:val="22"/>
          <w:highlight w:val="none"/>
        </w:rPr>
      </w:pPr>
      <w:r>
        <w:rPr>
          <w:rFonts w:hint="eastAsia" w:cs="仿宋" w:asciiTheme="minorEastAsia" w:hAnsiTheme="minorEastAsia" w:eastAsiaTheme="minorEastAsia"/>
          <w:color w:val="auto"/>
          <w:sz w:val="24"/>
          <w:szCs w:val="22"/>
          <w:highlight w:val="none"/>
        </w:rPr>
        <w:t>1、不可抗力包括任何不可预见、不可避免并且不能克服的客观情况，包括  但不限于：国家政策法规的重大变化、地震、水灾、传染性疾病、国际制裁以及  战争等情形，而这种客观情况已经或可能将会对本协议的一方或多方的业务状况、 财务状况、公司前景或本协议的履行产生重大实质性不利影响。特别的，证券交  易所的审查政策、其交易系统的运行也属于不可抗力。</w:t>
      </w:r>
    </w:p>
    <w:p w14:paraId="47AF55F0">
      <w:pPr>
        <w:snapToGrid w:val="0"/>
        <w:spacing w:line="360" w:lineRule="auto"/>
        <w:ind w:firstLine="480" w:firstLineChars="200"/>
        <w:contextualSpacing/>
        <w:rPr>
          <w:rFonts w:hint="eastAsia" w:cs="仿宋" w:asciiTheme="minorEastAsia" w:hAnsiTheme="minorEastAsia" w:eastAsiaTheme="minorEastAsia"/>
          <w:color w:val="auto"/>
          <w:sz w:val="24"/>
          <w:szCs w:val="22"/>
          <w:highlight w:val="none"/>
        </w:rPr>
      </w:pPr>
      <w:r>
        <w:rPr>
          <w:rFonts w:hint="eastAsia" w:cs="仿宋" w:asciiTheme="minorEastAsia" w:hAnsiTheme="minorEastAsia" w:eastAsiaTheme="minorEastAsia"/>
          <w:color w:val="auto"/>
          <w:sz w:val="24"/>
          <w:szCs w:val="22"/>
          <w:highlight w:val="none"/>
        </w:rPr>
        <w:t>2、当不可抗力发生后，甲方或乙方不能按规定履行本协议时，必须及时通  知对方，并在合理时间内提供必要的证明文件，以减轻可能给对方造成的损失。</w:t>
      </w:r>
    </w:p>
    <w:p w14:paraId="673D78F6">
      <w:pPr>
        <w:snapToGrid w:val="0"/>
        <w:spacing w:line="360" w:lineRule="auto"/>
        <w:ind w:firstLine="482" w:firstLineChars="200"/>
        <w:contextualSpacing/>
        <w:rPr>
          <w:rFonts w:hint="eastAsia" w:cs="仿宋" w:asciiTheme="minorEastAsia" w:hAnsiTheme="minorEastAsia" w:eastAsiaTheme="minorEastAsia"/>
          <w:b/>
          <w:bCs/>
          <w:color w:val="auto"/>
          <w:sz w:val="24"/>
          <w:szCs w:val="22"/>
          <w:highlight w:val="none"/>
        </w:rPr>
      </w:pPr>
      <w:r>
        <w:rPr>
          <w:rFonts w:hint="eastAsia" w:cs="仿宋" w:asciiTheme="minorEastAsia" w:hAnsiTheme="minorEastAsia" w:eastAsiaTheme="minorEastAsia"/>
          <w:b/>
          <w:bCs/>
          <w:color w:val="auto"/>
          <w:sz w:val="24"/>
          <w:szCs w:val="22"/>
          <w:highlight w:val="none"/>
        </w:rPr>
        <w:t>十四、利益冲突</w:t>
      </w:r>
    </w:p>
    <w:p w14:paraId="3EB20110">
      <w:pPr>
        <w:pStyle w:val="2"/>
        <w:spacing w:line="360" w:lineRule="auto"/>
        <w:ind w:firstLine="464"/>
        <w:jc w:val="left"/>
        <w:rPr>
          <w:rFonts w:hint="eastAsia" w:cs="仿宋" w:asciiTheme="minorEastAsia" w:hAnsiTheme="minorEastAsia" w:eastAsiaTheme="minorEastAsia"/>
          <w:color w:val="auto"/>
          <w:sz w:val="24"/>
          <w:szCs w:val="22"/>
          <w:highlight w:val="none"/>
        </w:rPr>
      </w:pPr>
      <w:r>
        <w:rPr>
          <w:rFonts w:hint="eastAsia" w:cs="仿宋" w:asciiTheme="minorEastAsia" w:hAnsiTheme="minorEastAsia" w:eastAsiaTheme="minorEastAsia"/>
          <w:color w:val="auto"/>
          <w:sz w:val="24"/>
          <w:szCs w:val="22"/>
          <w:highlight w:val="none"/>
        </w:rPr>
        <w:t>1、</w:t>
      </w:r>
      <w:r>
        <w:rPr>
          <w:rFonts w:cs="仿宋" w:asciiTheme="minorEastAsia" w:hAnsiTheme="minorEastAsia" w:eastAsiaTheme="minorEastAsia"/>
          <w:color w:val="auto"/>
          <w:sz w:val="24"/>
          <w:szCs w:val="22"/>
          <w:highlight w:val="none"/>
        </w:rPr>
        <w:t>甲方确认：在乙方通过自营或作为代理人在全球范围内广泛参与证券业 务活动(包括投资顾问、资产管理、研究、证券发行、代客交易、自营交易和经 纪活动)的情况下，由此可能产生利益或职责冲突，因此乙方在本协议项下的职责可能会与乙方或乙方联合体其他成员的其他职责或利益产生冲突。</w:t>
      </w:r>
    </w:p>
    <w:p w14:paraId="1B0C87B0">
      <w:pPr>
        <w:pStyle w:val="2"/>
        <w:spacing w:line="360" w:lineRule="auto"/>
        <w:ind w:firstLine="464"/>
        <w:jc w:val="left"/>
        <w:rPr>
          <w:rFonts w:hint="eastAsia" w:cs="仿宋" w:asciiTheme="minorEastAsia" w:hAnsiTheme="minorEastAsia" w:eastAsiaTheme="minorEastAsia"/>
          <w:color w:val="auto"/>
          <w:sz w:val="24"/>
          <w:szCs w:val="22"/>
          <w:highlight w:val="none"/>
        </w:rPr>
      </w:pPr>
      <w:r>
        <w:rPr>
          <w:rFonts w:cs="仿宋" w:asciiTheme="minorEastAsia" w:hAnsiTheme="minorEastAsia" w:eastAsiaTheme="minorEastAsia"/>
          <w:color w:val="auto"/>
          <w:sz w:val="24"/>
          <w:szCs w:val="22"/>
          <w:highlight w:val="none"/>
        </w:rPr>
        <w:t>“乙方联合体”是指乙方、其实际控制人、及乙方或其实际控制人各自的子公司、分支机构、关联方或联营机构。“关联方”比照乙方股票上市地的股票上市规 则及有关会计准则中关联方定义而确定。</w:t>
      </w:r>
    </w:p>
    <w:p w14:paraId="5A2AEE24">
      <w:pPr>
        <w:pStyle w:val="2"/>
        <w:spacing w:line="360" w:lineRule="auto"/>
        <w:ind w:firstLine="464"/>
        <w:jc w:val="left"/>
        <w:rPr>
          <w:rFonts w:hint="eastAsia" w:cs="仿宋" w:asciiTheme="minorEastAsia" w:hAnsiTheme="minorEastAsia" w:eastAsiaTheme="minorEastAsia"/>
          <w:color w:val="auto"/>
          <w:sz w:val="24"/>
          <w:szCs w:val="22"/>
          <w:highlight w:val="none"/>
        </w:rPr>
      </w:pPr>
      <w:r>
        <w:rPr>
          <w:rFonts w:hint="eastAsia" w:cs="仿宋" w:asciiTheme="minorEastAsia" w:hAnsiTheme="minorEastAsia" w:eastAsiaTheme="minorEastAsia"/>
          <w:color w:val="auto"/>
          <w:sz w:val="24"/>
          <w:szCs w:val="22"/>
          <w:highlight w:val="none"/>
        </w:rPr>
        <w:t>2、</w:t>
      </w:r>
      <w:r>
        <w:rPr>
          <w:rFonts w:cs="仿宋" w:asciiTheme="minorEastAsia" w:hAnsiTheme="minorEastAsia" w:eastAsiaTheme="minorEastAsia"/>
          <w:color w:val="auto"/>
          <w:sz w:val="24"/>
          <w:szCs w:val="22"/>
          <w:highlight w:val="none"/>
        </w:rPr>
        <w:t>甲方确认：尽管存在或可能发生利益冲突，如乙方从事以下服务、交易 或行为时不利用甲方的保密信息，则乙方有权从事该等服务、交易或行为，甲方同意豁免乙方联合体因此等利益冲突而导致的所有责任，并且乙方联合体为其自 身利益有权保留任何相关报酬或收益：</w:t>
      </w:r>
    </w:p>
    <w:p w14:paraId="28BF5B7B">
      <w:pPr>
        <w:pStyle w:val="2"/>
        <w:spacing w:line="360" w:lineRule="auto"/>
        <w:ind w:firstLine="464"/>
        <w:jc w:val="left"/>
        <w:rPr>
          <w:rFonts w:hint="eastAsia" w:cs="仿宋" w:asciiTheme="minorEastAsia" w:hAnsiTheme="minorEastAsia" w:eastAsiaTheme="minorEastAsia"/>
          <w:color w:val="auto"/>
          <w:sz w:val="24"/>
          <w:szCs w:val="22"/>
          <w:highlight w:val="none"/>
        </w:rPr>
      </w:pPr>
      <w:r>
        <w:rPr>
          <w:rFonts w:cs="仿宋" w:asciiTheme="minorEastAsia" w:hAnsiTheme="minorEastAsia" w:eastAsiaTheme="minorEastAsia"/>
          <w:color w:val="auto"/>
          <w:sz w:val="24"/>
          <w:szCs w:val="22"/>
          <w:highlight w:val="none"/>
        </w:rPr>
        <w:t>(1)(以自营或其他方式)从事与甲方或第三方有关的任何交易；或</w:t>
      </w:r>
    </w:p>
    <w:p w14:paraId="12E6F265">
      <w:pPr>
        <w:pStyle w:val="2"/>
        <w:spacing w:line="360" w:lineRule="auto"/>
        <w:ind w:firstLine="464"/>
        <w:jc w:val="left"/>
        <w:rPr>
          <w:rFonts w:hint="eastAsia" w:cs="仿宋" w:asciiTheme="minorEastAsia" w:hAnsiTheme="minorEastAsia" w:eastAsiaTheme="minorEastAsia"/>
          <w:color w:val="auto"/>
          <w:sz w:val="24"/>
          <w:szCs w:val="22"/>
          <w:highlight w:val="none"/>
        </w:rPr>
      </w:pPr>
      <w:r>
        <w:rPr>
          <w:rFonts w:cs="仿宋" w:asciiTheme="minorEastAsia" w:hAnsiTheme="minorEastAsia" w:eastAsiaTheme="minorEastAsia"/>
          <w:color w:val="auto"/>
          <w:sz w:val="24"/>
          <w:szCs w:val="22"/>
          <w:highlight w:val="none"/>
        </w:rPr>
        <w:t xml:space="preserve">(2)就任何事宜为其自身或第三方行事。 </w:t>
      </w:r>
    </w:p>
    <w:p w14:paraId="2C229E8B">
      <w:pPr>
        <w:pStyle w:val="2"/>
        <w:spacing w:line="360" w:lineRule="auto"/>
        <w:ind w:firstLine="464"/>
        <w:jc w:val="left"/>
        <w:rPr>
          <w:rFonts w:hint="eastAsia" w:cs="仿宋" w:asciiTheme="minorEastAsia" w:hAnsiTheme="minorEastAsia" w:eastAsiaTheme="minorEastAsia"/>
          <w:color w:val="auto"/>
          <w:sz w:val="24"/>
          <w:szCs w:val="22"/>
          <w:highlight w:val="none"/>
        </w:rPr>
      </w:pPr>
      <w:r>
        <w:rPr>
          <w:rFonts w:hint="eastAsia" w:cs="仿宋" w:asciiTheme="minorEastAsia" w:hAnsiTheme="minorEastAsia" w:eastAsiaTheme="minorEastAsia"/>
          <w:color w:val="auto"/>
          <w:sz w:val="24"/>
          <w:szCs w:val="22"/>
          <w:highlight w:val="none"/>
        </w:rPr>
        <w:t>3、</w:t>
      </w:r>
      <w:r>
        <w:rPr>
          <w:rFonts w:cs="仿宋" w:asciiTheme="minorEastAsia" w:hAnsiTheme="minorEastAsia" w:eastAsiaTheme="minorEastAsia"/>
          <w:color w:val="auto"/>
          <w:sz w:val="24"/>
          <w:szCs w:val="22"/>
          <w:highlight w:val="none"/>
        </w:rPr>
        <w:t>乙方确保：</w:t>
      </w:r>
    </w:p>
    <w:p w14:paraId="58059BA4">
      <w:pPr>
        <w:pStyle w:val="2"/>
        <w:spacing w:line="360" w:lineRule="auto"/>
        <w:ind w:firstLine="464"/>
        <w:jc w:val="left"/>
        <w:rPr>
          <w:rFonts w:hint="eastAsia" w:cs="仿宋" w:asciiTheme="minorEastAsia" w:hAnsiTheme="minorEastAsia" w:eastAsiaTheme="minorEastAsia"/>
          <w:color w:val="auto"/>
          <w:sz w:val="24"/>
          <w:szCs w:val="22"/>
          <w:highlight w:val="none"/>
        </w:rPr>
      </w:pPr>
      <w:r>
        <w:rPr>
          <w:rFonts w:cs="仿宋" w:asciiTheme="minorEastAsia" w:hAnsiTheme="minorEastAsia" w:eastAsiaTheme="minorEastAsia"/>
          <w:color w:val="auto"/>
          <w:sz w:val="24"/>
          <w:szCs w:val="22"/>
          <w:highlight w:val="none"/>
        </w:rPr>
        <w:t>(1)建立健全内部信息隔离制度和防火墙制度，以及</w:t>
      </w:r>
    </w:p>
    <w:p w14:paraId="4E07EBDA">
      <w:pPr>
        <w:pStyle w:val="2"/>
        <w:spacing w:line="360" w:lineRule="auto"/>
        <w:ind w:firstLine="464"/>
        <w:jc w:val="left"/>
        <w:rPr>
          <w:rFonts w:hint="eastAsia" w:cs="仿宋" w:asciiTheme="minorEastAsia" w:hAnsiTheme="minorEastAsia" w:eastAsiaTheme="minorEastAsia"/>
          <w:color w:val="auto"/>
          <w:sz w:val="24"/>
          <w:szCs w:val="22"/>
          <w:highlight w:val="none"/>
        </w:rPr>
      </w:pPr>
      <w:r>
        <w:rPr>
          <w:rFonts w:cs="仿宋" w:asciiTheme="minorEastAsia" w:hAnsiTheme="minorEastAsia" w:eastAsiaTheme="minorEastAsia"/>
          <w:color w:val="auto"/>
          <w:sz w:val="24"/>
          <w:szCs w:val="22"/>
          <w:highlight w:val="none"/>
        </w:rPr>
        <w:t>(2)除本合同另有约定外，乙方不会将甲方的任何保密信息披露或提供给任何其他客户。</w:t>
      </w:r>
    </w:p>
    <w:p w14:paraId="3A2DF451">
      <w:pPr>
        <w:snapToGrid w:val="0"/>
        <w:spacing w:line="440" w:lineRule="atLeast"/>
        <w:ind w:firstLine="482" w:firstLineChars="200"/>
        <w:contextualSpacing/>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十五、诉讼</w:t>
      </w:r>
      <w:r>
        <w:rPr>
          <w:rFonts w:hint="eastAsia" w:cs="仿宋" w:asciiTheme="minorEastAsia" w:hAnsiTheme="minorEastAsia" w:eastAsiaTheme="minorEastAsia"/>
          <w:color w:val="auto"/>
          <w:sz w:val="24"/>
          <w:highlight w:val="none"/>
        </w:rPr>
        <w:t xml:space="preserve">             </w:t>
      </w:r>
    </w:p>
    <w:p w14:paraId="40567227">
      <w:pPr>
        <w:autoSpaceDE w:val="0"/>
        <w:autoSpaceDN w:val="0"/>
        <w:snapToGrid w:val="0"/>
        <w:spacing w:line="440" w:lineRule="atLeast"/>
        <w:ind w:firstLine="482"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本合同在履行期间发生的争议，由双方协商解决，协商不成可依法向东阳市人民法院提起诉讼。</w:t>
      </w:r>
    </w:p>
    <w:p w14:paraId="44061D19">
      <w:pPr>
        <w:autoSpaceDE w:val="0"/>
        <w:autoSpaceDN w:val="0"/>
        <w:snapToGrid w:val="0"/>
        <w:spacing w:line="440" w:lineRule="atLeast"/>
        <w:ind w:firstLine="482"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b/>
          <w:color w:val="auto"/>
          <w:sz w:val="24"/>
          <w:highlight w:val="none"/>
        </w:rPr>
        <w:t>十六、合同生效及其它</w:t>
      </w:r>
      <w:r>
        <w:rPr>
          <w:rFonts w:hint="eastAsia" w:cs="仿宋" w:asciiTheme="minorEastAsia" w:hAnsiTheme="minorEastAsia" w:eastAsiaTheme="minorEastAsia"/>
          <w:color w:val="auto"/>
          <w:sz w:val="24"/>
          <w:highlight w:val="none"/>
        </w:rPr>
        <w:t xml:space="preserve"> </w:t>
      </w:r>
    </w:p>
    <w:p w14:paraId="53783A56">
      <w:pPr>
        <w:autoSpaceDE w:val="0"/>
        <w:autoSpaceDN w:val="0"/>
        <w:snapToGrid w:val="0"/>
        <w:spacing w:line="440" w:lineRule="atLeast"/>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1、合同经双方法定代表人或授权代表签字并加盖单位公章后生效。</w:t>
      </w:r>
    </w:p>
    <w:p w14:paraId="4EF644C3">
      <w:pPr>
        <w:autoSpaceDE w:val="0"/>
        <w:autoSpaceDN w:val="0"/>
        <w:snapToGrid w:val="0"/>
        <w:spacing w:line="440" w:lineRule="atLeast"/>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2、合同执行中涉及采购资金和采购内容修改或补充的，须经国资部门审批，并签书面补充协议报国资办监督管理部门备案，方可作为主合同不可分割的一部分。</w:t>
      </w:r>
    </w:p>
    <w:p w14:paraId="35B8628D">
      <w:pPr>
        <w:autoSpaceDE w:val="0"/>
        <w:autoSpaceDN w:val="0"/>
        <w:snapToGrid w:val="0"/>
        <w:spacing w:line="440" w:lineRule="atLeast"/>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3、本合同未尽事宜，遵照《中华人民共和国民法典》有关条文执行。</w:t>
      </w:r>
    </w:p>
    <w:p w14:paraId="3CAB1333">
      <w:pPr>
        <w:autoSpaceDE w:val="0"/>
        <w:autoSpaceDN w:val="0"/>
        <w:snapToGrid w:val="0"/>
        <w:spacing w:line="440" w:lineRule="atLeast"/>
        <w:ind w:firstLine="480" w:firstLineChars="2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4、本合同正本一式六份，具有同等法律效力，甲乙双方各执二份；国资办、代理机构各执一份，具有同等法律效力。  </w:t>
      </w:r>
    </w:p>
    <w:p w14:paraId="3FFEDF84">
      <w:pPr>
        <w:autoSpaceDE w:val="0"/>
        <w:autoSpaceDN w:val="0"/>
        <w:snapToGrid w:val="0"/>
        <w:spacing w:line="360" w:lineRule="auto"/>
        <w:ind w:left="239"/>
        <w:jc w:val="left"/>
        <w:rPr>
          <w:rFonts w:hint="eastAsia" w:cs="宋体" w:asciiTheme="minorEastAsia" w:hAnsiTheme="minorEastAsia" w:eastAsiaTheme="minorEastAsia"/>
          <w:color w:val="auto"/>
          <w:sz w:val="24"/>
          <w:highlight w:val="none"/>
        </w:rPr>
      </w:pPr>
    </w:p>
    <w:p w14:paraId="21A64FC8">
      <w:pPr>
        <w:autoSpaceDE w:val="0"/>
        <w:autoSpaceDN w:val="0"/>
        <w:snapToGrid w:val="0"/>
        <w:spacing w:line="360" w:lineRule="auto"/>
        <w:ind w:left="239"/>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甲方（盖章）：                             乙方（盖章）： </w:t>
      </w:r>
    </w:p>
    <w:p w14:paraId="2C8C3007">
      <w:pPr>
        <w:autoSpaceDE w:val="0"/>
        <w:autoSpaceDN w:val="0"/>
        <w:snapToGrid w:val="0"/>
        <w:spacing w:line="360" w:lineRule="auto"/>
        <w:ind w:firstLine="240" w:firstLineChars="1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法定代表人或授权委托人：                   法定代表人或授权委托人：   </w:t>
      </w:r>
    </w:p>
    <w:p w14:paraId="2A5D9708">
      <w:pPr>
        <w:autoSpaceDE w:val="0"/>
        <w:autoSpaceDN w:val="0"/>
        <w:snapToGrid w:val="0"/>
        <w:spacing w:line="360" w:lineRule="auto"/>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（签字）                                  （签字）                         </w:t>
      </w:r>
    </w:p>
    <w:p w14:paraId="040A5AFC">
      <w:pPr>
        <w:autoSpaceDE w:val="0"/>
        <w:autoSpaceDN w:val="0"/>
        <w:snapToGrid w:val="0"/>
        <w:spacing w:line="360" w:lineRule="auto"/>
        <w:ind w:firstLine="240" w:firstLineChars="1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联系地址：                                  联系地址：</w:t>
      </w:r>
    </w:p>
    <w:p w14:paraId="7AF91EE2">
      <w:pPr>
        <w:autoSpaceDE w:val="0"/>
        <w:autoSpaceDN w:val="0"/>
        <w:snapToGrid w:val="0"/>
        <w:spacing w:line="360" w:lineRule="auto"/>
        <w:ind w:firstLine="240" w:firstLineChars="1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联系电话：                                  联系电话：</w:t>
      </w:r>
    </w:p>
    <w:p w14:paraId="147A9EE6">
      <w:pPr>
        <w:autoSpaceDE w:val="0"/>
        <w:autoSpaceDN w:val="0"/>
        <w:snapToGrid w:val="0"/>
        <w:spacing w:line="360" w:lineRule="auto"/>
        <w:ind w:firstLine="5520" w:firstLineChars="2300"/>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开户名称：</w:t>
      </w:r>
    </w:p>
    <w:p w14:paraId="48A7C097">
      <w:pPr>
        <w:autoSpaceDE w:val="0"/>
        <w:autoSpaceDN w:val="0"/>
        <w:snapToGrid w:val="0"/>
        <w:spacing w:line="360" w:lineRule="auto"/>
        <w:ind w:left="239"/>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开 户 行：</w:t>
      </w:r>
    </w:p>
    <w:p w14:paraId="34501637">
      <w:pPr>
        <w:tabs>
          <w:tab w:val="left" w:pos="2175"/>
        </w:tabs>
        <w:snapToGrid w:val="0"/>
        <w:spacing w:before="120" w:after="120" w:line="360" w:lineRule="auto"/>
        <w:ind w:firstLine="24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                                            银行帐号：</w:t>
      </w:r>
    </w:p>
    <w:p w14:paraId="42BC7923">
      <w:pPr>
        <w:autoSpaceDE w:val="0"/>
        <w:autoSpaceDN w:val="0"/>
        <w:snapToGrid w:val="0"/>
        <w:spacing w:line="360" w:lineRule="auto"/>
        <w:ind w:left="239"/>
        <w:jc w:val="left"/>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签定地点：                                  签定日期：    年    月    日</w:t>
      </w:r>
    </w:p>
    <w:p w14:paraId="5CA24C54">
      <w:pPr>
        <w:tabs>
          <w:tab w:val="left" w:pos="2175"/>
        </w:tabs>
        <w:snapToGrid w:val="0"/>
        <w:spacing w:before="156" w:after="156"/>
        <w:ind w:firstLine="240"/>
        <w:rPr>
          <w:rFonts w:hint="eastAsia" w:cs="仿宋" w:asciiTheme="minorEastAsia" w:hAnsiTheme="minorEastAsia" w:eastAsiaTheme="minorEastAsia"/>
          <w:color w:val="auto"/>
          <w:sz w:val="24"/>
          <w:highlight w:val="none"/>
        </w:rPr>
      </w:pPr>
    </w:p>
    <w:p w14:paraId="22561BB8">
      <w:pPr>
        <w:tabs>
          <w:tab w:val="left" w:pos="2175"/>
        </w:tabs>
        <w:snapToGrid w:val="0"/>
        <w:spacing w:before="156" w:after="156"/>
        <w:ind w:firstLine="24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鉴证方:</w:t>
      </w:r>
    </w:p>
    <w:p w14:paraId="5336E6EE">
      <w:pPr>
        <w:tabs>
          <w:tab w:val="left" w:pos="2175"/>
        </w:tabs>
        <w:snapToGrid w:val="0"/>
        <w:spacing w:before="156" w:after="156"/>
        <w:ind w:firstLine="24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法定代表人或主要负责人:</w:t>
      </w:r>
    </w:p>
    <w:p w14:paraId="33D3E434">
      <w:pPr>
        <w:widowControl/>
        <w:jc w:val="left"/>
        <w:rPr>
          <w:rFonts w:hint="eastAsia" w:asciiTheme="minorEastAsia" w:hAnsiTheme="minorEastAsia" w:eastAsiaTheme="minorEastAsia"/>
          <w:b/>
          <w:bCs/>
          <w:color w:val="auto"/>
          <w:kern w:val="44"/>
          <w:sz w:val="44"/>
          <w:szCs w:val="44"/>
          <w:highlight w:val="none"/>
        </w:rPr>
      </w:pPr>
      <w:r>
        <w:rPr>
          <w:rFonts w:asciiTheme="minorEastAsia" w:hAnsiTheme="minorEastAsia" w:eastAsiaTheme="minorEastAsia"/>
          <w:b/>
          <w:bCs/>
          <w:color w:val="auto"/>
          <w:kern w:val="44"/>
          <w:sz w:val="44"/>
          <w:szCs w:val="44"/>
          <w:highlight w:val="none"/>
        </w:rPr>
        <w:br w:type="page"/>
      </w:r>
    </w:p>
    <w:p w14:paraId="7C2FD17D">
      <w:pPr>
        <w:tabs>
          <w:tab w:val="left" w:pos="2175"/>
          <w:tab w:val="left" w:pos="2472"/>
        </w:tabs>
        <w:snapToGrid w:val="0"/>
        <w:rPr>
          <w:rFonts w:hint="eastAsia" w:asciiTheme="minorEastAsia" w:hAnsiTheme="minorEastAsia" w:eastAsiaTheme="minorEastAsia"/>
          <w:color w:val="auto"/>
          <w:sz w:val="30"/>
          <w:highlight w:val="none"/>
        </w:rPr>
      </w:pPr>
    </w:p>
    <w:p w14:paraId="6A086496">
      <w:pPr>
        <w:snapToGrid w:val="0"/>
        <w:spacing w:before="120" w:after="50"/>
        <w:ind w:firstLine="3012" w:firstLineChars="1000"/>
        <w:rPr>
          <w:rFonts w:hint="eastAsia" w:cs="仿宋" w:asciiTheme="minorEastAsia" w:hAnsiTheme="minorEastAsia" w:eastAsiaTheme="minorEastAsia"/>
          <w:b/>
          <w:bCs/>
          <w:color w:val="auto"/>
          <w:sz w:val="30"/>
          <w:highlight w:val="none"/>
        </w:rPr>
      </w:pPr>
      <w:r>
        <w:rPr>
          <w:rFonts w:hint="eastAsia" w:cs="仿宋" w:asciiTheme="minorEastAsia" w:hAnsiTheme="minorEastAsia" w:eastAsiaTheme="minorEastAsia"/>
          <w:b/>
          <w:bCs/>
          <w:color w:val="auto"/>
          <w:sz w:val="30"/>
          <w:highlight w:val="none"/>
        </w:rPr>
        <w:t>第六章 响应文件格式范例</w:t>
      </w:r>
    </w:p>
    <w:p w14:paraId="108DF973">
      <w:pPr>
        <w:rPr>
          <w:rFonts w:hint="eastAsia" w:cs="仿宋_GB2312" w:asciiTheme="minorEastAsia" w:hAnsiTheme="minorEastAsia" w:eastAsiaTheme="minorEastAsia"/>
          <w:color w:val="auto"/>
          <w:sz w:val="32"/>
          <w:szCs w:val="32"/>
          <w:highlight w:val="none"/>
        </w:rPr>
      </w:pPr>
    </w:p>
    <w:p w14:paraId="42427EDC">
      <w:pPr>
        <w:jc w:val="right"/>
        <w:rPr>
          <w:rFonts w:hint="eastAsia"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（正本或副本）</w:t>
      </w:r>
    </w:p>
    <w:p w14:paraId="060E997C">
      <w:pPr>
        <w:jc w:val="right"/>
        <w:rPr>
          <w:rFonts w:hint="eastAsia" w:cs="仿宋_GB2312" w:asciiTheme="minorEastAsia" w:hAnsiTheme="minorEastAsia" w:eastAsiaTheme="minorEastAsia"/>
          <w:color w:val="auto"/>
          <w:sz w:val="32"/>
          <w:szCs w:val="32"/>
          <w:highlight w:val="none"/>
        </w:rPr>
      </w:pPr>
    </w:p>
    <w:p w14:paraId="4E776443">
      <w:pPr>
        <w:jc w:val="center"/>
        <w:rPr>
          <w:rFonts w:hint="eastAsia" w:cs="仿宋_GB2312" w:asciiTheme="minorEastAsia" w:hAnsiTheme="minorEastAsia" w:eastAsiaTheme="minorEastAsia"/>
          <w:color w:val="auto"/>
          <w:sz w:val="32"/>
          <w:szCs w:val="32"/>
          <w:highlight w:val="none"/>
        </w:rPr>
      </w:pPr>
    </w:p>
    <w:p w14:paraId="27BB4E4C">
      <w:pPr>
        <w:jc w:val="center"/>
        <w:rPr>
          <w:rFonts w:hint="eastAsia" w:cs="仿宋_GB2312" w:asciiTheme="minorEastAsia" w:hAnsiTheme="minorEastAsia" w:eastAsiaTheme="minorEastAsia"/>
          <w:b/>
          <w:bCs/>
          <w:color w:val="auto"/>
          <w:sz w:val="52"/>
          <w:szCs w:val="52"/>
          <w:highlight w:val="none"/>
        </w:rPr>
      </w:pPr>
      <w:r>
        <w:rPr>
          <w:rFonts w:hint="eastAsia" w:cs="仿宋_GB2312" w:asciiTheme="minorEastAsia" w:hAnsiTheme="minorEastAsia" w:eastAsiaTheme="minorEastAsia"/>
          <w:b/>
          <w:bCs/>
          <w:color w:val="auto"/>
          <w:sz w:val="52"/>
          <w:szCs w:val="52"/>
          <w:highlight w:val="none"/>
        </w:rPr>
        <w:t>响</w:t>
      </w:r>
    </w:p>
    <w:p w14:paraId="1B14F810">
      <w:pPr>
        <w:jc w:val="center"/>
        <w:rPr>
          <w:rFonts w:hint="eastAsia" w:cs="仿宋_GB2312" w:asciiTheme="minorEastAsia" w:hAnsiTheme="minorEastAsia" w:eastAsiaTheme="minorEastAsia"/>
          <w:b/>
          <w:bCs/>
          <w:color w:val="auto"/>
          <w:sz w:val="52"/>
          <w:szCs w:val="52"/>
          <w:highlight w:val="none"/>
        </w:rPr>
      </w:pPr>
    </w:p>
    <w:p w14:paraId="23BF61BD">
      <w:pPr>
        <w:jc w:val="center"/>
        <w:rPr>
          <w:rFonts w:hint="eastAsia" w:cs="仿宋_GB2312" w:asciiTheme="minorEastAsia" w:hAnsiTheme="minorEastAsia" w:eastAsiaTheme="minorEastAsia"/>
          <w:b/>
          <w:bCs/>
          <w:color w:val="auto"/>
          <w:sz w:val="52"/>
          <w:szCs w:val="52"/>
          <w:highlight w:val="none"/>
        </w:rPr>
      </w:pPr>
      <w:r>
        <w:rPr>
          <w:rFonts w:hint="eastAsia" w:cs="仿宋_GB2312" w:asciiTheme="minorEastAsia" w:hAnsiTheme="minorEastAsia" w:eastAsiaTheme="minorEastAsia"/>
          <w:b/>
          <w:bCs/>
          <w:color w:val="auto"/>
          <w:sz w:val="52"/>
          <w:szCs w:val="52"/>
          <w:highlight w:val="none"/>
        </w:rPr>
        <w:t>应</w:t>
      </w:r>
    </w:p>
    <w:p w14:paraId="40D14205">
      <w:pPr>
        <w:jc w:val="center"/>
        <w:rPr>
          <w:rFonts w:hint="eastAsia" w:cs="仿宋_GB2312" w:asciiTheme="minorEastAsia" w:hAnsiTheme="minorEastAsia" w:eastAsiaTheme="minorEastAsia"/>
          <w:b/>
          <w:bCs/>
          <w:color w:val="auto"/>
          <w:sz w:val="52"/>
          <w:szCs w:val="52"/>
          <w:highlight w:val="none"/>
        </w:rPr>
      </w:pPr>
    </w:p>
    <w:p w14:paraId="57ACED0E">
      <w:pPr>
        <w:jc w:val="center"/>
        <w:rPr>
          <w:rFonts w:hint="eastAsia" w:cs="仿宋_GB2312" w:asciiTheme="minorEastAsia" w:hAnsiTheme="minorEastAsia" w:eastAsiaTheme="minorEastAsia"/>
          <w:b/>
          <w:bCs/>
          <w:color w:val="auto"/>
          <w:sz w:val="52"/>
          <w:szCs w:val="52"/>
          <w:highlight w:val="none"/>
        </w:rPr>
      </w:pPr>
      <w:r>
        <w:rPr>
          <w:rFonts w:hint="eastAsia" w:cs="仿宋_GB2312" w:asciiTheme="minorEastAsia" w:hAnsiTheme="minorEastAsia" w:eastAsiaTheme="minorEastAsia"/>
          <w:b/>
          <w:bCs/>
          <w:color w:val="auto"/>
          <w:sz w:val="52"/>
          <w:szCs w:val="52"/>
          <w:highlight w:val="none"/>
        </w:rPr>
        <w:t>文</w:t>
      </w:r>
    </w:p>
    <w:p w14:paraId="6DE16F66">
      <w:pPr>
        <w:jc w:val="center"/>
        <w:rPr>
          <w:rFonts w:hint="eastAsia" w:cs="仿宋_GB2312" w:asciiTheme="minorEastAsia" w:hAnsiTheme="minorEastAsia" w:eastAsiaTheme="minorEastAsia"/>
          <w:b/>
          <w:bCs/>
          <w:color w:val="auto"/>
          <w:sz w:val="52"/>
          <w:szCs w:val="52"/>
          <w:highlight w:val="none"/>
        </w:rPr>
      </w:pPr>
    </w:p>
    <w:p w14:paraId="427017AA">
      <w:pPr>
        <w:jc w:val="center"/>
        <w:rPr>
          <w:rFonts w:hint="eastAsia" w:cs="仿宋_GB2312" w:asciiTheme="minorEastAsia" w:hAnsiTheme="minorEastAsia" w:eastAsiaTheme="minorEastAsia"/>
          <w:b/>
          <w:bCs/>
          <w:color w:val="auto"/>
          <w:sz w:val="52"/>
          <w:szCs w:val="52"/>
          <w:highlight w:val="none"/>
        </w:rPr>
      </w:pPr>
      <w:r>
        <w:rPr>
          <w:rFonts w:hint="eastAsia" w:cs="仿宋_GB2312" w:asciiTheme="minorEastAsia" w:hAnsiTheme="minorEastAsia" w:eastAsiaTheme="minorEastAsia"/>
          <w:b/>
          <w:bCs/>
          <w:color w:val="auto"/>
          <w:sz w:val="52"/>
          <w:szCs w:val="52"/>
          <w:highlight w:val="none"/>
        </w:rPr>
        <w:t>件</w:t>
      </w:r>
    </w:p>
    <w:p w14:paraId="034E6547">
      <w:pPr>
        <w:jc w:val="center"/>
        <w:rPr>
          <w:rFonts w:hint="eastAsia" w:cs="仿宋_GB2312" w:asciiTheme="minorEastAsia" w:hAnsiTheme="minorEastAsia" w:eastAsiaTheme="minorEastAsia"/>
          <w:color w:val="auto"/>
          <w:sz w:val="32"/>
          <w:szCs w:val="32"/>
          <w:highlight w:val="none"/>
        </w:rPr>
      </w:pPr>
    </w:p>
    <w:p w14:paraId="6969B4B6">
      <w:pPr>
        <w:spacing w:line="360" w:lineRule="auto"/>
        <w:rPr>
          <w:rFonts w:hint="eastAsia" w:cs="仿宋_GB2312" w:asciiTheme="minorEastAsia" w:hAnsiTheme="minorEastAsia" w:eastAsiaTheme="minorEastAsia"/>
          <w:color w:val="auto"/>
          <w:sz w:val="32"/>
          <w:szCs w:val="32"/>
          <w:highlight w:val="none"/>
        </w:rPr>
      </w:pPr>
    </w:p>
    <w:p w14:paraId="289171B3">
      <w:pPr>
        <w:spacing w:line="360" w:lineRule="auto"/>
        <w:rPr>
          <w:rFonts w:hint="eastAsia" w:cs="仿宋_GB2312" w:asciiTheme="minorEastAsia" w:hAnsiTheme="minorEastAsia" w:eastAsiaTheme="minorEastAsia"/>
          <w:color w:val="auto"/>
          <w:sz w:val="32"/>
          <w:szCs w:val="32"/>
          <w:highlight w:val="none"/>
        </w:rPr>
      </w:pPr>
    </w:p>
    <w:p w14:paraId="44D0D5AA">
      <w:pPr>
        <w:spacing w:line="360" w:lineRule="auto"/>
        <w:rPr>
          <w:rFonts w:hint="eastAsia" w:cs="仿宋_GB2312" w:asciiTheme="minorEastAsia" w:hAnsiTheme="minorEastAsia" w:eastAsiaTheme="minorEastAsia"/>
          <w:color w:val="auto"/>
          <w:sz w:val="30"/>
          <w:szCs w:val="30"/>
          <w:highlight w:val="none"/>
          <w:u w:val="single"/>
        </w:rPr>
      </w:pPr>
      <w:r>
        <w:rPr>
          <w:rFonts w:hint="eastAsia" w:cs="仿宋_GB2312" w:asciiTheme="minorEastAsia" w:hAnsiTheme="minorEastAsia" w:eastAsiaTheme="minorEastAsia"/>
          <w:color w:val="auto"/>
          <w:sz w:val="30"/>
          <w:szCs w:val="30"/>
          <w:highlight w:val="none"/>
        </w:rPr>
        <w:t>项目名称：</w:t>
      </w:r>
    </w:p>
    <w:p w14:paraId="238BF0F3">
      <w:pPr>
        <w:spacing w:line="360" w:lineRule="auto"/>
        <w:rPr>
          <w:rFonts w:hint="eastAsia"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w:t>
      </w:r>
    </w:p>
    <w:p w14:paraId="2DD95080">
      <w:pPr>
        <w:pStyle w:val="10"/>
        <w:spacing w:line="360" w:lineRule="auto"/>
        <w:rPr>
          <w:rFonts w:hint="eastAsia"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文件名称：资格审查文件/技术、资信及商务文件/报价文件（按需选择）</w:t>
      </w:r>
    </w:p>
    <w:p w14:paraId="180E051B">
      <w:pPr>
        <w:spacing w:line="360" w:lineRule="auto"/>
        <w:rPr>
          <w:rFonts w:hint="eastAsia"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主承销商全称（公章）：</w:t>
      </w:r>
    </w:p>
    <w:p w14:paraId="7A896995">
      <w:pPr>
        <w:spacing w:line="360" w:lineRule="auto"/>
        <w:rPr>
          <w:rFonts w:hint="eastAsia"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地    址：</w:t>
      </w:r>
    </w:p>
    <w:p w14:paraId="18F6EB33">
      <w:pPr>
        <w:spacing w:line="360" w:lineRule="auto"/>
        <w:rPr>
          <w:rFonts w:hint="eastAsia"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时    间：</w:t>
      </w:r>
    </w:p>
    <w:p w14:paraId="7215F355">
      <w:pPr>
        <w:snapToGrid w:val="0"/>
        <w:jc w:val="left"/>
        <w:rPr>
          <w:rFonts w:hint="eastAsia" w:cs="宋体" w:asciiTheme="minorEastAsia" w:hAnsiTheme="minorEastAsia" w:eastAsiaTheme="minorEastAsia"/>
          <w:b/>
          <w:color w:val="auto"/>
          <w:sz w:val="24"/>
          <w:highlight w:val="none"/>
        </w:rPr>
      </w:pPr>
    </w:p>
    <w:p w14:paraId="2450042D">
      <w:pPr>
        <w:snapToGrid w:val="0"/>
        <w:jc w:val="left"/>
        <w:rPr>
          <w:rFonts w:hint="eastAsia" w:cs="宋体" w:asciiTheme="minorEastAsia" w:hAnsiTheme="minorEastAsia" w:eastAsiaTheme="minorEastAsia"/>
          <w:b/>
          <w:color w:val="auto"/>
          <w:sz w:val="24"/>
          <w:highlight w:val="none"/>
        </w:rPr>
      </w:pPr>
    </w:p>
    <w:p w14:paraId="7C64B5D1">
      <w:pPr>
        <w:snapToGrid w:val="0"/>
        <w:jc w:val="left"/>
        <w:rPr>
          <w:rFonts w:hint="eastAsia" w:cs="宋体" w:asciiTheme="minorEastAsia" w:hAnsiTheme="minorEastAsia" w:eastAsiaTheme="minorEastAsia"/>
          <w:b/>
          <w:color w:val="auto"/>
          <w:sz w:val="24"/>
          <w:highlight w:val="none"/>
        </w:rPr>
      </w:pPr>
    </w:p>
    <w:p w14:paraId="66FB6885">
      <w:pPr>
        <w:snapToGrid w:val="0"/>
        <w:jc w:val="left"/>
        <w:rPr>
          <w:rFonts w:hint="eastAsia" w:cs="宋体" w:asciiTheme="minorEastAsia" w:hAnsiTheme="minorEastAsia" w:eastAsiaTheme="minorEastAsia"/>
          <w:b/>
          <w:color w:val="auto"/>
          <w:sz w:val="24"/>
          <w:highlight w:val="none"/>
        </w:rPr>
      </w:pPr>
    </w:p>
    <w:p w14:paraId="572751F3">
      <w:pPr>
        <w:pStyle w:val="12"/>
        <w:ind w:left="0" w:leftChars="0"/>
        <w:rPr>
          <w:rFonts w:hint="eastAsia" w:cs="宋体" w:asciiTheme="minorEastAsia" w:hAnsiTheme="minorEastAsia" w:eastAsiaTheme="minorEastAsia"/>
          <w:b/>
          <w:color w:val="auto"/>
          <w:sz w:val="24"/>
          <w:highlight w:val="none"/>
        </w:rPr>
      </w:pPr>
    </w:p>
    <w:p w14:paraId="3DAA0032">
      <w:pPr>
        <w:spacing w:line="360" w:lineRule="auto"/>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1.资格审查文件（正本1份，副本1份）</w:t>
      </w:r>
    </w:p>
    <w:p w14:paraId="6B4DB2BD">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（1）营业执照复印件；</w:t>
      </w:r>
    </w:p>
    <w:p w14:paraId="351AED8E">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（2）法定代表人（或法定负责人）授权书及授权代表有效身份证复印件</w:t>
      </w:r>
      <w:r>
        <w:rPr>
          <w:rFonts w:hint="eastAsia" w:cs="仿宋" w:asciiTheme="minorEastAsia" w:hAnsiTheme="minorEastAsia" w:eastAsiaTheme="minorEastAsia"/>
          <w:bCs/>
          <w:color w:val="auto"/>
          <w:sz w:val="24"/>
          <w:highlight w:val="none"/>
        </w:rPr>
        <w:t>（格式见附件）</w:t>
      </w:r>
      <w:r>
        <w:rPr>
          <w:rFonts w:hint="eastAsia" w:cs="仿宋" w:asciiTheme="minorEastAsia" w:hAnsiTheme="minorEastAsia" w:eastAsiaTheme="minorEastAsia"/>
          <w:color w:val="auto"/>
          <w:sz w:val="24"/>
          <w:highlight w:val="none"/>
        </w:rPr>
        <w:t>；</w:t>
      </w:r>
    </w:p>
    <w:p w14:paraId="6B436517">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（3）投标人情况简介（包括机构规模、主要财务数据、在行业内的综合排名、分支机构数量、从业人员数量、人员资历等）；</w:t>
      </w:r>
    </w:p>
    <w:p w14:paraId="573CA2A8">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（4）债券主承销商为具备行业监管部门认定的债券承销业务的资格；其他中介服务机构应具有中国证监会、证券交易所从事债券承销、发行服务的相关资质；</w:t>
      </w:r>
    </w:p>
    <w:p w14:paraId="44FFCFF7">
      <w:pPr>
        <w:spacing w:line="360" w:lineRule="auto"/>
        <w:ind w:left="400" w:left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（5）近三年内经营活动无重大违法违纪记录、未发生金融风险及重大违约事件的承诺；</w:t>
      </w:r>
    </w:p>
    <w:p w14:paraId="2C232CD2">
      <w:pPr>
        <w:spacing w:line="360" w:lineRule="auto"/>
        <w:ind w:left="400" w:left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（6）联合体协议（如有）（格式见附件，不适用）。</w:t>
      </w:r>
    </w:p>
    <w:p w14:paraId="5BEF0817">
      <w:pPr>
        <w:spacing w:line="360" w:lineRule="auto"/>
        <w:ind w:firstLine="482" w:firstLineChars="20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2、技术、资信及商务文件（正本1份，副本4分）</w:t>
      </w:r>
    </w:p>
    <w:p w14:paraId="6508F467">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（1）投标人资信商务、技术自评得分表（格式见附件）；</w:t>
      </w:r>
    </w:p>
    <w:p w14:paraId="2394F820">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（2）商务响应表（格式见附件）；</w:t>
      </w:r>
    </w:p>
    <w:p w14:paraId="24FF9BE6">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（3）技术响应表（格式见附件）；</w:t>
      </w:r>
    </w:p>
    <w:p w14:paraId="7D0C89D6">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（4）券商监管评级；</w:t>
      </w:r>
    </w:p>
    <w:p w14:paraId="6510DB4A">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（5）同类项目经验,提供相关计划说明书证明材料（至少包括说明书首页、投标人参与角色相关页面，并加盖公章）；</w:t>
      </w:r>
    </w:p>
    <w:p w14:paraId="3342D869">
      <w:pPr>
        <w:spacing w:line="360" w:lineRule="auto"/>
        <w:ind w:firstLine="480" w:firstLineChars="200"/>
        <w:jc w:val="left"/>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（6）票面利率能力,</w:t>
      </w:r>
      <w:r>
        <w:rPr>
          <w:rFonts w:hint="eastAsia"/>
          <w:color w:val="auto"/>
          <w:highlight w:val="none"/>
        </w:rPr>
        <w:t xml:space="preserve"> </w:t>
      </w:r>
      <w:r>
        <w:rPr>
          <w:rFonts w:hint="eastAsia" w:cs="仿宋" w:asciiTheme="minorEastAsia" w:hAnsiTheme="minorEastAsia" w:eastAsiaTheme="minorEastAsia"/>
          <w:bCs/>
          <w:color w:val="auto"/>
          <w:sz w:val="24"/>
          <w:highlight w:val="none"/>
        </w:rPr>
        <w:t>提供wind截图并加盖投标人公章;</w:t>
      </w:r>
    </w:p>
    <w:p w14:paraId="267513FB">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（7）承销能力（包括人2023年全口径债券累计总承销金额和2023年资产证券化累计总承销金额），提供Wind资讯截图并加盖供应商公章编入投标文件中；</w:t>
      </w:r>
    </w:p>
    <w:p w14:paraId="748C43DF">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（8）企业ABS发行情况表，提供Wind资讯截图并加盖供应商公章编入投标文件中；</w:t>
      </w:r>
    </w:p>
    <w:p w14:paraId="4414AAFD">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（9）发行方案；</w:t>
      </w:r>
    </w:p>
    <w:p w14:paraId="67F071D1">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（10）专业服务团队人员配置及人员能力（格式见附件）；</w:t>
      </w:r>
    </w:p>
    <w:p w14:paraId="0E4B4AD3">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（11）发行承诺；</w:t>
      </w:r>
    </w:p>
    <w:p w14:paraId="798249B4">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（12）存续期服务；</w:t>
      </w:r>
    </w:p>
    <w:p w14:paraId="1652826B">
      <w:pPr>
        <w:spacing w:line="360" w:lineRule="auto"/>
        <w:ind w:firstLine="480" w:firstLineChars="200"/>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（13）投标人需要说明的其他文件和说明；</w:t>
      </w:r>
    </w:p>
    <w:p w14:paraId="7661F871">
      <w:pPr>
        <w:spacing w:line="360" w:lineRule="auto"/>
        <w:ind w:firstLine="480" w:firstLineChars="200"/>
        <w:rPr>
          <w:rFonts w:hint="eastAsia" w:cs="仿宋" w:asciiTheme="minorEastAsia" w:hAnsiTheme="minorEastAsia" w:eastAsiaTheme="minorEastAsia"/>
          <w:b/>
          <w:bCs/>
          <w:color w:val="auto"/>
          <w:sz w:val="24"/>
          <w:highlight w:val="none"/>
        </w:rPr>
      </w:pPr>
      <w:r>
        <w:rPr>
          <w:rFonts w:hint="eastAsia" w:cs="仿宋" w:asciiTheme="minorEastAsia" w:hAnsiTheme="minorEastAsia" w:eastAsiaTheme="minorEastAsia"/>
          <w:bCs/>
          <w:color w:val="auto"/>
          <w:sz w:val="24"/>
          <w:highlight w:val="none"/>
        </w:rPr>
        <w:t>（14）投标人认为有必要提供的其它文件。</w:t>
      </w:r>
    </w:p>
    <w:p w14:paraId="4440857D">
      <w:pPr>
        <w:pStyle w:val="11"/>
        <w:ind w:firstLine="240"/>
        <w:rPr>
          <w:rFonts w:hint="eastAsia" w:cs="仿宋" w:asciiTheme="minorEastAsia" w:hAnsiTheme="minorEastAsia" w:eastAsiaTheme="minorEastAsia"/>
          <w:color w:val="auto"/>
          <w:sz w:val="24"/>
          <w:highlight w:val="none"/>
        </w:rPr>
      </w:pPr>
    </w:p>
    <w:p w14:paraId="41381D8B">
      <w:pPr>
        <w:rPr>
          <w:rFonts w:hint="eastAsia" w:cs="宋体" w:asciiTheme="minorEastAsia" w:hAnsiTheme="minorEastAsia" w:eastAsiaTheme="minorEastAsia"/>
          <w:b/>
          <w:color w:val="auto"/>
          <w:sz w:val="24"/>
          <w:highlight w:val="none"/>
        </w:rPr>
      </w:pPr>
    </w:p>
    <w:p w14:paraId="5A724860">
      <w:pPr>
        <w:pStyle w:val="10"/>
        <w:rPr>
          <w:rFonts w:hint="eastAsia" w:cs="宋体" w:asciiTheme="minorEastAsia" w:hAnsiTheme="minorEastAsia" w:eastAsiaTheme="minorEastAsia"/>
          <w:b/>
          <w:color w:val="auto"/>
          <w:sz w:val="24"/>
          <w:highlight w:val="none"/>
        </w:rPr>
      </w:pPr>
    </w:p>
    <w:p w14:paraId="57467EE0">
      <w:pPr>
        <w:widowControl/>
        <w:jc w:val="left"/>
        <w:rPr>
          <w:rFonts w:hint="eastAsia" w:cs="仿宋" w:asciiTheme="minorEastAsia" w:hAnsiTheme="minorEastAsia" w:eastAsiaTheme="minorEastAsia"/>
          <w:b/>
          <w:color w:val="auto"/>
          <w:sz w:val="24"/>
          <w:highlight w:val="none"/>
        </w:rPr>
      </w:pPr>
      <w:r>
        <w:rPr>
          <w:rFonts w:cs="仿宋" w:asciiTheme="minorEastAsia" w:hAnsiTheme="minorEastAsia" w:eastAsiaTheme="minorEastAsia"/>
          <w:b/>
          <w:color w:val="auto"/>
          <w:sz w:val="24"/>
          <w:highlight w:val="none"/>
        </w:rPr>
        <w:br w:type="page"/>
      </w:r>
    </w:p>
    <w:p w14:paraId="66B9DEC1">
      <w:pPr>
        <w:spacing w:line="460" w:lineRule="exact"/>
        <w:outlineLvl w:val="0"/>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附件1：</w:t>
      </w:r>
    </w:p>
    <w:p w14:paraId="6C00E2A6">
      <w:pPr>
        <w:snapToGrid w:val="0"/>
        <w:spacing w:line="460" w:lineRule="exact"/>
        <w:jc w:val="center"/>
        <w:rPr>
          <w:rFonts w:hint="eastAsia" w:asciiTheme="minorEastAsia" w:hAnsiTheme="minorEastAsia" w:eastAsiaTheme="minorEastAsia"/>
          <w:b/>
          <w:bCs/>
          <w:color w:val="auto"/>
          <w:sz w:val="30"/>
          <w:szCs w:val="30"/>
          <w:highlight w:val="none"/>
        </w:rPr>
      </w:pPr>
      <w:r>
        <w:rPr>
          <w:rFonts w:hint="eastAsia" w:asciiTheme="minorEastAsia" w:hAnsiTheme="minorEastAsia" w:eastAsiaTheme="minorEastAsia"/>
          <w:b/>
          <w:bCs/>
          <w:color w:val="auto"/>
          <w:sz w:val="30"/>
          <w:szCs w:val="30"/>
          <w:highlight w:val="none"/>
        </w:rPr>
        <w:t xml:space="preserve"> 技术、资信及商务自评得分表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156"/>
        <w:gridCol w:w="1365"/>
        <w:gridCol w:w="1185"/>
        <w:gridCol w:w="2590"/>
      </w:tblGrid>
      <w:tr w14:paraId="5D18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61" w:type="dxa"/>
            <w:vAlign w:val="center"/>
          </w:tcPr>
          <w:p w14:paraId="6360F814">
            <w:pPr>
              <w:spacing w:line="360" w:lineRule="exact"/>
              <w:jc w:val="center"/>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序号</w:t>
            </w:r>
          </w:p>
        </w:tc>
        <w:tc>
          <w:tcPr>
            <w:tcW w:w="3156" w:type="dxa"/>
            <w:vAlign w:val="center"/>
          </w:tcPr>
          <w:p w14:paraId="3631BEDE">
            <w:pPr>
              <w:spacing w:line="360" w:lineRule="exact"/>
              <w:jc w:val="center"/>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评分标准</w:t>
            </w:r>
          </w:p>
        </w:tc>
        <w:tc>
          <w:tcPr>
            <w:tcW w:w="1365" w:type="dxa"/>
            <w:vAlign w:val="center"/>
          </w:tcPr>
          <w:p w14:paraId="6B6A289C">
            <w:pPr>
              <w:spacing w:line="360" w:lineRule="exact"/>
              <w:jc w:val="center"/>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得分内容</w:t>
            </w:r>
          </w:p>
        </w:tc>
        <w:tc>
          <w:tcPr>
            <w:tcW w:w="1185" w:type="dxa"/>
            <w:vAlign w:val="center"/>
          </w:tcPr>
          <w:p w14:paraId="6F0BB73F">
            <w:pPr>
              <w:spacing w:line="360" w:lineRule="exact"/>
              <w:jc w:val="center"/>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自评得分</w:t>
            </w:r>
          </w:p>
        </w:tc>
        <w:tc>
          <w:tcPr>
            <w:tcW w:w="2590" w:type="dxa"/>
            <w:vAlign w:val="center"/>
          </w:tcPr>
          <w:p w14:paraId="24F87D83">
            <w:pPr>
              <w:spacing w:line="360" w:lineRule="exact"/>
              <w:jc w:val="center"/>
              <w:rPr>
                <w:rFonts w:hint="eastAsia" w:cs="仿宋" w:asciiTheme="minorEastAsia" w:hAnsiTheme="minorEastAsia" w:eastAsiaTheme="minorEastAsia"/>
                <w:b/>
                <w:color w:val="auto"/>
                <w:szCs w:val="21"/>
                <w:highlight w:val="none"/>
              </w:rPr>
            </w:pPr>
            <w:r>
              <w:rPr>
                <w:rFonts w:hint="eastAsia" w:cs="仿宋" w:asciiTheme="minorEastAsia" w:hAnsiTheme="minorEastAsia" w:eastAsiaTheme="minorEastAsia"/>
                <w:b/>
                <w:color w:val="auto"/>
                <w:szCs w:val="21"/>
                <w:highlight w:val="none"/>
              </w:rPr>
              <w:t>对应页码</w:t>
            </w:r>
          </w:p>
        </w:tc>
      </w:tr>
      <w:tr w14:paraId="00BF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1" w:type="dxa"/>
            <w:vAlign w:val="center"/>
          </w:tcPr>
          <w:p w14:paraId="16D5D85F">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1</w:t>
            </w:r>
          </w:p>
        </w:tc>
        <w:tc>
          <w:tcPr>
            <w:tcW w:w="3156" w:type="dxa"/>
            <w:vAlign w:val="center"/>
          </w:tcPr>
          <w:p w14:paraId="40C50AB5">
            <w:pPr>
              <w:spacing w:line="290" w:lineRule="exact"/>
              <w:jc w:val="center"/>
              <w:rPr>
                <w:rFonts w:hint="eastAsia" w:cs="仿宋" w:asciiTheme="minorEastAsia" w:hAnsiTheme="minorEastAsia" w:eastAsiaTheme="minorEastAsia"/>
                <w:b/>
                <w:color w:val="auto"/>
                <w:szCs w:val="21"/>
                <w:highlight w:val="none"/>
              </w:rPr>
            </w:pPr>
          </w:p>
        </w:tc>
        <w:tc>
          <w:tcPr>
            <w:tcW w:w="1365" w:type="dxa"/>
            <w:vAlign w:val="center"/>
          </w:tcPr>
          <w:p w14:paraId="69E92EAB">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15A88CC8">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74B345DA">
            <w:pPr>
              <w:spacing w:line="360" w:lineRule="exact"/>
              <w:rPr>
                <w:rFonts w:hint="eastAsia" w:cs="仿宋" w:asciiTheme="minorEastAsia" w:hAnsiTheme="minorEastAsia" w:eastAsiaTheme="minorEastAsia"/>
                <w:color w:val="auto"/>
                <w:szCs w:val="21"/>
                <w:highlight w:val="none"/>
              </w:rPr>
            </w:pPr>
          </w:p>
        </w:tc>
      </w:tr>
      <w:tr w14:paraId="1585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61" w:type="dxa"/>
            <w:vAlign w:val="center"/>
          </w:tcPr>
          <w:p w14:paraId="6A42EEB3">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2</w:t>
            </w:r>
          </w:p>
        </w:tc>
        <w:tc>
          <w:tcPr>
            <w:tcW w:w="3156" w:type="dxa"/>
            <w:vAlign w:val="center"/>
          </w:tcPr>
          <w:p w14:paraId="5DD57EC8">
            <w:pPr>
              <w:spacing w:line="290" w:lineRule="exact"/>
              <w:jc w:val="center"/>
              <w:rPr>
                <w:rFonts w:hint="eastAsia" w:cs="仿宋" w:asciiTheme="minorEastAsia" w:hAnsiTheme="minorEastAsia" w:eastAsiaTheme="minorEastAsia"/>
                <w:b/>
                <w:color w:val="auto"/>
                <w:szCs w:val="21"/>
                <w:highlight w:val="none"/>
              </w:rPr>
            </w:pPr>
          </w:p>
        </w:tc>
        <w:tc>
          <w:tcPr>
            <w:tcW w:w="1365" w:type="dxa"/>
            <w:vAlign w:val="center"/>
          </w:tcPr>
          <w:p w14:paraId="06ECD311">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7351B8F5">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7839E79D">
            <w:pPr>
              <w:spacing w:line="360" w:lineRule="exact"/>
              <w:rPr>
                <w:rFonts w:hint="eastAsia" w:cs="仿宋" w:asciiTheme="minorEastAsia" w:hAnsiTheme="minorEastAsia" w:eastAsiaTheme="minorEastAsia"/>
                <w:color w:val="auto"/>
                <w:szCs w:val="21"/>
                <w:highlight w:val="none"/>
              </w:rPr>
            </w:pPr>
          </w:p>
        </w:tc>
      </w:tr>
      <w:tr w14:paraId="797A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1" w:type="dxa"/>
            <w:vAlign w:val="center"/>
          </w:tcPr>
          <w:p w14:paraId="0F9301E8">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3</w:t>
            </w:r>
          </w:p>
        </w:tc>
        <w:tc>
          <w:tcPr>
            <w:tcW w:w="3156" w:type="dxa"/>
            <w:vAlign w:val="center"/>
          </w:tcPr>
          <w:p w14:paraId="2910A67A">
            <w:pPr>
              <w:spacing w:line="290" w:lineRule="exact"/>
              <w:jc w:val="center"/>
              <w:rPr>
                <w:rFonts w:hint="eastAsia" w:cs="仿宋" w:asciiTheme="minorEastAsia" w:hAnsiTheme="minorEastAsia" w:eastAsiaTheme="minorEastAsia"/>
                <w:b/>
                <w:color w:val="auto"/>
                <w:szCs w:val="21"/>
                <w:highlight w:val="none"/>
              </w:rPr>
            </w:pPr>
          </w:p>
        </w:tc>
        <w:tc>
          <w:tcPr>
            <w:tcW w:w="1365" w:type="dxa"/>
            <w:vAlign w:val="center"/>
          </w:tcPr>
          <w:p w14:paraId="678AC4A7">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668EE066">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19565F8D">
            <w:pPr>
              <w:spacing w:line="360" w:lineRule="exact"/>
              <w:rPr>
                <w:rFonts w:hint="eastAsia" w:cs="仿宋" w:asciiTheme="minorEastAsia" w:hAnsiTheme="minorEastAsia" w:eastAsiaTheme="minorEastAsia"/>
                <w:color w:val="auto"/>
                <w:szCs w:val="21"/>
                <w:highlight w:val="none"/>
              </w:rPr>
            </w:pPr>
          </w:p>
        </w:tc>
      </w:tr>
      <w:tr w14:paraId="5E3D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1" w:type="dxa"/>
            <w:vAlign w:val="center"/>
          </w:tcPr>
          <w:p w14:paraId="0259033F">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4</w:t>
            </w:r>
          </w:p>
        </w:tc>
        <w:tc>
          <w:tcPr>
            <w:tcW w:w="3156" w:type="dxa"/>
            <w:vAlign w:val="center"/>
          </w:tcPr>
          <w:p w14:paraId="7C88F223">
            <w:pPr>
              <w:spacing w:line="290" w:lineRule="exact"/>
              <w:jc w:val="center"/>
              <w:rPr>
                <w:rFonts w:hint="eastAsia" w:cs="仿宋" w:asciiTheme="minorEastAsia" w:hAnsiTheme="minorEastAsia" w:eastAsiaTheme="minorEastAsia"/>
                <w:b/>
                <w:color w:val="auto"/>
                <w:szCs w:val="21"/>
                <w:highlight w:val="none"/>
              </w:rPr>
            </w:pPr>
          </w:p>
        </w:tc>
        <w:tc>
          <w:tcPr>
            <w:tcW w:w="1365" w:type="dxa"/>
            <w:vAlign w:val="center"/>
          </w:tcPr>
          <w:p w14:paraId="1215C972">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2C24820C">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610CE849">
            <w:pPr>
              <w:spacing w:line="360" w:lineRule="exact"/>
              <w:rPr>
                <w:rFonts w:hint="eastAsia" w:cs="仿宋" w:asciiTheme="minorEastAsia" w:hAnsiTheme="minorEastAsia" w:eastAsiaTheme="minorEastAsia"/>
                <w:color w:val="auto"/>
                <w:szCs w:val="21"/>
                <w:highlight w:val="none"/>
              </w:rPr>
            </w:pPr>
          </w:p>
        </w:tc>
      </w:tr>
      <w:tr w14:paraId="758E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1" w:type="dxa"/>
            <w:vAlign w:val="center"/>
          </w:tcPr>
          <w:p w14:paraId="572A8DB7">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5</w:t>
            </w:r>
          </w:p>
        </w:tc>
        <w:tc>
          <w:tcPr>
            <w:tcW w:w="3156" w:type="dxa"/>
            <w:vAlign w:val="center"/>
          </w:tcPr>
          <w:p w14:paraId="21868D04">
            <w:pPr>
              <w:spacing w:line="290" w:lineRule="exact"/>
              <w:jc w:val="center"/>
              <w:rPr>
                <w:rFonts w:hint="eastAsia" w:cs="仿宋" w:asciiTheme="minorEastAsia" w:hAnsiTheme="minorEastAsia" w:eastAsiaTheme="minorEastAsia"/>
                <w:b/>
                <w:color w:val="auto"/>
                <w:highlight w:val="none"/>
              </w:rPr>
            </w:pPr>
          </w:p>
        </w:tc>
        <w:tc>
          <w:tcPr>
            <w:tcW w:w="1365" w:type="dxa"/>
            <w:vAlign w:val="center"/>
          </w:tcPr>
          <w:p w14:paraId="1D682F40">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3131BAC5">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5A6C0773">
            <w:pPr>
              <w:spacing w:line="360" w:lineRule="exact"/>
              <w:rPr>
                <w:rFonts w:hint="eastAsia" w:cs="仿宋" w:asciiTheme="minorEastAsia" w:hAnsiTheme="minorEastAsia" w:eastAsiaTheme="minorEastAsia"/>
                <w:color w:val="auto"/>
                <w:szCs w:val="21"/>
                <w:highlight w:val="none"/>
              </w:rPr>
            </w:pPr>
          </w:p>
        </w:tc>
      </w:tr>
      <w:tr w14:paraId="1D8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1" w:type="dxa"/>
            <w:vAlign w:val="center"/>
          </w:tcPr>
          <w:p w14:paraId="677B538C">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6</w:t>
            </w:r>
          </w:p>
        </w:tc>
        <w:tc>
          <w:tcPr>
            <w:tcW w:w="3156" w:type="dxa"/>
            <w:vAlign w:val="center"/>
          </w:tcPr>
          <w:p w14:paraId="08E516F2">
            <w:pPr>
              <w:spacing w:line="290" w:lineRule="exact"/>
              <w:jc w:val="center"/>
              <w:rPr>
                <w:rFonts w:hint="eastAsia" w:cs="仿宋" w:asciiTheme="minorEastAsia" w:hAnsiTheme="minorEastAsia" w:eastAsiaTheme="minorEastAsia"/>
                <w:b/>
                <w:color w:val="auto"/>
                <w:highlight w:val="none"/>
              </w:rPr>
            </w:pPr>
          </w:p>
        </w:tc>
        <w:tc>
          <w:tcPr>
            <w:tcW w:w="1365" w:type="dxa"/>
            <w:vAlign w:val="center"/>
          </w:tcPr>
          <w:p w14:paraId="27153015">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2DD29D03">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0F11FDE7">
            <w:pPr>
              <w:spacing w:line="360" w:lineRule="exact"/>
              <w:rPr>
                <w:rFonts w:hint="eastAsia" w:cs="仿宋" w:asciiTheme="minorEastAsia" w:hAnsiTheme="minorEastAsia" w:eastAsiaTheme="minorEastAsia"/>
                <w:color w:val="auto"/>
                <w:szCs w:val="21"/>
                <w:highlight w:val="none"/>
              </w:rPr>
            </w:pPr>
          </w:p>
        </w:tc>
      </w:tr>
      <w:tr w14:paraId="500D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61" w:type="dxa"/>
            <w:vAlign w:val="center"/>
          </w:tcPr>
          <w:p w14:paraId="609DD15D">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7</w:t>
            </w:r>
          </w:p>
        </w:tc>
        <w:tc>
          <w:tcPr>
            <w:tcW w:w="3156" w:type="dxa"/>
            <w:vAlign w:val="center"/>
          </w:tcPr>
          <w:p w14:paraId="7F659CBA">
            <w:pPr>
              <w:spacing w:line="290" w:lineRule="exact"/>
              <w:jc w:val="center"/>
              <w:rPr>
                <w:rFonts w:hint="eastAsia" w:cs="仿宋" w:asciiTheme="minorEastAsia" w:hAnsiTheme="minorEastAsia" w:eastAsiaTheme="minorEastAsia"/>
                <w:b/>
                <w:snapToGrid w:val="0"/>
                <w:color w:val="auto"/>
                <w:szCs w:val="21"/>
                <w:highlight w:val="none"/>
              </w:rPr>
            </w:pPr>
          </w:p>
        </w:tc>
        <w:tc>
          <w:tcPr>
            <w:tcW w:w="1365" w:type="dxa"/>
            <w:vAlign w:val="center"/>
          </w:tcPr>
          <w:p w14:paraId="61617DB4">
            <w:pPr>
              <w:adjustRightInd w:val="0"/>
              <w:snapToGrid w:val="0"/>
              <w:spacing w:line="360" w:lineRule="exact"/>
              <w:jc w:val="center"/>
              <w:rPr>
                <w:rFonts w:hint="eastAsia" w:cs="仿宋" w:asciiTheme="minorEastAsia" w:hAnsiTheme="minorEastAsia" w:eastAsiaTheme="minorEastAsia"/>
                <w:snapToGrid w:val="0"/>
                <w:color w:val="auto"/>
                <w:szCs w:val="21"/>
                <w:highlight w:val="none"/>
              </w:rPr>
            </w:pPr>
          </w:p>
        </w:tc>
        <w:tc>
          <w:tcPr>
            <w:tcW w:w="1185" w:type="dxa"/>
            <w:vAlign w:val="center"/>
          </w:tcPr>
          <w:p w14:paraId="7B12207C">
            <w:pPr>
              <w:adjustRightInd w:val="0"/>
              <w:snapToGrid w:val="0"/>
              <w:spacing w:line="360" w:lineRule="exact"/>
              <w:jc w:val="center"/>
              <w:rPr>
                <w:rFonts w:hint="eastAsia" w:cs="仿宋" w:asciiTheme="minorEastAsia" w:hAnsiTheme="minorEastAsia" w:eastAsiaTheme="minorEastAsia"/>
                <w:snapToGrid w:val="0"/>
                <w:color w:val="auto"/>
                <w:szCs w:val="21"/>
                <w:highlight w:val="none"/>
              </w:rPr>
            </w:pPr>
          </w:p>
        </w:tc>
        <w:tc>
          <w:tcPr>
            <w:tcW w:w="2590" w:type="dxa"/>
            <w:vAlign w:val="center"/>
          </w:tcPr>
          <w:p w14:paraId="482ED1C1">
            <w:pPr>
              <w:spacing w:line="360" w:lineRule="exact"/>
              <w:rPr>
                <w:rFonts w:hint="eastAsia" w:cs="仿宋" w:asciiTheme="minorEastAsia" w:hAnsiTheme="minorEastAsia" w:eastAsiaTheme="minorEastAsia"/>
                <w:color w:val="auto"/>
                <w:szCs w:val="21"/>
                <w:highlight w:val="none"/>
              </w:rPr>
            </w:pPr>
          </w:p>
        </w:tc>
      </w:tr>
      <w:tr w14:paraId="3F3A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661" w:type="dxa"/>
            <w:vAlign w:val="center"/>
          </w:tcPr>
          <w:p w14:paraId="70E0ECEB">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8</w:t>
            </w:r>
          </w:p>
        </w:tc>
        <w:tc>
          <w:tcPr>
            <w:tcW w:w="3156" w:type="dxa"/>
            <w:vAlign w:val="center"/>
          </w:tcPr>
          <w:p w14:paraId="067F5AA7">
            <w:pPr>
              <w:spacing w:line="290" w:lineRule="exact"/>
              <w:jc w:val="center"/>
              <w:rPr>
                <w:rFonts w:hint="eastAsia" w:cs="仿宋" w:asciiTheme="minorEastAsia" w:hAnsiTheme="minorEastAsia" w:eastAsiaTheme="minorEastAsia"/>
                <w:b/>
                <w:color w:val="auto"/>
                <w:szCs w:val="21"/>
                <w:highlight w:val="none"/>
              </w:rPr>
            </w:pPr>
          </w:p>
        </w:tc>
        <w:tc>
          <w:tcPr>
            <w:tcW w:w="1365" w:type="dxa"/>
            <w:vAlign w:val="center"/>
          </w:tcPr>
          <w:p w14:paraId="3E68D9C4">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1CC645CF">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6042D78D">
            <w:pPr>
              <w:spacing w:line="360" w:lineRule="exact"/>
              <w:rPr>
                <w:rFonts w:hint="eastAsia" w:cs="仿宋" w:asciiTheme="minorEastAsia" w:hAnsiTheme="minorEastAsia" w:eastAsiaTheme="minorEastAsia"/>
                <w:color w:val="auto"/>
                <w:szCs w:val="21"/>
                <w:highlight w:val="none"/>
              </w:rPr>
            </w:pPr>
          </w:p>
        </w:tc>
      </w:tr>
      <w:tr w14:paraId="236E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693ED7AE">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9</w:t>
            </w:r>
          </w:p>
        </w:tc>
        <w:tc>
          <w:tcPr>
            <w:tcW w:w="3156" w:type="dxa"/>
            <w:vAlign w:val="center"/>
          </w:tcPr>
          <w:p w14:paraId="14FED130">
            <w:pPr>
              <w:spacing w:line="290" w:lineRule="exact"/>
              <w:jc w:val="center"/>
              <w:rPr>
                <w:rFonts w:hint="eastAsia" w:cs="仿宋" w:asciiTheme="minorEastAsia" w:hAnsiTheme="minorEastAsia" w:eastAsiaTheme="minorEastAsia"/>
                <w:b/>
                <w:snapToGrid w:val="0"/>
                <w:color w:val="auto"/>
                <w:szCs w:val="21"/>
                <w:highlight w:val="none"/>
              </w:rPr>
            </w:pPr>
          </w:p>
        </w:tc>
        <w:tc>
          <w:tcPr>
            <w:tcW w:w="1365" w:type="dxa"/>
            <w:vAlign w:val="center"/>
          </w:tcPr>
          <w:p w14:paraId="24AB0161">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6CAF7FF3">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7853A5FC">
            <w:pPr>
              <w:spacing w:line="360" w:lineRule="exact"/>
              <w:rPr>
                <w:rFonts w:hint="eastAsia" w:cs="仿宋" w:asciiTheme="minorEastAsia" w:hAnsiTheme="minorEastAsia" w:eastAsiaTheme="minorEastAsia"/>
                <w:color w:val="auto"/>
                <w:szCs w:val="21"/>
                <w:highlight w:val="none"/>
              </w:rPr>
            </w:pPr>
          </w:p>
        </w:tc>
      </w:tr>
      <w:tr w14:paraId="5AE2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5233DE1D">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10</w:t>
            </w:r>
          </w:p>
        </w:tc>
        <w:tc>
          <w:tcPr>
            <w:tcW w:w="3156" w:type="dxa"/>
            <w:vAlign w:val="center"/>
          </w:tcPr>
          <w:p w14:paraId="676393B8">
            <w:pPr>
              <w:spacing w:line="290" w:lineRule="exact"/>
              <w:jc w:val="center"/>
              <w:rPr>
                <w:rFonts w:hint="eastAsia" w:cs="仿宋" w:asciiTheme="minorEastAsia" w:hAnsiTheme="minorEastAsia" w:eastAsiaTheme="minorEastAsia"/>
                <w:b/>
                <w:color w:val="auto"/>
                <w:szCs w:val="21"/>
                <w:highlight w:val="none"/>
              </w:rPr>
            </w:pPr>
          </w:p>
        </w:tc>
        <w:tc>
          <w:tcPr>
            <w:tcW w:w="1365" w:type="dxa"/>
            <w:vAlign w:val="center"/>
          </w:tcPr>
          <w:p w14:paraId="7D90C4EC">
            <w:pPr>
              <w:adjustRightInd w:val="0"/>
              <w:snapToGrid w:val="0"/>
              <w:spacing w:line="360" w:lineRule="exact"/>
              <w:jc w:val="center"/>
              <w:rPr>
                <w:rFonts w:hint="eastAsia" w:cs="仿宋" w:asciiTheme="minorEastAsia" w:hAnsiTheme="minorEastAsia" w:eastAsiaTheme="minorEastAsia"/>
                <w:snapToGrid w:val="0"/>
                <w:color w:val="auto"/>
                <w:szCs w:val="21"/>
                <w:highlight w:val="none"/>
              </w:rPr>
            </w:pPr>
          </w:p>
        </w:tc>
        <w:tc>
          <w:tcPr>
            <w:tcW w:w="1185" w:type="dxa"/>
            <w:vAlign w:val="center"/>
          </w:tcPr>
          <w:p w14:paraId="754E30F1">
            <w:pPr>
              <w:adjustRightInd w:val="0"/>
              <w:snapToGrid w:val="0"/>
              <w:spacing w:line="360" w:lineRule="exact"/>
              <w:jc w:val="center"/>
              <w:rPr>
                <w:rFonts w:hint="eastAsia" w:cs="仿宋" w:asciiTheme="minorEastAsia" w:hAnsiTheme="minorEastAsia" w:eastAsiaTheme="minorEastAsia"/>
                <w:snapToGrid w:val="0"/>
                <w:color w:val="auto"/>
                <w:szCs w:val="21"/>
                <w:highlight w:val="none"/>
              </w:rPr>
            </w:pPr>
          </w:p>
        </w:tc>
        <w:tc>
          <w:tcPr>
            <w:tcW w:w="2590" w:type="dxa"/>
            <w:vAlign w:val="center"/>
          </w:tcPr>
          <w:p w14:paraId="50294038">
            <w:pPr>
              <w:spacing w:line="360" w:lineRule="exact"/>
              <w:rPr>
                <w:rFonts w:hint="eastAsia" w:cs="仿宋" w:asciiTheme="minorEastAsia" w:hAnsiTheme="minorEastAsia" w:eastAsiaTheme="minorEastAsia"/>
                <w:color w:val="auto"/>
                <w:szCs w:val="21"/>
                <w:highlight w:val="none"/>
              </w:rPr>
            </w:pPr>
          </w:p>
        </w:tc>
      </w:tr>
      <w:tr w14:paraId="5CD6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2E1708E7">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11</w:t>
            </w:r>
          </w:p>
        </w:tc>
        <w:tc>
          <w:tcPr>
            <w:tcW w:w="3156" w:type="dxa"/>
            <w:vAlign w:val="center"/>
          </w:tcPr>
          <w:p w14:paraId="3029C5B4">
            <w:pPr>
              <w:spacing w:line="290" w:lineRule="exact"/>
              <w:jc w:val="center"/>
              <w:rPr>
                <w:rFonts w:hint="eastAsia" w:cs="仿宋" w:asciiTheme="minorEastAsia" w:hAnsiTheme="minorEastAsia" w:eastAsiaTheme="minorEastAsia"/>
                <w:b/>
                <w:snapToGrid w:val="0"/>
                <w:color w:val="auto"/>
                <w:szCs w:val="21"/>
                <w:highlight w:val="none"/>
              </w:rPr>
            </w:pPr>
          </w:p>
        </w:tc>
        <w:tc>
          <w:tcPr>
            <w:tcW w:w="1365" w:type="dxa"/>
            <w:vAlign w:val="center"/>
          </w:tcPr>
          <w:p w14:paraId="0248548C">
            <w:pPr>
              <w:adjustRightInd w:val="0"/>
              <w:snapToGrid w:val="0"/>
              <w:spacing w:line="360" w:lineRule="exact"/>
              <w:jc w:val="center"/>
              <w:rPr>
                <w:rFonts w:hint="eastAsia" w:cs="仿宋" w:asciiTheme="minorEastAsia" w:hAnsiTheme="minorEastAsia" w:eastAsiaTheme="minorEastAsia"/>
                <w:snapToGrid w:val="0"/>
                <w:color w:val="auto"/>
                <w:szCs w:val="21"/>
                <w:highlight w:val="none"/>
              </w:rPr>
            </w:pPr>
          </w:p>
        </w:tc>
        <w:tc>
          <w:tcPr>
            <w:tcW w:w="1185" w:type="dxa"/>
            <w:vAlign w:val="center"/>
          </w:tcPr>
          <w:p w14:paraId="0297B153">
            <w:pPr>
              <w:adjustRightInd w:val="0"/>
              <w:snapToGrid w:val="0"/>
              <w:spacing w:line="360" w:lineRule="exact"/>
              <w:jc w:val="center"/>
              <w:rPr>
                <w:rFonts w:hint="eastAsia" w:cs="仿宋" w:asciiTheme="minorEastAsia" w:hAnsiTheme="minorEastAsia" w:eastAsiaTheme="minorEastAsia"/>
                <w:snapToGrid w:val="0"/>
                <w:color w:val="auto"/>
                <w:szCs w:val="21"/>
                <w:highlight w:val="none"/>
              </w:rPr>
            </w:pPr>
          </w:p>
        </w:tc>
        <w:tc>
          <w:tcPr>
            <w:tcW w:w="2590" w:type="dxa"/>
            <w:vAlign w:val="center"/>
          </w:tcPr>
          <w:p w14:paraId="73093265">
            <w:pPr>
              <w:spacing w:line="360" w:lineRule="exact"/>
              <w:rPr>
                <w:rFonts w:hint="eastAsia" w:cs="仿宋" w:asciiTheme="minorEastAsia" w:hAnsiTheme="minorEastAsia" w:eastAsiaTheme="minorEastAsia"/>
                <w:color w:val="auto"/>
                <w:szCs w:val="21"/>
                <w:highlight w:val="none"/>
              </w:rPr>
            </w:pPr>
          </w:p>
        </w:tc>
      </w:tr>
      <w:tr w14:paraId="4886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6C7CB33F">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12</w:t>
            </w:r>
          </w:p>
        </w:tc>
        <w:tc>
          <w:tcPr>
            <w:tcW w:w="3156" w:type="dxa"/>
            <w:vAlign w:val="center"/>
          </w:tcPr>
          <w:p w14:paraId="64D13F61">
            <w:pPr>
              <w:spacing w:line="290" w:lineRule="exact"/>
              <w:jc w:val="center"/>
              <w:rPr>
                <w:rFonts w:hint="eastAsia" w:cs="仿宋" w:asciiTheme="minorEastAsia" w:hAnsiTheme="minorEastAsia" w:eastAsiaTheme="minorEastAsia"/>
                <w:b/>
                <w:color w:val="auto"/>
                <w:szCs w:val="21"/>
                <w:highlight w:val="none"/>
              </w:rPr>
            </w:pPr>
          </w:p>
        </w:tc>
        <w:tc>
          <w:tcPr>
            <w:tcW w:w="1365" w:type="dxa"/>
            <w:vAlign w:val="center"/>
          </w:tcPr>
          <w:p w14:paraId="400E4665">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7E3C5B31">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5DC09549">
            <w:pPr>
              <w:spacing w:line="360" w:lineRule="exact"/>
              <w:rPr>
                <w:rFonts w:hint="eastAsia" w:cs="仿宋" w:asciiTheme="minorEastAsia" w:hAnsiTheme="minorEastAsia" w:eastAsiaTheme="minorEastAsia"/>
                <w:color w:val="auto"/>
                <w:szCs w:val="21"/>
                <w:highlight w:val="none"/>
              </w:rPr>
            </w:pPr>
          </w:p>
        </w:tc>
      </w:tr>
      <w:tr w14:paraId="627F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3628A026">
            <w:pPr>
              <w:spacing w:line="290" w:lineRule="exact"/>
              <w:jc w:val="center"/>
              <w:rPr>
                <w:rFonts w:hint="eastAsia" w:cs="仿宋" w:asciiTheme="minorEastAsia" w:hAnsiTheme="minorEastAsia" w:eastAsiaTheme="minorEastAsia"/>
                <w:snapToGrid w:val="0"/>
                <w:color w:val="auto"/>
                <w:szCs w:val="21"/>
                <w:highlight w:val="none"/>
              </w:rPr>
            </w:pPr>
            <w:r>
              <w:rPr>
                <w:rFonts w:hint="eastAsia" w:cs="仿宋" w:asciiTheme="minorEastAsia" w:hAnsiTheme="minorEastAsia" w:eastAsiaTheme="minorEastAsia"/>
                <w:color w:val="auto"/>
                <w:highlight w:val="none"/>
              </w:rPr>
              <w:t>13</w:t>
            </w:r>
          </w:p>
        </w:tc>
        <w:tc>
          <w:tcPr>
            <w:tcW w:w="3156" w:type="dxa"/>
            <w:vAlign w:val="center"/>
          </w:tcPr>
          <w:p w14:paraId="4D1A857A">
            <w:pPr>
              <w:spacing w:line="290" w:lineRule="exact"/>
              <w:jc w:val="center"/>
              <w:rPr>
                <w:rFonts w:hint="eastAsia" w:cs="仿宋" w:asciiTheme="minorEastAsia" w:hAnsiTheme="minorEastAsia" w:eastAsiaTheme="minorEastAsia"/>
                <w:b/>
                <w:color w:val="auto"/>
                <w:szCs w:val="18"/>
                <w:highlight w:val="none"/>
              </w:rPr>
            </w:pPr>
          </w:p>
        </w:tc>
        <w:tc>
          <w:tcPr>
            <w:tcW w:w="1365" w:type="dxa"/>
            <w:vAlign w:val="center"/>
          </w:tcPr>
          <w:p w14:paraId="4A2E557F">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10CD7062">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38E2E61B">
            <w:pPr>
              <w:spacing w:line="360" w:lineRule="exact"/>
              <w:rPr>
                <w:rFonts w:hint="eastAsia" w:cs="仿宋" w:asciiTheme="minorEastAsia" w:hAnsiTheme="minorEastAsia" w:eastAsiaTheme="minorEastAsia"/>
                <w:color w:val="auto"/>
                <w:szCs w:val="21"/>
                <w:highlight w:val="none"/>
              </w:rPr>
            </w:pPr>
          </w:p>
        </w:tc>
      </w:tr>
      <w:tr w14:paraId="0837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661" w:type="dxa"/>
            <w:vAlign w:val="center"/>
          </w:tcPr>
          <w:p w14:paraId="4957A71E">
            <w:pPr>
              <w:spacing w:line="290" w:lineRule="exact"/>
              <w:jc w:val="center"/>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w:t>
            </w:r>
          </w:p>
        </w:tc>
        <w:tc>
          <w:tcPr>
            <w:tcW w:w="3156" w:type="dxa"/>
            <w:vAlign w:val="center"/>
          </w:tcPr>
          <w:p w14:paraId="2A646DE0">
            <w:pPr>
              <w:spacing w:line="290" w:lineRule="exact"/>
              <w:jc w:val="center"/>
              <w:rPr>
                <w:rFonts w:hint="eastAsia" w:cs="仿宋" w:asciiTheme="minorEastAsia" w:hAnsiTheme="minorEastAsia" w:eastAsiaTheme="minorEastAsia"/>
                <w:b/>
                <w:color w:val="auto"/>
                <w:szCs w:val="21"/>
                <w:highlight w:val="none"/>
              </w:rPr>
            </w:pPr>
          </w:p>
        </w:tc>
        <w:tc>
          <w:tcPr>
            <w:tcW w:w="1365" w:type="dxa"/>
            <w:vAlign w:val="center"/>
          </w:tcPr>
          <w:p w14:paraId="10510040">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1185" w:type="dxa"/>
            <w:vAlign w:val="center"/>
          </w:tcPr>
          <w:p w14:paraId="6C31A125">
            <w:pPr>
              <w:adjustRightInd w:val="0"/>
              <w:snapToGrid w:val="0"/>
              <w:spacing w:line="360" w:lineRule="exact"/>
              <w:jc w:val="center"/>
              <w:rPr>
                <w:rFonts w:hint="eastAsia" w:cs="仿宋" w:asciiTheme="minorEastAsia" w:hAnsiTheme="minorEastAsia" w:eastAsiaTheme="minorEastAsia"/>
                <w:color w:val="auto"/>
                <w:szCs w:val="21"/>
                <w:highlight w:val="none"/>
              </w:rPr>
            </w:pPr>
          </w:p>
        </w:tc>
        <w:tc>
          <w:tcPr>
            <w:tcW w:w="2590" w:type="dxa"/>
            <w:vAlign w:val="center"/>
          </w:tcPr>
          <w:p w14:paraId="26EB017C">
            <w:pPr>
              <w:spacing w:line="360" w:lineRule="exact"/>
              <w:rPr>
                <w:rFonts w:hint="eastAsia" w:cs="仿宋" w:asciiTheme="minorEastAsia" w:hAnsiTheme="minorEastAsia" w:eastAsiaTheme="minorEastAsia"/>
                <w:color w:val="auto"/>
                <w:szCs w:val="21"/>
                <w:highlight w:val="none"/>
              </w:rPr>
            </w:pPr>
          </w:p>
        </w:tc>
      </w:tr>
    </w:tbl>
    <w:p w14:paraId="5B39FD7A">
      <w:pPr>
        <w:snapToGrid w:val="0"/>
        <w:spacing w:line="460" w:lineRule="exact"/>
        <w:ind w:firstLine="240" w:firstLineChars="100"/>
        <w:jc w:val="left"/>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注：1、“技术、资信及商务自评得分表”装订在响应文件中技术、资信及商务文件的首页。投标人应结合本招标文件评分标准认真填制相关内容，以及在响应文件中所对应的页码，如未提供，评委有权认为不具备或不符合，有可能影响投标人的得分。</w:t>
      </w:r>
    </w:p>
    <w:p w14:paraId="2089AC63">
      <w:pPr>
        <w:snapToGrid w:val="0"/>
        <w:spacing w:line="460" w:lineRule="exact"/>
        <w:jc w:val="left"/>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   2、如本表格不适合投标人的实际情况，可根据本表格式自行制表填写。</w:t>
      </w:r>
    </w:p>
    <w:p w14:paraId="190F0DE9">
      <w:pPr>
        <w:snapToGrid w:val="0"/>
        <w:spacing w:line="460" w:lineRule="exact"/>
        <w:jc w:val="center"/>
        <w:rPr>
          <w:rFonts w:hint="eastAsia" w:cs="仿宋_GB2312" w:asciiTheme="minorEastAsia" w:hAnsiTheme="minorEastAsia" w:eastAsiaTheme="minorEastAsia"/>
          <w:color w:val="auto"/>
          <w:sz w:val="28"/>
          <w:szCs w:val="28"/>
          <w:highlight w:val="none"/>
        </w:rPr>
      </w:pPr>
    </w:p>
    <w:p w14:paraId="69544D63">
      <w:pPr>
        <w:snapToGrid w:val="0"/>
        <w:spacing w:line="460" w:lineRule="exact"/>
        <w:jc w:val="center"/>
        <w:rPr>
          <w:rFonts w:hint="eastAsia" w:cs="仿宋_GB2312" w:asciiTheme="minorEastAsia" w:hAnsiTheme="minorEastAsia" w:eastAsiaTheme="minorEastAsia"/>
          <w:color w:val="auto"/>
          <w:sz w:val="28"/>
          <w:szCs w:val="28"/>
          <w:highlight w:val="none"/>
          <w:lang w:val="zh-CN"/>
        </w:rPr>
      </w:pPr>
      <w:r>
        <w:rPr>
          <w:rFonts w:hint="eastAsia" w:cs="仿宋_GB2312" w:asciiTheme="minorEastAsia" w:hAnsiTheme="minorEastAsia" w:eastAsiaTheme="minorEastAsia"/>
          <w:color w:val="auto"/>
          <w:sz w:val="28"/>
          <w:szCs w:val="28"/>
          <w:highlight w:val="none"/>
        </w:rPr>
        <w:t xml:space="preserve">                                   投标承销商全称</w:t>
      </w:r>
      <w:r>
        <w:rPr>
          <w:rFonts w:hint="eastAsia" w:cs="仿宋_GB2312" w:asciiTheme="minorEastAsia" w:hAnsiTheme="minorEastAsia" w:eastAsiaTheme="minorEastAsia"/>
          <w:color w:val="auto"/>
          <w:sz w:val="28"/>
          <w:szCs w:val="28"/>
          <w:highlight w:val="none"/>
          <w:lang w:val="zh-CN"/>
        </w:rPr>
        <w:t xml:space="preserve">（盖章）： </w:t>
      </w:r>
      <w:r>
        <w:rPr>
          <w:rFonts w:hint="eastAsia" w:asciiTheme="minorEastAsia" w:hAnsiTheme="minorEastAsia" w:eastAsiaTheme="minorEastAsia"/>
          <w:color w:val="auto"/>
          <w:sz w:val="24"/>
          <w:highlight w:val="none"/>
          <w:lang w:val="zh-CN"/>
        </w:rPr>
        <w:t xml:space="preserve">            </w:t>
      </w:r>
    </w:p>
    <w:p w14:paraId="081D7BC5">
      <w:pPr>
        <w:snapToGrid w:val="0"/>
        <w:spacing w:line="460" w:lineRule="exact"/>
        <w:jc w:val="center"/>
        <w:rPr>
          <w:rFonts w:hint="eastAsia" w:cs="仿宋_GB2312" w:asciiTheme="minorEastAsia" w:hAnsiTheme="minorEastAsia" w:eastAsiaTheme="minorEastAsia"/>
          <w:color w:val="auto"/>
          <w:sz w:val="28"/>
          <w:szCs w:val="28"/>
          <w:highlight w:val="none"/>
          <w:lang w:val="zh-CN"/>
        </w:rPr>
      </w:pPr>
      <w:r>
        <w:rPr>
          <w:rFonts w:hint="eastAsia" w:cs="仿宋_GB2312" w:asciiTheme="minorEastAsia" w:hAnsiTheme="minorEastAsia" w:eastAsiaTheme="minorEastAsia"/>
          <w:color w:val="auto"/>
          <w:sz w:val="28"/>
          <w:szCs w:val="28"/>
          <w:highlight w:val="none"/>
          <w:lang w:val="zh-CN"/>
        </w:rPr>
        <w:t xml:space="preserve">                                   日期：    年    月   日</w:t>
      </w:r>
    </w:p>
    <w:p w14:paraId="046B12F6">
      <w:pPr>
        <w:snapToGrid w:val="0"/>
        <w:spacing w:before="120" w:after="50"/>
        <w:rPr>
          <w:rFonts w:hint="eastAsia" w:cs="宋体" w:asciiTheme="minorEastAsia" w:hAnsiTheme="minorEastAsia" w:eastAsiaTheme="minorEastAsia"/>
          <w:b/>
          <w:color w:val="auto"/>
          <w:sz w:val="24"/>
          <w:highlight w:val="none"/>
        </w:rPr>
      </w:pPr>
    </w:p>
    <w:p w14:paraId="0F7FFDF6">
      <w:pPr>
        <w:snapToGrid w:val="0"/>
        <w:spacing w:before="120" w:after="50"/>
        <w:jc w:val="center"/>
        <w:rPr>
          <w:rFonts w:hint="eastAsia" w:asciiTheme="minorEastAsia" w:hAnsiTheme="minorEastAsia" w:eastAsiaTheme="minorEastAsia"/>
          <w:b/>
          <w:bCs/>
          <w:color w:val="auto"/>
          <w:sz w:val="30"/>
          <w:highlight w:val="none"/>
        </w:rPr>
      </w:pPr>
    </w:p>
    <w:p w14:paraId="46DB8259">
      <w:pPr>
        <w:widowControl/>
        <w:jc w:val="left"/>
        <w:rPr>
          <w:rFonts w:hint="eastAsia" w:cs="仿宋" w:asciiTheme="minorEastAsia" w:hAnsiTheme="minorEastAsia" w:eastAsiaTheme="minorEastAsia"/>
          <w:b/>
          <w:bCs/>
          <w:color w:val="auto"/>
          <w:sz w:val="24"/>
          <w:szCs w:val="24"/>
          <w:highlight w:val="none"/>
        </w:rPr>
      </w:pPr>
    </w:p>
    <w:p w14:paraId="27D87A8C">
      <w:pPr>
        <w:snapToGrid w:val="0"/>
        <w:spacing w:before="120" w:after="50"/>
        <w:rPr>
          <w:rFonts w:hint="eastAsia" w:cs="仿宋" w:asciiTheme="minorEastAsia" w:hAnsiTheme="minorEastAsia" w:eastAsiaTheme="minorEastAsia"/>
          <w:b/>
          <w:bCs/>
          <w:color w:val="auto"/>
          <w:sz w:val="24"/>
          <w:szCs w:val="24"/>
          <w:highlight w:val="none"/>
        </w:rPr>
      </w:pPr>
      <w:r>
        <w:rPr>
          <w:rFonts w:hint="eastAsia" w:cs="仿宋" w:asciiTheme="minorEastAsia" w:hAnsiTheme="minorEastAsia" w:eastAsiaTheme="minorEastAsia"/>
          <w:b/>
          <w:bCs/>
          <w:color w:val="auto"/>
          <w:sz w:val="24"/>
          <w:szCs w:val="24"/>
          <w:highlight w:val="none"/>
        </w:rPr>
        <w:t>附件2：</w:t>
      </w:r>
    </w:p>
    <w:p w14:paraId="6F1B87C8">
      <w:pPr>
        <w:jc w:val="center"/>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b/>
          <w:bCs/>
          <w:color w:val="auto"/>
          <w:sz w:val="36"/>
          <w:szCs w:val="36"/>
          <w:highlight w:val="none"/>
        </w:rPr>
        <w:t>法定代表人（或法定负责人）授权书</w:t>
      </w:r>
    </w:p>
    <w:p w14:paraId="2388EA27">
      <w:pPr>
        <w:ind w:firstLine="280" w:firstLineChars="100"/>
        <w:rPr>
          <w:rFonts w:hint="eastAsia" w:cs="仿宋_GB2312" w:asciiTheme="minorEastAsia" w:hAnsiTheme="minorEastAsia" w:eastAsiaTheme="minorEastAsia"/>
          <w:color w:val="auto"/>
          <w:sz w:val="28"/>
          <w:szCs w:val="28"/>
          <w:highlight w:val="none"/>
          <w:u w:val="single"/>
        </w:rPr>
      </w:pPr>
    </w:p>
    <w:p w14:paraId="79651D45">
      <w:pPr>
        <w:spacing w:line="360" w:lineRule="auto"/>
        <w:ind w:firstLine="280" w:firstLineChars="1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u w:val="single"/>
        </w:rPr>
        <w:t xml:space="preserve">                   （采购单位）</w:t>
      </w:r>
      <w:r>
        <w:rPr>
          <w:rFonts w:hint="eastAsia" w:cs="仿宋_GB2312" w:asciiTheme="minorEastAsia" w:hAnsiTheme="minorEastAsia" w:eastAsiaTheme="minorEastAsia"/>
          <w:color w:val="auto"/>
          <w:sz w:val="28"/>
          <w:szCs w:val="28"/>
          <w:highlight w:val="none"/>
        </w:rPr>
        <w:t>：</w:t>
      </w:r>
    </w:p>
    <w:p w14:paraId="4DECB5AA">
      <w:pPr>
        <w:spacing w:line="360" w:lineRule="auto"/>
        <w:ind w:firstLine="560" w:firstLineChars="200"/>
        <w:jc w:val="left"/>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本人</w:t>
      </w:r>
      <w:r>
        <w:rPr>
          <w:rFonts w:hint="eastAsia" w:cs="仿宋_GB2312" w:asciiTheme="minorEastAsia" w:hAnsiTheme="minorEastAsia" w:eastAsiaTheme="minorEastAsia"/>
          <w:color w:val="auto"/>
          <w:sz w:val="28"/>
          <w:szCs w:val="28"/>
          <w:highlight w:val="none"/>
          <w:u w:val="single"/>
        </w:rPr>
        <w:t xml:space="preserve">        </w:t>
      </w:r>
      <w:r>
        <w:rPr>
          <w:rFonts w:hint="eastAsia" w:cs="仿宋_GB2312" w:asciiTheme="minorEastAsia" w:hAnsiTheme="minorEastAsia" w:eastAsiaTheme="minorEastAsia"/>
          <w:color w:val="auto"/>
          <w:sz w:val="28"/>
          <w:szCs w:val="28"/>
          <w:highlight w:val="none"/>
        </w:rPr>
        <w:t xml:space="preserve">（姓名）系 </w:t>
      </w:r>
      <w:r>
        <w:rPr>
          <w:rFonts w:hint="eastAsia" w:cs="仿宋_GB2312" w:asciiTheme="minorEastAsia" w:hAnsiTheme="minorEastAsia" w:eastAsiaTheme="minorEastAsia"/>
          <w:color w:val="auto"/>
          <w:sz w:val="28"/>
          <w:szCs w:val="28"/>
          <w:highlight w:val="none"/>
          <w:u w:val="single"/>
        </w:rPr>
        <w:t xml:space="preserve">                         </w:t>
      </w:r>
      <w:r>
        <w:rPr>
          <w:rFonts w:hint="eastAsia" w:cs="仿宋_GB2312" w:asciiTheme="minorEastAsia" w:hAnsiTheme="minorEastAsia" w:eastAsiaTheme="minorEastAsia"/>
          <w:color w:val="auto"/>
          <w:sz w:val="28"/>
          <w:szCs w:val="28"/>
          <w:highlight w:val="none"/>
        </w:rPr>
        <w:t>（承销商全称）法定代表人（或法定负责人），现授权委托</w:t>
      </w:r>
      <w:r>
        <w:rPr>
          <w:rFonts w:hint="eastAsia" w:cs="仿宋_GB2312" w:asciiTheme="minorEastAsia" w:hAnsiTheme="minorEastAsia" w:eastAsiaTheme="minorEastAsia"/>
          <w:color w:val="auto"/>
          <w:sz w:val="28"/>
          <w:szCs w:val="28"/>
          <w:highlight w:val="none"/>
          <w:u w:val="single"/>
        </w:rPr>
        <w:t xml:space="preserve">                   </w:t>
      </w:r>
      <w:r>
        <w:rPr>
          <w:rFonts w:hint="eastAsia" w:cs="仿宋_GB2312" w:asciiTheme="minorEastAsia" w:hAnsiTheme="minorEastAsia" w:eastAsiaTheme="minorEastAsia"/>
          <w:color w:val="auto"/>
          <w:sz w:val="28"/>
          <w:szCs w:val="28"/>
          <w:highlight w:val="none"/>
        </w:rPr>
        <w:t>（投标承销商代表姓名）为全权代表（身份证号码：</w:t>
      </w:r>
      <w:r>
        <w:rPr>
          <w:rFonts w:hint="eastAsia" w:cs="仿宋_GB2312" w:asciiTheme="minorEastAsia" w:hAnsiTheme="minorEastAsia" w:eastAsiaTheme="minorEastAsia"/>
          <w:color w:val="auto"/>
          <w:sz w:val="28"/>
          <w:szCs w:val="28"/>
          <w:highlight w:val="none"/>
          <w:u w:val="single"/>
        </w:rPr>
        <w:t xml:space="preserve">      </w:t>
      </w:r>
      <w:r>
        <w:rPr>
          <w:rFonts w:hint="eastAsia" w:cs="仿宋_GB2312" w:asciiTheme="minorEastAsia" w:hAnsiTheme="minorEastAsia" w:eastAsiaTheme="minorEastAsia"/>
          <w:color w:val="auto"/>
          <w:sz w:val="28"/>
          <w:szCs w:val="28"/>
          <w:highlight w:val="none"/>
        </w:rPr>
        <w:t>），参加贵单位组织的</w:t>
      </w:r>
      <w:r>
        <w:rPr>
          <w:rFonts w:hint="eastAsia" w:cs="仿宋_GB2312" w:asciiTheme="minorEastAsia" w:hAnsiTheme="minorEastAsia" w:eastAsiaTheme="minorEastAsia"/>
          <w:color w:val="auto"/>
          <w:sz w:val="28"/>
          <w:szCs w:val="28"/>
          <w:highlight w:val="none"/>
          <w:u w:val="single"/>
        </w:rPr>
        <w:t xml:space="preserve">                               </w:t>
      </w:r>
      <w:r>
        <w:rPr>
          <w:rFonts w:hint="eastAsia" w:cs="仿宋_GB2312" w:asciiTheme="minorEastAsia" w:hAnsiTheme="minorEastAsia" w:eastAsiaTheme="minorEastAsia"/>
          <w:color w:val="auto"/>
          <w:sz w:val="28"/>
          <w:szCs w:val="28"/>
          <w:highlight w:val="none"/>
        </w:rPr>
        <w:t xml:space="preserve"> 项目（</w:t>
      </w:r>
      <w:r>
        <w:rPr>
          <w:rFonts w:hint="eastAsia" w:cs="仿宋_GB2312" w:asciiTheme="minorEastAsia" w:hAnsiTheme="minorEastAsia" w:eastAsiaTheme="minorEastAsia"/>
          <w:color w:val="auto"/>
          <w:sz w:val="28"/>
          <w:szCs w:val="28"/>
          <w:highlight w:val="none"/>
          <w:u w:val="single"/>
        </w:rPr>
        <w:t xml:space="preserve">   括号内填写投标项目名称   </w:t>
      </w:r>
      <w:r>
        <w:rPr>
          <w:rFonts w:hint="eastAsia" w:cs="仿宋_GB2312" w:asciiTheme="minorEastAsia" w:hAnsiTheme="minorEastAsia" w:eastAsiaTheme="minorEastAsia"/>
          <w:color w:val="auto"/>
          <w:sz w:val="28"/>
          <w:szCs w:val="28"/>
          <w:highlight w:val="none"/>
        </w:rPr>
        <w:t>）招标活动，并代表我公司全权办理针对上述项目的招标全程各事项、投标文件签署、合同签订及项目实施等涉及的一切事宜，我公司对被授权人的签名等行为均予以承认，由此所产生的一切法律后果和法律责任，均由我公司承担。同时宣布承诺如下：</w:t>
      </w:r>
    </w:p>
    <w:p w14:paraId="6860302E">
      <w:pPr>
        <w:spacing w:line="360" w:lineRule="auto"/>
        <w:ind w:firstLine="560" w:firstLineChars="2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我公司已详细阅读全部招标文件（含补充修改文件），并理解其实质性内容，同意承担招标文件规定的全部义务和相关责任。</w:t>
      </w:r>
    </w:p>
    <w:p w14:paraId="4F8EEB46">
      <w:pPr>
        <w:spacing w:line="360" w:lineRule="auto"/>
        <w:ind w:firstLine="560" w:firstLineChars="2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我公司同意提供可能要求的与其招标有关的一切数据或资料。</w:t>
      </w:r>
    </w:p>
    <w:p w14:paraId="1AFFB44C">
      <w:pPr>
        <w:spacing w:line="360" w:lineRule="auto"/>
        <w:ind w:firstLine="560" w:firstLineChars="2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我公司所提交的一切投标资料均为合法且真实有效。</w:t>
      </w:r>
    </w:p>
    <w:p w14:paraId="3A37D8FD">
      <w:pPr>
        <w:spacing w:line="360" w:lineRule="auto"/>
        <w:rPr>
          <w:rFonts w:hint="eastAsia" w:cs="仿宋_GB2312" w:asciiTheme="minorEastAsia" w:hAnsiTheme="minorEastAsia" w:eastAsiaTheme="minorEastAsia"/>
          <w:color w:val="auto"/>
          <w:sz w:val="28"/>
          <w:szCs w:val="28"/>
          <w:highlight w:val="none"/>
        </w:rPr>
      </w:pPr>
    </w:p>
    <w:p w14:paraId="31909914">
      <w:pPr>
        <w:spacing w:line="480" w:lineRule="auto"/>
        <w:ind w:firstLine="560" w:firstLineChars="2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法定代表人（或法定负责人）签字：</w:t>
      </w:r>
    </w:p>
    <w:p w14:paraId="6FDEA35B">
      <w:pPr>
        <w:spacing w:line="480" w:lineRule="auto"/>
        <w:ind w:firstLine="560" w:firstLineChars="2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投标承销商全称（公章）：   </w:t>
      </w:r>
    </w:p>
    <w:p w14:paraId="7BCE1493">
      <w:pPr>
        <w:spacing w:line="480" w:lineRule="auto"/>
        <w:ind w:firstLine="560" w:firstLineChars="200"/>
        <w:jc w:val="left"/>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日 期：</w:t>
      </w:r>
    </w:p>
    <w:p w14:paraId="776C4838">
      <w:pPr>
        <w:widowControl/>
        <w:jc w:val="left"/>
        <w:rPr>
          <w:rFonts w:hint="eastAsia" w:cs="仿宋" w:asciiTheme="minorEastAsia" w:hAnsiTheme="minorEastAsia" w:eastAsiaTheme="minorEastAsia"/>
          <w:b/>
          <w:bCs/>
          <w:color w:val="auto"/>
          <w:sz w:val="24"/>
          <w:szCs w:val="24"/>
          <w:highlight w:val="none"/>
        </w:rPr>
      </w:pPr>
      <w:r>
        <w:rPr>
          <w:rFonts w:cs="仿宋" w:asciiTheme="minorEastAsia" w:hAnsiTheme="minorEastAsia" w:eastAsiaTheme="minorEastAsia"/>
          <w:b/>
          <w:bCs/>
          <w:color w:val="auto"/>
          <w:sz w:val="24"/>
          <w:szCs w:val="24"/>
          <w:highlight w:val="none"/>
        </w:rPr>
        <w:br w:type="page"/>
      </w:r>
    </w:p>
    <w:p w14:paraId="4810C35F">
      <w:pPr>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z w:val="24"/>
          <w:szCs w:val="24"/>
          <w:highlight w:val="none"/>
        </w:rPr>
        <w:t>附件3：</w:t>
      </w:r>
      <w:r>
        <w:rPr>
          <w:rFonts w:hint="eastAsia" w:cs="仿宋" w:asciiTheme="minorEastAsia" w:hAnsiTheme="minorEastAsia" w:eastAsiaTheme="minorEastAsia"/>
          <w:color w:val="auto"/>
          <w:sz w:val="24"/>
          <w:szCs w:val="24"/>
          <w:highlight w:val="none"/>
        </w:rPr>
        <w:t xml:space="preserve">      </w:t>
      </w:r>
    </w:p>
    <w:p w14:paraId="26F20DBF">
      <w:pPr>
        <w:snapToGrid w:val="0"/>
        <w:spacing w:before="50" w:after="120" w:afterLines="50"/>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商务响应表</w:t>
      </w:r>
    </w:p>
    <w:p w14:paraId="4ED117B9">
      <w:pPr>
        <w:snapToGrid w:val="0"/>
        <w:spacing w:before="50" w:after="120" w:afterLines="50"/>
        <w:jc w:val="left"/>
        <w:rPr>
          <w:rFonts w:hint="eastAsia" w:asciiTheme="minorEastAsia" w:hAnsiTheme="minorEastAsia" w:eastAsiaTheme="minorEastAsia"/>
          <w:color w:val="auto"/>
          <w:sz w:val="28"/>
          <w:szCs w:val="28"/>
          <w:highlight w:val="none"/>
          <w:u w:val="single"/>
        </w:rPr>
      </w:pPr>
      <w:r>
        <w:rPr>
          <w:rFonts w:hint="eastAsia" w:asciiTheme="minorEastAsia" w:hAnsiTheme="minorEastAsia" w:eastAsiaTheme="minorEastAsia"/>
          <w:color w:val="auto"/>
          <w:sz w:val="28"/>
          <w:szCs w:val="28"/>
          <w:highlight w:val="none"/>
          <w:u w:val="single"/>
        </w:rPr>
        <w:t>项目编号：</w:t>
      </w:r>
    </w:p>
    <w:tbl>
      <w:tblPr>
        <w:tblStyle w:val="19"/>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510"/>
        <w:gridCol w:w="1377"/>
        <w:gridCol w:w="3560"/>
      </w:tblGrid>
      <w:tr w14:paraId="257E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09358B14">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w:t>
            </w:r>
          </w:p>
        </w:tc>
        <w:tc>
          <w:tcPr>
            <w:tcW w:w="2510" w:type="dxa"/>
            <w:tcBorders>
              <w:top w:val="single" w:color="auto" w:sz="4" w:space="0"/>
              <w:left w:val="nil"/>
              <w:bottom w:val="single" w:color="auto" w:sz="4" w:space="0"/>
              <w:right w:val="single" w:color="auto" w:sz="4" w:space="0"/>
            </w:tcBorders>
            <w:vAlign w:val="center"/>
          </w:tcPr>
          <w:p w14:paraId="4A039D3F">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招标文件要求</w:t>
            </w:r>
          </w:p>
        </w:tc>
        <w:tc>
          <w:tcPr>
            <w:tcW w:w="1377" w:type="dxa"/>
            <w:tcBorders>
              <w:top w:val="single" w:color="auto" w:sz="4" w:space="0"/>
              <w:left w:val="nil"/>
              <w:bottom w:val="single" w:color="auto" w:sz="4" w:space="0"/>
              <w:right w:val="single" w:color="auto" w:sz="4" w:space="0"/>
            </w:tcBorders>
            <w:vAlign w:val="center"/>
          </w:tcPr>
          <w:p w14:paraId="06062197">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响应及偏离情况</w:t>
            </w:r>
          </w:p>
        </w:tc>
        <w:tc>
          <w:tcPr>
            <w:tcW w:w="3560" w:type="dxa"/>
            <w:tcBorders>
              <w:top w:val="single" w:color="auto" w:sz="4" w:space="0"/>
              <w:left w:val="nil"/>
              <w:bottom w:val="single" w:color="auto" w:sz="4" w:space="0"/>
              <w:right w:val="single" w:color="auto" w:sz="4" w:space="0"/>
            </w:tcBorders>
            <w:vAlign w:val="center"/>
          </w:tcPr>
          <w:p w14:paraId="589ECDAD">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投标人的承诺或说明</w:t>
            </w:r>
          </w:p>
        </w:tc>
      </w:tr>
      <w:tr w14:paraId="1C4A1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08077A69">
            <w:pPr>
              <w:rPr>
                <w:rFonts w:hint="eastAsia"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6D04E9A0">
            <w:pPr>
              <w:rPr>
                <w:rFonts w:hint="eastAsia"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7E59A660">
            <w:pPr>
              <w:rPr>
                <w:rFonts w:hint="eastAsia"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3BCCCBE7">
            <w:pPr>
              <w:rPr>
                <w:rFonts w:hint="eastAsia" w:asciiTheme="minorEastAsia" w:hAnsiTheme="minorEastAsia" w:eastAsiaTheme="minorEastAsia"/>
                <w:color w:val="auto"/>
                <w:sz w:val="24"/>
                <w:highlight w:val="none"/>
              </w:rPr>
            </w:pPr>
          </w:p>
        </w:tc>
      </w:tr>
      <w:tr w14:paraId="2271F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179AE83E">
            <w:pPr>
              <w:rPr>
                <w:rFonts w:hint="eastAsia"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4AB98777">
            <w:pPr>
              <w:rPr>
                <w:rFonts w:hint="eastAsia"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128808C4">
            <w:pPr>
              <w:rPr>
                <w:rFonts w:hint="eastAsia"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0D0057F9">
            <w:pPr>
              <w:rPr>
                <w:rFonts w:hint="eastAsia" w:asciiTheme="minorEastAsia" w:hAnsiTheme="minorEastAsia" w:eastAsiaTheme="minorEastAsia"/>
                <w:color w:val="auto"/>
                <w:sz w:val="24"/>
                <w:highlight w:val="none"/>
              </w:rPr>
            </w:pPr>
          </w:p>
        </w:tc>
      </w:tr>
      <w:tr w14:paraId="48464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1D271793">
            <w:pPr>
              <w:rPr>
                <w:rFonts w:hint="eastAsia"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287491BB">
            <w:pPr>
              <w:rPr>
                <w:rFonts w:hint="eastAsia"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19C147C1">
            <w:pPr>
              <w:rPr>
                <w:rFonts w:hint="eastAsia"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7FEEFDE9">
            <w:pPr>
              <w:rPr>
                <w:rFonts w:hint="eastAsia" w:asciiTheme="minorEastAsia" w:hAnsiTheme="minorEastAsia" w:eastAsiaTheme="minorEastAsia"/>
                <w:color w:val="auto"/>
                <w:sz w:val="24"/>
                <w:highlight w:val="none"/>
              </w:rPr>
            </w:pPr>
          </w:p>
        </w:tc>
      </w:tr>
      <w:tr w14:paraId="376AEC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5AC773E4">
            <w:pPr>
              <w:rPr>
                <w:rFonts w:hint="eastAsia"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37D63DE9">
            <w:pPr>
              <w:rPr>
                <w:rFonts w:hint="eastAsia"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672331BB">
            <w:pPr>
              <w:rPr>
                <w:rFonts w:hint="eastAsia"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244F9054">
            <w:pPr>
              <w:rPr>
                <w:rFonts w:hint="eastAsia" w:asciiTheme="minorEastAsia" w:hAnsiTheme="minorEastAsia" w:eastAsiaTheme="minorEastAsia"/>
                <w:color w:val="auto"/>
                <w:sz w:val="24"/>
                <w:highlight w:val="none"/>
              </w:rPr>
            </w:pPr>
          </w:p>
        </w:tc>
      </w:tr>
      <w:tr w14:paraId="15668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3A9A7F14">
            <w:pPr>
              <w:rPr>
                <w:rFonts w:hint="eastAsia"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25ACA99B">
            <w:pPr>
              <w:rPr>
                <w:rFonts w:hint="eastAsia"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09FC6477">
            <w:pPr>
              <w:rPr>
                <w:rFonts w:hint="eastAsia"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39FD0439">
            <w:pPr>
              <w:rPr>
                <w:rFonts w:hint="eastAsia" w:asciiTheme="minorEastAsia" w:hAnsiTheme="minorEastAsia" w:eastAsiaTheme="minorEastAsia"/>
                <w:color w:val="auto"/>
                <w:sz w:val="24"/>
                <w:highlight w:val="none"/>
              </w:rPr>
            </w:pPr>
          </w:p>
        </w:tc>
      </w:tr>
      <w:tr w14:paraId="60D1B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5CC2B817">
            <w:pPr>
              <w:rPr>
                <w:rFonts w:hint="eastAsia"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0F2965E9">
            <w:pPr>
              <w:rPr>
                <w:rFonts w:hint="eastAsia"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514F5140">
            <w:pPr>
              <w:rPr>
                <w:rFonts w:hint="eastAsia"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0519E90A">
            <w:pPr>
              <w:rPr>
                <w:rFonts w:hint="eastAsia" w:asciiTheme="minorEastAsia" w:hAnsiTheme="minorEastAsia" w:eastAsiaTheme="minorEastAsia"/>
                <w:color w:val="auto"/>
                <w:sz w:val="24"/>
                <w:highlight w:val="none"/>
              </w:rPr>
            </w:pPr>
          </w:p>
        </w:tc>
      </w:tr>
      <w:tr w14:paraId="3F26B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22764DB1">
            <w:pPr>
              <w:rPr>
                <w:rFonts w:hint="eastAsia"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515F9063">
            <w:pPr>
              <w:rPr>
                <w:rFonts w:hint="eastAsia"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549500A4">
            <w:pPr>
              <w:rPr>
                <w:rFonts w:hint="eastAsia"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5EF6731C">
            <w:pPr>
              <w:rPr>
                <w:rFonts w:hint="eastAsia" w:asciiTheme="minorEastAsia" w:hAnsiTheme="minorEastAsia" w:eastAsiaTheme="minorEastAsia"/>
                <w:color w:val="auto"/>
                <w:sz w:val="24"/>
                <w:highlight w:val="none"/>
              </w:rPr>
            </w:pPr>
          </w:p>
        </w:tc>
      </w:tr>
      <w:tr w14:paraId="1413F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61FEF494">
            <w:pPr>
              <w:rPr>
                <w:rFonts w:hint="eastAsia" w:asciiTheme="minorEastAsia" w:hAnsiTheme="minorEastAsia" w:eastAsiaTheme="minorEastAsia"/>
                <w:color w:val="auto"/>
                <w:szCs w:val="21"/>
                <w:highlight w:val="none"/>
              </w:rPr>
            </w:pPr>
          </w:p>
        </w:tc>
        <w:tc>
          <w:tcPr>
            <w:tcW w:w="2510" w:type="dxa"/>
            <w:tcBorders>
              <w:top w:val="single" w:color="auto" w:sz="4" w:space="0"/>
              <w:left w:val="nil"/>
              <w:bottom w:val="single" w:color="auto" w:sz="4" w:space="0"/>
              <w:right w:val="single" w:color="auto" w:sz="4" w:space="0"/>
            </w:tcBorders>
          </w:tcPr>
          <w:p w14:paraId="69B7F461">
            <w:pPr>
              <w:rPr>
                <w:rFonts w:hint="eastAsia"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2B22E4C3">
            <w:pPr>
              <w:rPr>
                <w:rFonts w:hint="eastAsia"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2F415E24">
            <w:pPr>
              <w:rPr>
                <w:rFonts w:hint="eastAsia" w:asciiTheme="minorEastAsia" w:hAnsiTheme="minorEastAsia" w:eastAsiaTheme="minorEastAsia"/>
                <w:color w:val="auto"/>
                <w:sz w:val="24"/>
                <w:highlight w:val="none"/>
              </w:rPr>
            </w:pPr>
          </w:p>
        </w:tc>
      </w:tr>
      <w:tr w14:paraId="65F8E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134" w:type="dxa"/>
            <w:tcBorders>
              <w:top w:val="single" w:color="auto" w:sz="4" w:space="0"/>
              <w:left w:val="single" w:color="auto" w:sz="4" w:space="0"/>
              <w:bottom w:val="single" w:color="auto" w:sz="4" w:space="0"/>
              <w:right w:val="single" w:color="auto" w:sz="4" w:space="0"/>
            </w:tcBorders>
            <w:vAlign w:val="center"/>
          </w:tcPr>
          <w:p w14:paraId="5C87C261">
            <w:pP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w:t>
            </w:r>
          </w:p>
        </w:tc>
        <w:tc>
          <w:tcPr>
            <w:tcW w:w="2510" w:type="dxa"/>
            <w:tcBorders>
              <w:top w:val="single" w:color="auto" w:sz="4" w:space="0"/>
              <w:left w:val="nil"/>
              <w:bottom w:val="single" w:color="auto" w:sz="4" w:space="0"/>
              <w:right w:val="single" w:color="auto" w:sz="4" w:space="0"/>
            </w:tcBorders>
          </w:tcPr>
          <w:p w14:paraId="468A3D1E">
            <w:pPr>
              <w:rPr>
                <w:rFonts w:hint="eastAsia" w:asciiTheme="minorEastAsia" w:hAnsiTheme="minorEastAsia" w:eastAsiaTheme="minorEastAsia"/>
                <w:color w:val="auto"/>
                <w:sz w:val="24"/>
                <w:highlight w:val="none"/>
              </w:rPr>
            </w:pPr>
          </w:p>
        </w:tc>
        <w:tc>
          <w:tcPr>
            <w:tcW w:w="1377" w:type="dxa"/>
            <w:tcBorders>
              <w:top w:val="single" w:color="auto" w:sz="4" w:space="0"/>
              <w:left w:val="nil"/>
              <w:bottom w:val="single" w:color="auto" w:sz="4" w:space="0"/>
              <w:right w:val="single" w:color="auto" w:sz="4" w:space="0"/>
            </w:tcBorders>
          </w:tcPr>
          <w:p w14:paraId="739D3711">
            <w:pPr>
              <w:rPr>
                <w:rFonts w:hint="eastAsia" w:asciiTheme="minorEastAsia" w:hAnsiTheme="minorEastAsia" w:eastAsiaTheme="minorEastAsia"/>
                <w:color w:val="auto"/>
                <w:sz w:val="24"/>
                <w:highlight w:val="none"/>
              </w:rPr>
            </w:pPr>
          </w:p>
        </w:tc>
        <w:tc>
          <w:tcPr>
            <w:tcW w:w="3560" w:type="dxa"/>
            <w:tcBorders>
              <w:top w:val="single" w:color="auto" w:sz="4" w:space="0"/>
              <w:left w:val="nil"/>
              <w:bottom w:val="single" w:color="auto" w:sz="4" w:space="0"/>
              <w:right w:val="single" w:color="auto" w:sz="4" w:space="0"/>
            </w:tcBorders>
          </w:tcPr>
          <w:p w14:paraId="479E24A1">
            <w:pPr>
              <w:rPr>
                <w:rFonts w:hint="eastAsia" w:asciiTheme="minorEastAsia" w:hAnsiTheme="minorEastAsia" w:eastAsiaTheme="minorEastAsia"/>
                <w:color w:val="auto"/>
                <w:sz w:val="24"/>
                <w:highlight w:val="none"/>
              </w:rPr>
            </w:pPr>
          </w:p>
        </w:tc>
      </w:tr>
    </w:tbl>
    <w:p w14:paraId="3A1F412A">
      <w:pP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31B9A341">
      <w:pPr>
        <w:spacing w:line="360" w:lineRule="auto"/>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注：投标人应根据业绩能力等商务指标、对照招标文件要求在“偏离情况”栏注明“正偏离”、“负偏离”或“无偏离”。</w:t>
      </w:r>
    </w:p>
    <w:p w14:paraId="5A3061E6">
      <w:pPr>
        <w:spacing w:line="360" w:lineRule="auto"/>
        <w:rPr>
          <w:rFonts w:hint="eastAsia" w:asciiTheme="minorEastAsia" w:hAnsiTheme="minorEastAsia" w:eastAsiaTheme="minorEastAsia"/>
          <w:color w:val="auto"/>
          <w:sz w:val="24"/>
          <w:highlight w:val="none"/>
        </w:rPr>
      </w:pPr>
    </w:p>
    <w:p w14:paraId="5E3DF3BE">
      <w:pPr>
        <w:spacing w:line="360" w:lineRule="auto"/>
        <w:rPr>
          <w:rFonts w:hint="eastAsia" w:asciiTheme="minorEastAsia" w:hAnsiTheme="minorEastAsia" w:eastAsiaTheme="minorEastAsia"/>
          <w:color w:val="auto"/>
          <w:spacing w:val="20"/>
          <w:sz w:val="24"/>
          <w:highlight w:val="none"/>
          <w:u w:val="single"/>
        </w:rPr>
      </w:pPr>
      <w:r>
        <w:rPr>
          <w:rFonts w:hint="eastAsia" w:asciiTheme="minorEastAsia" w:hAnsiTheme="minorEastAsia" w:eastAsiaTheme="minorEastAsia"/>
          <w:color w:val="auto"/>
          <w:sz w:val="24"/>
          <w:highlight w:val="none"/>
        </w:rPr>
        <w:t>法定代表人或委托代理人签字</w:t>
      </w:r>
      <w:r>
        <w:rPr>
          <w:rFonts w:hint="eastAsia" w:asciiTheme="minorEastAsia" w:hAnsiTheme="minorEastAsia" w:eastAsiaTheme="minorEastAsia"/>
          <w:color w:val="auto"/>
          <w:spacing w:val="20"/>
          <w:sz w:val="24"/>
          <w:highlight w:val="none"/>
        </w:rPr>
        <w:t>：</w:t>
      </w:r>
      <w:r>
        <w:rPr>
          <w:rFonts w:hint="eastAsia" w:asciiTheme="minorEastAsia" w:hAnsiTheme="minorEastAsia" w:eastAsiaTheme="minorEastAsia"/>
          <w:color w:val="auto"/>
          <w:spacing w:val="20"/>
          <w:sz w:val="24"/>
          <w:highlight w:val="none"/>
          <w:u w:val="single"/>
        </w:rPr>
        <w:t xml:space="preserve">        </w:t>
      </w:r>
    </w:p>
    <w:p w14:paraId="03014959">
      <w:pPr>
        <w:snapToGrid w:val="0"/>
        <w:spacing w:before="50" w:after="120"/>
        <w:jc w:val="left"/>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pacing w:val="20"/>
          <w:sz w:val="24"/>
          <w:highlight w:val="none"/>
        </w:rPr>
        <w:t>投标承销商全称（公章）：</w:t>
      </w:r>
      <w:r>
        <w:rPr>
          <w:rFonts w:hint="eastAsia" w:asciiTheme="minorEastAsia" w:hAnsiTheme="minorEastAsia" w:eastAsiaTheme="minorEastAsia"/>
          <w:color w:val="auto"/>
          <w:spacing w:val="20"/>
          <w:sz w:val="24"/>
          <w:highlight w:val="none"/>
          <w:u w:val="single"/>
        </w:rPr>
        <w:t xml:space="preserve">            </w:t>
      </w:r>
      <w:r>
        <w:rPr>
          <w:rFonts w:hint="eastAsia" w:asciiTheme="minorEastAsia" w:hAnsiTheme="minorEastAsia" w:eastAsiaTheme="minorEastAsia"/>
          <w:color w:val="auto"/>
          <w:spacing w:val="20"/>
          <w:sz w:val="24"/>
          <w:highlight w:val="none"/>
        </w:rPr>
        <w:t xml:space="preserve">              日 期：</w:t>
      </w:r>
      <w:r>
        <w:rPr>
          <w:rFonts w:hint="eastAsia" w:asciiTheme="minorEastAsia" w:hAnsiTheme="minorEastAsia" w:eastAsiaTheme="minorEastAsia"/>
          <w:color w:val="auto"/>
          <w:spacing w:val="20"/>
          <w:sz w:val="24"/>
          <w:highlight w:val="none"/>
          <w:u w:val="single"/>
        </w:rPr>
        <w:t xml:space="preserve">         </w:t>
      </w:r>
    </w:p>
    <w:p w14:paraId="51BA0D2C">
      <w:pPr>
        <w:snapToGrid w:val="0"/>
        <w:spacing w:before="50" w:after="120"/>
        <w:jc w:val="left"/>
        <w:rPr>
          <w:rFonts w:hint="eastAsia" w:asciiTheme="minorEastAsia" w:hAnsiTheme="minorEastAsia" w:eastAsiaTheme="minorEastAsia"/>
          <w:color w:val="auto"/>
          <w:sz w:val="21"/>
          <w:highlight w:val="none"/>
        </w:rPr>
      </w:pPr>
    </w:p>
    <w:p w14:paraId="0D276F5C">
      <w:pPr>
        <w:snapToGrid w:val="0"/>
        <w:spacing w:before="120" w:beforeLines="50" w:after="50" w:line="276" w:lineRule="auto"/>
        <w:rPr>
          <w:rFonts w:hint="eastAsia" w:asciiTheme="minorEastAsia" w:hAnsiTheme="minorEastAsia" w:eastAsiaTheme="minorEastAsia"/>
          <w:b/>
          <w:color w:val="auto"/>
          <w:sz w:val="24"/>
          <w:highlight w:val="none"/>
        </w:rPr>
      </w:pPr>
    </w:p>
    <w:p w14:paraId="356B9C16">
      <w:pPr>
        <w:snapToGrid w:val="0"/>
        <w:spacing w:before="120" w:beforeLines="50" w:after="50" w:line="276" w:lineRule="auto"/>
        <w:rPr>
          <w:rFonts w:hint="eastAsia" w:asciiTheme="minorEastAsia" w:hAnsiTheme="minorEastAsia" w:eastAsiaTheme="minorEastAsia"/>
          <w:b/>
          <w:color w:val="auto"/>
          <w:sz w:val="24"/>
          <w:highlight w:val="none"/>
        </w:rPr>
      </w:pPr>
    </w:p>
    <w:p w14:paraId="149593D2">
      <w:pPr>
        <w:snapToGrid w:val="0"/>
        <w:spacing w:before="120" w:beforeLines="50" w:after="50" w:line="276" w:lineRule="auto"/>
        <w:rPr>
          <w:rFonts w:hint="eastAsia" w:asciiTheme="minorEastAsia" w:hAnsiTheme="minorEastAsia" w:eastAsiaTheme="minorEastAsia"/>
          <w:b/>
          <w:color w:val="auto"/>
          <w:sz w:val="24"/>
          <w:highlight w:val="none"/>
        </w:rPr>
      </w:pPr>
    </w:p>
    <w:p w14:paraId="2FC25C52">
      <w:pPr>
        <w:snapToGrid w:val="0"/>
        <w:spacing w:before="120" w:beforeLines="50" w:after="50" w:line="276" w:lineRule="auto"/>
        <w:rPr>
          <w:rFonts w:hint="eastAsia" w:asciiTheme="minorEastAsia" w:hAnsiTheme="minorEastAsia" w:eastAsiaTheme="minorEastAsia"/>
          <w:b/>
          <w:color w:val="auto"/>
          <w:sz w:val="24"/>
          <w:highlight w:val="none"/>
        </w:rPr>
      </w:pPr>
    </w:p>
    <w:p w14:paraId="49F3D3F8">
      <w:pPr>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bCs/>
          <w:color w:val="auto"/>
          <w:sz w:val="24"/>
          <w:szCs w:val="24"/>
          <w:highlight w:val="none"/>
        </w:rPr>
        <w:t>附件4：</w:t>
      </w:r>
      <w:r>
        <w:rPr>
          <w:rFonts w:hint="eastAsia" w:cs="仿宋" w:asciiTheme="minorEastAsia" w:hAnsiTheme="minorEastAsia" w:eastAsiaTheme="minorEastAsia"/>
          <w:color w:val="auto"/>
          <w:sz w:val="24"/>
          <w:szCs w:val="24"/>
          <w:highlight w:val="none"/>
        </w:rPr>
        <w:t xml:space="preserve">          </w:t>
      </w:r>
    </w:p>
    <w:p w14:paraId="309DC50C">
      <w:pPr>
        <w:snapToGrid w:val="0"/>
        <w:spacing w:before="50" w:after="120" w:afterLines="50"/>
        <w:jc w:val="center"/>
        <w:rPr>
          <w:rFonts w:hint="eastAsia" w:asciiTheme="minorEastAsia" w:hAnsiTheme="minorEastAsia" w:eastAsiaTheme="minorEastAsia"/>
          <w:color w:val="auto"/>
          <w:sz w:val="36"/>
          <w:szCs w:val="36"/>
          <w:highlight w:val="none"/>
          <w:u w:val="single"/>
        </w:rPr>
      </w:pPr>
      <w:r>
        <w:rPr>
          <w:rFonts w:hint="eastAsia" w:asciiTheme="minorEastAsia" w:hAnsiTheme="minorEastAsia" w:eastAsiaTheme="minorEastAsia"/>
          <w:b/>
          <w:color w:val="auto"/>
          <w:sz w:val="32"/>
          <w:szCs w:val="32"/>
          <w:highlight w:val="none"/>
        </w:rPr>
        <w:t>技术响应表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1"/>
        <w:gridCol w:w="1962"/>
        <w:gridCol w:w="1625"/>
        <w:gridCol w:w="2334"/>
      </w:tblGrid>
      <w:tr w14:paraId="2576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14:paraId="7FA92131">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861" w:type="dxa"/>
            <w:tcBorders>
              <w:top w:val="single" w:color="auto" w:sz="4" w:space="0"/>
              <w:left w:val="nil"/>
              <w:bottom w:val="single" w:color="auto" w:sz="4" w:space="0"/>
              <w:right w:val="single" w:color="auto" w:sz="4" w:space="0"/>
            </w:tcBorders>
            <w:vAlign w:val="center"/>
          </w:tcPr>
          <w:p w14:paraId="6B6B4DFC">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内  容</w:t>
            </w:r>
          </w:p>
        </w:tc>
        <w:tc>
          <w:tcPr>
            <w:tcW w:w="1962" w:type="dxa"/>
            <w:tcBorders>
              <w:top w:val="single" w:color="auto" w:sz="4" w:space="0"/>
              <w:left w:val="nil"/>
              <w:bottom w:val="single" w:color="auto" w:sz="4" w:space="0"/>
              <w:right w:val="single" w:color="auto" w:sz="4" w:space="0"/>
            </w:tcBorders>
            <w:vAlign w:val="center"/>
          </w:tcPr>
          <w:p w14:paraId="1E971B1D">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招标文件</w:t>
            </w:r>
          </w:p>
          <w:p w14:paraId="4F322E32">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规范要求</w:t>
            </w:r>
          </w:p>
        </w:tc>
        <w:tc>
          <w:tcPr>
            <w:tcW w:w="1625" w:type="dxa"/>
            <w:tcBorders>
              <w:top w:val="single" w:color="auto" w:sz="4" w:space="0"/>
              <w:left w:val="nil"/>
              <w:bottom w:val="single" w:color="auto" w:sz="4" w:space="0"/>
              <w:right w:val="single" w:color="auto" w:sz="4" w:space="0"/>
            </w:tcBorders>
            <w:vAlign w:val="center"/>
          </w:tcPr>
          <w:p w14:paraId="5ADF4271">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投标文件</w:t>
            </w:r>
          </w:p>
          <w:p w14:paraId="310AC6C2">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对应规范</w:t>
            </w:r>
          </w:p>
        </w:tc>
        <w:tc>
          <w:tcPr>
            <w:tcW w:w="2334" w:type="dxa"/>
            <w:tcBorders>
              <w:top w:val="single" w:color="auto" w:sz="4" w:space="0"/>
              <w:left w:val="nil"/>
              <w:bottom w:val="single" w:color="auto" w:sz="4" w:space="0"/>
              <w:right w:val="single" w:color="auto" w:sz="4" w:space="0"/>
            </w:tcBorders>
            <w:vAlign w:val="center"/>
          </w:tcPr>
          <w:p w14:paraId="0668DAAA">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偏离情况</w:t>
            </w:r>
          </w:p>
          <w:p w14:paraId="180A77FA">
            <w:pPr>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（注明正偏离、负偏离或无偏离）</w:t>
            </w:r>
          </w:p>
        </w:tc>
      </w:tr>
      <w:tr w14:paraId="3C65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34B562C2">
            <w:pPr>
              <w:jc w:val="center"/>
              <w:rPr>
                <w:rFonts w:hint="eastAsia" w:asciiTheme="minorEastAsia" w:hAnsiTheme="minorEastAsia" w:eastAsiaTheme="minorEastAsia"/>
                <w:color w:val="auto"/>
                <w:sz w:val="24"/>
                <w:highlight w:val="none"/>
              </w:rPr>
            </w:pPr>
          </w:p>
          <w:p w14:paraId="5E4FC02A">
            <w:pPr>
              <w:jc w:val="center"/>
              <w:rPr>
                <w:rFonts w:hint="eastAsia"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66EFAC78">
            <w:pPr>
              <w:rPr>
                <w:rFonts w:hint="eastAsia"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177AAD76">
            <w:pPr>
              <w:rPr>
                <w:rFonts w:hint="eastAsia"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577838BA">
            <w:pPr>
              <w:rPr>
                <w:rFonts w:hint="eastAsia"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6BA6EDCB">
            <w:pPr>
              <w:rPr>
                <w:rFonts w:hint="eastAsia" w:asciiTheme="minorEastAsia" w:hAnsiTheme="minorEastAsia" w:eastAsiaTheme="minorEastAsia"/>
                <w:color w:val="auto"/>
                <w:sz w:val="24"/>
                <w:highlight w:val="none"/>
              </w:rPr>
            </w:pPr>
          </w:p>
        </w:tc>
      </w:tr>
      <w:tr w14:paraId="4CC3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3B014BA7">
            <w:pPr>
              <w:rPr>
                <w:rFonts w:hint="eastAsia" w:asciiTheme="minorEastAsia" w:hAnsiTheme="minorEastAsia" w:eastAsiaTheme="minorEastAsia"/>
                <w:color w:val="auto"/>
                <w:sz w:val="24"/>
                <w:highlight w:val="none"/>
              </w:rPr>
            </w:pPr>
          </w:p>
          <w:p w14:paraId="68E3A787">
            <w:pPr>
              <w:rPr>
                <w:rFonts w:hint="eastAsia"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1349F42B">
            <w:pPr>
              <w:rPr>
                <w:rFonts w:hint="eastAsia"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67C67AC9">
            <w:pPr>
              <w:rPr>
                <w:rFonts w:hint="eastAsia"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3D40B87E">
            <w:pPr>
              <w:rPr>
                <w:rFonts w:hint="eastAsia"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7180B024">
            <w:pPr>
              <w:rPr>
                <w:rFonts w:hint="eastAsia" w:asciiTheme="minorEastAsia" w:hAnsiTheme="minorEastAsia" w:eastAsiaTheme="minorEastAsia"/>
                <w:color w:val="auto"/>
                <w:sz w:val="24"/>
                <w:highlight w:val="none"/>
              </w:rPr>
            </w:pPr>
          </w:p>
        </w:tc>
      </w:tr>
      <w:tr w14:paraId="6BD4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20B2125C">
            <w:pPr>
              <w:rPr>
                <w:rFonts w:hint="eastAsia" w:asciiTheme="minorEastAsia" w:hAnsiTheme="minorEastAsia" w:eastAsiaTheme="minorEastAsia"/>
                <w:color w:val="auto"/>
                <w:sz w:val="24"/>
                <w:highlight w:val="none"/>
              </w:rPr>
            </w:pPr>
          </w:p>
          <w:p w14:paraId="095E446D">
            <w:pPr>
              <w:rPr>
                <w:rFonts w:hint="eastAsia"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66270F21">
            <w:pPr>
              <w:rPr>
                <w:rFonts w:hint="eastAsia"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61039191">
            <w:pPr>
              <w:rPr>
                <w:rFonts w:hint="eastAsia"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596DA3C7">
            <w:pPr>
              <w:rPr>
                <w:rFonts w:hint="eastAsia"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7AC2FC43">
            <w:pPr>
              <w:rPr>
                <w:rFonts w:hint="eastAsia" w:asciiTheme="minorEastAsia" w:hAnsiTheme="minorEastAsia" w:eastAsiaTheme="minorEastAsia"/>
                <w:color w:val="auto"/>
                <w:sz w:val="24"/>
                <w:highlight w:val="none"/>
              </w:rPr>
            </w:pPr>
          </w:p>
        </w:tc>
      </w:tr>
      <w:tr w14:paraId="412D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881" w:type="dxa"/>
            <w:tcBorders>
              <w:top w:val="single" w:color="auto" w:sz="4" w:space="0"/>
              <w:left w:val="single" w:color="auto" w:sz="4" w:space="0"/>
              <w:bottom w:val="single" w:color="auto" w:sz="4" w:space="0"/>
              <w:right w:val="single" w:color="auto" w:sz="4" w:space="0"/>
            </w:tcBorders>
          </w:tcPr>
          <w:p w14:paraId="4F88AAFD">
            <w:pPr>
              <w:rPr>
                <w:rFonts w:hint="eastAsia" w:asciiTheme="minorEastAsia" w:hAnsiTheme="minorEastAsia" w:eastAsiaTheme="minorEastAsia"/>
                <w:color w:val="auto"/>
                <w:sz w:val="24"/>
                <w:highlight w:val="none"/>
              </w:rPr>
            </w:pPr>
          </w:p>
          <w:p w14:paraId="44D11505">
            <w:pPr>
              <w:rPr>
                <w:rFonts w:hint="eastAsia"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16BB8BDE">
            <w:pPr>
              <w:rPr>
                <w:rFonts w:hint="eastAsia"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091305F7">
            <w:pPr>
              <w:rPr>
                <w:rFonts w:hint="eastAsia"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11246DE7">
            <w:pPr>
              <w:rPr>
                <w:rFonts w:hint="eastAsia"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495A8B73">
            <w:pPr>
              <w:rPr>
                <w:rFonts w:hint="eastAsia" w:asciiTheme="minorEastAsia" w:hAnsiTheme="minorEastAsia" w:eastAsiaTheme="minorEastAsia"/>
                <w:color w:val="auto"/>
                <w:sz w:val="24"/>
                <w:highlight w:val="none"/>
              </w:rPr>
            </w:pPr>
          </w:p>
        </w:tc>
      </w:tr>
      <w:tr w14:paraId="19032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45AE7707">
            <w:pPr>
              <w:rPr>
                <w:rFonts w:hint="eastAsia" w:asciiTheme="minorEastAsia" w:hAnsiTheme="minorEastAsia" w:eastAsiaTheme="minorEastAsia"/>
                <w:color w:val="auto"/>
                <w:sz w:val="24"/>
                <w:highlight w:val="none"/>
              </w:rPr>
            </w:pPr>
          </w:p>
          <w:p w14:paraId="3C69B834">
            <w:pPr>
              <w:rPr>
                <w:rFonts w:hint="eastAsia"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429623F6">
            <w:pPr>
              <w:rPr>
                <w:rFonts w:hint="eastAsia"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3DD31957">
            <w:pPr>
              <w:rPr>
                <w:rFonts w:hint="eastAsia"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3C8A89E3">
            <w:pPr>
              <w:rPr>
                <w:rFonts w:hint="eastAsia"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6A3A4C4E">
            <w:pPr>
              <w:rPr>
                <w:rFonts w:hint="eastAsia" w:asciiTheme="minorEastAsia" w:hAnsiTheme="minorEastAsia" w:eastAsiaTheme="minorEastAsia"/>
                <w:color w:val="auto"/>
                <w:sz w:val="24"/>
                <w:highlight w:val="none"/>
              </w:rPr>
            </w:pPr>
          </w:p>
        </w:tc>
      </w:tr>
      <w:tr w14:paraId="735D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628D0252">
            <w:pPr>
              <w:rPr>
                <w:rFonts w:hint="eastAsia" w:asciiTheme="minorEastAsia" w:hAnsiTheme="minorEastAsia" w:eastAsiaTheme="minorEastAsia"/>
                <w:color w:val="auto"/>
                <w:sz w:val="24"/>
                <w:highlight w:val="none"/>
              </w:rPr>
            </w:pPr>
          </w:p>
          <w:p w14:paraId="37C47CC2">
            <w:pPr>
              <w:rPr>
                <w:rFonts w:hint="eastAsia"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164D6B0E">
            <w:pPr>
              <w:rPr>
                <w:rFonts w:hint="eastAsia"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55CDD5FD">
            <w:pPr>
              <w:rPr>
                <w:rFonts w:hint="eastAsia"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0A80C77A">
            <w:pPr>
              <w:rPr>
                <w:rFonts w:hint="eastAsia"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389A699D">
            <w:pPr>
              <w:rPr>
                <w:rFonts w:hint="eastAsia" w:asciiTheme="minorEastAsia" w:hAnsiTheme="minorEastAsia" w:eastAsiaTheme="minorEastAsia"/>
                <w:color w:val="auto"/>
                <w:sz w:val="24"/>
                <w:highlight w:val="none"/>
              </w:rPr>
            </w:pPr>
          </w:p>
        </w:tc>
      </w:tr>
      <w:tr w14:paraId="5F55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00403214">
            <w:pPr>
              <w:rPr>
                <w:rFonts w:hint="eastAsia" w:asciiTheme="minorEastAsia" w:hAnsiTheme="minorEastAsia" w:eastAsiaTheme="minorEastAsia"/>
                <w:color w:val="auto"/>
                <w:sz w:val="24"/>
                <w:highlight w:val="none"/>
              </w:rPr>
            </w:pPr>
          </w:p>
          <w:p w14:paraId="531B6F7C">
            <w:pPr>
              <w:rPr>
                <w:rFonts w:hint="eastAsia"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4AB04134">
            <w:pPr>
              <w:rPr>
                <w:rFonts w:hint="eastAsia"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101E514B">
            <w:pPr>
              <w:rPr>
                <w:rFonts w:hint="eastAsia"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42832AE6">
            <w:pPr>
              <w:rPr>
                <w:rFonts w:hint="eastAsia"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059C2CE8">
            <w:pPr>
              <w:rPr>
                <w:rFonts w:hint="eastAsia" w:asciiTheme="minorEastAsia" w:hAnsiTheme="minorEastAsia" w:eastAsiaTheme="minorEastAsia"/>
                <w:color w:val="auto"/>
                <w:sz w:val="24"/>
                <w:highlight w:val="none"/>
              </w:rPr>
            </w:pPr>
          </w:p>
        </w:tc>
      </w:tr>
      <w:tr w14:paraId="0E77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5FF3AD66">
            <w:pPr>
              <w:rPr>
                <w:rFonts w:hint="eastAsia" w:asciiTheme="minorEastAsia" w:hAnsiTheme="minorEastAsia" w:eastAsiaTheme="minorEastAsia"/>
                <w:color w:val="auto"/>
                <w:sz w:val="24"/>
                <w:highlight w:val="none"/>
              </w:rPr>
            </w:pPr>
          </w:p>
          <w:p w14:paraId="68A518C3">
            <w:pPr>
              <w:rPr>
                <w:rFonts w:hint="eastAsia"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6B6ACC48">
            <w:pPr>
              <w:rPr>
                <w:rFonts w:hint="eastAsia"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259500F8">
            <w:pPr>
              <w:rPr>
                <w:rFonts w:hint="eastAsia"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06E0F6DD">
            <w:pPr>
              <w:rPr>
                <w:rFonts w:hint="eastAsia"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6F314A3E">
            <w:pPr>
              <w:rPr>
                <w:rFonts w:hint="eastAsia" w:asciiTheme="minorEastAsia" w:hAnsiTheme="minorEastAsia" w:eastAsiaTheme="minorEastAsia"/>
                <w:color w:val="auto"/>
                <w:sz w:val="24"/>
                <w:highlight w:val="none"/>
              </w:rPr>
            </w:pPr>
          </w:p>
        </w:tc>
      </w:tr>
      <w:tr w14:paraId="089D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81" w:type="dxa"/>
            <w:tcBorders>
              <w:top w:val="single" w:color="auto" w:sz="4" w:space="0"/>
              <w:left w:val="single" w:color="auto" w:sz="4" w:space="0"/>
              <w:bottom w:val="single" w:color="auto" w:sz="4" w:space="0"/>
              <w:right w:val="single" w:color="auto" w:sz="4" w:space="0"/>
            </w:tcBorders>
          </w:tcPr>
          <w:p w14:paraId="4EF9AD61">
            <w:pPr>
              <w:rPr>
                <w:rFonts w:hint="eastAsia" w:asciiTheme="minorEastAsia" w:hAnsiTheme="minorEastAsia" w:eastAsiaTheme="minorEastAsia"/>
                <w:color w:val="auto"/>
                <w:sz w:val="24"/>
                <w:highlight w:val="none"/>
              </w:rPr>
            </w:pPr>
          </w:p>
          <w:p w14:paraId="59E925A4">
            <w:pPr>
              <w:rPr>
                <w:rFonts w:hint="eastAsia" w:asciiTheme="minorEastAsia" w:hAnsiTheme="minorEastAsia" w:eastAsiaTheme="minorEastAsia"/>
                <w:color w:val="auto"/>
                <w:sz w:val="24"/>
                <w:highlight w:val="none"/>
              </w:rPr>
            </w:pPr>
          </w:p>
        </w:tc>
        <w:tc>
          <w:tcPr>
            <w:tcW w:w="1861" w:type="dxa"/>
            <w:tcBorders>
              <w:top w:val="single" w:color="auto" w:sz="4" w:space="0"/>
              <w:left w:val="nil"/>
              <w:bottom w:val="single" w:color="auto" w:sz="4" w:space="0"/>
              <w:right w:val="single" w:color="auto" w:sz="4" w:space="0"/>
            </w:tcBorders>
          </w:tcPr>
          <w:p w14:paraId="07A62812">
            <w:pPr>
              <w:rPr>
                <w:rFonts w:hint="eastAsia" w:asciiTheme="minorEastAsia" w:hAnsiTheme="minorEastAsia" w:eastAsiaTheme="minorEastAsia"/>
                <w:color w:val="auto"/>
                <w:sz w:val="24"/>
                <w:highlight w:val="none"/>
              </w:rPr>
            </w:pPr>
          </w:p>
        </w:tc>
        <w:tc>
          <w:tcPr>
            <w:tcW w:w="1962" w:type="dxa"/>
            <w:tcBorders>
              <w:top w:val="single" w:color="auto" w:sz="4" w:space="0"/>
              <w:left w:val="nil"/>
              <w:bottom w:val="single" w:color="auto" w:sz="4" w:space="0"/>
              <w:right w:val="single" w:color="auto" w:sz="4" w:space="0"/>
            </w:tcBorders>
          </w:tcPr>
          <w:p w14:paraId="19296E9E">
            <w:pPr>
              <w:rPr>
                <w:rFonts w:hint="eastAsia" w:asciiTheme="minorEastAsia" w:hAnsiTheme="minorEastAsia" w:eastAsiaTheme="minorEastAsia"/>
                <w:color w:val="auto"/>
                <w:sz w:val="24"/>
                <w:highlight w:val="none"/>
              </w:rPr>
            </w:pPr>
          </w:p>
        </w:tc>
        <w:tc>
          <w:tcPr>
            <w:tcW w:w="1625" w:type="dxa"/>
            <w:tcBorders>
              <w:top w:val="single" w:color="auto" w:sz="4" w:space="0"/>
              <w:left w:val="nil"/>
              <w:bottom w:val="single" w:color="auto" w:sz="4" w:space="0"/>
              <w:right w:val="single" w:color="auto" w:sz="4" w:space="0"/>
            </w:tcBorders>
          </w:tcPr>
          <w:p w14:paraId="175F5C27">
            <w:pPr>
              <w:rPr>
                <w:rFonts w:hint="eastAsia" w:asciiTheme="minorEastAsia" w:hAnsiTheme="minorEastAsia" w:eastAsiaTheme="minorEastAsia"/>
                <w:color w:val="auto"/>
                <w:sz w:val="24"/>
                <w:highlight w:val="none"/>
              </w:rPr>
            </w:pPr>
          </w:p>
        </w:tc>
        <w:tc>
          <w:tcPr>
            <w:tcW w:w="2334" w:type="dxa"/>
            <w:tcBorders>
              <w:top w:val="single" w:color="auto" w:sz="4" w:space="0"/>
              <w:left w:val="nil"/>
              <w:bottom w:val="single" w:color="auto" w:sz="4" w:space="0"/>
              <w:right w:val="single" w:color="auto" w:sz="4" w:space="0"/>
            </w:tcBorders>
          </w:tcPr>
          <w:p w14:paraId="648E2954">
            <w:pPr>
              <w:rPr>
                <w:rFonts w:hint="eastAsia" w:asciiTheme="minorEastAsia" w:hAnsiTheme="minorEastAsia" w:eastAsiaTheme="minorEastAsia"/>
                <w:color w:val="auto"/>
                <w:sz w:val="24"/>
                <w:highlight w:val="none"/>
              </w:rPr>
            </w:pPr>
          </w:p>
        </w:tc>
      </w:tr>
    </w:tbl>
    <w:p w14:paraId="3CD86B9F">
      <w:pPr>
        <w:snapToGrid w:val="0"/>
        <w:spacing w:before="50" w:after="50"/>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 xml:space="preserve"> </w:t>
      </w:r>
    </w:p>
    <w:p w14:paraId="4DDF7D16">
      <w:pPr>
        <w:snapToGrid w:val="0"/>
        <w:spacing w:before="50" w:after="50" w:line="360" w:lineRule="auto"/>
        <w:rPr>
          <w:rFonts w:hint="eastAsia" w:asciiTheme="minorEastAsia" w:hAnsiTheme="minorEastAsia" w:eastAsiaTheme="minorEastAsia"/>
          <w:b/>
          <w:bCs/>
          <w:color w:val="auto"/>
          <w:spacing w:val="20"/>
          <w:sz w:val="24"/>
          <w:highlight w:val="none"/>
        </w:rPr>
      </w:pPr>
      <w:r>
        <w:rPr>
          <w:rFonts w:hint="eastAsia" w:asciiTheme="minorEastAsia" w:hAnsiTheme="minorEastAsia" w:eastAsiaTheme="minorEastAsia"/>
          <w:b/>
          <w:bCs/>
          <w:color w:val="auto"/>
          <w:sz w:val="24"/>
          <w:highlight w:val="none"/>
        </w:rPr>
        <w:t>注：投标人应根据发行方案等技术指标、对照招标文件要求在“偏离情况”栏注明“正偏离”、“负偏离”或“无偏离”。</w:t>
      </w:r>
    </w:p>
    <w:p w14:paraId="3840B1FF">
      <w:pPr>
        <w:snapToGrid w:val="0"/>
        <w:spacing w:before="50" w:after="50" w:line="360" w:lineRule="auto"/>
        <w:rPr>
          <w:rFonts w:hint="eastAsia" w:asciiTheme="minorEastAsia" w:hAnsiTheme="minorEastAsia" w:eastAsiaTheme="minorEastAsia"/>
          <w:color w:val="auto"/>
          <w:spacing w:val="20"/>
          <w:sz w:val="24"/>
          <w:highlight w:val="none"/>
        </w:rPr>
      </w:pPr>
      <w:r>
        <w:rPr>
          <w:rFonts w:hint="eastAsia" w:asciiTheme="minorEastAsia" w:hAnsiTheme="minorEastAsia" w:eastAsiaTheme="minorEastAsia"/>
          <w:color w:val="auto"/>
          <w:spacing w:val="20"/>
          <w:sz w:val="24"/>
          <w:highlight w:val="none"/>
        </w:rPr>
        <w:t xml:space="preserve"> </w:t>
      </w:r>
    </w:p>
    <w:p w14:paraId="6BF595B3">
      <w:pPr>
        <w:snapToGrid w:val="0"/>
        <w:spacing w:before="50" w:after="50" w:line="360" w:lineRule="auto"/>
        <w:rPr>
          <w:rFonts w:hint="eastAsia" w:asciiTheme="minorEastAsia" w:hAnsiTheme="minorEastAsia" w:eastAsiaTheme="minorEastAsia"/>
          <w:color w:val="auto"/>
          <w:spacing w:val="20"/>
          <w:sz w:val="24"/>
          <w:highlight w:val="none"/>
          <w:u w:val="single"/>
        </w:rPr>
      </w:pPr>
      <w:r>
        <w:rPr>
          <w:rFonts w:hint="eastAsia" w:asciiTheme="minorEastAsia" w:hAnsiTheme="minorEastAsia" w:eastAsiaTheme="minorEastAsia"/>
          <w:color w:val="auto"/>
          <w:sz w:val="24"/>
          <w:highlight w:val="none"/>
        </w:rPr>
        <w:t>法定代表人或委托代理人签字</w:t>
      </w:r>
      <w:r>
        <w:rPr>
          <w:rFonts w:hint="eastAsia" w:asciiTheme="minorEastAsia" w:hAnsiTheme="minorEastAsia" w:eastAsiaTheme="minorEastAsia"/>
          <w:color w:val="auto"/>
          <w:spacing w:val="20"/>
          <w:sz w:val="24"/>
          <w:highlight w:val="none"/>
        </w:rPr>
        <w:t>：</w:t>
      </w:r>
      <w:r>
        <w:rPr>
          <w:rFonts w:hint="eastAsia" w:asciiTheme="minorEastAsia" w:hAnsiTheme="minorEastAsia" w:eastAsiaTheme="minorEastAsia"/>
          <w:color w:val="auto"/>
          <w:spacing w:val="20"/>
          <w:sz w:val="24"/>
          <w:highlight w:val="none"/>
          <w:u w:val="single"/>
        </w:rPr>
        <w:t xml:space="preserve">        </w:t>
      </w:r>
    </w:p>
    <w:p w14:paraId="7C5BE25F">
      <w:pPr>
        <w:snapToGrid w:val="0"/>
        <w:spacing w:before="50" w:after="50" w:line="360" w:lineRule="auto"/>
        <w:rPr>
          <w:rFonts w:hint="eastAsia" w:asciiTheme="minorEastAsia" w:hAnsiTheme="minorEastAsia" w:eastAsiaTheme="minorEastAsia"/>
          <w:color w:val="auto"/>
          <w:spacing w:val="20"/>
          <w:sz w:val="24"/>
          <w:highlight w:val="none"/>
        </w:rPr>
      </w:pPr>
      <w:r>
        <w:rPr>
          <w:rFonts w:hint="eastAsia" w:asciiTheme="minorEastAsia" w:hAnsiTheme="minorEastAsia" w:eastAsiaTheme="minorEastAsia"/>
          <w:color w:val="auto"/>
          <w:spacing w:val="20"/>
          <w:sz w:val="24"/>
          <w:highlight w:val="none"/>
        </w:rPr>
        <w:t>投标承销商全称（公章）：：</w:t>
      </w:r>
      <w:r>
        <w:rPr>
          <w:rFonts w:hint="eastAsia" w:asciiTheme="minorEastAsia" w:hAnsiTheme="minorEastAsia" w:eastAsiaTheme="minorEastAsia"/>
          <w:color w:val="auto"/>
          <w:spacing w:val="20"/>
          <w:sz w:val="24"/>
          <w:highlight w:val="none"/>
          <w:u w:val="single"/>
        </w:rPr>
        <w:t xml:space="preserve">            </w:t>
      </w:r>
      <w:r>
        <w:rPr>
          <w:rFonts w:hint="eastAsia" w:asciiTheme="minorEastAsia" w:hAnsiTheme="minorEastAsia" w:eastAsiaTheme="minorEastAsia"/>
          <w:color w:val="auto"/>
          <w:spacing w:val="20"/>
          <w:sz w:val="24"/>
          <w:highlight w:val="none"/>
        </w:rPr>
        <w:t xml:space="preserve">              </w:t>
      </w:r>
    </w:p>
    <w:p w14:paraId="7433E0BE">
      <w:pPr>
        <w:snapToGrid w:val="0"/>
        <w:spacing w:before="50" w:after="50" w:line="360" w:lineRule="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pacing w:val="20"/>
          <w:sz w:val="24"/>
          <w:highlight w:val="none"/>
        </w:rPr>
        <w:t>日 期：</w:t>
      </w:r>
      <w:r>
        <w:rPr>
          <w:rFonts w:hint="eastAsia" w:asciiTheme="minorEastAsia" w:hAnsiTheme="minorEastAsia" w:eastAsiaTheme="minorEastAsia"/>
          <w:color w:val="auto"/>
          <w:spacing w:val="20"/>
          <w:sz w:val="24"/>
          <w:highlight w:val="none"/>
          <w:u w:val="single"/>
        </w:rPr>
        <w:t xml:space="preserve">            </w:t>
      </w:r>
    </w:p>
    <w:p w14:paraId="16C6A905">
      <w:pPr>
        <w:snapToGrid w:val="0"/>
        <w:spacing w:before="50" w:after="120" w:afterLines="50"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5346C7D6">
      <w:pPr>
        <w:snapToGrid w:val="0"/>
        <w:spacing w:before="120" w:beforeLines="50" w:after="50" w:line="276" w:lineRule="auto"/>
        <w:rPr>
          <w:rFonts w:hint="eastAsia" w:asciiTheme="minorEastAsia" w:hAnsiTheme="minorEastAsia" w:eastAsiaTheme="minorEastAsia"/>
          <w:b/>
          <w:color w:val="auto"/>
          <w:sz w:val="24"/>
          <w:highlight w:val="none"/>
        </w:rPr>
      </w:pPr>
    </w:p>
    <w:p w14:paraId="03162EEC">
      <w:pPr>
        <w:snapToGrid w:val="0"/>
        <w:spacing w:before="120" w:beforeLines="50" w:after="50" w:line="276" w:lineRule="auto"/>
        <w:rPr>
          <w:rFonts w:hint="eastAsia" w:asciiTheme="minorEastAsia" w:hAnsiTheme="minorEastAsia" w:eastAsiaTheme="minorEastAsia"/>
          <w:b/>
          <w:color w:val="auto"/>
          <w:sz w:val="24"/>
          <w:highlight w:val="none"/>
        </w:rPr>
      </w:pPr>
    </w:p>
    <w:p w14:paraId="6F5E81ED">
      <w:pPr>
        <w:snapToGrid w:val="0"/>
        <w:spacing w:before="120" w:beforeLines="50" w:after="50" w:line="276" w:lineRule="auto"/>
        <w:rPr>
          <w:rFonts w:hint="eastAsia" w:asciiTheme="minorEastAsia" w:hAnsiTheme="minorEastAsia" w:eastAsiaTheme="minorEastAsia"/>
          <w:b/>
          <w:color w:val="auto"/>
          <w:sz w:val="24"/>
          <w:highlight w:val="none"/>
        </w:rPr>
      </w:pPr>
    </w:p>
    <w:p w14:paraId="7A33324E">
      <w:pPr>
        <w:snapToGrid w:val="0"/>
        <w:spacing w:before="120" w:beforeLines="50" w:after="50" w:line="276" w:lineRule="auto"/>
        <w:rPr>
          <w:rFonts w:hint="eastAsia" w:asciiTheme="minorEastAsia" w:hAnsiTheme="minorEastAsia" w:eastAsiaTheme="minorEastAsia"/>
          <w:b/>
          <w:color w:val="auto"/>
          <w:sz w:val="24"/>
          <w:highlight w:val="none"/>
        </w:rPr>
      </w:pPr>
    </w:p>
    <w:p w14:paraId="2299FDA7">
      <w:pPr>
        <w:pStyle w:val="2"/>
        <w:ind w:firstLine="0" w:firstLineChars="0"/>
        <w:rPr>
          <w:rFonts w:hint="eastAsia" w:asciiTheme="minorEastAsia" w:hAnsiTheme="minorEastAsia" w:eastAsiaTheme="minorEastAsia"/>
          <w:b/>
          <w:color w:val="auto"/>
          <w:sz w:val="24"/>
          <w:highlight w:val="none"/>
        </w:rPr>
      </w:pPr>
    </w:p>
    <w:p w14:paraId="676C1F72">
      <w:pPr>
        <w:spacing w:line="360" w:lineRule="auto"/>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附件5：项目成员一览表</w:t>
      </w:r>
    </w:p>
    <w:p w14:paraId="0AA53FC4">
      <w:pPr>
        <w:ind w:firstLine="3373" w:firstLineChars="1200"/>
        <w:rPr>
          <w:rFonts w:hint="eastAsia" w:cs="仿宋" w:asciiTheme="minorEastAsia" w:hAnsiTheme="minorEastAsia" w:eastAsiaTheme="minorEastAsia"/>
          <w:b/>
          <w:bCs/>
          <w:snapToGrid w:val="0"/>
          <w:color w:val="auto"/>
          <w:sz w:val="28"/>
          <w:szCs w:val="28"/>
          <w:highlight w:val="none"/>
        </w:rPr>
      </w:pPr>
      <w:r>
        <w:rPr>
          <w:rFonts w:hint="eastAsia" w:cs="仿宋" w:asciiTheme="minorEastAsia" w:hAnsiTheme="minorEastAsia" w:eastAsiaTheme="minorEastAsia"/>
          <w:b/>
          <w:bCs/>
          <w:snapToGrid w:val="0"/>
          <w:color w:val="auto"/>
          <w:sz w:val="28"/>
          <w:szCs w:val="28"/>
          <w:highlight w:val="none"/>
        </w:rPr>
        <w:t>拟投入项目成员概况一览表</w:t>
      </w:r>
    </w:p>
    <w:p w14:paraId="414104FD">
      <w:pPr>
        <w:pStyle w:val="2"/>
        <w:ind w:firstLine="0" w:firstLineChars="0"/>
        <w:rPr>
          <w:rFonts w:hint="eastAsia" w:cs="仿宋" w:asciiTheme="minorEastAsia" w:hAnsiTheme="minorEastAsia" w:eastAsiaTheme="minorEastAsia"/>
          <w:color w:val="auto"/>
          <w:highlight w:val="none"/>
        </w:rPr>
      </w:pPr>
    </w:p>
    <w:tbl>
      <w:tblPr>
        <w:tblStyle w:val="19"/>
        <w:tblW w:w="88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494"/>
        <w:gridCol w:w="1653"/>
        <w:gridCol w:w="1240"/>
        <w:gridCol w:w="1343"/>
        <w:gridCol w:w="3115"/>
      </w:tblGrid>
      <w:tr w14:paraId="73CCE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7A6E7A9A">
            <w:pPr>
              <w:jc w:val="center"/>
              <w:rPr>
                <w:rFonts w:hint="eastAsia"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姓名</w:t>
            </w:r>
          </w:p>
        </w:tc>
        <w:tc>
          <w:tcPr>
            <w:tcW w:w="1653" w:type="dxa"/>
            <w:vAlign w:val="center"/>
          </w:tcPr>
          <w:p w14:paraId="64E2671F">
            <w:pPr>
              <w:jc w:val="center"/>
              <w:rPr>
                <w:rFonts w:hint="eastAsia"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年  龄</w:t>
            </w:r>
          </w:p>
        </w:tc>
        <w:tc>
          <w:tcPr>
            <w:tcW w:w="1240" w:type="dxa"/>
            <w:vAlign w:val="center"/>
          </w:tcPr>
          <w:p w14:paraId="37D88477">
            <w:pPr>
              <w:jc w:val="center"/>
              <w:rPr>
                <w:rFonts w:hint="eastAsia"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职务</w:t>
            </w:r>
          </w:p>
        </w:tc>
        <w:tc>
          <w:tcPr>
            <w:tcW w:w="1343" w:type="dxa"/>
            <w:vAlign w:val="center"/>
          </w:tcPr>
          <w:p w14:paraId="35C8F955">
            <w:pPr>
              <w:jc w:val="center"/>
              <w:rPr>
                <w:rFonts w:hint="eastAsia"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参加本单位</w:t>
            </w:r>
          </w:p>
          <w:p w14:paraId="073A0101">
            <w:pPr>
              <w:jc w:val="center"/>
              <w:rPr>
                <w:rFonts w:hint="eastAsia"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工作时间</w:t>
            </w:r>
          </w:p>
        </w:tc>
        <w:tc>
          <w:tcPr>
            <w:tcW w:w="3115" w:type="dxa"/>
            <w:vAlign w:val="center"/>
          </w:tcPr>
          <w:p w14:paraId="1DB7C063">
            <w:pPr>
              <w:jc w:val="center"/>
              <w:rPr>
                <w:rFonts w:hint="eastAsia" w:cs="仿宋" w:asciiTheme="minorEastAsia" w:hAnsiTheme="minorEastAsia" w:eastAsiaTheme="minorEastAsia"/>
                <w:snapToGrid w:val="0"/>
                <w:color w:val="auto"/>
                <w:highlight w:val="none"/>
              </w:rPr>
            </w:pPr>
            <w:r>
              <w:rPr>
                <w:rFonts w:hint="eastAsia" w:cs="仿宋" w:asciiTheme="minorEastAsia" w:hAnsiTheme="minorEastAsia" w:eastAsiaTheme="minorEastAsia"/>
                <w:snapToGrid w:val="0"/>
                <w:color w:val="auto"/>
                <w:highlight w:val="none"/>
              </w:rPr>
              <w:t>发债工作经历</w:t>
            </w:r>
          </w:p>
        </w:tc>
      </w:tr>
      <w:tr w14:paraId="467D5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5A1B8F2B">
            <w:pPr>
              <w:jc w:val="center"/>
              <w:rPr>
                <w:rFonts w:hint="eastAsia" w:asciiTheme="minorEastAsia" w:hAnsiTheme="minorEastAsia" w:eastAsiaTheme="minorEastAsia"/>
                <w:snapToGrid w:val="0"/>
                <w:color w:val="auto"/>
                <w:highlight w:val="none"/>
              </w:rPr>
            </w:pPr>
          </w:p>
        </w:tc>
        <w:tc>
          <w:tcPr>
            <w:tcW w:w="1653" w:type="dxa"/>
            <w:vAlign w:val="center"/>
          </w:tcPr>
          <w:p w14:paraId="62D5431F">
            <w:pPr>
              <w:jc w:val="center"/>
              <w:rPr>
                <w:rFonts w:hint="eastAsia" w:asciiTheme="minorEastAsia" w:hAnsiTheme="minorEastAsia" w:eastAsiaTheme="minorEastAsia"/>
                <w:snapToGrid w:val="0"/>
                <w:color w:val="auto"/>
                <w:highlight w:val="none"/>
              </w:rPr>
            </w:pPr>
          </w:p>
        </w:tc>
        <w:tc>
          <w:tcPr>
            <w:tcW w:w="1240" w:type="dxa"/>
            <w:vAlign w:val="center"/>
          </w:tcPr>
          <w:p w14:paraId="019A3526">
            <w:pPr>
              <w:jc w:val="center"/>
              <w:rPr>
                <w:rFonts w:hint="eastAsia" w:asciiTheme="minorEastAsia" w:hAnsiTheme="minorEastAsia" w:eastAsiaTheme="minorEastAsia"/>
                <w:snapToGrid w:val="0"/>
                <w:color w:val="auto"/>
                <w:highlight w:val="none"/>
              </w:rPr>
            </w:pPr>
          </w:p>
        </w:tc>
        <w:tc>
          <w:tcPr>
            <w:tcW w:w="1343" w:type="dxa"/>
            <w:vAlign w:val="center"/>
          </w:tcPr>
          <w:p w14:paraId="654AB876">
            <w:pPr>
              <w:jc w:val="center"/>
              <w:rPr>
                <w:rFonts w:hint="eastAsia" w:asciiTheme="minorEastAsia" w:hAnsiTheme="minorEastAsia" w:eastAsiaTheme="minorEastAsia"/>
                <w:snapToGrid w:val="0"/>
                <w:color w:val="auto"/>
                <w:highlight w:val="none"/>
              </w:rPr>
            </w:pPr>
          </w:p>
        </w:tc>
        <w:tc>
          <w:tcPr>
            <w:tcW w:w="3115" w:type="dxa"/>
            <w:vAlign w:val="center"/>
          </w:tcPr>
          <w:p w14:paraId="3BBA6DE4">
            <w:pPr>
              <w:jc w:val="center"/>
              <w:rPr>
                <w:rFonts w:hint="eastAsia" w:asciiTheme="minorEastAsia" w:hAnsiTheme="minorEastAsia" w:eastAsiaTheme="minorEastAsia"/>
                <w:snapToGrid w:val="0"/>
                <w:color w:val="auto"/>
                <w:highlight w:val="none"/>
              </w:rPr>
            </w:pPr>
          </w:p>
        </w:tc>
      </w:tr>
      <w:tr w14:paraId="25F2A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7F5D7616">
            <w:pPr>
              <w:jc w:val="center"/>
              <w:rPr>
                <w:rFonts w:hint="eastAsia" w:asciiTheme="minorEastAsia" w:hAnsiTheme="minorEastAsia" w:eastAsiaTheme="minorEastAsia"/>
                <w:snapToGrid w:val="0"/>
                <w:color w:val="auto"/>
                <w:highlight w:val="none"/>
              </w:rPr>
            </w:pPr>
          </w:p>
        </w:tc>
        <w:tc>
          <w:tcPr>
            <w:tcW w:w="1653" w:type="dxa"/>
            <w:vAlign w:val="center"/>
          </w:tcPr>
          <w:p w14:paraId="1B1C0205">
            <w:pPr>
              <w:jc w:val="center"/>
              <w:rPr>
                <w:rFonts w:hint="eastAsia" w:asciiTheme="minorEastAsia" w:hAnsiTheme="minorEastAsia" w:eastAsiaTheme="minorEastAsia"/>
                <w:snapToGrid w:val="0"/>
                <w:color w:val="auto"/>
                <w:highlight w:val="none"/>
              </w:rPr>
            </w:pPr>
          </w:p>
        </w:tc>
        <w:tc>
          <w:tcPr>
            <w:tcW w:w="1240" w:type="dxa"/>
            <w:vAlign w:val="center"/>
          </w:tcPr>
          <w:p w14:paraId="1A20922A">
            <w:pPr>
              <w:jc w:val="center"/>
              <w:rPr>
                <w:rFonts w:hint="eastAsia" w:asciiTheme="minorEastAsia" w:hAnsiTheme="minorEastAsia" w:eastAsiaTheme="minorEastAsia"/>
                <w:snapToGrid w:val="0"/>
                <w:color w:val="auto"/>
                <w:highlight w:val="none"/>
              </w:rPr>
            </w:pPr>
          </w:p>
        </w:tc>
        <w:tc>
          <w:tcPr>
            <w:tcW w:w="1343" w:type="dxa"/>
            <w:vAlign w:val="center"/>
          </w:tcPr>
          <w:p w14:paraId="5F4066A4">
            <w:pPr>
              <w:jc w:val="center"/>
              <w:rPr>
                <w:rFonts w:hint="eastAsia" w:asciiTheme="minorEastAsia" w:hAnsiTheme="minorEastAsia" w:eastAsiaTheme="minorEastAsia"/>
                <w:snapToGrid w:val="0"/>
                <w:color w:val="auto"/>
                <w:highlight w:val="none"/>
              </w:rPr>
            </w:pPr>
          </w:p>
        </w:tc>
        <w:tc>
          <w:tcPr>
            <w:tcW w:w="3115" w:type="dxa"/>
            <w:vAlign w:val="center"/>
          </w:tcPr>
          <w:p w14:paraId="18518369">
            <w:pPr>
              <w:jc w:val="center"/>
              <w:rPr>
                <w:rFonts w:hint="eastAsia" w:asciiTheme="minorEastAsia" w:hAnsiTheme="minorEastAsia" w:eastAsiaTheme="minorEastAsia"/>
                <w:snapToGrid w:val="0"/>
                <w:color w:val="auto"/>
                <w:highlight w:val="none"/>
              </w:rPr>
            </w:pPr>
          </w:p>
        </w:tc>
      </w:tr>
      <w:tr w14:paraId="10367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042EF5ED">
            <w:pPr>
              <w:jc w:val="center"/>
              <w:rPr>
                <w:rFonts w:hint="eastAsia" w:asciiTheme="minorEastAsia" w:hAnsiTheme="minorEastAsia" w:eastAsiaTheme="minorEastAsia"/>
                <w:snapToGrid w:val="0"/>
                <w:color w:val="auto"/>
                <w:highlight w:val="none"/>
              </w:rPr>
            </w:pPr>
          </w:p>
        </w:tc>
        <w:tc>
          <w:tcPr>
            <w:tcW w:w="1653" w:type="dxa"/>
            <w:vAlign w:val="center"/>
          </w:tcPr>
          <w:p w14:paraId="57B6FF62">
            <w:pPr>
              <w:jc w:val="center"/>
              <w:rPr>
                <w:rFonts w:hint="eastAsia" w:asciiTheme="minorEastAsia" w:hAnsiTheme="minorEastAsia" w:eastAsiaTheme="minorEastAsia"/>
                <w:snapToGrid w:val="0"/>
                <w:color w:val="auto"/>
                <w:highlight w:val="none"/>
              </w:rPr>
            </w:pPr>
          </w:p>
        </w:tc>
        <w:tc>
          <w:tcPr>
            <w:tcW w:w="1240" w:type="dxa"/>
            <w:vAlign w:val="center"/>
          </w:tcPr>
          <w:p w14:paraId="7A4BD02E">
            <w:pPr>
              <w:jc w:val="center"/>
              <w:rPr>
                <w:rFonts w:hint="eastAsia" w:asciiTheme="minorEastAsia" w:hAnsiTheme="minorEastAsia" w:eastAsiaTheme="minorEastAsia"/>
                <w:snapToGrid w:val="0"/>
                <w:color w:val="auto"/>
                <w:highlight w:val="none"/>
              </w:rPr>
            </w:pPr>
          </w:p>
        </w:tc>
        <w:tc>
          <w:tcPr>
            <w:tcW w:w="1343" w:type="dxa"/>
            <w:vAlign w:val="center"/>
          </w:tcPr>
          <w:p w14:paraId="5D4FB1B9">
            <w:pPr>
              <w:jc w:val="center"/>
              <w:rPr>
                <w:rFonts w:hint="eastAsia" w:asciiTheme="minorEastAsia" w:hAnsiTheme="minorEastAsia" w:eastAsiaTheme="minorEastAsia"/>
                <w:snapToGrid w:val="0"/>
                <w:color w:val="auto"/>
                <w:highlight w:val="none"/>
              </w:rPr>
            </w:pPr>
          </w:p>
        </w:tc>
        <w:tc>
          <w:tcPr>
            <w:tcW w:w="3115" w:type="dxa"/>
            <w:vAlign w:val="center"/>
          </w:tcPr>
          <w:p w14:paraId="3EC0250D">
            <w:pPr>
              <w:jc w:val="center"/>
              <w:rPr>
                <w:rFonts w:hint="eastAsia" w:asciiTheme="minorEastAsia" w:hAnsiTheme="minorEastAsia" w:eastAsiaTheme="minorEastAsia"/>
                <w:snapToGrid w:val="0"/>
                <w:color w:val="auto"/>
                <w:highlight w:val="none"/>
              </w:rPr>
            </w:pPr>
          </w:p>
        </w:tc>
      </w:tr>
      <w:tr w14:paraId="75A81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3E769F6C">
            <w:pPr>
              <w:jc w:val="center"/>
              <w:rPr>
                <w:rFonts w:hint="eastAsia" w:asciiTheme="minorEastAsia" w:hAnsiTheme="minorEastAsia" w:eastAsiaTheme="minorEastAsia"/>
                <w:snapToGrid w:val="0"/>
                <w:color w:val="auto"/>
                <w:highlight w:val="none"/>
              </w:rPr>
            </w:pPr>
          </w:p>
        </w:tc>
        <w:tc>
          <w:tcPr>
            <w:tcW w:w="1653" w:type="dxa"/>
            <w:vAlign w:val="center"/>
          </w:tcPr>
          <w:p w14:paraId="6378BC77">
            <w:pPr>
              <w:jc w:val="center"/>
              <w:rPr>
                <w:rFonts w:hint="eastAsia" w:asciiTheme="minorEastAsia" w:hAnsiTheme="minorEastAsia" w:eastAsiaTheme="minorEastAsia"/>
                <w:snapToGrid w:val="0"/>
                <w:color w:val="auto"/>
                <w:highlight w:val="none"/>
              </w:rPr>
            </w:pPr>
          </w:p>
        </w:tc>
        <w:tc>
          <w:tcPr>
            <w:tcW w:w="1240" w:type="dxa"/>
            <w:vAlign w:val="center"/>
          </w:tcPr>
          <w:p w14:paraId="7E41B964">
            <w:pPr>
              <w:jc w:val="center"/>
              <w:rPr>
                <w:rFonts w:hint="eastAsia" w:asciiTheme="minorEastAsia" w:hAnsiTheme="minorEastAsia" w:eastAsiaTheme="minorEastAsia"/>
                <w:snapToGrid w:val="0"/>
                <w:color w:val="auto"/>
                <w:highlight w:val="none"/>
              </w:rPr>
            </w:pPr>
          </w:p>
        </w:tc>
        <w:tc>
          <w:tcPr>
            <w:tcW w:w="1343" w:type="dxa"/>
            <w:vAlign w:val="center"/>
          </w:tcPr>
          <w:p w14:paraId="6748F76A">
            <w:pPr>
              <w:jc w:val="center"/>
              <w:rPr>
                <w:rFonts w:hint="eastAsia" w:asciiTheme="minorEastAsia" w:hAnsiTheme="minorEastAsia" w:eastAsiaTheme="minorEastAsia"/>
                <w:snapToGrid w:val="0"/>
                <w:color w:val="auto"/>
                <w:highlight w:val="none"/>
              </w:rPr>
            </w:pPr>
          </w:p>
        </w:tc>
        <w:tc>
          <w:tcPr>
            <w:tcW w:w="3115" w:type="dxa"/>
            <w:vAlign w:val="center"/>
          </w:tcPr>
          <w:p w14:paraId="11384D7C">
            <w:pPr>
              <w:jc w:val="center"/>
              <w:rPr>
                <w:rFonts w:hint="eastAsia" w:asciiTheme="minorEastAsia" w:hAnsiTheme="minorEastAsia" w:eastAsiaTheme="minorEastAsia"/>
                <w:snapToGrid w:val="0"/>
                <w:color w:val="auto"/>
                <w:highlight w:val="none"/>
              </w:rPr>
            </w:pPr>
          </w:p>
        </w:tc>
      </w:tr>
      <w:tr w14:paraId="26398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1EB18A4B">
            <w:pPr>
              <w:jc w:val="center"/>
              <w:rPr>
                <w:rFonts w:hint="eastAsia" w:asciiTheme="minorEastAsia" w:hAnsiTheme="minorEastAsia" w:eastAsiaTheme="minorEastAsia"/>
                <w:snapToGrid w:val="0"/>
                <w:color w:val="auto"/>
                <w:highlight w:val="none"/>
              </w:rPr>
            </w:pPr>
          </w:p>
        </w:tc>
        <w:tc>
          <w:tcPr>
            <w:tcW w:w="1653" w:type="dxa"/>
            <w:vAlign w:val="center"/>
          </w:tcPr>
          <w:p w14:paraId="7803B133">
            <w:pPr>
              <w:jc w:val="center"/>
              <w:rPr>
                <w:rFonts w:hint="eastAsia" w:asciiTheme="minorEastAsia" w:hAnsiTheme="minorEastAsia" w:eastAsiaTheme="minorEastAsia"/>
                <w:snapToGrid w:val="0"/>
                <w:color w:val="auto"/>
                <w:highlight w:val="none"/>
              </w:rPr>
            </w:pPr>
          </w:p>
        </w:tc>
        <w:tc>
          <w:tcPr>
            <w:tcW w:w="1240" w:type="dxa"/>
            <w:vAlign w:val="center"/>
          </w:tcPr>
          <w:p w14:paraId="48FA68D6">
            <w:pPr>
              <w:jc w:val="center"/>
              <w:rPr>
                <w:rFonts w:hint="eastAsia" w:asciiTheme="minorEastAsia" w:hAnsiTheme="minorEastAsia" w:eastAsiaTheme="minorEastAsia"/>
                <w:snapToGrid w:val="0"/>
                <w:color w:val="auto"/>
                <w:highlight w:val="none"/>
              </w:rPr>
            </w:pPr>
          </w:p>
        </w:tc>
        <w:tc>
          <w:tcPr>
            <w:tcW w:w="1343" w:type="dxa"/>
            <w:vAlign w:val="center"/>
          </w:tcPr>
          <w:p w14:paraId="70418391">
            <w:pPr>
              <w:jc w:val="center"/>
              <w:rPr>
                <w:rFonts w:hint="eastAsia" w:asciiTheme="minorEastAsia" w:hAnsiTheme="minorEastAsia" w:eastAsiaTheme="minorEastAsia"/>
                <w:snapToGrid w:val="0"/>
                <w:color w:val="auto"/>
                <w:highlight w:val="none"/>
              </w:rPr>
            </w:pPr>
          </w:p>
        </w:tc>
        <w:tc>
          <w:tcPr>
            <w:tcW w:w="3115" w:type="dxa"/>
            <w:vAlign w:val="center"/>
          </w:tcPr>
          <w:p w14:paraId="433BE282">
            <w:pPr>
              <w:jc w:val="center"/>
              <w:rPr>
                <w:rFonts w:hint="eastAsia" w:asciiTheme="minorEastAsia" w:hAnsiTheme="minorEastAsia" w:eastAsiaTheme="minorEastAsia"/>
                <w:snapToGrid w:val="0"/>
                <w:color w:val="auto"/>
                <w:highlight w:val="none"/>
              </w:rPr>
            </w:pPr>
          </w:p>
        </w:tc>
      </w:tr>
      <w:tr w14:paraId="4BD73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1A739D73">
            <w:pPr>
              <w:jc w:val="center"/>
              <w:rPr>
                <w:rFonts w:hint="eastAsia" w:asciiTheme="minorEastAsia" w:hAnsiTheme="minorEastAsia" w:eastAsiaTheme="minorEastAsia"/>
                <w:snapToGrid w:val="0"/>
                <w:color w:val="auto"/>
                <w:highlight w:val="none"/>
              </w:rPr>
            </w:pPr>
          </w:p>
        </w:tc>
        <w:tc>
          <w:tcPr>
            <w:tcW w:w="1653" w:type="dxa"/>
            <w:vAlign w:val="center"/>
          </w:tcPr>
          <w:p w14:paraId="19D840D9">
            <w:pPr>
              <w:jc w:val="center"/>
              <w:rPr>
                <w:rFonts w:hint="eastAsia" w:asciiTheme="minorEastAsia" w:hAnsiTheme="minorEastAsia" w:eastAsiaTheme="minorEastAsia"/>
                <w:snapToGrid w:val="0"/>
                <w:color w:val="auto"/>
                <w:highlight w:val="none"/>
              </w:rPr>
            </w:pPr>
          </w:p>
        </w:tc>
        <w:tc>
          <w:tcPr>
            <w:tcW w:w="1240" w:type="dxa"/>
            <w:vAlign w:val="center"/>
          </w:tcPr>
          <w:p w14:paraId="3933648C">
            <w:pPr>
              <w:jc w:val="center"/>
              <w:rPr>
                <w:rFonts w:hint="eastAsia" w:asciiTheme="minorEastAsia" w:hAnsiTheme="minorEastAsia" w:eastAsiaTheme="minorEastAsia"/>
                <w:snapToGrid w:val="0"/>
                <w:color w:val="auto"/>
                <w:highlight w:val="none"/>
              </w:rPr>
            </w:pPr>
          </w:p>
        </w:tc>
        <w:tc>
          <w:tcPr>
            <w:tcW w:w="1343" w:type="dxa"/>
            <w:vAlign w:val="center"/>
          </w:tcPr>
          <w:p w14:paraId="5E81FED0">
            <w:pPr>
              <w:jc w:val="center"/>
              <w:rPr>
                <w:rFonts w:hint="eastAsia" w:asciiTheme="minorEastAsia" w:hAnsiTheme="minorEastAsia" w:eastAsiaTheme="minorEastAsia"/>
                <w:snapToGrid w:val="0"/>
                <w:color w:val="auto"/>
                <w:highlight w:val="none"/>
              </w:rPr>
            </w:pPr>
          </w:p>
        </w:tc>
        <w:tc>
          <w:tcPr>
            <w:tcW w:w="3115" w:type="dxa"/>
            <w:vAlign w:val="center"/>
          </w:tcPr>
          <w:p w14:paraId="28EC23A2">
            <w:pPr>
              <w:jc w:val="center"/>
              <w:rPr>
                <w:rFonts w:hint="eastAsia" w:asciiTheme="minorEastAsia" w:hAnsiTheme="minorEastAsia" w:eastAsiaTheme="minorEastAsia"/>
                <w:snapToGrid w:val="0"/>
                <w:color w:val="auto"/>
                <w:highlight w:val="none"/>
              </w:rPr>
            </w:pPr>
          </w:p>
        </w:tc>
      </w:tr>
      <w:tr w14:paraId="7638A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76194953">
            <w:pPr>
              <w:jc w:val="center"/>
              <w:rPr>
                <w:rFonts w:hint="eastAsia" w:asciiTheme="minorEastAsia" w:hAnsiTheme="minorEastAsia" w:eastAsiaTheme="minorEastAsia"/>
                <w:snapToGrid w:val="0"/>
                <w:color w:val="auto"/>
                <w:highlight w:val="none"/>
              </w:rPr>
            </w:pPr>
          </w:p>
        </w:tc>
        <w:tc>
          <w:tcPr>
            <w:tcW w:w="1653" w:type="dxa"/>
            <w:vAlign w:val="center"/>
          </w:tcPr>
          <w:p w14:paraId="23417F57">
            <w:pPr>
              <w:jc w:val="center"/>
              <w:rPr>
                <w:rFonts w:hint="eastAsia" w:asciiTheme="minorEastAsia" w:hAnsiTheme="minorEastAsia" w:eastAsiaTheme="minorEastAsia"/>
                <w:snapToGrid w:val="0"/>
                <w:color w:val="auto"/>
                <w:highlight w:val="none"/>
              </w:rPr>
            </w:pPr>
          </w:p>
        </w:tc>
        <w:tc>
          <w:tcPr>
            <w:tcW w:w="1240" w:type="dxa"/>
            <w:vAlign w:val="center"/>
          </w:tcPr>
          <w:p w14:paraId="56160E83">
            <w:pPr>
              <w:jc w:val="center"/>
              <w:rPr>
                <w:rFonts w:hint="eastAsia" w:asciiTheme="minorEastAsia" w:hAnsiTheme="minorEastAsia" w:eastAsiaTheme="minorEastAsia"/>
                <w:snapToGrid w:val="0"/>
                <w:color w:val="auto"/>
                <w:highlight w:val="none"/>
              </w:rPr>
            </w:pPr>
          </w:p>
        </w:tc>
        <w:tc>
          <w:tcPr>
            <w:tcW w:w="1343" w:type="dxa"/>
            <w:vAlign w:val="center"/>
          </w:tcPr>
          <w:p w14:paraId="000D5988">
            <w:pPr>
              <w:jc w:val="center"/>
              <w:rPr>
                <w:rFonts w:hint="eastAsia" w:asciiTheme="minorEastAsia" w:hAnsiTheme="minorEastAsia" w:eastAsiaTheme="minorEastAsia"/>
                <w:snapToGrid w:val="0"/>
                <w:color w:val="auto"/>
                <w:highlight w:val="none"/>
              </w:rPr>
            </w:pPr>
          </w:p>
        </w:tc>
        <w:tc>
          <w:tcPr>
            <w:tcW w:w="3115" w:type="dxa"/>
            <w:vAlign w:val="center"/>
          </w:tcPr>
          <w:p w14:paraId="159D03FA">
            <w:pPr>
              <w:jc w:val="center"/>
              <w:rPr>
                <w:rFonts w:hint="eastAsia" w:asciiTheme="minorEastAsia" w:hAnsiTheme="minorEastAsia" w:eastAsiaTheme="minorEastAsia"/>
                <w:snapToGrid w:val="0"/>
                <w:color w:val="auto"/>
                <w:highlight w:val="none"/>
              </w:rPr>
            </w:pPr>
          </w:p>
        </w:tc>
      </w:tr>
      <w:tr w14:paraId="42780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607E447C">
            <w:pPr>
              <w:jc w:val="center"/>
              <w:rPr>
                <w:rFonts w:hint="eastAsia" w:asciiTheme="minorEastAsia" w:hAnsiTheme="minorEastAsia" w:eastAsiaTheme="minorEastAsia"/>
                <w:snapToGrid w:val="0"/>
                <w:color w:val="auto"/>
                <w:highlight w:val="none"/>
              </w:rPr>
            </w:pPr>
          </w:p>
        </w:tc>
        <w:tc>
          <w:tcPr>
            <w:tcW w:w="1653" w:type="dxa"/>
            <w:vAlign w:val="center"/>
          </w:tcPr>
          <w:p w14:paraId="4BE86382">
            <w:pPr>
              <w:jc w:val="center"/>
              <w:rPr>
                <w:rFonts w:hint="eastAsia" w:asciiTheme="minorEastAsia" w:hAnsiTheme="minorEastAsia" w:eastAsiaTheme="minorEastAsia"/>
                <w:snapToGrid w:val="0"/>
                <w:color w:val="auto"/>
                <w:highlight w:val="none"/>
              </w:rPr>
            </w:pPr>
          </w:p>
        </w:tc>
        <w:tc>
          <w:tcPr>
            <w:tcW w:w="1240" w:type="dxa"/>
            <w:vAlign w:val="center"/>
          </w:tcPr>
          <w:p w14:paraId="0C6FD3F3">
            <w:pPr>
              <w:jc w:val="center"/>
              <w:rPr>
                <w:rFonts w:hint="eastAsia" w:asciiTheme="minorEastAsia" w:hAnsiTheme="minorEastAsia" w:eastAsiaTheme="minorEastAsia"/>
                <w:snapToGrid w:val="0"/>
                <w:color w:val="auto"/>
                <w:highlight w:val="none"/>
              </w:rPr>
            </w:pPr>
          </w:p>
        </w:tc>
        <w:tc>
          <w:tcPr>
            <w:tcW w:w="1343" w:type="dxa"/>
            <w:vAlign w:val="center"/>
          </w:tcPr>
          <w:p w14:paraId="64954AC1">
            <w:pPr>
              <w:jc w:val="center"/>
              <w:rPr>
                <w:rFonts w:hint="eastAsia" w:asciiTheme="minorEastAsia" w:hAnsiTheme="minorEastAsia" w:eastAsiaTheme="minorEastAsia"/>
                <w:snapToGrid w:val="0"/>
                <w:color w:val="auto"/>
                <w:highlight w:val="none"/>
              </w:rPr>
            </w:pPr>
          </w:p>
        </w:tc>
        <w:tc>
          <w:tcPr>
            <w:tcW w:w="3115" w:type="dxa"/>
            <w:vAlign w:val="center"/>
          </w:tcPr>
          <w:p w14:paraId="71E30CE3">
            <w:pPr>
              <w:jc w:val="center"/>
              <w:rPr>
                <w:rFonts w:hint="eastAsia" w:asciiTheme="minorEastAsia" w:hAnsiTheme="minorEastAsia" w:eastAsiaTheme="minorEastAsia"/>
                <w:snapToGrid w:val="0"/>
                <w:color w:val="auto"/>
                <w:highlight w:val="none"/>
              </w:rPr>
            </w:pPr>
          </w:p>
        </w:tc>
      </w:tr>
      <w:tr w14:paraId="72F62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665E8632">
            <w:pPr>
              <w:jc w:val="center"/>
              <w:rPr>
                <w:rFonts w:hint="eastAsia" w:asciiTheme="minorEastAsia" w:hAnsiTheme="minorEastAsia" w:eastAsiaTheme="minorEastAsia"/>
                <w:snapToGrid w:val="0"/>
                <w:color w:val="auto"/>
                <w:highlight w:val="none"/>
              </w:rPr>
            </w:pPr>
          </w:p>
        </w:tc>
        <w:tc>
          <w:tcPr>
            <w:tcW w:w="1653" w:type="dxa"/>
            <w:vAlign w:val="center"/>
          </w:tcPr>
          <w:p w14:paraId="6BE28BD0">
            <w:pPr>
              <w:jc w:val="center"/>
              <w:rPr>
                <w:rFonts w:hint="eastAsia" w:asciiTheme="minorEastAsia" w:hAnsiTheme="minorEastAsia" w:eastAsiaTheme="minorEastAsia"/>
                <w:snapToGrid w:val="0"/>
                <w:color w:val="auto"/>
                <w:highlight w:val="none"/>
              </w:rPr>
            </w:pPr>
          </w:p>
        </w:tc>
        <w:tc>
          <w:tcPr>
            <w:tcW w:w="1240" w:type="dxa"/>
            <w:vAlign w:val="center"/>
          </w:tcPr>
          <w:p w14:paraId="328D492D">
            <w:pPr>
              <w:jc w:val="center"/>
              <w:rPr>
                <w:rFonts w:hint="eastAsia" w:asciiTheme="minorEastAsia" w:hAnsiTheme="minorEastAsia" w:eastAsiaTheme="minorEastAsia"/>
                <w:snapToGrid w:val="0"/>
                <w:color w:val="auto"/>
                <w:highlight w:val="none"/>
              </w:rPr>
            </w:pPr>
          </w:p>
        </w:tc>
        <w:tc>
          <w:tcPr>
            <w:tcW w:w="1343" w:type="dxa"/>
            <w:vAlign w:val="center"/>
          </w:tcPr>
          <w:p w14:paraId="0B221A04">
            <w:pPr>
              <w:jc w:val="center"/>
              <w:rPr>
                <w:rFonts w:hint="eastAsia" w:asciiTheme="minorEastAsia" w:hAnsiTheme="minorEastAsia" w:eastAsiaTheme="minorEastAsia"/>
                <w:snapToGrid w:val="0"/>
                <w:color w:val="auto"/>
                <w:highlight w:val="none"/>
              </w:rPr>
            </w:pPr>
          </w:p>
        </w:tc>
        <w:tc>
          <w:tcPr>
            <w:tcW w:w="3115" w:type="dxa"/>
            <w:vAlign w:val="center"/>
          </w:tcPr>
          <w:p w14:paraId="617128AA">
            <w:pPr>
              <w:jc w:val="center"/>
              <w:rPr>
                <w:rFonts w:hint="eastAsia" w:asciiTheme="minorEastAsia" w:hAnsiTheme="minorEastAsia" w:eastAsiaTheme="minorEastAsia"/>
                <w:snapToGrid w:val="0"/>
                <w:color w:val="auto"/>
                <w:highlight w:val="none"/>
              </w:rPr>
            </w:pPr>
          </w:p>
        </w:tc>
      </w:tr>
      <w:tr w14:paraId="5466E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755606FB">
            <w:pPr>
              <w:jc w:val="center"/>
              <w:rPr>
                <w:rFonts w:hint="eastAsia" w:asciiTheme="minorEastAsia" w:hAnsiTheme="minorEastAsia" w:eastAsiaTheme="minorEastAsia"/>
                <w:snapToGrid w:val="0"/>
                <w:color w:val="auto"/>
                <w:highlight w:val="none"/>
              </w:rPr>
            </w:pPr>
          </w:p>
        </w:tc>
        <w:tc>
          <w:tcPr>
            <w:tcW w:w="1653" w:type="dxa"/>
            <w:vAlign w:val="center"/>
          </w:tcPr>
          <w:p w14:paraId="4F7975AF">
            <w:pPr>
              <w:jc w:val="center"/>
              <w:rPr>
                <w:rFonts w:hint="eastAsia" w:asciiTheme="minorEastAsia" w:hAnsiTheme="minorEastAsia" w:eastAsiaTheme="minorEastAsia"/>
                <w:snapToGrid w:val="0"/>
                <w:color w:val="auto"/>
                <w:highlight w:val="none"/>
              </w:rPr>
            </w:pPr>
          </w:p>
        </w:tc>
        <w:tc>
          <w:tcPr>
            <w:tcW w:w="1240" w:type="dxa"/>
            <w:vAlign w:val="center"/>
          </w:tcPr>
          <w:p w14:paraId="7DCC78B6">
            <w:pPr>
              <w:jc w:val="center"/>
              <w:rPr>
                <w:rFonts w:hint="eastAsia" w:asciiTheme="minorEastAsia" w:hAnsiTheme="minorEastAsia" w:eastAsiaTheme="minorEastAsia"/>
                <w:snapToGrid w:val="0"/>
                <w:color w:val="auto"/>
                <w:highlight w:val="none"/>
              </w:rPr>
            </w:pPr>
          </w:p>
        </w:tc>
        <w:tc>
          <w:tcPr>
            <w:tcW w:w="1343" w:type="dxa"/>
            <w:vAlign w:val="center"/>
          </w:tcPr>
          <w:p w14:paraId="78E23CD7">
            <w:pPr>
              <w:jc w:val="center"/>
              <w:rPr>
                <w:rFonts w:hint="eastAsia" w:asciiTheme="minorEastAsia" w:hAnsiTheme="minorEastAsia" w:eastAsiaTheme="minorEastAsia"/>
                <w:snapToGrid w:val="0"/>
                <w:color w:val="auto"/>
                <w:highlight w:val="none"/>
              </w:rPr>
            </w:pPr>
          </w:p>
        </w:tc>
        <w:tc>
          <w:tcPr>
            <w:tcW w:w="3115" w:type="dxa"/>
            <w:vAlign w:val="center"/>
          </w:tcPr>
          <w:p w14:paraId="71A9FEA6">
            <w:pPr>
              <w:jc w:val="center"/>
              <w:rPr>
                <w:rFonts w:hint="eastAsia" w:asciiTheme="minorEastAsia" w:hAnsiTheme="minorEastAsia" w:eastAsiaTheme="minorEastAsia"/>
                <w:snapToGrid w:val="0"/>
                <w:color w:val="auto"/>
                <w:highlight w:val="none"/>
              </w:rPr>
            </w:pPr>
          </w:p>
        </w:tc>
      </w:tr>
      <w:tr w14:paraId="545C5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2B313F3D">
            <w:pPr>
              <w:jc w:val="center"/>
              <w:rPr>
                <w:rFonts w:hint="eastAsia" w:asciiTheme="minorEastAsia" w:hAnsiTheme="minorEastAsia" w:eastAsiaTheme="minorEastAsia"/>
                <w:snapToGrid w:val="0"/>
                <w:color w:val="auto"/>
                <w:highlight w:val="none"/>
              </w:rPr>
            </w:pPr>
          </w:p>
        </w:tc>
        <w:tc>
          <w:tcPr>
            <w:tcW w:w="1653" w:type="dxa"/>
            <w:vAlign w:val="center"/>
          </w:tcPr>
          <w:p w14:paraId="519CD100">
            <w:pPr>
              <w:jc w:val="center"/>
              <w:rPr>
                <w:rFonts w:hint="eastAsia" w:asciiTheme="minorEastAsia" w:hAnsiTheme="minorEastAsia" w:eastAsiaTheme="minorEastAsia"/>
                <w:snapToGrid w:val="0"/>
                <w:color w:val="auto"/>
                <w:highlight w:val="none"/>
              </w:rPr>
            </w:pPr>
          </w:p>
        </w:tc>
        <w:tc>
          <w:tcPr>
            <w:tcW w:w="1240" w:type="dxa"/>
            <w:vAlign w:val="center"/>
          </w:tcPr>
          <w:p w14:paraId="7885449F">
            <w:pPr>
              <w:jc w:val="center"/>
              <w:rPr>
                <w:rFonts w:hint="eastAsia" w:asciiTheme="minorEastAsia" w:hAnsiTheme="minorEastAsia" w:eastAsiaTheme="minorEastAsia"/>
                <w:snapToGrid w:val="0"/>
                <w:color w:val="auto"/>
                <w:highlight w:val="none"/>
              </w:rPr>
            </w:pPr>
          </w:p>
        </w:tc>
        <w:tc>
          <w:tcPr>
            <w:tcW w:w="1343" w:type="dxa"/>
            <w:vAlign w:val="center"/>
          </w:tcPr>
          <w:p w14:paraId="7F0283A8">
            <w:pPr>
              <w:jc w:val="center"/>
              <w:rPr>
                <w:rFonts w:hint="eastAsia" w:asciiTheme="minorEastAsia" w:hAnsiTheme="minorEastAsia" w:eastAsiaTheme="minorEastAsia"/>
                <w:snapToGrid w:val="0"/>
                <w:color w:val="auto"/>
                <w:highlight w:val="none"/>
              </w:rPr>
            </w:pPr>
          </w:p>
        </w:tc>
        <w:tc>
          <w:tcPr>
            <w:tcW w:w="3115" w:type="dxa"/>
            <w:vAlign w:val="center"/>
          </w:tcPr>
          <w:p w14:paraId="79DDB1FC">
            <w:pPr>
              <w:jc w:val="center"/>
              <w:rPr>
                <w:rFonts w:hint="eastAsia" w:asciiTheme="minorEastAsia" w:hAnsiTheme="minorEastAsia" w:eastAsiaTheme="minorEastAsia"/>
                <w:snapToGrid w:val="0"/>
                <w:color w:val="auto"/>
                <w:highlight w:val="none"/>
              </w:rPr>
            </w:pPr>
          </w:p>
        </w:tc>
      </w:tr>
      <w:tr w14:paraId="2E895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63ACDC7C">
            <w:pPr>
              <w:jc w:val="center"/>
              <w:rPr>
                <w:rFonts w:hint="eastAsia" w:asciiTheme="minorEastAsia" w:hAnsiTheme="minorEastAsia" w:eastAsiaTheme="minorEastAsia"/>
                <w:snapToGrid w:val="0"/>
                <w:color w:val="auto"/>
                <w:highlight w:val="none"/>
              </w:rPr>
            </w:pPr>
          </w:p>
        </w:tc>
        <w:tc>
          <w:tcPr>
            <w:tcW w:w="1653" w:type="dxa"/>
            <w:vAlign w:val="center"/>
          </w:tcPr>
          <w:p w14:paraId="40E1EC4E">
            <w:pPr>
              <w:jc w:val="center"/>
              <w:rPr>
                <w:rFonts w:hint="eastAsia" w:asciiTheme="minorEastAsia" w:hAnsiTheme="minorEastAsia" w:eastAsiaTheme="minorEastAsia"/>
                <w:snapToGrid w:val="0"/>
                <w:color w:val="auto"/>
                <w:highlight w:val="none"/>
              </w:rPr>
            </w:pPr>
          </w:p>
        </w:tc>
        <w:tc>
          <w:tcPr>
            <w:tcW w:w="1240" w:type="dxa"/>
            <w:vAlign w:val="center"/>
          </w:tcPr>
          <w:p w14:paraId="4E3BB469">
            <w:pPr>
              <w:jc w:val="center"/>
              <w:rPr>
                <w:rFonts w:hint="eastAsia" w:asciiTheme="minorEastAsia" w:hAnsiTheme="minorEastAsia" w:eastAsiaTheme="minorEastAsia"/>
                <w:snapToGrid w:val="0"/>
                <w:color w:val="auto"/>
                <w:highlight w:val="none"/>
              </w:rPr>
            </w:pPr>
          </w:p>
        </w:tc>
        <w:tc>
          <w:tcPr>
            <w:tcW w:w="1343" w:type="dxa"/>
            <w:vAlign w:val="center"/>
          </w:tcPr>
          <w:p w14:paraId="178A1DE3">
            <w:pPr>
              <w:jc w:val="center"/>
              <w:rPr>
                <w:rFonts w:hint="eastAsia" w:asciiTheme="minorEastAsia" w:hAnsiTheme="minorEastAsia" w:eastAsiaTheme="minorEastAsia"/>
                <w:snapToGrid w:val="0"/>
                <w:color w:val="auto"/>
                <w:highlight w:val="none"/>
              </w:rPr>
            </w:pPr>
          </w:p>
        </w:tc>
        <w:tc>
          <w:tcPr>
            <w:tcW w:w="3115" w:type="dxa"/>
            <w:vAlign w:val="center"/>
          </w:tcPr>
          <w:p w14:paraId="2D1AA5D7">
            <w:pPr>
              <w:jc w:val="center"/>
              <w:rPr>
                <w:rFonts w:hint="eastAsia" w:asciiTheme="minorEastAsia" w:hAnsiTheme="minorEastAsia" w:eastAsiaTheme="minorEastAsia"/>
                <w:snapToGrid w:val="0"/>
                <w:color w:val="auto"/>
                <w:highlight w:val="none"/>
              </w:rPr>
            </w:pPr>
          </w:p>
        </w:tc>
      </w:tr>
      <w:tr w14:paraId="1C691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619A7A71">
            <w:pPr>
              <w:jc w:val="center"/>
              <w:rPr>
                <w:rFonts w:hint="eastAsia" w:asciiTheme="minorEastAsia" w:hAnsiTheme="minorEastAsia" w:eastAsiaTheme="minorEastAsia"/>
                <w:snapToGrid w:val="0"/>
                <w:color w:val="auto"/>
                <w:highlight w:val="none"/>
              </w:rPr>
            </w:pPr>
          </w:p>
        </w:tc>
        <w:tc>
          <w:tcPr>
            <w:tcW w:w="1653" w:type="dxa"/>
            <w:vAlign w:val="center"/>
          </w:tcPr>
          <w:p w14:paraId="3FC094D2">
            <w:pPr>
              <w:jc w:val="center"/>
              <w:rPr>
                <w:rFonts w:hint="eastAsia" w:asciiTheme="minorEastAsia" w:hAnsiTheme="minorEastAsia" w:eastAsiaTheme="minorEastAsia"/>
                <w:snapToGrid w:val="0"/>
                <w:color w:val="auto"/>
                <w:highlight w:val="none"/>
              </w:rPr>
            </w:pPr>
          </w:p>
        </w:tc>
        <w:tc>
          <w:tcPr>
            <w:tcW w:w="1240" w:type="dxa"/>
            <w:vAlign w:val="center"/>
          </w:tcPr>
          <w:p w14:paraId="57D78B41">
            <w:pPr>
              <w:jc w:val="center"/>
              <w:rPr>
                <w:rFonts w:hint="eastAsia" w:asciiTheme="minorEastAsia" w:hAnsiTheme="minorEastAsia" w:eastAsiaTheme="minorEastAsia"/>
                <w:snapToGrid w:val="0"/>
                <w:color w:val="auto"/>
                <w:highlight w:val="none"/>
              </w:rPr>
            </w:pPr>
          </w:p>
        </w:tc>
        <w:tc>
          <w:tcPr>
            <w:tcW w:w="1343" w:type="dxa"/>
            <w:vAlign w:val="center"/>
          </w:tcPr>
          <w:p w14:paraId="68240D0D">
            <w:pPr>
              <w:jc w:val="center"/>
              <w:rPr>
                <w:rFonts w:hint="eastAsia" w:asciiTheme="minorEastAsia" w:hAnsiTheme="minorEastAsia" w:eastAsiaTheme="minorEastAsia"/>
                <w:snapToGrid w:val="0"/>
                <w:color w:val="auto"/>
                <w:highlight w:val="none"/>
              </w:rPr>
            </w:pPr>
          </w:p>
        </w:tc>
        <w:tc>
          <w:tcPr>
            <w:tcW w:w="3115" w:type="dxa"/>
            <w:vAlign w:val="center"/>
          </w:tcPr>
          <w:p w14:paraId="74717E13">
            <w:pPr>
              <w:jc w:val="center"/>
              <w:rPr>
                <w:rFonts w:hint="eastAsia" w:asciiTheme="minorEastAsia" w:hAnsiTheme="minorEastAsia" w:eastAsiaTheme="minorEastAsia"/>
                <w:snapToGrid w:val="0"/>
                <w:color w:val="auto"/>
                <w:highlight w:val="none"/>
              </w:rPr>
            </w:pPr>
          </w:p>
        </w:tc>
      </w:tr>
      <w:tr w14:paraId="68E08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6C0BACF6">
            <w:pPr>
              <w:jc w:val="center"/>
              <w:rPr>
                <w:rFonts w:hint="eastAsia" w:asciiTheme="minorEastAsia" w:hAnsiTheme="minorEastAsia" w:eastAsiaTheme="minorEastAsia"/>
                <w:snapToGrid w:val="0"/>
                <w:color w:val="auto"/>
                <w:highlight w:val="none"/>
              </w:rPr>
            </w:pPr>
          </w:p>
        </w:tc>
        <w:tc>
          <w:tcPr>
            <w:tcW w:w="1653" w:type="dxa"/>
            <w:vAlign w:val="center"/>
          </w:tcPr>
          <w:p w14:paraId="13527DA1">
            <w:pPr>
              <w:jc w:val="center"/>
              <w:rPr>
                <w:rFonts w:hint="eastAsia" w:asciiTheme="minorEastAsia" w:hAnsiTheme="minorEastAsia" w:eastAsiaTheme="minorEastAsia"/>
                <w:snapToGrid w:val="0"/>
                <w:color w:val="auto"/>
                <w:highlight w:val="none"/>
              </w:rPr>
            </w:pPr>
          </w:p>
        </w:tc>
        <w:tc>
          <w:tcPr>
            <w:tcW w:w="1240" w:type="dxa"/>
            <w:vAlign w:val="center"/>
          </w:tcPr>
          <w:p w14:paraId="6DDDCDFF">
            <w:pPr>
              <w:jc w:val="center"/>
              <w:rPr>
                <w:rFonts w:hint="eastAsia" w:asciiTheme="minorEastAsia" w:hAnsiTheme="minorEastAsia" w:eastAsiaTheme="minorEastAsia"/>
                <w:snapToGrid w:val="0"/>
                <w:color w:val="auto"/>
                <w:highlight w:val="none"/>
              </w:rPr>
            </w:pPr>
          </w:p>
        </w:tc>
        <w:tc>
          <w:tcPr>
            <w:tcW w:w="1343" w:type="dxa"/>
            <w:vAlign w:val="center"/>
          </w:tcPr>
          <w:p w14:paraId="0A4064A1">
            <w:pPr>
              <w:jc w:val="center"/>
              <w:rPr>
                <w:rFonts w:hint="eastAsia" w:asciiTheme="minorEastAsia" w:hAnsiTheme="minorEastAsia" w:eastAsiaTheme="minorEastAsia"/>
                <w:snapToGrid w:val="0"/>
                <w:color w:val="auto"/>
                <w:highlight w:val="none"/>
              </w:rPr>
            </w:pPr>
          </w:p>
        </w:tc>
        <w:tc>
          <w:tcPr>
            <w:tcW w:w="3115" w:type="dxa"/>
            <w:vAlign w:val="center"/>
          </w:tcPr>
          <w:p w14:paraId="605F73C6">
            <w:pPr>
              <w:jc w:val="center"/>
              <w:rPr>
                <w:rFonts w:hint="eastAsia" w:asciiTheme="minorEastAsia" w:hAnsiTheme="minorEastAsia" w:eastAsiaTheme="minorEastAsia"/>
                <w:snapToGrid w:val="0"/>
                <w:color w:val="auto"/>
                <w:highlight w:val="none"/>
              </w:rPr>
            </w:pPr>
          </w:p>
        </w:tc>
      </w:tr>
      <w:tr w14:paraId="0FAD1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3C1C3223">
            <w:pPr>
              <w:jc w:val="center"/>
              <w:rPr>
                <w:rFonts w:hint="eastAsia" w:asciiTheme="minorEastAsia" w:hAnsiTheme="minorEastAsia" w:eastAsiaTheme="minorEastAsia"/>
                <w:snapToGrid w:val="0"/>
                <w:color w:val="auto"/>
                <w:highlight w:val="none"/>
              </w:rPr>
            </w:pPr>
          </w:p>
        </w:tc>
        <w:tc>
          <w:tcPr>
            <w:tcW w:w="1653" w:type="dxa"/>
            <w:vAlign w:val="center"/>
          </w:tcPr>
          <w:p w14:paraId="3F38744F">
            <w:pPr>
              <w:jc w:val="center"/>
              <w:rPr>
                <w:rFonts w:hint="eastAsia" w:asciiTheme="minorEastAsia" w:hAnsiTheme="minorEastAsia" w:eastAsiaTheme="minorEastAsia"/>
                <w:snapToGrid w:val="0"/>
                <w:color w:val="auto"/>
                <w:highlight w:val="none"/>
              </w:rPr>
            </w:pPr>
          </w:p>
        </w:tc>
        <w:tc>
          <w:tcPr>
            <w:tcW w:w="1240" w:type="dxa"/>
            <w:vAlign w:val="center"/>
          </w:tcPr>
          <w:p w14:paraId="7A411B8E">
            <w:pPr>
              <w:jc w:val="center"/>
              <w:rPr>
                <w:rFonts w:hint="eastAsia" w:asciiTheme="minorEastAsia" w:hAnsiTheme="minorEastAsia" w:eastAsiaTheme="minorEastAsia"/>
                <w:snapToGrid w:val="0"/>
                <w:color w:val="auto"/>
                <w:highlight w:val="none"/>
              </w:rPr>
            </w:pPr>
          </w:p>
        </w:tc>
        <w:tc>
          <w:tcPr>
            <w:tcW w:w="1343" w:type="dxa"/>
            <w:vAlign w:val="center"/>
          </w:tcPr>
          <w:p w14:paraId="2679E817">
            <w:pPr>
              <w:jc w:val="center"/>
              <w:rPr>
                <w:rFonts w:hint="eastAsia" w:asciiTheme="minorEastAsia" w:hAnsiTheme="minorEastAsia" w:eastAsiaTheme="minorEastAsia"/>
                <w:snapToGrid w:val="0"/>
                <w:color w:val="auto"/>
                <w:highlight w:val="none"/>
              </w:rPr>
            </w:pPr>
          </w:p>
        </w:tc>
        <w:tc>
          <w:tcPr>
            <w:tcW w:w="3115" w:type="dxa"/>
            <w:vAlign w:val="center"/>
          </w:tcPr>
          <w:p w14:paraId="606B0B9C">
            <w:pPr>
              <w:jc w:val="center"/>
              <w:rPr>
                <w:rFonts w:hint="eastAsia" w:asciiTheme="minorEastAsia" w:hAnsiTheme="minorEastAsia" w:eastAsiaTheme="minorEastAsia"/>
                <w:snapToGrid w:val="0"/>
                <w:color w:val="auto"/>
                <w:highlight w:val="none"/>
              </w:rPr>
            </w:pPr>
          </w:p>
        </w:tc>
      </w:tr>
      <w:tr w14:paraId="393E6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215033E5">
            <w:pPr>
              <w:jc w:val="center"/>
              <w:rPr>
                <w:rFonts w:hint="eastAsia" w:asciiTheme="minorEastAsia" w:hAnsiTheme="minorEastAsia" w:eastAsiaTheme="minorEastAsia"/>
                <w:snapToGrid w:val="0"/>
                <w:color w:val="auto"/>
                <w:highlight w:val="none"/>
              </w:rPr>
            </w:pPr>
          </w:p>
        </w:tc>
        <w:tc>
          <w:tcPr>
            <w:tcW w:w="1653" w:type="dxa"/>
            <w:vAlign w:val="center"/>
          </w:tcPr>
          <w:p w14:paraId="478263C8">
            <w:pPr>
              <w:jc w:val="center"/>
              <w:rPr>
                <w:rFonts w:hint="eastAsia" w:asciiTheme="minorEastAsia" w:hAnsiTheme="minorEastAsia" w:eastAsiaTheme="minorEastAsia"/>
                <w:snapToGrid w:val="0"/>
                <w:color w:val="auto"/>
                <w:highlight w:val="none"/>
              </w:rPr>
            </w:pPr>
          </w:p>
        </w:tc>
        <w:tc>
          <w:tcPr>
            <w:tcW w:w="1240" w:type="dxa"/>
            <w:vAlign w:val="center"/>
          </w:tcPr>
          <w:p w14:paraId="13245DCC">
            <w:pPr>
              <w:jc w:val="center"/>
              <w:rPr>
                <w:rFonts w:hint="eastAsia" w:asciiTheme="minorEastAsia" w:hAnsiTheme="minorEastAsia" w:eastAsiaTheme="minorEastAsia"/>
                <w:snapToGrid w:val="0"/>
                <w:color w:val="auto"/>
                <w:highlight w:val="none"/>
              </w:rPr>
            </w:pPr>
          </w:p>
        </w:tc>
        <w:tc>
          <w:tcPr>
            <w:tcW w:w="1343" w:type="dxa"/>
            <w:vAlign w:val="center"/>
          </w:tcPr>
          <w:p w14:paraId="394C4EA0">
            <w:pPr>
              <w:jc w:val="center"/>
              <w:rPr>
                <w:rFonts w:hint="eastAsia" w:asciiTheme="minorEastAsia" w:hAnsiTheme="minorEastAsia" w:eastAsiaTheme="minorEastAsia"/>
                <w:snapToGrid w:val="0"/>
                <w:color w:val="auto"/>
                <w:highlight w:val="none"/>
              </w:rPr>
            </w:pPr>
          </w:p>
        </w:tc>
        <w:tc>
          <w:tcPr>
            <w:tcW w:w="3115" w:type="dxa"/>
            <w:vAlign w:val="center"/>
          </w:tcPr>
          <w:p w14:paraId="75F3CD67">
            <w:pPr>
              <w:jc w:val="center"/>
              <w:rPr>
                <w:rFonts w:hint="eastAsia" w:asciiTheme="minorEastAsia" w:hAnsiTheme="minorEastAsia" w:eastAsiaTheme="minorEastAsia"/>
                <w:snapToGrid w:val="0"/>
                <w:color w:val="auto"/>
                <w:highlight w:val="none"/>
              </w:rPr>
            </w:pPr>
          </w:p>
        </w:tc>
      </w:tr>
      <w:tr w14:paraId="68BF8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128C5C9F">
            <w:pPr>
              <w:jc w:val="center"/>
              <w:rPr>
                <w:rFonts w:hint="eastAsia" w:asciiTheme="minorEastAsia" w:hAnsiTheme="minorEastAsia" w:eastAsiaTheme="minorEastAsia"/>
                <w:snapToGrid w:val="0"/>
                <w:color w:val="auto"/>
                <w:highlight w:val="none"/>
              </w:rPr>
            </w:pPr>
          </w:p>
        </w:tc>
        <w:tc>
          <w:tcPr>
            <w:tcW w:w="1653" w:type="dxa"/>
            <w:vAlign w:val="center"/>
          </w:tcPr>
          <w:p w14:paraId="1DC03637">
            <w:pPr>
              <w:jc w:val="center"/>
              <w:rPr>
                <w:rFonts w:hint="eastAsia" w:asciiTheme="minorEastAsia" w:hAnsiTheme="minorEastAsia" w:eastAsiaTheme="minorEastAsia"/>
                <w:snapToGrid w:val="0"/>
                <w:color w:val="auto"/>
                <w:highlight w:val="none"/>
              </w:rPr>
            </w:pPr>
          </w:p>
        </w:tc>
        <w:tc>
          <w:tcPr>
            <w:tcW w:w="1240" w:type="dxa"/>
            <w:vAlign w:val="center"/>
          </w:tcPr>
          <w:p w14:paraId="6B52C9B6">
            <w:pPr>
              <w:jc w:val="center"/>
              <w:rPr>
                <w:rFonts w:hint="eastAsia" w:asciiTheme="minorEastAsia" w:hAnsiTheme="minorEastAsia" w:eastAsiaTheme="minorEastAsia"/>
                <w:snapToGrid w:val="0"/>
                <w:color w:val="auto"/>
                <w:highlight w:val="none"/>
              </w:rPr>
            </w:pPr>
          </w:p>
        </w:tc>
        <w:tc>
          <w:tcPr>
            <w:tcW w:w="1343" w:type="dxa"/>
            <w:vAlign w:val="center"/>
          </w:tcPr>
          <w:p w14:paraId="486B8B6D">
            <w:pPr>
              <w:jc w:val="center"/>
              <w:rPr>
                <w:rFonts w:hint="eastAsia" w:asciiTheme="minorEastAsia" w:hAnsiTheme="minorEastAsia" w:eastAsiaTheme="minorEastAsia"/>
                <w:snapToGrid w:val="0"/>
                <w:color w:val="auto"/>
                <w:highlight w:val="none"/>
              </w:rPr>
            </w:pPr>
          </w:p>
        </w:tc>
        <w:tc>
          <w:tcPr>
            <w:tcW w:w="3115" w:type="dxa"/>
            <w:vAlign w:val="center"/>
          </w:tcPr>
          <w:p w14:paraId="1FA51F68">
            <w:pPr>
              <w:jc w:val="center"/>
              <w:rPr>
                <w:rFonts w:hint="eastAsia" w:asciiTheme="minorEastAsia" w:hAnsiTheme="minorEastAsia" w:eastAsiaTheme="minorEastAsia"/>
                <w:snapToGrid w:val="0"/>
                <w:color w:val="auto"/>
                <w:highlight w:val="none"/>
              </w:rPr>
            </w:pPr>
          </w:p>
        </w:tc>
      </w:tr>
      <w:tr w14:paraId="078F4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494" w:type="dxa"/>
            <w:vAlign w:val="center"/>
          </w:tcPr>
          <w:p w14:paraId="6F55D108">
            <w:pPr>
              <w:jc w:val="center"/>
              <w:rPr>
                <w:rFonts w:hint="eastAsia" w:asciiTheme="minorEastAsia" w:hAnsiTheme="minorEastAsia" w:eastAsiaTheme="minorEastAsia"/>
                <w:snapToGrid w:val="0"/>
                <w:color w:val="auto"/>
                <w:highlight w:val="none"/>
              </w:rPr>
            </w:pPr>
          </w:p>
        </w:tc>
        <w:tc>
          <w:tcPr>
            <w:tcW w:w="1653" w:type="dxa"/>
            <w:vAlign w:val="center"/>
          </w:tcPr>
          <w:p w14:paraId="05B75577">
            <w:pPr>
              <w:jc w:val="center"/>
              <w:rPr>
                <w:rFonts w:hint="eastAsia" w:asciiTheme="minorEastAsia" w:hAnsiTheme="minorEastAsia" w:eastAsiaTheme="minorEastAsia"/>
                <w:snapToGrid w:val="0"/>
                <w:color w:val="auto"/>
                <w:highlight w:val="none"/>
              </w:rPr>
            </w:pPr>
          </w:p>
        </w:tc>
        <w:tc>
          <w:tcPr>
            <w:tcW w:w="1240" w:type="dxa"/>
            <w:vAlign w:val="center"/>
          </w:tcPr>
          <w:p w14:paraId="61CF9593">
            <w:pPr>
              <w:jc w:val="center"/>
              <w:rPr>
                <w:rFonts w:hint="eastAsia" w:asciiTheme="minorEastAsia" w:hAnsiTheme="minorEastAsia" w:eastAsiaTheme="minorEastAsia"/>
                <w:snapToGrid w:val="0"/>
                <w:color w:val="auto"/>
                <w:highlight w:val="none"/>
              </w:rPr>
            </w:pPr>
          </w:p>
        </w:tc>
        <w:tc>
          <w:tcPr>
            <w:tcW w:w="1343" w:type="dxa"/>
            <w:vAlign w:val="center"/>
          </w:tcPr>
          <w:p w14:paraId="383AD978">
            <w:pPr>
              <w:jc w:val="center"/>
              <w:rPr>
                <w:rFonts w:hint="eastAsia" w:asciiTheme="minorEastAsia" w:hAnsiTheme="minorEastAsia" w:eastAsiaTheme="minorEastAsia"/>
                <w:snapToGrid w:val="0"/>
                <w:color w:val="auto"/>
                <w:highlight w:val="none"/>
              </w:rPr>
            </w:pPr>
          </w:p>
        </w:tc>
        <w:tc>
          <w:tcPr>
            <w:tcW w:w="3115" w:type="dxa"/>
            <w:vAlign w:val="center"/>
          </w:tcPr>
          <w:p w14:paraId="52D9FC49">
            <w:pPr>
              <w:jc w:val="center"/>
              <w:rPr>
                <w:rFonts w:hint="eastAsia" w:asciiTheme="minorEastAsia" w:hAnsiTheme="minorEastAsia" w:eastAsiaTheme="minorEastAsia"/>
                <w:snapToGrid w:val="0"/>
                <w:color w:val="auto"/>
                <w:highlight w:val="none"/>
              </w:rPr>
            </w:pPr>
          </w:p>
        </w:tc>
      </w:tr>
    </w:tbl>
    <w:p w14:paraId="592C22A0">
      <w:pPr>
        <w:ind w:firstLine="280" w:firstLineChars="100"/>
        <w:rPr>
          <w:rFonts w:hint="eastAsia" w:cs="仿宋_GB2312" w:asciiTheme="minorEastAsia" w:hAnsiTheme="minorEastAsia" w:eastAsiaTheme="minorEastAsia"/>
          <w:color w:val="auto"/>
          <w:sz w:val="28"/>
          <w:szCs w:val="28"/>
          <w:highlight w:val="none"/>
        </w:rPr>
      </w:pPr>
    </w:p>
    <w:p w14:paraId="196B0D37">
      <w:pPr>
        <w:spacing w:line="360" w:lineRule="auto"/>
        <w:ind w:firstLine="280" w:firstLineChars="1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投标承销商名称（盖章）：                      </w:t>
      </w:r>
    </w:p>
    <w:p w14:paraId="45AC97BB">
      <w:pPr>
        <w:spacing w:line="360" w:lineRule="auto"/>
        <w:ind w:firstLine="280" w:firstLineChars="1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法定代表人或委托代理人签字：                          </w:t>
      </w:r>
    </w:p>
    <w:p w14:paraId="02ED4450">
      <w:pPr>
        <w:spacing w:line="360" w:lineRule="auto"/>
        <w:ind w:firstLine="280" w:firstLineChars="1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职        务：                         </w:t>
      </w:r>
    </w:p>
    <w:p w14:paraId="29F01122">
      <w:pPr>
        <w:spacing w:line="360" w:lineRule="auto"/>
        <w:ind w:firstLine="280" w:firstLineChars="1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日        期：      </w:t>
      </w:r>
    </w:p>
    <w:p w14:paraId="1214F060">
      <w:pPr>
        <w:spacing w:line="360" w:lineRule="auto"/>
        <w:ind w:firstLine="280" w:firstLineChars="100"/>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说明：在填写时，如本表格不适合招标主承销商的实际情况，可根据本表格式自行划表填写。</w:t>
      </w:r>
    </w:p>
    <w:p w14:paraId="42CB1322">
      <w:pPr>
        <w:snapToGrid w:val="0"/>
        <w:spacing w:before="50" w:after="120"/>
        <w:jc w:val="left"/>
        <w:rPr>
          <w:rFonts w:hint="eastAsia" w:cs="宋体" w:asciiTheme="minorEastAsia" w:hAnsiTheme="minorEastAsia" w:eastAsiaTheme="minorEastAsia"/>
          <w:b/>
          <w:color w:val="auto"/>
          <w:sz w:val="24"/>
          <w:highlight w:val="none"/>
        </w:rPr>
      </w:pPr>
    </w:p>
    <w:p w14:paraId="68F3AB30">
      <w:pPr>
        <w:spacing w:line="360" w:lineRule="auto"/>
        <w:rPr>
          <w:rFonts w:hint="eastAsia"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3、报价文件（正本1份，副本4分）</w:t>
      </w:r>
    </w:p>
    <w:p w14:paraId="3EB6E7F5">
      <w:pPr>
        <w:spacing w:line="360" w:lineRule="auto"/>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 xml:space="preserve">（1）投标函（格式见附件）； </w:t>
      </w:r>
    </w:p>
    <w:p w14:paraId="02DBC8B5">
      <w:pPr>
        <w:spacing w:line="360" w:lineRule="auto"/>
        <w:rPr>
          <w:rFonts w:hint="eastAsia" w:cs="仿宋" w:asciiTheme="minorEastAsia" w:hAnsiTheme="minorEastAsia" w:eastAsiaTheme="minorEastAsia"/>
          <w:bCs/>
          <w:color w:val="auto"/>
          <w:sz w:val="24"/>
          <w:highlight w:val="none"/>
        </w:rPr>
      </w:pPr>
      <w:r>
        <w:rPr>
          <w:rFonts w:hint="eastAsia" w:cs="仿宋" w:asciiTheme="minorEastAsia" w:hAnsiTheme="minorEastAsia" w:eastAsiaTheme="minorEastAsia"/>
          <w:bCs/>
          <w:color w:val="auto"/>
          <w:sz w:val="24"/>
          <w:highlight w:val="none"/>
        </w:rPr>
        <w:t xml:space="preserve">（2）报价函（格式见附件）； </w:t>
      </w:r>
    </w:p>
    <w:p w14:paraId="631EA716">
      <w:pPr>
        <w:snapToGrid w:val="0"/>
        <w:spacing w:before="50" w:after="120"/>
        <w:jc w:val="left"/>
        <w:rPr>
          <w:rFonts w:hint="eastAsia" w:asciiTheme="minorEastAsia" w:hAnsiTheme="minorEastAsia" w:eastAsiaTheme="minorEastAsia"/>
          <w:b/>
          <w:color w:val="auto"/>
          <w:sz w:val="24"/>
          <w:highlight w:val="none"/>
        </w:rPr>
      </w:pPr>
      <w:r>
        <w:rPr>
          <w:rFonts w:hint="eastAsia" w:cs="仿宋" w:asciiTheme="minorEastAsia" w:hAnsiTheme="minorEastAsia" w:eastAsiaTheme="minorEastAsia"/>
          <w:bCs/>
          <w:color w:val="auto"/>
          <w:sz w:val="24"/>
          <w:highlight w:val="none"/>
        </w:rPr>
        <w:t>（3）投标人针对报价需要说明的其他文件和说明（格式自拟）。</w:t>
      </w:r>
    </w:p>
    <w:p w14:paraId="3EA41C31">
      <w:pPr>
        <w:snapToGrid w:val="0"/>
        <w:spacing w:before="50" w:after="120"/>
        <w:jc w:val="left"/>
        <w:rPr>
          <w:rFonts w:hint="eastAsia" w:asciiTheme="minorEastAsia" w:hAnsiTheme="minorEastAsia" w:eastAsiaTheme="minorEastAsia"/>
          <w:b/>
          <w:color w:val="auto"/>
          <w:sz w:val="24"/>
          <w:highlight w:val="none"/>
        </w:rPr>
      </w:pPr>
    </w:p>
    <w:p w14:paraId="3F29AE88">
      <w:pPr>
        <w:snapToGrid w:val="0"/>
        <w:spacing w:before="50" w:after="120"/>
        <w:jc w:val="left"/>
        <w:rPr>
          <w:rFonts w:hint="eastAsia" w:asciiTheme="minorEastAsia" w:hAnsiTheme="minorEastAsia" w:eastAsiaTheme="minorEastAsia"/>
          <w:b/>
          <w:color w:val="auto"/>
          <w:sz w:val="24"/>
          <w:highlight w:val="none"/>
        </w:rPr>
      </w:pPr>
    </w:p>
    <w:p w14:paraId="0048D88A">
      <w:pPr>
        <w:snapToGrid w:val="0"/>
        <w:spacing w:before="50" w:after="120"/>
        <w:jc w:val="left"/>
        <w:rPr>
          <w:rFonts w:hint="eastAsia" w:asciiTheme="minorEastAsia" w:hAnsiTheme="minorEastAsia" w:eastAsiaTheme="minorEastAsia"/>
          <w:b/>
          <w:color w:val="auto"/>
          <w:sz w:val="24"/>
          <w:highlight w:val="none"/>
        </w:rPr>
      </w:pPr>
    </w:p>
    <w:p w14:paraId="325BA640">
      <w:pPr>
        <w:snapToGrid w:val="0"/>
        <w:spacing w:before="50" w:after="120"/>
        <w:jc w:val="left"/>
        <w:rPr>
          <w:rFonts w:hint="eastAsia" w:asciiTheme="minorEastAsia" w:hAnsiTheme="minorEastAsia" w:eastAsiaTheme="minorEastAsia"/>
          <w:b/>
          <w:color w:val="auto"/>
          <w:sz w:val="24"/>
          <w:highlight w:val="none"/>
        </w:rPr>
      </w:pPr>
    </w:p>
    <w:p w14:paraId="4403C84F">
      <w:pPr>
        <w:snapToGrid w:val="0"/>
        <w:spacing w:before="50" w:after="120"/>
        <w:jc w:val="left"/>
        <w:rPr>
          <w:rFonts w:hint="eastAsia" w:asciiTheme="minorEastAsia" w:hAnsiTheme="minorEastAsia" w:eastAsiaTheme="minorEastAsia"/>
          <w:b/>
          <w:color w:val="auto"/>
          <w:sz w:val="24"/>
          <w:highlight w:val="none"/>
        </w:rPr>
      </w:pPr>
    </w:p>
    <w:p w14:paraId="0FB16206">
      <w:pPr>
        <w:snapToGrid w:val="0"/>
        <w:spacing w:before="50" w:after="120"/>
        <w:jc w:val="left"/>
        <w:rPr>
          <w:rFonts w:hint="eastAsia" w:asciiTheme="minorEastAsia" w:hAnsiTheme="minorEastAsia" w:eastAsiaTheme="minorEastAsia"/>
          <w:b/>
          <w:color w:val="auto"/>
          <w:sz w:val="24"/>
          <w:highlight w:val="none"/>
        </w:rPr>
      </w:pPr>
    </w:p>
    <w:p w14:paraId="3A75A7D2">
      <w:pPr>
        <w:snapToGrid w:val="0"/>
        <w:spacing w:before="50" w:after="120"/>
        <w:jc w:val="left"/>
        <w:rPr>
          <w:rFonts w:hint="eastAsia" w:asciiTheme="minorEastAsia" w:hAnsiTheme="minorEastAsia" w:eastAsiaTheme="minorEastAsia"/>
          <w:b/>
          <w:color w:val="auto"/>
          <w:sz w:val="24"/>
          <w:highlight w:val="none"/>
        </w:rPr>
      </w:pPr>
    </w:p>
    <w:p w14:paraId="41985BE6">
      <w:pPr>
        <w:snapToGrid w:val="0"/>
        <w:spacing w:before="50" w:after="120"/>
        <w:jc w:val="left"/>
        <w:rPr>
          <w:rFonts w:hint="eastAsia" w:asciiTheme="minorEastAsia" w:hAnsiTheme="minorEastAsia" w:eastAsiaTheme="minorEastAsia"/>
          <w:b/>
          <w:color w:val="auto"/>
          <w:sz w:val="24"/>
          <w:highlight w:val="none"/>
        </w:rPr>
      </w:pPr>
    </w:p>
    <w:p w14:paraId="07E5CC62">
      <w:pPr>
        <w:snapToGrid w:val="0"/>
        <w:spacing w:before="50" w:after="120"/>
        <w:jc w:val="left"/>
        <w:rPr>
          <w:rFonts w:hint="eastAsia" w:asciiTheme="minorEastAsia" w:hAnsiTheme="minorEastAsia" w:eastAsiaTheme="minorEastAsia"/>
          <w:b/>
          <w:color w:val="auto"/>
          <w:sz w:val="24"/>
          <w:highlight w:val="none"/>
        </w:rPr>
      </w:pPr>
    </w:p>
    <w:p w14:paraId="5BE695F7">
      <w:pPr>
        <w:snapToGrid w:val="0"/>
        <w:spacing w:before="50" w:after="120"/>
        <w:jc w:val="left"/>
        <w:rPr>
          <w:rFonts w:hint="eastAsia" w:asciiTheme="minorEastAsia" w:hAnsiTheme="minorEastAsia" w:eastAsiaTheme="minorEastAsia"/>
          <w:b/>
          <w:color w:val="auto"/>
          <w:sz w:val="24"/>
          <w:highlight w:val="none"/>
        </w:rPr>
      </w:pPr>
    </w:p>
    <w:p w14:paraId="3FB84583">
      <w:pPr>
        <w:snapToGrid w:val="0"/>
        <w:spacing w:before="50" w:after="120"/>
        <w:jc w:val="left"/>
        <w:rPr>
          <w:rFonts w:hint="eastAsia" w:asciiTheme="minorEastAsia" w:hAnsiTheme="minorEastAsia" w:eastAsiaTheme="minorEastAsia"/>
          <w:b/>
          <w:color w:val="auto"/>
          <w:sz w:val="24"/>
          <w:highlight w:val="none"/>
        </w:rPr>
      </w:pPr>
    </w:p>
    <w:p w14:paraId="0F0E438F">
      <w:pPr>
        <w:snapToGrid w:val="0"/>
        <w:spacing w:before="50" w:after="120"/>
        <w:jc w:val="left"/>
        <w:rPr>
          <w:rFonts w:hint="eastAsia" w:asciiTheme="minorEastAsia" w:hAnsiTheme="minorEastAsia" w:eastAsiaTheme="minorEastAsia"/>
          <w:b/>
          <w:color w:val="auto"/>
          <w:sz w:val="24"/>
          <w:highlight w:val="none"/>
        </w:rPr>
      </w:pPr>
    </w:p>
    <w:p w14:paraId="051F7475">
      <w:pPr>
        <w:snapToGrid w:val="0"/>
        <w:spacing w:before="50" w:after="120"/>
        <w:jc w:val="left"/>
        <w:rPr>
          <w:rFonts w:hint="eastAsia" w:asciiTheme="minorEastAsia" w:hAnsiTheme="minorEastAsia" w:eastAsiaTheme="minorEastAsia"/>
          <w:b/>
          <w:color w:val="auto"/>
          <w:sz w:val="24"/>
          <w:highlight w:val="none"/>
        </w:rPr>
      </w:pPr>
    </w:p>
    <w:p w14:paraId="340C684A">
      <w:pPr>
        <w:snapToGrid w:val="0"/>
        <w:spacing w:before="50" w:after="120"/>
        <w:jc w:val="left"/>
        <w:rPr>
          <w:rFonts w:hint="eastAsia" w:asciiTheme="minorEastAsia" w:hAnsiTheme="minorEastAsia" w:eastAsiaTheme="minorEastAsia"/>
          <w:b/>
          <w:color w:val="auto"/>
          <w:sz w:val="24"/>
          <w:highlight w:val="none"/>
        </w:rPr>
      </w:pPr>
    </w:p>
    <w:p w14:paraId="0F494D4E">
      <w:pPr>
        <w:snapToGrid w:val="0"/>
        <w:spacing w:before="50" w:after="120"/>
        <w:jc w:val="left"/>
        <w:rPr>
          <w:rFonts w:hint="eastAsia" w:asciiTheme="minorEastAsia" w:hAnsiTheme="minorEastAsia" w:eastAsiaTheme="minorEastAsia"/>
          <w:b/>
          <w:color w:val="auto"/>
          <w:sz w:val="24"/>
          <w:highlight w:val="none"/>
        </w:rPr>
      </w:pPr>
    </w:p>
    <w:p w14:paraId="5DD5AFE2">
      <w:pPr>
        <w:snapToGrid w:val="0"/>
        <w:spacing w:before="50" w:after="120"/>
        <w:jc w:val="left"/>
        <w:rPr>
          <w:rFonts w:hint="eastAsia" w:asciiTheme="minorEastAsia" w:hAnsiTheme="minorEastAsia" w:eastAsiaTheme="minorEastAsia"/>
          <w:b/>
          <w:color w:val="auto"/>
          <w:sz w:val="24"/>
          <w:highlight w:val="none"/>
        </w:rPr>
      </w:pPr>
    </w:p>
    <w:p w14:paraId="6B27386D">
      <w:pPr>
        <w:snapToGrid w:val="0"/>
        <w:spacing w:before="50" w:after="120"/>
        <w:jc w:val="left"/>
        <w:rPr>
          <w:rFonts w:hint="eastAsia" w:asciiTheme="minorEastAsia" w:hAnsiTheme="minorEastAsia" w:eastAsiaTheme="minorEastAsia"/>
          <w:b/>
          <w:color w:val="auto"/>
          <w:sz w:val="24"/>
          <w:highlight w:val="none"/>
        </w:rPr>
      </w:pPr>
    </w:p>
    <w:p w14:paraId="4C60C076">
      <w:pPr>
        <w:snapToGrid w:val="0"/>
        <w:spacing w:before="50" w:after="120"/>
        <w:jc w:val="left"/>
        <w:rPr>
          <w:rFonts w:hint="eastAsia" w:asciiTheme="minorEastAsia" w:hAnsiTheme="minorEastAsia" w:eastAsiaTheme="minorEastAsia"/>
          <w:b/>
          <w:color w:val="auto"/>
          <w:sz w:val="24"/>
          <w:highlight w:val="none"/>
        </w:rPr>
      </w:pPr>
    </w:p>
    <w:p w14:paraId="549D8F54">
      <w:pPr>
        <w:snapToGrid w:val="0"/>
        <w:spacing w:before="50" w:after="120"/>
        <w:jc w:val="left"/>
        <w:rPr>
          <w:rFonts w:hint="eastAsia" w:asciiTheme="minorEastAsia" w:hAnsiTheme="minorEastAsia" w:eastAsiaTheme="minorEastAsia"/>
          <w:b/>
          <w:color w:val="auto"/>
          <w:sz w:val="24"/>
          <w:highlight w:val="none"/>
        </w:rPr>
      </w:pPr>
    </w:p>
    <w:p w14:paraId="268644BA">
      <w:pPr>
        <w:snapToGrid w:val="0"/>
        <w:spacing w:before="50" w:after="120"/>
        <w:jc w:val="left"/>
        <w:rPr>
          <w:rFonts w:hint="eastAsia" w:cs="宋体" w:asciiTheme="minorEastAsia" w:hAnsiTheme="minorEastAsia" w:eastAsiaTheme="minorEastAsia"/>
          <w:b/>
          <w:color w:val="auto"/>
          <w:sz w:val="24"/>
          <w:highlight w:val="none"/>
        </w:rPr>
      </w:pPr>
    </w:p>
    <w:p w14:paraId="1C5AFCF9">
      <w:pPr>
        <w:snapToGrid w:val="0"/>
        <w:spacing w:before="50" w:after="120"/>
        <w:jc w:val="left"/>
        <w:rPr>
          <w:rFonts w:hint="eastAsia" w:cs="宋体" w:asciiTheme="minorEastAsia" w:hAnsiTheme="minorEastAsia" w:eastAsiaTheme="minorEastAsia"/>
          <w:b/>
          <w:color w:val="auto"/>
          <w:sz w:val="24"/>
          <w:highlight w:val="none"/>
        </w:rPr>
      </w:pPr>
    </w:p>
    <w:p w14:paraId="4361349E">
      <w:pPr>
        <w:snapToGrid w:val="0"/>
        <w:spacing w:before="50" w:after="120"/>
        <w:jc w:val="left"/>
        <w:rPr>
          <w:rFonts w:hint="eastAsia" w:cs="宋体" w:asciiTheme="minorEastAsia" w:hAnsiTheme="minorEastAsia" w:eastAsiaTheme="minorEastAsia"/>
          <w:b/>
          <w:color w:val="auto"/>
          <w:sz w:val="24"/>
          <w:highlight w:val="none"/>
        </w:rPr>
      </w:pPr>
    </w:p>
    <w:p w14:paraId="4143D681">
      <w:pPr>
        <w:snapToGrid w:val="0"/>
        <w:spacing w:before="50" w:after="120"/>
        <w:jc w:val="left"/>
        <w:rPr>
          <w:rFonts w:hint="eastAsia" w:cs="宋体" w:asciiTheme="minorEastAsia" w:hAnsiTheme="minorEastAsia" w:eastAsiaTheme="minorEastAsia"/>
          <w:b/>
          <w:color w:val="auto"/>
          <w:sz w:val="24"/>
          <w:highlight w:val="none"/>
        </w:rPr>
      </w:pPr>
    </w:p>
    <w:p w14:paraId="48658714">
      <w:pPr>
        <w:widowControl/>
        <w:jc w:val="left"/>
        <w:rPr>
          <w:rFonts w:hint="eastAsia"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br w:type="page"/>
      </w:r>
    </w:p>
    <w:p w14:paraId="08DB4A0C">
      <w:pPr>
        <w:snapToGrid w:val="0"/>
        <w:spacing w:before="50" w:after="120"/>
        <w:jc w:val="left"/>
        <w:rPr>
          <w:rFonts w:hint="eastAsia" w:cs="仿宋"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附件6：</w:t>
      </w:r>
    </w:p>
    <w:p w14:paraId="7A7A649B">
      <w:pPr>
        <w:snapToGrid w:val="0"/>
        <w:spacing w:before="120" w:after="50"/>
        <w:jc w:val="center"/>
        <w:rPr>
          <w:rFonts w:hint="eastAsia" w:cs="仿宋" w:asciiTheme="minorEastAsia" w:hAnsiTheme="minorEastAsia" w:eastAsiaTheme="minorEastAsia"/>
          <w:b/>
          <w:color w:val="auto"/>
          <w:sz w:val="30"/>
          <w:szCs w:val="30"/>
          <w:highlight w:val="none"/>
        </w:rPr>
      </w:pPr>
      <w:r>
        <w:rPr>
          <w:rFonts w:hint="eastAsia" w:cs="仿宋" w:asciiTheme="minorEastAsia" w:hAnsiTheme="minorEastAsia" w:eastAsiaTheme="minorEastAsia"/>
          <w:b/>
          <w:color w:val="auto"/>
          <w:sz w:val="30"/>
          <w:szCs w:val="30"/>
          <w:highlight w:val="none"/>
        </w:rPr>
        <w:t>投 标 函</w:t>
      </w:r>
    </w:p>
    <w:p w14:paraId="3EA9572E">
      <w:pPr>
        <w:snapToGrid w:val="0"/>
        <w:spacing w:line="360" w:lineRule="auto"/>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致：</w:t>
      </w:r>
      <w:r>
        <w:rPr>
          <w:rFonts w:hint="eastAsia" w:cs="仿宋" w:asciiTheme="minorEastAsia" w:hAnsiTheme="minorEastAsia" w:eastAsiaTheme="minorEastAsia"/>
          <w:color w:val="auto"/>
          <w:sz w:val="24"/>
          <w:highlight w:val="none"/>
          <w:u w:val="single"/>
        </w:rPr>
        <w:t>浙江衢州公信工程管理有限公司：</w:t>
      </w:r>
    </w:p>
    <w:p w14:paraId="384C7614">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根据贵方为</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项目的招标公告/投标邀请书</w:t>
      </w:r>
    </w:p>
    <w:p w14:paraId="08DB2FA3">
      <w:pPr>
        <w:snapToGrid w:val="0"/>
        <w:spacing w:line="360" w:lineRule="auto"/>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（项目编号</w:t>
      </w:r>
      <w:r>
        <w:rPr>
          <w:rFonts w:hint="eastAsia" w:cs="仿宋" w:asciiTheme="minorEastAsia" w:hAnsiTheme="minorEastAsia" w:eastAsiaTheme="minorEastAsia"/>
          <w:color w:val="auto"/>
          <w:sz w:val="24"/>
          <w:highlight w:val="none"/>
          <w:u w:val="single"/>
        </w:rPr>
        <w:t>：_____     __），</w:t>
      </w:r>
      <w:r>
        <w:rPr>
          <w:rFonts w:hint="eastAsia" w:cs="仿宋" w:asciiTheme="minorEastAsia" w:hAnsiTheme="minorEastAsia" w:eastAsiaTheme="minorEastAsia"/>
          <w:color w:val="auto"/>
          <w:sz w:val="24"/>
          <w:highlight w:val="none"/>
        </w:rPr>
        <w:t>签字代表</w:t>
      </w:r>
      <w:r>
        <w:rPr>
          <w:rFonts w:hint="eastAsia" w:cs="仿宋" w:asciiTheme="minorEastAsia" w:hAnsiTheme="minorEastAsia" w:eastAsiaTheme="minorEastAsia"/>
          <w:color w:val="auto"/>
          <w:sz w:val="24"/>
          <w:highlight w:val="none"/>
          <w:u w:val="single"/>
        </w:rPr>
        <w:t xml:space="preserve">_______     </w:t>
      </w:r>
      <w:r>
        <w:rPr>
          <w:rFonts w:hint="eastAsia" w:cs="仿宋" w:asciiTheme="minorEastAsia" w:hAnsiTheme="minorEastAsia" w:eastAsiaTheme="minorEastAsia"/>
          <w:color w:val="auto"/>
          <w:sz w:val="24"/>
          <w:highlight w:val="none"/>
        </w:rPr>
        <w:t>（全名）经正式授权并代表投标人</w:t>
      </w:r>
      <w:r>
        <w:rPr>
          <w:rFonts w:hint="eastAsia" w:cs="仿宋" w:asciiTheme="minorEastAsia" w:hAnsiTheme="minorEastAsia" w:eastAsiaTheme="minorEastAsia"/>
          <w:color w:val="auto"/>
          <w:sz w:val="24"/>
          <w:highlight w:val="none"/>
          <w:u w:val="single"/>
        </w:rPr>
        <w:t>_______                    __</w:t>
      </w:r>
      <w:r>
        <w:rPr>
          <w:rFonts w:hint="eastAsia" w:cs="仿宋" w:asciiTheme="minorEastAsia" w:hAnsiTheme="minorEastAsia" w:eastAsiaTheme="minorEastAsia"/>
          <w:color w:val="auto"/>
          <w:sz w:val="24"/>
          <w:highlight w:val="none"/>
        </w:rPr>
        <w:t>（投标人名称）提交资格审查文件</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份、技术和资信/商务文件、报价文件正本各一份、副本</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份。</w:t>
      </w:r>
    </w:p>
    <w:p w14:paraId="22DF4997">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据此函，签字代表宣布同意如下：</w:t>
      </w:r>
    </w:p>
    <w:p w14:paraId="2F2E9ACA">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1.投标人已详细审查全部“招标文件”，包括修改文件（如有的话）以及全部参考资料和有关附件，已经了解我方对于招标文件、采购过程、采购结果有依法进行询问、质疑的权利及相关渠道和要求。</w:t>
      </w:r>
    </w:p>
    <w:p w14:paraId="00839941">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2.投标人在投标之前已经与贵方进行了充分的沟通，完全理解并接受招标文件的各项规定和要求，对招标文件的合理性、合法性不再有异议。</w:t>
      </w:r>
    </w:p>
    <w:p w14:paraId="7CDF5F20">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3.本投标有效期自开标日起 </w:t>
      </w:r>
      <w:r>
        <w:rPr>
          <w:rFonts w:hint="eastAsia" w:cs="仿宋" w:asciiTheme="minorEastAsia" w:hAnsiTheme="minorEastAsia" w:eastAsiaTheme="minorEastAsia"/>
          <w:color w:val="auto"/>
          <w:sz w:val="24"/>
          <w:highlight w:val="none"/>
          <w:u w:val="single"/>
        </w:rPr>
        <w:t>______</w:t>
      </w:r>
      <w:r>
        <w:rPr>
          <w:rFonts w:hint="eastAsia" w:cs="仿宋" w:asciiTheme="minorEastAsia" w:hAnsiTheme="minorEastAsia" w:eastAsiaTheme="minorEastAsia"/>
          <w:color w:val="auto"/>
          <w:sz w:val="24"/>
          <w:highlight w:val="none"/>
        </w:rPr>
        <w:t>天。</w:t>
      </w:r>
    </w:p>
    <w:p w14:paraId="37D5DF2A">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4.如中标，本投标文件至本项目合同履行完毕止均保持有效，本投标人将按“招标文件”及国有企业采购法律、法规的规定履行合同责任和义务。</w:t>
      </w:r>
    </w:p>
    <w:p w14:paraId="500A658F">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5.投标人同意按照贵方要求提供与投标有关的一切数据或资料。</w:t>
      </w:r>
    </w:p>
    <w:p w14:paraId="4568E16E">
      <w:pPr>
        <w:snapToGrid w:val="0"/>
        <w:spacing w:line="360" w:lineRule="auto"/>
        <w:ind w:firstLine="48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6.与本投标有关的一切正式往来信函请寄：</w:t>
      </w:r>
    </w:p>
    <w:p w14:paraId="7CDB5065">
      <w:pPr>
        <w:snapToGrid w:val="0"/>
        <w:spacing w:line="360" w:lineRule="auto"/>
        <w:rPr>
          <w:rFonts w:hint="eastAsia" w:cs="仿宋" w:asciiTheme="minorEastAsia" w:hAnsiTheme="minorEastAsia" w:eastAsiaTheme="minorEastAsia"/>
          <w:color w:val="auto"/>
          <w:sz w:val="24"/>
          <w:highlight w:val="none"/>
        </w:rPr>
      </w:pPr>
    </w:p>
    <w:p w14:paraId="588C0FFC">
      <w:pPr>
        <w:snapToGrid w:val="0"/>
        <w:spacing w:line="360" w:lineRule="auto"/>
        <w:rPr>
          <w:rFonts w:hint="eastAsia" w:cs="仿宋" w:asciiTheme="minorEastAsia" w:hAnsiTheme="minorEastAsia" w:eastAsiaTheme="minorEastAsia"/>
          <w:color w:val="auto"/>
          <w:sz w:val="24"/>
          <w:highlight w:val="none"/>
        </w:rPr>
      </w:pPr>
    </w:p>
    <w:p w14:paraId="128322DC">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single"/>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single"/>
        </w:rPr>
        <w:t>__________</w:t>
      </w:r>
      <w:r>
        <w:rPr>
          <w:rFonts w:hint="eastAsia" w:cs="仿宋" w:asciiTheme="minorEastAsia" w:hAnsiTheme="minorEastAsia" w:eastAsiaTheme="minorEastAsia"/>
          <w:color w:val="auto"/>
          <w:sz w:val="24"/>
          <w:szCs w:val="24"/>
          <w:highlight w:val="none"/>
        </w:rPr>
        <w:t xml:space="preserve">   电话：</w:t>
      </w:r>
      <w:r>
        <w:rPr>
          <w:rFonts w:hint="eastAsia" w:cs="仿宋" w:asciiTheme="minorEastAsia" w:hAnsiTheme="minorEastAsia" w:eastAsiaTheme="minorEastAsia"/>
          <w:color w:val="auto"/>
          <w:sz w:val="24"/>
          <w:szCs w:val="24"/>
          <w:highlight w:val="none"/>
          <w:u w:val="single"/>
        </w:rPr>
        <w:t>______________</w:t>
      </w:r>
    </w:p>
    <w:p w14:paraId="6387AFAC">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传真：</w:t>
      </w:r>
      <w:r>
        <w:rPr>
          <w:rFonts w:hint="eastAsia" w:cs="仿宋" w:asciiTheme="minorEastAsia" w:hAnsiTheme="minorEastAsia" w:eastAsiaTheme="minorEastAsia"/>
          <w:color w:val="auto"/>
          <w:sz w:val="24"/>
          <w:szCs w:val="24"/>
          <w:highlight w:val="none"/>
          <w:u w:val="single"/>
        </w:rPr>
        <w:t>______________</w:t>
      </w:r>
      <w:r>
        <w:rPr>
          <w:rFonts w:hint="eastAsia" w:cs="仿宋" w:asciiTheme="minorEastAsia" w:hAnsiTheme="minorEastAsia" w:eastAsiaTheme="minorEastAsia"/>
          <w:color w:val="auto"/>
          <w:sz w:val="24"/>
          <w:szCs w:val="24"/>
          <w:highlight w:val="none"/>
        </w:rPr>
        <w:t xml:space="preserve">投标人代表姓名 </w:t>
      </w:r>
      <w:r>
        <w:rPr>
          <w:rFonts w:hint="eastAsia" w:cs="仿宋" w:asciiTheme="minorEastAsia" w:hAnsiTheme="minorEastAsia" w:eastAsiaTheme="minorEastAsia"/>
          <w:color w:val="auto"/>
          <w:sz w:val="24"/>
          <w:szCs w:val="24"/>
          <w:highlight w:val="none"/>
          <w:u w:val="single"/>
        </w:rPr>
        <w:t>___________</w:t>
      </w:r>
      <w:r>
        <w:rPr>
          <w:rFonts w:hint="eastAsia" w:cs="仿宋" w:asciiTheme="minorEastAsia" w:hAnsiTheme="minorEastAsia" w:eastAsiaTheme="minorEastAsia"/>
          <w:color w:val="auto"/>
          <w:sz w:val="24"/>
          <w:szCs w:val="24"/>
          <w:highlight w:val="none"/>
        </w:rPr>
        <w:t xml:space="preserve">  职务：</w:t>
      </w:r>
      <w:r>
        <w:rPr>
          <w:rFonts w:hint="eastAsia" w:cs="仿宋" w:asciiTheme="minorEastAsia" w:hAnsiTheme="minorEastAsia" w:eastAsiaTheme="minorEastAsia"/>
          <w:color w:val="auto"/>
          <w:sz w:val="24"/>
          <w:szCs w:val="24"/>
          <w:highlight w:val="none"/>
          <w:u w:val="single"/>
        </w:rPr>
        <w:t xml:space="preserve">             </w:t>
      </w:r>
    </w:p>
    <w:p w14:paraId="55ED7B9B">
      <w:pPr>
        <w:spacing w:line="360" w:lineRule="auto"/>
        <w:rPr>
          <w:rFonts w:hint="eastAsia" w:cs="仿宋" w:asciiTheme="minorEastAsia" w:hAnsiTheme="minorEastAsia" w:eastAsiaTheme="minorEastAsia"/>
          <w:color w:val="auto"/>
          <w:sz w:val="24"/>
          <w:szCs w:val="24"/>
          <w:highlight w:val="none"/>
        </w:rPr>
      </w:pPr>
    </w:p>
    <w:p w14:paraId="532F70CC">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投标人名称(公章):</w:t>
      </w:r>
      <w:r>
        <w:rPr>
          <w:rFonts w:hint="eastAsia" w:cs="仿宋" w:asciiTheme="minorEastAsia" w:hAnsiTheme="minorEastAsia" w:eastAsiaTheme="minorEastAsia"/>
          <w:color w:val="auto"/>
          <w:sz w:val="24"/>
          <w:szCs w:val="24"/>
          <w:highlight w:val="none"/>
          <w:u w:val="single"/>
        </w:rPr>
        <w:t>___________________</w:t>
      </w:r>
    </w:p>
    <w:p w14:paraId="4616E5AF">
      <w:pPr>
        <w:spacing w:line="360" w:lineRule="auto"/>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委托代理人签字:</w:t>
      </w:r>
      <w:r>
        <w:rPr>
          <w:rFonts w:hint="eastAsia" w:cs="仿宋" w:asciiTheme="minorEastAsia" w:hAnsiTheme="minorEastAsia" w:eastAsiaTheme="minorEastAsia"/>
          <w:color w:val="auto"/>
          <w:sz w:val="24"/>
          <w:szCs w:val="24"/>
          <w:highlight w:val="none"/>
          <w:u w:val="single"/>
        </w:rPr>
        <w:t>___________</w:t>
      </w:r>
      <w:r>
        <w:rPr>
          <w:rFonts w:hint="eastAsia" w:cs="仿宋" w:asciiTheme="minorEastAsia" w:hAnsiTheme="minorEastAsia" w:eastAsiaTheme="minorEastAsia"/>
          <w:color w:val="auto"/>
          <w:sz w:val="24"/>
          <w:szCs w:val="24"/>
          <w:highlight w:val="none"/>
        </w:rPr>
        <w:t xml:space="preserve"> </w:t>
      </w:r>
    </w:p>
    <w:p w14:paraId="1CB349BF">
      <w:pPr>
        <w:rPr>
          <w:rFonts w:hint="eastAsia"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日期:</w:t>
      </w:r>
      <w:r>
        <w:rPr>
          <w:rFonts w:hint="eastAsia" w:cs="仿宋" w:asciiTheme="minorEastAsia" w:hAnsiTheme="minorEastAsia" w:eastAsiaTheme="minorEastAsia"/>
          <w:color w:val="auto"/>
          <w:sz w:val="24"/>
          <w:szCs w:val="24"/>
          <w:highlight w:val="none"/>
          <w:u w:val="single"/>
        </w:rPr>
        <w:t>_____</w:t>
      </w:r>
      <w:r>
        <w:rPr>
          <w:rFonts w:hint="eastAsia" w:cs="仿宋" w:asciiTheme="minorEastAsia" w:hAnsiTheme="minorEastAsia" w:eastAsiaTheme="minorEastAsia"/>
          <w:color w:val="auto"/>
          <w:sz w:val="24"/>
          <w:szCs w:val="24"/>
          <w:highlight w:val="none"/>
        </w:rPr>
        <w:t>年</w:t>
      </w:r>
      <w:r>
        <w:rPr>
          <w:rFonts w:hint="eastAsia" w:cs="仿宋" w:asciiTheme="minorEastAsia" w:hAnsiTheme="minorEastAsia" w:eastAsiaTheme="minorEastAsia"/>
          <w:color w:val="auto"/>
          <w:sz w:val="24"/>
          <w:szCs w:val="24"/>
          <w:highlight w:val="none"/>
          <w:u w:val="single"/>
        </w:rPr>
        <w:t>___</w:t>
      </w:r>
      <w:r>
        <w:rPr>
          <w:rFonts w:hint="eastAsia" w:cs="仿宋" w:asciiTheme="minorEastAsia" w:hAnsiTheme="minorEastAsia" w:eastAsiaTheme="minorEastAsia"/>
          <w:color w:val="auto"/>
          <w:sz w:val="24"/>
          <w:szCs w:val="24"/>
          <w:highlight w:val="none"/>
        </w:rPr>
        <w:t>月</w:t>
      </w:r>
      <w:r>
        <w:rPr>
          <w:rFonts w:hint="eastAsia" w:cs="仿宋" w:asciiTheme="minorEastAsia" w:hAnsiTheme="minorEastAsia" w:eastAsiaTheme="minorEastAsia"/>
          <w:color w:val="auto"/>
          <w:sz w:val="24"/>
          <w:szCs w:val="24"/>
          <w:highlight w:val="none"/>
          <w:u w:val="single"/>
        </w:rPr>
        <w:t>___</w:t>
      </w:r>
      <w:r>
        <w:rPr>
          <w:rFonts w:hint="eastAsia" w:cs="仿宋" w:asciiTheme="minorEastAsia" w:hAnsiTheme="minorEastAsia" w:eastAsiaTheme="minorEastAsia"/>
          <w:color w:val="auto"/>
          <w:sz w:val="24"/>
          <w:szCs w:val="24"/>
          <w:highlight w:val="none"/>
        </w:rPr>
        <w:t>日</w:t>
      </w:r>
    </w:p>
    <w:p w14:paraId="4CC20E1A">
      <w:pPr>
        <w:snapToGrid w:val="0"/>
        <w:spacing w:line="360" w:lineRule="auto"/>
        <w:ind w:firstLine="300" w:firstLineChars="100"/>
        <w:rPr>
          <w:rFonts w:hint="eastAsia" w:cs="仿宋" w:asciiTheme="minorEastAsia" w:hAnsiTheme="minorEastAsia" w:eastAsiaTheme="minorEastAsia"/>
          <w:color w:val="auto"/>
          <w:sz w:val="30"/>
          <w:highlight w:val="none"/>
        </w:rPr>
      </w:pPr>
    </w:p>
    <w:p w14:paraId="21A58C94">
      <w:pPr>
        <w:snapToGrid w:val="0"/>
        <w:spacing w:line="360" w:lineRule="auto"/>
        <w:rPr>
          <w:rFonts w:hint="eastAsia" w:cs="仿宋" w:asciiTheme="minorEastAsia" w:hAnsiTheme="minorEastAsia" w:eastAsiaTheme="minorEastAsia"/>
          <w:color w:val="auto"/>
          <w:highlight w:val="none"/>
        </w:rPr>
        <w:sectPr>
          <w:headerReference r:id="rId7" w:type="default"/>
          <w:footerReference r:id="rId8" w:type="default"/>
          <w:pgSz w:w="11906" w:h="16838"/>
          <w:pgMar w:top="1440" w:right="1080" w:bottom="1440" w:left="1080" w:header="851" w:footer="851" w:gutter="0"/>
          <w:cols w:space="720" w:num="1"/>
          <w:docGrid w:linePitch="312" w:charSpace="0"/>
        </w:sectPr>
      </w:pPr>
    </w:p>
    <w:p w14:paraId="7AA8F0B7">
      <w:pPr>
        <w:snapToGrid w:val="0"/>
        <w:spacing w:after="120"/>
        <w:rPr>
          <w:rFonts w:hint="eastAsia" w:asciiTheme="minorEastAsia" w:hAnsiTheme="minorEastAsia" w:eastAsiaTheme="minorEastAsia"/>
          <w:color w:val="auto"/>
          <w:sz w:val="21"/>
          <w:highlight w:val="none"/>
        </w:rPr>
      </w:pPr>
      <w:r>
        <w:rPr>
          <w:rFonts w:hint="eastAsia" w:cs="宋体" w:asciiTheme="minorEastAsia" w:hAnsiTheme="minorEastAsia" w:eastAsiaTheme="minorEastAsia"/>
          <w:b/>
          <w:color w:val="auto"/>
          <w:sz w:val="24"/>
          <w:highlight w:val="none"/>
        </w:rPr>
        <w:t>附件7</w:t>
      </w:r>
      <w:r>
        <w:rPr>
          <w:rFonts w:hint="eastAsia" w:cs="宋体" w:asciiTheme="minorEastAsia" w:hAnsiTheme="minorEastAsia" w:eastAsiaTheme="minorEastAsia"/>
          <w:b/>
          <w:color w:val="auto"/>
          <w:sz w:val="21"/>
          <w:highlight w:val="none"/>
        </w:rPr>
        <w:t>：</w:t>
      </w:r>
      <w:r>
        <w:rPr>
          <w:rFonts w:asciiTheme="minorEastAsia" w:hAnsiTheme="minorEastAsia" w:eastAsiaTheme="minorEastAsia"/>
          <w:color w:val="auto"/>
          <w:sz w:val="21"/>
          <w:highlight w:val="none"/>
        </w:rPr>
        <w:t xml:space="preserve">    </w:t>
      </w:r>
    </w:p>
    <w:p w14:paraId="60A462AA">
      <w:pPr>
        <w:snapToGrid w:val="0"/>
        <w:spacing w:after="120"/>
        <w:ind w:firstLine="3915" w:firstLineChars="1300"/>
        <w:rPr>
          <w:rFonts w:hint="eastAsia" w:cs="仿宋" w:asciiTheme="minorEastAsia" w:hAnsiTheme="minorEastAsia" w:eastAsiaTheme="minorEastAsia"/>
          <w:b/>
          <w:bCs/>
          <w:color w:val="auto"/>
          <w:sz w:val="30"/>
          <w:szCs w:val="30"/>
          <w:highlight w:val="none"/>
        </w:rPr>
      </w:pPr>
      <w:r>
        <w:rPr>
          <w:rFonts w:hint="eastAsia" w:cs="仿宋" w:asciiTheme="minorEastAsia" w:hAnsiTheme="minorEastAsia" w:eastAsiaTheme="minorEastAsia"/>
          <w:b/>
          <w:bCs/>
          <w:color w:val="auto"/>
          <w:sz w:val="30"/>
          <w:szCs w:val="30"/>
          <w:highlight w:val="none"/>
        </w:rPr>
        <w:t>报 价 函</w:t>
      </w:r>
    </w:p>
    <w:p w14:paraId="5FEB050B">
      <w:pPr>
        <w:snapToGrid w:val="0"/>
        <w:spacing w:before="50" w:after="50"/>
        <w:rPr>
          <w:rFonts w:hint="eastAsia" w:asciiTheme="minorEastAsia" w:hAnsiTheme="minorEastAsia" w:eastAsiaTheme="minorEastAsia"/>
          <w:color w:val="auto"/>
          <w:sz w:val="24"/>
          <w:highlight w:val="none"/>
        </w:rPr>
      </w:pPr>
    </w:p>
    <w:p w14:paraId="5099BCD5">
      <w:pPr>
        <w:snapToGrid w:val="0"/>
        <w:spacing w:before="50" w:after="50"/>
        <w:rPr>
          <w:rFonts w:hint="eastAsia" w:cs="仿宋" w:asciiTheme="minorEastAsia" w:hAnsiTheme="minorEastAsia" w:eastAsiaTheme="minorEastAsia"/>
          <w:color w:val="auto"/>
          <w:sz w:val="30"/>
          <w:szCs w:val="30"/>
          <w:highlight w:val="none"/>
        </w:rPr>
      </w:pPr>
      <w:r>
        <w:rPr>
          <w:rFonts w:hint="eastAsia" w:cs="仿宋" w:asciiTheme="minorEastAsia" w:hAnsiTheme="minorEastAsia" w:eastAsiaTheme="minorEastAsia"/>
          <w:color w:val="auto"/>
          <w:sz w:val="30"/>
          <w:szCs w:val="30"/>
          <w:highlight w:val="none"/>
        </w:rPr>
        <w:t>项目名称：</w:t>
      </w:r>
      <w:r>
        <w:rPr>
          <w:rFonts w:hint="eastAsia" w:cs="仿宋" w:asciiTheme="minorEastAsia" w:hAnsiTheme="minorEastAsia" w:eastAsiaTheme="minorEastAsia"/>
          <w:color w:val="auto"/>
          <w:sz w:val="30"/>
          <w:szCs w:val="30"/>
          <w:highlight w:val="none"/>
          <w:u w:val="single"/>
        </w:rPr>
        <w:t xml:space="preserve">                        </w:t>
      </w:r>
      <w:r>
        <w:rPr>
          <w:rFonts w:hint="eastAsia" w:cs="仿宋" w:asciiTheme="minorEastAsia" w:hAnsiTheme="minorEastAsia" w:eastAsiaTheme="minorEastAsia"/>
          <w:color w:val="auto"/>
          <w:sz w:val="30"/>
          <w:szCs w:val="30"/>
          <w:highlight w:val="none"/>
        </w:rPr>
        <w:t xml:space="preserve">                   </w:t>
      </w:r>
    </w:p>
    <w:p w14:paraId="3E87BE85">
      <w:pPr>
        <w:snapToGrid w:val="0"/>
        <w:spacing w:before="50" w:after="50"/>
        <w:rPr>
          <w:rFonts w:hint="eastAsia" w:cs="仿宋" w:asciiTheme="minorEastAsia" w:hAnsiTheme="minorEastAsia" w:eastAsiaTheme="minorEastAsia"/>
          <w:color w:val="auto"/>
          <w:sz w:val="30"/>
          <w:szCs w:val="30"/>
          <w:highlight w:val="none"/>
          <w:u w:val="single"/>
        </w:rPr>
      </w:pPr>
      <w:r>
        <w:rPr>
          <w:rFonts w:hint="eastAsia" w:cs="仿宋" w:asciiTheme="minorEastAsia" w:hAnsiTheme="minorEastAsia" w:eastAsiaTheme="minorEastAsia"/>
          <w:color w:val="auto"/>
          <w:sz w:val="30"/>
          <w:szCs w:val="30"/>
          <w:highlight w:val="none"/>
        </w:rPr>
        <w:t>项目编号：________________________</w:t>
      </w: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4400"/>
        <w:gridCol w:w="3437"/>
      </w:tblGrid>
      <w:tr w14:paraId="1A9B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06" w:type="dxa"/>
            <w:tcBorders>
              <w:top w:val="single" w:color="auto" w:sz="4" w:space="0"/>
              <w:left w:val="single" w:color="auto" w:sz="4" w:space="0"/>
              <w:bottom w:val="single" w:color="auto" w:sz="4" w:space="0"/>
              <w:right w:val="single" w:color="auto" w:sz="4" w:space="0"/>
            </w:tcBorders>
            <w:vAlign w:val="center"/>
          </w:tcPr>
          <w:p w14:paraId="7DF0D28D">
            <w:pPr>
              <w:jc w:val="center"/>
              <w:rPr>
                <w:rFonts w:hint="eastAsia" w:cs="仿宋" w:asciiTheme="minorEastAsia" w:hAnsiTheme="minorEastAsia" w:eastAsiaTheme="minorEastAsia"/>
                <w:b/>
                <w:bCs/>
                <w:color w:val="auto"/>
                <w:sz w:val="30"/>
                <w:szCs w:val="30"/>
                <w:highlight w:val="none"/>
              </w:rPr>
            </w:pPr>
            <w:r>
              <w:rPr>
                <w:rFonts w:hint="eastAsia" w:cs="仿宋" w:asciiTheme="minorEastAsia" w:hAnsiTheme="minorEastAsia" w:eastAsiaTheme="minorEastAsia"/>
                <w:b/>
                <w:bCs/>
                <w:color w:val="auto"/>
                <w:sz w:val="30"/>
                <w:szCs w:val="30"/>
                <w:highlight w:val="none"/>
              </w:rPr>
              <w:t>序号</w:t>
            </w:r>
          </w:p>
        </w:tc>
        <w:tc>
          <w:tcPr>
            <w:tcW w:w="4400" w:type="dxa"/>
            <w:tcBorders>
              <w:top w:val="single" w:color="auto" w:sz="4" w:space="0"/>
              <w:left w:val="single" w:color="auto" w:sz="4" w:space="0"/>
              <w:bottom w:val="single" w:color="auto" w:sz="4" w:space="0"/>
              <w:right w:val="single" w:color="auto" w:sz="4" w:space="0"/>
            </w:tcBorders>
            <w:vAlign w:val="center"/>
          </w:tcPr>
          <w:p w14:paraId="08CB23B6">
            <w:pPr>
              <w:jc w:val="center"/>
              <w:rPr>
                <w:rFonts w:hint="eastAsia" w:cs="仿宋" w:asciiTheme="minorEastAsia" w:hAnsiTheme="minorEastAsia" w:eastAsiaTheme="minorEastAsia"/>
                <w:b/>
                <w:bCs/>
                <w:color w:val="auto"/>
                <w:sz w:val="30"/>
                <w:szCs w:val="30"/>
                <w:highlight w:val="none"/>
              </w:rPr>
            </w:pPr>
            <w:r>
              <w:rPr>
                <w:rFonts w:hint="eastAsia" w:cs="仿宋" w:asciiTheme="minorEastAsia" w:hAnsiTheme="minorEastAsia" w:eastAsiaTheme="minorEastAsia"/>
                <w:b/>
                <w:bCs/>
                <w:color w:val="auto"/>
                <w:sz w:val="30"/>
                <w:szCs w:val="30"/>
                <w:highlight w:val="none"/>
              </w:rPr>
              <w:t>类别</w:t>
            </w:r>
          </w:p>
        </w:tc>
        <w:tc>
          <w:tcPr>
            <w:tcW w:w="3437" w:type="dxa"/>
            <w:tcBorders>
              <w:top w:val="single" w:color="auto" w:sz="4" w:space="0"/>
              <w:left w:val="single" w:color="auto" w:sz="4" w:space="0"/>
              <w:bottom w:val="single" w:color="auto" w:sz="4" w:space="0"/>
              <w:right w:val="single" w:color="auto" w:sz="4" w:space="0"/>
            </w:tcBorders>
            <w:vAlign w:val="center"/>
          </w:tcPr>
          <w:p w14:paraId="3A8F5B63">
            <w:pPr>
              <w:jc w:val="center"/>
              <w:rPr>
                <w:rFonts w:hint="eastAsia" w:cs="仿宋" w:asciiTheme="minorEastAsia" w:hAnsiTheme="minorEastAsia" w:eastAsiaTheme="minorEastAsia"/>
                <w:b/>
                <w:bCs/>
                <w:color w:val="auto"/>
                <w:sz w:val="30"/>
                <w:szCs w:val="30"/>
                <w:highlight w:val="none"/>
              </w:rPr>
            </w:pPr>
            <w:r>
              <w:rPr>
                <w:rFonts w:hint="eastAsia" w:cs="仿宋" w:asciiTheme="minorEastAsia" w:hAnsiTheme="minorEastAsia" w:eastAsiaTheme="minorEastAsia"/>
                <w:b/>
                <w:bCs/>
                <w:color w:val="auto"/>
                <w:sz w:val="30"/>
                <w:szCs w:val="30"/>
                <w:highlight w:val="none"/>
              </w:rPr>
              <w:t>报价</w:t>
            </w:r>
          </w:p>
        </w:tc>
      </w:tr>
      <w:tr w14:paraId="3EC0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06" w:type="dxa"/>
            <w:tcBorders>
              <w:top w:val="single" w:color="auto" w:sz="4" w:space="0"/>
              <w:left w:val="single" w:color="auto" w:sz="4" w:space="0"/>
              <w:bottom w:val="single" w:color="auto" w:sz="4" w:space="0"/>
              <w:right w:val="single" w:color="auto" w:sz="4" w:space="0"/>
            </w:tcBorders>
            <w:vAlign w:val="center"/>
          </w:tcPr>
          <w:p w14:paraId="256238CF">
            <w:pPr>
              <w:jc w:val="center"/>
              <w:rPr>
                <w:rFonts w:hint="eastAsia" w:cs="仿宋" w:asciiTheme="minorEastAsia" w:hAnsiTheme="minorEastAsia" w:eastAsiaTheme="minorEastAsia"/>
                <w:b/>
                <w:bCs/>
                <w:color w:val="auto"/>
                <w:sz w:val="30"/>
                <w:szCs w:val="30"/>
                <w:highlight w:val="none"/>
              </w:rPr>
            </w:pPr>
            <w:r>
              <w:rPr>
                <w:rFonts w:hint="eastAsia" w:cs="仿宋" w:asciiTheme="minorEastAsia" w:hAnsiTheme="minorEastAsia" w:eastAsiaTheme="minorEastAsia"/>
                <w:b/>
                <w:bCs/>
                <w:color w:val="auto"/>
                <w:sz w:val="30"/>
                <w:szCs w:val="30"/>
                <w:highlight w:val="none"/>
              </w:rPr>
              <w:t>1</w:t>
            </w:r>
          </w:p>
        </w:tc>
        <w:tc>
          <w:tcPr>
            <w:tcW w:w="4400" w:type="dxa"/>
            <w:tcBorders>
              <w:top w:val="single" w:color="auto" w:sz="4" w:space="0"/>
              <w:left w:val="single" w:color="auto" w:sz="4" w:space="0"/>
              <w:bottom w:val="single" w:color="auto" w:sz="4" w:space="0"/>
              <w:right w:val="single" w:color="auto" w:sz="4" w:space="0"/>
            </w:tcBorders>
            <w:vAlign w:val="center"/>
          </w:tcPr>
          <w:p w14:paraId="33D0B820">
            <w:pPr>
              <w:jc w:val="center"/>
              <w:rPr>
                <w:rFonts w:hint="eastAsia" w:cs="仿宋" w:asciiTheme="minorEastAsia" w:hAnsiTheme="minorEastAsia" w:eastAsiaTheme="minorEastAsia"/>
                <w:b/>
                <w:bCs/>
                <w:color w:val="auto"/>
                <w:sz w:val="30"/>
                <w:szCs w:val="30"/>
                <w:highlight w:val="none"/>
              </w:rPr>
            </w:pPr>
            <w:r>
              <w:rPr>
                <w:rFonts w:hint="eastAsia" w:cs="仿宋" w:asciiTheme="minorEastAsia" w:hAnsiTheme="minorEastAsia" w:eastAsiaTheme="minorEastAsia"/>
                <w:b/>
                <w:bCs/>
                <w:color w:val="auto"/>
                <w:sz w:val="30"/>
                <w:szCs w:val="30"/>
                <w:highlight w:val="none"/>
              </w:rPr>
              <w:t>发行债券总额(报费率%/年)</w:t>
            </w:r>
          </w:p>
        </w:tc>
        <w:tc>
          <w:tcPr>
            <w:tcW w:w="3437" w:type="dxa"/>
            <w:tcBorders>
              <w:top w:val="single" w:color="auto" w:sz="4" w:space="0"/>
              <w:left w:val="single" w:color="auto" w:sz="4" w:space="0"/>
              <w:bottom w:val="single" w:color="auto" w:sz="4" w:space="0"/>
              <w:right w:val="single" w:color="auto" w:sz="4" w:space="0"/>
            </w:tcBorders>
            <w:vAlign w:val="center"/>
          </w:tcPr>
          <w:p w14:paraId="3583A942">
            <w:pPr>
              <w:spacing w:line="360" w:lineRule="auto"/>
              <w:jc w:val="center"/>
              <w:rPr>
                <w:rFonts w:hint="eastAsia" w:cs="仿宋" w:asciiTheme="minorEastAsia" w:hAnsiTheme="minorEastAsia" w:eastAsiaTheme="minorEastAsia"/>
                <w:b/>
                <w:bCs/>
                <w:color w:val="auto"/>
                <w:sz w:val="30"/>
                <w:szCs w:val="30"/>
                <w:highlight w:val="none"/>
              </w:rPr>
            </w:pPr>
          </w:p>
        </w:tc>
      </w:tr>
    </w:tbl>
    <w:p w14:paraId="7BD30090">
      <w:pPr>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                            </w:t>
      </w:r>
    </w:p>
    <w:p w14:paraId="446E398B">
      <w:pPr>
        <w:ind w:firstLine="560" w:firstLineChars="200"/>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说明：1、报价一经涂改，应在涂改处加盖单位公章或者由法定代表人（或法定负责人）或授权委托人签字或盖章，否则其响应文件作无效文件处理；</w:t>
      </w:r>
    </w:p>
    <w:p w14:paraId="32D7CF9F">
      <w:pPr>
        <w:ind w:firstLine="560" w:firstLineChars="200"/>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2、报价人的承销费用（费率）作为债券发行结束后计算承销费用总价的依据</w:t>
      </w:r>
      <w:r>
        <w:rPr>
          <w:rFonts w:hint="eastAsia" w:cs="仿宋" w:asciiTheme="minorEastAsia" w:hAnsiTheme="minorEastAsia" w:eastAsiaTheme="minorEastAsia"/>
          <w:color w:val="auto"/>
          <w:sz w:val="28"/>
          <w:szCs w:val="28"/>
          <w:highlight w:val="none"/>
        </w:rPr>
        <w:t>（即最终收费以实际发行规模</w:t>
      </w:r>
      <w:bookmarkStart w:id="9" w:name="OLE_LINK9"/>
      <w:r>
        <w:rPr>
          <w:rFonts w:hint="eastAsia" w:cs="仿宋" w:asciiTheme="minorEastAsia" w:hAnsiTheme="minorEastAsia" w:eastAsiaTheme="minorEastAsia"/>
          <w:color w:val="auto"/>
          <w:sz w:val="28"/>
          <w:szCs w:val="28"/>
          <w:highlight w:val="none"/>
        </w:rPr>
        <w:t>×</w:t>
      </w:r>
      <w:bookmarkEnd w:id="9"/>
      <w:r>
        <w:rPr>
          <w:rFonts w:hint="eastAsia" w:cs="仿宋" w:asciiTheme="minorEastAsia" w:hAnsiTheme="minorEastAsia" w:eastAsiaTheme="minorEastAsia"/>
          <w:color w:val="auto"/>
          <w:sz w:val="28"/>
          <w:szCs w:val="28"/>
          <w:highlight w:val="none"/>
        </w:rPr>
        <w:t>中标费率×3年计算）</w:t>
      </w:r>
      <w:r>
        <w:rPr>
          <w:rFonts w:hint="eastAsia" w:cs="仿宋" w:asciiTheme="minorEastAsia" w:hAnsiTheme="minorEastAsia" w:eastAsiaTheme="minorEastAsia"/>
          <w:color w:val="auto"/>
          <w:sz w:val="28"/>
          <w:szCs w:val="28"/>
          <w:highlight w:val="none"/>
        </w:rPr>
        <w:t>。</w:t>
      </w:r>
    </w:p>
    <w:p w14:paraId="157E77F4">
      <w:pPr>
        <w:ind w:firstLine="560" w:firstLineChars="200"/>
        <w:rPr>
          <w:rFonts w:hint="eastAsia" w:cs="仿宋" w:asciiTheme="minorEastAsia" w:hAnsiTheme="minorEastAsia" w:eastAsiaTheme="minorEastAsia"/>
          <w:color w:val="auto"/>
          <w:highlight w:val="none"/>
        </w:rPr>
      </w:pPr>
      <w:r>
        <w:rPr>
          <w:rFonts w:hint="eastAsia" w:cs="仿宋" w:asciiTheme="minorEastAsia" w:hAnsiTheme="minorEastAsia" w:eastAsiaTheme="minorEastAsia"/>
          <w:color w:val="auto"/>
          <w:sz w:val="28"/>
          <w:szCs w:val="28"/>
          <w:highlight w:val="none"/>
        </w:rPr>
        <w:t>3、投标报价应符合行业自律最新规定和要求，否则应在投标文件中提供合理的解释及理由，必要时需提交相关证明材料。投标人（供应商）如不能证明其报价合理性的，评标委员会有权将其作为无效投标处理。</w:t>
      </w:r>
    </w:p>
    <w:p w14:paraId="53164BCB">
      <w:pPr>
        <w:spacing w:line="360" w:lineRule="auto"/>
        <w:ind w:firstLine="560" w:firstLineChars="200"/>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4、投标报价不得超过最高限价，否则作无效标处理。</w:t>
      </w:r>
    </w:p>
    <w:p w14:paraId="545256CC">
      <w:pPr>
        <w:snapToGrid w:val="0"/>
        <w:spacing w:before="50" w:after="50" w:line="360" w:lineRule="auto"/>
        <w:ind w:firstLine="241" w:firstLineChars="100"/>
        <w:jc w:val="left"/>
        <w:rPr>
          <w:rFonts w:hint="eastAsia" w:asciiTheme="minorEastAsia" w:hAnsiTheme="minorEastAsia" w:eastAsiaTheme="minorEastAsia"/>
          <w:b/>
          <w:bCs/>
          <w:color w:val="auto"/>
          <w:sz w:val="24"/>
          <w:highlight w:val="none"/>
        </w:rPr>
      </w:pPr>
    </w:p>
    <w:p w14:paraId="5159CEBE">
      <w:pPr>
        <w:snapToGrid w:val="0"/>
        <w:spacing w:before="50" w:after="50" w:line="360" w:lineRule="auto"/>
        <w:ind w:firstLine="241" w:firstLineChars="100"/>
        <w:jc w:val="left"/>
        <w:rPr>
          <w:rFonts w:hint="eastAsia" w:asciiTheme="minorEastAsia" w:hAnsiTheme="minorEastAsia" w:eastAsiaTheme="minorEastAsia"/>
          <w:b/>
          <w:bCs/>
          <w:color w:val="auto"/>
          <w:sz w:val="24"/>
          <w:highlight w:val="none"/>
        </w:rPr>
      </w:pPr>
    </w:p>
    <w:p w14:paraId="3E2112BD">
      <w:pPr>
        <w:pStyle w:val="2"/>
        <w:ind w:firstLine="466"/>
        <w:rPr>
          <w:rFonts w:hint="eastAsia" w:asciiTheme="minorEastAsia" w:hAnsiTheme="minorEastAsia" w:eastAsiaTheme="minorEastAsia"/>
          <w:b/>
          <w:bCs/>
          <w:color w:val="auto"/>
          <w:sz w:val="24"/>
          <w:highlight w:val="none"/>
        </w:rPr>
      </w:pPr>
    </w:p>
    <w:p w14:paraId="0EC61D9C">
      <w:pPr>
        <w:spacing w:line="480" w:lineRule="auto"/>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主承销商名称（盖章）：                      </w:t>
      </w:r>
    </w:p>
    <w:p w14:paraId="5EC6FE7A">
      <w:pPr>
        <w:spacing w:line="480" w:lineRule="auto"/>
        <w:rPr>
          <w:rFonts w:hint="eastAsia"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 xml:space="preserve">法定代表人（或法定负责人）或授权代表（签章）：            </w:t>
      </w:r>
    </w:p>
    <w:p w14:paraId="72DAC047">
      <w:pPr>
        <w:spacing w:line="480" w:lineRule="auto"/>
        <w:rPr>
          <w:rFonts w:hint="eastAsia" w:asciiTheme="minorEastAsia" w:hAnsiTheme="minorEastAsia" w:eastAsiaTheme="minorEastAsia"/>
          <w:color w:val="auto"/>
          <w:highlight w:val="none"/>
        </w:rPr>
      </w:pPr>
      <w:r>
        <w:rPr>
          <w:rFonts w:hint="eastAsia" w:cs="仿宋_GB2312" w:asciiTheme="minorEastAsia" w:hAnsiTheme="minorEastAsia" w:eastAsiaTheme="minorEastAsia"/>
          <w:color w:val="auto"/>
          <w:sz w:val="28"/>
          <w:szCs w:val="28"/>
          <w:highlight w:val="none"/>
        </w:rPr>
        <w:t xml:space="preserve">日        期： </w:t>
      </w:r>
    </w:p>
    <w:p w14:paraId="3763FB27">
      <w:pPr>
        <w:snapToGrid w:val="0"/>
        <w:spacing w:before="50" w:after="50" w:line="480" w:lineRule="auto"/>
        <w:ind w:firstLine="241" w:firstLineChars="100"/>
        <w:jc w:val="left"/>
        <w:rPr>
          <w:rFonts w:hint="eastAsia" w:asciiTheme="minorEastAsia" w:hAnsiTheme="minorEastAsia" w:eastAsiaTheme="minorEastAsia"/>
          <w:b/>
          <w:bCs/>
          <w:color w:val="auto"/>
          <w:sz w:val="24"/>
          <w:highlight w:val="none"/>
        </w:rPr>
      </w:pPr>
    </w:p>
    <w:p w14:paraId="750EC852">
      <w:pPr>
        <w:snapToGrid w:val="0"/>
        <w:spacing w:before="50" w:after="50" w:line="360" w:lineRule="auto"/>
        <w:ind w:firstLine="241" w:firstLineChars="100"/>
        <w:jc w:val="left"/>
        <w:rPr>
          <w:rFonts w:hint="eastAsia" w:asciiTheme="minorEastAsia" w:hAnsiTheme="minorEastAsia" w:eastAsiaTheme="minorEastAsia"/>
          <w:b/>
          <w:bCs/>
          <w:color w:val="auto"/>
          <w:sz w:val="24"/>
          <w:highlight w:val="none"/>
        </w:rPr>
      </w:pPr>
    </w:p>
    <w:p w14:paraId="0F7FC3EE">
      <w:pPr>
        <w:snapToGrid w:val="0"/>
        <w:spacing w:before="50" w:after="50" w:line="360" w:lineRule="auto"/>
        <w:jc w:val="left"/>
        <w:rPr>
          <w:rFonts w:hint="eastAsia" w:asciiTheme="minorEastAsia" w:hAnsiTheme="minorEastAsia" w:eastAsiaTheme="minorEastAsia"/>
          <w:color w:val="auto"/>
          <w:sz w:val="24"/>
          <w:highlight w:val="none"/>
        </w:rPr>
      </w:pPr>
    </w:p>
    <w:p w14:paraId="42D91B66">
      <w:pPr>
        <w:snapToGrid w:val="0"/>
        <w:spacing w:before="50" w:after="50"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22E331AB">
      <w:pPr>
        <w:snapToGrid w:val="0"/>
        <w:spacing w:before="50" w:after="50"/>
        <w:ind w:firstLine="480"/>
        <w:rPr>
          <w:rFonts w:hint="eastAsia" w:asciiTheme="minorEastAsia" w:hAnsiTheme="minorEastAsia" w:eastAsiaTheme="minorEastAsia"/>
          <w:color w:val="auto"/>
          <w:sz w:val="24"/>
          <w:highlight w:val="none"/>
        </w:rPr>
      </w:pPr>
    </w:p>
    <w:p w14:paraId="52CAC5A5">
      <w:pPr>
        <w:rPr>
          <w:rFonts w:hint="eastAsia" w:asciiTheme="minorEastAsia" w:hAnsiTheme="minorEastAsia" w:eastAsiaTheme="minorEastAsia"/>
          <w:color w:val="auto"/>
          <w:highlight w:val="none"/>
        </w:rPr>
      </w:pPr>
    </w:p>
    <w:p w14:paraId="4469C20C">
      <w:pPr>
        <w:tabs>
          <w:tab w:val="left" w:pos="2489"/>
        </w:tabs>
        <w:snapToGrid w:val="0"/>
        <w:spacing w:line="440" w:lineRule="exact"/>
        <w:rPr>
          <w:rFonts w:hint="eastAsia" w:cs="仿宋" w:asciiTheme="minorEastAsia" w:hAnsiTheme="minorEastAsia" w:eastAsiaTheme="minorEastAsia"/>
          <w:b/>
          <w:bCs/>
          <w:color w:val="auto"/>
          <w:sz w:val="30"/>
          <w:szCs w:val="30"/>
          <w:highlight w:val="none"/>
        </w:rPr>
      </w:pPr>
      <w:r>
        <w:rPr>
          <w:rFonts w:hint="eastAsia" w:cs="仿宋" w:asciiTheme="minorEastAsia" w:hAnsiTheme="minorEastAsia" w:eastAsiaTheme="minorEastAsia"/>
          <w:b/>
          <w:bCs/>
          <w:color w:val="auto"/>
          <w:sz w:val="24"/>
          <w:szCs w:val="24"/>
          <w:highlight w:val="none"/>
        </w:rPr>
        <w:t xml:space="preserve">附件9： </w:t>
      </w:r>
      <w:r>
        <w:rPr>
          <w:rFonts w:hint="eastAsia" w:asciiTheme="minorEastAsia" w:hAnsiTheme="minorEastAsia" w:eastAsiaTheme="minorEastAsia"/>
          <w:color w:val="auto"/>
          <w:sz w:val="28"/>
          <w:szCs w:val="28"/>
          <w:highlight w:val="none"/>
        </w:rPr>
        <w:t xml:space="preserve">  </w:t>
      </w:r>
      <w:r>
        <w:rPr>
          <w:rFonts w:hint="eastAsia" w:cs="黑体" w:asciiTheme="minorEastAsia" w:hAnsiTheme="minorEastAsia" w:eastAsiaTheme="minorEastAsia"/>
          <w:b/>
          <w:bCs/>
          <w:color w:val="auto"/>
          <w:sz w:val="30"/>
          <w:szCs w:val="30"/>
          <w:highlight w:val="none"/>
        </w:rPr>
        <w:t xml:space="preserve">   </w:t>
      </w:r>
      <w:r>
        <w:rPr>
          <w:rFonts w:hint="eastAsia" w:cs="仿宋" w:asciiTheme="minorEastAsia" w:hAnsiTheme="minorEastAsia" w:eastAsiaTheme="minorEastAsia"/>
          <w:b/>
          <w:bCs/>
          <w:color w:val="auto"/>
          <w:sz w:val="30"/>
          <w:szCs w:val="30"/>
          <w:highlight w:val="none"/>
        </w:rPr>
        <w:t xml:space="preserve">             </w:t>
      </w:r>
    </w:p>
    <w:p w14:paraId="6FA32036">
      <w:pPr>
        <w:jc w:val="center"/>
        <w:rPr>
          <w:rFonts w:hint="eastAsia" w:cs="仿宋" w:asciiTheme="minorEastAsia" w:hAnsiTheme="minorEastAsia" w:eastAsiaTheme="minorEastAsia"/>
          <w:b/>
          <w:color w:val="auto"/>
          <w:sz w:val="36"/>
          <w:szCs w:val="36"/>
          <w:highlight w:val="none"/>
        </w:rPr>
      </w:pPr>
      <w:r>
        <w:rPr>
          <w:rFonts w:hint="eastAsia" w:cs="仿宋" w:asciiTheme="minorEastAsia" w:hAnsiTheme="minorEastAsia" w:eastAsiaTheme="minorEastAsia"/>
          <w:b/>
          <w:color w:val="auto"/>
          <w:sz w:val="36"/>
          <w:szCs w:val="36"/>
          <w:highlight w:val="none"/>
        </w:rPr>
        <w:t xml:space="preserve"> 投 标 确 认 函</w:t>
      </w:r>
    </w:p>
    <w:p w14:paraId="7CC2A597">
      <w:pPr>
        <w:spacing w:line="500" w:lineRule="exact"/>
        <w:rPr>
          <w:rFonts w:hint="eastAsia" w:cs="仿宋" w:asciiTheme="minorEastAsia" w:hAnsiTheme="minorEastAsia" w:eastAsiaTheme="minorEastAsia"/>
          <w:bCs/>
          <w:color w:val="auto"/>
          <w:sz w:val="28"/>
          <w:szCs w:val="28"/>
          <w:highlight w:val="none"/>
          <w:u w:val="single"/>
        </w:rPr>
      </w:pPr>
      <w:r>
        <w:rPr>
          <w:rFonts w:hint="eastAsia" w:cs="仿宋" w:asciiTheme="minorEastAsia" w:hAnsiTheme="minorEastAsia" w:eastAsiaTheme="minorEastAsia"/>
          <w:bCs/>
          <w:color w:val="auto"/>
          <w:sz w:val="28"/>
          <w:szCs w:val="28"/>
          <w:highlight w:val="none"/>
          <w:u w:val="single"/>
        </w:rPr>
        <w:t>浙江衢州公信工程管理有限公司：</w:t>
      </w:r>
    </w:p>
    <w:p w14:paraId="143F02C2">
      <w:pPr>
        <w:spacing w:line="700" w:lineRule="exact"/>
        <w:ind w:firstLine="573"/>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关于贵方2024年 月  日发布的《东阳市水务投资集团有限公司供水收费权资产证券化发行中介服务机构采购项目》招标公告，本单位愿意参加该项目的投标。现予以确认！</w:t>
      </w:r>
    </w:p>
    <w:p w14:paraId="250F0B67">
      <w:pPr>
        <w:spacing w:line="700" w:lineRule="exact"/>
        <w:rPr>
          <w:rFonts w:hint="eastAsia" w:cs="仿宋" w:asciiTheme="minorEastAsia" w:hAnsiTheme="minorEastAsia" w:eastAsiaTheme="minorEastAsia"/>
          <w:color w:val="auto"/>
          <w:sz w:val="28"/>
          <w:szCs w:val="28"/>
          <w:highlight w:val="none"/>
        </w:rPr>
      </w:pPr>
    </w:p>
    <w:p w14:paraId="5A3DC166">
      <w:pPr>
        <w:spacing w:line="700" w:lineRule="exact"/>
        <w:ind w:firstLine="560" w:firstLineChars="200"/>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 xml:space="preserve">单位名称（公章）：                                                  </w:t>
      </w:r>
    </w:p>
    <w:p w14:paraId="24E30E42">
      <w:pPr>
        <w:spacing w:line="700" w:lineRule="exact"/>
        <w:ind w:firstLine="573"/>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 xml:space="preserve">法定代表人或授权代表（签章）：                 </w:t>
      </w:r>
    </w:p>
    <w:p w14:paraId="0F1E3F49">
      <w:pPr>
        <w:spacing w:line="700" w:lineRule="exact"/>
        <w:ind w:firstLine="573"/>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 xml:space="preserve">单位地址：                 钉钉号：                                                                  </w:t>
      </w:r>
    </w:p>
    <w:p w14:paraId="56388532">
      <w:pPr>
        <w:spacing w:line="700" w:lineRule="exact"/>
        <w:ind w:firstLine="573"/>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 xml:space="preserve">电  话：                   邮  编：                                                                    </w:t>
      </w:r>
    </w:p>
    <w:p w14:paraId="2D3B50CA">
      <w:pPr>
        <w:spacing w:line="700" w:lineRule="exact"/>
        <w:ind w:firstLine="573"/>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 xml:space="preserve">传  真：                   日  期：                   </w:t>
      </w:r>
    </w:p>
    <w:p w14:paraId="3695300D">
      <w:pPr>
        <w:spacing w:line="700" w:lineRule="exact"/>
        <w:ind w:firstLine="573"/>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 xml:space="preserve">联系人：                   手机号码：                    </w:t>
      </w:r>
    </w:p>
    <w:p w14:paraId="08810B26">
      <w:pPr>
        <w:spacing w:line="700" w:lineRule="exact"/>
        <w:ind w:firstLine="573"/>
        <w:rPr>
          <w:rFonts w:hint="eastAsia" w:cs="仿宋" w:asciiTheme="minorEastAsia" w:hAnsiTheme="minorEastAsia" w:eastAsiaTheme="minorEastAsia"/>
          <w:color w:val="auto"/>
          <w:sz w:val="28"/>
          <w:szCs w:val="28"/>
          <w:highlight w:val="none"/>
        </w:rPr>
      </w:pPr>
    </w:p>
    <w:p w14:paraId="0C2088A8">
      <w:pPr>
        <w:spacing w:line="700" w:lineRule="exact"/>
        <w:ind w:firstLine="573"/>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注：此投标确认函请于2024年 月  日17时前通过快递或邮箱方式送达到浙江衢州公信工程管理有限公司（地址：浙江省东阳市江滨南街555号，邮箱：477628472@qq.com）。</w:t>
      </w:r>
    </w:p>
    <w:p w14:paraId="7823DD47">
      <w:pPr>
        <w:spacing w:line="700" w:lineRule="exact"/>
        <w:rPr>
          <w:rFonts w:hint="eastAsia" w:cs="仿宋" w:asciiTheme="minorEastAsia" w:hAnsiTheme="minorEastAsia" w:eastAsiaTheme="minorEastAsia"/>
          <w:color w:val="auto"/>
          <w:sz w:val="28"/>
          <w:szCs w:val="28"/>
          <w:highlight w:val="none"/>
        </w:rPr>
      </w:pPr>
    </w:p>
    <w:p w14:paraId="41E96AB6">
      <w:pPr>
        <w:spacing w:line="700" w:lineRule="exact"/>
        <w:rPr>
          <w:rFonts w:hint="eastAsia" w:cs="仿宋" w:asciiTheme="minorEastAsia" w:hAnsiTheme="minorEastAsia" w:eastAsiaTheme="minorEastAsia"/>
          <w:color w:val="auto"/>
          <w:sz w:val="28"/>
          <w:szCs w:val="28"/>
          <w:highlight w:val="none"/>
        </w:rPr>
      </w:pPr>
      <w:r>
        <w:rPr>
          <w:rFonts w:hint="eastAsia" w:cs="仿宋" w:asciiTheme="minorEastAsia" w:hAnsiTheme="minorEastAsia" w:eastAsiaTheme="minorEastAsia"/>
          <w:color w:val="auto"/>
          <w:sz w:val="28"/>
          <w:szCs w:val="28"/>
          <w:highlight w:val="none"/>
        </w:rPr>
        <w:t>（如投标单位发送投标确认函后未参加投标项目，将以失信单位名单上报东阳市人民政府国有资产监督管理办公室）</w:t>
      </w:r>
    </w:p>
    <w:p w14:paraId="2605E456">
      <w:pPr>
        <w:pStyle w:val="2"/>
        <w:ind w:firstLine="344"/>
        <w:rPr>
          <w:rFonts w:hint="eastAsia" w:asciiTheme="minorEastAsia" w:hAnsiTheme="minorEastAsia" w:eastAsiaTheme="minorEastAsia"/>
          <w:color w:val="auto"/>
          <w:highlight w:val="none"/>
        </w:rPr>
      </w:pPr>
    </w:p>
    <w:sectPr>
      <w:footerReference r:id="rId9" w:type="default"/>
      <w:pgSz w:w="11906" w:h="16838"/>
      <w:pgMar w:top="1091" w:right="1418" w:bottom="1588" w:left="1418" w:header="851" w:footer="992" w:gutter="0"/>
      <w:cols w:space="720" w:num="1"/>
      <w:docGrid w:linePitch="60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_x0004_falt">
    <w:altName w:val="PMingLiU-ExtB"/>
    <w:panose1 w:val="00000000000000000000"/>
    <w:charset w:val="88"/>
    <w:family w:val="auto"/>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C36C">
    <w:pPr>
      <w:tabs>
        <w:tab w:val="center" w:pos="4153"/>
        <w:tab w:val="right" w:pos="8306"/>
      </w:tabs>
      <w:snapToGrid w:val="0"/>
      <w:ind w:right="360"/>
      <w:rPr>
        <w:rFonts w:ascii="Verdana" w:hAnsi="Verdana" w:eastAsia="黑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80F6">
    <w:pPr>
      <w:tabs>
        <w:tab w:val="center" w:pos="4153"/>
        <w:tab w:val="right" w:pos="8306"/>
      </w:tabs>
      <w:snapToGrid w:val="0"/>
      <w:ind w:right="360"/>
      <w:rPr>
        <w:rFonts w:ascii="Verdana" w:hAnsi="Verdana" w:eastAsia="黑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BE76">
    <w:pPr>
      <w:framePr w:wrap="around" w:vAnchor="text" w:hAnchor="margin" w:xAlign="center" w:y="1"/>
      <w:tabs>
        <w:tab w:val="center" w:pos="4153"/>
        <w:tab w:val="right" w:pos="8306"/>
      </w:tabs>
      <w:snapToGrid w:val="0"/>
      <w:jc w:val="right"/>
      <w:textAlignment w:val="baseline"/>
      <w:rPr>
        <w:sz w:val="24"/>
        <w:lang w:eastAsia="en-US"/>
      </w:rPr>
    </w:pPr>
    <w:r>
      <w:rPr>
        <w:rFonts w:hint="eastAsia"/>
        <w:sz w:val="24"/>
        <w:lang w:eastAsia="en-US"/>
      </w:rPr>
      <w:t xml:space="preserve">— </w:t>
    </w:r>
    <w:r>
      <w:rPr>
        <w:sz w:val="24"/>
      </w:rPr>
      <w:fldChar w:fldCharType="begin"/>
    </w:r>
    <w:r>
      <w:rPr>
        <w:sz w:val="24"/>
      </w:rPr>
      <w:instrText xml:space="preserve">PAGE</w:instrText>
    </w:r>
    <w:r>
      <w:rPr>
        <w:sz w:val="24"/>
      </w:rPr>
      <w:fldChar w:fldCharType="separate"/>
    </w:r>
    <w:r>
      <w:rPr>
        <w:sz w:val="24"/>
      </w:rPr>
      <w:t>18</w:t>
    </w:r>
    <w:r>
      <w:rPr>
        <w:sz w:val="24"/>
      </w:rPr>
      <w:fldChar w:fldCharType="end"/>
    </w:r>
    <w:r>
      <w:rPr>
        <w:rFonts w:hint="eastAsia"/>
        <w:sz w:val="24"/>
        <w:lang w:eastAsia="en-US"/>
      </w:rPr>
      <w:t xml:space="preserve"> —</w:t>
    </w:r>
  </w:p>
  <w:p w14:paraId="5B87CD7B">
    <w:pPr>
      <w:tabs>
        <w:tab w:val="center" w:pos="4153"/>
        <w:tab w:val="right" w:pos="8306"/>
      </w:tabs>
      <w:snapToGrid w:val="0"/>
      <w:ind w:right="360"/>
      <w:jc w:val="center"/>
      <w:rPr>
        <w:rFonts w:ascii="Verdana" w:hAnsi="Verdana" w:eastAsia="黑体"/>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61D2B">
    <w:pPr>
      <w:tabs>
        <w:tab w:val="center" w:pos="4153"/>
        <w:tab w:val="right" w:pos="8306"/>
      </w:tabs>
      <w:snapToGrid w:val="0"/>
      <w:ind w:right="720"/>
      <w:jc w:val="left"/>
      <w:rPr>
        <w:rFonts w:ascii="Verdana" w:hAnsi="Verdana" w:eastAsia="黑体"/>
        <w:sz w:val="18"/>
      </w:rPr>
    </w:pPr>
    <w:r>
      <w:rPr>
        <w:rFonts w:hint="eastAsia" w:ascii="Verdana" w:hAnsi="Verdana" w:eastAsia="黑体"/>
        <w:sz w:val="18"/>
      </w:rPr>
      <w:t xml:space="preserve">                                                    </w:t>
    </w:r>
    <w:r>
      <w:rPr>
        <w:rFonts w:ascii="Verdana" w:hAnsi="Verdana" w:eastAsia="黑体"/>
        <w:sz w:val="18"/>
      </w:rPr>
      <w:fldChar w:fldCharType="begin"/>
    </w:r>
    <w:r>
      <w:rPr>
        <w:rFonts w:ascii="Verdana" w:hAnsi="Verdana" w:eastAsia="黑体"/>
        <w:sz w:val="18"/>
      </w:rPr>
      <w:instrText xml:space="preserve">PAGE</w:instrText>
    </w:r>
    <w:r>
      <w:rPr>
        <w:rFonts w:ascii="Verdana" w:hAnsi="Verdana" w:eastAsia="黑体"/>
      </w:rPr>
      <w:fldChar w:fldCharType="separate"/>
    </w:r>
    <w:r>
      <w:rPr>
        <w:rFonts w:ascii="Verdana" w:hAnsi="Verdana" w:eastAsia="黑体"/>
        <w:sz w:val="18"/>
      </w:rPr>
      <w:t>20</w:t>
    </w:r>
    <w:r>
      <w:rPr>
        <w:rFonts w:ascii="Verdana" w:hAnsi="Verdana" w:eastAsia="黑体"/>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9B8F7">
    <w:pPr>
      <w:framePr w:wrap="around" w:vAnchor="text" w:hAnchor="margin" w:xAlign="right" w:y="1"/>
      <w:tabs>
        <w:tab w:val="center" w:pos="4153"/>
        <w:tab w:val="right" w:pos="8306"/>
      </w:tabs>
      <w:snapToGrid w:val="0"/>
      <w:jc w:val="left"/>
      <w:textAlignment w:val="baseline"/>
      <w:rPr>
        <w:rFonts w:ascii="Verdana" w:hAnsi="Verdana" w:eastAsia="黑体"/>
        <w:lang w:eastAsia="en-US"/>
      </w:rPr>
    </w:pPr>
  </w:p>
  <w:p w14:paraId="0F79AA3C">
    <w:pPr>
      <w:framePr w:wrap="around" w:vAnchor="text" w:hAnchor="page" w:x="1645" w:y="82"/>
      <w:tabs>
        <w:tab w:val="center" w:pos="4153"/>
        <w:tab w:val="right" w:pos="8306"/>
      </w:tabs>
      <w:snapToGrid w:val="0"/>
      <w:ind w:right="360"/>
      <w:jc w:val="left"/>
      <w:textAlignment w:val="baseline"/>
      <w:rPr>
        <w:rFonts w:ascii="Verdana" w:hAnsi="Verdana" w:eastAsia="黑体"/>
        <w:sz w:val="28"/>
        <w:lang w:eastAsia="en-US"/>
      </w:rPr>
    </w:pPr>
  </w:p>
  <w:p w14:paraId="308CFEF5">
    <w:pPr>
      <w:tabs>
        <w:tab w:val="center" w:pos="4153"/>
        <w:tab w:val="right" w:pos="8306"/>
      </w:tabs>
      <w:snapToGrid w:val="0"/>
      <w:ind w:right="360"/>
      <w:jc w:val="center"/>
      <w:rPr>
        <w:rFonts w:ascii="Verdana" w:hAnsi="Verdana" w:eastAsia="黑体"/>
        <w:sz w:val="18"/>
      </w:rPr>
    </w:pPr>
    <w:r>
      <w:rPr>
        <w:rFonts w:ascii="Verdana" w:hAnsi="Verdana" w:eastAsia="黑体"/>
        <w:sz w:val="18"/>
      </w:rPr>
      <w:fldChar w:fldCharType="begin"/>
    </w:r>
    <w:r>
      <w:rPr>
        <w:rFonts w:ascii="Verdana" w:hAnsi="Verdana" w:eastAsia="黑体"/>
        <w:sz w:val="18"/>
      </w:rPr>
      <w:instrText xml:space="preserve">PAGE</w:instrText>
    </w:r>
    <w:r>
      <w:rPr>
        <w:rFonts w:ascii="Verdana" w:hAnsi="Verdana" w:eastAsia="黑体"/>
      </w:rPr>
      <w:fldChar w:fldCharType="separate"/>
    </w:r>
    <w:r>
      <w:rPr>
        <w:rFonts w:ascii="Verdana" w:hAnsi="Verdana" w:eastAsia="黑体"/>
        <w:sz w:val="18"/>
      </w:rPr>
      <w:t>34</w:t>
    </w:r>
    <w:r>
      <w:rPr>
        <w:rFonts w:ascii="Verdana" w:hAnsi="Verdana" w:eastAsia="黑体"/>
        <w:sz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A2DFB">
    <w:pPr>
      <w:tabs>
        <w:tab w:val="center" w:pos="4153"/>
        <w:tab w:val="right" w:pos="8306"/>
      </w:tabs>
      <w:snapToGrid w:val="0"/>
      <w:rPr>
        <w:rFonts w:eastAsia="仿宋_GB2312"/>
        <w:b/>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DC05">
    <w:pPr>
      <w:snapToGrid w:val="0"/>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BF935"/>
    <w:multiLevelType w:val="singleLevel"/>
    <w:tmpl w:val="DD8BF935"/>
    <w:lvl w:ilvl="0" w:tentative="0">
      <w:start w:val="2"/>
      <w:numFmt w:val="chineseCounting"/>
      <w:suff w:val="nothing"/>
      <w:lvlText w:val="%1、"/>
      <w:lvlJc w:val="left"/>
      <w:rPr>
        <w:rFonts w:hint="eastAsia"/>
      </w:rPr>
    </w:lvl>
  </w:abstractNum>
  <w:abstractNum w:abstractNumId="1">
    <w:nsid w:val="5C946295"/>
    <w:multiLevelType w:val="multilevel"/>
    <w:tmpl w:val="5C946295"/>
    <w:lvl w:ilvl="0" w:tentative="0">
      <w:start w:val="1"/>
      <w:numFmt w:val="chineseCounting"/>
      <w:lvlText w:val="第%1章"/>
      <w:lvlJc w:val="left"/>
      <w:pPr>
        <w:ind w:left="5386" w:hanging="1275"/>
      </w:pPr>
      <w:rPr>
        <w:rFonts w:hint="eastAsia"/>
        <w:b/>
        <w:bCs/>
        <w:w w:val="100"/>
      </w:rPr>
    </w:lvl>
    <w:lvl w:ilvl="1" w:tentative="0">
      <w:start w:val="1"/>
      <w:numFmt w:val="chineseCounting"/>
      <w:lvlText w:val="%2、"/>
      <w:lvlJc w:val="left"/>
      <w:pPr>
        <w:ind w:left="2040" w:hanging="720"/>
      </w:pPr>
      <w:rPr>
        <w:rFonts w:hint="default"/>
        <w:w w:val="100"/>
      </w:rPr>
    </w:lvl>
    <w:lvl w:ilvl="2" w:tentative="0">
      <w:start w:val="1"/>
      <w:numFmt w:val="lowerRoman"/>
      <w:lvlText w:val="%3."/>
      <w:lvlJc w:val="right"/>
      <w:pPr>
        <w:ind w:left="2160" w:hanging="420"/>
      </w:pPr>
      <w:rPr>
        <w:rFonts w:hint="default"/>
        <w:w w:val="100"/>
      </w:rPr>
    </w:lvl>
    <w:lvl w:ilvl="3" w:tentative="0">
      <w:start w:val="1"/>
      <w:numFmt w:val="decimal"/>
      <w:lvlText w:val="%4."/>
      <w:lvlJc w:val="left"/>
      <w:pPr>
        <w:ind w:left="2580" w:hanging="420"/>
      </w:pPr>
      <w:rPr>
        <w:rFonts w:hint="default"/>
        <w:w w:val="100"/>
      </w:rPr>
    </w:lvl>
    <w:lvl w:ilvl="4" w:tentative="0">
      <w:start w:val="1"/>
      <w:numFmt w:val="lowerLetter"/>
      <w:lvlText w:val="%5)"/>
      <w:lvlJc w:val="left"/>
      <w:pPr>
        <w:ind w:left="3000" w:hanging="420"/>
      </w:pPr>
      <w:rPr>
        <w:rFonts w:hint="default"/>
        <w:w w:val="100"/>
      </w:rPr>
    </w:lvl>
    <w:lvl w:ilvl="5" w:tentative="0">
      <w:start w:val="1"/>
      <w:numFmt w:val="lowerRoman"/>
      <w:lvlText w:val="%6."/>
      <w:lvlJc w:val="right"/>
      <w:pPr>
        <w:ind w:left="3420" w:hanging="420"/>
      </w:pPr>
      <w:rPr>
        <w:rFonts w:hint="default"/>
        <w:w w:val="100"/>
      </w:rPr>
    </w:lvl>
    <w:lvl w:ilvl="6" w:tentative="0">
      <w:start w:val="1"/>
      <w:numFmt w:val="decimal"/>
      <w:lvlText w:val="%7."/>
      <w:lvlJc w:val="left"/>
      <w:pPr>
        <w:ind w:left="3840" w:hanging="420"/>
      </w:pPr>
      <w:rPr>
        <w:rFonts w:hint="default"/>
        <w:w w:val="100"/>
      </w:rPr>
    </w:lvl>
    <w:lvl w:ilvl="7" w:tentative="0">
      <w:start w:val="1"/>
      <w:numFmt w:val="lowerLetter"/>
      <w:lvlText w:val="%8)"/>
      <w:lvlJc w:val="left"/>
      <w:pPr>
        <w:ind w:left="4260" w:hanging="420"/>
      </w:pPr>
      <w:rPr>
        <w:rFonts w:hint="default"/>
        <w:w w:val="100"/>
      </w:rPr>
    </w:lvl>
    <w:lvl w:ilvl="8" w:tentative="0">
      <w:start w:val="1"/>
      <w:numFmt w:val="lowerRoman"/>
      <w:lvlText w:val="%9."/>
      <w:lvlJc w:val="right"/>
      <w:pPr>
        <w:ind w:left="4680" w:hanging="420"/>
      </w:pPr>
      <w:rPr>
        <w:rFonts w:hint="default"/>
        <w:w w:val="100"/>
      </w:rPr>
    </w:lvl>
  </w:abstractNum>
  <w:abstractNum w:abstractNumId="2">
    <w:nsid w:val="6D4A0D85"/>
    <w:multiLevelType w:val="singleLevel"/>
    <w:tmpl w:val="6D4A0D85"/>
    <w:lvl w:ilvl="0" w:tentative="0">
      <w:start w:val="3"/>
      <w:numFmt w:val="chineseCounting"/>
      <w:suff w:val="space"/>
      <w:lvlText w:val="第%1章"/>
      <w:lvlJc w:val="left"/>
      <w:rPr>
        <w:rFonts w:hint="eastAsia"/>
      </w:rPr>
    </w:lvl>
  </w:abstractNum>
  <w:abstractNum w:abstractNumId="3">
    <w:nsid w:val="714844F7"/>
    <w:multiLevelType w:val="singleLevel"/>
    <w:tmpl w:val="714844F7"/>
    <w:lvl w:ilvl="0" w:tentative="0">
      <w:start w:val="1"/>
      <w:numFmt w:val="chineseCounting"/>
      <w:suff w:val="nothing"/>
      <w:lvlText w:val="（%1）"/>
      <w:lvlJc w:val="left"/>
      <w:rPr>
        <w:rFonts w:hint="eastAsia"/>
      </w:rPr>
    </w:lvl>
  </w:abstractNum>
  <w:abstractNum w:abstractNumId="4">
    <w:nsid w:val="7DBDC3E9"/>
    <w:multiLevelType w:val="singleLevel"/>
    <w:tmpl w:val="7DBDC3E9"/>
    <w:lvl w:ilvl="0" w:tentative="0">
      <w:start w:val="7"/>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yMTAxMDYyOGVkZDBmNGI4Y2RkMzg3NTg3ZDExMWQifQ=="/>
  </w:docVars>
  <w:rsids>
    <w:rsidRoot w:val="7D6413F2"/>
    <w:rsid w:val="0000171D"/>
    <w:rsid w:val="00032F2D"/>
    <w:rsid w:val="000622C9"/>
    <w:rsid w:val="00072ABB"/>
    <w:rsid w:val="00087819"/>
    <w:rsid w:val="000A525D"/>
    <w:rsid w:val="000C01CA"/>
    <w:rsid w:val="000C7A65"/>
    <w:rsid w:val="000E3FB9"/>
    <w:rsid w:val="0010586E"/>
    <w:rsid w:val="001149EC"/>
    <w:rsid w:val="0015092B"/>
    <w:rsid w:val="00191BF3"/>
    <w:rsid w:val="001A1C0C"/>
    <w:rsid w:val="001B3615"/>
    <w:rsid w:val="001C42F2"/>
    <w:rsid w:val="001E15D1"/>
    <w:rsid w:val="0021290B"/>
    <w:rsid w:val="00224399"/>
    <w:rsid w:val="00242E23"/>
    <w:rsid w:val="0024531A"/>
    <w:rsid w:val="0026401C"/>
    <w:rsid w:val="002B3500"/>
    <w:rsid w:val="002C69CE"/>
    <w:rsid w:val="00323E4D"/>
    <w:rsid w:val="00337D02"/>
    <w:rsid w:val="003649ED"/>
    <w:rsid w:val="003713E6"/>
    <w:rsid w:val="003849F9"/>
    <w:rsid w:val="003925D1"/>
    <w:rsid w:val="003A06D7"/>
    <w:rsid w:val="003A4430"/>
    <w:rsid w:val="0040388B"/>
    <w:rsid w:val="004078CB"/>
    <w:rsid w:val="0041675B"/>
    <w:rsid w:val="0042444D"/>
    <w:rsid w:val="00454DE3"/>
    <w:rsid w:val="0048530D"/>
    <w:rsid w:val="0049743E"/>
    <w:rsid w:val="004C0D1D"/>
    <w:rsid w:val="004C4BE5"/>
    <w:rsid w:val="004C5FCA"/>
    <w:rsid w:val="004E59D4"/>
    <w:rsid w:val="004E7174"/>
    <w:rsid w:val="004F6C52"/>
    <w:rsid w:val="005249DE"/>
    <w:rsid w:val="00580264"/>
    <w:rsid w:val="005B1D7C"/>
    <w:rsid w:val="005E2158"/>
    <w:rsid w:val="00601C3A"/>
    <w:rsid w:val="00610056"/>
    <w:rsid w:val="006457EE"/>
    <w:rsid w:val="00693379"/>
    <w:rsid w:val="006B193D"/>
    <w:rsid w:val="00727930"/>
    <w:rsid w:val="0074689E"/>
    <w:rsid w:val="007D5166"/>
    <w:rsid w:val="007E1E82"/>
    <w:rsid w:val="007E3232"/>
    <w:rsid w:val="007E62CA"/>
    <w:rsid w:val="00823F49"/>
    <w:rsid w:val="00834C4E"/>
    <w:rsid w:val="008448A0"/>
    <w:rsid w:val="00887B96"/>
    <w:rsid w:val="008A11F9"/>
    <w:rsid w:val="008C7617"/>
    <w:rsid w:val="008E32EF"/>
    <w:rsid w:val="0091266D"/>
    <w:rsid w:val="0093452B"/>
    <w:rsid w:val="009371AC"/>
    <w:rsid w:val="00941163"/>
    <w:rsid w:val="009607B7"/>
    <w:rsid w:val="00960E68"/>
    <w:rsid w:val="00974A4B"/>
    <w:rsid w:val="00983342"/>
    <w:rsid w:val="00A01387"/>
    <w:rsid w:val="00A0638A"/>
    <w:rsid w:val="00A25D8F"/>
    <w:rsid w:val="00A26AAD"/>
    <w:rsid w:val="00A339B6"/>
    <w:rsid w:val="00A452D8"/>
    <w:rsid w:val="00A71EF7"/>
    <w:rsid w:val="00A84FFF"/>
    <w:rsid w:val="00A952B5"/>
    <w:rsid w:val="00AE2E29"/>
    <w:rsid w:val="00AF38D1"/>
    <w:rsid w:val="00B04198"/>
    <w:rsid w:val="00B27E65"/>
    <w:rsid w:val="00B376AE"/>
    <w:rsid w:val="00B66148"/>
    <w:rsid w:val="00B71531"/>
    <w:rsid w:val="00BA7E31"/>
    <w:rsid w:val="00BB6DC1"/>
    <w:rsid w:val="00BC647D"/>
    <w:rsid w:val="00BE07B8"/>
    <w:rsid w:val="00C22863"/>
    <w:rsid w:val="00C3182F"/>
    <w:rsid w:val="00C677FA"/>
    <w:rsid w:val="00CD0DB2"/>
    <w:rsid w:val="00D26FCE"/>
    <w:rsid w:val="00D459E6"/>
    <w:rsid w:val="00D60C8A"/>
    <w:rsid w:val="00D87E37"/>
    <w:rsid w:val="00D9187F"/>
    <w:rsid w:val="00D9789E"/>
    <w:rsid w:val="00DA39D6"/>
    <w:rsid w:val="00DB0BE8"/>
    <w:rsid w:val="00DC662F"/>
    <w:rsid w:val="00DC7872"/>
    <w:rsid w:val="00DD01F5"/>
    <w:rsid w:val="00DF3472"/>
    <w:rsid w:val="00DF3833"/>
    <w:rsid w:val="00E45BA5"/>
    <w:rsid w:val="00E7211B"/>
    <w:rsid w:val="00E928F6"/>
    <w:rsid w:val="00E97998"/>
    <w:rsid w:val="00EE186A"/>
    <w:rsid w:val="00F05ED4"/>
    <w:rsid w:val="00F31963"/>
    <w:rsid w:val="00F75259"/>
    <w:rsid w:val="00FA0E7E"/>
    <w:rsid w:val="00FE528E"/>
    <w:rsid w:val="00FE680C"/>
    <w:rsid w:val="00FF6976"/>
    <w:rsid w:val="027C1FDF"/>
    <w:rsid w:val="037A67EF"/>
    <w:rsid w:val="04E1624B"/>
    <w:rsid w:val="056A33CB"/>
    <w:rsid w:val="05721436"/>
    <w:rsid w:val="06A75CA3"/>
    <w:rsid w:val="07323ECA"/>
    <w:rsid w:val="074814AB"/>
    <w:rsid w:val="07B51508"/>
    <w:rsid w:val="07BB63C4"/>
    <w:rsid w:val="07EE0D06"/>
    <w:rsid w:val="08A249AB"/>
    <w:rsid w:val="09356563"/>
    <w:rsid w:val="09704623"/>
    <w:rsid w:val="097547A3"/>
    <w:rsid w:val="0A7D63EA"/>
    <w:rsid w:val="0A7E116D"/>
    <w:rsid w:val="0B294938"/>
    <w:rsid w:val="0B6525A9"/>
    <w:rsid w:val="0BC64DE4"/>
    <w:rsid w:val="0C6869D8"/>
    <w:rsid w:val="0CC64A25"/>
    <w:rsid w:val="0D013CEC"/>
    <w:rsid w:val="0D785E89"/>
    <w:rsid w:val="0DB519B8"/>
    <w:rsid w:val="0DF22C63"/>
    <w:rsid w:val="0EE8501B"/>
    <w:rsid w:val="0F3C5A6D"/>
    <w:rsid w:val="0F6670A4"/>
    <w:rsid w:val="109B6012"/>
    <w:rsid w:val="10C01410"/>
    <w:rsid w:val="11A402E3"/>
    <w:rsid w:val="11F86AF4"/>
    <w:rsid w:val="136D2548"/>
    <w:rsid w:val="14657950"/>
    <w:rsid w:val="14C802CD"/>
    <w:rsid w:val="15737D53"/>
    <w:rsid w:val="15DF7221"/>
    <w:rsid w:val="16094BB9"/>
    <w:rsid w:val="179464C7"/>
    <w:rsid w:val="17C92852"/>
    <w:rsid w:val="186802BC"/>
    <w:rsid w:val="188B1777"/>
    <w:rsid w:val="18D909AD"/>
    <w:rsid w:val="19B80DD0"/>
    <w:rsid w:val="1A2E200F"/>
    <w:rsid w:val="1AEF78E3"/>
    <w:rsid w:val="1B952776"/>
    <w:rsid w:val="1BD8147D"/>
    <w:rsid w:val="1C18455E"/>
    <w:rsid w:val="1C660E7B"/>
    <w:rsid w:val="1CD31B86"/>
    <w:rsid w:val="1D293437"/>
    <w:rsid w:val="1DB80832"/>
    <w:rsid w:val="1E2370C3"/>
    <w:rsid w:val="1E9B33CF"/>
    <w:rsid w:val="1ECB78D6"/>
    <w:rsid w:val="1F1F544D"/>
    <w:rsid w:val="1F667A24"/>
    <w:rsid w:val="1F730199"/>
    <w:rsid w:val="21C46A84"/>
    <w:rsid w:val="237869FA"/>
    <w:rsid w:val="237C270C"/>
    <w:rsid w:val="24422A4A"/>
    <w:rsid w:val="24E875F4"/>
    <w:rsid w:val="258C2FD9"/>
    <w:rsid w:val="25A4687B"/>
    <w:rsid w:val="25D87DF8"/>
    <w:rsid w:val="267B1F7C"/>
    <w:rsid w:val="26974D12"/>
    <w:rsid w:val="27005407"/>
    <w:rsid w:val="270A69E3"/>
    <w:rsid w:val="272F454B"/>
    <w:rsid w:val="286319B4"/>
    <w:rsid w:val="28E1291A"/>
    <w:rsid w:val="294549E0"/>
    <w:rsid w:val="2A060ACC"/>
    <w:rsid w:val="2A5B036E"/>
    <w:rsid w:val="2A633DB4"/>
    <w:rsid w:val="2BC27F72"/>
    <w:rsid w:val="2BD927BF"/>
    <w:rsid w:val="2C7D5BE5"/>
    <w:rsid w:val="2CE55A8D"/>
    <w:rsid w:val="2D7A1CF2"/>
    <w:rsid w:val="2D9961EA"/>
    <w:rsid w:val="2E6559DC"/>
    <w:rsid w:val="2EBC745E"/>
    <w:rsid w:val="314D7A35"/>
    <w:rsid w:val="315630BE"/>
    <w:rsid w:val="31821B16"/>
    <w:rsid w:val="319F2055"/>
    <w:rsid w:val="31B77767"/>
    <w:rsid w:val="32664520"/>
    <w:rsid w:val="32EA40E2"/>
    <w:rsid w:val="33B46765"/>
    <w:rsid w:val="36D02516"/>
    <w:rsid w:val="37A97B52"/>
    <w:rsid w:val="37E24E13"/>
    <w:rsid w:val="380971E9"/>
    <w:rsid w:val="38156E87"/>
    <w:rsid w:val="384E6050"/>
    <w:rsid w:val="38846F79"/>
    <w:rsid w:val="388D37D9"/>
    <w:rsid w:val="398924B4"/>
    <w:rsid w:val="39D924F2"/>
    <w:rsid w:val="3A273C29"/>
    <w:rsid w:val="3ABC68FB"/>
    <w:rsid w:val="3BA31800"/>
    <w:rsid w:val="3BB74969"/>
    <w:rsid w:val="3C153A08"/>
    <w:rsid w:val="3C1C5E64"/>
    <w:rsid w:val="3C87377F"/>
    <w:rsid w:val="3CED6A55"/>
    <w:rsid w:val="3D4E754D"/>
    <w:rsid w:val="3D506BEC"/>
    <w:rsid w:val="3DC02F13"/>
    <w:rsid w:val="3DC72E56"/>
    <w:rsid w:val="3E3F5EA6"/>
    <w:rsid w:val="3E5F240E"/>
    <w:rsid w:val="3F2179D0"/>
    <w:rsid w:val="405930B4"/>
    <w:rsid w:val="40AA0BC3"/>
    <w:rsid w:val="419053B3"/>
    <w:rsid w:val="41AA69A0"/>
    <w:rsid w:val="420A5AAC"/>
    <w:rsid w:val="4242307D"/>
    <w:rsid w:val="42A41642"/>
    <w:rsid w:val="42A8137E"/>
    <w:rsid w:val="432A353D"/>
    <w:rsid w:val="43F14D5A"/>
    <w:rsid w:val="45147AD8"/>
    <w:rsid w:val="451C78A2"/>
    <w:rsid w:val="46843C64"/>
    <w:rsid w:val="469A0FAE"/>
    <w:rsid w:val="46B65864"/>
    <w:rsid w:val="48CE566A"/>
    <w:rsid w:val="494649F5"/>
    <w:rsid w:val="4965713C"/>
    <w:rsid w:val="496F2830"/>
    <w:rsid w:val="4AA27349"/>
    <w:rsid w:val="4AF33166"/>
    <w:rsid w:val="4AFB54E6"/>
    <w:rsid w:val="4BAD3F19"/>
    <w:rsid w:val="4C7736F0"/>
    <w:rsid w:val="4CC22E90"/>
    <w:rsid w:val="4CFF1212"/>
    <w:rsid w:val="4D0A482E"/>
    <w:rsid w:val="4D2605E9"/>
    <w:rsid w:val="4D525CFF"/>
    <w:rsid w:val="4E380387"/>
    <w:rsid w:val="4E4C19F7"/>
    <w:rsid w:val="4E883B1E"/>
    <w:rsid w:val="4E892B8E"/>
    <w:rsid w:val="4EBE2176"/>
    <w:rsid w:val="511C70FB"/>
    <w:rsid w:val="52346D3C"/>
    <w:rsid w:val="53E66E14"/>
    <w:rsid w:val="5519409E"/>
    <w:rsid w:val="55FF3307"/>
    <w:rsid w:val="560050EF"/>
    <w:rsid w:val="56970DE1"/>
    <w:rsid w:val="5699538C"/>
    <w:rsid w:val="573C0BB2"/>
    <w:rsid w:val="578C3672"/>
    <w:rsid w:val="58C654D2"/>
    <w:rsid w:val="598C2E2E"/>
    <w:rsid w:val="59AE6DE5"/>
    <w:rsid w:val="5A403EEE"/>
    <w:rsid w:val="5AF111AE"/>
    <w:rsid w:val="5B4419EE"/>
    <w:rsid w:val="5D936930"/>
    <w:rsid w:val="5DF208DD"/>
    <w:rsid w:val="5E6C3504"/>
    <w:rsid w:val="5FE4046F"/>
    <w:rsid w:val="5FED7A1A"/>
    <w:rsid w:val="6015711E"/>
    <w:rsid w:val="60163E55"/>
    <w:rsid w:val="604858AA"/>
    <w:rsid w:val="60F81736"/>
    <w:rsid w:val="616D233A"/>
    <w:rsid w:val="619C7C5C"/>
    <w:rsid w:val="61F4407A"/>
    <w:rsid w:val="625C7281"/>
    <w:rsid w:val="62C5049D"/>
    <w:rsid w:val="63021198"/>
    <w:rsid w:val="630E0E15"/>
    <w:rsid w:val="6342662A"/>
    <w:rsid w:val="635C4C51"/>
    <w:rsid w:val="63DA6282"/>
    <w:rsid w:val="64BE66D0"/>
    <w:rsid w:val="66435EB6"/>
    <w:rsid w:val="666B3F5A"/>
    <w:rsid w:val="666F6B5A"/>
    <w:rsid w:val="66E8597A"/>
    <w:rsid w:val="67FF5EDE"/>
    <w:rsid w:val="6812761A"/>
    <w:rsid w:val="68152516"/>
    <w:rsid w:val="687E455F"/>
    <w:rsid w:val="6894053C"/>
    <w:rsid w:val="690E299F"/>
    <w:rsid w:val="69913749"/>
    <w:rsid w:val="69D07541"/>
    <w:rsid w:val="6A1A3E14"/>
    <w:rsid w:val="6A1F142A"/>
    <w:rsid w:val="6AFE7C52"/>
    <w:rsid w:val="6B01001A"/>
    <w:rsid w:val="6BBE44BC"/>
    <w:rsid w:val="6BD24A85"/>
    <w:rsid w:val="6BDD626F"/>
    <w:rsid w:val="6C5A5ECB"/>
    <w:rsid w:val="6CB80597"/>
    <w:rsid w:val="6D925C13"/>
    <w:rsid w:val="6E1B466E"/>
    <w:rsid w:val="6E3F626F"/>
    <w:rsid w:val="6E8E1C62"/>
    <w:rsid w:val="6F122237"/>
    <w:rsid w:val="6F6951CC"/>
    <w:rsid w:val="6FC80A67"/>
    <w:rsid w:val="70143D3F"/>
    <w:rsid w:val="702C31A4"/>
    <w:rsid w:val="706306D4"/>
    <w:rsid w:val="70A669B7"/>
    <w:rsid w:val="71720A1B"/>
    <w:rsid w:val="71907DCD"/>
    <w:rsid w:val="71E63FAF"/>
    <w:rsid w:val="721D044D"/>
    <w:rsid w:val="732C2FC7"/>
    <w:rsid w:val="7368524D"/>
    <w:rsid w:val="736B0F1A"/>
    <w:rsid w:val="73C93162"/>
    <w:rsid w:val="73D352EB"/>
    <w:rsid w:val="74C37E08"/>
    <w:rsid w:val="74DA48CB"/>
    <w:rsid w:val="75124456"/>
    <w:rsid w:val="75210520"/>
    <w:rsid w:val="755328D0"/>
    <w:rsid w:val="759977D9"/>
    <w:rsid w:val="75DE488F"/>
    <w:rsid w:val="767523E5"/>
    <w:rsid w:val="76B64059"/>
    <w:rsid w:val="76FB63B0"/>
    <w:rsid w:val="77C82108"/>
    <w:rsid w:val="785E3A65"/>
    <w:rsid w:val="792771EB"/>
    <w:rsid w:val="79AF2C2A"/>
    <w:rsid w:val="7AE17595"/>
    <w:rsid w:val="7AEB689B"/>
    <w:rsid w:val="7B0D60FF"/>
    <w:rsid w:val="7B4946AF"/>
    <w:rsid w:val="7B4C4132"/>
    <w:rsid w:val="7B6B53DD"/>
    <w:rsid w:val="7D2725A1"/>
    <w:rsid w:val="7D3862AA"/>
    <w:rsid w:val="7D5D55BC"/>
    <w:rsid w:val="7D6413F2"/>
    <w:rsid w:val="7D667904"/>
    <w:rsid w:val="7D7C2375"/>
    <w:rsid w:val="7E930B66"/>
    <w:rsid w:val="7EA62C6A"/>
    <w:rsid w:val="7F1A5E82"/>
    <w:rsid w:val="7F4E65E2"/>
    <w:rsid w:val="7F6556D9"/>
    <w:rsid w:val="7FC551C1"/>
    <w:rsid w:val="7FD2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ind w:left="1020"/>
      <w:outlineLvl w:val="1"/>
    </w:pPr>
    <w:rPr>
      <w:rFonts w:ascii="PMingLiU_x0004_falt" w:hAnsi="PMingLiU_x0004_falt" w:eastAsia="PMingLiU_x0004_falt" w:cs="PMingLiU_x0004_falt"/>
      <w:sz w:val="24"/>
      <w:lang w:val="zh-CN"/>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仿宋_GB2312" w:eastAsia="仿宋_GB2312"/>
      <w:szCs w:val="21"/>
    </w:rPr>
  </w:style>
  <w:style w:type="paragraph" w:styleId="3">
    <w:name w:val="Body Text Indent"/>
    <w:basedOn w:val="1"/>
    <w:unhideWhenUsed/>
    <w:qFormat/>
    <w:uiPriority w:val="99"/>
    <w:pPr>
      <w:spacing w:line="200" w:lineRule="exact"/>
      <w:ind w:firstLine="301"/>
    </w:pPr>
    <w:rPr>
      <w:rFonts w:ascii="宋体" w:hAnsi="Courier New" w:cs="宋体"/>
      <w:spacing w:val="-4"/>
      <w:kern w:val="2"/>
      <w:sz w:val="18"/>
      <w:szCs w:val="18"/>
    </w:rPr>
  </w:style>
  <w:style w:type="paragraph" w:styleId="6">
    <w:name w:val="Normal Indent"/>
    <w:basedOn w:val="1"/>
    <w:next w:val="3"/>
    <w:unhideWhenUsed/>
    <w:qFormat/>
    <w:uiPriority w:val="99"/>
    <w:pPr>
      <w:ind w:firstLine="420"/>
    </w:pPr>
  </w:style>
  <w:style w:type="paragraph" w:styleId="7">
    <w:name w:val="caption"/>
    <w:basedOn w:val="1"/>
    <w:next w:val="1"/>
    <w:qFormat/>
    <w:uiPriority w:val="99"/>
    <w:pPr>
      <w:spacing w:before="152" w:after="160"/>
    </w:pPr>
    <w:rPr>
      <w:rFonts w:ascii="Arial" w:hAnsi="Arial" w:eastAsia="黑体" w:cs="Arial"/>
    </w:rPr>
  </w:style>
  <w:style w:type="paragraph" w:styleId="8">
    <w:name w:val="Document Map"/>
    <w:basedOn w:val="1"/>
    <w:qFormat/>
    <w:uiPriority w:val="99"/>
    <w:rPr>
      <w:rFonts w:ascii="宋体"/>
      <w:sz w:val="18"/>
      <w:szCs w:val="18"/>
    </w:rPr>
  </w:style>
  <w:style w:type="paragraph" w:styleId="9">
    <w:name w:val="annotation text"/>
    <w:basedOn w:val="1"/>
    <w:link w:val="37"/>
    <w:qFormat/>
    <w:uiPriority w:val="0"/>
    <w:pPr>
      <w:jc w:val="left"/>
    </w:pPr>
  </w:style>
  <w:style w:type="paragraph" w:styleId="10">
    <w:name w:val="Body Text"/>
    <w:basedOn w:val="1"/>
    <w:next w:val="11"/>
    <w:qFormat/>
    <w:uiPriority w:val="0"/>
    <w:rPr>
      <w:sz w:val="28"/>
    </w:rPr>
  </w:style>
  <w:style w:type="paragraph" w:styleId="11">
    <w:name w:val="Body Text First Indent"/>
    <w:basedOn w:val="10"/>
    <w:next w:val="12"/>
    <w:qFormat/>
    <w:uiPriority w:val="0"/>
    <w:pPr>
      <w:ind w:firstLine="420" w:firstLineChars="100"/>
    </w:pPr>
  </w:style>
  <w:style w:type="paragraph" w:styleId="12">
    <w:name w:val="toc 6"/>
    <w:basedOn w:val="1"/>
    <w:next w:val="1"/>
    <w:qFormat/>
    <w:uiPriority w:val="99"/>
    <w:pPr>
      <w:ind w:left="2100" w:leftChars="1000"/>
    </w:pPr>
  </w:style>
  <w:style w:type="paragraph" w:styleId="13">
    <w:name w:val="Plain Text"/>
    <w:basedOn w:val="1"/>
    <w:next w:val="1"/>
    <w:unhideWhenUsed/>
    <w:qFormat/>
    <w:uiPriority w:val="99"/>
    <w:pPr>
      <w:spacing w:before="156" w:beforeLines="50" w:after="156" w:afterLines="50" w:line="400" w:lineRule="exact"/>
    </w:pPr>
    <w:rPr>
      <w:rFonts w:ascii="宋体" w:hAnsi="Courier New"/>
      <w:sz w:val="24"/>
    </w:rPr>
  </w:style>
  <w:style w:type="paragraph" w:styleId="14">
    <w:name w:val="Balloon Text"/>
    <w:basedOn w:val="1"/>
    <w:link w:val="3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next w:val="1"/>
    <w:link w:val="32"/>
    <w:qFormat/>
    <w:uiPriority w:val="0"/>
    <w:pPr>
      <w:widowControl/>
      <w:overflowPunct w:val="0"/>
      <w:autoSpaceDE w:val="0"/>
      <w:autoSpaceDN w:val="0"/>
      <w:adjustRightInd w:val="0"/>
      <w:jc w:val="center"/>
      <w:textAlignment w:val="baseline"/>
    </w:pPr>
    <w:rPr>
      <w:b/>
      <w:sz w:val="24"/>
      <w:lang w:val="en-GB"/>
    </w:rPr>
  </w:style>
  <w:style w:type="paragraph" w:styleId="18">
    <w:name w:val="annotation subject"/>
    <w:basedOn w:val="9"/>
    <w:next w:val="9"/>
    <w:link w:val="38"/>
    <w:qFormat/>
    <w:uiPriority w:val="0"/>
    <w:rPr>
      <w:b/>
      <w:bCs/>
    </w:rPr>
  </w:style>
  <w:style w:type="character" w:styleId="21">
    <w:name w:val="Hyperlink"/>
    <w:qFormat/>
    <w:uiPriority w:val="0"/>
    <w:rPr>
      <w:color w:val="0000FF"/>
      <w:sz w:val="20"/>
      <w:u w:val="single"/>
    </w:rPr>
  </w:style>
  <w:style w:type="character" w:styleId="22">
    <w:name w:val="annotation reference"/>
    <w:basedOn w:val="20"/>
    <w:qFormat/>
    <w:uiPriority w:val="0"/>
    <w:rPr>
      <w:sz w:val="21"/>
      <w:szCs w:val="21"/>
    </w:rPr>
  </w:style>
  <w:style w:type="paragraph" w:customStyle="1" w:styleId="23">
    <w:name w:val="章正文"/>
    <w:basedOn w:val="1"/>
    <w:qFormat/>
    <w:uiPriority w:val="0"/>
    <w:pPr>
      <w:spacing w:beforeLines="50" w:after="120" w:line="300" w:lineRule="auto"/>
      <w:ind w:firstLine="480"/>
    </w:pPr>
    <w:rPr>
      <w:rFonts w:ascii="Helvetica" w:hAnsi="Helvetica"/>
      <w:sz w:val="24"/>
    </w:rPr>
  </w:style>
  <w:style w:type="paragraph" w:customStyle="1" w:styleId="24">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段"/>
    <w:basedOn w:val="1"/>
    <w:qFormat/>
    <w:uiPriority w:val="0"/>
    <w:pPr>
      <w:widowControl/>
      <w:snapToGrid w:val="0"/>
      <w:spacing w:after="50" w:afterLines="50"/>
      <w:ind w:firstLine="200" w:firstLineChars="200"/>
    </w:pPr>
    <w:rPr>
      <w:sz w:val="24"/>
    </w:rPr>
  </w:style>
  <w:style w:type="paragraph" w:customStyle="1" w:styleId="26">
    <w:name w:val="正文1"/>
    <w:basedOn w:val="8"/>
    <w:next w:val="1"/>
    <w:qFormat/>
    <w:uiPriority w:val="99"/>
    <w:pPr>
      <w:widowControl/>
      <w:overflowPunct w:val="0"/>
      <w:autoSpaceDE w:val="0"/>
      <w:autoSpaceDN w:val="0"/>
      <w:adjustRightInd w:val="0"/>
      <w:spacing w:line="400" w:lineRule="exact"/>
      <w:textAlignment w:val="baseline"/>
    </w:pPr>
    <w:rPr>
      <w:sz w:val="24"/>
      <w:szCs w:val="20"/>
    </w:rPr>
  </w:style>
  <w:style w:type="paragraph" w:customStyle="1" w:styleId="27">
    <w:name w:val="列出段落1"/>
    <w:basedOn w:val="1"/>
    <w:qFormat/>
    <w:uiPriority w:val="34"/>
    <w:pPr>
      <w:ind w:firstLine="420" w:firstLineChars="200"/>
    </w:pPr>
    <w:rPr>
      <w:rFonts w:ascii="Calibri" w:hAnsi="Calibri"/>
      <w:kern w:val="2"/>
      <w:sz w:val="21"/>
      <w:szCs w:val="22"/>
    </w:rPr>
  </w:style>
  <w:style w:type="paragraph" w:customStyle="1" w:styleId="28">
    <w:name w:val="样式 表格正文 + 两端对齐"/>
    <w:basedOn w:val="1"/>
    <w:next w:val="26"/>
    <w:qFormat/>
    <w:uiPriority w:val="0"/>
    <w:pPr>
      <w:spacing w:line="300" w:lineRule="auto"/>
    </w:pPr>
  </w:style>
  <w:style w:type="paragraph" w:customStyle="1" w:styleId="29">
    <w:name w:val="_Style 1"/>
    <w:qFormat/>
    <w:uiPriority w:val="0"/>
    <w:rPr>
      <w:rFonts w:ascii="Calibri" w:hAnsi="Calibri" w:eastAsia="宋体" w:cs="Times New Roman"/>
      <w:kern w:val="2"/>
      <w:sz w:val="28"/>
      <w:szCs w:val="22"/>
      <w:lang w:val="en-US" w:eastAsia="zh-CN" w:bidi="ar-SA"/>
    </w:rPr>
  </w:style>
  <w:style w:type="character" w:customStyle="1" w:styleId="30">
    <w:name w:val="页眉 字符"/>
    <w:basedOn w:val="20"/>
    <w:link w:val="16"/>
    <w:qFormat/>
    <w:uiPriority w:val="0"/>
    <w:rPr>
      <w:sz w:val="18"/>
      <w:szCs w:val="18"/>
    </w:rPr>
  </w:style>
  <w:style w:type="character" w:customStyle="1" w:styleId="31">
    <w:name w:val="批注框文本 字符"/>
    <w:basedOn w:val="20"/>
    <w:link w:val="14"/>
    <w:qFormat/>
    <w:uiPriority w:val="0"/>
    <w:rPr>
      <w:sz w:val="18"/>
      <w:szCs w:val="18"/>
    </w:rPr>
  </w:style>
  <w:style w:type="character" w:customStyle="1" w:styleId="32">
    <w:name w:val="标题 字符"/>
    <w:link w:val="17"/>
    <w:qFormat/>
    <w:uiPriority w:val="0"/>
    <w:rPr>
      <w:b/>
      <w:sz w:val="24"/>
      <w:lang w:val="en-GB"/>
    </w:rPr>
  </w:style>
  <w:style w:type="character" w:customStyle="1" w:styleId="33">
    <w:name w:val="标题 Char1"/>
    <w:basedOn w:val="20"/>
    <w:qFormat/>
    <w:uiPriority w:val="0"/>
    <w:rPr>
      <w:rFonts w:asciiTheme="majorHAnsi" w:hAnsiTheme="majorHAnsi" w:cstheme="majorBidi"/>
      <w:b/>
      <w:bCs/>
      <w:sz w:val="32"/>
      <w:szCs w:val="32"/>
    </w:rPr>
  </w:style>
  <w:style w:type="paragraph" w:customStyle="1" w:styleId="34">
    <w:name w:val="首行缩进"/>
    <w:basedOn w:val="1"/>
    <w:qFormat/>
    <w:uiPriority w:val="0"/>
    <w:pPr>
      <w:widowControl/>
      <w:tabs>
        <w:tab w:val="left" w:pos="822"/>
      </w:tabs>
      <w:snapToGrid w:val="0"/>
      <w:spacing w:before="40" w:after="40" w:line="300" w:lineRule="atLeast"/>
      <w:ind w:left="1701"/>
    </w:pPr>
    <w:rPr>
      <w:rFonts w:ascii="Arial" w:hAnsi="Arial"/>
      <w:sz w:val="21"/>
    </w:rPr>
  </w:style>
  <w:style w:type="paragraph" w:styleId="35">
    <w:name w:val="List Paragraph"/>
    <w:basedOn w:val="1"/>
    <w:unhideWhenUsed/>
    <w:qFormat/>
    <w:uiPriority w:val="99"/>
    <w:pPr>
      <w:ind w:firstLine="420" w:firstLineChars="200"/>
    </w:pPr>
  </w:style>
  <w:style w:type="paragraph" w:customStyle="1" w:styleId="36">
    <w:name w:val="修订1"/>
    <w:hidden/>
    <w:unhideWhenUsed/>
    <w:qFormat/>
    <w:uiPriority w:val="99"/>
    <w:rPr>
      <w:rFonts w:ascii="Times New Roman" w:hAnsi="Times New Roman" w:eastAsia="宋体" w:cs="Times New Roman"/>
      <w:lang w:val="en-US" w:eastAsia="zh-CN" w:bidi="ar-SA"/>
    </w:rPr>
  </w:style>
  <w:style w:type="character" w:customStyle="1" w:styleId="37">
    <w:name w:val="批注文字 字符"/>
    <w:basedOn w:val="20"/>
    <w:link w:val="9"/>
    <w:qFormat/>
    <w:uiPriority w:val="0"/>
  </w:style>
  <w:style w:type="character" w:customStyle="1" w:styleId="38">
    <w:name w:val="批注主题 字符"/>
    <w:basedOn w:val="37"/>
    <w:link w:val="18"/>
    <w:qFormat/>
    <w:uiPriority w:val="0"/>
    <w:rPr>
      <w:b/>
      <w:bCs/>
    </w:rPr>
  </w:style>
  <w:style w:type="paragraph" w:customStyle="1" w:styleId="39">
    <w:name w:val="修订2"/>
    <w:hidden/>
    <w:unhideWhenUsed/>
    <w:qFormat/>
    <w:uiPriority w:val="99"/>
    <w:rPr>
      <w:rFonts w:ascii="Times New Roman" w:hAnsi="Times New Roman" w:eastAsia="宋体" w:cs="Times New Roman"/>
      <w:lang w:val="en-US" w:eastAsia="zh-CN" w:bidi="ar-SA"/>
    </w:rPr>
  </w:style>
  <w:style w:type="paragraph" w:customStyle="1" w:styleId="40">
    <w:name w:val="Revision"/>
    <w:hidden/>
    <w:unhideWhenUsed/>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hyj</Company>
  <Pages>38</Pages>
  <Words>20806</Words>
  <Characters>21936</Characters>
  <Lines>179</Lines>
  <Paragraphs>50</Paragraphs>
  <TotalTime>0</TotalTime>
  <ScaleCrop>false</ScaleCrop>
  <LinksUpToDate>false</LinksUpToDate>
  <CharactersWithSpaces>23564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2024-10-17T01:14:00Z</dcterms:created>
  <dc:creator>Administrator</dc:creator>
  <cp:lastModifiedBy>Jeff Wang</cp:lastModifiedBy>
  <cp:lastPrinted>2024-10-21T01:54:00Z</cp:lastPrinted>
  <dcterms:modified xsi:type="dcterms:W3CDTF">2024-10-21T07:48:13Z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84006A7E9CFD4D0BBA6F8C6F98E86376_13</vt:lpwstr>
  </property>
  <property fmtid="{D5CDD505-2E9C-101B-9397-08002B2CF9AE}" pid="4" name="MSIP_Label_defa4170-0d19-0005-0004-bc88714345d2_Enabled">
    <vt:lpwstr>true</vt:lpwstr>
  </property>
  <property fmtid="{D5CDD505-2E9C-101B-9397-08002B2CF9AE}" pid="5" name="MSIP_Label_defa4170-0d19-0005-0004-bc88714345d2_SetDate">
    <vt:lpwstr>2024-09-23T09:34:52Z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1bff849f-d64a-4224-8e62-999747b6a61d</vt:lpwstr>
  </property>
  <property fmtid="{D5CDD505-2E9C-101B-9397-08002B2CF9AE}" pid="9" name="MSIP_Label_defa4170-0d19-0005-0004-bc88714345d2_ActionId">
    <vt:lpwstr>58c55af3-16d3-4ad2-976c-c953d0710fc1</vt:lpwstr>
  </property>
  <property fmtid="{D5CDD505-2E9C-101B-9397-08002B2CF9AE}" pid="10" name="MSIP_Label_defa4170-0d19-0005-0004-bc88714345d2_ContentBits">
    <vt:lpwstr>0</vt:lpwstr>
  </property>
</Properties>
</file>