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9C4527">
      <w:pPr>
        <w:adjustRightInd/>
        <w:spacing w:line="360" w:lineRule="auto"/>
        <w:jc w:val="center"/>
        <w:rPr>
          <w:rFonts w:hint="eastAsia" w:ascii="楷体_GB2312" w:eastAsia="楷体_GB2312"/>
          <w:b/>
          <w:color w:val="auto"/>
          <w:sz w:val="52"/>
          <w:szCs w:val="52"/>
          <w:highlight w:val="none"/>
          <w:lang w:eastAsia="zh-CN"/>
        </w:rPr>
      </w:pPr>
      <w:r>
        <w:rPr>
          <w:rFonts w:hint="eastAsia" w:ascii="楷体_GB2312" w:eastAsia="楷体_GB2312"/>
          <w:b/>
          <w:color w:val="auto"/>
          <w:sz w:val="52"/>
          <w:szCs w:val="52"/>
          <w:highlight w:val="none"/>
          <w:lang w:eastAsia="zh-CN"/>
        </w:rPr>
        <w:t>柯城区人民检察院工作网等保三级安全防护建设项目</w:t>
      </w:r>
    </w:p>
    <w:p w14:paraId="239857B0">
      <w:pPr>
        <w:jc w:val="center"/>
        <w:outlineLvl w:val="0"/>
        <w:rPr>
          <w:rFonts w:hint="eastAsia" w:ascii="仿宋" w:hAnsi="仿宋" w:eastAsia="仿宋" w:cs="仿宋"/>
          <w:b/>
          <w:color w:val="auto"/>
          <w:sz w:val="72"/>
          <w:szCs w:val="72"/>
          <w:highlight w:val="none"/>
        </w:rPr>
      </w:pPr>
    </w:p>
    <w:p w14:paraId="2D06461D">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公</w:t>
      </w:r>
    </w:p>
    <w:p w14:paraId="594F1B6A">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开</w:t>
      </w:r>
    </w:p>
    <w:p w14:paraId="1B1DC510">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招</w:t>
      </w:r>
    </w:p>
    <w:p w14:paraId="0310A508">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标</w:t>
      </w:r>
    </w:p>
    <w:p w14:paraId="7D0B2919">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文</w:t>
      </w:r>
    </w:p>
    <w:p w14:paraId="29A3A712">
      <w:pPr>
        <w:jc w:val="center"/>
        <w:outlineLvl w:val="0"/>
        <w:rPr>
          <w:rFonts w:hint="eastAsia" w:ascii="仿宋" w:hAnsi="仿宋" w:eastAsia="仿宋" w:cs="仿宋"/>
          <w:color w:val="auto"/>
          <w:sz w:val="44"/>
          <w:highlight w:val="none"/>
        </w:rPr>
      </w:pPr>
      <w:r>
        <w:rPr>
          <w:rFonts w:hint="eastAsia" w:ascii="仿宋" w:hAnsi="仿宋" w:eastAsia="仿宋" w:cs="仿宋"/>
          <w:b/>
          <w:color w:val="auto"/>
          <w:sz w:val="72"/>
          <w:szCs w:val="72"/>
          <w:highlight w:val="none"/>
        </w:rPr>
        <w:t>件</w:t>
      </w:r>
    </w:p>
    <w:p w14:paraId="47F0AF42">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6B3080A4">
      <w:pPr>
        <w:spacing w:line="360" w:lineRule="auto"/>
        <w:jc w:val="both"/>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3264CE45">
      <w:pPr>
        <w:jc w:val="center"/>
        <w:rPr>
          <w:rFonts w:hint="eastAsia" w:ascii="仿宋" w:hAnsi="仿宋" w:eastAsia="楷体_GB2312" w:cs="仿宋"/>
          <w:b/>
          <w:color w:val="auto"/>
          <w:sz w:val="28"/>
          <w:szCs w:val="28"/>
          <w:highlight w:val="none"/>
          <w:lang w:val="en-US" w:eastAsia="zh-CN"/>
        </w:rPr>
      </w:pPr>
      <w:r>
        <w:rPr>
          <w:rFonts w:hint="eastAsia" w:ascii="仿宋" w:hAnsi="仿宋" w:eastAsia="仿宋" w:cs="仿宋"/>
          <w:b/>
          <w:color w:val="auto"/>
          <w:sz w:val="28"/>
          <w:szCs w:val="28"/>
          <w:highlight w:val="none"/>
          <w:lang w:eastAsia="zh-CN"/>
        </w:rPr>
        <w:t>项目编号</w:t>
      </w:r>
      <w:r>
        <w:rPr>
          <w:rFonts w:hint="eastAsia" w:ascii="仿宋" w:hAnsi="仿宋" w:eastAsia="仿宋" w:cs="仿宋"/>
          <w:b/>
          <w:color w:val="auto"/>
          <w:sz w:val="28"/>
          <w:szCs w:val="28"/>
          <w:highlight w:val="none"/>
        </w:rPr>
        <w:t>:</w:t>
      </w:r>
      <w:r>
        <w:rPr>
          <w:rFonts w:hint="eastAsia" w:ascii="楷体_GB2312" w:hAnsi="宋体" w:eastAsia="楷体_GB2312" w:cs="宋体"/>
          <w:b/>
          <w:bCs/>
          <w:color w:val="auto"/>
          <w:sz w:val="28"/>
          <w:szCs w:val="28"/>
          <w:highlight w:val="none"/>
          <w:lang w:val="zh-TW" w:eastAsia="zh-CN"/>
        </w:rPr>
        <w:t>ZJXSJ2024252</w:t>
      </w:r>
    </w:p>
    <w:tbl>
      <w:tblPr>
        <w:tblStyle w:val="64"/>
        <w:tblW w:w="7801" w:type="dxa"/>
        <w:jc w:val="center"/>
        <w:tblLayout w:type="fixed"/>
        <w:tblCellMar>
          <w:top w:w="0" w:type="dxa"/>
          <w:left w:w="108" w:type="dxa"/>
          <w:bottom w:w="0" w:type="dxa"/>
          <w:right w:w="108" w:type="dxa"/>
        </w:tblCellMar>
      </w:tblPr>
      <w:tblGrid>
        <w:gridCol w:w="2356"/>
        <w:gridCol w:w="5445"/>
      </w:tblGrid>
      <w:tr w14:paraId="767E4B6F">
        <w:tblPrEx>
          <w:tblCellMar>
            <w:top w:w="0" w:type="dxa"/>
            <w:left w:w="108" w:type="dxa"/>
            <w:bottom w:w="0" w:type="dxa"/>
            <w:right w:w="108" w:type="dxa"/>
          </w:tblCellMar>
        </w:tblPrEx>
        <w:trPr>
          <w:trHeight w:val="443" w:hRule="atLeast"/>
          <w:jc w:val="center"/>
        </w:trPr>
        <w:tc>
          <w:tcPr>
            <w:tcW w:w="2356" w:type="dxa"/>
          </w:tcPr>
          <w:p w14:paraId="700B0DB0">
            <w:pPr>
              <w:spacing w:after="100" w:afterAutospacing="1" w:line="440" w:lineRule="exact"/>
              <w:rPr>
                <w:rFonts w:hint="eastAsia" w:ascii="仿宋" w:hAnsi="仿宋" w:eastAsia="仿宋" w:cs="仿宋"/>
                <w:color w:val="auto"/>
                <w:sz w:val="28"/>
                <w:szCs w:val="28"/>
                <w:highlight w:val="none"/>
              </w:rPr>
            </w:pPr>
            <w:r>
              <w:rPr>
                <w:rFonts w:hint="eastAsia" w:ascii="仿宋" w:hAnsi="仿宋" w:eastAsia="仿宋" w:cs="仿宋"/>
                <w:color w:val="auto"/>
                <w:spacing w:val="93"/>
                <w:kern w:val="0"/>
                <w:sz w:val="28"/>
                <w:szCs w:val="28"/>
                <w:highlight w:val="none"/>
              </w:rPr>
              <w:t>采购单</w:t>
            </w:r>
            <w:r>
              <w:rPr>
                <w:rFonts w:hint="eastAsia" w:ascii="仿宋" w:hAnsi="仿宋" w:eastAsia="仿宋" w:cs="仿宋"/>
                <w:color w:val="auto"/>
                <w:spacing w:val="1"/>
                <w:kern w:val="0"/>
                <w:sz w:val="28"/>
                <w:szCs w:val="28"/>
                <w:highlight w:val="none"/>
              </w:rPr>
              <w:t>位</w:t>
            </w:r>
            <w:r>
              <w:rPr>
                <w:rFonts w:hint="eastAsia" w:ascii="仿宋" w:hAnsi="仿宋" w:eastAsia="仿宋" w:cs="仿宋"/>
                <w:color w:val="auto"/>
                <w:sz w:val="28"/>
                <w:szCs w:val="28"/>
                <w:highlight w:val="none"/>
              </w:rPr>
              <w:t>：</w:t>
            </w:r>
          </w:p>
        </w:tc>
        <w:tc>
          <w:tcPr>
            <w:tcW w:w="5445" w:type="dxa"/>
            <w:vAlign w:val="center"/>
          </w:tcPr>
          <w:p w14:paraId="17ED8387">
            <w:pPr>
              <w:spacing w:line="320" w:lineRule="exact"/>
              <w:outlineLvl w:val="0"/>
              <w:rPr>
                <w:rFonts w:hint="eastAsia" w:ascii="仿宋" w:hAnsi="仿宋" w:eastAsia="楷体_GB2312" w:cs="仿宋"/>
                <w:color w:val="auto"/>
                <w:sz w:val="28"/>
                <w:szCs w:val="28"/>
                <w:highlight w:val="none"/>
                <w:lang w:eastAsia="zh-CN"/>
              </w:rPr>
            </w:pPr>
            <w:r>
              <w:rPr>
                <w:rFonts w:hint="eastAsia" w:ascii="楷体_GB2312" w:hAnsi="??_GB2312" w:eastAsia="楷体_GB2312" w:cs="??_GB2312"/>
                <w:b/>
                <w:bCs/>
                <w:color w:val="auto"/>
                <w:sz w:val="28"/>
                <w:szCs w:val="28"/>
                <w:highlight w:val="none"/>
                <w:lang w:val="zh-TW" w:eastAsia="zh-CN"/>
              </w:rPr>
              <w:t>衢州市柯城区人民检察院</w:t>
            </w:r>
          </w:p>
        </w:tc>
      </w:tr>
      <w:tr w14:paraId="08C7A6AE">
        <w:tblPrEx>
          <w:tblCellMar>
            <w:top w:w="0" w:type="dxa"/>
            <w:left w:w="108" w:type="dxa"/>
            <w:bottom w:w="0" w:type="dxa"/>
            <w:right w:w="108" w:type="dxa"/>
          </w:tblCellMar>
        </w:tblPrEx>
        <w:trPr>
          <w:trHeight w:val="494" w:hRule="atLeast"/>
          <w:jc w:val="center"/>
        </w:trPr>
        <w:tc>
          <w:tcPr>
            <w:tcW w:w="2356" w:type="dxa"/>
          </w:tcPr>
          <w:p w14:paraId="6A02CFEA">
            <w:pPr>
              <w:spacing w:after="100" w:afterAutospacing="1" w:line="440" w:lineRule="exact"/>
              <w:rPr>
                <w:rFonts w:hint="eastAsia" w:ascii="仿宋" w:hAnsi="仿宋" w:eastAsia="仿宋" w:cs="仿宋"/>
                <w:color w:val="auto"/>
                <w:sz w:val="28"/>
                <w:szCs w:val="28"/>
                <w:highlight w:val="none"/>
              </w:rPr>
            </w:pPr>
            <w:r>
              <w:rPr>
                <w:rFonts w:hint="eastAsia" w:ascii="仿宋" w:hAnsi="仿宋" w:eastAsia="仿宋" w:cs="仿宋"/>
                <w:color w:val="auto"/>
                <w:spacing w:val="0"/>
                <w:w w:val="100"/>
                <w:kern w:val="0"/>
                <w:sz w:val="28"/>
                <w:szCs w:val="28"/>
                <w:highlight w:val="none"/>
                <w:fitText w:val="1680" w:id="190345957"/>
              </w:rPr>
              <w:t>采购代理机构</w:t>
            </w:r>
            <w:r>
              <w:rPr>
                <w:rFonts w:hint="eastAsia" w:ascii="仿宋" w:hAnsi="仿宋" w:eastAsia="仿宋" w:cs="仿宋"/>
                <w:color w:val="auto"/>
                <w:sz w:val="28"/>
                <w:szCs w:val="28"/>
                <w:highlight w:val="none"/>
              </w:rPr>
              <w:t>：</w:t>
            </w:r>
          </w:p>
        </w:tc>
        <w:tc>
          <w:tcPr>
            <w:tcW w:w="5445" w:type="dxa"/>
          </w:tcPr>
          <w:p w14:paraId="3DDDABE2">
            <w:pPr>
              <w:spacing w:after="100" w:afterAutospacing="1" w:line="440" w:lineRule="exact"/>
              <w:rPr>
                <w:rFonts w:hint="eastAsia" w:ascii="仿宋" w:hAnsi="仿宋" w:eastAsia="仿宋" w:cs="仿宋"/>
                <w:color w:val="auto"/>
                <w:sz w:val="28"/>
                <w:szCs w:val="28"/>
                <w:highlight w:val="none"/>
              </w:rPr>
            </w:pPr>
            <w:r>
              <w:rPr>
                <w:rFonts w:hint="eastAsia" w:ascii="楷体_GB2312" w:hAnsi="宋体" w:eastAsia="楷体_GB2312"/>
                <w:b/>
                <w:color w:val="auto"/>
                <w:w w:val="85"/>
                <w:sz w:val="32"/>
                <w:szCs w:val="32"/>
                <w:highlight w:val="none"/>
                <w:lang w:eastAsia="zh-CN"/>
              </w:rPr>
              <w:t>浙江新世纪工程咨询有限公司</w:t>
            </w:r>
          </w:p>
        </w:tc>
      </w:tr>
      <w:tr w14:paraId="15F9C2C5">
        <w:tblPrEx>
          <w:tblCellMar>
            <w:top w:w="0" w:type="dxa"/>
            <w:left w:w="108" w:type="dxa"/>
            <w:bottom w:w="0" w:type="dxa"/>
            <w:right w:w="108" w:type="dxa"/>
          </w:tblCellMar>
        </w:tblPrEx>
        <w:trPr>
          <w:trHeight w:val="333" w:hRule="atLeast"/>
          <w:jc w:val="center"/>
        </w:trPr>
        <w:tc>
          <w:tcPr>
            <w:tcW w:w="7801" w:type="dxa"/>
            <w:gridSpan w:val="2"/>
          </w:tcPr>
          <w:p w14:paraId="64449266">
            <w:pPr>
              <w:spacing w:after="100" w:afterAutospacing="1"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二○二</w:t>
            </w:r>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九</w:t>
            </w:r>
            <w:r>
              <w:rPr>
                <w:rFonts w:hint="eastAsia" w:ascii="仿宋" w:hAnsi="仿宋" w:eastAsia="仿宋" w:cs="仿宋"/>
                <w:color w:val="auto"/>
                <w:sz w:val="28"/>
                <w:szCs w:val="28"/>
                <w:highlight w:val="none"/>
              </w:rPr>
              <w:t>月</w:t>
            </w:r>
          </w:p>
        </w:tc>
      </w:tr>
    </w:tbl>
    <w:p w14:paraId="64C16C29">
      <w:pPr>
        <w:pStyle w:val="638"/>
        <w:rPr>
          <w:rFonts w:hint="eastAsia" w:ascii="仿宋" w:hAnsi="仿宋" w:eastAsia="仿宋" w:cs="仿宋"/>
          <w:color w:val="auto"/>
          <w:highlight w:val="none"/>
        </w:rPr>
        <w:sectPr>
          <w:headerReference r:id="rId3" w:type="first"/>
          <w:footerReference r:id="rId4" w:type="even"/>
          <w:pgSz w:w="11906" w:h="16838"/>
          <w:pgMar w:top="1474" w:right="1814" w:bottom="1474" w:left="1814" w:header="851" w:footer="992" w:gutter="0"/>
          <w:pgNumType w:fmt="decimal"/>
          <w:cols w:space="720" w:num="1"/>
          <w:titlePg/>
          <w:docGrid w:linePitch="312" w:charSpace="0"/>
        </w:sectPr>
      </w:pPr>
    </w:p>
    <w:p w14:paraId="00941938">
      <w:pPr>
        <w:pStyle w:val="638"/>
        <w:pageBreakBefore w:val="0"/>
        <w:widowControl w:val="0"/>
        <w:kinsoku/>
        <w:wordWrap/>
        <w:overflowPunct/>
        <w:topLinePunct w:val="0"/>
        <w:autoSpaceDE/>
        <w:autoSpaceDN/>
        <w:bidi w:val="0"/>
        <w:spacing w:before="0" w:after="0" w:line="360" w:lineRule="auto"/>
        <w:ind w:left="0" w:firstLine="0" w:firstLineChars="0"/>
        <w:textAlignment w:val="auto"/>
        <w:rPr>
          <w:rFonts w:hint="eastAsia" w:ascii="仿宋" w:hAnsi="仿宋" w:eastAsia="仿宋" w:cs="仿宋"/>
          <w:color w:val="auto"/>
          <w:highlight w:val="none"/>
        </w:rPr>
      </w:pPr>
    </w:p>
    <w:p w14:paraId="5879FC83">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color w:val="auto"/>
          <w:sz w:val="44"/>
          <w:szCs w:val="44"/>
          <w:highlight w:val="none"/>
        </w:rPr>
      </w:pPr>
      <w:bookmarkStart w:id="0" w:name="_Hlt91233176"/>
      <w:bookmarkEnd w:id="0"/>
      <w:bookmarkStart w:id="1" w:name="_Toc91899869"/>
      <w:r>
        <w:rPr>
          <w:rFonts w:hint="eastAsia" w:ascii="仿宋" w:hAnsi="仿宋" w:eastAsia="仿宋" w:cs="仿宋"/>
          <w:b/>
          <w:color w:val="auto"/>
          <w:sz w:val="44"/>
          <w:szCs w:val="44"/>
          <w:highlight w:val="none"/>
        </w:rPr>
        <w:t>目录</w:t>
      </w:r>
    </w:p>
    <w:p w14:paraId="6155D1D2">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color w:val="auto"/>
          <w:sz w:val="44"/>
          <w:szCs w:val="44"/>
          <w:highlight w:val="none"/>
        </w:rPr>
      </w:pPr>
    </w:p>
    <w:p w14:paraId="31CDD235">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color w:val="auto"/>
          <w:highlight w:val="none"/>
        </w:rPr>
      </w:pPr>
    </w:p>
    <w:p w14:paraId="4D13E0E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第一部分    招标公告</w:t>
      </w:r>
    </w:p>
    <w:p w14:paraId="13943274">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第二部分   </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投标须知</w:t>
      </w:r>
    </w:p>
    <w:p w14:paraId="30E75BED">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招标项目范围及要求</w:t>
      </w:r>
    </w:p>
    <w:p w14:paraId="1702093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    合同的主要条款</w:t>
      </w:r>
    </w:p>
    <w:p w14:paraId="7ADF9BAF">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评标方法及标准</w:t>
      </w:r>
    </w:p>
    <w:p w14:paraId="20F4C4F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第六部分    投标文件及其附件格式</w:t>
      </w:r>
    </w:p>
    <w:p w14:paraId="2F6434F7">
      <w:pPr>
        <w:spacing w:line="360" w:lineRule="auto"/>
        <w:ind w:firstLine="549" w:firstLineChars="229"/>
        <w:rPr>
          <w:rFonts w:hint="eastAsia" w:ascii="仿宋" w:hAnsi="仿宋" w:eastAsia="仿宋" w:cs="仿宋"/>
          <w:color w:val="auto"/>
          <w:sz w:val="24"/>
          <w:highlight w:val="none"/>
        </w:rPr>
      </w:pPr>
    </w:p>
    <w:p w14:paraId="465E033A">
      <w:pPr>
        <w:spacing w:line="360" w:lineRule="auto"/>
        <w:ind w:firstLine="549" w:firstLineChars="229"/>
        <w:rPr>
          <w:rFonts w:hint="eastAsia" w:ascii="仿宋" w:hAnsi="仿宋" w:eastAsia="仿宋" w:cs="仿宋"/>
          <w:color w:val="auto"/>
          <w:sz w:val="24"/>
          <w:highlight w:val="none"/>
        </w:rPr>
      </w:pPr>
    </w:p>
    <w:p w14:paraId="69B9F243">
      <w:pPr>
        <w:spacing w:line="360" w:lineRule="auto"/>
        <w:ind w:firstLine="549" w:firstLineChars="229"/>
        <w:rPr>
          <w:rFonts w:hint="eastAsia" w:ascii="仿宋" w:hAnsi="仿宋" w:eastAsia="仿宋" w:cs="仿宋"/>
          <w:color w:val="auto"/>
          <w:sz w:val="24"/>
          <w:highlight w:val="none"/>
        </w:rPr>
      </w:pPr>
    </w:p>
    <w:p w14:paraId="53348EBC">
      <w:pPr>
        <w:spacing w:line="360" w:lineRule="auto"/>
        <w:ind w:firstLine="549" w:firstLineChars="229"/>
        <w:rPr>
          <w:rFonts w:hint="eastAsia" w:ascii="仿宋" w:hAnsi="仿宋" w:eastAsia="仿宋" w:cs="仿宋"/>
          <w:color w:val="auto"/>
          <w:sz w:val="24"/>
          <w:highlight w:val="none"/>
        </w:rPr>
      </w:pPr>
    </w:p>
    <w:p w14:paraId="179D8895">
      <w:pPr>
        <w:spacing w:line="360" w:lineRule="auto"/>
        <w:ind w:firstLine="549" w:firstLineChars="229"/>
        <w:rPr>
          <w:rFonts w:hint="eastAsia" w:ascii="仿宋" w:hAnsi="仿宋" w:eastAsia="仿宋" w:cs="仿宋"/>
          <w:color w:val="auto"/>
          <w:sz w:val="24"/>
          <w:highlight w:val="none"/>
        </w:rPr>
      </w:pPr>
    </w:p>
    <w:p w14:paraId="71301D09">
      <w:pPr>
        <w:spacing w:line="360" w:lineRule="auto"/>
        <w:ind w:firstLine="549" w:firstLineChars="229"/>
        <w:rPr>
          <w:rFonts w:hint="eastAsia" w:ascii="仿宋" w:hAnsi="仿宋" w:eastAsia="仿宋" w:cs="仿宋"/>
          <w:color w:val="auto"/>
          <w:sz w:val="24"/>
          <w:highlight w:val="none"/>
        </w:rPr>
      </w:pPr>
    </w:p>
    <w:p w14:paraId="2FF5A1D5">
      <w:pPr>
        <w:spacing w:line="360" w:lineRule="auto"/>
        <w:ind w:firstLine="549" w:firstLineChars="229"/>
        <w:rPr>
          <w:rFonts w:hint="eastAsia" w:ascii="仿宋" w:hAnsi="仿宋" w:eastAsia="仿宋" w:cs="仿宋"/>
          <w:color w:val="auto"/>
          <w:sz w:val="24"/>
          <w:highlight w:val="none"/>
        </w:rPr>
      </w:pPr>
    </w:p>
    <w:p w14:paraId="418C73D2">
      <w:pPr>
        <w:spacing w:line="360" w:lineRule="auto"/>
        <w:ind w:firstLine="549" w:firstLineChars="229"/>
        <w:rPr>
          <w:rFonts w:hint="eastAsia" w:ascii="仿宋" w:hAnsi="仿宋" w:eastAsia="仿宋" w:cs="仿宋"/>
          <w:color w:val="auto"/>
          <w:sz w:val="24"/>
          <w:highlight w:val="none"/>
        </w:rPr>
      </w:pPr>
    </w:p>
    <w:p w14:paraId="7FBB294D">
      <w:pPr>
        <w:spacing w:line="360" w:lineRule="auto"/>
        <w:ind w:firstLine="549" w:firstLineChars="229"/>
        <w:rPr>
          <w:rFonts w:hint="eastAsia" w:ascii="仿宋" w:hAnsi="仿宋" w:eastAsia="仿宋" w:cs="仿宋"/>
          <w:color w:val="auto"/>
          <w:sz w:val="24"/>
          <w:highlight w:val="none"/>
        </w:rPr>
      </w:pPr>
    </w:p>
    <w:p w14:paraId="58636DC2">
      <w:pPr>
        <w:spacing w:line="360" w:lineRule="auto"/>
        <w:ind w:firstLine="549" w:firstLineChars="229"/>
        <w:rPr>
          <w:rFonts w:hint="eastAsia" w:ascii="仿宋" w:hAnsi="仿宋" w:eastAsia="仿宋" w:cs="仿宋"/>
          <w:color w:val="auto"/>
          <w:sz w:val="24"/>
          <w:highlight w:val="none"/>
        </w:rPr>
      </w:pPr>
    </w:p>
    <w:p w14:paraId="1717E563">
      <w:pPr>
        <w:spacing w:line="360" w:lineRule="auto"/>
        <w:ind w:firstLine="549" w:firstLineChars="229"/>
        <w:rPr>
          <w:rFonts w:hint="eastAsia" w:ascii="仿宋" w:hAnsi="仿宋" w:eastAsia="仿宋" w:cs="仿宋"/>
          <w:color w:val="auto"/>
          <w:sz w:val="24"/>
          <w:highlight w:val="none"/>
        </w:rPr>
      </w:pPr>
    </w:p>
    <w:p w14:paraId="069BFE1C">
      <w:pPr>
        <w:spacing w:line="360" w:lineRule="auto"/>
        <w:rPr>
          <w:rFonts w:hint="eastAsia" w:ascii="仿宋" w:hAnsi="仿宋" w:eastAsia="仿宋" w:cs="仿宋"/>
          <w:color w:val="auto"/>
          <w:sz w:val="24"/>
          <w:highlight w:val="none"/>
        </w:rPr>
      </w:pPr>
    </w:p>
    <w:bookmarkEnd w:id="1"/>
    <w:p w14:paraId="5CEBCDF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bookmarkStart w:id="2" w:name="第二部分"/>
      <w:bookmarkStart w:id="3" w:name="_Toc91899870"/>
      <w:bookmarkStart w:id="4" w:name="_Toc91899871"/>
    </w:p>
    <w:p w14:paraId="07C1DD8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p>
    <w:p w14:paraId="4991567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p>
    <w:p w14:paraId="64C121FC">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项目概况</w:t>
      </w:r>
      <w:r>
        <w:rPr>
          <w:rFonts w:hint="eastAsia" w:ascii="仿宋" w:hAnsi="仿宋" w:eastAsia="仿宋" w:cs="仿宋"/>
          <w:color w:val="auto"/>
          <w:sz w:val="24"/>
          <w:highlight w:val="none"/>
          <w:lang w:eastAsia="zh-CN"/>
        </w:rPr>
        <w:t>：</w:t>
      </w:r>
    </w:p>
    <w:p w14:paraId="5BDDFA89">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柯城区人民检察院工作网等保三级安全防护建设项目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8"/>
          <w:rFonts w:hint="eastAsia" w:ascii="仿宋" w:hAnsi="仿宋" w:eastAsia="仿宋" w:cs="仿宋"/>
          <w:snapToGrid/>
          <w:color w:val="auto"/>
          <w:kern w:val="2"/>
          <w:sz w:val="24"/>
          <w:szCs w:val="24"/>
          <w:highlight w:val="none"/>
        </w:rPr>
        <w:t>https://www.zcygov.cn/）获取（下载）招标文件，并于</w:t>
      </w:r>
      <w:r>
        <w:rPr>
          <w:rStyle w:val="78"/>
          <w:rFonts w:hint="eastAsia" w:ascii="仿宋" w:hAnsi="仿宋" w:eastAsia="仿宋" w:cs="仿宋"/>
          <w:snapToGrid/>
          <w:color w:val="auto"/>
          <w:kern w:val="2"/>
          <w:sz w:val="24"/>
          <w:szCs w:val="24"/>
          <w:highlight w:val="none"/>
          <w:lang w:eastAsia="zh-CN"/>
        </w:rPr>
        <w:t>2024</w:t>
      </w:r>
      <w:r>
        <w:rPr>
          <w:rStyle w:val="78"/>
          <w:rFonts w:hint="eastAsia" w:ascii="仿宋" w:hAnsi="仿宋" w:eastAsia="仿宋" w:cs="仿宋"/>
          <w:snapToGrid/>
          <w:color w:val="auto"/>
          <w:kern w:val="2"/>
          <w:sz w:val="24"/>
          <w:szCs w:val="24"/>
          <w:highlight w:val="none"/>
        </w:rPr>
        <w:t>年</w:t>
      </w:r>
      <w:r>
        <w:rPr>
          <w:rStyle w:val="78"/>
          <w:rFonts w:hint="eastAsia" w:ascii="仿宋" w:hAnsi="仿宋" w:eastAsia="仿宋" w:cs="仿宋"/>
          <w:snapToGrid/>
          <w:color w:val="auto"/>
          <w:kern w:val="2"/>
          <w:sz w:val="24"/>
          <w:szCs w:val="24"/>
          <w:highlight w:val="none"/>
          <w:u w:val="none"/>
          <w:lang w:val="en-US" w:eastAsia="zh-CN"/>
        </w:rPr>
        <w:t>11月4</w:t>
      </w:r>
      <w:r>
        <w:rPr>
          <w:rStyle w:val="78"/>
          <w:rFonts w:hint="eastAsia" w:ascii="仿宋" w:hAnsi="仿宋" w:eastAsia="仿宋" w:cs="仿宋"/>
          <w:snapToGrid/>
          <w:color w:val="auto"/>
          <w:kern w:val="2"/>
          <w:sz w:val="24"/>
          <w:szCs w:val="24"/>
          <w:highlight w:val="none"/>
        </w:rPr>
        <w:t>日</w:t>
      </w:r>
      <w:r>
        <w:rPr>
          <w:rStyle w:val="78"/>
          <w:rFonts w:hint="eastAsia" w:ascii="仿宋" w:hAnsi="仿宋" w:eastAsia="仿宋" w:cs="仿宋"/>
          <w:snapToGrid/>
          <w:color w:val="auto"/>
          <w:kern w:val="2"/>
          <w:sz w:val="24"/>
          <w:szCs w:val="24"/>
          <w:highlight w:val="none"/>
          <w:lang w:val="en-US" w:eastAsia="zh-CN"/>
        </w:rPr>
        <w:t>14</w:t>
      </w:r>
      <w:r>
        <w:rPr>
          <w:rStyle w:val="78"/>
          <w:rFonts w:hint="eastAsia" w:ascii="仿宋" w:hAnsi="仿宋" w:eastAsia="仿宋" w:cs="仿宋"/>
          <w:snapToGrid/>
          <w:color w:val="auto"/>
          <w:kern w:val="2"/>
          <w:sz w:val="24"/>
          <w:szCs w:val="24"/>
          <w:highlight w:val="none"/>
        </w:rPr>
        <w:t>点</w:t>
      </w:r>
      <w:r>
        <w:rPr>
          <w:rStyle w:val="78"/>
          <w:rFonts w:hint="eastAsia" w:ascii="仿宋" w:hAnsi="仿宋" w:eastAsia="仿宋" w:cs="仿宋"/>
          <w:snapToGrid/>
          <w:color w:val="auto"/>
          <w:kern w:val="2"/>
          <w:sz w:val="24"/>
          <w:szCs w:val="24"/>
          <w:highlight w:val="none"/>
          <w:lang w:val="en-US" w:eastAsia="zh-CN"/>
        </w:rPr>
        <w:t>30</w:t>
      </w:r>
      <w:r>
        <w:rPr>
          <w:rStyle w:val="78"/>
          <w:rFonts w:hint="eastAsia" w:ascii="仿宋" w:hAnsi="仿宋" w:eastAsia="仿宋" w:cs="仿宋"/>
          <w:snapToGrid/>
          <w:color w:val="auto"/>
          <w:kern w:val="2"/>
          <w:sz w:val="24"/>
          <w:szCs w:val="24"/>
          <w:highlight w:val="none"/>
        </w:rPr>
        <w:t>分</w:t>
      </w:r>
      <w:r>
        <w:rPr>
          <w:rStyle w:val="78"/>
          <w:rFonts w:hint="eastAsia" w:ascii="仿宋" w:hAnsi="仿宋" w:eastAsia="仿宋" w:cs="仿宋"/>
          <w:bCs/>
          <w:snapToGrid/>
          <w:color w:val="auto"/>
          <w:kern w:val="2"/>
          <w:sz w:val="24"/>
          <w:szCs w:val="24"/>
          <w:highlight w:val="none"/>
          <w:lang w:val="en-US" w:eastAsia="zh-CN"/>
        </w:rPr>
        <w:t>00</w:t>
      </w:r>
      <w:r>
        <w:rPr>
          <w:rStyle w:val="78"/>
          <w:rFonts w:hint="eastAsia" w:ascii="仿宋" w:hAnsi="仿宋" w:eastAsia="仿宋" w:cs="仿宋"/>
          <w:bCs/>
          <w:snapToGrid/>
          <w:color w:val="auto"/>
          <w:kern w:val="2"/>
          <w:sz w:val="24"/>
          <w:szCs w:val="24"/>
          <w:highlight w:val="none"/>
        </w:rPr>
        <w:t>秒</w:t>
      </w:r>
      <w:r>
        <w:rPr>
          <w:rStyle w:val="78"/>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2FECE89F">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2A1A4164">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项目编号：</w:t>
      </w:r>
      <w:r>
        <w:rPr>
          <w:rFonts w:hint="eastAsia" w:ascii="仿宋" w:hAnsi="仿宋" w:eastAsia="仿宋" w:cs="仿宋"/>
          <w:bCs/>
          <w:color w:val="auto"/>
          <w:sz w:val="24"/>
          <w:highlight w:val="none"/>
          <w:lang w:val="zh-TW" w:eastAsia="zh-CN"/>
        </w:rPr>
        <w:t>ZJXSJ2024252</w:t>
      </w:r>
    </w:p>
    <w:p w14:paraId="179BDB07">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u w:val="none"/>
          <w:lang w:eastAsia="zh-CN"/>
        </w:rPr>
        <w:t>柯城区人民检察院工作网等保三级安全防护建设项目</w:t>
      </w:r>
      <w:r>
        <w:rPr>
          <w:rFonts w:hint="eastAsia" w:ascii="仿宋" w:hAnsi="仿宋" w:eastAsia="仿宋" w:cs="仿宋"/>
          <w:color w:val="auto"/>
          <w:sz w:val="24"/>
          <w:highlight w:val="none"/>
          <w:lang w:val="en-US" w:eastAsia="zh-CN"/>
        </w:rPr>
        <w:t xml:space="preserve"> </w:t>
      </w:r>
    </w:p>
    <w:p w14:paraId="4D92ECF6">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预算金额（元）：</w:t>
      </w:r>
      <w:r>
        <w:rPr>
          <w:rFonts w:hint="eastAsia" w:ascii="仿宋" w:hAnsi="仿宋" w:eastAsia="仿宋" w:cs="仿宋"/>
          <w:color w:val="auto"/>
          <w:sz w:val="24"/>
          <w:highlight w:val="none"/>
          <w:u w:val="none"/>
          <w:lang w:eastAsia="zh-CN"/>
        </w:rPr>
        <w:t xml:space="preserve">830000 </w:t>
      </w:r>
    </w:p>
    <w:p w14:paraId="5B380E35">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 w:val="0"/>
          <w:color w:val="FF0000"/>
          <w:sz w:val="24"/>
          <w:highlight w:val="none"/>
          <w:u w:val="none"/>
          <w:lang w:val="en-US" w:eastAsia="zh-CN"/>
        </w:rPr>
        <w:t>788800</w:t>
      </w:r>
      <w:r>
        <w:rPr>
          <w:rFonts w:hint="eastAsia" w:ascii="仿宋" w:hAnsi="仿宋" w:eastAsia="仿宋" w:cs="仿宋"/>
          <w:color w:val="auto"/>
          <w:sz w:val="24"/>
          <w:highlight w:val="none"/>
          <w:u w:val="none"/>
          <w:lang w:eastAsia="zh-CN"/>
        </w:rPr>
        <w:t xml:space="preserve"> </w:t>
      </w:r>
    </w:p>
    <w:p w14:paraId="4722FFA9">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采购需求：</w:t>
      </w:r>
    </w:p>
    <w:p w14:paraId="5DC0ED3A">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标项一：</w:t>
      </w:r>
    </w:p>
    <w:p w14:paraId="6CAC422F">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标项名称：</w:t>
      </w:r>
      <w:r>
        <w:rPr>
          <w:rFonts w:hint="eastAsia" w:ascii="仿宋" w:hAnsi="仿宋" w:eastAsia="仿宋" w:cs="仿宋"/>
          <w:color w:val="auto"/>
          <w:sz w:val="24"/>
          <w:highlight w:val="none"/>
          <w:u w:val="none"/>
          <w:lang w:eastAsia="zh-CN"/>
        </w:rPr>
        <w:t>柯城区人民检察院工作网等保三级安全防护建设项目</w:t>
      </w:r>
    </w:p>
    <w:p w14:paraId="6CAD11A8">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数量：1项</w:t>
      </w:r>
    </w:p>
    <w:p w14:paraId="023DBC3A">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预算金额：</w:t>
      </w:r>
      <w:r>
        <w:rPr>
          <w:rFonts w:hint="eastAsia" w:ascii="仿宋" w:hAnsi="仿宋" w:eastAsia="仿宋" w:cs="仿宋"/>
          <w:color w:val="auto"/>
          <w:sz w:val="24"/>
          <w:highlight w:val="none"/>
          <w:u w:val="none"/>
          <w:lang w:eastAsia="zh-CN"/>
        </w:rPr>
        <w:t>830000元</w:t>
      </w:r>
    </w:p>
    <w:p w14:paraId="6FCDC6D8">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Cs/>
          <w:color w:val="auto"/>
          <w:sz w:val="24"/>
          <w:highlight w:val="none"/>
        </w:rPr>
        <w:t>主要内容：</w:t>
      </w:r>
      <w:r>
        <w:rPr>
          <w:rFonts w:hint="eastAsia" w:ascii="仿宋" w:hAnsi="仿宋" w:eastAsia="仿宋" w:cs="仿宋"/>
          <w:b w:val="0"/>
          <w:bCs/>
          <w:color w:val="auto"/>
          <w:sz w:val="24"/>
          <w:highlight w:val="none"/>
          <w:lang w:eastAsia="zh-CN"/>
        </w:rPr>
        <w:t>柯城区人民检察院工作网等保三级安全防护建设项目，详见招标文件</w:t>
      </w:r>
      <w:r>
        <w:rPr>
          <w:rFonts w:hint="eastAsia" w:ascii="仿宋" w:hAnsi="仿宋" w:eastAsia="仿宋" w:cs="仿宋"/>
          <w:b w:val="0"/>
          <w:bCs/>
          <w:color w:val="auto"/>
          <w:sz w:val="24"/>
          <w:highlight w:val="none"/>
        </w:rPr>
        <w:t>。</w:t>
      </w:r>
    </w:p>
    <w:p w14:paraId="2ED7118A">
      <w:pPr>
        <w:spacing w:line="500" w:lineRule="exact"/>
        <w:ind w:firstLine="424" w:firstLineChars="176"/>
        <w:rPr>
          <w:rFonts w:hint="default" w:ascii="Times New Roman" w:hAnsi="Times New Roman" w:eastAsia="宋体" w:cs="Times New Roman"/>
          <w:color w:val="auto"/>
          <w:sz w:val="24"/>
          <w:szCs w:val="24"/>
          <w:highlight w:val="none"/>
          <w:lang w:val="en-US" w:eastAsia="zh-CN"/>
        </w:rPr>
      </w:pPr>
      <w:r>
        <w:rPr>
          <w:rFonts w:hint="eastAsia" w:ascii="仿宋" w:hAnsi="仿宋" w:eastAsia="仿宋" w:cs="仿宋"/>
          <w:b/>
          <w:color w:val="auto"/>
          <w:sz w:val="24"/>
          <w:highlight w:val="none"/>
        </w:rPr>
        <w:t>合同履行期限</w:t>
      </w:r>
      <w:r>
        <w:rPr>
          <w:rFonts w:hint="eastAsia" w:ascii="仿宋" w:hAnsi="仿宋" w:eastAsia="仿宋" w:cs="仿宋"/>
          <w:color w:val="auto"/>
          <w:sz w:val="24"/>
          <w:highlight w:val="none"/>
        </w:rPr>
        <w:t>：</w:t>
      </w:r>
      <w:r>
        <w:rPr>
          <w:rFonts w:hint="eastAsia" w:ascii="仿宋" w:hAnsi="仿宋" w:eastAsia="仿宋" w:cs="仿宋"/>
          <w:b w:val="0"/>
          <w:bCs/>
          <w:color w:val="auto"/>
          <w:sz w:val="24"/>
          <w:highlight w:val="none"/>
          <w:u w:val="single"/>
          <w:lang w:val="en-US" w:eastAsia="zh-CN"/>
        </w:rPr>
        <w:t>30日历天。</w:t>
      </w:r>
    </w:p>
    <w:p w14:paraId="3F0DECED">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sz w:val="24"/>
          <w:highlight w:val="none"/>
        </w:rPr>
        <w:t>本项目（</w:t>
      </w:r>
      <w:r>
        <w:rPr>
          <w:rFonts w:hint="eastAsia" w:ascii="仿宋" w:hAnsi="仿宋" w:eastAsia="仿宋" w:cs="仿宋"/>
          <w:b/>
          <w:color w:val="auto"/>
          <w:sz w:val="24"/>
          <w:highlight w:val="none"/>
          <w:lang w:val="en-US" w:eastAsia="zh-CN"/>
        </w:rPr>
        <w:t>是</w:t>
      </w:r>
      <w:r>
        <w:rPr>
          <w:rFonts w:hint="eastAsia" w:ascii="仿宋" w:hAnsi="仿宋" w:eastAsia="仿宋" w:cs="仿宋"/>
          <w:b/>
          <w:color w:val="auto"/>
          <w:sz w:val="24"/>
          <w:highlight w:val="none"/>
        </w:rPr>
        <w:t>）接受联合体投标。</w:t>
      </w:r>
    </w:p>
    <w:p w14:paraId="35393D36">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325A4549">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C3E2ECA">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以联合体形式投标的，提供联合协议(投标人不以联合体形式投标的，则不需要提供) ；</w:t>
      </w:r>
    </w:p>
    <w:p w14:paraId="3DD9F4E2">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3.落实政府采购政策需满足的资格要求：</w:t>
      </w:r>
      <w:r>
        <w:rPr>
          <w:rFonts w:hint="eastAsia" w:ascii="仿宋" w:hAnsi="仿宋" w:eastAsia="仿宋" w:cs="仿宋"/>
          <w:snapToGrid w:val="0"/>
          <w:color w:val="auto"/>
          <w:kern w:val="28"/>
          <w:sz w:val="24"/>
          <w:szCs w:val="20"/>
          <w:highlight w:val="none"/>
          <w:lang w:val="en-US" w:eastAsia="zh-CN"/>
        </w:rPr>
        <w:t>无</w:t>
      </w:r>
      <w:r>
        <w:rPr>
          <w:rFonts w:hint="eastAsia" w:ascii="仿宋" w:hAnsi="仿宋" w:eastAsia="仿宋" w:cs="仿宋"/>
          <w:color w:val="auto"/>
          <w:sz w:val="24"/>
          <w:highlight w:val="none"/>
          <w:lang w:eastAsia="zh-CN"/>
        </w:rPr>
        <w:t>。</w:t>
      </w:r>
    </w:p>
    <w:p w14:paraId="04661008">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r>
        <w:rPr>
          <w:rFonts w:hint="eastAsia" w:ascii="仿宋" w:hAnsi="仿宋" w:eastAsia="仿宋" w:cs="仿宋"/>
          <w:color w:val="auto"/>
          <w:sz w:val="24"/>
          <w:highlight w:val="none"/>
          <w:lang w:val="en-US" w:eastAsia="zh-CN"/>
        </w:rPr>
        <w:t>无</w:t>
      </w:r>
      <w:r>
        <w:rPr>
          <w:rFonts w:hint="eastAsia" w:ascii="仿宋" w:hAnsi="仿宋" w:eastAsia="仿宋" w:cs="仿宋"/>
          <w:color w:val="auto"/>
          <w:sz w:val="24"/>
          <w:highlight w:val="none"/>
        </w:rPr>
        <w:t>；</w:t>
      </w:r>
    </w:p>
    <w:p w14:paraId="66D01237">
      <w:pPr>
        <w:pageBreakBefore w:val="0"/>
        <w:widowControl w:val="0"/>
        <w:kinsoku/>
        <w:wordWrap/>
        <w:overflowPunct/>
        <w:topLinePunct w:val="0"/>
        <w:autoSpaceDE/>
        <w:autoSpaceDN/>
        <w:bidi w:val="0"/>
        <w:snapToGrid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w:t>
      </w:r>
    </w:p>
    <w:p w14:paraId="5EB0FC80">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758CD9AE">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eastAsia="zh-CN"/>
        </w:rPr>
        <w:t>2024</w:t>
      </w:r>
      <w:r>
        <w:rPr>
          <w:rFonts w:hint="eastAsia" w:ascii="仿宋" w:hAnsi="仿宋" w:eastAsia="仿宋" w:cs="仿宋"/>
          <w:color w:val="auto"/>
          <w:sz w:val="24"/>
          <w:highlight w:val="none"/>
          <w:u w:val="single"/>
        </w:rPr>
        <w:t>年</w:t>
      </w:r>
      <w:bookmarkStart w:id="43" w:name="_GoBack"/>
      <w:bookmarkEnd w:id="43"/>
      <w:r>
        <w:rPr>
          <w:rFonts w:hint="eastAsia" w:ascii="仿宋" w:hAnsi="仿宋" w:eastAsia="仿宋" w:cs="仿宋"/>
          <w:color w:val="auto"/>
          <w:sz w:val="24"/>
          <w:highlight w:val="none"/>
          <w:u w:val="single"/>
          <w:lang w:val="en-US" w:eastAsia="zh-CN"/>
        </w:rPr>
        <w:t>11月4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376EDFDE">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7434164F">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3AF26794">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5AD491C7">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0EA40D63">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11月4</w:t>
      </w:r>
      <w:r>
        <w:rPr>
          <w:rFonts w:hint="eastAsia" w:ascii="仿宋" w:hAnsi="仿宋" w:eastAsia="仿宋" w:cs="仿宋"/>
          <w:color w:val="auto"/>
          <w:sz w:val="24"/>
          <w:highlight w:val="none"/>
          <w:u w:val="single"/>
        </w:rPr>
        <w:t>日14点30分</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秒</w:t>
      </w:r>
      <w:r>
        <w:rPr>
          <w:rFonts w:hint="eastAsia" w:ascii="仿宋" w:hAnsi="仿宋" w:eastAsia="仿宋" w:cs="仿宋"/>
          <w:color w:val="auto"/>
          <w:sz w:val="24"/>
          <w:highlight w:val="none"/>
        </w:rPr>
        <w:t>（北京时间）</w:t>
      </w:r>
    </w:p>
    <w:p w14:paraId="38715B58">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3AA29CFF">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11月4</w:t>
      </w:r>
      <w:r>
        <w:rPr>
          <w:rFonts w:hint="eastAsia" w:ascii="仿宋" w:hAnsi="仿宋" w:eastAsia="仿宋" w:cs="仿宋"/>
          <w:color w:val="auto"/>
          <w:sz w:val="24"/>
          <w:highlight w:val="none"/>
          <w:u w:val="single"/>
        </w:rPr>
        <w:t>日14点30分</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秒</w:t>
      </w:r>
    </w:p>
    <w:p w14:paraId="422850D7">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6C372808">
      <w:pPr>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331A9E59">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15D41A36">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24988BC0">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83B908A">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822E2E">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D2FEECA">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BE5238C">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07DE66B3">
      <w:pPr>
        <w:pStyle w:val="4"/>
        <w:pageBreakBefore w:val="0"/>
        <w:widowControl w:val="0"/>
        <w:numPr>
          <w:ilvl w:val="0"/>
          <w:numId w:val="0"/>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szCs w:val="24"/>
          <w:highlight w:val="none"/>
        </w:rPr>
      </w:pPr>
      <w:bookmarkStart w:id="5" w:name="_Toc28359096"/>
      <w:bookmarkStart w:id="6" w:name="_Toc28359019"/>
      <w:bookmarkStart w:id="7" w:name="_Toc35393806"/>
      <w:bookmarkStart w:id="8" w:name="_Toc35393637"/>
      <w:r>
        <w:rPr>
          <w:rFonts w:hint="eastAsia" w:ascii="仿宋" w:hAnsi="仿宋" w:eastAsia="仿宋" w:cs="仿宋"/>
          <w:color w:val="auto"/>
          <w:sz w:val="24"/>
          <w:szCs w:val="24"/>
          <w:highlight w:val="none"/>
        </w:rPr>
        <w:t>1.采购人信息</w:t>
      </w:r>
      <w:bookmarkEnd w:id="5"/>
      <w:bookmarkEnd w:id="6"/>
      <w:bookmarkEnd w:id="7"/>
      <w:bookmarkEnd w:id="8"/>
      <w:r>
        <w:rPr>
          <w:rFonts w:hint="eastAsia" w:ascii="仿宋" w:hAnsi="仿宋" w:eastAsia="仿宋" w:cs="仿宋"/>
          <w:color w:val="auto"/>
          <w:sz w:val="24"/>
          <w:szCs w:val="24"/>
          <w:highlight w:val="none"/>
        </w:rPr>
        <w:t>：</w:t>
      </w:r>
    </w:p>
    <w:p w14:paraId="714C5384">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衢州市柯城区人民检察院</w:t>
      </w:r>
    </w:p>
    <w:p w14:paraId="3FF4C426">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    址：浙江省衢州市双港路406号</w:t>
      </w:r>
    </w:p>
    <w:p w14:paraId="23DED21A">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 xml:space="preserve">程女士 </w:t>
      </w:r>
      <w:r>
        <w:rPr>
          <w:rFonts w:hint="eastAsia" w:ascii="仿宋" w:hAnsi="仿宋" w:eastAsia="仿宋" w:cs="仿宋"/>
          <w:color w:val="auto"/>
          <w:sz w:val="24"/>
          <w:highlight w:val="none"/>
        </w:rPr>
        <w:t xml:space="preserve"> </w:t>
      </w:r>
    </w:p>
    <w:p w14:paraId="766191D4">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eastAsia="zh-CN"/>
        </w:rPr>
        <w:t>0570-3135212</w:t>
      </w:r>
      <w:r>
        <w:rPr>
          <w:rFonts w:hint="eastAsia" w:ascii="仿宋" w:hAnsi="仿宋" w:eastAsia="仿宋" w:cs="仿宋"/>
          <w:color w:val="auto"/>
          <w:sz w:val="24"/>
          <w:highlight w:val="none"/>
          <w:lang w:val="en-US" w:eastAsia="zh-CN"/>
        </w:rPr>
        <w:t xml:space="preserve"> </w:t>
      </w:r>
    </w:p>
    <w:p w14:paraId="3FC4E968">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质疑联系人：徐先生</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sz w:val="24"/>
          <w:highlight w:val="none"/>
        </w:rPr>
        <w:t xml:space="preserve"> </w:t>
      </w:r>
    </w:p>
    <w:p w14:paraId="20CA593C">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eastAsia="zh-CN"/>
        </w:rPr>
        <w:t>0570-3135262</w:t>
      </w:r>
      <w:r>
        <w:rPr>
          <w:rFonts w:hint="eastAsia" w:ascii="仿宋" w:hAnsi="仿宋" w:eastAsia="仿宋" w:cs="仿宋"/>
          <w:color w:val="auto"/>
          <w:kern w:val="0"/>
          <w:sz w:val="24"/>
          <w:szCs w:val="24"/>
          <w:highlight w:val="none"/>
          <w:lang w:val="en-US" w:eastAsia="zh-CN"/>
        </w:rPr>
        <w:t xml:space="preserve"> </w:t>
      </w:r>
    </w:p>
    <w:p w14:paraId="1118F12C">
      <w:pPr>
        <w:pStyle w:val="4"/>
        <w:pageBreakBefore w:val="0"/>
        <w:widowControl w:val="0"/>
        <w:numPr>
          <w:ilvl w:val="0"/>
          <w:numId w:val="0"/>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bookmarkStart w:id="9" w:name="_Toc28359097"/>
      <w:bookmarkStart w:id="10" w:name="_Toc35393807"/>
      <w:bookmarkStart w:id="11" w:name="_Toc35393638"/>
      <w:bookmarkStart w:id="12" w:name="_Toc28359020"/>
      <w:r>
        <w:rPr>
          <w:rFonts w:hint="eastAsia" w:ascii="仿宋" w:hAnsi="仿宋" w:eastAsia="仿宋" w:cs="仿宋"/>
          <w:color w:val="auto"/>
          <w:sz w:val="24"/>
          <w:szCs w:val="24"/>
          <w:highlight w:val="none"/>
        </w:rPr>
        <w:t>2.采购代理机构信息</w:t>
      </w:r>
      <w:bookmarkEnd w:id="9"/>
      <w:bookmarkEnd w:id="10"/>
      <w:bookmarkEnd w:id="11"/>
      <w:bookmarkEnd w:id="12"/>
      <w:r>
        <w:rPr>
          <w:rFonts w:hint="eastAsia" w:ascii="仿宋" w:hAnsi="仿宋" w:eastAsia="仿宋" w:cs="仿宋"/>
          <w:color w:val="auto"/>
          <w:sz w:val="24"/>
          <w:szCs w:val="24"/>
          <w:highlight w:val="none"/>
        </w:rPr>
        <w:t>：</w:t>
      </w:r>
    </w:p>
    <w:p w14:paraId="6AAD67DF">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名    称：浙江新世纪工程咨询有限公司             </w:t>
      </w:r>
    </w:p>
    <w:p w14:paraId="37AE0168">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地    址：衢州市柯城区白云北大道509号印象西城8楼 </w:t>
      </w:r>
    </w:p>
    <w:p w14:paraId="69C5CA6C">
      <w:pPr>
        <w:pageBreakBefore w:val="0"/>
        <w:widowControl w:val="0"/>
        <w:kinsoku/>
        <w:wordWrap/>
        <w:overflowPunct/>
        <w:topLinePunct w:val="0"/>
        <w:autoSpaceDE/>
        <w:autoSpaceDN/>
        <w:bidi w:val="0"/>
        <w:spacing w:line="360" w:lineRule="auto"/>
        <w:ind w:left="0" w:firstLine="420" w:firstLineChars="200"/>
        <w:textAlignment w:val="auto"/>
        <w:rPr>
          <w:rFonts w:hint="eastAsia" w:ascii="仿宋" w:hAnsi="仿宋" w:eastAsia="仿宋" w:cs="仿宋"/>
          <w:color w:val="auto"/>
          <w:sz w:val="24"/>
          <w:highlight w:val="none"/>
          <w:lang w:eastAsia="zh-CN"/>
        </w:rPr>
      </w:pPr>
      <w:bookmarkStart w:id="13" w:name="_Toc35393639"/>
      <w:bookmarkStart w:id="14" w:name="_Toc28359021"/>
      <w:bookmarkStart w:id="15" w:name="_Toc28359098"/>
      <w:bookmarkStart w:id="16" w:name="_Toc35393808"/>
      <w:r>
        <w:rPr>
          <w:rFonts w:ascii="Arial" w:hAnsi="Arial" w:cs="Arial"/>
          <w:color w:val="auto"/>
          <w:highlight w:val="none"/>
          <w:lang w:eastAsia="zh-CN"/>
        </w:rPr>
        <w:t> </w:t>
      </w:r>
      <w:r>
        <w:rPr>
          <w:rFonts w:hint="eastAsia" w:ascii="仿宋" w:hAnsi="仿宋" w:eastAsia="仿宋" w:cs="仿宋"/>
          <w:color w:val="auto"/>
          <w:sz w:val="24"/>
          <w:highlight w:val="none"/>
          <w:lang w:eastAsia="zh-CN"/>
        </w:rPr>
        <w:t>项目联系人（询问）：徐</w:t>
      </w:r>
      <w:r>
        <w:rPr>
          <w:rFonts w:hint="eastAsia" w:ascii="仿宋" w:hAnsi="仿宋" w:eastAsia="仿宋" w:cs="仿宋"/>
          <w:color w:val="auto"/>
          <w:sz w:val="24"/>
          <w:highlight w:val="none"/>
          <w:lang w:val="en-US" w:eastAsia="zh-CN"/>
        </w:rPr>
        <w:t>先生</w:t>
      </w:r>
      <w:r>
        <w:rPr>
          <w:rFonts w:hint="eastAsia" w:ascii="仿宋" w:hAnsi="仿宋" w:eastAsia="仿宋" w:cs="仿宋"/>
          <w:color w:val="auto"/>
          <w:sz w:val="24"/>
          <w:highlight w:val="none"/>
          <w:lang w:eastAsia="zh-CN"/>
        </w:rPr>
        <w:t> </w:t>
      </w:r>
    </w:p>
    <w:p w14:paraId="12715458">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项目联系方式（询问）： 0570-8589008  18657045122</w:t>
      </w:r>
    </w:p>
    <w:p w14:paraId="1DFC7689">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质疑联系人：刘育芳</w:t>
      </w:r>
    </w:p>
    <w:p w14:paraId="00CDF194">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质疑联系方式：0570-8589088</w:t>
      </w:r>
    </w:p>
    <w:p w14:paraId="6936686B">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3.</w:t>
      </w:r>
      <w:r>
        <w:rPr>
          <w:rFonts w:hint="eastAsia" w:ascii="仿宋" w:hAnsi="仿宋" w:eastAsia="仿宋" w:cs="仿宋"/>
          <w:b/>
          <w:color w:val="auto"/>
          <w:sz w:val="24"/>
          <w:highlight w:val="none"/>
        </w:rPr>
        <w:t xml:space="preserve"> 同级政府采购监督管理部门：            </w:t>
      </w:r>
    </w:p>
    <w:bookmarkEnd w:id="13"/>
    <w:bookmarkEnd w:id="14"/>
    <w:bookmarkEnd w:id="15"/>
    <w:bookmarkEnd w:id="16"/>
    <w:p w14:paraId="58F0C3D0">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名    称：</w:t>
      </w:r>
      <w:r>
        <w:rPr>
          <w:rFonts w:hint="eastAsia" w:ascii="仿宋" w:hAnsi="仿宋" w:eastAsia="仿宋" w:cs="仿宋"/>
          <w:color w:val="auto"/>
          <w:sz w:val="24"/>
          <w:highlight w:val="none"/>
          <w:lang w:val="en-US" w:eastAsia="zh-CN"/>
        </w:rPr>
        <w:t>柯城区</w:t>
      </w:r>
      <w:r>
        <w:rPr>
          <w:rFonts w:hint="eastAsia" w:ascii="仿宋" w:hAnsi="仿宋" w:eastAsia="仿宋" w:cs="仿宋"/>
          <w:color w:val="auto"/>
          <w:sz w:val="24"/>
          <w:highlight w:val="none"/>
          <w:lang w:eastAsia="zh-CN"/>
        </w:rPr>
        <w:t>财政局</w:t>
      </w:r>
    </w:p>
    <w:p w14:paraId="3FF5B556">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地    址：浙江省衢州市柯城区上街92号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 xml:space="preserve"> </w:t>
      </w:r>
    </w:p>
    <w:p w14:paraId="47EC1340">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联系人：</w:t>
      </w:r>
      <w:r>
        <w:rPr>
          <w:rFonts w:hint="eastAsia" w:ascii="仿宋" w:hAnsi="仿宋" w:eastAsia="仿宋" w:cs="仿宋"/>
          <w:color w:val="auto"/>
          <w:sz w:val="24"/>
          <w:highlight w:val="none"/>
          <w:lang w:val="en-US" w:eastAsia="zh-CN"/>
        </w:rPr>
        <w:t>蒋</w:t>
      </w:r>
      <w:r>
        <w:rPr>
          <w:rFonts w:hint="eastAsia" w:ascii="仿宋" w:hAnsi="仿宋" w:eastAsia="仿宋" w:cs="仿宋"/>
          <w:color w:val="auto"/>
          <w:sz w:val="24"/>
          <w:highlight w:val="none"/>
          <w:lang w:eastAsia="zh-CN"/>
        </w:rPr>
        <w:t>先生</w:t>
      </w:r>
      <w:r>
        <w:rPr>
          <w:rFonts w:hint="eastAsia" w:ascii="仿宋" w:hAnsi="仿宋" w:eastAsia="仿宋" w:cs="仿宋"/>
          <w:color w:val="auto"/>
          <w:sz w:val="24"/>
          <w:highlight w:val="none"/>
          <w:lang w:val="en-US" w:eastAsia="zh-CN"/>
        </w:rPr>
        <w:t xml:space="preserve"> </w:t>
      </w:r>
    </w:p>
    <w:p w14:paraId="37D9DB47">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监督投诉电话：0570-</w:t>
      </w:r>
      <w:r>
        <w:rPr>
          <w:rFonts w:hint="eastAsia" w:ascii="仿宋" w:hAnsi="仿宋" w:eastAsia="仿宋" w:cs="仿宋"/>
          <w:color w:val="auto"/>
          <w:sz w:val="24"/>
          <w:highlight w:val="none"/>
          <w:lang w:val="en-US" w:eastAsia="zh-CN"/>
        </w:rPr>
        <w:t>3028506</w:t>
      </w:r>
      <w:r>
        <w:rPr>
          <w:rFonts w:hint="eastAsia" w:ascii="仿宋" w:hAnsi="仿宋" w:eastAsia="仿宋" w:cs="仿宋"/>
          <w:color w:val="auto"/>
          <w:sz w:val="24"/>
          <w:highlight w:val="none"/>
          <w:lang w:eastAsia="zh-CN"/>
        </w:rPr>
        <w:t xml:space="preserve">  </w:t>
      </w:r>
    </w:p>
    <w:p w14:paraId="5A16E6EF">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        </w:t>
      </w:r>
    </w:p>
    <w:p w14:paraId="69D79B69">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266B8917">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22421C2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2"/>
      <w:r>
        <w:rPr>
          <w:rFonts w:hint="eastAsia" w:ascii="仿宋" w:hAnsi="仿宋" w:eastAsia="仿宋" w:cs="仿宋"/>
          <w:b/>
          <w:color w:val="auto"/>
          <w:sz w:val="36"/>
          <w:szCs w:val="20"/>
          <w:highlight w:val="none"/>
        </w:rPr>
        <w:t xml:space="preserve"> 投标须知</w:t>
      </w:r>
      <w:bookmarkEnd w:id="3"/>
    </w:p>
    <w:p w14:paraId="29D60CA8">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4"/>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855"/>
        <w:gridCol w:w="7515"/>
      </w:tblGrid>
      <w:tr w14:paraId="54665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0" w:type="dxa"/>
            <w:vAlign w:val="center"/>
          </w:tcPr>
          <w:p w14:paraId="11077BCB">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370" w:type="dxa"/>
            <w:gridSpan w:val="2"/>
            <w:vAlign w:val="center"/>
          </w:tcPr>
          <w:p w14:paraId="54587D75">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内　　　　容</w:t>
            </w:r>
          </w:p>
        </w:tc>
      </w:tr>
      <w:tr w14:paraId="7C015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69F45A28">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8370" w:type="dxa"/>
            <w:gridSpan w:val="2"/>
            <w:vAlign w:val="center"/>
          </w:tcPr>
          <w:p w14:paraId="7411E1E6">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资格审查方式：</w:t>
            </w:r>
          </w:p>
          <w:p w14:paraId="72EB6CA7">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1.资格后审。</w:t>
            </w:r>
          </w:p>
          <w:p w14:paraId="0C6760E3">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p>
        </w:tc>
      </w:tr>
      <w:tr w14:paraId="315CE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2347557E">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8370" w:type="dxa"/>
            <w:gridSpan w:val="2"/>
            <w:vAlign w:val="center"/>
          </w:tcPr>
          <w:p w14:paraId="16A97468">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highlight w:val="none"/>
              </w:rPr>
              <w:t>投标有效期：</w:t>
            </w:r>
            <w:r>
              <w:rPr>
                <w:rFonts w:hint="eastAsia" w:ascii="仿宋" w:hAnsi="仿宋" w:eastAsia="仿宋" w:cs="仿宋"/>
                <w:color w:val="auto"/>
                <w:sz w:val="24"/>
                <w:highlight w:val="none"/>
              </w:rPr>
              <w:t>投标有效期为从提交投标文件的截止之日起90天。</w:t>
            </w:r>
            <w:r>
              <w:rPr>
                <w:rFonts w:hint="eastAsia" w:ascii="仿宋" w:hAnsi="仿宋" w:eastAsia="仿宋" w:cs="仿宋"/>
                <w:b/>
                <w:color w:val="auto"/>
                <w:sz w:val="24"/>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tc>
      </w:tr>
      <w:tr w14:paraId="19607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vAlign w:val="center"/>
          </w:tcPr>
          <w:p w14:paraId="1E800846">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8370" w:type="dxa"/>
            <w:gridSpan w:val="2"/>
            <w:vAlign w:val="center"/>
          </w:tcPr>
          <w:p w14:paraId="12F10229">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highlight w:val="none"/>
              </w:rPr>
              <w:t>转包：</w:t>
            </w:r>
            <w:r>
              <w:rPr>
                <w:rFonts w:hint="eastAsia" w:ascii="仿宋" w:hAnsi="仿宋" w:eastAsia="仿宋" w:cs="仿宋"/>
                <w:color w:val="auto"/>
                <w:sz w:val="24"/>
                <w:highlight w:val="none"/>
              </w:rPr>
              <w:t>本项目不得转包。</w:t>
            </w:r>
          </w:p>
        </w:tc>
      </w:tr>
      <w:tr w14:paraId="6852A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59F32271">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8370" w:type="dxa"/>
            <w:gridSpan w:val="2"/>
            <w:vAlign w:val="center"/>
          </w:tcPr>
          <w:p w14:paraId="60220766">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b/>
                <w:color w:val="auto"/>
                <w:sz w:val="24"/>
                <w:highlight w:val="none"/>
              </w:rPr>
              <w:t>分包：</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同意将非主体、非关键性的工作分包。</w:t>
            </w:r>
          </w:p>
          <w:p w14:paraId="1E00E0AB">
            <w:pPr>
              <w:keepNext w:val="0"/>
              <w:keepLines w:val="0"/>
              <w:pageBreakBefore w:val="0"/>
              <w:widowControl w:val="0"/>
              <w:kinsoku/>
              <w:wordWrap/>
              <w:overflowPunct/>
              <w:topLinePunct w:val="0"/>
              <w:bidi w:val="0"/>
              <w:adjustRightInd w:val="0"/>
              <w:spacing w:line="440" w:lineRule="exact"/>
              <w:ind w:left="0" w:leftChars="0" w:right="0" w:rightChars="0" w:firstLine="720" w:firstLineChars="300"/>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tc>
      </w:tr>
      <w:tr w14:paraId="19EAE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3ABA80C5">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8370" w:type="dxa"/>
            <w:gridSpan w:val="2"/>
            <w:vAlign w:val="center"/>
          </w:tcPr>
          <w:p w14:paraId="4663CD16">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highlight w:val="none"/>
              </w:rPr>
              <w:t>投标文件份数：</w:t>
            </w:r>
            <w:r>
              <w:rPr>
                <w:rFonts w:hint="eastAsia" w:ascii="仿宋" w:hAnsi="仿宋" w:eastAsia="仿宋" w:cs="仿宋"/>
                <w:color w:val="auto"/>
                <w:sz w:val="24"/>
                <w:highlight w:val="none"/>
              </w:rPr>
              <w:t>本项目实行网上投标，供应商于“政采云”上提供电子投标文件。</w:t>
            </w:r>
          </w:p>
        </w:tc>
      </w:tr>
      <w:tr w14:paraId="701AF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0" w:type="dxa"/>
            <w:vAlign w:val="center"/>
          </w:tcPr>
          <w:p w14:paraId="2B67A60D">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8370" w:type="dxa"/>
            <w:gridSpan w:val="2"/>
            <w:vAlign w:val="center"/>
          </w:tcPr>
          <w:p w14:paraId="35AD371A">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p w14:paraId="6754FDAE">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76D4DC77">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27347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14:paraId="144857A3">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8370" w:type="dxa"/>
            <w:gridSpan w:val="2"/>
            <w:vAlign w:val="center"/>
          </w:tcPr>
          <w:p w14:paraId="1B222D2E">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p w14:paraId="384B72E7">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6A9402FF">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B要求提供，</w:t>
            </w:r>
          </w:p>
          <w:p w14:paraId="081B4F26">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snapToGrid w:val="0"/>
                <w:color w:val="auto"/>
                <w:kern w:val="28"/>
                <w:sz w:val="24"/>
                <w:highlight w:val="none"/>
                <w:u w:val="single"/>
              </w:rPr>
              <w:t>；</w:t>
            </w:r>
          </w:p>
          <w:p w14:paraId="5F336147">
            <w:pPr>
              <w:rPr>
                <w:rFonts w:hint="default" w:ascii="仿宋" w:hAnsi="仿宋" w:eastAsia="仿宋" w:cs="仿宋"/>
                <w:snapToGrid w:val="0"/>
                <w:color w:val="auto"/>
                <w:kern w:val="28"/>
                <w:sz w:val="24"/>
                <w:highlight w:val="none"/>
                <w:lang w:val="en-US" w:eastAsia="zh-CN"/>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snapToGrid w:val="0"/>
                <w:color w:val="auto"/>
                <w:kern w:val="28"/>
                <w:sz w:val="24"/>
                <w:highlight w:val="none"/>
                <w:lang w:val="en-US" w:eastAsia="zh-CN"/>
              </w:rPr>
              <w:t>详见</w:t>
            </w:r>
            <w:r>
              <w:rPr>
                <w:rFonts w:hint="eastAsia" w:ascii="仿宋" w:hAnsi="仿宋" w:eastAsia="仿宋" w:cs="仿宋"/>
                <w:snapToGrid w:val="0"/>
                <w:color w:val="auto"/>
                <w:kern w:val="28"/>
                <w:sz w:val="24"/>
                <w:highlight w:val="none"/>
                <w:u w:val="single"/>
                <w:lang w:val="en-US" w:eastAsia="zh-CN"/>
              </w:rPr>
              <w:t>“</w:t>
            </w:r>
            <w:r>
              <w:rPr>
                <w:rFonts w:hint="eastAsia" w:ascii="仿宋" w:hAnsi="仿宋" w:eastAsia="仿宋" w:cs="仿宋"/>
                <w:snapToGrid w:val="0"/>
                <w:color w:val="auto"/>
                <w:kern w:val="28"/>
                <w:sz w:val="24"/>
                <w:highlight w:val="none"/>
                <w:u w:val="single"/>
              </w:rPr>
              <w:t>第三部分 招标项目范围及要求</w:t>
            </w:r>
            <w:r>
              <w:rPr>
                <w:rFonts w:hint="eastAsia" w:ascii="仿宋" w:hAnsi="仿宋" w:eastAsia="仿宋" w:cs="仿宋"/>
                <w:snapToGrid w:val="0"/>
                <w:color w:val="auto"/>
                <w:kern w:val="28"/>
                <w:sz w:val="24"/>
                <w:highlight w:val="none"/>
                <w:u w:val="single"/>
                <w:lang w:val="en-US" w:eastAsia="zh-CN"/>
              </w:rPr>
              <w:t>”</w:t>
            </w:r>
            <w:r>
              <w:rPr>
                <w:rFonts w:hint="eastAsia" w:ascii="仿宋" w:hAnsi="仿宋" w:eastAsia="仿宋" w:cs="仿宋"/>
                <w:snapToGrid w:val="0"/>
                <w:color w:val="auto"/>
                <w:kern w:val="28"/>
                <w:sz w:val="24"/>
                <w:highlight w:val="none"/>
                <w:lang w:val="en-US" w:eastAsia="zh-CN"/>
              </w:rPr>
              <w:t>。</w:t>
            </w:r>
          </w:p>
          <w:p w14:paraId="28F8F387">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47E45FA5">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否；□是，检测机构的要求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4BFC8B39">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lang w:val="en-US" w:eastAsia="zh-CN"/>
              </w:rPr>
              <w:t>同投标截止时间</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lang w:val="en-US" w:eastAsia="zh-CN"/>
              </w:rPr>
              <w:t>浙江新世纪工程咨询有限公司</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衢州市柯城区白云北大道509号印象西城8楼</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徐俊</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lang w:val="en-US" w:eastAsia="zh-CN"/>
              </w:rPr>
              <w:t>18657045122</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w:t>
            </w:r>
          </w:p>
          <w:p w14:paraId="40FF88DD">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w:t>
            </w:r>
            <w:r>
              <w:rPr>
                <w:rFonts w:hint="eastAsia" w:ascii="仿宋" w:hAnsi="仿宋" w:eastAsia="仿宋" w:cs="仿宋"/>
                <w:color w:val="auto"/>
                <w:sz w:val="24"/>
                <w:highlight w:val="none"/>
                <w:lang w:val="en-US" w:eastAsia="zh-CN"/>
              </w:rPr>
              <w:t>未中标单位的</w:t>
            </w:r>
            <w:r>
              <w:rPr>
                <w:rFonts w:hint="eastAsia" w:ascii="仿宋" w:hAnsi="仿宋" w:eastAsia="仿宋" w:cs="仿宋"/>
                <w:color w:val="auto"/>
                <w:sz w:val="24"/>
                <w:highlight w:val="none"/>
              </w:rPr>
              <w:t>样品</w:t>
            </w:r>
            <w:r>
              <w:rPr>
                <w:rFonts w:hint="eastAsia" w:ascii="仿宋" w:hAnsi="仿宋" w:eastAsia="仿宋" w:cs="仿宋"/>
                <w:color w:val="auto"/>
                <w:sz w:val="24"/>
                <w:highlight w:val="none"/>
                <w:lang w:val="en-US" w:eastAsia="zh-CN"/>
              </w:rPr>
              <w:t>予以退还</w:t>
            </w:r>
            <w:r>
              <w:rPr>
                <w:rFonts w:hint="eastAsia" w:ascii="仿宋" w:hAnsi="仿宋" w:eastAsia="仿宋" w:cs="仿宋"/>
                <w:color w:val="auto"/>
                <w:sz w:val="24"/>
                <w:highlight w:val="none"/>
              </w:rPr>
              <w:t>；对于中标人提供的样品，采购人将进行保管、封存，并作为履约验收的参考。</w:t>
            </w:r>
          </w:p>
          <w:p w14:paraId="31D07807">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jc w:val="left"/>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sz w:val="24"/>
                <w:highlight w:val="none"/>
              </w:rPr>
              <w:t>（7）制作、运输、安装和保管样品所发生的一切费用由投标人自理。</w:t>
            </w:r>
          </w:p>
        </w:tc>
      </w:tr>
      <w:tr w14:paraId="7AF55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vAlign w:val="center"/>
          </w:tcPr>
          <w:p w14:paraId="610D9546">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8370" w:type="dxa"/>
            <w:gridSpan w:val="2"/>
            <w:vAlign w:val="center"/>
          </w:tcPr>
          <w:p w14:paraId="1D3D891F">
            <w:pPr>
              <w:spacing w:beforeLines="0" w:afterLines="0" w:line="440" w:lineRule="exact"/>
              <w:rPr>
                <w:rFonts w:hint="eastAsia"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方案讲解演示：</w:t>
            </w:r>
          </w:p>
          <w:p w14:paraId="7453A645">
            <w:pPr>
              <w:spacing w:beforeLines="0" w:afterLines="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A无方案讲解演示。</w:t>
            </w:r>
          </w:p>
          <w:p w14:paraId="2E5F730A">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B有方案讲解演示：</w:t>
            </w:r>
            <w:r>
              <w:rPr>
                <w:rFonts w:hint="eastAsia" w:ascii="仿宋" w:hAnsi="仿宋" w:eastAsia="仿宋" w:cs="仿宋"/>
                <w:b/>
                <w:color w:val="auto"/>
                <w:sz w:val="24"/>
                <w:szCs w:val="24"/>
                <w:highlight w:val="none"/>
                <w:lang w:val="en-US" w:eastAsia="zh-CN"/>
              </w:rPr>
              <w:t>详见评分办法</w:t>
            </w:r>
            <w:r>
              <w:rPr>
                <w:rFonts w:hint="eastAsia" w:ascii="仿宋" w:hAnsi="仿宋" w:eastAsia="仿宋" w:cs="仿宋"/>
                <w:color w:val="auto"/>
                <w:sz w:val="24"/>
                <w:szCs w:val="24"/>
                <w:highlight w:val="none"/>
                <w:lang w:val="zh-CN"/>
              </w:rPr>
              <w:t>。</w:t>
            </w:r>
          </w:p>
        </w:tc>
      </w:tr>
      <w:tr w14:paraId="2C262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2F73CE05">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w:t>
            </w:r>
          </w:p>
        </w:tc>
        <w:tc>
          <w:tcPr>
            <w:tcW w:w="855" w:type="dxa"/>
            <w:vAlign w:val="center"/>
          </w:tcPr>
          <w:p w14:paraId="3F1B5B34">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进口产品</w:t>
            </w:r>
          </w:p>
        </w:tc>
        <w:tc>
          <w:tcPr>
            <w:tcW w:w="7515" w:type="dxa"/>
            <w:vAlign w:val="center"/>
          </w:tcPr>
          <w:p w14:paraId="09F341A3">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本项目不允许采购进口产品</w:t>
            </w:r>
            <w:r>
              <w:rPr>
                <w:rFonts w:hint="eastAsia" w:ascii="仿宋" w:hAnsi="仿宋" w:eastAsia="仿宋" w:cs="仿宋"/>
                <w:color w:val="auto"/>
                <w:kern w:val="0"/>
                <w:sz w:val="24"/>
                <w:highlight w:val="none"/>
                <w:lang w:val="en-US" w:eastAsia="zh-CN"/>
              </w:rPr>
              <w:t>/服务</w:t>
            </w:r>
            <w:r>
              <w:rPr>
                <w:rFonts w:hint="eastAsia" w:ascii="仿宋" w:hAnsi="仿宋" w:eastAsia="仿宋" w:cs="仿宋"/>
                <w:color w:val="auto"/>
                <w:kern w:val="0"/>
                <w:sz w:val="24"/>
                <w:highlight w:val="none"/>
              </w:rPr>
              <w:t>。</w:t>
            </w:r>
          </w:p>
          <w:p w14:paraId="3ED60C8A">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1EF01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625BE8C9">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p>
        </w:tc>
        <w:tc>
          <w:tcPr>
            <w:tcW w:w="855" w:type="dxa"/>
            <w:vAlign w:val="center"/>
          </w:tcPr>
          <w:p w14:paraId="48A25FD8">
            <w:pPr>
              <w:keepNext w:val="0"/>
              <w:keepLines w:val="0"/>
              <w:pageBreakBefore w:val="0"/>
              <w:widowControl w:val="0"/>
              <w:kinsoku/>
              <w:wordWrap/>
              <w:overflowPunct/>
              <w:topLinePunct w:val="0"/>
              <w:bidi w:val="0"/>
              <w:adjustRightInd w:val="0"/>
              <w:snapToGrid w:val="0"/>
              <w:spacing w:line="440" w:lineRule="exact"/>
              <w:ind w:left="14" w:leftChars="0" w:right="0" w:rightChars="0" w:hanging="14" w:hangingChars="7"/>
              <w:rPr>
                <w:rFonts w:hint="eastAsia" w:ascii="仿宋" w:hAnsi="仿宋" w:eastAsia="仿宋" w:cs="仿宋"/>
                <w:b/>
                <w:color w:val="auto"/>
                <w:spacing w:val="-20"/>
                <w:sz w:val="24"/>
                <w:highlight w:val="none"/>
              </w:rPr>
            </w:pPr>
            <w:r>
              <w:rPr>
                <w:rFonts w:hint="eastAsia" w:ascii="仿宋" w:hAnsi="仿宋" w:eastAsia="仿宋" w:cs="仿宋"/>
                <w:b/>
                <w:color w:val="auto"/>
                <w:spacing w:val="-20"/>
                <w:sz w:val="24"/>
                <w:highlight w:val="none"/>
              </w:rPr>
              <w:t>项目属性与核心产品</w:t>
            </w:r>
          </w:p>
        </w:tc>
        <w:tc>
          <w:tcPr>
            <w:tcW w:w="7515" w:type="dxa"/>
            <w:vAlign w:val="center"/>
          </w:tcPr>
          <w:p w14:paraId="3ADFE086">
            <w:pPr>
              <w:keepNext w:val="0"/>
              <w:keepLines w:val="0"/>
              <w:pageBreakBefore w:val="0"/>
              <w:widowControl w:val="0"/>
              <w:kinsoku/>
              <w:wordWrap/>
              <w:overflowPunct/>
              <w:topLinePunct w:val="0"/>
              <w:bidi w:val="0"/>
              <w:adjustRightInd w:val="0"/>
              <w:spacing w:line="440" w:lineRule="exact"/>
              <w:ind w:left="0" w:leftChars="0" w:right="0" w:rightChars="0"/>
              <w:rPr>
                <w:rFonts w:hint="default" w:ascii="仿宋" w:hAnsi="仿宋" w:eastAsia="仿宋" w:cs="仿宋"/>
                <w:color w:val="auto"/>
                <w:sz w:val="24"/>
                <w:highlight w:val="none"/>
                <w:lang w:val="en-US"/>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i w:val="0"/>
                <w:iCs w:val="0"/>
                <w:color w:val="auto"/>
                <w:kern w:val="0"/>
                <w:sz w:val="24"/>
                <w:szCs w:val="24"/>
                <w:highlight w:val="none"/>
                <w:u w:val="single"/>
                <w:lang w:val="en-US" w:eastAsia="zh-CN" w:bidi="ar"/>
              </w:rPr>
              <w:t>态势感知系统、探针、防火墙、入侵防御系统</w:t>
            </w:r>
            <w:r>
              <w:rPr>
                <w:rFonts w:hint="eastAsia" w:ascii="仿宋" w:hAnsi="仿宋" w:eastAsia="仿宋" w:cs="仿宋"/>
                <w:color w:val="auto"/>
                <w:kern w:val="0"/>
                <w:sz w:val="24"/>
                <w:highlight w:val="none"/>
                <w:u w:val="single"/>
                <w:lang w:val="en-US" w:eastAsia="zh-CN"/>
              </w:rPr>
              <w:t>。</w:t>
            </w:r>
          </w:p>
          <w:p w14:paraId="46B90A99">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14:paraId="0552E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70" w:type="dxa"/>
            <w:vAlign w:val="center"/>
          </w:tcPr>
          <w:p w14:paraId="42601E21">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p>
        </w:tc>
        <w:tc>
          <w:tcPr>
            <w:tcW w:w="855" w:type="dxa"/>
            <w:vAlign w:val="center"/>
          </w:tcPr>
          <w:p w14:paraId="3D755A0F">
            <w:pPr>
              <w:keepNext w:val="0"/>
              <w:keepLines w:val="0"/>
              <w:pageBreakBefore w:val="0"/>
              <w:widowControl w:val="0"/>
              <w:kinsoku/>
              <w:wordWrap/>
              <w:overflowPunct/>
              <w:topLinePunct w:val="0"/>
              <w:bidi w:val="0"/>
              <w:adjustRightInd w:val="0"/>
              <w:snapToGrid w:val="0"/>
              <w:spacing w:line="440" w:lineRule="exact"/>
              <w:ind w:left="0" w:leftChars="0" w:right="0" w:rightChars="0" w:hanging="1"/>
              <w:jc w:val="center"/>
              <w:rPr>
                <w:rFonts w:hint="eastAsia" w:ascii="仿宋" w:hAnsi="仿宋" w:eastAsia="仿宋" w:cs="仿宋"/>
                <w:b/>
                <w:color w:val="auto"/>
                <w:spacing w:val="-20"/>
                <w:sz w:val="24"/>
                <w:highlight w:val="none"/>
              </w:rPr>
            </w:pPr>
            <w:r>
              <w:rPr>
                <w:rFonts w:hint="eastAsia" w:ascii="仿宋" w:hAnsi="仿宋" w:eastAsia="仿宋" w:cs="仿宋"/>
                <w:b/>
                <w:color w:val="auto"/>
                <w:spacing w:val="-20"/>
                <w:sz w:val="24"/>
                <w:highlight w:val="none"/>
              </w:rPr>
              <w:t>采购标的对应的中小企业划分标准所属行业</w:t>
            </w:r>
          </w:p>
        </w:tc>
        <w:tc>
          <w:tcPr>
            <w:tcW w:w="7515" w:type="dxa"/>
            <w:vAlign w:val="center"/>
          </w:tcPr>
          <w:p w14:paraId="4AA08025">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highlight w:val="none"/>
              </w:rPr>
            </w:pPr>
            <w:r>
              <w:rPr>
                <w:rFonts w:hint="eastAsia" w:ascii="仿宋" w:hAnsi="仿宋" w:eastAsia="仿宋" w:cs="仿宋"/>
                <w:color w:val="auto"/>
                <w:kern w:val="0"/>
                <w:sz w:val="24"/>
                <w:highlight w:val="none"/>
              </w:rPr>
              <w:t>（1）标的：</w:t>
            </w:r>
            <w:r>
              <w:rPr>
                <w:rFonts w:hint="eastAsia" w:ascii="仿宋" w:hAnsi="仿宋" w:eastAsia="仿宋" w:cs="仿宋"/>
                <w:color w:val="auto"/>
                <w:kern w:val="0"/>
                <w:sz w:val="24"/>
                <w:highlight w:val="none"/>
                <w:u w:val="single"/>
                <w:lang w:val="en-US" w:eastAsia="zh-CN"/>
              </w:rPr>
              <w:t>柯城区人民检察院工作网等保三级安全防护建设项目清单范围内的所有货物</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lang w:val="en-US" w:eastAsia="zh-CN"/>
              </w:rPr>
              <w:t>工业</w:t>
            </w:r>
            <w:r>
              <w:rPr>
                <w:rFonts w:hint="eastAsia" w:ascii="仿宋" w:hAnsi="仿宋" w:eastAsia="仿宋" w:cs="仿宋"/>
                <w:color w:val="auto"/>
                <w:kern w:val="0"/>
                <w:sz w:val="24"/>
                <w:highlight w:val="none"/>
              </w:rPr>
              <w:t>；</w:t>
            </w:r>
            <w:r>
              <w:rPr>
                <w:rFonts w:hint="eastAsia" w:ascii="仿宋" w:hAnsi="仿宋" w:eastAsia="仿宋" w:cs="仿宋"/>
                <w:b/>
                <w:bCs/>
                <w:color w:val="auto"/>
                <w:kern w:val="0"/>
                <w:sz w:val="24"/>
                <w:highlight w:val="none"/>
                <w:lang w:val="en-US" w:eastAsia="zh-CN"/>
              </w:rPr>
              <w:t>相关文件：工信部联企业〔2011〕300号。</w:t>
            </w:r>
          </w:p>
        </w:tc>
      </w:tr>
      <w:tr w14:paraId="077C7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restart"/>
            <w:vAlign w:val="center"/>
          </w:tcPr>
          <w:p w14:paraId="57A075C2">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p>
        </w:tc>
        <w:tc>
          <w:tcPr>
            <w:tcW w:w="855" w:type="dxa"/>
            <w:vMerge w:val="restart"/>
            <w:vAlign w:val="center"/>
          </w:tcPr>
          <w:p w14:paraId="40D305EA">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投标人信用信息事项</w:t>
            </w:r>
          </w:p>
        </w:tc>
        <w:tc>
          <w:tcPr>
            <w:tcW w:w="7515" w:type="dxa"/>
            <w:vAlign w:val="center"/>
          </w:tcPr>
          <w:p w14:paraId="1408FFCC">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信用信息查询渠道及截止时间：</w:t>
            </w:r>
            <w:r>
              <w:rPr>
                <w:rFonts w:hint="eastAsia" w:ascii="仿宋" w:hAnsi="仿宋" w:eastAsia="仿宋" w:cs="仿宋"/>
                <w:color w:val="auto"/>
                <w:sz w:val="24"/>
                <w:highlight w:val="none"/>
              </w:rPr>
              <w:t>采购人或采购人委托的评审小组或采购代理机构将通过“信用中国”网站(www.creditchina.gov.cn)、中国政府采购网(www.ccgp.gov.cn)渠道查询投标人</w:t>
            </w:r>
            <w:r>
              <w:rPr>
                <w:rFonts w:hint="eastAsia" w:ascii="仿宋" w:hAnsi="仿宋" w:eastAsia="仿宋" w:cs="仿宋"/>
                <w:b/>
                <w:color w:val="auto"/>
                <w:sz w:val="24"/>
                <w:highlight w:val="none"/>
              </w:rPr>
              <w:t>开标当天</w:t>
            </w:r>
            <w:r>
              <w:rPr>
                <w:rFonts w:hint="eastAsia" w:ascii="仿宋" w:hAnsi="仿宋" w:eastAsia="仿宋" w:cs="仿宋"/>
                <w:color w:val="auto"/>
                <w:sz w:val="24"/>
                <w:highlight w:val="none"/>
              </w:rPr>
              <w:t>的信用记录。</w:t>
            </w:r>
          </w:p>
        </w:tc>
      </w:tr>
      <w:tr w14:paraId="3C55D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64662226">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p>
        </w:tc>
        <w:tc>
          <w:tcPr>
            <w:tcW w:w="855" w:type="dxa"/>
            <w:vMerge w:val="continue"/>
            <w:vAlign w:val="center"/>
          </w:tcPr>
          <w:p w14:paraId="07C83133">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p>
        </w:tc>
        <w:tc>
          <w:tcPr>
            <w:tcW w:w="7515" w:type="dxa"/>
            <w:vAlign w:val="center"/>
          </w:tcPr>
          <w:p w14:paraId="348A8B8C">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信用信息查询记录和证据留存的具体方式：</w:t>
            </w:r>
            <w:r>
              <w:rPr>
                <w:rFonts w:hint="eastAsia" w:ascii="仿宋" w:hAnsi="仿宋" w:eastAsia="仿宋" w:cs="仿宋"/>
                <w:color w:val="auto"/>
                <w:sz w:val="24"/>
                <w:highlight w:val="none"/>
              </w:rPr>
              <w:t>采购人或采购人委托的评审小组或采购代理机构现场查询投标人的信用记录。</w:t>
            </w:r>
          </w:p>
        </w:tc>
      </w:tr>
      <w:tr w14:paraId="2771E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6AB05A62">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p>
        </w:tc>
        <w:tc>
          <w:tcPr>
            <w:tcW w:w="855" w:type="dxa"/>
            <w:vMerge w:val="continue"/>
            <w:vAlign w:val="center"/>
          </w:tcPr>
          <w:p w14:paraId="492E4EA4">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p>
        </w:tc>
        <w:tc>
          <w:tcPr>
            <w:tcW w:w="7515" w:type="dxa"/>
            <w:vAlign w:val="center"/>
          </w:tcPr>
          <w:p w14:paraId="550D880C">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b/>
                <w:color w:val="auto"/>
                <w:sz w:val="24"/>
                <w:highlight w:val="none"/>
              </w:rPr>
              <w:t>信用信息的使用规则：</w:t>
            </w:r>
            <w:r>
              <w:rPr>
                <w:rFonts w:hint="eastAsia" w:ascii="仿宋" w:hAnsi="仿宋" w:eastAsia="仿宋" w:cs="仿宋"/>
                <w:color w:val="auto"/>
                <w:sz w:val="24"/>
                <w:highlight w:val="none"/>
              </w:rPr>
              <w:t>经查询列入失信被执行人名单、重大税收违法案件当事人名单、政府采购严重违法失信行为记录名单的投标人将被拒绝参与政府采购活动。</w:t>
            </w:r>
          </w:p>
          <w:p w14:paraId="4E99D1FF">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color w:val="auto"/>
                <w:sz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5559B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70" w:type="dxa"/>
            <w:vAlign w:val="center"/>
          </w:tcPr>
          <w:p w14:paraId="13AABF6B">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p>
        </w:tc>
        <w:tc>
          <w:tcPr>
            <w:tcW w:w="8370" w:type="dxa"/>
            <w:gridSpan w:val="2"/>
            <w:vAlign w:val="center"/>
          </w:tcPr>
          <w:p w14:paraId="731E5A85">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需要落实的政府采购政策：包括保护环境、节约能源、促进中小企业发展等。详见招标文件第二部分总则。</w:t>
            </w:r>
          </w:p>
        </w:tc>
      </w:tr>
      <w:tr w14:paraId="2612A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0B0D843A">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w:t>
            </w:r>
          </w:p>
        </w:tc>
        <w:tc>
          <w:tcPr>
            <w:tcW w:w="8370" w:type="dxa"/>
            <w:gridSpan w:val="2"/>
            <w:vAlign w:val="center"/>
          </w:tcPr>
          <w:p w14:paraId="74808A65">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更正补充公告请自行登录浙江政府采购网查看下载。</w:t>
            </w:r>
          </w:p>
        </w:tc>
      </w:tr>
      <w:tr w14:paraId="55CF5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6FB76629">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 xml:space="preserve">                                                                                                                                                                                                                                                                                                                                                                                                                                                                                                                                                                                                                                                                                                                                                                                                                                                                                                                                                                                                                                                                                                                                                                                                                                                                                                                                       </w:t>
            </w:r>
          </w:p>
        </w:tc>
        <w:tc>
          <w:tcPr>
            <w:tcW w:w="8370" w:type="dxa"/>
            <w:gridSpan w:val="2"/>
            <w:vAlign w:val="center"/>
          </w:tcPr>
          <w:p w14:paraId="21697A2F">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投标与开标注意事项：</w:t>
            </w:r>
          </w:p>
          <w:p w14:paraId="240BF158">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1.本项目实行网上投标，采用电子投标文件。若供应商参与投标，自行承担投标一切费用。</w:t>
            </w:r>
          </w:p>
          <w:p w14:paraId="685AAB4A">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159001E4">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注：供应商CA相关操作可参考政采云平台</w:t>
            </w:r>
            <w:r>
              <w:rPr>
                <w:rFonts w:hint="eastAsia" w:ascii="仿宋" w:hAnsi="仿宋" w:eastAsia="仿宋" w:cs="仿宋"/>
                <w:color w:val="auto"/>
                <w:highlight w:val="none"/>
              </w:rPr>
              <w:t>https://www.zcygov.cn/</w:t>
            </w:r>
            <w:r>
              <w:rPr>
                <w:rFonts w:hint="eastAsia" w:ascii="仿宋" w:hAnsi="仿宋" w:eastAsia="仿宋" w:cs="仿宋"/>
                <w:color w:val="auto"/>
                <w:sz w:val="24"/>
                <w:highlight w:val="none"/>
              </w:rPr>
              <w:t>《CA申领操作指南》和《CA管理操作指南》。完成CA数字证书办理在资料齐全的情况下预计7个工作日左右，建议供应商获取招标文件后立即办理。</w:t>
            </w:r>
          </w:p>
          <w:p w14:paraId="51EB4F22">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3.投标文件制作、递交、解密：</w:t>
            </w:r>
          </w:p>
          <w:p w14:paraId="1F733924">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3.1应按照本项目招标文件和政采云平台的要求编制、加密传输投标文件。供应商在使用系统进行投标的过程中遇到涉及平台使用的任何问题，可致电政采云平台技术支持热线咨询，联系方式：95763。</w:t>
            </w:r>
          </w:p>
          <w:p w14:paraId="5A29DDC7">
            <w:pPr>
              <w:keepNext w:val="0"/>
              <w:keepLines w:val="0"/>
              <w:pageBreakBefore w:val="0"/>
              <w:widowControl w:val="0"/>
              <w:kinsoku/>
              <w:wordWrap/>
              <w:overflowPunct/>
              <w:topLinePunct w:val="0"/>
              <w:bidi w:val="0"/>
              <w:adjustRightInd w:val="0"/>
              <w:snapToGrid w:val="0"/>
              <w:spacing w:line="440" w:lineRule="exact"/>
              <w:ind w:left="0" w:leftChars="0" w:right="0" w:right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3.2投标人通过“政采云”平台制作电子投标文件，投标文件制作详见“供应商-政府采购项目电子交易操作指南。</w:t>
            </w:r>
          </w:p>
          <w:p w14:paraId="3A2446DF">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3.3开标时间后30分钟内供应商可以登录“政采云”平台，用“项目采购-开标评标”功能进行解密投标文件。若供应商</w:t>
            </w:r>
            <w:r>
              <w:rPr>
                <w:rFonts w:hint="eastAsia" w:ascii="仿宋" w:hAnsi="仿宋" w:eastAsia="仿宋" w:cs="仿宋"/>
                <w:b/>
                <w:color w:val="auto"/>
                <w:sz w:val="24"/>
                <w:highlight w:val="none"/>
                <w:u w:val="single"/>
              </w:rPr>
              <w:t>未按时解密的</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u w:val="single"/>
              </w:rPr>
              <w:t>视为投标文件撤回</w:t>
            </w:r>
            <w:r>
              <w:rPr>
                <w:rFonts w:hint="eastAsia" w:ascii="仿宋" w:hAnsi="仿宋" w:eastAsia="仿宋" w:cs="仿宋"/>
                <w:color w:val="auto"/>
                <w:sz w:val="24"/>
                <w:highlight w:val="none"/>
              </w:rPr>
              <w:t>。</w:t>
            </w:r>
          </w:p>
        </w:tc>
      </w:tr>
      <w:tr w14:paraId="53183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restart"/>
            <w:vAlign w:val="center"/>
          </w:tcPr>
          <w:p w14:paraId="5ACECFDC">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6</w:t>
            </w:r>
          </w:p>
        </w:tc>
        <w:tc>
          <w:tcPr>
            <w:tcW w:w="8370" w:type="dxa"/>
            <w:gridSpan w:val="2"/>
            <w:vAlign w:val="center"/>
          </w:tcPr>
          <w:p w14:paraId="039BFB21">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p w14:paraId="083CC886">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color w:val="auto"/>
                <w:kern w:val="0"/>
                <w:sz w:val="24"/>
                <w:highlight w:val="none"/>
              </w:rPr>
              <w:t>。</w:t>
            </w:r>
          </w:p>
        </w:tc>
      </w:tr>
      <w:tr w14:paraId="5C966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continue"/>
            <w:vAlign w:val="center"/>
          </w:tcPr>
          <w:p w14:paraId="4DAA416B">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p>
        </w:tc>
        <w:tc>
          <w:tcPr>
            <w:tcW w:w="8370" w:type="dxa"/>
            <w:gridSpan w:val="2"/>
            <w:vAlign w:val="center"/>
          </w:tcPr>
          <w:p w14:paraId="07746E14">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snapToGrid w:val="0"/>
                <w:color w:val="auto"/>
                <w:kern w:val="28"/>
                <w:sz w:val="24"/>
                <w:highlight w:val="none"/>
              </w:rPr>
              <w:t>联合体投标的，联合体中有一方或者联合体成员根据分工按招标文件第五部分评标标准要求提供资信证明文件的，视为符合了相关要求。</w:t>
            </w:r>
          </w:p>
        </w:tc>
      </w:tr>
      <w:tr w14:paraId="1906F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58A17243">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解释：凡涉及本招标文件的解释权属于采购人。</w:t>
            </w:r>
          </w:p>
        </w:tc>
      </w:tr>
      <w:tr w14:paraId="09547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2FC94E41">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注：中标人放弃中标资格或因质疑、投诉被取消中标资格或不能履行合同的，本项目重新组织采购。</w:t>
            </w:r>
          </w:p>
        </w:tc>
      </w:tr>
      <w:bookmarkEnd w:id="4"/>
    </w:tbl>
    <w:p w14:paraId="23E9DCC4">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0"/>
        <w:rPr>
          <w:rFonts w:hint="eastAsia" w:ascii="仿宋" w:hAnsi="仿宋" w:eastAsia="仿宋" w:cs="仿宋"/>
          <w:b/>
          <w:color w:val="auto"/>
          <w:sz w:val="32"/>
          <w:szCs w:val="32"/>
          <w:highlight w:val="none"/>
        </w:rPr>
      </w:pPr>
      <w:bookmarkStart w:id="17" w:name="第三部分"/>
      <w:bookmarkStart w:id="18" w:name="_Toc164416483"/>
    </w:p>
    <w:p w14:paraId="271DF4E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2"/>
          <w:szCs w:val="32"/>
          <w:highlight w:val="none"/>
        </w:rPr>
      </w:pPr>
    </w:p>
    <w:p w14:paraId="634663AE">
      <w:pPr>
        <w:pStyle w:val="25"/>
        <w:rPr>
          <w:rFonts w:hint="eastAsia" w:ascii="仿宋" w:hAnsi="仿宋" w:eastAsia="仿宋" w:cs="仿宋"/>
          <w:b/>
          <w:color w:val="auto"/>
          <w:sz w:val="32"/>
          <w:szCs w:val="32"/>
          <w:highlight w:val="none"/>
        </w:rPr>
      </w:pPr>
    </w:p>
    <w:p w14:paraId="4FA5B44C">
      <w:pPr>
        <w:rPr>
          <w:rFonts w:hint="eastAsia" w:ascii="仿宋" w:hAnsi="仿宋" w:eastAsia="仿宋" w:cs="仿宋"/>
          <w:b/>
          <w:color w:val="auto"/>
          <w:sz w:val="32"/>
          <w:szCs w:val="32"/>
          <w:highlight w:val="none"/>
        </w:rPr>
      </w:pPr>
    </w:p>
    <w:p w14:paraId="6612F294">
      <w:pPr>
        <w:pStyle w:val="25"/>
        <w:rPr>
          <w:rFonts w:hint="eastAsia" w:ascii="仿宋" w:hAnsi="仿宋" w:eastAsia="仿宋" w:cs="仿宋"/>
          <w:b/>
          <w:color w:val="auto"/>
          <w:sz w:val="32"/>
          <w:szCs w:val="32"/>
          <w:highlight w:val="none"/>
        </w:rPr>
      </w:pPr>
    </w:p>
    <w:p w14:paraId="618A8307">
      <w:pPr>
        <w:rPr>
          <w:rFonts w:hint="eastAsia" w:ascii="仿宋" w:hAnsi="仿宋" w:eastAsia="仿宋" w:cs="仿宋"/>
          <w:b/>
          <w:color w:val="auto"/>
          <w:sz w:val="32"/>
          <w:szCs w:val="32"/>
          <w:highlight w:val="none"/>
        </w:rPr>
      </w:pPr>
    </w:p>
    <w:p w14:paraId="32151429">
      <w:pPr>
        <w:pStyle w:val="25"/>
        <w:rPr>
          <w:rFonts w:hint="eastAsia" w:ascii="仿宋" w:hAnsi="仿宋" w:eastAsia="仿宋" w:cs="仿宋"/>
          <w:b/>
          <w:color w:val="auto"/>
          <w:sz w:val="32"/>
          <w:szCs w:val="32"/>
          <w:highlight w:val="none"/>
        </w:rPr>
      </w:pPr>
    </w:p>
    <w:p w14:paraId="49D06782">
      <w:pPr>
        <w:rPr>
          <w:rFonts w:hint="eastAsia" w:ascii="仿宋" w:hAnsi="仿宋" w:eastAsia="仿宋" w:cs="仿宋"/>
          <w:b/>
          <w:color w:val="auto"/>
          <w:sz w:val="32"/>
          <w:szCs w:val="32"/>
          <w:highlight w:val="none"/>
        </w:rPr>
      </w:pPr>
    </w:p>
    <w:p w14:paraId="384146C9">
      <w:pPr>
        <w:pStyle w:val="25"/>
        <w:rPr>
          <w:rFonts w:hint="eastAsia" w:ascii="仿宋" w:hAnsi="仿宋" w:eastAsia="仿宋" w:cs="仿宋"/>
          <w:b/>
          <w:color w:val="auto"/>
          <w:sz w:val="32"/>
          <w:szCs w:val="32"/>
          <w:highlight w:val="none"/>
        </w:rPr>
      </w:pPr>
    </w:p>
    <w:p w14:paraId="49B8EFB8">
      <w:pPr>
        <w:pStyle w:val="25"/>
        <w:rPr>
          <w:rFonts w:hint="eastAsia" w:ascii="仿宋" w:hAnsi="仿宋" w:eastAsia="仿宋" w:cs="仿宋"/>
          <w:b/>
          <w:color w:val="auto"/>
          <w:sz w:val="32"/>
          <w:szCs w:val="32"/>
          <w:highlight w:val="none"/>
        </w:rPr>
      </w:pPr>
    </w:p>
    <w:p w14:paraId="346F2166">
      <w:pPr>
        <w:pStyle w:val="25"/>
        <w:rPr>
          <w:rFonts w:hint="eastAsia" w:ascii="仿宋" w:hAnsi="仿宋" w:eastAsia="仿宋" w:cs="仿宋"/>
          <w:b/>
          <w:color w:val="auto"/>
          <w:sz w:val="32"/>
          <w:szCs w:val="32"/>
          <w:highlight w:val="none"/>
        </w:rPr>
      </w:pPr>
    </w:p>
    <w:p w14:paraId="19F83FEB">
      <w:pPr>
        <w:pStyle w:val="25"/>
        <w:rPr>
          <w:rFonts w:hint="eastAsia" w:ascii="仿宋" w:hAnsi="仿宋" w:eastAsia="仿宋" w:cs="仿宋"/>
          <w:b/>
          <w:color w:val="auto"/>
          <w:sz w:val="32"/>
          <w:szCs w:val="32"/>
          <w:highlight w:val="none"/>
        </w:rPr>
      </w:pPr>
    </w:p>
    <w:p w14:paraId="3E5974FD">
      <w:pPr>
        <w:pStyle w:val="25"/>
        <w:rPr>
          <w:rFonts w:hint="eastAsia" w:ascii="仿宋" w:hAnsi="仿宋" w:eastAsia="仿宋" w:cs="仿宋"/>
          <w:b/>
          <w:color w:val="auto"/>
          <w:sz w:val="32"/>
          <w:szCs w:val="32"/>
          <w:highlight w:val="none"/>
        </w:rPr>
      </w:pPr>
    </w:p>
    <w:p w14:paraId="05AB99C1">
      <w:pPr>
        <w:pStyle w:val="25"/>
        <w:rPr>
          <w:rFonts w:hint="eastAsia" w:ascii="仿宋" w:hAnsi="仿宋" w:eastAsia="仿宋" w:cs="仿宋"/>
          <w:b/>
          <w:color w:val="auto"/>
          <w:sz w:val="32"/>
          <w:szCs w:val="32"/>
          <w:highlight w:val="none"/>
        </w:rPr>
      </w:pPr>
    </w:p>
    <w:p w14:paraId="7F9E67B0">
      <w:pPr>
        <w:pStyle w:val="25"/>
        <w:rPr>
          <w:rFonts w:hint="eastAsia" w:ascii="仿宋" w:hAnsi="仿宋" w:eastAsia="仿宋" w:cs="仿宋"/>
          <w:b/>
          <w:color w:val="auto"/>
          <w:sz w:val="32"/>
          <w:szCs w:val="32"/>
          <w:highlight w:val="none"/>
        </w:rPr>
      </w:pPr>
    </w:p>
    <w:p w14:paraId="71360AEB">
      <w:pPr>
        <w:pStyle w:val="25"/>
        <w:rPr>
          <w:rFonts w:hint="eastAsia" w:ascii="仿宋" w:hAnsi="仿宋" w:eastAsia="仿宋" w:cs="仿宋"/>
          <w:b/>
          <w:color w:val="auto"/>
          <w:sz w:val="32"/>
          <w:szCs w:val="32"/>
          <w:highlight w:val="none"/>
        </w:rPr>
      </w:pPr>
    </w:p>
    <w:p w14:paraId="4F674F2C">
      <w:pPr>
        <w:pStyle w:val="25"/>
        <w:rPr>
          <w:rFonts w:hint="eastAsia" w:ascii="仿宋" w:hAnsi="仿宋" w:eastAsia="仿宋" w:cs="仿宋"/>
          <w:b/>
          <w:color w:val="auto"/>
          <w:sz w:val="32"/>
          <w:szCs w:val="32"/>
          <w:highlight w:val="none"/>
        </w:rPr>
      </w:pPr>
    </w:p>
    <w:p w14:paraId="16E0651C">
      <w:pPr>
        <w:pStyle w:val="25"/>
        <w:rPr>
          <w:rFonts w:hint="eastAsia" w:ascii="仿宋" w:hAnsi="仿宋" w:eastAsia="仿宋" w:cs="仿宋"/>
          <w:b/>
          <w:color w:val="auto"/>
          <w:sz w:val="32"/>
          <w:szCs w:val="32"/>
          <w:highlight w:val="none"/>
        </w:rPr>
      </w:pPr>
    </w:p>
    <w:p w14:paraId="73E60E59">
      <w:pPr>
        <w:rPr>
          <w:rFonts w:hint="eastAsia" w:ascii="仿宋" w:hAnsi="仿宋" w:eastAsia="仿宋" w:cs="仿宋"/>
          <w:b/>
          <w:color w:val="auto"/>
          <w:sz w:val="32"/>
          <w:szCs w:val="32"/>
          <w:highlight w:val="none"/>
        </w:rPr>
      </w:pPr>
    </w:p>
    <w:p w14:paraId="44530A1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一、总则</w:t>
      </w:r>
    </w:p>
    <w:p w14:paraId="47C5BAD2">
      <w:pPr>
        <w:keepNext w:val="0"/>
        <w:keepLines w:val="0"/>
        <w:pageBreakBefore w:val="0"/>
        <w:kinsoku/>
        <w:wordWrap/>
        <w:overflowPunct/>
        <w:topLinePunct w:val="0"/>
        <w:autoSpaceDE/>
        <w:autoSpaceDN/>
        <w:bidi w:val="0"/>
        <w:snapToGrid w:val="0"/>
        <w:spacing w:beforeAutospacing="0" w:line="440" w:lineRule="exact"/>
        <w:ind w:left="0" w:leftChars="0" w:firstLine="0" w:firstLineChars="0"/>
        <w:jc w:val="left"/>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1.适用范围</w:t>
      </w:r>
    </w:p>
    <w:p w14:paraId="63984B26">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047CAD56">
      <w:pPr>
        <w:keepNext w:val="0"/>
        <w:keepLines w:val="0"/>
        <w:pageBreakBefore w:val="0"/>
        <w:kinsoku/>
        <w:wordWrap/>
        <w:overflowPunct/>
        <w:topLinePunct w:val="0"/>
        <w:autoSpaceDE/>
        <w:autoSpaceDN/>
        <w:bidi w:val="0"/>
        <w:adjustRightInd/>
        <w:spacing w:beforeAutospacing="0" w:line="440" w:lineRule="exact"/>
        <w:ind w:left="0" w:leftChars="0" w:firstLine="0" w:firstLineChars="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6C58B3E7">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053C3D6E">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14:paraId="5BAFAF8B">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“投标人”“供应商”系指是指响应招标、参加投标竞争的法人、其他组织或者自然人。</w:t>
      </w:r>
    </w:p>
    <w:p w14:paraId="31B081C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rPr>
        <w:t>“监督单位”系指政府采购法定义监督管理部门</w:t>
      </w:r>
      <w:r>
        <w:rPr>
          <w:rFonts w:hint="eastAsia" w:ascii="仿宋" w:hAnsi="仿宋" w:eastAsia="仿宋" w:cs="仿宋"/>
          <w:color w:val="auto"/>
          <w:sz w:val="24"/>
          <w:highlight w:val="none"/>
          <w:lang w:val="en-US" w:eastAsia="zh-CN"/>
        </w:rPr>
        <w:t>。</w:t>
      </w:r>
    </w:p>
    <w:p w14:paraId="4091E233">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 xml:space="preserve"> “负责人”系指法人企业的法定负责人，或其他组织为法律、行政法规规定代表单位行使职权的主要负责人，或自然人本人。</w:t>
      </w:r>
    </w:p>
    <w:p w14:paraId="4A22758C">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p>
    <w:p w14:paraId="60E5A45B">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14:paraId="13BC65A3">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“▲”系指实质性指标要求条款，如任意一条打“▲”的指标出现负偏离视为实质性不响应招标文件要求，作无效投标处理。“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sz w:val="24"/>
          <w:highlight w:val="none"/>
        </w:rPr>
        <w:t>”系指适用本项目的要求，“☐”系指不适用本项目的要求。</w:t>
      </w:r>
    </w:p>
    <w:p w14:paraId="5F0D6A7D">
      <w:pPr>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14:paraId="6DC40D74">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5B71A01B">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2</w:t>
      </w:r>
      <w:r>
        <w:rPr>
          <w:rFonts w:hint="eastAsia" w:ascii="仿宋" w:hAnsi="仿宋" w:eastAsia="仿宋" w:cs="仿宋"/>
          <w:bCs/>
          <w:color w:val="auto"/>
          <w:sz w:val="24"/>
          <w:highlight w:val="none"/>
        </w:rPr>
        <w:t>小微</w:t>
      </w:r>
      <w:r>
        <w:rPr>
          <w:rFonts w:hint="eastAsia" w:ascii="仿宋" w:hAnsi="仿宋" w:eastAsia="仿宋" w:cs="仿宋"/>
          <w:color w:val="auto"/>
          <w:sz w:val="24"/>
          <w:highlight w:val="none"/>
        </w:rPr>
        <w:t>企业价格扣除</w:t>
      </w:r>
    </w:p>
    <w:p w14:paraId="1AF13B65">
      <w:pPr>
        <w:spacing w:line="440" w:lineRule="exact"/>
        <w:rPr>
          <w:rFonts w:hint="eastAsia" w:ascii="仿宋" w:hAnsi="仿宋" w:eastAsia="仿宋" w:cs="仿宋"/>
          <w:bCs/>
          <w:color w:val="auto"/>
          <w:sz w:val="24"/>
          <w:highlight w:val="none"/>
        </w:rPr>
      </w:pPr>
      <w:r>
        <w:rPr>
          <w:rFonts w:hint="eastAsia" w:ascii="仿宋" w:hAnsi="仿宋" w:eastAsia="仿宋" w:cs="仿宋"/>
          <w:color w:val="auto"/>
          <w:sz w:val="24"/>
          <w:highlight w:val="none"/>
          <w:lang w:eastAsia="zh-CN"/>
        </w:rPr>
        <w:t>3.2</w:t>
      </w:r>
      <w:r>
        <w:rPr>
          <w:rFonts w:hint="eastAsia" w:ascii="仿宋" w:hAnsi="仿宋" w:eastAsia="仿宋" w:cs="仿宋"/>
          <w:color w:val="auto"/>
          <w:sz w:val="24"/>
          <w:highlight w:val="none"/>
        </w:rPr>
        <w:t>.1小微企业是指</w:t>
      </w:r>
      <w:r>
        <w:rPr>
          <w:rFonts w:hint="eastAsia" w:ascii="仿宋" w:hAnsi="仿宋" w:eastAsia="仿宋" w:cs="仿宋"/>
          <w:bCs/>
          <w:color w:val="auto"/>
          <w:sz w:val="24"/>
          <w:highlight w:val="none"/>
        </w:rPr>
        <w:t>在中华人民共和国境内依法设立，依据国务院批准的中小企业划分标准确定的小型企业和微型企业，但与大企业的负责人为同一人，或者与大企业存在直接控股、管理关系的除外。</w:t>
      </w:r>
    </w:p>
    <w:p w14:paraId="745A7E1A">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符合中小企业划分标准的个体工商户，在政府采购活动中视同中小企业。</w:t>
      </w:r>
    </w:p>
    <w:p w14:paraId="360C94A2">
      <w:pPr>
        <w:spacing w:line="44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3.2</w:t>
      </w:r>
      <w:r>
        <w:rPr>
          <w:rFonts w:hint="eastAsia" w:ascii="仿宋" w:hAnsi="仿宋" w:eastAsia="仿宋" w:cs="仿宋"/>
          <w:bCs/>
          <w:color w:val="auto"/>
          <w:sz w:val="24"/>
          <w:highlight w:val="none"/>
        </w:rPr>
        <w:t>.2在货物采购项目中，货物由小微企业制造，即货物由小微企业生产且使用该小微企业商号或者注册商标。</w:t>
      </w:r>
      <w:r>
        <w:rPr>
          <w:rFonts w:hint="eastAsia" w:ascii="仿宋" w:hAnsi="仿宋" w:eastAsia="仿宋" w:cs="仿宋"/>
          <w:b/>
          <w:bCs/>
          <w:color w:val="auto"/>
          <w:sz w:val="24"/>
          <w:highlight w:val="none"/>
        </w:rPr>
        <w:t>供应商提供的货物既有中小企业制造货物，也有大型企业制造货物的，不享受中小企业扶持政策。</w:t>
      </w:r>
    </w:p>
    <w:p w14:paraId="7BBC9F8E">
      <w:pPr>
        <w:spacing w:line="44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3.2</w:t>
      </w:r>
      <w:r>
        <w:rPr>
          <w:rFonts w:hint="eastAsia" w:ascii="仿宋" w:hAnsi="仿宋" w:eastAsia="仿宋" w:cs="仿宋"/>
          <w:bCs/>
          <w:color w:val="auto"/>
          <w:sz w:val="24"/>
          <w:highlight w:val="none"/>
        </w:rPr>
        <w:t>.3在服务采购项目中，服务由小微企业承接，即提供服务的人员为小微企业依照《中华人民共和国劳动合同法》订立劳动合同的从业人员。</w:t>
      </w:r>
    </w:p>
    <w:p w14:paraId="629D3002">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3.2</w:t>
      </w:r>
      <w:r>
        <w:rPr>
          <w:rFonts w:hint="eastAsia" w:ascii="仿宋" w:hAnsi="仿宋" w:eastAsia="仿宋" w:cs="仿宋"/>
          <w:color w:val="auto"/>
          <w:sz w:val="24"/>
          <w:highlight w:val="none"/>
        </w:rPr>
        <w:t>.4小微企业应按照招标文件格式要求提供《中小企业声明函》。</w:t>
      </w:r>
    </w:p>
    <w:p w14:paraId="5BFC21EF">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3.2</w:t>
      </w:r>
      <w:r>
        <w:rPr>
          <w:rFonts w:hint="eastAsia" w:ascii="仿宋" w:hAnsi="仿宋" w:eastAsia="仿宋" w:cs="仿宋"/>
          <w:color w:val="auto"/>
          <w:sz w:val="24"/>
          <w:highlight w:val="none"/>
        </w:rPr>
        <w:t>.5对于经主管预算单位统筹后未预留份额专门面向中小企业采购的采购项目，以及预留份额项目中的非预留部分采购包，采购人、采购代理机构将对符合规定的小微企业报价给予10</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的扣除，用扣除后的价格参加评审。</w:t>
      </w:r>
    </w:p>
    <w:p w14:paraId="3FA5C91E">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3.2</w:t>
      </w:r>
      <w:r>
        <w:rPr>
          <w:rFonts w:hint="eastAsia" w:ascii="仿宋" w:hAnsi="仿宋" w:eastAsia="仿宋" w:cs="仿宋"/>
          <w:color w:val="auto"/>
          <w:sz w:val="24"/>
          <w:highlight w:val="none"/>
        </w:rPr>
        <w:t>.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4</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51BB1E73">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以联合体形式参加政府采购活动，联合体各方均为中小企业的，联合体视同中小企业。其中，联合体各方均为小微企业的，联合体视同小微企业。</w:t>
      </w:r>
    </w:p>
    <w:p w14:paraId="638421D8">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3.2</w:t>
      </w:r>
      <w:r>
        <w:rPr>
          <w:rFonts w:hint="eastAsia" w:ascii="仿宋" w:hAnsi="仿宋" w:eastAsia="仿宋" w:cs="仿宋"/>
          <w:color w:val="auto"/>
          <w:sz w:val="24"/>
          <w:highlight w:val="none"/>
        </w:rPr>
        <w:t>.7符合《关于促进残疾人就业政府采购政策的通知》（财库〔2017〕141号）规定的条件并提供《残疾人福利性单位声明函》的残疾人福利性单位视同小微企业；</w:t>
      </w:r>
    </w:p>
    <w:p w14:paraId="24DFEB64">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3.2</w:t>
      </w:r>
      <w:r>
        <w:rPr>
          <w:rFonts w:hint="eastAsia" w:ascii="仿宋" w:hAnsi="仿宋" w:eastAsia="仿宋" w:cs="仿宋"/>
          <w:color w:val="auto"/>
          <w:sz w:val="24"/>
          <w:highlight w:val="none"/>
        </w:rPr>
        <w:t>.8符合《关于政府采购支持监狱企业发展有关问题的通知》（财库[2014]68号）规定的监狱企业并提供由省级以上监狱管理局、戒毒管理局（含新疆生产建设兵团）出具的属于监狱企业证明文件的，视同为小微企业。</w:t>
      </w:r>
    </w:p>
    <w:p w14:paraId="7B65D034">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4.特别说明：</w:t>
      </w:r>
    </w:p>
    <w:p w14:paraId="4A930E3F">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4.1供应商投标所使用的资格、信誉、荣誉、业绩与企业认证必须为投标单位所拥有。供应商投标所使用的采购项目实施人员必须为投标单位正式员工。</w:t>
      </w:r>
    </w:p>
    <w:p w14:paraId="318EA59A">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4.2供应商应仔细阅读招标文件的所有内容，按照招标文件的要求提交投标文件，并对所提供的全部资料的真实性承担法律责任。</w:t>
      </w:r>
    </w:p>
    <w:p w14:paraId="038B56DC">
      <w:pPr>
        <w:spacing w:line="440" w:lineRule="exact"/>
        <w:rPr>
          <w:rFonts w:hint="eastAsia" w:ascii="仿宋" w:hAnsi="仿宋" w:eastAsia="仿宋" w:cs="仿宋"/>
          <w:color w:val="auto"/>
          <w:highlight w:val="none"/>
        </w:rPr>
      </w:pPr>
      <w:r>
        <w:rPr>
          <w:rFonts w:hint="eastAsia" w:ascii="仿宋" w:hAnsi="仿宋" w:eastAsia="仿宋" w:cs="仿宋"/>
          <w:color w:val="auto"/>
          <w:sz w:val="24"/>
          <w:highlight w:val="none"/>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14:paraId="1F1D959B">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二、招标文件</w:t>
      </w:r>
    </w:p>
    <w:p w14:paraId="1AB94C9A">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1．招标方式</w:t>
      </w:r>
    </w:p>
    <w:p w14:paraId="4DDD4C86">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 本次招标采用公开招标方式进行。</w:t>
      </w:r>
    </w:p>
    <w:p w14:paraId="2C3E600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 如某一标项投标人或实质性响应招标文件的投标人不足三家时，由采购人重新组织招标或按有关规定实施。</w:t>
      </w:r>
    </w:p>
    <w:p w14:paraId="5E8BCDE4">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 本次招标设定限价，即招标公告中公布的各标项预算金额或最高限价（各标项之间的预算金额不能互相调整）</w:t>
      </w:r>
      <w:r>
        <w:rPr>
          <w:rFonts w:hint="eastAsia" w:ascii="仿宋" w:hAnsi="仿宋" w:eastAsia="仿宋" w:cs="仿宋"/>
          <w:color w:val="auto"/>
          <w:sz w:val="24"/>
          <w:highlight w:val="none"/>
          <w:lang w:eastAsia="zh-CN"/>
        </w:rPr>
        <w:t>，</w:t>
      </w:r>
      <w:r>
        <w:rPr>
          <w:rFonts w:hint="eastAsia" w:ascii="仿宋" w:hAnsi="仿宋" w:eastAsia="仿宋" w:cs="仿宋"/>
          <w:b/>
          <w:bCs/>
          <w:color w:val="auto"/>
          <w:sz w:val="24"/>
          <w:highlight w:val="none"/>
          <w:u w:val="single"/>
          <w:lang w:val="en-US" w:eastAsia="zh-CN"/>
        </w:rPr>
        <w:t>各分项最高限价</w:t>
      </w:r>
      <w:r>
        <w:rPr>
          <w:rFonts w:hint="eastAsia" w:ascii="仿宋" w:hAnsi="仿宋" w:eastAsia="仿宋" w:cs="仿宋"/>
          <w:b w:val="0"/>
          <w:bCs w:val="0"/>
          <w:color w:val="auto"/>
          <w:sz w:val="24"/>
          <w:highlight w:val="none"/>
          <w:u w:val="single"/>
          <w:lang w:val="en-US" w:eastAsia="zh-CN"/>
        </w:rPr>
        <w:t>详见第三章招标项目范围及要求（如有）</w:t>
      </w:r>
      <w:r>
        <w:rPr>
          <w:rFonts w:hint="eastAsia" w:ascii="仿宋" w:hAnsi="仿宋" w:eastAsia="仿宋" w:cs="仿宋"/>
          <w:color w:val="auto"/>
          <w:sz w:val="24"/>
          <w:highlight w:val="none"/>
        </w:rPr>
        <w:t>。</w:t>
      </w:r>
    </w:p>
    <w:p w14:paraId="0796ED04">
      <w:pPr>
        <w:pStyle w:val="26"/>
        <w:keepNext w:val="0"/>
        <w:keepLines w:val="0"/>
        <w:pageBreakBefore w:val="0"/>
        <w:kinsoku/>
        <w:wordWrap/>
        <w:overflowPunct/>
        <w:topLinePunct w:val="0"/>
        <w:autoSpaceDE/>
        <w:autoSpaceDN/>
        <w:bidi w:val="0"/>
        <w:snapToGrid w:val="0"/>
        <w:spacing w:line="440" w:lineRule="exact"/>
        <w:ind w:left="0" w:leftChars="0"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2.授权委托</w:t>
      </w:r>
    </w:p>
    <w:p w14:paraId="0D757364">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本项目为电子投标项目，投标人的法定代表人或其授权代表或个体工商户不需要参加现场投标和开标。</w:t>
      </w:r>
    </w:p>
    <w:p w14:paraId="0D541EFE">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 投标费用</w:t>
      </w:r>
    </w:p>
    <w:p w14:paraId="68D6F950">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投标人应自行承担编制投标文件及参加本次投标所涉及的一切费用。不管投标结果如何，招标人对上述费用不负任何责任。</w:t>
      </w:r>
    </w:p>
    <w:p w14:paraId="2366570B">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 招标文件的修改</w:t>
      </w:r>
    </w:p>
    <w:p w14:paraId="71613A02">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4.1招标文件包括本招标文件及所有的招标答疑记录（澄清、修改）和发出的补充通知。</w:t>
      </w:r>
    </w:p>
    <w:p w14:paraId="23400164">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4.2招标文件的澄清 </w:t>
      </w:r>
    </w:p>
    <w:p w14:paraId="1D2D058C">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511ED7C0">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4.3招标文件的修改</w:t>
      </w:r>
    </w:p>
    <w:p w14:paraId="008D6A40">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184C48B4">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3925B1E1">
      <w:pPr>
        <w:pStyle w:val="24"/>
        <w:keepNext w:val="0"/>
        <w:keepLines w:val="0"/>
        <w:pageBreakBefore w:val="0"/>
        <w:widowControl w:val="0"/>
        <w:kinsoku/>
        <w:wordWrap/>
        <w:overflowPunct/>
        <w:topLinePunct w:val="0"/>
        <w:bidi w:val="0"/>
        <w:snapToGrid/>
        <w:spacing w:beforeAutospacing="0" w:line="360" w:lineRule="auto"/>
        <w:ind w:left="0" w:leftChars="0"/>
        <w:jc w:val="center"/>
        <w:textAlignment w:val="auto"/>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三、投标</w:t>
      </w:r>
      <w:r>
        <w:rPr>
          <w:rFonts w:hint="eastAsia" w:ascii="仿宋" w:hAnsi="仿宋" w:eastAsia="仿宋" w:cs="仿宋"/>
          <w:b/>
          <w:color w:val="auto"/>
          <w:sz w:val="32"/>
          <w:szCs w:val="32"/>
          <w:highlight w:val="none"/>
          <w:lang w:eastAsia="zh-CN"/>
        </w:rPr>
        <w:t>文件</w:t>
      </w:r>
    </w:p>
    <w:p w14:paraId="73800D40">
      <w:pPr>
        <w:keepNext w:val="0"/>
        <w:keepLines w:val="0"/>
        <w:pageBreakBefore w:val="0"/>
        <w:widowControl w:val="0"/>
        <w:kinsoku/>
        <w:wordWrap/>
        <w:overflowPunct/>
        <w:topLinePunct w:val="0"/>
        <w:autoSpaceDE/>
        <w:autoSpaceDN/>
        <w:bidi w:val="0"/>
        <w:adjustRightInd w:val="0"/>
        <w:snapToGrid w:val="0"/>
        <w:spacing w:line="440" w:lineRule="exact"/>
        <w:ind w:left="0" w:firstLine="0" w:firstLineChars="0"/>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投标文件的语言、计量单位、形式及效力</w:t>
      </w:r>
    </w:p>
    <w:p w14:paraId="6B9642E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1.1投标人应仔细阅读招标文件中的所有内容，按照招标文件要求，详细编制投标文件，并保证投标文件的正确性和真实性。</w:t>
      </w:r>
    </w:p>
    <w:p w14:paraId="5229999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 投标文件以及投标方与招标方就有关投标事宜的所有来往函电，均应以中文书写（技术术语除外）。</w:t>
      </w:r>
    </w:p>
    <w:p w14:paraId="2E7C58C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 投标计量单位，除招标文件中有特殊要求外，应采用中华人民共和国法定计量单位，货币单位：人民币元。</w:t>
      </w:r>
    </w:p>
    <w:p w14:paraId="68BD5A7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1.4不按招标文件的要求提供的投标文件可能导致被拒绝。</w:t>
      </w:r>
    </w:p>
    <w:p w14:paraId="120C6BE8">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1.5投标文件的形式和效力</w:t>
      </w:r>
    </w:p>
    <w:p w14:paraId="45D11B14">
      <w:pPr>
        <w:keepNext w:val="0"/>
        <w:keepLines w:val="0"/>
        <w:pageBreakBefore w:val="0"/>
        <w:widowControl w:val="0"/>
        <w:kinsoku/>
        <w:wordWrap/>
        <w:overflowPunct/>
        <w:topLinePunct w:val="0"/>
        <w:autoSpaceDE/>
        <w:autoSpaceDN/>
        <w:bidi w:val="0"/>
        <w:adjustRightInd w:val="0"/>
        <w:snapToGrid w:val="0"/>
        <w:spacing w:line="440" w:lineRule="exact"/>
        <w:ind w:left="0" w:firstLine="723" w:firstLineChars="3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1.5.1投标文件为电子投标文件，电子投标文件按“政采云供应商项目采购-电子招投标操作指南”及本招标文件要求制作、加密传输。</w:t>
      </w:r>
    </w:p>
    <w:p w14:paraId="03335F7D">
      <w:pPr>
        <w:keepNext w:val="0"/>
        <w:keepLines w:val="0"/>
        <w:pageBreakBefore w:val="0"/>
        <w:widowControl w:val="0"/>
        <w:kinsoku/>
        <w:wordWrap/>
        <w:overflowPunct/>
        <w:topLinePunct w:val="0"/>
        <w:autoSpaceDE/>
        <w:autoSpaceDN/>
        <w:bidi w:val="0"/>
        <w:adjustRightInd w:val="0"/>
        <w:snapToGrid w:val="0"/>
        <w:spacing w:line="440" w:lineRule="exact"/>
        <w:ind w:left="0" w:firstLine="723" w:firstLineChars="300"/>
        <w:jc w:val="left"/>
        <w:textAlignment w:val="auto"/>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1.5.2投标文件的效力：</w:t>
      </w:r>
    </w:p>
    <w:p w14:paraId="47906F47">
      <w:pPr>
        <w:keepNext w:val="0"/>
        <w:keepLines w:val="0"/>
        <w:pageBreakBefore w:val="0"/>
        <w:widowControl w:val="0"/>
        <w:kinsoku/>
        <w:wordWrap/>
        <w:overflowPunct/>
        <w:topLinePunct w:val="0"/>
        <w:autoSpaceDE/>
        <w:autoSpaceDN/>
        <w:bidi w:val="0"/>
        <w:adjustRightInd w:val="0"/>
        <w:snapToGrid w:val="0"/>
        <w:spacing w:line="440" w:lineRule="exact"/>
        <w:ind w:left="0" w:firstLine="723" w:firstLineChars="300"/>
        <w:jc w:val="left"/>
        <w:textAlignment w:val="auto"/>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投标文件未在投标截止时间前完成传输的，视为投标文件撤回；投标文件未按时解密，亦视为投标文件撤回。</w:t>
      </w:r>
    </w:p>
    <w:p w14:paraId="5E475DA1">
      <w:pPr>
        <w:pStyle w:val="34"/>
        <w:keepNext w:val="0"/>
        <w:keepLines w:val="0"/>
        <w:pageBreakBefore w:val="0"/>
        <w:widowControl w:val="0"/>
        <w:kinsoku/>
        <w:wordWrap/>
        <w:overflowPunct/>
        <w:topLinePunct w:val="0"/>
        <w:autoSpaceDE/>
        <w:autoSpaceDN/>
        <w:bidi w:val="0"/>
        <w:adjustRightInd w:val="0"/>
        <w:spacing w:beforeAutospacing="0" w:line="44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 投标文件的组成</w:t>
      </w:r>
    </w:p>
    <w:p w14:paraId="65610AF6">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投标文件由</w:t>
      </w:r>
      <w:r>
        <w:rPr>
          <w:rFonts w:hint="eastAsia" w:ascii="仿宋" w:hAnsi="仿宋" w:eastAsia="仿宋" w:cs="仿宋"/>
          <w:color w:val="auto"/>
          <w:sz w:val="24"/>
          <w:highlight w:val="none"/>
          <w:lang w:eastAsia="zh-CN"/>
        </w:rPr>
        <w:t>“资格文件”、“商务技术文件资料”、</w:t>
      </w:r>
      <w:r>
        <w:rPr>
          <w:rFonts w:hint="eastAsia" w:ascii="仿宋" w:hAnsi="仿宋" w:eastAsia="仿宋" w:cs="仿宋"/>
          <w:color w:val="auto"/>
          <w:sz w:val="24"/>
          <w:highlight w:val="none"/>
        </w:rPr>
        <w:t>“报价文件资料”</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部分组成，其中</w:t>
      </w:r>
      <w:r>
        <w:rPr>
          <w:rFonts w:hint="eastAsia" w:ascii="仿宋" w:hAnsi="仿宋" w:eastAsia="仿宋" w:cs="仿宋"/>
          <w:b/>
          <w:color w:val="auto"/>
          <w:sz w:val="24"/>
          <w:highlight w:val="none"/>
        </w:rPr>
        <w:t>电子投标文件中所须加盖公章部分均应采用电子签章。</w:t>
      </w:r>
    </w:p>
    <w:p w14:paraId="61DC4CE6">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lang w:val="zh-CN"/>
        </w:rPr>
        <w:t>.1资格文件：</w:t>
      </w:r>
    </w:p>
    <w:p w14:paraId="7767BC68">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.1.1营业执照扫描件；</w:t>
      </w:r>
    </w:p>
    <w:p w14:paraId="3B4BEB8C">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2.1.2符合参加政府采购活动应当具备的一般条件的承诺函；</w:t>
      </w:r>
    </w:p>
    <w:p w14:paraId="0ACC481E">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联合协议（如果有)；</w:t>
      </w:r>
    </w:p>
    <w:p w14:paraId="24196CF8">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lang w:eastAsia="zh-CN"/>
        </w:rPr>
        <w:t>。</w:t>
      </w:r>
    </w:p>
    <w:p w14:paraId="67EE5960">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2.</w:t>
      </w:r>
      <w:r>
        <w:rPr>
          <w:rFonts w:hint="eastAsia" w:ascii="仿宋" w:hAnsi="仿宋" w:eastAsia="仿宋" w:cs="仿宋"/>
          <w:b/>
          <w:color w:val="auto"/>
          <w:sz w:val="24"/>
          <w:highlight w:val="none"/>
        </w:rPr>
        <w:t>2商务技术</w:t>
      </w:r>
      <w:r>
        <w:rPr>
          <w:rFonts w:hint="eastAsia" w:ascii="仿宋" w:hAnsi="仿宋" w:eastAsia="仿宋" w:cs="仿宋"/>
          <w:b/>
          <w:color w:val="auto"/>
          <w:sz w:val="24"/>
          <w:highlight w:val="none"/>
          <w:lang w:val="zh-CN"/>
        </w:rPr>
        <w:t>文件：</w:t>
      </w:r>
    </w:p>
    <w:p w14:paraId="33BF904C">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.2.1投标函；</w:t>
      </w:r>
      <w:r>
        <w:rPr>
          <w:rFonts w:hint="eastAsia" w:ascii="仿宋" w:hAnsi="仿宋" w:eastAsia="仿宋" w:cs="仿宋"/>
          <w:color w:val="auto"/>
          <w:sz w:val="24"/>
          <w:highlight w:val="none"/>
          <w:lang w:val="zh-CN"/>
        </w:rPr>
        <w:t xml:space="preserve"> </w:t>
      </w:r>
    </w:p>
    <w:p w14:paraId="6DDEF3C9">
      <w:pPr>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2.2.2法定代表人授权委托书；</w:t>
      </w:r>
    </w:p>
    <w:p w14:paraId="56F748FE">
      <w:pPr>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2.2.3授权代表社保证明；</w:t>
      </w:r>
    </w:p>
    <w:p w14:paraId="24A3B63B">
      <w:pPr>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2.2.4法定代表人身份证明书；</w:t>
      </w:r>
    </w:p>
    <w:p w14:paraId="15E5DACE">
      <w:pPr>
        <w:snapToGrid w:val="0"/>
        <w:spacing w:line="336" w:lineRule="auto"/>
        <w:ind w:firstLine="720" w:firstLineChars="3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2.2.5商务技术偏离表。供应商在投标文件商务技术偏离表中，应对项目技术规范和服务要求中所提出各项要求进行答复、说明和解释。如果供应商在技术偏离表中注明无偏离，评标结束后、签订采购合同前又认为其实际产品与投标技术需求不一致的，视为供应商在投标有效期内对其投标文件进行了实质性修改，采购机构将把这一情况报送采购监管部门；</w:t>
      </w:r>
    </w:p>
    <w:p w14:paraId="12D2C400">
      <w:pPr>
        <w:snapToGrid w:val="0"/>
        <w:spacing w:line="336" w:lineRule="auto"/>
        <w:ind w:firstLine="720" w:firstLineChars="300"/>
        <w:rPr>
          <w:rFonts w:hint="eastAsia" w:ascii="仿宋" w:hAnsi="仿宋" w:eastAsia="仿宋" w:cs="仿宋"/>
          <w:color w:val="auto"/>
          <w:sz w:val="24"/>
          <w:highlight w:val="none"/>
          <w:u w:val="wave"/>
        </w:rPr>
      </w:pPr>
      <w:r>
        <w:rPr>
          <w:rFonts w:hint="eastAsia" w:ascii="仿宋" w:hAnsi="仿宋" w:eastAsia="仿宋" w:cs="仿宋"/>
          <w:color w:val="auto"/>
          <w:sz w:val="24"/>
          <w:highlight w:val="none"/>
          <w:lang w:val="en-US" w:eastAsia="zh-CN"/>
        </w:rPr>
        <w:t>2.2.6</w:t>
      </w:r>
      <w:r>
        <w:rPr>
          <w:rFonts w:hint="eastAsia" w:ascii="仿宋" w:hAnsi="仿宋" w:eastAsia="仿宋" w:cs="仿宋"/>
          <w:color w:val="auto"/>
          <w:sz w:val="24"/>
          <w:highlight w:val="none"/>
          <w:lang w:eastAsia="zh-CN"/>
        </w:rPr>
        <w:t>商务技术文件</w:t>
      </w:r>
      <w:r>
        <w:rPr>
          <w:rFonts w:hint="eastAsia" w:ascii="仿宋" w:hAnsi="仿宋" w:eastAsia="仿宋" w:cs="仿宋"/>
          <w:color w:val="auto"/>
          <w:sz w:val="24"/>
          <w:highlight w:val="none"/>
          <w:lang w:val="en-US" w:eastAsia="zh-CN"/>
        </w:rPr>
        <w:t>其他内容（</w:t>
      </w:r>
      <w:r>
        <w:rPr>
          <w:rFonts w:hint="eastAsia" w:ascii="仿宋" w:hAnsi="仿宋" w:eastAsia="仿宋" w:cs="仿宋"/>
          <w:color w:val="auto"/>
          <w:sz w:val="24"/>
          <w:highlight w:val="none"/>
          <w:u w:val="none"/>
          <w:lang w:val="en-US" w:eastAsia="zh-CN"/>
        </w:rPr>
        <w:t>根据</w:t>
      </w:r>
      <w:r>
        <w:rPr>
          <w:rFonts w:hint="eastAsia" w:ascii="仿宋" w:hAnsi="仿宋" w:eastAsia="仿宋" w:cs="仿宋"/>
          <w:color w:val="auto"/>
          <w:sz w:val="24"/>
          <w:highlight w:val="none"/>
          <w:u w:val="none"/>
        </w:rPr>
        <w:t>评分标准制作</w:t>
      </w:r>
      <w:r>
        <w:rPr>
          <w:rFonts w:hint="eastAsia" w:ascii="仿宋" w:hAnsi="仿宋" w:eastAsia="仿宋" w:cs="仿宋"/>
          <w:color w:val="auto"/>
          <w:sz w:val="24"/>
          <w:highlight w:val="none"/>
          <w:u w:val="none"/>
          <w:lang w:val="en-US" w:eastAsia="zh-CN"/>
        </w:rPr>
        <w:t>）</w:t>
      </w:r>
      <w:r>
        <w:rPr>
          <w:rFonts w:hint="eastAsia" w:ascii="仿宋" w:hAnsi="仿宋" w:eastAsia="仿宋" w:cs="仿宋"/>
          <w:color w:val="auto"/>
          <w:sz w:val="24"/>
          <w:highlight w:val="none"/>
          <w:u w:val="none"/>
        </w:rPr>
        <w:t>；</w:t>
      </w:r>
    </w:p>
    <w:p w14:paraId="32E610A9">
      <w:pPr>
        <w:snapToGrid w:val="0"/>
        <w:spacing w:line="336" w:lineRule="auto"/>
        <w:ind w:firstLine="720" w:firstLineChars="300"/>
        <w:rPr>
          <w:rFonts w:hint="default"/>
          <w:color w:val="auto"/>
          <w:highlight w:val="none"/>
          <w:lang w:val="zh-CN" w:eastAsia="zh-CN"/>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投标人需要说明的其他文件和说明（格式自拟）。</w:t>
      </w:r>
    </w:p>
    <w:p w14:paraId="66F54E02">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 xml:space="preserve">2.3报价文件： </w:t>
      </w:r>
    </w:p>
    <w:p w14:paraId="4503409E">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2.3.1开标一览表（报价表）；</w:t>
      </w:r>
    </w:p>
    <w:p w14:paraId="5EF30D76">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2.3.2</w:t>
      </w:r>
      <w:r>
        <w:rPr>
          <w:rFonts w:hint="eastAsia" w:ascii="仿宋" w:hAnsi="仿宋" w:eastAsia="仿宋" w:cs="仿宋"/>
          <w:color w:val="auto"/>
          <w:sz w:val="24"/>
          <w:highlight w:val="none"/>
        </w:rPr>
        <w:t>中小企业声明函</w:t>
      </w:r>
      <w:r>
        <w:rPr>
          <w:rFonts w:hint="eastAsia" w:ascii="仿宋" w:hAnsi="仿宋" w:eastAsia="仿宋" w:cs="仿宋"/>
          <w:color w:val="auto"/>
          <w:sz w:val="24"/>
          <w:highlight w:val="none"/>
          <w:lang w:eastAsia="zh-CN"/>
        </w:rPr>
        <w:t>；</w:t>
      </w:r>
    </w:p>
    <w:p w14:paraId="53FA85DF">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2.3.3</w:t>
      </w:r>
      <w:r>
        <w:rPr>
          <w:rFonts w:hint="eastAsia" w:ascii="仿宋" w:hAnsi="仿宋" w:eastAsia="仿宋" w:cs="仿宋"/>
          <w:color w:val="auto"/>
          <w:sz w:val="24"/>
          <w:highlight w:val="none"/>
        </w:rPr>
        <w:t>投标人需要说明的其他文件和说明（格式自拟）</w:t>
      </w:r>
      <w:r>
        <w:rPr>
          <w:rFonts w:hint="eastAsia" w:ascii="仿宋" w:hAnsi="仿宋" w:eastAsia="仿宋" w:cs="仿宋"/>
          <w:color w:val="auto"/>
          <w:sz w:val="24"/>
          <w:highlight w:val="none"/>
          <w:lang w:eastAsia="zh-CN"/>
        </w:rPr>
        <w:t>。</w:t>
      </w:r>
    </w:p>
    <w:p w14:paraId="0E88D78F">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0"/>
        <w:textAlignment w:val="auto"/>
        <w:rPr>
          <w:rFonts w:hint="eastAsia" w:ascii="仿宋" w:hAnsi="仿宋" w:eastAsia="仿宋" w:cs="仿宋"/>
          <w:b/>
          <w:bCs/>
          <w:color w:val="auto"/>
          <w:sz w:val="24"/>
          <w:highlight w:val="none"/>
        </w:rPr>
      </w:pPr>
      <w:r>
        <w:rPr>
          <w:rFonts w:hint="default" w:ascii="仿宋" w:hAnsi="仿宋" w:eastAsia="仿宋" w:cs="仿宋"/>
          <w:b/>
          <w:bCs/>
          <w:color w:val="auto"/>
          <w:sz w:val="24"/>
          <w:highlight w:val="none"/>
          <w:lang w:val="en-US"/>
        </w:rPr>
        <w:t>3.</w:t>
      </w:r>
      <w:r>
        <w:rPr>
          <w:rFonts w:hint="eastAsia" w:ascii="仿宋" w:hAnsi="仿宋" w:eastAsia="仿宋" w:cs="仿宋"/>
          <w:b/>
          <w:bCs/>
          <w:color w:val="auto"/>
          <w:sz w:val="24"/>
          <w:highlight w:val="none"/>
          <w:lang w:val="en-US" w:eastAsia="zh-CN"/>
        </w:rPr>
        <w:t>投标报价</w:t>
      </w:r>
    </w:p>
    <w:p w14:paraId="11DB0B46">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3.1供应商应按招标文件中《开标一览表》等附表要求填写。</w:t>
      </w:r>
    </w:p>
    <w:p w14:paraId="6CC7EB57">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3.2报价为</w:t>
      </w:r>
      <w:r>
        <w:rPr>
          <w:rFonts w:hint="eastAsia" w:ascii="仿宋" w:hAnsi="仿宋" w:eastAsia="仿宋" w:cs="仿宋"/>
          <w:color w:val="auto"/>
          <w:sz w:val="24"/>
          <w:highlight w:val="none"/>
          <w:lang w:val="en-US" w:eastAsia="zh-CN"/>
        </w:rPr>
        <w:t>完成本项目所需的</w:t>
      </w:r>
      <w:r>
        <w:rPr>
          <w:rFonts w:hint="default" w:ascii="仿宋" w:hAnsi="仿宋" w:eastAsia="仿宋" w:cs="仿宋"/>
          <w:color w:val="auto"/>
          <w:sz w:val="24"/>
          <w:highlight w:val="none"/>
          <w:lang w:val="en-US" w:eastAsia="zh-CN"/>
        </w:rPr>
        <w:t>一切费用。</w:t>
      </w:r>
    </w:p>
    <w:p w14:paraId="515CECBF">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3.3招标文件未列明，而供应商认为必需的费用也需列入报价。</w:t>
      </w:r>
    </w:p>
    <w:p w14:paraId="17C0069D">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3" w:firstLineChars="300"/>
        <w:textAlignment w:val="auto"/>
        <w:rPr>
          <w:rFonts w:ascii="仿宋" w:hAnsi="仿宋" w:eastAsia="仿宋" w:cs="仿宋"/>
          <w:b/>
          <w:color w:val="auto"/>
          <w:szCs w:val="24"/>
          <w:highlight w:val="none"/>
        </w:rPr>
      </w:pPr>
      <w:r>
        <w:rPr>
          <w:rFonts w:hint="default" w:ascii="仿宋" w:hAnsi="仿宋" w:eastAsia="仿宋" w:cs="仿宋"/>
          <w:b/>
          <w:bCs/>
          <w:color w:val="auto"/>
          <w:sz w:val="24"/>
          <w:highlight w:val="none"/>
          <w:lang w:val="en-US" w:eastAsia="zh-CN"/>
        </w:rPr>
        <w:t>3.4投标报价只允许有一个报价，有选择的报价将不予接受（除指定外）</w:t>
      </w:r>
      <w:r>
        <w:rPr>
          <w:rFonts w:hint="default" w:ascii="仿宋" w:hAnsi="仿宋" w:eastAsia="仿宋" w:cs="仿宋"/>
          <w:b/>
          <w:bCs/>
          <w:color w:val="auto"/>
          <w:sz w:val="24"/>
          <w:highlight w:val="none"/>
          <w:lang w:val="en-US"/>
        </w:rPr>
        <w:t>。4.</w:t>
      </w:r>
      <w:r>
        <w:rPr>
          <w:rFonts w:hint="eastAsia"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lang w:val="en-US"/>
        </w:rPr>
        <w:t>投标文件的编制</w:t>
      </w:r>
      <w:r>
        <w:rPr>
          <w:rFonts w:hint="eastAsia" w:ascii="仿宋" w:hAnsi="仿宋" w:eastAsia="仿宋" w:cs="仿宋"/>
          <w:b/>
          <w:bCs/>
          <w:color w:val="auto"/>
          <w:sz w:val="24"/>
          <w:highlight w:val="none"/>
          <w:lang w:val="en-US" w:eastAsia="zh-CN"/>
        </w:rPr>
        <w:t>和</w:t>
      </w:r>
      <w:r>
        <w:rPr>
          <w:rFonts w:hint="eastAsia" w:ascii="仿宋" w:hAnsi="仿宋" w:eastAsia="仿宋" w:cs="仿宋"/>
          <w:b/>
          <w:bCs/>
          <w:color w:val="auto"/>
          <w:sz w:val="24"/>
          <w:highlight w:val="none"/>
          <w:lang w:val="en-US"/>
        </w:rPr>
        <w:t>签署</w:t>
      </w:r>
    </w:p>
    <w:p w14:paraId="3B628056">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4</w:t>
      </w:r>
      <w:r>
        <w:rPr>
          <w:rFonts w:hint="eastAsia" w:ascii="仿宋" w:hAnsi="仿宋" w:eastAsia="仿宋" w:cs="仿宋"/>
          <w:color w:val="auto"/>
          <w:sz w:val="24"/>
          <w:highlight w:val="none"/>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C0F9D91">
      <w:pPr>
        <w:snapToGrid w:val="0"/>
        <w:spacing w:line="440" w:lineRule="exact"/>
        <w:ind w:firstLine="480" w:firstLineChars="200"/>
        <w:jc w:val="left"/>
        <w:rPr>
          <w:rFonts w:ascii="仿宋" w:hAnsi="仿宋" w:eastAsia="仿宋" w:cs="仿宋"/>
          <w:color w:val="auto"/>
          <w:sz w:val="24"/>
          <w:highlight w:val="none"/>
          <w:lang w:val="zh-CN"/>
        </w:rPr>
      </w:pPr>
      <w:r>
        <w:rPr>
          <w:rFonts w:ascii="仿宋" w:hAnsi="仿宋" w:eastAsia="仿宋" w:cs="仿宋"/>
          <w:color w:val="auto"/>
          <w:sz w:val="24"/>
          <w:highlight w:val="none"/>
        </w:rPr>
        <w:t>4</w:t>
      </w:r>
      <w:r>
        <w:rPr>
          <w:rFonts w:hint="eastAsia" w:ascii="仿宋" w:hAnsi="仿宋" w:eastAsia="仿宋" w:cs="仿宋"/>
          <w:color w:val="auto"/>
          <w:sz w:val="24"/>
          <w:highlight w:val="none"/>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7A40B385">
      <w:pPr>
        <w:snapToGrid w:val="0"/>
        <w:spacing w:line="440" w:lineRule="exact"/>
        <w:ind w:firstLine="480" w:firstLineChars="200"/>
        <w:jc w:val="left"/>
        <w:rPr>
          <w:rFonts w:ascii="仿宋" w:hAnsi="仿宋" w:eastAsia="仿宋" w:cs="仿宋"/>
          <w:color w:val="auto"/>
          <w:sz w:val="24"/>
          <w:highlight w:val="none"/>
          <w:lang w:val="zh-CN"/>
        </w:rPr>
      </w:pPr>
      <w:r>
        <w:rPr>
          <w:rFonts w:ascii="仿宋" w:hAnsi="仿宋" w:eastAsia="仿宋" w:cs="仿宋"/>
          <w:color w:val="auto"/>
          <w:sz w:val="24"/>
          <w:highlight w:val="none"/>
        </w:rPr>
        <w:t>4</w:t>
      </w:r>
      <w:r>
        <w:rPr>
          <w:rFonts w:hint="eastAsia" w:ascii="仿宋" w:hAnsi="仿宋" w:eastAsia="仿宋" w:cs="仿宋"/>
          <w:color w:val="auto"/>
          <w:sz w:val="24"/>
          <w:highlight w:val="none"/>
          <w:lang w:val="zh-CN"/>
        </w:rPr>
        <w:t>.3使用“政采云电子交易客户端”需要提前申领CA数字证书，申领流程请自行前往“浙江政府采购网-下载专区-电子交易客户端-CA驱动和申领流程”进行查阅。</w:t>
      </w:r>
    </w:p>
    <w:p w14:paraId="3E47B4D2">
      <w:pPr>
        <w:snapToGrid w:val="0"/>
        <w:spacing w:line="440" w:lineRule="exact"/>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4.4</w:t>
      </w:r>
      <w:r>
        <w:rPr>
          <w:rFonts w:hint="eastAsia" w:ascii="仿宋" w:hAnsi="仿宋" w:eastAsia="仿宋" w:cs="仿宋"/>
          <w:color w:val="auto"/>
          <w:sz w:val="24"/>
          <w:highlight w:val="none"/>
          <w:lang w:val="zh-CN"/>
        </w:rPr>
        <w:t>投标文件按照招标文件第六部分格式要求进行签署、盖章。投标人的投标文件未按照招标文件要求签署、盖章的，其投标无效。</w:t>
      </w:r>
    </w:p>
    <w:p w14:paraId="72DA95CB">
      <w:pPr>
        <w:snapToGrid w:val="0"/>
        <w:spacing w:line="440" w:lineRule="exact"/>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4.5</w:t>
      </w:r>
      <w:r>
        <w:rPr>
          <w:rFonts w:hint="eastAsia" w:ascii="仿宋" w:hAnsi="仿宋" w:eastAsia="仿宋" w:cs="仿宋"/>
          <w:color w:val="auto"/>
          <w:sz w:val="24"/>
          <w:highlight w:val="none"/>
          <w:lang w:val="zh-CN"/>
        </w:rPr>
        <w:t>为确保网上操作合法、有效和安全，投标人应当在投标截止时间前完成在“政府采购云平台”的身份认证，确保在电子投标过程中能够对相关数据电文进行加密和使用电子签名。</w:t>
      </w:r>
    </w:p>
    <w:p w14:paraId="4C99D371">
      <w:pPr>
        <w:snapToGrid w:val="0"/>
        <w:spacing w:line="440" w:lineRule="exact"/>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4.6</w:t>
      </w:r>
      <w:r>
        <w:rPr>
          <w:rFonts w:hint="eastAsia" w:ascii="仿宋" w:hAnsi="仿宋" w:eastAsia="仿宋" w:cs="仿宋"/>
          <w:color w:val="auto"/>
          <w:sz w:val="24"/>
          <w:highlight w:val="none"/>
          <w:lang w:val="zh-CN"/>
        </w:rPr>
        <w:t>招标文件对投标文件签署、盖章的要求适用于电子签名。</w:t>
      </w:r>
    </w:p>
    <w:p w14:paraId="492769D1">
      <w:pPr>
        <w:pStyle w:val="133"/>
        <w:spacing w:before="0" w:line="440" w:lineRule="exact"/>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lang w:val="en-US" w:eastAsia="zh-CN"/>
        </w:rPr>
        <w:t>5</w:t>
      </w:r>
      <w:r>
        <w:rPr>
          <w:rFonts w:ascii="仿宋" w:hAnsi="仿宋" w:eastAsia="仿宋" w:cs="仿宋"/>
          <w:b/>
          <w:color w:val="auto"/>
          <w:szCs w:val="24"/>
          <w:highlight w:val="none"/>
        </w:rPr>
        <w:t>.</w:t>
      </w:r>
      <w:r>
        <w:rPr>
          <w:rFonts w:hint="eastAsia" w:ascii="仿宋" w:hAnsi="仿宋" w:eastAsia="仿宋" w:cs="仿宋"/>
          <w:b/>
          <w:color w:val="auto"/>
          <w:szCs w:val="24"/>
          <w:highlight w:val="none"/>
        </w:rPr>
        <w:t xml:space="preserve"> 投标文件的提交、补充、修改、撤回</w:t>
      </w:r>
    </w:p>
    <w:p w14:paraId="78476414">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ascii="仿宋" w:hAnsi="仿宋" w:eastAsia="仿宋" w:cs="仿宋"/>
          <w:color w:val="auto"/>
          <w:sz w:val="24"/>
          <w:highlight w:val="none"/>
        </w:rPr>
        <w:t>.</w:t>
      </w:r>
      <w:r>
        <w:rPr>
          <w:rFonts w:hint="eastAsia" w:ascii="仿宋" w:hAnsi="仿宋" w:eastAsia="仿宋" w:cs="仿宋"/>
          <w:color w:val="auto"/>
          <w:sz w:val="24"/>
          <w:highlight w:val="none"/>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0A0553B">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ascii="仿宋" w:hAnsi="仿宋" w:eastAsia="仿宋" w:cs="仿宋"/>
          <w:color w:val="auto"/>
          <w:sz w:val="24"/>
          <w:highlight w:val="none"/>
        </w:rPr>
        <w:t>.</w:t>
      </w:r>
      <w:r>
        <w:rPr>
          <w:rFonts w:hint="eastAsia" w:ascii="仿宋" w:hAnsi="仿宋" w:eastAsia="仿宋" w:cs="仿宋"/>
          <w:color w:val="auto"/>
          <w:sz w:val="24"/>
          <w:highlight w:val="none"/>
        </w:rPr>
        <w:t>2电子交易平台收到投标文件，将妥善保存并即时向供应商发出确认回执通知。在投标截止时间前，除供应商补充、修改或者撤回投标文件外，任何单位和个人不得解密或提取投标文件。</w:t>
      </w:r>
    </w:p>
    <w:p w14:paraId="40E39682">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ascii="仿宋" w:hAnsi="仿宋" w:eastAsia="仿宋" w:cs="仿宋"/>
          <w:color w:val="auto"/>
          <w:sz w:val="24"/>
          <w:highlight w:val="none"/>
        </w:rPr>
        <w:t>.</w:t>
      </w:r>
      <w:r>
        <w:rPr>
          <w:rFonts w:hint="eastAsia" w:ascii="仿宋" w:hAnsi="仿宋" w:eastAsia="仿宋" w:cs="仿宋"/>
          <w:color w:val="auto"/>
          <w:sz w:val="24"/>
          <w:highlight w:val="none"/>
        </w:rPr>
        <w:t>3采购人、采购代理机构可以视情况延长投标文件提交的截止时间。在上述情况下，采购代理机构与投标人以前在投标截止期方面的全部权利、责任和义务，将适用于延长至新的投标截止期。</w:t>
      </w:r>
    </w:p>
    <w:p w14:paraId="61CEC194">
      <w:pPr>
        <w:adjustRightInd w:val="0"/>
        <w:spacing w:line="440" w:lineRule="exact"/>
        <w:ind w:left="0" w:leftChars="0" w:firstLine="0" w:firstLineChars="0"/>
        <w:jc w:val="both"/>
        <w:rPr>
          <w:rFonts w:hint="eastAsia" w:ascii="仿宋" w:hAnsi="仿宋" w:eastAsia="仿宋" w:cs="仿宋"/>
          <w:b/>
          <w:color w:val="auto"/>
          <w:sz w:val="32"/>
          <w:highlight w:val="none"/>
        </w:rPr>
      </w:pPr>
      <w:r>
        <w:rPr>
          <w:rFonts w:hint="eastAsia" w:ascii="仿宋" w:hAnsi="仿宋" w:eastAsia="仿宋" w:cs="仿宋"/>
          <w:b/>
          <w:bCs/>
          <w:i w:val="0"/>
          <w:iCs w:val="0"/>
          <w:color w:val="auto"/>
          <w:kern w:val="2"/>
          <w:sz w:val="24"/>
          <w:szCs w:val="24"/>
          <w:highlight w:val="none"/>
          <w:vertAlign w:val="baseline"/>
          <w:lang w:val="en-US" w:eastAsia="zh-CN" w:bidi="ar-SA"/>
        </w:rPr>
        <w:t>6</w:t>
      </w:r>
      <w:r>
        <w:rPr>
          <w:rFonts w:hint="default" w:ascii="仿宋" w:hAnsi="仿宋" w:eastAsia="仿宋" w:cs="仿宋"/>
          <w:b/>
          <w:bCs/>
          <w:i w:val="0"/>
          <w:iCs w:val="0"/>
          <w:color w:val="auto"/>
          <w:kern w:val="2"/>
          <w:sz w:val="24"/>
          <w:szCs w:val="24"/>
          <w:highlight w:val="none"/>
          <w:vertAlign w:val="baseline"/>
          <w:lang w:val="en-US" w:eastAsia="zh-CN" w:bidi="ar-SA"/>
        </w:rPr>
        <w:t>.投标有效期</w:t>
      </w:r>
    </w:p>
    <w:p w14:paraId="3FD70AFF">
      <w:pPr>
        <w:adjustRightInd w:val="0"/>
        <w:snapToGrid w:val="0"/>
        <w:spacing w:line="440" w:lineRule="exact"/>
        <w:ind w:firstLine="480" w:firstLineChars="200"/>
        <w:jc w:val="left"/>
        <w:rPr>
          <w:rFonts w:hint="eastAsia" w:ascii="仿宋" w:hAnsi="仿宋" w:eastAsia="仿宋" w:cs="仿宋"/>
          <w:b/>
          <w:color w:val="auto"/>
          <w:sz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.1投标有效期为从提交投标文件的截止之日起90天。投标人的投标文件中承诺的投标有效期少于招标文件中载明的投标有效期的，投标无效。</w:t>
      </w:r>
    </w:p>
    <w:p w14:paraId="44FEB983">
      <w:pPr>
        <w:adjustRightInd w:val="0"/>
        <w:snapToGrid w:val="0"/>
        <w:spacing w:line="440" w:lineRule="exact"/>
        <w:ind w:firstLine="480" w:firstLineChars="200"/>
        <w:jc w:val="left"/>
        <w:rPr>
          <w:rFonts w:hint="eastAsia" w:ascii="仿宋" w:hAnsi="仿宋" w:eastAsia="仿宋" w:cs="仿宋"/>
          <w:b/>
          <w:color w:val="auto"/>
          <w:sz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.2投标文件合格投递后，自投标截止日期起，在投标有效期内有效。</w:t>
      </w:r>
    </w:p>
    <w:p w14:paraId="74201669">
      <w:pPr>
        <w:pStyle w:val="133"/>
        <w:keepNext w:val="0"/>
        <w:keepLines w:val="0"/>
        <w:pageBreakBefore w:val="0"/>
        <w:widowControl w:val="0"/>
        <w:kinsoku/>
        <w:wordWrap/>
        <w:overflowPunct/>
        <w:topLinePunct w:val="0"/>
        <w:autoSpaceDE/>
        <w:autoSpaceDN/>
        <w:bidi w:val="0"/>
        <w:adjustRightInd w:val="0"/>
        <w:snapToGrid/>
        <w:spacing w:before="0" w:beforeAutospacing="0" w:line="360" w:lineRule="auto"/>
        <w:ind w:left="0" w:leftChars="0" w:firstLine="643"/>
        <w:textAlignment w:val="auto"/>
        <w:rPr>
          <w:rFonts w:hint="eastAsia" w:ascii="仿宋" w:hAnsi="仿宋" w:eastAsia="仿宋" w:cs="仿宋"/>
          <w:b/>
          <w:color w:val="auto"/>
          <w:sz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.3在原定投标有效期满之前，如果出现特殊情况，采购代理机构可以以书面形式通知投标人延长投标有效期。投标人同意延长的，不得要求或被允许修改其投标文件，投标人拒绝延长的，其投标无效。</w:t>
      </w:r>
    </w:p>
    <w:p w14:paraId="069716E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2"/>
          <w:szCs w:val="32"/>
          <w:highlight w:val="none"/>
        </w:rPr>
      </w:pPr>
      <w:bookmarkStart w:id="19" w:name="_Toc91899903"/>
      <w:r>
        <w:rPr>
          <w:rFonts w:hint="eastAsia" w:ascii="仿宋" w:hAnsi="仿宋" w:eastAsia="仿宋" w:cs="仿宋"/>
          <w:b/>
          <w:color w:val="auto"/>
          <w:sz w:val="32"/>
          <w:szCs w:val="32"/>
          <w:highlight w:val="none"/>
        </w:rPr>
        <w:t>四、开标和评标</w:t>
      </w:r>
    </w:p>
    <w:p w14:paraId="35C2F439">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1．电子招投标开标及评审程序</w:t>
      </w:r>
    </w:p>
    <w:p w14:paraId="07260FB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1.1投标截止时间后，主持人宣布开标会开始。</w:t>
      </w:r>
    </w:p>
    <w:p w14:paraId="38AFF5C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1.2投标人登录政采云平台，用“项目采购-开标评标”功能对电子投标文件进行在线解密。在线解密电子投标文件时间为开标时间起30分钟内。</w:t>
      </w:r>
    </w:p>
    <w:p w14:paraId="2F457BE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1.3评标委员会对资格和商务技术响应文件进行评审。</w:t>
      </w:r>
    </w:p>
    <w:p w14:paraId="6F95488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1.4主持人宣布商务技术得分及无效（废）投标情形（如有），公布经商务技术评审符合招标文件要求的投标人名单及其商务技术得分。</w:t>
      </w:r>
    </w:p>
    <w:p w14:paraId="03FA175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1.5启封报价文件资料，主持人宣读投标人名称、投标价格和投标文件的其他内容。未宣读的投标报价和招标文件未允许提供的备选投标方案等实质性内容，评标时不予承认。</w:t>
      </w:r>
    </w:p>
    <w:p w14:paraId="23BE290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1.6评标委员会对投标文件报价文件资料进行评审，核准投标报价及计算价格分，汇总商务技术分、价格分，根据得分排序确定中标候选人。</w:t>
      </w:r>
    </w:p>
    <w:p w14:paraId="7E1D5C5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1.7主持人公布评标结果。</w:t>
      </w:r>
    </w:p>
    <w:p w14:paraId="46A9DAD7">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特别说明：政采云公司如对电子化开标及评审程序有调整的，按调整后的程序操作。</w:t>
      </w:r>
    </w:p>
    <w:p w14:paraId="00381BD4">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2.采购过程中出现以下情形，导致电子交易平台无法正常运行，或者无法保证电子交易的公平、公正和安全时，采购组织机构可中止电子交易活动：</w:t>
      </w:r>
    </w:p>
    <w:p w14:paraId="0E8F3DF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2.1电子交易平台发生故障而无法登录访问的； </w:t>
      </w:r>
    </w:p>
    <w:p w14:paraId="6B9A6CD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2.2电子交易平台应用或数据库出现错误，不能进行正常操作的；</w:t>
      </w:r>
    </w:p>
    <w:p w14:paraId="6CC07BB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2.3电子交易平台发现严重安全漏洞，有潜在泄密危险的；</w:t>
      </w:r>
    </w:p>
    <w:p w14:paraId="469A6EF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2.4病毒发作导致不能进行正常操作的； </w:t>
      </w:r>
    </w:p>
    <w:p w14:paraId="13F788E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2.5其他无法保证电子交易的公平、公正和安全的情况。</w:t>
      </w:r>
    </w:p>
    <w:p w14:paraId="4AB8D61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0F9D2784">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3．评标</w:t>
      </w:r>
    </w:p>
    <w:p w14:paraId="509A054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3.1评标委员会由招标采购单位依法组建，负责评标活动。评标委员会遵循公开、公平、公正、科学合理、竞争择优的原则。</w:t>
      </w:r>
    </w:p>
    <w:p w14:paraId="337C86A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3.2评标委员会由采购人代表和有关方面的专家组成，成员人数为五人以上单数。</w:t>
      </w:r>
    </w:p>
    <w:p w14:paraId="0933CAB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3.3评标委员会负责对投标人资格的最终审定。</w:t>
      </w:r>
    </w:p>
    <w:p w14:paraId="11C06CC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3.4评标委员会可以要求投标人对其投标文件中含义不明确的内容作必要的澄清或者说明，但澄清或者说明不得超过投标文件的范围或者改变投标文件的实质性内容。</w:t>
      </w:r>
    </w:p>
    <w:p w14:paraId="345526F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5074379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供应商通过政采云平台交换的数据电文必须进行电子签章。</w:t>
      </w:r>
    </w:p>
    <w:p w14:paraId="645BF6A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3D7AFB6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3.6评标委员会对投标文件的判定，只依据投标文件和招标文件内容本身，不依据任何外来证明。</w:t>
      </w:r>
    </w:p>
    <w:p w14:paraId="45FA51E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val="en-US" w:eastAsia="zh-CN"/>
        </w:rPr>
        <w:t>3.7评标委员会不向落标方解释落标的原因。</w:t>
      </w:r>
    </w:p>
    <w:p w14:paraId="052FA50B">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4．投标文件的初审鉴定</w:t>
      </w:r>
    </w:p>
    <w:p w14:paraId="16B0C2B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4.1资格性审查</w:t>
      </w:r>
    </w:p>
    <w:p w14:paraId="6E07E2D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4.1.1依据法律、法规和招标文件规定，采购人或采购人代表对投标人进行资格审查，以确定投标人是否具备投标资格。</w:t>
      </w:r>
    </w:p>
    <w:p w14:paraId="022082A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4.2符合性审查</w:t>
      </w:r>
    </w:p>
    <w:p w14:paraId="2E06F34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216F0DE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4.3如果投标文件实质不响应招标文件的各项要求，评标委员会将予以拒绝，并且不允许投标人通过修改或撤销其不符合要求的差异或保留，使之成为具有实质性响应的投标。</w:t>
      </w:r>
    </w:p>
    <w:p w14:paraId="64831BF7">
      <w:pPr>
        <w:keepNext w:val="0"/>
        <w:keepLines w:val="0"/>
        <w:pageBreakBefore w:val="0"/>
        <w:kinsoku/>
        <w:wordWrap/>
        <w:overflowPunct/>
        <w:topLinePunct w:val="0"/>
        <w:autoSpaceDE/>
        <w:autoSpaceDN/>
        <w:bidi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 xml:space="preserve">5. </w:t>
      </w:r>
      <w:r>
        <w:rPr>
          <w:rFonts w:hint="eastAsia" w:ascii="仿宋" w:hAnsi="仿宋" w:eastAsia="仿宋" w:cs="仿宋"/>
          <w:b/>
          <w:color w:val="auto"/>
          <w:sz w:val="24"/>
          <w:highlight w:val="none"/>
        </w:rPr>
        <w:t>投标文件报价出现前后不一致的，按照下列规定修正：</w:t>
      </w:r>
    </w:p>
    <w:p w14:paraId="7AE9390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5.1投标文件中开标一览表（报价表）内容与投标文件中相应内容不一致的，以开标一览表（报价表）为准；</w:t>
      </w:r>
    </w:p>
    <w:p w14:paraId="1CF6984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5.2大写金额和小写金额不一致的，以大写金额为准；</w:t>
      </w:r>
    </w:p>
    <w:p w14:paraId="5F4F8F6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5.3单价金额小数点或者百分比有明显错位的，以开标一览表的总价为准，并修改单价；</w:t>
      </w:r>
    </w:p>
    <w:p w14:paraId="7DA2CCB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5.4总价金额与按单价汇总金额不一致的，以单价金额计算结果为准。</w:t>
      </w:r>
    </w:p>
    <w:p w14:paraId="240A07B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14:paraId="5873677E">
      <w:pPr>
        <w:keepNext w:val="0"/>
        <w:keepLines w:val="0"/>
        <w:pageBreakBefore w:val="0"/>
        <w:kinsoku/>
        <w:wordWrap/>
        <w:overflowPunct/>
        <w:topLinePunct w:val="0"/>
        <w:autoSpaceDE/>
        <w:autoSpaceDN/>
        <w:bidi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6.投标文件的评审、比较和否决</w:t>
      </w:r>
    </w:p>
    <w:p w14:paraId="7978BBF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6.1评标委员会将对在实质上响应招标文件要求的投标文件进行评估和比较。</w:t>
      </w:r>
    </w:p>
    <w:p w14:paraId="44D25EA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2101C22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6.3在评标过程中，如发现与招标文件要求相偏离的，评标委员会可对其偏离情形进行必要的核实。</w:t>
      </w:r>
    </w:p>
    <w:p w14:paraId="3C11695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6.4在评审过程中，如属于实质性偏离或符合无效响应条件的，应当询问相关投标人，并可对其通过政采云平台进行线上确认，但不允许对偏离条款进行补充、修正或撤回。</w:t>
      </w:r>
    </w:p>
    <w:p w14:paraId="4F0AF88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6.5比较与评价。评标委员会应当按照评标标准，对符合性审查合格的投标文件进行商务和技术评估，综合比较与评价。</w:t>
      </w:r>
    </w:p>
    <w:p w14:paraId="480F89F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6.6汇总（商务技术得分情况）。评标委员会各成员应当独立对每个投标人的商务技术文件进行评价，并汇总商务技术得分情况。</w:t>
      </w:r>
    </w:p>
    <w:p w14:paraId="6CCEBC5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 报价审核。对符合采购需求且通过商务技术评审的投标人的报价的合理性、准确性等进行审查核实。</w:t>
      </w:r>
    </w:p>
    <w:p w14:paraId="3D522C2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14:paraId="69173D4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6.7.2根据财政部发布的《政府采购促进中小企业发展暂行办法》规定，对于非专门面向中小企业的项目，对小型和微型企业产品的价格给予一定的扣除，用扣除后的价格参与评审。</w:t>
      </w:r>
    </w:p>
    <w:p w14:paraId="57E2CB7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6.7.3如需投标价格修正，按财政部87号令第五十九条的规定对投标价格进行修正。</w:t>
      </w:r>
    </w:p>
    <w:p w14:paraId="2ED8FD7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6.8评标委员会依据招标文件规定的评标标准和方法，对投标文件进行评审和比较后，向采购人或其委托的采购代理机构提供书面评标报告，并按得分高低排序推荐中标候选供应商。</w:t>
      </w:r>
    </w:p>
    <w:p w14:paraId="2C34D31E">
      <w:pPr>
        <w:pStyle w:val="16"/>
        <w:keepNext w:val="0"/>
        <w:keepLines w:val="0"/>
        <w:pageBreakBefore w:val="0"/>
        <w:widowControl w:val="0"/>
        <w:tabs>
          <w:tab w:val="clear" w:pos="390"/>
          <w:tab w:val="clear" w:pos="454"/>
        </w:tabs>
        <w:kinsoku/>
        <w:wordWrap/>
        <w:overflowPunct/>
        <w:topLinePunct w:val="0"/>
        <w:autoSpaceDE/>
        <w:autoSpaceDN/>
        <w:bidi w:val="0"/>
        <w:spacing w:after="0" w:line="440" w:lineRule="exact"/>
        <w:ind w:left="0" w:firstLine="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7.投标文件的澄清</w:t>
      </w:r>
    </w:p>
    <w:p w14:paraId="4C4A7C9F">
      <w:pPr>
        <w:pStyle w:val="16"/>
        <w:keepNext w:val="0"/>
        <w:keepLines w:val="0"/>
        <w:pageBreakBefore w:val="0"/>
        <w:widowControl w:val="0"/>
        <w:tabs>
          <w:tab w:val="clear" w:pos="390"/>
          <w:tab w:val="clear" w:pos="454"/>
        </w:tabs>
        <w:kinsoku/>
        <w:wordWrap/>
        <w:overflowPunct/>
        <w:topLinePunct w:val="0"/>
        <w:autoSpaceDE/>
        <w:autoSpaceDN/>
        <w:bidi w:val="0"/>
        <w:spacing w:after="0" w:line="440" w:lineRule="exact"/>
        <w:ind w:lef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Cs w:val="24"/>
          <w:highlight w:val="none"/>
        </w:rPr>
        <w:t>对投标文件中含义不明、表述不一致或有明显计算错误等内容，评标委员会将对投标人进行询标，并可要求投标人作澄清，作为投标文件的补充部分，但澄清的内容不得改变投标文件的实质性内容。</w:t>
      </w:r>
    </w:p>
    <w:p w14:paraId="2A1409A8">
      <w:pPr>
        <w:pStyle w:val="34"/>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8.无效投标的情形</w:t>
      </w:r>
    </w:p>
    <w:p w14:paraId="4A3AB21F">
      <w:pPr>
        <w:keepNext w:val="0"/>
        <w:keepLines w:val="0"/>
        <w:pageBreakBefore w:val="0"/>
        <w:tabs>
          <w:tab w:val="left" w:pos="4085"/>
        </w:tabs>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投标文件有下列情形之一的作无效投标处理：</w:t>
      </w:r>
    </w:p>
    <w:p w14:paraId="663DCF5B">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8.1未按照招标文件规定要求电子签章、签字或盖章的；</w:t>
      </w:r>
    </w:p>
    <w:p w14:paraId="6C0DB533">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8.2单位负责人为同一人或者存在直接控股、管理关系的不同供应商参加同一合同项下的政府采购活动的（均无效）；</w:t>
      </w:r>
    </w:p>
    <w:p w14:paraId="25FAB58B">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投标人未提供招标文件中规定的基本资格条件书面承诺函的，或投标人未提供有效的特定资格证明文件的，视为投标人不具备招标文件中规定的资格要求；</w:t>
      </w:r>
    </w:p>
    <w:p w14:paraId="441B9D71">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《法定代表人身份证明书》与提供的身份证复印件信息不符的；《法定代表人授权委托书》与提供的身份证复印件信息不符的；</w:t>
      </w:r>
    </w:p>
    <w:p w14:paraId="5C37397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《法定代表人授权委托书》或《法定代表人身份证明书》填写不全、错误、未电子签章(《法定代表人授权委托书》要求“电子签章”和“签字或盖章”缺一不可）的；</w:t>
      </w:r>
    </w:p>
    <w:p w14:paraId="174A02BB">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授权代表非投标单位正式职工的（以社保证明为准，如授权代表为离退休返聘人员的，需提供退休证明及单位聘用证明），法定代表人及个体工商户除外；</w:t>
      </w:r>
    </w:p>
    <w:p w14:paraId="549416B7">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投标文件中的投标函无投标人的电子签章或填写不全的；</w:t>
      </w:r>
    </w:p>
    <w:p w14:paraId="6808F111">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8</w:t>
      </w:r>
      <w:r>
        <w:rPr>
          <w:rFonts w:hint="eastAsia" w:ascii="仿宋" w:hAnsi="仿宋" w:eastAsia="仿宋" w:cs="仿宋"/>
          <w:b/>
          <w:color w:val="auto"/>
          <w:sz w:val="24"/>
          <w:highlight w:val="none"/>
        </w:rPr>
        <w:t>报价一经涂改，未在涂改处加盖投标单位公章或者未经法定代表人或其授权代表签字或盖章的；</w:t>
      </w:r>
    </w:p>
    <w:p w14:paraId="600BE917">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9</w:t>
      </w:r>
      <w:r>
        <w:rPr>
          <w:rFonts w:hint="eastAsia" w:ascii="仿宋" w:hAnsi="仿宋" w:eastAsia="仿宋" w:cs="仿宋"/>
          <w:b/>
          <w:color w:val="auto"/>
          <w:sz w:val="24"/>
          <w:highlight w:val="none"/>
        </w:rPr>
        <w:t>未按招标文件规定的格式填写，或对招标服务或技术或产品等要求未详细应答或应答内容不全、有缺失的,经评标委员会认定为无法评审的；</w:t>
      </w:r>
    </w:p>
    <w:p w14:paraId="551FE24D">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0</w:t>
      </w:r>
      <w:r>
        <w:rPr>
          <w:rFonts w:hint="eastAsia" w:ascii="仿宋" w:hAnsi="仿宋" w:eastAsia="仿宋" w:cs="仿宋"/>
          <w:b/>
          <w:color w:val="auto"/>
          <w:sz w:val="24"/>
          <w:highlight w:val="none"/>
        </w:rPr>
        <w:t>出现同一标的物或本次招标产品(服务)内的主要产品(重要组成部分)出现</w:t>
      </w:r>
      <w:r>
        <w:rPr>
          <w:rFonts w:hint="eastAsia" w:ascii="仿宋" w:hAnsi="仿宋" w:eastAsia="仿宋" w:cs="仿宋"/>
          <w:b/>
          <w:color w:val="auto"/>
          <w:sz w:val="24"/>
          <w:highlight w:val="none"/>
          <w:lang w:eastAsia="zh-CN"/>
        </w:rPr>
        <w:t>商务技术</w:t>
      </w:r>
      <w:r>
        <w:rPr>
          <w:rFonts w:hint="eastAsia" w:ascii="仿宋" w:hAnsi="仿宋" w:eastAsia="仿宋" w:cs="仿宋"/>
          <w:b/>
          <w:color w:val="auto"/>
          <w:sz w:val="24"/>
          <w:highlight w:val="none"/>
        </w:rPr>
        <w:t>文件资料、报价文件资料描述不一致或前后描述不一致，经评标委员会认定后为无法评审的；</w:t>
      </w:r>
    </w:p>
    <w:p w14:paraId="09DAC001">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eastAsia="zh-CN"/>
        </w:rPr>
        <w:t>商务技术偏离表</w:t>
      </w:r>
      <w:r>
        <w:rPr>
          <w:rFonts w:hint="eastAsia" w:ascii="仿宋" w:hAnsi="仿宋" w:eastAsia="仿宋" w:cs="仿宋"/>
          <w:b/>
          <w:color w:val="auto"/>
          <w:sz w:val="24"/>
          <w:highlight w:val="none"/>
        </w:rPr>
        <w:t>》不真实填写或弄虚作假的；</w:t>
      </w:r>
    </w:p>
    <w:p w14:paraId="4586CA35">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投标文件含有采购人不能接受的附加条件；</w:t>
      </w:r>
    </w:p>
    <w:p w14:paraId="01861593">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评标委员会认为投标人的报价明显低于其他通过符合性审查投标人的报价，有可能影响产品质量或者不能诚信履约的，未能按要求提供书面说明或者提交相关证明材料证明其报价合理性的;</w:t>
      </w:r>
    </w:p>
    <w:p w14:paraId="4BCBFDFC">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报价超过招标文件中规定的预算金额或最高限价的；</w:t>
      </w:r>
    </w:p>
    <w:p w14:paraId="0B10D070">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投标文件“</w:t>
      </w:r>
      <w:r>
        <w:rPr>
          <w:rFonts w:hint="eastAsia" w:ascii="仿宋" w:hAnsi="仿宋" w:eastAsia="仿宋" w:cs="仿宋"/>
          <w:b/>
          <w:color w:val="auto"/>
          <w:sz w:val="24"/>
          <w:highlight w:val="none"/>
          <w:lang w:eastAsia="zh-CN"/>
        </w:rPr>
        <w:t>商务技术</w:t>
      </w:r>
      <w:r>
        <w:rPr>
          <w:rFonts w:hint="eastAsia" w:ascii="仿宋" w:hAnsi="仿宋" w:eastAsia="仿宋" w:cs="仿宋"/>
          <w:b/>
          <w:color w:val="auto"/>
          <w:sz w:val="24"/>
          <w:highlight w:val="none"/>
        </w:rPr>
        <w:t>文件资料”部分中出现《开标一览表》相关内容的；</w:t>
      </w:r>
    </w:p>
    <w:p w14:paraId="03A6C357">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6</w:t>
      </w:r>
      <w:r>
        <w:rPr>
          <w:rFonts w:hint="eastAsia" w:ascii="仿宋" w:hAnsi="仿宋" w:eastAsia="仿宋" w:cs="仿宋"/>
          <w:b/>
          <w:color w:val="FF0000"/>
          <w:sz w:val="24"/>
          <w:highlight w:val="none"/>
        </w:rPr>
        <w:t>采购人拟采购的产品属于政府强制采购的节能产品品目清单范围的，投标人未按招标文件要求提供国家确定的认证机构出具的处于有效期之内的节能产品认证证书</w:t>
      </w:r>
      <w:r>
        <w:rPr>
          <w:rFonts w:hint="eastAsia" w:ascii="仿宋" w:hAnsi="仿宋" w:eastAsia="仿宋" w:cs="仿宋"/>
          <w:b/>
          <w:color w:val="FF0000"/>
          <w:sz w:val="24"/>
          <w:highlight w:val="none"/>
          <w:lang w:val="en-US" w:eastAsia="zh-CN"/>
        </w:rPr>
        <w:t>或中国政府采购网中国政府购买服务信息平台节能产品查询官网截图</w:t>
      </w:r>
      <w:r>
        <w:rPr>
          <w:rFonts w:hint="eastAsia" w:ascii="仿宋" w:hAnsi="仿宋" w:eastAsia="仿宋" w:cs="仿宋"/>
          <w:b/>
          <w:color w:val="FF0000"/>
          <w:sz w:val="24"/>
          <w:highlight w:val="none"/>
        </w:rPr>
        <w:t>的；</w:t>
      </w:r>
      <w:r>
        <w:rPr>
          <w:rFonts w:hint="eastAsia" w:ascii="仿宋" w:hAnsi="仿宋" w:eastAsia="仿宋" w:cs="仿宋"/>
          <w:b/>
          <w:color w:val="FF0000"/>
          <w:sz w:val="24"/>
          <w:highlight w:val="none"/>
          <w:lang w:eastAsia="zh-CN"/>
        </w:rPr>
        <w:t>（</w:t>
      </w:r>
      <w:r>
        <w:rPr>
          <w:rFonts w:hint="eastAsia" w:ascii="仿宋" w:hAnsi="仿宋" w:eastAsia="仿宋" w:cs="仿宋"/>
          <w:b/>
          <w:color w:val="FF0000"/>
          <w:sz w:val="24"/>
          <w:highlight w:val="none"/>
        </w:rPr>
        <w:t>证书</w:t>
      </w:r>
      <w:r>
        <w:rPr>
          <w:rFonts w:hint="eastAsia" w:ascii="仿宋" w:hAnsi="仿宋" w:eastAsia="仿宋" w:cs="仿宋"/>
          <w:b/>
          <w:color w:val="FF0000"/>
          <w:sz w:val="24"/>
          <w:highlight w:val="none"/>
          <w:lang w:val="en-US" w:eastAsia="zh-CN"/>
        </w:rPr>
        <w:t>或截图二者提供任意一个即可</w:t>
      </w:r>
      <w:r>
        <w:rPr>
          <w:rFonts w:hint="eastAsia" w:ascii="仿宋" w:hAnsi="仿宋" w:eastAsia="仿宋" w:cs="仿宋"/>
          <w:b/>
          <w:color w:val="FF0000"/>
          <w:sz w:val="24"/>
          <w:highlight w:val="none"/>
          <w:lang w:eastAsia="zh-CN"/>
        </w:rPr>
        <w:t>）</w:t>
      </w:r>
    </w:p>
    <w:p w14:paraId="0EB0031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《开标一览表》填写不完整或字迹不能辨认或有漏项的，经评标委员会认定属于重大偏差的；</w:t>
      </w:r>
    </w:p>
    <w:p w14:paraId="06F1193B">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8</w:t>
      </w:r>
      <w:r>
        <w:rPr>
          <w:rFonts w:hint="eastAsia" w:ascii="仿宋" w:hAnsi="仿宋" w:eastAsia="仿宋" w:cs="仿宋"/>
          <w:b/>
          <w:color w:val="auto"/>
          <w:sz w:val="24"/>
          <w:highlight w:val="none"/>
        </w:rPr>
        <w:t>投标人对根据修正原则修正后的报价不确认的；</w:t>
      </w:r>
    </w:p>
    <w:p w14:paraId="276245D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19</w:t>
      </w:r>
      <w:r>
        <w:rPr>
          <w:rFonts w:hint="eastAsia" w:ascii="仿宋" w:hAnsi="仿宋" w:eastAsia="仿宋" w:cs="仿宋"/>
          <w:b/>
          <w:color w:val="auto"/>
          <w:sz w:val="24"/>
          <w:highlight w:val="none"/>
        </w:rPr>
        <w:t>投标人提供虚假材料投标的（包括但不限于以下情节）；</w:t>
      </w:r>
    </w:p>
    <w:p w14:paraId="0DF4D34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.1使用伪造、变造的许可证件；</w:t>
      </w:r>
    </w:p>
    <w:p w14:paraId="44553E7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.2提供虚假的财务状况或者业绩；</w:t>
      </w:r>
    </w:p>
    <w:p w14:paraId="0EBB676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.3提供虚假的项目负责人或者主要技术人员简历、劳动关系证明；</w:t>
      </w:r>
    </w:p>
    <w:p w14:paraId="3315BEAA">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.4提供虚假的信用状况；</w:t>
      </w:r>
    </w:p>
    <w:p w14:paraId="234630FF">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.5其他弄虚作假的行为。</w:t>
      </w:r>
    </w:p>
    <w:p w14:paraId="2FCAFB53">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0</w:t>
      </w:r>
      <w:r>
        <w:rPr>
          <w:rFonts w:hint="eastAsia" w:ascii="仿宋" w:hAnsi="仿宋" w:eastAsia="仿宋" w:cs="仿宋"/>
          <w:b/>
          <w:color w:val="auto"/>
          <w:sz w:val="24"/>
          <w:highlight w:val="none"/>
        </w:rPr>
        <w:t>下列情形之一的，视为投标人串通投标，其投标无效：</w:t>
      </w:r>
    </w:p>
    <w:p w14:paraId="7D63D137">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.1不同投标人的投标文件由同一单位或者个人编制；</w:t>
      </w:r>
    </w:p>
    <w:p w14:paraId="441B62B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.2不同投标人委托同一单位或者个人办理投标事宜；</w:t>
      </w:r>
    </w:p>
    <w:p w14:paraId="6C49F63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.3不同投标人的投标文件载明的项目管理成员或者联系人员为同一人；</w:t>
      </w:r>
    </w:p>
    <w:p w14:paraId="221FD31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.4不同投标人的投标文件异常一致或者投标报价呈规律性差异；</w:t>
      </w:r>
    </w:p>
    <w:p w14:paraId="29D5873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.5不同投标人的投标文件相互混装；</w:t>
      </w:r>
    </w:p>
    <w:p w14:paraId="36480C3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.6有二份及二份以上投标文件的相互之间有特别相同或相似之处，且经询标澄清投标人无令人信服的理由和可靠证据证明其合理性的，经评标委员会半数以上成员确认有串通投标嫌疑的；</w:t>
      </w:r>
    </w:p>
    <w:p w14:paraId="71D2D700">
      <w:pPr>
        <w:keepNext w:val="0"/>
        <w:keepLines w:val="0"/>
        <w:pageBreakBefore w:val="0"/>
        <w:widowControl w:val="0"/>
        <w:kinsoku/>
        <w:wordWrap/>
        <w:overflowPunct/>
        <w:topLinePunct w:val="0"/>
        <w:autoSpaceDE/>
        <w:autoSpaceDN/>
        <w:bidi w:val="0"/>
        <w:adjustRightInd w:val="0"/>
        <w:snapToGrid w:val="0"/>
        <w:spacing w:line="440" w:lineRule="exact"/>
        <w:ind w:left="0" w:firstLine="720" w:firstLineChars="300"/>
        <w:jc w:val="left"/>
        <w:textAlignment w:val="auto"/>
        <w:rPr>
          <w:rFonts w:hint="eastAsia" w:ascii="仿宋" w:hAnsi="仿宋" w:eastAsia="仿宋" w:cs="仿宋"/>
          <w:color w:val="FF0000"/>
          <w:sz w:val="24"/>
          <w:highlight w:val="none"/>
          <w:lang w:val="en-US" w:eastAsia="zh-CN"/>
        </w:rPr>
      </w:pPr>
      <w:r>
        <w:rPr>
          <w:rFonts w:hint="eastAsia" w:ascii="仿宋" w:hAnsi="仿宋" w:eastAsia="仿宋" w:cs="仿宋"/>
          <w:color w:val="FF0000"/>
          <w:sz w:val="24"/>
          <w:highlight w:val="none"/>
          <w:lang w:val="en-US" w:eastAsia="zh-CN"/>
        </w:rPr>
        <w:t>8.20.7</w:t>
      </w:r>
      <w:r>
        <w:rPr>
          <w:rFonts w:hint="eastAsia" w:ascii="仿宋" w:hAnsi="仿宋" w:eastAsia="仿宋" w:cs="仿宋"/>
          <w:bCs w:val="0"/>
          <w:color w:val="FF0000"/>
          <w:sz w:val="24"/>
          <w:szCs w:val="24"/>
          <w:highlight w:val="none"/>
          <w:lang w:val="en-US" w:eastAsia="zh-CN"/>
        </w:rPr>
        <w:t>不同供应商MAC地址相同、计算机硬盘序列号相同、采购文件细节错误一致且无合理解释等情形</w:t>
      </w:r>
      <w:r>
        <w:rPr>
          <w:rFonts w:hint="eastAsia" w:ascii="仿宋" w:hAnsi="仿宋" w:eastAsia="仿宋" w:cs="仿宋"/>
          <w:color w:val="FF0000"/>
          <w:sz w:val="24"/>
          <w:highlight w:val="none"/>
          <w:lang w:val="en-US" w:eastAsia="zh-CN"/>
        </w:rPr>
        <w:t>。</w:t>
      </w:r>
    </w:p>
    <w:p w14:paraId="0C7B97ED">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有下列情形之一的，属于恶意串通，其投标无效：</w:t>
      </w:r>
    </w:p>
    <w:p w14:paraId="4FA230F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.1供应商直接或者间接从采购人或者采购机构处获得其他供应商的相关情况并修改其投标文件或者响应文件；</w:t>
      </w:r>
    </w:p>
    <w:p w14:paraId="7B6229B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.2供应商按照采购人或者采购机构的授意撤换、修改投标文件或者响应文件；</w:t>
      </w:r>
    </w:p>
    <w:p w14:paraId="388FA46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.3供应商之间协商报价、技术方案等投标文件或者响应文件的实质性内容；</w:t>
      </w:r>
    </w:p>
    <w:p w14:paraId="39D5C92A">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.4属于同一集团、协会、商会等组织成员的供应商按照该组织要求协同参加政府采购活动；</w:t>
      </w:r>
    </w:p>
    <w:p w14:paraId="14EFEA8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.5供应商之间事先约定由某一特定供应商中标、成交；</w:t>
      </w:r>
    </w:p>
    <w:p w14:paraId="69DD298F">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.6供应商之间商定部分供应商放弃参加政府采购活动或者放弃中标、成交；</w:t>
      </w:r>
    </w:p>
    <w:p w14:paraId="23E6C16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.7供应商与采购人或者采购机构之间、供应商相互之间，为谋求特定供应商中标、成交或者排斥其他供应商的其他串通行为。</w:t>
      </w:r>
    </w:p>
    <w:p w14:paraId="67A09D4A">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评标委员会认定有重大偏差或实质性不响应招标文件要求的；</w:t>
      </w:r>
    </w:p>
    <w:p w14:paraId="1E3B0947">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投标文件出现不是唯一的、有选择性投标报价的；</w:t>
      </w:r>
    </w:p>
    <w:p w14:paraId="18B6243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color w:val="auto"/>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其他违反法律、法规的情形。</w:t>
      </w:r>
    </w:p>
    <w:p w14:paraId="49EFE27C">
      <w:pPr>
        <w:keepNext w:val="0"/>
        <w:keepLines w:val="0"/>
        <w:pageBreakBefore w:val="0"/>
        <w:kinsoku/>
        <w:wordWrap/>
        <w:overflowPunct/>
        <w:topLinePunct w:val="0"/>
        <w:autoSpaceDE/>
        <w:autoSpaceDN/>
        <w:bidi w:val="0"/>
        <w:snapToGrid w:val="0"/>
        <w:spacing w:line="440" w:lineRule="exact"/>
        <w:textAlignment w:val="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9. 评标过程保密</w:t>
      </w:r>
    </w:p>
    <w:p w14:paraId="3CF70F8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9.1</w:t>
      </w:r>
      <w:r>
        <w:rPr>
          <w:rFonts w:hint="eastAsia" w:ascii="仿宋" w:hAnsi="仿宋" w:eastAsia="仿宋" w:cs="仿宋"/>
          <w:color w:val="auto"/>
          <w:sz w:val="24"/>
          <w:highlight w:val="none"/>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0716E8E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9.2 在评标期间，投标人企图影响招标人或</w:t>
      </w:r>
      <w:r>
        <w:rPr>
          <w:rFonts w:hint="eastAsia" w:ascii="仿宋" w:hAnsi="仿宋" w:eastAsia="仿宋" w:cs="仿宋"/>
          <w:color w:val="auto"/>
          <w:sz w:val="24"/>
          <w:highlight w:val="none"/>
        </w:rPr>
        <w:t>评标委员会</w:t>
      </w:r>
      <w:r>
        <w:rPr>
          <w:rFonts w:hint="eastAsia" w:ascii="仿宋" w:hAnsi="仿宋" w:eastAsia="仿宋" w:cs="仿宋"/>
          <w:color w:val="auto"/>
          <w:kern w:val="0"/>
          <w:sz w:val="24"/>
          <w:highlight w:val="none"/>
        </w:rPr>
        <w:t>的任何活动，都将导致投标被拒绝，并由其承担相应的法律责任。</w:t>
      </w:r>
    </w:p>
    <w:bookmarkEnd w:id="19"/>
    <w:p w14:paraId="17E71589">
      <w:pPr>
        <w:pStyle w:val="34"/>
        <w:keepNext w:val="0"/>
        <w:keepLines w:val="0"/>
        <w:pageBreakBefore w:val="0"/>
        <w:widowControl w:val="0"/>
        <w:kinsoku/>
        <w:wordWrap/>
        <w:overflowPunct/>
        <w:topLinePunct w:val="0"/>
        <w:autoSpaceDE/>
        <w:autoSpaceDN/>
        <w:bidi w:val="0"/>
        <w:adjustRightInd w:val="0"/>
        <w:spacing w:line="360" w:lineRule="auto"/>
        <w:ind w:firstLine="726"/>
        <w:jc w:val="center"/>
        <w:textAlignment w:val="auto"/>
        <w:rPr>
          <w:rFonts w:hint="eastAsia" w:ascii="仿宋" w:hAnsi="仿宋" w:eastAsia="仿宋" w:cs="仿宋"/>
          <w:b/>
          <w:color w:val="auto"/>
          <w:sz w:val="32"/>
          <w:szCs w:val="32"/>
          <w:highlight w:val="none"/>
        </w:rPr>
      </w:pPr>
      <w:bookmarkStart w:id="20" w:name="_Hlt68403820"/>
      <w:bookmarkEnd w:id="20"/>
      <w:bookmarkStart w:id="21" w:name="_Hlt68072990"/>
      <w:bookmarkEnd w:id="21"/>
      <w:bookmarkStart w:id="22" w:name="_Hlt74707468"/>
      <w:bookmarkEnd w:id="22"/>
      <w:bookmarkStart w:id="23" w:name="_Hlt75236290"/>
      <w:bookmarkEnd w:id="23"/>
      <w:bookmarkStart w:id="24" w:name="_Hlt74729768"/>
      <w:bookmarkEnd w:id="24"/>
      <w:bookmarkStart w:id="25" w:name="_Hlt74714665"/>
      <w:bookmarkEnd w:id="25"/>
      <w:bookmarkStart w:id="26" w:name="_Hlt68057669"/>
      <w:bookmarkEnd w:id="26"/>
      <w:bookmarkStart w:id="27" w:name="_Hlt68072998"/>
      <w:bookmarkEnd w:id="27"/>
      <w:bookmarkStart w:id="28" w:name="_Hlt68073093"/>
      <w:bookmarkEnd w:id="28"/>
      <w:bookmarkStart w:id="29" w:name="_Hlt75236101"/>
      <w:bookmarkEnd w:id="29"/>
      <w:bookmarkStart w:id="30" w:name="_Hlt74730295"/>
      <w:bookmarkEnd w:id="30"/>
      <w:bookmarkStart w:id="31" w:name="_Hlt75236011"/>
      <w:bookmarkEnd w:id="31"/>
      <w:bookmarkStart w:id="32" w:name="_Toc81372953"/>
      <w:bookmarkStart w:id="33" w:name="_Toc84325929"/>
      <w:bookmarkStart w:id="34" w:name="_Toc81372776"/>
      <w:r>
        <w:rPr>
          <w:rFonts w:hint="eastAsia" w:ascii="仿宋" w:hAnsi="仿宋" w:eastAsia="仿宋" w:cs="仿宋"/>
          <w:b/>
          <w:color w:val="auto"/>
          <w:sz w:val="32"/>
          <w:szCs w:val="32"/>
          <w:highlight w:val="none"/>
        </w:rPr>
        <w:t>五、授予合同</w:t>
      </w:r>
    </w:p>
    <w:bookmarkEnd w:id="32"/>
    <w:bookmarkEnd w:id="33"/>
    <w:bookmarkEnd w:id="34"/>
    <w:p w14:paraId="5215B510">
      <w:pPr>
        <w:pStyle w:val="16"/>
        <w:keepNext w:val="0"/>
        <w:keepLines w:val="0"/>
        <w:pageBreakBefore w:val="0"/>
        <w:tabs>
          <w:tab w:val="clear" w:pos="390"/>
          <w:tab w:val="clear" w:pos="454"/>
        </w:tabs>
        <w:kinsoku/>
        <w:wordWrap/>
        <w:overflowPunct/>
        <w:topLinePunct w:val="0"/>
        <w:autoSpaceDE/>
        <w:autoSpaceDN/>
        <w:bidi w:val="0"/>
        <w:snapToGrid/>
        <w:spacing w:after="0" w:line="440" w:lineRule="exact"/>
        <w:ind w:left="0" w:firstLine="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1.中标条件</w:t>
      </w:r>
    </w:p>
    <w:p w14:paraId="185C1A0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1.1投标文件基本符合招标文件要求；</w:t>
      </w:r>
    </w:p>
    <w:p w14:paraId="653F2E8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1.2投标人有很好的执行合同的能力；</w:t>
      </w:r>
    </w:p>
    <w:p w14:paraId="421468A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1.3实施方案最合理并对招标人最为有利，最大限度满足招标文件的要求；</w:t>
      </w:r>
    </w:p>
    <w:p w14:paraId="4AF5B63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1.4投标人能够提供质量技术、商务经济占综合优势的系统及服务。</w:t>
      </w:r>
    </w:p>
    <w:p w14:paraId="11C6091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1.5招标人将把中标通知书授予最佳投标者，但最低价不是中标的绝对保证。</w:t>
      </w:r>
    </w:p>
    <w:p w14:paraId="2E346935">
      <w:pPr>
        <w:keepNext w:val="0"/>
        <w:keepLines w:val="0"/>
        <w:pageBreakBefore w:val="0"/>
        <w:kinsoku/>
        <w:wordWrap/>
        <w:overflowPunct/>
        <w:topLinePunct w:val="0"/>
        <w:autoSpaceDE/>
        <w:autoSpaceDN/>
        <w:bidi w:val="0"/>
        <w:snapToGrid/>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2.中标确认</w:t>
      </w:r>
    </w:p>
    <w:p w14:paraId="285869F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2.1采购人应当自收到评标报告之日起５个工作日内，在评标报告确定的中标候选人名单中按顺序确定中标人。</w:t>
      </w:r>
    </w:p>
    <w:p w14:paraId="23AD19E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2.2采购人在收到评标报告5个工作日内未按评标报告推荐的中标候选人顺序确定中标人，视同按评标报告推荐的顺序确定的中标候选人为中标人。</w:t>
      </w:r>
    </w:p>
    <w:p w14:paraId="70C5526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2.3采购人应在确认中标人前再次对资格条件和相关证件材料进一步查验核实。</w:t>
      </w:r>
    </w:p>
    <w:p w14:paraId="403CAD30">
      <w:pPr>
        <w:keepNext w:val="0"/>
        <w:keepLines w:val="0"/>
        <w:pageBreakBefore w:val="0"/>
        <w:kinsoku/>
        <w:wordWrap/>
        <w:overflowPunct/>
        <w:topLinePunct w:val="0"/>
        <w:autoSpaceDE/>
        <w:autoSpaceDN/>
        <w:bidi w:val="0"/>
        <w:snapToGrid/>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3．中标通知</w:t>
      </w:r>
    </w:p>
    <w:p w14:paraId="6706EB6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3.1采购代理机构对中标结果在指定媒体（浙江政府采购网</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"http://www.zjzfcg.gov.cn"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http://zfcg.czt.zj.gov.cn/</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，中标公告期限为1个工作日。</w:t>
      </w:r>
    </w:p>
    <w:p w14:paraId="6779287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3.2采购机构通过政采云平台向中标供应商签发中标通知书。请中标供应商自行登录政采云平台下载并打印中标通知书。在采购代理机构发出中标通知书前，中标供应商如有违反有关法律法规和本项目要求行为的，则取消该投标人的中标资格</w:t>
      </w:r>
      <w:r>
        <w:rPr>
          <w:rFonts w:hint="eastAsia" w:ascii="仿宋" w:hAnsi="仿宋" w:eastAsia="仿宋" w:cs="仿宋"/>
          <w:color w:val="auto"/>
          <w:sz w:val="24"/>
          <w:highlight w:val="none"/>
          <w:lang w:val="zh-CN"/>
        </w:rPr>
        <w:t>。</w:t>
      </w:r>
    </w:p>
    <w:p w14:paraId="5BF5C05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3.3采购代理机构对中标结果不作任何说明和解释，也不回答任何提问。</w:t>
      </w:r>
    </w:p>
    <w:p w14:paraId="28D83B65">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．履约保证金</w:t>
      </w:r>
    </w:p>
    <w:p w14:paraId="6A1BDD8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采购人在签订合同时，按规定可向中标人收取不高于中标额的1%的履约保证金，采购人不得以供应商事先提交履约保证金作为签订合同的条件。鼓励采购人根据项目特点、供应商诚信等情况免收履约保证金或降低缴纳比例。</w:t>
      </w:r>
    </w:p>
    <w:p w14:paraId="14CF674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4.2项目验收结束后，采购人应及时退还履约保证金。</w:t>
      </w:r>
    </w:p>
    <w:p w14:paraId="675CCED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4.3供应商以银行、保险公司出具保函形式提交履约保证金的，采购人不得拒收。</w:t>
      </w:r>
    </w:p>
    <w:p w14:paraId="362953C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4.4政府采购货物和服务项目不得收取质量保证金。</w:t>
      </w:r>
    </w:p>
    <w:p w14:paraId="5ED1AC94">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．合同签订及备案</w:t>
      </w:r>
    </w:p>
    <w:p w14:paraId="3CCBB23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5.1中标人应当在中标通知书发出之日起30天内与采购人签订合同，自采购合同签订之日起</w:t>
      </w:r>
      <w:r>
        <w:rPr>
          <w:rFonts w:hint="eastAsia" w:ascii="仿宋" w:hAnsi="仿宋" w:eastAsia="仿宋" w:cs="仿宋"/>
          <w:b/>
          <w:bCs/>
          <w:color w:val="auto"/>
          <w:sz w:val="24"/>
          <w:highlight w:val="none"/>
          <w:lang w:val="en-US" w:eastAsia="zh-CN"/>
        </w:rPr>
        <w:t>15个日内</w:t>
      </w:r>
      <w:r>
        <w:rPr>
          <w:rFonts w:hint="eastAsia" w:ascii="仿宋" w:hAnsi="仿宋" w:eastAsia="仿宋" w:cs="仿宋"/>
          <w:color w:val="auto"/>
          <w:sz w:val="24"/>
          <w:highlight w:val="none"/>
          <w:lang w:val="en-US" w:eastAsia="zh-CN"/>
        </w:rPr>
        <w:t>，通过电子交易平台进行备案。</w:t>
      </w:r>
    </w:p>
    <w:p w14:paraId="1B3FF79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5.2如中标人为联合体的，由联合体成员各方法定代表人或其授权代表与采购人代表签订合同。</w:t>
      </w:r>
    </w:p>
    <w:p w14:paraId="332C3487">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.验收</w:t>
      </w:r>
    </w:p>
    <w:p w14:paraId="15CAEF0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78DD7CA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6.2采购人可以邀请参加本项目的其他投标人或者第三方机构参与验收。参与验收的投标人或者第三方机构的意见作为验收书的参考资料一并存档。</w:t>
      </w:r>
    </w:p>
    <w:p w14:paraId="62F9949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6.3 采购人负责加强对中标人的履约管理，并按照采购合同约定，及时向中标人支付采购资金。对于中标人违反采购合同约定的行为，采购人应当及时处理，依法追究其违约责任。</w:t>
      </w:r>
    </w:p>
    <w:p w14:paraId="4B3A11D8">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.售后服务考核</w:t>
      </w:r>
    </w:p>
    <w:p w14:paraId="28F142B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采购机构将联合政府采购监管部门不定期对合同的履约情况进行检查，发现未按合同规定进行履约的，有弄虚作假，偷工减料，以次充好等情形，达不到国家、行业有关标准和</w:t>
      </w:r>
      <w:r>
        <w:rPr>
          <w:rFonts w:hint="eastAsia" w:ascii="仿宋" w:hAnsi="仿宋" w:eastAsia="仿宋" w:cs="仿宋"/>
          <w:color w:val="auto"/>
          <w:sz w:val="24"/>
          <w:highlight w:val="none"/>
          <w:lang w:eastAsia="zh-CN"/>
        </w:rPr>
        <w:t>商务技术</w:t>
      </w:r>
      <w:r>
        <w:rPr>
          <w:rFonts w:hint="eastAsia" w:ascii="仿宋" w:hAnsi="仿宋" w:eastAsia="仿宋" w:cs="仿宋"/>
          <w:color w:val="auto"/>
          <w:sz w:val="24"/>
          <w:highlight w:val="none"/>
        </w:rPr>
        <w:t>文件规定的，一经查实，由政府采购监督管理部门给予相应处罚。</w:t>
      </w:r>
    </w:p>
    <w:p w14:paraId="5E8DE59B">
      <w:pPr>
        <w:adjustRightInd/>
        <w:spacing w:line="336"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六、</w:t>
      </w:r>
      <w:r>
        <w:rPr>
          <w:rFonts w:hint="default" w:ascii="仿宋" w:hAnsi="仿宋" w:eastAsia="仿宋" w:cs="仿宋"/>
          <w:b/>
          <w:bCs/>
          <w:i w:val="0"/>
          <w:iCs w:val="0"/>
          <w:color w:val="auto"/>
          <w:kern w:val="2"/>
          <w:sz w:val="32"/>
          <w:szCs w:val="20"/>
          <w:highlight w:val="none"/>
          <w:vertAlign w:val="baseline"/>
          <w:lang w:val="en-US" w:eastAsia="zh-CN" w:bidi="ar-SA"/>
        </w:rPr>
        <w:t>询问、质疑与投诉</w:t>
      </w:r>
    </w:p>
    <w:p w14:paraId="220DE115">
      <w:pPr>
        <w:adjustRightInd w:val="0"/>
        <w:spacing w:line="336" w:lineRule="auto"/>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0"/>
          <w:highlight w:val="none"/>
          <w:vertAlign w:val="baseline"/>
          <w:lang w:val="en-US" w:eastAsia="zh-CN" w:bidi="ar-SA"/>
        </w:rPr>
        <w:t>1.在线询问、质疑、投诉</w:t>
      </w:r>
    </w:p>
    <w:p w14:paraId="50DCC21F">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6A1A7EA">
      <w:pPr>
        <w:adjustRightInd w:val="0"/>
        <w:spacing w:line="336" w:lineRule="auto"/>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4"/>
          <w:highlight w:val="none"/>
          <w:vertAlign w:val="baseline"/>
          <w:lang w:val="en-US" w:eastAsia="zh-CN" w:bidi="ar-SA"/>
        </w:rPr>
        <w:t>2. 供应商询问</w:t>
      </w:r>
    </w:p>
    <w:p w14:paraId="0333046E">
      <w:pPr>
        <w:autoSpaceDE w:val="0"/>
        <w:autoSpaceDN w:val="0"/>
        <w:adjustRightInd w:val="0"/>
        <w:spacing w:line="336" w:lineRule="auto"/>
        <w:ind w:firstLine="480" w:firstLineChars="200"/>
        <w:jc w:val="left"/>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0"/>
          <w:sz w:val="24"/>
          <w:szCs w:val="24"/>
          <w:highlight w:val="none"/>
          <w:vertAlign w:val="baseline"/>
          <w:lang w:val="zh-CN" w:eastAsia="zh-CN" w:bidi="ar-SA"/>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A0B62E9">
      <w:pPr>
        <w:adjustRightInd w:val="0"/>
        <w:spacing w:line="336" w:lineRule="auto"/>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4"/>
          <w:highlight w:val="none"/>
          <w:vertAlign w:val="baseline"/>
          <w:lang w:val="en-US" w:eastAsia="zh-CN" w:bidi="ar-SA"/>
        </w:rPr>
        <w:t>3. 供应商质疑</w:t>
      </w:r>
    </w:p>
    <w:p w14:paraId="78D12516">
      <w:pPr>
        <w:adjustRightInd w:val="0"/>
        <w:spacing w:line="336" w:lineRule="auto"/>
        <w:ind w:firstLine="482" w:firstLineChars="200"/>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0"/>
          <w:sz w:val="24"/>
          <w:szCs w:val="20"/>
          <w:highlight w:val="none"/>
          <w:vertAlign w:val="baseline"/>
          <w:lang w:val="zh-CN" w:eastAsia="zh-CN" w:bidi="ar-SA"/>
        </w:rPr>
        <w:t>3</w:t>
      </w:r>
      <w:r>
        <w:rPr>
          <w:rFonts w:hint="default" w:ascii="仿宋" w:hAnsi="仿宋" w:eastAsia="仿宋" w:cs="仿宋"/>
          <w:b/>
          <w:bCs/>
          <w:i w:val="0"/>
          <w:iCs w:val="0"/>
          <w:color w:val="auto"/>
          <w:kern w:val="2"/>
          <w:sz w:val="24"/>
          <w:szCs w:val="20"/>
          <w:highlight w:val="none"/>
          <w:vertAlign w:val="baseline"/>
          <w:lang w:val="en-US" w:eastAsia="zh-CN" w:bidi="ar-SA"/>
        </w:rPr>
        <w:t>.1质疑提出时效</w:t>
      </w:r>
    </w:p>
    <w:p w14:paraId="487D1DD7">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3.1.1提出质疑的供应商应当是参与所质疑项目采购活动的供应商。潜在供应商已依法获取其可质疑的采购文件的，可以对该文件提出质疑。</w:t>
      </w:r>
    </w:p>
    <w:p w14:paraId="0ABEA823">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0"/>
          <w:sz w:val="24"/>
          <w:szCs w:val="20"/>
          <w:highlight w:val="none"/>
          <w:vertAlign w:val="baseline"/>
          <w:lang w:val="zh-CN" w:eastAsia="zh-CN" w:bidi="ar-SA"/>
        </w:rPr>
        <w:t>3</w:t>
      </w:r>
      <w:r>
        <w:rPr>
          <w:rFonts w:hint="default" w:ascii="仿宋" w:hAnsi="仿宋" w:eastAsia="仿宋" w:cs="仿宋"/>
          <w:b w:val="0"/>
          <w:bCs w:val="0"/>
          <w:i w:val="0"/>
          <w:iCs w:val="0"/>
          <w:color w:val="auto"/>
          <w:kern w:val="2"/>
          <w:sz w:val="24"/>
          <w:szCs w:val="20"/>
          <w:highlight w:val="none"/>
          <w:vertAlign w:val="baseline"/>
          <w:lang w:val="en-US" w:eastAsia="zh-CN" w:bidi="ar-SA"/>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1313B484">
      <w:pPr>
        <w:widowControl/>
        <w:adjustRightInd w:val="0"/>
        <w:snapToGrid w:val="0"/>
        <w:spacing w:line="336" w:lineRule="auto"/>
        <w:ind w:firstLine="434" w:firstLineChars="181"/>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snapToGrid/>
          <w:color w:val="auto"/>
          <w:kern w:val="2"/>
          <w:sz w:val="24"/>
          <w:szCs w:val="20"/>
          <w:highlight w:val="none"/>
          <w:vertAlign w:val="baseline"/>
          <w:lang w:val="en-US" w:eastAsia="zh-CN" w:bidi="ar-SA"/>
        </w:rPr>
        <w:t>3.1.2.1对采购文件提出质疑的，质疑期限为供应商获得采购文件之日或者采购文件公告期限届满之日起计算，采购文件在获取截止之日后获得的，应当自采购文件公告期限届满之日起计算。</w:t>
      </w:r>
    </w:p>
    <w:p w14:paraId="441EF4CE">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3.1.2.2对采购过程提出质疑的，质疑期限为各采购程序环节结束之日起计算。</w:t>
      </w:r>
    </w:p>
    <w:p w14:paraId="5CB4E374">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3.1.2.3对采购结果提出质疑的，质疑期限自采购结果公告期限届满之日起计算。</w:t>
      </w:r>
    </w:p>
    <w:p w14:paraId="6F611987">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3.1.2.4对同一采购程序环节的质疑，供应商须一次性提出。</w:t>
      </w:r>
    </w:p>
    <w:p w14:paraId="7F115B28">
      <w:pPr>
        <w:adjustRightInd w:val="0"/>
        <w:spacing w:line="336" w:lineRule="auto"/>
        <w:ind w:firstLine="482" w:firstLineChars="200"/>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0"/>
          <w:sz w:val="24"/>
          <w:szCs w:val="20"/>
          <w:highlight w:val="none"/>
          <w:vertAlign w:val="baseline"/>
          <w:lang w:val="zh-CN" w:eastAsia="zh-CN" w:bidi="ar-SA"/>
        </w:rPr>
        <w:t>3.</w:t>
      </w:r>
      <w:r>
        <w:rPr>
          <w:rFonts w:hint="default" w:ascii="仿宋" w:hAnsi="仿宋" w:eastAsia="仿宋" w:cs="仿宋"/>
          <w:b/>
          <w:bCs/>
          <w:i w:val="0"/>
          <w:iCs w:val="0"/>
          <w:color w:val="auto"/>
          <w:kern w:val="0"/>
          <w:sz w:val="24"/>
          <w:szCs w:val="20"/>
          <w:highlight w:val="none"/>
          <w:vertAlign w:val="baseline"/>
          <w:lang w:val="en-US" w:eastAsia="zh-CN" w:bidi="ar-SA"/>
        </w:rPr>
        <w:t>2</w:t>
      </w:r>
      <w:r>
        <w:rPr>
          <w:rFonts w:hint="default" w:ascii="仿宋" w:hAnsi="仿宋" w:eastAsia="仿宋" w:cs="仿宋"/>
          <w:b/>
          <w:bCs/>
          <w:i w:val="0"/>
          <w:iCs w:val="0"/>
          <w:color w:val="auto"/>
          <w:kern w:val="0"/>
          <w:sz w:val="24"/>
          <w:szCs w:val="20"/>
          <w:highlight w:val="none"/>
          <w:vertAlign w:val="baseline"/>
          <w:lang w:val="zh-CN" w:eastAsia="zh-CN" w:bidi="ar-SA"/>
        </w:rPr>
        <w:t>质疑函</w:t>
      </w:r>
    </w:p>
    <w:p w14:paraId="70DF7937">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3.2.1供应商提出质疑应当提交质疑函和必要的证明材料。质疑函应当包括下列内容：</w:t>
      </w:r>
    </w:p>
    <w:p w14:paraId="5B473044">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供应商的姓名或者名称、地址、邮编、联系人及联系电话；</w:t>
      </w:r>
    </w:p>
    <w:p w14:paraId="2E2780FF">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质疑项目的名称、编号；</w:t>
      </w:r>
    </w:p>
    <w:p w14:paraId="12E38237">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具体、明确的质疑事项和与质疑事项相关的请求；</w:t>
      </w:r>
    </w:p>
    <w:p w14:paraId="2CE873B9">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事实依据；</w:t>
      </w:r>
    </w:p>
    <w:p w14:paraId="2E565A83">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必要的法律依据；</w:t>
      </w:r>
    </w:p>
    <w:p w14:paraId="0C47709C">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提出质疑的日期。</w:t>
      </w:r>
    </w:p>
    <w:p w14:paraId="3CDA94D6">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供应商提交的质疑函需一式三份。供应商为自然人的，应当由本人签字；供应商为法人或者其他组织的，应当由法定代表人、主要负责人，或者其授权代表签字或者盖章，并加盖公章。</w:t>
      </w:r>
    </w:p>
    <w:p w14:paraId="523F2B78">
      <w:pPr>
        <w:adjustRightInd w:val="0"/>
        <w:spacing w:line="336" w:lineRule="auto"/>
        <w:ind w:firstLine="482" w:firstLineChars="200"/>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0"/>
          <w:highlight w:val="none"/>
          <w:vertAlign w:val="baseline"/>
          <w:lang w:val="en-US" w:eastAsia="zh-CN" w:bidi="ar-SA"/>
        </w:rPr>
        <w:t>质疑函范本及制作说明详见附件1。</w:t>
      </w:r>
    </w:p>
    <w:p w14:paraId="707807F5">
      <w:pPr>
        <w:adjustRightInd w:val="0"/>
        <w:spacing w:line="336" w:lineRule="auto"/>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4"/>
          <w:highlight w:val="none"/>
          <w:vertAlign w:val="baseline"/>
          <w:lang w:val="en-US" w:eastAsia="zh-CN" w:bidi="ar-SA"/>
        </w:rPr>
        <w:t>4.供应商投诉</w:t>
      </w:r>
    </w:p>
    <w:p w14:paraId="7C45B791">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4.1质疑供应商对采购人或采购代理机构的答复不满意或者采购人、采购代理机构未在规定的时间内作出答复的，可以在答复期满后十五个工作日内向同级政府采购监督管理部门提出投诉。</w:t>
      </w:r>
    </w:p>
    <w:p w14:paraId="3697E03F">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4.2供应商投诉的事项不得超出已质疑事项的范围，基于质疑答复内容提出的投诉事项除外。</w:t>
      </w:r>
    </w:p>
    <w:p w14:paraId="1C8431BF">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4.3供应商投诉应当有明确的请求和必要的证明材料。</w:t>
      </w:r>
    </w:p>
    <w:p w14:paraId="30ADD0A9">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4.4以联合体形式参加政府采购活动的，其投诉应当由组成联合体的所有供应商共同提出。</w:t>
      </w:r>
    </w:p>
    <w:p w14:paraId="2709971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0"/>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0"/>
          <w:highlight w:val="none"/>
          <w:vertAlign w:val="baseline"/>
          <w:lang w:val="en-US" w:eastAsia="zh-CN" w:bidi="ar-SA"/>
        </w:rPr>
        <w:t>投诉书范本及制作说明详见附件2。</w:t>
      </w:r>
    </w:p>
    <w:p w14:paraId="59C581E7">
      <w:pPr>
        <w:rPr>
          <w:rFonts w:hint="eastAsia"/>
          <w:color w:val="auto"/>
          <w:highlight w:val="none"/>
        </w:rPr>
        <w:sectPr>
          <w:footerReference r:id="rId5" w:type="default"/>
          <w:pgSz w:w="11906" w:h="16838"/>
          <w:pgMar w:top="1474" w:right="1814" w:bottom="1474" w:left="1814" w:header="851" w:footer="992" w:gutter="0"/>
          <w:pgNumType w:fmt="decimal" w:start="1"/>
          <w:cols w:space="720" w:num="1"/>
          <w:docGrid w:linePitch="312" w:charSpace="0"/>
        </w:sectPr>
      </w:pPr>
    </w:p>
    <w:bookmarkEnd w:id="17"/>
    <w:bookmarkEnd w:id="18"/>
    <w:p w14:paraId="02D4382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rPr>
      </w:pPr>
      <w:bookmarkStart w:id="35" w:name="第四部分"/>
      <w:r>
        <w:rPr>
          <w:rFonts w:hint="eastAsia" w:ascii="仿宋" w:hAnsi="仿宋" w:eastAsia="仿宋" w:cs="仿宋"/>
          <w:b/>
          <w:color w:val="auto"/>
          <w:sz w:val="36"/>
          <w:szCs w:val="36"/>
          <w:highlight w:val="none"/>
        </w:rPr>
        <w:t>第三部分   招标项目范围及要求</w:t>
      </w:r>
    </w:p>
    <w:p w14:paraId="1F78272B">
      <w:pPr>
        <w:pStyle w:val="3"/>
        <w:spacing w:before="0" w:after="0" w:line="480" w:lineRule="auto"/>
        <w:ind w:left="0" w:firstLine="0"/>
        <w:rPr>
          <w:rFonts w:hint="default" w:eastAsia="宋体"/>
          <w:bCs w:val="0"/>
          <w:color w:val="auto"/>
          <w:sz w:val="28"/>
          <w:szCs w:val="28"/>
          <w:highlight w:val="none"/>
          <w:lang w:val="en-US" w:eastAsia="zh-CN"/>
        </w:rPr>
      </w:pPr>
      <w:r>
        <w:rPr>
          <w:rFonts w:hint="eastAsia"/>
          <w:bCs w:val="0"/>
          <w:color w:val="auto"/>
          <w:sz w:val="28"/>
          <w:szCs w:val="28"/>
          <w:highlight w:val="none"/>
        </w:rPr>
        <w:t>一．采购清单</w:t>
      </w:r>
      <w:r>
        <w:rPr>
          <w:rFonts w:hint="eastAsia"/>
          <w:bCs w:val="0"/>
          <w:color w:val="auto"/>
          <w:sz w:val="28"/>
          <w:szCs w:val="28"/>
          <w:highlight w:val="none"/>
          <w:lang w:val="en-US" w:eastAsia="zh-CN"/>
        </w:rPr>
        <w:t>及技术参数</w:t>
      </w:r>
    </w:p>
    <w:bookmarkEnd w:id="35"/>
    <w:tbl>
      <w:tblPr>
        <w:tblStyle w:val="64"/>
        <w:tblW w:w="4956" w:type="pct"/>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5"/>
        <w:gridCol w:w="1025"/>
        <w:gridCol w:w="11816"/>
        <w:gridCol w:w="720"/>
      </w:tblGrid>
      <w:tr w14:paraId="45F17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5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D7E48ED">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bookmarkStart w:id="36" w:name="第五部分"/>
            <w:bookmarkStart w:id="37" w:name="_Toc86217003"/>
            <w:r>
              <w:rPr>
                <w:rFonts w:hint="eastAsia" w:ascii="仿宋" w:hAnsi="仿宋" w:eastAsia="仿宋" w:cs="仿宋"/>
                <w:b/>
                <w:bCs/>
                <w:i w:val="0"/>
                <w:iCs w:val="0"/>
                <w:color w:val="auto"/>
                <w:kern w:val="0"/>
                <w:sz w:val="24"/>
                <w:szCs w:val="24"/>
                <w:highlight w:val="none"/>
                <w:u w:val="none"/>
                <w:lang w:val="en-US" w:eastAsia="zh-CN" w:bidi="ar"/>
              </w:rPr>
              <w:t>序号</w:t>
            </w:r>
          </w:p>
        </w:tc>
        <w:tc>
          <w:tcPr>
            <w:tcW w:w="35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F1E9943">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名称</w:t>
            </w:r>
          </w:p>
        </w:tc>
        <w:tc>
          <w:tcPr>
            <w:tcW w:w="405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C4A1A7E">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配置描述</w:t>
            </w:r>
          </w:p>
        </w:tc>
        <w:tc>
          <w:tcPr>
            <w:tcW w:w="24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6106FFA">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数量</w:t>
            </w:r>
          </w:p>
        </w:tc>
      </w:tr>
      <w:tr w14:paraId="6BE43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351" w:type="pct"/>
            <w:vMerge w:val="restart"/>
            <w:tcBorders>
              <w:top w:val="nil"/>
              <w:left w:val="single" w:color="000000" w:sz="8" w:space="0"/>
              <w:bottom w:val="single" w:color="000000" w:sz="8" w:space="0"/>
              <w:right w:val="single" w:color="000000" w:sz="8" w:space="0"/>
            </w:tcBorders>
            <w:shd w:val="clear" w:color="auto" w:fill="auto"/>
            <w:vAlign w:val="center"/>
          </w:tcPr>
          <w:p w14:paraId="7F3FBBB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351" w:type="pct"/>
            <w:vMerge w:val="restart"/>
            <w:tcBorders>
              <w:top w:val="nil"/>
              <w:left w:val="single" w:color="000000" w:sz="8" w:space="0"/>
              <w:bottom w:val="single" w:color="000000" w:sz="8" w:space="0"/>
              <w:right w:val="single" w:color="000000" w:sz="8" w:space="0"/>
            </w:tcBorders>
            <w:shd w:val="clear" w:color="auto" w:fill="auto"/>
            <w:vAlign w:val="center"/>
          </w:tcPr>
          <w:p w14:paraId="42A4C2D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日志审计系统</w:t>
            </w: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3ED34C6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r>
              <w:rPr>
                <w:rStyle w:val="315"/>
                <w:rFonts w:ascii="仿宋" w:hAnsi="仿宋" w:eastAsia="仿宋" w:cs="仿宋"/>
                <w:color w:val="auto"/>
                <w:sz w:val="24"/>
                <w:szCs w:val="24"/>
                <w:highlight w:val="none"/>
                <w:lang w:val="en-US" w:eastAsia="zh-CN" w:bidi="ar"/>
              </w:rPr>
              <w:t>CPU物理核心数</w:t>
            </w:r>
            <w:r>
              <w:rPr>
                <w:rStyle w:val="148"/>
                <w:rFonts w:ascii="仿宋" w:hAnsi="仿宋" w:eastAsia="仿宋" w:cs="仿宋"/>
                <w:color w:val="auto"/>
                <w:sz w:val="24"/>
                <w:szCs w:val="24"/>
                <w:highlight w:val="none"/>
                <w:lang w:val="en-US" w:eastAsia="zh-CN" w:bidi="ar"/>
              </w:rPr>
              <w:t>≧</w:t>
            </w:r>
            <w:r>
              <w:rPr>
                <w:rStyle w:val="315"/>
                <w:rFonts w:ascii="仿宋" w:hAnsi="仿宋" w:eastAsia="仿宋" w:cs="仿宋"/>
                <w:color w:val="auto"/>
                <w:sz w:val="24"/>
                <w:szCs w:val="24"/>
                <w:highlight w:val="none"/>
                <w:lang w:val="en-US" w:eastAsia="zh-CN" w:bidi="ar"/>
              </w:rPr>
              <w:t>8核，内存</w:t>
            </w:r>
            <w:r>
              <w:rPr>
                <w:rStyle w:val="148"/>
                <w:rFonts w:ascii="仿宋" w:hAnsi="仿宋" w:eastAsia="仿宋" w:cs="仿宋"/>
                <w:color w:val="auto"/>
                <w:sz w:val="24"/>
                <w:szCs w:val="24"/>
                <w:highlight w:val="none"/>
                <w:lang w:val="en-US" w:eastAsia="zh-CN" w:bidi="ar"/>
              </w:rPr>
              <w:t>≧16</w:t>
            </w:r>
            <w:r>
              <w:rPr>
                <w:rStyle w:val="315"/>
                <w:rFonts w:ascii="仿宋" w:hAnsi="仿宋" w:eastAsia="仿宋" w:cs="仿宋"/>
                <w:color w:val="auto"/>
                <w:sz w:val="24"/>
                <w:szCs w:val="24"/>
                <w:highlight w:val="none"/>
                <w:lang w:val="en-US" w:eastAsia="zh-CN" w:bidi="ar"/>
              </w:rPr>
              <w:t>GB，日志采集处理均值</w:t>
            </w:r>
            <w:r>
              <w:rPr>
                <w:rStyle w:val="148"/>
                <w:rFonts w:ascii="仿宋" w:hAnsi="仿宋" w:eastAsia="仿宋" w:cs="仿宋"/>
                <w:color w:val="auto"/>
                <w:sz w:val="24"/>
                <w:szCs w:val="24"/>
                <w:highlight w:val="none"/>
                <w:lang w:val="en-US" w:eastAsia="zh-CN" w:bidi="ar"/>
              </w:rPr>
              <w:t>≧2500</w:t>
            </w:r>
            <w:r>
              <w:rPr>
                <w:rStyle w:val="315"/>
                <w:rFonts w:ascii="仿宋" w:hAnsi="仿宋" w:eastAsia="仿宋" w:cs="仿宋"/>
                <w:color w:val="auto"/>
                <w:sz w:val="24"/>
                <w:szCs w:val="24"/>
                <w:highlight w:val="none"/>
                <w:lang w:val="en-US" w:eastAsia="zh-CN" w:bidi="ar"/>
              </w:rPr>
              <w:t>EPS，日志源审计许可</w:t>
            </w:r>
            <w:r>
              <w:rPr>
                <w:rStyle w:val="148"/>
                <w:rFonts w:ascii="仿宋" w:hAnsi="仿宋" w:eastAsia="仿宋" w:cs="仿宋"/>
                <w:color w:val="auto"/>
                <w:sz w:val="24"/>
                <w:szCs w:val="24"/>
                <w:highlight w:val="none"/>
                <w:lang w:val="en-US" w:eastAsia="zh-CN" w:bidi="ar"/>
              </w:rPr>
              <w:t>≧</w:t>
            </w:r>
            <w:r>
              <w:rPr>
                <w:rStyle w:val="315"/>
                <w:rFonts w:ascii="仿宋" w:hAnsi="仿宋" w:eastAsia="仿宋" w:cs="仿宋"/>
                <w:color w:val="auto"/>
                <w:sz w:val="24"/>
                <w:szCs w:val="24"/>
                <w:highlight w:val="none"/>
                <w:lang w:val="en-US" w:eastAsia="zh-CN" w:bidi="ar"/>
              </w:rPr>
              <w:t>50个。设备核心部件（中央处理器（CPU）、操作系统和数据库）必须经过安全可靠测评，必须满足中国信息安全测评中心最新出具的“安全可靠测评结果公告”要求（竞标时提供该设备满足安全可靠测评结果要求的承诺函）。</w:t>
            </w:r>
          </w:p>
        </w:tc>
        <w:tc>
          <w:tcPr>
            <w:tcW w:w="246" w:type="pct"/>
            <w:vMerge w:val="restart"/>
            <w:tcBorders>
              <w:top w:val="nil"/>
              <w:left w:val="single" w:color="000000" w:sz="8" w:space="0"/>
              <w:bottom w:val="single" w:color="000000" w:sz="8" w:space="0"/>
              <w:right w:val="single" w:color="000000" w:sz="8" w:space="0"/>
            </w:tcBorders>
            <w:shd w:val="clear" w:color="auto" w:fill="auto"/>
            <w:vAlign w:val="center"/>
          </w:tcPr>
          <w:p w14:paraId="019DE6A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1台</w:t>
            </w:r>
          </w:p>
        </w:tc>
      </w:tr>
      <w:tr w14:paraId="3FC03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02FAEE8F">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473C9FA6">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59BFB69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1、支持安全设备、网络设备、中间件、服务器、数据库、操作系统、业务系统等不少于26类300种日志对象的日志数据采集</w:t>
            </w:r>
          </w:p>
        </w:tc>
        <w:tc>
          <w:tcPr>
            <w:tcW w:w="246" w:type="pct"/>
            <w:vMerge w:val="continue"/>
            <w:tcBorders>
              <w:top w:val="nil"/>
              <w:left w:val="single" w:color="000000" w:sz="8" w:space="0"/>
              <w:bottom w:val="single" w:color="000000" w:sz="8" w:space="0"/>
              <w:right w:val="single" w:color="000000" w:sz="8" w:space="0"/>
            </w:tcBorders>
            <w:shd w:val="clear" w:color="auto" w:fill="auto"/>
            <w:vAlign w:val="center"/>
          </w:tcPr>
          <w:p w14:paraId="27546447">
            <w:pPr>
              <w:jc w:val="center"/>
              <w:rPr>
                <w:rFonts w:hint="eastAsia" w:ascii="仿宋" w:hAnsi="仿宋" w:eastAsia="仿宋" w:cs="仿宋"/>
                <w:i w:val="0"/>
                <w:iCs w:val="0"/>
                <w:color w:val="auto"/>
                <w:sz w:val="24"/>
                <w:szCs w:val="24"/>
                <w:highlight w:val="none"/>
                <w:u w:val="none"/>
              </w:rPr>
            </w:pPr>
          </w:p>
        </w:tc>
      </w:tr>
      <w:tr w14:paraId="0070C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007C5DB1">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11D4B7CE">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03E38F6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2、支持日志归一化处理，将不同设备所产生的不同格式的难以理解的日志数据进行统一格式化处理，提炼出有用信息清晰、明确的展示给管理者</w:t>
            </w:r>
          </w:p>
        </w:tc>
        <w:tc>
          <w:tcPr>
            <w:tcW w:w="246" w:type="pct"/>
            <w:vMerge w:val="continue"/>
            <w:tcBorders>
              <w:top w:val="nil"/>
              <w:left w:val="single" w:color="000000" w:sz="8" w:space="0"/>
              <w:bottom w:val="single" w:color="000000" w:sz="8" w:space="0"/>
              <w:right w:val="single" w:color="000000" w:sz="8" w:space="0"/>
            </w:tcBorders>
            <w:shd w:val="clear" w:color="auto" w:fill="auto"/>
            <w:vAlign w:val="center"/>
          </w:tcPr>
          <w:p w14:paraId="64681683">
            <w:pPr>
              <w:jc w:val="center"/>
              <w:rPr>
                <w:rFonts w:hint="eastAsia" w:ascii="仿宋" w:hAnsi="仿宋" w:eastAsia="仿宋" w:cs="仿宋"/>
                <w:i w:val="0"/>
                <w:iCs w:val="0"/>
                <w:color w:val="auto"/>
                <w:sz w:val="24"/>
                <w:szCs w:val="24"/>
                <w:highlight w:val="none"/>
                <w:u w:val="none"/>
              </w:rPr>
            </w:pPr>
          </w:p>
        </w:tc>
      </w:tr>
      <w:tr w14:paraId="156FB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131B1CAD">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690802F5">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588CF81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3、支持独立展示每个被采集源最近24小时的日志数量趋势，便于掌握设备的安全事件情况，支持独立展示每个设备日志的最新采集时间，便于了解设备日志的采集状态</w:t>
            </w:r>
          </w:p>
        </w:tc>
        <w:tc>
          <w:tcPr>
            <w:tcW w:w="246" w:type="pct"/>
            <w:vMerge w:val="continue"/>
            <w:tcBorders>
              <w:top w:val="nil"/>
              <w:left w:val="single" w:color="000000" w:sz="8" w:space="0"/>
              <w:bottom w:val="single" w:color="000000" w:sz="8" w:space="0"/>
              <w:right w:val="single" w:color="000000" w:sz="8" w:space="0"/>
            </w:tcBorders>
            <w:shd w:val="clear" w:color="auto" w:fill="auto"/>
            <w:vAlign w:val="center"/>
          </w:tcPr>
          <w:p w14:paraId="09D78713">
            <w:pPr>
              <w:jc w:val="center"/>
              <w:rPr>
                <w:rFonts w:hint="eastAsia" w:ascii="仿宋" w:hAnsi="仿宋" w:eastAsia="仿宋" w:cs="仿宋"/>
                <w:i w:val="0"/>
                <w:iCs w:val="0"/>
                <w:color w:val="auto"/>
                <w:sz w:val="24"/>
                <w:szCs w:val="24"/>
                <w:highlight w:val="none"/>
                <w:u w:val="none"/>
              </w:rPr>
            </w:pPr>
          </w:p>
        </w:tc>
      </w:tr>
      <w:tr w14:paraId="3A388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1352BD39">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779FFF58">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33B6BC8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4、支持根据设备重要程度设置独立设置每个被采集源的日志、报表数据存储时间为1个月、3个月、6个月等参数</w:t>
            </w:r>
          </w:p>
        </w:tc>
        <w:tc>
          <w:tcPr>
            <w:tcW w:w="246" w:type="pct"/>
            <w:vMerge w:val="continue"/>
            <w:tcBorders>
              <w:top w:val="nil"/>
              <w:left w:val="single" w:color="000000" w:sz="8" w:space="0"/>
              <w:bottom w:val="single" w:color="000000" w:sz="8" w:space="0"/>
              <w:right w:val="single" w:color="000000" w:sz="8" w:space="0"/>
            </w:tcBorders>
            <w:shd w:val="clear" w:color="auto" w:fill="auto"/>
            <w:vAlign w:val="center"/>
          </w:tcPr>
          <w:p w14:paraId="743AFBFA">
            <w:pPr>
              <w:jc w:val="center"/>
              <w:rPr>
                <w:rFonts w:hint="eastAsia" w:ascii="仿宋" w:hAnsi="仿宋" w:eastAsia="仿宋" w:cs="仿宋"/>
                <w:i w:val="0"/>
                <w:iCs w:val="0"/>
                <w:color w:val="auto"/>
                <w:sz w:val="24"/>
                <w:szCs w:val="24"/>
                <w:highlight w:val="none"/>
                <w:u w:val="none"/>
              </w:rPr>
            </w:pPr>
          </w:p>
        </w:tc>
      </w:tr>
      <w:tr w14:paraId="69AC9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473C5F99">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3E4DAF8D">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312D638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5、支持基于时间轴展示日志数据分布，能够通过时间轴进行查询分析</w:t>
            </w:r>
          </w:p>
        </w:tc>
        <w:tc>
          <w:tcPr>
            <w:tcW w:w="246" w:type="pct"/>
            <w:vMerge w:val="continue"/>
            <w:tcBorders>
              <w:top w:val="nil"/>
              <w:left w:val="single" w:color="000000" w:sz="8" w:space="0"/>
              <w:bottom w:val="single" w:color="000000" w:sz="8" w:space="0"/>
              <w:right w:val="single" w:color="000000" w:sz="8" w:space="0"/>
            </w:tcBorders>
            <w:shd w:val="clear" w:color="auto" w:fill="auto"/>
            <w:vAlign w:val="center"/>
          </w:tcPr>
          <w:p w14:paraId="130C2E89">
            <w:pPr>
              <w:jc w:val="center"/>
              <w:rPr>
                <w:rFonts w:hint="eastAsia" w:ascii="仿宋" w:hAnsi="仿宋" w:eastAsia="仿宋" w:cs="仿宋"/>
                <w:i w:val="0"/>
                <w:iCs w:val="0"/>
                <w:color w:val="auto"/>
                <w:sz w:val="24"/>
                <w:szCs w:val="24"/>
                <w:highlight w:val="none"/>
                <w:u w:val="none"/>
              </w:rPr>
            </w:pPr>
          </w:p>
        </w:tc>
      </w:tr>
      <w:tr w14:paraId="5BFBC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351" w:type="pct"/>
            <w:vMerge w:val="restart"/>
            <w:tcBorders>
              <w:top w:val="nil"/>
              <w:left w:val="single" w:color="000000" w:sz="8" w:space="0"/>
              <w:bottom w:val="single" w:color="000000" w:sz="8" w:space="0"/>
              <w:right w:val="single" w:color="000000" w:sz="8" w:space="0"/>
            </w:tcBorders>
            <w:shd w:val="clear" w:color="auto" w:fill="auto"/>
            <w:vAlign w:val="center"/>
          </w:tcPr>
          <w:p w14:paraId="0D5B9BF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351" w:type="pct"/>
            <w:vMerge w:val="restart"/>
            <w:tcBorders>
              <w:top w:val="nil"/>
              <w:left w:val="single" w:color="000000" w:sz="8" w:space="0"/>
              <w:bottom w:val="single" w:color="000000" w:sz="8" w:space="0"/>
              <w:right w:val="single" w:color="000000" w:sz="8" w:space="0"/>
            </w:tcBorders>
            <w:shd w:val="clear" w:color="auto" w:fill="auto"/>
            <w:vAlign w:val="center"/>
          </w:tcPr>
          <w:p w14:paraId="236A608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入侵防御系统</w:t>
            </w: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1C84387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r>
              <w:rPr>
                <w:rStyle w:val="315"/>
                <w:rFonts w:ascii="仿宋" w:hAnsi="仿宋" w:eastAsia="仿宋" w:cs="仿宋"/>
                <w:color w:val="auto"/>
                <w:sz w:val="24"/>
                <w:szCs w:val="24"/>
                <w:highlight w:val="none"/>
                <w:lang w:val="en-US" w:eastAsia="zh-CN" w:bidi="ar"/>
              </w:rPr>
              <w:t>接口</w:t>
            </w:r>
            <w:r>
              <w:rPr>
                <w:rStyle w:val="148"/>
                <w:rFonts w:ascii="仿宋" w:hAnsi="仿宋" w:eastAsia="仿宋" w:cs="仿宋"/>
                <w:color w:val="auto"/>
                <w:sz w:val="24"/>
                <w:szCs w:val="24"/>
                <w:highlight w:val="none"/>
                <w:lang w:val="en-US" w:eastAsia="zh-CN" w:bidi="ar"/>
              </w:rPr>
              <w:t>≧</w:t>
            </w:r>
            <w:r>
              <w:rPr>
                <w:rStyle w:val="315"/>
                <w:rFonts w:ascii="仿宋" w:hAnsi="仿宋" w:eastAsia="仿宋" w:cs="仿宋"/>
                <w:color w:val="auto"/>
                <w:sz w:val="24"/>
                <w:szCs w:val="24"/>
                <w:highlight w:val="none"/>
                <w:lang w:val="en-US" w:eastAsia="zh-CN" w:bidi="ar"/>
              </w:rPr>
              <w:t>1个管理口+5个千兆电口（包含2组bypass），TCP并发连接数</w:t>
            </w:r>
            <w:r>
              <w:rPr>
                <w:rStyle w:val="148"/>
                <w:rFonts w:ascii="仿宋" w:hAnsi="仿宋" w:eastAsia="仿宋" w:cs="仿宋"/>
                <w:color w:val="auto"/>
                <w:sz w:val="24"/>
                <w:szCs w:val="24"/>
                <w:highlight w:val="none"/>
                <w:lang w:val="en-US" w:eastAsia="zh-CN" w:bidi="ar"/>
              </w:rPr>
              <w:t>≧</w:t>
            </w:r>
            <w:r>
              <w:rPr>
                <w:rStyle w:val="315"/>
                <w:rFonts w:ascii="仿宋" w:hAnsi="仿宋" w:eastAsia="仿宋" w:cs="仿宋"/>
                <w:color w:val="auto"/>
                <w:sz w:val="24"/>
                <w:szCs w:val="24"/>
                <w:highlight w:val="none"/>
                <w:lang w:val="en-US" w:eastAsia="zh-CN" w:bidi="ar"/>
              </w:rPr>
              <w:t>100万，CPU物理核心数</w:t>
            </w:r>
            <w:r>
              <w:rPr>
                <w:rStyle w:val="148"/>
                <w:rFonts w:ascii="仿宋" w:hAnsi="仿宋" w:eastAsia="仿宋" w:cs="仿宋"/>
                <w:color w:val="auto"/>
                <w:sz w:val="24"/>
                <w:szCs w:val="24"/>
                <w:highlight w:val="none"/>
                <w:lang w:val="en-US" w:eastAsia="zh-CN" w:bidi="ar"/>
              </w:rPr>
              <w:t>≧</w:t>
            </w:r>
            <w:r>
              <w:rPr>
                <w:rStyle w:val="315"/>
                <w:rFonts w:ascii="仿宋" w:hAnsi="仿宋" w:eastAsia="仿宋" w:cs="仿宋"/>
                <w:color w:val="auto"/>
                <w:sz w:val="24"/>
                <w:szCs w:val="24"/>
                <w:highlight w:val="none"/>
                <w:lang w:val="en-US" w:eastAsia="zh-CN" w:bidi="ar"/>
              </w:rPr>
              <w:t>4核，电源数量</w:t>
            </w:r>
            <w:r>
              <w:rPr>
                <w:rStyle w:val="148"/>
                <w:rFonts w:ascii="仿宋" w:hAnsi="仿宋" w:eastAsia="仿宋" w:cs="仿宋"/>
                <w:color w:val="auto"/>
                <w:sz w:val="24"/>
                <w:szCs w:val="24"/>
                <w:highlight w:val="none"/>
                <w:lang w:val="en-US" w:eastAsia="zh-CN" w:bidi="ar"/>
              </w:rPr>
              <w:t>≧</w:t>
            </w:r>
            <w:r>
              <w:rPr>
                <w:rStyle w:val="315"/>
                <w:rFonts w:ascii="仿宋" w:hAnsi="仿宋" w:eastAsia="仿宋" w:cs="仿宋"/>
                <w:color w:val="auto"/>
                <w:sz w:val="24"/>
                <w:szCs w:val="24"/>
                <w:highlight w:val="none"/>
                <w:lang w:val="en-US" w:eastAsia="zh-CN" w:bidi="ar"/>
              </w:rPr>
              <w:t>1个，满检速率</w:t>
            </w:r>
            <w:r>
              <w:rPr>
                <w:rStyle w:val="148"/>
                <w:rFonts w:ascii="仿宋" w:hAnsi="仿宋" w:eastAsia="仿宋" w:cs="仿宋"/>
                <w:color w:val="auto"/>
                <w:sz w:val="24"/>
                <w:szCs w:val="24"/>
                <w:highlight w:val="none"/>
                <w:lang w:val="en-US" w:eastAsia="zh-CN" w:bidi="ar"/>
              </w:rPr>
              <w:t>≧650</w:t>
            </w:r>
            <w:r>
              <w:rPr>
                <w:rStyle w:val="315"/>
                <w:rFonts w:ascii="仿宋" w:hAnsi="仿宋" w:eastAsia="仿宋" w:cs="仿宋"/>
                <w:color w:val="auto"/>
                <w:sz w:val="24"/>
                <w:szCs w:val="24"/>
                <w:highlight w:val="none"/>
                <w:lang w:val="en-US" w:eastAsia="zh-CN" w:bidi="ar"/>
              </w:rPr>
              <w:t>0Mbps，规则库</w:t>
            </w:r>
            <w:r>
              <w:rPr>
                <w:rStyle w:val="148"/>
                <w:rFonts w:ascii="仿宋" w:hAnsi="仿宋" w:eastAsia="仿宋" w:cs="仿宋"/>
                <w:color w:val="auto"/>
                <w:sz w:val="24"/>
                <w:szCs w:val="24"/>
                <w:highlight w:val="none"/>
                <w:lang w:val="en-US" w:eastAsia="zh-CN" w:bidi="ar"/>
              </w:rPr>
              <w:t>≧</w:t>
            </w:r>
            <w:r>
              <w:rPr>
                <w:rStyle w:val="315"/>
                <w:rFonts w:ascii="仿宋" w:hAnsi="仿宋" w:eastAsia="仿宋" w:cs="仿宋"/>
                <w:color w:val="auto"/>
                <w:sz w:val="24"/>
                <w:szCs w:val="24"/>
                <w:highlight w:val="none"/>
                <w:lang w:val="en-US" w:eastAsia="zh-CN" w:bidi="ar"/>
              </w:rPr>
              <w:t>攻击检测规则库+应用识别库+威胁情报库</w:t>
            </w:r>
            <w:r>
              <w:rPr>
                <w:rStyle w:val="374"/>
                <w:rFonts w:hAnsi="仿宋"/>
                <w:color w:val="auto"/>
                <w:sz w:val="24"/>
                <w:szCs w:val="24"/>
                <w:highlight w:val="none"/>
                <w:lang w:val="en-US" w:eastAsia="zh-CN" w:bidi="ar"/>
              </w:rPr>
              <w:t>（满足功能要求，名称允许有差异）</w:t>
            </w:r>
            <w:r>
              <w:rPr>
                <w:rStyle w:val="315"/>
                <w:rFonts w:ascii="仿宋" w:hAnsi="仿宋" w:eastAsia="仿宋" w:cs="仿宋"/>
                <w:color w:val="auto"/>
                <w:sz w:val="24"/>
                <w:szCs w:val="24"/>
                <w:highlight w:val="none"/>
                <w:lang w:val="en-US" w:eastAsia="zh-CN" w:bidi="ar"/>
              </w:rPr>
              <w:t>；设备核心部件（中央处理器（CPU）、操作系统和数据库）必须经过安全可靠测评，必须满足中国信息安全测评中心最新出具的“安全可靠测评结果公告”要求（竞标时提供该设备满足安全可靠测评结果要求的承诺函）。</w:t>
            </w:r>
          </w:p>
        </w:tc>
        <w:tc>
          <w:tcPr>
            <w:tcW w:w="246" w:type="pct"/>
            <w:vMerge w:val="restart"/>
            <w:tcBorders>
              <w:top w:val="nil"/>
              <w:left w:val="single" w:color="000000" w:sz="8" w:space="0"/>
              <w:bottom w:val="single" w:color="000000" w:sz="8" w:space="0"/>
              <w:right w:val="single" w:color="000000" w:sz="8" w:space="0"/>
            </w:tcBorders>
            <w:shd w:val="clear" w:color="auto" w:fill="auto"/>
            <w:vAlign w:val="center"/>
          </w:tcPr>
          <w:p w14:paraId="4513005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1台</w:t>
            </w:r>
          </w:p>
        </w:tc>
      </w:tr>
      <w:tr w14:paraId="6437A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413B1F3E">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23C41A87">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5FC908D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r>
              <w:rPr>
                <w:rStyle w:val="315"/>
                <w:rFonts w:ascii="仿宋" w:hAnsi="仿宋" w:eastAsia="仿宋" w:cs="仿宋"/>
                <w:color w:val="auto"/>
                <w:sz w:val="24"/>
                <w:szCs w:val="24"/>
                <w:highlight w:val="none"/>
                <w:lang w:val="en-US" w:eastAsia="zh-CN" w:bidi="ar"/>
              </w:rPr>
              <w:t>支持独立的攻击检测引擎，涵盖10000种以上的攻击检测规则库。规则库支持按照攻击类型、操作系统、风险等级、应用类型、流行程度等方式进行分类。</w:t>
            </w:r>
          </w:p>
        </w:tc>
        <w:tc>
          <w:tcPr>
            <w:tcW w:w="246" w:type="pct"/>
            <w:vMerge w:val="continue"/>
            <w:tcBorders>
              <w:top w:val="nil"/>
              <w:left w:val="single" w:color="000000" w:sz="8" w:space="0"/>
              <w:bottom w:val="single" w:color="000000" w:sz="8" w:space="0"/>
              <w:right w:val="single" w:color="000000" w:sz="8" w:space="0"/>
            </w:tcBorders>
            <w:shd w:val="clear" w:color="auto" w:fill="auto"/>
            <w:vAlign w:val="center"/>
          </w:tcPr>
          <w:p w14:paraId="2338EC6E">
            <w:pPr>
              <w:jc w:val="center"/>
              <w:rPr>
                <w:rFonts w:hint="eastAsia" w:ascii="仿宋" w:hAnsi="仿宋" w:eastAsia="仿宋" w:cs="仿宋"/>
                <w:i w:val="0"/>
                <w:iCs w:val="0"/>
                <w:color w:val="auto"/>
                <w:sz w:val="24"/>
                <w:szCs w:val="24"/>
                <w:highlight w:val="none"/>
                <w:u w:val="none"/>
              </w:rPr>
            </w:pPr>
          </w:p>
        </w:tc>
      </w:tr>
      <w:tr w14:paraId="0D748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3A0421EA">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27C0DB0F">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21CC81F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2、支持统计攻击事件次数、阻断次数、受害主机个数、攻击主机个数；可展示攻击事件Top10、受害主机Top10、攻击类型分布、应用类型分布、攻击趋势；能够按照攻击事件、受害主机、攻击主机进行排名。</w:t>
            </w:r>
          </w:p>
        </w:tc>
        <w:tc>
          <w:tcPr>
            <w:tcW w:w="246" w:type="pct"/>
            <w:vMerge w:val="continue"/>
            <w:tcBorders>
              <w:top w:val="nil"/>
              <w:left w:val="single" w:color="000000" w:sz="8" w:space="0"/>
              <w:bottom w:val="single" w:color="000000" w:sz="8" w:space="0"/>
              <w:right w:val="single" w:color="000000" w:sz="8" w:space="0"/>
            </w:tcBorders>
            <w:shd w:val="clear" w:color="auto" w:fill="auto"/>
            <w:vAlign w:val="center"/>
          </w:tcPr>
          <w:p w14:paraId="4537B416">
            <w:pPr>
              <w:jc w:val="center"/>
              <w:rPr>
                <w:rFonts w:hint="eastAsia" w:ascii="仿宋" w:hAnsi="仿宋" w:eastAsia="仿宋" w:cs="仿宋"/>
                <w:i w:val="0"/>
                <w:iCs w:val="0"/>
                <w:color w:val="auto"/>
                <w:sz w:val="24"/>
                <w:szCs w:val="24"/>
                <w:highlight w:val="none"/>
                <w:u w:val="none"/>
              </w:rPr>
            </w:pPr>
          </w:p>
        </w:tc>
      </w:tr>
      <w:tr w14:paraId="2FAA2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2031D269">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2D09EA52">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57638FE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3、支持通过手动导入PCAP包的方式回放攻击包，可展现回放状态，检测结果可在安全日志中查看。</w:t>
            </w:r>
          </w:p>
        </w:tc>
        <w:tc>
          <w:tcPr>
            <w:tcW w:w="246" w:type="pct"/>
            <w:vMerge w:val="continue"/>
            <w:tcBorders>
              <w:top w:val="nil"/>
              <w:left w:val="single" w:color="000000" w:sz="8" w:space="0"/>
              <w:bottom w:val="single" w:color="000000" w:sz="8" w:space="0"/>
              <w:right w:val="single" w:color="000000" w:sz="8" w:space="0"/>
            </w:tcBorders>
            <w:shd w:val="clear" w:color="auto" w:fill="auto"/>
            <w:vAlign w:val="center"/>
          </w:tcPr>
          <w:p w14:paraId="4C88589F">
            <w:pPr>
              <w:jc w:val="center"/>
              <w:rPr>
                <w:rFonts w:hint="eastAsia" w:ascii="仿宋" w:hAnsi="仿宋" w:eastAsia="仿宋" w:cs="仿宋"/>
                <w:i w:val="0"/>
                <w:iCs w:val="0"/>
                <w:color w:val="auto"/>
                <w:sz w:val="24"/>
                <w:szCs w:val="24"/>
                <w:highlight w:val="none"/>
                <w:u w:val="none"/>
              </w:rPr>
            </w:pPr>
          </w:p>
        </w:tc>
      </w:tr>
      <w:tr w14:paraId="04B2B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6F27D224">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195C3EE3">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68CCC59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4、支持僵尸主机与控制主机异常通信行为检测的方式，具有独立的僵尸主机特征库，能够对僵尸主机行为进行监测和防护，并对规则可设置相应警告、阻断动作。</w:t>
            </w:r>
          </w:p>
        </w:tc>
        <w:tc>
          <w:tcPr>
            <w:tcW w:w="246" w:type="pct"/>
            <w:vMerge w:val="continue"/>
            <w:tcBorders>
              <w:top w:val="nil"/>
              <w:left w:val="single" w:color="000000" w:sz="8" w:space="0"/>
              <w:bottom w:val="single" w:color="000000" w:sz="8" w:space="0"/>
              <w:right w:val="single" w:color="000000" w:sz="8" w:space="0"/>
            </w:tcBorders>
            <w:shd w:val="clear" w:color="auto" w:fill="auto"/>
            <w:vAlign w:val="center"/>
          </w:tcPr>
          <w:p w14:paraId="68827E1F">
            <w:pPr>
              <w:jc w:val="center"/>
              <w:rPr>
                <w:rFonts w:hint="eastAsia" w:ascii="仿宋" w:hAnsi="仿宋" w:eastAsia="仿宋" w:cs="仿宋"/>
                <w:i w:val="0"/>
                <w:iCs w:val="0"/>
                <w:color w:val="auto"/>
                <w:sz w:val="24"/>
                <w:szCs w:val="24"/>
                <w:highlight w:val="none"/>
                <w:u w:val="none"/>
              </w:rPr>
            </w:pPr>
          </w:p>
        </w:tc>
      </w:tr>
      <w:tr w14:paraId="2971F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536EF869">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481BF022">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4290BD95">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5、支持独立的DDoS检测引擎，支持对IP扫描攻击、端口扫描攻击等多种扫描攻击行为检测和防护。</w:t>
            </w:r>
          </w:p>
        </w:tc>
        <w:tc>
          <w:tcPr>
            <w:tcW w:w="246" w:type="pct"/>
            <w:vMerge w:val="continue"/>
            <w:tcBorders>
              <w:top w:val="nil"/>
              <w:left w:val="single" w:color="000000" w:sz="8" w:space="0"/>
              <w:bottom w:val="single" w:color="000000" w:sz="8" w:space="0"/>
              <w:right w:val="single" w:color="000000" w:sz="8" w:space="0"/>
            </w:tcBorders>
            <w:shd w:val="clear" w:color="auto" w:fill="auto"/>
            <w:vAlign w:val="center"/>
          </w:tcPr>
          <w:p w14:paraId="191480CA">
            <w:pPr>
              <w:jc w:val="center"/>
              <w:rPr>
                <w:rFonts w:hint="eastAsia" w:ascii="仿宋" w:hAnsi="仿宋" w:eastAsia="仿宋" w:cs="仿宋"/>
                <w:i w:val="0"/>
                <w:iCs w:val="0"/>
                <w:color w:val="auto"/>
                <w:sz w:val="24"/>
                <w:szCs w:val="24"/>
                <w:highlight w:val="none"/>
                <w:u w:val="none"/>
              </w:rPr>
            </w:pPr>
          </w:p>
        </w:tc>
      </w:tr>
      <w:tr w14:paraId="29B1F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351" w:type="pct"/>
            <w:vMerge w:val="restart"/>
            <w:tcBorders>
              <w:top w:val="nil"/>
              <w:left w:val="single" w:color="000000" w:sz="8" w:space="0"/>
              <w:bottom w:val="single" w:color="000000" w:sz="8" w:space="0"/>
              <w:right w:val="single" w:color="000000" w:sz="8" w:space="0"/>
            </w:tcBorders>
            <w:shd w:val="clear" w:color="auto" w:fill="auto"/>
            <w:vAlign w:val="center"/>
          </w:tcPr>
          <w:p w14:paraId="61423E8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351" w:type="pct"/>
            <w:vMerge w:val="restart"/>
            <w:tcBorders>
              <w:top w:val="nil"/>
              <w:left w:val="single" w:color="000000" w:sz="8" w:space="0"/>
              <w:bottom w:val="single" w:color="000000" w:sz="8" w:space="0"/>
              <w:right w:val="single" w:color="000000" w:sz="8" w:space="0"/>
            </w:tcBorders>
            <w:shd w:val="clear" w:color="auto" w:fill="auto"/>
            <w:vAlign w:val="center"/>
          </w:tcPr>
          <w:p w14:paraId="1A6F019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运维审计系统（堡垒机）</w:t>
            </w: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408038B5">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▲CPU物理核心数</w:t>
            </w:r>
            <w:r>
              <w:rPr>
                <w:rStyle w:val="148"/>
                <w:rFonts w:ascii="仿宋" w:hAnsi="仿宋" w:eastAsia="仿宋" w:cs="仿宋"/>
                <w:color w:val="auto"/>
                <w:sz w:val="24"/>
                <w:szCs w:val="24"/>
                <w:highlight w:val="none"/>
                <w:lang w:val="en-US" w:eastAsia="zh-CN" w:bidi="ar"/>
              </w:rPr>
              <w:t>≧</w:t>
            </w:r>
            <w:r>
              <w:rPr>
                <w:rStyle w:val="315"/>
                <w:rFonts w:ascii="仿宋" w:hAnsi="仿宋" w:eastAsia="仿宋" w:cs="仿宋"/>
                <w:color w:val="auto"/>
                <w:sz w:val="24"/>
                <w:szCs w:val="24"/>
                <w:highlight w:val="none"/>
                <w:lang w:val="en-US" w:eastAsia="zh-CN" w:bidi="ar"/>
              </w:rPr>
              <w:t>4核，内存大小</w:t>
            </w:r>
            <w:r>
              <w:rPr>
                <w:rStyle w:val="148"/>
                <w:rFonts w:ascii="仿宋" w:hAnsi="仿宋" w:eastAsia="仿宋" w:cs="仿宋"/>
                <w:color w:val="auto"/>
                <w:sz w:val="24"/>
                <w:szCs w:val="24"/>
                <w:highlight w:val="none"/>
                <w:lang w:val="en-US" w:eastAsia="zh-CN" w:bidi="ar"/>
              </w:rPr>
              <w:t>≧8</w:t>
            </w:r>
            <w:r>
              <w:rPr>
                <w:rStyle w:val="315"/>
                <w:rFonts w:ascii="仿宋" w:hAnsi="仿宋" w:eastAsia="仿宋" w:cs="仿宋"/>
                <w:color w:val="auto"/>
                <w:sz w:val="24"/>
                <w:szCs w:val="24"/>
                <w:highlight w:val="none"/>
                <w:lang w:val="en-US" w:eastAsia="zh-CN" w:bidi="ar"/>
              </w:rPr>
              <w:t>GB，电源数量</w:t>
            </w:r>
            <w:r>
              <w:rPr>
                <w:rStyle w:val="148"/>
                <w:rFonts w:ascii="仿宋" w:hAnsi="仿宋" w:eastAsia="仿宋" w:cs="仿宋"/>
                <w:color w:val="auto"/>
                <w:sz w:val="24"/>
                <w:szCs w:val="24"/>
                <w:highlight w:val="none"/>
                <w:lang w:val="en-US" w:eastAsia="zh-CN" w:bidi="ar"/>
              </w:rPr>
              <w:t>≧</w:t>
            </w:r>
            <w:r>
              <w:rPr>
                <w:rStyle w:val="315"/>
                <w:rFonts w:ascii="仿宋" w:hAnsi="仿宋" w:eastAsia="仿宋" w:cs="仿宋"/>
                <w:color w:val="auto"/>
                <w:sz w:val="24"/>
                <w:szCs w:val="24"/>
                <w:highlight w:val="none"/>
                <w:lang w:val="en-US" w:eastAsia="zh-CN" w:bidi="ar"/>
              </w:rPr>
              <w:t>1个，硬盘容量：</w:t>
            </w:r>
            <w:r>
              <w:rPr>
                <w:rStyle w:val="148"/>
                <w:rFonts w:ascii="仿宋" w:hAnsi="仿宋" w:eastAsia="仿宋" w:cs="仿宋"/>
                <w:color w:val="auto"/>
                <w:sz w:val="24"/>
                <w:szCs w:val="24"/>
                <w:highlight w:val="none"/>
                <w:lang w:val="en-US" w:eastAsia="zh-CN" w:bidi="ar"/>
              </w:rPr>
              <w:t>≧1</w:t>
            </w:r>
            <w:r>
              <w:rPr>
                <w:rStyle w:val="315"/>
                <w:rFonts w:ascii="仿宋" w:hAnsi="仿宋" w:eastAsia="仿宋" w:cs="仿宋"/>
                <w:color w:val="auto"/>
                <w:sz w:val="24"/>
                <w:szCs w:val="24"/>
                <w:highlight w:val="none"/>
                <w:lang w:val="en-US" w:eastAsia="zh-CN" w:bidi="ar"/>
              </w:rPr>
              <w:t>TB，图形运维最大并发数</w:t>
            </w:r>
            <w:r>
              <w:rPr>
                <w:rStyle w:val="148"/>
                <w:rFonts w:ascii="仿宋" w:hAnsi="仿宋" w:eastAsia="仿宋" w:cs="仿宋"/>
                <w:color w:val="auto"/>
                <w:sz w:val="24"/>
                <w:szCs w:val="24"/>
                <w:highlight w:val="none"/>
                <w:lang w:val="en-US" w:eastAsia="zh-CN" w:bidi="ar"/>
              </w:rPr>
              <w:t>≧20</w:t>
            </w:r>
            <w:r>
              <w:rPr>
                <w:rStyle w:val="315"/>
                <w:rFonts w:ascii="仿宋" w:hAnsi="仿宋" w:eastAsia="仿宋" w:cs="仿宋"/>
                <w:color w:val="auto"/>
                <w:sz w:val="24"/>
                <w:szCs w:val="24"/>
                <w:highlight w:val="none"/>
                <w:lang w:val="en-US" w:eastAsia="zh-CN" w:bidi="ar"/>
              </w:rPr>
              <w:t>个，网络接口</w:t>
            </w:r>
            <w:r>
              <w:rPr>
                <w:rStyle w:val="148"/>
                <w:rFonts w:ascii="仿宋" w:hAnsi="仿宋" w:eastAsia="仿宋" w:cs="仿宋"/>
                <w:color w:val="auto"/>
                <w:sz w:val="24"/>
                <w:szCs w:val="24"/>
                <w:highlight w:val="none"/>
                <w:lang w:val="en-US" w:eastAsia="zh-CN" w:bidi="ar"/>
              </w:rPr>
              <w:t>≧</w:t>
            </w:r>
            <w:r>
              <w:rPr>
                <w:rStyle w:val="315"/>
                <w:rFonts w:ascii="仿宋" w:hAnsi="仿宋" w:eastAsia="仿宋" w:cs="仿宋"/>
                <w:color w:val="auto"/>
                <w:sz w:val="24"/>
                <w:szCs w:val="24"/>
                <w:highlight w:val="none"/>
                <w:lang w:val="en-US" w:eastAsia="zh-CN" w:bidi="ar"/>
              </w:rPr>
              <w:t>6个千兆电口，含主机/设备许可</w:t>
            </w:r>
            <w:r>
              <w:rPr>
                <w:rStyle w:val="148"/>
                <w:rFonts w:ascii="仿宋" w:hAnsi="仿宋" w:eastAsia="仿宋" w:cs="仿宋"/>
                <w:color w:val="auto"/>
                <w:sz w:val="24"/>
                <w:szCs w:val="24"/>
                <w:highlight w:val="none"/>
                <w:lang w:val="en-US" w:eastAsia="zh-CN" w:bidi="ar"/>
              </w:rPr>
              <w:t>≧</w:t>
            </w:r>
            <w:r>
              <w:rPr>
                <w:rStyle w:val="315"/>
                <w:rFonts w:ascii="仿宋" w:hAnsi="仿宋" w:eastAsia="仿宋" w:cs="仿宋"/>
                <w:color w:val="auto"/>
                <w:sz w:val="24"/>
                <w:szCs w:val="24"/>
                <w:highlight w:val="none"/>
                <w:lang w:val="en-US" w:eastAsia="zh-CN" w:bidi="ar"/>
              </w:rPr>
              <w:t>50个；设备核心部件（中央处理器（CPU）、操作系统和数据库）必须经过安全可靠测评，必须满足中国信息安全测评中心最新出具的“安全可靠测评结果公告”要求（竞标时提供该设备满足安全可靠测评结果要求的承诺函）。</w:t>
            </w:r>
          </w:p>
        </w:tc>
        <w:tc>
          <w:tcPr>
            <w:tcW w:w="246" w:type="pct"/>
            <w:vMerge w:val="restart"/>
            <w:tcBorders>
              <w:top w:val="nil"/>
              <w:left w:val="single" w:color="000000" w:sz="8" w:space="0"/>
              <w:bottom w:val="single" w:color="000000" w:sz="8" w:space="0"/>
              <w:right w:val="single" w:color="000000" w:sz="8" w:space="0"/>
            </w:tcBorders>
            <w:shd w:val="clear" w:color="auto" w:fill="auto"/>
            <w:vAlign w:val="center"/>
          </w:tcPr>
          <w:p w14:paraId="4F7EF6C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1台</w:t>
            </w:r>
          </w:p>
        </w:tc>
      </w:tr>
      <w:tr w14:paraId="599E3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072A6CAE">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443DB6ED">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201F7E3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1、支持用户的增删改查、锁定、解锁、清空等操作，对用户进行全生命周期管理。</w:t>
            </w:r>
          </w:p>
        </w:tc>
        <w:tc>
          <w:tcPr>
            <w:tcW w:w="246" w:type="pct"/>
            <w:vMerge w:val="continue"/>
            <w:tcBorders>
              <w:top w:val="nil"/>
              <w:left w:val="single" w:color="000000" w:sz="8" w:space="0"/>
              <w:bottom w:val="single" w:color="000000" w:sz="8" w:space="0"/>
              <w:right w:val="single" w:color="000000" w:sz="8" w:space="0"/>
            </w:tcBorders>
            <w:shd w:val="clear" w:color="auto" w:fill="auto"/>
            <w:vAlign w:val="center"/>
          </w:tcPr>
          <w:p w14:paraId="22CDF7AA">
            <w:pPr>
              <w:jc w:val="center"/>
              <w:rPr>
                <w:rFonts w:hint="eastAsia" w:ascii="仿宋" w:hAnsi="仿宋" w:eastAsia="仿宋" w:cs="仿宋"/>
                <w:i w:val="0"/>
                <w:iCs w:val="0"/>
                <w:color w:val="auto"/>
                <w:sz w:val="24"/>
                <w:szCs w:val="24"/>
                <w:highlight w:val="none"/>
                <w:u w:val="none"/>
              </w:rPr>
            </w:pPr>
          </w:p>
        </w:tc>
      </w:tr>
      <w:tr w14:paraId="5D340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6AAF5243">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4482916F">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63AA8F3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2、支持混合云资源的管理，即公有云及局域网资源，支持主机、服务器、网络设备、安全设备、数据库等的资产管理，满足公有云、数据中心多种运维场景。</w:t>
            </w:r>
          </w:p>
        </w:tc>
        <w:tc>
          <w:tcPr>
            <w:tcW w:w="246" w:type="pct"/>
            <w:vMerge w:val="continue"/>
            <w:tcBorders>
              <w:top w:val="nil"/>
              <w:left w:val="single" w:color="000000" w:sz="8" w:space="0"/>
              <w:bottom w:val="single" w:color="000000" w:sz="8" w:space="0"/>
              <w:right w:val="single" w:color="000000" w:sz="8" w:space="0"/>
            </w:tcBorders>
            <w:shd w:val="clear" w:color="auto" w:fill="auto"/>
            <w:vAlign w:val="center"/>
          </w:tcPr>
          <w:p w14:paraId="130726B4">
            <w:pPr>
              <w:jc w:val="center"/>
              <w:rPr>
                <w:rFonts w:hint="eastAsia" w:ascii="仿宋" w:hAnsi="仿宋" w:eastAsia="仿宋" w:cs="仿宋"/>
                <w:i w:val="0"/>
                <w:iCs w:val="0"/>
                <w:color w:val="auto"/>
                <w:sz w:val="24"/>
                <w:szCs w:val="24"/>
                <w:highlight w:val="none"/>
                <w:u w:val="none"/>
              </w:rPr>
            </w:pPr>
          </w:p>
        </w:tc>
      </w:tr>
      <w:tr w14:paraId="71566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5DB0008B">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075E5DA9">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38A4C9D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3、支持自动对Linux、Windows、安全设备、数据库等资产进行账号改密，改密支持手动和定期自动改密。</w:t>
            </w:r>
          </w:p>
        </w:tc>
        <w:tc>
          <w:tcPr>
            <w:tcW w:w="246" w:type="pct"/>
            <w:vMerge w:val="continue"/>
            <w:tcBorders>
              <w:top w:val="nil"/>
              <w:left w:val="single" w:color="000000" w:sz="8" w:space="0"/>
              <w:bottom w:val="single" w:color="000000" w:sz="8" w:space="0"/>
              <w:right w:val="single" w:color="000000" w:sz="8" w:space="0"/>
            </w:tcBorders>
            <w:shd w:val="clear" w:color="auto" w:fill="auto"/>
            <w:vAlign w:val="center"/>
          </w:tcPr>
          <w:p w14:paraId="7275FA30">
            <w:pPr>
              <w:jc w:val="center"/>
              <w:rPr>
                <w:rFonts w:hint="eastAsia" w:ascii="仿宋" w:hAnsi="仿宋" w:eastAsia="仿宋" w:cs="仿宋"/>
                <w:i w:val="0"/>
                <w:iCs w:val="0"/>
                <w:color w:val="auto"/>
                <w:sz w:val="24"/>
                <w:szCs w:val="24"/>
                <w:highlight w:val="none"/>
                <w:u w:val="none"/>
              </w:rPr>
            </w:pPr>
          </w:p>
        </w:tc>
      </w:tr>
      <w:tr w14:paraId="3AB86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799ACA19">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20699F0B">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70549DD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4、支持各种自定义客户端工具，支持通过动作流配置提供广泛的应用接入支持，在不作二次开发的情况下，可灵活扩展且实现帐号口令的代填。</w:t>
            </w:r>
          </w:p>
        </w:tc>
        <w:tc>
          <w:tcPr>
            <w:tcW w:w="246" w:type="pct"/>
            <w:vMerge w:val="continue"/>
            <w:tcBorders>
              <w:top w:val="nil"/>
              <w:left w:val="single" w:color="000000" w:sz="8" w:space="0"/>
              <w:bottom w:val="single" w:color="000000" w:sz="8" w:space="0"/>
              <w:right w:val="single" w:color="000000" w:sz="8" w:space="0"/>
            </w:tcBorders>
            <w:shd w:val="clear" w:color="auto" w:fill="auto"/>
            <w:vAlign w:val="center"/>
          </w:tcPr>
          <w:p w14:paraId="02B81C31">
            <w:pPr>
              <w:jc w:val="center"/>
              <w:rPr>
                <w:rFonts w:hint="eastAsia" w:ascii="仿宋" w:hAnsi="仿宋" w:eastAsia="仿宋" w:cs="仿宋"/>
                <w:i w:val="0"/>
                <w:iCs w:val="0"/>
                <w:color w:val="auto"/>
                <w:sz w:val="24"/>
                <w:szCs w:val="24"/>
                <w:highlight w:val="none"/>
                <w:u w:val="none"/>
              </w:rPr>
            </w:pPr>
          </w:p>
        </w:tc>
      </w:tr>
      <w:tr w14:paraId="2DC29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3432D6F2">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23176CD8">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01AE461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5、支持运维审批，申请人可根据工作需求临时申请设备运维工单，按照要求填写使用时间、申请原因、备注信息等，管理员审批通过后方可运维，过期失效。</w:t>
            </w:r>
          </w:p>
        </w:tc>
        <w:tc>
          <w:tcPr>
            <w:tcW w:w="246" w:type="pct"/>
            <w:vMerge w:val="continue"/>
            <w:tcBorders>
              <w:top w:val="nil"/>
              <w:left w:val="single" w:color="000000" w:sz="8" w:space="0"/>
              <w:bottom w:val="single" w:color="000000" w:sz="8" w:space="0"/>
              <w:right w:val="single" w:color="000000" w:sz="8" w:space="0"/>
            </w:tcBorders>
            <w:shd w:val="clear" w:color="auto" w:fill="auto"/>
            <w:vAlign w:val="center"/>
          </w:tcPr>
          <w:p w14:paraId="260FB901">
            <w:pPr>
              <w:jc w:val="center"/>
              <w:rPr>
                <w:rFonts w:hint="eastAsia" w:ascii="仿宋" w:hAnsi="仿宋" w:eastAsia="仿宋" w:cs="仿宋"/>
                <w:i w:val="0"/>
                <w:iCs w:val="0"/>
                <w:color w:val="auto"/>
                <w:sz w:val="24"/>
                <w:szCs w:val="24"/>
                <w:highlight w:val="none"/>
                <w:u w:val="none"/>
              </w:rPr>
            </w:pPr>
          </w:p>
        </w:tc>
      </w:tr>
      <w:tr w14:paraId="7A81C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51" w:type="pct"/>
            <w:vMerge w:val="restart"/>
            <w:tcBorders>
              <w:top w:val="nil"/>
              <w:left w:val="single" w:color="000000" w:sz="8" w:space="0"/>
              <w:bottom w:val="single" w:color="000000" w:sz="8" w:space="0"/>
              <w:right w:val="single" w:color="000000" w:sz="8" w:space="0"/>
            </w:tcBorders>
            <w:shd w:val="clear" w:color="auto" w:fill="auto"/>
            <w:vAlign w:val="center"/>
          </w:tcPr>
          <w:p w14:paraId="71C3B7B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351" w:type="pct"/>
            <w:vMerge w:val="restart"/>
            <w:tcBorders>
              <w:top w:val="nil"/>
              <w:left w:val="single" w:color="000000" w:sz="8" w:space="0"/>
              <w:bottom w:val="single" w:color="000000" w:sz="8" w:space="0"/>
              <w:right w:val="single" w:color="000000" w:sz="8" w:space="0"/>
            </w:tcBorders>
            <w:shd w:val="clear" w:color="auto" w:fill="auto"/>
            <w:vAlign w:val="center"/>
          </w:tcPr>
          <w:p w14:paraId="1594F33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探针</w:t>
            </w:r>
            <w:r>
              <w:rPr>
                <w:rStyle w:val="315"/>
                <w:rFonts w:ascii="仿宋" w:hAnsi="仿宋" w:eastAsia="仿宋" w:cs="仿宋"/>
                <w:color w:val="auto"/>
                <w:sz w:val="24"/>
                <w:szCs w:val="24"/>
                <w:highlight w:val="none"/>
                <w:lang w:val="en-US" w:eastAsia="zh-CN" w:bidi="ar"/>
              </w:rPr>
              <w:t xml:space="preserve"> </w:t>
            </w: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070DE76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r>
              <w:rPr>
                <w:rStyle w:val="315"/>
                <w:rFonts w:ascii="仿宋" w:hAnsi="仿宋" w:eastAsia="仿宋" w:cs="仿宋"/>
                <w:color w:val="auto"/>
                <w:sz w:val="24"/>
                <w:szCs w:val="24"/>
                <w:highlight w:val="none"/>
                <w:lang w:val="en-US" w:eastAsia="zh-CN" w:bidi="ar"/>
              </w:rPr>
              <w:t>CPU物理核心数</w:t>
            </w:r>
            <w:r>
              <w:rPr>
                <w:rStyle w:val="148"/>
                <w:rFonts w:ascii="仿宋" w:hAnsi="仿宋" w:eastAsia="仿宋" w:cs="仿宋"/>
                <w:color w:val="auto"/>
                <w:sz w:val="24"/>
                <w:szCs w:val="24"/>
                <w:highlight w:val="none"/>
                <w:lang w:val="en-US" w:eastAsia="zh-CN" w:bidi="ar"/>
              </w:rPr>
              <w:t>≧4</w:t>
            </w:r>
            <w:r>
              <w:rPr>
                <w:rStyle w:val="315"/>
                <w:rFonts w:ascii="仿宋" w:hAnsi="仿宋" w:eastAsia="仿宋" w:cs="仿宋"/>
                <w:color w:val="auto"/>
                <w:sz w:val="24"/>
                <w:szCs w:val="24"/>
                <w:highlight w:val="none"/>
                <w:lang w:val="en-US" w:eastAsia="zh-CN" w:bidi="ar"/>
              </w:rPr>
              <w:t>核，内存大小</w:t>
            </w:r>
            <w:r>
              <w:rPr>
                <w:rStyle w:val="148"/>
                <w:rFonts w:ascii="仿宋" w:hAnsi="仿宋" w:eastAsia="仿宋" w:cs="仿宋"/>
                <w:color w:val="auto"/>
                <w:sz w:val="24"/>
                <w:szCs w:val="24"/>
                <w:highlight w:val="none"/>
                <w:lang w:val="en-US" w:eastAsia="zh-CN" w:bidi="ar"/>
              </w:rPr>
              <w:t>≧8</w:t>
            </w:r>
            <w:r>
              <w:rPr>
                <w:rStyle w:val="315"/>
                <w:rFonts w:ascii="仿宋" w:hAnsi="仿宋" w:eastAsia="仿宋" w:cs="仿宋"/>
                <w:color w:val="auto"/>
                <w:sz w:val="24"/>
                <w:szCs w:val="24"/>
                <w:highlight w:val="none"/>
                <w:lang w:val="en-US" w:eastAsia="zh-CN" w:bidi="ar"/>
              </w:rPr>
              <w:t>G，接口</w:t>
            </w:r>
            <w:r>
              <w:rPr>
                <w:rStyle w:val="148"/>
                <w:rFonts w:ascii="仿宋" w:hAnsi="仿宋" w:eastAsia="仿宋" w:cs="仿宋"/>
                <w:color w:val="auto"/>
                <w:sz w:val="24"/>
                <w:szCs w:val="24"/>
                <w:highlight w:val="none"/>
                <w:lang w:val="en-US" w:eastAsia="zh-CN" w:bidi="ar"/>
              </w:rPr>
              <w:t>≧</w:t>
            </w:r>
            <w:r>
              <w:rPr>
                <w:rStyle w:val="315"/>
                <w:rFonts w:ascii="仿宋" w:hAnsi="仿宋" w:eastAsia="仿宋" w:cs="仿宋"/>
                <w:color w:val="auto"/>
                <w:sz w:val="24"/>
                <w:szCs w:val="24"/>
                <w:highlight w:val="none"/>
                <w:lang w:val="en-US" w:eastAsia="zh-CN" w:bidi="ar"/>
              </w:rPr>
              <w:t>6千兆电口，电源数量</w:t>
            </w:r>
            <w:r>
              <w:rPr>
                <w:rStyle w:val="148"/>
                <w:rFonts w:ascii="仿宋" w:hAnsi="仿宋" w:eastAsia="仿宋" w:cs="仿宋"/>
                <w:color w:val="auto"/>
                <w:sz w:val="24"/>
                <w:szCs w:val="24"/>
                <w:highlight w:val="none"/>
                <w:lang w:val="en-US" w:eastAsia="zh-CN" w:bidi="ar"/>
              </w:rPr>
              <w:t>≧</w:t>
            </w:r>
            <w:r>
              <w:rPr>
                <w:rStyle w:val="315"/>
                <w:rFonts w:ascii="仿宋" w:hAnsi="仿宋" w:eastAsia="仿宋" w:cs="仿宋"/>
                <w:color w:val="auto"/>
                <w:sz w:val="24"/>
                <w:szCs w:val="24"/>
                <w:highlight w:val="none"/>
                <w:lang w:val="en-US" w:eastAsia="zh-CN" w:bidi="ar"/>
              </w:rPr>
              <w:t>1个，规则库</w:t>
            </w:r>
            <w:r>
              <w:rPr>
                <w:rStyle w:val="148"/>
                <w:rFonts w:ascii="仿宋" w:hAnsi="仿宋" w:eastAsia="仿宋" w:cs="仿宋"/>
                <w:color w:val="auto"/>
                <w:sz w:val="24"/>
                <w:szCs w:val="24"/>
                <w:highlight w:val="none"/>
                <w:lang w:val="en-US" w:eastAsia="zh-CN" w:bidi="ar"/>
              </w:rPr>
              <w:t>≧</w:t>
            </w:r>
            <w:r>
              <w:rPr>
                <w:rStyle w:val="315"/>
                <w:rFonts w:ascii="仿宋" w:hAnsi="仿宋" w:eastAsia="仿宋" w:cs="仿宋"/>
                <w:color w:val="auto"/>
                <w:sz w:val="24"/>
                <w:szCs w:val="24"/>
                <w:highlight w:val="none"/>
                <w:lang w:val="en-US" w:eastAsia="zh-CN" w:bidi="ar"/>
              </w:rPr>
              <w:t>攻击检测规则库+应用识别库+威胁情报库</w:t>
            </w:r>
            <w:r>
              <w:rPr>
                <w:rStyle w:val="374"/>
                <w:rFonts w:hAnsi="仿宋"/>
                <w:color w:val="auto"/>
                <w:sz w:val="24"/>
                <w:szCs w:val="24"/>
                <w:highlight w:val="none"/>
                <w:lang w:val="en-US" w:eastAsia="zh-CN" w:bidi="ar"/>
              </w:rPr>
              <w:t>（满足功能要求，名称允许有差异）</w:t>
            </w:r>
            <w:r>
              <w:rPr>
                <w:rStyle w:val="315"/>
                <w:rFonts w:ascii="仿宋" w:hAnsi="仿宋" w:eastAsia="仿宋" w:cs="仿宋"/>
                <w:color w:val="auto"/>
                <w:sz w:val="24"/>
                <w:szCs w:val="24"/>
                <w:highlight w:val="none"/>
                <w:lang w:val="en-US" w:eastAsia="zh-CN" w:bidi="ar"/>
              </w:rPr>
              <w:t>，网络层吞吐量</w:t>
            </w:r>
            <w:r>
              <w:rPr>
                <w:rStyle w:val="148"/>
                <w:rFonts w:ascii="仿宋" w:hAnsi="仿宋" w:eastAsia="仿宋" w:cs="仿宋"/>
                <w:color w:val="auto"/>
                <w:sz w:val="24"/>
                <w:szCs w:val="24"/>
                <w:highlight w:val="none"/>
                <w:lang w:val="en-US" w:eastAsia="zh-CN" w:bidi="ar"/>
              </w:rPr>
              <w:t>≧</w:t>
            </w:r>
            <w:r>
              <w:rPr>
                <w:rStyle w:val="315"/>
                <w:rFonts w:ascii="仿宋" w:hAnsi="仿宋" w:eastAsia="仿宋" w:cs="仿宋"/>
                <w:color w:val="auto"/>
                <w:sz w:val="24"/>
                <w:szCs w:val="24"/>
                <w:highlight w:val="none"/>
                <w:lang w:val="en-US" w:eastAsia="zh-CN" w:bidi="ar"/>
              </w:rPr>
              <w:t>1Gbps，硬盘容量</w:t>
            </w:r>
            <w:r>
              <w:rPr>
                <w:rStyle w:val="148"/>
                <w:rFonts w:ascii="仿宋" w:hAnsi="仿宋" w:eastAsia="仿宋" w:cs="仿宋"/>
                <w:color w:val="auto"/>
                <w:sz w:val="24"/>
                <w:szCs w:val="24"/>
                <w:highlight w:val="none"/>
                <w:lang w:val="en-US" w:eastAsia="zh-CN" w:bidi="ar"/>
              </w:rPr>
              <w:t>≧</w:t>
            </w:r>
            <w:r>
              <w:rPr>
                <w:rStyle w:val="315"/>
                <w:rFonts w:ascii="仿宋" w:hAnsi="仿宋" w:eastAsia="仿宋" w:cs="仿宋"/>
                <w:color w:val="auto"/>
                <w:sz w:val="24"/>
                <w:szCs w:val="24"/>
                <w:highlight w:val="none"/>
                <w:lang w:val="en-US" w:eastAsia="zh-CN" w:bidi="ar"/>
              </w:rPr>
              <w:t>4T SATA或64GB SSD，支持检测WEB攻击、异常访问、恶意文件攻击、远程控制、WEB后门访问、邮件钓鱼、WEB行为分析、暴力破解等</w:t>
            </w:r>
            <w:r>
              <w:rPr>
                <w:rStyle w:val="374"/>
                <w:rFonts w:hAnsi="仿宋"/>
                <w:color w:val="auto"/>
                <w:sz w:val="24"/>
                <w:szCs w:val="24"/>
                <w:highlight w:val="none"/>
                <w:lang w:val="en-US" w:eastAsia="zh-CN" w:bidi="ar"/>
              </w:rPr>
              <w:t>（满足功能要求，名称允许有差异），</w:t>
            </w:r>
            <w:r>
              <w:rPr>
                <w:rStyle w:val="315"/>
                <w:rFonts w:ascii="仿宋" w:hAnsi="仿宋" w:eastAsia="仿宋" w:cs="仿宋"/>
                <w:color w:val="auto"/>
                <w:sz w:val="24"/>
                <w:szCs w:val="24"/>
                <w:highlight w:val="none"/>
                <w:lang w:val="en-US" w:eastAsia="zh-CN" w:bidi="ar"/>
              </w:rPr>
              <w:t>竞标时出示功能截图或官网产品查询截图，设备核心部件（中央处理器（CPU）、操作系统和数据库）必须经过安全可靠测评，必须满足中国信息安全测评中心最新出具的“安全可靠测评结果公告”要求（竞标时提供该设备满足安全可靠测评结果要求的承诺函）。</w:t>
            </w:r>
          </w:p>
        </w:tc>
        <w:tc>
          <w:tcPr>
            <w:tcW w:w="246" w:type="pct"/>
            <w:vMerge w:val="restart"/>
            <w:tcBorders>
              <w:top w:val="nil"/>
              <w:left w:val="single" w:color="000000" w:sz="8" w:space="0"/>
              <w:bottom w:val="single" w:color="000000" w:sz="8" w:space="0"/>
              <w:right w:val="single" w:color="000000" w:sz="8" w:space="0"/>
            </w:tcBorders>
            <w:shd w:val="clear" w:color="auto" w:fill="auto"/>
            <w:vAlign w:val="center"/>
          </w:tcPr>
          <w:p w14:paraId="4FA2409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1台</w:t>
            </w:r>
          </w:p>
        </w:tc>
      </w:tr>
      <w:tr w14:paraId="49D71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1FE2755E">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2FF07A7E">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56FFB76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1、支持独立的攻击检测引擎，涵盖15000种以上的攻击检测规则库。规则库支持按照攻击类型、操作系统、风险等级、应用类型、流行程度等方式进行分类。</w:t>
            </w:r>
          </w:p>
        </w:tc>
        <w:tc>
          <w:tcPr>
            <w:tcW w:w="246" w:type="pct"/>
            <w:vMerge w:val="continue"/>
            <w:tcBorders>
              <w:top w:val="nil"/>
              <w:left w:val="single" w:color="000000" w:sz="8" w:space="0"/>
              <w:bottom w:val="single" w:color="000000" w:sz="8" w:space="0"/>
              <w:right w:val="single" w:color="000000" w:sz="8" w:space="0"/>
            </w:tcBorders>
            <w:shd w:val="clear" w:color="auto" w:fill="auto"/>
            <w:vAlign w:val="center"/>
          </w:tcPr>
          <w:p w14:paraId="53FBF2C9">
            <w:pPr>
              <w:jc w:val="center"/>
              <w:rPr>
                <w:rFonts w:hint="eastAsia" w:ascii="仿宋" w:hAnsi="仿宋" w:eastAsia="仿宋" w:cs="仿宋"/>
                <w:i w:val="0"/>
                <w:iCs w:val="0"/>
                <w:color w:val="auto"/>
                <w:sz w:val="24"/>
                <w:szCs w:val="24"/>
                <w:highlight w:val="none"/>
                <w:u w:val="none"/>
              </w:rPr>
            </w:pPr>
          </w:p>
        </w:tc>
      </w:tr>
      <w:tr w14:paraId="67E9F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5E37B840">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5B7249C3">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143E282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2、支持SQL注入攻击、跨站攻击、URL跳转攻击、WEB远程代码执行攻击、WEB缓冲区溢出攻击、WEB漏洞攻击、WEBSHELL上传攻击、WEB越权攻击、WEB扫描攻击、目录遍历攻击、WEB口令暴力破解攻击等多种WEB攻击类型。</w:t>
            </w:r>
          </w:p>
        </w:tc>
        <w:tc>
          <w:tcPr>
            <w:tcW w:w="246" w:type="pct"/>
            <w:vMerge w:val="continue"/>
            <w:tcBorders>
              <w:top w:val="nil"/>
              <w:left w:val="single" w:color="000000" w:sz="8" w:space="0"/>
              <w:bottom w:val="single" w:color="000000" w:sz="8" w:space="0"/>
              <w:right w:val="single" w:color="000000" w:sz="8" w:space="0"/>
            </w:tcBorders>
            <w:shd w:val="clear" w:color="auto" w:fill="auto"/>
            <w:vAlign w:val="center"/>
          </w:tcPr>
          <w:p w14:paraId="5FFC6728">
            <w:pPr>
              <w:jc w:val="center"/>
              <w:rPr>
                <w:rFonts w:hint="eastAsia" w:ascii="仿宋" w:hAnsi="仿宋" w:eastAsia="仿宋" w:cs="仿宋"/>
                <w:i w:val="0"/>
                <w:iCs w:val="0"/>
                <w:color w:val="auto"/>
                <w:sz w:val="24"/>
                <w:szCs w:val="24"/>
                <w:highlight w:val="none"/>
                <w:u w:val="none"/>
              </w:rPr>
            </w:pPr>
          </w:p>
        </w:tc>
      </w:tr>
      <w:tr w14:paraId="79523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3E49DF8E">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44D88807">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2F179B9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3、支持对入侵攻击、僵木蠕行为、恶意程序传播、APT攻击、WEB攻击、访问非法URL/域名、恶意IP访问等安全事件处置。</w:t>
            </w:r>
          </w:p>
        </w:tc>
        <w:tc>
          <w:tcPr>
            <w:tcW w:w="246" w:type="pct"/>
            <w:vMerge w:val="continue"/>
            <w:tcBorders>
              <w:top w:val="nil"/>
              <w:left w:val="single" w:color="000000" w:sz="8" w:space="0"/>
              <w:bottom w:val="single" w:color="000000" w:sz="8" w:space="0"/>
              <w:right w:val="single" w:color="000000" w:sz="8" w:space="0"/>
            </w:tcBorders>
            <w:shd w:val="clear" w:color="auto" w:fill="auto"/>
            <w:vAlign w:val="center"/>
          </w:tcPr>
          <w:p w14:paraId="11D6634C">
            <w:pPr>
              <w:jc w:val="center"/>
              <w:rPr>
                <w:rFonts w:hint="eastAsia" w:ascii="仿宋" w:hAnsi="仿宋" w:eastAsia="仿宋" w:cs="仿宋"/>
                <w:i w:val="0"/>
                <w:iCs w:val="0"/>
                <w:color w:val="auto"/>
                <w:sz w:val="24"/>
                <w:szCs w:val="24"/>
                <w:highlight w:val="none"/>
                <w:u w:val="none"/>
              </w:rPr>
            </w:pPr>
          </w:p>
        </w:tc>
      </w:tr>
      <w:tr w14:paraId="39818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7FB77D0C">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1E632BB6">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62BBE4C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4、支持对网络中传输的异常流量进行检测，包括服务器非法外联、DNS隧道、隐蔽通信、加密流量、邮件监测、异常行为等异常流量类型。</w:t>
            </w:r>
          </w:p>
        </w:tc>
        <w:tc>
          <w:tcPr>
            <w:tcW w:w="246" w:type="pct"/>
            <w:vMerge w:val="continue"/>
            <w:tcBorders>
              <w:top w:val="nil"/>
              <w:left w:val="single" w:color="000000" w:sz="8" w:space="0"/>
              <w:bottom w:val="single" w:color="000000" w:sz="8" w:space="0"/>
              <w:right w:val="single" w:color="000000" w:sz="8" w:space="0"/>
            </w:tcBorders>
            <w:shd w:val="clear" w:color="auto" w:fill="auto"/>
            <w:vAlign w:val="center"/>
          </w:tcPr>
          <w:p w14:paraId="233A6BFE">
            <w:pPr>
              <w:jc w:val="center"/>
              <w:rPr>
                <w:rFonts w:hint="eastAsia" w:ascii="仿宋" w:hAnsi="仿宋" w:eastAsia="仿宋" w:cs="仿宋"/>
                <w:i w:val="0"/>
                <w:iCs w:val="0"/>
                <w:color w:val="auto"/>
                <w:sz w:val="24"/>
                <w:szCs w:val="24"/>
                <w:highlight w:val="none"/>
                <w:u w:val="none"/>
              </w:rPr>
            </w:pPr>
          </w:p>
        </w:tc>
      </w:tr>
      <w:tr w14:paraId="1688A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35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8ED28E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35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555722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态势感知系统</w:t>
            </w:r>
          </w:p>
        </w:tc>
        <w:tc>
          <w:tcPr>
            <w:tcW w:w="4050" w:type="pct"/>
            <w:tcBorders>
              <w:top w:val="single" w:color="000000" w:sz="8" w:space="0"/>
              <w:left w:val="single" w:color="000000" w:sz="8" w:space="0"/>
              <w:bottom w:val="nil"/>
              <w:right w:val="single" w:color="000000" w:sz="8" w:space="0"/>
            </w:tcBorders>
            <w:shd w:val="clear" w:color="auto" w:fill="auto"/>
            <w:vAlign w:val="center"/>
          </w:tcPr>
          <w:p w14:paraId="57B3BE1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▲CPU物理核心数≧24核，内存大小≧96G，硬盘容量≧24TB，接口≧4千兆电口+2万兆光口，冗余电源≧2个；设备包含的“硬件”和“态势感知软件”必须为同一品牌（竞标时出示软硬件截图）。</w:t>
            </w:r>
          </w:p>
        </w:tc>
        <w:tc>
          <w:tcPr>
            <w:tcW w:w="246"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AC682E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1台</w:t>
            </w:r>
          </w:p>
        </w:tc>
      </w:tr>
      <w:tr w14:paraId="49D22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 w:hRule="atLeast"/>
        </w:trPr>
        <w:tc>
          <w:tcPr>
            <w:tcW w:w="35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0019230">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047BEAA">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nil"/>
              <w:right w:val="single" w:color="000000" w:sz="8" w:space="0"/>
            </w:tcBorders>
            <w:shd w:val="clear" w:color="auto" w:fill="auto"/>
            <w:vAlign w:val="center"/>
          </w:tcPr>
          <w:p w14:paraId="5F1E29C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▲功能包含下述三项：</w:t>
            </w:r>
          </w:p>
        </w:tc>
        <w:tc>
          <w:tcPr>
            <w:tcW w:w="24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F9115BB">
            <w:pPr>
              <w:jc w:val="center"/>
              <w:rPr>
                <w:rFonts w:hint="eastAsia" w:ascii="仿宋" w:hAnsi="仿宋" w:eastAsia="仿宋" w:cs="仿宋"/>
                <w:i w:val="0"/>
                <w:iCs w:val="0"/>
                <w:color w:val="auto"/>
                <w:sz w:val="24"/>
                <w:szCs w:val="24"/>
                <w:highlight w:val="none"/>
                <w:u w:val="none"/>
              </w:rPr>
            </w:pPr>
          </w:p>
        </w:tc>
      </w:tr>
      <w:tr w14:paraId="5CA3B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35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A5D58B7">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FD45F81">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nil"/>
              <w:right w:val="single" w:color="000000" w:sz="8" w:space="0"/>
            </w:tcBorders>
            <w:shd w:val="clear" w:color="auto" w:fill="auto"/>
            <w:vAlign w:val="center"/>
          </w:tcPr>
          <w:p w14:paraId="1C2A64F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r>
              <w:rPr>
                <w:rStyle w:val="315"/>
                <w:rFonts w:ascii="仿宋" w:hAnsi="仿宋" w:eastAsia="仿宋" w:cs="仿宋"/>
                <w:color w:val="auto"/>
                <w:sz w:val="24"/>
                <w:szCs w:val="24"/>
                <w:highlight w:val="none"/>
                <w:lang w:val="en-US" w:eastAsia="zh-CN" w:bidi="ar"/>
              </w:rPr>
              <w:t>设备包含“全网态势、资产态势、攻击态势和漏洞态势”四项功能</w:t>
            </w:r>
            <w:r>
              <w:rPr>
                <w:rStyle w:val="374"/>
                <w:rFonts w:hAnsi="仿宋"/>
                <w:color w:val="auto"/>
                <w:sz w:val="24"/>
                <w:szCs w:val="24"/>
                <w:highlight w:val="none"/>
                <w:lang w:val="en-US" w:eastAsia="zh-CN" w:bidi="ar"/>
              </w:rPr>
              <w:t>（满足功能要求，名称允许有差异）</w:t>
            </w:r>
            <w:r>
              <w:rPr>
                <w:rStyle w:val="315"/>
                <w:rFonts w:ascii="仿宋" w:hAnsi="仿宋" w:eastAsia="仿宋" w:cs="仿宋"/>
                <w:color w:val="auto"/>
                <w:sz w:val="24"/>
                <w:szCs w:val="24"/>
                <w:highlight w:val="none"/>
                <w:lang w:val="en-US" w:eastAsia="zh-CN" w:bidi="ar"/>
              </w:rPr>
              <w:t>，提供原厂功能截图。</w:t>
            </w:r>
          </w:p>
        </w:tc>
        <w:tc>
          <w:tcPr>
            <w:tcW w:w="24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8210C18">
            <w:pPr>
              <w:jc w:val="center"/>
              <w:rPr>
                <w:rFonts w:hint="eastAsia" w:ascii="仿宋" w:hAnsi="仿宋" w:eastAsia="仿宋" w:cs="仿宋"/>
                <w:i w:val="0"/>
                <w:iCs w:val="0"/>
                <w:color w:val="auto"/>
                <w:sz w:val="24"/>
                <w:szCs w:val="24"/>
                <w:highlight w:val="none"/>
                <w:u w:val="none"/>
              </w:rPr>
            </w:pPr>
          </w:p>
        </w:tc>
      </w:tr>
      <w:tr w14:paraId="40C75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35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359B49F">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D96B726">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nil"/>
              <w:right w:val="single" w:color="000000" w:sz="8" w:space="0"/>
            </w:tcBorders>
            <w:shd w:val="clear" w:color="auto" w:fill="auto"/>
            <w:vAlign w:val="center"/>
          </w:tcPr>
          <w:p w14:paraId="6863096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r>
              <w:rPr>
                <w:rStyle w:val="374"/>
                <w:rFonts w:hAnsi="仿宋"/>
                <w:color w:val="auto"/>
                <w:sz w:val="24"/>
                <w:szCs w:val="24"/>
                <w:highlight w:val="none"/>
                <w:lang w:val="en-US" w:eastAsia="zh-CN" w:bidi="ar"/>
              </w:rPr>
              <w:t>能接收“探针”的检测日志并加以分析，然后通过与防火墙的联动机制实现“IP阻断，端口阻断和将危险访问对象加入黑名单”等功能。</w:t>
            </w:r>
          </w:p>
        </w:tc>
        <w:tc>
          <w:tcPr>
            <w:tcW w:w="24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462952C">
            <w:pPr>
              <w:jc w:val="center"/>
              <w:rPr>
                <w:rFonts w:hint="eastAsia" w:ascii="仿宋" w:hAnsi="仿宋" w:eastAsia="仿宋" w:cs="仿宋"/>
                <w:i w:val="0"/>
                <w:iCs w:val="0"/>
                <w:color w:val="auto"/>
                <w:sz w:val="24"/>
                <w:szCs w:val="24"/>
                <w:highlight w:val="none"/>
                <w:u w:val="none"/>
              </w:rPr>
            </w:pPr>
          </w:p>
        </w:tc>
      </w:tr>
      <w:tr w14:paraId="290BE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35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E6C6D81">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6EB6F78">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nil"/>
              <w:right w:val="single" w:color="000000" w:sz="8" w:space="0"/>
            </w:tcBorders>
            <w:shd w:val="clear" w:color="auto" w:fill="auto"/>
            <w:vAlign w:val="center"/>
          </w:tcPr>
          <w:p w14:paraId="00EDE88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3、支持安全态势的可视化呈现，以大屏的方式从攻击事件、资产安全、运行监测等进行可视化展示（竞标时出示功能截图或官网产品查询截图）。</w:t>
            </w:r>
          </w:p>
        </w:tc>
        <w:tc>
          <w:tcPr>
            <w:tcW w:w="24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2E3ABA1">
            <w:pPr>
              <w:jc w:val="center"/>
              <w:rPr>
                <w:rFonts w:hint="eastAsia" w:ascii="仿宋" w:hAnsi="仿宋" w:eastAsia="仿宋" w:cs="仿宋"/>
                <w:i w:val="0"/>
                <w:iCs w:val="0"/>
                <w:color w:val="auto"/>
                <w:sz w:val="24"/>
                <w:szCs w:val="24"/>
                <w:highlight w:val="none"/>
                <w:u w:val="none"/>
              </w:rPr>
            </w:pPr>
          </w:p>
        </w:tc>
      </w:tr>
      <w:tr w14:paraId="6B665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35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37065B4">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B490287">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nil"/>
              <w:right w:val="single" w:color="000000" w:sz="8" w:space="0"/>
            </w:tcBorders>
            <w:shd w:val="clear" w:color="auto" w:fill="auto"/>
            <w:vAlign w:val="center"/>
          </w:tcPr>
          <w:p w14:paraId="21A64E1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竞标时提供设备“销售许可证”，且许可证上的产品名称必须包含“态势分析与安全运营”或“安全分析与管理”或“威胁发现与运维管理”或“安全管理”或“安全感知管理”或“安全分析与管理”文字描述。</w:t>
            </w:r>
          </w:p>
        </w:tc>
        <w:tc>
          <w:tcPr>
            <w:tcW w:w="24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27E145C">
            <w:pPr>
              <w:jc w:val="center"/>
              <w:rPr>
                <w:rFonts w:hint="eastAsia" w:ascii="仿宋" w:hAnsi="仿宋" w:eastAsia="仿宋" w:cs="仿宋"/>
                <w:i w:val="0"/>
                <w:iCs w:val="0"/>
                <w:color w:val="auto"/>
                <w:sz w:val="24"/>
                <w:szCs w:val="24"/>
                <w:highlight w:val="none"/>
                <w:u w:val="none"/>
              </w:rPr>
            </w:pPr>
          </w:p>
        </w:tc>
      </w:tr>
      <w:tr w14:paraId="41B52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35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6CD7A9F">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5A1EA88">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3CD8054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设备核心部件（中央处理器（CPU）、操作系统和数据库）必须经过安全可靠测评，必须满足中国信息安全测评中心最新出具的“安全可靠测评结果公告”要求（竞标时提供该设备满足安全可靠测评结果要求的承诺函）。</w:t>
            </w:r>
          </w:p>
        </w:tc>
        <w:tc>
          <w:tcPr>
            <w:tcW w:w="24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B28068E">
            <w:pPr>
              <w:jc w:val="center"/>
              <w:rPr>
                <w:rFonts w:hint="eastAsia" w:ascii="仿宋" w:hAnsi="仿宋" w:eastAsia="仿宋" w:cs="仿宋"/>
                <w:i w:val="0"/>
                <w:iCs w:val="0"/>
                <w:color w:val="auto"/>
                <w:sz w:val="24"/>
                <w:szCs w:val="24"/>
                <w:highlight w:val="none"/>
                <w:u w:val="none"/>
              </w:rPr>
            </w:pPr>
          </w:p>
        </w:tc>
      </w:tr>
      <w:tr w14:paraId="49B8D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35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4B3E4D4">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D335D7A">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484CA1B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1、支持态势大屏展示，包括全网态势、资产态势、漏洞态势、攻击态势、全域态势，支持大屏展示时间设置，支持态势大屏中相关信息下钻跳转到对应的详细页面。</w:t>
            </w:r>
          </w:p>
        </w:tc>
        <w:tc>
          <w:tcPr>
            <w:tcW w:w="24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84F025D">
            <w:pPr>
              <w:jc w:val="center"/>
              <w:rPr>
                <w:rFonts w:hint="eastAsia" w:ascii="仿宋" w:hAnsi="仿宋" w:eastAsia="仿宋" w:cs="仿宋"/>
                <w:i w:val="0"/>
                <w:iCs w:val="0"/>
                <w:color w:val="auto"/>
                <w:sz w:val="24"/>
                <w:szCs w:val="24"/>
                <w:highlight w:val="none"/>
                <w:u w:val="none"/>
              </w:rPr>
            </w:pPr>
          </w:p>
        </w:tc>
      </w:tr>
      <w:tr w14:paraId="629E6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35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9A015BF">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E8E8D67">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774863C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2、支持通过资产视角或安全域视角查看资产概况，支持对遭受攻击最多资产排行、漏洞最多资产排行、性能异常资产列表、风险资产排行、风险安全域列表、风险业务系统排行等信息进行展示。</w:t>
            </w:r>
          </w:p>
        </w:tc>
        <w:tc>
          <w:tcPr>
            <w:tcW w:w="24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462876D">
            <w:pPr>
              <w:jc w:val="center"/>
              <w:rPr>
                <w:rFonts w:hint="eastAsia" w:ascii="仿宋" w:hAnsi="仿宋" w:eastAsia="仿宋" w:cs="仿宋"/>
                <w:i w:val="0"/>
                <w:iCs w:val="0"/>
                <w:color w:val="auto"/>
                <w:sz w:val="24"/>
                <w:szCs w:val="24"/>
                <w:highlight w:val="none"/>
                <w:u w:val="none"/>
              </w:rPr>
            </w:pPr>
          </w:p>
        </w:tc>
      </w:tr>
      <w:tr w14:paraId="2C9A5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35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B2F63AB">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4D1EBCA">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09459BA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3、支持以全球地图实时展示网络攻击态势，支持以不同颜色攻击线展示攻击过程，支持攻击源和攻击目的国家名称展示，支持攻击目的进行光晕显示。</w:t>
            </w:r>
          </w:p>
        </w:tc>
        <w:tc>
          <w:tcPr>
            <w:tcW w:w="24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C382FC2">
            <w:pPr>
              <w:jc w:val="center"/>
              <w:rPr>
                <w:rFonts w:hint="eastAsia" w:ascii="仿宋" w:hAnsi="仿宋" w:eastAsia="仿宋" w:cs="仿宋"/>
                <w:i w:val="0"/>
                <w:iCs w:val="0"/>
                <w:color w:val="auto"/>
                <w:sz w:val="24"/>
                <w:szCs w:val="24"/>
                <w:highlight w:val="none"/>
                <w:u w:val="none"/>
              </w:rPr>
            </w:pPr>
          </w:p>
        </w:tc>
      </w:tr>
      <w:tr w14:paraId="29E6F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35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F3887A0">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28A701C">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0383C7F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4、支持拖拽方式自定义大屏界面展示顺序，支持多种地图、拓扑展示方式，包括但不限于世界、全国、省份、拓扑、实时数据、历史数据等，支持logo、大屏超时设置、介绍文案。</w:t>
            </w:r>
          </w:p>
        </w:tc>
        <w:tc>
          <w:tcPr>
            <w:tcW w:w="24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864A6B0">
            <w:pPr>
              <w:jc w:val="center"/>
              <w:rPr>
                <w:rFonts w:hint="eastAsia" w:ascii="仿宋" w:hAnsi="仿宋" w:eastAsia="仿宋" w:cs="仿宋"/>
                <w:i w:val="0"/>
                <w:iCs w:val="0"/>
                <w:color w:val="auto"/>
                <w:sz w:val="24"/>
                <w:szCs w:val="24"/>
                <w:highlight w:val="none"/>
                <w:u w:val="none"/>
              </w:rPr>
            </w:pPr>
          </w:p>
        </w:tc>
      </w:tr>
      <w:tr w14:paraId="454D4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35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48BF872">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0BFA248">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14CA453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5、支持对全部资产进行画像分析，支持以列表形式展示资产相关信息，展示信息包括但不限于资产名称、IP、风险等级、失陷状态、漏洞、告警、遭受攻击阶段等。</w:t>
            </w:r>
          </w:p>
        </w:tc>
        <w:tc>
          <w:tcPr>
            <w:tcW w:w="24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3FDA4F4">
            <w:pPr>
              <w:jc w:val="center"/>
              <w:rPr>
                <w:rFonts w:hint="eastAsia" w:ascii="仿宋" w:hAnsi="仿宋" w:eastAsia="仿宋" w:cs="仿宋"/>
                <w:i w:val="0"/>
                <w:iCs w:val="0"/>
                <w:color w:val="auto"/>
                <w:sz w:val="24"/>
                <w:szCs w:val="24"/>
                <w:highlight w:val="none"/>
                <w:u w:val="none"/>
              </w:rPr>
            </w:pPr>
          </w:p>
        </w:tc>
      </w:tr>
      <w:tr w14:paraId="03A26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2" w:hRule="atLeast"/>
        </w:trPr>
        <w:tc>
          <w:tcPr>
            <w:tcW w:w="35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6AF100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35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CE052A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防火墙</w:t>
            </w:r>
          </w:p>
        </w:tc>
        <w:tc>
          <w:tcPr>
            <w:tcW w:w="405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08A7D9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PU物理核心数≧4核，网络层吞吐量≧6500Mbps，TCP新建连接速率≧9.9万/秒，接口≧1个管理口+5个千兆电口+4个千兆光口，冗余电源≧2个，TCP并发连接数≧300万，具有防病毒功能（竞标时出示设备功能确认函），旧机器的配置必须平稳实现在新机器上。设备核心部件（中央处理器（CPU）、操作系统和数据库）必须经过安全可靠测评，必须满足中国信息安全测评中心最新出具的“安全可靠测评结果公告”要求（竞标时提供该设备满足安全可靠测评结果要求的承诺函）。</w:t>
            </w:r>
          </w:p>
        </w:tc>
        <w:tc>
          <w:tcPr>
            <w:tcW w:w="246"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49BF14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1套</w:t>
            </w:r>
          </w:p>
        </w:tc>
      </w:tr>
      <w:tr w14:paraId="0F7AD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35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4FF296E">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0ACCA75">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752B22C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1、支持路由、交换、虚拟线等工作模式；系统支持安全扩展模块功能，保证产品在进行功能模块扩展时保障系统稳定性。</w:t>
            </w:r>
          </w:p>
        </w:tc>
        <w:tc>
          <w:tcPr>
            <w:tcW w:w="24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FB6260F">
            <w:pPr>
              <w:jc w:val="center"/>
              <w:rPr>
                <w:rFonts w:hint="eastAsia" w:ascii="仿宋" w:hAnsi="仿宋" w:eastAsia="仿宋" w:cs="仿宋"/>
                <w:i w:val="0"/>
                <w:iCs w:val="0"/>
                <w:color w:val="auto"/>
                <w:sz w:val="24"/>
                <w:szCs w:val="24"/>
                <w:highlight w:val="none"/>
                <w:u w:val="none"/>
              </w:rPr>
            </w:pPr>
          </w:p>
        </w:tc>
      </w:tr>
      <w:tr w14:paraId="7E391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35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F2B859D">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5359692">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522C3BD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2、支持链路聚合，支持手工链路聚合及LACP链路聚合，可根据源/目的mac、源/目的IP、源/目的端口、五元组、端口轮询等条件提供不少于10种链路负载算法。</w:t>
            </w:r>
          </w:p>
        </w:tc>
        <w:tc>
          <w:tcPr>
            <w:tcW w:w="24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8F7CC4B">
            <w:pPr>
              <w:jc w:val="center"/>
              <w:rPr>
                <w:rFonts w:hint="eastAsia" w:ascii="仿宋" w:hAnsi="仿宋" w:eastAsia="仿宋" w:cs="仿宋"/>
                <w:i w:val="0"/>
                <w:iCs w:val="0"/>
                <w:color w:val="auto"/>
                <w:sz w:val="24"/>
                <w:szCs w:val="24"/>
                <w:highlight w:val="none"/>
                <w:u w:val="none"/>
              </w:rPr>
            </w:pPr>
          </w:p>
        </w:tc>
      </w:tr>
      <w:tr w14:paraId="3A2E8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35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6D9D7FE">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11242B3">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789DC73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支持一体化安全策略配置，通过一条策略实现五元组、源MAC、域名、地理区域、应用、服务、时间、长连接、并发会话、WEB认证、IPS、AV、WAF、URL过滤、邮件安全、数据过滤、文件过滤、审计、APT等功能配置，简化用户管理。</w:t>
            </w:r>
          </w:p>
        </w:tc>
        <w:tc>
          <w:tcPr>
            <w:tcW w:w="24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56F8CA4">
            <w:pPr>
              <w:jc w:val="center"/>
              <w:rPr>
                <w:rFonts w:hint="eastAsia" w:ascii="仿宋" w:hAnsi="仿宋" w:eastAsia="仿宋" w:cs="仿宋"/>
                <w:i w:val="0"/>
                <w:iCs w:val="0"/>
                <w:color w:val="auto"/>
                <w:sz w:val="24"/>
                <w:szCs w:val="24"/>
                <w:highlight w:val="none"/>
                <w:u w:val="none"/>
              </w:rPr>
            </w:pPr>
          </w:p>
        </w:tc>
      </w:tr>
      <w:tr w14:paraId="324C7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35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CAF7908">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FD13104">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1CC9955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4、内置内容过滤功能，可对FTP上传文件、下载文件、删除文件、重命名文件、创建目录、删除目录、列出目录等信令以及邮件发件人、收件人、主题、内容、附件等进行过滤。</w:t>
            </w:r>
          </w:p>
        </w:tc>
        <w:tc>
          <w:tcPr>
            <w:tcW w:w="24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9155531">
            <w:pPr>
              <w:jc w:val="center"/>
              <w:rPr>
                <w:rFonts w:hint="eastAsia" w:ascii="仿宋" w:hAnsi="仿宋" w:eastAsia="仿宋" w:cs="仿宋"/>
                <w:i w:val="0"/>
                <w:iCs w:val="0"/>
                <w:color w:val="auto"/>
                <w:sz w:val="24"/>
                <w:szCs w:val="24"/>
                <w:highlight w:val="none"/>
                <w:u w:val="none"/>
              </w:rPr>
            </w:pPr>
          </w:p>
        </w:tc>
      </w:tr>
      <w:tr w14:paraId="3C072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35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45683E2">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FF6BBB6">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7B74527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5、内置行为分析功能，对会话、流量等数据进行统计分析，建立业务行为基线，对异常行为进行告警；支持行为分析监控展示，可展示不同行为分析策略的实时数据和基线数据趋势。</w:t>
            </w:r>
          </w:p>
        </w:tc>
        <w:tc>
          <w:tcPr>
            <w:tcW w:w="24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2982678">
            <w:pPr>
              <w:jc w:val="center"/>
              <w:rPr>
                <w:rFonts w:hint="eastAsia" w:ascii="仿宋" w:hAnsi="仿宋" w:eastAsia="仿宋" w:cs="仿宋"/>
                <w:i w:val="0"/>
                <w:iCs w:val="0"/>
                <w:color w:val="auto"/>
                <w:sz w:val="24"/>
                <w:szCs w:val="24"/>
                <w:highlight w:val="none"/>
                <w:u w:val="none"/>
              </w:rPr>
            </w:pPr>
          </w:p>
        </w:tc>
      </w:tr>
      <w:tr w14:paraId="094C5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trPr>
        <w:tc>
          <w:tcPr>
            <w:tcW w:w="351" w:type="pct"/>
            <w:vMerge w:val="restart"/>
            <w:tcBorders>
              <w:top w:val="nil"/>
              <w:left w:val="single" w:color="000000" w:sz="8" w:space="0"/>
              <w:right w:val="single" w:color="000000" w:sz="8" w:space="0"/>
            </w:tcBorders>
            <w:shd w:val="clear" w:color="auto" w:fill="auto"/>
            <w:noWrap/>
            <w:vAlign w:val="center"/>
          </w:tcPr>
          <w:p w14:paraId="34F2BF6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351" w:type="pct"/>
            <w:vMerge w:val="restart"/>
            <w:tcBorders>
              <w:top w:val="nil"/>
              <w:left w:val="single" w:color="000000" w:sz="8" w:space="0"/>
              <w:bottom w:val="single" w:color="000000" w:sz="8" w:space="0"/>
              <w:right w:val="single" w:color="000000" w:sz="8" w:space="0"/>
            </w:tcBorders>
            <w:shd w:val="clear" w:color="auto" w:fill="auto"/>
            <w:vAlign w:val="center"/>
          </w:tcPr>
          <w:p w14:paraId="166283C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显示屏</w:t>
            </w:r>
          </w:p>
        </w:tc>
        <w:tc>
          <w:tcPr>
            <w:tcW w:w="4050" w:type="pct"/>
            <w:tcBorders>
              <w:top w:val="nil"/>
              <w:left w:val="single" w:color="000000" w:sz="8" w:space="0"/>
              <w:bottom w:val="nil"/>
              <w:right w:val="single" w:color="000000" w:sz="8" w:space="0"/>
            </w:tcBorders>
            <w:shd w:val="clear" w:color="auto" w:fill="auto"/>
            <w:vAlign w:val="center"/>
          </w:tcPr>
          <w:p w14:paraId="36C204E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▲CPU</w:t>
            </w:r>
            <w:r>
              <w:rPr>
                <w:rStyle w:val="148"/>
                <w:rFonts w:ascii="仿宋" w:hAnsi="仿宋" w:eastAsia="仿宋" w:cs="仿宋"/>
                <w:color w:val="auto"/>
                <w:sz w:val="24"/>
                <w:szCs w:val="24"/>
                <w:highlight w:val="none"/>
                <w:lang w:val="en-US" w:eastAsia="zh-CN" w:bidi="ar"/>
              </w:rPr>
              <w:t>≧</w:t>
            </w:r>
            <w:r>
              <w:rPr>
                <w:rStyle w:val="315"/>
                <w:rFonts w:ascii="仿宋" w:hAnsi="仿宋" w:eastAsia="仿宋" w:cs="仿宋"/>
                <w:color w:val="auto"/>
                <w:sz w:val="24"/>
                <w:szCs w:val="24"/>
                <w:highlight w:val="none"/>
                <w:lang w:val="en-US" w:eastAsia="zh-CN" w:bidi="ar"/>
              </w:rPr>
              <w:t>Cortex A73四核；RAM</w:t>
            </w:r>
            <w:r>
              <w:rPr>
                <w:rStyle w:val="148"/>
                <w:rFonts w:ascii="仿宋" w:hAnsi="仿宋" w:eastAsia="仿宋" w:cs="仿宋"/>
                <w:color w:val="auto"/>
                <w:sz w:val="24"/>
                <w:szCs w:val="24"/>
                <w:highlight w:val="none"/>
                <w:lang w:val="en-US" w:eastAsia="zh-CN" w:bidi="ar"/>
              </w:rPr>
              <w:t>≧</w:t>
            </w:r>
            <w:r>
              <w:rPr>
                <w:rStyle w:val="315"/>
                <w:rFonts w:ascii="仿宋" w:hAnsi="仿宋" w:eastAsia="仿宋" w:cs="仿宋"/>
                <w:color w:val="auto"/>
                <w:sz w:val="24"/>
                <w:szCs w:val="24"/>
                <w:highlight w:val="none"/>
                <w:lang w:val="en-US" w:eastAsia="zh-CN" w:bidi="ar"/>
              </w:rPr>
              <w:t>3G；屏幕分辨率</w:t>
            </w:r>
            <w:r>
              <w:rPr>
                <w:rStyle w:val="148"/>
                <w:rFonts w:ascii="仿宋" w:hAnsi="仿宋" w:eastAsia="仿宋" w:cs="仿宋"/>
                <w:color w:val="auto"/>
                <w:sz w:val="24"/>
                <w:szCs w:val="24"/>
                <w:highlight w:val="none"/>
                <w:lang w:val="en-US" w:eastAsia="zh-CN" w:bidi="ar"/>
              </w:rPr>
              <w:t>≧</w:t>
            </w:r>
            <w:r>
              <w:rPr>
                <w:rStyle w:val="315"/>
                <w:rFonts w:ascii="仿宋" w:hAnsi="仿宋" w:eastAsia="仿宋" w:cs="仿宋"/>
                <w:color w:val="auto"/>
                <w:sz w:val="24"/>
                <w:szCs w:val="24"/>
                <w:highlight w:val="none"/>
                <w:lang w:val="en-US" w:eastAsia="zh-CN" w:bidi="ar"/>
              </w:rPr>
              <w:t>4K；尺寸</w:t>
            </w:r>
            <w:r>
              <w:rPr>
                <w:rStyle w:val="148"/>
                <w:rFonts w:ascii="仿宋" w:hAnsi="仿宋" w:eastAsia="仿宋" w:cs="仿宋"/>
                <w:color w:val="auto"/>
                <w:sz w:val="24"/>
                <w:szCs w:val="24"/>
                <w:highlight w:val="none"/>
                <w:lang w:val="en-US" w:eastAsia="zh-CN" w:bidi="ar"/>
              </w:rPr>
              <w:t>≧</w:t>
            </w:r>
            <w:r>
              <w:rPr>
                <w:rStyle w:val="315"/>
                <w:rFonts w:ascii="仿宋" w:hAnsi="仿宋" w:eastAsia="仿宋" w:cs="仿宋"/>
                <w:color w:val="auto"/>
                <w:sz w:val="24"/>
                <w:szCs w:val="24"/>
                <w:highlight w:val="none"/>
                <w:lang w:val="en-US" w:eastAsia="zh-CN" w:bidi="ar"/>
              </w:rPr>
              <w:t>55英寸；HDMI2.0接口数</w:t>
            </w:r>
            <w:r>
              <w:rPr>
                <w:rStyle w:val="148"/>
                <w:rFonts w:ascii="仿宋" w:hAnsi="仿宋" w:eastAsia="仿宋" w:cs="仿宋"/>
                <w:color w:val="auto"/>
                <w:sz w:val="24"/>
                <w:szCs w:val="24"/>
                <w:highlight w:val="none"/>
                <w:lang w:val="en-US" w:eastAsia="zh-CN" w:bidi="ar"/>
              </w:rPr>
              <w:t>≧</w:t>
            </w:r>
            <w:r>
              <w:rPr>
                <w:rStyle w:val="315"/>
                <w:rFonts w:ascii="仿宋" w:hAnsi="仿宋" w:eastAsia="仿宋" w:cs="仿宋"/>
                <w:color w:val="auto"/>
                <w:sz w:val="24"/>
                <w:szCs w:val="24"/>
                <w:highlight w:val="none"/>
                <w:lang w:val="en-US" w:eastAsia="zh-CN" w:bidi="ar"/>
              </w:rPr>
              <w:t>2个。</w:t>
            </w:r>
          </w:p>
        </w:tc>
        <w:tc>
          <w:tcPr>
            <w:tcW w:w="246" w:type="pct"/>
            <w:vMerge w:val="restart"/>
            <w:tcBorders>
              <w:top w:val="nil"/>
              <w:left w:val="single" w:color="000000" w:sz="8" w:space="0"/>
              <w:bottom w:val="single" w:color="000000" w:sz="8" w:space="0"/>
              <w:right w:val="single" w:color="000000" w:sz="8" w:space="0"/>
            </w:tcBorders>
            <w:shd w:val="clear" w:color="auto" w:fill="auto"/>
            <w:vAlign w:val="center"/>
          </w:tcPr>
          <w:p w14:paraId="2588D17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1台</w:t>
            </w:r>
          </w:p>
        </w:tc>
      </w:tr>
      <w:tr w14:paraId="32C93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351" w:type="pct"/>
            <w:vMerge w:val="continue"/>
            <w:tcBorders>
              <w:left w:val="single" w:color="000000" w:sz="8" w:space="0"/>
              <w:bottom w:val="single" w:color="000000" w:sz="8" w:space="0"/>
              <w:right w:val="single" w:color="000000" w:sz="8" w:space="0"/>
            </w:tcBorders>
            <w:shd w:val="clear" w:color="auto" w:fill="auto"/>
            <w:vAlign w:val="center"/>
          </w:tcPr>
          <w:p w14:paraId="4D6A806B">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p>
        </w:tc>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0C616EDD">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277805D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展示内容：态势感知系统信息上墙</w:t>
            </w:r>
          </w:p>
        </w:tc>
        <w:tc>
          <w:tcPr>
            <w:tcW w:w="246" w:type="pct"/>
            <w:vMerge w:val="continue"/>
            <w:tcBorders>
              <w:top w:val="nil"/>
              <w:left w:val="single" w:color="000000" w:sz="8" w:space="0"/>
              <w:bottom w:val="single" w:color="000000" w:sz="8" w:space="0"/>
              <w:right w:val="single" w:color="000000" w:sz="8" w:space="0"/>
            </w:tcBorders>
            <w:shd w:val="clear" w:color="auto" w:fill="auto"/>
            <w:vAlign w:val="center"/>
          </w:tcPr>
          <w:p w14:paraId="1F8AFABB">
            <w:pPr>
              <w:jc w:val="center"/>
              <w:rPr>
                <w:rFonts w:hint="eastAsia" w:ascii="仿宋" w:hAnsi="仿宋" w:eastAsia="仿宋" w:cs="仿宋"/>
                <w:i w:val="0"/>
                <w:iCs w:val="0"/>
                <w:color w:val="auto"/>
                <w:sz w:val="24"/>
                <w:szCs w:val="24"/>
                <w:highlight w:val="none"/>
                <w:u w:val="none"/>
              </w:rPr>
            </w:pPr>
          </w:p>
        </w:tc>
      </w:tr>
      <w:tr w14:paraId="12861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 w:hRule="atLeast"/>
        </w:trPr>
        <w:tc>
          <w:tcPr>
            <w:tcW w:w="351" w:type="pct"/>
            <w:vMerge w:val="restart"/>
            <w:tcBorders>
              <w:top w:val="nil"/>
              <w:left w:val="single" w:color="000000" w:sz="8" w:space="0"/>
              <w:bottom w:val="single" w:color="000000" w:sz="8" w:space="0"/>
              <w:right w:val="single" w:color="000000" w:sz="8" w:space="0"/>
            </w:tcBorders>
            <w:shd w:val="clear" w:color="auto" w:fill="auto"/>
            <w:vAlign w:val="center"/>
          </w:tcPr>
          <w:p w14:paraId="279104F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351" w:type="pct"/>
            <w:vMerge w:val="restart"/>
            <w:tcBorders>
              <w:top w:val="nil"/>
              <w:left w:val="single" w:color="000000" w:sz="8" w:space="0"/>
              <w:right w:val="single" w:color="000000" w:sz="8" w:space="0"/>
            </w:tcBorders>
            <w:shd w:val="clear" w:color="auto" w:fill="auto"/>
            <w:vAlign w:val="center"/>
          </w:tcPr>
          <w:p w14:paraId="56983F2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等保</w:t>
            </w:r>
          </w:p>
          <w:p w14:paraId="7352FA1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测评</w:t>
            </w:r>
          </w:p>
        </w:tc>
        <w:tc>
          <w:tcPr>
            <w:tcW w:w="4050" w:type="pct"/>
            <w:tcBorders>
              <w:top w:val="nil"/>
              <w:left w:val="single" w:color="000000" w:sz="8" w:space="0"/>
              <w:bottom w:val="nil"/>
              <w:right w:val="single" w:color="000000" w:sz="8" w:space="0"/>
            </w:tcBorders>
            <w:shd w:val="clear" w:color="auto" w:fill="auto"/>
            <w:vAlign w:val="center"/>
          </w:tcPr>
          <w:p w14:paraId="10FC81E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服务包含：等保测评（三级标准）</w:t>
            </w:r>
          </w:p>
        </w:tc>
        <w:tc>
          <w:tcPr>
            <w:tcW w:w="246" w:type="pct"/>
            <w:vMerge w:val="restart"/>
            <w:tcBorders>
              <w:top w:val="nil"/>
              <w:left w:val="single" w:color="000000" w:sz="8" w:space="0"/>
              <w:bottom w:val="single" w:color="000000" w:sz="8" w:space="0"/>
              <w:right w:val="single" w:color="000000" w:sz="8" w:space="0"/>
            </w:tcBorders>
            <w:shd w:val="clear" w:color="auto" w:fill="auto"/>
            <w:vAlign w:val="center"/>
          </w:tcPr>
          <w:p w14:paraId="22EBF86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1项</w:t>
            </w:r>
          </w:p>
        </w:tc>
      </w:tr>
      <w:tr w14:paraId="73E22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51C2F957">
            <w:pPr>
              <w:jc w:val="center"/>
              <w:rPr>
                <w:rFonts w:hint="eastAsia" w:ascii="仿宋" w:hAnsi="仿宋" w:eastAsia="仿宋" w:cs="仿宋"/>
                <w:i w:val="0"/>
                <w:iCs w:val="0"/>
                <w:color w:val="auto"/>
                <w:sz w:val="24"/>
                <w:szCs w:val="24"/>
                <w:highlight w:val="none"/>
                <w:u w:val="none"/>
              </w:rPr>
            </w:pPr>
          </w:p>
        </w:tc>
        <w:tc>
          <w:tcPr>
            <w:tcW w:w="351" w:type="pct"/>
            <w:vMerge w:val="continue"/>
            <w:tcBorders>
              <w:left w:val="single" w:color="000000" w:sz="8" w:space="0"/>
              <w:bottom w:val="single" w:color="000000" w:sz="8" w:space="0"/>
              <w:right w:val="single" w:color="000000" w:sz="8" w:space="0"/>
            </w:tcBorders>
            <w:shd w:val="clear" w:color="auto" w:fill="auto"/>
            <w:vAlign w:val="center"/>
          </w:tcPr>
          <w:p w14:paraId="4ED5ED3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65DA707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服务目标：保证衢州市柯城区人民检察院的检察工作网顺利通过等保（三级标准）测评和备案，如本次备案不成功，中标人须配合整改并承担整改所需费用（含测评费用、设备费等），直至备案成功，采购人不再另行支付费用。</w:t>
            </w:r>
          </w:p>
        </w:tc>
        <w:tc>
          <w:tcPr>
            <w:tcW w:w="246" w:type="pct"/>
            <w:vMerge w:val="continue"/>
            <w:tcBorders>
              <w:top w:val="nil"/>
              <w:left w:val="single" w:color="000000" w:sz="8" w:space="0"/>
              <w:bottom w:val="single" w:color="000000" w:sz="8" w:space="0"/>
              <w:right w:val="single" w:color="000000" w:sz="8" w:space="0"/>
            </w:tcBorders>
            <w:shd w:val="clear" w:color="auto" w:fill="auto"/>
            <w:vAlign w:val="center"/>
          </w:tcPr>
          <w:p w14:paraId="43910ABF">
            <w:pPr>
              <w:jc w:val="center"/>
              <w:rPr>
                <w:rFonts w:hint="eastAsia" w:ascii="仿宋" w:hAnsi="仿宋" w:eastAsia="仿宋" w:cs="仿宋"/>
                <w:i w:val="0"/>
                <w:iCs w:val="0"/>
                <w:color w:val="auto"/>
                <w:sz w:val="24"/>
                <w:szCs w:val="24"/>
                <w:highlight w:val="none"/>
                <w:u w:val="none"/>
              </w:rPr>
            </w:pPr>
          </w:p>
        </w:tc>
      </w:tr>
      <w:tr w14:paraId="294BD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51" w:type="pct"/>
            <w:vMerge w:val="restart"/>
            <w:tcBorders>
              <w:top w:val="nil"/>
              <w:left w:val="single" w:color="000000" w:sz="8" w:space="0"/>
              <w:bottom w:val="single" w:color="000000" w:sz="8" w:space="0"/>
              <w:right w:val="single" w:color="000000" w:sz="8" w:space="0"/>
            </w:tcBorders>
            <w:shd w:val="clear" w:color="auto" w:fill="auto"/>
            <w:vAlign w:val="center"/>
          </w:tcPr>
          <w:p w14:paraId="3994A8F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FF0000"/>
                <w:kern w:val="0"/>
                <w:sz w:val="24"/>
                <w:szCs w:val="24"/>
                <w:highlight w:val="none"/>
                <w:u w:val="none"/>
                <w:lang w:val="en-US" w:eastAsia="zh-CN" w:bidi="ar"/>
              </w:rPr>
              <w:t>9</w:t>
            </w:r>
          </w:p>
        </w:tc>
        <w:tc>
          <w:tcPr>
            <w:tcW w:w="351" w:type="pct"/>
            <w:vMerge w:val="restart"/>
            <w:tcBorders>
              <w:top w:val="nil"/>
              <w:left w:val="single" w:color="000000" w:sz="8" w:space="0"/>
              <w:bottom w:val="single" w:color="000000" w:sz="8" w:space="0"/>
              <w:right w:val="single" w:color="000000" w:sz="8" w:space="0"/>
            </w:tcBorders>
            <w:shd w:val="clear" w:color="auto" w:fill="auto"/>
            <w:vAlign w:val="center"/>
          </w:tcPr>
          <w:p w14:paraId="4523466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漏洞扫描系统</w:t>
            </w: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5596458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PU物理核心数≧4核，内存大小≧16G，并发扫描IP地址数量≧80个，冗余电源≧2，并发扫描任务≧8个，IP授权数≧1024，设备核心部件（中央处理器（CPU）、操作系统和数据库）必须经过安全可靠测评，必须满足中国信息安全测评中心最新出具的“安全可靠测评结果公告”要求（竞标时提供该设备满足安全可靠测评结果要求的承诺函）。</w:t>
            </w:r>
          </w:p>
        </w:tc>
        <w:tc>
          <w:tcPr>
            <w:tcW w:w="246" w:type="pct"/>
            <w:vMerge w:val="restart"/>
            <w:tcBorders>
              <w:top w:val="nil"/>
              <w:left w:val="single" w:color="000000" w:sz="8" w:space="0"/>
              <w:bottom w:val="single" w:color="000000" w:sz="8" w:space="0"/>
              <w:right w:val="single" w:color="000000" w:sz="8" w:space="0"/>
            </w:tcBorders>
            <w:shd w:val="clear" w:color="auto" w:fill="auto"/>
            <w:vAlign w:val="center"/>
          </w:tcPr>
          <w:p w14:paraId="539E93F8">
            <w:pPr>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1项</w:t>
            </w:r>
          </w:p>
        </w:tc>
      </w:tr>
      <w:tr w14:paraId="731F5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 w:hRule="atLeast"/>
        </w:trPr>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09BCEE37">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17DBED63">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542521E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1、支持IPv4/IPv6双协议栈地址场景漏洞扫描。</w:t>
            </w:r>
          </w:p>
        </w:tc>
        <w:tc>
          <w:tcPr>
            <w:tcW w:w="246" w:type="pct"/>
            <w:vMerge w:val="continue"/>
            <w:tcBorders>
              <w:top w:val="nil"/>
              <w:left w:val="single" w:color="000000" w:sz="8" w:space="0"/>
              <w:bottom w:val="single" w:color="000000" w:sz="8" w:space="0"/>
              <w:right w:val="single" w:color="000000" w:sz="8" w:space="0"/>
            </w:tcBorders>
            <w:shd w:val="clear" w:color="auto" w:fill="auto"/>
            <w:vAlign w:val="center"/>
          </w:tcPr>
          <w:p w14:paraId="7404B409">
            <w:pPr>
              <w:jc w:val="center"/>
              <w:rPr>
                <w:rFonts w:hint="eastAsia" w:ascii="仿宋" w:hAnsi="仿宋" w:eastAsia="仿宋" w:cs="仿宋"/>
                <w:i w:val="0"/>
                <w:iCs w:val="0"/>
                <w:color w:val="auto"/>
                <w:sz w:val="24"/>
                <w:szCs w:val="24"/>
                <w:highlight w:val="none"/>
                <w:u w:val="none"/>
              </w:rPr>
            </w:pPr>
          </w:p>
        </w:tc>
      </w:tr>
      <w:tr w14:paraId="37CA6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583D2F10">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0F9A9B1C">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3E0FC66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2、支持扫描系统漏洞数量大于240000种，web漏洞数量大于5000种,数据库大于3000种，CVE漏洞数大于60000。</w:t>
            </w:r>
          </w:p>
        </w:tc>
        <w:tc>
          <w:tcPr>
            <w:tcW w:w="246" w:type="pct"/>
            <w:vMerge w:val="continue"/>
            <w:tcBorders>
              <w:top w:val="nil"/>
              <w:left w:val="single" w:color="000000" w:sz="8" w:space="0"/>
              <w:bottom w:val="single" w:color="000000" w:sz="8" w:space="0"/>
              <w:right w:val="single" w:color="000000" w:sz="8" w:space="0"/>
            </w:tcBorders>
            <w:shd w:val="clear" w:color="auto" w:fill="auto"/>
            <w:vAlign w:val="center"/>
          </w:tcPr>
          <w:p w14:paraId="51F0D26F">
            <w:pPr>
              <w:jc w:val="center"/>
              <w:rPr>
                <w:rFonts w:hint="eastAsia" w:ascii="仿宋" w:hAnsi="仿宋" w:eastAsia="仿宋" w:cs="仿宋"/>
                <w:i w:val="0"/>
                <w:iCs w:val="0"/>
                <w:color w:val="auto"/>
                <w:sz w:val="24"/>
                <w:szCs w:val="24"/>
                <w:highlight w:val="none"/>
                <w:u w:val="none"/>
              </w:rPr>
            </w:pPr>
          </w:p>
        </w:tc>
      </w:tr>
      <w:tr w14:paraId="7D761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74962D13">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4323F88F">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62F0A12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3、产品漏洞库应涵盖目前的安全漏洞和攻击特征，漏洞库具备至少CVE、CNCVE、CNVD、BUGTRAQ、CNNVD编号。</w:t>
            </w:r>
          </w:p>
        </w:tc>
        <w:tc>
          <w:tcPr>
            <w:tcW w:w="246" w:type="pct"/>
            <w:vMerge w:val="continue"/>
            <w:tcBorders>
              <w:top w:val="nil"/>
              <w:left w:val="single" w:color="000000" w:sz="8" w:space="0"/>
              <w:bottom w:val="single" w:color="000000" w:sz="8" w:space="0"/>
              <w:right w:val="single" w:color="000000" w:sz="8" w:space="0"/>
            </w:tcBorders>
            <w:shd w:val="clear" w:color="auto" w:fill="auto"/>
            <w:vAlign w:val="center"/>
          </w:tcPr>
          <w:p w14:paraId="4B748615">
            <w:pPr>
              <w:jc w:val="center"/>
              <w:rPr>
                <w:rFonts w:hint="eastAsia" w:ascii="仿宋" w:hAnsi="仿宋" w:eastAsia="仿宋" w:cs="仿宋"/>
                <w:i w:val="0"/>
                <w:iCs w:val="0"/>
                <w:color w:val="auto"/>
                <w:sz w:val="24"/>
                <w:szCs w:val="24"/>
                <w:highlight w:val="none"/>
                <w:u w:val="none"/>
              </w:rPr>
            </w:pPr>
          </w:p>
        </w:tc>
      </w:tr>
      <w:tr w14:paraId="1B8FE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 w:hRule="atLeast"/>
        </w:trPr>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7361DC6D">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7189770C">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62548B4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r>
              <w:rPr>
                <w:rStyle w:val="315"/>
                <w:rFonts w:ascii="仿宋" w:hAnsi="仿宋" w:eastAsia="仿宋" w:cs="仿宋"/>
                <w:color w:val="auto"/>
                <w:sz w:val="24"/>
                <w:szCs w:val="24"/>
                <w:highlight w:val="none"/>
                <w:lang w:val="en-US" w:eastAsia="zh-CN" w:bidi="ar"/>
              </w:rPr>
              <w:t>支持漏洞生命周期管理。</w:t>
            </w:r>
          </w:p>
        </w:tc>
        <w:tc>
          <w:tcPr>
            <w:tcW w:w="246" w:type="pct"/>
            <w:vMerge w:val="continue"/>
            <w:tcBorders>
              <w:top w:val="nil"/>
              <w:left w:val="single" w:color="000000" w:sz="8" w:space="0"/>
              <w:bottom w:val="single" w:color="000000" w:sz="8" w:space="0"/>
              <w:right w:val="single" w:color="000000" w:sz="8" w:space="0"/>
            </w:tcBorders>
            <w:shd w:val="clear" w:color="auto" w:fill="auto"/>
            <w:vAlign w:val="center"/>
          </w:tcPr>
          <w:p w14:paraId="7A31977B">
            <w:pPr>
              <w:jc w:val="center"/>
              <w:rPr>
                <w:rFonts w:hint="eastAsia" w:ascii="仿宋" w:hAnsi="仿宋" w:eastAsia="仿宋" w:cs="仿宋"/>
                <w:i w:val="0"/>
                <w:iCs w:val="0"/>
                <w:color w:val="auto"/>
                <w:sz w:val="24"/>
                <w:szCs w:val="24"/>
                <w:highlight w:val="none"/>
                <w:u w:val="none"/>
              </w:rPr>
            </w:pPr>
          </w:p>
        </w:tc>
      </w:tr>
      <w:tr w14:paraId="272A4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29E3FF50">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6D5681BF">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5D6E08D5">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5、报表支持综述报表及主机报表，可自定义安全结论。</w:t>
            </w:r>
          </w:p>
        </w:tc>
        <w:tc>
          <w:tcPr>
            <w:tcW w:w="246" w:type="pct"/>
            <w:vMerge w:val="continue"/>
            <w:tcBorders>
              <w:top w:val="nil"/>
              <w:left w:val="single" w:color="000000" w:sz="8" w:space="0"/>
              <w:bottom w:val="single" w:color="000000" w:sz="8" w:space="0"/>
              <w:right w:val="single" w:color="000000" w:sz="8" w:space="0"/>
            </w:tcBorders>
            <w:shd w:val="clear" w:color="auto" w:fill="auto"/>
            <w:vAlign w:val="center"/>
          </w:tcPr>
          <w:p w14:paraId="00AED237">
            <w:pPr>
              <w:jc w:val="center"/>
              <w:rPr>
                <w:rFonts w:hint="eastAsia" w:ascii="仿宋" w:hAnsi="仿宋" w:eastAsia="仿宋" w:cs="仿宋"/>
                <w:i w:val="0"/>
                <w:iCs w:val="0"/>
                <w:color w:val="auto"/>
                <w:sz w:val="24"/>
                <w:szCs w:val="24"/>
                <w:highlight w:val="none"/>
                <w:u w:val="none"/>
              </w:rPr>
            </w:pPr>
          </w:p>
        </w:tc>
      </w:tr>
      <w:tr w14:paraId="68A6B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trPr>
        <w:tc>
          <w:tcPr>
            <w:tcW w:w="351" w:type="pct"/>
            <w:tcBorders>
              <w:top w:val="nil"/>
              <w:left w:val="single" w:color="000000" w:sz="8" w:space="0"/>
              <w:bottom w:val="single" w:color="000000" w:sz="8" w:space="0"/>
              <w:right w:val="single" w:color="000000" w:sz="8" w:space="0"/>
            </w:tcBorders>
            <w:shd w:val="clear" w:color="auto" w:fill="auto"/>
            <w:vAlign w:val="center"/>
          </w:tcPr>
          <w:p w14:paraId="354CEC1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351" w:type="pct"/>
            <w:tcBorders>
              <w:top w:val="nil"/>
              <w:left w:val="single" w:color="000000" w:sz="8" w:space="0"/>
              <w:bottom w:val="single" w:color="000000" w:sz="8" w:space="0"/>
              <w:right w:val="single" w:color="000000" w:sz="8" w:space="0"/>
            </w:tcBorders>
            <w:shd w:val="clear" w:color="auto" w:fill="auto"/>
            <w:vAlign w:val="center"/>
          </w:tcPr>
          <w:p w14:paraId="05AD725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安装调试服务</w:t>
            </w:r>
          </w:p>
        </w:tc>
        <w:tc>
          <w:tcPr>
            <w:tcW w:w="4050" w:type="pct"/>
            <w:tcBorders>
              <w:top w:val="nil"/>
              <w:left w:val="single" w:color="000000" w:sz="8" w:space="0"/>
              <w:bottom w:val="single" w:color="auto" w:sz="4" w:space="0"/>
              <w:right w:val="single" w:color="000000" w:sz="8" w:space="0"/>
            </w:tcBorders>
            <w:shd w:val="clear" w:color="auto" w:fill="auto"/>
            <w:vAlign w:val="center"/>
          </w:tcPr>
          <w:p w14:paraId="2B9D113A">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1、项目设备安装、调试、辅材提供、系统集成服务，协助完成工作网等保三级测评工作等</w:t>
            </w:r>
          </w:p>
          <w:p w14:paraId="4003CF1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2、机房旧设备的迁移、安装、调试由中标商负责</w:t>
            </w:r>
          </w:p>
          <w:p w14:paraId="0AB396C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3、辅材一批。其中网线要求：国标六类，线径≥0.57mm。HDMI线要求：成品线，支持4K/60HZ分辨率，支持HDMI 2.0。</w:t>
            </w:r>
          </w:p>
        </w:tc>
        <w:tc>
          <w:tcPr>
            <w:tcW w:w="246" w:type="pct"/>
            <w:tcBorders>
              <w:top w:val="nil"/>
              <w:left w:val="single" w:color="000000" w:sz="8" w:space="0"/>
              <w:bottom w:val="single" w:color="000000" w:sz="8" w:space="0"/>
              <w:right w:val="single" w:color="000000" w:sz="8" w:space="0"/>
            </w:tcBorders>
            <w:shd w:val="clear" w:color="auto" w:fill="auto"/>
            <w:vAlign w:val="center"/>
          </w:tcPr>
          <w:p w14:paraId="05ACE04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1项</w:t>
            </w:r>
          </w:p>
        </w:tc>
      </w:tr>
    </w:tbl>
    <w:p w14:paraId="18B6F355">
      <w:pPr>
        <w:pStyle w:val="3"/>
        <w:keepNext w:val="0"/>
        <w:keepLines w:val="0"/>
        <w:widowControl/>
        <w:suppressLineNumbers w:val="0"/>
        <w:spacing w:line="480" w:lineRule="auto"/>
        <w:jc w:val="left"/>
        <w:textAlignment w:val="center"/>
        <w:rPr>
          <w:rFonts w:hint="eastAsia" w:ascii="Times New Roman" w:hAnsi="Times New Roman" w:eastAsia="宋体" w:cs="Times New Roman"/>
          <w:bCs w:val="0"/>
          <w:i w:val="0"/>
          <w:iCs w:val="0"/>
          <w:color w:val="auto"/>
          <w:kern w:val="44"/>
          <w:sz w:val="28"/>
          <w:szCs w:val="28"/>
          <w:highlight w:val="none"/>
          <w:u w:val="none"/>
          <w:lang w:val="en-US" w:eastAsia="zh-CN" w:bidi="ar"/>
        </w:rPr>
      </w:pPr>
      <w:r>
        <w:rPr>
          <w:rFonts w:hint="eastAsia" w:ascii="Times New Roman" w:hAnsi="Times New Roman" w:eastAsia="宋体" w:cs="Times New Roman"/>
          <w:bCs w:val="0"/>
          <w:i w:val="0"/>
          <w:iCs w:val="0"/>
          <w:color w:val="auto"/>
          <w:kern w:val="44"/>
          <w:sz w:val="28"/>
          <w:szCs w:val="28"/>
          <w:highlight w:val="none"/>
          <w:u w:val="none"/>
          <w:lang w:val="en-US" w:eastAsia="zh-CN" w:bidi="ar"/>
        </w:rPr>
        <w:t>二、其它要求</w:t>
      </w:r>
    </w:p>
    <w:p w14:paraId="084F53A5">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1、项目质保期：终验完成之日起五年。</w:t>
      </w:r>
    </w:p>
    <w:p w14:paraId="0AB085A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2、项目质保期声明对象：项目中所包含的全部软硬件设备。</w:t>
      </w:r>
    </w:p>
    <w:p w14:paraId="2DF582C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3、项目质保期内，中标商提供所有设备原厂免费软硬件质保，和所有与设备相关的“设备库文件”的原厂免费升级，设备库文件包含规则库、病毒库、特征库、识别库、情报库等。</w:t>
      </w:r>
    </w:p>
    <w:p w14:paraId="330DD12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4、项目中标后，第1、2、3、4、5、6、10项设备的交付实施必须由原厂工程师上门服务。</w:t>
      </w:r>
    </w:p>
    <w:p w14:paraId="6230E17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5、招标方案中的第1、2、3、4、5、6、10项设备，中标商必须提供设备原厂400等统一查询电话，且甲方可以根据设备序列号查询到设备</w:t>
      </w:r>
      <w:r>
        <w:rPr>
          <w:rStyle w:val="374"/>
          <w:rFonts w:hAnsi="仿宋"/>
          <w:color w:val="auto"/>
          <w:sz w:val="24"/>
          <w:szCs w:val="24"/>
          <w:highlight w:val="none"/>
          <w:lang w:val="en-US" w:eastAsia="zh-CN" w:bidi="ar"/>
        </w:rPr>
        <w:t>对应的最终用户为“柯城区人民检察院”。</w:t>
      </w:r>
      <w:r>
        <w:rPr>
          <w:rStyle w:val="315"/>
          <w:rFonts w:hint="eastAsia" w:ascii="仿宋" w:hAnsi="仿宋" w:eastAsia="仿宋" w:cs="仿宋"/>
          <w:color w:val="auto"/>
          <w:sz w:val="24"/>
          <w:szCs w:val="24"/>
          <w:highlight w:val="none"/>
          <w:lang w:val="en-US" w:eastAsia="zh-CN" w:bidi="ar"/>
        </w:rPr>
        <w:t>上述设备供货后</w:t>
      </w:r>
      <w:r>
        <w:rPr>
          <w:rStyle w:val="315"/>
          <w:rFonts w:ascii="仿宋" w:hAnsi="仿宋" w:eastAsia="仿宋" w:cs="仿宋"/>
          <w:color w:val="auto"/>
          <w:sz w:val="24"/>
          <w:szCs w:val="24"/>
          <w:highlight w:val="none"/>
          <w:lang w:val="en-US" w:eastAsia="zh-CN" w:bidi="ar"/>
        </w:rPr>
        <w:t>，如果甲方无法查询到上述对应关系，则甲方有权要求乙方进行赔偿，赔偿金额为“项目中标金额*20%”。参与竞标，则默认同意此条款。</w:t>
      </w:r>
    </w:p>
    <w:p w14:paraId="17A6F146">
      <w:pPr>
        <w:keepNext w:val="0"/>
        <w:keepLines w:val="0"/>
        <w:widowControl/>
        <w:suppressLineNumbers w:val="0"/>
        <w:tabs>
          <w:tab w:val="left" w:pos="4830"/>
        </w:tabs>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6、项目免费质保期逾期后，采购人可以要求仍由项目中标公司负责有偿质保服务。</w:t>
      </w:r>
    </w:p>
    <w:p w14:paraId="2349594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项目质保期满后，甲方可以继续向中标商逐年购买质保，且乙方必须无条件同意甲方的购买行为。甲方购买的质保服务等同于质保期内甲方享受的所有服务（包括质保期内的所有原厂服务，如软硬件的原厂维保和相关规则库升级</w:t>
      </w:r>
      <w:r>
        <w:rPr>
          <w:rStyle w:val="374"/>
          <w:rFonts w:hAnsi="仿宋"/>
          <w:color w:val="auto"/>
          <w:sz w:val="24"/>
          <w:szCs w:val="24"/>
          <w:highlight w:val="none"/>
          <w:lang w:val="en-US" w:eastAsia="zh-CN" w:bidi="ar"/>
        </w:rPr>
        <w:t>等</w:t>
      </w:r>
      <w:r>
        <w:rPr>
          <w:rStyle w:val="315"/>
          <w:rFonts w:ascii="仿宋" w:hAnsi="仿宋" w:eastAsia="仿宋" w:cs="仿宋"/>
          <w:color w:val="auto"/>
          <w:sz w:val="24"/>
          <w:szCs w:val="24"/>
          <w:highlight w:val="none"/>
          <w:lang w:val="en-US" w:eastAsia="zh-CN" w:bidi="ar"/>
        </w:rPr>
        <w:t>）。竞标商在投标时，必须出具“有偿质保服务购买承诺函”，承诺函上必须明确标明“年均服务购买总价和分项单价”和“各设备原厂盖章质保续购承诺”，且年均服务购买单价为同一价，不允许逐年递增。</w:t>
      </w:r>
    </w:p>
    <w:p w14:paraId="3C2761A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8、考虑到后期省市县三级院可能出现的安全平台对接，参与竞标的集成商必须出具原厂的设备接口免费开放承诺书，且必须派遣设备原厂工程师无条件配合采购人进行不同平台之间的对接。</w:t>
      </w:r>
    </w:p>
    <w:p w14:paraId="779F2E94">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9、项目中所有设备的存储部件，如果在售后过程中产生更换的，更换下来的旧存储部件所有权归甲方。</w:t>
      </w:r>
    </w:p>
    <w:p w14:paraId="124F261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10、此项目核心安全设备为态势感知系统、探针、防火墙、入侵防御系统。</w:t>
      </w:r>
    </w:p>
    <w:p w14:paraId="3DF215A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11、考虑到系统联动需要，投标商提供的“态势感知系统、探针、防火墙、入侵防御系统”设备必须为同一品牌。</w:t>
      </w:r>
    </w:p>
    <w:p w14:paraId="0A4CFB40">
      <w:pPr>
        <w:keepNext w:val="0"/>
        <w:keepLines w:val="0"/>
        <w:pageBreakBefore w:val="0"/>
        <w:widowControl w:val="0"/>
        <w:kinsoku/>
        <w:wordWrap/>
        <w:overflowPunct/>
        <w:topLinePunct w:val="0"/>
        <w:autoSpaceDE/>
        <w:autoSpaceDN/>
        <w:bidi w:val="0"/>
        <w:adjustRightInd w:val="0"/>
        <w:snapToGrid/>
        <w:spacing w:line="360" w:lineRule="auto"/>
        <w:jc w:val="left"/>
        <w:textAlignment w:val="auto"/>
        <w:outlineLvl w:val="0"/>
        <w:rPr>
          <w:rFonts w:hint="eastAsia" w:ascii="仿宋" w:hAnsi="仿宋" w:eastAsia="仿宋" w:cs="仿宋"/>
          <w:b/>
          <w:color w:val="auto"/>
          <w:sz w:val="36"/>
          <w:szCs w:val="36"/>
          <w:highlight w:val="none"/>
        </w:rPr>
      </w:pPr>
      <w:r>
        <w:rPr>
          <w:rFonts w:hint="eastAsia" w:ascii="仿宋" w:hAnsi="仿宋" w:eastAsia="仿宋" w:cs="仿宋"/>
          <w:i w:val="0"/>
          <w:iCs w:val="0"/>
          <w:color w:val="auto"/>
          <w:kern w:val="0"/>
          <w:sz w:val="24"/>
          <w:szCs w:val="24"/>
          <w:highlight w:val="none"/>
          <w:u w:val="none"/>
          <w:lang w:val="en-US" w:eastAsia="zh-CN" w:bidi="ar"/>
        </w:rPr>
        <w:t>12、项目安装调试完毕后，需试运行一年后再进行验收，验收时需乙方额外提供三份材料（所有“核心安全设备”原厂巡检报告、原厂工程师上门服务签字确认函、以及与签字确认函上姓名时间想匹配的对应工程师原厂社保证明）（例如，2023年3月是工程师“张三”上门巡检，2023年4月是工程师“李四”上门巡检，则验收时厂家需提供2023年3月张三的原厂社保证明和2023年4月李四的原厂社保证明，以此类推）。</w:t>
      </w:r>
    </w:p>
    <w:p w14:paraId="4243C0E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rPr>
        <w:sectPr>
          <w:headerReference r:id="rId7" w:type="first"/>
          <w:footerReference r:id="rId9" w:type="first"/>
          <w:headerReference r:id="rId6" w:type="default"/>
          <w:footerReference r:id="rId8" w:type="default"/>
          <w:pgSz w:w="16838" w:h="11906" w:orient="landscape"/>
          <w:pgMar w:top="1238" w:right="1276" w:bottom="1648" w:left="1062" w:header="851" w:footer="992" w:gutter="0"/>
          <w:pgNumType w:fmt="decimal"/>
          <w:cols w:space="720" w:num="1"/>
          <w:titlePg/>
          <w:docGrid w:linePitch="312" w:charSpace="0"/>
        </w:sectPr>
      </w:pPr>
    </w:p>
    <w:p w14:paraId="3C8FEBF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eastAsia="zh-CN"/>
        </w:rPr>
        <w:t>四</w:t>
      </w:r>
      <w:r>
        <w:rPr>
          <w:rFonts w:hint="eastAsia" w:ascii="仿宋" w:hAnsi="仿宋" w:eastAsia="仿宋" w:cs="仿宋"/>
          <w:b/>
          <w:color w:val="auto"/>
          <w:sz w:val="36"/>
          <w:szCs w:val="36"/>
          <w:highlight w:val="none"/>
        </w:rPr>
        <w:t>部分 拟签订的合同文本</w:t>
      </w:r>
    </w:p>
    <w:p w14:paraId="0B716EC2">
      <w:pPr>
        <w:pStyle w:val="522"/>
        <w:ind w:left="0" w:leftChars="0" w:firstLine="0" w:firstLineChars="0"/>
        <w:jc w:val="center"/>
        <w:rPr>
          <w:rFonts w:hint="eastAsia" w:ascii="宋体" w:hAnsi="宋体"/>
          <w:b/>
          <w:color w:val="auto"/>
          <w:sz w:val="28"/>
          <w:szCs w:val="28"/>
          <w:highlight w:val="none"/>
        </w:rPr>
      </w:pPr>
      <w:r>
        <w:rPr>
          <w:rFonts w:hint="eastAsia" w:ascii="宋体" w:hAnsi="宋体"/>
          <w:b/>
          <w:color w:val="auto"/>
          <w:sz w:val="28"/>
          <w:szCs w:val="28"/>
          <w:highlight w:val="none"/>
        </w:rPr>
        <w:t>（具体以双方实际签订的条款为准）</w:t>
      </w:r>
    </w:p>
    <w:p w14:paraId="4E9595A8">
      <w:pPr>
        <w:pStyle w:val="522"/>
        <w:keepNext w:val="0"/>
        <w:keepLines w:val="0"/>
        <w:pageBreakBefore w:val="0"/>
        <w:widowControl/>
        <w:kinsoku/>
        <w:wordWrap/>
        <w:overflowPunct/>
        <w:topLinePunct w:val="0"/>
        <w:autoSpaceDE/>
        <w:autoSpaceDN/>
        <w:bidi w:val="0"/>
        <w:adjustRightInd/>
        <w:snapToGrid/>
        <w:spacing w:line="400" w:lineRule="exact"/>
        <w:ind w:firstLine="240" w:firstLineChars="100"/>
        <w:jc w:val="left"/>
        <w:textAlignment w:val="auto"/>
        <w:rPr>
          <w:rFonts w:hint="default"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lang w:val="en-US" w:eastAsia="zh-CN" w:bidi="ar-SA"/>
        </w:rPr>
        <w:t>甲方</w:t>
      </w:r>
      <w:r>
        <w:rPr>
          <w:rFonts w:hint="eastAsia" w:ascii="宋体" w:hAnsi="宋体" w:eastAsia="宋体" w:cs="宋体"/>
          <w:color w:val="auto"/>
          <w:kern w:val="2"/>
          <w:sz w:val="24"/>
          <w:szCs w:val="24"/>
          <w:highlight w:val="none"/>
          <w:u w:val="none"/>
          <w:lang w:val="en-US" w:eastAsia="zh-CN" w:bidi="ar-SA"/>
        </w:rPr>
        <w:t>：</w:t>
      </w:r>
      <w:r>
        <w:rPr>
          <w:rFonts w:hint="eastAsia" w:ascii="宋体" w:hAnsi="宋体" w:eastAsia="宋体" w:cs="宋体"/>
          <w:color w:val="auto"/>
          <w:kern w:val="2"/>
          <w:sz w:val="24"/>
          <w:szCs w:val="24"/>
          <w:highlight w:val="none"/>
          <w:u w:val="single"/>
          <w:lang w:val="en-US" w:eastAsia="zh-CN" w:bidi="ar-SA"/>
        </w:rPr>
        <w:t xml:space="preserve">    </w:t>
      </w:r>
    </w:p>
    <w:p w14:paraId="2CA64453">
      <w:pPr>
        <w:pStyle w:val="522"/>
        <w:keepNext w:val="0"/>
        <w:keepLines w:val="0"/>
        <w:pageBreakBefore w:val="0"/>
        <w:widowControl/>
        <w:kinsoku/>
        <w:wordWrap/>
        <w:overflowPunct/>
        <w:topLinePunct w:val="0"/>
        <w:autoSpaceDE/>
        <w:autoSpaceDN/>
        <w:bidi w:val="0"/>
        <w:adjustRightInd/>
        <w:snapToGrid/>
        <w:spacing w:line="400" w:lineRule="exact"/>
        <w:ind w:firstLine="240" w:firstLineChars="1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乙方：</w:t>
      </w:r>
    </w:p>
    <w:p w14:paraId="37BB1EC2">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为保证合同的正确履行，维护合同双方的合法权益，依照《中华人民共和国民法典》及相关法律规定，根据招投标文件有关条款，甲、乙双方本着责任共担，利益共享的原则，经协商一致，达成以下条款，双方共同遵守。</w:t>
      </w:r>
    </w:p>
    <w:p w14:paraId="08C21013">
      <w:pPr>
        <w:pBdr>
          <w:top w:val="none" w:color="auto" w:sz="0" w:space="0"/>
          <w:left w:val="none" w:color="auto" w:sz="0" w:space="0"/>
          <w:bottom w:val="none" w:color="auto" w:sz="0" w:space="0"/>
          <w:right w:val="none" w:color="auto" w:sz="0" w:space="0"/>
        </w:pBdr>
        <w:spacing w:line="400" w:lineRule="exact"/>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第一条  组成本合同的有关文件</w:t>
      </w:r>
    </w:p>
    <w:p w14:paraId="0C0AC560">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下列文件及有关附件是本合同不可分割的组成部分，与本合同具有同等法律效力，这些文件包括：</w:t>
      </w:r>
    </w:p>
    <w:p w14:paraId="3F25BEC1">
      <w:pPr>
        <w:pBdr>
          <w:top w:val="none" w:color="auto" w:sz="0" w:space="0"/>
          <w:left w:val="none" w:color="auto" w:sz="0" w:space="0"/>
          <w:bottom w:val="none" w:color="auto" w:sz="0" w:space="0"/>
          <w:right w:val="none" w:color="auto" w:sz="0" w:space="0"/>
        </w:pBdr>
        <w:spacing w:line="400" w:lineRule="exact"/>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（1）招标文件；</w:t>
      </w:r>
    </w:p>
    <w:p w14:paraId="638DD28A">
      <w:pPr>
        <w:pBdr>
          <w:top w:val="none" w:color="auto" w:sz="0" w:space="0"/>
          <w:left w:val="none" w:color="auto" w:sz="0" w:space="0"/>
          <w:bottom w:val="none" w:color="auto" w:sz="0" w:space="0"/>
          <w:right w:val="none" w:color="auto" w:sz="0" w:space="0"/>
        </w:pBdr>
        <w:spacing w:line="400" w:lineRule="exact"/>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（2）乙方提供的投标文件；</w:t>
      </w:r>
    </w:p>
    <w:p w14:paraId="0ADA9785">
      <w:pPr>
        <w:pBdr>
          <w:top w:val="none" w:color="auto" w:sz="0" w:space="0"/>
          <w:left w:val="none" w:color="auto" w:sz="0" w:space="0"/>
          <w:bottom w:val="none" w:color="auto" w:sz="0" w:space="0"/>
          <w:right w:val="none" w:color="auto" w:sz="0" w:space="0"/>
        </w:pBdr>
        <w:spacing w:line="400" w:lineRule="exact"/>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（3）甲、乙双方商定的其他文件：</w:t>
      </w:r>
    </w:p>
    <w:p w14:paraId="7B9727E7">
      <w:pPr>
        <w:pBdr>
          <w:top w:val="none" w:color="auto" w:sz="0" w:space="0"/>
          <w:left w:val="none" w:color="auto" w:sz="0" w:space="0"/>
          <w:bottom w:val="none" w:color="auto" w:sz="0" w:space="0"/>
          <w:right w:val="none" w:color="auto" w:sz="0" w:space="0"/>
        </w:pBdr>
        <w:spacing w:line="400" w:lineRule="exact"/>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第二条 合同标的</w:t>
      </w:r>
    </w:p>
    <w:tbl>
      <w:tblPr>
        <w:tblStyle w:val="6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42"/>
        <w:gridCol w:w="1842"/>
        <w:gridCol w:w="756"/>
        <w:gridCol w:w="1478"/>
        <w:gridCol w:w="1611"/>
        <w:gridCol w:w="1179"/>
      </w:tblGrid>
      <w:tr w14:paraId="2EE3A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0" w:type="dxa"/>
            <w:noWrap/>
            <w:vAlign w:val="center"/>
          </w:tcPr>
          <w:p w14:paraId="00322D0B">
            <w:pPr>
              <w:pBdr>
                <w:top w:val="none" w:color="auto" w:sz="0" w:space="0"/>
                <w:left w:val="none" w:color="auto" w:sz="0" w:space="0"/>
                <w:bottom w:val="none" w:color="auto" w:sz="0" w:space="0"/>
                <w:right w:val="none" w:color="auto" w:sz="0" w:space="0"/>
              </w:pBdr>
              <w:spacing w:line="3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序号</w:t>
            </w:r>
          </w:p>
        </w:tc>
        <w:tc>
          <w:tcPr>
            <w:tcW w:w="1542" w:type="dxa"/>
            <w:noWrap/>
            <w:vAlign w:val="center"/>
          </w:tcPr>
          <w:p w14:paraId="665DCA69">
            <w:pPr>
              <w:pBdr>
                <w:top w:val="none" w:color="auto" w:sz="0" w:space="0"/>
                <w:left w:val="none" w:color="auto" w:sz="0" w:space="0"/>
                <w:bottom w:val="none" w:color="auto" w:sz="0" w:space="0"/>
                <w:right w:val="none" w:color="auto" w:sz="0" w:space="0"/>
              </w:pBdr>
              <w:spacing w:line="3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名称</w:t>
            </w:r>
          </w:p>
        </w:tc>
        <w:tc>
          <w:tcPr>
            <w:tcW w:w="1842" w:type="dxa"/>
            <w:noWrap/>
            <w:vAlign w:val="center"/>
          </w:tcPr>
          <w:p w14:paraId="668B5AD3">
            <w:pPr>
              <w:pBdr>
                <w:top w:val="none" w:color="auto" w:sz="0" w:space="0"/>
                <w:left w:val="none" w:color="auto" w:sz="0" w:space="0"/>
                <w:bottom w:val="none" w:color="auto" w:sz="0" w:space="0"/>
                <w:right w:val="none" w:color="auto" w:sz="0" w:space="0"/>
              </w:pBdr>
              <w:spacing w:line="3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品牌</w:t>
            </w:r>
            <w:r>
              <w:rPr>
                <w:rFonts w:hint="eastAsia" w:ascii="宋体" w:hAnsi="宋体" w:eastAsia="宋体" w:cs="宋体"/>
                <w:color w:val="auto"/>
                <w:kern w:val="2"/>
                <w:sz w:val="24"/>
                <w:szCs w:val="24"/>
                <w:highlight w:val="none"/>
                <w:lang w:eastAsia="zh-CN"/>
              </w:rPr>
              <w:t>规格型号</w:t>
            </w:r>
          </w:p>
        </w:tc>
        <w:tc>
          <w:tcPr>
            <w:tcW w:w="756" w:type="dxa"/>
            <w:noWrap/>
            <w:vAlign w:val="center"/>
          </w:tcPr>
          <w:p w14:paraId="5EA0BD3D">
            <w:pPr>
              <w:pBdr>
                <w:top w:val="none" w:color="auto" w:sz="0" w:space="0"/>
                <w:left w:val="none" w:color="auto" w:sz="0" w:space="0"/>
                <w:bottom w:val="none" w:color="auto" w:sz="0" w:space="0"/>
                <w:right w:val="none" w:color="auto" w:sz="0" w:space="0"/>
              </w:pBdr>
              <w:spacing w:line="3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单位</w:t>
            </w:r>
          </w:p>
        </w:tc>
        <w:tc>
          <w:tcPr>
            <w:tcW w:w="1478" w:type="dxa"/>
            <w:noWrap/>
            <w:vAlign w:val="center"/>
          </w:tcPr>
          <w:p w14:paraId="7D4B9802">
            <w:pPr>
              <w:pBdr>
                <w:top w:val="none" w:color="auto" w:sz="0" w:space="0"/>
                <w:left w:val="none" w:color="auto" w:sz="0" w:space="0"/>
                <w:bottom w:val="none" w:color="auto" w:sz="0" w:space="0"/>
                <w:right w:val="none" w:color="auto" w:sz="0" w:space="0"/>
              </w:pBdr>
              <w:spacing w:line="3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数量</w:t>
            </w:r>
          </w:p>
        </w:tc>
        <w:tc>
          <w:tcPr>
            <w:tcW w:w="1611" w:type="dxa"/>
            <w:noWrap/>
            <w:vAlign w:val="center"/>
          </w:tcPr>
          <w:p w14:paraId="55C00437">
            <w:pPr>
              <w:pBdr>
                <w:top w:val="none" w:color="auto" w:sz="0" w:space="0"/>
                <w:left w:val="none" w:color="auto" w:sz="0" w:space="0"/>
                <w:bottom w:val="none" w:color="auto" w:sz="0" w:space="0"/>
                <w:right w:val="none" w:color="auto" w:sz="0" w:space="0"/>
              </w:pBdr>
              <w:spacing w:line="3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单价</w:t>
            </w:r>
          </w:p>
        </w:tc>
        <w:tc>
          <w:tcPr>
            <w:tcW w:w="1179" w:type="dxa"/>
            <w:noWrap/>
            <w:vAlign w:val="center"/>
          </w:tcPr>
          <w:p w14:paraId="5B3E5684">
            <w:pPr>
              <w:pBdr>
                <w:top w:val="none" w:color="auto" w:sz="0" w:space="0"/>
                <w:left w:val="none" w:color="auto" w:sz="0" w:space="0"/>
                <w:bottom w:val="none" w:color="auto" w:sz="0" w:space="0"/>
                <w:right w:val="none" w:color="auto" w:sz="0" w:space="0"/>
              </w:pBdr>
              <w:spacing w:line="3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总价</w:t>
            </w:r>
          </w:p>
        </w:tc>
      </w:tr>
      <w:tr w14:paraId="490AB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14:paraId="222FAC1A">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1542" w:type="dxa"/>
            <w:noWrap/>
            <w:vAlign w:val="top"/>
          </w:tcPr>
          <w:p w14:paraId="76AE7AB6">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1842" w:type="dxa"/>
            <w:noWrap/>
            <w:vAlign w:val="top"/>
          </w:tcPr>
          <w:p w14:paraId="27375B2F">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756" w:type="dxa"/>
            <w:noWrap/>
            <w:vAlign w:val="top"/>
          </w:tcPr>
          <w:p w14:paraId="39818243">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1478" w:type="dxa"/>
            <w:noWrap/>
            <w:vAlign w:val="top"/>
          </w:tcPr>
          <w:p w14:paraId="761B61FF">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1611" w:type="dxa"/>
            <w:noWrap/>
            <w:vAlign w:val="top"/>
          </w:tcPr>
          <w:p w14:paraId="1FFC1916">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1179" w:type="dxa"/>
            <w:noWrap/>
            <w:vAlign w:val="top"/>
          </w:tcPr>
          <w:p w14:paraId="396EB142">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r>
      <w:tr w14:paraId="1E00D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14:paraId="415C041E">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1542" w:type="dxa"/>
            <w:noWrap/>
            <w:vAlign w:val="top"/>
          </w:tcPr>
          <w:p w14:paraId="2B3A51C8">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1842" w:type="dxa"/>
            <w:noWrap/>
            <w:vAlign w:val="top"/>
          </w:tcPr>
          <w:p w14:paraId="3F04601D">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756" w:type="dxa"/>
            <w:noWrap/>
            <w:vAlign w:val="top"/>
          </w:tcPr>
          <w:p w14:paraId="57CECB24">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1478" w:type="dxa"/>
            <w:noWrap/>
            <w:vAlign w:val="top"/>
          </w:tcPr>
          <w:p w14:paraId="1DD972DE">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1611" w:type="dxa"/>
            <w:noWrap/>
            <w:vAlign w:val="top"/>
          </w:tcPr>
          <w:p w14:paraId="7CC000C5">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1179" w:type="dxa"/>
            <w:noWrap/>
            <w:vAlign w:val="top"/>
          </w:tcPr>
          <w:p w14:paraId="0CD40F5A">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r>
      <w:tr w14:paraId="23D2B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14:paraId="6C5557F8">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1542" w:type="dxa"/>
            <w:noWrap/>
            <w:vAlign w:val="top"/>
          </w:tcPr>
          <w:p w14:paraId="552DD9A3">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1842" w:type="dxa"/>
            <w:noWrap/>
            <w:vAlign w:val="top"/>
          </w:tcPr>
          <w:p w14:paraId="464A5B58">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756" w:type="dxa"/>
            <w:noWrap/>
            <w:vAlign w:val="top"/>
          </w:tcPr>
          <w:p w14:paraId="41A14CE5">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1478" w:type="dxa"/>
            <w:noWrap/>
            <w:vAlign w:val="top"/>
          </w:tcPr>
          <w:p w14:paraId="65109CC2">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1611" w:type="dxa"/>
            <w:noWrap/>
            <w:vAlign w:val="top"/>
          </w:tcPr>
          <w:p w14:paraId="28A63AFE">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1179" w:type="dxa"/>
            <w:noWrap/>
            <w:vAlign w:val="top"/>
          </w:tcPr>
          <w:p w14:paraId="46444CA4">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r>
      <w:tr w14:paraId="48482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14:paraId="4571017E">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1542" w:type="dxa"/>
            <w:noWrap/>
            <w:vAlign w:val="top"/>
          </w:tcPr>
          <w:p w14:paraId="1345AE43">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1842" w:type="dxa"/>
            <w:noWrap/>
            <w:vAlign w:val="top"/>
          </w:tcPr>
          <w:p w14:paraId="0FD38B22">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756" w:type="dxa"/>
            <w:noWrap/>
            <w:vAlign w:val="top"/>
          </w:tcPr>
          <w:p w14:paraId="1ADD0EDD">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1478" w:type="dxa"/>
            <w:noWrap/>
            <w:vAlign w:val="top"/>
          </w:tcPr>
          <w:p w14:paraId="30D12727">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1611" w:type="dxa"/>
            <w:noWrap/>
            <w:vAlign w:val="top"/>
          </w:tcPr>
          <w:p w14:paraId="71EBBED2">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1179" w:type="dxa"/>
            <w:noWrap/>
            <w:vAlign w:val="top"/>
          </w:tcPr>
          <w:p w14:paraId="5B85D772">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r>
      <w:tr w14:paraId="48ED9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14:paraId="3D7AE87E">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1542" w:type="dxa"/>
            <w:noWrap/>
            <w:vAlign w:val="top"/>
          </w:tcPr>
          <w:p w14:paraId="7441868B">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1842" w:type="dxa"/>
            <w:noWrap/>
            <w:vAlign w:val="top"/>
          </w:tcPr>
          <w:p w14:paraId="0573AA28">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756" w:type="dxa"/>
            <w:noWrap/>
            <w:vAlign w:val="top"/>
          </w:tcPr>
          <w:p w14:paraId="0BD51D26">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1478" w:type="dxa"/>
            <w:noWrap/>
            <w:vAlign w:val="top"/>
          </w:tcPr>
          <w:p w14:paraId="24F960EC">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1611" w:type="dxa"/>
            <w:noWrap/>
            <w:vAlign w:val="top"/>
          </w:tcPr>
          <w:p w14:paraId="18A1A88F">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1179" w:type="dxa"/>
            <w:noWrap/>
            <w:vAlign w:val="top"/>
          </w:tcPr>
          <w:p w14:paraId="3C27C058">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r>
      <w:tr w14:paraId="027C1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14:paraId="17012FC9">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1542" w:type="dxa"/>
            <w:noWrap/>
            <w:vAlign w:val="top"/>
          </w:tcPr>
          <w:p w14:paraId="367A2D01">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1842" w:type="dxa"/>
            <w:noWrap/>
            <w:vAlign w:val="top"/>
          </w:tcPr>
          <w:p w14:paraId="6C3E5A8C">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756" w:type="dxa"/>
            <w:noWrap/>
            <w:vAlign w:val="top"/>
          </w:tcPr>
          <w:p w14:paraId="73EAE545">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1478" w:type="dxa"/>
            <w:noWrap/>
            <w:vAlign w:val="top"/>
          </w:tcPr>
          <w:p w14:paraId="46CA6FEE">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1611" w:type="dxa"/>
            <w:noWrap/>
            <w:vAlign w:val="top"/>
          </w:tcPr>
          <w:p w14:paraId="27B7EF71">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1179" w:type="dxa"/>
            <w:noWrap/>
            <w:vAlign w:val="top"/>
          </w:tcPr>
          <w:p w14:paraId="55FE6019">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r>
      <w:tr w14:paraId="20433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14:paraId="07372E8A">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1542" w:type="dxa"/>
            <w:noWrap/>
            <w:vAlign w:val="top"/>
          </w:tcPr>
          <w:p w14:paraId="3A908473">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1842" w:type="dxa"/>
            <w:noWrap/>
            <w:vAlign w:val="top"/>
          </w:tcPr>
          <w:p w14:paraId="376DD2E6">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756" w:type="dxa"/>
            <w:noWrap/>
            <w:vAlign w:val="top"/>
          </w:tcPr>
          <w:p w14:paraId="796DAE37">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1478" w:type="dxa"/>
            <w:noWrap/>
            <w:vAlign w:val="top"/>
          </w:tcPr>
          <w:p w14:paraId="2F2117F9">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1611" w:type="dxa"/>
            <w:noWrap/>
            <w:vAlign w:val="top"/>
          </w:tcPr>
          <w:p w14:paraId="6FBC4350">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1179" w:type="dxa"/>
            <w:noWrap/>
            <w:vAlign w:val="top"/>
          </w:tcPr>
          <w:p w14:paraId="66358AA7">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r>
      <w:tr w14:paraId="01526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262" w:type="dxa"/>
            <w:gridSpan w:val="2"/>
            <w:noWrap/>
            <w:vAlign w:val="center"/>
          </w:tcPr>
          <w:p w14:paraId="1F043E60">
            <w:pPr>
              <w:pBdr>
                <w:top w:val="none" w:color="auto" w:sz="0" w:space="0"/>
                <w:left w:val="none" w:color="auto" w:sz="0" w:space="0"/>
                <w:bottom w:val="none" w:color="auto" w:sz="0" w:space="0"/>
                <w:right w:val="none" w:color="auto" w:sz="0" w:space="0"/>
              </w:pBdr>
              <w:spacing w:line="3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货物总价款（大写）</w:t>
            </w:r>
          </w:p>
        </w:tc>
        <w:tc>
          <w:tcPr>
            <w:tcW w:w="5687" w:type="dxa"/>
            <w:gridSpan w:val="4"/>
            <w:noWrap/>
            <w:vAlign w:val="top"/>
          </w:tcPr>
          <w:p w14:paraId="5754CD91">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1179" w:type="dxa"/>
            <w:noWrap/>
            <w:vAlign w:val="top"/>
          </w:tcPr>
          <w:p w14:paraId="00D383F1">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r>
    </w:tbl>
    <w:p w14:paraId="09E2C885">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以上货物价款以人民币进行结算，乙方应随货物向甲方交付货物的使用说明书及随货物相关的资料。</w:t>
      </w:r>
    </w:p>
    <w:p w14:paraId="3B4EA117">
      <w:pPr>
        <w:pBdr>
          <w:top w:val="none" w:color="auto" w:sz="0" w:space="0"/>
          <w:left w:val="none" w:color="auto" w:sz="0" w:space="0"/>
          <w:bottom w:val="none" w:color="auto" w:sz="0" w:space="0"/>
          <w:right w:val="none" w:color="auto" w:sz="0" w:space="0"/>
        </w:pBdr>
        <w:spacing w:line="400" w:lineRule="exact"/>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第三条 合同总价款</w:t>
      </w:r>
    </w:p>
    <w:p w14:paraId="7EAAE9BB">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合同总价款（大写）：人民币</w:t>
      </w:r>
      <w:r>
        <w:rPr>
          <w:rFonts w:hint="eastAsia" w:ascii="宋体" w:hAnsi="宋体" w:eastAsia="宋体" w:cs="宋体"/>
          <w:color w:val="auto"/>
          <w:kern w:val="2"/>
          <w:sz w:val="24"/>
          <w:szCs w:val="24"/>
          <w:highlight w:val="none"/>
          <w:u w:val="single"/>
          <w:lang w:eastAsia="zh-CN"/>
        </w:rPr>
        <w:t xml:space="preserve">                 </w:t>
      </w:r>
      <w:r>
        <w:rPr>
          <w:rFonts w:hint="eastAsia" w:ascii="宋体" w:hAnsi="宋体" w:eastAsia="宋体" w:cs="宋体"/>
          <w:color w:val="auto"/>
          <w:kern w:val="2"/>
          <w:sz w:val="24"/>
          <w:szCs w:val="24"/>
          <w:highlight w:val="none"/>
          <w:lang w:eastAsia="zh-CN"/>
        </w:rPr>
        <w:t>元。</w:t>
      </w:r>
    </w:p>
    <w:p w14:paraId="3F5D0C5A">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本合同总价款是材料采购、生产制造、运输、安装、相应的零配件、相关税费及验收合格之前和保修期内备品备件发生的等一切所有含税费用。</w:t>
      </w:r>
    </w:p>
    <w:p w14:paraId="790381D8">
      <w:pPr>
        <w:pBdr>
          <w:top w:val="none" w:color="auto" w:sz="0" w:space="0"/>
          <w:left w:val="none" w:color="auto" w:sz="0" w:space="0"/>
          <w:bottom w:val="none" w:color="auto" w:sz="0" w:space="0"/>
          <w:right w:val="none" w:color="auto" w:sz="0" w:space="0"/>
        </w:pBdr>
        <w:spacing w:line="400" w:lineRule="exact"/>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第四条 质量保证</w:t>
      </w:r>
    </w:p>
    <w:p w14:paraId="65CF75B7">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1、技术标准应符合要求。</w:t>
      </w:r>
    </w:p>
    <w:p w14:paraId="63A863CA">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2、乙方提供的必须是全新、原包装、正宗（包括零部件）的货物，主要货物必须符合国家检测标准以及该产品的出厂标准。</w:t>
      </w:r>
    </w:p>
    <w:p w14:paraId="43814DDD">
      <w:pPr>
        <w:pBdr>
          <w:top w:val="none" w:color="auto" w:sz="0" w:space="0"/>
          <w:left w:val="none" w:color="auto" w:sz="0" w:space="0"/>
          <w:bottom w:val="none" w:color="auto" w:sz="0" w:space="0"/>
          <w:right w:val="none" w:color="auto" w:sz="0" w:space="0"/>
        </w:pBdr>
        <w:spacing w:line="400" w:lineRule="exact"/>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第五条 进度要求：</w:t>
      </w:r>
    </w:p>
    <w:p w14:paraId="767373EF">
      <w:pPr>
        <w:pBdr>
          <w:top w:val="none" w:color="auto" w:sz="0" w:space="0"/>
          <w:left w:val="none" w:color="auto" w:sz="0" w:space="0"/>
          <w:bottom w:val="none" w:color="auto" w:sz="0" w:space="0"/>
          <w:right w:val="none" w:color="auto" w:sz="0" w:space="0"/>
        </w:pBdr>
        <w:spacing w:line="400" w:lineRule="exact"/>
        <w:ind w:firstLine="360" w:firstLineChars="15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1、乙方应按照招投标文件要求或按施工进度进行</w:t>
      </w:r>
    </w:p>
    <w:p w14:paraId="3A7ACD7B">
      <w:pPr>
        <w:pBdr>
          <w:top w:val="none" w:color="auto" w:sz="0" w:space="0"/>
          <w:left w:val="none" w:color="auto" w:sz="0" w:space="0"/>
          <w:bottom w:val="none" w:color="auto" w:sz="0" w:space="0"/>
          <w:right w:val="none" w:color="auto" w:sz="0" w:space="0"/>
        </w:pBdr>
        <w:spacing w:line="400" w:lineRule="exact"/>
        <w:ind w:firstLine="360" w:firstLineChars="15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2、乙方交付的材料应当完全符合招投标文件或者本合同所规定的材料、数量和规格要求。</w:t>
      </w:r>
    </w:p>
    <w:p w14:paraId="23E8A1B4">
      <w:pPr>
        <w:pBdr>
          <w:top w:val="none" w:color="auto" w:sz="0" w:space="0"/>
          <w:left w:val="none" w:color="auto" w:sz="0" w:space="0"/>
          <w:bottom w:val="none" w:color="auto" w:sz="0" w:space="0"/>
          <w:right w:val="none" w:color="auto" w:sz="0" w:space="0"/>
        </w:pBdr>
        <w:spacing w:line="400" w:lineRule="exact"/>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第六条 供货期限、质量标准</w:t>
      </w:r>
    </w:p>
    <w:p w14:paraId="63403008">
      <w:pPr>
        <w:pStyle w:val="24"/>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eastAsia="zh-CN"/>
        </w:rPr>
        <w:t xml:space="preserve">    以乙方投标承诺为准。</w:t>
      </w:r>
    </w:p>
    <w:p w14:paraId="50F5F63D">
      <w:pPr>
        <w:pBdr>
          <w:top w:val="none" w:color="auto" w:sz="0" w:space="0"/>
          <w:left w:val="none" w:color="auto" w:sz="0" w:space="0"/>
          <w:bottom w:val="none" w:color="auto" w:sz="0" w:space="0"/>
          <w:right w:val="none" w:color="auto" w:sz="0" w:space="0"/>
        </w:pBdr>
        <w:spacing w:line="400" w:lineRule="exact"/>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 xml:space="preserve">第七条 付款时间及方式 </w:t>
      </w:r>
    </w:p>
    <w:p w14:paraId="2C393CAE">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付款前乙方应提交以下资料：乙方出具的发票；</w:t>
      </w:r>
    </w:p>
    <w:p w14:paraId="47A0A162">
      <w:pPr>
        <w:spacing w:line="400" w:lineRule="exact"/>
        <w:ind w:firstLine="480" w:firstLineChars="20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付款时间、方式：</w:t>
      </w:r>
    </w:p>
    <w:p w14:paraId="098230AE">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eastAsia="zh-CN"/>
        </w:rPr>
        <w:t>合同</w:t>
      </w:r>
      <w:r>
        <w:rPr>
          <w:rFonts w:hint="eastAsia" w:ascii="宋体" w:hAnsi="宋体" w:eastAsia="宋体" w:cs="宋体"/>
          <w:color w:val="auto"/>
          <w:kern w:val="2"/>
          <w:sz w:val="24"/>
          <w:szCs w:val="24"/>
          <w:highlight w:val="none"/>
          <w:lang w:val="en-US" w:eastAsia="zh-CN"/>
        </w:rPr>
        <w:t>签订生效且项目具备实施条件后7个工作日内</w:t>
      </w:r>
      <w:r>
        <w:rPr>
          <w:rFonts w:hint="eastAsia" w:ascii="宋体" w:hAnsi="宋体" w:eastAsia="宋体" w:cs="宋体"/>
          <w:color w:val="auto"/>
          <w:kern w:val="2"/>
          <w:sz w:val="24"/>
          <w:szCs w:val="24"/>
          <w:highlight w:val="none"/>
          <w:lang w:eastAsia="zh-CN"/>
        </w:rPr>
        <w:t>日内支付合同价</w:t>
      </w: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eastAsia="zh-CN"/>
        </w:rPr>
        <w:t>0%的货款；</w:t>
      </w:r>
    </w:p>
    <w:p w14:paraId="7EEAC638">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eastAsia="zh-CN"/>
        </w:rPr>
        <w:t>安装调试</w:t>
      </w:r>
      <w:r>
        <w:rPr>
          <w:rFonts w:hint="eastAsia" w:ascii="宋体" w:hAnsi="宋体" w:eastAsia="宋体" w:cs="宋体"/>
          <w:color w:val="auto"/>
          <w:kern w:val="2"/>
          <w:sz w:val="24"/>
          <w:szCs w:val="24"/>
          <w:highlight w:val="none"/>
          <w:lang w:val="en-US" w:eastAsia="zh-CN"/>
        </w:rPr>
        <w:t>完毕、</w:t>
      </w:r>
      <w:r>
        <w:rPr>
          <w:rFonts w:hint="eastAsia" w:ascii="宋体" w:hAnsi="宋体" w:cs="宋体"/>
          <w:color w:val="auto"/>
          <w:kern w:val="2"/>
          <w:sz w:val="24"/>
          <w:szCs w:val="24"/>
          <w:highlight w:val="none"/>
          <w:lang w:val="en-US" w:eastAsia="zh-CN"/>
        </w:rPr>
        <w:t>初步</w:t>
      </w:r>
      <w:r>
        <w:rPr>
          <w:rFonts w:hint="eastAsia" w:ascii="宋体" w:hAnsi="宋体" w:eastAsia="宋体" w:cs="宋体"/>
          <w:color w:val="auto"/>
          <w:kern w:val="2"/>
          <w:sz w:val="24"/>
          <w:szCs w:val="24"/>
          <w:highlight w:val="none"/>
          <w:lang w:eastAsia="zh-CN"/>
        </w:rPr>
        <w:t>验收合格后，支付至</w:t>
      </w:r>
      <w:r>
        <w:rPr>
          <w:rFonts w:hint="eastAsia" w:ascii="宋体" w:hAnsi="宋体" w:eastAsia="宋体" w:cs="宋体"/>
          <w:color w:val="auto"/>
          <w:kern w:val="2"/>
          <w:sz w:val="24"/>
          <w:szCs w:val="24"/>
          <w:highlight w:val="none"/>
          <w:lang w:val="en-US" w:eastAsia="zh-CN"/>
        </w:rPr>
        <w:t>货款</w:t>
      </w:r>
      <w:r>
        <w:rPr>
          <w:rFonts w:hint="eastAsia" w:ascii="宋体" w:hAnsi="宋体" w:eastAsia="宋体" w:cs="宋体"/>
          <w:color w:val="auto"/>
          <w:kern w:val="2"/>
          <w:sz w:val="24"/>
          <w:szCs w:val="24"/>
          <w:highlight w:val="none"/>
          <w:lang w:eastAsia="zh-CN"/>
        </w:rPr>
        <w:t>的</w:t>
      </w:r>
      <w:r>
        <w:rPr>
          <w:rFonts w:hint="eastAsia" w:ascii="宋体" w:hAnsi="宋体" w:cs="宋体"/>
          <w:color w:val="0000FF"/>
          <w:kern w:val="2"/>
          <w:sz w:val="24"/>
          <w:szCs w:val="24"/>
          <w:highlight w:val="none"/>
          <w:lang w:val="en-US" w:eastAsia="zh-CN"/>
        </w:rPr>
        <w:t>95</w:t>
      </w:r>
      <w:r>
        <w:rPr>
          <w:rFonts w:hint="eastAsia" w:ascii="宋体" w:hAnsi="宋体" w:eastAsia="宋体" w:cs="宋体"/>
          <w:color w:val="0000FF"/>
          <w:kern w:val="2"/>
          <w:sz w:val="24"/>
          <w:szCs w:val="24"/>
          <w:highlight w:val="none"/>
          <w:lang w:eastAsia="zh-CN"/>
        </w:rPr>
        <w:t>%。</w:t>
      </w:r>
    </w:p>
    <w:p w14:paraId="1B79A853">
      <w:pPr>
        <w:pStyle w:val="2"/>
        <w:rPr>
          <w:rFonts w:hint="default"/>
          <w:color w:val="auto"/>
          <w:highlight w:val="none"/>
          <w:lang w:val="en-US" w:eastAsia="zh-CN"/>
        </w:rPr>
      </w:pPr>
      <w:r>
        <w:rPr>
          <w:rFonts w:hint="eastAsia" w:ascii="宋体" w:hAnsi="宋体" w:eastAsia="宋体" w:cs="宋体"/>
          <w:color w:val="auto"/>
          <w:kern w:val="2"/>
          <w:sz w:val="24"/>
          <w:szCs w:val="24"/>
          <w:highlight w:val="none"/>
          <w:lang w:val="en-US" w:eastAsia="zh-CN"/>
        </w:rPr>
        <w:t xml:space="preserve">    3、试运行满一年后终验合格后结清余款。</w:t>
      </w:r>
    </w:p>
    <w:p w14:paraId="60097F96">
      <w:pPr>
        <w:pBdr>
          <w:top w:val="none" w:color="auto" w:sz="0" w:space="0"/>
          <w:left w:val="none" w:color="auto" w:sz="0" w:space="0"/>
          <w:bottom w:val="none" w:color="auto" w:sz="0" w:space="0"/>
          <w:right w:val="none" w:color="auto" w:sz="0" w:space="0"/>
        </w:pBdr>
        <w:spacing w:line="400" w:lineRule="exact"/>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第八条 成品保护</w:t>
      </w:r>
    </w:p>
    <w:p w14:paraId="2EBB1C1D">
      <w:pPr>
        <w:pBdr>
          <w:top w:val="none" w:color="auto" w:sz="0" w:space="0"/>
          <w:left w:val="none" w:color="auto" w:sz="0" w:space="0"/>
          <w:bottom w:val="none" w:color="auto" w:sz="0" w:space="0"/>
          <w:right w:val="none" w:color="auto" w:sz="0" w:space="0"/>
        </w:pBdr>
        <w:spacing w:line="400" w:lineRule="exact"/>
        <w:ind w:firstLine="360" w:firstLineChars="15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在安装完毕验收前要认真做好成品保护。因失窃或失火造成的损失由中标人负责，凡由此而损及总承包单位或招标人利益时，由中标人赔偿。</w:t>
      </w:r>
    </w:p>
    <w:p w14:paraId="40AEFC8A">
      <w:pPr>
        <w:pBdr>
          <w:top w:val="none" w:color="auto" w:sz="0" w:space="0"/>
          <w:left w:val="none" w:color="auto" w:sz="0" w:space="0"/>
          <w:bottom w:val="none" w:color="auto" w:sz="0" w:space="0"/>
          <w:right w:val="none" w:color="auto" w:sz="0" w:space="0"/>
        </w:pBdr>
        <w:spacing w:line="400" w:lineRule="exact"/>
        <w:ind w:firstLine="360" w:firstLineChars="15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第九条 保修约定</w:t>
      </w:r>
    </w:p>
    <w:p w14:paraId="0417672A">
      <w:pPr>
        <w:pBdr>
          <w:top w:val="none" w:color="auto" w:sz="0" w:space="0"/>
          <w:left w:val="none" w:color="auto" w:sz="0" w:space="0"/>
          <w:bottom w:val="none" w:color="auto" w:sz="0" w:space="0"/>
          <w:right w:val="none" w:color="auto" w:sz="0" w:space="0"/>
        </w:pBdr>
        <w:spacing w:line="400" w:lineRule="exact"/>
        <w:ind w:firstLine="360" w:firstLineChars="15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eastAsia="zh-CN"/>
        </w:rPr>
        <w:t>、乙方对系统中的货物（包括系统）提供</w:t>
      </w:r>
      <w:r>
        <w:rPr>
          <w:rFonts w:hint="eastAsia" w:ascii="宋体" w:hAnsi="宋体" w:cs="宋体"/>
          <w:color w:val="auto"/>
          <w:kern w:val="2"/>
          <w:sz w:val="24"/>
          <w:szCs w:val="24"/>
          <w:highlight w:val="none"/>
          <w:lang w:val="en-US" w:eastAsia="zh-CN"/>
        </w:rPr>
        <w:t>至少</w:t>
      </w:r>
      <w:r>
        <w:rPr>
          <w:rFonts w:hint="eastAsia" w:ascii="宋体" w:hAnsi="宋体" w:eastAsia="宋体" w:cs="宋体"/>
          <w:color w:val="auto"/>
          <w:kern w:val="2"/>
          <w:sz w:val="24"/>
          <w:szCs w:val="24"/>
          <w:highlight w:val="none"/>
          <w:lang w:val="en-US" w:eastAsia="zh-CN"/>
        </w:rPr>
        <w:t>5年</w:t>
      </w:r>
      <w:r>
        <w:rPr>
          <w:rFonts w:hint="eastAsia" w:ascii="宋体" w:hAnsi="宋体" w:eastAsia="宋体" w:cs="宋体"/>
          <w:color w:val="auto"/>
          <w:kern w:val="2"/>
          <w:sz w:val="24"/>
          <w:szCs w:val="24"/>
          <w:highlight w:val="none"/>
          <w:lang w:eastAsia="zh-CN"/>
        </w:rPr>
        <w:t>免费质保</w:t>
      </w:r>
      <w:r>
        <w:rPr>
          <w:rFonts w:hint="eastAsia" w:ascii="宋体" w:hAnsi="宋体" w:cs="宋体"/>
          <w:color w:val="0000FF"/>
          <w:kern w:val="2"/>
          <w:sz w:val="24"/>
          <w:szCs w:val="24"/>
          <w:highlight w:val="none"/>
          <w:lang w:eastAsia="zh-CN"/>
        </w:rPr>
        <w:t>（</w:t>
      </w:r>
      <w:r>
        <w:rPr>
          <w:rFonts w:hint="eastAsia" w:ascii="宋体" w:hAnsi="宋体" w:cs="宋体"/>
          <w:color w:val="0000FF"/>
          <w:kern w:val="2"/>
          <w:sz w:val="24"/>
          <w:szCs w:val="24"/>
          <w:highlight w:val="none"/>
          <w:lang w:val="en-US" w:eastAsia="zh-CN"/>
        </w:rPr>
        <w:t>自</w:t>
      </w:r>
      <w:r>
        <w:rPr>
          <w:rFonts w:hint="eastAsia" w:ascii="宋体" w:hAnsi="宋体" w:cs="宋体"/>
          <w:color w:val="0000FF"/>
          <w:kern w:val="2"/>
          <w:sz w:val="24"/>
          <w:szCs w:val="24"/>
          <w:highlight w:val="none"/>
          <w:lang w:eastAsia="zh-CN"/>
        </w:rPr>
        <w:t>终验完成之日起）</w:t>
      </w:r>
      <w:r>
        <w:rPr>
          <w:rFonts w:hint="eastAsia" w:ascii="宋体" w:hAnsi="宋体" w:eastAsia="宋体" w:cs="宋体"/>
          <w:color w:val="auto"/>
          <w:kern w:val="2"/>
          <w:sz w:val="24"/>
          <w:szCs w:val="24"/>
          <w:highlight w:val="none"/>
          <w:lang w:eastAsia="zh-CN"/>
        </w:rPr>
        <w:t>，免费质保期时间从验收之日起计算。质保期内非因甲方的人为原因而出现货物的质量问题，由乙方负责包修、包换、包退，并承担修理的实际费用。</w:t>
      </w:r>
    </w:p>
    <w:p w14:paraId="691EB21A">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eastAsia="zh-CN"/>
        </w:rPr>
        <w:t>、乙方提供24小时即时响应服务，对甲方的服务请求信息在4小时内响应到位。</w:t>
      </w:r>
    </w:p>
    <w:p w14:paraId="0574C24E">
      <w:pPr>
        <w:pBdr>
          <w:top w:val="none" w:color="auto" w:sz="0" w:space="0"/>
          <w:left w:val="none" w:color="auto" w:sz="0" w:space="0"/>
          <w:bottom w:val="none" w:color="auto" w:sz="0" w:space="0"/>
          <w:right w:val="none" w:color="auto" w:sz="0" w:space="0"/>
        </w:pBdr>
        <w:spacing w:line="400" w:lineRule="exact"/>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第十条 违约责任</w:t>
      </w:r>
    </w:p>
    <w:p w14:paraId="055A9919">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（1）甲方无正当理由拒收货物、拒绝出具验收报告的，甲方向乙方偿付货款总值的30%违约金。</w:t>
      </w:r>
    </w:p>
    <w:p w14:paraId="6F5F9CBE">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（2）乙方所交的货物品种、型号、质量不符合合同规定标准的，甲方有权拒收货物；或者乙方在中标后不能交货；上述情况之一者，乙方均向甲方偿付货款总值30%的违约金。</w:t>
      </w:r>
    </w:p>
    <w:p w14:paraId="11341177">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（3）乙方逾期未交付货物的，乙方向甲方每日偿付货款总额0.5‰的违约金。</w:t>
      </w:r>
    </w:p>
    <w:p w14:paraId="4645C13F">
      <w:pPr>
        <w:pBdr>
          <w:top w:val="none" w:color="auto" w:sz="0" w:space="0"/>
          <w:left w:val="none" w:color="auto" w:sz="0" w:space="0"/>
          <w:bottom w:val="none" w:color="auto" w:sz="0" w:space="0"/>
          <w:right w:val="none" w:color="auto" w:sz="0" w:space="0"/>
        </w:pBdr>
        <w:spacing w:line="400" w:lineRule="exact"/>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 xml:space="preserve">第十一条 不可抗力 </w:t>
      </w:r>
    </w:p>
    <w:p w14:paraId="56087624">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如发生不可抗力事件，受不可抗力事件影响的一方应取得公证机关的不能履行或不能全部履行合同的证明，并在事件发生后 7 个工作日内，及时通知另一方。双方同意，可据此免除全部或部分责任。</w:t>
      </w:r>
    </w:p>
    <w:p w14:paraId="0C633B03">
      <w:pPr>
        <w:pBdr>
          <w:top w:val="none" w:color="auto" w:sz="0" w:space="0"/>
          <w:left w:val="none" w:color="auto" w:sz="0" w:space="0"/>
          <w:bottom w:val="none" w:color="auto" w:sz="0" w:space="0"/>
          <w:right w:val="none" w:color="auto" w:sz="0" w:space="0"/>
        </w:pBdr>
        <w:spacing w:line="400" w:lineRule="exact"/>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第十二条 争议解决方式</w:t>
      </w:r>
    </w:p>
    <w:p w14:paraId="293CE136">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1、因材料的质量问题发生争议的，应当请国家认可的质量检测机构对质量进行鉴定。符合标准的，鉴定费由甲方承担；不符合质量标准的，鉴定费由乙方承担，并按本合同第九条规定处理。</w:t>
      </w:r>
    </w:p>
    <w:p w14:paraId="4C2F1394">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双方如发生争议，应协商解决；如协商不成，经人民法院提出诉讼方式解决。</w:t>
      </w:r>
    </w:p>
    <w:p w14:paraId="6B2C3285">
      <w:pPr>
        <w:pBdr>
          <w:top w:val="none" w:color="auto" w:sz="0" w:space="0"/>
          <w:left w:val="none" w:color="auto" w:sz="0" w:space="0"/>
          <w:bottom w:val="none" w:color="auto" w:sz="0" w:space="0"/>
          <w:right w:val="none" w:color="auto" w:sz="0" w:space="0"/>
        </w:pBdr>
        <w:spacing w:line="400" w:lineRule="exact"/>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第十三条 合同生效、终止及其他</w:t>
      </w:r>
    </w:p>
    <w:p w14:paraId="4C1E1E42">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合同自双方签字并盖章后生效，双方权利义务履行完毕后，合同终止。 合同一式</w:t>
      </w:r>
      <w:r>
        <w:rPr>
          <w:rFonts w:hint="eastAsia" w:ascii="宋体" w:hAnsi="宋体" w:cs="宋体"/>
          <w:color w:val="auto"/>
          <w:kern w:val="2"/>
          <w:sz w:val="24"/>
          <w:szCs w:val="24"/>
          <w:highlight w:val="none"/>
          <w:lang w:val="en-US" w:eastAsia="zh-CN"/>
        </w:rPr>
        <w:t>肆</w:t>
      </w:r>
      <w:r>
        <w:rPr>
          <w:rFonts w:hint="eastAsia" w:ascii="宋体" w:hAnsi="宋体" w:eastAsia="宋体" w:cs="宋体"/>
          <w:color w:val="auto"/>
          <w:kern w:val="2"/>
          <w:sz w:val="24"/>
          <w:szCs w:val="24"/>
          <w:highlight w:val="none"/>
          <w:lang w:eastAsia="zh-CN"/>
        </w:rPr>
        <w:t>份，双方各</w:t>
      </w:r>
      <w:r>
        <w:rPr>
          <w:rFonts w:hint="eastAsia" w:ascii="宋体" w:hAnsi="宋体" w:cs="宋体"/>
          <w:color w:val="auto"/>
          <w:kern w:val="2"/>
          <w:sz w:val="24"/>
          <w:szCs w:val="24"/>
          <w:highlight w:val="none"/>
          <w:lang w:val="en-US" w:eastAsia="zh-CN"/>
        </w:rPr>
        <w:t>贰</w:t>
      </w:r>
      <w:r>
        <w:rPr>
          <w:rFonts w:hint="eastAsia" w:ascii="宋体" w:hAnsi="宋体" w:eastAsia="宋体" w:cs="宋体"/>
          <w:color w:val="auto"/>
          <w:kern w:val="2"/>
          <w:sz w:val="24"/>
          <w:szCs w:val="24"/>
          <w:highlight w:val="none"/>
          <w:lang w:eastAsia="zh-CN"/>
        </w:rPr>
        <w:t>份，具有同等法律效力。</w:t>
      </w:r>
    </w:p>
    <w:p w14:paraId="24D91FE0">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未尽事宜，双方协商解决；合同的变更及修改须经双方同意，以书面形式变更。</w:t>
      </w:r>
    </w:p>
    <w:p w14:paraId="18D499A3">
      <w:pPr>
        <w:pBdr>
          <w:top w:val="none" w:color="auto" w:sz="0" w:space="0"/>
          <w:left w:val="none" w:color="auto" w:sz="0" w:space="0"/>
          <w:bottom w:val="none" w:color="auto" w:sz="0" w:space="0"/>
          <w:right w:val="none" w:color="auto" w:sz="0" w:space="0"/>
        </w:pBdr>
        <w:spacing w:line="400" w:lineRule="exact"/>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第十四条 补充条款</w:t>
      </w:r>
    </w:p>
    <w:p w14:paraId="71AC8966">
      <w:pPr>
        <w:pBdr>
          <w:top w:val="none" w:color="auto" w:sz="0" w:space="0"/>
          <w:left w:val="none" w:color="auto" w:sz="0" w:space="0"/>
          <w:bottom w:val="none" w:color="auto" w:sz="0" w:space="0"/>
          <w:right w:val="none" w:color="auto" w:sz="0" w:space="0"/>
        </w:pBdr>
        <w:spacing w:line="400" w:lineRule="exact"/>
        <w:jc w:val="both"/>
        <w:rPr>
          <w:rFonts w:hint="eastAsia" w:ascii="宋体" w:hAnsi="宋体" w:eastAsia="宋体" w:cs="宋体"/>
          <w:color w:val="auto"/>
          <w:kern w:val="2"/>
          <w:sz w:val="24"/>
          <w:szCs w:val="24"/>
          <w:highlight w:val="none"/>
          <w:lang w:eastAsia="zh-CN"/>
        </w:rPr>
      </w:pPr>
    </w:p>
    <w:p w14:paraId="06F53B66">
      <w:pPr>
        <w:pBdr>
          <w:top w:val="none" w:color="auto" w:sz="0" w:space="0"/>
          <w:left w:val="none" w:color="auto" w:sz="0" w:space="0"/>
          <w:bottom w:val="none" w:color="auto" w:sz="0" w:space="0"/>
          <w:right w:val="none" w:color="auto" w:sz="0" w:space="0"/>
        </w:pBdr>
        <w:spacing w:line="400" w:lineRule="exact"/>
        <w:jc w:val="both"/>
        <w:rPr>
          <w:rFonts w:hint="eastAsia" w:ascii="宋体" w:hAnsi="宋体" w:eastAsia="宋体" w:cs="宋体"/>
          <w:color w:val="auto"/>
          <w:kern w:val="2"/>
          <w:sz w:val="24"/>
          <w:szCs w:val="24"/>
          <w:highlight w:val="none"/>
          <w:lang w:eastAsia="zh-CN"/>
        </w:rPr>
      </w:pPr>
    </w:p>
    <w:p w14:paraId="7698FAB3">
      <w:pPr>
        <w:pBdr>
          <w:top w:val="none" w:color="auto" w:sz="0" w:space="0"/>
          <w:left w:val="none" w:color="auto" w:sz="0" w:space="0"/>
          <w:bottom w:val="none" w:color="auto" w:sz="0" w:space="0"/>
          <w:right w:val="none" w:color="auto" w:sz="0" w:space="0"/>
        </w:pBdr>
        <w:spacing w:line="400" w:lineRule="exact"/>
        <w:jc w:val="both"/>
        <w:rPr>
          <w:rFonts w:hint="eastAsia" w:ascii="宋体" w:hAnsi="宋体" w:eastAsia="宋体" w:cs="宋体"/>
          <w:color w:val="auto"/>
          <w:kern w:val="2"/>
          <w:sz w:val="24"/>
          <w:szCs w:val="24"/>
          <w:highlight w:val="none"/>
          <w:lang w:eastAsia="zh-CN"/>
        </w:rPr>
      </w:pPr>
    </w:p>
    <w:p w14:paraId="2CB78823">
      <w:pPr>
        <w:pBdr>
          <w:top w:val="none" w:color="auto" w:sz="0" w:space="0"/>
          <w:left w:val="none" w:color="auto" w:sz="0" w:space="0"/>
          <w:bottom w:val="none" w:color="auto" w:sz="0" w:space="0"/>
          <w:right w:val="none" w:color="auto" w:sz="0" w:space="0"/>
        </w:pBdr>
        <w:spacing w:line="400" w:lineRule="exact"/>
        <w:ind w:firstLine="120" w:firstLineChars="5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 xml:space="preserve">甲方：（盖章）                                  乙方：（盖章）              </w:t>
      </w:r>
    </w:p>
    <w:p w14:paraId="6715FA80">
      <w:pPr>
        <w:pBdr>
          <w:top w:val="none" w:color="auto" w:sz="0" w:space="0"/>
          <w:left w:val="none" w:color="auto" w:sz="0" w:space="0"/>
          <w:bottom w:val="none" w:color="auto" w:sz="0" w:space="0"/>
          <w:right w:val="none" w:color="auto" w:sz="0" w:space="0"/>
        </w:pBdr>
        <w:spacing w:line="400" w:lineRule="exact"/>
        <w:ind w:firstLine="120" w:firstLineChars="5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 xml:space="preserve">法人代表：                                      法人代表：               </w:t>
      </w:r>
    </w:p>
    <w:p w14:paraId="486188E6">
      <w:pPr>
        <w:pBdr>
          <w:top w:val="none" w:color="auto" w:sz="0" w:space="0"/>
          <w:left w:val="none" w:color="auto" w:sz="0" w:space="0"/>
          <w:bottom w:val="none" w:color="auto" w:sz="0" w:space="0"/>
          <w:right w:val="none" w:color="auto" w:sz="0" w:space="0"/>
        </w:pBdr>
        <w:spacing w:line="400" w:lineRule="exact"/>
        <w:ind w:firstLine="120" w:firstLineChars="5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 xml:space="preserve">代 理 人：                                      代 理 人：                </w:t>
      </w:r>
    </w:p>
    <w:p w14:paraId="50E052CD">
      <w:pPr>
        <w:pBdr>
          <w:top w:val="none" w:color="auto" w:sz="0" w:space="0"/>
          <w:left w:val="none" w:color="auto" w:sz="0" w:space="0"/>
          <w:bottom w:val="none" w:color="auto" w:sz="0" w:space="0"/>
          <w:right w:val="none" w:color="auto" w:sz="0" w:space="0"/>
        </w:pBdr>
        <w:spacing w:line="400" w:lineRule="exact"/>
        <w:ind w:firstLine="120" w:firstLineChars="5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 xml:space="preserve">地    址：                                      地    址：                </w:t>
      </w:r>
    </w:p>
    <w:p w14:paraId="269FC859">
      <w:pPr>
        <w:pBdr>
          <w:top w:val="none" w:color="auto" w:sz="0" w:space="0"/>
          <w:left w:val="none" w:color="auto" w:sz="0" w:space="0"/>
          <w:bottom w:val="none" w:color="auto" w:sz="0" w:space="0"/>
          <w:right w:val="none" w:color="auto" w:sz="0" w:space="0"/>
        </w:pBdr>
        <w:spacing w:line="400" w:lineRule="exact"/>
        <w:ind w:firstLine="120" w:firstLineChars="5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 xml:space="preserve">开户银行：                                      开户银行：                </w:t>
      </w:r>
    </w:p>
    <w:p w14:paraId="447CEA24">
      <w:pPr>
        <w:pBdr>
          <w:top w:val="none" w:color="auto" w:sz="0" w:space="0"/>
          <w:left w:val="none" w:color="auto" w:sz="0" w:space="0"/>
          <w:bottom w:val="none" w:color="auto" w:sz="0" w:space="0"/>
          <w:right w:val="none" w:color="auto" w:sz="0" w:space="0"/>
        </w:pBdr>
        <w:spacing w:line="400" w:lineRule="exact"/>
        <w:ind w:firstLine="120" w:firstLineChars="5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 xml:space="preserve">帐    号：                                      帐    号：                </w:t>
      </w:r>
    </w:p>
    <w:p w14:paraId="422755BF">
      <w:pPr>
        <w:pBdr>
          <w:top w:val="none" w:color="auto" w:sz="0" w:space="0"/>
          <w:left w:val="none" w:color="auto" w:sz="0" w:space="0"/>
          <w:bottom w:val="none" w:color="auto" w:sz="0" w:space="0"/>
          <w:right w:val="none" w:color="auto" w:sz="0" w:space="0"/>
        </w:pBdr>
        <w:spacing w:line="400" w:lineRule="exact"/>
        <w:ind w:firstLine="120" w:firstLineChars="5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 xml:space="preserve">电    话：                                      电    话：                </w:t>
      </w:r>
    </w:p>
    <w:p w14:paraId="6370D405">
      <w:pPr>
        <w:pBdr>
          <w:top w:val="none" w:color="auto" w:sz="0" w:space="0"/>
          <w:left w:val="none" w:color="auto" w:sz="0" w:space="0"/>
          <w:bottom w:val="none" w:color="auto" w:sz="0" w:space="0"/>
          <w:right w:val="none" w:color="auto" w:sz="0" w:space="0"/>
        </w:pBdr>
        <w:spacing w:line="400" w:lineRule="exact"/>
        <w:ind w:firstLine="120" w:firstLineChars="5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 xml:space="preserve">电子邮箱：                                      电子邮箱：                </w:t>
      </w:r>
    </w:p>
    <w:p w14:paraId="7460C77F">
      <w:pPr>
        <w:pStyle w:val="34"/>
        <w:tabs>
          <w:tab w:val="left" w:pos="2472"/>
        </w:tabs>
        <w:snapToGrid w:val="0"/>
        <w:spacing w:before="0" w:beforeLines="0" w:after="0" w:afterLines="0" w:line="24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eastAsia="zh-CN"/>
        </w:rPr>
        <w:t>年  月  日                                      年  月  日</w:t>
      </w:r>
    </w:p>
    <w:p w14:paraId="621439A7">
      <w:pPr>
        <w:pStyle w:val="34"/>
        <w:tabs>
          <w:tab w:val="left" w:pos="2472"/>
        </w:tabs>
        <w:snapToGrid w:val="0"/>
        <w:jc w:val="center"/>
        <w:rPr>
          <w:rFonts w:hAnsi="宋体" w:cs="宋体"/>
          <w:color w:val="auto"/>
          <w:highlight w:val="none"/>
        </w:rPr>
      </w:pPr>
    </w:p>
    <w:p w14:paraId="1A400082">
      <w:pPr>
        <w:spacing w:before="0" w:after="0" w:line="240" w:lineRule="auto"/>
        <w:ind w:firstLine="560" w:firstLineChars="200"/>
        <w:jc w:val="both"/>
        <w:outlineLvl w:val="9"/>
        <w:rPr>
          <w:rFonts w:hint="eastAsia" w:ascii="仿宋_GB2312" w:hAnsi="仿宋_GB2312" w:eastAsia="仿宋_GB2312" w:cs="仿宋_GB2312"/>
          <w:b w:val="0"/>
          <w:bCs w:val="0"/>
          <w:color w:val="auto"/>
          <w:kern w:val="2"/>
          <w:sz w:val="28"/>
          <w:szCs w:val="28"/>
          <w:highlight w:val="none"/>
          <w:lang w:val="en-US" w:eastAsia="zh-CN"/>
        </w:rPr>
      </w:pPr>
    </w:p>
    <w:p w14:paraId="7A71146E">
      <w:pPr>
        <w:spacing w:line="400" w:lineRule="exact"/>
        <w:ind w:firstLine="480" w:firstLineChars="200"/>
        <w:rPr>
          <w:rFonts w:hint="eastAsia" w:ascii="宋体" w:hAnsi="宋体" w:eastAsia="仿宋_GB2312"/>
          <w:color w:val="auto"/>
          <w:sz w:val="24"/>
          <w:szCs w:val="24"/>
          <w:highlight w:val="none"/>
          <w:lang w:eastAsia="zh-CN"/>
        </w:rPr>
      </w:pPr>
    </w:p>
    <w:p w14:paraId="6B2CEEA4">
      <w:pPr>
        <w:spacing w:line="400" w:lineRule="exact"/>
        <w:ind w:firstLine="480" w:firstLineChars="200"/>
        <w:rPr>
          <w:rFonts w:hint="eastAsia" w:ascii="宋体" w:hAnsi="宋体" w:eastAsia="仿宋_GB2312"/>
          <w:color w:val="auto"/>
          <w:sz w:val="24"/>
          <w:szCs w:val="24"/>
          <w:highlight w:val="none"/>
          <w:lang w:eastAsia="zh-CN"/>
        </w:rPr>
      </w:pPr>
    </w:p>
    <w:p w14:paraId="7894DEFE">
      <w:pPr>
        <w:spacing w:line="400" w:lineRule="exact"/>
        <w:ind w:firstLine="480" w:firstLineChars="200"/>
        <w:rPr>
          <w:rFonts w:hint="eastAsia" w:ascii="宋体" w:hAnsi="宋体" w:eastAsia="仿宋_GB2312"/>
          <w:color w:val="auto"/>
          <w:sz w:val="24"/>
          <w:szCs w:val="24"/>
          <w:highlight w:val="none"/>
          <w:lang w:eastAsia="zh-CN"/>
        </w:rPr>
      </w:pPr>
    </w:p>
    <w:p w14:paraId="16EB7A9A">
      <w:pPr>
        <w:spacing w:line="400" w:lineRule="exact"/>
        <w:ind w:firstLine="480" w:firstLineChars="200"/>
        <w:rPr>
          <w:rFonts w:hint="eastAsia" w:ascii="宋体" w:hAnsi="宋体" w:eastAsia="仿宋_GB2312"/>
          <w:color w:val="auto"/>
          <w:sz w:val="24"/>
          <w:szCs w:val="24"/>
          <w:highlight w:val="none"/>
          <w:lang w:eastAsia="zh-CN"/>
        </w:rPr>
      </w:pPr>
    </w:p>
    <w:p w14:paraId="06671C1C">
      <w:pPr>
        <w:spacing w:line="400" w:lineRule="exact"/>
        <w:ind w:firstLine="480" w:firstLineChars="200"/>
        <w:rPr>
          <w:rFonts w:hint="eastAsia" w:ascii="宋体" w:hAnsi="宋体" w:eastAsia="仿宋_GB2312"/>
          <w:color w:val="auto"/>
          <w:sz w:val="24"/>
          <w:szCs w:val="24"/>
          <w:highlight w:val="none"/>
          <w:lang w:eastAsia="zh-CN"/>
        </w:rPr>
      </w:pPr>
    </w:p>
    <w:p w14:paraId="00059CA2">
      <w:pPr>
        <w:spacing w:line="400" w:lineRule="exact"/>
        <w:ind w:firstLine="480" w:firstLineChars="200"/>
        <w:rPr>
          <w:rFonts w:hint="eastAsia" w:ascii="宋体" w:hAnsi="宋体" w:eastAsia="仿宋_GB2312"/>
          <w:color w:val="auto"/>
          <w:sz w:val="24"/>
          <w:szCs w:val="24"/>
          <w:highlight w:val="none"/>
          <w:lang w:eastAsia="zh-CN"/>
        </w:rPr>
      </w:pPr>
    </w:p>
    <w:p w14:paraId="4191BE06">
      <w:pPr>
        <w:pStyle w:val="63"/>
        <w:rPr>
          <w:rFonts w:hint="eastAsia" w:ascii="宋体" w:hAnsi="宋体" w:eastAsia="仿宋_GB2312"/>
          <w:color w:val="auto"/>
          <w:sz w:val="24"/>
          <w:szCs w:val="24"/>
          <w:highlight w:val="none"/>
          <w:lang w:eastAsia="zh-CN"/>
        </w:rPr>
      </w:pPr>
    </w:p>
    <w:p w14:paraId="1A38C936">
      <w:pPr>
        <w:rPr>
          <w:rFonts w:hint="eastAsia" w:ascii="宋体" w:hAnsi="宋体" w:eastAsia="仿宋_GB2312"/>
          <w:color w:val="auto"/>
          <w:sz w:val="24"/>
          <w:szCs w:val="24"/>
          <w:highlight w:val="none"/>
          <w:lang w:eastAsia="zh-CN"/>
        </w:rPr>
      </w:pPr>
    </w:p>
    <w:p w14:paraId="3D05D23F">
      <w:pPr>
        <w:rPr>
          <w:rFonts w:hint="eastAsia" w:ascii="宋体" w:hAnsi="宋体" w:eastAsia="仿宋_GB2312"/>
          <w:color w:val="auto"/>
          <w:sz w:val="24"/>
          <w:szCs w:val="24"/>
          <w:highlight w:val="none"/>
          <w:lang w:eastAsia="zh-CN"/>
        </w:rPr>
      </w:pPr>
    </w:p>
    <w:p w14:paraId="243667F2">
      <w:pPr>
        <w:rPr>
          <w:rFonts w:hint="eastAsia" w:ascii="宋体" w:hAnsi="宋体" w:eastAsia="仿宋_GB2312"/>
          <w:color w:val="auto"/>
          <w:sz w:val="24"/>
          <w:szCs w:val="24"/>
          <w:highlight w:val="none"/>
          <w:lang w:eastAsia="zh-CN"/>
        </w:rPr>
      </w:pPr>
    </w:p>
    <w:p w14:paraId="3071A279">
      <w:pPr>
        <w:rPr>
          <w:rFonts w:hint="eastAsia" w:ascii="宋体" w:hAnsi="宋体" w:eastAsia="仿宋_GB2312"/>
          <w:color w:val="auto"/>
          <w:sz w:val="24"/>
          <w:szCs w:val="24"/>
          <w:highlight w:val="none"/>
          <w:lang w:eastAsia="zh-CN"/>
        </w:rPr>
      </w:pPr>
    </w:p>
    <w:p w14:paraId="237E2500">
      <w:pPr>
        <w:pStyle w:val="24"/>
        <w:rPr>
          <w:rFonts w:hint="eastAsia" w:ascii="宋体" w:hAnsi="宋体" w:eastAsia="仿宋_GB2312"/>
          <w:color w:val="auto"/>
          <w:sz w:val="24"/>
          <w:szCs w:val="24"/>
          <w:highlight w:val="none"/>
          <w:lang w:eastAsia="zh-CN"/>
        </w:rPr>
      </w:pPr>
    </w:p>
    <w:p w14:paraId="7B9216A3">
      <w:pPr>
        <w:pStyle w:val="25"/>
        <w:rPr>
          <w:rFonts w:hint="eastAsia" w:ascii="宋体" w:hAnsi="宋体" w:eastAsia="仿宋_GB2312"/>
          <w:color w:val="auto"/>
          <w:sz w:val="24"/>
          <w:szCs w:val="24"/>
          <w:highlight w:val="none"/>
          <w:lang w:eastAsia="zh-CN"/>
        </w:rPr>
      </w:pPr>
    </w:p>
    <w:p w14:paraId="305704D9">
      <w:pPr>
        <w:rPr>
          <w:rFonts w:hint="eastAsia" w:ascii="宋体" w:hAnsi="宋体" w:eastAsia="仿宋_GB2312"/>
          <w:color w:val="auto"/>
          <w:sz w:val="24"/>
          <w:szCs w:val="24"/>
          <w:highlight w:val="none"/>
          <w:lang w:eastAsia="zh-CN"/>
        </w:rPr>
      </w:pPr>
    </w:p>
    <w:p w14:paraId="568540A4">
      <w:pPr>
        <w:pStyle w:val="24"/>
        <w:rPr>
          <w:rFonts w:hint="eastAsia"/>
          <w:color w:val="auto"/>
          <w:highlight w:val="none"/>
          <w:lang w:eastAsia="zh-CN"/>
        </w:rPr>
      </w:pPr>
    </w:p>
    <w:p w14:paraId="212982D6">
      <w:pPr>
        <w:pStyle w:val="63"/>
        <w:rPr>
          <w:rFonts w:hint="eastAsia" w:ascii="宋体" w:hAnsi="宋体" w:eastAsia="仿宋_GB2312"/>
          <w:color w:val="auto"/>
          <w:sz w:val="24"/>
          <w:szCs w:val="24"/>
          <w:highlight w:val="none"/>
          <w:lang w:eastAsia="zh-CN"/>
        </w:rPr>
      </w:pPr>
    </w:p>
    <w:p w14:paraId="65E1C64F">
      <w:pPr>
        <w:rPr>
          <w:rFonts w:hint="eastAsia" w:ascii="宋体" w:hAnsi="宋体" w:eastAsia="仿宋_GB2312"/>
          <w:color w:val="auto"/>
          <w:sz w:val="24"/>
          <w:szCs w:val="24"/>
          <w:highlight w:val="none"/>
          <w:lang w:eastAsia="zh-CN"/>
        </w:rPr>
      </w:pPr>
    </w:p>
    <w:p w14:paraId="038D81BE">
      <w:pPr>
        <w:rPr>
          <w:rFonts w:hint="eastAsia" w:ascii="宋体" w:hAnsi="宋体" w:eastAsia="仿宋_GB2312"/>
          <w:color w:val="auto"/>
          <w:sz w:val="24"/>
          <w:szCs w:val="24"/>
          <w:highlight w:val="none"/>
          <w:lang w:eastAsia="zh-CN"/>
        </w:rPr>
      </w:pPr>
    </w:p>
    <w:p w14:paraId="52DA7147">
      <w:pPr>
        <w:pStyle w:val="24"/>
        <w:rPr>
          <w:rFonts w:hint="eastAsia" w:ascii="宋体" w:hAnsi="宋体" w:eastAsia="仿宋_GB2312"/>
          <w:color w:val="auto"/>
          <w:sz w:val="24"/>
          <w:szCs w:val="24"/>
          <w:highlight w:val="none"/>
          <w:lang w:eastAsia="zh-CN"/>
        </w:rPr>
      </w:pPr>
    </w:p>
    <w:p w14:paraId="0D5A0A2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评标方法及标准</w:t>
      </w:r>
    </w:p>
    <w:p w14:paraId="4DB2A824">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1、评标方法：</w:t>
      </w:r>
    </w:p>
    <w:p w14:paraId="14C54E38">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14:paraId="19F7162B">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2.评分标准：</w:t>
      </w:r>
    </w:p>
    <w:p w14:paraId="035B815E">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共100分，其中商务技术分</w:t>
      </w:r>
      <w:r>
        <w:rPr>
          <w:rFonts w:hint="eastAsia" w:ascii="仿宋" w:hAnsi="仿宋" w:eastAsia="仿宋" w:cs="仿宋"/>
          <w:color w:val="auto"/>
          <w:sz w:val="24"/>
          <w:highlight w:val="none"/>
          <w:u w:val="single"/>
          <w:lang w:val="en-US" w:eastAsia="zh-CN"/>
        </w:rPr>
        <w:t>70</w:t>
      </w:r>
      <w:r>
        <w:rPr>
          <w:rFonts w:hint="eastAsia" w:ascii="仿宋" w:hAnsi="仿宋" w:eastAsia="仿宋" w:cs="仿宋"/>
          <w:color w:val="auto"/>
          <w:sz w:val="24"/>
          <w:highlight w:val="none"/>
        </w:rPr>
        <w:t>分，价格分</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rPr>
        <w:t>分。评分依下述所列为评标打分依据，分值如下（计算分值时，按其算术平均值保留小数2位）。</w:t>
      </w:r>
    </w:p>
    <w:p w14:paraId="0B77D6CB">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b/>
          <w:bCs/>
          <w:iCs/>
          <w:color w:val="auto"/>
          <w:sz w:val="24"/>
          <w:highlight w:val="none"/>
        </w:rPr>
      </w:pPr>
      <w:r>
        <w:rPr>
          <w:rFonts w:hint="eastAsia" w:ascii="仿宋" w:hAnsi="仿宋" w:eastAsia="仿宋" w:cs="仿宋"/>
          <w:b/>
          <w:bCs/>
          <w:iCs/>
          <w:color w:val="auto"/>
          <w:sz w:val="24"/>
          <w:highlight w:val="none"/>
        </w:rPr>
        <w:t>2.1商务技术分（</w:t>
      </w:r>
      <w:r>
        <w:rPr>
          <w:rFonts w:hint="eastAsia" w:ascii="仿宋" w:hAnsi="仿宋" w:eastAsia="仿宋" w:cs="仿宋"/>
          <w:b/>
          <w:bCs/>
          <w:iCs/>
          <w:color w:val="auto"/>
          <w:sz w:val="24"/>
          <w:highlight w:val="none"/>
          <w:u w:val="single"/>
          <w:lang w:val="en-US" w:eastAsia="zh-CN"/>
        </w:rPr>
        <w:t>70</w:t>
      </w:r>
      <w:r>
        <w:rPr>
          <w:rFonts w:hint="eastAsia" w:ascii="仿宋" w:hAnsi="仿宋" w:eastAsia="仿宋" w:cs="仿宋"/>
          <w:b/>
          <w:bCs/>
          <w:iCs/>
          <w:color w:val="auto"/>
          <w:sz w:val="24"/>
          <w:highlight w:val="none"/>
        </w:rPr>
        <w:t>分）</w:t>
      </w:r>
    </w:p>
    <w:tbl>
      <w:tblPr>
        <w:tblStyle w:val="64"/>
        <w:tblW w:w="9798" w:type="dxa"/>
        <w:jc w:val="center"/>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64"/>
        <w:gridCol w:w="1464"/>
        <w:gridCol w:w="6000"/>
        <w:gridCol w:w="870"/>
      </w:tblGrid>
      <w:tr w14:paraId="60A81EB2">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shd w:val="clear" w:color="auto" w:fill="auto"/>
        </w:tblPrEx>
        <w:trPr>
          <w:jc w:val="center"/>
        </w:trPr>
        <w:tc>
          <w:tcPr>
            <w:tcW w:w="146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5A72E4">
            <w:pPr>
              <w:keepNext w:val="0"/>
              <w:keepLines w:val="0"/>
              <w:pageBreakBefore w:val="0"/>
              <w:kinsoku/>
              <w:wordWrap/>
              <w:overflowPunct/>
              <w:topLinePunct w:val="0"/>
              <w:bidi w:val="0"/>
              <w:spacing w:line="300" w:lineRule="exact"/>
              <w:jc w:val="center"/>
              <w:textAlignment w:val="auto"/>
              <w:rPr>
                <w:rFonts w:hint="eastAsia" w:ascii="微软雅黑" w:hAnsi="微软雅黑" w:eastAsia="微软雅黑" w:cs="微软雅黑"/>
                <w:color w:val="auto"/>
                <w:sz w:val="20"/>
                <w:szCs w:val="20"/>
                <w:highlight w:val="none"/>
              </w:rPr>
            </w:pPr>
            <w:r>
              <w:rPr>
                <w:rFonts w:hint="eastAsia" w:ascii="微软雅黑" w:hAnsi="微软雅黑" w:eastAsia="微软雅黑" w:cs="微软雅黑"/>
                <w:color w:val="auto"/>
                <w:sz w:val="20"/>
                <w:szCs w:val="20"/>
                <w:highlight w:val="none"/>
              </w:rPr>
              <w:t>评分</w:t>
            </w:r>
          </w:p>
          <w:p w14:paraId="370BE6E3">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微软雅黑" w:hAnsi="微软雅黑" w:eastAsia="微软雅黑" w:cs="微软雅黑"/>
                <w:color w:val="auto"/>
                <w:sz w:val="20"/>
                <w:szCs w:val="20"/>
                <w:highlight w:val="none"/>
              </w:rPr>
            </w:pPr>
            <w:r>
              <w:rPr>
                <w:rFonts w:hint="eastAsia" w:ascii="微软雅黑" w:hAnsi="微软雅黑" w:eastAsia="微软雅黑" w:cs="微软雅黑"/>
                <w:color w:val="auto"/>
                <w:sz w:val="20"/>
                <w:szCs w:val="20"/>
                <w:highlight w:val="none"/>
              </w:rPr>
              <w:t>内容</w:t>
            </w:r>
          </w:p>
        </w:tc>
        <w:tc>
          <w:tcPr>
            <w:tcW w:w="146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649F46">
            <w:pPr>
              <w:keepNext w:val="0"/>
              <w:keepLines w:val="0"/>
              <w:pageBreakBefore w:val="0"/>
              <w:kinsoku/>
              <w:wordWrap/>
              <w:overflowPunct/>
              <w:topLinePunct w:val="0"/>
              <w:autoSpaceDE w:val="0"/>
              <w:autoSpaceDN w:val="0"/>
              <w:bidi w:val="0"/>
              <w:adjustRightInd w:val="0"/>
              <w:spacing w:line="300" w:lineRule="exact"/>
              <w:ind w:firstLine="100" w:firstLineChars="50"/>
              <w:jc w:val="center"/>
              <w:textAlignment w:val="auto"/>
              <w:rPr>
                <w:rFonts w:hint="eastAsia" w:ascii="微软雅黑" w:hAnsi="微软雅黑" w:eastAsia="微软雅黑" w:cs="微软雅黑"/>
                <w:color w:val="auto"/>
                <w:sz w:val="20"/>
                <w:szCs w:val="20"/>
                <w:highlight w:val="none"/>
              </w:rPr>
            </w:pPr>
            <w:r>
              <w:rPr>
                <w:rFonts w:hint="eastAsia" w:ascii="微软雅黑" w:hAnsi="微软雅黑" w:eastAsia="微软雅黑" w:cs="微软雅黑"/>
                <w:color w:val="auto"/>
                <w:sz w:val="20"/>
                <w:szCs w:val="20"/>
                <w:highlight w:val="none"/>
              </w:rPr>
              <w:t>细则</w:t>
            </w:r>
          </w:p>
        </w:tc>
        <w:tc>
          <w:tcPr>
            <w:tcW w:w="60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68CD70">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微软雅黑" w:hAnsi="微软雅黑" w:eastAsia="微软雅黑" w:cs="微软雅黑"/>
                <w:color w:val="auto"/>
                <w:sz w:val="20"/>
                <w:szCs w:val="20"/>
                <w:highlight w:val="none"/>
              </w:rPr>
            </w:pPr>
            <w:r>
              <w:rPr>
                <w:rFonts w:hint="eastAsia" w:ascii="微软雅黑" w:hAnsi="微软雅黑" w:eastAsia="微软雅黑" w:cs="微软雅黑"/>
                <w:color w:val="auto"/>
                <w:sz w:val="20"/>
                <w:szCs w:val="20"/>
                <w:highlight w:val="none"/>
              </w:rPr>
              <w:t>细则内容</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F301E3">
            <w:pPr>
              <w:keepNext w:val="0"/>
              <w:keepLines w:val="0"/>
              <w:pageBreakBefore w:val="0"/>
              <w:kinsoku/>
              <w:wordWrap/>
              <w:overflowPunct/>
              <w:topLinePunct w:val="0"/>
              <w:autoSpaceDE w:val="0"/>
              <w:autoSpaceDN w:val="0"/>
              <w:bidi w:val="0"/>
              <w:adjustRightInd w:val="0"/>
              <w:spacing w:line="300" w:lineRule="exact"/>
              <w:ind w:left="-94" w:leftChars="-45" w:right="-122" w:rightChars="-58"/>
              <w:jc w:val="center"/>
              <w:textAlignment w:val="auto"/>
              <w:rPr>
                <w:rFonts w:hint="eastAsia" w:ascii="微软雅黑" w:hAnsi="微软雅黑" w:eastAsia="微软雅黑" w:cs="微软雅黑"/>
                <w:color w:val="auto"/>
                <w:sz w:val="20"/>
                <w:szCs w:val="20"/>
                <w:highlight w:val="none"/>
              </w:rPr>
            </w:pPr>
            <w:r>
              <w:rPr>
                <w:rFonts w:hint="eastAsia" w:ascii="微软雅黑" w:hAnsi="微软雅黑" w:eastAsia="微软雅黑" w:cs="微软雅黑"/>
                <w:color w:val="auto"/>
                <w:sz w:val="20"/>
                <w:szCs w:val="20"/>
                <w:highlight w:val="none"/>
              </w:rPr>
              <w:t>分值</w:t>
            </w:r>
          </w:p>
        </w:tc>
      </w:tr>
      <w:tr w14:paraId="5769198F">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1464"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76D78F5C">
            <w:pPr>
              <w:keepNext w:val="0"/>
              <w:keepLines w:val="0"/>
              <w:pageBreakBefore w:val="0"/>
              <w:widowControl/>
              <w:kinsoku/>
              <w:wordWrap/>
              <w:overflowPunct/>
              <w:topLinePunct w:val="0"/>
              <w:bidi w:val="0"/>
              <w:snapToGrid w:val="0"/>
              <w:spacing w:line="300" w:lineRule="exact"/>
              <w:jc w:val="center"/>
              <w:textAlignment w:val="auto"/>
              <w:rPr>
                <w:rFonts w:hint="eastAsia" w:ascii="微软雅黑" w:hAnsi="微软雅黑" w:eastAsia="微软雅黑" w:cs="微软雅黑"/>
                <w:color w:val="auto"/>
                <w:sz w:val="20"/>
                <w:szCs w:val="20"/>
                <w:highlight w:val="none"/>
              </w:rPr>
            </w:pPr>
            <w:r>
              <w:rPr>
                <w:rFonts w:hint="eastAsia" w:ascii="微软雅黑" w:hAnsi="微软雅黑" w:eastAsia="微软雅黑" w:cs="微软雅黑"/>
                <w:color w:val="auto"/>
                <w:sz w:val="20"/>
                <w:szCs w:val="20"/>
                <w:highlight w:val="none"/>
              </w:rPr>
              <w:t>技术</w:t>
            </w:r>
            <w:r>
              <w:rPr>
                <w:rFonts w:hint="eastAsia" w:ascii="微软雅黑" w:hAnsi="微软雅黑" w:eastAsia="微软雅黑" w:cs="微软雅黑"/>
                <w:color w:val="auto"/>
                <w:sz w:val="20"/>
                <w:szCs w:val="20"/>
                <w:highlight w:val="none"/>
                <w:lang w:val="en-US" w:eastAsia="zh-CN"/>
              </w:rPr>
              <w:t>参数配置</w:t>
            </w:r>
            <w:r>
              <w:rPr>
                <w:rFonts w:hint="eastAsia" w:ascii="微软雅黑" w:hAnsi="微软雅黑" w:eastAsia="微软雅黑" w:cs="微软雅黑"/>
                <w:color w:val="auto"/>
                <w:sz w:val="20"/>
                <w:szCs w:val="20"/>
                <w:highlight w:val="none"/>
              </w:rPr>
              <w:t>情况</w:t>
            </w:r>
          </w:p>
          <w:p w14:paraId="78C8827E">
            <w:pPr>
              <w:keepNext w:val="0"/>
              <w:keepLines w:val="0"/>
              <w:pageBreakBefore w:val="0"/>
              <w:kinsoku/>
              <w:wordWrap/>
              <w:overflowPunct/>
              <w:topLinePunct w:val="0"/>
              <w:bidi w:val="0"/>
              <w:spacing w:line="300" w:lineRule="exact"/>
              <w:jc w:val="center"/>
              <w:textAlignment w:val="auto"/>
              <w:rPr>
                <w:rFonts w:hint="eastAsia" w:ascii="微软雅黑" w:hAnsi="微软雅黑" w:eastAsia="微软雅黑" w:cs="微软雅黑"/>
                <w:color w:val="auto"/>
                <w:sz w:val="20"/>
                <w:szCs w:val="20"/>
                <w:highlight w:val="none"/>
              </w:rPr>
            </w:pPr>
            <w:r>
              <w:rPr>
                <w:rFonts w:hint="eastAsia" w:ascii="微软雅黑" w:hAnsi="微软雅黑" w:eastAsia="微软雅黑" w:cs="微软雅黑"/>
                <w:color w:val="auto"/>
                <w:sz w:val="20"/>
                <w:szCs w:val="20"/>
                <w:highlight w:val="none"/>
              </w:rPr>
              <w:t>（</w:t>
            </w:r>
            <w:r>
              <w:rPr>
                <w:rFonts w:hint="eastAsia" w:ascii="微软雅黑" w:hAnsi="微软雅黑" w:eastAsia="微软雅黑" w:cs="微软雅黑"/>
                <w:color w:val="auto"/>
                <w:sz w:val="20"/>
                <w:szCs w:val="20"/>
                <w:highlight w:val="none"/>
                <w:lang w:val="en-US" w:eastAsia="zh-CN"/>
              </w:rPr>
              <w:t>54</w:t>
            </w:r>
            <w:r>
              <w:rPr>
                <w:rFonts w:hint="eastAsia" w:ascii="微软雅黑" w:hAnsi="微软雅黑" w:eastAsia="微软雅黑" w:cs="微软雅黑"/>
                <w:color w:val="auto"/>
                <w:sz w:val="20"/>
                <w:szCs w:val="20"/>
                <w:highlight w:val="none"/>
              </w:rPr>
              <w:t>）分</w:t>
            </w:r>
          </w:p>
        </w:tc>
        <w:tc>
          <w:tcPr>
            <w:tcW w:w="146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B79176">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color w:val="auto"/>
                <w:sz w:val="20"/>
                <w:szCs w:val="20"/>
                <w:highlight w:val="none"/>
                <w:lang w:eastAsia="zh-CN"/>
              </w:rPr>
            </w:pPr>
            <w:r>
              <w:rPr>
                <w:rFonts w:hint="eastAsia" w:ascii="微软雅黑" w:hAnsi="微软雅黑" w:eastAsia="微软雅黑" w:cs="微软雅黑"/>
                <w:color w:val="auto"/>
                <w:sz w:val="20"/>
                <w:szCs w:val="20"/>
                <w:highlight w:val="none"/>
                <w:lang w:eastAsia="zh-CN"/>
              </w:rPr>
              <w:t>日志审计系统</w:t>
            </w:r>
          </w:p>
        </w:tc>
        <w:tc>
          <w:tcPr>
            <w:tcW w:w="60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66A72D">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color w:val="auto"/>
                <w:sz w:val="20"/>
                <w:szCs w:val="20"/>
                <w:highlight w:val="none"/>
              </w:rPr>
            </w:pPr>
            <w:r>
              <w:rPr>
                <w:rFonts w:hint="eastAsia" w:ascii="微软雅黑" w:hAnsi="微软雅黑" w:eastAsia="微软雅黑" w:cs="微软雅黑"/>
                <w:color w:val="auto"/>
                <w:sz w:val="20"/>
                <w:szCs w:val="20"/>
                <w:highlight w:val="none"/>
              </w:rPr>
              <w:t>技术参数全部满足招标文件要求的得</w:t>
            </w:r>
            <w:r>
              <w:rPr>
                <w:rFonts w:hint="eastAsia" w:ascii="微软雅黑" w:hAnsi="微软雅黑" w:eastAsia="微软雅黑" w:cs="微软雅黑"/>
                <w:color w:val="auto"/>
                <w:sz w:val="20"/>
                <w:szCs w:val="20"/>
                <w:highlight w:val="none"/>
                <w:lang w:val="en-US" w:eastAsia="zh-CN"/>
              </w:rPr>
              <w:t>4.5</w:t>
            </w:r>
            <w:r>
              <w:rPr>
                <w:rFonts w:hint="eastAsia" w:ascii="微软雅黑" w:hAnsi="微软雅黑" w:eastAsia="微软雅黑" w:cs="微软雅黑"/>
                <w:color w:val="auto"/>
                <w:sz w:val="20"/>
                <w:szCs w:val="20"/>
                <w:highlight w:val="none"/>
              </w:rPr>
              <w:t>分；</w:t>
            </w:r>
          </w:p>
          <w:p w14:paraId="0C2269E1">
            <w:pPr>
              <w:pStyle w:val="63"/>
              <w:keepNext w:val="0"/>
              <w:keepLines w:val="0"/>
              <w:pageBreakBefore w:val="0"/>
              <w:kinsoku/>
              <w:wordWrap/>
              <w:overflowPunct/>
              <w:topLinePunct w:val="0"/>
              <w:bidi w:val="0"/>
              <w:spacing w:after="0" w:line="300" w:lineRule="exact"/>
              <w:ind w:left="0" w:leftChars="0" w:firstLine="0" w:firstLineChars="0"/>
              <w:textAlignment w:val="auto"/>
              <w:rPr>
                <w:rFonts w:hint="eastAsia" w:ascii="微软雅黑" w:hAnsi="微软雅黑" w:eastAsia="微软雅黑" w:cs="微软雅黑"/>
                <w:color w:val="auto"/>
                <w:sz w:val="20"/>
                <w:szCs w:val="20"/>
                <w:highlight w:val="none"/>
                <w:lang w:eastAsia="zh-CN"/>
              </w:rPr>
            </w:pPr>
            <w:r>
              <w:rPr>
                <w:rFonts w:hint="eastAsia" w:ascii="微软雅黑" w:hAnsi="微软雅黑" w:eastAsia="微软雅黑" w:cs="微软雅黑"/>
                <w:b/>
                <w:bCs/>
                <w:color w:val="auto"/>
                <w:sz w:val="20"/>
                <w:szCs w:val="20"/>
                <w:highlight w:val="none"/>
                <w:lang w:eastAsia="zh-CN"/>
              </w:rPr>
              <w:t>正偏离加分：</w:t>
            </w:r>
          </w:p>
          <w:p w14:paraId="44CFFA38">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bCs/>
                <w:color w:val="auto"/>
                <w:sz w:val="20"/>
                <w:szCs w:val="20"/>
                <w:highlight w:val="none"/>
                <w:lang w:val="en-US" w:eastAsia="zh-CN"/>
              </w:rPr>
            </w:pPr>
            <w:r>
              <w:rPr>
                <w:rFonts w:hint="eastAsia" w:ascii="微软雅黑" w:hAnsi="微软雅黑" w:eastAsia="微软雅黑" w:cs="微软雅黑"/>
                <w:color w:val="auto"/>
                <w:kern w:val="0"/>
                <w:sz w:val="20"/>
                <w:szCs w:val="20"/>
                <w:highlight w:val="none"/>
                <w:lang w:val="en-US" w:eastAsia="zh-CN"/>
              </w:rPr>
              <w:t>1、</w:t>
            </w:r>
            <w:r>
              <w:rPr>
                <w:rFonts w:hint="eastAsia" w:ascii="微软雅黑" w:hAnsi="微软雅黑" w:eastAsia="微软雅黑" w:cs="微软雅黑"/>
                <w:color w:val="auto"/>
                <w:kern w:val="0"/>
                <w:sz w:val="20"/>
                <w:szCs w:val="20"/>
                <w:highlight w:val="none"/>
              </w:rPr>
              <w:t>CPU</w:t>
            </w:r>
            <w:r>
              <w:rPr>
                <w:rFonts w:hint="eastAsia" w:ascii="微软雅黑" w:hAnsi="微软雅黑" w:eastAsia="微软雅黑" w:cs="微软雅黑"/>
                <w:color w:val="auto"/>
                <w:kern w:val="0"/>
                <w:sz w:val="20"/>
                <w:szCs w:val="20"/>
                <w:highlight w:val="none"/>
                <w:lang w:eastAsia="zh-CN"/>
              </w:rPr>
              <w:t>物理核心</w:t>
            </w:r>
            <w:r>
              <w:rPr>
                <w:rFonts w:hint="eastAsia" w:ascii="微软雅黑" w:hAnsi="微软雅黑" w:eastAsia="微软雅黑" w:cs="微软雅黑"/>
                <w:bCs/>
                <w:color w:val="auto"/>
                <w:sz w:val="20"/>
                <w:szCs w:val="20"/>
                <w:highlight w:val="none"/>
                <w:lang w:eastAsia="zh-CN"/>
              </w:rPr>
              <w:t>数</w:t>
            </w:r>
            <w:r>
              <w:rPr>
                <w:rFonts w:hint="eastAsia" w:ascii="微软雅黑" w:hAnsi="微软雅黑" w:eastAsia="微软雅黑" w:cs="微软雅黑"/>
                <w:bCs/>
                <w:color w:val="auto"/>
                <w:sz w:val="20"/>
                <w:szCs w:val="20"/>
                <w:highlight w:val="none"/>
              </w:rPr>
              <w:t>≧</w:t>
            </w:r>
            <w:r>
              <w:rPr>
                <w:rFonts w:hint="eastAsia" w:ascii="微软雅黑" w:hAnsi="微软雅黑" w:eastAsia="微软雅黑" w:cs="微软雅黑"/>
                <w:bCs/>
                <w:color w:val="auto"/>
                <w:sz w:val="20"/>
                <w:szCs w:val="20"/>
                <w:highlight w:val="none"/>
                <w:lang w:val="en-US" w:eastAsia="zh-CN"/>
              </w:rPr>
              <w:t>16核，加2分。</w:t>
            </w:r>
          </w:p>
          <w:p w14:paraId="159EEDF6">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bCs/>
                <w:color w:val="auto"/>
                <w:sz w:val="20"/>
                <w:szCs w:val="20"/>
                <w:highlight w:val="none"/>
                <w:lang w:val="en-US" w:eastAsia="zh-CN"/>
              </w:rPr>
            </w:pPr>
            <w:r>
              <w:rPr>
                <w:rFonts w:hint="eastAsia" w:ascii="微软雅黑" w:hAnsi="微软雅黑" w:eastAsia="微软雅黑" w:cs="微软雅黑"/>
                <w:bCs/>
                <w:color w:val="auto"/>
                <w:sz w:val="20"/>
                <w:szCs w:val="20"/>
                <w:highlight w:val="none"/>
                <w:lang w:val="en-US" w:eastAsia="zh-CN"/>
              </w:rPr>
              <w:t>2、</w:t>
            </w:r>
            <w:r>
              <w:rPr>
                <w:rFonts w:hint="eastAsia" w:ascii="微软雅黑" w:hAnsi="微软雅黑" w:eastAsia="微软雅黑" w:cs="微软雅黑"/>
                <w:bCs/>
                <w:color w:val="auto"/>
                <w:sz w:val="20"/>
                <w:szCs w:val="20"/>
                <w:highlight w:val="none"/>
              </w:rPr>
              <w:t>内存≧</w:t>
            </w:r>
            <w:r>
              <w:rPr>
                <w:rFonts w:hint="eastAsia" w:ascii="微软雅黑" w:hAnsi="微软雅黑" w:eastAsia="微软雅黑" w:cs="微软雅黑"/>
                <w:bCs/>
                <w:color w:val="auto"/>
                <w:sz w:val="20"/>
                <w:szCs w:val="20"/>
                <w:highlight w:val="none"/>
                <w:lang w:val="en-US" w:eastAsia="zh-CN"/>
              </w:rPr>
              <w:t>32</w:t>
            </w:r>
            <w:r>
              <w:rPr>
                <w:rFonts w:hint="eastAsia" w:ascii="微软雅黑" w:hAnsi="微软雅黑" w:eastAsia="微软雅黑" w:cs="微软雅黑"/>
                <w:bCs/>
                <w:color w:val="auto"/>
                <w:sz w:val="20"/>
                <w:szCs w:val="20"/>
                <w:highlight w:val="none"/>
              </w:rPr>
              <w:t>GB</w:t>
            </w:r>
            <w:r>
              <w:rPr>
                <w:rFonts w:hint="eastAsia" w:ascii="微软雅黑" w:hAnsi="微软雅黑" w:eastAsia="微软雅黑" w:cs="微软雅黑"/>
                <w:bCs/>
                <w:color w:val="auto"/>
                <w:sz w:val="20"/>
                <w:szCs w:val="20"/>
                <w:highlight w:val="none"/>
                <w:lang w:eastAsia="zh-CN"/>
              </w:rPr>
              <w:t>，加</w:t>
            </w:r>
            <w:r>
              <w:rPr>
                <w:rFonts w:hint="eastAsia" w:ascii="微软雅黑" w:hAnsi="微软雅黑" w:eastAsia="微软雅黑" w:cs="微软雅黑"/>
                <w:bCs/>
                <w:color w:val="auto"/>
                <w:sz w:val="20"/>
                <w:szCs w:val="20"/>
                <w:highlight w:val="none"/>
                <w:lang w:val="en-US" w:eastAsia="zh-CN"/>
              </w:rPr>
              <w:t>0.2分。</w:t>
            </w:r>
          </w:p>
          <w:p w14:paraId="1F9DCCA7">
            <w:pPr>
              <w:keepNext w:val="0"/>
              <w:keepLines w:val="0"/>
              <w:pageBreakBefore w:val="0"/>
              <w:widowControl/>
              <w:kinsoku/>
              <w:wordWrap/>
              <w:overflowPunct/>
              <w:topLinePunct w:val="0"/>
              <w:bidi w:val="0"/>
              <w:adjustRightInd w:val="0"/>
              <w:snapToGrid w:val="0"/>
              <w:spacing w:line="300" w:lineRule="exact"/>
              <w:jc w:val="left"/>
              <w:textAlignment w:val="auto"/>
              <w:rPr>
                <w:rFonts w:hint="eastAsia"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val="en-US" w:eastAsia="zh-CN"/>
              </w:rPr>
              <w:t>3、</w:t>
            </w:r>
            <w:r>
              <w:rPr>
                <w:rFonts w:hint="eastAsia" w:ascii="微软雅黑" w:hAnsi="微软雅黑" w:eastAsia="微软雅黑" w:cs="微软雅黑"/>
                <w:color w:val="auto"/>
                <w:kern w:val="0"/>
                <w:sz w:val="20"/>
                <w:szCs w:val="20"/>
                <w:highlight w:val="none"/>
              </w:rPr>
              <w:t>日志采集处理均值</w:t>
            </w:r>
            <w:r>
              <w:rPr>
                <w:rFonts w:hint="eastAsia" w:ascii="微软雅黑" w:hAnsi="微软雅黑" w:eastAsia="微软雅黑" w:cs="微软雅黑"/>
                <w:color w:val="auto"/>
                <w:kern w:val="0"/>
                <w:sz w:val="20"/>
                <w:szCs w:val="20"/>
                <w:highlight w:val="none"/>
                <w:lang w:eastAsia="zh-CN"/>
              </w:rPr>
              <w:t>（非峰值）在</w:t>
            </w:r>
            <w:r>
              <w:rPr>
                <w:rFonts w:hint="eastAsia" w:ascii="微软雅黑" w:hAnsi="微软雅黑" w:eastAsia="微软雅黑" w:cs="微软雅黑"/>
                <w:color w:val="auto"/>
                <w:kern w:val="0"/>
                <w:sz w:val="20"/>
                <w:szCs w:val="20"/>
                <w:highlight w:val="none"/>
                <w:lang w:val="en-US" w:eastAsia="zh-CN"/>
              </w:rPr>
              <w:t>2500</w:t>
            </w:r>
            <w:r>
              <w:rPr>
                <w:rFonts w:hint="eastAsia" w:ascii="微软雅黑" w:hAnsi="微软雅黑" w:eastAsia="微软雅黑" w:cs="微软雅黑"/>
                <w:color w:val="auto"/>
                <w:kern w:val="0"/>
                <w:sz w:val="20"/>
                <w:szCs w:val="20"/>
                <w:highlight w:val="none"/>
              </w:rPr>
              <w:t>EPS</w:t>
            </w:r>
            <w:r>
              <w:rPr>
                <w:rFonts w:hint="eastAsia" w:ascii="微软雅黑" w:hAnsi="微软雅黑" w:eastAsia="微软雅黑" w:cs="微软雅黑"/>
                <w:color w:val="auto"/>
                <w:kern w:val="0"/>
                <w:sz w:val="20"/>
                <w:szCs w:val="20"/>
                <w:highlight w:val="none"/>
                <w:lang w:eastAsia="zh-CN"/>
              </w:rPr>
              <w:t>基础上，每多</w:t>
            </w:r>
            <w:r>
              <w:rPr>
                <w:rFonts w:hint="eastAsia" w:ascii="微软雅黑" w:hAnsi="微软雅黑" w:eastAsia="微软雅黑" w:cs="微软雅黑"/>
                <w:color w:val="auto"/>
                <w:kern w:val="0"/>
                <w:sz w:val="20"/>
                <w:szCs w:val="20"/>
                <w:highlight w:val="none"/>
                <w:lang w:val="en-US" w:eastAsia="zh-CN"/>
              </w:rPr>
              <w:t>1000</w:t>
            </w:r>
            <w:r>
              <w:rPr>
                <w:rFonts w:hint="eastAsia" w:ascii="微软雅黑" w:hAnsi="微软雅黑" w:eastAsia="微软雅黑" w:cs="微软雅黑"/>
                <w:color w:val="auto"/>
                <w:kern w:val="0"/>
                <w:sz w:val="20"/>
                <w:szCs w:val="20"/>
                <w:highlight w:val="none"/>
              </w:rPr>
              <w:t>EPS</w:t>
            </w:r>
            <w:r>
              <w:rPr>
                <w:rFonts w:hint="eastAsia" w:ascii="微软雅黑" w:hAnsi="微软雅黑" w:eastAsia="微软雅黑" w:cs="微软雅黑"/>
                <w:color w:val="auto"/>
                <w:kern w:val="0"/>
                <w:sz w:val="20"/>
                <w:szCs w:val="20"/>
                <w:highlight w:val="none"/>
                <w:lang w:eastAsia="zh-CN"/>
              </w:rPr>
              <w:t>，加</w:t>
            </w:r>
            <w:r>
              <w:rPr>
                <w:rFonts w:hint="eastAsia" w:ascii="微软雅黑" w:hAnsi="微软雅黑" w:eastAsia="微软雅黑" w:cs="微软雅黑"/>
                <w:color w:val="auto"/>
                <w:kern w:val="0"/>
                <w:sz w:val="20"/>
                <w:szCs w:val="20"/>
                <w:highlight w:val="none"/>
                <w:lang w:val="en-US" w:eastAsia="zh-CN"/>
              </w:rPr>
              <w:t>0.1分，封顶0.3分。</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E6E8BC">
            <w:pPr>
              <w:keepNext w:val="0"/>
              <w:keepLines w:val="0"/>
              <w:pageBreakBefore w:val="0"/>
              <w:kinsoku/>
              <w:wordWrap/>
              <w:overflowPunct/>
              <w:topLinePunct w:val="0"/>
              <w:bidi w:val="0"/>
              <w:snapToGrid w:val="0"/>
              <w:spacing w:line="300" w:lineRule="exact"/>
              <w:ind w:left="-136" w:leftChars="-65" w:right="-164" w:rightChars="-78"/>
              <w:jc w:val="center"/>
              <w:textAlignment w:val="auto"/>
              <w:rPr>
                <w:rFonts w:hint="eastAsia" w:ascii="微软雅黑" w:hAnsi="微软雅黑" w:eastAsia="微软雅黑" w:cs="微软雅黑"/>
                <w:color w:val="auto"/>
                <w:sz w:val="20"/>
                <w:szCs w:val="20"/>
                <w:highlight w:val="none"/>
              </w:rPr>
            </w:pPr>
            <w:r>
              <w:rPr>
                <w:rFonts w:hint="eastAsia" w:ascii="微软雅黑" w:hAnsi="微软雅黑" w:eastAsia="微软雅黑" w:cs="微软雅黑"/>
                <w:color w:val="auto"/>
                <w:sz w:val="20"/>
                <w:szCs w:val="20"/>
                <w:highlight w:val="none"/>
              </w:rPr>
              <w:t>0-</w:t>
            </w:r>
            <w:r>
              <w:rPr>
                <w:rFonts w:hint="eastAsia" w:ascii="微软雅黑" w:hAnsi="微软雅黑" w:eastAsia="微软雅黑" w:cs="微软雅黑"/>
                <w:color w:val="auto"/>
                <w:sz w:val="20"/>
                <w:szCs w:val="20"/>
                <w:highlight w:val="none"/>
                <w:lang w:val="en-US" w:eastAsia="zh-CN"/>
              </w:rPr>
              <w:t>7</w:t>
            </w:r>
            <w:r>
              <w:rPr>
                <w:rFonts w:hint="eastAsia" w:ascii="微软雅黑" w:hAnsi="微软雅黑" w:eastAsia="微软雅黑" w:cs="微软雅黑"/>
                <w:color w:val="auto"/>
                <w:sz w:val="20"/>
                <w:szCs w:val="20"/>
                <w:highlight w:val="none"/>
              </w:rPr>
              <w:t>分</w:t>
            </w:r>
          </w:p>
        </w:tc>
      </w:tr>
      <w:tr w14:paraId="6233AA7E">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146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AAC8F1F">
            <w:pPr>
              <w:keepNext w:val="0"/>
              <w:keepLines w:val="0"/>
              <w:pageBreakBefore w:val="0"/>
              <w:kinsoku/>
              <w:wordWrap/>
              <w:overflowPunct/>
              <w:topLinePunct w:val="0"/>
              <w:bidi w:val="0"/>
              <w:spacing w:line="300" w:lineRule="exact"/>
              <w:jc w:val="center"/>
              <w:textAlignment w:val="auto"/>
              <w:rPr>
                <w:rFonts w:hint="eastAsia" w:ascii="微软雅黑" w:hAnsi="微软雅黑" w:eastAsia="微软雅黑" w:cs="微软雅黑"/>
                <w:color w:val="auto"/>
                <w:sz w:val="20"/>
                <w:szCs w:val="20"/>
                <w:highlight w:val="none"/>
              </w:rPr>
            </w:pPr>
          </w:p>
        </w:tc>
        <w:tc>
          <w:tcPr>
            <w:tcW w:w="146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F06E2F">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color w:val="auto"/>
                <w:sz w:val="20"/>
                <w:szCs w:val="20"/>
                <w:highlight w:val="none"/>
              </w:rPr>
            </w:pPr>
            <w:r>
              <w:rPr>
                <w:rFonts w:hint="eastAsia" w:ascii="微软雅黑" w:hAnsi="微软雅黑" w:eastAsia="微软雅黑" w:cs="微软雅黑"/>
                <w:color w:val="auto"/>
                <w:sz w:val="20"/>
                <w:szCs w:val="20"/>
                <w:highlight w:val="none"/>
                <w:lang w:eastAsia="zh-CN"/>
              </w:rPr>
              <w:t>入侵防御</w:t>
            </w:r>
            <w:r>
              <w:rPr>
                <w:rFonts w:hint="eastAsia" w:ascii="微软雅黑" w:hAnsi="微软雅黑" w:eastAsia="微软雅黑" w:cs="微软雅黑"/>
                <w:color w:val="auto"/>
                <w:sz w:val="20"/>
                <w:szCs w:val="20"/>
                <w:highlight w:val="none"/>
              </w:rPr>
              <w:t>系统</w:t>
            </w:r>
          </w:p>
        </w:tc>
        <w:tc>
          <w:tcPr>
            <w:tcW w:w="60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B62AF4">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color w:val="auto"/>
                <w:sz w:val="20"/>
                <w:szCs w:val="20"/>
                <w:highlight w:val="none"/>
              </w:rPr>
            </w:pPr>
            <w:r>
              <w:rPr>
                <w:rFonts w:hint="eastAsia" w:ascii="微软雅黑" w:hAnsi="微软雅黑" w:eastAsia="微软雅黑" w:cs="微软雅黑"/>
                <w:color w:val="auto"/>
                <w:sz w:val="20"/>
                <w:szCs w:val="20"/>
                <w:highlight w:val="none"/>
              </w:rPr>
              <w:t>技术参数全部满足招标文件要求的得</w:t>
            </w:r>
            <w:r>
              <w:rPr>
                <w:rFonts w:hint="eastAsia" w:ascii="微软雅黑" w:hAnsi="微软雅黑" w:eastAsia="微软雅黑" w:cs="微软雅黑"/>
                <w:color w:val="auto"/>
                <w:sz w:val="20"/>
                <w:szCs w:val="20"/>
                <w:highlight w:val="none"/>
                <w:lang w:val="en-US" w:eastAsia="zh-CN"/>
              </w:rPr>
              <w:t>4.5</w:t>
            </w:r>
            <w:r>
              <w:rPr>
                <w:rFonts w:hint="eastAsia" w:ascii="微软雅黑" w:hAnsi="微软雅黑" w:eastAsia="微软雅黑" w:cs="微软雅黑"/>
                <w:color w:val="auto"/>
                <w:sz w:val="20"/>
                <w:szCs w:val="20"/>
                <w:highlight w:val="none"/>
              </w:rPr>
              <w:t>分；</w:t>
            </w:r>
          </w:p>
          <w:p w14:paraId="4648E831">
            <w:pPr>
              <w:pStyle w:val="63"/>
              <w:keepNext w:val="0"/>
              <w:keepLines w:val="0"/>
              <w:pageBreakBefore w:val="0"/>
              <w:kinsoku/>
              <w:wordWrap/>
              <w:overflowPunct/>
              <w:topLinePunct w:val="0"/>
              <w:bidi w:val="0"/>
              <w:spacing w:after="0" w:line="300" w:lineRule="exact"/>
              <w:ind w:left="0" w:leftChars="0" w:firstLine="0" w:firstLineChars="0"/>
              <w:textAlignment w:val="auto"/>
              <w:rPr>
                <w:rFonts w:hint="eastAsia" w:ascii="微软雅黑" w:hAnsi="微软雅黑" w:eastAsia="微软雅黑" w:cs="微软雅黑"/>
                <w:b/>
                <w:bCs/>
                <w:color w:val="auto"/>
                <w:sz w:val="20"/>
                <w:szCs w:val="20"/>
                <w:highlight w:val="none"/>
                <w:lang w:val="en-US" w:eastAsia="zh-CN"/>
              </w:rPr>
            </w:pPr>
            <w:r>
              <w:rPr>
                <w:rFonts w:hint="eastAsia" w:ascii="微软雅黑" w:hAnsi="微软雅黑" w:eastAsia="微软雅黑" w:cs="微软雅黑"/>
                <w:b/>
                <w:bCs/>
                <w:color w:val="auto"/>
                <w:sz w:val="20"/>
                <w:szCs w:val="20"/>
                <w:highlight w:val="none"/>
                <w:lang w:val="en-US" w:eastAsia="zh-CN"/>
              </w:rPr>
              <w:t>正偏离加分：</w:t>
            </w:r>
          </w:p>
          <w:p w14:paraId="0EAB1475">
            <w:pPr>
              <w:pStyle w:val="63"/>
              <w:keepNext w:val="0"/>
              <w:keepLines w:val="0"/>
              <w:pageBreakBefore w:val="0"/>
              <w:kinsoku/>
              <w:wordWrap/>
              <w:overflowPunct/>
              <w:topLinePunct w:val="0"/>
              <w:bidi w:val="0"/>
              <w:spacing w:after="0" w:line="300" w:lineRule="exact"/>
              <w:ind w:left="0" w:leftChars="0" w:firstLine="0" w:firstLineChars="0"/>
              <w:textAlignment w:val="auto"/>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color w:val="auto"/>
                <w:sz w:val="20"/>
                <w:szCs w:val="20"/>
                <w:highlight w:val="none"/>
                <w:lang w:val="en-US" w:eastAsia="zh-CN"/>
              </w:rPr>
              <w:t>1、CPU物理核心数</w:t>
            </w:r>
            <w:r>
              <w:rPr>
                <w:rFonts w:hint="eastAsia" w:ascii="微软雅黑" w:hAnsi="微软雅黑" w:eastAsia="微软雅黑" w:cs="微软雅黑"/>
                <w:color w:val="auto"/>
                <w:sz w:val="20"/>
                <w:szCs w:val="20"/>
                <w:highlight w:val="none"/>
              </w:rPr>
              <w:t>≧</w:t>
            </w:r>
            <w:r>
              <w:rPr>
                <w:rFonts w:hint="eastAsia" w:ascii="微软雅黑" w:hAnsi="微软雅黑" w:eastAsia="微软雅黑" w:cs="微软雅黑"/>
                <w:color w:val="auto"/>
                <w:sz w:val="20"/>
                <w:szCs w:val="20"/>
                <w:highlight w:val="none"/>
                <w:lang w:val="en-US" w:eastAsia="zh-CN"/>
              </w:rPr>
              <w:t>8核，加1分</w:t>
            </w:r>
          </w:p>
          <w:p w14:paraId="230B4DDD">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color w:val="auto"/>
                <w:sz w:val="20"/>
                <w:szCs w:val="20"/>
                <w:highlight w:val="none"/>
                <w:lang w:val="en-US" w:eastAsia="zh-CN"/>
              </w:rPr>
              <w:t>2、电源数量≧2个，加0.2分。</w:t>
            </w:r>
          </w:p>
          <w:p w14:paraId="0EE844D4">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color w:val="auto"/>
                <w:sz w:val="20"/>
                <w:szCs w:val="20"/>
                <w:highlight w:val="none"/>
                <w:lang w:val="en-US" w:eastAsia="zh-CN"/>
              </w:rPr>
              <w:t>3、满检速率在6500Mbps基础上，每多1000Mbps，加0.2分，封顶1分。</w:t>
            </w:r>
          </w:p>
          <w:p w14:paraId="3108F6CC">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color w:val="auto"/>
                <w:sz w:val="20"/>
                <w:szCs w:val="20"/>
                <w:highlight w:val="none"/>
              </w:rPr>
            </w:pPr>
            <w:r>
              <w:rPr>
                <w:rFonts w:hint="eastAsia" w:ascii="微软雅黑" w:hAnsi="微软雅黑" w:eastAsia="微软雅黑" w:cs="微软雅黑"/>
                <w:color w:val="auto"/>
                <w:sz w:val="20"/>
                <w:szCs w:val="20"/>
                <w:highlight w:val="none"/>
                <w:lang w:val="en-US" w:eastAsia="zh-CN"/>
              </w:rPr>
              <w:t>4、规则库在原有基础上，每多1个库，加0.1分，封顶0.3分。</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2AB521">
            <w:pPr>
              <w:keepNext w:val="0"/>
              <w:keepLines w:val="0"/>
              <w:pageBreakBefore w:val="0"/>
              <w:kinsoku/>
              <w:wordWrap/>
              <w:overflowPunct/>
              <w:topLinePunct w:val="0"/>
              <w:bidi w:val="0"/>
              <w:snapToGrid w:val="0"/>
              <w:spacing w:line="300" w:lineRule="exact"/>
              <w:ind w:left="-136" w:leftChars="-65" w:right="-164" w:rightChars="-78"/>
              <w:jc w:val="center"/>
              <w:textAlignment w:val="auto"/>
              <w:rPr>
                <w:rFonts w:hint="eastAsia" w:ascii="微软雅黑" w:hAnsi="微软雅黑" w:eastAsia="微软雅黑" w:cs="微软雅黑"/>
                <w:color w:val="auto"/>
                <w:sz w:val="20"/>
                <w:szCs w:val="20"/>
                <w:highlight w:val="none"/>
              </w:rPr>
            </w:pPr>
            <w:r>
              <w:rPr>
                <w:rFonts w:hint="eastAsia" w:ascii="微软雅黑" w:hAnsi="微软雅黑" w:eastAsia="微软雅黑" w:cs="微软雅黑"/>
                <w:color w:val="auto"/>
                <w:sz w:val="20"/>
                <w:szCs w:val="20"/>
                <w:highlight w:val="none"/>
              </w:rPr>
              <w:t>0-</w:t>
            </w:r>
            <w:r>
              <w:rPr>
                <w:rFonts w:hint="eastAsia" w:ascii="微软雅黑" w:hAnsi="微软雅黑" w:eastAsia="微软雅黑" w:cs="微软雅黑"/>
                <w:color w:val="auto"/>
                <w:sz w:val="20"/>
                <w:szCs w:val="20"/>
                <w:highlight w:val="none"/>
                <w:lang w:val="en-US" w:eastAsia="zh-CN"/>
              </w:rPr>
              <w:t>7</w:t>
            </w:r>
            <w:r>
              <w:rPr>
                <w:rFonts w:hint="eastAsia" w:ascii="微软雅黑" w:hAnsi="微软雅黑" w:eastAsia="微软雅黑" w:cs="微软雅黑"/>
                <w:color w:val="auto"/>
                <w:sz w:val="20"/>
                <w:szCs w:val="20"/>
                <w:highlight w:val="none"/>
              </w:rPr>
              <w:t>分</w:t>
            </w:r>
          </w:p>
        </w:tc>
      </w:tr>
      <w:tr w14:paraId="7A0D7D8D">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146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48EF922">
            <w:pPr>
              <w:keepNext w:val="0"/>
              <w:keepLines w:val="0"/>
              <w:pageBreakBefore w:val="0"/>
              <w:kinsoku/>
              <w:wordWrap/>
              <w:overflowPunct/>
              <w:topLinePunct w:val="0"/>
              <w:bidi w:val="0"/>
              <w:spacing w:line="300" w:lineRule="exact"/>
              <w:jc w:val="center"/>
              <w:textAlignment w:val="auto"/>
              <w:rPr>
                <w:rFonts w:hint="eastAsia" w:ascii="微软雅黑" w:hAnsi="微软雅黑" w:eastAsia="微软雅黑" w:cs="微软雅黑"/>
                <w:color w:val="auto"/>
                <w:sz w:val="20"/>
                <w:szCs w:val="20"/>
                <w:highlight w:val="none"/>
              </w:rPr>
            </w:pPr>
          </w:p>
        </w:tc>
        <w:tc>
          <w:tcPr>
            <w:tcW w:w="146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B43209">
            <w:pPr>
              <w:keepNext w:val="0"/>
              <w:keepLines w:val="0"/>
              <w:pageBreakBefore w:val="0"/>
              <w:widowControl/>
              <w:kinsoku/>
              <w:wordWrap/>
              <w:overflowPunct/>
              <w:topLinePunct w:val="0"/>
              <w:bidi w:val="0"/>
              <w:snapToGrid w:val="0"/>
              <w:spacing w:line="300" w:lineRule="exact"/>
              <w:jc w:val="center"/>
              <w:textAlignment w:val="auto"/>
              <w:rPr>
                <w:rFonts w:hint="eastAsia"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rPr>
              <w:t>运维审计系统</w:t>
            </w:r>
            <w:r>
              <w:rPr>
                <w:rFonts w:hint="eastAsia" w:ascii="微软雅黑" w:hAnsi="微软雅黑" w:eastAsia="微软雅黑" w:cs="微软雅黑"/>
                <w:color w:val="auto"/>
                <w:kern w:val="0"/>
                <w:sz w:val="20"/>
                <w:szCs w:val="20"/>
                <w:highlight w:val="none"/>
                <w:lang w:eastAsia="zh-CN"/>
              </w:rPr>
              <w:t>（堡垒机）</w:t>
            </w:r>
          </w:p>
        </w:tc>
        <w:tc>
          <w:tcPr>
            <w:tcW w:w="60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774B87">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b w:val="0"/>
                <w:bCs w:val="0"/>
                <w:color w:val="auto"/>
                <w:kern w:val="0"/>
                <w:sz w:val="20"/>
                <w:szCs w:val="20"/>
                <w:highlight w:val="none"/>
                <w:lang w:val="en-US" w:eastAsia="zh-CN" w:bidi="ar-SA"/>
              </w:rPr>
            </w:pPr>
            <w:r>
              <w:rPr>
                <w:rFonts w:hint="eastAsia" w:ascii="微软雅黑" w:hAnsi="微软雅黑" w:eastAsia="微软雅黑" w:cs="微软雅黑"/>
                <w:b w:val="0"/>
                <w:bCs w:val="0"/>
                <w:color w:val="auto"/>
                <w:kern w:val="0"/>
                <w:sz w:val="20"/>
                <w:szCs w:val="20"/>
                <w:highlight w:val="none"/>
                <w:lang w:val="en-US" w:eastAsia="zh-CN" w:bidi="ar-SA"/>
              </w:rPr>
              <w:t>技术参数全部满足招标文件要求的得5.7分；</w:t>
            </w:r>
          </w:p>
          <w:p w14:paraId="58F2F4C9">
            <w:pPr>
              <w:pStyle w:val="63"/>
              <w:keepNext w:val="0"/>
              <w:keepLines w:val="0"/>
              <w:pageBreakBefore w:val="0"/>
              <w:kinsoku/>
              <w:wordWrap/>
              <w:overflowPunct/>
              <w:topLinePunct w:val="0"/>
              <w:bidi w:val="0"/>
              <w:spacing w:after="0" w:line="300" w:lineRule="exact"/>
              <w:ind w:left="0" w:leftChars="0" w:firstLine="0" w:firstLineChars="0"/>
              <w:textAlignment w:val="auto"/>
              <w:rPr>
                <w:rFonts w:hint="eastAsia" w:ascii="微软雅黑" w:hAnsi="微软雅黑" w:eastAsia="微软雅黑" w:cs="微软雅黑"/>
                <w:b w:val="0"/>
                <w:bCs w:val="0"/>
                <w:color w:val="auto"/>
                <w:kern w:val="0"/>
                <w:sz w:val="20"/>
                <w:szCs w:val="20"/>
                <w:highlight w:val="none"/>
                <w:lang w:val="en-US" w:eastAsia="zh-CN" w:bidi="ar-SA"/>
              </w:rPr>
            </w:pPr>
            <w:r>
              <w:rPr>
                <w:rFonts w:hint="eastAsia" w:ascii="微软雅黑" w:hAnsi="微软雅黑" w:eastAsia="微软雅黑" w:cs="微软雅黑"/>
                <w:b/>
                <w:bCs/>
                <w:color w:val="auto"/>
                <w:kern w:val="0"/>
                <w:sz w:val="20"/>
                <w:szCs w:val="20"/>
                <w:highlight w:val="none"/>
                <w:lang w:val="en-US" w:eastAsia="zh-CN" w:bidi="ar-SA"/>
              </w:rPr>
              <w:t>正偏离加分：</w:t>
            </w:r>
          </w:p>
          <w:p w14:paraId="7724DFE7">
            <w:pPr>
              <w:pStyle w:val="63"/>
              <w:keepNext w:val="0"/>
              <w:keepLines w:val="0"/>
              <w:pageBreakBefore w:val="0"/>
              <w:kinsoku/>
              <w:wordWrap/>
              <w:overflowPunct/>
              <w:topLinePunct w:val="0"/>
              <w:bidi w:val="0"/>
              <w:spacing w:after="0" w:line="300" w:lineRule="exact"/>
              <w:ind w:left="0" w:leftChars="0" w:firstLine="0" w:firstLineChars="0"/>
              <w:textAlignment w:val="auto"/>
              <w:rPr>
                <w:rFonts w:hint="eastAsia" w:ascii="微软雅黑" w:hAnsi="微软雅黑" w:eastAsia="微软雅黑" w:cs="微软雅黑"/>
                <w:color w:val="auto"/>
                <w:kern w:val="2"/>
                <w:sz w:val="20"/>
                <w:szCs w:val="20"/>
                <w:highlight w:val="none"/>
                <w:lang w:val="en-US" w:eastAsia="zh-CN" w:bidi="ar-SA"/>
              </w:rPr>
            </w:pPr>
            <w:r>
              <w:rPr>
                <w:rFonts w:hint="eastAsia" w:ascii="微软雅黑" w:hAnsi="微软雅黑" w:eastAsia="微软雅黑" w:cs="微软雅黑"/>
                <w:color w:val="auto"/>
                <w:kern w:val="2"/>
                <w:sz w:val="20"/>
                <w:szCs w:val="20"/>
                <w:highlight w:val="none"/>
                <w:lang w:val="en-US" w:eastAsia="zh-CN" w:bidi="ar-SA"/>
              </w:rPr>
              <w:t>1、CPU物理核心数</w:t>
            </w:r>
            <w:r>
              <w:rPr>
                <w:rFonts w:hint="eastAsia" w:ascii="微软雅黑" w:hAnsi="微软雅黑" w:eastAsia="微软雅黑" w:cs="微软雅黑"/>
                <w:bCs/>
                <w:color w:val="auto"/>
                <w:sz w:val="20"/>
                <w:szCs w:val="20"/>
                <w:highlight w:val="none"/>
              </w:rPr>
              <w:t>≧</w:t>
            </w:r>
            <w:r>
              <w:rPr>
                <w:rFonts w:hint="eastAsia" w:ascii="微软雅黑" w:hAnsi="微软雅黑" w:eastAsia="微软雅黑" w:cs="微软雅黑"/>
                <w:bCs/>
                <w:color w:val="auto"/>
                <w:sz w:val="20"/>
                <w:szCs w:val="20"/>
                <w:highlight w:val="none"/>
                <w:lang w:val="en-US" w:eastAsia="zh-CN"/>
              </w:rPr>
              <w:t>8</w:t>
            </w:r>
            <w:r>
              <w:rPr>
                <w:rFonts w:hint="eastAsia" w:ascii="微软雅黑" w:hAnsi="微软雅黑" w:eastAsia="微软雅黑" w:cs="微软雅黑"/>
                <w:color w:val="auto"/>
                <w:kern w:val="2"/>
                <w:sz w:val="20"/>
                <w:szCs w:val="20"/>
                <w:highlight w:val="none"/>
                <w:lang w:val="en-US" w:eastAsia="zh-CN" w:bidi="ar-SA"/>
              </w:rPr>
              <w:t>核，加1分</w:t>
            </w:r>
          </w:p>
          <w:p w14:paraId="225E973A">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b w:val="0"/>
                <w:bCs w:val="0"/>
                <w:color w:val="auto"/>
                <w:kern w:val="0"/>
                <w:sz w:val="20"/>
                <w:szCs w:val="20"/>
                <w:highlight w:val="none"/>
                <w:lang w:val="en-US" w:eastAsia="zh-CN" w:bidi="ar-SA"/>
              </w:rPr>
            </w:pPr>
            <w:r>
              <w:rPr>
                <w:rFonts w:hint="eastAsia" w:ascii="微软雅黑" w:hAnsi="微软雅黑" w:eastAsia="微软雅黑" w:cs="微软雅黑"/>
                <w:b w:val="0"/>
                <w:bCs w:val="0"/>
                <w:color w:val="auto"/>
                <w:kern w:val="0"/>
                <w:sz w:val="20"/>
                <w:szCs w:val="20"/>
                <w:highlight w:val="none"/>
                <w:lang w:val="en-US" w:eastAsia="zh-CN" w:bidi="ar-SA"/>
              </w:rPr>
              <w:t>2、内存大小≧16GB，加0.1分。</w:t>
            </w:r>
          </w:p>
          <w:p w14:paraId="2CFEEC86">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b w:val="0"/>
                <w:bCs w:val="0"/>
                <w:color w:val="auto"/>
                <w:kern w:val="0"/>
                <w:sz w:val="20"/>
                <w:szCs w:val="20"/>
                <w:highlight w:val="none"/>
                <w:lang w:val="en-US" w:eastAsia="zh-CN" w:bidi="ar-SA"/>
              </w:rPr>
            </w:pPr>
            <w:r>
              <w:rPr>
                <w:rFonts w:hint="eastAsia" w:ascii="微软雅黑" w:hAnsi="微软雅黑" w:eastAsia="微软雅黑" w:cs="微软雅黑"/>
                <w:b w:val="0"/>
                <w:bCs w:val="0"/>
                <w:color w:val="auto"/>
                <w:kern w:val="0"/>
                <w:sz w:val="20"/>
                <w:szCs w:val="20"/>
                <w:highlight w:val="none"/>
                <w:lang w:val="en-US" w:eastAsia="zh-CN" w:bidi="ar-SA"/>
              </w:rPr>
              <w:t>3、电源数量≧2个，加0.2分。</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53D5A2">
            <w:pPr>
              <w:keepNext w:val="0"/>
              <w:keepLines w:val="0"/>
              <w:pageBreakBefore w:val="0"/>
              <w:kinsoku/>
              <w:wordWrap/>
              <w:overflowPunct/>
              <w:topLinePunct w:val="0"/>
              <w:bidi w:val="0"/>
              <w:snapToGrid w:val="0"/>
              <w:spacing w:line="300" w:lineRule="exact"/>
              <w:ind w:left="-136" w:leftChars="-65" w:right="-164" w:rightChars="-78"/>
              <w:jc w:val="center"/>
              <w:textAlignment w:val="auto"/>
              <w:rPr>
                <w:rFonts w:hint="eastAsia" w:ascii="微软雅黑" w:hAnsi="微软雅黑" w:eastAsia="微软雅黑" w:cs="微软雅黑"/>
                <w:color w:val="auto"/>
                <w:sz w:val="20"/>
                <w:szCs w:val="20"/>
                <w:highlight w:val="none"/>
              </w:rPr>
            </w:pPr>
            <w:r>
              <w:rPr>
                <w:rFonts w:hint="eastAsia" w:ascii="微软雅黑" w:hAnsi="微软雅黑" w:eastAsia="微软雅黑" w:cs="微软雅黑"/>
                <w:color w:val="auto"/>
                <w:sz w:val="20"/>
                <w:szCs w:val="20"/>
                <w:highlight w:val="none"/>
              </w:rPr>
              <w:t>0-</w:t>
            </w:r>
            <w:r>
              <w:rPr>
                <w:rFonts w:hint="eastAsia" w:ascii="微软雅黑" w:hAnsi="微软雅黑" w:eastAsia="微软雅黑" w:cs="微软雅黑"/>
                <w:color w:val="auto"/>
                <w:sz w:val="20"/>
                <w:szCs w:val="20"/>
                <w:highlight w:val="none"/>
                <w:lang w:val="en-US" w:eastAsia="zh-CN"/>
              </w:rPr>
              <w:t>7</w:t>
            </w:r>
            <w:r>
              <w:rPr>
                <w:rFonts w:hint="eastAsia" w:ascii="微软雅黑" w:hAnsi="微软雅黑" w:eastAsia="微软雅黑" w:cs="微软雅黑"/>
                <w:color w:val="auto"/>
                <w:sz w:val="20"/>
                <w:szCs w:val="20"/>
                <w:highlight w:val="none"/>
              </w:rPr>
              <w:t>分</w:t>
            </w:r>
          </w:p>
        </w:tc>
      </w:tr>
      <w:tr w14:paraId="1CB4E940">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146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73CD578">
            <w:pPr>
              <w:keepNext w:val="0"/>
              <w:keepLines w:val="0"/>
              <w:pageBreakBefore w:val="0"/>
              <w:kinsoku/>
              <w:wordWrap/>
              <w:overflowPunct/>
              <w:topLinePunct w:val="0"/>
              <w:bidi w:val="0"/>
              <w:spacing w:line="300" w:lineRule="exact"/>
              <w:jc w:val="center"/>
              <w:textAlignment w:val="auto"/>
              <w:rPr>
                <w:rFonts w:hint="eastAsia" w:ascii="微软雅黑" w:hAnsi="微软雅黑" w:eastAsia="微软雅黑" w:cs="微软雅黑"/>
                <w:color w:val="auto"/>
                <w:sz w:val="20"/>
                <w:szCs w:val="20"/>
                <w:highlight w:val="none"/>
              </w:rPr>
            </w:pPr>
          </w:p>
        </w:tc>
        <w:tc>
          <w:tcPr>
            <w:tcW w:w="146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FA0E62">
            <w:pPr>
              <w:keepNext w:val="0"/>
              <w:keepLines w:val="0"/>
              <w:pageBreakBefore w:val="0"/>
              <w:widowControl/>
              <w:kinsoku/>
              <w:wordWrap/>
              <w:overflowPunct/>
              <w:topLinePunct w:val="0"/>
              <w:bidi w:val="0"/>
              <w:snapToGrid w:val="0"/>
              <w:spacing w:line="300" w:lineRule="exact"/>
              <w:jc w:val="center"/>
              <w:textAlignment w:val="auto"/>
              <w:rPr>
                <w:rFonts w:hint="eastAsia" w:ascii="微软雅黑" w:hAnsi="微软雅黑" w:eastAsia="微软雅黑" w:cs="微软雅黑"/>
                <w:color w:val="auto"/>
                <w:kern w:val="0"/>
                <w:sz w:val="20"/>
                <w:szCs w:val="20"/>
                <w:highlight w:val="none"/>
              </w:rPr>
            </w:pPr>
            <w:r>
              <w:rPr>
                <w:rFonts w:hint="eastAsia" w:ascii="微软雅黑" w:hAnsi="微软雅黑" w:eastAsia="微软雅黑" w:cs="微软雅黑"/>
                <w:color w:val="auto"/>
                <w:kern w:val="0"/>
                <w:sz w:val="20"/>
                <w:szCs w:val="20"/>
                <w:highlight w:val="none"/>
                <w:lang w:eastAsia="zh-CN"/>
              </w:rPr>
              <w:t>探针</w:t>
            </w:r>
          </w:p>
        </w:tc>
        <w:tc>
          <w:tcPr>
            <w:tcW w:w="60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2B3D1B">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color w:val="auto"/>
                <w:sz w:val="20"/>
                <w:szCs w:val="20"/>
                <w:highlight w:val="none"/>
                <w:lang w:val="en-US" w:eastAsia="zh-CN"/>
              </w:rPr>
              <w:t>技术参数全部满足招标文件要求的得6.2分；</w:t>
            </w:r>
          </w:p>
          <w:p w14:paraId="3B2DE6CC">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b/>
                <w:bCs/>
                <w:color w:val="auto"/>
                <w:sz w:val="20"/>
                <w:szCs w:val="20"/>
                <w:highlight w:val="none"/>
                <w:lang w:val="en-US" w:eastAsia="zh-CN"/>
              </w:rPr>
            </w:pPr>
            <w:r>
              <w:rPr>
                <w:rFonts w:hint="eastAsia" w:ascii="微软雅黑" w:hAnsi="微软雅黑" w:eastAsia="微软雅黑" w:cs="微软雅黑"/>
                <w:b/>
                <w:bCs/>
                <w:color w:val="auto"/>
                <w:sz w:val="20"/>
                <w:szCs w:val="20"/>
                <w:highlight w:val="none"/>
                <w:lang w:val="en-US" w:eastAsia="zh-CN"/>
              </w:rPr>
              <w:t>正偏离加分：</w:t>
            </w:r>
          </w:p>
          <w:p w14:paraId="5DFC5647">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color w:val="auto"/>
                <w:sz w:val="20"/>
                <w:szCs w:val="20"/>
                <w:highlight w:val="none"/>
                <w:lang w:val="en-US" w:eastAsia="zh-CN"/>
              </w:rPr>
              <w:t>1、CPU物理核心数≧8核，加0.5分</w:t>
            </w:r>
          </w:p>
          <w:p w14:paraId="0AFE9531">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color w:val="auto"/>
                <w:sz w:val="20"/>
                <w:szCs w:val="20"/>
                <w:highlight w:val="none"/>
                <w:lang w:val="en-US" w:eastAsia="zh-CN"/>
              </w:rPr>
              <w:t>2、内存大小≧16G，加0.1分</w:t>
            </w:r>
          </w:p>
          <w:p w14:paraId="07E1084B">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color w:val="auto"/>
                <w:sz w:val="20"/>
                <w:szCs w:val="20"/>
                <w:highlight w:val="none"/>
                <w:lang w:val="en-US" w:eastAsia="zh-CN"/>
              </w:rPr>
              <w:t>3、接口包含万兆口，加0.2分</w:t>
            </w:r>
          </w:p>
          <w:p w14:paraId="46C7E9B9">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color w:val="auto"/>
                <w:sz w:val="20"/>
                <w:szCs w:val="20"/>
                <w:highlight w:val="none"/>
                <w:lang w:val="en-US" w:eastAsia="zh-CN"/>
              </w:rPr>
              <w:t>4、电源数量≧2个，加0.2分</w:t>
            </w:r>
          </w:p>
          <w:p w14:paraId="04A9518F">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color w:val="auto"/>
                <w:sz w:val="20"/>
                <w:szCs w:val="20"/>
                <w:highlight w:val="none"/>
                <w:lang w:val="en-US" w:eastAsia="zh-CN"/>
              </w:rPr>
              <w:t>5、规则库在原有基础上，每多1个库，加0.1分，封顶0.3分。</w:t>
            </w:r>
          </w:p>
          <w:p w14:paraId="58D663FB">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color w:val="auto"/>
                <w:sz w:val="20"/>
                <w:szCs w:val="20"/>
                <w:highlight w:val="none"/>
                <w:lang w:val="en-US"/>
              </w:rPr>
            </w:pPr>
            <w:r>
              <w:rPr>
                <w:rFonts w:hint="eastAsia" w:ascii="微软雅黑" w:hAnsi="微软雅黑" w:eastAsia="微软雅黑" w:cs="微软雅黑"/>
                <w:color w:val="auto"/>
                <w:sz w:val="20"/>
                <w:szCs w:val="20"/>
                <w:highlight w:val="none"/>
                <w:lang w:val="en-US" w:eastAsia="zh-CN"/>
              </w:rPr>
              <w:t>6、能与防火墙进行联动，加0.5分（投标时提供功能演示并出具原厂盖章功能确认函）</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0A53DE">
            <w:pPr>
              <w:keepNext w:val="0"/>
              <w:keepLines w:val="0"/>
              <w:pageBreakBefore w:val="0"/>
              <w:kinsoku/>
              <w:wordWrap/>
              <w:overflowPunct/>
              <w:topLinePunct w:val="0"/>
              <w:bidi w:val="0"/>
              <w:snapToGrid w:val="0"/>
              <w:spacing w:line="300" w:lineRule="exact"/>
              <w:ind w:left="-136" w:leftChars="-65" w:right="-164" w:rightChars="-78"/>
              <w:jc w:val="center"/>
              <w:textAlignment w:val="auto"/>
              <w:rPr>
                <w:rFonts w:hint="eastAsia" w:ascii="微软雅黑" w:hAnsi="微软雅黑" w:eastAsia="微软雅黑" w:cs="微软雅黑"/>
                <w:color w:val="auto"/>
                <w:sz w:val="20"/>
                <w:szCs w:val="20"/>
                <w:highlight w:val="none"/>
              </w:rPr>
            </w:pPr>
            <w:r>
              <w:rPr>
                <w:rFonts w:hint="eastAsia" w:ascii="微软雅黑" w:hAnsi="微软雅黑" w:eastAsia="微软雅黑" w:cs="微软雅黑"/>
                <w:color w:val="auto"/>
                <w:sz w:val="20"/>
                <w:szCs w:val="20"/>
                <w:highlight w:val="none"/>
              </w:rPr>
              <w:t>0-</w:t>
            </w:r>
            <w:r>
              <w:rPr>
                <w:rFonts w:hint="eastAsia" w:ascii="微软雅黑" w:hAnsi="微软雅黑" w:eastAsia="微软雅黑" w:cs="微软雅黑"/>
                <w:color w:val="auto"/>
                <w:sz w:val="20"/>
                <w:szCs w:val="20"/>
                <w:highlight w:val="none"/>
                <w:lang w:val="en-US" w:eastAsia="zh-CN"/>
              </w:rPr>
              <w:t>8</w:t>
            </w:r>
            <w:r>
              <w:rPr>
                <w:rFonts w:hint="eastAsia" w:ascii="微软雅黑" w:hAnsi="微软雅黑" w:eastAsia="微软雅黑" w:cs="微软雅黑"/>
                <w:color w:val="auto"/>
                <w:sz w:val="20"/>
                <w:szCs w:val="20"/>
                <w:highlight w:val="none"/>
              </w:rPr>
              <w:t>分</w:t>
            </w:r>
          </w:p>
        </w:tc>
      </w:tr>
      <w:tr w14:paraId="1834D975">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146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694D5F1">
            <w:pPr>
              <w:keepNext w:val="0"/>
              <w:keepLines w:val="0"/>
              <w:pageBreakBefore w:val="0"/>
              <w:kinsoku/>
              <w:wordWrap/>
              <w:overflowPunct/>
              <w:topLinePunct w:val="0"/>
              <w:bidi w:val="0"/>
              <w:spacing w:line="300" w:lineRule="exact"/>
              <w:jc w:val="center"/>
              <w:textAlignment w:val="auto"/>
              <w:rPr>
                <w:rFonts w:hint="eastAsia" w:ascii="微软雅黑" w:hAnsi="微软雅黑" w:eastAsia="微软雅黑" w:cs="微软雅黑"/>
                <w:color w:val="auto"/>
                <w:sz w:val="20"/>
                <w:szCs w:val="20"/>
                <w:highlight w:val="none"/>
              </w:rPr>
            </w:pPr>
          </w:p>
        </w:tc>
        <w:tc>
          <w:tcPr>
            <w:tcW w:w="146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EA9F13">
            <w:pPr>
              <w:keepNext w:val="0"/>
              <w:keepLines w:val="0"/>
              <w:pageBreakBefore w:val="0"/>
              <w:widowControl/>
              <w:kinsoku/>
              <w:wordWrap/>
              <w:overflowPunct/>
              <w:topLinePunct w:val="0"/>
              <w:bidi w:val="0"/>
              <w:snapToGrid w:val="0"/>
              <w:spacing w:line="300" w:lineRule="exact"/>
              <w:jc w:val="center"/>
              <w:textAlignment w:val="auto"/>
              <w:rPr>
                <w:rFonts w:hint="eastAsia" w:ascii="微软雅黑" w:hAnsi="微软雅黑" w:eastAsia="微软雅黑" w:cs="微软雅黑"/>
                <w:color w:val="auto"/>
                <w:kern w:val="0"/>
                <w:sz w:val="20"/>
                <w:szCs w:val="20"/>
                <w:highlight w:val="none"/>
              </w:rPr>
            </w:pPr>
            <w:r>
              <w:rPr>
                <w:rFonts w:hint="eastAsia" w:ascii="微软雅黑" w:hAnsi="微软雅黑" w:eastAsia="微软雅黑" w:cs="微软雅黑"/>
                <w:color w:val="auto"/>
                <w:kern w:val="0"/>
                <w:sz w:val="20"/>
                <w:szCs w:val="20"/>
                <w:highlight w:val="none"/>
                <w:lang w:eastAsia="zh-CN"/>
              </w:rPr>
              <w:t>态势感知系统</w:t>
            </w:r>
          </w:p>
        </w:tc>
        <w:tc>
          <w:tcPr>
            <w:tcW w:w="60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AC1B9A">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color w:val="auto"/>
                <w:sz w:val="20"/>
                <w:szCs w:val="20"/>
                <w:highlight w:val="none"/>
                <w:lang w:val="en-US" w:eastAsia="zh-CN"/>
              </w:rPr>
              <w:t>技术参数全部满足招标文件要求的得6.8分；</w:t>
            </w:r>
          </w:p>
          <w:p w14:paraId="19AFB8B3">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b/>
                <w:bCs/>
                <w:color w:val="auto"/>
                <w:sz w:val="20"/>
                <w:szCs w:val="20"/>
                <w:highlight w:val="none"/>
                <w:lang w:val="en-US" w:eastAsia="zh-CN"/>
              </w:rPr>
            </w:pPr>
            <w:r>
              <w:rPr>
                <w:rFonts w:hint="eastAsia" w:ascii="微软雅黑" w:hAnsi="微软雅黑" w:eastAsia="微软雅黑" w:cs="微软雅黑"/>
                <w:b/>
                <w:bCs/>
                <w:color w:val="auto"/>
                <w:sz w:val="20"/>
                <w:szCs w:val="20"/>
                <w:highlight w:val="none"/>
                <w:lang w:val="en-US" w:eastAsia="zh-CN"/>
              </w:rPr>
              <w:t>正偏离加分：</w:t>
            </w:r>
          </w:p>
          <w:p w14:paraId="43C98C56">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color w:val="auto"/>
                <w:sz w:val="20"/>
                <w:szCs w:val="20"/>
                <w:highlight w:val="none"/>
                <w:lang w:val="en-US" w:eastAsia="zh-CN"/>
              </w:rPr>
              <w:t>1、CPU物理核心数≧32核，加1分</w:t>
            </w:r>
          </w:p>
          <w:p w14:paraId="46D0E04A">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color w:val="auto"/>
                <w:sz w:val="20"/>
                <w:szCs w:val="20"/>
                <w:highlight w:val="none"/>
                <w:lang w:val="en-US" w:eastAsia="zh-CN"/>
              </w:rPr>
              <w:t>2、内存大小≧128G，加0.4分</w:t>
            </w:r>
          </w:p>
          <w:p w14:paraId="41D83BF3">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color w:val="auto"/>
                <w:sz w:val="20"/>
                <w:szCs w:val="20"/>
                <w:highlight w:val="none"/>
                <w:lang w:val="en-US" w:eastAsia="zh-CN"/>
              </w:rPr>
              <w:t>3、硬盘容量在原有24TB基础上，每加8TB，加0.1分，封顶0.2分。</w:t>
            </w:r>
          </w:p>
          <w:p w14:paraId="0FEDAB24">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color w:val="auto"/>
                <w:sz w:val="20"/>
                <w:szCs w:val="20"/>
                <w:highlight w:val="none"/>
                <w:lang w:val="en-US" w:eastAsia="zh-CN"/>
              </w:rPr>
              <w:t>4、千兆电口≧6个，加0.1分</w:t>
            </w:r>
          </w:p>
          <w:p w14:paraId="26AA07BD">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color w:val="auto"/>
                <w:sz w:val="20"/>
                <w:szCs w:val="20"/>
                <w:highlight w:val="none"/>
                <w:lang w:val="en-US"/>
              </w:rPr>
            </w:pPr>
            <w:r>
              <w:rPr>
                <w:rFonts w:hint="eastAsia" w:ascii="微软雅黑" w:hAnsi="微软雅黑" w:eastAsia="微软雅黑" w:cs="微软雅黑"/>
                <w:color w:val="auto"/>
                <w:sz w:val="20"/>
                <w:szCs w:val="20"/>
                <w:highlight w:val="none"/>
                <w:lang w:val="en-US" w:eastAsia="zh-CN"/>
              </w:rPr>
              <w:t>5、能与防火墙进行联动，加0.5分（投标时提供功能演示并出具原厂盖章功能确认函）</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2C4988">
            <w:pPr>
              <w:keepNext w:val="0"/>
              <w:keepLines w:val="0"/>
              <w:pageBreakBefore w:val="0"/>
              <w:kinsoku/>
              <w:wordWrap/>
              <w:overflowPunct/>
              <w:topLinePunct w:val="0"/>
              <w:bidi w:val="0"/>
              <w:snapToGrid w:val="0"/>
              <w:spacing w:line="300" w:lineRule="exact"/>
              <w:ind w:left="-136" w:leftChars="-65" w:right="-164" w:rightChars="-78"/>
              <w:jc w:val="center"/>
              <w:textAlignment w:val="auto"/>
              <w:rPr>
                <w:rFonts w:hint="eastAsia" w:ascii="微软雅黑" w:hAnsi="微软雅黑" w:eastAsia="微软雅黑" w:cs="微软雅黑"/>
                <w:color w:val="auto"/>
                <w:sz w:val="20"/>
                <w:szCs w:val="20"/>
                <w:highlight w:val="none"/>
              </w:rPr>
            </w:pPr>
            <w:r>
              <w:rPr>
                <w:rFonts w:hint="eastAsia" w:ascii="微软雅黑" w:hAnsi="微软雅黑" w:eastAsia="微软雅黑" w:cs="微软雅黑"/>
                <w:color w:val="auto"/>
                <w:sz w:val="20"/>
                <w:szCs w:val="20"/>
                <w:highlight w:val="none"/>
              </w:rPr>
              <w:t>0-</w:t>
            </w:r>
            <w:r>
              <w:rPr>
                <w:rFonts w:hint="eastAsia" w:ascii="微软雅黑" w:hAnsi="微软雅黑" w:eastAsia="微软雅黑" w:cs="微软雅黑"/>
                <w:color w:val="auto"/>
                <w:sz w:val="20"/>
                <w:szCs w:val="20"/>
                <w:highlight w:val="none"/>
                <w:lang w:val="en-US" w:eastAsia="zh-CN"/>
              </w:rPr>
              <w:t>9</w:t>
            </w:r>
            <w:r>
              <w:rPr>
                <w:rFonts w:hint="eastAsia" w:ascii="微软雅黑" w:hAnsi="微软雅黑" w:eastAsia="微软雅黑" w:cs="微软雅黑"/>
                <w:color w:val="auto"/>
                <w:sz w:val="20"/>
                <w:szCs w:val="20"/>
                <w:highlight w:val="none"/>
              </w:rPr>
              <w:t>分</w:t>
            </w:r>
          </w:p>
        </w:tc>
      </w:tr>
      <w:tr w14:paraId="6E26A1E1">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146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855C9D1">
            <w:pPr>
              <w:keepNext w:val="0"/>
              <w:keepLines w:val="0"/>
              <w:pageBreakBefore w:val="0"/>
              <w:kinsoku/>
              <w:wordWrap/>
              <w:overflowPunct/>
              <w:topLinePunct w:val="0"/>
              <w:bidi w:val="0"/>
              <w:spacing w:line="300" w:lineRule="exact"/>
              <w:jc w:val="center"/>
              <w:textAlignment w:val="auto"/>
              <w:rPr>
                <w:rFonts w:hint="eastAsia" w:ascii="微软雅黑" w:hAnsi="微软雅黑" w:eastAsia="微软雅黑" w:cs="微软雅黑"/>
                <w:color w:val="auto"/>
                <w:sz w:val="20"/>
                <w:szCs w:val="20"/>
                <w:highlight w:val="none"/>
              </w:rPr>
            </w:pPr>
          </w:p>
        </w:tc>
        <w:tc>
          <w:tcPr>
            <w:tcW w:w="146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1B8E95">
            <w:pPr>
              <w:keepNext w:val="0"/>
              <w:keepLines w:val="0"/>
              <w:pageBreakBefore w:val="0"/>
              <w:widowControl/>
              <w:kinsoku/>
              <w:wordWrap/>
              <w:overflowPunct/>
              <w:topLinePunct w:val="0"/>
              <w:bidi w:val="0"/>
              <w:snapToGrid w:val="0"/>
              <w:spacing w:line="300" w:lineRule="exact"/>
              <w:jc w:val="center"/>
              <w:textAlignment w:val="auto"/>
              <w:rPr>
                <w:rFonts w:hint="eastAsia" w:ascii="微软雅黑" w:hAnsi="微软雅黑" w:eastAsia="微软雅黑" w:cs="微软雅黑"/>
                <w:color w:val="auto"/>
                <w:kern w:val="0"/>
                <w:sz w:val="20"/>
                <w:szCs w:val="20"/>
                <w:highlight w:val="none"/>
              </w:rPr>
            </w:pPr>
            <w:r>
              <w:rPr>
                <w:rFonts w:hint="eastAsia" w:ascii="微软雅黑" w:hAnsi="微软雅黑" w:eastAsia="微软雅黑" w:cs="微软雅黑"/>
                <w:color w:val="auto"/>
                <w:kern w:val="0"/>
                <w:sz w:val="20"/>
                <w:szCs w:val="20"/>
                <w:highlight w:val="none"/>
              </w:rPr>
              <w:t>防火墙</w:t>
            </w:r>
          </w:p>
        </w:tc>
        <w:tc>
          <w:tcPr>
            <w:tcW w:w="60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76A979">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color w:val="auto"/>
                <w:sz w:val="20"/>
                <w:szCs w:val="20"/>
                <w:highlight w:val="none"/>
                <w:lang w:val="en-US" w:eastAsia="zh-CN"/>
              </w:rPr>
              <w:t>技术参数全部满足招标文件要求的得5分；</w:t>
            </w:r>
          </w:p>
          <w:p w14:paraId="6D77C43A">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color w:val="auto"/>
                <w:sz w:val="20"/>
                <w:szCs w:val="20"/>
                <w:highlight w:val="none"/>
                <w:lang w:val="en-US" w:eastAsia="zh-CN"/>
              </w:rPr>
              <w:t>正偏离加分：</w:t>
            </w:r>
          </w:p>
          <w:p w14:paraId="374C51B0">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color w:val="auto"/>
                <w:sz w:val="20"/>
                <w:szCs w:val="20"/>
                <w:highlight w:val="none"/>
                <w:lang w:val="en-US" w:eastAsia="zh-CN"/>
              </w:rPr>
              <w:t>1、CPU物理核心数≧8核，加1分。</w:t>
            </w:r>
          </w:p>
          <w:p w14:paraId="4CD60A53">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color w:val="auto"/>
                <w:sz w:val="20"/>
                <w:szCs w:val="20"/>
                <w:highlight w:val="none"/>
                <w:lang w:val="en-US" w:eastAsia="zh-CN"/>
              </w:rPr>
              <w:t>2、网络层吞吐量在6500Mbps基础上，每多1000Mbps，加0.1分，封顶0.5分。</w:t>
            </w:r>
          </w:p>
          <w:p w14:paraId="135645FE">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color w:val="auto"/>
                <w:sz w:val="20"/>
                <w:szCs w:val="20"/>
                <w:highlight w:val="none"/>
                <w:lang w:val="en-US" w:eastAsia="zh-CN"/>
              </w:rPr>
              <w:t>3、TCP新建连接速率在原有9.9万/秒基础上，每增加5000/秒，加0.1分，封顶0.5分。</w:t>
            </w:r>
          </w:p>
          <w:p w14:paraId="050DA064">
            <w:pPr>
              <w:keepNext w:val="0"/>
              <w:keepLines w:val="0"/>
              <w:pageBreakBefore w:val="0"/>
              <w:widowControl/>
              <w:kinsoku/>
              <w:wordWrap/>
              <w:overflowPunct/>
              <w:topLinePunct w:val="0"/>
              <w:bidi w:val="0"/>
              <w:snapToGrid w:val="0"/>
              <w:spacing w:line="300" w:lineRule="exact"/>
              <w:textAlignment w:val="auto"/>
              <w:rPr>
                <w:rFonts w:hint="default"/>
                <w:color w:val="auto"/>
                <w:highlight w:val="none"/>
                <w:lang w:val="en-US"/>
              </w:rPr>
            </w:pPr>
            <w:r>
              <w:rPr>
                <w:rFonts w:hint="eastAsia" w:ascii="微软雅黑" w:hAnsi="微软雅黑" w:eastAsia="微软雅黑" w:cs="微软雅黑"/>
                <w:color w:val="auto"/>
                <w:sz w:val="20"/>
                <w:szCs w:val="20"/>
                <w:highlight w:val="none"/>
                <w:lang w:val="en-US" w:eastAsia="zh-CN"/>
              </w:rPr>
              <w:t>4、在原厂自研的病毒库基础上，设备额外可用的主流网络安全厂商的病毒库授权≧2家（投标时出示授权书），加1分。</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EFDD09">
            <w:pPr>
              <w:keepNext w:val="0"/>
              <w:keepLines w:val="0"/>
              <w:pageBreakBefore w:val="0"/>
              <w:kinsoku/>
              <w:wordWrap/>
              <w:overflowPunct/>
              <w:topLinePunct w:val="0"/>
              <w:bidi w:val="0"/>
              <w:snapToGrid w:val="0"/>
              <w:spacing w:line="300" w:lineRule="exact"/>
              <w:ind w:left="-136" w:leftChars="-65" w:right="-164" w:rightChars="-78"/>
              <w:jc w:val="center"/>
              <w:textAlignment w:val="auto"/>
              <w:rPr>
                <w:rFonts w:hint="eastAsia" w:ascii="微软雅黑" w:hAnsi="微软雅黑" w:eastAsia="微软雅黑" w:cs="微软雅黑"/>
                <w:color w:val="auto"/>
                <w:sz w:val="20"/>
                <w:szCs w:val="20"/>
                <w:highlight w:val="none"/>
              </w:rPr>
            </w:pPr>
            <w:r>
              <w:rPr>
                <w:rFonts w:hint="eastAsia" w:ascii="微软雅黑" w:hAnsi="微软雅黑" w:eastAsia="微软雅黑" w:cs="微软雅黑"/>
                <w:color w:val="auto"/>
                <w:sz w:val="20"/>
                <w:szCs w:val="20"/>
                <w:highlight w:val="none"/>
              </w:rPr>
              <w:t>0-</w:t>
            </w:r>
            <w:r>
              <w:rPr>
                <w:rFonts w:hint="eastAsia" w:ascii="微软雅黑" w:hAnsi="微软雅黑" w:eastAsia="微软雅黑" w:cs="微软雅黑"/>
                <w:color w:val="auto"/>
                <w:sz w:val="20"/>
                <w:szCs w:val="20"/>
                <w:highlight w:val="none"/>
                <w:lang w:val="en-US" w:eastAsia="zh-CN"/>
              </w:rPr>
              <w:t>8</w:t>
            </w:r>
            <w:r>
              <w:rPr>
                <w:rFonts w:hint="eastAsia" w:ascii="微软雅黑" w:hAnsi="微软雅黑" w:eastAsia="微软雅黑" w:cs="微软雅黑"/>
                <w:color w:val="auto"/>
                <w:sz w:val="20"/>
                <w:szCs w:val="20"/>
                <w:highlight w:val="none"/>
              </w:rPr>
              <w:t>分</w:t>
            </w:r>
          </w:p>
        </w:tc>
      </w:tr>
      <w:tr w14:paraId="367FDE21">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146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C6089DA">
            <w:pPr>
              <w:keepNext w:val="0"/>
              <w:keepLines w:val="0"/>
              <w:pageBreakBefore w:val="0"/>
              <w:kinsoku/>
              <w:wordWrap/>
              <w:overflowPunct/>
              <w:topLinePunct w:val="0"/>
              <w:bidi w:val="0"/>
              <w:spacing w:line="300" w:lineRule="exact"/>
              <w:jc w:val="center"/>
              <w:textAlignment w:val="auto"/>
              <w:rPr>
                <w:rFonts w:hint="eastAsia" w:ascii="微软雅黑" w:hAnsi="微软雅黑" w:eastAsia="微软雅黑" w:cs="微软雅黑"/>
                <w:color w:val="auto"/>
                <w:sz w:val="20"/>
                <w:szCs w:val="20"/>
                <w:highlight w:val="none"/>
              </w:rPr>
            </w:pPr>
          </w:p>
        </w:tc>
        <w:tc>
          <w:tcPr>
            <w:tcW w:w="146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92789B">
            <w:pPr>
              <w:keepNext w:val="0"/>
              <w:keepLines w:val="0"/>
              <w:pageBreakBefore w:val="0"/>
              <w:widowControl/>
              <w:kinsoku/>
              <w:wordWrap/>
              <w:overflowPunct/>
              <w:topLinePunct w:val="0"/>
              <w:bidi w:val="0"/>
              <w:snapToGrid w:val="0"/>
              <w:spacing w:line="300" w:lineRule="exact"/>
              <w:jc w:val="center"/>
              <w:textAlignment w:val="auto"/>
              <w:rPr>
                <w:rFonts w:hint="eastAsia" w:ascii="微软雅黑" w:hAnsi="微软雅黑" w:eastAsia="微软雅黑" w:cs="微软雅黑"/>
                <w:color w:val="auto"/>
                <w:kern w:val="0"/>
                <w:sz w:val="20"/>
                <w:szCs w:val="20"/>
                <w:highlight w:val="none"/>
                <w:lang w:eastAsia="zh-CN"/>
              </w:rPr>
            </w:pPr>
            <w:r>
              <w:rPr>
                <w:rFonts w:hint="eastAsia" w:ascii="微软雅黑" w:hAnsi="微软雅黑" w:eastAsia="微软雅黑" w:cs="微软雅黑"/>
                <w:color w:val="auto"/>
                <w:kern w:val="0"/>
                <w:sz w:val="20"/>
                <w:szCs w:val="20"/>
                <w:highlight w:val="none"/>
                <w:lang w:eastAsia="zh-CN"/>
              </w:rPr>
              <w:t>漏洞扫描系统</w:t>
            </w:r>
          </w:p>
        </w:tc>
        <w:tc>
          <w:tcPr>
            <w:tcW w:w="60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955AD1">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b w:val="0"/>
                <w:bCs w:val="0"/>
                <w:color w:val="auto"/>
                <w:kern w:val="0"/>
                <w:sz w:val="20"/>
                <w:szCs w:val="20"/>
                <w:highlight w:val="none"/>
                <w:lang w:val="en-US" w:eastAsia="zh-CN" w:bidi="ar-SA"/>
              </w:rPr>
            </w:pPr>
            <w:r>
              <w:rPr>
                <w:rFonts w:hint="eastAsia" w:ascii="微软雅黑" w:hAnsi="微软雅黑" w:eastAsia="微软雅黑" w:cs="微软雅黑"/>
                <w:b w:val="0"/>
                <w:bCs w:val="0"/>
                <w:color w:val="auto"/>
                <w:kern w:val="0"/>
                <w:sz w:val="20"/>
                <w:szCs w:val="20"/>
                <w:highlight w:val="none"/>
                <w:lang w:val="en-US" w:eastAsia="zh-CN" w:bidi="ar-SA"/>
              </w:rPr>
              <w:t>技术参数全部满足招标文件要求的得6.6分；</w:t>
            </w:r>
          </w:p>
          <w:p w14:paraId="6A852D88">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b/>
                <w:bCs/>
                <w:color w:val="auto"/>
                <w:kern w:val="0"/>
                <w:sz w:val="20"/>
                <w:szCs w:val="20"/>
                <w:highlight w:val="none"/>
                <w:lang w:val="en-US" w:eastAsia="zh-CN" w:bidi="ar-SA"/>
              </w:rPr>
            </w:pPr>
            <w:r>
              <w:rPr>
                <w:rFonts w:hint="eastAsia" w:ascii="微软雅黑" w:hAnsi="微软雅黑" w:eastAsia="微软雅黑" w:cs="微软雅黑"/>
                <w:b/>
                <w:bCs/>
                <w:color w:val="auto"/>
                <w:kern w:val="0"/>
                <w:sz w:val="20"/>
                <w:szCs w:val="20"/>
                <w:highlight w:val="none"/>
                <w:lang w:val="en-US" w:eastAsia="zh-CN" w:bidi="ar-SA"/>
              </w:rPr>
              <w:t>正偏离加分：</w:t>
            </w:r>
          </w:p>
          <w:p w14:paraId="71831831">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b w:val="0"/>
                <w:bCs w:val="0"/>
                <w:color w:val="auto"/>
                <w:kern w:val="0"/>
                <w:sz w:val="20"/>
                <w:szCs w:val="20"/>
                <w:highlight w:val="none"/>
                <w:lang w:val="en-US" w:eastAsia="zh-CN" w:bidi="ar-SA"/>
              </w:rPr>
            </w:pPr>
            <w:r>
              <w:rPr>
                <w:rFonts w:hint="eastAsia" w:ascii="微软雅黑" w:hAnsi="微软雅黑" w:eastAsia="微软雅黑" w:cs="微软雅黑"/>
                <w:b w:val="0"/>
                <w:bCs w:val="0"/>
                <w:color w:val="auto"/>
                <w:kern w:val="0"/>
                <w:sz w:val="20"/>
                <w:szCs w:val="20"/>
                <w:highlight w:val="none"/>
                <w:lang w:val="en-US" w:eastAsia="zh-CN" w:bidi="ar-SA"/>
              </w:rPr>
              <w:t>1、CPU物理核心数≧8核，加1分</w:t>
            </w:r>
          </w:p>
          <w:p w14:paraId="51579F85">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b w:val="0"/>
                <w:bCs w:val="0"/>
                <w:color w:val="auto"/>
                <w:kern w:val="0"/>
                <w:sz w:val="20"/>
                <w:szCs w:val="20"/>
                <w:highlight w:val="none"/>
                <w:lang w:val="en-US" w:eastAsia="zh-CN" w:bidi="ar-SA"/>
              </w:rPr>
            </w:pPr>
            <w:r>
              <w:rPr>
                <w:rFonts w:hint="eastAsia" w:ascii="微软雅黑" w:hAnsi="微软雅黑" w:eastAsia="微软雅黑" w:cs="微软雅黑"/>
                <w:b w:val="0"/>
                <w:bCs w:val="0"/>
                <w:color w:val="auto"/>
                <w:kern w:val="0"/>
                <w:sz w:val="20"/>
                <w:szCs w:val="20"/>
                <w:highlight w:val="none"/>
                <w:lang w:val="en-US" w:eastAsia="zh-CN" w:bidi="ar-SA"/>
              </w:rPr>
              <w:t>2、内存大小≧32G，加0.2分</w:t>
            </w:r>
          </w:p>
          <w:p w14:paraId="0F2379BB">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bCs/>
                <w:color w:val="auto"/>
                <w:sz w:val="20"/>
                <w:szCs w:val="20"/>
                <w:highlight w:val="none"/>
              </w:rPr>
            </w:pPr>
            <w:r>
              <w:rPr>
                <w:rFonts w:hint="eastAsia" w:ascii="微软雅黑" w:hAnsi="微软雅黑" w:eastAsia="微软雅黑" w:cs="微软雅黑"/>
                <w:b w:val="0"/>
                <w:bCs w:val="0"/>
                <w:color w:val="auto"/>
                <w:kern w:val="0"/>
                <w:sz w:val="20"/>
                <w:szCs w:val="20"/>
                <w:highlight w:val="none"/>
                <w:lang w:val="en-US" w:eastAsia="zh-CN" w:bidi="ar-SA"/>
              </w:rPr>
              <w:t>3、并发扫描IP地址数量在原有80个基础上，每增加30个，加0.1分，封顶0.2分</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95B4BE">
            <w:pPr>
              <w:keepNext w:val="0"/>
              <w:keepLines w:val="0"/>
              <w:pageBreakBefore w:val="0"/>
              <w:kinsoku/>
              <w:wordWrap/>
              <w:overflowPunct/>
              <w:topLinePunct w:val="0"/>
              <w:bidi w:val="0"/>
              <w:snapToGrid w:val="0"/>
              <w:spacing w:line="300" w:lineRule="exact"/>
              <w:ind w:left="-136" w:leftChars="-65" w:right="-164" w:rightChars="-78"/>
              <w:jc w:val="center"/>
              <w:textAlignment w:val="auto"/>
              <w:rPr>
                <w:rFonts w:hint="eastAsia" w:ascii="微软雅黑" w:hAnsi="微软雅黑" w:eastAsia="微软雅黑" w:cs="微软雅黑"/>
                <w:color w:val="auto"/>
                <w:sz w:val="20"/>
                <w:szCs w:val="20"/>
                <w:highlight w:val="none"/>
              </w:rPr>
            </w:pPr>
            <w:r>
              <w:rPr>
                <w:rFonts w:hint="eastAsia" w:ascii="微软雅黑" w:hAnsi="微软雅黑" w:eastAsia="微软雅黑" w:cs="微软雅黑"/>
                <w:color w:val="auto"/>
                <w:sz w:val="20"/>
                <w:szCs w:val="20"/>
                <w:highlight w:val="none"/>
              </w:rPr>
              <w:t>0-</w:t>
            </w:r>
            <w:r>
              <w:rPr>
                <w:rFonts w:hint="eastAsia" w:ascii="微软雅黑" w:hAnsi="微软雅黑" w:eastAsia="微软雅黑" w:cs="微软雅黑"/>
                <w:color w:val="auto"/>
                <w:sz w:val="20"/>
                <w:szCs w:val="20"/>
                <w:highlight w:val="none"/>
                <w:lang w:val="en-US" w:eastAsia="zh-CN"/>
              </w:rPr>
              <w:t>8</w:t>
            </w:r>
            <w:r>
              <w:rPr>
                <w:rFonts w:hint="eastAsia" w:ascii="微软雅黑" w:hAnsi="微软雅黑" w:eastAsia="微软雅黑" w:cs="微软雅黑"/>
                <w:color w:val="auto"/>
                <w:sz w:val="20"/>
                <w:szCs w:val="20"/>
                <w:highlight w:val="none"/>
              </w:rPr>
              <w:t>分</w:t>
            </w:r>
          </w:p>
        </w:tc>
      </w:tr>
      <w:tr w14:paraId="004FC611">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1464" w:type="dxa"/>
            <w:tcBorders>
              <w:top w:val="single" w:color="auto" w:sz="4" w:space="0"/>
              <w:left w:val="single" w:color="auto" w:sz="4" w:space="0"/>
              <w:right w:val="single" w:color="auto" w:sz="4" w:space="0"/>
            </w:tcBorders>
            <w:shd w:val="clear" w:color="auto" w:fill="auto"/>
            <w:noWrap w:val="0"/>
            <w:vAlign w:val="center"/>
          </w:tcPr>
          <w:p w14:paraId="7D6E2357">
            <w:pPr>
              <w:keepNext w:val="0"/>
              <w:keepLines w:val="0"/>
              <w:pageBreakBefore w:val="0"/>
              <w:kinsoku/>
              <w:wordWrap/>
              <w:overflowPunct/>
              <w:topLinePunct w:val="0"/>
              <w:bidi w:val="0"/>
              <w:spacing w:line="300" w:lineRule="exact"/>
              <w:jc w:val="center"/>
              <w:textAlignment w:val="auto"/>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color w:val="auto"/>
                <w:sz w:val="20"/>
                <w:szCs w:val="20"/>
                <w:highlight w:val="none"/>
                <w:lang w:val="en-US" w:eastAsia="zh-CN"/>
              </w:rPr>
              <w:t>技术方案</w:t>
            </w:r>
          </w:p>
          <w:p w14:paraId="704EC86F">
            <w:pPr>
              <w:keepNext w:val="0"/>
              <w:keepLines w:val="0"/>
              <w:pageBreakBefore w:val="0"/>
              <w:kinsoku/>
              <w:wordWrap/>
              <w:overflowPunct/>
              <w:topLinePunct w:val="0"/>
              <w:bidi w:val="0"/>
              <w:spacing w:line="300" w:lineRule="exact"/>
              <w:jc w:val="center"/>
              <w:textAlignment w:val="auto"/>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color w:val="auto"/>
                <w:sz w:val="20"/>
                <w:szCs w:val="20"/>
                <w:highlight w:val="none"/>
                <w:lang w:val="en-US" w:eastAsia="zh-CN"/>
              </w:rPr>
              <w:t>（4分）</w:t>
            </w:r>
          </w:p>
        </w:tc>
        <w:tc>
          <w:tcPr>
            <w:tcW w:w="146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D3F05A">
            <w:pPr>
              <w:keepNext w:val="0"/>
              <w:keepLines w:val="0"/>
              <w:pageBreakBefore w:val="0"/>
              <w:widowControl/>
              <w:kinsoku/>
              <w:wordWrap/>
              <w:overflowPunct/>
              <w:topLinePunct w:val="0"/>
              <w:bidi w:val="0"/>
              <w:snapToGrid w:val="0"/>
              <w:spacing w:line="300" w:lineRule="exact"/>
              <w:jc w:val="center"/>
              <w:textAlignment w:val="auto"/>
              <w:rPr>
                <w:rFonts w:hint="eastAsia" w:ascii="微软雅黑" w:hAnsi="微软雅黑" w:eastAsia="微软雅黑" w:cs="微软雅黑"/>
                <w:color w:val="auto"/>
                <w:kern w:val="0"/>
                <w:sz w:val="20"/>
                <w:szCs w:val="20"/>
                <w:highlight w:val="none"/>
              </w:rPr>
            </w:pPr>
            <w:r>
              <w:rPr>
                <w:rFonts w:hint="eastAsia" w:ascii="微软雅黑" w:hAnsi="微软雅黑" w:eastAsia="微软雅黑" w:cs="微软雅黑"/>
                <w:color w:val="auto"/>
                <w:kern w:val="0"/>
                <w:sz w:val="20"/>
                <w:szCs w:val="20"/>
                <w:highlight w:val="none"/>
                <w:lang w:val="en-US" w:eastAsia="zh-CN"/>
              </w:rPr>
              <w:t>项目</w:t>
            </w:r>
            <w:r>
              <w:rPr>
                <w:rFonts w:hint="eastAsia" w:ascii="微软雅黑" w:hAnsi="微软雅黑" w:eastAsia="微软雅黑" w:cs="微软雅黑"/>
                <w:color w:val="auto"/>
                <w:kern w:val="0"/>
                <w:sz w:val="20"/>
                <w:szCs w:val="20"/>
                <w:highlight w:val="none"/>
              </w:rPr>
              <w:t>实施方案</w:t>
            </w:r>
          </w:p>
        </w:tc>
        <w:tc>
          <w:tcPr>
            <w:tcW w:w="60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A3407C">
            <w:pPr>
              <w:keepNext w:val="0"/>
              <w:keepLines w:val="0"/>
              <w:pageBreakBefore w:val="0"/>
              <w:widowControl/>
              <w:kinsoku/>
              <w:wordWrap/>
              <w:overflowPunct/>
              <w:topLinePunct w:val="0"/>
              <w:bidi w:val="0"/>
              <w:snapToGrid w:val="0"/>
              <w:spacing w:line="300" w:lineRule="exact"/>
              <w:jc w:val="left"/>
              <w:textAlignment w:val="auto"/>
              <w:rPr>
                <w:rFonts w:hint="eastAsia" w:ascii="微软雅黑" w:hAnsi="微软雅黑" w:eastAsia="微软雅黑" w:cs="微软雅黑"/>
                <w:color w:val="auto"/>
                <w:kern w:val="0"/>
                <w:sz w:val="20"/>
                <w:szCs w:val="20"/>
                <w:highlight w:val="none"/>
              </w:rPr>
            </w:pPr>
            <w:r>
              <w:rPr>
                <w:rFonts w:hint="eastAsia" w:ascii="微软雅黑" w:hAnsi="微软雅黑" w:eastAsia="微软雅黑" w:cs="微软雅黑"/>
                <w:color w:val="auto"/>
                <w:kern w:val="0"/>
                <w:sz w:val="20"/>
                <w:szCs w:val="20"/>
                <w:highlight w:val="none"/>
              </w:rPr>
              <w:t xml:space="preserve">据投标人提供的实施总体部署方案、准备计划方案、供货方案、调试技术方案、确保施工质量方案、工序流程等方面进行打分。方案科学合理、安全严密、条理清晰、完善、重点突出、专业性强的得 </w:t>
            </w:r>
            <w:r>
              <w:rPr>
                <w:rFonts w:hint="eastAsia" w:ascii="微软雅黑" w:hAnsi="微软雅黑" w:eastAsia="微软雅黑" w:cs="微软雅黑"/>
                <w:color w:val="auto"/>
                <w:kern w:val="0"/>
                <w:sz w:val="20"/>
                <w:szCs w:val="20"/>
                <w:highlight w:val="none"/>
                <w:lang w:val="en-US" w:eastAsia="zh-CN"/>
              </w:rPr>
              <w:t>4</w:t>
            </w:r>
            <w:r>
              <w:rPr>
                <w:rFonts w:hint="eastAsia" w:ascii="微软雅黑" w:hAnsi="微软雅黑" w:eastAsia="微软雅黑" w:cs="微软雅黑"/>
                <w:color w:val="auto"/>
                <w:kern w:val="0"/>
                <w:sz w:val="20"/>
                <w:szCs w:val="20"/>
                <w:highlight w:val="none"/>
              </w:rPr>
              <w:t>分;方案基本合理、安全可行、具有一定条理、基本完善、专业性一般的得</w:t>
            </w:r>
            <w:r>
              <w:rPr>
                <w:rFonts w:hint="eastAsia" w:ascii="微软雅黑" w:hAnsi="微软雅黑" w:eastAsia="微软雅黑" w:cs="微软雅黑"/>
                <w:color w:val="auto"/>
                <w:kern w:val="0"/>
                <w:sz w:val="20"/>
                <w:szCs w:val="20"/>
                <w:highlight w:val="none"/>
                <w:lang w:val="en-US" w:eastAsia="zh-CN"/>
              </w:rPr>
              <w:t>2.5</w:t>
            </w:r>
            <w:r>
              <w:rPr>
                <w:rFonts w:hint="eastAsia" w:ascii="微软雅黑" w:hAnsi="微软雅黑" w:eastAsia="微软雅黑" w:cs="微软雅黑"/>
                <w:color w:val="auto"/>
                <w:kern w:val="0"/>
                <w:sz w:val="20"/>
                <w:szCs w:val="20"/>
                <w:highlight w:val="none"/>
              </w:rPr>
              <w:t>分;方案不够合理、可操作性不强的得1分。</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E2CC24">
            <w:pPr>
              <w:keepNext w:val="0"/>
              <w:keepLines w:val="0"/>
              <w:pageBreakBefore w:val="0"/>
              <w:widowControl/>
              <w:kinsoku/>
              <w:wordWrap/>
              <w:overflowPunct/>
              <w:topLinePunct w:val="0"/>
              <w:bidi w:val="0"/>
              <w:snapToGrid w:val="0"/>
              <w:spacing w:line="300" w:lineRule="exact"/>
              <w:jc w:val="center"/>
              <w:textAlignment w:val="auto"/>
              <w:rPr>
                <w:rFonts w:hint="eastAsia" w:ascii="微软雅黑" w:hAnsi="微软雅黑" w:eastAsia="微软雅黑" w:cs="微软雅黑"/>
                <w:color w:val="auto"/>
                <w:kern w:val="0"/>
                <w:sz w:val="20"/>
                <w:szCs w:val="20"/>
                <w:highlight w:val="none"/>
                <w:lang w:val="en-US" w:eastAsia="zh-CN"/>
              </w:rPr>
            </w:pPr>
            <w:r>
              <w:rPr>
                <w:rFonts w:hint="eastAsia" w:ascii="微软雅黑" w:hAnsi="微软雅黑" w:eastAsia="微软雅黑" w:cs="微软雅黑"/>
                <w:color w:val="auto"/>
                <w:kern w:val="0"/>
                <w:sz w:val="20"/>
                <w:szCs w:val="20"/>
                <w:highlight w:val="none"/>
                <w:lang w:val="en-US" w:eastAsia="zh-CN"/>
              </w:rPr>
              <w:t>0-4分</w:t>
            </w:r>
          </w:p>
        </w:tc>
      </w:tr>
      <w:tr w14:paraId="5A4B3E59">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1464" w:type="dxa"/>
            <w:vMerge w:val="restart"/>
            <w:tcBorders>
              <w:top w:val="single" w:color="auto" w:sz="4" w:space="0"/>
              <w:left w:val="single" w:color="auto" w:sz="4" w:space="0"/>
              <w:right w:val="single" w:color="auto" w:sz="4" w:space="0"/>
            </w:tcBorders>
            <w:shd w:val="clear" w:color="auto" w:fill="auto"/>
            <w:noWrap w:val="0"/>
            <w:vAlign w:val="center"/>
          </w:tcPr>
          <w:p w14:paraId="46B75746">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color w:val="auto"/>
                <w:sz w:val="20"/>
                <w:szCs w:val="20"/>
                <w:highlight w:val="none"/>
                <w:lang w:val="en-US" w:eastAsia="zh-CN"/>
              </w:rPr>
              <w:t>服务及承诺（12分）</w:t>
            </w:r>
          </w:p>
        </w:tc>
        <w:tc>
          <w:tcPr>
            <w:tcW w:w="146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21473C">
            <w:pPr>
              <w:keepNext w:val="0"/>
              <w:keepLines w:val="0"/>
              <w:pageBreakBefore w:val="0"/>
              <w:kinsoku/>
              <w:wordWrap/>
              <w:overflowPunct/>
              <w:topLinePunct w:val="0"/>
              <w:autoSpaceDE w:val="0"/>
              <w:autoSpaceDN w:val="0"/>
              <w:bidi w:val="0"/>
              <w:adjustRightInd w:val="0"/>
              <w:snapToGrid w:val="0"/>
              <w:spacing w:line="300" w:lineRule="exact"/>
              <w:textAlignment w:val="auto"/>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color w:val="auto"/>
                <w:sz w:val="20"/>
                <w:szCs w:val="20"/>
                <w:highlight w:val="none"/>
              </w:rPr>
              <w:t>售后服务</w:t>
            </w:r>
            <w:r>
              <w:rPr>
                <w:rFonts w:hint="eastAsia" w:ascii="微软雅黑" w:hAnsi="微软雅黑" w:eastAsia="微软雅黑" w:cs="微软雅黑"/>
                <w:color w:val="auto"/>
                <w:sz w:val="20"/>
                <w:szCs w:val="20"/>
                <w:highlight w:val="none"/>
                <w:lang w:val="en-US" w:eastAsia="zh-CN"/>
              </w:rPr>
              <w:t>方案</w:t>
            </w:r>
          </w:p>
        </w:tc>
        <w:tc>
          <w:tcPr>
            <w:tcW w:w="60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C9F1BD">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color w:val="auto"/>
                <w:sz w:val="20"/>
                <w:szCs w:val="20"/>
                <w:highlight w:val="none"/>
                <w:lang w:val="en-US" w:eastAsia="zh-CN"/>
              </w:rPr>
              <w:t>投标人提供详细完整且科学、合理、具体的售后服务方案、售后服务体系、服务承诺、本地化服务及维保方案等内容（包括质保年限、服务措施、产品质量保证、回访、技术培训、售后服务响应时间等）。方案全面完善、配备合理、响应迅速、措施可行性强的得3分；方案基本全面、基本完善、配备基本合理、响应基本迅速、措施基本可行的得1.5分；方案不够合理，可行性不强的得0.5分；未提供方案不得分。</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48A1F1">
            <w:pPr>
              <w:keepNext w:val="0"/>
              <w:keepLines w:val="0"/>
              <w:pageBreakBefore w:val="0"/>
              <w:kinsoku/>
              <w:wordWrap/>
              <w:overflowPunct/>
              <w:topLinePunct w:val="0"/>
              <w:autoSpaceDE w:val="0"/>
              <w:autoSpaceDN w:val="0"/>
              <w:bidi w:val="0"/>
              <w:adjustRightInd w:val="0"/>
              <w:snapToGrid w:val="0"/>
              <w:spacing w:line="300" w:lineRule="exact"/>
              <w:ind w:left="-94" w:leftChars="-45" w:right="-122" w:rightChars="-58"/>
              <w:jc w:val="center"/>
              <w:textAlignment w:val="auto"/>
              <w:rPr>
                <w:rFonts w:hint="eastAsia" w:ascii="微软雅黑" w:hAnsi="微软雅黑" w:eastAsia="微软雅黑" w:cs="微软雅黑"/>
                <w:color w:val="auto"/>
                <w:sz w:val="20"/>
                <w:szCs w:val="20"/>
                <w:highlight w:val="none"/>
              </w:rPr>
            </w:pPr>
            <w:r>
              <w:rPr>
                <w:rFonts w:hint="eastAsia" w:ascii="微软雅黑" w:hAnsi="微软雅黑" w:eastAsia="微软雅黑" w:cs="微软雅黑"/>
                <w:color w:val="auto"/>
                <w:sz w:val="20"/>
                <w:szCs w:val="20"/>
                <w:highlight w:val="none"/>
              </w:rPr>
              <w:t>0-</w:t>
            </w:r>
            <w:r>
              <w:rPr>
                <w:rFonts w:hint="eastAsia" w:ascii="微软雅黑" w:hAnsi="微软雅黑" w:eastAsia="微软雅黑" w:cs="微软雅黑"/>
                <w:color w:val="auto"/>
                <w:sz w:val="20"/>
                <w:szCs w:val="20"/>
                <w:highlight w:val="none"/>
                <w:lang w:val="en-US" w:eastAsia="zh-CN"/>
              </w:rPr>
              <w:t>3</w:t>
            </w:r>
            <w:r>
              <w:rPr>
                <w:rFonts w:hint="eastAsia" w:ascii="微软雅黑" w:hAnsi="微软雅黑" w:eastAsia="微软雅黑" w:cs="微软雅黑"/>
                <w:color w:val="auto"/>
                <w:sz w:val="20"/>
                <w:szCs w:val="20"/>
                <w:highlight w:val="none"/>
              </w:rPr>
              <w:t>分</w:t>
            </w:r>
          </w:p>
        </w:tc>
      </w:tr>
      <w:tr w14:paraId="32EE9E0C">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1464" w:type="dxa"/>
            <w:vMerge w:val="continue"/>
            <w:tcBorders>
              <w:left w:val="single" w:color="auto" w:sz="4" w:space="0"/>
              <w:right w:val="single" w:color="auto" w:sz="4" w:space="0"/>
            </w:tcBorders>
            <w:shd w:val="clear" w:color="auto" w:fill="auto"/>
            <w:noWrap w:val="0"/>
            <w:vAlign w:val="center"/>
          </w:tcPr>
          <w:p w14:paraId="1B5446B3">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微软雅黑" w:hAnsi="微软雅黑" w:eastAsia="微软雅黑" w:cs="微软雅黑"/>
                <w:color w:val="auto"/>
                <w:sz w:val="20"/>
                <w:szCs w:val="20"/>
                <w:highlight w:val="none"/>
              </w:rPr>
            </w:pPr>
          </w:p>
        </w:tc>
        <w:tc>
          <w:tcPr>
            <w:tcW w:w="146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81136F">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color w:val="auto"/>
                <w:sz w:val="20"/>
                <w:szCs w:val="20"/>
                <w:highlight w:val="none"/>
              </w:rPr>
              <w:t>质保承诺函</w:t>
            </w:r>
          </w:p>
        </w:tc>
        <w:tc>
          <w:tcPr>
            <w:tcW w:w="60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A991B5">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color w:val="auto"/>
                <w:sz w:val="20"/>
                <w:szCs w:val="20"/>
                <w:highlight w:val="none"/>
                <w:lang w:eastAsia="zh-CN"/>
              </w:rPr>
              <w:t>在招标文件五</w:t>
            </w:r>
            <w:r>
              <w:rPr>
                <w:rFonts w:hint="eastAsia" w:ascii="微软雅黑" w:hAnsi="微软雅黑" w:eastAsia="微软雅黑" w:cs="微软雅黑"/>
                <w:color w:val="auto"/>
                <w:sz w:val="20"/>
                <w:szCs w:val="20"/>
                <w:highlight w:val="none"/>
              </w:rPr>
              <w:t>年质保承诺</w:t>
            </w:r>
            <w:r>
              <w:rPr>
                <w:rFonts w:hint="eastAsia" w:ascii="微软雅黑" w:hAnsi="微软雅黑" w:eastAsia="微软雅黑" w:cs="微软雅黑"/>
                <w:color w:val="auto"/>
                <w:sz w:val="20"/>
                <w:szCs w:val="20"/>
                <w:highlight w:val="none"/>
                <w:lang w:eastAsia="zh-CN"/>
              </w:rPr>
              <w:t>的基础上</w:t>
            </w:r>
            <w:r>
              <w:rPr>
                <w:rFonts w:hint="eastAsia" w:ascii="微软雅黑" w:hAnsi="微软雅黑" w:eastAsia="微软雅黑" w:cs="微软雅黑"/>
                <w:color w:val="auto"/>
                <w:sz w:val="20"/>
                <w:szCs w:val="20"/>
                <w:highlight w:val="none"/>
              </w:rPr>
              <w:t>，质保承诺每增加一年得</w:t>
            </w:r>
            <w:r>
              <w:rPr>
                <w:rFonts w:hint="eastAsia" w:ascii="微软雅黑" w:hAnsi="微软雅黑" w:eastAsia="微软雅黑" w:cs="微软雅黑"/>
                <w:color w:val="auto"/>
                <w:sz w:val="20"/>
                <w:szCs w:val="20"/>
                <w:highlight w:val="none"/>
                <w:lang w:val="en-US" w:eastAsia="zh-CN"/>
              </w:rPr>
              <w:t>2.5</w:t>
            </w:r>
            <w:r>
              <w:rPr>
                <w:rFonts w:hint="eastAsia" w:ascii="微软雅黑" w:hAnsi="微软雅黑" w:eastAsia="微软雅黑" w:cs="微软雅黑"/>
                <w:color w:val="auto"/>
                <w:sz w:val="20"/>
                <w:szCs w:val="20"/>
                <w:highlight w:val="none"/>
              </w:rPr>
              <w:t>分</w:t>
            </w:r>
            <w:r>
              <w:rPr>
                <w:rFonts w:hint="eastAsia" w:ascii="微软雅黑" w:hAnsi="微软雅黑" w:eastAsia="微软雅黑" w:cs="微软雅黑"/>
                <w:color w:val="auto"/>
                <w:sz w:val="20"/>
                <w:szCs w:val="20"/>
                <w:highlight w:val="none"/>
                <w:lang w:eastAsia="zh-CN"/>
              </w:rPr>
              <w:t>，最多得</w:t>
            </w:r>
            <w:r>
              <w:rPr>
                <w:rFonts w:hint="eastAsia" w:ascii="微软雅黑" w:hAnsi="微软雅黑" w:eastAsia="微软雅黑" w:cs="微软雅黑"/>
                <w:color w:val="auto"/>
                <w:sz w:val="20"/>
                <w:szCs w:val="20"/>
                <w:highlight w:val="none"/>
                <w:lang w:val="en-US" w:eastAsia="zh-CN"/>
              </w:rPr>
              <w:t>5分。</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173E04">
            <w:pPr>
              <w:keepNext w:val="0"/>
              <w:keepLines w:val="0"/>
              <w:pageBreakBefore w:val="0"/>
              <w:kinsoku/>
              <w:wordWrap/>
              <w:overflowPunct/>
              <w:topLinePunct w:val="0"/>
              <w:autoSpaceDE w:val="0"/>
              <w:autoSpaceDN w:val="0"/>
              <w:bidi w:val="0"/>
              <w:adjustRightInd w:val="0"/>
              <w:snapToGrid w:val="0"/>
              <w:spacing w:line="300" w:lineRule="exact"/>
              <w:ind w:left="-94" w:leftChars="-45" w:right="-122" w:rightChars="-58"/>
              <w:jc w:val="center"/>
              <w:textAlignment w:val="auto"/>
              <w:rPr>
                <w:rFonts w:hint="eastAsia" w:ascii="微软雅黑" w:hAnsi="微软雅黑" w:eastAsia="微软雅黑" w:cs="微软雅黑"/>
                <w:color w:val="auto"/>
                <w:kern w:val="2"/>
                <w:sz w:val="20"/>
                <w:szCs w:val="20"/>
                <w:highlight w:val="none"/>
                <w:lang w:val="en-US" w:eastAsia="zh-CN" w:bidi="ar-SA"/>
              </w:rPr>
            </w:pPr>
            <w:r>
              <w:rPr>
                <w:rFonts w:hint="eastAsia" w:ascii="微软雅黑" w:hAnsi="微软雅黑" w:eastAsia="微软雅黑" w:cs="微软雅黑"/>
                <w:color w:val="auto"/>
                <w:sz w:val="20"/>
                <w:szCs w:val="20"/>
                <w:highlight w:val="none"/>
              </w:rPr>
              <w:t>0-</w:t>
            </w:r>
            <w:r>
              <w:rPr>
                <w:rFonts w:hint="eastAsia" w:ascii="微软雅黑" w:hAnsi="微软雅黑" w:eastAsia="微软雅黑" w:cs="微软雅黑"/>
                <w:color w:val="auto"/>
                <w:sz w:val="20"/>
                <w:szCs w:val="20"/>
                <w:highlight w:val="none"/>
                <w:lang w:val="en-US" w:eastAsia="zh-CN"/>
              </w:rPr>
              <w:t>5</w:t>
            </w:r>
            <w:r>
              <w:rPr>
                <w:rFonts w:hint="eastAsia" w:ascii="微软雅黑" w:hAnsi="微软雅黑" w:eastAsia="微软雅黑" w:cs="微软雅黑"/>
                <w:color w:val="auto"/>
                <w:sz w:val="20"/>
                <w:szCs w:val="20"/>
                <w:highlight w:val="none"/>
              </w:rPr>
              <w:t>分</w:t>
            </w:r>
          </w:p>
        </w:tc>
      </w:tr>
      <w:tr w14:paraId="426FCCD2">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1464" w:type="dxa"/>
            <w:vMerge w:val="continue"/>
            <w:tcBorders>
              <w:left w:val="single" w:color="auto" w:sz="4" w:space="0"/>
              <w:right w:val="single" w:color="auto" w:sz="4" w:space="0"/>
            </w:tcBorders>
            <w:shd w:val="clear" w:color="auto" w:fill="auto"/>
            <w:noWrap w:val="0"/>
            <w:vAlign w:val="center"/>
          </w:tcPr>
          <w:p w14:paraId="12CA7EC1">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微软雅黑" w:hAnsi="微软雅黑" w:eastAsia="微软雅黑" w:cs="微软雅黑"/>
                <w:color w:val="auto"/>
                <w:sz w:val="20"/>
                <w:szCs w:val="20"/>
                <w:highlight w:val="none"/>
              </w:rPr>
            </w:pPr>
          </w:p>
        </w:tc>
        <w:tc>
          <w:tcPr>
            <w:tcW w:w="146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54757B">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color w:val="auto"/>
                <w:sz w:val="20"/>
                <w:szCs w:val="20"/>
                <w:highlight w:val="none"/>
                <w:lang w:val="en-US" w:eastAsia="zh-CN"/>
              </w:rPr>
              <w:t>项目实施期间及质保期内服务承诺</w:t>
            </w:r>
          </w:p>
        </w:tc>
        <w:tc>
          <w:tcPr>
            <w:tcW w:w="60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BDDF7E">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color w:val="auto"/>
                <w:sz w:val="20"/>
                <w:szCs w:val="20"/>
                <w:highlight w:val="none"/>
                <w:lang w:val="en-US" w:eastAsia="zh-CN"/>
              </w:rPr>
              <w:t>1.投标人提供2小时上门服务承诺函，且内附“未经甲方同意，乙方延时服务，则扣除1000元违约金/次”条款（加盖公司印章），得0.5分。</w:t>
            </w:r>
          </w:p>
          <w:p w14:paraId="1054A602">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color w:val="auto"/>
                <w:sz w:val="20"/>
                <w:szCs w:val="20"/>
                <w:highlight w:val="none"/>
                <w:lang w:val="en-US" w:eastAsia="zh-CN"/>
              </w:rPr>
              <w:t>2.所投“核心安全设备”的厂家有原厂工程师“驻本地化服务”的，得0.5分（提供原厂承诺函、负责本地化服务的工程师近3个月中 任意一个月的原厂社保证明）。</w:t>
            </w:r>
          </w:p>
          <w:p w14:paraId="31B82F23">
            <w:pPr>
              <w:pStyle w:val="24"/>
              <w:keepNext w:val="0"/>
              <w:keepLines w:val="0"/>
              <w:pageBreakBefore w:val="0"/>
              <w:kinsoku/>
              <w:wordWrap/>
              <w:overflowPunct/>
              <w:topLinePunct w:val="0"/>
              <w:bidi w:val="0"/>
              <w:spacing w:line="300" w:lineRule="exact"/>
              <w:textAlignment w:val="auto"/>
              <w:rPr>
                <w:rFonts w:hint="eastAsia" w:ascii="微软雅黑" w:hAnsi="微软雅黑" w:eastAsia="微软雅黑" w:cs="微软雅黑"/>
                <w:color w:val="auto"/>
                <w:sz w:val="20"/>
                <w:szCs w:val="20"/>
                <w:highlight w:val="none"/>
                <w:lang w:eastAsia="zh-CN"/>
              </w:rPr>
            </w:pPr>
            <w:r>
              <w:rPr>
                <w:rFonts w:hint="eastAsia" w:ascii="微软雅黑" w:hAnsi="微软雅黑" w:eastAsia="微软雅黑" w:cs="微软雅黑"/>
                <w:color w:val="auto"/>
                <w:sz w:val="20"/>
                <w:szCs w:val="20"/>
                <w:highlight w:val="none"/>
                <w:lang w:val="en-US" w:eastAsia="zh-CN"/>
              </w:rPr>
              <w:t>3.所投“核心安全设备”的厂家承诺让原厂工程师在项目试运行的第一年进行“每15天1次”回访巡检并出具巡检报告，且每次回访需甲方和工程师双方确认签字，得2分。</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AEE694">
            <w:pPr>
              <w:keepNext w:val="0"/>
              <w:keepLines w:val="0"/>
              <w:pageBreakBefore w:val="0"/>
              <w:kinsoku/>
              <w:wordWrap/>
              <w:overflowPunct/>
              <w:topLinePunct w:val="0"/>
              <w:autoSpaceDE w:val="0"/>
              <w:autoSpaceDN w:val="0"/>
              <w:bidi w:val="0"/>
              <w:adjustRightInd w:val="0"/>
              <w:spacing w:line="300" w:lineRule="exact"/>
              <w:ind w:left="-94" w:leftChars="-45" w:right="-122" w:rightChars="-58"/>
              <w:jc w:val="center"/>
              <w:textAlignment w:val="auto"/>
              <w:rPr>
                <w:rFonts w:hint="eastAsia" w:ascii="微软雅黑" w:hAnsi="微软雅黑" w:eastAsia="微软雅黑" w:cs="微软雅黑"/>
                <w:color w:val="auto"/>
                <w:sz w:val="20"/>
                <w:szCs w:val="20"/>
                <w:highlight w:val="none"/>
              </w:rPr>
            </w:pPr>
            <w:r>
              <w:rPr>
                <w:rFonts w:hint="eastAsia" w:ascii="微软雅黑" w:hAnsi="微软雅黑" w:eastAsia="微软雅黑" w:cs="微软雅黑"/>
                <w:color w:val="auto"/>
                <w:sz w:val="20"/>
                <w:szCs w:val="20"/>
                <w:highlight w:val="none"/>
              </w:rPr>
              <w:t>0-</w:t>
            </w:r>
            <w:r>
              <w:rPr>
                <w:rFonts w:hint="eastAsia" w:ascii="微软雅黑" w:hAnsi="微软雅黑" w:eastAsia="微软雅黑" w:cs="微软雅黑"/>
                <w:color w:val="auto"/>
                <w:sz w:val="20"/>
                <w:szCs w:val="20"/>
                <w:highlight w:val="none"/>
                <w:lang w:val="en-US" w:eastAsia="zh-CN"/>
              </w:rPr>
              <w:t>3</w:t>
            </w:r>
            <w:r>
              <w:rPr>
                <w:rFonts w:hint="eastAsia" w:ascii="微软雅黑" w:hAnsi="微软雅黑" w:eastAsia="微软雅黑" w:cs="微软雅黑"/>
                <w:color w:val="auto"/>
                <w:sz w:val="20"/>
                <w:szCs w:val="20"/>
                <w:highlight w:val="none"/>
              </w:rPr>
              <w:t>分</w:t>
            </w:r>
          </w:p>
        </w:tc>
      </w:tr>
      <w:tr w14:paraId="06CF62D1">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1464" w:type="dxa"/>
            <w:vMerge w:val="continue"/>
            <w:tcBorders>
              <w:left w:val="single" w:color="auto" w:sz="4" w:space="0"/>
              <w:right w:val="single" w:color="auto" w:sz="4" w:space="0"/>
            </w:tcBorders>
            <w:shd w:val="clear" w:color="auto" w:fill="auto"/>
            <w:noWrap w:val="0"/>
            <w:vAlign w:val="center"/>
          </w:tcPr>
          <w:p w14:paraId="051FE5AC">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微软雅黑" w:hAnsi="微软雅黑" w:eastAsia="微软雅黑" w:cs="微软雅黑"/>
                <w:color w:val="auto"/>
                <w:sz w:val="20"/>
                <w:szCs w:val="20"/>
                <w:highlight w:val="none"/>
              </w:rPr>
            </w:pPr>
          </w:p>
        </w:tc>
        <w:tc>
          <w:tcPr>
            <w:tcW w:w="146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CE70E4">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color w:val="auto"/>
                <w:sz w:val="20"/>
                <w:szCs w:val="20"/>
                <w:highlight w:val="none"/>
              </w:rPr>
            </w:pPr>
            <w:r>
              <w:rPr>
                <w:rFonts w:hint="eastAsia" w:ascii="微软雅黑" w:hAnsi="微软雅黑" w:eastAsia="微软雅黑" w:cs="微软雅黑"/>
                <w:color w:val="auto"/>
                <w:sz w:val="20"/>
                <w:szCs w:val="20"/>
                <w:highlight w:val="none"/>
                <w:lang w:val="en-US" w:eastAsia="zh-CN"/>
              </w:rPr>
              <w:t>质保期外</w:t>
            </w:r>
            <w:r>
              <w:rPr>
                <w:rFonts w:hint="eastAsia" w:ascii="微软雅黑" w:hAnsi="微软雅黑" w:eastAsia="微软雅黑" w:cs="微软雅黑"/>
                <w:color w:val="auto"/>
                <w:sz w:val="20"/>
                <w:szCs w:val="20"/>
                <w:highlight w:val="none"/>
                <w:lang w:eastAsia="zh-CN"/>
              </w:rPr>
              <w:t>有偿质保服务购买承诺函</w:t>
            </w:r>
          </w:p>
        </w:tc>
        <w:tc>
          <w:tcPr>
            <w:tcW w:w="60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53B793">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color w:val="auto"/>
                <w:sz w:val="20"/>
                <w:szCs w:val="20"/>
                <w:highlight w:val="none"/>
                <w:lang w:val="en-US" w:eastAsia="zh-CN"/>
              </w:rPr>
              <w:t>投标人出具“质保期外有偿质保服务购买承诺函”，承诺函上明确标明“年均服务购买总价和分项单价”和“各设备原厂盖章质保续购承诺”</w:t>
            </w:r>
            <w:r>
              <w:rPr>
                <w:rFonts w:hint="eastAsia" w:ascii="微软雅黑" w:hAnsi="微软雅黑" w:eastAsia="微软雅黑" w:cs="微软雅黑"/>
                <w:color w:val="FF0000"/>
                <w:sz w:val="18"/>
                <w:szCs w:val="18"/>
                <w:highlight w:val="none"/>
                <w:lang w:val="en-US" w:eastAsia="zh-CN"/>
              </w:rPr>
              <w:t>（第7项设备“显示屏”不作要求）</w:t>
            </w:r>
            <w:r>
              <w:rPr>
                <w:rFonts w:hint="eastAsia" w:ascii="微软雅黑" w:hAnsi="微软雅黑" w:eastAsia="微软雅黑" w:cs="微软雅黑"/>
                <w:color w:val="auto"/>
                <w:sz w:val="20"/>
                <w:szCs w:val="20"/>
                <w:highlight w:val="none"/>
                <w:lang w:val="en-US" w:eastAsia="zh-CN"/>
              </w:rPr>
              <w:t>的，得0.5分，提供不全的不得分。</w:t>
            </w:r>
          </w:p>
          <w:p w14:paraId="74AE8E64">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color w:val="auto"/>
                <w:sz w:val="20"/>
                <w:szCs w:val="20"/>
                <w:highlight w:val="none"/>
                <w:lang w:val="en-US" w:eastAsia="zh-CN"/>
              </w:rPr>
              <w:t>所有投标人出具的</w:t>
            </w:r>
            <w:r>
              <w:rPr>
                <w:rFonts w:hint="eastAsia" w:ascii="微软雅黑" w:hAnsi="微软雅黑" w:eastAsia="微软雅黑" w:cs="微软雅黑"/>
                <w:color w:val="auto"/>
                <w:sz w:val="20"/>
                <w:szCs w:val="20"/>
                <w:highlight w:val="none"/>
                <w:lang w:eastAsia="zh-CN"/>
              </w:rPr>
              <w:t>“</w:t>
            </w:r>
            <w:r>
              <w:rPr>
                <w:rFonts w:hint="eastAsia" w:ascii="微软雅黑" w:hAnsi="微软雅黑" w:eastAsia="微软雅黑" w:cs="微软雅黑"/>
                <w:color w:val="auto"/>
                <w:sz w:val="20"/>
                <w:szCs w:val="20"/>
                <w:highlight w:val="none"/>
                <w:lang w:val="en-US" w:eastAsia="zh-CN"/>
              </w:rPr>
              <w:t>质保期外</w:t>
            </w:r>
            <w:r>
              <w:rPr>
                <w:rFonts w:hint="eastAsia" w:ascii="微软雅黑" w:hAnsi="微软雅黑" w:eastAsia="微软雅黑" w:cs="微软雅黑"/>
                <w:color w:val="auto"/>
                <w:sz w:val="20"/>
                <w:szCs w:val="20"/>
                <w:highlight w:val="none"/>
                <w:lang w:eastAsia="zh-CN"/>
              </w:rPr>
              <w:t>年均服务购买总价”按从低到高排序，排名位于前半的，得</w:t>
            </w:r>
            <w:r>
              <w:rPr>
                <w:rFonts w:hint="eastAsia" w:ascii="微软雅黑" w:hAnsi="微软雅黑" w:eastAsia="微软雅黑" w:cs="微软雅黑"/>
                <w:color w:val="auto"/>
                <w:sz w:val="20"/>
                <w:szCs w:val="20"/>
                <w:highlight w:val="none"/>
                <w:lang w:val="en-US" w:eastAsia="zh-CN"/>
              </w:rPr>
              <w:t>0.5分；后半的，不得分。（奇偶情况举例：如有8家公司，出具的购买单价从低到高排序，对半分，低价位区间的前4名可以得0.5分，后4名不得分；如有9加公司，出具的购买单价从低到高排序，对半分，低价位区间的前5名可以得0.5分，后4名不得分，以此类推）</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4903F7">
            <w:pPr>
              <w:keepNext w:val="0"/>
              <w:keepLines w:val="0"/>
              <w:pageBreakBefore w:val="0"/>
              <w:kinsoku/>
              <w:wordWrap/>
              <w:overflowPunct/>
              <w:topLinePunct w:val="0"/>
              <w:autoSpaceDE w:val="0"/>
              <w:autoSpaceDN w:val="0"/>
              <w:bidi w:val="0"/>
              <w:adjustRightInd w:val="0"/>
              <w:snapToGrid w:val="0"/>
              <w:spacing w:line="300" w:lineRule="exact"/>
              <w:ind w:left="-94" w:leftChars="-45" w:right="-122" w:rightChars="-58"/>
              <w:jc w:val="center"/>
              <w:textAlignment w:val="auto"/>
              <w:rPr>
                <w:rFonts w:hint="eastAsia" w:ascii="微软雅黑" w:hAnsi="微软雅黑" w:eastAsia="微软雅黑" w:cs="微软雅黑"/>
                <w:color w:val="auto"/>
                <w:sz w:val="20"/>
                <w:szCs w:val="20"/>
                <w:highlight w:val="none"/>
              </w:rPr>
            </w:pPr>
            <w:r>
              <w:rPr>
                <w:rFonts w:hint="eastAsia" w:ascii="微软雅黑" w:hAnsi="微软雅黑" w:eastAsia="微软雅黑" w:cs="微软雅黑"/>
                <w:color w:val="auto"/>
                <w:sz w:val="20"/>
                <w:szCs w:val="20"/>
                <w:highlight w:val="none"/>
              </w:rPr>
              <w:t>0-</w:t>
            </w:r>
            <w:r>
              <w:rPr>
                <w:rFonts w:hint="eastAsia" w:ascii="微软雅黑" w:hAnsi="微软雅黑" w:eastAsia="微软雅黑" w:cs="微软雅黑"/>
                <w:color w:val="auto"/>
                <w:sz w:val="20"/>
                <w:szCs w:val="20"/>
                <w:highlight w:val="none"/>
                <w:lang w:val="en-US" w:eastAsia="zh-CN"/>
              </w:rPr>
              <w:t>1</w:t>
            </w:r>
            <w:r>
              <w:rPr>
                <w:rFonts w:hint="eastAsia" w:ascii="微软雅黑" w:hAnsi="微软雅黑" w:eastAsia="微软雅黑" w:cs="微软雅黑"/>
                <w:color w:val="auto"/>
                <w:sz w:val="20"/>
                <w:szCs w:val="20"/>
                <w:highlight w:val="none"/>
              </w:rPr>
              <w:t>分</w:t>
            </w:r>
          </w:p>
        </w:tc>
      </w:tr>
    </w:tbl>
    <w:p w14:paraId="6C463D09">
      <w:pPr>
        <w:keepNext w:val="0"/>
        <w:keepLines w:val="0"/>
        <w:pageBreakBefore w:val="0"/>
        <w:kinsoku/>
        <w:wordWrap/>
        <w:overflowPunct/>
        <w:topLinePunct w:val="0"/>
        <w:bidi w:val="0"/>
        <w:adjustRightInd w:val="0"/>
        <w:snapToGrid w:val="0"/>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供评标标准相应的商务技术资料。 </w:t>
      </w:r>
    </w:p>
    <w:p w14:paraId="06BBC75A">
      <w:pPr>
        <w:keepNext w:val="0"/>
        <w:keepLines w:val="0"/>
        <w:pageBreakBefore w:val="0"/>
        <w:kinsoku/>
        <w:wordWrap/>
        <w:overflowPunct/>
        <w:topLinePunct w:val="0"/>
        <w:bidi w:val="0"/>
        <w:adjustRightInd w:val="0"/>
        <w:spacing w:line="440" w:lineRule="exact"/>
        <w:textAlignment w:val="auto"/>
        <w:rPr>
          <w:rFonts w:hint="eastAsia" w:ascii="仿宋" w:hAnsi="仿宋" w:eastAsia="仿宋" w:cs="仿宋"/>
          <w:b/>
          <w:bCs/>
          <w:iCs/>
          <w:color w:val="auto"/>
          <w:sz w:val="24"/>
          <w:highlight w:val="none"/>
        </w:rPr>
      </w:pPr>
      <w:r>
        <w:rPr>
          <w:rFonts w:hint="eastAsia" w:ascii="仿宋" w:hAnsi="仿宋" w:eastAsia="仿宋" w:cs="仿宋"/>
          <w:b/>
          <w:bCs/>
          <w:iCs/>
          <w:color w:val="auto"/>
          <w:sz w:val="24"/>
          <w:highlight w:val="none"/>
        </w:rPr>
        <w:t>2.2价格分（</w:t>
      </w:r>
      <w:r>
        <w:rPr>
          <w:rFonts w:hint="eastAsia" w:ascii="仿宋" w:hAnsi="仿宋" w:eastAsia="仿宋" w:cs="仿宋"/>
          <w:b/>
          <w:bCs/>
          <w:iCs/>
          <w:color w:val="auto"/>
          <w:sz w:val="24"/>
          <w:highlight w:val="none"/>
          <w:u w:val="single"/>
          <w:lang w:val="en-US" w:eastAsia="zh-CN"/>
        </w:rPr>
        <w:t>30</w:t>
      </w:r>
      <w:r>
        <w:rPr>
          <w:rFonts w:hint="eastAsia" w:ascii="仿宋" w:hAnsi="仿宋" w:eastAsia="仿宋" w:cs="仿宋"/>
          <w:b/>
          <w:bCs/>
          <w:iCs/>
          <w:color w:val="auto"/>
          <w:sz w:val="24"/>
          <w:highlight w:val="none"/>
        </w:rPr>
        <w:t>分）</w:t>
      </w:r>
    </w:p>
    <w:p w14:paraId="38341700">
      <w:pPr>
        <w:keepNext w:val="0"/>
        <w:keepLines w:val="0"/>
        <w:pageBreakBefore w:val="0"/>
        <w:kinsoku/>
        <w:wordWrap/>
        <w:overflowPunct/>
        <w:topLinePunct w:val="0"/>
        <w:bidi w:val="0"/>
        <w:adjustRightInd w:val="0"/>
        <w:spacing w:line="440" w:lineRule="exact"/>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2.2.1评标基准价：即满足招标文件要求且投标价格最低的投标报价为评标基准价，其价格分为满分。</w:t>
      </w:r>
    </w:p>
    <w:p w14:paraId="68B8AF9B">
      <w:pPr>
        <w:keepNext w:val="0"/>
        <w:keepLines w:val="0"/>
        <w:pageBreakBefore w:val="0"/>
        <w:kinsoku/>
        <w:wordWrap/>
        <w:overflowPunct/>
        <w:topLinePunct w:val="0"/>
        <w:bidi w:val="0"/>
        <w:adjustRightInd w:val="0"/>
        <w:spacing w:line="440" w:lineRule="exact"/>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2.2.2其他投标人的价格分统一按照下列公式计算：</w:t>
      </w:r>
    </w:p>
    <w:p w14:paraId="0902C55C">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pacing w:line="440" w:lineRule="exact"/>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投标报价得分=(评标基准价／投标报价)×价格权值×100</w:t>
      </w:r>
    </w:p>
    <w:p w14:paraId="7064E9B7">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pacing w:line="440" w:lineRule="exact"/>
        <w:textAlignment w:val="auto"/>
        <w:rPr>
          <w:rFonts w:hint="eastAsia" w:ascii="仿宋" w:hAnsi="仿宋" w:eastAsia="仿宋" w:cs="仿宋"/>
          <w:color w:val="auto"/>
          <w:highlight w:val="none"/>
        </w:rPr>
      </w:pPr>
      <w:r>
        <w:rPr>
          <w:rFonts w:hint="eastAsia" w:ascii="仿宋" w:hAnsi="仿宋" w:eastAsia="仿宋" w:cs="仿宋"/>
          <w:bCs/>
          <w:iCs/>
          <w:color w:val="auto"/>
          <w:sz w:val="24"/>
          <w:highlight w:val="none"/>
        </w:rPr>
        <w:t>即：投标报价得分=(评标基准价／投标报价)×</w:t>
      </w:r>
      <w:r>
        <w:rPr>
          <w:rFonts w:hint="eastAsia" w:ascii="仿宋" w:hAnsi="仿宋" w:eastAsia="仿宋" w:cs="仿宋"/>
          <w:bCs/>
          <w:iCs/>
          <w:color w:val="auto"/>
          <w:sz w:val="24"/>
          <w:highlight w:val="none"/>
          <w:u w:val="single"/>
          <w:lang w:val="en-US" w:eastAsia="zh-CN"/>
        </w:rPr>
        <w:t>30</w:t>
      </w:r>
    </w:p>
    <w:p w14:paraId="74EDF7D7">
      <w:pPr>
        <w:rPr>
          <w:rFonts w:hint="eastAsia" w:ascii="仿宋" w:hAnsi="仿宋" w:eastAsia="仿宋" w:cs="仿宋"/>
          <w:color w:val="auto"/>
          <w:highlight w:val="none"/>
        </w:rPr>
      </w:pPr>
    </w:p>
    <w:p w14:paraId="603ACEA6">
      <w:pPr>
        <w:rPr>
          <w:rFonts w:hint="eastAsia" w:ascii="仿宋" w:hAnsi="仿宋" w:eastAsia="仿宋" w:cs="仿宋"/>
          <w:color w:val="auto"/>
          <w:highlight w:val="none"/>
        </w:rPr>
      </w:pPr>
    </w:p>
    <w:p w14:paraId="66556B53">
      <w:pPr>
        <w:pStyle w:val="63"/>
        <w:rPr>
          <w:rFonts w:hint="eastAsia" w:ascii="仿宋" w:hAnsi="仿宋" w:eastAsia="仿宋" w:cs="仿宋"/>
          <w:color w:val="auto"/>
          <w:highlight w:val="none"/>
        </w:rPr>
      </w:pPr>
    </w:p>
    <w:p w14:paraId="527BDA72">
      <w:pPr>
        <w:pStyle w:val="63"/>
        <w:rPr>
          <w:rFonts w:hint="eastAsia" w:ascii="仿宋" w:hAnsi="仿宋" w:eastAsia="仿宋" w:cs="仿宋"/>
          <w:color w:val="auto"/>
          <w:highlight w:val="none"/>
        </w:rPr>
      </w:pPr>
    </w:p>
    <w:p w14:paraId="6F16BD63">
      <w:pPr>
        <w:pStyle w:val="63"/>
        <w:rPr>
          <w:rFonts w:hint="eastAsia" w:ascii="仿宋" w:hAnsi="仿宋" w:eastAsia="仿宋" w:cs="仿宋"/>
          <w:color w:val="auto"/>
          <w:highlight w:val="none"/>
        </w:rPr>
      </w:pPr>
    </w:p>
    <w:p w14:paraId="57873E5C">
      <w:pPr>
        <w:pStyle w:val="63"/>
        <w:rPr>
          <w:rFonts w:hint="eastAsia" w:ascii="仿宋" w:hAnsi="仿宋" w:eastAsia="仿宋" w:cs="仿宋"/>
          <w:color w:val="auto"/>
          <w:highlight w:val="none"/>
        </w:rPr>
      </w:pPr>
    </w:p>
    <w:p w14:paraId="2CB88393">
      <w:pPr>
        <w:pStyle w:val="63"/>
        <w:rPr>
          <w:rFonts w:hint="eastAsia" w:ascii="仿宋" w:hAnsi="仿宋" w:eastAsia="仿宋" w:cs="仿宋"/>
          <w:color w:val="auto"/>
          <w:highlight w:val="none"/>
        </w:rPr>
      </w:pPr>
    </w:p>
    <w:p w14:paraId="39053AB4">
      <w:pPr>
        <w:pStyle w:val="63"/>
        <w:rPr>
          <w:rFonts w:hint="eastAsia" w:ascii="仿宋" w:hAnsi="仿宋" w:eastAsia="仿宋" w:cs="仿宋"/>
          <w:color w:val="auto"/>
          <w:highlight w:val="none"/>
        </w:rPr>
      </w:pPr>
    </w:p>
    <w:p w14:paraId="6E7250D7">
      <w:pPr>
        <w:pStyle w:val="63"/>
        <w:rPr>
          <w:rFonts w:hint="eastAsia" w:ascii="仿宋" w:hAnsi="仿宋" w:eastAsia="仿宋" w:cs="仿宋"/>
          <w:color w:val="auto"/>
          <w:highlight w:val="none"/>
        </w:rPr>
      </w:pPr>
    </w:p>
    <w:p w14:paraId="474F8C90">
      <w:pPr>
        <w:pStyle w:val="63"/>
        <w:rPr>
          <w:rFonts w:hint="eastAsia" w:ascii="仿宋" w:hAnsi="仿宋" w:eastAsia="仿宋" w:cs="仿宋"/>
          <w:color w:val="auto"/>
          <w:highlight w:val="none"/>
        </w:rPr>
      </w:pPr>
    </w:p>
    <w:p w14:paraId="6BAFE702">
      <w:pPr>
        <w:pStyle w:val="63"/>
        <w:rPr>
          <w:rFonts w:hint="eastAsia" w:ascii="仿宋" w:hAnsi="仿宋" w:eastAsia="仿宋" w:cs="仿宋"/>
          <w:color w:val="auto"/>
          <w:highlight w:val="none"/>
        </w:rPr>
      </w:pPr>
    </w:p>
    <w:p w14:paraId="6DBBCCE3">
      <w:pPr>
        <w:pStyle w:val="63"/>
        <w:rPr>
          <w:rFonts w:hint="eastAsia" w:ascii="仿宋" w:hAnsi="仿宋" w:eastAsia="仿宋" w:cs="仿宋"/>
          <w:color w:val="auto"/>
          <w:highlight w:val="none"/>
        </w:rPr>
      </w:pPr>
    </w:p>
    <w:p w14:paraId="6B694371">
      <w:pPr>
        <w:pStyle w:val="63"/>
        <w:rPr>
          <w:rFonts w:hint="eastAsia" w:ascii="仿宋" w:hAnsi="仿宋" w:eastAsia="仿宋" w:cs="仿宋"/>
          <w:color w:val="auto"/>
          <w:highlight w:val="none"/>
        </w:rPr>
      </w:pPr>
    </w:p>
    <w:p w14:paraId="5FCF7BFD">
      <w:pPr>
        <w:pStyle w:val="63"/>
        <w:rPr>
          <w:rFonts w:hint="eastAsia" w:ascii="仿宋" w:hAnsi="仿宋" w:eastAsia="仿宋" w:cs="仿宋"/>
          <w:color w:val="auto"/>
          <w:highlight w:val="none"/>
        </w:rPr>
      </w:pPr>
    </w:p>
    <w:p w14:paraId="7175054E">
      <w:pPr>
        <w:pStyle w:val="63"/>
        <w:rPr>
          <w:rFonts w:hint="eastAsia" w:ascii="仿宋" w:hAnsi="仿宋" w:eastAsia="仿宋" w:cs="仿宋"/>
          <w:color w:val="auto"/>
          <w:highlight w:val="none"/>
        </w:rPr>
      </w:pPr>
    </w:p>
    <w:p w14:paraId="7EA9FA8E">
      <w:pPr>
        <w:pStyle w:val="63"/>
        <w:rPr>
          <w:rFonts w:hint="eastAsia" w:ascii="仿宋" w:hAnsi="仿宋" w:eastAsia="仿宋" w:cs="仿宋"/>
          <w:color w:val="auto"/>
          <w:highlight w:val="none"/>
        </w:rPr>
      </w:pPr>
    </w:p>
    <w:p w14:paraId="3FE862E4">
      <w:pPr>
        <w:pStyle w:val="63"/>
        <w:rPr>
          <w:rFonts w:hint="eastAsia" w:ascii="仿宋" w:hAnsi="仿宋" w:eastAsia="仿宋" w:cs="仿宋"/>
          <w:color w:val="auto"/>
          <w:highlight w:val="none"/>
        </w:rPr>
      </w:pPr>
    </w:p>
    <w:p w14:paraId="0955226B">
      <w:pPr>
        <w:pStyle w:val="63"/>
        <w:rPr>
          <w:rFonts w:hint="eastAsia" w:ascii="仿宋" w:hAnsi="仿宋" w:eastAsia="仿宋" w:cs="仿宋"/>
          <w:color w:val="auto"/>
          <w:highlight w:val="none"/>
        </w:rPr>
      </w:pPr>
    </w:p>
    <w:p w14:paraId="4256A952">
      <w:pPr>
        <w:pStyle w:val="63"/>
        <w:rPr>
          <w:rFonts w:hint="eastAsia" w:ascii="仿宋" w:hAnsi="仿宋" w:eastAsia="仿宋" w:cs="仿宋"/>
          <w:color w:val="auto"/>
          <w:highlight w:val="none"/>
        </w:rPr>
      </w:pPr>
    </w:p>
    <w:p w14:paraId="6F3EADC1">
      <w:pPr>
        <w:pStyle w:val="63"/>
        <w:rPr>
          <w:rFonts w:hint="eastAsia" w:ascii="仿宋" w:hAnsi="仿宋" w:eastAsia="仿宋" w:cs="仿宋"/>
          <w:color w:val="auto"/>
          <w:highlight w:val="none"/>
        </w:rPr>
      </w:pPr>
    </w:p>
    <w:p w14:paraId="18A9EDF1">
      <w:pPr>
        <w:rPr>
          <w:rFonts w:hint="eastAsia" w:ascii="仿宋" w:hAnsi="仿宋" w:eastAsia="仿宋" w:cs="仿宋"/>
          <w:color w:val="auto"/>
          <w:highlight w:val="none"/>
        </w:rPr>
      </w:pPr>
    </w:p>
    <w:p w14:paraId="5622E909">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6"/>
      <w:r>
        <w:rPr>
          <w:rFonts w:hint="eastAsia" w:ascii="仿宋" w:hAnsi="仿宋" w:eastAsia="仿宋" w:cs="仿宋"/>
          <w:b/>
          <w:color w:val="auto"/>
          <w:sz w:val="36"/>
          <w:szCs w:val="20"/>
          <w:highlight w:val="none"/>
        </w:rPr>
        <w:t xml:space="preserve"> </w:t>
      </w:r>
      <w:bookmarkEnd w:id="37"/>
      <w:r>
        <w:rPr>
          <w:rFonts w:hint="eastAsia" w:ascii="仿宋" w:hAnsi="仿宋" w:eastAsia="仿宋" w:cs="仿宋"/>
          <w:b/>
          <w:color w:val="auto"/>
          <w:sz w:val="36"/>
          <w:szCs w:val="20"/>
          <w:highlight w:val="none"/>
        </w:rPr>
        <w:t>投标文件及其附件格式</w:t>
      </w:r>
    </w:p>
    <w:p w14:paraId="06186AEB">
      <w:pPr>
        <w:spacing w:line="360" w:lineRule="auto"/>
        <w:jc w:val="center"/>
        <w:outlineLvl w:val="0"/>
        <w:rPr>
          <w:rFonts w:hint="eastAsia" w:ascii="仿宋" w:hAnsi="仿宋" w:eastAsia="仿宋" w:cs="仿宋"/>
          <w:b/>
          <w:color w:val="auto"/>
          <w:kern w:val="0"/>
          <w:sz w:val="36"/>
          <w:szCs w:val="36"/>
          <w:highlight w:val="none"/>
        </w:rPr>
      </w:pPr>
    </w:p>
    <w:p w14:paraId="1F7AFAB2">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42157A3A">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5D62E1F0">
      <w:pPr>
        <w:spacing w:line="360" w:lineRule="auto"/>
        <w:jc w:val="center"/>
        <w:outlineLvl w:val="0"/>
        <w:rPr>
          <w:rFonts w:hint="eastAsia" w:ascii="仿宋" w:hAnsi="仿宋" w:eastAsia="仿宋" w:cs="仿宋"/>
          <w:b/>
          <w:color w:val="auto"/>
          <w:kern w:val="0"/>
          <w:sz w:val="36"/>
          <w:szCs w:val="36"/>
          <w:highlight w:val="none"/>
        </w:rPr>
      </w:pPr>
    </w:p>
    <w:p w14:paraId="28F3F73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5E000675">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4AF92A9C">
      <w:pPr>
        <w:pStyle w:val="24"/>
        <w:rPr>
          <w:rFonts w:hint="eastAsia" w:ascii="仿宋" w:hAnsi="仿宋" w:eastAsia="仿宋" w:cs="仿宋"/>
          <w:color w:val="auto"/>
          <w:highlight w:val="none"/>
          <w:lang w:eastAsia="zh-CN"/>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分包协议</w:t>
      </w:r>
      <w:r>
        <w:rPr>
          <w:rFonts w:hint="eastAsia" w:ascii="仿宋" w:hAnsi="仿宋" w:eastAsia="仿宋" w:cs="仿宋"/>
          <w:color w:val="auto"/>
          <w:sz w:val="24"/>
          <w:highlight w:val="none"/>
        </w:rPr>
        <w:t>………………………………………………………………（页码）</w:t>
      </w:r>
    </w:p>
    <w:p w14:paraId="560A7A7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）落实政府采购政策需满足的资格要求………………………………（页码）</w:t>
      </w:r>
    </w:p>
    <w:p w14:paraId="4F2B220A">
      <w:pPr>
        <w:snapToGrid w:val="0"/>
        <w:spacing w:line="360" w:lineRule="auto"/>
        <w:ind w:firstLine="480" w:firstLineChars="200"/>
        <w:rPr>
          <w:rFonts w:hint="eastAsia" w:ascii="仿宋" w:hAnsi="仿宋" w:eastAsia="仿宋" w:cs="仿宋"/>
          <w:color w:val="auto"/>
          <w:sz w:val="24"/>
          <w:highlight w:val="none"/>
        </w:rPr>
      </w:pPr>
    </w:p>
    <w:p w14:paraId="4869CA1F">
      <w:pPr>
        <w:spacing w:line="360" w:lineRule="auto"/>
        <w:ind w:firstLine="480" w:firstLineChars="200"/>
        <w:rPr>
          <w:rFonts w:hint="eastAsia" w:ascii="仿宋" w:hAnsi="仿宋" w:eastAsia="仿宋" w:cs="仿宋"/>
          <w:color w:val="auto"/>
          <w:sz w:val="24"/>
          <w:highlight w:val="none"/>
        </w:rPr>
      </w:pPr>
    </w:p>
    <w:p w14:paraId="3FDA9E5D">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63E7CBE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42F9EC9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lang w:eastAsia="zh-CN"/>
        </w:rPr>
        <w:t>（项目名称）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】政府采购活动，郑重承诺：</w:t>
      </w:r>
    </w:p>
    <w:p w14:paraId="01B2F5FD">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277BA59B">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如投标人为</w:t>
      </w:r>
      <w:r>
        <w:rPr>
          <w:rFonts w:hint="eastAsia" w:ascii="仿宋_GB2312" w:hAnsi="仿宋_GB2312" w:eastAsia="仿宋_GB2312" w:cs="仿宋_GB2312"/>
          <w:color w:val="auto"/>
          <w:sz w:val="24"/>
          <w:highlight w:val="none"/>
        </w:rPr>
        <w:t>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42F40F4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589C069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68CF128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1213C93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470C197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4FA8A3F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5102E86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3A2CD76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6689CD5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611FD306">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48C9174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43ABA8F3">
      <w:pPr>
        <w:snapToGrid w:val="0"/>
        <w:spacing w:line="360" w:lineRule="auto"/>
        <w:ind w:right="480"/>
        <w:jc w:val="center"/>
        <w:rPr>
          <w:rFonts w:hint="eastAsia" w:ascii="仿宋" w:hAnsi="仿宋" w:eastAsia="仿宋" w:cs="仿宋"/>
          <w:b/>
          <w:color w:val="auto"/>
          <w:kern w:val="0"/>
          <w:sz w:val="32"/>
          <w:szCs w:val="32"/>
          <w:highlight w:val="none"/>
        </w:rPr>
      </w:pPr>
    </w:p>
    <w:p w14:paraId="4EEE8AA9">
      <w:pPr>
        <w:snapToGrid w:val="0"/>
        <w:spacing w:line="360" w:lineRule="auto"/>
        <w:ind w:right="480"/>
        <w:jc w:val="center"/>
        <w:rPr>
          <w:rFonts w:hint="eastAsia" w:ascii="仿宋" w:hAnsi="仿宋" w:eastAsia="仿宋" w:cs="仿宋"/>
          <w:b/>
          <w:color w:val="auto"/>
          <w:kern w:val="0"/>
          <w:sz w:val="32"/>
          <w:szCs w:val="32"/>
          <w:highlight w:val="none"/>
        </w:rPr>
      </w:pPr>
    </w:p>
    <w:p w14:paraId="1892B5D1">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CD1BD1F">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7F1BE4AC">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）；本项目不接受联合体投标或者投标人不以联合体形式投标的，则不需要提供）]</w:t>
      </w:r>
    </w:p>
    <w:p w14:paraId="3BF3A225">
      <w:pPr>
        <w:snapToGrid w:val="0"/>
        <w:spacing w:line="360" w:lineRule="auto"/>
        <w:ind w:right="480"/>
        <w:jc w:val="center"/>
        <w:rPr>
          <w:rFonts w:hint="eastAsia" w:ascii="仿宋" w:hAnsi="仿宋" w:eastAsia="仿宋" w:cs="仿宋"/>
          <w:b/>
          <w:color w:val="auto"/>
          <w:kern w:val="0"/>
          <w:sz w:val="32"/>
          <w:szCs w:val="32"/>
          <w:highlight w:val="none"/>
        </w:rPr>
      </w:pPr>
    </w:p>
    <w:p w14:paraId="0B992A0C">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6DDE878A">
      <w:pPr>
        <w:widowControl/>
        <w:spacing w:line="360" w:lineRule="auto"/>
        <w:ind w:firstLine="361" w:firstLineChars="1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[中标后以分包方式履行合同的，提供分包意向协议(附件</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)；采购人不同意分包或者投标人中标后不以分包方式履行合同的，则不需要提供。]</w:t>
      </w:r>
    </w:p>
    <w:p w14:paraId="37A64512">
      <w:pPr>
        <w:snapToGrid w:val="0"/>
        <w:spacing w:line="360" w:lineRule="auto"/>
        <w:ind w:right="480"/>
        <w:jc w:val="center"/>
        <w:rPr>
          <w:rFonts w:hint="eastAsia" w:ascii="仿宋" w:hAnsi="仿宋" w:eastAsia="仿宋" w:cs="仿宋"/>
          <w:b/>
          <w:color w:val="auto"/>
          <w:kern w:val="0"/>
          <w:sz w:val="32"/>
          <w:szCs w:val="32"/>
          <w:highlight w:val="none"/>
        </w:rPr>
      </w:pPr>
    </w:p>
    <w:p w14:paraId="1B683804">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四</w:t>
      </w:r>
      <w:r>
        <w:rPr>
          <w:rFonts w:hint="eastAsia" w:ascii="仿宋" w:hAnsi="仿宋" w:eastAsia="仿宋" w:cs="仿宋"/>
          <w:b/>
          <w:color w:val="auto"/>
          <w:kern w:val="0"/>
          <w:sz w:val="32"/>
          <w:szCs w:val="32"/>
          <w:highlight w:val="none"/>
        </w:rPr>
        <w:t>、落实政府采购政策需满足的资格要求</w:t>
      </w:r>
    </w:p>
    <w:p w14:paraId="6A71D02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7ADE2195">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0F13BB84">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r>
        <w:rPr>
          <w:rFonts w:hint="eastAsia" w:ascii="仿宋" w:hAnsi="仿宋" w:eastAsia="仿宋" w:cs="仿宋"/>
          <w:b/>
          <w:color w:val="auto"/>
          <w:sz w:val="24"/>
          <w:highlight w:val="none"/>
        </w:rPr>
        <w:t xml:space="preserve"> </w:t>
      </w:r>
    </w:p>
    <w:p w14:paraId="0DE7E802">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528C6813">
      <w:pPr>
        <w:widowControl/>
        <w:spacing w:line="360" w:lineRule="auto"/>
        <w:ind w:left="150"/>
        <w:jc w:val="center"/>
        <w:rPr>
          <w:rFonts w:hint="eastAsia" w:ascii="仿宋" w:hAnsi="仿宋" w:eastAsia="仿宋" w:cs="仿宋"/>
          <w:b/>
          <w:color w:val="auto"/>
          <w:kern w:val="0"/>
          <w:sz w:val="32"/>
          <w:szCs w:val="32"/>
          <w:highlight w:val="none"/>
        </w:rPr>
      </w:pPr>
    </w:p>
    <w:p w14:paraId="1E0B523A">
      <w:pPr>
        <w:spacing w:line="360" w:lineRule="auto"/>
        <w:jc w:val="center"/>
        <w:rPr>
          <w:rFonts w:hint="eastAsia" w:ascii="仿宋" w:hAnsi="仿宋" w:eastAsia="仿宋" w:cs="仿宋"/>
          <w:color w:val="auto"/>
          <w:sz w:val="24"/>
          <w:highlight w:val="none"/>
        </w:rPr>
      </w:pPr>
    </w:p>
    <w:p w14:paraId="0474DA05">
      <w:pPr>
        <w:pStyle w:val="25"/>
        <w:rPr>
          <w:rFonts w:hint="eastAsia"/>
          <w:color w:val="auto"/>
          <w:highlight w:val="none"/>
        </w:rPr>
      </w:pPr>
    </w:p>
    <w:p w14:paraId="324E218A">
      <w:pPr>
        <w:rPr>
          <w:rFonts w:hint="eastAsia"/>
          <w:color w:val="auto"/>
          <w:highlight w:val="none"/>
        </w:rPr>
      </w:pPr>
    </w:p>
    <w:p w14:paraId="769E5991">
      <w:pPr>
        <w:pStyle w:val="25"/>
        <w:rPr>
          <w:rFonts w:hint="eastAsia"/>
          <w:color w:val="auto"/>
          <w:highlight w:val="none"/>
        </w:rPr>
      </w:pPr>
    </w:p>
    <w:p w14:paraId="2C9B860C">
      <w:pPr>
        <w:rPr>
          <w:rFonts w:hint="eastAsia"/>
          <w:color w:val="auto"/>
          <w:highlight w:val="none"/>
        </w:rPr>
      </w:pPr>
    </w:p>
    <w:p w14:paraId="7EA00687">
      <w:pPr>
        <w:pStyle w:val="25"/>
        <w:rPr>
          <w:rFonts w:hint="eastAsia"/>
          <w:color w:val="auto"/>
          <w:highlight w:val="none"/>
        </w:rPr>
      </w:pPr>
    </w:p>
    <w:p w14:paraId="321B876A">
      <w:pPr>
        <w:rPr>
          <w:rFonts w:hint="eastAsia"/>
          <w:color w:val="auto"/>
          <w:highlight w:val="none"/>
        </w:rPr>
      </w:pPr>
    </w:p>
    <w:p w14:paraId="65CABA91">
      <w:pPr>
        <w:spacing w:line="336" w:lineRule="auto"/>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6DB2A23E">
      <w:pPr>
        <w:spacing w:line="336" w:lineRule="auto"/>
        <w:jc w:val="center"/>
        <w:outlineLvl w:val="0"/>
        <w:rPr>
          <w:rFonts w:ascii="仿宋" w:hAnsi="仿宋" w:eastAsia="仿宋" w:cs="仿宋"/>
          <w:b/>
          <w:color w:val="auto"/>
          <w:kern w:val="0"/>
          <w:sz w:val="24"/>
          <w:highlight w:val="none"/>
        </w:rPr>
      </w:pPr>
    </w:p>
    <w:p w14:paraId="47303D35">
      <w:pPr>
        <w:spacing w:line="336" w:lineRule="auto"/>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16D18E06">
      <w:pPr>
        <w:pStyle w:val="907"/>
        <w:numPr>
          <w:ilvl w:val="0"/>
          <w:numId w:val="1"/>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lang w:eastAsia="zh-CN"/>
        </w:rPr>
        <w:t>投标函</w:t>
      </w:r>
      <w:r>
        <w:rPr>
          <w:rFonts w:hint="eastAsia" w:ascii="仿宋" w:eastAsia="仿宋" w:cs="仿宋"/>
          <w:color w:val="auto"/>
          <w:highlight w:val="none"/>
        </w:rPr>
        <w:t>…………………………………………………………………………（页码）</w:t>
      </w:r>
    </w:p>
    <w:p w14:paraId="1ACFD403">
      <w:pPr>
        <w:pStyle w:val="907"/>
        <w:numPr>
          <w:ilvl w:val="0"/>
          <w:numId w:val="1"/>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rPr>
        <w:t>法定代表人授权书 ………………………………………………………… （页码）</w:t>
      </w:r>
    </w:p>
    <w:p w14:paraId="46C8D878">
      <w:pPr>
        <w:pStyle w:val="907"/>
        <w:numPr>
          <w:ilvl w:val="0"/>
          <w:numId w:val="1"/>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rPr>
        <w:t>法定代表人及其授权代表身份证复印件（复印件）………………………（页码）</w:t>
      </w:r>
    </w:p>
    <w:p w14:paraId="2F7D18D3">
      <w:pPr>
        <w:pStyle w:val="907"/>
        <w:numPr>
          <w:ilvl w:val="0"/>
          <w:numId w:val="1"/>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rPr>
        <w:t>法定代表人身份证明书………………………………………………………（页码）</w:t>
      </w:r>
    </w:p>
    <w:p w14:paraId="2CA155B7">
      <w:pPr>
        <w:pStyle w:val="907"/>
        <w:numPr>
          <w:ilvl w:val="0"/>
          <w:numId w:val="1"/>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rPr>
        <w:t>商务技术</w:t>
      </w:r>
      <w:r>
        <w:rPr>
          <w:rFonts w:hint="eastAsia" w:ascii="仿宋" w:eastAsia="仿宋" w:cs="仿宋"/>
          <w:color w:val="auto"/>
          <w:highlight w:val="none"/>
          <w:lang w:eastAsia="zh-CN"/>
        </w:rPr>
        <w:t>偏离表</w:t>
      </w:r>
      <w:r>
        <w:rPr>
          <w:rFonts w:hint="eastAsia" w:ascii="仿宋" w:eastAsia="仿宋" w:cs="仿宋"/>
          <w:color w:val="auto"/>
          <w:highlight w:val="none"/>
        </w:rPr>
        <w:t>………………………………………………………………（页码）</w:t>
      </w:r>
    </w:p>
    <w:p w14:paraId="199E32CA">
      <w:pPr>
        <w:pStyle w:val="907"/>
        <w:numPr>
          <w:ilvl w:val="0"/>
          <w:numId w:val="1"/>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lang w:val="en-US" w:eastAsia="zh-CN"/>
        </w:rPr>
        <w:t>其他内容</w:t>
      </w:r>
      <w:r>
        <w:rPr>
          <w:rFonts w:hint="eastAsia" w:ascii="仿宋" w:eastAsia="仿宋" w:cs="仿宋"/>
          <w:color w:val="auto"/>
          <w:highlight w:val="none"/>
        </w:rPr>
        <w:t>………………………………………………………………………（页码）</w:t>
      </w:r>
    </w:p>
    <w:p w14:paraId="4DDF6BE3">
      <w:pPr>
        <w:snapToGrid w:val="0"/>
        <w:spacing w:line="360" w:lineRule="auto"/>
        <w:jc w:val="center"/>
        <w:rPr>
          <w:rFonts w:hint="eastAsia" w:ascii="仿宋" w:hAnsi="仿宋" w:eastAsia="仿宋" w:cs="仿宋"/>
          <w:b/>
          <w:color w:val="auto"/>
          <w:kern w:val="0"/>
          <w:sz w:val="32"/>
          <w:szCs w:val="32"/>
          <w:highlight w:val="none"/>
          <w:lang w:val="zh-CN"/>
        </w:rPr>
      </w:pPr>
    </w:p>
    <w:p w14:paraId="3DCC3BEE">
      <w:pPr>
        <w:snapToGrid w:val="0"/>
        <w:spacing w:line="360" w:lineRule="auto"/>
        <w:jc w:val="center"/>
        <w:rPr>
          <w:rFonts w:hint="eastAsia" w:ascii="仿宋" w:hAnsi="仿宋" w:eastAsia="仿宋" w:cs="仿宋"/>
          <w:b/>
          <w:color w:val="auto"/>
          <w:kern w:val="0"/>
          <w:sz w:val="32"/>
          <w:szCs w:val="32"/>
          <w:highlight w:val="none"/>
          <w:lang w:val="zh-CN"/>
        </w:rPr>
      </w:pPr>
    </w:p>
    <w:p w14:paraId="3D244B47">
      <w:pPr>
        <w:snapToGrid w:val="0"/>
        <w:spacing w:line="360" w:lineRule="auto"/>
        <w:jc w:val="center"/>
        <w:rPr>
          <w:rFonts w:hint="eastAsia" w:ascii="仿宋" w:hAnsi="仿宋" w:eastAsia="仿宋" w:cs="仿宋"/>
          <w:b/>
          <w:color w:val="auto"/>
          <w:kern w:val="0"/>
          <w:sz w:val="32"/>
          <w:szCs w:val="32"/>
          <w:highlight w:val="none"/>
          <w:lang w:val="zh-CN"/>
        </w:rPr>
      </w:pPr>
    </w:p>
    <w:p w14:paraId="686400A8">
      <w:pPr>
        <w:snapToGrid w:val="0"/>
        <w:spacing w:line="360" w:lineRule="auto"/>
        <w:jc w:val="both"/>
        <w:rPr>
          <w:rFonts w:hint="eastAsia" w:ascii="仿宋" w:hAnsi="仿宋" w:eastAsia="仿宋" w:cs="仿宋"/>
          <w:b/>
          <w:color w:val="auto"/>
          <w:kern w:val="0"/>
          <w:sz w:val="32"/>
          <w:szCs w:val="32"/>
          <w:highlight w:val="none"/>
          <w:lang w:val="zh-CN"/>
        </w:rPr>
      </w:pPr>
    </w:p>
    <w:p w14:paraId="62EC8B8F">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9B4FDE7">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41F36F8C">
      <w:pPr>
        <w:pStyle w:val="398"/>
        <w:keepNext w:val="0"/>
        <w:keepLines w:val="0"/>
        <w:pageBreakBefore w:val="0"/>
        <w:kinsoku/>
        <w:wordWrap/>
        <w:overflowPunct/>
        <w:topLinePunct w:val="0"/>
        <w:autoSpaceDE/>
        <w:autoSpaceDN/>
        <w:bidi w:val="0"/>
        <w:spacing w:after="0" w:line="336"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lang w:val="en-US" w:eastAsia="zh-CN"/>
        </w:rPr>
        <w:t xml:space="preserve">              </w:t>
      </w:r>
    </w:p>
    <w:p w14:paraId="16C03A26">
      <w:pPr>
        <w:pStyle w:val="398"/>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根据贵方招标文件（</w:t>
      </w:r>
      <w:r>
        <w:rPr>
          <w:rFonts w:hint="eastAsia" w:ascii="仿宋" w:hAnsi="仿宋" w:eastAsia="仿宋" w:cs="仿宋"/>
          <w:b/>
          <w:color w:val="auto"/>
          <w:sz w:val="24"/>
          <w:szCs w:val="24"/>
          <w:highlight w:val="none"/>
          <w:u w:val="single"/>
        </w:rPr>
        <w:t>填写</w:t>
      </w:r>
      <w:r>
        <w:rPr>
          <w:rFonts w:hint="eastAsia" w:ascii="仿宋" w:hAnsi="仿宋" w:eastAsia="仿宋" w:cs="仿宋"/>
          <w:b/>
          <w:color w:val="auto"/>
          <w:sz w:val="24"/>
          <w:szCs w:val="24"/>
          <w:highlight w:val="none"/>
          <w:u w:val="single"/>
          <w:lang w:eastAsia="zh-CN"/>
        </w:rPr>
        <w:t>项目编号</w:t>
      </w:r>
      <w:r>
        <w:rPr>
          <w:rFonts w:hint="eastAsia" w:ascii="仿宋" w:hAnsi="仿宋" w:eastAsia="仿宋" w:cs="仿宋"/>
          <w:b/>
          <w:color w:val="auto"/>
          <w:sz w:val="24"/>
          <w:szCs w:val="24"/>
          <w:highlight w:val="none"/>
          <w:u w:val="single"/>
        </w:rPr>
        <w:t>：</w:t>
      </w:r>
      <w:r>
        <w:rPr>
          <w:rFonts w:hint="eastAsia" w:ascii="仿宋" w:hAnsi="仿宋" w:eastAsia="仿宋" w:cs="仿宋"/>
          <w:color w:val="auto"/>
          <w:sz w:val="24"/>
          <w:szCs w:val="24"/>
          <w:highlight w:val="none"/>
        </w:rPr>
        <w:t>）的要求，正式授权</w:t>
      </w:r>
      <w:r>
        <w:rPr>
          <w:rFonts w:hint="eastAsia" w:ascii="仿宋" w:hAnsi="仿宋" w:eastAsia="仿宋" w:cs="仿宋"/>
          <w:b/>
          <w:color w:val="auto"/>
          <w:sz w:val="24"/>
          <w:szCs w:val="24"/>
          <w:highlight w:val="none"/>
          <w:u w:val="single"/>
        </w:rPr>
        <w:t>（全权代表姓名    、单位    、职务   ）</w:t>
      </w:r>
      <w:r>
        <w:rPr>
          <w:rFonts w:hint="eastAsia" w:ascii="仿宋" w:hAnsi="仿宋" w:eastAsia="仿宋" w:cs="仿宋"/>
          <w:color w:val="auto"/>
          <w:sz w:val="24"/>
          <w:szCs w:val="24"/>
          <w:highlight w:val="none"/>
        </w:rPr>
        <w:t>代表投标人</w:t>
      </w:r>
      <w:r>
        <w:rPr>
          <w:rFonts w:hint="eastAsia" w:ascii="仿宋" w:hAnsi="仿宋" w:eastAsia="仿宋" w:cs="仿宋"/>
          <w:color w:val="auto"/>
          <w:sz w:val="24"/>
          <w:szCs w:val="24"/>
          <w:highlight w:val="none"/>
          <w:u w:val="single"/>
        </w:rPr>
        <w:t>（</w:t>
      </w:r>
      <w:r>
        <w:rPr>
          <w:rFonts w:hint="eastAsia" w:ascii="仿宋" w:hAnsi="仿宋" w:eastAsia="仿宋" w:cs="仿宋"/>
          <w:b/>
          <w:color w:val="auto"/>
          <w:sz w:val="24"/>
          <w:szCs w:val="24"/>
          <w:highlight w:val="none"/>
          <w:u w:val="single"/>
        </w:rPr>
        <w:t xml:space="preserve">填写单位    、地址   </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提交投标文件。</w:t>
      </w:r>
    </w:p>
    <w:p w14:paraId="64B1A3EB">
      <w:pPr>
        <w:pStyle w:val="398"/>
        <w:keepNext w:val="0"/>
        <w:keepLines w:val="0"/>
        <w:pageBreakBefore w:val="0"/>
        <w:kinsoku/>
        <w:wordWrap/>
        <w:overflowPunct/>
        <w:topLinePunct w:val="0"/>
        <w:autoSpaceDE/>
        <w:autoSpaceDN/>
        <w:bidi w:val="0"/>
        <w:spacing w:after="0" w:afterLines="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我方已完全明白招标文件的所有条款要求，兹声明同意如下：</w:t>
      </w:r>
    </w:p>
    <w:p w14:paraId="51BBF8F4">
      <w:pPr>
        <w:pStyle w:val="14"/>
        <w:keepNext w:val="0"/>
        <w:keepLines w:val="0"/>
        <w:pageBreakBefore w:val="0"/>
        <w:tabs>
          <w:tab w:val="clear" w:pos="1697"/>
        </w:tabs>
        <w:kinsoku/>
        <w:wordWrap/>
        <w:overflowPunct/>
        <w:topLinePunct w:val="0"/>
        <w:autoSpaceDE/>
        <w:autoSpaceDN/>
        <w:bidi w:val="0"/>
        <w:spacing w:after="0" w:afterLines="0" w:line="336"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1.我方同意在投标人</w:t>
      </w:r>
      <w:r>
        <w:rPr>
          <w:rFonts w:hint="eastAsia" w:ascii="仿宋" w:hAnsi="仿宋" w:eastAsia="仿宋" w:cs="仿宋"/>
          <w:color w:val="auto"/>
          <w:kern w:val="44"/>
          <w:sz w:val="24"/>
          <w:szCs w:val="24"/>
          <w:highlight w:val="none"/>
        </w:rPr>
        <w:t>须知</w:t>
      </w:r>
      <w:r>
        <w:rPr>
          <w:rFonts w:hint="eastAsia" w:ascii="仿宋" w:hAnsi="仿宋" w:eastAsia="仿宋" w:cs="仿宋"/>
          <w:color w:val="auto"/>
          <w:sz w:val="24"/>
          <w:szCs w:val="24"/>
          <w:highlight w:val="none"/>
        </w:rPr>
        <w:t>规定的开标日期起遵守本投标文件中的承诺且在投标有效期满之前均具有约束力。</w:t>
      </w:r>
    </w:p>
    <w:p w14:paraId="0B810FB9">
      <w:pPr>
        <w:pStyle w:val="398"/>
        <w:keepNext w:val="0"/>
        <w:keepLines w:val="0"/>
        <w:pageBreakBefore w:val="0"/>
        <w:kinsoku/>
        <w:wordWrap/>
        <w:overflowPunct/>
        <w:topLinePunct w:val="0"/>
        <w:autoSpaceDE/>
        <w:autoSpaceDN/>
        <w:bidi w:val="0"/>
        <w:spacing w:after="0" w:afterLines="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2.我方承诺已经具备《中华人民共和国政府采购法》中规定的参加政府采购活动的供应商应当具备的条件。</w:t>
      </w:r>
    </w:p>
    <w:p w14:paraId="055E4BE3">
      <w:pPr>
        <w:pStyle w:val="398"/>
        <w:keepNext w:val="0"/>
        <w:keepLines w:val="0"/>
        <w:pageBreakBefore w:val="0"/>
        <w:kinsoku/>
        <w:wordWrap/>
        <w:overflowPunct/>
        <w:topLinePunct w:val="0"/>
        <w:autoSpaceDE/>
        <w:autoSpaceDN/>
        <w:bidi w:val="0"/>
        <w:spacing w:after="0" w:afterLines="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3.本公司投标文件中填列的技术参数、配置、服务、数量等相关内容都是真实、准确的。保证在本次项目中所提供的资料全部真实和合法。同意向</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提供可能另外要求的与投标有关的任何数据或资料。</w:t>
      </w:r>
    </w:p>
    <w:p w14:paraId="4C37376C">
      <w:pPr>
        <w:pStyle w:val="398"/>
        <w:keepNext w:val="0"/>
        <w:keepLines w:val="0"/>
        <w:pageBreakBefore w:val="0"/>
        <w:kinsoku/>
        <w:wordWrap/>
        <w:overflowPunct/>
        <w:topLinePunct w:val="0"/>
        <w:autoSpaceDE/>
        <w:autoSpaceDN/>
        <w:bidi w:val="0"/>
        <w:spacing w:after="0" w:afterLines="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4.我方理解贵方将不受你们所收到的最低报价的约束。</w:t>
      </w:r>
    </w:p>
    <w:p w14:paraId="0534D588">
      <w:pPr>
        <w:pStyle w:val="14"/>
        <w:keepNext w:val="0"/>
        <w:keepLines w:val="0"/>
        <w:pageBreakBefore w:val="0"/>
        <w:tabs>
          <w:tab w:val="clear" w:pos="1697"/>
        </w:tabs>
        <w:kinsoku/>
        <w:wordWrap/>
        <w:overflowPunct/>
        <w:topLinePunct w:val="0"/>
        <w:autoSpaceDE/>
        <w:autoSpaceDN/>
        <w:bidi w:val="0"/>
        <w:spacing w:after="0" w:afterLines="0" w:line="336"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5.本投标自开标之日（投标截止之日）起90天内有效。</w:t>
      </w:r>
    </w:p>
    <w:p w14:paraId="3BB64698">
      <w:pPr>
        <w:pStyle w:val="398"/>
        <w:keepNext w:val="0"/>
        <w:keepLines w:val="0"/>
        <w:pageBreakBefore w:val="0"/>
        <w:kinsoku/>
        <w:wordWrap/>
        <w:overflowPunct/>
        <w:topLinePunct w:val="0"/>
        <w:autoSpaceDE/>
        <w:autoSpaceDN/>
        <w:bidi w:val="0"/>
        <w:spacing w:after="0" w:afterLines="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51A6D615">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a)提供虚假材料谋取中标、成交的；</w:t>
      </w:r>
    </w:p>
    <w:p w14:paraId="4C614730">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b)采取不正当手段诋毁、排挤其他供应商的；</w:t>
      </w:r>
    </w:p>
    <w:p w14:paraId="6E763CB5">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c)与采购人、其它供应商或者采购代理机构恶意串通的；</w:t>
      </w:r>
    </w:p>
    <w:p w14:paraId="41BD933B">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d)向采购人、采购代理机构行贿或者提供其他不正当利益的；</w:t>
      </w:r>
    </w:p>
    <w:p w14:paraId="57DD2F37">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e)在招标采购过程中与采购人进行协商谈判的；</w:t>
      </w:r>
    </w:p>
    <w:p w14:paraId="2CA10C5B">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f)拒绝有关部门监督检查或提供虚假情况的。</w:t>
      </w:r>
    </w:p>
    <w:p w14:paraId="5F18A672">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供应商有前款第a)至e)项情形之一的，中标、成交无效。</w:t>
      </w:r>
    </w:p>
    <w:p w14:paraId="2EB70044">
      <w:pPr>
        <w:pStyle w:val="398"/>
        <w:keepNext w:val="0"/>
        <w:keepLines w:val="0"/>
        <w:pageBreakBefore w:val="0"/>
        <w:kinsoku/>
        <w:wordWrap/>
        <w:overflowPunct/>
        <w:topLinePunct w:val="0"/>
        <w:autoSpaceDE/>
        <w:autoSpaceDN/>
        <w:bidi w:val="0"/>
        <w:adjustRightInd w:val="0"/>
        <w:snapToGrid w:val="0"/>
        <w:spacing w:after="0" w:afterLines="0" w:line="24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　　　　　　　　　　　　　　　邮政编码：</w:t>
      </w:r>
    </w:p>
    <w:p w14:paraId="56645BE2">
      <w:pPr>
        <w:pStyle w:val="398"/>
        <w:keepNext w:val="0"/>
        <w:keepLines w:val="0"/>
        <w:pageBreakBefore w:val="0"/>
        <w:kinsoku/>
        <w:wordWrap/>
        <w:overflowPunct/>
        <w:topLinePunct w:val="0"/>
        <w:autoSpaceDE/>
        <w:autoSpaceDN/>
        <w:bidi w:val="0"/>
        <w:adjustRightInd w:val="0"/>
        <w:snapToGrid w:val="0"/>
        <w:spacing w:after="0" w:afterLines="0" w:line="24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                              传真：</w:t>
      </w:r>
    </w:p>
    <w:p w14:paraId="1C7EF6F2">
      <w:pPr>
        <w:pStyle w:val="398"/>
        <w:keepNext w:val="0"/>
        <w:keepLines w:val="0"/>
        <w:pageBreakBefore w:val="0"/>
        <w:kinsoku/>
        <w:wordWrap/>
        <w:overflowPunct/>
        <w:topLinePunct w:val="0"/>
        <w:autoSpaceDE/>
        <w:autoSpaceDN/>
        <w:bidi w:val="0"/>
        <w:adjustRightInd w:val="0"/>
        <w:snapToGrid w:val="0"/>
        <w:spacing w:after="0" w:afterLines="0" w:line="24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                          帐号：</w:t>
      </w:r>
    </w:p>
    <w:p w14:paraId="1EEB4E7B">
      <w:pPr>
        <w:pStyle w:val="398"/>
        <w:keepNext w:val="0"/>
        <w:keepLines w:val="0"/>
        <w:pageBreakBefore w:val="0"/>
        <w:kinsoku/>
        <w:wordWrap/>
        <w:overflowPunct/>
        <w:topLinePunct w:val="0"/>
        <w:autoSpaceDE/>
        <w:autoSpaceDN/>
        <w:bidi w:val="0"/>
        <w:adjustRightInd w:val="0"/>
        <w:snapToGrid w:val="0"/>
        <w:spacing w:after="0" w:afterLines="0" w:line="24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法定代表人或其授权代表(签字或盖章)：</w:t>
      </w:r>
    </w:p>
    <w:p w14:paraId="1A89042A">
      <w:pPr>
        <w:keepNext w:val="0"/>
        <w:keepLines w:val="0"/>
        <w:pageBreakBefore w:val="0"/>
        <w:kinsoku/>
        <w:wordWrap/>
        <w:overflowPunct/>
        <w:topLinePunct w:val="0"/>
        <w:autoSpaceDE/>
        <w:autoSpaceDN/>
        <w:bidi w:val="0"/>
        <w:adjustRightInd w:val="0"/>
        <w:snapToGrid w:val="0"/>
        <w:spacing w:line="240" w:lineRule="auto"/>
        <w:ind w:firstLine="480" w:firstLineChars="200"/>
        <w:jc w:val="left"/>
        <w:textAlignment w:val="auto"/>
        <w:rPr>
          <w:rFonts w:hint="eastAsia" w:ascii="仿宋" w:hAnsi="仿宋" w:eastAsia="仿宋" w:cs="仿宋"/>
          <w:b/>
          <w:color w:val="auto"/>
          <w:kern w:val="0"/>
          <w:sz w:val="32"/>
          <w:szCs w:val="32"/>
          <w:highlight w:val="none"/>
        </w:rPr>
      </w:pPr>
      <w:r>
        <w:rPr>
          <w:rFonts w:hint="eastAsia" w:ascii="仿宋" w:hAnsi="仿宋" w:eastAsia="仿宋" w:cs="仿宋"/>
          <w:color w:val="auto"/>
          <w:sz w:val="24"/>
          <w:szCs w:val="24"/>
          <w:highlight w:val="none"/>
        </w:rPr>
        <w:t xml:space="preserve">投标人(电子签章)：　　　　　　　　　日期：  </w:t>
      </w:r>
    </w:p>
    <w:p w14:paraId="465A2904">
      <w:pPr>
        <w:pageBreakBefore/>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eastAsia="zh-CN"/>
        </w:rPr>
        <w:t>二</w:t>
      </w:r>
      <w:r>
        <w:rPr>
          <w:rFonts w:hint="eastAsia" w:ascii="仿宋" w:hAnsi="仿宋" w:eastAsia="仿宋" w:cs="仿宋"/>
          <w:b/>
          <w:color w:val="auto"/>
          <w:sz w:val="30"/>
          <w:szCs w:val="30"/>
          <w:highlight w:val="none"/>
        </w:rPr>
        <w:t xml:space="preserve">、法定代表人授权委托书（格式） </w:t>
      </w:r>
      <w:r>
        <w:rPr>
          <w:rFonts w:hint="eastAsia" w:ascii="仿宋" w:hAnsi="仿宋" w:eastAsia="仿宋" w:cs="仿宋"/>
          <w:b/>
          <w:color w:val="auto"/>
          <w:kern w:val="0"/>
          <w:sz w:val="32"/>
          <w:szCs w:val="32"/>
          <w:highlight w:val="none"/>
          <w:lang w:val="zh-CN"/>
        </w:rPr>
        <w:t>（适用于非联合体投标）</w:t>
      </w:r>
    </w:p>
    <w:p w14:paraId="48757C56">
      <w:pPr>
        <w:jc w:val="center"/>
        <w:rPr>
          <w:rFonts w:hint="eastAsia" w:ascii="仿宋" w:hAnsi="仿宋" w:eastAsia="仿宋" w:cs="仿宋"/>
          <w:b/>
          <w:color w:val="auto"/>
          <w:sz w:val="24"/>
          <w:highlight w:val="none"/>
        </w:rPr>
      </w:pPr>
    </w:p>
    <w:p w14:paraId="6BFFB17D">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本授权委托书声明：我</w:t>
      </w:r>
      <w:r>
        <w:rPr>
          <w:rFonts w:hint="eastAsia" w:ascii="仿宋" w:hAnsi="仿宋" w:eastAsia="仿宋" w:cs="仿宋"/>
          <w:color w:val="auto"/>
          <w:sz w:val="24"/>
          <w:highlight w:val="none"/>
          <w:u w:val="single"/>
        </w:rPr>
        <w:t xml:space="preserve">         (填写姓名)</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（填写投标人单位全称）</w:t>
      </w:r>
      <w:r>
        <w:rPr>
          <w:rFonts w:hint="eastAsia" w:ascii="仿宋" w:hAnsi="仿宋" w:eastAsia="仿宋" w:cs="仿宋"/>
          <w:color w:val="auto"/>
          <w:sz w:val="24"/>
          <w:highlight w:val="none"/>
        </w:rPr>
        <w:t>的法定代表人，现授权委托</w:t>
      </w:r>
      <w:r>
        <w:rPr>
          <w:rFonts w:hint="eastAsia" w:ascii="仿宋" w:hAnsi="仿宋" w:eastAsia="仿宋" w:cs="仿宋"/>
          <w:color w:val="auto"/>
          <w:sz w:val="24"/>
          <w:highlight w:val="none"/>
          <w:u w:val="single"/>
        </w:rPr>
        <w:t xml:space="preserve">                  （填写单位全称）</w:t>
      </w:r>
      <w:r>
        <w:rPr>
          <w:rFonts w:hint="eastAsia" w:ascii="仿宋" w:hAnsi="仿宋" w:eastAsia="仿宋" w:cs="仿宋"/>
          <w:color w:val="auto"/>
          <w:sz w:val="24"/>
          <w:highlight w:val="none"/>
        </w:rPr>
        <w:t>的（填写姓名）为我公司授权代表，</w:t>
      </w:r>
      <w:r>
        <w:rPr>
          <w:rFonts w:hint="eastAsia" w:ascii="仿宋" w:hAnsi="仿宋" w:eastAsia="仿宋" w:cs="仿宋"/>
          <w:color w:val="auto"/>
          <w:sz w:val="24"/>
          <w:highlight w:val="none"/>
          <w:u w:val="single"/>
        </w:rPr>
        <w:t>（填写身份证号码：                       ）</w:t>
      </w:r>
      <w:r>
        <w:rPr>
          <w:rFonts w:hint="eastAsia" w:ascii="仿宋" w:hAnsi="仿宋" w:eastAsia="仿宋" w:cs="仿宋"/>
          <w:color w:val="auto"/>
          <w:sz w:val="24"/>
          <w:highlight w:val="none"/>
        </w:rPr>
        <w:t>。以本公司的名义参加</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组织的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投标活动。授权代表在开标、评标、合同谈判过程中所签署的一切文件和处理与之有关的一切事务，我均予以承认。</w:t>
      </w:r>
    </w:p>
    <w:p w14:paraId="00DBC7DA">
      <w:pPr>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在撤销授权的书面通知以前，本授权书一直有效。全权代表在授权书有效期内签署的所有文件不因授权的撤销而失效。</w:t>
      </w:r>
    </w:p>
    <w:p w14:paraId="7A89142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授权代表无转委托权。特此委托。</w:t>
      </w:r>
    </w:p>
    <w:p w14:paraId="31EC96AF">
      <w:pPr>
        <w:snapToGrid w:val="0"/>
        <w:spacing w:line="600" w:lineRule="exact"/>
        <w:jc w:val="left"/>
        <w:rPr>
          <w:rFonts w:hint="eastAsia" w:ascii="仿宋" w:hAnsi="仿宋" w:eastAsia="仿宋" w:cs="仿宋"/>
          <w:color w:val="auto"/>
          <w:sz w:val="24"/>
          <w:highlight w:val="none"/>
        </w:rPr>
      </w:pPr>
    </w:p>
    <w:p w14:paraId="3417CAC2">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授权代表姓名：              性别：               年龄：</w:t>
      </w:r>
    </w:p>
    <w:p w14:paraId="10C72EE9">
      <w:pPr>
        <w:spacing w:line="360" w:lineRule="exact"/>
        <w:rPr>
          <w:rFonts w:hint="eastAsia" w:ascii="仿宋" w:hAnsi="仿宋" w:eastAsia="仿宋" w:cs="仿宋"/>
          <w:color w:val="auto"/>
          <w:sz w:val="24"/>
          <w:highlight w:val="none"/>
        </w:rPr>
      </w:pPr>
    </w:p>
    <w:p w14:paraId="3A9F6D69">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单位：                      部门：               职务：</w:t>
      </w:r>
    </w:p>
    <w:p w14:paraId="4B7021CA">
      <w:pPr>
        <w:spacing w:line="360" w:lineRule="exact"/>
        <w:rPr>
          <w:rFonts w:hint="eastAsia" w:ascii="仿宋" w:hAnsi="仿宋" w:eastAsia="仿宋" w:cs="仿宋"/>
          <w:color w:val="auto"/>
          <w:sz w:val="24"/>
          <w:highlight w:val="none"/>
        </w:rPr>
      </w:pPr>
    </w:p>
    <w:p w14:paraId="2E6E9AAD">
      <w:pPr>
        <w:widowControl/>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办公地址：                  联系电话：           传真：</w:t>
      </w:r>
    </w:p>
    <w:p w14:paraId="04A9E9AE">
      <w:pPr>
        <w:spacing w:line="360" w:lineRule="exact"/>
        <w:rPr>
          <w:rFonts w:hint="eastAsia" w:ascii="仿宋" w:hAnsi="仿宋" w:eastAsia="仿宋" w:cs="仿宋"/>
          <w:color w:val="auto"/>
          <w:sz w:val="24"/>
          <w:highlight w:val="none"/>
        </w:rPr>
      </w:pPr>
    </w:p>
    <w:p w14:paraId="00BEA9B7">
      <w:pPr>
        <w:spacing w:line="360" w:lineRule="exact"/>
        <w:rPr>
          <w:rFonts w:hint="eastAsia" w:ascii="仿宋" w:hAnsi="仿宋" w:eastAsia="仿宋" w:cs="仿宋"/>
          <w:color w:val="auto"/>
          <w:sz w:val="24"/>
          <w:highlight w:val="none"/>
        </w:rPr>
      </w:pPr>
    </w:p>
    <w:p w14:paraId="04F7734C">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投标人（电子签章）：</w:t>
      </w:r>
    </w:p>
    <w:p w14:paraId="4E177733">
      <w:pPr>
        <w:spacing w:line="360" w:lineRule="exact"/>
        <w:rPr>
          <w:rFonts w:hint="eastAsia" w:ascii="仿宋" w:hAnsi="仿宋" w:eastAsia="仿宋" w:cs="仿宋"/>
          <w:color w:val="auto"/>
          <w:sz w:val="24"/>
          <w:highlight w:val="none"/>
        </w:rPr>
      </w:pPr>
    </w:p>
    <w:p w14:paraId="04FC7A69">
      <w:pPr>
        <w:spacing w:line="360" w:lineRule="exact"/>
        <w:rPr>
          <w:rFonts w:hint="eastAsia" w:ascii="仿宋" w:hAnsi="仿宋" w:eastAsia="仿宋" w:cs="仿宋"/>
          <w:color w:val="auto"/>
          <w:sz w:val="24"/>
          <w:highlight w:val="none"/>
        </w:rPr>
      </w:pPr>
    </w:p>
    <w:p w14:paraId="6F5E0B0E">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法定代表人（签字或盖章）：</w:t>
      </w:r>
    </w:p>
    <w:p w14:paraId="784639DB">
      <w:pPr>
        <w:spacing w:line="360" w:lineRule="exact"/>
        <w:rPr>
          <w:rFonts w:hint="eastAsia" w:ascii="仿宋" w:hAnsi="仿宋" w:eastAsia="仿宋" w:cs="仿宋"/>
          <w:color w:val="auto"/>
          <w:sz w:val="24"/>
          <w:highlight w:val="none"/>
        </w:rPr>
      </w:pPr>
    </w:p>
    <w:p w14:paraId="728835DA">
      <w:pPr>
        <w:spacing w:line="360" w:lineRule="exact"/>
        <w:rPr>
          <w:rFonts w:hint="eastAsia" w:ascii="仿宋" w:hAnsi="仿宋" w:eastAsia="仿宋" w:cs="仿宋"/>
          <w:color w:val="auto"/>
          <w:sz w:val="24"/>
          <w:highlight w:val="none"/>
        </w:rPr>
      </w:pPr>
    </w:p>
    <w:p w14:paraId="0A5E0A52">
      <w:pPr>
        <w:ind w:firstLine="5280" w:firstLineChars="2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6675F96C">
      <w:pPr>
        <w:ind w:firstLine="4920" w:firstLineChars="2050"/>
        <w:jc w:val="left"/>
        <w:rPr>
          <w:rFonts w:hint="eastAsia" w:ascii="仿宋" w:hAnsi="仿宋" w:eastAsia="仿宋" w:cs="仿宋"/>
          <w:color w:val="auto"/>
          <w:sz w:val="24"/>
          <w:highlight w:val="none"/>
        </w:rPr>
      </w:pPr>
    </w:p>
    <w:p w14:paraId="1D28192B">
      <w:pPr>
        <w:spacing w:line="800" w:lineRule="exact"/>
        <w:rPr>
          <w:rFonts w:hint="eastAsia" w:ascii="仿宋" w:hAnsi="仿宋" w:eastAsia="仿宋" w:cs="仿宋"/>
          <w:b/>
          <w:color w:val="auto"/>
          <w:sz w:val="24"/>
          <w:highlight w:val="none"/>
        </w:rPr>
      </w:pPr>
    </w:p>
    <w:p w14:paraId="7FE9B8D6">
      <w:pPr>
        <w:spacing w:line="800" w:lineRule="exact"/>
        <w:rPr>
          <w:rFonts w:hint="eastAsia" w:ascii="仿宋" w:hAnsi="仿宋" w:eastAsia="仿宋" w:cs="仿宋"/>
          <w:b/>
          <w:color w:val="auto"/>
          <w:sz w:val="24"/>
          <w:highlight w:val="none"/>
        </w:rPr>
      </w:pPr>
    </w:p>
    <w:p w14:paraId="097E0C52">
      <w:pPr>
        <w:pageBreakBefore/>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 xml:space="preserve">法定代表人授权委托书（格式） </w:t>
      </w:r>
      <w:r>
        <w:rPr>
          <w:rFonts w:hint="eastAsia" w:ascii="仿宋" w:hAnsi="仿宋" w:eastAsia="仿宋" w:cs="仿宋"/>
          <w:b/>
          <w:color w:val="auto"/>
          <w:kern w:val="0"/>
          <w:sz w:val="32"/>
          <w:szCs w:val="32"/>
          <w:highlight w:val="none"/>
          <w:lang w:val="zh-CN"/>
        </w:rPr>
        <w:t>（适用于联合体投标）</w:t>
      </w:r>
    </w:p>
    <w:p w14:paraId="3F4792B9">
      <w:pPr>
        <w:jc w:val="center"/>
        <w:rPr>
          <w:rFonts w:hint="eastAsia" w:ascii="仿宋" w:hAnsi="仿宋" w:eastAsia="仿宋" w:cs="仿宋"/>
          <w:b/>
          <w:color w:val="auto"/>
          <w:sz w:val="24"/>
          <w:highlight w:val="none"/>
        </w:rPr>
      </w:pPr>
    </w:p>
    <w:p w14:paraId="0261F95F">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本授权委托书声明：</w:t>
      </w:r>
    </w:p>
    <w:p w14:paraId="7F5451F4">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现授权委托</w:t>
      </w:r>
      <w:r>
        <w:rPr>
          <w:rFonts w:hint="eastAsia" w:ascii="仿宋" w:hAnsi="仿宋" w:eastAsia="仿宋" w:cs="仿宋"/>
          <w:color w:val="auto"/>
          <w:sz w:val="24"/>
          <w:highlight w:val="none"/>
          <w:u w:val="single"/>
        </w:rPr>
        <w:t xml:space="preserve">                  （填写单位全称）</w:t>
      </w:r>
      <w:r>
        <w:rPr>
          <w:rFonts w:hint="eastAsia" w:ascii="仿宋" w:hAnsi="仿宋" w:eastAsia="仿宋" w:cs="仿宋"/>
          <w:color w:val="auto"/>
          <w:sz w:val="24"/>
          <w:highlight w:val="none"/>
        </w:rPr>
        <w:t>的（填写姓名）为我方授权代表，</w:t>
      </w:r>
      <w:r>
        <w:rPr>
          <w:rFonts w:hint="eastAsia" w:ascii="仿宋" w:hAnsi="仿宋" w:eastAsia="仿宋" w:cs="仿宋"/>
          <w:color w:val="auto"/>
          <w:sz w:val="24"/>
          <w:highlight w:val="none"/>
          <w:u w:val="single"/>
        </w:rPr>
        <w:t>（填写身份证号码：                       ）</w:t>
      </w:r>
      <w:r>
        <w:rPr>
          <w:rFonts w:hint="eastAsia" w:ascii="仿宋" w:hAnsi="仿宋" w:eastAsia="仿宋" w:cs="仿宋"/>
          <w:color w:val="auto"/>
          <w:sz w:val="24"/>
          <w:highlight w:val="none"/>
        </w:rPr>
        <w:t>。以我方的名义参加</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组织的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投标活动。授权代表在开标、评标、合同谈判过程中所签署的一切文件和处理与之有关的一切事务，我均予以承认。</w:t>
      </w:r>
    </w:p>
    <w:p w14:paraId="2EB6F5BD">
      <w:pPr>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在撤销授权的书面通知以前，本授权书一直有效。全权代表在授权书有效期内签署的所有文件不因授权的撤销而失效。</w:t>
      </w:r>
    </w:p>
    <w:p w14:paraId="3A8E93E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授权代表无转委托权。特此委托。</w:t>
      </w:r>
    </w:p>
    <w:p w14:paraId="2C379A17">
      <w:pPr>
        <w:snapToGrid w:val="0"/>
        <w:spacing w:line="600" w:lineRule="exact"/>
        <w:jc w:val="left"/>
        <w:rPr>
          <w:rFonts w:hint="eastAsia" w:ascii="仿宋" w:hAnsi="仿宋" w:eastAsia="仿宋" w:cs="仿宋"/>
          <w:color w:val="auto"/>
          <w:sz w:val="24"/>
          <w:highlight w:val="none"/>
        </w:rPr>
      </w:pPr>
    </w:p>
    <w:p w14:paraId="7B48AF19">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授权代表姓名：              性别：               年龄：</w:t>
      </w:r>
    </w:p>
    <w:p w14:paraId="159930FF">
      <w:pPr>
        <w:spacing w:line="360" w:lineRule="exact"/>
        <w:rPr>
          <w:rFonts w:hint="eastAsia" w:ascii="仿宋" w:hAnsi="仿宋" w:eastAsia="仿宋" w:cs="仿宋"/>
          <w:color w:val="auto"/>
          <w:sz w:val="24"/>
          <w:highlight w:val="none"/>
        </w:rPr>
      </w:pPr>
    </w:p>
    <w:p w14:paraId="56D8C2C7">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单位：                      部门：               职务：</w:t>
      </w:r>
    </w:p>
    <w:p w14:paraId="3798A71D">
      <w:pPr>
        <w:spacing w:line="360" w:lineRule="exact"/>
        <w:rPr>
          <w:rFonts w:hint="eastAsia" w:ascii="仿宋" w:hAnsi="仿宋" w:eastAsia="仿宋" w:cs="仿宋"/>
          <w:color w:val="auto"/>
          <w:sz w:val="24"/>
          <w:highlight w:val="none"/>
        </w:rPr>
      </w:pPr>
    </w:p>
    <w:p w14:paraId="332ABEBA">
      <w:pPr>
        <w:widowControl/>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办公地址：                  联系电话：           传真：</w:t>
      </w:r>
    </w:p>
    <w:p w14:paraId="7B10AEED">
      <w:pPr>
        <w:spacing w:line="360" w:lineRule="exact"/>
        <w:rPr>
          <w:rFonts w:hint="eastAsia" w:ascii="仿宋" w:hAnsi="仿宋" w:eastAsia="仿宋" w:cs="仿宋"/>
          <w:color w:val="auto"/>
          <w:sz w:val="24"/>
          <w:highlight w:val="none"/>
        </w:rPr>
      </w:pPr>
    </w:p>
    <w:p w14:paraId="087838B2">
      <w:pPr>
        <w:spacing w:line="360" w:lineRule="exact"/>
        <w:rPr>
          <w:rFonts w:hint="eastAsia" w:ascii="仿宋" w:hAnsi="仿宋" w:eastAsia="仿宋" w:cs="仿宋"/>
          <w:color w:val="auto"/>
          <w:sz w:val="24"/>
          <w:highlight w:val="none"/>
        </w:rPr>
      </w:pPr>
    </w:p>
    <w:p w14:paraId="36273C6F">
      <w:pPr>
        <w:jc w:val="center"/>
        <w:rPr>
          <w:rFonts w:hint="eastAsia" w:ascii="仿宋" w:hAnsi="仿宋" w:eastAsia="仿宋" w:cs="仿宋"/>
          <w:b/>
          <w:color w:val="auto"/>
          <w:kern w:val="0"/>
          <w:sz w:val="32"/>
          <w:szCs w:val="32"/>
          <w:highlight w:val="none"/>
        </w:rPr>
      </w:pPr>
    </w:p>
    <w:p w14:paraId="1A4B7324">
      <w:pPr>
        <w:rPr>
          <w:rFonts w:hint="eastAsia" w:ascii="仿宋" w:hAnsi="仿宋" w:eastAsia="仿宋" w:cs="仿宋"/>
          <w:color w:val="auto"/>
          <w:highlight w:val="none"/>
        </w:rPr>
      </w:pPr>
    </w:p>
    <w:p w14:paraId="7D3A03A8">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51AF531">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FA7DD23">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0BB78537">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28F5B36">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668BED7F">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489C09B3">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78C39690">
      <w:pPr>
        <w:spacing w:line="800" w:lineRule="exact"/>
        <w:rPr>
          <w:rFonts w:hint="eastAsia" w:ascii="仿宋" w:hAnsi="仿宋" w:eastAsia="仿宋" w:cs="仿宋"/>
          <w:b/>
          <w:color w:val="auto"/>
          <w:sz w:val="24"/>
          <w:highlight w:val="none"/>
        </w:rPr>
      </w:pPr>
    </w:p>
    <w:p w14:paraId="03F4A40F">
      <w:pPr>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eastAsia="zh-CN"/>
        </w:rPr>
        <w:t>三</w:t>
      </w:r>
      <w:r>
        <w:rPr>
          <w:rFonts w:hint="eastAsia" w:ascii="仿宋" w:hAnsi="仿宋" w:eastAsia="仿宋" w:cs="仿宋"/>
          <w:b/>
          <w:color w:val="auto"/>
          <w:sz w:val="30"/>
          <w:szCs w:val="30"/>
          <w:highlight w:val="none"/>
        </w:rPr>
        <w:t>、法定代表人及其授权代表身份证复印件（正反面）</w:t>
      </w:r>
    </w:p>
    <w:p w14:paraId="727C2B24">
      <w:pPr>
        <w:spacing w:line="800" w:lineRule="exact"/>
        <w:rPr>
          <w:rFonts w:hint="eastAsia" w:ascii="仿宋" w:hAnsi="仿宋" w:eastAsia="仿宋" w:cs="仿宋"/>
          <w:b/>
          <w:color w:val="auto"/>
          <w:sz w:val="24"/>
          <w:highlight w:val="none"/>
        </w:rPr>
      </w:pPr>
    </w:p>
    <w:p w14:paraId="264B5462">
      <w:pPr>
        <w:spacing w:line="800" w:lineRule="exact"/>
        <w:rPr>
          <w:rFonts w:hint="eastAsia" w:ascii="仿宋" w:hAnsi="仿宋" w:eastAsia="仿宋" w:cs="仿宋"/>
          <w:b/>
          <w:color w:val="auto"/>
          <w:sz w:val="24"/>
          <w:highlight w:val="none"/>
        </w:rPr>
      </w:pPr>
    </w:p>
    <w:p w14:paraId="0D1441A6">
      <w:pPr>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eastAsia="zh-CN"/>
        </w:rPr>
        <w:t>四</w:t>
      </w:r>
      <w:r>
        <w:rPr>
          <w:rFonts w:hint="eastAsia" w:ascii="仿宋" w:hAnsi="仿宋" w:eastAsia="仿宋" w:cs="仿宋"/>
          <w:b/>
          <w:color w:val="auto"/>
          <w:sz w:val="30"/>
          <w:szCs w:val="30"/>
          <w:highlight w:val="none"/>
        </w:rPr>
        <w:t>、法定代表人身份证明书(格式)</w:t>
      </w:r>
    </w:p>
    <w:p w14:paraId="4AD6C5C3">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 标 人：</w:t>
      </w:r>
      <w:r>
        <w:rPr>
          <w:rFonts w:hint="eastAsia" w:ascii="仿宋" w:hAnsi="仿宋" w:eastAsia="仿宋" w:cs="仿宋"/>
          <w:color w:val="auto"/>
          <w:sz w:val="24"/>
          <w:highlight w:val="none"/>
          <w:u w:val="single"/>
        </w:rPr>
        <w:t xml:space="preserve">                          </w:t>
      </w:r>
    </w:p>
    <w:p w14:paraId="790E84EB">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p>
    <w:p w14:paraId="50990A18">
      <w:pPr>
        <w:spacing w:line="440" w:lineRule="exact"/>
        <w:ind w:right="281" w:rightChars="134"/>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p>
    <w:p w14:paraId="48B80389">
      <w:pPr>
        <w:spacing w:line="440" w:lineRule="exact"/>
        <w:ind w:right="281" w:rightChars="134"/>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14:paraId="4F268FEE">
      <w:pPr>
        <w:spacing w:line="440" w:lineRule="exact"/>
        <w:ind w:right="281" w:rightChars="134"/>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14:paraId="797AECAC">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（填写投标人名称）</w:t>
      </w:r>
      <w:r>
        <w:rPr>
          <w:rFonts w:hint="eastAsia" w:ascii="仿宋" w:hAnsi="仿宋" w:eastAsia="仿宋" w:cs="仿宋"/>
          <w:color w:val="auto"/>
          <w:sz w:val="24"/>
          <w:highlight w:val="none"/>
        </w:rPr>
        <w:t>的法定代表人。</w:t>
      </w:r>
    </w:p>
    <w:p w14:paraId="03784147">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39C8F440">
      <w:pPr>
        <w:spacing w:line="440" w:lineRule="exact"/>
        <w:rPr>
          <w:rFonts w:hint="eastAsia" w:ascii="仿宋" w:hAnsi="仿宋" w:eastAsia="仿宋" w:cs="仿宋"/>
          <w:color w:val="auto"/>
          <w:sz w:val="24"/>
          <w:highlight w:val="none"/>
        </w:rPr>
      </w:pPr>
    </w:p>
    <w:p w14:paraId="4318A287">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eastAsia="zh-CN"/>
        </w:rPr>
        <w:t>名称</w:t>
      </w:r>
      <w:r>
        <w:rPr>
          <w:rFonts w:hint="eastAsia" w:ascii="仿宋" w:hAnsi="仿宋" w:eastAsia="仿宋" w:cs="仿宋"/>
          <w:color w:val="auto"/>
          <w:sz w:val="24"/>
          <w:highlight w:val="none"/>
        </w:rPr>
        <w:t>：                             （电子签章）</w:t>
      </w:r>
    </w:p>
    <w:p w14:paraId="014B80DD">
      <w:pPr>
        <w:spacing w:line="440" w:lineRule="exact"/>
        <w:ind w:right="480"/>
        <w:rPr>
          <w:rFonts w:hint="eastAsia" w:ascii="仿宋" w:hAnsi="仿宋" w:eastAsia="仿宋" w:cs="仿宋"/>
          <w:color w:val="auto"/>
          <w:sz w:val="24"/>
          <w:highlight w:val="none"/>
        </w:rPr>
      </w:pPr>
    </w:p>
    <w:p w14:paraId="0F031D36">
      <w:pPr>
        <w:spacing w:line="440" w:lineRule="exact"/>
        <w:ind w:right="72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14:paraId="5345B43E">
      <w:pPr>
        <w:jc w:val="center"/>
        <w:rPr>
          <w:rFonts w:hint="eastAsia" w:ascii="仿宋" w:hAnsi="仿宋" w:eastAsia="仿宋" w:cs="仿宋"/>
          <w:b/>
          <w:color w:val="auto"/>
          <w:kern w:val="0"/>
          <w:sz w:val="32"/>
          <w:szCs w:val="32"/>
          <w:highlight w:val="none"/>
        </w:rPr>
      </w:pPr>
    </w:p>
    <w:p w14:paraId="04B1164F">
      <w:pPr>
        <w:jc w:val="center"/>
        <w:rPr>
          <w:rFonts w:hint="eastAsia" w:ascii="仿宋" w:hAnsi="仿宋" w:eastAsia="仿宋" w:cs="仿宋"/>
          <w:b/>
          <w:color w:val="auto"/>
          <w:kern w:val="0"/>
          <w:sz w:val="32"/>
          <w:szCs w:val="32"/>
          <w:highlight w:val="none"/>
        </w:rPr>
      </w:pPr>
    </w:p>
    <w:p w14:paraId="5BDDFCE4">
      <w:pPr>
        <w:pStyle w:val="25"/>
        <w:rPr>
          <w:rFonts w:hint="eastAsia"/>
          <w:color w:val="auto"/>
          <w:highlight w:val="none"/>
        </w:rPr>
      </w:pPr>
    </w:p>
    <w:p w14:paraId="55C15DCD">
      <w:pPr>
        <w:jc w:val="both"/>
        <w:rPr>
          <w:rFonts w:hint="eastAsia" w:ascii="仿宋" w:hAnsi="仿宋" w:eastAsia="仿宋" w:cs="仿宋"/>
          <w:b/>
          <w:color w:val="auto"/>
          <w:kern w:val="0"/>
          <w:sz w:val="32"/>
          <w:szCs w:val="32"/>
          <w:highlight w:val="none"/>
        </w:rPr>
      </w:pPr>
    </w:p>
    <w:p w14:paraId="45DD837C">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五</w:t>
      </w:r>
      <w:r>
        <w:rPr>
          <w:rFonts w:hint="eastAsia" w:ascii="仿宋" w:hAnsi="仿宋" w:eastAsia="仿宋" w:cs="仿宋"/>
          <w:b/>
          <w:color w:val="auto"/>
          <w:kern w:val="0"/>
          <w:sz w:val="32"/>
          <w:szCs w:val="32"/>
          <w:highlight w:val="none"/>
        </w:rPr>
        <w:t>、商务技术偏离表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3912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F85F765">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0BB4B698">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25763FC9">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0C18AC6F">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779CB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051F34F">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49C96D1A">
            <w:pPr>
              <w:jc w:val="center"/>
              <w:rPr>
                <w:rFonts w:hint="eastAsia" w:ascii="仿宋" w:hAnsi="仿宋" w:eastAsia="仿宋" w:cs="仿宋"/>
                <w:b/>
                <w:color w:val="auto"/>
                <w:kern w:val="0"/>
                <w:sz w:val="32"/>
                <w:szCs w:val="32"/>
                <w:highlight w:val="none"/>
              </w:rPr>
            </w:pPr>
          </w:p>
        </w:tc>
        <w:tc>
          <w:tcPr>
            <w:tcW w:w="3546" w:type="dxa"/>
          </w:tcPr>
          <w:p w14:paraId="5DB54225">
            <w:pPr>
              <w:jc w:val="center"/>
              <w:rPr>
                <w:rFonts w:hint="eastAsia" w:ascii="仿宋" w:hAnsi="仿宋" w:eastAsia="仿宋" w:cs="仿宋"/>
                <w:b/>
                <w:color w:val="auto"/>
                <w:kern w:val="0"/>
                <w:sz w:val="32"/>
                <w:szCs w:val="32"/>
                <w:highlight w:val="none"/>
              </w:rPr>
            </w:pPr>
          </w:p>
        </w:tc>
        <w:tc>
          <w:tcPr>
            <w:tcW w:w="1276" w:type="dxa"/>
          </w:tcPr>
          <w:p w14:paraId="5E91AA75">
            <w:pPr>
              <w:jc w:val="center"/>
              <w:rPr>
                <w:rFonts w:hint="eastAsia" w:ascii="仿宋" w:hAnsi="仿宋" w:eastAsia="仿宋" w:cs="仿宋"/>
                <w:b/>
                <w:color w:val="auto"/>
                <w:kern w:val="0"/>
                <w:sz w:val="32"/>
                <w:szCs w:val="32"/>
                <w:highlight w:val="none"/>
              </w:rPr>
            </w:pPr>
          </w:p>
        </w:tc>
      </w:tr>
      <w:tr w14:paraId="74372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0B3141">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25EE55A3">
            <w:pPr>
              <w:jc w:val="center"/>
              <w:rPr>
                <w:rFonts w:hint="eastAsia" w:ascii="仿宋" w:hAnsi="仿宋" w:eastAsia="仿宋" w:cs="仿宋"/>
                <w:b/>
                <w:color w:val="auto"/>
                <w:kern w:val="0"/>
                <w:sz w:val="32"/>
                <w:szCs w:val="32"/>
                <w:highlight w:val="none"/>
              </w:rPr>
            </w:pPr>
          </w:p>
        </w:tc>
        <w:tc>
          <w:tcPr>
            <w:tcW w:w="3546" w:type="dxa"/>
          </w:tcPr>
          <w:p w14:paraId="63B06116">
            <w:pPr>
              <w:jc w:val="center"/>
              <w:rPr>
                <w:rFonts w:hint="eastAsia" w:ascii="仿宋" w:hAnsi="仿宋" w:eastAsia="仿宋" w:cs="仿宋"/>
                <w:b/>
                <w:color w:val="auto"/>
                <w:kern w:val="0"/>
                <w:sz w:val="32"/>
                <w:szCs w:val="32"/>
                <w:highlight w:val="none"/>
              </w:rPr>
            </w:pPr>
          </w:p>
        </w:tc>
        <w:tc>
          <w:tcPr>
            <w:tcW w:w="1276" w:type="dxa"/>
          </w:tcPr>
          <w:p w14:paraId="5830BB52">
            <w:pPr>
              <w:jc w:val="center"/>
              <w:rPr>
                <w:rFonts w:hint="eastAsia" w:ascii="仿宋" w:hAnsi="仿宋" w:eastAsia="仿宋" w:cs="仿宋"/>
                <w:b/>
                <w:color w:val="auto"/>
                <w:kern w:val="0"/>
                <w:sz w:val="32"/>
                <w:szCs w:val="32"/>
                <w:highlight w:val="none"/>
              </w:rPr>
            </w:pPr>
          </w:p>
        </w:tc>
      </w:tr>
      <w:tr w14:paraId="4366D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282B6BF">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255630D2">
            <w:pPr>
              <w:jc w:val="center"/>
              <w:rPr>
                <w:rFonts w:hint="eastAsia" w:ascii="仿宋" w:hAnsi="仿宋" w:eastAsia="仿宋" w:cs="仿宋"/>
                <w:b/>
                <w:color w:val="auto"/>
                <w:kern w:val="0"/>
                <w:sz w:val="32"/>
                <w:szCs w:val="32"/>
                <w:highlight w:val="none"/>
              </w:rPr>
            </w:pPr>
          </w:p>
        </w:tc>
        <w:tc>
          <w:tcPr>
            <w:tcW w:w="3546" w:type="dxa"/>
          </w:tcPr>
          <w:p w14:paraId="119BC0DE">
            <w:pPr>
              <w:jc w:val="center"/>
              <w:rPr>
                <w:rFonts w:hint="eastAsia" w:ascii="仿宋" w:hAnsi="仿宋" w:eastAsia="仿宋" w:cs="仿宋"/>
                <w:b/>
                <w:color w:val="auto"/>
                <w:kern w:val="0"/>
                <w:sz w:val="32"/>
                <w:szCs w:val="32"/>
                <w:highlight w:val="none"/>
              </w:rPr>
            </w:pPr>
          </w:p>
        </w:tc>
        <w:tc>
          <w:tcPr>
            <w:tcW w:w="1276" w:type="dxa"/>
          </w:tcPr>
          <w:p w14:paraId="2C7BFA3C">
            <w:pPr>
              <w:jc w:val="center"/>
              <w:rPr>
                <w:rFonts w:hint="eastAsia" w:ascii="仿宋" w:hAnsi="仿宋" w:eastAsia="仿宋" w:cs="仿宋"/>
                <w:b/>
                <w:color w:val="auto"/>
                <w:kern w:val="0"/>
                <w:sz w:val="32"/>
                <w:szCs w:val="32"/>
                <w:highlight w:val="none"/>
              </w:rPr>
            </w:pPr>
          </w:p>
        </w:tc>
      </w:tr>
    </w:tbl>
    <w:p w14:paraId="45E351AD">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25DC91C1">
      <w:pPr>
        <w:jc w:val="center"/>
        <w:rPr>
          <w:rFonts w:hint="eastAsia" w:ascii="仿宋" w:hAnsi="仿宋" w:eastAsia="仿宋" w:cs="仿宋"/>
          <w:b/>
          <w:color w:val="auto"/>
          <w:kern w:val="0"/>
          <w:sz w:val="32"/>
          <w:szCs w:val="32"/>
          <w:highlight w:val="none"/>
        </w:rPr>
      </w:pPr>
    </w:p>
    <w:p w14:paraId="52B33D4D">
      <w:pPr>
        <w:spacing w:line="360" w:lineRule="auto"/>
        <w:ind w:right="420"/>
        <w:rPr>
          <w:rFonts w:hint="eastAsia" w:ascii="仿宋" w:hAnsi="仿宋" w:eastAsia="仿宋" w:cs="仿宋"/>
          <w:b/>
          <w:bCs/>
          <w:color w:val="auto"/>
          <w:sz w:val="32"/>
          <w:szCs w:val="32"/>
          <w:highlight w:val="none"/>
        </w:rPr>
      </w:pPr>
      <w:r>
        <w:rPr>
          <w:rFonts w:hint="eastAsia" w:ascii="仿宋" w:hAnsi="仿宋" w:eastAsia="仿宋" w:cs="仿宋"/>
          <w:color w:val="auto"/>
          <w:sz w:val="24"/>
          <w:highlight w:val="none"/>
        </w:rPr>
        <w:t>注：按本格式和要求提供。</w:t>
      </w:r>
    </w:p>
    <w:p w14:paraId="69342A7E">
      <w:pPr>
        <w:widowControl/>
        <w:adjustRightInd/>
        <w:jc w:val="left"/>
        <w:rPr>
          <w:rFonts w:hint="eastAsia" w:ascii="仿宋" w:hAnsi="仿宋" w:eastAsia="仿宋" w:cs="仿宋"/>
          <w:b/>
          <w:bCs/>
          <w:color w:val="auto"/>
          <w:sz w:val="32"/>
          <w:szCs w:val="32"/>
          <w:highlight w:val="none"/>
          <w:lang w:eastAsia="zh-CN"/>
        </w:rPr>
      </w:pPr>
    </w:p>
    <w:p w14:paraId="4BF83FF8">
      <w:pPr>
        <w:pStyle w:val="25"/>
        <w:rPr>
          <w:rFonts w:hint="eastAsia" w:ascii="仿宋" w:hAnsi="仿宋" w:eastAsia="仿宋" w:cs="仿宋"/>
          <w:b/>
          <w:bCs/>
          <w:color w:val="auto"/>
          <w:sz w:val="32"/>
          <w:szCs w:val="32"/>
          <w:highlight w:val="none"/>
          <w:lang w:eastAsia="zh-CN"/>
        </w:rPr>
      </w:pPr>
    </w:p>
    <w:p w14:paraId="5EE07135">
      <w:pPr>
        <w:rPr>
          <w:rFonts w:hint="eastAsia" w:ascii="仿宋" w:hAnsi="仿宋" w:eastAsia="仿宋" w:cs="仿宋"/>
          <w:b/>
          <w:bCs/>
          <w:color w:val="auto"/>
          <w:sz w:val="32"/>
          <w:szCs w:val="32"/>
          <w:highlight w:val="none"/>
          <w:lang w:eastAsia="zh-CN"/>
        </w:rPr>
      </w:pPr>
    </w:p>
    <w:p w14:paraId="1F581435">
      <w:pPr>
        <w:pStyle w:val="25"/>
        <w:rPr>
          <w:rFonts w:hint="eastAsia"/>
          <w:color w:val="auto"/>
          <w:highlight w:val="none"/>
          <w:lang w:eastAsia="zh-CN"/>
        </w:rPr>
      </w:pPr>
    </w:p>
    <w:p w14:paraId="2A0300CE">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18349228">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2C4A99F2">
      <w:pPr>
        <w:spacing w:line="360" w:lineRule="auto"/>
        <w:jc w:val="center"/>
        <w:outlineLvl w:val="0"/>
        <w:rPr>
          <w:rFonts w:hint="eastAsia" w:ascii="仿宋" w:hAnsi="仿宋" w:eastAsia="仿宋" w:cs="仿宋"/>
          <w:b/>
          <w:color w:val="auto"/>
          <w:kern w:val="0"/>
          <w:sz w:val="36"/>
          <w:szCs w:val="36"/>
          <w:highlight w:val="none"/>
        </w:rPr>
      </w:pPr>
    </w:p>
    <w:p w14:paraId="5E7F8E06">
      <w:pPr>
        <w:pStyle w:val="25"/>
        <w:numPr>
          <w:ilvl w:val="0"/>
          <w:numId w:val="0"/>
        </w:numPr>
        <w:rPr>
          <w:rFonts w:hint="eastAsia"/>
          <w:color w:val="auto"/>
          <w:highlight w:val="none"/>
        </w:rPr>
      </w:pPr>
      <w:r>
        <w:rPr>
          <w:rFonts w:hint="eastAsia" w:ascii="仿宋" w:hAnsi="仿宋" w:eastAsia="仿宋" w:cs="仿宋"/>
          <w:color w:val="auto"/>
          <w:sz w:val="24"/>
          <w:highlight w:val="none"/>
        </w:rPr>
        <w:t>开标一览表（报价表）………………………………………………………（页码）</w:t>
      </w:r>
    </w:p>
    <w:p w14:paraId="79C74611">
      <w:pPr>
        <w:snapToGrid w:val="0"/>
        <w:spacing w:line="360" w:lineRule="auto"/>
        <w:ind w:right="480"/>
        <w:jc w:val="center"/>
        <w:rPr>
          <w:rFonts w:hint="eastAsia" w:ascii="仿宋" w:hAnsi="仿宋" w:eastAsia="仿宋" w:cs="仿宋"/>
          <w:b/>
          <w:color w:val="auto"/>
          <w:kern w:val="0"/>
          <w:sz w:val="32"/>
          <w:szCs w:val="32"/>
          <w:highlight w:val="none"/>
        </w:rPr>
      </w:pPr>
    </w:p>
    <w:p w14:paraId="0B40AB5C">
      <w:pPr>
        <w:snapToGrid w:val="0"/>
        <w:spacing w:line="360" w:lineRule="auto"/>
        <w:ind w:right="480"/>
        <w:jc w:val="center"/>
        <w:rPr>
          <w:rFonts w:hint="eastAsia" w:ascii="仿宋" w:hAnsi="仿宋" w:eastAsia="仿宋" w:cs="仿宋"/>
          <w:b/>
          <w:color w:val="auto"/>
          <w:kern w:val="0"/>
          <w:sz w:val="32"/>
          <w:szCs w:val="32"/>
          <w:highlight w:val="none"/>
        </w:rPr>
      </w:pPr>
    </w:p>
    <w:p w14:paraId="6A95AC89">
      <w:pPr>
        <w:snapToGrid w:val="0"/>
        <w:spacing w:line="360" w:lineRule="auto"/>
        <w:ind w:right="480"/>
        <w:jc w:val="center"/>
        <w:rPr>
          <w:rFonts w:hint="eastAsia" w:ascii="仿宋" w:hAnsi="仿宋" w:eastAsia="仿宋" w:cs="仿宋"/>
          <w:b/>
          <w:color w:val="auto"/>
          <w:kern w:val="0"/>
          <w:sz w:val="32"/>
          <w:szCs w:val="32"/>
          <w:highlight w:val="none"/>
        </w:rPr>
      </w:pPr>
    </w:p>
    <w:p w14:paraId="4AF48041">
      <w:pPr>
        <w:snapToGrid w:val="0"/>
        <w:spacing w:line="360" w:lineRule="auto"/>
        <w:ind w:right="480"/>
        <w:jc w:val="center"/>
        <w:rPr>
          <w:rFonts w:hint="eastAsia" w:ascii="仿宋" w:hAnsi="仿宋" w:eastAsia="仿宋" w:cs="仿宋"/>
          <w:b/>
          <w:color w:val="auto"/>
          <w:kern w:val="0"/>
          <w:sz w:val="32"/>
          <w:szCs w:val="32"/>
          <w:highlight w:val="none"/>
        </w:rPr>
      </w:pPr>
    </w:p>
    <w:p w14:paraId="39DBB711">
      <w:pPr>
        <w:snapToGrid w:val="0"/>
        <w:spacing w:line="360" w:lineRule="auto"/>
        <w:ind w:right="480"/>
        <w:jc w:val="center"/>
        <w:rPr>
          <w:rFonts w:hint="eastAsia" w:ascii="仿宋" w:hAnsi="仿宋" w:eastAsia="仿宋" w:cs="仿宋"/>
          <w:b/>
          <w:color w:val="auto"/>
          <w:kern w:val="0"/>
          <w:sz w:val="32"/>
          <w:szCs w:val="32"/>
          <w:highlight w:val="none"/>
        </w:rPr>
      </w:pPr>
    </w:p>
    <w:p w14:paraId="03D9088A">
      <w:pPr>
        <w:snapToGrid w:val="0"/>
        <w:spacing w:line="360" w:lineRule="auto"/>
        <w:ind w:right="480"/>
        <w:jc w:val="center"/>
        <w:rPr>
          <w:rFonts w:hint="eastAsia" w:ascii="仿宋" w:hAnsi="仿宋" w:eastAsia="仿宋" w:cs="仿宋"/>
          <w:b/>
          <w:color w:val="auto"/>
          <w:kern w:val="0"/>
          <w:sz w:val="32"/>
          <w:szCs w:val="32"/>
          <w:highlight w:val="none"/>
        </w:rPr>
      </w:pPr>
    </w:p>
    <w:p w14:paraId="155B19B2">
      <w:pPr>
        <w:snapToGrid w:val="0"/>
        <w:spacing w:line="360" w:lineRule="auto"/>
        <w:ind w:right="480"/>
        <w:jc w:val="center"/>
        <w:rPr>
          <w:rFonts w:hint="eastAsia" w:ascii="仿宋" w:hAnsi="仿宋" w:eastAsia="仿宋" w:cs="仿宋"/>
          <w:b/>
          <w:color w:val="auto"/>
          <w:kern w:val="0"/>
          <w:sz w:val="32"/>
          <w:szCs w:val="32"/>
          <w:highlight w:val="none"/>
        </w:rPr>
      </w:pPr>
    </w:p>
    <w:p w14:paraId="704ABAE8">
      <w:pPr>
        <w:snapToGrid w:val="0"/>
        <w:spacing w:line="360" w:lineRule="auto"/>
        <w:ind w:right="480"/>
        <w:jc w:val="center"/>
        <w:rPr>
          <w:rFonts w:hint="eastAsia" w:ascii="仿宋" w:hAnsi="仿宋" w:eastAsia="仿宋" w:cs="仿宋"/>
          <w:b/>
          <w:color w:val="auto"/>
          <w:kern w:val="0"/>
          <w:sz w:val="32"/>
          <w:szCs w:val="32"/>
          <w:highlight w:val="none"/>
        </w:rPr>
      </w:pPr>
    </w:p>
    <w:p w14:paraId="77CB4EAF">
      <w:pPr>
        <w:snapToGrid w:val="0"/>
        <w:spacing w:line="360" w:lineRule="auto"/>
        <w:ind w:right="480"/>
        <w:jc w:val="center"/>
        <w:rPr>
          <w:rFonts w:hint="eastAsia" w:ascii="仿宋" w:hAnsi="仿宋" w:eastAsia="仿宋" w:cs="仿宋"/>
          <w:b/>
          <w:color w:val="auto"/>
          <w:kern w:val="0"/>
          <w:sz w:val="32"/>
          <w:szCs w:val="32"/>
          <w:highlight w:val="none"/>
        </w:rPr>
      </w:pPr>
    </w:p>
    <w:p w14:paraId="2C3C16A3">
      <w:pPr>
        <w:snapToGrid w:val="0"/>
        <w:spacing w:line="360" w:lineRule="auto"/>
        <w:ind w:right="480"/>
        <w:jc w:val="center"/>
        <w:rPr>
          <w:rFonts w:hint="eastAsia" w:ascii="仿宋" w:hAnsi="仿宋" w:eastAsia="仿宋" w:cs="仿宋"/>
          <w:b/>
          <w:color w:val="auto"/>
          <w:kern w:val="0"/>
          <w:sz w:val="32"/>
          <w:szCs w:val="32"/>
          <w:highlight w:val="none"/>
        </w:rPr>
      </w:pPr>
    </w:p>
    <w:p w14:paraId="131E2B49">
      <w:pPr>
        <w:snapToGrid w:val="0"/>
        <w:spacing w:line="360" w:lineRule="auto"/>
        <w:ind w:right="480"/>
        <w:jc w:val="center"/>
        <w:rPr>
          <w:rFonts w:hint="eastAsia" w:ascii="仿宋" w:hAnsi="仿宋" w:eastAsia="仿宋" w:cs="仿宋"/>
          <w:b/>
          <w:color w:val="auto"/>
          <w:kern w:val="0"/>
          <w:sz w:val="32"/>
          <w:szCs w:val="32"/>
          <w:highlight w:val="none"/>
        </w:rPr>
      </w:pPr>
    </w:p>
    <w:p w14:paraId="453228E2">
      <w:pPr>
        <w:snapToGrid w:val="0"/>
        <w:spacing w:line="360" w:lineRule="auto"/>
        <w:ind w:right="480"/>
        <w:jc w:val="center"/>
        <w:rPr>
          <w:rFonts w:hint="eastAsia" w:ascii="仿宋" w:hAnsi="仿宋" w:eastAsia="仿宋" w:cs="仿宋"/>
          <w:b/>
          <w:color w:val="auto"/>
          <w:kern w:val="0"/>
          <w:sz w:val="32"/>
          <w:szCs w:val="32"/>
          <w:highlight w:val="none"/>
        </w:rPr>
      </w:pPr>
    </w:p>
    <w:p w14:paraId="6904F5E4">
      <w:pPr>
        <w:snapToGrid w:val="0"/>
        <w:spacing w:line="360" w:lineRule="auto"/>
        <w:ind w:right="480"/>
        <w:jc w:val="center"/>
        <w:rPr>
          <w:rFonts w:hint="eastAsia" w:ascii="仿宋" w:hAnsi="仿宋" w:eastAsia="仿宋" w:cs="仿宋"/>
          <w:b/>
          <w:color w:val="auto"/>
          <w:kern w:val="0"/>
          <w:sz w:val="32"/>
          <w:szCs w:val="32"/>
          <w:highlight w:val="none"/>
        </w:rPr>
      </w:pPr>
    </w:p>
    <w:p w14:paraId="4ED67877">
      <w:pPr>
        <w:snapToGrid w:val="0"/>
        <w:spacing w:line="360" w:lineRule="auto"/>
        <w:ind w:right="480"/>
        <w:jc w:val="both"/>
        <w:rPr>
          <w:rFonts w:hint="eastAsia" w:ascii="仿宋" w:hAnsi="仿宋" w:eastAsia="仿宋" w:cs="仿宋"/>
          <w:b/>
          <w:color w:val="auto"/>
          <w:kern w:val="0"/>
          <w:sz w:val="32"/>
          <w:szCs w:val="32"/>
          <w:highlight w:val="none"/>
        </w:rPr>
      </w:pPr>
    </w:p>
    <w:p w14:paraId="20DF560A">
      <w:pPr>
        <w:pStyle w:val="69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1906" w:h="16838"/>
          <w:pgMar w:top="1276" w:right="1648" w:bottom="1062" w:left="1238" w:header="851" w:footer="992" w:gutter="0"/>
          <w:pgNumType w:fmt="decimal"/>
          <w:cols w:space="720" w:num="1"/>
          <w:titlePg/>
          <w:docGrid w:linePitch="312" w:charSpace="0"/>
        </w:sectPr>
      </w:pPr>
    </w:p>
    <w:p w14:paraId="754EF042">
      <w:pPr>
        <w:pStyle w:val="69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1D57F5E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25D2FEE">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5566B811">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5FF1D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2CBFFC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5517357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317DC035">
            <w:pPr>
              <w:spacing w:line="360" w:lineRule="auto"/>
              <w:jc w:val="center"/>
              <w:rPr>
                <w:rFonts w:ascii="宋体" w:hAnsi="宋体" w:cs="宋体"/>
                <w:b/>
                <w:color w:val="auto"/>
                <w:sz w:val="24"/>
                <w:highlight w:val="none"/>
              </w:rPr>
            </w:pPr>
          </w:p>
          <w:p w14:paraId="4BB37C3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63975B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4A470CE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12F8AAF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4680EB3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4BC57A8E">
            <w:pPr>
              <w:spacing w:line="360" w:lineRule="auto"/>
              <w:jc w:val="center"/>
              <w:rPr>
                <w:rFonts w:ascii="宋体" w:hAnsi="宋体" w:cs="宋体"/>
                <w:b/>
                <w:color w:val="auto"/>
                <w:sz w:val="24"/>
                <w:highlight w:val="none"/>
              </w:rPr>
            </w:pPr>
          </w:p>
          <w:p w14:paraId="74BAAE8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D25BD0A">
            <w:pPr>
              <w:spacing w:line="360" w:lineRule="auto"/>
              <w:jc w:val="center"/>
              <w:rPr>
                <w:rFonts w:ascii="宋体" w:hAnsi="宋体" w:cs="宋体"/>
                <w:b/>
                <w:color w:val="auto"/>
                <w:sz w:val="24"/>
                <w:highlight w:val="none"/>
              </w:rPr>
            </w:pPr>
          </w:p>
        </w:tc>
      </w:tr>
      <w:tr w14:paraId="14FA1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2B6A59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52C579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7CFB6582">
            <w:pPr>
              <w:snapToGrid w:val="0"/>
              <w:spacing w:line="360" w:lineRule="auto"/>
              <w:jc w:val="center"/>
              <w:rPr>
                <w:rFonts w:ascii="宋体" w:hAnsi="宋体" w:cs="宋体"/>
                <w:color w:val="auto"/>
                <w:sz w:val="24"/>
                <w:highlight w:val="none"/>
              </w:rPr>
            </w:pPr>
          </w:p>
        </w:tc>
        <w:tc>
          <w:tcPr>
            <w:tcW w:w="3118" w:type="dxa"/>
            <w:vAlign w:val="center"/>
          </w:tcPr>
          <w:p w14:paraId="1B9C55B6">
            <w:pPr>
              <w:snapToGrid w:val="0"/>
              <w:spacing w:line="360" w:lineRule="auto"/>
              <w:jc w:val="center"/>
              <w:rPr>
                <w:rFonts w:ascii="宋体" w:hAnsi="宋体" w:cs="宋体"/>
                <w:color w:val="auto"/>
                <w:sz w:val="24"/>
                <w:highlight w:val="none"/>
              </w:rPr>
            </w:pPr>
          </w:p>
        </w:tc>
        <w:tc>
          <w:tcPr>
            <w:tcW w:w="993" w:type="dxa"/>
            <w:vAlign w:val="center"/>
          </w:tcPr>
          <w:p w14:paraId="45D0E1F7">
            <w:pPr>
              <w:snapToGrid w:val="0"/>
              <w:spacing w:line="360" w:lineRule="auto"/>
              <w:jc w:val="center"/>
              <w:rPr>
                <w:rFonts w:ascii="宋体" w:hAnsi="宋体" w:cs="宋体"/>
                <w:color w:val="auto"/>
                <w:sz w:val="24"/>
                <w:highlight w:val="none"/>
              </w:rPr>
            </w:pPr>
          </w:p>
        </w:tc>
        <w:tc>
          <w:tcPr>
            <w:tcW w:w="1559" w:type="dxa"/>
            <w:vAlign w:val="center"/>
          </w:tcPr>
          <w:p w14:paraId="29202DAF">
            <w:pPr>
              <w:spacing w:line="360" w:lineRule="auto"/>
              <w:jc w:val="center"/>
              <w:rPr>
                <w:rFonts w:ascii="宋体" w:hAnsi="宋体" w:cs="宋体"/>
                <w:color w:val="auto"/>
                <w:sz w:val="24"/>
                <w:highlight w:val="none"/>
              </w:rPr>
            </w:pPr>
          </w:p>
        </w:tc>
        <w:tc>
          <w:tcPr>
            <w:tcW w:w="1984" w:type="dxa"/>
            <w:vAlign w:val="center"/>
          </w:tcPr>
          <w:p w14:paraId="042F4F25">
            <w:pPr>
              <w:spacing w:line="360" w:lineRule="auto"/>
              <w:jc w:val="center"/>
              <w:rPr>
                <w:rFonts w:ascii="宋体" w:hAnsi="宋体" w:cs="宋体"/>
                <w:color w:val="auto"/>
                <w:sz w:val="24"/>
                <w:highlight w:val="none"/>
              </w:rPr>
            </w:pPr>
          </w:p>
        </w:tc>
        <w:tc>
          <w:tcPr>
            <w:tcW w:w="3119" w:type="dxa"/>
            <w:vAlign w:val="center"/>
          </w:tcPr>
          <w:p w14:paraId="4C2497B7">
            <w:pPr>
              <w:spacing w:line="360" w:lineRule="auto"/>
              <w:jc w:val="center"/>
              <w:rPr>
                <w:rFonts w:ascii="宋体" w:hAnsi="宋体" w:cs="宋体"/>
                <w:color w:val="auto"/>
                <w:sz w:val="24"/>
                <w:highlight w:val="none"/>
              </w:rPr>
            </w:pPr>
          </w:p>
        </w:tc>
      </w:tr>
      <w:tr w14:paraId="238C8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91D8B3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1A6AA37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116324F9">
            <w:pPr>
              <w:snapToGrid w:val="0"/>
              <w:spacing w:line="360" w:lineRule="auto"/>
              <w:jc w:val="center"/>
              <w:rPr>
                <w:rFonts w:ascii="宋体" w:hAnsi="宋体" w:cs="宋体"/>
                <w:color w:val="auto"/>
                <w:sz w:val="24"/>
                <w:highlight w:val="none"/>
              </w:rPr>
            </w:pPr>
          </w:p>
        </w:tc>
        <w:tc>
          <w:tcPr>
            <w:tcW w:w="3118" w:type="dxa"/>
            <w:vAlign w:val="center"/>
          </w:tcPr>
          <w:p w14:paraId="3BC91D34">
            <w:pPr>
              <w:snapToGrid w:val="0"/>
              <w:spacing w:line="360" w:lineRule="auto"/>
              <w:jc w:val="center"/>
              <w:rPr>
                <w:rFonts w:ascii="宋体" w:hAnsi="宋体" w:cs="宋体"/>
                <w:color w:val="auto"/>
                <w:sz w:val="24"/>
                <w:highlight w:val="none"/>
              </w:rPr>
            </w:pPr>
          </w:p>
        </w:tc>
        <w:tc>
          <w:tcPr>
            <w:tcW w:w="993" w:type="dxa"/>
            <w:vAlign w:val="center"/>
          </w:tcPr>
          <w:p w14:paraId="520B7769">
            <w:pPr>
              <w:snapToGrid w:val="0"/>
              <w:spacing w:line="360" w:lineRule="auto"/>
              <w:jc w:val="center"/>
              <w:rPr>
                <w:rFonts w:ascii="宋体" w:hAnsi="宋体" w:cs="宋体"/>
                <w:color w:val="auto"/>
                <w:sz w:val="24"/>
                <w:highlight w:val="none"/>
              </w:rPr>
            </w:pPr>
          </w:p>
        </w:tc>
        <w:tc>
          <w:tcPr>
            <w:tcW w:w="1559" w:type="dxa"/>
            <w:vAlign w:val="center"/>
          </w:tcPr>
          <w:p w14:paraId="1199165F">
            <w:pPr>
              <w:spacing w:line="360" w:lineRule="auto"/>
              <w:jc w:val="center"/>
              <w:rPr>
                <w:rFonts w:ascii="宋体" w:hAnsi="宋体" w:cs="宋体"/>
                <w:color w:val="auto"/>
                <w:sz w:val="24"/>
                <w:highlight w:val="none"/>
              </w:rPr>
            </w:pPr>
          </w:p>
        </w:tc>
        <w:tc>
          <w:tcPr>
            <w:tcW w:w="1984" w:type="dxa"/>
            <w:vAlign w:val="center"/>
          </w:tcPr>
          <w:p w14:paraId="6E4005CD">
            <w:pPr>
              <w:spacing w:line="360" w:lineRule="auto"/>
              <w:jc w:val="center"/>
              <w:rPr>
                <w:rFonts w:ascii="宋体" w:hAnsi="宋体" w:cs="宋体"/>
                <w:color w:val="auto"/>
                <w:sz w:val="24"/>
                <w:highlight w:val="none"/>
              </w:rPr>
            </w:pPr>
          </w:p>
        </w:tc>
        <w:tc>
          <w:tcPr>
            <w:tcW w:w="3119" w:type="dxa"/>
            <w:vAlign w:val="center"/>
          </w:tcPr>
          <w:p w14:paraId="18AC1B2D">
            <w:pPr>
              <w:spacing w:line="360" w:lineRule="auto"/>
              <w:jc w:val="center"/>
              <w:rPr>
                <w:rFonts w:ascii="宋体" w:hAnsi="宋体" w:cs="宋体"/>
                <w:color w:val="auto"/>
                <w:sz w:val="24"/>
                <w:highlight w:val="none"/>
              </w:rPr>
            </w:pPr>
          </w:p>
        </w:tc>
      </w:tr>
      <w:tr w14:paraId="2A0F5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1B2374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3ED6D159">
            <w:pPr>
              <w:snapToGrid w:val="0"/>
              <w:spacing w:line="360" w:lineRule="auto"/>
              <w:jc w:val="center"/>
              <w:rPr>
                <w:rFonts w:ascii="宋体" w:hAnsi="宋体" w:cs="宋体"/>
                <w:color w:val="auto"/>
                <w:sz w:val="24"/>
                <w:highlight w:val="none"/>
              </w:rPr>
            </w:pPr>
          </w:p>
        </w:tc>
        <w:tc>
          <w:tcPr>
            <w:tcW w:w="1843" w:type="dxa"/>
            <w:vAlign w:val="center"/>
          </w:tcPr>
          <w:p w14:paraId="4B93A78D">
            <w:pPr>
              <w:snapToGrid w:val="0"/>
              <w:spacing w:line="360" w:lineRule="auto"/>
              <w:jc w:val="center"/>
              <w:rPr>
                <w:rFonts w:ascii="宋体" w:hAnsi="宋体" w:cs="宋体"/>
                <w:color w:val="auto"/>
                <w:sz w:val="24"/>
                <w:highlight w:val="none"/>
              </w:rPr>
            </w:pPr>
          </w:p>
        </w:tc>
        <w:tc>
          <w:tcPr>
            <w:tcW w:w="3118" w:type="dxa"/>
            <w:vAlign w:val="center"/>
          </w:tcPr>
          <w:p w14:paraId="4086A0ED">
            <w:pPr>
              <w:snapToGrid w:val="0"/>
              <w:spacing w:line="360" w:lineRule="auto"/>
              <w:jc w:val="center"/>
              <w:rPr>
                <w:rFonts w:ascii="宋体" w:hAnsi="宋体" w:cs="宋体"/>
                <w:color w:val="auto"/>
                <w:sz w:val="24"/>
                <w:highlight w:val="none"/>
              </w:rPr>
            </w:pPr>
          </w:p>
        </w:tc>
        <w:tc>
          <w:tcPr>
            <w:tcW w:w="993" w:type="dxa"/>
            <w:vAlign w:val="center"/>
          </w:tcPr>
          <w:p w14:paraId="7E2667A2">
            <w:pPr>
              <w:snapToGrid w:val="0"/>
              <w:spacing w:line="360" w:lineRule="auto"/>
              <w:jc w:val="center"/>
              <w:rPr>
                <w:rFonts w:ascii="宋体" w:hAnsi="宋体" w:cs="宋体"/>
                <w:color w:val="auto"/>
                <w:sz w:val="24"/>
                <w:highlight w:val="none"/>
              </w:rPr>
            </w:pPr>
          </w:p>
        </w:tc>
        <w:tc>
          <w:tcPr>
            <w:tcW w:w="1559" w:type="dxa"/>
            <w:vAlign w:val="center"/>
          </w:tcPr>
          <w:p w14:paraId="70911639">
            <w:pPr>
              <w:spacing w:line="360" w:lineRule="auto"/>
              <w:jc w:val="center"/>
              <w:rPr>
                <w:rFonts w:ascii="宋体" w:hAnsi="宋体" w:cs="宋体"/>
                <w:color w:val="auto"/>
                <w:sz w:val="24"/>
                <w:highlight w:val="none"/>
              </w:rPr>
            </w:pPr>
          </w:p>
        </w:tc>
        <w:tc>
          <w:tcPr>
            <w:tcW w:w="1984" w:type="dxa"/>
            <w:vAlign w:val="center"/>
          </w:tcPr>
          <w:p w14:paraId="412D0C54">
            <w:pPr>
              <w:spacing w:line="360" w:lineRule="auto"/>
              <w:jc w:val="center"/>
              <w:rPr>
                <w:rFonts w:ascii="宋体" w:hAnsi="宋体" w:cs="宋体"/>
                <w:color w:val="auto"/>
                <w:sz w:val="24"/>
                <w:highlight w:val="none"/>
              </w:rPr>
            </w:pPr>
          </w:p>
        </w:tc>
        <w:tc>
          <w:tcPr>
            <w:tcW w:w="3119" w:type="dxa"/>
            <w:vAlign w:val="center"/>
          </w:tcPr>
          <w:p w14:paraId="060A0D4E">
            <w:pPr>
              <w:spacing w:line="360" w:lineRule="auto"/>
              <w:jc w:val="center"/>
              <w:rPr>
                <w:rFonts w:ascii="宋体" w:hAnsi="宋体" w:cs="宋体"/>
                <w:color w:val="auto"/>
                <w:sz w:val="24"/>
                <w:highlight w:val="none"/>
              </w:rPr>
            </w:pPr>
          </w:p>
        </w:tc>
      </w:tr>
      <w:tr w14:paraId="02B93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7C6787F">
            <w:pPr>
              <w:spacing w:line="360" w:lineRule="auto"/>
              <w:jc w:val="center"/>
              <w:rPr>
                <w:rFonts w:ascii="宋体" w:hAnsi="宋体" w:cs="宋体"/>
                <w:color w:val="auto"/>
                <w:sz w:val="24"/>
                <w:highlight w:val="none"/>
              </w:rPr>
            </w:pPr>
          </w:p>
        </w:tc>
        <w:tc>
          <w:tcPr>
            <w:tcW w:w="1417" w:type="dxa"/>
            <w:vAlign w:val="center"/>
          </w:tcPr>
          <w:p w14:paraId="657A7DA7">
            <w:pPr>
              <w:snapToGrid w:val="0"/>
              <w:spacing w:line="360" w:lineRule="auto"/>
              <w:jc w:val="center"/>
              <w:rPr>
                <w:rFonts w:ascii="宋体" w:hAnsi="宋体" w:cs="宋体"/>
                <w:color w:val="auto"/>
                <w:sz w:val="24"/>
                <w:highlight w:val="none"/>
              </w:rPr>
            </w:pPr>
          </w:p>
        </w:tc>
        <w:tc>
          <w:tcPr>
            <w:tcW w:w="1843" w:type="dxa"/>
            <w:vAlign w:val="center"/>
          </w:tcPr>
          <w:p w14:paraId="30000622">
            <w:pPr>
              <w:snapToGrid w:val="0"/>
              <w:spacing w:line="360" w:lineRule="auto"/>
              <w:jc w:val="center"/>
              <w:rPr>
                <w:rFonts w:ascii="宋体" w:hAnsi="宋体" w:cs="宋体"/>
                <w:color w:val="auto"/>
                <w:sz w:val="24"/>
                <w:highlight w:val="none"/>
              </w:rPr>
            </w:pPr>
          </w:p>
        </w:tc>
        <w:tc>
          <w:tcPr>
            <w:tcW w:w="3118" w:type="dxa"/>
            <w:vAlign w:val="center"/>
          </w:tcPr>
          <w:p w14:paraId="7CC800DD">
            <w:pPr>
              <w:snapToGrid w:val="0"/>
              <w:spacing w:line="360" w:lineRule="auto"/>
              <w:jc w:val="center"/>
              <w:rPr>
                <w:rFonts w:ascii="宋体" w:hAnsi="宋体" w:cs="宋体"/>
                <w:color w:val="auto"/>
                <w:sz w:val="24"/>
                <w:highlight w:val="none"/>
              </w:rPr>
            </w:pPr>
          </w:p>
        </w:tc>
        <w:tc>
          <w:tcPr>
            <w:tcW w:w="993" w:type="dxa"/>
            <w:vAlign w:val="center"/>
          </w:tcPr>
          <w:p w14:paraId="18D14E07">
            <w:pPr>
              <w:snapToGrid w:val="0"/>
              <w:spacing w:line="360" w:lineRule="auto"/>
              <w:jc w:val="center"/>
              <w:rPr>
                <w:rFonts w:ascii="宋体" w:hAnsi="宋体" w:cs="宋体"/>
                <w:color w:val="auto"/>
                <w:sz w:val="24"/>
                <w:highlight w:val="none"/>
              </w:rPr>
            </w:pPr>
          </w:p>
        </w:tc>
        <w:tc>
          <w:tcPr>
            <w:tcW w:w="1559" w:type="dxa"/>
            <w:vAlign w:val="center"/>
          </w:tcPr>
          <w:p w14:paraId="41171A23">
            <w:pPr>
              <w:spacing w:line="360" w:lineRule="auto"/>
              <w:jc w:val="center"/>
              <w:rPr>
                <w:rFonts w:ascii="宋体" w:hAnsi="宋体" w:cs="宋体"/>
                <w:color w:val="auto"/>
                <w:sz w:val="24"/>
                <w:highlight w:val="none"/>
              </w:rPr>
            </w:pPr>
          </w:p>
        </w:tc>
        <w:tc>
          <w:tcPr>
            <w:tcW w:w="1984" w:type="dxa"/>
            <w:vAlign w:val="center"/>
          </w:tcPr>
          <w:p w14:paraId="1F88B292">
            <w:pPr>
              <w:spacing w:line="360" w:lineRule="auto"/>
              <w:jc w:val="center"/>
              <w:rPr>
                <w:rFonts w:ascii="宋体" w:hAnsi="宋体" w:cs="宋体"/>
                <w:color w:val="auto"/>
                <w:sz w:val="24"/>
                <w:highlight w:val="none"/>
              </w:rPr>
            </w:pPr>
          </w:p>
        </w:tc>
        <w:tc>
          <w:tcPr>
            <w:tcW w:w="3119" w:type="dxa"/>
            <w:vAlign w:val="center"/>
          </w:tcPr>
          <w:p w14:paraId="5DCD8EEF">
            <w:pPr>
              <w:spacing w:line="360" w:lineRule="auto"/>
              <w:jc w:val="center"/>
              <w:rPr>
                <w:rFonts w:ascii="宋体" w:hAnsi="宋体" w:cs="宋体"/>
                <w:color w:val="auto"/>
                <w:sz w:val="24"/>
                <w:highlight w:val="none"/>
              </w:rPr>
            </w:pPr>
          </w:p>
        </w:tc>
      </w:tr>
      <w:tr w14:paraId="620E0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1061A46">
            <w:pPr>
              <w:spacing w:line="360" w:lineRule="auto"/>
              <w:jc w:val="center"/>
              <w:rPr>
                <w:rFonts w:ascii="宋体" w:hAnsi="宋体" w:cs="宋体"/>
                <w:color w:val="auto"/>
                <w:sz w:val="24"/>
                <w:highlight w:val="none"/>
              </w:rPr>
            </w:pPr>
          </w:p>
        </w:tc>
        <w:tc>
          <w:tcPr>
            <w:tcW w:w="1417" w:type="dxa"/>
            <w:vAlign w:val="center"/>
          </w:tcPr>
          <w:p w14:paraId="4C37DDCC">
            <w:pPr>
              <w:snapToGrid w:val="0"/>
              <w:spacing w:line="360" w:lineRule="auto"/>
              <w:jc w:val="center"/>
              <w:rPr>
                <w:rFonts w:ascii="宋体" w:hAnsi="宋体" w:cs="宋体"/>
                <w:color w:val="auto"/>
                <w:sz w:val="24"/>
                <w:highlight w:val="none"/>
              </w:rPr>
            </w:pPr>
          </w:p>
        </w:tc>
        <w:tc>
          <w:tcPr>
            <w:tcW w:w="1843" w:type="dxa"/>
            <w:vAlign w:val="center"/>
          </w:tcPr>
          <w:p w14:paraId="56525657">
            <w:pPr>
              <w:snapToGrid w:val="0"/>
              <w:spacing w:line="360" w:lineRule="auto"/>
              <w:jc w:val="center"/>
              <w:rPr>
                <w:rFonts w:ascii="宋体" w:hAnsi="宋体" w:cs="宋体"/>
                <w:color w:val="auto"/>
                <w:sz w:val="24"/>
                <w:highlight w:val="none"/>
              </w:rPr>
            </w:pPr>
          </w:p>
        </w:tc>
        <w:tc>
          <w:tcPr>
            <w:tcW w:w="3118" w:type="dxa"/>
            <w:vAlign w:val="center"/>
          </w:tcPr>
          <w:p w14:paraId="06481E87">
            <w:pPr>
              <w:snapToGrid w:val="0"/>
              <w:spacing w:line="360" w:lineRule="auto"/>
              <w:jc w:val="center"/>
              <w:rPr>
                <w:rFonts w:ascii="宋体" w:hAnsi="宋体" w:cs="宋体"/>
                <w:color w:val="auto"/>
                <w:sz w:val="24"/>
                <w:highlight w:val="none"/>
              </w:rPr>
            </w:pPr>
          </w:p>
        </w:tc>
        <w:tc>
          <w:tcPr>
            <w:tcW w:w="993" w:type="dxa"/>
            <w:vAlign w:val="center"/>
          </w:tcPr>
          <w:p w14:paraId="0DFDE609">
            <w:pPr>
              <w:snapToGrid w:val="0"/>
              <w:spacing w:line="360" w:lineRule="auto"/>
              <w:jc w:val="center"/>
              <w:rPr>
                <w:rFonts w:ascii="宋体" w:hAnsi="宋体" w:cs="宋体"/>
                <w:color w:val="auto"/>
                <w:sz w:val="24"/>
                <w:highlight w:val="none"/>
              </w:rPr>
            </w:pPr>
          </w:p>
        </w:tc>
        <w:tc>
          <w:tcPr>
            <w:tcW w:w="1559" w:type="dxa"/>
            <w:vAlign w:val="center"/>
          </w:tcPr>
          <w:p w14:paraId="176214E1">
            <w:pPr>
              <w:spacing w:line="360" w:lineRule="auto"/>
              <w:jc w:val="center"/>
              <w:rPr>
                <w:rFonts w:ascii="宋体" w:hAnsi="宋体" w:cs="宋体"/>
                <w:color w:val="auto"/>
                <w:sz w:val="24"/>
                <w:highlight w:val="none"/>
              </w:rPr>
            </w:pPr>
          </w:p>
        </w:tc>
        <w:tc>
          <w:tcPr>
            <w:tcW w:w="1984" w:type="dxa"/>
            <w:vAlign w:val="center"/>
          </w:tcPr>
          <w:p w14:paraId="37CBB4F4">
            <w:pPr>
              <w:spacing w:line="360" w:lineRule="auto"/>
              <w:jc w:val="center"/>
              <w:rPr>
                <w:rFonts w:ascii="宋体" w:hAnsi="宋体" w:cs="宋体"/>
                <w:color w:val="auto"/>
                <w:sz w:val="24"/>
                <w:highlight w:val="none"/>
              </w:rPr>
            </w:pPr>
          </w:p>
        </w:tc>
        <w:tc>
          <w:tcPr>
            <w:tcW w:w="3119" w:type="dxa"/>
            <w:vAlign w:val="center"/>
          </w:tcPr>
          <w:p w14:paraId="6173EA34">
            <w:pPr>
              <w:spacing w:line="360" w:lineRule="auto"/>
              <w:jc w:val="center"/>
              <w:rPr>
                <w:rFonts w:ascii="宋体" w:hAnsi="宋体" w:cs="宋体"/>
                <w:color w:val="auto"/>
                <w:sz w:val="24"/>
                <w:highlight w:val="none"/>
              </w:rPr>
            </w:pPr>
          </w:p>
        </w:tc>
      </w:tr>
      <w:tr w14:paraId="0E309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1E7F55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10A9AB6F">
            <w:pPr>
              <w:spacing w:line="360" w:lineRule="auto"/>
              <w:jc w:val="center"/>
              <w:rPr>
                <w:rFonts w:ascii="宋体" w:hAnsi="宋体" w:cs="宋体"/>
                <w:color w:val="auto"/>
                <w:sz w:val="24"/>
                <w:highlight w:val="none"/>
              </w:rPr>
            </w:pPr>
          </w:p>
        </w:tc>
      </w:tr>
      <w:tr w14:paraId="2181B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12DB61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0BC84DFF">
            <w:pPr>
              <w:spacing w:line="360" w:lineRule="auto"/>
              <w:jc w:val="center"/>
              <w:rPr>
                <w:rFonts w:ascii="宋体" w:hAnsi="宋体" w:cs="宋体"/>
                <w:color w:val="auto"/>
                <w:sz w:val="24"/>
                <w:highlight w:val="none"/>
              </w:rPr>
            </w:pPr>
          </w:p>
        </w:tc>
      </w:tr>
    </w:tbl>
    <w:p w14:paraId="69D4E7A3">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07CB8A43">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169D2ED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AF767F5">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2204A3EA">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AC27961">
      <w:pPr>
        <w:snapToGrid w:val="0"/>
        <w:spacing w:line="360" w:lineRule="auto"/>
        <w:ind w:firstLine="480" w:firstLineChars="200"/>
        <w:jc w:val="left"/>
        <w:rPr>
          <w:rFonts w:hint="eastAsia" w:ascii="仿宋" w:hAnsi="仿宋" w:eastAsia="仿宋" w:cs="仿宋"/>
          <w:color w:val="auto"/>
          <w:kern w:val="0"/>
          <w:sz w:val="24"/>
          <w:highlight w:val="none"/>
          <w:lang w:val="zh-CN"/>
        </w:rPr>
      </w:pPr>
    </w:p>
    <w:p w14:paraId="1EA18BDB">
      <w:pPr>
        <w:spacing w:line="360" w:lineRule="auto"/>
        <w:ind w:firstLine="482" w:firstLineChars="200"/>
        <w:rPr>
          <w:rFonts w:hint="eastAsia" w:ascii="仿宋" w:hAnsi="仿宋" w:eastAsia="仿宋" w:cs="仿宋"/>
          <w:b/>
          <w:color w:val="auto"/>
          <w:kern w:val="0"/>
          <w:sz w:val="24"/>
          <w:highlight w:val="none"/>
        </w:rPr>
      </w:pPr>
    </w:p>
    <w:p w14:paraId="11AE933A">
      <w:pPr>
        <w:pStyle w:val="69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00FB1585">
      <w:pPr>
        <w:pStyle w:val="69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14:paraId="5F303FD7">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14:paraId="6C5160BC">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附件1：质疑函范本及制作说明</w:t>
      </w:r>
    </w:p>
    <w:p w14:paraId="22C81192">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115EF047">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1D4EA28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07B500B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2EF0CFE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A14375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169C770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858B3A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014AED9B">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62C57D3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7346D7D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0B72275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14AFCE6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69A4C050">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78AF24B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3DCE39D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5DD07DC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334C0BF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4C365FE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5FC5D6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2DE9A1B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3D62683D">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524305D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26B2694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4644B1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6BB534C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5A9B3AD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2117726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517ACEA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04936A8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0B0CD78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501951D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0C87E04E">
      <w:pPr>
        <w:widowControl/>
        <w:spacing w:line="360" w:lineRule="auto"/>
        <w:ind w:firstLine="600" w:firstLineChars="200"/>
        <w:jc w:val="left"/>
        <w:rPr>
          <w:rFonts w:hint="eastAsia" w:ascii="仿宋" w:hAnsi="仿宋" w:eastAsia="仿宋" w:cs="仿宋"/>
          <w:color w:val="auto"/>
          <w:sz w:val="30"/>
          <w:szCs w:val="30"/>
          <w:highlight w:val="none"/>
        </w:rPr>
      </w:pPr>
    </w:p>
    <w:p w14:paraId="05C3C9BC">
      <w:pPr>
        <w:spacing w:line="360" w:lineRule="auto"/>
        <w:jc w:val="center"/>
        <w:rPr>
          <w:rFonts w:hint="eastAsia" w:ascii="仿宋" w:hAnsi="仿宋" w:eastAsia="仿宋" w:cs="仿宋"/>
          <w:b/>
          <w:color w:val="auto"/>
          <w:spacing w:val="6"/>
          <w:sz w:val="32"/>
          <w:szCs w:val="32"/>
          <w:highlight w:val="none"/>
        </w:rPr>
      </w:pPr>
    </w:p>
    <w:p w14:paraId="7EBA1FD9">
      <w:pPr>
        <w:spacing w:line="360" w:lineRule="auto"/>
        <w:jc w:val="center"/>
        <w:rPr>
          <w:rFonts w:hint="eastAsia" w:ascii="仿宋" w:hAnsi="仿宋" w:eastAsia="仿宋" w:cs="仿宋"/>
          <w:b/>
          <w:color w:val="auto"/>
          <w:spacing w:val="6"/>
          <w:sz w:val="32"/>
          <w:szCs w:val="32"/>
          <w:highlight w:val="none"/>
        </w:rPr>
      </w:pPr>
    </w:p>
    <w:p w14:paraId="67C48F15">
      <w:pPr>
        <w:spacing w:line="360" w:lineRule="auto"/>
        <w:jc w:val="center"/>
        <w:rPr>
          <w:rFonts w:hint="eastAsia" w:ascii="仿宋" w:hAnsi="仿宋" w:eastAsia="仿宋" w:cs="仿宋"/>
          <w:b/>
          <w:color w:val="auto"/>
          <w:spacing w:val="6"/>
          <w:sz w:val="32"/>
          <w:szCs w:val="32"/>
          <w:highlight w:val="none"/>
        </w:rPr>
      </w:pPr>
    </w:p>
    <w:p w14:paraId="1A086652">
      <w:pPr>
        <w:spacing w:line="360" w:lineRule="auto"/>
        <w:jc w:val="center"/>
        <w:rPr>
          <w:rFonts w:hint="eastAsia" w:ascii="仿宋" w:hAnsi="仿宋" w:eastAsia="仿宋" w:cs="仿宋"/>
          <w:b/>
          <w:color w:val="auto"/>
          <w:spacing w:val="6"/>
          <w:sz w:val="32"/>
          <w:szCs w:val="32"/>
          <w:highlight w:val="none"/>
        </w:rPr>
      </w:pPr>
    </w:p>
    <w:p w14:paraId="367E5C9B">
      <w:pPr>
        <w:spacing w:line="360" w:lineRule="auto"/>
        <w:jc w:val="center"/>
        <w:rPr>
          <w:rFonts w:hint="eastAsia" w:ascii="仿宋" w:hAnsi="仿宋" w:eastAsia="仿宋" w:cs="仿宋"/>
          <w:b/>
          <w:color w:val="auto"/>
          <w:spacing w:val="6"/>
          <w:sz w:val="32"/>
          <w:szCs w:val="32"/>
          <w:highlight w:val="none"/>
        </w:rPr>
      </w:pPr>
    </w:p>
    <w:p w14:paraId="3F68EDF4">
      <w:pPr>
        <w:spacing w:line="360" w:lineRule="auto"/>
        <w:jc w:val="center"/>
        <w:rPr>
          <w:rFonts w:hint="eastAsia" w:ascii="仿宋" w:hAnsi="仿宋" w:eastAsia="仿宋" w:cs="仿宋"/>
          <w:b/>
          <w:color w:val="auto"/>
          <w:spacing w:val="6"/>
          <w:sz w:val="32"/>
          <w:szCs w:val="32"/>
          <w:highlight w:val="none"/>
        </w:rPr>
      </w:pPr>
    </w:p>
    <w:p w14:paraId="60DB68D9">
      <w:pPr>
        <w:spacing w:line="360" w:lineRule="auto"/>
        <w:jc w:val="center"/>
        <w:rPr>
          <w:rFonts w:hint="eastAsia" w:ascii="仿宋" w:hAnsi="仿宋" w:eastAsia="仿宋" w:cs="仿宋"/>
          <w:b/>
          <w:color w:val="auto"/>
          <w:spacing w:val="6"/>
          <w:sz w:val="32"/>
          <w:szCs w:val="32"/>
          <w:highlight w:val="none"/>
        </w:rPr>
      </w:pPr>
    </w:p>
    <w:p w14:paraId="4DF4C886">
      <w:pPr>
        <w:pStyle w:val="25"/>
        <w:rPr>
          <w:rFonts w:hint="eastAsia" w:ascii="仿宋" w:hAnsi="仿宋" w:eastAsia="仿宋" w:cs="仿宋"/>
          <w:b/>
          <w:color w:val="auto"/>
          <w:spacing w:val="6"/>
          <w:sz w:val="32"/>
          <w:szCs w:val="32"/>
          <w:highlight w:val="none"/>
        </w:rPr>
      </w:pPr>
    </w:p>
    <w:p w14:paraId="5B09869D">
      <w:pPr>
        <w:rPr>
          <w:rFonts w:hint="eastAsia" w:ascii="仿宋" w:hAnsi="仿宋" w:eastAsia="仿宋" w:cs="仿宋"/>
          <w:b/>
          <w:color w:val="auto"/>
          <w:spacing w:val="6"/>
          <w:sz w:val="32"/>
          <w:szCs w:val="32"/>
          <w:highlight w:val="none"/>
        </w:rPr>
      </w:pPr>
    </w:p>
    <w:p w14:paraId="261693D7">
      <w:pPr>
        <w:pStyle w:val="25"/>
        <w:rPr>
          <w:rFonts w:hint="eastAsia" w:ascii="仿宋" w:hAnsi="仿宋" w:eastAsia="仿宋" w:cs="仿宋"/>
          <w:b/>
          <w:color w:val="auto"/>
          <w:spacing w:val="6"/>
          <w:sz w:val="32"/>
          <w:szCs w:val="32"/>
          <w:highlight w:val="none"/>
        </w:rPr>
      </w:pPr>
    </w:p>
    <w:p w14:paraId="19ADA029">
      <w:pPr>
        <w:rPr>
          <w:rFonts w:hint="eastAsia" w:ascii="仿宋" w:hAnsi="仿宋" w:eastAsia="仿宋" w:cs="仿宋"/>
          <w:b/>
          <w:color w:val="auto"/>
          <w:spacing w:val="6"/>
          <w:sz w:val="32"/>
          <w:szCs w:val="32"/>
          <w:highlight w:val="none"/>
        </w:rPr>
      </w:pPr>
    </w:p>
    <w:p w14:paraId="6200B918">
      <w:pPr>
        <w:pStyle w:val="25"/>
        <w:rPr>
          <w:rFonts w:hint="eastAsia"/>
          <w:color w:val="auto"/>
          <w:highlight w:val="none"/>
        </w:rPr>
      </w:pPr>
    </w:p>
    <w:p w14:paraId="53245B02">
      <w:pPr>
        <w:spacing w:line="360" w:lineRule="auto"/>
        <w:jc w:val="left"/>
        <w:rPr>
          <w:rFonts w:hint="eastAsia" w:ascii="仿宋" w:hAnsi="仿宋" w:eastAsia="仿宋" w:cs="仿宋"/>
          <w:b/>
          <w:color w:val="auto"/>
          <w:spacing w:val="6"/>
          <w:sz w:val="32"/>
          <w:szCs w:val="32"/>
          <w:highlight w:val="none"/>
        </w:rPr>
      </w:pPr>
    </w:p>
    <w:p w14:paraId="344FD02D">
      <w:pPr>
        <w:pStyle w:val="25"/>
        <w:rPr>
          <w:rFonts w:hint="eastAsia" w:ascii="仿宋" w:hAnsi="仿宋" w:eastAsia="仿宋" w:cs="仿宋"/>
          <w:b/>
          <w:color w:val="auto"/>
          <w:spacing w:val="6"/>
          <w:sz w:val="32"/>
          <w:szCs w:val="32"/>
          <w:highlight w:val="none"/>
        </w:rPr>
      </w:pPr>
    </w:p>
    <w:p w14:paraId="78FAEC40">
      <w:pPr>
        <w:rPr>
          <w:rFonts w:hint="eastAsia" w:ascii="仿宋" w:hAnsi="仿宋" w:eastAsia="仿宋" w:cs="仿宋"/>
          <w:b/>
          <w:color w:val="auto"/>
          <w:spacing w:val="6"/>
          <w:sz w:val="32"/>
          <w:szCs w:val="32"/>
          <w:highlight w:val="none"/>
        </w:rPr>
      </w:pPr>
    </w:p>
    <w:p w14:paraId="46F98A35">
      <w:pPr>
        <w:pStyle w:val="25"/>
        <w:rPr>
          <w:rFonts w:hint="eastAsia" w:ascii="仿宋" w:hAnsi="仿宋" w:eastAsia="仿宋" w:cs="仿宋"/>
          <w:b/>
          <w:color w:val="auto"/>
          <w:spacing w:val="6"/>
          <w:sz w:val="32"/>
          <w:szCs w:val="32"/>
          <w:highlight w:val="none"/>
        </w:rPr>
      </w:pPr>
    </w:p>
    <w:p w14:paraId="60D8DD37">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2</w:t>
      </w:r>
      <w:r>
        <w:rPr>
          <w:rFonts w:hint="eastAsia" w:ascii="仿宋" w:hAnsi="仿宋" w:eastAsia="仿宋" w:cs="仿宋"/>
          <w:b/>
          <w:color w:val="auto"/>
          <w:spacing w:val="6"/>
          <w:sz w:val="32"/>
          <w:szCs w:val="32"/>
          <w:highlight w:val="none"/>
        </w:rPr>
        <w:t>：投诉书范本及制作说明</w:t>
      </w:r>
    </w:p>
    <w:p w14:paraId="13B0542D">
      <w:pPr>
        <w:spacing w:line="360" w:lineRule="auto"/>
        <w:jc w:val="center"/>
        <w:rPr>
          <w:rFonts w:hint="eastAsia" w:ascii="仿宋" w:hAnsi="仿宋" w:eastAsia="仿宋" w:cs="仿宋"/>
          <w:b/>
          <w:color w:val="auto"/>
          <w:sz w:val="24"/>
          <w:highlight w:val="none"/>
        </w:rPr>
      </w:pPr>
    </w:p>
    <w:p w14:paraId="376A8B7E">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15CFD47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2C30574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1B5DF92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3BB2581">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440DC00">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A671AC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5466AB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3EE66F6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30FE12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0D18F1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EF43E8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4C7F36A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20D7BDC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557704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5A2A38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354980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4581418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4EEBC69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3821D03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5E682B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56C5147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237287C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53C8ED3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066FADDB">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47CABB9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E253746">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17E4351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0C2C7FC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04407B4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084C3BC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3639B3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A0152B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D99966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38F2B57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4178676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65CC4DA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F05076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456C091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4F213CA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06480E7F">
      <w:pPr>
        <w:spacing w:line="360" w:lineRule="auto"/>
        <w:rPr>
          <w:rFonts w:hint="eastAsia" w:ascii="仿宋" w:hAnsi="仿宋" w:eastAsia="仿宋" w:cs="仿宋"/>
          <w:b/>
          <w:color w:val="auto"/>
          <w:sz w:val="24"/>
          <w:highlight w:val="none"/>
        </w:rPr>
      </w:pPr>
    </w:p>
    <w:p w14:paraId="08C06333">
      <w:pPr>
        <w:spacing w:line="360" w:lineRule="auto"/>
        <w:rPr>
          <w:rFonts w:hint="eastAsia" w:ascii="仿宋" w:hAnsi="仿宋" w:eastAsia="仿宋" w:cs="仿宋"/>
          <w:b/>
          <w:color w:val="auto"/>
          <w:sz w:val="24"/>
          <w:highlight w:val="none"/>
        </w:rPr>
      </w:pPr>
    </w:p>
    <w:p w14:paraId="516F0DC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25B8B4CC">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42C7AA9D">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1B61926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370773C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3B6117F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64F4620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42F85CCF">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07D69AAC">
      <w:pPr>
        <w:spacing w:line="360" w:lineRule="auto"/>
        <w:rPr>
          <w:rFonts w:hint="eastAsia" w:ascii="仿宋" w:hAnsi="仿宋" w:eastAsia="仿宋" w:cs="仿宋"/>
          <w:b/>
          <w:color w:val="auto"/>
          <w:sz w:val="24"/>
          <w:highlight w:val="none"/>
        </w:rPr>
      </w:pPr>
    </w:p>
    <w:p w14:paraId="350E783D">
      <w:pPr>
        <w:autoSpaceDE w:val="0"/>
        <w:autoSpaceDN w:val="0"/>
        <w:jc w:val="center"/>
        <w:rPr>
          <w:rFonts w:hint="eastAsia" w:ascii="仿宋" w:hAnsi="仿宋" w:eastAsia="仿宋" w:cs="仿宋"/>
          <w:b/>
          <w:color w:val="auto"/>
          <w:spacing w:val="6"/>
          <w:sz w:val="32"/>
          <w:szCs w:val="32"/>
          <w:highlight w:val="none"/>
        </w:rPr>
      </w:pPr>
    </w:p>
    <w:p w14:paraId="50DEB178">
      <w:pPr>
        <w:autoSpaceDE w:val="0"/>
        <w:autoSpaceDN w:val="0"/>
        <w:jc w:val="center"/>
        <w:rPr>
          <w:rFonts w:hint="eastAsia" w:ascii="仿宋" w:hAnsi="仿宋" w:eastAsia="仿宋" w:cs="仿宋"/>
          <w:b/>
          <w:color w:val="auto"/>
          <w:spacing w:val="6"/>
          <w:sz w:val="32"/>
          <w:szCs w:val="32"/>
          <w:highlight w:val="none"/>
        </w:rPr>
      </w:pPr>
    </w:p>
    <w:p w14:paraId="59DCA270">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3</w:t>
      </w:r>
      <w:r>
        <w:rPr>
          <w:rFonts w:hint="eastAsia" w:ascii="仿宋" w:hAnsi="仿宋" w:eastAsia="仿宋" w:cs="仿宋"/>
          <w:b/>
          <w:color w:val="auto"/>
          <w:spacing w:val="6"/>
          <w:sz w:val="32"/>
          <w:szCs w:val="32"/>
          <w:highlight w:val="none"/>
        </w:rPr>
        <w:t>：</w:t>
      </w:r>
      <w:r>
        <w:rPr>
          <w:rFonts w:hint="eastAsia" w:ascii="仿宋" w:hAnsi="仿宋" w:eastAsia="仿宋" w:cs="仿宋"/>
          <w:b/>
          <w:bCs/>
          <w:color w:val="auto"/>
          <w:sz w:val="32"/>
          <w:szCs w:val="32"/>
          <w:highlight w:val="none"/>
        </w:rPr>
        <w:t>业务专用章使用说明函</w:t>
      </w:r>
    </w:p>
    <w:p w14:paraId="2BB88A5E">
      <w:pPr>
        <w:spacing w:line="360" w:lineRule="auto"/>
        <w:rPr>
          <w:rFonts w:hint="eastAsia" w:ascii="仿宋" w:hAnsi="仿宋" w:eastAsia="仿宋" w:cs="仿宋"/>
          <w:color w:val="auto"/>
          <w:sz w:val="24"/>
          <w:highlight w:val="none"/>
          <w:u w:val="single"/>
        </w:rPr>
      </w:pPr>
    </w:p>
    <w:p w14:paraId="4D473BB3">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7E73BD2F">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lang w:eastAsia="zh-CN"/>
        </w:rPr>
        <w:t>（项目名称）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57FBAB05">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1721D813">
      <w:pPr>
        <w:spacing w:line="360" w:lineRule="auto"/>
        <w:ind w:firstLine="494"/>
        <w:rPr>
          <w:rFonts w:hint="eastAsia" w:ascii="仿宋" w:hAnsi="仿宋" w:eastAsia="仿宋" w:cs="仿宋"/>
          <w:color w:val="auto"/>
          <w:sz w:val="24"/>
          <w:highlight w:val="none"/>
        </w:rPr>
      </w:pPr>
    </w:p>
    <w:p w14:paraId="7B7BEFD1">
      <w:pPr>
        <w:spacing w:line="360" w:lineRule="auto"/>
        <w:ind w:firstLine="494"/>
        <w:rPr>
          <w:rFonts w:hint="eastAsia" w:ascii="仿宋" w:hAnsi="仿宋" w:eastAsia="仿宋" w:cs="仿宋"/>
          <w:color w:val="auto"/>
          <w:sz w:val="24"/>
          <w:highlight w:val="none"/>
        </w:rPr>
      </w:pPr>
    </w:p>
    <w:p w14:paraId="038EA07F">
      <w:pPr>
        <w:spacing w:line="360" w:lineRule="auto"/>
        <w:ind w:firstLine="494"/>
        <w:rPr>
          <w:rFonts w:hint="eastAsia" w:ascii="仿宋" w:hAnsi="仿宋" w:eastAsia="仿宋" w:cs="仿宋"/>
          <w:color w:val="auto"/>
          <w:sz w:val="24"/>
          <w:highlight w:val="none"/>
        </w:rPr>
      </w:pPr>
    </w:p>
    <w:p w14:paraId="62E698ED">
      <w:pPr>
        <w:spacing w:line="360" w:lineRule="auto"/>
        <w:ind w:firstLine="494"/>
        <w:rPr>
          <w:rFonts w:hint="eastAsia" w:ascii="仿宋" w:hAnsi="仿宋" w:eastAsia="仿宋" w:cs="仿宋"/>
          <w:color w:val="auto"/>
          <w:sz w:val="24"/>
          <w:highlight w:val="none"/>
        </w:rPr>
      </w:pPr>
    </w:p>
    <w:p w14:paraId="608A65D6">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4FF6E251">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6967E67">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7A3CACC7">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0" distR="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z/jB2AAAAAoBAAAPAAAAAAAAAAEAIAAAACIAAABkcnMvZG93bnJldi54bWxQSwECFAAUAAAACACH&#10;TuJADfIsy+sBAAAaBAAADgAAAAAAAAABACAAAAAnAQAAZHJzL2Uyb0RvYy54bWxQSwUGAAAAAAYA&#10;BgBZAQAAhAUAAAAA&#10;">
                <v:fill on="t" focussize="0,0"/>
                <v:stroke color="#000000"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0" distR="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jnx4nsAQAAGgQAAA4AAAAAAAAAAQAgAAAAJwEAAGRycy9lMm9Eb2MueG1sUEsFBgAAAAAG&#10;AAYAWQEAAIUFAAAAAA==&#10;">
                <v:fill on="t" focussize="0,0"/>
                <v:stroke color="#000000"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159EDC66">
      <w:pPr>
        <w:autoSpaceDE w:val="0"/>
        <w:autoSpaceDN w:val="0"/>
        <w:jc w:val="center"/>
        <w:rPr>
          <w:rFonts w:hint="eastAsia" w:ascii="仿宋" w:hAnsi="仿宋" w:eastAsia="仿宋" w:cs="仿宋"/>
          <w:b/>
          <w:color w:val="auto"/>
          <w:spacing w:val="6"/>
          <w:sz w:val="32"/>
          <w:szCs w:val="32"/>
          <w:highlight w:val="none"/>
        </w:rPr>
      </w:pPr>
    </w:p>
    <w:p w14:paraId="0255D322">
      <w:pPr>
        <w:autoSpaceDE w:val="0"/>
        <w:autoSpaceDN w:val="0"/>
        <w:jc w:val="center"/>
        <w:rPr>
          <w:rFonts w:hint="eastAsia" w:ascii="仿宋" w:hAnsi="仿宋" w:eastAsia="仿宋" w:cs="仿宋"/>
          <w:b/>
          <w:color w:val="auto"/>
          <w:spacing w:val="6"/>
          <w:sz w:val="32"/>
          <w:szCs w:val="32"/>
          <w:highlight w:val="none"/>
        </w:rPr>
      </w:pPr>
    </w:p>
    <w:p w14:paraId="77B8E61E">
      <w:pPr>
        <w:autoSpaceDE w:val="0"/>
        <w:autoSpaceDN w:val="0"/>
        <w:jc w:val="center"/>
        <w:rPr>
          <w:rFonts w:hint="eastAsia" w:ascii="仿宋" w:hAnsi="仿宋" w:eastAsia="仿宋" w:cs="仿宋"/>
          <w:b/>
          <w:color w:val="auto"/>
          <w:spacing w:val="6"/>
          <w:sz w:val="32"/>
          <w:szCs w:val="32"/>
          <w:highlight w:val="none"/>
        </w:rPr>
      </w:pPr>
    </w:p>
    <w:p w14:paraId="0AD0AF7B">
      <w:pPr>
        <w:autoSpaceDE w:val="0"/>
        <w:autoSpaceDN w:val="0"/>
        <w:jc w:val="center"/>
        <w:rPr>
          <w:rFonts w:hint="eastAsia" w:ascii="仿宋" w:hAnsi="仿宋" w:eastAsia="仿宋" w:cs="仿宋"/>
          <w:b/>
          <w:color w:val="auto"/>
          <w:spacing w:val="6"/>
          <w:sz w:val="32"/>
          <w:szCs w:val="32"/>
          <w:highlight w:val="none"/>
        </w:rPr>
      </w:pPr>
    </w:p>
    <w:p w14:paraId="0DB81EDD">
      <w:pPr>
        <w:autoSpaceDE w:val="0"/>
        <w:autoSpaceDN w:val="0"/>
        <w:jc w:val="center"/>
        <w:rPr>
          <w:rFonts w:hint="eastAsia" w:ascii="仿宋" w:hAnsi="仿宋" w:eastAsia="仿宋" w:cs="仿宋"/>
          <w:b/>
          <w:color w:val="auto"/>
          <w:spacing w:val="6"/>
          <w:sz w:val="32"/>
          <w:szCs w:val="32"/>
          <w:highlight w:val="none"/>
        </w:rPr>
      </w:pPr>
    </w:p>
    <w:p w14:paraId="1F74C551">
      <w:pPr>
        <w:autoSpaceDE w:val="0"/>
        <w:autoSpaceDN w:val="0"/>
        <w:jc w:val="center"/>
        <w:rPr>
          <w:rFonts w:hint="eastAsia" w:ascii="仿宋" w:hAnsi="仿宋" w:eastAsia="仿宋" w:cs="仿宋"/>
          <w:b/>
          <w:color w:val="auto"/>
          <w:spacing w:val="6"/>
          <w:sz w:val="32"/>
          <w:szCs w:val="32"/>
          <w:highlight w:val="none"/>
        </w:rPr>
      </w:pPr>
    </w:p>
    <w:p w14:paraId="12E7EB72">
      <w:pPr>
        <w:autoSpaceDE w:val="0"/>
        <w:autoSpaceDN w:val="0"/>
        <w:jc w:val="center"/>
        <w:rPr>
          <w:rFonts w:hint="eastAsia" w:ascii="仿宋" w:hAnsi="仿宋" w:eastAsia="仿宋" w:cs="仿宋"/>
          <w:b/>
          <w:color w:val="auto"/>
          <w:spacing w:val="6"/>
          <w:sz w:val="32"/>
          <w:szCs w:val="32"/>
          <w:highlight w:val="none"/>
        </w:rPr>
      </w:pPr>
    </w:p>
    <w:p w14:paraId="3B3CFFB5">
      <w:pPr>
        <w:pStyle w:val="25"/>
        <w:rPr>
          <w:rFonts w:hint="eastAsia" w:ascii="仿宋" w:hAnsi="仿宋" w:eastAsia="仿宋" w:cs="仿宋"/>
          <w:b/>
          <w:color w:val="auto"/>
          <w:spacing w:val="6"/>
          <w:sz w:val="32"/>
          <w:szCs w:val="32"/>
          <w:highlight w:val="none"/>
        </w:rPr>
      </w:pPr>
    </w:p>
    <w:p w14:paraId="5BFC64A8">
      <w:pPr>
        <w:rPr>
          <w:rFonts w:hint="eastAsia" w:ascii="仿宋" w:hAnsi="仿宋" w:eastAsia="仿宋" w:cs="仿宋"/>
          <w:b/>
          <w:color w:val="auto"/>
          <w:spacing w:val="6"/>
          <w:sz w:val="32"/>
          <w:szCs w:val="32"/>
          <w:highlight w:val="none"/>
        </w:rPr>
      </w:pPr>
    </w:p>
    <w:p w14:paraId="720CAC18">
      <w:pPr>
        <w:pStyle w:val="25"/>
        <w:rPr>
          <w:rFonts w:hint="eastAsia" w:ascii="仿宋" w:hAnsi="仿宋" w:eastAsia="仿宋" w:cs="仿宋"/>
          <w:b/>
          <w:color w:val="auto"/>
          <w:spacing w:val="6"/>
          <w:sz w:val="32"/>
          <w:szCs w:val="32"/>
          <w:highlight w:val="none"/>
        </w:rPr>
      </w:pPr>
    </w:p>
    <w:p w14:paraId="48C9B189">
      <w:pPr>
        <w:rPr>
          <w:rFonts w:hint="eastAsia" w:ascii="仿宋" w:hAnsi="仿宋" w:eastAsia="仿宋" w:cs="仿宋"/>
          <w:b/>
          <w:color w:val="auto"/>
          <w:spacing w:val="6"/>
          <w:sz w:val="32"/>
          <w:szCs w:val="32"/>
          <w:highlight w:val="none"/>
        </w:rPr>
      </w:pPr>
    </w:p>
    <w:p w14:paraId="6FF20F4C">
      <w:pPr>
        <w:pStyle w:val="25"/>
        <w:rPr>
          <w:rFonts w:hint="eastAsia" w:ascii="仿宋" w:hAnsi="仿宋" w:eastAsia="仿宋" w:cs="仿宋"/>
          <w:b/>
          <w:color w:val="auto"/>
          <w:spacing w:val="6"/>
          <w:sz w:val="32"/>
          <w:szCs w:val="32"/>
          <w:highlight w:val="none"/>
        </w:rPr>
      </w:pPr>
    </w:p>
    <w:p w14:paraId="672173F1">
      <w:pPr>
        <w:rPr>
          <w:rFonts w:hint="eastAsia" w:ascii="仿宋" w:hAnsi="仿宋" w:eastAsia="仿宋" w:cs="仿宋"/>
          <w:b/>
          <w:color w:val="auto"/>
          <w:spacing w:val="6"/>
          <w:sz w:val="32"/>
          <w:szCs w:val="32"/>
          <w:highlight w:val="none"/>
        </w:rPr>
      </w:pPr>
    </w:p>
    <w:p w14:paraId="7EC74689">
      <w:pPr>
        <w:pStyle w:val="25"/>
        <w:rPr>
          <w:rFonts w:hint="eastAsia" w:ascii="仿宋" w:hAnsi="仿宋" w:eastAsia="仿宋" w:cs="仿宋"/>
          <w:b/>
          <w:color w:val="auto"/>
          <w:spacing w:val="6"/>
          <w:sz w:val="32"/>
          <w:szCs w:val="32"/>
          <w:highlight w:val="none"/>
        </w:rPr>
      </w:pPr>
    </w:p>
    <w:p w14:paraId="06C0E97E">
      <w:pPr>
        <w:pStyle w:val="25"/>
        <w:rPr>
          <w:rFonts w:hint="eastAsia"/>
          <w:color w:val="auto"/>
          <w:highlight w:val="none"/>
        </w:rPr>
      </w:pPr>
    </w:p>
    <w:p w14:paraId="2C0D6241">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4</w:t>
      </w:r>
      <w:r>
        <w:rPr>
          <w:rFonts w:hint="eastAsia" w:ascii="仿宋" w:hAnsi="仿宋" w:eastAsia="仿宋" w:cs="仿宋"/>
          <w:b/>
          <w:color w:val="auto"/>
          <w:spacing w:val="6"/>
          <w:sz w:val="32"/>
          <w:szCs w:val="32"/>
          <w:highlight w:val="none"/>
        </w:rPr>
        <w:t>：</w:t>
      </w:r>
      <w:r>
        <w:rPr>
          <w:rFonts w:hint="eastAsia" w:ascii="仿宋" w:hAnsi="仿宋" w:eastAsia="仿宋" w:cs="仿宋"/>
          <w:b/>
          <w:color w:val="auto"/>
          <w:kern w:val="0"/>
          <w:sz w:val="32"/>
          <w:szCs w:val="32"/>
          <w:highlight w:val="none"/>
          <w:lang w:val="zh-CN"/>
        </w:rPr>
        <w:t>联合协议</w:t>
      </w:r>
    </w:p>
    <w:p w14:paraId="3991793B">
      <w:pPr>
        <w:keepNext w:val="0"/>
        <w:keepLines w:val="0"/>
        <w:pageBreakBefore w:val="0"/>
        <w:widowControl/>
        <w:kinsoku/>
        <w:wordWrap/>
        <w:overflowPunct/>
        <w:topLinePunct w:val="0"/>
        <w:autoSpaceDE/>
        <w:autoSpaceDN/>
        <w:bidi w:val="0"/>
        <w:adjustRightInd w:val="0"/>
        <w:spacing w:line="440" w:lineRule="exact"/>
        <w:ind w:righ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2549D937">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lang w:eastAsia="zh-CN"/>
        </w:rPr>
        <w:t>（项目名称）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投标。 </w:t>
      </w:r>
    </w:p>
    <w:p w14:paraId="0AA991FD">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55531AA7">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509498FB">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23F8E1EF">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2577E75E">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29FF382C">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3594EA47">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58A551B6">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38" w:name="_Hlk101131882"/>
      <w:r>
        <w:rPr>
          <w:rFonts w:hint="eastAsia" w:ascii="仿宋" w:hAnsi="仿宋" w:eastAsia="仿宋" w:cs="仿宋"/>
          <w:color w:val="auto"/>
          <w:kern w:val="0"/>
          <w:sz w:val="24"/>
          <w:highlight w:val="none"/>
          <w:u w:val="single"/>
        </w:rPr>
        <w:t>联合体成员X,……</w:t>
      </w:r>
      <w:bookmarkEnd w:id="38"/>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39"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39"/>
      <w:r>
        <w:rPr>
          <w:rFonts w:hint="eastAsia" w:ascii="仿宋" w:hAnsi="仿宋" w:eastAsia="仿宋" w:cs="仿宋"/>
          <w:b/>
          <w:color w:val="auto"/>
          <w:kern w:val="0"/>
          <w:sz w:val="24"/>
          <w:highlight w:val="none"/>
          <w:lang w:val="zh-CN"/>
        </w:rPr>
        <w:t>）</w:t>
      </w:r>
    </w:p>
    <w:p w14:paraId="7E2CA02C">
      <w:pPr>
        <w:keepNext w:val="0"/>
        <w:keepLines w:val="0"/>
        <w:pageBreakBefore w:val="0"/>
        <w:kinsoku/>
        <w:wordWrap/>
        <w:overflowPunct/>
        <w:topLinePunct w:val="0"/>
        <w:autoSpaceDE/>
        <w:autoSpaceDN/>
        <w:bidi w:val="0"/>
        <w:adjustRightInd w:val="0"/>
        <w:spacing w:line="440" w:lineRule="exact"/>
        <w:ind w:right="0" w:firstLine="480" w:firstLineChars="200"/>
        <w:textAlignment w:val="auto"/>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40"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40"/>
    </w:p>
    <w:p w14:paraId="6492897B">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5173BFED">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41C5FA24">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713416ED">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630EADFF">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4C8E7088">
      <w:pPr>
        <w:keepNext w:val="0"/>
        <w:keepLines w:val="0"/>
        <w:pageBreakBefore w:val="0"/>
        <w:kinsoku/>
        <w:wordWrap/>
        <w:overflowPunct/>
        <w:topLinePunct w:val="0"/>
        <w:autoSpaceDE/>
        <w:autoSpaceDN/>
        <w:bidi w:val="0"/>
        <w:adjustRightInd w:val="0"/>
        <w:snapToGrid w:val="0"/>
        <w:spacing w:line="440" w:lineRule="exact"/>
        <w:ind w:right="0" w:firstLine="5040" w:firstLine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FB10C88">
      <w:pPr>
        <w:keepNext w:val="0"/>
        <w:keepLines w:val="0"/>
        <w:pageBreakBefore w:val="0"/>
        <w:kinsoku/>
        <w:wordWrap/>
        <w:overflowPunct/>
        <w:topLinePunct w:val="0"/>
        <w:autoSpaceDE/>
        <w:autoSpaceDN/>
        <w:bidi w:val="0"/>
        <w:adjustRightInd w:val="0"/>
        <w:snapToGrid w:val="0"/>
        <w:spacing w:line="440" w:lineRule="exact"/>
        <w:ind w:right="0" w:firstLine="5040" w:firstLine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BABD601">
      <w:pPr>
        <w:keepNext w:val="0"/>
        <w:keepLines w:val="0"/>
        <w:pageBreakBefore w:val="0"/>
        <w:kinsoku/>
        <w:wordWrap/>
        <w:overflowPunct/>
        <w:topLinePunct w:val="0"/>
        <w:autoSpaceDE/>
        <w:autoSpaceDN/>
        <w:bidi w:val="0"/>
        <w:adjustRightInd w:val="0"/>
        <w:snapToGrid w:val="0"/>
        <w:spacing w:line="440" w:lineRule="exact"/>
        <w:ind w:right="0"/>
        <w:jc w:val="center"/>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326DAE9D">
      <w:pPr>
        <w:keepNext w:val="0"/>
        <w:keepLines w:val="0"/>
        <w:pageBreakBefore w:val="0"/>
        <w:kinsoku/>
        <w:wordWrap/>
        <w:overflowPunct/>
        <w:topLinePunct w:val="0"/>
        <w:autoSpaceDE/>
        <w:autoSpaceDN/>
        <w:bidi w:val="0"/>
        <w:adjustRightInd w:val="0"/>
        <w:snapToGrid w:val="0"/>
        <w:spacing w:line="440" w:lineRule="exact"/>
        <w:ind w:right="0"/>
        <w:jc w:val="righ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3E645AB4">
      <w:pPr>
        <w:keepNext w:val="0"/>
        <w:keepLines w:val="0"/>
        <w:pageBreakBefore w:val="0"/>
        <w:kinsoku/>
        <w:wordWrap/>
        <w:overflowPunct/>
        <w:topLinePunct w:val="0"/>
        <w:autoSpaceDE/>
        <w:autoSpaceDN/>
        <w:bidi w:val="0"/>
        <w:adjustRightInd w:val="0"/>
        <w:spacing w:line="440" w:lineRule="exact"/>
        <w:ind w:righ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26620F9">
      <w:pPr>
        <w:autoSpaceDE w:val="0"/>
        <w:autoSpaceDN w:val="0"/>
        <w:jc w:val="center"/>
        <w:rPr>
          <w:rFonts w:hint="eastAsia" w:ascii="仿宋" w:hAnsi="仿宋" w:eastAsia="仿宋" w:cs="仿宋"/>
          <w:b/>
          <w:color w:val="auto"/>
          <w:spacing w:val="6"/>
          <w:sz w:val="32"/>
          <w:szCs w:val="32"/>
          <w:highlight w:val="none"/>
        </w:rPr>
      </w:pPr>
    </w:p>
    <w:p w14:paraId="7667A9C7">
      <w:pPr>
        <w:autoSpaceDE w:val="0"/>
        <w:autoSpaceDN w:val="0"/>
        <w:jc w:val="center"/>
        <w:rPr>
          <w:rFonts w:hint="eastAsia" w:ascii="仿宋" w:hAnsi="仿宋" w:eastAsia="仿宋" w:cs="仿宋"/>
          <w:b/>
          <w:color w:val="auto"/>
          <w:spacing w:val="6"/>
          <w:sz w:val="32"/>
          <w:szCs w:val="32"/>
          <w:highlight w:val="none"/>
        </w:rPr>
      </w:pPr>
    </w:p>
    <w:p w14:paraId="690A5701">
      <w:pPr>
        <w:autoSpaceDE w:val="0"/>
        <w:autoSpaceDN w:val="0"/>
        <w:jc w:val="center"/>
        <w:rPr>
          <w:rFonts w:hint="eastAsia" w:ascii="仿宋" w:hAnsi="仿宋" w:eastAsia="仿宋" w:cs="仿宋"/>
          <w:b/>
          <w:color w:val="auto"/>
          <w:spacing w:val="6"/>
          <w:sz w:val="32"/>
          <w:szCs w:val="32"/>
          <w:highlight w:val="none"/>
        </w:rPr>
      </w:pPr>
    </w:p>
    <w:p w14:paraId="2911981C">
      <w:pPr>
        <w:autoSpaceDE w:val="0"/>
        <w:autoSpaceDN w:val="0"/>
        <w:jc w:val="center"/>
        <w:rPr>
          <w:rFonts w:hint="eastAsia" w:ascii="仿宋" w:hAnsi="仿宋" w:eastAsia="仿宋" w:cs="仿宋"/>
          <w:b/>
          <w:color w:val="auto"/>
          <w:spacing w:val="6"/>
          <w:sz w:val="32"/>
          <w:szCs w:val="32"/>
          <w:highlight w:val="none"/>
        </w:rPr>
      </w:pPr>
    </w:p>
    <w:p w14:paraId="78A33A14">
      <w:pPr>
        <w:autoSpaceDE w:val="0"/>
        <w:autoSpaceDN w:val="0"/>
        <w:jc w:val="center"/>
        <w:rPr>
          <w:rFonts w:hint="eastAsia" w:ascii="仿宋" w:hAnsi="仿宋" w:eastAsia="仿宋" w:cs="仿宋"/>
          <w:b/>
          <w:color w:val="auto"/>
          <w:spacing w:val="6"/>
          <w:sz w:val="32"/>
          <w:szCs w:val="32"/>
          <w:highlight w:val="none"/>
        </w:rPr>
      </w:pPr>
    </w:p>
    <w:p w14:paraId="37F30ADE">
      <w:pPr>
        <w:autoSpaceDE w:val="0"/>
        <w:autoSpaceDN w:val="0"/>
        <w:jc w:val="center"/>
        <w:rPr>
          <w:rFonts w:hint="eastAsia" w:ascii="仿宋" w:hAnsi="仿宋" w:eastAsia="仿宋" w:cs="仿宋"/>
          <w:b/>
          <w:color w:val="auto"/>
          <w:spacing w:val="6"/>
          <w:sz w:val="32"/>
          <w:szCs w:val="32"/>
          <w:highlight w:val="none"/>
        </w:rPr>
      </w:pPr>
    </w:p>
    <w:p w14:paraId="6F9ED0F8">
      <w:pPr>
        <w:autoSpaceDE w:val="0"/>
        <w:autoSpaceDN w:val="0"/>
        <w:jc w:val="center"/>
        <w:rPr>
          <w:rFonts w:hint="eastAsia" w:ascii="仿宋" w:hAnsi="仿宋" w:eastAsia="仿宋" w:cs="仿宋"/>
          <w:b/>
          <w:color w:val="auto"/>
          <w:spacing w:val="6"/>
          <w:sz w:val="32"/>
          <w:szCs w:val="32"/>
          <w:highlight w:val="none"/>
        </w:rPr>
      </w:pPr>
    </w:p>
    <w:p w14:paraId="7AAE85D6">
      <w:pPr>
        <w:autoSpaceDE w:val="0"/>
        <w:autoSpaceDN w:val="0"/>
        <w:jc w:val="center"/>
        <w:rPr>
          <w:rFonts w:hint="eastAsia" w:ascii="仿宋" w:hAnsi="仿宋" w:eastAsia="仿宋" w:cs="仿宋"/>
          <w:b/>
          <w:color w:val="auto"/>
          <w:spacing w:val="6"/>
          <w:sz w:val="32"/>
          <w:szCs w:val="32"/>
          <w:highlight w:val="none"/>
        </w:rPr>
      </w:pPr>
    </w:p>
    <w:p w14:paraId="5748787D">
      <w:pPr>
        <w:autoSpaceDE w:val="0"/>
        <w:autoSpaceDN w:val="0"/>
        <w:jc w:val="center"/>
        <w:rPr>
          <w:rFonts w:hint="eastAsia" w:ascii="仿宋" w:hAnsi="仿宋" w:eastAsia="仿宋" w:cs="仿宋"/>
          <w:b/>
          <w:color w:val="auto"/>
          <w:spacing w:val="6"/>
          <w:sz w:val="32"/>
          <w:szCs w:val="32"/>
          <w:highlight w:val="none"/>
        </w:rPr>
      </w:pPr>
    </w:p>
    <w:p w14:paraId="11670574">
      <w:pPr>
        <w:autoSpaceDE w:val="0"/>
        <w:autoSpaceDN w:val="0"/>
        <w:jc w:val="center"/>
        <w:rPr>
          <w:rFonts w:hint="eastAsia" w:ascii="仿宋" w:hAnsi="仿宋" w:eastAsia="仿宋" w:cs="仿宋"/>
          <w:b/>
          <w:color w:val="auto"/>
          <w:spacing w:val="6"/>
          <w:sz w:val="32"/>
          <w:szCs w:val="32"/>
          <w:highlight w:val="none"/>
        </w:rPr>
      </w:pPr>
    </w:p>
    <w:p w14:paraId="12A281D3">
      <w:pPr>
        <w:autoSpaceDE w:val="0"/>
        <w:autoSpaceDN w:val="0"/>
        <w:jc w:val="center"/>
        <w:rPr>
          <w:rFonts w:hint="eastAsia" w:ascii="仿宋" w:hAnsi="仿宋" w:eastAsia="仿宋" w:cs="仿宋"/>
          <w:b/>
          <w:color w:val="auto"/>
          <w:spacing w:val="6"/>
          <w:sz w:val="32"/>
          <w:szCs w:val="32"/>
          <w:highlight w:val="none"/>
        </w:rPr>
      </w:pPr>
    </w:p>
    <w:p w14:paraId="348A4827">
      <w:pPr>
        <w:autoSpaceDE w:val="0"/>
        <w:autoSpaceDN w:val="0"/>
        <w:jc w:val="center"/>
        <w:rPr>
          <w:rFonts w:hint="eastAsia" w:ascii="仿宋" w:hAnsi="仿宋" w:eastAsia="仿宋" w:cs="仿宋"/>
          <w:b/>
          <w:color w:val="auto"/>
          <w:spacing w:val="6"/>
          <w:sz w:val="32"/>
          <w:szCs w:val="32"/>
          <w:highlight w:val="none"/>
        </w:rPr>
      </w:pPr>
    </w:p>
    <w:p w14:paraId="0757F8C2">
      <w:pPr>
        <w:autoSpaceDE w:val="0"/>
        <w:autoSpaceDN w:val="0"/>
        <w:jc w:val="center"/>
        <w:rPr>
          <w:rFonts w:hint="eastAsia" w:ascii="仿宋" w:hAnsi="仿宋" w:eastAsia="仿宋" w:cs="仿宋"/>
          <w:b/>
          <w:color w:val="auto"/>
          <w:spacing w:val="6"/>
          <w:sz w:val="32"/>
          <w:szCs w:val="32"/>
          <w:highlight w:val="none"/>
        </w:rPr>
      </w:pPr>
    </w:p>
    <w:p w14:paraId="42C3E10C">
      <w:pPr>
        <w:autoSpaceDE w:val="0"/>
        <w:autoSpaceDN w:val="0"/>
        <w:jc w:val="center"/>
        <w:rPr>
          <w:rFonts w:hint="eastAsia" w:ascii="仿宋" w:hAnsi="仿宋" w:eastAsia="仿宋" w:cs="仿宋"/>
          <w:b/>
          <w:color w:val="auto"/>
          <w:spacing w:val="6"/>
          <w:sz w:val="32"/>
          <w:szCs w:val="32"/>
          <w:highlight w:val="none"/>
        </w:rPr>
      </w:pPr>
    </w:p>
    <w:p w14:paraId="71F6BCE0">
      <w:pPr>
        <w:autoSpaceDE w:val="0"/>
        <w:autoSpaceDN w:val="0"/>
        <w:jc w:val="center"/>
        <w:rPr>
          <w:rFonts w:hint="eastAsia" w:ascii="仿宋" w:hAnsi="仿宋" w:eastAsia="仿宋" w:cs="仿宋"/>
          <w:b/>
          <w:color w:val="auto"/>
          <w:spacing w:val="6"/>
          <w:sz w:val="32"/>
          <w:szCs w:val="32"/>
          <w:highlight w:val="none"/>
        </w:rPr>
      </w:pPr>
    </w:p>
    <w:p w14:paraId="7F44946D">
      <w:pPr>
        <w:autoSpaceDE w:val="0"/>
        <w:autoSpaceDN w:val="0"/>
        <w:jc w:val="center"/>
        <w:rPr>
          <w:rFonts w:hint="eastAsia" w:ascii="仿宋" w:hAnsi="仿宋" w:eastAsia="仿宋" w:cs="仿宋"/>
          <w:b/>
          <w:color w:val="auto"/>
          <w:spacing w:val="6"/>
          <w:sz w:val="32"/>
          <w:szCs w:val="32"/>
          <w:highlight w:val="none"/>
        </w:rPr>
      </w:pPr>
    </w:p>
    <w:p w14:paraId="7C060004">
      <w:pPr>
        <w:autoSpaceDE w:val="0"/>
        <w:autoSpaceDN w:val="0"/>
        <w:jc w:val="center"/>
        <w:rPr>
          <w:rFonts w:hint="eastAsia" w:ascii="仿宋" w:hAnsi="仿宋" w:eastAsia="仿宋" w:cs="仿宋"/>
          <w:b/>
          <w:color w:val="auto"/>
          <w:spacing w:val="6"/>
          <w:sz w:val="32"/>
          <w:szCs w:val="32"/>
          <w:highlight w:val="none"/>
        </w:rPr>
      </w:pPr>
    </w:p>
    <w:p w14:paraId="407A079D">
      <w:pPr>
        <w:autoSpaceDE w:val="0"/>
        <w:autoSpaceDN w:val="0"/>
        <w:jc w:val="center"/>
        <w:rPr>
          <w:rFonts w:hint="eastAsia" w:ascii="仿宋" w:hAnsi="仿宋" w:eastAsia="仿宋" w:cs="仿宋"/>
          <w:b/>
          <w:color w:val="auto"/>
          <w:spacing w:val="6"/>
          <w:sz w:val="32"/>
          <w:szCs w:val="32"/>
          <w:highlight w:val="none"/>
        </w:rPr>
      </w:pPr>
    </w:p>
    <w:p w14:paraId="60C829AD">
      <w:pPr>
        <w:autoSpaceDE w:val="0"/>
        <w:autoSpaceDN w:val="0"/>
        <w:jc w:val="center"/>
        <w:rPr>
          <w:rFonts w:hint="eastAsia" w:ascii="仿宋" w:hAnsi="仿宋" w:eastAsia="仿宋" w:cs="仿宋"/>
          <w:b/>
          <w:color w:val="auto"/>
          <w:spacing w:val="6"/>
          <w:sz w:val="32"/>
          <w:szCs w:val="32"/>
          <w:highlight w:val="none"/>
        </w:rPr>
      </w:pPr>
    </w:p>
    <w:p w14:paraId="6FFC07F6">
      <w:pPr>
        <w:autoSpaceDE w:val="0"/>
        <w:autoSpaceDN w:val="0"/>
        <w:jc w:val="center"/>
        <w:rPr>
          <w:rFonts w:hint="eastAsia" w:ascii="仿宋" w:hAnsi="仿宋" w:eastAsia="仿宋" w:cs="仿宋"/>
          <w:b/>
          <w:color w:val="auto"/>
          <w:spacing w:val="6"/>
          <w:sz w:val="32"/>
          <w:szCs w:val="32"/>
          <w:highlight w:val="none"/>
        </w:rPr>
      </w:pPr>
    </w:p>
    <w:p w14:paraId="4E27B90B">
      <w:pPr>
        <w:autoSpaceDE w:val="0"/>
        <w:autoSpaceDN w:val="0"/>
        <w:jc w:val="center"/>
        <w:rPr>
          <w:rFonts w:hint="eastAsia" w:ascii="仿宋" w:hAnsi="仿宋" w:eastAsia="仿宋" w:cs="仿宋"/>
          <w:b/>
          <w:color w:val="auto"/>
          <w:spacing w:val="6"/>
          <w:sz w:val="32"/>
          <w:szCs w:val="32"/>
          <w:highlight w:val="none"/>
        </w:rPr>
      </w:pPr>
    </w:p>
    <w:p w14:paraId="1CD077A0">
      <w:pPr>
        <w:autoSpaceDE w:val="0"/>
        <w:autoSpaceDN w:val="0"/>
        <w:jc w:val="center"/>
        <w:rPr>
          <w:rFonts w:hint="eastAsia" w:ascii="仿宋" w:hAnsi="仿宋" w:eastAsia="仿宋" w:cs="仿宋"/>
          <w:b/>
          <w:color w:val="auto"/>
          <w:spacing w:val="6"/>
          <w:sz w:val="32"/>
          <w:szCs w:val="32"/>
          <w:highlight w:val="none"/>
        </w:rPr>
      </w:pPr>
    </w:p>
    <w:p w14:paraId="5227B594">
      <w:pPr>
        <w:autoSpaceDE w:val="0"/>
        <w:autoSpaceDN w:val="0"/>
        <w:jc w:val="center"/>
        <w:rPr>
          <w:rFonts w:hint="eastAsia" w:ascii="仿宋" w:hAnsi="仿宋" w:eastAsia="仿宋" w:cs="仿宋"/>
          <w:b/>
          <w:color w:val="auto"/>
          <w:spacing w:val="6"/>
          <w:sz w:val="32"/>
          <w:szCs w:val="32"/>
          <w:highlight w:val="none"/>
        </w:rPr>
      </w:pPr>
    </w:p>
    <w:p w14:paraId="6AD006B3">
      <w:pPr>
        <w:snapToGrid w:val="0"/>
        <w:spacing w:line="360" w:lineRule="auto"/>
        <w:ind w:firstLine="3666" w:firstLineChars="1100"/>
        <w:rPr>
          <w:rFonts w:hint="eastAsia" w:ascii="仿宋" w:hAnsi="仿宋" w:eastAsia="仿宋" w:cs="仿宋"/>
          <w:b/>
          <w:color w:val="auto"/>
          <w:spacing w:val="6"/>
          <w:sz w:val="32"/>
          <w:szCs w:val="32"/>
          <w:highlight w:val="none"/>
        </w:rPr>
      </w:pPr>
    </w:p>
    <w:p w14:paraId="18DAC7B6">
      <w:pPr>
        <w:widowControl/>
        <w:adjustRightInd/>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074B3600">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5</w:t>
      </w:r>
      <w:r>
        <w:rPr>
          <w:rFonts w:hint="eastAsia" w:ascii="仿宋" w:hAnsi="仿宋" w:eastAsia="仿宋" w:cs="仿宋"/>
          <w:b/>
          <w:color w:val="auto"/>
          <w:spacing w:val="6"/>
          <w:sz w:val="32"/>
          <w:szCs w:val="32"/>
          <w:highlight w:val="none"/>
        </w:rPr>
        <w:t>：</w:t>
      </w:r>
      <w:r>
        <w:rPr>
          <w:rFonts w:hint="eastAsia" w:ascii="仿宋" w:hAnsi="仿宋" w:eastAsia="仿宋" w:cs="仿宋"/>
          <w:b/>
          <w:color w:val="auto"/>
          <w:kern w:val="0"/>
          <w:sz w:val="32"/>
          <w:szCs w:val="32"/>
          <w:highlight w:val="none"/>
        </w:rPr>
        <w:t>分包意向协议</w:t>
      </w:r>
    </w:p>
    <w:p w14:paraId="5618D1B7">
      <w:pPr>
        <w:pageBreakBefore w:val="0"/>
        <w:widowControl/>
        <w:kinsoku/>
        <w:wordWrap/>
        <w:overflowPunct/>
        <w:topLinePunct w:val="0"/>
        <w:autoSpaceDE/>
        <w:autoSpaceDN/>
        <w:bidi w:val="0"/>
        <w:spacing w:line="440" w:lineRule="exact"/>
        <w:ind w:left="0" w:leftChars="0" w:right="0" w:firstLine="120" w:firstLineChars="5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51254FA8">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lang w:eastAsia="zh-CN"/>
        </w:rPr>
        <w:t>（项目名称）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4912A7C7">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12750E29">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0563D4B5">
      <w:pPr>
        <w:pStyle w:val="4"/>
        <w:pageBreakBefore w:val="0"/>
        <w:kinsoku/>
        <w:wordWrap/>
        <w:overflowPunct/>
        <w:topLinePunct w:val="0"/>
        <w:autoSpaceDE/>
        <w:autoSpaceDN/>
        <w:bidi w:val="0"/>
        <w:spacing w:line="440" w:lineRule="exact"/>
        <w:ind w:left="0" w:leftChars="0" w:right="0" w:firstLine="229" w:firstLineChars="95"/>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0B13C82C">
      <w:pPr>
        <w:pageBreakBefore w:val="0"/>
        <w:kinsoku/>
        <w:wordWrap/>
        <w:overflowPunct/>
        <w:topLinePunct w:val="0"/>
        <w:autoSpaceDE/>
        <w:autoSpaceDN/>
        <w:bidi w:val="0"/>
        <w:spacing w:line="440" w:lineRule="exact"/>
        <w:ind w:left="0" w:leftChars="0" w:right="0"/>
        <w:textAlignment w:val="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5C43B869">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3AAF2E2F">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6562E0C5">
      <w:pPr>
        <w:pageBreakBefore w:val="0"/>
        <w:kinsoku/>
        <w:wordWrap/>
        <w:overflowPunct/>
        <w:topLinePunct w:val="0"/>
        <w:autoSpaceDE/>
        <w:autoSpaceDN/>
        <w:bidi w:val="0"/>
        <w:spacing w:line="440" w:lineRule="exact"/>
        <w:ind w:left="0" w:leftChars="0" w:right="0" w:firstLine="480" w:firstLineChars="200"/>
        <w:textAlignment w:val="auto"/>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21EA03C1">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1247F65D">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3471BC3F">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613848A1">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BFFF52E">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02E9EFB6">
      <w:pPr>
        <w:pageBreakBefore w:val="0"/>
        <w:kinsoku/>
        <w:wordWrap/>
        <w:overflowPunct/>
        <w:topLinePunct w:val="0"/>
        <w:autoSpaceDE/>
        <w:autoSpaceDN/>
        <w:bidi w:val="0"/>
        <w:snapToGrid w:val="0"/>
        <w:spacing w:line="440" w:lineRule="exact"/>
        <w:ind w:left="0" w:leftChars="0" w:right="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F0BE436">
      <w:pPr>
        <w:pageBreakBefore w:val="0"/>
        <w:kinsoku/>
        <w:wordWrap/>
        <w:overflowPunct/>
        <w:topLinePunct w:val="0"/>
        <w:autoSpaceDE/>
        <w:autoSpaceDN/>
        <w:bidi w:val="0"/>
        <w:snapToGrid w:val="0"/>
        <w:spacing w:line="440" w:lineRule="exact"/>
        <w:ind w:left="0" w:leftChars="0" w:right="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5A71F25C">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CEAA25D">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76C6558C">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6F12F6B">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7DDCF9D4">
      <w:pPr>
        <w:pageBreakBefore w:val="0"/>
        <w:kinsoku/>
        <w:wordWrap/>
        <w:overflowPunct/>
        <w:topLinePunct w:val="0"/>
        <w:autoSpaceDE/>
        <w:autoSpaceDN/>
        <w:bidi w:val="0"/>
        <w:snapToGrid w:val="0"/>
        <w:spacing w:line="440" w:lineRule="exact"/>
        <w:ind w:left="5040" w:leftChars="0" w:right="0" w:hanging="5040" w:hanging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2E2802A6">
      <w:pPr>
        <w:pageBreakBefore w:val="0"/>
        <w:kinsoku/>
        <w:wordWrap/>
        <w:overflowPunct/>
        <w:topLinePunct w:val="0"/>
        <w:autoSpaceDE/>
        <w:autoSpaceDN/>
        <w:bidi w:val="0"/>
        <w:snapToGrid w:val="0"/>
        <w:spacing w:line="440" w:lineRule="exact"/>
        <w:ind w:left="0" w:leftChars="0" w:right="0"/>
        <w:jc w:val="righ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6A26C950">
      <w:pPr>
        <w:pageBreakBefore w:val="0"/>
        <w:kinsoku/>
        <w:wordWrap/>
        <w:overflowPunct/>
        <w:topLinePunct w:val="0"/>
        <w:autoSpaceDE/>
        <w:autoSpaceDN/>
        <w:bidi w:val="0"/>
        <w:snapToGrid w:val="0"/>
        <w:spacing w:line="440" w:lineRule="exact"/>
        <w:ind w:left="0" w:leftChars="0" w:right="0" w:firstLine="5760" w:firstLineChars="2400"/>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2B74167C">
      <w:pPr>
        <w:pageBreakBefore w:val="0"/>
        <w:kinsoku/>
        <w:wordWrap/>
        <w:overflowPunct/>
        <w:topLinePunct w:val="0"/>
        <w:autoSpaceDE/>
        <w:autoSpaceDN/>
        <w:bidi w:val="0"/>
        <w:snapToGrid w:val="0"/>
        <w:spacing w:line="440" w:lineRule="exact"/>
        <w:ind w:left="5040" w:leftChars="0" w:right="0" w:hanging="5040" w:hanging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10A9343">
      <w:pPr>
        <w:pageBreakBefore w:val="0"/>
        <w:kinsoku/>
        <w:wordWrap/>
        <w:overflowPunct/>
        <w:topLinePunct w:val="0"/>
        <w:autoSpaceDE/>
        <w:autoSpaceDN/>
        <w:bidi w:val="0"/>
        <w:spacing w:line="440" w:lineRule="exact"/>
        <w:ind w:left="0" w:leftChars="0" w:righ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0AE8218">
      <w:pPr>
        <w:autoSpaceDE w:val="0"/>
        <w:autoSpaceDN w:val="0"/>
        <w:jc w:val="center"/>
        <w:rPr>
          <w:rFonts w:hint="eastAsia" w:ascii="仿宋" w:hAnsi="仿宋" w:eastAsia="仿宋" w:cs="仿宋"/>
          <w:b/>
          <w:color w:val="auto"/>
          <w:spacing w:val="6"/>
          <w:sz w:val="32"/>
          <w:szCs w:val="32"/>
          <w:highlight w:val="none"/>
        </w:rPr>
      </w:pPr>
    </w:p>
    <w:p w14:paraId="311EADB5">
      <w:pPr>
        <w:autoSpaceDE w:val="0"/>
        <w:autoSpaceDN w:val="0"/>
        <w:jc w:val="center"/>
        <w:rPr>
          <w:rFonts w:hint="eastAsia" w:ascii="仿宋" w:hAnsi="仿宋" w:eastAsia="仿宋" w:cs="仿宋"/>
          <w:b/>
          <w:color w:val="auto"/>
          <w:spacing w:val="6"/>
          <w:sz w:val="32"/>
          <w:szCs w:val="32"/>
          <w:highlight w:val="none"/>
        </w:rPr>
      </w:pPr>
    </w:p>
    <w:p w14:paraId="2AA82011">
      <w:pPr>
        <w:autoSpaceDE w:val="0"/>
        <w:autoSpaceDN w:val="0"/>
        <w:jc w:val="center"/>
        <w:rPr>
          <w:rFonts w:hint="eastAsia" w:ascii="仿宋" w:hAnsi="仿宋" w:eastAsia="仿宋" w:cs="仿宋"/>
          <w:b/>
          <w:color w:val="auto"/>
          <w:spacing w:val="6"/>
          <w:sz w:val="32"/>
          <w:szCs w:val="32"/>
          <w:highlight w:val="none"/>
        </w:rPr>
      </w:pPr>
    </w:p>
    <w:p w14:paraId="01AFE1D3">
      <w:pPr>
        <w:pStyle w:val="2"/>
        <w:rPr>
          <w:rFonts w:hint="eastAsia" w:ascii="仿宋" w:hAnsi="仿宋" w:eastAsia="仿宋" w:cs="仿宋"/>
          <w:b/>
          <w:color w:val="auto"/>
          <w:spacing w:val="6"/>
          <w:sz w:val="32"/>
          <w:szCs w:val="32"/>
          <w:highlight w:val="none"/>
        </w:rPr>
      </w:pPr>
    </w:p>
    <w:p w14:paraId="4F8B701D">
      <w:pPr>
        <w:pStyle w:val="83"/>
        <w:rPr>
          <w:rFonts w:hint="eastAsia" w:ascii="仿宋" w:hAnsi="仿宋" w:eastAsia="仿宋" w:cs="仿宋"/>
          <w:b/>
          <w:color w:val="auto"/>
          <w:spacing w:val="6"/>
          <w:sz w:val="32"/>
          <w:szCs w:val="32"/>
          <w:highlight w:val="none"/>
        </w:rPr>
      </w:pPr>
    </w:p>
    <w:p w14:paraId="3EEAB646">
      <w:pPr>
        <w:rPr>
          <w:rFonts w:hint="eastAsia" w:ascii="仿宋" w:hAnsi="仿宋" w:eastAsia="仿宋" w:cs="仿宋"/>
          <w:b/>
          <w:color w:val="auto"/>
          <w:spacing w:val="6"/>
          <w:sz w:val="32"/>
          <w:szCs w:val="32"/>
          <w:highlight w:val="none"/>
        </w:rPr>
      </w:pPr>
    </w:p>
    <w:p w14:paraId="36DAF8DF">
      <w:pPr>
        <w:pStyle w:val="2"/>
        <w:rPr>
          <w:rFonts w:hint="eastAsia" w:ascii="仿宋" w:hAnsi="仿宋" w:eastAsia="仿宋" w:cs="仿宋"/>
          <w:b/>
          <w:color w:val="auto"/>
          <w:spacing w:val="6"/>
          <w:sz w:val="32"/>
          <w:szCs w:val="32"/>
          <w:highlight w:val="none"/>
        </w:rPr>
      </w:pPr>
    </w:p>
    <w:p w14:paraId="6B308F18">
      <w:pPr>
        <w:pStyle w:val="83"/>
        <w:rPr>
          <w:rFonts w:hint="eastAsia" w:ascii="仿宋" w:hAnsi="仿宋" w:eastAsia="仿宋" w:cs="仿宋"/>
          <w:b/>
          <w:color w:val="auto"/>
          <w:spacing w:val="6"/>
          <w:sz w:val="32"/>
          <w:szCs w:val="32"/>
          <w:highlight w:val="none"/>
        </w:rPr>
      </w:pPr>
    </w:p>
    <w:p w14:paraId="597B9D5C">
      <w:pPr>
        <w:rPr>
          <w:rFonts w:hint="eastAsia" w:ascii="仿宋" w:hAnsi="仿宋" w:eastAsia="仿宋" w:cs="仿宋"/>
          <w:b/>
          <w:color w:val="auto"/>
          <w:spacing w:val="6"/>
          <w:sz w:val="32"/>
          <w:szCs w:val="32"/>
          <w:highlight w:val="none"/>
        </w:rPr>
      </w:pPr>
    </w:p>
    <w:p w14:paraId="7A786D89">
      <w:pPr>
        <w:pStyle w:val="2"/>
        <w:rPr>
          <w:rFonts w:hint="eastAsia" w:ascii="仿宋" w:hAnsi="仿宋" w:eastAsia="仿宋" w:cs="仿宋"/>
          <w:b/>
          <w:color w:val="auto"/>
          <w:spacing w:val="6"/>
          <w:sz w:val="32"/>
          <w:szCs w:val="32"/>
          <w:highlight w:val="none"/>
        </w:rPr>
      </w:pPr>
    </w:p>
    <w:p w14:paraId="7CA19C67">
      <w:pPr>
        <w:pStyle w:val="83"/>
        <w:rPr>
          <w:rFonts w:hint="eastAsia" w:ascii="仿宋" w:hAnsi="仿宋" w:eastAsia="仿宋" w:cs="仿宋"/>
          <w:b/>
          <w:color w:val="auto"/>
          <w:spacing w:val="6"/>
          <w:sz w:val="32"/>
          <w:szCs w:val="32"/>
          <w:highlight w:val="none"/>
        </w:rPr>
      </w:pPr>
    </w:p>
    <w:p w14:paraId="1CCB9267">
      <w:pPr>
        <w:rPr>
          <w:rFonts w:hint="eastAsia" w:ascii="仿宋" w:hAnsi="仿宋" w:eastAsia="仿宋" w:cs="仿宋"/>
          <w:b/>
          <w:color w:val="auto"/>
          <w:spacing w:val="6"/>
          <w:sz w:val="32"/>
          <w:szCs w:val="32"/>
          <w:highlight w:val="none"/>
        </w:rPr>
      </w:pPr>
    </w:p>
    <w:p w14:paraId="0772FBCF">
      <w:pPr>
        <w:pStyle w:val="2"/>
        <w:rPr>
          <w:rFonts w:hint="eastAsia" w:ascii="仿宋" w:hAnsi="仿宋" w:eastAsia="仿宋" w:cs="仿宋"/>
          <w:b/>
          <w:color w:val="auto"/>
          <w:spacing w:val="6"/>
          <w:sz w:val="32"/>
          <w:szCs w:val="32"/>
          <w:highlight w:val="none"/>
        </w:rPr>
      </w:pPr>
    </w:p>
    <w:p w14:paraId="6390760C">
      <w:pPr>
        <w:pStyle w:val="83"/>
        <w:rPr>
          <w:rFonts w:hint="eastAsia" w:ascii="仿宋" w:hAnsi="仿宋" w:eastAsia="仿宋" w:cs="仿宋"/>
          <w:b/>
          <w:color w:val="auto"/>
          <w:spacing w:val="6"/>
          <w:sz w:val="32"/>
          <w:szCs w:val="32"/>
          <w:highlight w:val="none"/>
        </w:rPr>
      </w:pPr>
    </w:p>
    <w:p w14:paraId="017F80D5">
      <w:pPr>
        <w:rPr>
          <w:rFonts w:hint="eastAsia" w:ascii="仿宋" w:hAnsi="仿宋" w:eastAsia="仿宋" w:cs="仿宋"/>
          <w:b/>
          <w:color w:val="auto"/>
          <w:spacing w:val="6"/>
          <w:sz w:val="32"/>
          <w:szCs w:val="32"/>
          <w:highlight w:val="none"/>
        </w:rPr>
      </w:pPr>
    </w:p>
    <w:p w14:paraId="47EAF144">
      <w:pPr>
        <w:pStyle w:val="2"/>
        <w:rPr>
          <w:rFonts w:hint="eastAsia" w:ascii="仿宋" w:hAnsi="仿宋" w:eastAsia="仿宋" w:cs="仿宋"/>
          <w:b/>
          <w:color w:val="auto"/>
          <w:spacing w:val="6"/>
          <w:sz w:val="32"/>
          <w:szCs w:val="32"/>
          <w:highlight w:val="none"/>
        </w:rPr>
      </w:pPr>
    </w:p>
    <w:p w14:paraId="3C166DC2">
      <w:pPr>
        <w:pStyle w:val="83"/>
        <w:rPr>
          <w:rFonts w:hint="eastAsia" w:ascii="仿宋" w:hAnsi="仿宋" w:eastAsia="仿宋" w:cs="仿宋"/>
          <w:b/>
          <w:color w:val="auto"/>
          <w:spacing w:val="6"/>
          <w:sz w:val="32"/>
          <w:szCs w:val="32"/>
          <w:highlight w:val="none"/>
        </w:rPr>
      </w:pPr>
    </w:p>
    <w:p w14:paraId="474C6E07">
      <w:pPr>
        <w:rPr>
          <w:rFonts w:hint="eastAsia" w:ascii="仿宋" w:hAnsi="仿宋" w:eastAsia="仿宋" w:cs="仿宋"/>
          <w:b/>
          <w:color w:val="auto"/>
          <w:spacing w:val="6"/>
          <w:sz w:val="32"/>
          <w:szCs w:val="32"/>
          <w:highlight w:val="none"/>
        </w:rPr>
      </w:pPr>
    </w:p>
    <w:p w14:paraId="74481870">
      <w:pPr>
        <w:pStyle w:val="2"/>
        <w:rPr>
          <w:rFonts w:hint="eastAsia" w:ascii="仿宋" w:hAnsi="仿宋" w:eastAsia="仿宋" w:cs="仿宋"/>
          <w:b/>
          <w:color w:val="auto"/>
          <w:spacing w:val="6"/>
          <w:sz w:val="32"/>
          <w:szCs w:val="32"/>
          <w:highlight w:val="none"/>
        </w:rPr>
      </w:pPr>
    </w:p>
    <w:p w14:paraId="38FAD9A2">
      <w:pPr>
        <w:pStyle w:val="83"/>
        <w:rPr>
          <w:rFonts w:hint="eastAsia" w:ascii="仿宋" w:hAnsi="仿宋" w:eastAsia="仿宋" w:cs="仿宋"/>
          <w:b/>
          <w:color w:val="auto"/>
          <w:spacing w:val="6"/>
          <w:sz w:val="32"/>
          <w:szCs w:val="32"/>
          <w:highlight w:val="none"/>
        </w:rPr>
      </w:pPr>
    </w:p>
    <w:p w14:paraId="176D39A2">
      <w:pPr>
        <w:rPr>
          <w:rFonts w:hint="eastAsia" w:ascii="仿宋" w:hAnsi="仿宋" w:eastAsia="仿宋" w:cs="仿宋"/>
          <w:b/>
          <w:color w:val="auto"/>
          <w:spacing w:val="6"/>
          <w:sz w:val="32"/>
          <w:szCs w:val="32"/>
          <w:highlight w:val="none"/>
        </w:rPr>
      </w:pPr>
    </w:p>
    <w:p w14:paraId="6BC380A7">
      <w:pPr>
        <w:pStyle w:val="2"/>
        <w:rPr>
          <w:rFonts w:hint="eastAsia"/>
          <w:color w:val="auto"/>
          <w:highlight w:val="none"/>
        </w:rPr>
      </w:pPr>
    </w:p>
    <w:p w14:paraId="3E56AE6E">
      <w:pPr>
        <w:autoSpaceDE w:val="0"/>
        <w:autoSpaceDN w:val="0"/>
        <w:jc w:val="center"/>
        <w:rPr>
          <w:rFonts w:hint="eastAsia" w:ascii="仿宋" w:hAnsi="仿宋" w:eastAsia="仿宋" w:cs="仿宋"/>
          <w:b/>
          <w:color w:val="auto"/>
          <w:spacing w:val="6"/>
          <w:sz w:val="32"/>
          <w:szCs w:val="32"/>
          <w:highlight w:val="none"/>
        </w:rPr>
      </w:pPr>
    </w:p>
    <w:p w14:paraId="7A0774A3">
      <w:pPr>
        <w:autoSpaceDE w:val="0"/>
        <w:autoSpaceDN w:val="0"/>
        <w:jc w:val="center"/>
        <w:rPr>
          <w:rFonts w:hint="eastAsia" w:ascii="仿宋" w:hAnsi="仿宋" w:eastAsia="仿宋" w:cs="仿宋"/>
          <w:b/>
          <w:color w:val="auto"/>
          <w:spacing w:val="6"/>
          <w:sz w:val="32"/>
          <w:szCs w:val="32"/>
          <w:highlight w:val="none"/>
        </w:rPr>
      </w:pPr>
    </w:p>
    <w:p w14:paraId="38FD21BB">
      <w:pPr>
        <w:autoSpaceDE w:val="0"/>
        <w:autoSpaceDN w:val="0"/>
        <w:jc w:val="center"/>
        <w:rPr>
          <w:rFonts w:hint="eastAsia" w:ascii="仿宋" w:hAnsi="仿宋" w:eastAsia="仿宋" w:cs="仿宋"/>
          <w:b/>
          <w:color w:val="auto"/>
          <w:spacing w:val="6"/>
          <w:sz w:val="32"/>
          <w:szCs w:val="32"/>
          <w:highlight w:val="none"/>
        </w:rPr>
      </w:pPr>
    </w:p>
    <w:p w14:paraId="1DF5DCB1">
      <w:pPr>
        <w:pStyle w:val="25"/>
        <w:rPr>
          <w:rFonts w:hint="eastAsia" w:ascii="仿宋" w:hAnsi="仿宋" w:eastAsia="仿宋" w:cs="仿宋"/>
          <w:b/>
          <w:color w:val="auto"/>
          <w:spacing w:val="6"/>
          <w:sz w:val="32"/>
          <w:szCs w:val="32"/>
          <w:highlight w:val="none"/>
        </w:rPr>
      </w:pPr>
    </w:p>
    <w:p w14:paraId="16FB6490">
      <w:pPr>
        <w:rPr>
          <w:rFonts w:hint="eastAsia" w:ascii="仿宋" w:hAnsi="仿宋" w:eastAsia="仿宋" w:cs="仿宋"/>
          <w:b/>
          <w:color w:val="auto"/>
          <w:spacing w:val="6"/>
          <w:sz w:val="32"/>
          <w:szCs w:val="32"/>
          <w:highlight w:val="none"/>
        </w:rPr>
      </w:pPr>
    </w:p>
    <w:p w14:paraId="406299D3">
      <w:pPr>
        <w:pStyle w:val="25"/>
        <w:rPr>
          <w:rFonts w:hint="eastAsia"/>
          <w:color w:val="auto"/>
          <w:highlight w:val="none"/>
        </w:rPr>
      </w:pPr>
    </w:p>
    <w:p w14:paraId="586E4FF5">
      <w:pPr>
        <w:rPr>
          <w:rFonts w:hint="eastAsia"/>
          <w:color w:val="auto"/>
          <w:highlight w:val="none"/>
        </w:rPr>
      </w:pPr>
    </w:p>
    <w:p w14:paraId="36378A68">
      <w:pPr>
        <w:autoSpaceDE w:val="0"/>
        <w:autoSpaceDN w:val="0"/>
        <w:jc w:val="center"/>
        <w:rPr>
          <w:rFonts w:hint="eastAsia" w:ascii="仿宋" w:hAnsi="仿宋" w:eastAsia="仿宋" w:cs="仿宋"/>
          <w:b/>
          <w:color w:val="auto"/>
          <w:spacing w:val="6"/>
          <w:sz w:val="32"/>
          <w:szCs w:val="32"/>
          <w:highlight w:val="none"/>
        </w:rPr>
      </w:pPr>
    </w:p>
    <w:p w14:paraId="723691C6">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6</w:t>
      </w:r>
      <w:r>
        <w:rPr>
          <w:rFonts w:hint="eastAsia" w:ascii="仿宋" w:hAnsi="仿宋" w:eastAsia="仿宋" w:cs="仿宋"/>
          <w:b/>
          <w:color w:val="auto"/>
          <w:spacing w:val="6"/>
          <w:sz w:val="32"/>
          <w:szCs w:val="32"/>
          <w:highlight w:val="none"/>
        </w:rPr>
        <w:t>：</w:t>
      </w:r>
      <w:bookmarkStart w:id="41" w:name="OLE_LINK14"/>
      <w:bookmarkStart w:id="42" w:name="OLE_LINK13"/>
      <w:r>
        <w:rPr>
          <w:rFonts w:hint="eastAsia" w:ascii="仿宋" w:hAnsi="仿宋" w:eastAsia="仿宋" w:cs="仿宋"/>
          <w:b/>
          <w:color w:val="auto"/>
          <w:spacing w:val="6"/>
          <w:sz w:val="32"/>
          <w:szCs w:val="32"/>
          <w:highlight w:val="none"/>
        </w:rPr>
        <w:t>残疾人福利性单位声明函</w:t>
      </w:r>
    </w:p>
    <w:bookmarkEnd w:id="41"/>
    <w:bookmarkEnd w:id="42"/>
    <w:p w14:paraId="6805C687">
      <w:pPr>
        <w:spacing w:line="360" w:lineRule="auto"/>
        <w:rPr>
          <w:rFonts w:hint="eastAsia" w:ascii="仿宋" w:hAnsi="仿宋" w:eastAsia="仿宋" w:cs="仿宋"/>
          <w:b/>
          <w:color w:val="auto"/>
          <w:spacing w:val="6"/>
          <w:sz w:val="30"/>
          <w:szCs w:val="30"/>
          <w:highlight w:val="none"/>
        </w:rPr>
      </w:pPr>
    </w:p>
    <w:p w14:paraId="2938FFE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lang w:eastAsia="zh-CN"/>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1A57583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57482DEB">
      <w:pPr>
        <w:spacing w:line="360" w:lineRule="auto"/>
        <w:ind w:firstLine="480" w:firstLineChars="200"/>
        <w:rPr>
          <w:rFonts w:hint="eastAsia" w:ascii="仿宋" w:hAnsi="仿宋" w:eastAsia="仿宋" w:cs="仿宋"/>
          <w:color w:val="auto"/>
          <w:sz w:val="24"/>
          <w:highlight w:val="none"/>
        </w:rPr>
      </w:pPr>
    </w:p>
    <w:p w14:paraId="79B189E7">
      <w:pPr>
        <w:spacing w:line="360" w:lineRule="auto"/>
        <w:ind w:firstLine="480" w:firstLineChars="200"/>
        <w:rPr>
          <w:rFonts w:hint="eastAsia" w:ascii="仿宋" w:hAnsi="仿宋" w:eastAsia="仿宋" w:cs="仿宋"/>
          <w:color w:val="auto"/>
          <w:sz w:val="24"/>
          <w:highlight w:val="none"/>
        </w:rPr>
      </w:pPr>
    </w:p>
    <w:p w14:paraId="66A31CBA">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592A63AC">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11FCC02B">
      <w:pPr>
        <w:autoSpaceDE w:val="0"/>
        <w:autoSpaceDN w:val="0"/>
        <w:jc w:val="center"/>
        <w:rPr>
          <w:rFonts w:hint="eastAsia" w:ascii="仿宋" w:hAnsi="仿宋" w:eastAsia="仿宋" w:cs="仿宋"/>
          <w:b/>
          <w:color w:val="auto"/>
          <w:spacing w:val="6"/>
          <w:sz w:val="32"/>
          <w:szCs w:val="32"/>
          <w:highlight w:val="none"/>
        </w:rPr>
      </w:pPr>
    </w:p>
    <w:p w14:paraId="4AAAD9AC">
      <w:pPr>
        <w:autoSpaceDE w:val="0"/>
        <w:autoSpaceDN w:val="0"/>
        <w:jc w:val="center"/>
        <w:rPr>
          <w:rFonts w:hint="eastAsia" w:ascii="仿宋" w:hAnsi="仿宋" w:eastAsia="仿宋" w:cs="仿宋"/>
          <w:b/>
          <w:color w:val="auto"/>
          <w:spacing w:val="6"/>
          <w:sz w:val="32"/>
          <w:szCs w:val="32"/>
          <w:highlight w:val="none"/>
        </w:rPr>
      </w:pPr>
    </w:p>
    <w:p w14:paraId="293CDCE0">
      <w:pPr>
        <w:autoSpaceDE w:val="0"/>
        <w:autoSpaceDN w:val="0"/>
        <w:jc w:val="center"/>
        <w:rPr>
          <w:rFonts w:hint="eastAsia" w:ascii="仿宋" w:hAnsi="仿宋" w:eastAsia="仿宋" w:cs="仿宋"/>
          <w:b/>
          <w:color w:val="auto"/>
          <w:spacing w:val="6"/>
          <w:sz w:val="32"/>
          <w:szCs w:val="32"/>
          <w:highlight w:val="none"/>
        </w:rPr>
      </w:pPr>
    </w:p>
    <w:p w14:paraId="53F7CCBA">
      <w:pPr>
        <w:autoSpaceDE w:val="0"/>
        <w:autoSpaceDN w:val="0"/>
        <w:jc w:val="center"/>
        <w:rPr>
          <w:rFonts w:hint="eastAsia" w:ascii="仿宋" w:hAnsi="仿宋" w:eastAsia="仿宋" w:cs="仿宋"/>
          <w:b/>
          <w:color w:val="auto"/>
          <w:spacing w:val="6"/>
          <w:sz w:val="32"/>
          <w:szCs w:val="32"/>
          <w:highlight w:val="none"/>
        </w:rPr>
      </w:pPr>
    </w:p>
    <w:p w14:paraId="20FAAF80">
      <w:pPr>
        <w:autoSpaceDE w:val="0"/>
        <w:autoSpaceDN w:val="0"/>
        <w:jc w:val="center"/>
        <w:rPr>
          <w:rFonts w:hint="eastAsia" w:ascii="仿宋" w:hAnsi="仿宋" w:eastAsia="仿宋" w:cs="仿宋"/>
          <w:b/>
          <w:color w:val="auto"/>
          <w:spacing w:val="6"/>
          <w:sz w:val="32"/>
          <w:szCs w:val="32"/>
          <w:highlight w:val="none"/>
        </w:rPr>
      </w:pPr>
    </w:p>
    <w:p w14:paraId="078963D6">
      <w:pPr>
        <w:autoSpaceDE w:val="0"/>
        <w:autoSpaceDN w:val="0"/>
        <w:jc w:val="center"/>
        <w:rPr>
          <w:rFonts w:hint="eastAsia" w:ascii="仿宋" w:hAnsi="仿宋" w:eastAsia="仿宋" w:cs="仿宋"/>
          <w:b/>
          <w:color w:val="auto"/>
          <w:spacing w:val="6"/>
          <w:sz w:val="32"/>
          <w:szCs w:val="32"/>
          <w:highlight w:val="none"/>
        </w:rPr>
      </w:pPr>
    </w:p>
    <w:p w14:paraId="4E94EF3B">
      <w:pPr>
        <w:autoSpaceDE w:val="0"/>
        <w:autoSpaceDN w:val="0"/>
        <w:jc w:val="center"/>
        <w:rPr>
          <w:rFonts w:hint="eastAsia" w:ascii="仿宋" w:hAnsi="仿宋" w:eastAsia="仿宋" w:cs="仿宋"/>
          <w:b/>
          <w:color w:val="auto"/>
          <w:spacing w:val="6"/>
          <w:sz w:val="32"/>
          <w:szCs w:val="32"/>
          <w:highlight w:val="none"/>
        </w:rPr>
      </w:pPr>
    </w:p>
    <w:p w14:paraId="7F763454">
      <w:pPr>
        <w:autoSpaceDE w:val="0"/>
        <w:autoSpaceDN w:val="0"/>
        <w:jc w:val="center"/>
        <w:rPr>
          <w:rFonts w:hint="eastAsia" w:ascii="仿宋" w:hAnsi="仿宋" w:eastAsia="仿宋" w:cs="仿宋"/>
          <w:b/>
          <w:color w:val="auto"/>
          <w:spacing w:val="6"/>
          <w:sz w:val="32"/>
          <w:szCs w:val="32"/>
          <w:highlight w:val="none"/>
        </w:rPr>
      </w:pPr>
    </w:p>
    <w:p w14:paraId="298A3E44">
      <w:pPr>
        <w:autoSpaceDE w:val="0"/>
        <w:autoSpaceDN w:val="0"/>
        <w:jc w:val="center"/>
        <w:rPr>
          <w:rFonts w:hint="eastAsia" w:ascii="仿宋" w:hAnsi="仿宋" w:eastAsia="仿宋" w:cs="仿宋"/>
          <w:b/>
          <w:color w:val="auto"/>
          <w:spacing w:val="6"/>
          <w:sz w:val="32"/>
          <w:szCs w:val="32"/>
          <w:highlight w:val="none"/>
        </w:rPr>
      </w:pPr>
    </w:p>
    <w:p w14:paraId="1299FF05">
      <w:pPr>
        <w:autoSpaceDE w:val="0"/>
        <w:autoSpaceDN w:val="0"/>
        <w:jc w:val="center"/>
        <w:rPr>
          <w:rFonts w:hint="eastAsia" w:ascii="仿宋" w:hAnsi="仿宋" w:eastAsia="仿宋" w:cs="仿宋"/>
          <w:b/>
          <w:color w:val="auto"/>
          <w:spacing w:val="6"/>
          <w:sz w:val="32"/>
          <w:szCs w:val="32"/>
          <w:highlight w:val="none"/>
        </w:rPr>
      </w:pPr>
    </w:p>
    <w:p w14:paraId="61BACBC6">
      <w:pPr>
        <w:autoSpaceDE w:val="0"/>
        <w:autoSpaceDN w:val="0"/>
        <w:jc w:val="center"/>
        <w:rPr>
          <w:rFonts w:hint="eastAsia" w:ascii="仿宋" w:hAnsi="仿宋" w:eastAsia="仿宋" w:cs="仿宋"/>
          <w:b/>
          <w:color w:val="auto"/>
          <w:spacing w:val="6"/>
          <w:sz w:val="32"/>
          <w:szCs w:val="32"/>
          <w:highlight w:val="none"/>
        </w:rPr>
      </w:pPr>
    </w:p>
    <w:p w14:paraId="3E1DA41C">
      <w:pPr>
        <w:autoSpaceDE w:val="0"/>
        <w:autoSpaceDN w:val="0"/>
        <w:jc w:val="center"/>
        <w:rPr>
          <w:rFonts w:hint="eastAsia" w:ascii="仿宋" w:hAnsi="仿宋" w:eastAsia="仿宋" w:cs="仿宋"/>
          <w:b/>
          <w:color w:val="auto"/>
          <w:spacing w:val="6"/>
          <w:sz w:val="32"/>
          <w:szCs w:val="32"/>
          <w:highlight w:val="none"/>
        </w:rPr>
      </w:pPr>
    </w:p>
    <w:p w14:paraId="798B1355">
      <w:pPr>
        <w:autoSpaceDE w:val="0"/>
        <w:autoSpaceDN w:val="0"/>
        <w:jc w:val="center"/>
        <w:rPr>
          <w:rFonts w:hint="eastAsia" w:ascii="仿宋" w:hAnsi="仿宋" w:eastAsia="仿宋" w:cs="仿宋"/>
          <w:b/>
          <w:color w:val="auto"/>
          <w:spacing w:val="6"/>
          <w:sz w:val="32"/>
          <w:szCs w:val="32"/>
          <w:highlight w:val="none"/>
        </w:rPr>
      </w:pPr>
    </w:p>
    <w:p w14:paraId="3CB30B08">
      <w:pPr>
        <w:autoSpaceDE w:val="0"/>
        <w:autoSpaceDN w:val="0"/>
        <w:jc w:val="center"/>
        <w:rPr>
          <w:rFonts w:hint="eastAsia" w:ascii="仿宋" w:hAnsi="仿宋" w:eastAsia="仿宋" w:cs="仿宋"/>
          <w:b/>
          <w:color w:val="auto"/>
          <w:spacing w:val="6"/>
          <w:sz w:val="32"/>
          <w:szCs w:val="32"/>
          <w:highlight w:val="none"/>
        </w:rPr>
      </w:pPr>
    </w:p>
    <w:p w14:paraId="22872310">
      <w:pPr>
        <w:autoSpaceDE w:val="0"/>
        <w:autoSpaceDN w:val="0"/>
        <w:jc w:val="center"/>
        <w:rPr>
          <w:rFonts w:hint="eastAsia" w:ascii="仿宋" w:hAnsi="仿宋" w:eastAsia="仿宋" w:cs="仿宋"/>
          <w:b/>
          <w:color w:val="auto"/>
          <w:spacing w:val="6"/>
          <w:sz w:val="32"/>
          <w:szCs w:val="32"/>
          <w:highlight w:val="none"/>
        </w:rPr>
      </w:pPr>
    </w:p>
    <w:p w14:paraId="59EB66AD">
      <w:pPr>
        <w:pStyle w:val="24"/>
        <w:rPr>
          <w:rFonts w:hint="eastAsia" w:ascii="仿宋" w:hAnsi="仿宋" w:eastAsia="仿宋" w:cs="仿宋"/>
          <w:color w:val="auto"/>
          <w:highlight w:val="none"/>
        </w:rPr>
      </w:pPr>
    </w:p>
    <w:p w14:paraId="509040F3">
      <w:pPr>
        <w:pStyle w:val="25"/>
        <w:rPr>
          <w:rFonts w:hint="eastAsia" w:ascii="仿宋" w:hAnsi="仿宋" w:eastAsia="仿宋" w:cs="仿宋"/>
          <w:color w:val="auto"/>
          <w:highlight w:val="none"/>
        </w:rPr>
      </w:pPr>
    </w:p>
    <w:p w14:paraId="20650C8E">
      <w:pPr>
        <w:rPr>
          <w:rFonts w:hint="eastAsia" w:ascii="仿宋" w:hAnsi="仿宋" w:eastAsia="仿宋" w:cs="仿宋"/>
          <w:color w:val="auto"/>
          <w:highlight w:val="none"/>
        </w:rPr>
      </w:pPr>
    </w:p>
    <w:p w14:paraId="1979315C">
      <w:pPr>
        <w:pStyle w:val="25"/>
        <w:rPr>
          <w:rFonts w:hint="eastAsia"/>
          <w:color w:val="auto"/>
          <w:highlight w:val="none"/>
        </w:rPr>
      </w:pPr>
    </w:p>
    <w:p w14:paraId="56D95B5C">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w:t>
      </w:r>
      <w:r>
        <w:rPr>
          <w:rFonts w:hint="eastAsia" w:ascii="仿宋" w:hAnsi="仿宋" w:eastAsia="仿宋" w:cs="仿宋"/>
          <w:b/>
          <w:color w:val="auto"/>
          <w:kern w:val="0"/>
          <w:sz w:val="32"/>
          <w:szCs w:val="32"/>
          <w:highlight w:val="none"/>
          <w:lang w:val="en-US" w:eastAsia="zh-CN"/>
        </w:rPr>
        <w:t>7</w:t>
      </w:r>
      <w:r>
        <w:rPr>
          <w:rFonts w:hint="eastAsia" w:ascii="仿宋" w:hAnsi="仿宋" w:eastAsia="仿宋" w:cs="仿宋"/>
          <w:b/>
          <w:color w:val="auto"/>
          <w:kern w:val="0"/>
          <w:sz w:val="32"/>
          <w:szCs w:val="32"/>
          <w:highlight w:val="none"/>
        </w:rPr>
        <w:t>：中小企业声明函</w:t>
      </w:r>
    </w:p>
    <w:p w14:paraId="472FA870">
      <w:pPr>
        <w:spacing w:line="360" w:lineRule="auto"/>
        <w:jc w:val="center"/>
        <w:rPr>
          <w:rFonts w:hint="eastAsia" w:ascii="仿宋" w:hAnsi="仿宋" w:eastAsia="仿宋" w:cs="仿宋"/>
          <w:color w:val="auto"/>
          <w:sz w:val="24"/>
          <w:highlight w:val="none"/>
          <w:u w:val="single"/>
        </w:rPr>
      </w:pPr>
    </w:p>
    <w:p w14:paraId="21ED6E2C">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14:paraId="7FC16D1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 xml:space="preserve">的 </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 xml:space="preserve"> 采购活动，提供的货物全部由符合政策要求的中小企业制造。相关企业（含联合体中的中小企业、签订分包意向协议的中小企业）的具体情况如下：</w:t>
      </w:r>
    </w:p>
    <w:p w14:paraId="262DA35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07CE2D5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274CE50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0C643B8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0752396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6AC0C6A4">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61539319">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224C8E82">
      <w:pPr>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14:paraId="0C2F5193">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5F279005">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46F2624">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3AACEAB">
      <w:pPr>
        <w:spacing w:line="360" w:lineRule="auto"/>
        <w:ind w:right="420" w:firstLine="720" w:firstLineChars="300"/>
        <w:rPr>
          <w:rFonts w:hint="eastAsia" w:ascii="仿宋" w:hAnsi="仿宋" w:eastAsia="仿宋" w:cs="仿宋"/>
          <w:color w:val="auto"/>
          <w:sz w:val="24"/>
          <w:highlight w:val="none"/>
        </w:rPr>
      </w:pPr>
    </w:p>
    <w:p w14:paraId="457FD19A">
      <w:pPr>
        <w:pStyle w:val="4"/>
        <w:rPr>
          <w:rFonts w:hint="eastAsia" w:ascii="仿宋" w:hAnsi="仿宋" w:eastAsia="仿宋" w:cs="仿宋"/>
          <w:color w:val="auto"/>
          <w:highlight w:val="none"/>
          <w:lang w:val="en-US"/>
        </w:rPr>
      </w:pPr>
    </w:p>
    <w:p w14:paraId="261A9166">
      <w:pPr>
        <w:pageBreakBefore/>
        <w:shd w:val="clear" w:color="auto" w:fill="FFFFFF"/>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国家统计局关于印发《统计上大中小微型企业划分办法（2017）》的通知</w:t>
      </w:r>
    </w:p>
    <w:p w14:paraId="7CE77B25">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各省、自治区、直辖市统计局，新疆生产建设兵团统计局，国务院各有关部门，国家统计局各调查总队：</w:t>
      </w:r>
    </w:p>
    <w:p w14:paraId="3D0D19D0">
      <w:pPr>
        <w:widowControl/>
        <w:shd w:val="clear" w:color="auto" w:fill="FFFFFF"/>
        <w:spacing w:before="150" w:line="420" w:lineRule="atLeast"/>
        <w:ind w:firstLine="420" w:firstLineChars="200"/>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24E5A487">
      <w:pPr>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附件：《统计上大中小微型企业划分办法（2017）》修订说明</w:t>
      </w:r>
    </w:p>
    <w:p w14:paraId="7AE94483">
      <w:pPr>
        <w:widowControl/>
        <w:shd w:val="clear" w:color="auto" w:fill="FFFFFF"/>
        <w:spacing w:before="150" w:line="420" w:lineRule="atLeast"/>
        <w:ind w:right="825"/>
        <w:jc w:val="righ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国家统计局  </w:t>
      </w:r>
    </w:p>
    <w:p w14:paraId="65C522E7">
      <w:pPr>
        <w:widowControl/>
        <w:shd w:val="clear" w:color="auto" w:fill="FFFFFF"/>
        <w:spacing w:before="150" w:line="420" w:lineRule="atLeast"/>
        <w:ind w:right="825"/>
        <w:jc w:val="righ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2017年12月28日</w:t>
      </w:r>
    </w:p>
    <w:p w14:paraId="0E374E55">
      <w:pPr>
        <w:pStyle w:val="24"/>
        <w:rPr>
          <w:rFonts w:hint="eastAsia"/>
          <w:color w:val="auto"/>
          <w:highlight w:val="none"/>
          <w:lang w:val="en-US" w:eastAsia="zh-CN"/>
        </w:rPr>
      </w:pPr>
    </w:p>
    <w:p w14:paraId="3F9B604D">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统计上大中小微型企业划分办法（2017）</w:t>
      </w:r>
    </w:p>
    <w:p w14:paraId="10A039E4">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14:paraId="2F12CCDC">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二、本办法适用对象为在中华人民共和国境内依法设立的各种组织形式的法人企业或单位。个体工商户参照本办法进行划分。</w:t>
      </w:r>
    </w:p>
    <w:p w14:paraId="15F5C7F3">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77C01BA2">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四、本办法按照行业门类、大类、中类和组合类别，依据从业人员、营业收入、资产总额等指标或替代指标，将我国的企业划分为大型、中型、小型、微型等四种类型。具体划分标准见附表。</w:t>
      </w:r>
    </w:p>
    <w:p w14:paraId="38A63CA3">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五、企业划分由政府综合统计部门根据统计年报每年确定一次，定报统计原则上不进行调整。</w:t>
      </w:r>
    </w:p>
    <w:p w14:paraId="64E1834E">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六、本办法自印发之日起执行，国家统计局2011年印发的《统计上大中小微型企业划分办法》（国统字〔2011〕75号）同时废止。</w:t>
      </w:r>
    </w:p>
    <w:p w14:paraId="712AA266">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附表：统计上大中小微型企业划分标准</w:t>
      </w:r>
    </w:p>
    <w:p w14:paraId="771E93EF">
      <w:pPr>
        <w:widowControl/>
        <w:jc w:val="left"/>
        <w:rPr>
          <w:rFonts w:hint="eastAsia" w:ascii="仿宋" w:hAnsi="仿宋" w:eastAsia="仿宋" w:cs="仿宋"/>
          <w:color w:val="auto"/>
          <w:kern w:val="0"/>
          <w:sz w:val="24"/>
          <w:highlight w:val="none"/>
        </w:rPr>
      </w:pPr>
    </w:p>
    <w:p w14:paraId="6A9E2B2E">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统计上大中小微型企业划分标准</w:t>
      </w:r>
    </w:p>
    <w:tbl>
      <w:tblPr>
        <w:tblStyle w:val="64"/>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7EBBB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14:paraId="7B182A5C">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行业名称</w:t>
            </w:r>
          </w:p>
        </w:tc>
        <w:tc>
          <w:tcPr>
            <w:tcW w:w="1560" w:type="dxa"/>
            <w:tcMar>
              <w:top w:w="75" w:type="dxa"/>
              <w:left w:w="75" w:type="dxa"/>
              <w:bottom w:w="75" w:type="dxa"/>
              <w:right w:w="75" w:type="dxa"/>
            </w:tcMar>
            <w:vAlign w:val="bottom"/>
          </w:tcPr>
          <w:p w14:paraId="7FEB165D">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指标名称</w:t>
            </w:r>
          </w:p>
        </w:tc>
        <w:tc>
          <w:tcPr>
            <w:tcW w:w="671" w:type="dxa"/>
            <w:tcMar>
              <w:top w:w="75" w:type="dxa"/>
              <w:left w:w="75" w:type="dxa"/>
              <w:bottom w:w="75" w:type="dxa"/>
              <w:right w:w="75" w:type="dxa"/>
            </w:tcMar>
            <w:vAlign w:val="bottom"/>
          </w:tcPr>
          <w:p w14:paraId="0107C2E5">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计量单位</w:t>
            </w:r>
          </w:p>
        </w:tc>
        <w:tc>
          <w:tcPr>
            <w:tcW w:w="1231" w:type="dxa"/>
            <w:tcMar>
              <w:top w:w="75" w:type="dxa"/>
              <w:left w:w="75" w:type="dxa"/>
              <w:bottom w:w="75" w:type="dxa"/>
              <w:right w:w="75" w:type="dxa"/>
            </w:tcMar>
            <w:vAlign w:val="bottom"/>
          </w:tcPr>
          <w:p w14:paraId="129C3339">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大型</w:t>
            </w:r>
          </w:p>
        </w:tc>
        <w:tc>
          <w:tcPr>
            <w:tcW w:w="1891" w:type="dxa"/>
            <w:tcMar>
              <w:top w:w="75" w:type="dxa"/>
              <w:left w:w="75" w:type="dxa"/>
              <w:bottom w:w="75" w:type="dxa"/>
              <w:right w:w="75" w:type="dxa"/>
            </w:tcMar>
            <w:vAlign w:val="bottom"/>
          </w:tcPr>
          <w:p w14:paraId="6E9A4D47">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中型</w:t>
            </w:r>
          </w:p>
        </w:tc>
        <w:tc>
          <w:tcPr>
            <w:tcW w:w="1730" w:type="dxa"/>
            <w:tcMar>
              <w:top w:w="75" w:type="dxa"/>
              <w:left w:w="75" w:type="dxa"/>
              <w:bottom w:w="75" w:type="dxa"/>
              <w:right w:w="75" w:type="dxa"/>
            </w:tcMar>
            <w:vAlign w:val="bottom"/>
          </w:tcPr>
          <w:p w14:paraId="0334D91A">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小型</w:t>
            </w:r>
          </w:p>
        </w:tc>
        <w:tc>
          <w:tcPr>
            <w:tcW w:w="1203" w:type="dxa"/>
            <w:tcMar>
              <w:top w:w="75" w:type="dxa"/>
              <w:left w:w="75" w:type="dxa"/>
              <w:bottom w:w="75" w:type="dxa"/>
              <w:right w:w="75" w:type="dxa"/>
            </w:tcMar>
            <w:vAlign w:val="bottom"/>
          </w:tcPr>
          <w:p w14:paraId="39B15CF4">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微型</w:t>
            </w:r>
          </w:p>
        </w:tc>
      </w:tr>
      <w:tr w14:paraId="67AC3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6F6B0E0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农、林、牧、渔业</w:t>
            </w:r>
          </w:p>
        </w:tc>
        <w:tc>
          <w:tcPr>
            <w:tcW w:w="1560" w:type="dxa"/>
            <w:vAlign w:val="center"/>
          </w:tcPr>
          <w:p w14:paraId="0EFD1CE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59B6F3D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7F5A256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Y≥20000</w:t>
            </w:r>
          </w:p>
        </w:tc>
        <w:tc>
          <w:tcPr>
            <w:tcW w:w="1891" w:type="dxa"/>
            <w:vAlign w:val="center"/>
          </w:tcPr>
          <w:p w14:paraId="2FC27E8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500≤Y＜20000</w:t>
            </w:r>
          </w:p>
        </w:tc>
        <w:tc>
          <w:tcPr>
            <w:tcW w:w="1730" w:type="dxa"/>
            <w:vAlign w:val="center"/>
          </w:tcPr>
          <w:p w14:paraId="6785BAD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50≤Y＜500</w:t>
            </w:r>
          </w:p>
        </w:tc>
        <w:tc>
          <w:tcPr>
            <w:tcW w:w="1203" w:type="dxa"/>
            <w:vAlign w:val="center"/>
          </w:tcPr>
          <w:p w14:paraId="170BD5D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w:t>
            </w:r>
          </w:p>
        </w:tc>
      </w:tr>
      <w:tr w14:paraId="5AE9B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354BB7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工业 *</w:t>
            </w:r>
          </w:p>
        </w:tc>
        <w:tc>
          <w:tcPr>
            <w:tcW w:w="1560" w:type="dxa"/>
            <w:vAlign w:val="center"/>
          </w:tcPr>
          <w:p w14:paraId="7570827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188A212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1BEED5C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14:paraId="54F6097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14:paraId="07AB755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20≤X＜300</w:t>
            </w:r>
          </w:p>
        </w:tc>
        <w:tc>
          <w:tcPr>
            <w:tcW w:w="1203" w:type="dxa"/>
            <w:vAlign w:val="center"/>
          </w:tcPr>
          <w:p w14:paraId="2E735C8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6823F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97F5F7D">
            <w:pPr>
              <w:widowControl/>
              <w:jc w:val="left"/>
              <w:rPr>
                <w:rFonts w:hint="eastAsia" w:ascii="仿宋" w:hAnsi="仿宋" w:eastAsia="仿宋" w:cs="仿宋"/>
                <w:color w:val="auto"/>
                <w:kern w:val="0"/>
                <w:sz w:val="24"/>
                <w:highlight w:val="none"/>
              </w:rPr>
            </w:pPr>
          </w:p>
        </w:tc>
        <w:tc>
          <w:tcPr>
            <w:tcW w:w="1560" w:type="dxa"/>
            <w:vAlign w:val="center"/>
          </w:tcPr>
          <w:p w14:paraId="35FE937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6977E9B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46271E0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Y≥40000</w:t>
            </w:r>
          </w:p>
        </w:tc>
        <w:tc>
          <w:tcPr>
            <w:tcW w:w="1891" w:type="dxa"/>
            <w:vAlign w:val="center"/>
          </w:tcPr>
          <w:p w14:paraId="02A7ACD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2000≤Y＜40000</w:t>
            </w:r>
          </w:p>
        </w:tc>
        <w:tc>
          <w:tcPr>
            <w:tcW w:w="1730" w:type="dxa"/>
            <w:vAlign w:val="center"/>
          </w:tcPr>
          <w:p w14:paraId="06BC1B4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300≤Y＜2000</w:t>
            </w:r>
          </w:p>
        </w:tc>
        <w:tc>
          <w:tcPr>
            <w:tcW w:w="1203" w:type="dxa"/>
            <w:vAlign w:val="center"/>
          </w:tcPr>
          <w:p w14:paraId="1049BA9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w:t>
            </w:r>
          </w:p>
        </w:tc>
      </w:tr>
      <w:tr w14:paraId="0BA74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5E4FD4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建筑业</w:t>
            </w:r>
          </w:p>
        </w:tc>
        <w:tc>
          <w:tcPr>
            <w:tcW w:w="1560" w:type="dxa"/>
            <w:vAlign w:val="center"/>
          </w:tcPr>
          <w:p w14:paraId="042A955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3723B2C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62104D0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Y≥80000</w:t>
            </w:r>
          </w:p>
        </w:tc>
        <w:tc>
          <w:tcPr>
            <w:tcW w:w="1891" w:type="dxa"/>
            <w:vAlign w:val="center"/>
          </w:tcPr>
          <w:p w14:paraId="2153465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6000≤Y＜80000</w:t>
            </w:r>
          </w:p>
        </w:tc>
        <w:tc>
          <w:tcPr>
            <w:tcW w:w="1730" w:type="dxa"/>
            <w:vAlign w:val="center"/>
          </w:tcPr>
          <w:p w14:paraId="2FBEB5F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300≤Y＜6000</w:t>
            </w:r>
          </w:p>
        </w:tc>
        <w:tc>
          <w:tcPr>
            <w:tcW w:w="1203" w:type="dxa"/>
            <w:vAlign w:val="center"/>
          </w:tcPr>
          <w:p w14:paraId="76A4CF4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w:t>
            </w:r>
          </w:p>
        </w:tc>
      </w:tr>
      <w:tr w14:paraId="4CAE1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C2414E5">
            <w:pPr>
              <w:widowControl/>
              <w:jc w:val="left"/>
              <w:rPr>
                <w:rFonts w:hint="eastAsia" w:ascii="仿宋" w:hAnsi="仿宋" w:eastAsia="仿宋" w:cs="仿宋"/>
                <w:color w:val="auto"/>
                <w:kern w:val="0"/>
                <w:sz w:val="24"/>
                <w:highlight w:val="none"/>
              </w:rPr>
            </w:pPr>
          </w:p>
        </w:tc>
        <w:tc>
          <w:tcPr>
            <w:tcW w:w="1560" w:type="dxa"/>
            <w:vAlign w:val="center"/>
          </w:tcPr>
          <w:p w14:paraId="15AA857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资产总额(Z)</w:t>
            </w:r>
          </w:p>
        </w:tc>
        <w:tc>
          <w:tcPr>
            <w:tcW w:w="671" w:type="dxa"/>
            <w:vAlign w:val="center"/>
          </w:tcPr>
          <w:p w14:paraId="1E1C95E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33B4F5D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Z≥80000</w:t>
            </w:r>
          </w:p>
        </w:tc>
        <w:tc>
          <w:tcPr>
            <w:tcW w:w="1891" w:type="dxa"/>
            <w:vAlign w:val="center"/>
          </w:tcPr>
          <w:p w14:paraId="257175A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5000≤Z＜80000</w:t>
            </w:r>
          </w:p>
        </w:tc>
        <w:tc>
          <w:tcPr>
            <w:tcW w:w="1730" w:type="dxa"/>
            <w:vAlign w:val="center"/>
          </w:tcPr>
          <w:p w14:paraId="4614CD8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300≤Z＜5000</w:t>
            </w:r>
          </w:p>
        </w:tc>
        <w:tc>
          <w:tcPr>
            <w:tcW w:w="1203" w:type="dxa"/>
            <w:vAlign w:val="center"/>
          </w:tcPr>
          <w:p w14:paraId="7F11B68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Z＜300</w:t>
            </w:r>
          </w:p>
        </w:tc>
      </w:tr>
      <w:tr w14:paraId="07B93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5DA700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批发业</w:t>
            </w:r>
          </w:p>
        </w:tc>
        <w:tc>
          <w:tcPr>
            <w:tcW w:w="1560" w:type="dxa"/>
            <w:vAlign w:val="center"/>
          </w:tcPr>
          <w:p w14:paraId="577ED98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77CA749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6113BC0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X≥200</w:t>
            </w:r>
          </w:p>
        </w:tc>
        <w:tc>
          <w:tcPr>
            <w:tcW w:w="1891" w:type="dxa"/>
            <w:vAlign w:val="center"/>
          </w:tcPr>
          <w:p w14:paraId="226378E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20≤X＜200</w:t>
            </w:r>
          </w:p>
        </w:tc>
        <w:tc>
          <w:tcPr>
            <w:tcW w:w="1730" w:type="dxa"/>
            <w:vAlign w:val="center"/>
          </w:tcPr>
          <w:p w14:paraId="57B205D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5≤X＜20</w:t>
            </w:r>
          </w:p>
        </w:tc>
        <w:tc>
          <w:tcPr>
            <w:tcW w:w="1203" w:type="dxa"/>
            <w:vAlign w:val="center"/>
          </w:tcPr>
          <w:p w14:paraId="7951AA4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X＜5</w:t>
            </w:r>
          </w:p>
        </w:tc>
      </w:tr>
      <w:tr w14:paraId="0115E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C98919F">
            <w:pPr>
              <w:widowControl/>
              <w:jc w:val="left"/>
              <w:rPr>
                <w:rFonts w:hint="eastAsia" w:ascii="仿宋" w:hAnsi="仿宋" w:eastAsia="仿宋" w:cs="仿宋"/>
                <w:color w:val="auto"/>
                <w:kern w:val="0"/>
                <w:sz w:val="24"/>
                <w:highlight w:val="none"/>
              </w:rPr>
            </w:pPr>
          </w:p>
        </w:tc>
        <w:tc>
          <w:tcPr>
            <w:tcW w:w="1560" w:type="dxa"/>
            <w:vAlign w:val="center"/>
          </w:tcPr>
          <w:p w14:paraId="3B95996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153AA60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2B53806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Y≥40000</w:t>
            </w:r>
          </w:p>
        </w:tc>
        <w:tc>
          <w:tcPr>
            <w:tcW w:w="1891" w:type="dxa"/>
            <w:vAlign w:val="center"/>
          </w:tcPr>
          <w:p w14:paraId="20AAA1C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5000≤Y＜40000</w:t>
            </w:r>
          </w:p>
        </w:tc>
        <w:tc>
          <w:tcPr>
            <w:tcW w:w="1730" w:type="dxa"/>
            <w:vAlign w:val="center"/>
          </w:tcPr>
          <w:p w14:paraId="37B0354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1000≤Y＜5000</w:t>
            </w:r>
          </w:p>
        </w:tc>
        <w:tc>
          <w:tcPr>
            <w:tcW w:w="1203" w:type="dxa"/>
            <w:vAlign w:val="center"/>
          </w:tcPr>
          <w:p w14:paraId="6950BEC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w:t>
            </w:r>
          </w:p>
        </w:tc>
      </w:tr>
      <w:tr w14:paraId="28D27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924A19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零售业</w:t>
            </w:r>
          </w:p>
        </w:tc>
        <w:tc>
          <w:tcPr>
            <w:tcW w:w="1560" w:type="dxa"/>
            <w:vAlign w:val="center"/>
          </w:tcPr>
          <w:p w14:paraId="00AC400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3134F24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66CC253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37654D7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50≤X＜300</w:t>
            </w:r>
          </w:p>
        </w:tc>
        <w:tc>
          <w:tcPr>
            <w:tcW w:w="1730" w:type="dxa"/>
            <w:vAlign w:val="center"/>
          </w:tcPr>
          <w:p w14:paraId="3822A1E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10≤X＜50</w:t>
            </w:r>
          </w:p>
        </w:tc>
        <w:tc>
          <w:tcPr>
            <w:tcW w:w="1203" w:type="dxa"/>
            <w:vAlign w:val="center"/>
          </w:tcPr>
          <w:p w14:paraId="63ED209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7562F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6CD5E49">
            <w:pPr>
              <w:widowControl/>
              <w:jc w:val="left"/>
              <w:rPr>
                <w:rFonts w:hint="eastAsia" w:ascii="仿宋" w:hAnsi="仿宋" w:eastAsia="仿宋" w:cs="仿宋"/>
                <w:color w:val="auto"/>
                <w:kern w:val="0"/>
                <w:sz w:val="24"/>
                <w:highlight w:val="none"/>
              </w:rPr>
            </w:pPr>
          </w:p>
        </w:tc>
        <w:tc>
          <w:tcPr>
            <w:tcW w:w="1560" w:type="dxa"/>
            <w:vAlign w:val="center"/>
          </w:tcPr>
          <w:p w14:paraId="1F83EDD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30A9883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64F1635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Y≥20000</w:t>
            </w:r>
          </w:p>
        </w:tc>
        <w:tc>
          <w:tcPr>
            <w:tcW w:w="1891" w:type="dxa"/>
            <w:vAlign w:val="center"/>
          </w:tcPr>
          <w:p w14:paraId="5CA028B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500≤Y＜20000</w:t>
            </w:r>
          </w:p>
        </w:tc>
        <w:tc>
          <w:tcPr>
            <w:tcW w:w="1730" w:type="dxa"/>
            <w:vAlign w:val="center"/>
          </w:tcPr>
          <w:p w14:paraId="790E5CD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100≤Y＜500</w:t>
            </w:r>
          </w:p>
        </w:tc>
        <w:tc>
          <w:tcPr>
            <w:tcW w:w="1203" w:type="dxa"/>
            <w:vAlign w:val="center"/>
          </w:tcPr>
          <w:p w14:paraId="7625425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30DAD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CACE02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交通运输业 *</w:t>
            </w:r>
          </w:p>
        </w:tc>
        <w:tc>
          <w:tcPr>
            <w:tcW w:w="1560" w:type="dxa"/>
            <w:vAlign w:val="center"/>
          </w:tcPr>
          <w:p w14:paraId="39E62EA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755BB4F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4385D54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14:paraId="1A5A0C0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14:paraId="667AC91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20≤X＜300</w:t>
            </w:r>
          </w:p>
        </w:tc>
        <w:tc>
          <w:tcPr>
            <w:tcW w:w="1203" w:type="dxa"/>
            <w:vAlign w:val="center"/>
          </w:tcPr>
          <w:p w14:paraId="284B9EC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11B64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583B5C3">
            <w:pPr>
              <w:widowControl/>
              <w:jc w:val="left"/>
              <w:rPr>
                <w:rFonts w:hint="eastAsia" w:ascii="仿宋" w:hAnsi="仿宋" w:eastAsia="仿宋" w:cs="仿宋"/>
                <w:color w:val="auto"/>
                <w:kern w:val="0"/>
                <w:sz w:val="24"/>
                <w:highlight w:val="none"/>
              </w:rPr>
            </w:pPr>
          </w:p>
        </w:tc>
        <w:tc>
          <w:tcPr>
            <w:tcW w:w="1560" w:type="dxa"/>
            <w:vAlign w:val="center"/>
          </w:tcPr>
          <w:p w14:paraId="2E06678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0618EED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3C066EE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Y≥30000</w:t>
            </w:r>
          </w:p>
        </w:tc>
        <w:tc>
          <w:tcPr>
            <w:tcW w:w="1891" w:type="dxa"/>
            <w:vAlign w:val="center"/>
          </w:tcPr>
          <w:p w14:paraId="5FC1C05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3000≤Y＜30000</w:t>
            </w:r>
          </w:p>
        </w:tc>
        <w:tc>
          <w:tcPr>
            <w:tcW w:w="1730" w:type="dxa"/>
            <w:vAlign w:val="center"/>
          </w:tcPr>
          <w:p w14:paraId="2E00C88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200≤Y＜3000</w:t>
            </w:r>
          </w:p>
        </w:tc>
        <w:tc>
          <w:tcPr>
            <w:tcW w:w="1203" w:type="dxa"/>
            <w:vAlign w:val="center"/>
          </w:tcPr>
          <w:p w14:paraId="12B2BB6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w:t>
            </w:r>
          </w:p>
        </w:tc>
      </w:tr>
      <w:tr w14:paraId="050A5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73560A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仓储业*</w:t>
            </w:r>
          </w:p>
        </w:tc>
        <w:tc>
          <w:tcPr>
            <w:tcW w:w="1560" w:type="dxa"/>
            <w:vAlign w:val="center"/>
          </w:tcPr>
          <w:p w14:paraId="7E274EE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280F127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265237A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X≥200</w:t>
            </w:r>
          </w:p>
        </w:tc>
        <w:tc>
          <w:tcPr>
            <w:tcW w:w="1891" w:type="dxa"/>
            <w:vAlign w:val="center"/>
          </w:tcPr>
          <w:p w14:paraId="48B2D43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100≤X＜200</w:t>
            </w:r>
          </w:p>
        </w:tc>
        <w:tc>
          <w:tcPr>
            <w:tcW w:w="1730" w:type="dxa"/>
            <w:vAlign w:val="center"/>
          </w:tcPr>
          <w:p w14:paraId="2FBC42B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20≤X＜100</w:t>
            </w:r>
          </w:p>
        </w:tc>
        <w:tc>
          <w:tcPr>
            <w:tcW w:w="1203" w:type="dxa"/>
            <w:vAlign w:val="center"/>
          </w:tcPr>
          <w:p w14:paraId="1E4D96B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219CF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B72AA55">
            <w:pPr>
              <w:widowControl/>
              <w:jc w:val="left"/>
              <w:rPr>
                <w:rFonts w:hint="eastAsia" w:ascii="仿宋" w:hAnsi="仿宋" w:eastAsia="仿宋" w:cs="仿宋"/>
                <w:color w:val="auto"/>
                <w:kern w:val="0"/>
                <w:sz w:val="24"/>
                <w:highlight w:val="none"/>
              </w:rPr>
            </w:pPr>
          </w:p>
        </w:tc>
        <w:tc>
          <w:tcPr>
            <w:tcW w:w="1560" w:type="dxa"/>
            <w:vAlign w:val="center"/>
          </w:tcPr>
          <w:p w14:paraId="03491F4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00DE003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301D721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Y≥30000</w:t>
            </w:r>
          </w:p>
        </w:tc>
        <w:tc>
          <w:tcPr>
            <w:tcW w:w="1891" w:type="dxa"/>
            <w:vAlign w:val="center"/>
          </w:tcPr>
          <w:p w14:paraId="54305F6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1000≤Y＜30000</w:t>
            </w:r>
          </w:p>
        </w:tc>
        <w:tc>
          <w:tcPr>
            <w:tcW w:w="1730" w:type="dxa"/>
            <w:vAlign w:val="center"/>
          </w:tcPr>
          <w:p w14:paraId="5E2D1E5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100≤Y＜1000</w:t>
            </w:r>
          </w:p>
        </w:tc>
        <w:tc>
          <w:tcPr>
            <w:tcW w:w="1203" w:type="dxa"/>
            <w:vAlign w:val="center"/>
          </w:tcPr>
          <w:p w14:paraId="72DEE41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46379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A0EE55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邮政业</w:t>
            </w:r>
          </w:p>
        </w:tc>
        <w:tc>
          <w:tcPr>
            <w:tcW w:w="1560" w:type="dxa"/>
            <w:vAlign w:val="center"/>
          </w:tcPr>
          <w:p w14:paraId="534F5E5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37E9DCB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4ED3FCC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14:paraId="1904976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14:paraId="1A67AD9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20≤X＜300</w:t>
            </w:r>
          </w:p>
        </w:tc>
        <w:tc>
          <w:tcPr>
            <w:tcW w:w="1203" w:type="dxa"/>
            <w:vAlign w:val="center"/>
          </w:tcPr>
          <w:p w14:paraId="0519F58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3E7EA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48297A7">
            <w:pPr>
              <w:widowControl/>
              <w:jc w:val="left"/>
              <w:rPr>
                <w:rFonts w:hint="eastAsia" w:ascii="仿宋" w:hAnsi="仿宋" w:eastAsia="仿宋" w:cs="仿宋"/>
                <w:color w:val="auto"/>
                <w:kern w:val="0"/>
                <w:sz w:val="24"/>
                <w:highlight w:val="none"/>
              </w:rPr>
            </w:pPr>
          </w:p>
        </w:tc>
        <w:tc>
          <w:tcPr>
            <w:tcW w:w="1560" w:type="dxa"/>
            <w:vAlign w:val="center"/>
          </w:tcPr>
          <w:p w14:paraId="2031EE0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5A1EB65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75477BE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Y≥30000</w:t>
            </w:r>
          </w:p>
        </w:tc>
        <w:tc>
          <w:tcPr>
            <w:tcW w:w="1891" w:type="dxa"/>
            <w:vAlign w:val="center"/>
          </w:tcPr>
          <w:p w14:paraId="21E101A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2000≤Y＜30000</w:t>
            </w:r>
          </w:p>
        </w:tc>
        <w:tc>
          <w:tcPr>
            <w:tcW w:w="1730" w:type="dxa"/>
            <w:vAlign w:val="center"/>
          </w:tcPr>
          <w:p w14:paraId="221848F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100≤Y＜2000</w:t>
            </w:r>
          </w:p>
        </w:tc>
        <w:tc>
          <w:tcPr>
            <w:tcW w:w="1203" w:type="dxa"/>
            <w:vAlign w:val="center"/>
          </w:tcPr>
          <w:p w14:paraId="7192321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79D80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8E639D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住宿业</w:t>
            </w:r>
          </w:p>
        </w:tc>
        <w:tc>
          <w:tcPr>
            <w:tcW w:w="1560" w:type="dxa"/>
            <w:vAlign w:val="center"/>
          </w:tcPr>
          <w:p w14:paraId="6212481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6279FD0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6A91F0A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2E7E470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7193DF6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7AEFA3B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66D02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A350FC0">
            <w:pPr>
              <w:widowControl/>
              <w:jc w:val="left"/>
              <w:rPr>
                <w:rFonts w:hint="eastAsia" w:ascii="仿宋" w:hAnsi="仿宋" w:eastAsia="仿宋" w:cs="仿宋"/>
                <w:color w:val="auto"/>
                <w:kern w:val="0"/>
                <w:sz w:val="24"/>
                <w:highlight w:val="none"/>
              </w:rPr>
            </w:pPr>
          </w:p>
        </w:tc>
        <w:tc>
          <w:tcPr>
            <w:tcW w:w="1560" w:type="dxa"/>
            <w:vAlign w:val="center"/>
          </w:tcPr>
          <w:p w14:paraId="08B3699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21FACCE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364F783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w:t>
            </w:r>
          </w:p>
        </w:tc>
        <w:tc>
          <w:tcPr>
            <w:tcW w:w="1891" w:type="dxa"/>
            <w:vAlign w:val="center"/>
          </w:tcPr>
          <w:p w14:paraId="5735FBA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2000≤Y＜10000</w:t>
            </w:r>
          </w:p>
        </w:tc>
        <w:tc>
          <w:tcPr>
            <w:tcW w:w="1730" w:type="dxa"/>
            <w:vAlign w:val="center"/>
          </w:tcPr>
          <w:p w14:paraId="5F7BABE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100≤Y＜2000</w:t>
            </w:r>
          </w:p>
        </w:tc>
        <w:tc>
          <w:tcPr>
            <w:tcW w:w="1203" w:type="dxa"/>
            <w:vAlign w:val="center"/>
          </w:tcPr>
          <w:p w14:paraId="4C24C45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3DF00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82670B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餐饮业</w:t>
            </w:r>
          </w:p>
        </w:tc>
        <w:tc>
          <w:tcPr>
            <w:tcW w:w="1560" w:type="dxa"/>
            <w:vAlign w:val="center"/>
          </w:tcPr>
          <w:p w14:paraId="49ABABC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106B358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108EE3D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6F96D42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5F5B25A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5210F3D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27206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2335A9E">
            <w:pPr>
              <w:widowControl/>
              <w:jc w:val="left"/>
              <w:rPr>
                <w:rFonts w:hint="eastAsia" w:ascii="仿宋" w:hAnsi="仿宋" w:eastAsia="仿宋" w:cs="仿宋"/>
                <w:color w:val="auto"/>
                <w:kern w:val="0"/>
                <w:sz w:val="24"/>
                <w:highlight w:val="none"/>
              </w:rPr>
            </w:pPr>
          </w:p>
        </w:tc>
        <w:tc>
          <w:tcPr>
            <w:tcW w:w="1560" w:type="dxa"/>
            <w:vAlign w:val="center"/>
          </w:tcPr>
          <w:p w14:paraId="73B9DAC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110907E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053C8BA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w:t>
            </w:r>
          </w:p>
        </w:tc>
        <w:tc>
          <w:tcPr>
            <w:tcW w:w="1891" w:type="dxa"/>
            <w:vAlign w:val="center"/>
          </w:tcPr>
          <w:p w14:paraId="49B68BE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2000≤Y＜10000</w:t>
            </w:r>
          </w:p>
        </w:tc>
        <w:tc>
          <w:tcPr>
            <w:tcW w:w="1730" w:type="dxa"/>
            <w:vAlign w:val="center"/>
          </w:tcPr>
          <w:p w14:paraId="074ECBF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100≤Y＜2000</w:t>
            </w:r>
          </w:p>
        </w:tc>
        <w:tc>
          <w:tcPr>
            <w:tcW w:w="1203" w:type="dxa"/>
            <w:vAlign w:val="center"/>
          </w:tcPr>
          <w:p w14:paraId="1B5132A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21415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9675A3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信息传输业 *</w:t>
            </w:r>
          </w:p>
        </w:tc>
        <w:tc>
          <w:tcPr>
            <w:tcW w:w="1560" w:type="dxa"/>
            <w:vAlign w:val="center"/>
          </w:tcPr>
          <w:p w14:paraId="2B879EF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06F9A82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4A28684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X≥2000</w:t>
            </w:r>
          </w:p>
        </w:tc>
        <w:tc>
          <w:tcPr>
            <w:tcW w:w="1891" w:type="dxa"/>
            <w:vAlign w:val="center"/>
          </w:tcPr>
          <w:p w14:paraId="0EE4E3D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100≤X＜2000</w:t>
            </w:r>
          </w:p>
        </w:tc>
        <w:tc>
          <w:tcPr>
            <w:tcW w:w="1730" w:type="dxa"/>
            <w:vAlign w:val="center"/>
          </w:tcPr>
          <w:p w14:paraId="080F7D0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5910F2A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4291F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FED1607">
            <w:pPr>
              <w:widowControl/>
              <w:jc w:val="left"/>
              <w:rPr>
                <w:rFonts w:hint="eastAsia" w:ascii="仿宋" w:hAnsi="仿宋" w:eastAsia="仿宋" w:cs="仿宋"/>
                <w:color w:val="auto"/>
                <w:kern w:val="0"/>
                <w:sz w:val="24"/>
                <w:highlight w:val="none"/>
              </w:rPr>
            </w:pPr>
          </w:p>
        </w:tc>
        <w:tc>
          <w:tcPr>
            <w:tcW w:w="1560" w:type="dxa"/>
            <w:vAlign w:val="center"/>
          </w:tcPr>
          <w:p w14:paraId="721BA97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75F7744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6A64AB7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Y≥100000</w:t>
            </w:r>
          </w:p>
        </w:tc>
        <w:tc>
          <w:tcPr>
            <w:tcW w:w="1891" w:type="dxa"/>
            <w:vAlign w:val="center"/>
          </w:tcPr>
          <w:p w14:paraId="2242934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1000≤Y＜100000</w:t>
            </w:r>
          </w:p>
        </w:tc>
        <w:tc>
          <w:tcPr>
            <w:tcW w:w="1730" w:type="dxa"/>
            <w:vAlign w:val="center"/>
          </w:tcPr>
          <w:p w14:paraId="6B9DD8E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100≤Y＜1000</w:t>
            </w:r>
          </w:p>
        </w:tc>
        <w:tc>
          <w:tcPr>
            <w:tcW w:w="1203" w:type="dxa"/>
            <w:vAlign w:val="center"/>
          </w:tcPr>
          <w:p w14:paraId="338FF7B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17607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634DDA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软件和信息技术服务业</w:t>
            </w:r>
          </w:p>
        </w:tc>
        <w:tc>
          <w:tcPr>
            <w:tcW w:w="1560" w:type="dxa"/>
            <w:vAlign w:val="center"/>
          </w:tcPr>
          <w:p w14:paraId="4C56071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601DF2E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2AA5CBF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7FB7109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128FF29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10B635A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0CE62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656C53F">
            <w:pPr>
              <w:widowControl/>
              <w:jc w:val="left"/>
              <w:rPr>
                <w:rFonts w:hint="eastAsia" w:ascii="仿宋" w:hAnsi="仿宋" w:eastAsia="仿宋" w:cs="仿宋"/>
                <w:color w:val="auto"/>
                <w:kern w:val="0"/>
                <w:sz w:val="24"/>
                <w:highlight w:val="none"/>
              </w:rPr>
            </w:pPr>
          </w:p>
        </w:tc>
        <w:tc>
          <w:tcPr>
            <w:tcW w:w="1560" w:type="dxa"/>
            <w:vAlign w:val="center"/>
          </w:tcPr>
          <w:p w14:paraId="57CC3B6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35D3207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6F2989D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w:t>
            </w:r>
          </w:p>
        </w:tc>
        <w:tc>
          <w:tcPr>
            <w:tcW w:w="1891" w:type="dxa"/>
            <w:vAlign w:val="center"/>
          </w:tcPr>
          <w:p w14:paraId="654C705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1000≤Y＜10000</w:t>
            </w:r>
          </w:p>
        </w:tc>
        <w:tc>
          <w:tcPr>
            <w:tcW w:w="1730" w:type="dxa"/>
            <w:vAlign w:val="center"/>
          </w:tcPr>
          <w:p w14:paraId="1515B64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50≤Y＜1000</w:t>
            </w:r>
          </w:p>
        </w:tc>
        <w:tc>
          <w:tcPr>
            <w:tcW w:w="1203" w:type="dxa"/>
            <w:vAlign w:val="center"/>
          </w:tcPr>
          <w:p w14:paraId="6FF0929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w:t>
            </w:r>
          </w:p>
        </w:tc>
      </w:tr>
      <w:tr w14:paraId="78218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F2E8F0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房地产开发经营</w:t>
            </w:r>
          </w:p>
        </w:tc>
        <w:tc>
          <w:tcPr>
            <w:tcW w:w="1560" w:type="dxa"/>
            <w:vAlign w:val="center"/>
          </w:tcPr>
          <w:p w14:paraId="766FB47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7E34502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419A6EA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Y≥200000</w:t>
            </w:r>
          </w:p>
        </w:tc>
        <w:tc>
          <w:tcPr>
            <w:tcW w:w="1891" w:type="dxa"/>
            <w:vAlign w:val="center"/>
          </w:tcPr>
          <w:p w14:paraId="7B10CC6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1000≤Y＜200000</w:t>
            </w:r>
          </w:p>
        </w:tc>
        <w:tc>
          <w:tcPr>
            <w:tcW w:w="1730" w:type="dxa"/>
            <w:vAlign w:val="center"/>
          </w:tcPr>
          <w:p w14:paraId="7F89FF9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100≤Y＜1000</w:t>
            </w:r>
          </w:p>
        </w:tc>
        <w:tc>
          <w:tcPr>
            <w:tcW w:w="1203" w:type="dxa"/>
            <w:vAlign w:val="center"/>
          </w:tcPr>
          <w:p w14:paraId="72630B5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31F5C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F3300E4">
            <w:pPr>
              <w:widowControl/>
              <w:jc w:val="left"/>
              <w:rPr>
                <w:rFonts w:hint="eastAsia" w:ascii="仿宋" w:hAnsi="仿宋" w:eastAsia="仿宋" w:cs="仿宋"/>
                <w:color w:val="auto"/>
                <w:kern w:val="0"/>
                <w:sz w:val="24"/>
                <w:highlight w:val="none"/>
              </w:rPr>
            </w:pPr>
          </w:p>
        </w:tc>
        <w:tc>
          <w:tcPr>
            <w:tcW w:w="1560" w:type="dxa"/>
            <w:vAlign w:val="center"/>
          </w:tcPr>
          <w:p w14:paraId="4F42171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资产总额(Z)</w:t>
            </w:r>
          </w:p>
        </w:tc>
        <w:tc>
          <w:tcPr>
            <w:tcW w:w="671" w:type="dxa"/>
            <w:vAlign w:val="center"/>
          </w:tcPr>
          <w:p w14:paraId="0D65F7F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3F8EAE4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Z≥10000</w:t>
            </w:r>
          </w:p>
        </w:tc>
        <w:tc>
          <w:tcPr>
            <w:tcW w:w="1891" w:type="dxa"/>
            <w:vAlign w:val="center"/>
          </w:tcPr>
          <w:p w14:paraId="712E146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5000≤Z＜10000</w:t>
            </w:r>
          </w:p>
        </w:tc>
        <w:tc>
          <w:tcPr>
            <w:tcW w:w="1730" w:type="dxa"/>
            <w:vAlign w:val="center"/>
          </w:tcPr>
          <w:p w14:paraId="46D5D1A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2000≤Z＜5000</w:t>
            </w:r>
          </w:p>
        </w:tc>
        <w:tc>
          <w:tcPr>
            <w:tcW w:w="1203" w:type="dxa"/>
            <w:vAlign w:val="center"/>
          </w:tcPr>
          <w:p w14:paraId="50FF59B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Z＜2000</w:t>
            </w:r>
          </w:p>
        </w:tc>
      </w:tr>
      <w:tr w14:paraId="0AFDE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63677E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物业管理</w:t>
            </w:r>
          </w:p>
        </w:tc>
        <w:tc>
          <w:tcPr>
            <w:tcW w:w="1560" w:type="dxa"/>
            <w:vAlign w:val="center"/>
          </w:tcPr>
          <w:p w14:paraId="3E47F26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13A6EE0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7B55D83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14:paraId="5901F39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14:paraId="3173662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203" w:type="dxa"/>
            <w:vAlign w:val="center"/>
          </w:tcPr>
          <w:p w14:paraId="676E94C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w:t>
            </w:r>
          </w:p>
        </w:tc>
      </w:tr>
      <w:tr w14:paraId="6AAD5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4B2B9A7">
            <w:pPr>
              <w:widowControl/>
              <w:jc w:val="left"/>
              <w:rPr>
                <w:rFonts w:hint="eastAsia" w:ascii="仿宋" w:hAnsi="仿宋" w:eastAsia="仿宋" w:cs="仿宋"/>
                <w:color w:val="auto"/>
                <w:kern w:val="0"/>
                <w:sz w:val="24"/>
                <w:highlight w:val="none"/>
              </w:rPr>
            </w:pPr>
          </w:p>
        </w:tc>
        <w:tc>
          <w:tcPr>
            <w:tcW w:w="1560" w:type="dxa"/>
            <w:vAlign w:val="center"/>
          </w:tcPr>
          <w:p w14:paraId="0976EAB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4F9768C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71315BD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Y≥5000</w:t>
            </w:r>
          </w:p>
        </w:tc>
        <w:tc>
          <w:tcPr>
            <w:tcW w:w="1891" w:type="dxa"/>
            <w:vAlign w:val="center"/>
          </w:tcPr>
          <w:p w14:paraId="53593FE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1000≤Y＜5000</w:t>
            </w:r>
          </w:p>
        </w:tc>
        <w:tc>
          <w:tcPr>
            <w:tcW w:w="1730" w:type="dxa"/>
            <w:vAlign w:val="center"/>
          </w:tcPr>
          <w:p w14:paraId="1B459DC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500≤Y＜1000</w:t>
            </w:r>
          </w:p>
        </w:tc>
        <w:tc>
          <w:tcPr>
            <w:tcW w:w="1203" w:type="dxa"/>
            <w:vAlign w:val="center"/>
          </w:tcPr>
          <w:p w14:paraId="6F09D9D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Y＜500</w:t>
            </w:r>
          </w:p>
        </w:tc>
      </w:tr>
      <w:tr w14:paraId="291DC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AA512A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租赁和商务服务业</w:t>
            </w:r>
          </w:p>
        </w:tc>
        <w:tc>
          <w:tcPr>
            <w:tcW w:w="1560" w:type="dxa"/>
            <w:vAlign w:val="center"/>
          </w:tcPr>
          <w:p w14:paraId="5AF69F1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23D17E4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23A0FBF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5D920DA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7740524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048F47D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4BCDE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A141087">
            <w:pPr>
              <w:widowControl/>
              <w:jc w:val="left"/>
              <w:rPr>
                <w:rFonts w:hint="eastAsia" w:ascii="仿宋" w:hAnsi="仿宋" w:eastAsia="仿宋" w:cs="仿宋"/>
                <w:color w:val="auto"/>
                <w:kern w:val="0"/>
                <w:sz w:val="24"/>
                <w:highlight w:val="none"/>
              </w:rPr>
            </w:pPr>
          </w:p>
        </w:tc>
        <w:tc>
          <w:tcPr>
            <w:tcW w:w="1560" w:type="dxa"/>
            <w:vAlign w:val="center"/>
          </w:tcPr>
          <w:p w14:paraId="26A0632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资产总额(Z)</w:t>
            </w:r>
          </w:p>
        </w:tc>
        <w:tc>
          <w:tcPr>
            <w:tcW w:w="671" w:type="dxa"/>
            <w:vAlign w:val="center"/>
          </w:tcPr>
          <w:p w14:paraId="0AE8F8F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0B7CFCD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Z≥120000</w:t>
            </w:r>
          </w:p>
        </w:tc>
        <w:tc>
          <w:tcPr>
            <w:tcW w:w="1891" w:type="dxa"/>
            <w:vAlign w:val="center"/>
          </w:tcPr>
          <w:p w14:paraId="396246F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8000≤Z＜120000</w:t>
            </w:r>
          </w:p>
        </w:tc>
        <w:tc>
          <w:tcPr>
            <w:tcW w:w="1730" w:type="dxa"/>
            <w:vAlign w:val="center"/>
          </w:tcPr>
          <w:p w14:paraId="634F60F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100≤Z＜8000</w:t>
            </w:r>
          </w:p>
        </w:tc>
        <w:tc>
          <w:tcPr>
            <w:tcW w:w="1203" w:type="dxa"/>
            <w:vAlign w:val="center"/>
          </w:tcPr>
          <w:p w14:paraId="4E98A3F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Z＜100</w:t>
            </w:r>
          </w:p>
        </w:tc>
      </w:tr>
      <w:tr w14:paraId="240B2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00A9E82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其他未列明行业 *</w:t>
            </w:r>
          </w:p>
        </w:tc>
        <w:tc>
          <w:tcPr>
            <w:tcW w:w="1560" w:type="dxa"/>
            <w:vAlign w:val="center"/>
          </w:tcPr>
          <w:p w14:paraId="7A315F1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20FA3CB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2D89CD5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1C9A16C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3659961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2B7DA21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bl>
    <w:p w14:paraId="5D1C21F4">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说明： 　　</w:t>
      </w:r>
    </w:p>
    <w:p w14:paraId="496B4A46">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1.大型、中型和小型企业须同时满足所列指标的下限，否则下划一档；微型企业只须满足所列指标中的一项即可。 　　</w:t>
      </w:r>
    </w:p>
    <w:p w14:paraId="7F959216">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5CAD7BAD">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3.企业划分指标以现行统计制度为准。</w:t>
      </w:r>
    </w:p>
    <w:p w14:paraId="6C973798">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（1）从业人员，是指期末从业人员数，没有期末从业人员数的，采用全年平均人员数代替。</w:t>
      </w:r>
    </w:p>
    <w:p w14:paraId="7838DC5B">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34FD39B2">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（3）资产总额，采用资产总计代替。</w:t>
      </w:r>
    </w:p>
    <w:p w14:paraId="68656657">
      <w:pPr>
        <w:widowControl/>
        <w:jc w:val="left"/>
        <w:rPr>
          <w:rFonts w:hint="eastAsia" w:ascii="仿宋" w:hAnsi="仿宋" w:eastAsia="仿宋" w:cs="仿宋"/>
          <w:color w:val="auto"/>
          <w:kern w:val="0"/>
          <w:sz w:val="24"/>
          <w:highlight w:val="none"/>
        </w:rPr>
      </w:pPr>
    </w:p>
    <w:p w14:paraId="012D1AFF">
      <w:pPr>
        <w:widowControl/>
        <w:jc w:val="left"/>
        <w:rPr>
          <w:rFonts w:hint="eastAsia" w:ascii="仿宋" w:hAnsi="仿宋" w:eastAsia="仿宋" w:cs="仿宋"/>
          <w:color w:val="auto"/>
          <w:kern w:val="0"/>
          <w:sz w:val="24"/>
          <w:highlight w:val="none"/>
        </w:rPr>
      </w:pPr>
    </w:p>
    <w:p w14:paraId="4E17702C">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《统计上大中小微型企业划分办法（2017）》修订说明</w:t>
      </w:r>
    </w:p>
    <w:p w14:paraId="3864343E">
      <w:pPr>
        <w:widowControl/>
        <w:shd w:val="clear" w:color="auto" w:fill="FFFFFF"/>
        <w:spacing w:before="150" w:line="540" w:lineRule="atLeast"/>
        <w:jc w:val="left"/>
        <w:textAlignment w:val="baseline"/>
        <w:rPr>
          <w:rFonts w:hint="eastAsia" w:ascii="仿宋" w:hAnsi="仿宋" w:eastAsia="仿宋" w:cs="仿宋"/>
          <w:b/>
          <w:bCs/>
          <w:color w:val="auto"/>
          <w:kern w:val="0"/>
          <w:sz w:val="27"/>
          <w:szCs w:val="27"/>
          <w:highlight w:val="none"/>
        </w:rPr>
      </w:pPr>
      <w:r>
        <w:rPr>
          <w:rFonts w:hint="eastAsia" w:ascii="仿宋" w:hAnsi="仿宋" w:eastAsia="仿宋" w:cs="仿宋"/>
          <w:b/>
          <w:bCs/>
          <w:color w:val="auto"/>
          <w:kern w:val="0"/>
          <w:sz w:val="27"/>
          <w:szCs w:val="27"/>
          <w:highlight w:val="none"/>
        </w:rPr>
        <w:t>一、修订背景</w:t>
      </w:r>
    </w:p>
    <w:p w14:paraId="30B35931">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3C971064">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2A65F002">
      <w:pPr>
        <w:widowControl/>
        <w:shd w:val="clear" w:color="auto" w:fill="FFFFFF"/>
        <w:spacing w:before="150" w:line="540" w:lineRule="atLeast"/>
        <w:jc w:val="left"/>
        <w:textAlignment w:val="baseline"/>
        <w:rPr>
          <w:rFonts w:hint="eastAsia" w:ascii="仿宋" w:hAnsi="仿宋" w:eastAsia="仿宋" w:cs="仿宋"/>
          <w:b/>
          <w:bCs/>
          <w:color w:val="auto"/>
          <w:kern w:val="0"/>
          <w:sz w:val="27"/>
          <w:szCs w:val="27"/>
          <w:highlight w:val="none"/>
        </w:rPr>
      </w:pPr>
      <w:r>
        <w:rPr>
          <w:rFonts w:hint="eastAsia" w:ascii="仿宋" w:hAnsi="仿宋" w:eastAsia="仿宋" w:cs="仿宋"/>
          <w:b/>
          <w:bCs/>
          <w:color w:val="auto"/>
          <w:kern w:val="0"/>
          <w:sz w:val="27"/>
          <w:szCs w:val="27"/>
          <w:highlight w:val="none"/>
        </w:rPr>
        <w:t>二、修订主要内容</w:t>
      </w:r>
    </w:p>
    <w:p w14:paraId="72612E44">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21A3B49B">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将交通运输业中包括的“装卸搬运和运输代理业”修改为“多式联运和运输代理业、装卸搬运”。</w:t>
      </w:r>
    </w:p>
    <w:p w14:paraId="0489A1D5">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仓储业所包括的行业中类，根据《国民经济行业分类》（GB/T4754—2017）调整为“通用仓储，低温仓储，危险品仓储，谷物、棉花等农产品仓储，中药材仓储和其他仓储业”。</w:t>
      </w:r>
    </w:p>
    <w:p w14:paraId="713E7279">
      <w:pPr>
        <w:widowControl/>
        <w:jc w:val="left"/>
        <w:rPr>
          <w:rFonts w:hint="eastAsia" w:ascii="仿宋" w:hAnsi="仿宋" w:eastAsia="仿宋" w:cs="仿宋"/>
          <w:color w:val="auto"/>
          <w:kern w:val="0"/>
          <w:sz w:val="18"/>
          <w:szCs w:val="18"/>
          <w:highlight w:val="none"/>
        </w:rPr>
      </w:pPr>
    </w:p>
    <w:p w14:paraId="66F96BF0">
      <w:pPr>
        <w:widowControl/>
        <w:jc w:val="left"/>
        <w:rPr>
          <w:rFonts w:hint="eastAsia" w:ascii="仿宋" w:hAnsi="仿宋" w:eastAsia="仿宋" w:cs="仿宋"/>
          <w:color w:val="auto"/>
          <w:kern w:val="0"/>
          <w:sz w:val="18"/>
          <w:szCs w:val="18"/>
          <w:highlight w:val="none"/>
        </w:rPr>
      </w:pPr>
    </w:p>
    <w:p w14:paraId="34E44002">
      <w:pPr>
        <w:widowControl/>
        <w:jc w:val="left"/>
        <w:rPr>
          <w:rFonts w:hint="eastAsia" w:ascii="仿宋" w:hAnsi="仿宋" w:eastAsia="仿宋" w:cs="仿宋"/>
          <w:color w:val="auto"/>
          <w:kern w:val="0"/>
          <w:sz w:val="18"/>
          <w:szCs w:val="18"/>
          <w:highlight w:val="none"/>
        </w:rPr>
      </w:pPr>
    </w:p>
    <w:p w14:paraId="063A82AF">
      <w:pPr>
        <w:widowControl/>
        <w:shd w:val="clear" w:color="auto" w:fill="FFFFFF"/>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中国人民银行中国银行业监督管理委员会</w:t>
      </w:r>
    </w:p>
    <w:p w14:paraId="7C151FC0">
      <w:pPr>
        <w:widowControl/>
        <w:shd w:val="clear" w:color="auto" w:fill="FFFFFF"/>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中国证券监督管理委员会中国保险监督管理委员会</w:t>
      </w:r>
    </w:p>
    <w:p w14:paraId="2D821153">
      <w:pPr>
        <w:widowControl/>
        <w:shd w:val="clear" w:color="auto" w:fill="FFFFFF"/>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国家统计局关于印发《金融业企业划型标准规定》的通知</w:t>
      </w:r>
    </w:p>
    <w:p w14:paraId="587C165E">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14:paraId="47369FEC">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请人民银行上海总部，各分行、营业管理部、省会（首府）城市中心支行、副省级城市中心支行会同所在省（区、市）银监局、证监局、保监局、统计局将本通知联合转发至辖内相关机构。</w:t>
      </w:r>
    </w:p>
    <w:p w14:paraId="66DB126F">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附件：金融业企业划型标准规定</w:t>
      </w:r>
    </w:p>
    <w:p w14:paraId="05010FC8">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金融业企业划型标准规定</w:t>
      </w:r>
    </w:p>
    <w:p w14:paraId="7E58F929">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一、 根据《中华人民共和国中小企业促进法》、《国务院关于进一步促进中小企业发展的若干意见》（国发〔2009〕36号）和《国务院办公厅关于金融支持小微企业发展的实施意见》（国办发〔2013〕87号），制定本规定。</w:t>
      </w:r>
    </w:p>
    <w:p w14:paraId="4DFCB8D4">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二、 适用范围。本规定适用于从事《国民经济行业分类》(GB/T4754-2011)中J门类（金融业）活动的企业。</w:t>
      </w:r>
    </w:p>
    <w:p w14:paraId="3E7F658E">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1D37DC6C">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四、划型标准指标。采用一个完整会计年度中四个季度末法人并表口径的资产总额（信托公司为信托资产）平均值作为划型指标，该指标以监管部门数据为准。</w:t>
      </w:r>
    </w:p>
    <w:p w14:paraId="4C556CD1">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五、指标标准值。依据指标标准值，将各类金融业企业划分为大、中、小、微四个规模类型，中型企业标准上限及以上的为大型企业。</w:t>
      </w:r>
    </w:p>
    <w:p w14:paraId="31CC7DB4">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(一) 银行业存款类金融机构。资产总额40000亿元以下的为中小微型企业。其中，资产总额5000亿元及以上的为中型企业，资产总额50亿元及以上的为小型企业，资产总额50亿元以下的为微型企业。</w:t>
      </w:r>
    </w:p>
    <w:p w14:paraId="4935B81C">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(二) 银行业非存款类金融机构。资产总额1000亿元以下的为中小微型企业。其中，资产总额200亿元及以上的为中型企业，资产总额50亿元及以上的为小型企业，资产总额50亿元以下的为微型企业。</w:t>
      </w:r>
    </w:p>
    <w:p w14:paraId="73587936">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(三) 贷款公司、小额贷款公司及典当行。资产总额1000亿元以下的为中小微型企业。其中，资产总额200亿元及以上的为中型企业，资产总额50亿元及以上的为小型企业，资产总额50亿元以下的为微型企业。</w:t>
      </w:r>
    </w:p>
    <w:p w14:paraId="266E0FF3">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(四) 证券业金融机构。资产总额1000亿元以下的为中小微型企业。其中，资产总额100亿元及以上的为中型企业，资产总额10亿元及以上的为小型企业，资产总额10亿元以下的为微型企业。</w:t>
      </w:r>
    </w:p>
    <w:p w14:paraId="5ED4F214">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(五) 保险业金融机构。资产总额5000亿元以下的为中小微型企业。其中，资产总额400亿元及以上的为中型企业，资产总额20亿元及以上的为小型企业，资产总额20亿元以下的为微型企业。</w:t>
      </w:r>
    </w:p>
    <w:p w14:paraId="348FF83C">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(六) 信托公司。信托资产1000亿元以下的为中小微型企业。其中，信托资产400亿元及以上的为中型企业，信托资产20亿元及以上的为小型企业，信托资产20亿元以下的为微型企业。</w:t>
      </w:r>
    </w:p>
    <w:p w14:paraId="6428E0C8">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(七) 金融控股公司。资产总额40000亿元以下的为中小微型企业。其中，资产总额5000亿元及以上的为中型企业，资产总额50亿元及以上的为小型企业，资产总额50亿元以下的为微型企业。</w:t>
      </w:r>
    </w:p>
    <w:p w14:paraId="33C4C67A">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17B99229">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14:paraId="68084A3E">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七、 标准值的评估和调整。金融业企业划型标准工作组毎五年对划型标准值受经济发展与通货膨胀等因素的响程度进行评估和调整。</w:t>
      </w:r>
    </w:p>
    <w:p w14:paraId="51EFD867">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八、 本规定的中型金融业企业标准上限即为大型金融业企业下限。国务院有关部门据此进行相关数据的统计分析，不得制定与本规定不一致的金融业企业划型标准。</w:t>
      </w:r>
    </w:p>
    <w:p w14:paraId="02A97F27">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九、 融资担保公司参照本规定中“除贷款公司、小额贷款公司、典当行以外的其他金融机构”标准划型。</w:t>
      </w:r>
    </w:p>
    <w:p w14:paraId="32352452">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十、本规定由人民银行会同银监会，证监会、保监会和统计局负责解释。</w:t>
      </w:r>
    </w:p>
    <w:p w14:paraId="1D545E26">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十一、本规定自发布之日起实施。</w:t>
      </w:r>
    </w:p>
    <w:p w14:paraId="3118CF8F">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附：金融业企业划型标准</w:t>
      </w:r>
    </w:p>
    <w:p w14:paraId="70A63479">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金融业企业划型标准</w:t>
      </w:r>
    </w:p>
    <w:tbl>
      <w:tblPr>
        <w:tblStyle w:val="64"/>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14:paraId="05907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14:paraId="15BAC35B">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行业</w:t>
            </w:r>
          </w:p>
        </w:tc>
        <w:tc>
          <w:tcPr>
            <w:tcW w:w="2836" w:type="dxa"/>
            <w:tcMar>
              <w:top w:w="75" w:type="dxa"/>
              <w:left w:w="75" w:type="dxa"/>
              <w:bottom w:w="75" w:type="dxa"/>
              <w:right w:w="75" w:type="dxa"/>
            </w:tcMar>
            <w:vAlign w:val="bottom"/>
          </w:tcPr>
          <w:p w14:paraId="402C8374">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类别</w:t>
            </w:r>
          </w:p>
        </w:tc>
        <w:tc>
          <w:tcPr>
            <w:tcW w:w="606" w:type="dxa"/>
            <w:tcMar>
              <w:top w:w="75" w:type="dxa"/>
              <w:left w:w="75" w:type="dxa"/>
              <w:bottom w:w="75" w:type="dxa"/>
              <w:right w:w="75" w:type="dxa"/>
            </w:tcMar>
            <w:vAlign w:val="bottom"/>
          </w:tcPr>
          <w:p w14:paraId="72FC2AD0">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类型</w:t>
            </w:r>
          </w:p>
        </w:tc>
        <w:tc>
          <w:tcPr>
            <w:tcW w:w="3326" w:type="dxa"/>
            <w:tcMar>
              <w:top w:w="75" w:type="dxa"/>
              <w:left w:w="75" w:type="dxa"/>
              <w:bottom w:w="75" w:type="dxa"/>
              <w:right w:w="75" w:type="dxa"/>
            </w:tcMar>
            <w:vAlign w:val="bottom"/>
          </w:tcPr>
          <w:p w14:paraId="23E8C18E">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资产总额</w:t>
            </w:r>
          </w:p>
        </w:tc>
      </w:tr>
      <w:tr w14:paraId="3D8BD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3FB55D4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货币金融服务</w:t>
            </w:r>
          </w:p>
        </w:tc>
        <w:tc>
          <w:tcPr>
            <w:tcW w:w="1025" w:type="dxa"/>
            <w:vMerge w:val="restart"/>
            <w:vAlign w:val="center"/>
          </w:tcPr>
          <w:p w14:paraId="4B0ACEE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货币银行服务</w:t>
            </w:r>
          </w:p>
        </w:tc>
        <w:tc>
          <w:tcPr>
            <w:tcW w:w="2836" w:type="dxa"/>
            <w:vMerge w:val="restart"/>
            <w:vAlign w:val="center"/>
          </w:tcPr>
          <w:p w14:paraId="1C84DE4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银行业存款类金融机构</w:t>
            </w:r>
          </w:p>
        </w:tc>
        <w:tc>
          <w:tcPr>
            <w:tcW w:w="606" w:type="dxa"/>
            <w:vAlign w:val="center"/>
          </w:tcPr>
          <w:p w14:paraId="6945A4F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6C81BDA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5000亿元（含）至40000亿元</w:t>
            </w:r>
          </w:p>
        </w:tc>
      </w:tr>
      <w:tr w14:paraId="6E1DB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DE1B3B8">
            <w:pPr>
              <w:widowControl/>
              <w:jc w:val="left"/>
              <w:rPr>
                <w:rFonts w:hint="eastAsia" w:ascii="仿宋" w:hAnsi="仿宋" w:eastAsia="仿宋" w:cs="仿宋"/>
                <w:color w:val="auto"/>
                <w:kern w:val="0"/>
                <w:sz w:val="24"/>
                <w:highlight w:val="none"/>
              </w:rPr>
            </w:pPr>
          </w:p>
        </w:tc>
        <w:tc>
          <w:tcPr>
            <w:tcW w:w="1025" w:type="dxa"/>
            <w:vMerge w:val="continue"/>
            <w:vAlign w:val="center"/>
          </w:tcPr>
          <w:p w14:paraId="7CA63C45">
            <w:pPr>
              <w:widowControl/>
              <w:jc w:val="left"/>
              <w:rPr>
                <w:rFonts w:hint="eastAsia" w:ascii="仿宋" w:hAnsi="仿宋" w:eastAsia="仿宋" w:cs="仿宋"/>
                <w:color w:val="auto"/>
                <w:kern w:val="0"/>
                <w:sz w:val="24"/>
                <w:highlight w:val="none"/>
              </w:rPr>
            </w:pPr>
          </w:p>
        </w:tc>
        <w:tc>
          <w:tcPr>
            <w:tcW w:w="2836" w:type="dxa"/>
            <w:vMerge w:val="continue"/>
            <w:vAlign w:val="center"/>
          </w:tcPr>
          <w:p w14:paraId="0F17556A">
            <w:pPr>
              <w:widowControl/>
              <w:jc w:val="left"/>
              <w:rPr>
                <w:rFonts w:hint="eastAsia" w:ascii="仿宋" w:hAnsi="仿宋" w:eastAsia="仿宋" w:cs="仿宋"/>
                <w:color w:val="auto"/>
                <w:kern w:val="0"/>
                <w:sz w:val="24"/>
                <w:highlight w:val="none"/>
              </w:rPr>
            </w:pPr>
          </w:p>
        </w:tc>
        <w:tc>
          <w:tcPr>
            <w:tcW w:w="606" w:type="dxa"/>
            <w:vAlign w:val="center"/>
          </w:tcPr>
          <w:p w14:paraId="383DA90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40CC48E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50亿元（含）至5000亿元</w:t>
            </w:r>
          </w:p>
        </w:tc>
      </w:tr>
      <w:tr w14:paraId="1823F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35" w:type="dxa"/>
            <w:vMerge w:val="continue"/>
            <w:vAlign w:val="center"/>
          </w:tcPr>
          <w:p w14:paraId="499AB46C">
            <w:pPr>
              <w:widowControl/>
              <w:jc w:val="left"/>
              <w:rPr>
                <w:rFonts w:hint="eastAsia" w:ascii="仿宋" w:hAnsi="仿宋" w:eastAsia="仿宋" w:cs="仿宋"/>
                <w:color w:val="auto"/>
                <w:kern w:val="0"/>
                <w:sz w:val="24"/>
                <w:highlight w:val="none"/>
              </w:rPr>
            </w:pPr>
          </w:p>
        </w:tc>
        <w:tc>
          <w:tcPr>
            <w:tcW w:w="1025" w:type="dxa"/>
            <w:vMerge w:val="continue"/>
            <w:vAlign w:val="center"/>
          </w:tcPr>
          <w:p w14:paraId="45AAB9C3">
            <w:pPr>
              <w:widowControl/>
              <w:jc w:val="left"/>
              <w:rPr>
                <w:rFonts w:hint="eastAsia" w:ascii="仿宋" w:hAnsi="仿宋" w:eastAsia="仿宋" w:cs="仿宋"/>
                <w:color w:val="auto"/>
                <w:kern w:val="0"/>
                <w:sz w:val="24"/>
                <w:highlight w:val="none"/>
              </w:rPr>
            </w:pPr>
          </w:p>
        </w:tc>
        <w:tc>
          <w:tcPr>
            <w:tcW w:w="2836" w:type="dxa"/>
            <w:vMerge w:val="continue"/>
            <w:vAlign w:val="center"/>
          </w:tcPr>
          <w:p w14:paraId="68258B63">
            <w:pPr>
              <w:widowControl/>
              <w:jc w:val="left"/>
              <w:rPr>
                <w:rFonts w:hint="eastAsia" w:ascii="仿宋" w:hAnsi="仿宋" w:eastAsia="仿宋" w:cs="仿宋"/>
                <w:color w:val="auto"/>
                <w:kern w:val="0"/>
                <w:sz w:val="24"/>
                <w:highlight w:val="none"/>
              </w:rPr>
            </w:pPr>
          </w:p>
        </w:tc>
        <w:tc>
          <w:tcPr>
            <w:tcW w:w="606" w:type="dxa"/>
            <w:vAlign w:val="center"/>
          </w:tcPr>
          <w:p w14:paraId="11CB556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4641B71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6DA80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0580F2B">
            <w:pPr>
              <w:widowControl/>
              <w:jc w:val="left"/>
              <w:rPr>
                <w:rFonts w:hint="eastAsia" w:ascii="仿宋" w:hAnsi="仿宋" w:eastAsia="仿宋" w:cs="仿宋"/>
                <w:color w:val="auto"/>
                <w:kern w:val="0"/>
                <w:sz w:val="24"/>
                <w:highlight w:val="none"/>
              </w:rPr>
            </w:pPr>
          </w:p>
        </w:tc>
        <w:tc>
          <w:tcPr>
            <w:tcW w:w="1025" w:type="dxa"/>
            <w:vMerge w:val="restart"/>
            <w:vAlign w:val="center"/>
          </w:tcPr>
          <w:p w14:paraId="5B5DAA8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非货币银行服务</w:t>
            </w:r>
          </w:p>
        </w:tc>
        <w:tc>
          <w:tcPr>
            <w:tcW w:w="2836" w:type="dxa"/>
            <w:vMerge w:val="restart"/>
            <w:vAlign w:val="center"/>
          </w:tcPr>
          <w:p w14:paraId="5B3CA81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银行业非存款类金融机构</w:t>
            </w:r>
          </w:p>
        </w:tc>
        <w:tc>
          <w:tcPr>
            <w:tcW w:w="606" w:type="dxa"/>
            <w:vAlign w:val="center"/>
          </w:tcPr>
          <w:p w14:paraId="76464C4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638BB4F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200亿元（含）至1000亿元</w:t>
            </w:r>
          </w:p>
        </w:tc>
      </w:tr>
      <w:tr w14:paraId="00006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2AF7CEB">
            <w:pPr>
              <w:widowControl/>
              <w:jc w:val="left"/>
              <w:rPr>
                <w:rFonts w:hint="eastAsia" w:ascii="仿宋" w:hAnsi="仿宋" w:eastAsia="仿宋" w:cs="仿宋"/>
                <w:color w:val="auto"/>
                <w:kern w:val="0"/>
                <w:sz w:val="24"/>
                <w:highlight w:val="none"/>
              </w:rPr>
            </w:pPr>
          </w:p>
        </w:tc>
        <w:tc>
          <w:tcPr>
            <w:tcW w:w="1025" w:type="dxa"/>
            <w:vMerge w:val="continue"/>
            <w:vAlign w:val="center"/>
          </w:tcPr>
          <w:p w14:paraId="240942C7">
            <w:pPr>
              <w:widowControl/>
              <w:jc w:val="left"/>
              <w:rPr>
                <w:rFonts w:hint="eastAsia" w:ascii="仿宋" w:hAnsi="仿宋" w:eastAsia="仿宋" w:cs="仿宋"/>
                <w:color w:val="auto"/>
                <w:kern w:val="0"/>
                <w:sz w:val="24"/>
                <w:highlight w:val="none"/>
              </w:rPr>
            </w:pPr>
          </w:p>
        </w:tc>
        <w:tc>
          <w:tcPr>
            <w:tcW w:w="2836" w:type="dxa"/>
            <w:vMerge w:val="continue"/>
            <w:vAlign w:val="center"/>
          </w:tcPr>
          <w:p w14:paraId="42FCC5F1">
            <w:pPr>
              <w:widowControl/>
              <w:jc w:val="left"/>
              <w:rPr>
                <w:rFonts w:hint="eastAsia" w:ascii="仿宋" w:hAnsi="仿宋" w:eastAsia="仿宋" w:cs="仿宋"/>
                <w:color w:val="auto"/>
                <w:kern w:val="0"/>
                <w:sz w:val="24"/>
                <w:highlight w:val="none"/>
              </w:rPr>
            </w:pPr>
          </w:p>
        </w:tc>
        <w:tc>
          <w:tcPr>
            <w:tcW w:w="606" w:type="dxa"/>
            <w:vAlign w:val="center"/>
          </w:tcPr>
          <w:p w14:paraId="4E31142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29B3FE0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50亿元（含）至200亿元</w:t>
            </w:r>
          </w:p>
        </w:tc>
      </w:tr>
      <w:tr w14:paraId="4AB94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35" w:type="dxa"/>
            <w:vMerge w:val="continue"/>
            <w:vAlign w:val="center"/>
          </w:tcPr>
          <w:p w14:paraId="32A617B9">
            <w:pPr>
              <w:widowControl/>
              <w:jc w:val="left"/>
              <w:rPr>
                <w:rFonts w:hint="eastAsia" w:ascii="仿宋" w:hAnsi="仿宋" w:eastAsia="仿宋" w:cs="仿宋"/>
                <w:color w:val="auto"/>
                <w:kern w:val="0"/>
                <w:sz w:val="24"/>
                <w:highlight w:val="none"/>
              </w:rPr>
            </w:pPr>
          </w:p>
        </w:tc>
        <w:tc>
          <w:tcPr>
            <w:tcW w:w="1025" w:type="dxa"/>
            <w:vMerge w:val="continue"/>
            <w:vAlign w:val="center"/>
          </w:tcPr>
          <w:p w14:paraId="741B9D8E">
            <w:pPr>
              <w:widowControl/>
              <w:jc w:val="left"/>
              <w:rPr>
                <w:rFonts w:hint="eastAsia" w:ascii="仿宋" w:hAnsi="仿宋" w:eastAsia="仿宋" w:cs="仿宋"/>
                <w:color w:val="auto"/>
                <w:kern w:val="0"/>
                <w:sz w:val="24"/>
                <w:highlight w:val="none"/>
              </w:rPr>
            </w:pPr>
          </w:p>
        </w:tc>
        <w:tc>
          <w:tcPr>
            <w:tcW w:w="2836" w:type="dxa"/>
            <w:vMerge w:val="continue"/>
            <w:vAlign w:val="center"/>
          </w:tcPr>
          <w:p w14:paraId="79D79A46">
            <w:pPr>
              <w:widowControl/>
              <w:jc w:val="left"/>
              <w:rPr>
                <w:rFonts w:hint="eastAsia" w:ascii="仿宋" w:hAnsi="仿宋" w:eastAsia="仿宋" w:cs="仿宋"/>
                <w:color w:val="auto"/>
                <w:kern w:val="0"/>
                <w:sz w:val="24"/>
                <w:highlight w:val="none"/>
              </w:rPr>
            </w:pPr>
          </w:p>
        </w:tc>
        <w:tc>
          <w:tcPr>
            <w:tcW w:w="606" w:type="dxa"/>
            <w:vAlign w:val="center"/>
          </w:tcPr>
          <w:p w14:paraId="2C48C8D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488FDEC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1D516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35" w:type="dxa"/>
            <w:vMerge w:val="continue"/>
            <w:vAlign w:val="center"/>
          </w:tcPr>
          <w:p w14:paraId="797FEE46">
            <w:pPr>
              <w:widowControl/>
              <w:jc w:val="left"/>
              <w:rPr>
                <w:rFonts w:hint="eastAsia" w:ascii="仿宋" w:hAnsi="仿宋" w:eastAsia="仿宋" w:cs="仿宋"/>
                <w:color w:val="auto"/>
                <w:kern w:val="0"/>
                <w:sz w:val="24"/>
                <w:highlight w:val="none"/>
              </w:rPr>
            </w:pPr>
          </w:p>
        </w:tc>
        <w:tc>
          <w:tcPr>
            <w:tcW w:w="1025" w:type="dxa"/>
            <w:vMerge w:val="continue"/>
            <w:vAlign w:val="center"/>
          </w:tcPr>
          <w:p w14:paraId="69A2A463">
            <w:pPr>
              <w:widowControl/>
              <w:jc w:val="left"/>
              <w:rPr>
                <w:rFonts w:hint="eastAsia" w:ascii="仿宋" w:hAnsi="仿宋" w:eastAsia="仿宋" w:cs="仿宋"/>
                <w:color w:val="auto"/>
                <w:kern w:val="0"/>
                <w:sz w:val="24"/>
                <w:highlight w:val="none"/>
              </w:rPr>
            </w:pPr>
          </w:p>
        </w:tc>
        <w:tc>
          <w:tcPr>
            <w:tcW w:w="2836" w:type="dxa"/>
            <w:vMerge w:val="restart"/>
            <w:vAlign w:val="center"/>
          </w:tcPr>
          <w:p w14:paraId="4738C11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贷款公司、小额贷款公司及典当行</w:t>
            </w:r>
          </w:p>
        </w:tc>
        <w:tc>
          <w:tcPr>
            <w:tcW w:w="606" w:type="dxa"/>
            <w:vAlign w:val="center"/>
          </w:tcPr>
          <w:p w14:paraId="670AB5B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174824A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200亿元（含）至1000亿元</w:t>
            </w:r>
          </w:p>
        </w:tc>
      </w:tr>
      <w:tr w14:paraId="63843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35" w:type="dxa"/>
            <w:vMerge w:val="continue"/>
            <w:vAlign w:val="center"/>
          </w:tcPr>
          <w:p w14:paraId="04CBFE4D">
            <w:pPr>
              <w:widowControl/>
              <w:jc w:val="left"/>
              <w:rPr>
                <w:rFonts w:hint="eastAsia" w:ascii="仿宋" w:hAnsi="仿宋" w:eastAsia="仿宋" w:cs="仿宋"/>
                <w:color w:val="auto"/>
                <w:kern w:val="0"/>
                <w:sz w:val="24"/>
                <w:highlight w:val="none"/>
              </w:rPr>
            </w:pPr>
          </w:p>
        </w:tc>
        <w:tc>
          <w:tcPr>
            <w:tcW w:w="1025" w:type="dxa"/>
            <w:vMerge w:val="continue"/>
            <w:vAlign w:val="center"/>
          </w:tcPr>
          <w:p w14:paraId="72DFC19A">
            <w:pPr>
              <w:widowControl/>
              <w:jc w:val="left"/>
              <w:rPr>
                <w:rFonts w:hint="eastAsia" w:ascii="仿宋" w:hAnsi="仿宋" w:eastAsia="仿宋" w:cs="仿宋"/>
                <w:color w:val="auto"/>
                <w:kern w:val="0"/>
                <w:sz w:val="24"/>
                <w:highlight w:val="none"/>
              </w:rPr>
            </w:pPr>
          </w:p>
        </w:tc>
        <w:tc>
          <w:tcPr>
            <w:tcW w:w="2836" w:type="dxa"/>
            <w:vMerge w:val="continue"/>
            <w:vAlign w:val="center"/>
          </w:tcPr>
          <w:p w14:paraId="78A14A19">
            <w:pPr>
              <w:widowControl/>
              <w:jc w:val="left"/>
              <w:rPr>
                <w:rFonts w:hint="eastAsia" w:ascii="仿宋" w:hAnsi="仿宋" w:eastAsia="仿宋" w:cs="仿宋"/>
                <w:color w:val="auto"/>
                <w:kern w:val="0"/>
                <w:sz w:val="24"/>
                <w:highlight w:val="none"/>
              </w:rPr>
            </w:pPr>
          </w:p>
        </w:tc>
        <w:tc>
          <w:tcPr>
            <w:tcW w:w="606" w:type="dxa"/>
            <w:vAlign w:val="center"/>
          </w:tcPr>
          <w:p w14:paraId="2E4F361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6562E6D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50亿元（含）至200亿元</w:t>
            </w:r>
          </w:p>
        </w:tc>
      </w:tr>
      <w:tr w14:paraId="5D87C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659DD8C">
            <w:pPr>
              <w:widowControl/>
              <w:jc w:val="left"/>
              <w:rPr>
                <w:rFonts w:hint="eastAsia" w:ascii="仿宋" w:hAnsi="仿宋" w:eastAsia="仿宋" w:cs="仿宋"/>
                <w:color w:val="auto"/>
                <w:kern w:val="0"/>
                <w:sz w:val="24"/>
                <w:highlight w:val="none"/>
              </w:rPr>
            </w:pPr>
          </w:p>
        </w:tc>
        <w:tc>
          <w:tcPr>
            <w:tcW w:w="1025" w:type="dxa"/>
            <w:vMerge w:val="continue"/>
            <w:vAlign w:val="center"/>
          </w:tcPr>
          <w:p w14:paraId="103C092F">
            <w:pPr>
              <w:widowControl/>
              <w:jc w:val="left"/>
              <w:rPr>
                <w:rFonts w:hint="eastAsia" w:ascii="仿宋" w:hAnsi="仿宋" w:eastAsia="仿宋" w:cs="仿宋"/>
                <w:color w:val="auto"/>
                <w:kern w:val="0"/>
                <w:sz w:val="24"/>
                <w:highlight w:val="none"/>
              </w:rPr>
            </w:pPr>
          </w:p>
        </w:tc>
        <w:tc>
          <w:tcPr>
            <w:tcW w:w="2836" w:type="dxa"/>
            <w:vMerge w:val="continue"/>
            <w:vAlign w:val="center"/>
          </w:tcPr>
          <w:p w14:paraId="0E91EC7A">
            <w:pPr>
              <w:widowControl/>
              <w:jc w:val="left"/>
              <w:rPr>
                <w:rFonts w:hint="eastAsia" w:ascii="仿宋" w:hAnsi="仿宋" w:eastAsia="仿宋" w:cs="仿宋"/>
                <w:color w:val="auto"/>
                <w:kern w:val="0"/>
                <w:sz w:val="24"/>
                <w:highlight w:val="none"/>
              </w:rPr>
            </w:pPr>
          </w:p>
        </w:tc>
        <w:tc>
          <w:tcPr>
            <w:tcW w:w="606" w:type="dxa"/>
            <w:vAlign w:val="center"/>
          </w:tcPr>
          <w:p w14:paraId="1627BB2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04A1D78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32FB3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424EF6B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资本市场服务</w:t>
            </w:r>
          </w:p>
        </w:tc>
        <w:tc>
          <w:tcPr>
            <w:tcW w:w="2836" w:type="dxa"/>
            <w:vMerge w:val="restart"/>
            <w:vAlign w:val="center"/>
          </w:tcPr>
          <w:p w14:paraId="078EDB2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证券业金融机构</w:t>
            </w:r>
          </w:p>
        </w:tc>
        <w:tc>
          <w:tcPr>
            <w:tcW w:w="606" w:type="dxa"/>
            <w:vAlign w:val="center"/>
          </w:tcPr>
          <w:p w14:paraId="71B843B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5538BF1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100亿元（含）至1000亿元</w:t>
            </w:r>
          </w:p>
        </w:tc>
      </w:tr>
      <w:tr w14:paraId="0A6DD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13132A10">
            <w:pPr>
              <w:widowControl/>
              <w:jc w:val="left"/>
              <w:rPr>
                <w:rFonts w:hint="eastAsia" w:ascii="仿宋" w:hAnsi="仿宋" w:eastAsia="仿宋" w:cs="仿宋"/>
                <w:color w:val="auto"/>
                <w:kern w:val="0"/>
                <w:sz w:val="24"/>
                <w:highlight w:val="none"/>
              </w:rPr>
            </w:pPr>
          </w:p>
        </w:tc>
        <w:tc>
          <w:tcPr>
            <w:tcW w:w="2836" w:type="dxa"/>
            <w:vMerge w:val="continue"/>
            <w:vAlign w:val="center"/>
          </w:tcPr>
          <w:p w14:paraId="26CE398B">
            <w:pPr>
              <w:widowControl/>
              <w:jc w:val="left"/>
              <w:rPr>
                <w:rFonts w:hint="eastAsia" w:ascii="仿宋" w:hAnsi="仿宋" w:eastAsia="仿宋" w:cs="仿宋"/>
                <w:color w:val="auto"/>
                <w:kern w:val="0"/>
                <w:sz w:val="24"/>
                <w:highlight w:val="none"/>
              </w:rPr>
            </w:pPr>
          </w:p>
        </w:tc>
        <w:tc>
          <w:tcPr>
            <w:tcW w:w="606" w:type="dxa"/>
            <w:vAlign w:val="center"/>
          </w:tcPr>
          <w:p w14:paraId="551915B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3061E66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10亿元（含）至100亿元</w:t>
            </w:r>
          </w:p>
        </w:tc>
      </w:tr>
      <w:tr w14:paraId="5300E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60" w:type="dxa"/>
            <w:gridSpan w:val="2"/>
            <w:vMerge w:val="continue"/>
            <w:vAlign w:val="center"/>
          </w:tcPr>
          <w:p w14:paraId="3E64F0BF">
            <w:pPr>
              <w:widowControl/>
              <w:jc w:val="left"/>
              <w:rPr>
                <w:rFonts w:hint="eastAsia" w:ascii="仿宋" w:hAnsi="仿宋" w:eastAsia="仿宋" w:cs="仿宋"/>
                <w:color w:val="auto"/>
                <w:kern w:val="0"/>
                <w:sz w:val="24"/>
                <w:highlight w:val="none"/>
              </w:rPr>
            </w:pPr>
          </w:p>
        </w:tc>
        <w:tc>
          <w:tcPr>
            <w:tcW w:w="2836" w:type="dxa"/>
            <w:vMerge w:val="continue"/>
            <w:vAlign w:val="center"/>
          </w:tcPr>
          <w:p w14:paraId="4E187164">
            <w:pPr>
              <w:widowControl/>
              <w:jc w:val="left"/>
              <w:rPr>
                <w:rFonts w:hint="eastAsia" w:ascii="仿宋" w:hAnsi="仿宋" w:eastAsia="仿宋" w:cs="仿宋"/>
                <w:color w:val="auto"/>
                <w:kern w:val="0"/>
                <w:sz w:val="24"/>
                <w:highlight w:val="none"/>
              </w:rPr>
            </w:pPr>
          </w:p>
        </w:tc>
        <w:tc>
          <w:tcPr>
            <w:tcW w:w="606" w:type="dxa"/>
            <w:vAlign w:val="center"/>
          </w:tcPr>
          <w:p w14:paraId="06DE111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0EF7B47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10亿元以下</w:t>
            </w:r>
          </w:p>
        </w:tc>
      </w:tr>
      <w:tr w14:paraId="4FE36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7593942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保险业</w:t>
            </w:r>
          </w:p>
        </w:tc>
        <w:tc>
          <w:tcPr>
            <w:tcW w:w="2836" w:type="dxa"/>
            <w:vMerge w:val="restart"/>
            <w:vAlign w:val="center"/>
          </w:tcPr>
          <w:p w14:paraId="4BCA8EE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保险业金融机构</w:t>
            </w:r>
          </w:p>
        </w:tc>
        <w:tc>
          <w:tcPr>
            <w:tcW w:w="606" w:type="dxa"/>
            <w:vAlign w:val="center"/>
          </w:tcPr>
          <w:p w14:paraId="370308A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772A9D2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400亿元（含）至5000亿元</w:t>
            </w:r>
          </w:p>
        </w:tc>
      </w:tr>
      <w:tr w14:paraId="24DD9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378E799E">
            <w:pPr>
              <w:widowControl/>
              <w:jc w:val="left"/>
              <w:rPr>
                <w:rFonts w:hint="eastAsia" w:ascii="仿宋" w:hAnsi="仿宋" w:eastAsia="仿宋" w:cs="仿宋"/>
                <w:color w:val="auto"/>
                <w:kern w:val="0"/>
                <w:sz w:val="24"/>
                <w:highlight w:val="none"/>
              </w:rPr>
            </w:pPr>
          </w:p>
        </w:tc>
        <w:tc>
          <w:tcPr>
            <w:tcW w:w="2836" w:type="dxa"/>
            <w:vMerge w:val="continue"/>
            <w:vAlign w:val="center"/>
          </w:tcPr>
          <w:p w14:paraId="57869A43">
            <w:pPr>
              <w:widowControl/>
              <w:jc w:val="left"/>
              <w:rPr>
                <w:rFonts w:hint="eastAsia" w:ascii="仿宋" w:hAnsi="仿宋" w:eastAsia="仿宋" w:cs="仿宋"/>
                <w:color w:val="auto"/>
                <w:kern w:val="0"/>
                <w:sz w:val="24"/>
                <w:highlight w:val="none"/>
              </w:rPr>
            </w:pPr>
          </w:p>
        </w:tc>
        <w:tc>
          <w:tcPr>
            <w:tcW w:w="606" w:type="dxa"/>
            <w:vAlign w:val="center"/>
          </w:tcPr>
          <w:p w14:paraId="7F65268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38B9FBE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20亿元（含）至400亿元</w:t>
            </w:r>
          </w:p>
        </w:tc>
      </w:tr>
      <w:tr w14:paraId="4C05C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5B350F3C">
            <w:pPr>
              <w:widowControl/>
              <w:jc w:val="left"/>
              <w:rPr>
                <w:rFonts w:hint="eastAsia" w:ascii="仿宋" w:hAnsi="仿宋" w:eastAsia="仿宋" w:cs="仿宋"/>
                <w:color w:val="auto"/>
                <w:kern w:val="0"/>
                <w:sz w:val="24"/>
                <w:highlight w:val="none"/>
              </w:rPr>
            </w:pPr>
          </w:p>
        </w:tc>
        <w:tc>
          <w:tcPr>
            <w:tcW w:w="2836" w:type="dxa"/>
            <w:vMerge w:val="continue"/>
            <w:vAlign w:val="center"/>
          </w:tcPr>
          <w:p w14:paraId="178A848C">
            <w:pPr>
              <w:widowControl/>
              <w:jc w:val="left"/>
              <w:rPr>
                <w:rFonts w:hint="eastAsia" w:ascii="仿宋" w:hAnsi="仿宋" w:eastAsia="仿宋" w:cs="仿宋"/>
                <w:color w:val="auto"/>
                <w:kern w:val="0"/>
                <w:sz w:val="24"/>
                <w:highlight w:val="none"/>
              </w:rPr>
            </w:pPr>
          </w:p>
        </w:tc>
        <w:tc>
          <w:tcPr>
            <w:tcW w:w="606" w:type="dxa"/>
            <w:vAlign w:val="center"/>
          </w:tcPr>
          <w:p w14:paraId="5842DA2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47E9CD6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20亿元以下</w:t>
            </w:r>
          </w:p>
        </w:tc>
      </w:tr>
      <w:tr w14:paraId="7FBD1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35" w:type="dxa"/>
            <w:vMerge w:val="restart"/>
            <w:vAlign w:val="center"/>
          </w:tcPr>
          <w:p w14:paraId="52FC543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其他金融业</w:t>
            </w:r>
          </w:p>
        </w:tc>
        <w:tc>
          <w:tcPr>
            <w:tcW w:w="1025" w:type="dxa"/>
            <w:vMerge w:val="restart"/>
            <w:vAlign w:val="center"/>
          </w:tcPr>
          <w:p w14:paraId="25B4251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金融信托与管理服务</w:t>
            </w:r>
          </w:p>
        </w:tc>
        <w:tc>
          <w:tcPr>
            <w:tcW w:w="2836" w:type="dxa"/>
            <w:vMerge w:val="restart"/>
            <w:vAlign w:val="center"/>
          </w:tcPr>
          <w:p w14:paraId="530D3EC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信托公司</w:t>
            </w:r>
          </w:p>
        </w:tc>
        <w:tc>
          <w:tcPr>
            <w:tcW w:w="606" w:type="dxa"/>
            <w:vAlign w:val="center"/>
          </w:tcPr>
          <w:p w14:paraId="53AA04F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558E5C0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400亿元（含）至1000亿元</w:t>
            </w:r>
          </w:p>
        </w:tc>
      </w:tr>
      <w:tr w14:paraId="39BDB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E093818">
            <w:pPr>
              <w:widowControl/>
              <w:jc w:val="left"/>
              <w:rPr>
                <w:rFonts w:hint="eastAsia" w:ascii="仿宋" w:hAnsi="仿宋" w:eastAsia="仿宋" w:cs="仿宋"/>
                <w:color w:val="auto"/>
                <w:kern w:val="0"/>
                <w:sz w:val="24"/>
                <w:highlight w:val="none"/>
              </w:rPr>
            </w:pPr>
          </w:p>
        </w:tc>
        <w:tc>
          <w:tcPr>
            <w:tcW w:w="1025" w:type="dxa"/>
            <w:vMerge w:val="continue"/>
            <w:vAlign w:val="center"/>
          </w:tcPr>
          <w:p w14:paraId="478FE169">
            <w:pPr>
              <w:widowControl/>
              <w:jc w:val="left"/>
              <w:rPr>
                <w:rFonts w:hint="eastAsia" w:ascii="仿宋" w:hAnsi="仿宋" w:eastAsia="仿宋" w:cs="仿宋"/>
                <w:color w:val="auto"/>
                <w:kern w:val="0"/>
                <w:sz w:val="24"/>
                <w:highlight w:val="none"/>
              </w:rPr>
            </w:pPr>
          </w:p>
        </w:tc>
        <w:tc>
          <w:tcPr>
            <w:tcW w:w="2836" w:type="dxa"/>
            <w:vMerge w:val="continue"/>
            <w:vAlign w:val="center"/>
          </w:tcPr>
          <w:p w14:paraId="2229CBA0">
            <w:pPr>
              <w:widowControl/>
              <w:jc w:val="left"/>
              <w:rPr>
                <w:rFonts w:hint="eastAsia" w:ascii="仿宋" w:hAnsi="仿宋" w:eastAsia="仿宋" w:cs="仿宋"/>
                <w:color w:val="auto"/>
                <w:kern w:val="0"/>
                <w:sz w:val="24"/>
                <w:highlight w:val="none"/>
              </w:rPr>
            </w:pPr>
          </w:p>
        </w:tc>
        <w:tc>
          <w:tcPr>
            <w:tcW w:w="606" w:type="dxa"/>
            <w:vAlign w:val="center"/>
          </w:tcPr>
          <w:p w14:paraId="0EA6B10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655D4F6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20亿元（含）至400亿元</w:t>
            </w:r>
          </w:p>
        </w:tc>
      </w:tr>
      <w:tr w14:paraId="11727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AA88407">
            <w:pPr>
              <w:widowControl/>
              <w:jc w:val="left"/>
              <w:rPr>
                <w:rFonts w:hint="eastAsia" w:ascii="仿宋" w:hAnsi="仿宋" w:eastAsia="仿宋" w:cs="仿宋"/>
                <w:color w:val="auto"/>
                <w:kern w:val="0"/>
                <w:sz w:val="24"/>
                <w:highlight w:val="none"/>
              </w:rPr>
            </w:pPr>
          </w:p>
        </w:tc>
        <w:tc>
          <w:tcPr>
            <w:tcW w:w="1025" w:type="dxa"/>
            <w:vMerge w:val="continue"/>
            <w:vAlign w:val="center"/>
          </w:tcPr>
          <w:p w14:paraId="207497D0">
            <w:pPr>
              <w:widowControl/>
              <w:jc w:val="left"/>
              <w:rPr>
                <w:rFonts w:hint="eastAsia" w:ascii="仿宋" w:hAnsi="仿宋" w:eastAsia="仿宋" w:cs="仿宋"/>
                <w:color w:val="auto"/>
                <w:kern w:val="0"/>
                <w:sz w:val="24"/>
                <w:highlight w:val="none"/>
              </w:rPr>
            </w:pPr>
          </w:p>
        </w:tc>
        <w:tc>
          <w:tcPr>
            <w:tcW w:w="2836" w:type="dxa"/>
            <w:vMerge w:val="continue"/>
            <w:vAlign w:val="center"/>
          </w:tcPr>
          <w:p w14:paraId="28C4FB08">
            <w:pPr>
              <w:widowControl/>
              <w:jc w:val="left"/>
              <w:rPr>
                <w:rFonts w:hint="eastAsia" w:ascii="仿宋" w:hAnsi="仿宋" w:eastAsia="仿宋" w:cs="仿宋"/>
                <w:color w:val="auto"/>
                <w:kern w:val="0"/>
                <w:sz w:val="24"/>
                <w:highlight w:val="none"/>
              </w:rPr>
            </w:pPr>
          </w:p>
        </w:tc>
        <w:tc>
          <w:tcPr>
            <w:tcW w:w="606" w:type="dxa"/>
            <w:vAlign w:val="center"/>
          </w:tcPr>
          <w:p w14:paraId="470466A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71E7D48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20亿元以下</w:t>
            </w:r>
          </w:p>
        </w:tc>
      </w:tr>
      <w:tr w14:paraId="34676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0EDC24D">
            <w:pPr>
              <w:widowControl/>
              <w:jc w:val="left"/>
              <w:rPr>
                <w:rFonts w:hint="eastAsia" w:ascii="仿宋" w:hAnsi="仿宋" w:eastAsia="仿宋" w:cs="仿宋"/>
                <w:color w:val="auto"/>
                <w:kern w:val="0"/>
                <w:sz w:val="24"/>
                <w:highlight w:val="none"/>
              </w:rPr>
            </w:pPr>
          </w:p>
        </w:tc>
        <w:tc>
          <w:tcPr>
            <w:tcW w:w="1025" w:type="dxa"/>
            <w:vMerge w:val="restart"/>
            <w:vAlign w:val="center"/>
          </w:tcPr>
          <w:p w14:paraId="77A67D2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控股公司服务</w:t>
            </w:r>
          </w:p>
        </w:tc>
        <w:tc>
          <w:tcPr>
            <w:tcW w:w="2836" w:type="dxa"/>
            <w:vMerge w:val="restart"/>
            <w:vAlign w:val="center"/>
          </w:tcPr>
          <w:p w14:paraId="076AE62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金融控股公司</w:t>
            </w:r>
          </w:p>
        </w:tc>
        <w:tc>
          <w:tcPr>
            <w:tcW w:w="606" w:type="dxa"/>
            <w:vAlign w:val="center"/>
          </w:tcPr>
          <w:p w14:paraId="1818AF0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5ED757D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5000亿元（含）至40000亿元</w:t>
            </w:r>
          </w:p>
        </w:tc>
      </w:tr>
      <w:tr w14:paraId="36801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B9138DC">
            <w:pPr>
              <w:widowControl/>
              <w:jc w:val="left"/>
              <w:rPr>
                <w:rFonts w:hint="eastAsia" w:ascii="仿宋" w:hAnsi="仿宋" w:eastAsia="仿宋" w:cs="仿宋"/>
                <w:color w:val="auto"/>
                <w:kern w:val="0"/>
                <w:sz w:val="24"/>
                <w:highlight w:val="none"/>
              </w:rPr>
            </w:pPr>
          </w:p>
        </w:tc>
        <w:tc>
          <w:tcPr>
            <w:tcW w:w="1025" w:type="dxa"/>
            <w:vMerge w:val="continue"/>
            <w:vAlign w:val="center"/>
          </w:tcPr>
          <w:p w14:paraId="1F8D2219">
            <w:pPr>
              <w:widowControl/>
              <w:jc w:val="left"/>
              <w:rPr>
                <w:rFonts w:hint="eastAsia" w:ascii="仿宋" w:hAnsi="仿宋" w:eastAsia="仿宋" w:cs="仿宋"/>
                <w:color w:val="auto"/>
                <w:kern w:val="0"/>
                <w:sz w:val="24"/>
                <w:highlight w:val="none"/>
              </w:rPr>
            </w:pPr>
          </w:p>
        </w:tc>
        <w:tc>
          <w:tcPr>
            <w:tcW w:w="2836" w:type="dxa"/>
            <w:vMerge w:val="continue"/>
            <w:vAlign w:val="center"/>
          </w:tcPr>
          <w:p w14:paraId="1D2E1EA3">
            <w:pPr>
              <w:widowControl/>
              <w:jc w:val="left"/>
              <w:rPr>
                <w:rFonts w:hint="eastAsia" w:ascii="仿宋" w:hAnsi="仿宋" w:eastAsia="仿宋" w:cs="仿宋"/>
                <w:color w:val="auto"/>
                <w:kern w:val="0"/>
                <w:sz w:val="24"/>
                <w:highlight w:val="none"/>
              </w:rPr>
            </w:pPr>
          </w:p>
        </w:tc>
        <w:tc>
          <w:tcPr>
            <w:tcW w:w="606" w:type="dxa"/>
            <w:vAlign w:val="center"/>
          </w:tcPr>
          <w:p w14:paraId="09CBA1F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1302599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50亿元（含）至5000亿元</w:t>
            </w:r>
          </w:p>
        </w:tc>
      </w:tr>
      <w:tr w14:paraId="4C33F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D6EE9B8">
            <w:pPr>
              <w:widowControl/>
              <w:jc w:val="left"/>
              <w:rPr>
                <w:rFonts w:hint="eastAsia" w:ascii="仿宋" w:hAnsi="仿宋" w:eastAsia="仿宋" w:cs="仿宋"/>
                <w:color w:val="auto"/>
                <w:kern w:val="0"/>
                <w:sz w:val="24"/>
                <w:highlight w:val="none"/>
              </w:rPr>
            </w:pPr>
          </w:p>
        </w:tc>
        <w:tc>
          <w:tcPr>
            <w:tcW w:w="1025" w:type="dxa"/>
            <w:vMerge w:val="continue"/>
            <w:vAlign w:val="center"/>
          </w:tcPr>
          <w:p w14:paraId="6806CAE4">
            <w:pPr>
              <w:widowControl/>
              <w:jc w:val="left"/>
              <w:rPr>
                <w:rFonts w:hint="eastAsia" w:ascii="仿宋" w:hAnsi="仿宋" w:eastAsia="仿宋" w:cs="仿宋"/>
                <w:color w:val="auto"/>
                <w:kern w:val="0"/>
                <w:sz w:val="24"/>
                <w:highlight w:val="none"/>
              </w:rPr>
            </w:pPr>
          </w:p>
        </w:tc>
        <w:tc>
          <w:tcPr>
            <w:tcW w:w="2836" w:type="dxa"/>
            <w:vMerge w:val="continue"/>
            <w:vAlign w:val="center"/>
          </w:tcPr>
          <w:p w14:paraId="63691D93">
            <w:pPr>
              <w:widowControl/>
              <w:jc w:val="left"/>
              <w:rPr>
                <w:rFonts w:hint="eastAsia" w:ascii="仿宋" w:hAnsi="仿宋" w:eastAsia="仿宋" w:cs="仿宋"/>
                <w:color w:val="auto"/>
                <w:kern w:val="0"/>
                <w:sz w:val="24"/>
                <w:highlight w:val="none"/>
              </w:rPr>
            </w:pPr>
          </w:p>
        </w:tc>
        <w:tc>
          <w:tcPr>
            <w:tcW w:w="606" w:type="dxa"/>
            <w:vAlign w:val="center"/>
          </w:tcPr>
          <w:p w14:paraId="5C86939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0454113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02677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743146D">
            <w:pPr>
              <w:widowControl/>
              <w:jc w:val="left"/>
              <w:rPr>
                <w:rFonts w:hint="eastAsia" w:ascii="仿宋" w:hAnsi="仿宋" w:eastAsia="仿宋" w:cs="仿宋"/>
                <w:color w:val="auto"/>
                <w:kern w:val="0"/>
                <w:sz w:val="24"/>
                <w:highlight w:val="none"/>
              </w:rPr>
            </w:pPr>
          </w:p>
        </w:tc>
        <w:tc>
          <w:tcPr>
            <w:tcW w:w="1025" w:type="dxa"/>
            <w:vMerge w:val="restart"/>
            <w:vAlign w:val="center"/>
          </w:tcPr>
          <w:p w14:paraId="2E280FE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其他未包括的金融业</w:t>
            </w:r>
          </w:p>
        </w:tc>
        <w:tc>
          <w:tcPr>
            <w:tcW w:w="2836" w:type="dxa"/>
            <w:vMerge w:val="restart"/>
            <w:vAlign w:val="center"/>
          </w:tcPr>
          <w:p w14:paraId="09B8FBC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除贷款公司、小额贷款公司及典当行以外的其他金融机构</w:t>
            </w:r>
          </w:p>
        </w:tc>
        <w:tc>
          <w:tcPr>
            <w:tcW w:w="606" w:type="dxa"/>
            <w:vAlign w:val="center"/>
          </w:tcPr>
          <w:p w14:paraId="1A2D4D8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50894D6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200亿元（含）至1000亿元</w:t>
            </w:r>
          </w:p>
        </w:tc>
      </w:tr>
      <w:tr w14:paraId="53C66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B01F640">
            <w:pPr>
              <w:widowControl/>
              <w:jc w:val="left"/>
              <w:rPr>
                <w:rFonts w:hint="eastAsia" w:ascii="仿宋" w:hAnsi="仿宋" w:eastAsia="仿宋" w:cs="仿宋"/>
                <w:color w:val="auto"/>
                <w:kern w:val="0"/>
                <w:sz w:val="24"/>
                <w:highlight w:val="none"/>
              </w:rPr>
            </w:pPr>
          </w:p>
        </w:tc>
        <w:tc>
          <w:tcPr>
            <w:tcW w:w="1025" w:type="dxa"/>
            <w:vMerge w:val="continue"/>
            <w:vAlign w:val="center"/>
          </w:tcPr>
          <w:p w14:paraId="578A6CDA">
            <w:pPr>
              <w:widowControl/>
              <w:jc w:val="left"/>
              <w:rPr>
                <w:rFonts w:hint="eastAsia" w:ascii="仿宋" w:hAnsi="仿宋" w:eastAsia="仿宋" w:cs="仿宋"/>
                <w:color w:val="auto"/>
                <w:kern w:val="0"/>
                <w:sz w:val="24"/>
                <w:highlight w:val="none"/>
              </w:rPr>
            </w:pPr>
          </w:p>
        </w:tc>
        <w:tc>
          <w:tcPr>
            <w:tcW w:w="2836" w:type="dxa"/>
            <w:vMerge w:val="continue"/>
            <w:vAlign w:val="center"/>
          </w:tcPr>
          <w:p w14:paraId="295B9142">
            <w:pPr>
              <w:widowControl/>
              <w:jc w:val="left"/>
              <w:rPr>
                <w:rFonts w:hint="eastAsia" w:ascii="仿宋" w:hAnsi="仿宋" w:eastAsia="仿宋" w:cs="仿宋"/>
                <w:color w:val="auto"/>
                <w:kern w:val="0"/>
                <w:sz w:val="24"/>
                <w:highlight w:val="none"/>
              </w:rPr>
            </w:pPr>
          </w:p>
        </w:tc>
        <w:tc>
          <w:tcPr>
            <w:tcW w:w="606" w:type="dxa"/>
            <w:vAlign w:val="center"/>
          </w:tcPr>
          <w:p w14:paraId="4055CDD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52E3433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50亿元（含）至200亿元</w:t>
            </w:r>
          </w:p>
        </w:tc>
      </w:tr>
      <w:tr w14:paraId="3AA12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0FA8C13">
            <w:pPr>
              <w:widowControl/>
              <w:jc w:val="left"/>
              <w:rPr>
                <w:rFonts w:hint="eastAsia" w:ascii="仿宋" w:hAnsi="仿宋" w:eastAsia="仿宋" w:cs="仿宋"/>
                <w:color w:val="auto"/>
                <w:kern w:val="0"/>
                <w:sz w:val="24"/>
                <w:highlight w:val="none"/>
              </w:rPr>
            </w:pPr>
          </w:p>
        </w:tc>
        <w:tc>
          <w:tcPr>
            <w:tcW w:w="1025" w:type="dxa"/>
            <w:vMerge w:val="continue"/>
            <w:vAlign w:val="center"/>
          </w:tcPr>
          <w:p w14:paraId="27500051">
            <w:pPr>
              <w:widowControl/>
              <w:jc w:val="left"/>
              <w:rPr>
                <w:rFonts w:hint="eastAsia" w:ascii="仿宋" w:hAnsi="仿宋" w:eastAsia="仿宋" w:cs="仿宋"/>
                <w:color w:val="auto"/>
                <w:kern w:val="0"/>
                <w:sz w:val="24"/>
                <w:highlight w:val="none"/>
              </w:rPr>
            </w:pPr>
          </w:p>
        </w:tc>
        <w:tc>
          <w:tcPr>
            <w:tcW w:w="2836" w:type="dxa"/>
            <w:vMerge w:val="continue"/>
            <w:vAlign w:val="center"/>
          </w:tcPr>
          <w:p w14:paraId="6610AA61">
            <w:pPr>
              <w:widowControl/>
              <w:jc w:val="left"/>
              <w:rPr>
                <w:rFonts w:hint="eastAsia" w:ascii="仿宋" w:hAnsi="仿宋" w:eastAsia="仿宋" w:cs="仿宋"/>
                <w:color w:val="auto"/>
                <w:kern w:val="0"/>
                <w:sz w:val="24"/>
                <w:highlight w:val="none"/>
              </w:rPr>
            </w:pPr>
          </w:p>
        </w:tc>
        <w:tc>
          <w:tcPr>
            <w:tcW w:w="606" w:type="dxa"/>
            <w:vAlign w:val="center"/>
          </w:tcPr>
          <w:p w14:paraId="24D9E2E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49C9AB0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bl>
    <w:p w14:paraId="31F53980">
      <w:pPr>
        <w:rPr>
          <w:rFonts w:hint="eastAsia" w:ascii="仿宋" w:hAnsi="仿宋" w:eastAsia="仿宋" w:cs="仿宋"/>
          <w:color w:val="auto"/>
          <w:sz w:val="24"/>
          <w:highlight w:val="none"/>
        </w:rPr>
      </w:pPr>
    </w:p>
    <w:p w14:paraId="1892978C">
      <w:pPr>
        <w:ind w:firstLine="420" w:firstLineChars="200"/>
        <w:rPr>
          <w:rFonts w:hint="eastAsia" w:ascii="仿宋" w:hAnsi="仿宋" w:eastAsia="仿宋" w:cs="仿宋"/>
          <w:color w:val="auto"/>
          <w:highlight w:val="none"/>
        </w:rPr>
      </w:pPr>
    </w:p>
    <w:p w14:paraId="4CB1A8E9">
      <w:pPr>
        <w:spacing w:line="360" w:lineRule="auto"/>
        <w:ind w:right="420"/>
        <w:rPr>
          <w:rFonts w:hint="eastAsia" w:ascii="仿宋" w:hAnsi="仿宋" w:eastAsia="仿宋" w:cs="仿宋"/>
          <w:color w:val="auto"/>
          <w:highlight w:val="none"/>
        </w:rPr>
      </w:pPr>
    </w:p>
    <w:p w14:paraId="1E2C43C1">
      <w:pPr>
        <w:spacing w:line="360" w:lineRule="auto"/>
        <w:rPr>
          <w:rFonts w:ascii="宋体" w:hAnsi="宋体" w:cs="宋体"/>
          <w:bCs/>
          <w:color w:val="auto"/>
          <w:sz w:val="24"/>
          <w:highlight w:val="none"/>
        </w:rPr>
      </w:pPr>
    </w:p>
    <w:sectPr>
      <w:headerReference r:id="rId11" w:type="first"/>
      <w:footerReference r:id="rId14" w:type="first"/>
      <w:headerReference r:id="rId10" w:type="default"/>
      <w:footerReference r:id="rId12" w:type="default"/>
      <w:footerReference r:id="rId13"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_GB2312">
    <w:altName w:val="Times New Roman"/>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Sitka Text">
    <w:panose1 w:val="00000000000000000000"/>
    <w:charset w:val="00"/>
    <w:family w:val="auto"/>
    <w:pitch w:val="default"/>
    <w:sig w:usb0="A00002EF" w:usb1="4000204B" w:usb2="00000000" w:usb3="00000000" w:csb0="200001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E09BB">
    <w:pPr>
      <w:pStyle w:val="41"/>
      <w:framePr w:wrap="around" w:vAnchor="text" w:hAnchor="margin" w:xAlign="right" w:y="1"/>
      <w:rPr>
        <w:rStyle w:val="74"/>
      </w:rPr>
    </w:pPr>
    <w:r>
      <w:fldChar w:fldCharType="begin"/>
    </w:r>
    <w:r>
      <w:rPr>
        <w:rStyle w:val="74"/>
      </w:rPr>
      <w:instrText xml:space="preserve">PAGE  </w:instrText>
    </w:r>
    <w:r>
      <w:fldChar w:fldCharType="end"/>
    </w:r>
  </w:p>
  <w:p w14:paraId="775F7CEE">
    <w:pPr>
      <w:pStyle w:val="4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E93FE">
    <w:pPr>
      <w:pStyle w:val="41"/>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D0E5BC">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2D0E5BC">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DB378">
    <w:pPr>
      <w:pStyle w:val="41"/>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5F4DB6">
                          <w:pPr>
                            <w:pStyle w:val="41"/>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65F4DB6">
                    <w:pPr>
                      <w:pStyle w:val="41"/>
                    </w:pPr>
                    <w:r>
                      <w:fldChar w:fldCharType="begin"/>
                    </w:r>
                    <w:r>
                      <w:instrText xml:space="preserve"> PAGE  \* MERGEFORMAT </w:instrText>
                    </w:r>
                    <w:r>
                      <w:fldChar w:fldCharType="separate"/>
                    </w:r>
                    <w:r>
                      <w:t>27</w:t>
                    </w:r>
                    <w:r>
                      <w:fldChar w:fldCharType="end"/>
                    </w:r>
                  </w:p>
                </w:txbxContent>
              </v:textbox>
            </v:shape>
          </w:pict>
        </mc:Fallback>
      </mc:AlternateContent>
    </w:r>
  </w:p>
  <w:p w14:paraId="0A17E74D">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2EF0F">
    <w:pPr>
      <w:pStyle w:val="41"/>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D34E33">
                          <w:pPr>
                            <w:pStyle w:val="41"/>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5D34E33">
                    <w:pPr>
                      <w:pStyle w:val="41"/>
                    </w:pPr>
                    <w:r>
                      <w:fldChar w:fldCharType="begin"/>
                    </w:r>
                    <w:r>
                      <w:instrText xml:space="preserve"> PAGE  \* MERGEFORMAT </w:instrText>
                    </w:r>
                    <w:r>
                      <w:fldChar w:fldCharType="separate"/>
                    </w:r>
                    <w:r>
                      <w:t>26</w:t>
                    </w:r>
                    <w:r>
                      <w:fldChar w:fldCharType="end"/>
                    </w:r>
                  </w:p>
                </w:txbxContent>
              </v:textbox>
            </v:shape>
          </w:pict>
        </mc:Fallback>
      </mc:AlternateContent>
    </w:r>
  </w:p>
  <w:p w14:paraId="2A899C7D">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BFD09">
    <w:pPr>
      <w:pStyle w:val="41"/>
      <w:jc w:val="center"/>
      <w:rPr>
        <w:rFonts w:ascii="仿宋_GB2312" w:eastAsia="仿宋_GB2312"/>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A63E99">
                          <w:pPr>
                            <w:pStyle w:val="41"/>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4A63E99">
                    <w:pPr>
                      <w:pStyle w:val="41"/>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2A989">
    <w:pPr>
      <w:pStyle w:val="41"/>
      <w:framePr w:wrap="around" w:vAnchor="text" w:hAnchor="margin" w:xAlign="right" w:y="1"/>
      <w:rPr>
        <w:rStyle w:val="74"/>
      </w:rPr>
    </w:pPr>
    <w:r>
      <w:fldChar w:fldCharType="begin"/>
    </w:r>
    <w:r>
      <w:rPr>
        <w:rStyle w:val="74"/>
      </w:rPr>
      <w:instrText xml:space="preserve">PAGE  </w:instrText>
    </w:r>
    <w:r>
      <w:fldChar w:fldCharType="end"/>
    </w:r>
  </w:p>
  <w:p w14:paraId="3E4D1DA7">
    <w:pPr>
      <w:pStyle w:val="41"/>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8E975">
    <w:pPr>
      <w:pStyle w:val="41"/>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89C48F">
                          <w:pPr>
                            <w:pStyle w:val="41"/>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789C48F">
                    <w:pPr>
                      <w:pStyle w:val="41"/>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00762">
    <w:pPr>
      <w:pStyle w:val="42"/>
      <w:pBdr>
        <w:bottom w:val="none" w:color="auto" w:sz="0" w:space="0"/>
      </w:pBdr>
      <w:tabs>
        <w:tab w:val="clear" w:pos="4153"/>
        <w:tab w:val="clear" w:pos="8306"/>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747F2">
    <w:pPr>
      <w:pStyle w:val="42"/>
      <w:jc w:val="left"/>
      <w:rPr>
        <w:rFonts w:ascii="仿宋_GB2312" w:eastAsia="仿宋_GB2312"/>
        <w:b/>
        <w:i/>
        <w:u w:val="single"/>
      </w:rPr>
    </w:pPr>
    <w:r>
      <w:rPr>
        <w:rFonts w:hint="eastAsia"/>
      </w:rPr>
      <w:t xml:space="preserve">   </w:t>
    </w:r>
  </w:p>
  <w:p w14:paraId="603236E5">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44F49">
    <w:pPr>
      <w:pStyle w:val="42"/>
      <w:pBdr>
        <w:bottom w:val="none" w:color="auto" w:sz="0" w:space="1"/>
      </w:pBdr>
      <w:jc w:val="right"/>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60305">
    <w:pPr>
      <w:pStyle w:val="42"/>
      <w:pBdr>
        <w:bottom w:val="none" w:color="auto" w:sz="0" w:space="1"/>
      </w:pBdr>
      <w:jc w:val="right"/>
      <w:rPr>
        <w:rFonts w:ascii="仿宋_GB2312" w:eastAsia="仿宋_GB2312"/>
        <w:b/>
        <w:i/>
        <w:iCs/>
        <w:u w:val="single"/>
      </w:rPr>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265AA">
    <w:pPr>
      <w:pStyle w:val="42"/>
      <w:jc w:val="left"/>
      <w:rPr>
        <w:rFonts w:ascii="仿宋_GB2312" w:eastAsia="仿宋_GB2312"/>
        <w:b w:val="0"/>
        <w:i/>
        <w:sz w:val="18"/>
        <w:u w:val="single"/>
        <w:lang w:val="en-US"/>
      </w:rPr>
    </w:pPr>
  </w:p>
  <w:p w14:paraId="0AF8C803">
    <w:pPr>
      <w:pStyle w:val="42"/>
      <w:pBdr>
        <w:bottom w:val="none" w:color="auto" w:sz="0" w:space="1"/>
      </w:pBdr>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iMjA1NWIyYTFjMTU5N2ZhN2ViY2UyMjAzZTI3MzUifQ=="/>
  </w:docVars>
  <w:rsids>
    <w:rsidRoot w:val="00172A27"/>
    <w:rsid w:val="00504E1F"/>
    <w:rsid w:val="00B34AC1"/>
    <w:rsid w:val="025C7D67"/>
    <w:rsid w:val="037531DE"/>
    <w:rsid w:val="03A43768"/>
    <w:rsid w:val="04B0621C"/>
    <w:rsid w:val="04EF6F26"/>
    <w:rsid w:val="066C57D4"/>
    <w:rsid w:val="072D5B5D"/>
    <w:rsid w:val="07470F48"/>
    <w:rsid w:val="07645999"/>
    <w:rsid w:val="077C1E70"/>
    <w:rsid w:val="07867221"/>
    <w:rsid w:val="079554EC"/>
    <w:rsid w:val="082320BB"/>
    <w:rsid w:val="084367D4"/>
    <w:rsid w:val="08471E20"/>
    <w:rsid w:val="08FA7CD2"/>
    <w:rsid w:val="09BB4654"/>
    <w:rsid w:val="09ED420C"/>
    <w:rsid w:val="0A950E17"/>
    <w:rsid w:val="0B456C86"/>
    <w:rsid w:val="0B666A61"/>
    <w:rsid w:val="0BBF404A"/>
    <w:rsid w:val="0D411534"/>
    <w:rsid w:val="0EB208AB"/>
    <w:rsid w:val="0F096B8F"/>
    <w:rsid w:val="0F3A02DE"/>
    <w:rsid w:val="0F63063F"/>
    <w:rsid w:val="0F660AC2"/>
    <w:rsid w:val="0FF64531"/>
    <w:rsid w:val="11D02FFB"/>
    <w:rsid w:val="12274A70"/>
    <w:rsid w:val="158E3DE7"/>
    <w:rsid w:val="17070FBA"/>
    <w:rsid w:val="18E60774"/>
    <w:rsid w:val="193471C9"/>
    <w:rsid w:val="19803DDB"/>
    <w:rsid w:val="19BD7FA9"/>
    <w:rsid w:val="1A4833E8"/>
    <w:rsid w:val="1A851E04"/>
    <w:rsid w:val="1AB523B8"/>
    <w:rsid w:val="1D2F1C3B"/>
    <w:rsid w:val="1D4D267C"/>
    <w:rsid w:val="1E9D3052"/>
    <w:rsid w:val="23E565CB"/>
    <w:rsid w:val="23EC0894"/>
    <w:rsid w:val="24432E15"/>
    <w:rsid w:val="251A4D54"/>
    <w:rsid w:val="27895E51"/>
    <w:rsid w:val="2798746D"/>
    <w:rsid w:val="27A31E9C"/>
    <w:rsid w:val="28330E58"/>
    <w:rsid w:val="28911331"/>
    <w:rsid w:val="28CD4027"/>
    <w:rsid w:val="2A587E6A"/>
    <w:rsid w:val="2B5B467B"/>
    <w:rsid w:val="2BB745DB"/>
    <w:rsid w:val="2BFA48EE"/>
    <w:rsid w:val="2C054218"/>
    <w:rsid w:val="2DBC1DDB"/>
    <w:rsid w:val="2ED81CF8"/>
    <w:rsid w:val="2F46078F"/>
    <w:rsid w:val="2FFD4A0C"/>
    <w:rsid w:val="301C01E8"/>
    <w:rsid w:val="30392568"/>
    <w:rsid w:val="30CD01D9"/>
    <w:rsid w:val="30D758A6"/>
    <w:rsid w:val="31301F8B"/>
    <w:rsid w:val="32A87D40"/>
    <w:rsid w:val="32C330EE"/>
    <w:rsid w:val="33117F8E"/>
    <w:rsid w:val="33AC1E6E"/>
    <w:rsid w:val="35187000"/>
    <w:rsid w:val="354D1DCE"/>
    <w:rsid w:val="363C37E2"/>
    <w:rsid w:val="37443B2D"/>
    <w:rsid w:val="37EB016A"/>
    <w:rsid w:val="38AE355A"/>
    <w:rsid w:val="3A3555AF"/>
    <w:rsid w:val="3B516536"/>
    <w:rsid w:val="3D031AB2"/>
    <w:rsid w:val="3D5B369C"/>
    <w:rsid w:val="3D7306E9"/>
    <w:rsid w:val="3E4E076E"/>
    <w:rsid w:val="3E9C59B1"/>
    <w:rsid w:val="3ECB4225"/>
    <w:rsid w:val="3F0B7643"/>
    <w:rsid w:val="400766F2"/>
    <w:rsid w:val="411575E1"/>
    <w:rsid w:val="41AC4782"/>
    <w:rsid w:val="42307C61"/>
    <w:rsid w:val="42433DBE"/>
    <w:rsid w:val="427E60E8"/>
    <w:rsid w:val="43C23BF4"/>
    <w:rsid w:val="457A1A0B"/>
    <w:rsid w:val="46F56910"/>
    <w:rsid w:val="47822622"/>
    <w:rsid w:val="47D06CCE"/>
    <w:rsid w:val="49610C37"/>
    <w:rsid w:val="49D927B9"/>
    <w:rsid w:val="49F13FA2"/>
    <w:rsid w:val="4A1452FF"/>
    <w:rsid w:val="4B9E07D3"/>
    <w:rsid w:val="4BC35604"/>
    <w:rsid w:val="4CC74F06"/>
    <w:rsid w:val="4CFB16AB"/>
    <w:rsid w:val="4DAB514A"/>
    <w:rsid w:val="4DAF223E"/>
    <w:rsid w:val="4F3B26EA"/>
    <w:rsid w:val="4F4B3D85"/>
    <w:rsid w:val="4FF5172F"/>
    <w:rsid w:val="5122646C"/>
    <w:rsid w:val="51257DF2"/>
    <w:rsid w:val="51562628"/>
    <w:rsid w:val="52D153E1"/>
    <w:rsid w:val="531603B6"/>
    <w:rsid w:val="538A1F90"/>
    <w:rsid w:val="54F5478A"/>
    <w:rsid w:val="579F3B2D"/>
    <w:rsid w:val="57F10A2D"/>
    <w:rsid w:val="58A360D2"/>
    <w:rsid w:val="58A72330"/>
    <w:rsid w:val="59770627"/>
    <w:rsid w:val="59ED5A91"/>
    <w:rsid w:val="5A130056"/>
    <w:rsid w:val="5A6A2F6D"/>
    <w:rsid w:val="5A9E28C7"/>
    <w:rsid w:val="5B6537E0"/>
    <w:rsid w:val="5B737A41"/>
    <w:rsid w:val="5DAC0E28"/>
    <w:rsid w:val="5E24275D"/>
    <w:rsid w:val="5EA5700D"/>
    <w:rsid w:val="5EF162F9"/>
    <w:rsid w:val="5F447FDD"/>
    <w:rsid w:val="5F561B6F"/>
    <w:rsid w:val="5F57E5CA"/>
    <w:rsid w:val="5FB5358F"/>
    <w:rsid w:val="60C12418"/>
    <w:rsid w:val="61AE6840"/>
    <w:rsid w:val="62F13654"/>
    <w:rsid w:val="669C35D3"/>
    <w:rsid w:val="683134FF"/>
    <w:rsid w:val="68332888"/>
    <w:rsid w:val="685C1EF3"/>
    <w:rsid w:val="69083EB9"/>
    <w:rsid w:val="6AEA7541"/>
    <w:rsid w:val="6AF41C76"/>
    <w:rsid w:val="6B2E1F76"/>
    <w:rsid w:val="6BD10E4A"/>
    <w:rsid w:val="6D0446EE"/>
    <w:rsid w:val="6E4B1911"/>
    <w:rsid w:val="6EF15B11"/>
    <w:rsid w:val="6F2143BB"/>
    <w:rsid w:val="6FC37AD4"/>
    <w:rsid w:val="70A94E62"/>
    <w:rsid w:val="71315D8D"/>
    <w:rsid w:val="713B2574"/>
    <w:rsid w:val="718F0D51"/>
    <w:rsid w:val="719F4271"/>
    <w:rsid w:val="71A10E29"/>
    <w:rsid w:val="726B771C"/>
    <w:rsid w:val="72CF314D"/>
    <w:rsid w:val="72D16789"/>
    <w:rsid w:val="753448B5"/>
    <w:rsid w:val="7728448C"/>
    <w:rsid w:val="77E6160F"/>
    <w:rsid w:val="78AD1F79"/>
    <w:rsid w:val="79536535"/>
    <w:rsid w:val="79E41270"/>
    <w:rsid w:val="7A4C68FC"/>
    <w:rsid w:val="7C715C64"/>
    <w:rsid w:val="7D950072"/>
    <w:rsid w:val="7DFF3A1B"/>
    <w:rsid w:val="7E9E0650"/>
    <w:rsid w:val="7F776EE9"/>
    <w:rsid w:val="7FCE9F2A"/>
    <w:rsid w:val="FF3F5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5"/>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9"/>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qFormat/>
    <w:uiPriority w:val="1"/>
  </w:style>
  <w:style w:type="table" w:default="1" w:styleId="64">
    <w:name w:val="Normal Table"/>
    <w:autoRedefine/>
    <w:qFormat/>
    <w:uiPriority w:val="99"/>
    <w:tblPr>
      <w:tblCellMar>
        <w:top w:w="0" w:type="dxa"/>
        <w:left w:w="108" w:type="dxa"/>
        <w:bottom w:w="0" w:type="dxa"/>
        <w:right w:w="108" w:type="dxa"/>
      </w:tblCellMar>
    </w:tblPr>
  </w:style>
  <w:style w:type="paragraph" w:customStyle="1" w:styleId="2">
    <w:name w:val="Default"/>
    <w:link w:val="2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Normal Indent"/>
    <w:basedOn w:val="1"/>
    <w:link w:val="195"/>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1"/>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4"/>
    <w:autoRedefine/>
    <w:qFormat/>
    <w:uiPriority w:val="0"/>
    <w:pPr>
      <w:shd w:val="clear" w:color="auto" w:fill="000080"/>
    </w:pPr>
  </w:style>
  <w:style w:type="paragraph" w:styleId="20">
    <w:name w:val="annotation text"/>
    <w:basedOn w:val="1"/>
    <w:link w:val="345"/>
    <w:autoRedefine/>
    <w:qFormat/>
    <w:uiPriority w:val="99"/>
    <w:pPr>
      <w:jc w:val="left"/>
    </w:pPr>
  </w:style>
  <w:style w:type="paragraph" w:styleId="21">
    <w:name w:val="Salutation"/>
    <w:basedOn w:val="1"/>
    <w:next w:val="1"/>
    <w:link w:val="299"/>
    <w:autoRedefine/>
    <w:qFormat/>
    <w:uiPriority w:val="0"/>
    <w:rPr>
      <w:rFonts w:ascii="仿宋_GB2312" w:eastAsia="仿宋_GB2312"/>
      <w:sz w:val="28"/>
      <w:szCs w:val="20"/>
    </w:rPr>
  </w:style>
  <w:style w:type="paragraph" w:styleId="22">
    <w:name w:val="Body Text 3"/>
    <w:basedOn w:val="1"/>
    <w:link w:val="331"/>
    <w:autoRedefine/>
    <w:qFormat/>
    <w:uiPriority w:val="0"/>
    <w:pPr>
      <w:jc w:val="center"/>
    </w:pPr>
    <w:rPr>
      <w:szCs w:val="20"/>
    </w:rPr>
  </w:style>
  <w:style w:type="paragraph" w:styleId="23">
    <w:name w:val="List Bullet 3"/>
    <w:basedOn w:val="1"/>
    <w:autoRedefine/>
    <w:qFormat/>
    <w:uiPriority w:val="0"/>
    <w:pPr>
      <w:snapToGrid w:val="0"/>
      <w:spacing w:line="360" w:lineRule="auto"/>
      <w:ind w:left="360" w:right="238" w:hanging="360"/>
      <w:contextualSpacing/>
    </w:pPr>
    <w:rPr>
      <w:sz w:val="24"/>
    </w:rPr>
  </w:style>
  <w:style w:type="paragraph" w:styleId="24">
    <w:name w:val="Body Text"/>
    <w:basedOn w:val="1"/>
    <w:next w:val="25"/>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link w:val="322"/>
    <w:autoRedefine/>
    <w:qFormat/>
    <w:uiPriority w:val="0"/>
    <w:pPr>
      <w:ind w:firstLine="420"/>
    </w:pPr>
    <w:rPr>
      <w:rFonts w:hAnsi="Calibri" w:cs="Times New Roman"/>
      <w:snapToGrid/>
      <w:szCs w:val="20"/>
    </w:rPr>
  </w:style>
  <w:style w:type="paragraph" w:styleId="26">
    <w:name w:val="Body Text Indent"/>
    <w:basedOn w:val="1"/>
    <w:next w:val="1"/>
    <w:link w:val="266"/>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1"/>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5"/>
    <w:link w:val="127"/>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3"/>
    <w:autoRedefine/>
    <w:qFormat/>
    <w:uiPriority w:val="0"/>
    <w:pPr>
      <w:ind w:left="100" w:leftChars="2500"/>
    </w:pPr>
    <w:rPr>
      <w:rFonts w:ascii="宋体"/>
      <w:sz w:val="24"/>
      <w:szCs w:val="21"/>
      <w:lang w:val="zh-CN"/>
    </w:rPr>
  </w:style>
  <w:style w:type="paragraph" w:styleId="38">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3"/>
    <w:autoRedefine/>
    <w:qFormat/>
    <w:uiPriority w:val="0"/>
    <w:rPr>
      <w:lang w:val="zh-CN"/>
    </w:rPr>
  </w:style>
  <w:style w:type="paragraph" w:styleId="40">
    <w:name w:val="Balloon Text"/>
    <w:basedOn w:val="1"/>
    <w:next w:val="1"/>
    <w:link w:val="190"/>
    <w:autoRedefine/>
    <w:qFormat/>
    <w:uiPriority w:val="0"/>
    <w:rPr>
      <w:sz w:val="18"/>
      <w:szCs w:val="18"/>
    </w:rPr>
  </w:style>
  <w:style w:type="paragraph" w:styleId="41">
    <w:name w:val="footer"/>
    <w:basedOn w:val="1"/>
    <w:link w:val="384"/>
    <w:autoRedefine/>
    <w:qFormat/>
    <w:uiPriority w:val="99"/>
    <w:pPr>
      <w:tabs>
        <w:tab w:val="center" w:pos="4153"/>
        <w:tab w:val="right" w:pos="8306"/>
      </w:tabs>
      <w:snapToGrid w:val="0"/>
      <w:jc w:val="left"/>
    </w:pPr>
    <w:rPr>
      <w:sz w:val="18"/>
      <w:szCs w:val="18"/>
    </w:rPr>
  </w:style>
  <w:style w:type="paragraph" w:styleId="42">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5"/>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6"/>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3"/>
    <w:autoRedefine/>
    <w:qFormat/>
    <w:uiPriority w:val="0"/>
    <w:pPr>
      <w:spacing w:after="120" w:line="480" w:lineRule="auto"/>
    </w:pPr>
  </w:style>
  <w:style w:type="paragraph" w:styleId="58">
    <w:name w:val="Message Header"/>
    <w:basedOn w:val="1"/>
    <w:autoRedefine/>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rPr>
  </w:style>
  <w:style w:type="paragraph" w:styleId="59">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98"/>
    <w:autoRedefine/>
    <w:qFormat/>
    <w:uiPriority w:val="0"/>
    <w:rPr>
      <w:b/>
      <w:bCs/>
    </w:rPr>
  </w:style>
  <w:style w:type="paragraph" w:styleId="63">
    <w:name w:val="Body Text First Indent 2"/>
    <w:basedOn w:val="26"/>
    <w:link w:val="123"/>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paragraph" w:customStyle="1" w:styleId="81">
    <w:name w:val="正文空2字"/>
    <w:basedOn w:val="82"/>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autoRedefine/>
    <w:qFormat/>
    <w:uiPriority w:val="99"/>
    <w:rPr>
      <w:rFonts w:ascii="Calibri" w:hAnsi="Calibri" w:eastAsia="仿宋_GB2312" w:cs="Calibri"/>
      <w:kern w:val="2"/>
      <w:sz w:val="32"/>
      <w:szCs w:val="32"/>
      <w:lang w:val="en-US" w:eastAsia="zh-CN" w:bidi="ar-SA"/>
    </w:rPr>
  </w:style>
  <w:style w:type="paragraph" w:customStyle="1" w:styleId="83">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character" w:customStyle="1" w:styleId="84">
    <w:name w:val="表格非标题文字 Char"/>
    <w:link w:val="85"/>
    <w:autoRedefine/>
    <w:qFormat/>
    <w:uiPriority w:val="0"/>
    <w:rPr>
      <w:rFonts w:ascii="Futura Bk" w:hAnsi="Futura Bk"/>
      <w:kern w:val="2"/>
      <w:sz w:val="18"/>
      <w:szCs w:val="21"/>
      <w:lang w:val="en-US" w:eastAsia="zh-CN" w:bidi="ar-SA"/>
    </w:rPr>
  </w:style>
  <w:style w:type="paragraph" w:customStyle="1" w:styleId="85">
    <w:name w:val="表格非标题文字"/>
    <w:link w:val="8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autoRedefine/>
    <w:qFormat/>
    <w:uiPriority w:val="0"/>
    <w:rPr>
      <w:rFonts w:ascii="宋体" w:hAnsi="宋体"/>
      <w:sz w:val="24"/>
    </w:rPr>
  </w:style>
  <w:style w:type="paragraph" w:customStyle="1" w:styleId="87">
    <w:name w:val="*正文"/>
    <w:basedOn w:val="1"/>
    <w:link w:val="86"/>
    <w:autoRedefine/>
    <w:qFormat/>
    <w:uiPriority w:val="0"/>
    <w:pPr>
      <w:snapToGrid w:val="0"/>
      <w:spacing w:line="360" w:lineRule="auto"/>
      <w:ind w:firstLine="482"/>
      <w:jc w:val="left"/>
    </w:pPr>
    <w:rPr>
      <w:rFonts w:ascii="宋体" w:hAnsi="宋体"/>
      <w:kern w:val="0"/>
      <w:sz w:val="24"/>
      <w:szCs w:val="20"/>
    </w:rPr>
  </w:style>
  <w:style w:type="character" w:customStyle="1" w:styleId="88">
    <w:name w:val="Char Char71"/>
    <w:autoRedefine/>
    <w:qFormat/>
    <w:uiPriority w:val="0"/>
    <w:rPr>
      <w:rFonts w:eastAsia="宋体"/>
      <w:kern w:val="2"/>
      <w:sz w:val="21"/>
      <w:szCs w:val="24"/>
      <w:lang w:val="en-US" w:eastAsia="zh-CN" w:bidi="ar-SA"/>
    </w:rPr>
  </w:style>
  <w:style w:type="character" w:customStyle="1" w:styleId="89">
    <w:name w:val="Char Char6"/>
    <w:autoRedefine/>
    <w:qFormat/>
    <w:uiPriority w:val="0"/>
    <w:rPr>
      <w:rFonts w:eastAsia="宋体"/>
      <w:kern w:val="2"/>
      <w:sz w:val="21"/>
      <w:szCs w:val="24"/>
      <w:lang w:val="en-US" w:eastAsia="zh-CN" w:bidi="ar-SA"/>
    </w:rPr>
  </w:style>
  <w:style w:type="character" w:customStyle="1" w:styleId="90">
    <w:name w:val="正文缩进 Char"/>
    <w:autoRedefine/>
    <w:qFormat/>
    <w:uiPriority w:val="0"/>
    <w:rPr>
      <w:rFonts w:eastAsia="宋体"/>
      <w:kern w:val="2"/>
      <w:sz w:val="21"/>
      <w:lang w:val="en-US" w:eastAsia="zh-CN"/>
    </w:rPr>
  </w:style>
  <w:style w:type="character" w:customStyle="1" w:styleId="9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2">
    <w:name w:val="Char Char28"/>
    <w:autoRedefine/>
    <w:qFormat/>
    <w:uiPriority w:val="6"/>
    <w:rPr>
      <w:rFonts w:ascii="仿宋_GB2312" w:hAnsi="仿宋_GB2312" w:eastAsia="仿宋_GB2312"/>
      <w:kern w:val="1"/>
      <w:sz w:val="28"/>
    </w:rPr>
  </w:style>
  <w:style w:type="character" w:customStyle="1" w:styleId="9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_a065a2bc-5607-4f88-bb9a-f4f6c7b4e0ea"/>
    <w:autoRedefine/>
    <w:qFormat/>
    <w:uiPriority w:val="6"/>
    <w:rPr>
      <w:rFonts w:ascii="Times New Roman" w:hAnsi="Times New Roman" w:eastAsia="黑体" w:cs="Times New Roman"/>
      <w:b/>
      <w:kern w:val="0"/>
      <w:sz w:val="24"/>
      <w:szCs w:val="24"/>
    </w:rPr>
  </w:style>
  <w:style w:type="character" w:customStyle="1" w:styleId="95">
    <w:name w:val="U_正文 Char"/>
    <w:link w:val="96"/>
    <w:autoRedefine/>
    <w:qFormat/>
    <w:uiPriority w:val="0"/>
    <w:rPr>
      <w:sz w:val="24"/>
      <w:szCs w:val="24"/>
    </w:rPr>
  </w:style>
  <w:style w:type="paragraph" w:customStyle="1" w:styleId="96">
    <w:name w:val="U_正文"/>
    <w:basedOn w:val="1"/>
    <w:link w:val="95"/>
    <w:autoRedefine/>
    <w:qFormat/>
    <w:uiPriority w:val="0"/>
    <w:pPr>
      <w:adjustRightInd/>
      <w:spacing w:beforeLines="20" w:afterLines="20" w:line="300" w:lineRule="auto"/>
      <w:ind w:firstLine="200" w:firstLineChars="200"/>
    </w:pPr>
    <w:rPr>
      <w:kern w:val="0"/>
      <w:sz w:val="24"/>
    </w:rPr>
  </w:style>
  <w:style w:type="character" w:customStyle="1" w:styleId="97">
    <w:name w:val="HTML 地址 Char1"/>
    <w:autoRedefine/>
    <w:qFormat/>
    <w:uiPriority w:val="0"/>
    <w:rPr>
      <w:rFonts w:ascii="Times New Roman" w:hAnsi="Times New Roman" w:eastAsia="宋体" w:cs="Times New Roman"/>
      <w:i/>
      <w:iCs/>
      <w:szCs w:val="24"/>
    </w:rPr>
  </w:style>
  <w:style w:type="character" w:customStyle="1" w:styleId="98">
    <w:name w:val="批注主题 Char1"/>
    <w:link w:val="62"/>
    <w:autoRedefine/>
    <w:qFormat/>
    <w:uiPriority w:val="0"/>
    <w:rPr>
      <w:b/>
      <w:bCs/>
      <w:kern w:val="2"/>
      <w:sz w:val="21"/>
      <w:szCs w:val="24"/>
    </w:rPr>
  </w:style>
  <w:style w:type="character" w:customStyle="1" w:styleId="99">
    <w:name w:val="Char Char51"/>
    <w:autoRedefine/>
    <w:qFormat/>
    <w:uiPriority w:val="0"/>
    <w:rPr>
      <w:rFonts w:ascii="宋体" w:hAnsi="Courier New" w:eastAsia="宋体"/>
      <w:kern w:val="2"/>
      <w:sz w:val="21"/>
      <w:lang w:val="en-US" w:eastAsia="zh-CN"/>
    </w:rPr>
  </w:style>
  <w:style w:type="character" w:customStyle="1" w:styleId="100">
    <w:name w:val="表正文 Char"/>
    <w:autoRedefine/>
    <w:qFormat/>
    <w:uiPriority w:val="0"/>
    <w:rPr>
      <w:rFonts w:ascii="宋体" w:eastAsia="宋体"/>
      <w:snapToGrid w:val="0"/>
      <w:color w:val="000000"/>
      <w:kern w:val="28"/>
      <w:sz w:val="28"/>
      <w:lang w:val="en-US" w:eastAsia="zh-CN" w:bidi="ar-SA"/>
    </w:rPr>
  </w:style>
  <w:style w:type="character" w:customStyle="1" w:styleId="101">
    <w:name w:val="Char Char34"/>
    <w:autoRedefine/>
    <w:qFormat/>
    <w:uiPriority w:val="6"/>
    <w:rPr>
      <w:b/>
      <w:kern w:val="1"/>
      <w:sz w:val="28"/>
      <w:szCs w:val="28"/>
    </w:rPr>
  </w:style>
  <w:style w:type="character" w:customStyle="1" w:styleId="102">
    <w:name w:val="Normal Indent Char"/>
    <w:autoRedefine/>
    <w:qFormat/>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autoRedefine/>
    <w:qFormat/>
    <w:uiPriority w:val="0"/>
    <w:rPr>
      <w:rFonts w:ascii="宋体" w:hAnsi="宋体" w:eastAsia="宋体"/>
      <w:kern w:val="2"/>
      <w:sz w:val="24"/>
      <w:lang w:bidi="ar-SA"/>
    </w:rPr>
  </w:style>
  <w:style w:type="paragraph" w:customStyle="1" w:styleId="104">
    <w:name w:val="哈哈正文"/>
    <w:basedOn w:val="1"/>
    <w:link w:val="103"/>
    <w:autoRedefine/>
    <w:qFormat/>
    <w:uiPriority w:val="0"/>
    <w:pPr>
      <w:adjustRightInd/>
      <w:spacing w:line="360" w:lineRule="auto"/>
      <w:ind w:firstLine="200" w:firstLineChars="200"/>
    </w:pPr>
    <w:rPr>
      <w:rFonts w:ascii="宋体" w:hAnsi="宋体"/>
      <w:sz w:val="24"/>
      <w:szCs w:val="20"/>
    </w:rPr>
  </w:style>
  <w:style w:type="character" w:customStyle="1" w:styleId="105">
    <w:name w:val="未处理的提及1"/>
    <w:autoRedefine/>
    <w:qFormat/>
    <w:uiPriority w:val="0"/>
    <w:rPr>
      <w:color w:val="808080"/>
      <w:shd w:val="clear" w:color="auto" w:fill="E6E6E6"/>
    </w:rPr>
  </w:style>
  <w:style w:type="character" w:customStyle="1" w:styleId="106">
    <w:name w:val="txt"/>
    <w:autoRedefine/>
    <w:qFormat/>
    <w:uiPriority w:val="0"/>
    <w:rPr>
      <w:rFonts w:ascii="仿宋_GB2312" w:eastAsia="微软雅黑"/>
      <w:b/>
      <w:kern w:val="2"/>
      <w:sz w:val="32"/>
      <w:szCs w:val="32"/>
      <w:lang w:val="en-US" w:eastAsia="zh-CN" w:bidi="ar-SA"/>
    </w:rPr>
  </w:style>
  <w:style w:type="character" w:customStyle="1" w:styleId="10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8">
    <w:name w:val="Char Char32"/>
    <w:autoRedefine/>
    <w:qFormat/>
    <w:uiPriority w:val="6"/>
    <w:rPr>
      <w:b/>
      <w:kern w:val="1"/>
      <w:sz w:val="24"/>
      <w:szCs w:val="24"/>
    </w:rPr>
  </w:style>
  <w:style w:type="character" w:customStyle="1" w:styleId="109">
    <w:name w:val="PI Char1"/>
    <w:autoRedefine/>
    <w:qFormat/>
    <w:uiPriority w:val="0"/>
    <w:rPr>
      <w:rFonts w:ascii="宋体" w:hAnsi="宋体"/>
      <w:kern w:val="2"/>
      <w:sz w:val="24"/>
      <w:szCs w:val="24"/>
    </w:rPr>
  </w:style>
  <w:style w:type="character" w:customStyle="1" w:styleId="110">
    <w:name w:val="tw4winTerm"/>
    <w:autoRedefine/>
    <w:qFormat/>
    <w:uiPriority w:val="0"/>
    <w:rPr>
      <w:color w:val="0000FF"/>
    </w:rPr>
  </w:style>
  <w:style w:type="character" w:customStyle="1" w:styleId="111">
    <w:name w:val="Footer Char_29dca83e-cfa0-4d29-9006-28a1b752e563"/>
    <w:autoRedefine/>
    <w:qFormat/>
    <w:uiPriority w:val="0"/>
    <w:rPr>
      <w:rFonts w:eastAsia="宋体"/>
      <w:kern w:val="2"/>
      <w:sz w:val="18"/>
      <w:lang w:val="en-US" w:eastAsia="zh-CN" w:bidi="ar-SA"/>
    </w:rPr>
  </w:style>
  <w:style w:type="character" w:customStyle="1" w:styleId="112">
    <w:name w:val="普通文字 Char Char1"/>
    <w:autoRedefine/>
    <w:qFormat/>
    <w:uiPriority w:val="0"/>
    <w:rPr>
      <w:rFonts w:ascii="宋体" w:hAnsi="Courier New"/>
      <w:kern w:val="2"/>
      <w:sz w:val="21"/>
    </w:rPr>
  </w:style>
  <w:style w:type="character" w:customStyle="1" w:styleId="113">
    <w:name w:val="Char Char101"/>
    <w:autoRedefine/>
    <w:qFormat/>
    <w:uiPriority w:val="6"/>
    <w:rPr>
      <w:rFonts w:ascii="宋体" w:hAnsi="宋体"/>
      <w:kern w:val="2"/>
      <w:sz w:val="21"/>
      <w:szCs w:val="24"/>
      <w:lang w:val="en-US" w:eastAsia="zh-CN"/>
    </w:rPr>
  </w:style>
  <w:style w:type="character" w:customStyle="1" w:styleId="114">
    <w:name w:val="标题 4 Char"/>
    <w:autoRedefine/>
    <w:qFormat/>
    <w:uiPriority w:val="0"/>
    <w:rPr>
      <w:rFonts w:ascii="Arial" w:hAnsi="Arial" w:eastAsia="黑体"/>
      <w:b/>
      <w:kern w:val="2"/>
      <w:sz w:val="28"/>
    </w:rPr>
  </w:style>
  <w:style w:type="character" w:customStyle="1" w:styleId="115">
    <w:name w:val="链接"/>
    <w:autoRedefine/>
    <w:qFormat/>
    <w:uiPriority w:val="0"/>
    <w:rPr>
      <w:color w:val="0000FF"/>
      <w:sz w:val="21"/>
      <w:szCs w:val="21"/>
      <w:u w:val="single"/>
    </w:rPr>
  </w:style>
  <w:style w:type="character" w:customStyle="1" w:styleId="116">
    <w:name w:val="h4 Char"/>
    <w:autoRedefine/>
    <w:qFormat/>
    <w:uiPriority w:val="0"/>
    <w:rPr>
      <w:rFonts w:ascii="Arial" w:hAnsi="Arial" w:eastAsia="黑体"/>
      <w:b/>
      <w:bCs/>
      <w:kern w:val="2"/>
      <w:sz w:val="28"/>
      <w:szCs w:val="28"/>
      <w:lang w:val="zh-CN" w:eastAsia="zh-CN" w:bidi="ar-SA"/>
    </w:rPr>
  </w:style>
  <w:style w:type="character" w:customStyle="1" w:styleId="117">
    <w:name w:val="5正文 Char"/>
    <w:link w:val="118"/>
    <w:autoRedefine/>
    <w:qFormat/>
    <w:uiPriority w:val="0"/>
    <w:rPr>
      <w:rFonts w:ascii="仿宋_GB2312" w:hAnsi="微软雅黑" w:eastAsia="仿宋_GB2312"/>
      <w:sz w:val="28"/>
      <w:szCs w:val="21"/>
    </w:rPr>
  </w:style>
  <w:style w:type="paragraph" w:customStyle="1" w:styleId="118">
    <w:name w:val="5正文"/>
    <w:basedOn w:val="1"/>
    <w:link w:val="11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autoRedefine/>
    <w:qFormat/>
    <w:uiPriority w:val="9"/>
    <w:rPr>
      <w:b/>
      <w:bCs/>
      <w:kern w:val="2"/>
      <w:sz w:val="32"/>
      <w:szCs w:val="32"/>
    </w:rPr>
  </w:style>
  <w:style w:type="character" w:customStyle="1" w:styleId="120">
    <w:name w:val="样式6 Char"/>
    <w:autoRedefine/>
    <w:qFormat/>
    <w:uiPriority w:val="0"/>
    <w:rPr>
      <w:rFonts w:ascii="仿宋_GB2312" w:hAnsi="宋体" w:eastAsia="仿宋_GB2312"/>
      <w:b/>
      <w:bCs/>
      <w:kern w:val="2"/>
      <w:sz w:val="24"/>
      <w:szCs w:val="24"/>
      <w:lang w:val="en-US" w:eastAsia="zh-CN" w:bidi="ar-SA"/>
    </w:rPr>
  </w:style>
  <w:style w:type="character" w:customStyle="1" w:styleId="121">
    <w:name w:val="Char Char14"/>
    <w:autoRedefine/>
    <w:qFormat/>
    <w:uiPriority w:val="6"/>
    <w:rPr>
      <w:rFonts w:ascii="黑体" w:hAnsi="黑体" w:eastAsia="黑体"/>
    </w:rPr>
  </w:style>
  <w:style w:type="character" w:customStyle="1" w:styleId="122">
    <w:name w:val="Heading 2 Hidden Char"/>
    <w:autoRedefine/>
    <w:qFormat/>
    <w:uiPriority w:val="0"/>
    <w:rPr>
      <w:rFonts w:ascii="仿宋_GB2312" w:eastAsia="仿宋_GB2312"/>
      <w:b/>
      <w:bCs/>
      <w:kern w:val="2"/>
      <w:sz w:val="24"/>
      <w:szCs w:val="24"/>
      <w:lang w:val="zh-CN" w:eastAsia="zh-CN" w:bidi="ar-SA"/>
    </w:rPr>
  </w:style>
  <w:style w:type="character" w:customStyle="1" w:styleId="123">
    <w:name w:val="正文首行缩进 2 Char"/>
    <w:link w:val="63"/>
    <w:autoRedefine/>
    <w:qFormat/>
    <w:uiPriority w:val="0"/>
    <w:rPr>
      <w:rFonts w:ascii="宋体" w:hAnsi="宋体"/>
      <w:kern w:val="2"/>
      <w:sz w:val="21"/>
      <w:szCs w:val="24"/>
    </w:rPr>
  </w:style>
  <w:style w:type="character" w:customStyle="1" w:styleId="124">
    <w:name w:val="font11"/>
    <w:basedOn w:val="71"/>
    <w:autoRedefine/>
    <w:qFormat/>
    <w:uiPriority w:val="0"/>
    <w:rPr>
      <w:rFonts w:hint="default" w:ascii="Times New Roman" w:hAnsi="Times New Roman" w:cs="Times New Roman"/>
      <w:color w:val="000000"/>
      <w:sz w:val="22"/>
      <w:szCs w:val="22"/>
      <w:u w:val="none"/>
    </w:rPr>
  </w:style>
  <w:style w:type="character" w:customStyle="1" w:styleId="125">
    <w:name w:val="表正文 Char1"/>
    <w:autoRedefine/>
    <w:qFormat/>
    <w:uiPriority w:val="0"/>
    <w:rPr>
      <w:rFonts w:ascii="宋体" w:eastAsia="宋体"/>
      <w:snapToGrid w:val="0"/>
      <w:color w:val="000000"/>
      <w:kern w:val="28"/>
      <w:sz w:val="28"/>
    </w:rPr>
  </w:style>
  <w:style w:type="character" w:customStyle="1" w:styleId="126">
    <w:name w:val="blue1"/>
    <w:basedOn w:val="71"/>
    <w:autoRedefine/>
    <w:qFormat/>
    <w:uiPriority w:val="0"/>
    <w:rPr>
      <w:rFonts w:ascii="Arial" w:hAnsi="Arial" w:eastAsia="黑体" w:cs="Arial"/>
      <w:snapToGrid w:val="0"/>
      <w:kern w:val="0"/>
      <w:szCs w:val="21"/>
    </w:rPr>
  </w:style>
  <w:style w:type="character" w:customStyle="1" w:styleId="127">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8">
    <w:name w:val="标书1 Char"/>
    <w:autoRedefine/>
    <w:qFormat/>
    <w:uiPriority w:val="0"/>
    <w:rPr>
      <w:rFonts w:eastAsia="宋体"/>
      <w:b/>
      <w:bCs/>
      <w:kern w:val="44"/>
      <w:sz w:val="44"/>
      <w:szCs w:val="44"/>
      <w:lang w:val="en-US" w:eastAsia="zh-CN" w:bidi="ar-SA"/>
    </w:rPr>
  </w:style>
  <w:style w:type="character" w:customStyle="1" w:styleId="129">
    <w:name w:val="样式5 Char"/>
    <w:autoRedefine/>
    <w:qFormat/>
    <w:uiPriority w:val="0"/>
    <w:rPr>
      <w:rFonts w:ascii="仿宋_GB2312" w:hAnsi="仿宋" w:eastAsia="仿宋_GB2312"/>
      <w:kern w:val="2"/>
      <w:sz w:val="24"/>
      <w:szCs w:val="24"/>
    </w:rPr>
  </w:style>
  <w:style w:type="character" w:customStyle="1" w:styleId="130">
    <w:name w:val="样式4 Char"/>
    <w:autoRedefine/>
    <w:qFormat/>
    <w:uiPriority w:val="0"/>
    <w:rPr>
      <w:rFonts w:ascii="仿宋_GB2312" w:hAnsi="仿宋" w:eastAsia="仿宋_GB2312"/>
      <w:b/>
      <w:kern w:val="2"/>
      <w:sz w:val="32"/>
      <w:szCs w:val="32"/>
      <w:lang w:bidi="ar-SA"/>
    </w:rPr>
  </w:style>
  <w:style w:type="character" w:customStyle="1" w:styleId="131">
    <w:name w:val="插图说明 Char"/>
    <w:autoRedefine/>
    <w:qFormat/>
    <w:uiPriority w:val="0"/>
    <w:rPr>
      <w:rFonts w:eastAsia="黑体"/>
      <w:sz w:val="24"/>
      <w:lang w:val="en-US" w:eastAsia="zh-CN"/>
    </w:rPr>
  </w:style>
  <w:style w:type="character" w:customStyle="1" w:styleId="132">
    <w:name w:val="正文2 Char Char"/>
    <w:link w:val="133"/>
    <w:autoRedefine/>
    <w:qFormat/>
    <w:uiPriority w:val="0"/>
    <w:rPr>
      <w:rFonts w:eastAsia="宋体"/>
      <w:kern w:val="2"/>
      <w:sz w:val="24"/>
      <w:lang w:val="en-US" w:eastAsia="zh-CN" w:bidi="ar-SA"/>
    </w:rPr>
  </w:style>
  <w:style w:type="paragraph" w:customStyle="1" w:styleId="133">
    <w:name w:val="正文2"/>
    <w:basedOn w:val="1"/>
    <w:link w:val="132"/>
    <w:autoRedefine/>
    <w:qFormat/>
    <w:uiPriority w:val="0"/>
    <w:pPr>
      <w:spacing w:before="156" w:line="360" w:lineRule="auto"/>
      <w:ind w:firstLine="510" w:firstLineChars="200"/>
    </w:pPr>
    <w:rPr>
      <w:sz w:val="24"/>
      <w:szCs w:val="20"/>
    </w:rPr>
  </w:style>
  <w:style w:type="character" w:customStyle="1" w:styleId="134">
    <w:name w:val="Char Char24"/>
    <w:autoRedefine/>
    <w:qFormat/>
    <w:uiPriority w:val="6"/>
    <w:rPr>
      <w:kern w:val="1"/>
      <w:sz w:val="21"/>
    </w:rPr>
  </w:style>
  <w:style w:type="character" w:customStyle="1" w:styleId="135">
    <w:name w:val="副标题 Char"/>
    <w:link w:val="48"/>
    <w:autoRedefine/>
    <w:qFormat/>
    <w:uiPriority w:val="0"/>
    <w:rPr>
      <w:rFonts w:ascii="Arial" w:hAnsi="Arial" w:eastAsia="隶书"/>
      <w:b/>
      <w:bCs/>
      <w:kern w:val="28"/>
      <w:sz w:val="44"/>
      <w:szCs w:val="32"/>
      <w:lang w:val="en-US" w:eastAsia="zh-CN" w:bidi="ar-SA"/>
    </w:rPr>
  </w:style>
  <w:style w:type="character" w:customStyle="1" w:styleId="136">
    <w:name w:val="普通文字 Char1 Char"/>
    <w:autoRedefine/>
    <w:qFormat/>
    <w:uiPriority w:val="0"/>
    <w:rPr>
      <w:rFonts w:ascii="宋体" w:hAnsi="Courier New" w:eastAsia="宋体"/>
      <w:kern w:val="2"/>
      <w:sz w:val="21"/>
      <w:szCs w:val="24"/>
      <w:lang w:val="en-US" w:eastAsia="zh-CN" w:bidi="ar-SA"/>
    </w:rPr>
  </w:style>
  <w:style w:type="character" w:customStyle="1" w:styleId="137">
    <w:name w:val="h3 Char1"/>
    <w:autoRedefine/>
    <w:qFormat/>
    <w:uiPriority w:val="0"/>
    <w:rPr>
      <w:rFonts w:eastAsia="宋体"/>
      <w:b/>
      <w:bCs/>
      <w:kern w:val="2"/>
      <w:sz w:val="32"/>
      <w:szCs w:val="32"/>
      <w:lang w:bidi="ar-SA"/>
    </w:rPr>
  </w:style>
  <w:style w:type="character" w:customStyle="1" w:styleId="138">
    <w:name w:val="标题 Char1"/>
    <w:autoRedefine/>
    <w:qFormat/>
    <w:uiPriority w:val="0"/>
    <w:rPr>
      <w:rFonts w:ascii="Cambria" w:hAnsi="Cambria" w:eastAsia="宋体" w:cs="Times New Roman"/>
      <w:b/>
      <w:bCs/>
      <w:sz w:val="32"/>
      <w:szCs w:val="32"/>
      <w:lang w:bidi="ar-SA"/>
    </w:rPr>
  </w:style>
  <w:style w:type="character" w:customStyle="1" w:styleId="139">
    <w:name w:val="gf正文1 Char"/>
    <w:autoRedefine/>
    <w:qFormat/>
    <w:uiPriority w:val="0"/>
    <w:rPr>
      <w:rFonts w:ascii="宋体" w:hAnsi="宋体" w:eastAsia="宋体" w:cs="宋体"/>
      <w:kern w:val="2"/>
      <w:sz w:val="24"/>
      <w:szCs w:val="24"/>
      <w:lang w:val="en-US" w:eastAsia="zh-CN" w:bidi="ar-SA"/>
    </w:rPr>
  </w:style>
  <w:style w:type="character" w:customStyle="1" w:styleId="140">
    <w:name w:val="正文文本缩进 Char1"/>
    <w:autoRedefine/>
    <w:qFormat/>
    <w:uiPriority w:val="0"/>
    <w:rPr>
      <w:rFonts w:ascii="Calibri" w:hAnsi="Calibri"/>
      <w:sz w:val="28"/>
    </w:rPr>
  </w:style>
  <w:style w:type="character" w:customStyle="1" w:styleId="141">
    <w:name w:val="No Spacing Char"/>
    <w:link w:val="142"/>
    <w:autoRedefine/>
    <w:qFormat/>
    <w:uiPriority w:val="1"/>
    <w:rPr>
      <w:sz w:val="22"/>
      <w:szCs w:val="22"/>
      <w:lang w:val="en-US" w:eastAsia="zh-CN" w:bidi="ar-SA"/>
    </w:rPr>
  </w:style>
  <w:style w:type="paragraph" w:customStyle="1" w:styleId="142">
    <w:name w:val="无间隔1"/>
    <w:link w:val="141"/>
    <w:autoRedefine/>
    <w:qFormat/>
    <w:uiPriority w:val="1"/>
    <w:rPr>
      <w:rFonts w:ascii="Times New Roman" w:hAnsi="Times New Roman" w:eastAsia="宋体" w:cs="Times New Roman"/>
      <w:sz w:val="22"/>
      <w:szCs w:val="22"/>
      <w:lang w:val="en-US" w:eastAsia="zh-CN" w:bidi="ar-SA"/>
    </w:rPr>
  </w:style>
  <w:style w:type="character" w:customStyle="1" w:styleId="143">
    <w:name w:val="样式7 Char"/>
    <w:autoRedefine/>
    <w:qFormat/>
    <w:uiPriority w:val="0"/>
    <w:rPr>
      <w:rFonts w:ascii="仿宋_GB2312" w:hAnsi="仿宋" w:eastAsia="仿宋_GB2312"/>
      <w:b/>
      <w:kern w:val="2"/>
      <w:sz w:val="24"/>
      <w:szCs w:val="24"/>
    </w:rPr>
  </w:style>
  <w:style w:type="character" w:customStyle="1" w:styleId="144">
    <w:name w:val="font12gray1"/>
    <w:autoRedefine/>
    <w:qFormat/>
    <w:uiPriority w:val="0"/>
    <w:rPr>
      <w:rFonts w:ascii="仿宋_GB2312" w:eastAsia="微软雅黑"/>
      <w:b/>
      <w:spacing w:val="300"/>
      <w:kern w:val="2"/>
      <w:sz w:val="18"/>
      <w:szCs w:val="18"/>
      <w:lang w:val="en-US" w:eastAsia="zh-CN" w:bidi="ar-SA"/>
    </w:rPr>
  </w:style>
  <w:style w:type="character" w:customStyle="1" w:styleId="145">
    <w:name w:val="Char Char7"/>
    <w:autoRedefine/>
    <w:qFormat/>
    <w:uiPriority w:val="0"/>
    <w:rPr>
      <w:rFonts w:eastAsia="宋体"/>
      <w:kern w:val="2"/>
      <w:sz w:val="21"/>
      <w:szCs w:val="24"/>
      <w:lang w:val="en-US" w:eastAsia="zh-CN" w:bidi="ar-SA"/>
    </w:rPr>
  </w:style>
  <w:style w:type="character" w:customStyle="1" w:styleId="146">
    <w:name w:val="表名 Char"/>
    <w:autoRedefine/>
    <w:qFormat/>
    <w:uiPriority w:val="0"/>
    <w:rPr>
      <w:rFonts w:eastAsia="宋体"/>
      <w:b/>
      <w:bCs/>
      <w:kern w:val="2"/>
      <w:sz w:val="24"/>
      <w:szCs w:val="24"/>
      <w:lang w:val="en-US" w:eastAsia="zh-CN" w:bidi="ar-SA"/>
    </w:rPr>
  </w:style>
  <w:style w:type="character" w:customStyle="1" w:styleId="147">
    <w:name w:val="Document Map Char"/>
    <w:autoRedefine/>
    <w:qFormat/>
    <w:uiPriority w:val="0"/>
    <w:rPr>
      <w:rFonts w:eastAsia="宋体"/>
      <w:kern w:val="2"/>
      <w:sz w:val="21"/>
      <w:szCs w:val="24"/>
      <w:lang w:val="en-US" w:eastAsia="zh-CN" w:bidi="ar-SA"/>
    </w:rPr>
  </w:style>
  <w:style w:type="character" w:customStyle="1" w:styleId="148">
    <w:name w:val="font41"/>
    <w:basedOn w:val="71"/>
    <w:autoRedefine/>
    <w:qFormat/>
    <w:uiPriority w:val="0"/>
    <w:rPr>
      <w:rFonts w:hint="eastAsia" w:ascii="仿宋_GB2312" w:eastAsia="仿宋_GB2312" w:cs="仿宋_GB2312"/>
      <w:color w:val="000000"/>
      <w:sz w:val="22"/>
      <w:szCs w:val="22"/>
      <w:u w:val="none"/>
    </w:rPr>
  </w:style>
  <w:style w:type="character" w:customStyle="1" w:styleId="149">
    <w:name w:val="标题 6 Char"/>
    <w:link w:val="9"/>
    <w:autoRedefine/>
    <w:qFormat/>
    <w:uiPriority w:val="0"/>
    <w:rPr>
      <w:rFonts w:ascii="Arial" w:hAnsi="Arial" w:eastAsia="黑体"/>
      <w:b/>
      <w:bCs/>
      <w:kern w:val="2"/>
      <w:sz w:val="24"/>
      <w:szCs w:val="24"/>
    </w:rPr>
  </w:style>
  <w:style w:type="character" w:customStyle="1" w:styleId="150">
    <w:name w:val="纯文本 Char_0"/>
    <w:link w:val="151"/>
    <w:autoRedefine/>
    <w:qFormat/>
    <w:uiPriority w:val="0"/>
    <w:rPr>
      <w:rFonts w:ascii="宋体" w:hAnsi="Courier New"/>
      <w:kern w:val="2"/>
      <w:sz w:val="21"/>
      <w:szCs w:val="21"/>
      <w:lang w:val="en-US" w:eastAsia="zh-CN"/>
    </w:rPr>
  </w:style>
  <w:style w:type="paragraph" w:customStyle="1" w:styleId="151">
    <w:name w:val="纯文本_0_0"/>
    <w:basedOn w:val="152"/>
    <w:link w:val="150"/>
    <w:autoRedefine/>
    <w:qFormat/>
    <w:uiPriority w:val="0"/>
    <w:rPr>
      <w:rFonts w:ascii="宋体" w:hAnsi="Courier New"/>
      <w:szCs w:val="21"/>
    </w:rPr>
  </w:style>
  <w:style w:type="paragraph" w:customStyle="1" w:styleId="15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autoRedefine/>
    <w:qFormat/>
    <w:uiPriority w:val="0"/>
    <w:rPr>
      <w:rFonts w:eastAsia="宋体"/>
      <w:kern w:val="2"/>
      <w:sz w:val="18"/>
      <w:szCs w:val="18"/>
      <w:lang w:val="en-US" w:eastAsia="zh-CN" w:bidi="ar-SA"/>
    </w:rPr>
  </w:style>
  <w:style w:type="character" w:customStyle="1" w:styleId="154">
    <w:name w:val="正文 项目2 Char"/>
    <w:basedOn w:val="155"/>
    <w:autoRedefine/>
    <w:qFormat/>
    <w:uiPriority w:val="0"/>
    <w:rPr>
      <w:rFonts w:ascii="仿宋_GB2312" w:hAnsi="仿宋_GB2312" w:eastAsia="仿宋_GB2312"/>
      <w:kern w:val="2"/>
      <w:sz w:val="24"/>
      <w:lang w:bidi="ar-SA"/>
    </w:rPr>
  </w:style>
  <w:style w:type="character" w:customStyle="1" w:styleId="155">
    <w:name w:val="正文 项目 Char"/>
    <w:autoRedefine/>
    <w:qFormat/>
    <w:uiPriority w:val="0"/>
    <w:rPr>
      <w:rFonts w:ascii="仿宋_GB2312" w:hAnsi="仿宋_GB2312" w:eastAsia="仿宋_GB2312"/>
      <w:kern w:val="2"/>
      <w:sz w:val="24"/>
      <w:lang w:bidi="ar-SA"/>
    </w:rPr>
  </w:style>
  <w:style w:type="character" w:customStyle="1" w:styleId="156">
    <w:name w:val="h Char Char1"/>
    <w:autoRedefine/>
    <w:qFormat/>
    <w:uiPriority w:val="0"/>
    <w:rPr>
      <w:rFonts w:eastAsia="宋体"/>
      <w:kern w:val="2"/>
      <w:sz w:val="18"/>
      <w:szCs w:val="18"/>
      <w:lang w:val="en-US" w:eastAsia="zh-CN" w:bidi="ar-SA"/>
    </w:rPr>
  </w:style>
  <w:style w:type="character" w:customStyle="1" w:styleId="157">
    <w:name w:val="Char Char27"/>
    <w:autoRedefine/>
    <w:qFormat/>
    <w:uiPriority w:val="6"/>
    <w:rPr>
      <w:rFonts w:ascii="宋体" w:hAnsi="宋体" w:eastAsia="宋体"/>
      <w:color w:val="000000"/>
      <w:kern w:val="1"/>
      <w:sz w:val="28"/>
      <w:lang w:val="en-US" w:eastAsia="zh-CN" w:bidi="ar-SA"/>
    </w:rPr>
  </w:style>
  <w:style w:type="character" w:customStyle="1" w:styleId="158">
    <w:name w:val="px14"/>
    <w:autoRedefine/>
    <w:qFormat/>
    <w:uiPriority w:val="0"/>
    <w:rPr>
      <w:rFonts w:ascii="仿宋_GB2312" w:eastAsia="微软雅黑" w:cs="Times New Roman"/>
      <w:b/>
      <w:kern w:val="2"/>
      <w:sz w:val="32"/>
      <w:szCs w:val="32"/>
      <w:lang w:val="en-US" w:eastAsia="zh-CN" w:bidi="ar-SA"/>
    </w:rPr>
  </w:style>
  <w:style w:type="character" w:customStyle="1" w:styleId="159">
    <w:name w:val="HTML 预设格式 Char1"/>
    <w:autoRedefine/>
    <w:qFormat/>
    <w:uiPriority w:val="0"/>
    <w:rPr>
      <w:rFonts w:ascii="Courier New" w:hAnsi="Courier New" w:eastAsia="宋体" w:cs="Courier New"/>
      <w:sz w:val="20"/>
      <w:szCs w:val="20"/>
    </w:rPr>
  </w:style>
  <w:style w:type="character" w:customStyle="1" w:styleId="160">
    <w:name w:val="普通文字 Char1"/>
    <w:autoRedefine/>
    <w:qFormat/>
    <w:uiPriority w:val="0"/>
    <w:rPr>
      <w:rFonts w:ascii="宋体" w:hAnsi="Courier New" w:eastAsia="宋体"/>
      <w:kern w:val="2"/>
      <w:sz w:val="21"/>
      <w:lang w:val="en-US" w:eastAsia="zh-CN"/>
    </w:rPr>
  </w:style>
  <w:style w:type="character" w:customStyle="1" w:styleId="161">
    <w:name w:val="hei16b1"/>
    <w:autoRedefine/>
    <w:qFormat/>
    <w:uiPriority w:val="0"/>
    <w:rPr>
      <w:rFonts w:hint="default" w:ascii="Arial" w:hAnsi="Arial" w:cs="Arial"/>
      <w:b/>
      <w:bCs/>
      <w:color w:val="000000"/>
      <w:sz w:val="24"/>
      <w:szCs w:val="24"/>
    </w:rPr>
  </w:style>
  <w:style w:type="character" w:customStyle="1" w:styleId="162">
    <w:name w:val="正文（绿盟科技） Char"/>
    <w:link w:val="163"/>
    <w:autoRedefine/>
    <w:qFormat/>
    <w:uiPriority w:val="0"/>
    <w:rPr>
      <w:rFonts w:ascii="Arial" w:hAnsi="Arial"/>
      <w:sz w:val="21"/>
      <w:szCs w:val="21"/>
    </w:rPr>
  </w:style>
  <w:style w:type="paragraph" w:customStyle="1" w:styleId="163">
    <w:name w:val="正文（绿盟科技）"/>
    <w:link w:val="162"/>
    <w:autoRedefine/>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autoRedefine/>
    <w:qFormat/>
    <w:uiPriority w:val="6"/>
    <w:rPr>
      <w:rFonts w:ascii="宋体" w:hAnsi="宋体"/>
      <w:i/>
      <w:sz w:val="24"/>
      <w:szCs w:val="24"/>
    </w:rPr>
  </w:style>
  <w:style w:type="character" w:customStyle="1" w:styleId="165">
    <w:name w:val="页脚 Char"/>
    <w:autoRedefine/>
    <w:qFormat/>
    <w:uiPriority w:val="0"/>
    <w:rPr>
      <w:rFonts w:eastAsia="仿宋_GB2312"/>
      <w:kern w:val="2"/>
      <w:sz w:val="18"/>
      <w:lang w:val="en-US" w:eastAsia="zh-CN"/>
    </w:rPr>
  </w:style>
  <w:style w:type="character" w:customStyle="1" w:styleId="166">
    <w:name w:val="批注主题 Char"/>
    <w:autoRedefine/>
    <w:qFormat/>
    <w:uiPriority w:val="0"/>
    <w:rPr>
      <w:rFonts w:eastAsia="宋体"/>
      <w:b/>
      <w:bCs/>
      <w:kern w:val="2"/>
      <w:sz w:val="21"/>
      <w:szCs w:val="24"/>
      <w:lang w:val="en-US" w:eastAsia="zh-CN" w:bidi="ar-SA"/>
    </w:rPr>
  </w:style>
  <w:style w:type="character" w:customStyle="1" w:styleId="167">
    <w:name w:val="Comment Text Char"/>
    <w:autoRedefine/>
    <w:qFormat/>
    <w:uiPriority w:val="0"/>
    <w:rPr>
      <w:rFonts w:ascii="宋体" w:hAnsi="宋体" w:eastAsia="宋体"/>
      <w:kern w:val="2"/>
      <w:sz w:val="24"/>
      <w:lang w:val="en-US" w:eastAsia="zh-CN" w:bidi="ar-SA"/>
    </w:rPr>
  </w:style>
  <w:style w:type="character" w:customStyle="1" w:styleId="168">
    <w:name w:val="标题 2 字符"/>
    <w:autoRedefine/>
    <w:qFormat/>
    <w:uiPriority w:val="1"/>
    <w:rPr>
      <w:rFonts w:ascii="仿宋_GB2312" w:hAnsi="Times New Roman" w:eastAsia="仿宋_GB2312" w:cs="Times New Roman"/>
      <w:b/>
      <w:kern w:val="2"/>
      <w:sz w:val="24"/>
      <w:lang w:val="zh-CN"/>
    </w:rPr>
  </w:style>
  <w:style w:type="character" w:customStyle="1" w:styleId="169">
    <w:name w:val="Char Char72"/>
    <w:autoRedefine/>
    <w:qFormat/>
    <w:uiPriority w:val="0"/>
    <w:rPr>
      <w:rFonts w:eastAsia="宋体"/>
      <w:kern w:val="2"/>
      <w:sz w:val="21"/>
      <w:szCs w:val="24"/>
      <w:lang w:val="en-US" w:eastAsia="zh-CN" w:bidi="ar-SA"/>
    </w:rPr>
  </w:style>
  <w:style w:type="character" w:customStyle="1" w:styleId="170">
    <w:name w:val="正文文本缩进 Char2"/>
    <w:autoRedefine/>
    <w:qFormat/>
    <w:uiPriority w:val="0"/>
    <w:rPr>
      <w:rFonts w:ascii="Times New Roman" w:hAnsi="Times New Roman" w:eastAsia="宋体" w:cs="Times New Roman"/>
      <w:snapToGrid w:val="0"/>
      <w:kern w:val="0"/>
      <w:szCs w:val="24"/>
    </w:rPr>
  </w:style>
  <w:style w:type="character" w:customStyle="1" w:styleId="171">
    <w:name w:val="样式2 Char"/>
    <w:autoRedefine/>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autoRedefine/>
    <w:qFormat/>
    <w:uiPriority w:val="0"/>
    <w:rPr>
      <w:sz w:val="32"/>
    </w:rPr>
  </w:style>
  <w:style w:type="paragraph" w:customStyle="1" w:styleId="173">
    <w:name w:val="表格名称"/>
    <w:basedOn w:val="4"/>
    <w:link w:val="17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autoRedefine/>
    <w:qFormat/>
    <w:uiPriority w:val="0"/>
    <w:rPr>
      <w:rFonts w:eastAsia="宋体"/>
      <w:b/>
      <w:sz w:val="24"/>
      <w:lang w:val="en-GB" w:eastAsia="zh-CN" w:bidi="ar-SA"/>
    </w:rPr>
  </w:style>
  <w:style w:type="character" w:customStyle="1" w:styleId="175">
    <w:name w:val="c7 style3"/>
    <w:autoRedefine/>
    <w:qFormat/>
    <w:uiPriority w:val="0"/>
  </w:style>
  <w:style w:type="character" w:customStyle="1" w:styleId="176">
    <w:name w:val="正文文本 3 Char1"/>
    <w:autoRedefine/>
    <w:qFormat/>
    <w:uiPriority w:val="99"/>
    <w:rPr>
      <w:rFonts w:ascii="Times New Roman" w:hAnsi="Times New Roman" w:eastAsia="宋体" w:cs="Times New Roman"/>
      <w:sz w:val="16"/>
      <w:szCs w:val="16"/>
    </w:rPr>
  </w:style>
  <w:style w:type="character" w:customStyle="1" w:styleId="177">
    <w:name w:val="tw4winInternal"/>
    <w:autoRedefine/>
    <w:qFormat/>
    <w:uiPriority w:val="0"/>
    <w:rPr>
      <w:rFonts w:ascii="Courier New" w:hAnsi="Courier New" w:cs="Courier New"/>
      <w:color w:val="FF0000"/>
      <w:lang w:val="en-US" w:eastAsia="zh-CN"/>
    </w:rPr>
  </w:style>
  <w:style w:type="character" w:customStyle="1" w:styleId="178">
    <w:name w:val="Char Char10"/>
    <w:autoRedefine/>
    <w:qFormat/>
    <w:uiPriority w:val="0"/>
    <w:rPr>
      <w:rFonts w:ascii="宋体" w:hAnsi="宋体"/>
      <w:kern w:val="2"/>
      <w:sz w:val="21"/>
      <w:szCs w:val="24"/>
      <w:lang w:val="en-US" w:eastAsia="zh-CN"/>
    </w:rPr>
  </w:style>
  <w:style w:type="character" w:customStyle="1" w:styleId="179">
    <w:name w:val="shadow11"/>
    <w:autoRedefine/>
    <w:qFormat/>
    <w:uiPriority w:val="0"/>
    <w:rPr>
      <w:color w:val="000000"/>
      <w:sz w:val="21"/>
    </w:rPr>
  </w:style>
  <w:style w:type="character" w:customStyle="1" w:styleId="180">
    <w:name w:val="正文非缩进 Char3"/>
    <w:autoRedefine/>
    <w:qFormat/>
    <w:uiPriority w:val="0"/>
    <w:rPr>
      <w:rFonts w:ascii="宋体" w:eastAsia="宋体"/>
      <w:snapToGrid w:val="0"/>
      <w:color w:val="000000"/>
      <w:kern w:val="28"/>
      <w:sz w:val="28"/>
      <w:lang w:val="en-US" w:eastAsia="zh-CN" w:bidi="ar-SA"/>
    </w:rPr>
  </w:style>
  <w:style w:type="character" w:customStyle="1" w:styleId="181">
    <w:name w:val="Char Char"/>
    <w:autoRedefine/>
    <w:qFormat/>
    <w:uiPriority w:val="0"/>
    <w:rPr>
      <w:rFonts w:ascii="宋体" w:hAnsi="Courier New" w:eastAsia="宋体"/>
      <w:kern w:val="2"/>
      <w:sz w:val="21"/>
      <w:lang w:val="en-US" w:eastAsia="zh-CN" w:bidi="ar-SA"/>
    </w:rPr>
  </w:style>
  <w:style w:type="character" w:customStyle="1" w:styleId="182">
    <w:name w:val="签名 Char1"/>
    <w:autoRedefine/>
    <w:qFormat/>
    <w:uiPriority w:val="0"/>
    <w:rPr>
      <w:rFonts w:ascii="Times New Roman" w:hAnsi="Times New Roman" w:eastAsia="宋体" w:cs="Times New Roman"/>
      <w:szCs w:val="24"/>
    </w:rPr>
  </w:style>
  <w:style w:type="character" w:customStyle="1" w:styleId="183">
    <w:name w:val="日期 Char"/>
    <w:link w:val="37"/>
    <w:autoRedefine/>
    <w:qFormat/>
    <w:uiPriority w:val="0"/>
    <w:rPr>
      <w:rFonts w:ascii="宋体"/>
      <w:kern w:val="2"/>
      <w:sz w:val="24"/>
      <w:szCs w:val="21"/>
      <w:lang w:val="zh-CN"/>
    </w:rPr>
  </w:style>
  <w:style w:type="character" w:customStyle="1" w:styleId="184">
    <w:name w:val="标题 9 Char"/>
    <w:link w:val="12"/>
    <w:autoRedefine/>
    <w:qFormat/>
    <w:uiPriority w:val="0"/>
    <w:rPr>
      <w:rFonts w:ascii="Arial" w:hAnsi="Arial" w:eastAsia="黑体"/>
      <w:kern w:val="2"/>
      <w:sz w:val="21"/>
      <w:szCs w:val="21"/>
    </w:rPr>
  </w:style>
  <w:style w:type="character" w:customStyle="1" w:styleId="185">
    <w:name w:val="Char Char18"/>
    <w:autoRedefine/>
    <w:qFormat/>
    <w:uiPriority w:val="6"/>
    <w:rPr>
      <w:rFonts w:ascii="宋体" w:hAnsi="宋体"/>
      <w:sz w:val="28"/>
    </w:rPr>
  </w:style>
  <w:style w:type="character" w:customStyle="1" w:styleId="186">
    <w:name w:val="批注文字 Char"/>
    <w:autoRedefine/>
    <w:qFormat/>
    <w:uiPriority w:val="99"/>
    <w:rPr>
      <w:kern w:val="2"/>
      <w:sz w:val="21"/>
      <w:szCs w:val="24"/>
    </w:rPr>
  </w:style>
  <w:style w:type="character" w:customStyle="1" w:styleId="187">
    <w:name w:val="Char Char22"/>
    <w:autoRedefine/>
    <w:qFormat/>
    <w:uiPriority w:val="6"/>
    <w:rPr>
      <w:rFonts w:ascii="宋体" w:hAnsi="宋体"/>
      <w:kern w:val="1"/>
      <w:sz w:val="24"/>
      <w:szCs w:val="24"/>
    </w:rPr>
  </w:style>
  <w:style w:type="character" w:customStyle="1" w:styleId="188">
    <w:name w:val="pt141"/>
    <w:autoRedefine/>
    <w:qFormat/>
    <w:uiPriority w:val="0"/>
    <w:rPr>
      <w:color w:val="330066"/>
      <w:sz w:val="22"/>
      <w:szCs w:val="22"/>
    </w:rPr>
  </w:style>
  <w:style w:type="character" w:customStyle="1" w:styleId="189">
    <w:name w:val="正文文本缩进 2 Char1"/>
    <w:autoRedefine/>
    <w:qFormat/>
    <w:uiPriority w:val="99"/>
    <w:rPr>
      <w:rFonts w:ascii="Times New Roman" w:hAnsi="Times New Roman" w:eastAsia="宋体" w:cs="Times New Roman"/>
      <w:szCs w:val="24"/>
    </w:rPr>
  </w:style>
  <w:style w:type="character" w:customStyle="1" w:styleId="190">
    <w:name w:val="批注框文本 Char"/>
    <w:link w:val="40"/>
    <w:autoRedefine/>
    <w:qFormat/>
    <w:uiPriority w:val="0"/>
    <w:rPr>
      <w:kern w:val="2"/>
      <w:sz w:val="18"/>
      <w:szCs w:val="18"/>
    </w:rPr>
  </w:style>
  <w:style w:type="character" w:customStyle="1" w:styleId="191">
    <w:name w:val="Char Char611"/>
    <w:autoRedefine/>
    <w:qFormat/>
    <w:uiPriority w:val="0"/>
    <w:rPr>
      <w:rFonts w:eastAsia="宋体"/>
      <w:kern w:val="2"/>
      <w:sz w:val="21"/>
      <w:szCs w:val="24"/>
      <w:lang w:val="en-US" w:eastAsia="zh-CN" w:bidi="ar-SA"/>
    </w:rPr>
  </w:style>
  <w:style w:type="character" w:customStyle="1" w:styleId="192">
    <w:name w:val="highlight1"/>
    <w:autoRedefine/>
    <w:qFormat/>
    <w:uiPriority w:val="0"/>
    <w:rPr>
      <w:rFonts w:ascii="仿宋_GB2312" w:eastAsia="微软雅黑"/>
      <w:b/>
      <w:kern w:val="2"/>
      <w:sz w:val="23"/>
      <w:szCs w:val="23"/>
      <w:lang w:val="en-US" w:eastAsia="zh-CN" w:bidi="ar-SA"/>
    </w:rPr>
  </w:style>
  <w:style w:type="character" w:customStyle="1" w:styleId="193">
    <w:name w:val="my正文 Char"/>
    <w:link w:val="194"/>
    <w:autoRedefine/>
    <w:qFormat/>
    <w:uiPriority w:val="0"/>
    <w:rPr>
      <w:rFonts w:ascii="Tahoma" w:hAnsi="Tahoma"/>
      <w:sz w:val="24"/>
      <w:szCs w:val="24"/>
    </w:rPr>
  </w:style>
  <w:style w:type="paragraph" w:customStyle="1" w:styleId="194">
    <w:name w:val="my正文"/>
    <w:basedOn w:val="1"/>
    <w:link w:val="193"/>
    <w:autoRedefine/>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autoRedefine/>
    <w:qFormat/>
    <w:uiPriority w:val="0"/>
    <w:rPr>
      <w:color w:val="0000FF"/>
      <w:sz w:val="21"/>
    </w:rPr>
  </w:style>
  <w:style w:type="character" w:customStyle="1" w:styleId="197">
    <w:name w:val="页眉 Char"/>
    <w:autoRedefine/>
    <w:qFormat/>
    <w:uiPriority w:val="0"/>
    <w:rPr>
      <w:rFonts w:eastAsia="仿宋_GB2312"/>
      <w:kern w:val="2"/>
      <w:sz w:val="18"/>
      <w:lang w:val="en-US" w:eastAsia="zh-CN"/>
    </w:rPr>
  </w:style>
  <w:style w:type="character" w:customStyle="1" w:styleId="198">
    <w:name w:val="FA正文 Char Char"/>
    <w:autoRedefine/>
    <w:qFormat/>
    <w:uiPriority w:val="0"/>
    <w:rPr>
      <w:rFonts w:hAnsi="宋体"/>
      <w:kern w:val="2"/>
      <w:sz w:val="24"/>
      <w:lang w:bidi="ar-SA"/>
    </w:rPr>
  </w:style>
  <w:style w:type="character" w:customStyle="1" w:styleId="19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autoRedefine/>
    <w:qFormat/>
    <w:uiPriority w:val="0"/>
    <w:rPr>
      <w:rFonts w:ascii="宋体" w:hAnsi="宋体"/>
      <w:b/>
      <w:bCs/>
      <w:snapToGrid/>
      <w:sz w:val="28"/>
    </w:rPr>
  </w:style>
  <w:style w:type="paragraph" w:customStyle="1" w:styleId="201">
    <w:name w:val="3级"/>
    <w:basedOn w:val="202"/>
    <w:link w:val="200"/>
    <w:autoRedefine/>
    <w:qFormat/>
    <w:uiPriority w:val="0"/>
    <w:pPr>
      <w:ind w:left="0" w:right="466" w:firstLine="288"/>
    </w:pPr>
    <w:rPr>
      <w:rFonts w:hAnsi="宋体"/>
      <w:snapToGrid/>
    </w:rPr>
  </w:style>
  <w:style w:type="paragraph" w:customStyle="1" w:styleId="202">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autoRedefine/>
    <w:qFormat/>
    <w:uiPriority w:val="0"/>
    <w:rPr>
      <w:rFonts w:ascii="仿宋_GB2312" w:eastAsia="微软雅黑"/>
      <w:b/>
      <w:kern w:val="2"/>
      <w:sz w:val="32"/>
      <w:szCs w:val="32"/>
      <w:lang w:val="en-US" w:eastAsia="zh-CN" w:bidi="ar-SA"/>
    </w:rPr>
  </w:style>
  <w:style w:type="character" w:customStyle="1" w:styleId="204">
    <w:name w:val="文档结构图 Char1"/>
    <w:link w:val="19"/>
    <w:autoRedefine/>
    <w:qFormat/>
    <w:uiPriority w:val="0"/>
    <w:rPr>
      <w:kern w:val="2"/>
      <w:sz w:val="21"/>
      <w:szCs w:val="24"/>
      <w:shd w:val="clear" w:color="auto" w:fill="000080"/>
    </w:rPr>
  </w:style>
  <w:style w:type="character" w:customStyle="1" w:styleId="205">
    <w:name w:val="H6 Char"/>
    <w:autoRedefine/>
    <w:qFormat/>
    <w:uiPriority w:val="0"/>
    <w:rPr>
      <w:rFonts w:ascii="Arial" w:hAnsi="Arial" w:eastAsia="黑体"/>
      <w:b/>
      <w:bCs/>
      <w:kern w:val="2"/>
      <w:sz w:val="24"/>
      <w:szCs w:val="24"/>
    </w:rPr>
  </w:style>
  <w:style w:type="character" w:customStyle="1" w:styleId="206">
    <w:name w:val="Char Char91"/>
    <w:autoRedefine/>
    <w:qFormat/>
    <w:uiPriority w:val="0"/>
    <w:rPr>
      <w:rFonts w:eastAsia="宋体"/>
      <w:kern w:val="2"/>
      <w:sz w:val="18"/>
      <w:szCs w:val="18"/>
      <w:lang w:val="en-US" w:eastAsia="zh-CN" w:bidi="ar-SA"/>
    </w:rPr>
  </w:style>
  <w:style w:type="character" w:customStyle="1" w:styleId="207">
    <w:name w:val="副标题 Char1"/>
    <w:autoRedefine/>
    <w:qFormat/>
    <w:uiPriority w:val="0"/>
    <w:rPr>
      <w:rFonts w:ascii="Cambria" w:hAnsi="Cambria" w:eastAsia="宋体" w:cs="Times New Roman"/>
      <w:b/>
      <w:bCs/>
      <w:snapToGrid w:val="0"/>
      <w:kern w:val="28"/>
      <w:sz w:val="32"/>
      <w:szCs w:val="32"/>
    </w:rPr>
  </w:style>
  <w:style w:type="character" w:customStyle="1" w:styleId="208">
    <w:name w:val="font61"/>
    <w:autoRedefine/>
    <w:qFormat/>
    <w:uiPriority w:val="0"/>
    <w:rPr>
      <w:rFonts w:hint="eastAsia" w:ascii="仿宋" w:hAnsi="仿宋" w:eastAsia="仿宋" w:cs="仿宋"/>
      <w:color w:val="000000"/>
      <w:sz w:val="20"/>
      <w:szCs w:val="20"/>
      <w:u w:val="none"/>
    </w:rPr>
  </w:style>
  <w:style w:type="character" w:customStyle="1" w:styleId="20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autoRedefine/>
    <w:qFormat/>
    <w:uiPriority w:val="0"/>
    <w:rPr>
      <w:rFonts w:eastAsia="宋体"/>
      <w:b/>
      <w:bCs/>
      <w:kern w:val="2"/>
      <w:sz w:val="21"/>
      <w:szCs w:val="24"/>
      <w:lang w:val="en-US" w:eastAsia="zh-CN" w:bidi="ar-SA"/>
    </w:rPr>
  </w:style>
  <w:style w:type="character" w:customStyle="1" w:styleId="211">
    <w:name w:val="标题 2 Char"/>
    <w:autoRedefine/>
    <w:qFormat/>
    <w:uiPriority w:val="0"/>
    <w:rPr>
      <w:rFonts w:ascii="Arial" w:hAnsi="Arial" w:eastAsia="黑体"/>
      <w:b/>
      <w:kern w:val="2"/>
      <w:sz w:val="32"/>
      <w:lang w:val="en-US" w:eastAsia="zh-CN"/>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qFormat/>
    <w:uiPriority w:val="0"/>
    <w:rPr>
      <w:rFonts w:ascii="宋体" w:hAnsi="宋体"/>
      <w:kern w:val="2"/>
      <w:sz w:val="21"/>
      <w:szCs w:val="24"/>
      <w:lang w:val="en-US" w:eastAsia="zh-CN"/>
    </w:rPr>
  </w:style>
  <w:style w:type="character" w:customStyle="1" w:styleId="215">
    <w:name w:val="页眉 Char1"/>
    <w:autoRedefine/>
    <w:qFormat/>
    <w:uiPriority w:val="0"/>
    <w:rPr>
      <w:rFonts w:eastAsia="宋体"/>
      <w:kern w:val="2"/>
      <w:sz w:val="18"/>
      <w:szCs w:val="18"/>
      <w:lang w:val="en-US" w:eastAsia="zh-CN" w:bidi="ar-SA"/>
    </w:rPr>
  </w:style>
  <w:style w:type="character" w:customStyle="1" w:styleId="216">
    <w:name w:val="md"/>
    <w:basedOn w:val="71"/>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1"/>
    <w:autoRedefine/>
    <w:qFormat/>
    <w:uiPriority w:val="0"/>
    <w:rPr>
      <w:rFonts w:ascii="仿宋_GB2312" w:hAnsi="仿宋" w:eastAsia="仿宋_GB2312" w:cs="仿宋_GB2312"/>
      <w:sz w:val="32"/>
      <w:szCs w:val="30"/>
      <w:lang w:val="zh-CN"/>
    </w:rPr>
  </w:style>
  <w:style w:type="character" w:customStyle="1" w:styleId="221">
    <w:name w:val="HTML 地址 Char"/>
    <w:link w:val="31"/>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7"/>
    <w:link w:val="224"/>
    <w:autoRedefine/>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_b6bb7154-40a1-4532-be09-cdbace51fda5"/>
    <w:autoRedefine/>
    <w:qFormat/>
    <w:uiPriority w:val="0"/>
    <w:rPr>
      <w:rFonts w:eastAsia="宋体"/>
      <w:kern w:val="2"/>
      <w:sz w:val="18"/>
      <w:szCs w:val="18"/>
      <w:lang w:val="en-US" w:eastAsia="zh-CN" w:bidi="ar-SA"/>
    </w:rPr>
  </w:style>
  <w:style w:type="character" w:customStyle="1" w:styleId="230">
    <w:name w:val="Char Char12"/>
    <w:autoRedefine/>
    <w:qFormat/>
    <w:uiPriority w:val="0"/>
    <w:rPr>
      <w:rFonts w:ascii="仿宋_GB2312" w:eastAsia="仿宋_GB2312"/>
      <w:b/>
      <w:bCs/>
      <w:kern w:val="2"/>
      <w:sz w:val="24"/>
      <w:szCs w:val="24"/>
      <w:lang w:val="zh-CN" w:eastAsia="zh-CN" w:bidi="ar-SA"/>
    </w:rPr>
  </w:style>
  <w:style w:type="character" w:customStyle="1" w:styleId="231">
    <w:name w:val="题注 Char"/>
    <w:link w:val="17"/>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仿宋_GB2312" w:eastAsia="仿宋_GB2312"/>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2"/>
    <w:autoRedefine/>
    <w:qFormat/>
    <w:uiPriority w:val="0"/>
    <w:rPr>
      <w:rFonts w:ascii="仿宋_GB2312"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Char3"/>
    <w:link w:val="26"/>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_856f206f-2151-488a-bf44-70c62fd33d46"/>
    <w:autoRedefine/>
    <w:qFormat/>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Char"/>
    <w:link w:val="3"/>
    <w:autoRedefine/>
    <w:qFormat/>
    <w:uiPriority w:val="9"/>
    <w:rPr>
      <w:b/>
      <w:bCs/>
      <w:kern w:val="44"/>
      <w:sz w:val="44"/>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Char2"/>
    <w:link w:val="61"/>
    <w:autoRedefine/>
    <w:qFormat/>
    <w:uiPriority w:val="10"/>
    <w:rPr>
      <w:b/>
      <w:sz w:val="24"/>
      <w:lang w:val="en-GB"/>
    </w:rPr>
  </w:style>
  <w:style w:type="character" w:customStyle="1" w:styleId="288">
    <w:name w:val="font81"/>
    <w:basedOn w:val="7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Char"/>
    <w:link w:val="8"/>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Char"/>
    <w:link w:val="21"/>
    <w:autoRedefine/>
    <w:qFormat/>
    <w:uiPriority w:val="0"/>
    <w:rPr>
      <w:rFonts w:ascii="仿宋_GB2312" w:eastAsia="仿宋_GB2312"/>
      <w:kern w:val="2"/>
      <w:sz w:val="28"/>
    </w:rPr>
  </w:style>
  <w:style w:type="character" w:customStyle="1" w:styleId="300">
    <w:name w:val="文本正文 Char Char"/>
    <w:autoRedefine/>
    <w:qFormat/>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Char"/>
    <w:link w:val="59"/>
    <w:autoRedefine/>
    <w:qFormat/>
    <w:uiPriority w:val="0"/>
    <w:rPr>
      <w:rFonts w:ascii="黑体" w:hAnsi="Courier New" w:eastAsia="黑体"/>
    </w:rPr>
  </w:style>
  <w:style w:type="character" w:customStyle="1" w:styleId="303">
    <w:name w:val="正文文本 2 Char1"/>
    <w:link w:val="57"/>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7"/>
    <w:link w:val="414"/>
    <w:autoRedefine/>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Char"/>
    <w:link w:val="10"/>
    <w:autoRedefine/>
    <w:qFormat/>
    <w:uiPriority w:val="0"/>
    <w:rPr>
      <w:b/>
      <w:bCs/>
      <w:kern w:val="2"/>
      <w:sz w:val="24"/>
      <w:szCs w:val="24"/>
    </w:rPr>
  </w:style>
  <w:style w:type="character" w:customStyle="1" w:styleId="309">
    <w:name w:val="正文文本缩进 2 Char"/>
    <w:link w:val="38"/>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Char"/>
    <w:link w:val="51"/>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basedOn w:val="7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首行缩进 Char"/>
    <w:link w:val="25"/>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Char2"/>
    <w:link w:val="7"/>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Char"/>
    <w:link w:val="22"/>
    <w:autoRedefine/>
    <w:qFormat/>
    <w:uiPriority w:val="0"/>
    <w:rPr>
      <w:kern w:val="2"/>
      <w:sz w:val="21"/>
    </w:rPr>
  </w:style>
  <w:style w:type="character" w:customStyle="1" w:styleId="332">
    <w:name w:val="font31"/>
    <w:basedOn w:val="71"/>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Char1"/>
    <w:link w:val="20"/>
    <w:autoRedefine/>
    <w:qFormat/>
    <w:uiPriority w:val="99"/>
    <w:rPr>
      <w:kern w:val="2"/>
      <w:sz w:val="21"/>
      <w:szCs w:val="24"/>
    </w:rPr>
  </w:style>
  <w:style w:type="character" w:customStyle="1" w:styleId="346">
    <w:name w:val="签名 Char"/>
    <w:link w:val="43"/>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1"/>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basedOn w:val="7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Char"/>
    <w:link w:val="54"/>
    <w:autoRedefine/>
    <w:qFormat/>
    <w:uiPriority w:val="0"/>
    <w:rPr>
      <w:kern w:val="2"/>
      <w:sz w:val="24"/>
    </w:rPr>
  </w:style>
  <w:style w:type="character" w:customStyle="1" w:styleId="377">
    <w:name w:val="日期 Char1"/>
    <w:autoRedefine/>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Char2"/>
    <w:link w:val="41"/>
    <w:autoRedefine/>
    <w:qFormat/>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Char2"/>
    <w:link w:val="42"/>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156"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71"/>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5"/>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71"/>
    <w:autoRedefine/>
    <w:qFormat/>
    <w:uiPriority w:val="0"/>
    <w:rPr>
      <w:rFonts w:ascii="Arial" w:hAnsi="Arial" w:eastAsia="黑体" w:cs="Arial"/>
      <w:snapToGrid w:val="0"/>
      <w:kern w:val="0"/>
      <w:szCs w:val="21"/>
    </w:rPr>
  </w:style>
  <w:style w:type="character" w:customStyle="1" w:styleId="433">
    <w:name w:val="hui"/>
    <w:basedOn w:val="71"/>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312" w:beforeLines="100"/>
      <w:jc w:val="left"/>
    </w:pPr>
  </w:style>
  <w:style w:type="paragraph" w:customStyle="1" w:styleId="4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autoRedefine/>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spacing w:before="0" w:after="0"/>
      <w:outlineLvl w:val="5"/>
    </w:pPr>
  </w:style>
  <w:style w:type="paragraph" w:customStyle="1" w:styleId="475">
    <w:name w:val="5级标题"/>
    <w:basedOn w:val="476"/>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No Spacing"/>
    <w:basedOn w:val="1"/>
    <w:link w:val="934"/>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autoRedefine/>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6"/>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8"/>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3"/>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6"/>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autoRedefine/>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
    <w:next w:val="2"/>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
    <w:next w:val="2"/>
    <w:autoRedefine/>
    <w:qFormat/>
    <w:uiPriority w:val="0"/>
    <w:rPr>
      <w:rFonts w:ascii="宋体" w:eastAsia="宋体" w:cs="Times New Roman"/>
      <w:color w:val="auto"/>
    </w:rPr>
  </w:style>
  <w:style w:type="paragraph" w:customStyle="1" w:styleId="55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156"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autoRedefine/>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3"/>
    <w:autoRedefine/>
    <w:qFormat/>
    <w:uiPriority w:val="0"/>
    <w:pPr>
      <w:tabs>
        <w:tab w:val="left" w:pos="840"/>
      </w:tabs>
      <w:adjustRightInd/>
      <w:ind w:left="840" w:hanging="420"/>
    </w:pPr>
  </w:style>
  <w:style w:type="paragraph" w:customStyle="1" w:styleId="627">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156"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0" w:after="0"/>
      <w:ind w:left="1680"/>
      <w:outlineLvl w:val="2"/>
    </w:pPr>
  </w:style>
  <w:style w:type="paragraph" w:customStyle="1" w:styleId="659">
    <w:name w:val="章标题"/>
    <w:next w:val="6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61"/>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6"/>
    <w:next w:val="54"/>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1"/>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autoRedefine/>
    <w:qFormat/>
    <w:uiPriority w:val="0"/>
    <w:pPr>
      <w:tabs>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autoRedefine/>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5"/>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autoRedefine/>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autoRedefine/>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firstLineChars="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sz w:val="24"/>
    </w:rPr>
  </w:style>
  <w:style w:type="paragraph" w:customStyle="1" w:styleId="864">
    <w:name w:val="Char Char110"/>
    <w:basedOn w:val="1"/>
    <w:autoRedefine/>
    <w:qFormat/>
    <w:uiPriority w:val="6"/>
    <w:pPr>
      <w:spacing w:line="360" w:lineRule="auto"/>
    </w:pPr>
    <w:rPr>
      <w:rFonts w:ascii="Tahoma" w:hAnsi="Tahoma"/>
      <w:sz w:val="24"/>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 w:val="24"/>
      <w:szCs w:val="20"/>
    </w:rPr>
  </w:style>
  <w:style w:type="paragraph" w:customStyle="1" w:styleId="870">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4">
    <w:name w:val="_Style 12"/>
    <w:basedOn w:val="19"/>
    <w:autoRedefine/>
    <w:qFormat/>
    <w:uiPriority w:val="0"/>
    <w:pPr>
      <w:snapToGrid w:val="0"/>
      <w:spacing w:line="360" w:lineRule="auto"/>
    </w:pPr>
  </w:style>
  <w:style w:type="paragraph" w:customStyle="1" w:styleId="875">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autoRedefine/>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39"/>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rPr>
      <w:sz w:val="24"/>
    </w:r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autoRedefine/>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firstLineChars="200"/>
    </w:pPr>
    <w:rPr>
      <w:rFonts w:eastAsia="仿宋_GB2312"/>
      <w:sz w:val="28"/>
    </w:rPr>
  </w:style>
  <w:style w:type="paragraph" w:customStyle="1" w:styleId="894">
    <w:name w:val="表格 内容"/>
    <w:basedOn w:val="730"/>
    <w:autoRedefine/>
    <w:qFormat/>
    <w:uiPriority w:val="0"/>
    <w:rPr>
      <w:b w:val="0"/>
      <w:sz w:val="20"/>
    </w:rPr>
  </w:style>
  <w:style w:type="paragraph" w:customStyle="1" w:styleId="895">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8"/>
    <w:next w:val="1"/>
    <w:autoRedefine/>
    <w:qFormat/>
    <w:uiPriority w:val="0"/>
    <w:pPr>
      <w:tabs>
        <w:tab w:val="left" w:pos="1080"/>
      </w:tabs>
      <w:ind w:left="1080" w:hanging="1080"/>
    </w:pPr>
  </w:style>
  <w:style w:type="paragraph" w:customStyle="1" w:styleId="898">
    <w:name w:val="数字标题1"/>
    <w:basedOn w:val="3"/>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34"/>
    <w:pPr>
      <w:adjustRightInd/>
      <w:ind w:firstLine="420" w:firstLineChars="20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4"/>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autoRedefine/>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Char"/>
    <w:link w:val="39"/>
    <w:autoRedefine/>
    <w:qFormat/>
    <w:uiPriority w:val="0"/>
    <w:rPr>
      <w:kern w:val="2"/>
      <w:sz w:val="21"/>
      <w:szCs w:val="24"/>
      <w:lang w:val="zh-CN"/>
    </w:rPr>
  </w:style>
  <w:style w:type="character" w:customStyle="1" w:styleId="934">
    <w:name w:val="无间隔 Char"/>
    <w:link w:val="484"/>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sz w:val="24"/>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59"/>
    <w:autoRedefine/>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autoRedefine/>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1"/>
    <w:autoRedefine/>
    <w:qFormat/>
    <w:uiPriority w:val="0"/>
    <w:rPr>
      <w:color w:val="000000"/>
      <w:shd w:val="clear" w:color="auto" w:fill="EFD200"/>
    </w:rPr>
  </w:style>
  <w:style w:type="character" w:customStyle="1" w:styleId="963">
    <w:name w:val="font71"/>
    <w:basedOn w:val="71"/>
    <w:autoRedefine/>
    <w:qFormat/>
    <w:uiPriority w:val="0"/>
    <w:rPr>
      <w:rFonts w:hint="eastAsia" w:ascii="宋体" w:hAnsi="宋体" w:eastAsia="宋体" w:cs="宋体"/>
      <w:color w:val="000000"/>
      <w:sz w:val="22"/>
      <w:szCs w:val="22"/>
      <w:u w:val="none"/>
    </w:rPr>
  </w:style>
  <w:style w:type="character" w:customStyle="1" w:styleId="964">
    <w:name w:val="font91"/>
    <w:basedOn w:val="71"/>
    <w:autoRedefine/>
    <w:qFormat/>
    <w:uiPriority w:val="0"/>
    <w:rPr>
      <w:rFonts w:hint="eastAsia" w:ascii="仿宋" w:hAnsi="仿宋" w:eastAsia="仿宋" w:cs="仿宋"/>
      <w:color w:val="000000"/>
      <w:sz w:val="22"/>
      <w:szCs w:val="22"/>
      <w:u w:val="none"/>
    </w:rPr>
  </w:style>
  <w:style w:type="paragraph" w:customStyle="1" w:styleId="965">
    <w:name w:val="修订4"/>
    <w:autoRedefine/>
    <w:qFormat/>
    <w:uiPriority w:val="99"/>
    <w:rPr>
      <w:rFonts w:ascii="Times New Roman" w:hAnsi="Times New Roman" w:eastAsia="宋体" w:cs="Times New Roman"/>
      <w:kern w:val="2"/>
      <w:sz w:val="21"/>
      <w:szCs w:val="24"/>
      <w:lang w:val="en-US" w:eastAsia="zh-CN" w:bidi="ar-SA"/>
    </w:rPr>
  </w:style>
  <w:style w:type="paragraph" w:customStyle="1" w:styleId="966">
    <w:name w:val="[Normal]"/>
    <w:autoRedefine/>
    <w:unhideWhenUsed/>
    <w:qFormat/>
    <w:uiPriority w:val="0"/>
    <w:pPr>
      <w:widowControl w:val="0"/>
      <w:autoSpaceDE w:val="0"/>
      <w:autoSpaceDN w:val="0"/>
      <w:adjustRightInd w:val="0"/>
      <w:spacing w:beforeLines="0" w:afterLines="0"/>
    </w:pPr>
    <w:rPr>
      <w:rFonts w:hint="eastAsia" w:ascii="宋体" w:hAnsi="Times New Roman" w:eastAsia="宋体" w:cs="宋体"/>
      <w:sz w:val="24"/>
      <w:szCs w:val="24"/>
      <w:lang w:val="en-US" w:eastAsia="zh-CN" w:bidi="ar-SA"/>
    </w:rPr>
  </w:style>
  <w:style w:type="character" w:customStyle="1" w:styleId="967">
    <w:name w:val="无"/>
    <w:autoRedefine/>
    <w:qFormat/>
    <w:uiPriority w:val="99"/>
  </w:style>
  <w:style w:type="table" w:customStyle="1" w:styleId="968">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66</Pages>
  <Words>37262</Words>
  <Characters>39966</Characters>
  <Paragraphs>1943</Paragraphs>
  <TotalTime>44</TotalTime>
  <ScaleCrop>false</ScaleCrop>
  <LinksUpToDate>false</LinksUpToDate>
  <CharactersWithSpaces>45965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slim</cp:lastModifiedBy>
  <cp:lastPrinted>2024-06-14T03:27:00Z</cp:lastPrinted>
  <dcterms:modified xsi:type="dcterms:W3CDTF">2024-10-17T09:59:03Z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FD4F2E9C1A204534AF7538FC60BBF2A0_13</vt:lpwstr>
  </property>
</Properties>
</file>