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9C4527">
      <w:pPr>
        <w:adjustRightInd/>
        <w:spacing w:line="360" w:lineRule="auto"/>
        <w:jc w:val="center"/>
        <w:rPr>
          <w:rFonts w:hint="eastAsia" w:ascii="楷体_GB2312" w:eastAsia="楷体_GB2312"/>
          <w:b/>
          <w:color w:val="auto"/>
          <w:sz w:val="52"/>
          <w:szCs w:val="52"/>
          <w:highlight w:val="none"/>
          <w:lang w:eastAsia="zh-CN"/>
        </w:rPr>
      </w:pPr>
      <w:r>
        <w:rPr>
          <w:rFonts w:hint="eastAsia" w:ascii="楷体_GB2312" w:eastAsia="楷体_GB2312"/>
          <w:b/>
          <w:color w:val="auto"/>
          <w:sz w:val="52"/>
          <w:szCs w:val="52"/>
          <w:highlight w:val="none"/>
          <w:lang w:eastAsia="zh-CN"/>
        </w:rPr>
        <w:t>柯城区人民检察院工作网等保三级安全防护建设项目</w:t>
      </w:r>
    </w:p>
    <w:p w14:paraId="239857B0">
      <w:pPr>
        <w:jc w:val="center"/>
        <w:outlineLvl w:val="0"/>
        <w:rPr>
          <w:rFonts w:hint="eastAsia" w:ascii="仿宋" w:hAnsi="仿宋" w:eastAsia="仿宋" w:cs="仿宋"/>
          <w:b/>
          <w:color w:val="auto"/>
          <w:sz w:val="72"/>
          <w:szCs w:val="72"/>
          <w:highlight w:val="none"/>
        </w:rPr>
      </w:pPr>
    </w:p>
    <w:p w14:paraId="2D06461D">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公</w:t>
      </w:r>
    </w:p>
    <w:p w14:paraId="594F1B6A">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开</w:t>
      </w:r>
    </w:p>
    <w:p w14:paraId="1B1DC510">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招</w:t>
      </w:r>
    </w:p>
    <w:p w14:paraId="0310A508">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标</w:t>
      </w:r>
    </w:p>
    <w:p w14:paraId="7D0B2919">
      <w:pPr>
        <w:jc w:val="center"/>
        <w:outlineLvl w:val="0"/>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14:paraId="29A3A712">
      <w:pPr>
        <w:jc w:val="center"/>
        <w:outlineLvl w:val="0"/>
        <w:rPr>
          <w:rFonts w:hint="eastAsia" w:ascii="仿宋" w:hAnsi="仿宋" w:eastAsia="仿宋" w:cs="仿宋"/>
          <w:color w:val="auto"/>
          <w:sz w:val="44"/>
          <w:highlight w:val="none"/>
        </w:rPr>
      </w:pPr>
      <w:r>
        <w:rPr>
          <w:rFonts w:hint="eastAsia" w:ascii="仿宋" w:hAnsi="仿宋" w:eastAsia="仿宋" w:cs="仿宋"/>
          <w:b/>
          <w:color w:val="auto"/>
          <w:sz w:val="72"/>
          <w:szCs w:val="72"/>
          <w:highlight w:val="none"/>
        </w:rPr>
        <w:t>件</w:t>
      </w:r>
    </w:p>
    <w:p w14:paraId="47F0AF42">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6B3080A4">
      <w:pPr>
        <w:spacing w:line="360" w:lineRule="auto"/>
        <w:jc w:val="both"/>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 xml:space="preserve"> </w:t>
      </w:r>
    </w:p>
    <w:p w14:paraId="3264CE45">
      <w:pPr>
        <w:jc w:val="center"/>
        <w:rPr>
          <w:rFonts w:hint="eastAsia" w:ascii="仿宋" w:hAnsi="仿宋" w:eastAsia="楷体_GB2312" w:cs="仿宋"/>
          <w:b/>
          <w:color w:val="auto"/>
          <w:sz w:val="28"/>
          <w:szCs w:val="28"/>
          <w:highlight w:val="none"/>
          <w:lang w:val="en-US" w:eastAsia="zh-CN"/>
        </w:rPr>
      </w:pPr>
      <w:r>
        <w:rPr>
          <w:rFonts w:hint="eastAsia" w:ascii="仿宋" w:hAnsi="仿宋" w:eastAsia="仿宋" w:cs="仿宋"/>
          <w:b/>
          <w:color w:val="auto"/>
          <w:sz w:val="28"/>
          <w:szCs w:val="28"/>
          <w:highlight w:val="none"/>
          <w:lang w:eastAsia="zh-CN"/>
        </w:rPr>
        <w:t>项目编号</w:t>
      </w:r>
      <w:r>
        <w:rPr>
          <w:rFonts w:hint="eastAsia" w:ascii="仿宋" w:hAnsi="仿宋" w:eastAsia="仿宋" w:cs="仿宋"/>
          <w:b/>
          <w:color w:val="auto"/>
          <w:sz w:val="28"/>
          <w:szCs w:val="28"/>
          <w:highlight w:val="none"/>
        </w:rPr>
        <w:t>:</w:t>
      </w:r>
      <w:r>
        <w:rPr>
          <w:rFonts w:hint="eastAsia" w:ascii="楷体_GB2312" w:hAnsi="宋体" w:eastAsia="楷体_GB2312" w:cs="宋体"/>
          <w:b/>
          <w:bCs/>
          <w:color w:val="auto"/>
          <w:sz w:val="28"/>
          <w:szCs w:val="28"/>
          <w:highlight w:val="none"/>
          <w:lang w:val="zh-TW" w:eastAsia="zh-CN"/>
        </w:rPr>
        <w:t>ZJXSJ2024252</w:t>
      </w:r>
    </w:p>
    <w:tbl>
      <w:tblPr>
        <w:tblStyle w:val="64"/>
        <w:tblW w:w="7801" w:type="dxa"/>
        <w:jc w:val="center"/>
        <w:tblLayout w:type="fixed"/>
        <w:tblCellMar>
          <w:top w:w="0" w:type="dxa"/>
          <w:left w:w="108" w:type="dxa"/>
          <w:bottom w:w="0" w:type="dxa"/>
          <w:right w:w="108" w:type="dxa"/>
        </w:tblCellMar>
      </w:tblPr>
      <w:tblGrid>
        <w:gridCol w:w="2356"/>
        <w:gridCol w:w="5445"/>
      </w:tblGrid>
      <w:tr w14:paraId="767E4B6F">
        <w:tblPrEx>
          <w:tblCellMar>
            <w:top w:w="0" w:type="dxa"/>
            <w:left w:w="108" w:type="dxa"/>
            <w:bottom w:w="0" w:type="dxa"/>
            <w:right w:w="108" w:type="dxa"/>
          </w:tblCellMar>
        </w:tblPrEx>
        <w:trPr>
          <w:trHeight w:val="443" w:hRule="atLeast"/>
          <w:jc w:val="center"/>
        </w:trPr>
        <w:tc>
          <w:tcPr>
            <w:tcW w:w="2356" w:type="dxa"/>
          </w:tcPr>
          <w:p w14:paraId="700B0DB0">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93"/>
                <w:kern w:val="0"/>
                <w:sz w:val="28"/>
                <w:szCs w:val="28"/>
                <w:highlight w:val="none"/>
              </w:rPr>
              <w:t>采购单</w:t>
            </w:r>
            <w:r>
              <w:rPr>
                <w:rFonts w:hint="eastAsia" w:ascii="仿宋" w:hAnsi="仿宋" w:eastAsia="仿宋" w:cs="仿宋"/>
                <w:color w:val="auto"/>
                <w:spacing w:val="1"/>
                <w:kern w:val="0"/>
                <w:sz w:val="28"/>
                <w:szCs w:val="28"/>
                <w:highlight w:val="none"/>
              </w:rPr>
              <w:t>位</w:t>
            </w:r>
            <w:r>
              <w:rPr>
                <w:rFonts w:hint="eastAsia" w:ascii="仿宋" w:hAnsi="仿宋" w:eastAsia="仿宋" w:cs="仿宋"/>
                <w:color w:val="auto"/>
                <w:sz w:val="28"/>
                <w:szCs w:val="28"/>
                <w:highlight w:val="none"/>
              </w:rPr>
              <w:t>：</w:t>
            </w:r>
          </w:p>
        </w:tc>
        <w:tc>
          <w:tcPr>
            <w:tcW w:w="5445" w:type="dxa"/>
            <w:vAlign w:val="center"/>
          </w:tcPr>
          <w:p w14:paraId="17ED8387">
            <w:pPr>
              <w:spacing w:line="320" w:lineRule="exact"/>
              <w:outlineLvl w:val="0"/>
              <w:rPr>
                <w:rFonts w:hint="eastAsia" w:ascii="仿宋" w:hAnsi="仿宋" w:eastAsia="楷体_GB2312" w:cs="仿宋"/>
                <w:color w:val="auto"/>
                <w:sz w:val="28"/>
                <w:szCs w:val="28"/>
                <w:highlight w:val="none"/>
                <w:lang w:eastAsia="zh-CN"/>
              </w:rPr>
            </w:pPr>
            <w:r>
              <w:rPr>
                <w:rFonts w:hint="eastAsia" w:ascii="楷体_GB2312" w:hAnsi="??_GB2312" w:eastAsia="楷体_GB2312" w:cs="??_GB2312"/>
                <w:b/>
                <w:bCs/>
                <w:color w:val="auto"/>
                <w:sz w:val="28"/>
                <w:szCs w:val="28"/>
                <w:highlight w:val="none"/>
                <w:lang w:val="zh-TW" w:eastAsia="zh-CN"/>
              </w:rPr>
              <w:t>衢州市柯城区人民检察院</w:t>
            </w:r>
          </w:p>
        </w:tc>
      </w:tr>
      <w:tr w14:paraId="08C7A6AE">
        <w:tblPrEx>
          <w:tblCellMar>
            <w:top w:w="0" w:type="dxa"/>
            <w:left w:w="108" w:type="dxa"/>
            <w:bottom w:w="0" w:type="dxa"/>
            <w:right w:w="108" w:type="dxa"/>
          </w:tblCellMar>
        </w:tblPrEx>
        <w:trPr>
          <w:trHeight w:val="494" w:hRule="atLeast"/>
          <w:jc w:val="center"/>
        </w:trPr>
        <w:tc>
          <w:tcPr>
            <w:tcW w:w="2356" w:type="dxa"/>
          </w:tcPr>
          <w:p w14:paraId="6A02CFEA">
            <w:pPr>
              <w:spacing w:after="100" w:afterAutospacing="1" w:line="440" w:lineRule="exact"/>
              <w:rPr>
                <w:rFonts w:hint="eastAsia" w:ascii="仿宋" w:hAnsi="仿宋" w:eastAsia="仿宋" w:cs="仿宋"/>
                <w:color w:val="auto"/>
                <w:sz w:val="28"/>
                <w:szCs w:val="28"/>
                <w:highlight w:val="none"/>
              </w:rPr>
            </w:pPr>
            <w:r>
              <w:rPr>
                <w:rFonts w:hint="eastAsia" w:ascii="仿宋" w:hAnsi="仿宋" w:eastAsia="仿宋" w:cs="仿宋"/>
                <w:color w:val="auto"/>
                <w:spacing w:val="0"/>
                <w:w w:val="100"/>
                <w:kern w:val="0"/>
                <w:sz w:val="28"/>
                <w:szCs w:val="28"/>
                <w:highlight w:val="none"/>
                <w:fitText w:val="1680" w:id="190345957"/>
              </w:rPr>
              <w:t>采购代理机构</w:t>
            </w:r>
            <w:r>
              <w:rPr>
                <w:rFonts w:hint="eastAsia" w:ascii="仿宋" w:hAnsi="仿宋" w:eastAsia="仿宋" w:cs="仿宋"/>
                <w:color w:val="auto"/>
                <w:sz w:val="28"/>
                <w:szCs w:val="28"/>
                <w:highlight w:val="none"/>
              </w:rPr>
              <w:t>：</w:t>
            </w:r>
          </w:p>
        </w:tc>
        <w:tc>
          <w:tcPr>
            <w:tcW w:w="5445" w:type="dxa"/>
          </w:tcPr>
          <w:p w14:paraId="3DDDABE2">
            <w:pPr>
              <w:spacing w:after="100" w:afterAutospacing="1" w:line="440" w:lineRule="exact"/>
              <w:rPr>
                <w:rFonts w:hint="eastAsia" w:ascii="仿宋" w:hAnsi="仿宋" w:eastAsia="仿宋" w:cs="仿宋"/>
                <w:color w:val="auto"/>
                <w:sz w:val="28"/>
                <w:szCs w:val="28"/>
                <w:highlight w:val="none"/>
              </w:rPr>
            </w:pPr>
            <w:r>
              <w:rPr>
                <w:rFonts w:hint="eastAsia" w:ascii="楷体_GB2312" w:hAnsi="宋体" w:eastAsia="楷体_GB2312"/>
                <w:b/>
                <w:color w:val="auto"/>
                <w:w w:val="85"/>
                <w:sz w:val="32"/>
                <w:szCs w:val="32"/>
                <w:highlight w:val="none"/>
                <w:lang w:eastAsia="zh-CN"/>
              </w:rPr>
              <w:t>浙江新世纪工程咨询有限公司</w:t>
            </w:r>
          </w:p>
        </w:tc>
      </w:tr>
      <w:tr w14:paraId="15F9C2C5">
        <w:tblPrEx>
          <w:tblCellMar>
            <w:top w:w="0" w:type="dxa"/>
            <w:left w:w="108" w:type="dxa"/>
            <w:bottom w:w="0" w:type="dxa"/>
            <w:right w:w="108" w:type="dxa"/>
          </w:tblCellMar>
        </w:tblPrEx>
        <w:trPr>
          <w:trHeight w:val="333" w:hRule="atLeast"/>
          <w:jc w:val="center"/>
        </w:trPr>
        <w:tc>
          <w:tcPr>
            <w:tcW w:w="7801" w:type="dxa"/>
            <w:gridSpan w:val="2"/>
          </w:tcPr>
          <w:p w14:paraId="64449266">
            <w:pPr>
              <w:spacing w:after="100" w:afterAutospacing="1" w:line="440" w:lineRule="exact"/>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二○二</w:t>
            </w:r>
            <w:r>
              <w:rPr>
                <w:rFonts w:hint="eastAsia" w:ascii="仿宋" w:hAnsi="仿宋" w:eastAsia="仿宋" w:cs="仿宋"/>
                <w:color w:val="auto"/>
                <w:sz w:val="28"/>
                <w:szCs w:val="28"/>
                <w:highlight w:val="none"/>
                <w:lang w:val="en-US" w:eastAsia="zh-CN"/>
              </w:rPr>
              <w:t>四</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九</w:t>
            </w:r>
            <w:r>
              <w:rPr>
                <w:rFonts w:hint="eastAsia" w:ascii="仿宋" w:hAnsi="仿宋" w:eastAsia="仿宋" w:cs="仿宋"/>
                <w:color w:val="auto"/>
                <w:sz w:val="28"/>
                <w:szCs w:val="28"/>
                <w:highlight w:val="none"/>
              </w:rPr>
              <w:t>月</w:t>
            </w:r>
          </w:p>
        </w:tc>
      </w:tr>
    </w:tbl>
    <w:p w14:paraId="1836F719">
      <w:pPr>
        <w:pStyle w:val="638"/>
        <w:rPr>
          <w:rFonts w:hint="eastAsia" w:ascii="仿宋" w:hAnsi="仿宋" w:eastAsia="仿宋" w:cs="仿宋"/>
          <w:color w:val="auto"/>
          <w:highlight w:val="none"/>
        </w:rPr>
        <w:sectPr>
          <w:headerReference r:id="rId3" w:type="first"/>
          <w:footerReference r:id="rId4" w:type="even"/>
          <w:pgSz w:w="11906" w:h="16838"/>
          <w:pgMar w:top="1474" w:right="1814" w:bottom="1474" w:left="1814" w:header="851" w:footer="992" w:gutter="0"/>
          <w:pgNumType w:fmt="decimal"/>
          <w:cols w:space="720" w:num="1"/>
          <w:titlePg/>
          <w:docGrid w:linePitch="312" w:charSpace="0"/>
        </w:sectPr>
      </w:pPr>
    </w:p>
    <w:p w14:paraId="00941938">
      <w:pPr>
        <w:pStyle w:val="638"/>
        <w:pageBreakBefore w:val="0"/>
        <w:widowControl w:val="0"/>
        <w:kinsoku/>
        <w:wordWrap/>
        <w:overflowPunct/>
        <w:topLinePunct w:val="0"/>
        <w:autoSpaceDE/>
        <w:autoSpaceDN/>
        <w:bidi w:val="0"/>
        <w:spacing w:before="0" w:after="0" w:line="360" w:lineRule="auto"/>
        <w:ind w:left="0" w:firstLine="0" w:firstLineChars="0"/>
        <w:textAlignment w:val="auto"/>
        <w:rPr>
          <w:rFonts w:hint="eastAsia" w:ascii="仿宋" w:hAnsi="仿宋" w:eastAsia="仿宋" w:cs="仿宋"/>
          <w:color w:val="auto"/>
          <w:highlight w:val="none"/>
        </w:rPr>
      </w:pPr>
    </w:p>
    <w:p w14:paraId="5879FC83">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bookmarkStart w:id="0" w:name="_Hlt91233176"/>
      <w:bookmarkEnd w:id="0"/>
      <w:bookmarkStart w:id="1" w:name="_Toc91899869"/>
      <w:r>
        <w:rPr>
          <w:rFonts w:hint="eastAsia" w:ascii="仿宋" w:hAnsi="仿宋" w:eastAsia="仿宋" w:cs="仿宋"/>
          <w:b/>
          <w:color w:val="auto"/>
          <w:sz w:val="44"/>
          <w:szCs w:val="44"/>
          <w:highlight w:val="none"/>
        </w:rPr>
        <w:t>目录</w:t>
      </w:r>
    </w:p>
    <w:p w14:paraId="6155D1D2">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b/>
          <w:color w:val="auto"/>
          <w:sz w:val="44"/>
          <w:szCs w:val="44"/>
          <w:highlight w:val="none"/>
        </w:rPr>
      </w:pPr>
    </w:p>
    <w:p w14:paraId="31CDD235">
      <w:pPr>
        <w:pageBreakBefore w:val="0"/>
        <w:widowControl w:val="0"/>
        <w:kinsoku/>
        <w:wordWrap/>
        <w:overflowPunct/>
        <w:topLinePunct w:val="0"/>
        <w:autoSpaceDE/>
        <w:autoSpaceDN/>
        <w:bidi w:val="0"/>
        <w:spacing w:line="360" w:lineRule="auto"/>
        <w:ind w:left="0" w:firstLine="0" w:firstLineChars="0"/>
        <w:jc w:val="center"/>
        <w:textAlignment w:val="auto"/>
        <w:rPr>
          <w:rFonts w:hint="eastAsia" w:ascii="仿宋" w:hAnsi="仿宋" w:eastAsia="仿宋" w:cs="仿宋"/>
          <w:color w:val="auto"/>
          <w:highlight w:val="none"/>
        </w:rPr>
      </w:pPr>
    </w:p>
    <w:p w14:paraId="4D13E0E3">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第一部分    招标公告</w:t>
      </w:r>
    </w:p>
    <w:p w14:paraId="13943274">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第二部分   </w:t>
      </w:r>
      <w:r>
        <w:rPr>
          <w:rFonts w:hint="eastAsia" w:ascii="仿宋" w:hAnsi="仿宋" w:eastAsia="仿宋" w:cs="仿宋"/>
          <w:b/>
          <w:color w:val="auto"/>
          <w:sz w:val="36"/>
          <w:szCs w:val="36"/>
          <w:highlight w:val="none"/>
          <w:lang w:val="en-US" w:eastAsia="zh-CN"/>
        </w:rPr>
        <w:t xml:space="preserve"> </w:t>
      </w:r>
      <w:r>
        <w:rPr>
          <w:rFonts w:hint="eastAsia" w:ascii="仿宋" w:hAnsi="仿宋" w:eastAsia="仿宋" w:cs="仿宋"/>
          <w:b/>
          <w:color w:val="auto"/>
          <w:sz w:val="36"/>
          <w:szCs w:val="36"/>
          <w:highlight w:val="none"/>
        </w:rPr>
        <w:t>投标须知</w:t>
      </w:r>
    </w:p>
    <w:p w14:paraId="30E75BED">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招标项目范围及要求</w:t>
      </w:r>
    </w:p>
    <w:p w14:paraId="17020937">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合同的主要条款</w:t>
      </w:r>
    </w:p>
    <w:p w14:paraId="7ADF9BAF">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20F4C4F5">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第六部分    投标文件及其附件格式</w:t>
      </w:r>
    </w:p>
    <w:p w14:paraId="2F6434F7">
      <w:pPr>
        <w:spacing w:line="360" w:lineRule="auto"/>
        <w:ind w:firstLine="549" w:firstLineChars="229"/>
        <w:rPr>
          <w:rFonts w:hint="eastAsia" w:ascii="仿宋" w:hAnsi="仿宋" w:eastAsia="仿宋" w:cs="仿宋"/>
          <w:color w:val="auto"/>
          <w:sz w:val="24"/>
          <w:highlight w:val="none"/>
        </w:rPr>
      </w:pPr>
    </w:p>
    <w:p w14:paraId="465E033A">
      <w:pPr>
        <w:spacing w:line="360" w:lineRule="auto"/>
        <w:ind w:firstLine="549" w:firstLineChars="229"/>
        <w:rPr>
          <w:rFonts w:hint="eastAsia" w:ascii="仿宋" w:hAnsi="仿宋" w:eastAsia="仿宋" w:cs="仿宋"/>
          <w:color w:val="auto"/>
          <w:sz w:val="24"/>
          <w:highlight w:val="none"/>
        </w:rPr>
      </w:pPr>
    </w:p>
    <w:p w14:paraId="69B9F243">
      <w:pPr>
        <w:spacing w:line="360" w:lineRule="auto"/>
        <w:ind w:firstLine="549" w:firstLineChars="229"/>
        <w:rPr>
          <w:rFonts w:hint="eastAsia" w:ascii="仿宋" w:hAnsi="仿宋" w:eastAsia="仿宋" w:cs="仿宋"/>
          <w:color w:val="auto"/>
          <w:sz w:val="24"/>
          <w:highlight w:val="none"/>
        </w:rPr>
      </w:pPr>
    </w:p>
    <w:p w14:paraId="53348EBC">
      <w:pPr>
        <w:spacing w:line="360" w:lineRule="auto"/>
        <w:ind w:firstLine="549" w:firstLineChars="229"/>
        <w:rPr>
          <w:rFonts w:hint="eastAsia" w:ascii="仿宋" w:hAnsi="仿宋" w:eastAsia="仿宋" w:cs="仿宋"/>
          <w:color w:val="auto"/>
          <w:sz w:val="24"/>
          <w:highlight w:val="none"/>
        </w:rPr>
      </w:pPr>
    </w:p>
    <w:p w14:paraId="179D8895">
      <w:pPr>
        <w:spacing w:line="360" w:lineRule="auto"/>
        <w:ind w:firstLine="549" w:firstLineChars="229"/>
        <w:rPr>
          <w:rFonts w:hint="eastAsia" w:ascii="仿宋" w:hAnsi="仿宋" w:eastAsia="仿宋" w:cs="仿宋"/>
          <w:color w:val="auto"/>
          <w:sz w:val="24"/>
          <w:highlight w:val="none"/>
        </w:rPr>
      </w:pPr>
    </w:p>
    <w:p w14:paraId="71301D09">
      <w:pPr>
        <w:spacing w:line="360" w:lineRule="auto"/>
        <w:ind w:firstLine="549" w:firstLineChars="229"/>
        <w:rPr>
          <w:rFonts w:hint="eastAsia" w:ascii="仿宋" w:hAnsi="仿宋" w:eastAsia="仿宋" w:cs="仿宋"/>
          <w:color w:val="auto"/>
          <w:sz w:val="24"/>
          <w:highlight w:val="none"/>
        </w:rPr>
      </w:pPr>
    </w:p>
    <w:p w14:paraId="2FF5A1D5">
      <w:pPr>
        <w:spacing w:line="360" w:lineRule="auto"/>
        <w:ind w:firstLine="549" w:firstLineChars="229"/>
        <w:rPr>
          <w:rFonts w:hint="eastAsia" w:ascii="仿宋" w:hAnsi="仿宋" w:eastAsia="仿宋" w:cs="仿宋"/>
          <w:color w:val="auto"/>
          <w:sz w:val="24"/>
          <w:highlight w:val="none"/>
        </w:rPr>
      </w:pPr>
    </w:p>
    <w:p w14:paraId="418C73D2">
      <w:pPr>
        <w:spacing w:line="360" w:lineRule="auto"/>
        <w:ind w:firstLine="549" w:firstLineChars="229"/>
        <w:rPr>
          <w:rFonts w:hint="eastAsia" w:ascii="仿宋" w:hAnsi="仿宋" w:eastAsia="仿宋" w:cs="仿宋"/>
          <w:color w:val="auto"/>
          <w:sz w:val="24"/>
          <w:highlight w:val="none"/>
        </w:rPr>
      </w:pPr>
    </w:p>
    <w:p w14:paraId="7FBB294D">
      <w:pPr>
        <w:spacing w:line="360" w:lineRule="auto"/>
        <w:ind w:firstLine="549" w:firstLineChars="229"/>
        <w:rPr>
          <w:rFonts w:hint="eastAsia" w:ascii="仿宋" w:hAnsi="仿宋" w:eastAsia="仿宋" w:cs="仿宋"/>
          <w:color w:val="auto"/>
          <w:sz w:val="24"/>
          <w:highlight w:val="none"/>
        </w:rPr>
      </w:pPr>
    </w:p>
    <w:p w14:paraId="58636DC2">
      <w:pPr>
        <w:spacing w:line="360" w:lineRule="auto"/>
        <w:ind w:firstLine="549" w:firstLineChars="229"/>
        <w:rPr>
          <w:rFonts w:hint="eastAsia" w:ascii="仿宋" w:hAnsi="仿宋" w:eastAsia="仿宋" w:cs="仿宋"/>
          <w:color w:val="auto"/>
          <w:sz w:val="24"/>
          <w:highlight w:val="none"/>
        </w:rPr>
      </w:pPr>
    </w:p>
    <w:p w14:paraId="1717E563">
      <w:pPr>
        <w:spacing w:line="360" w:lineRule="auto"/>
        <w:ind w:firstLine="549" w:firstLineChars="229"/>
        <w:rPr>
          <w:rFonts w:hint="eastAsia" w:ascii="仿宋" w:hAnsi="仿宋" w:eastAsia="仿宋" w:cs="仿宋"/>
          <w:color w:val="auto"/>
          <w:sz w:val="24"/>
          <w:highlight w:val="none"/>
        </w:rPr>
      </w:pPr>
    </w:p>
    <w:p w14:paraId="069BFE1C">
      <w:pPr>
        <w:spacing w:line="360" w:lineRule="auto"/>
        <w:rPr>
          <w:rFonts w:hint="eastAsia" w:ascii="仿宋" w:hAnsi="仿宋" w:eastAsia="仿宋" w:cs="仿宋"/>
          <w:color w:val="auto"/>
          <w:sz w:val="24"/>
          <w:highlight w:val="none"/>
        </w:rPr>
      </w:pPr>
    </w:p>
    <w:bookmarkEnd w:id="1"/>
    <w:p w14:paraId="5CEBCDF9">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bookmarkStart w:id="2" w:name="第二部分"/>
      <w:bookmarkStart w:id="3" w:name="_Toc91899870"/>
      <w:bookmarkStart w:id="4" w:name="_Toc91899871"/>
    </w:p>
    <w:p w14:paraId="07C1DD8F">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p>
    <w:p w14:paraId="49915673">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4C121FC">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项目概况</w:t>
      </w:r>
      <w:r>
        <w:rPr>
          <w:rFonts w:hint="eastAsia" w:ascii="仿宋" w:hAnsi="仿宋" w:eastAsia="仿宋" w:cs="仿宋"/>
          <w:color w:val="auto"/>
          <w:sz w:val="24"/>
          <w:highlight w:val="none"/>
          <w:lang w:eastAsia="zh-CN"/>
        </w:rPr>
        <w:t>：</w:t>
      </w:r>
    </w:p>
    <w:p w14:paraId="5BDDFA89">
      <w:pPr>
        <w:pageBreakBefore w:val="0"/>
        <w:widowControl w:val="0"/>
        <w:pBdr>
          <w:top w:val="single" w:color="auto" w:sz="4" w:space="1"/>
          <w:left w:val="single" w:color="auto" w:sz="4" w:space="4"/>
          <w:bottom w:val="single" w:color="auto" w:sz="4" w:space="1"/>
          <w:right w:val="single" w:color="auto" w:sz="4" w:space="4"/>
        </w:pBdr>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柯城区人民检察院工作网等保三级安全防护建设项目</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8"/>
          <w:rFonts w:hint="eastAsia" w:ascii="仿宋" w:hAnsi="仿宋" w:eastAsia="仿宋" w:cs="仿宋"/>
          <w:snapToGrid/>
          <w:color w:val="auto"/>
          <w:kern w:val="2"/>
          <w:sz w:val="24"/>
          <w:szCs w:val="24"/>
          <w:highlight w:val="none"/>
        </w:rPr>
        <w:t>https://www.zcygov.cn/）获取（下载）招标文件，并于</w:t>
      </w:r>
      <w:r>
        <w:rPr>
          <w:rStyle w:val="78"/>
          <w:rFonts w:hint="eastAsia" w:ascii="仿宋" w:hAnsi="仿宋" w:eastAsia="仿宋" w:cs="仿宋"/>
          <w:snapToGrid/>
          <w:color w:val="auto"/>
          <w:kern w:val="2"/>
          <w:sz w:val="24"/>
          <w:szCs w:val="24"/>
          <w:highlight w:val="none"/>
          <w:lang w:eastAsia="zh-CN"/>
        </w:rPr>
        <w:t>2024</w:t>
      </w:r>
      <w:r>
        <w:rPr>
          <w:rStyle w:val="78"/>
          <w:rFonts w:hint="eastAsia" w:ascii="仿宋" w:hAnsi="仿宋" w:eastAsia="仿宋" w:cs="仿宋"/>
          <w:snapToGrid/>
          <w:color w:val="auto"/>
          <w:kern w:val="2"/>
          <w:sz w:val="24"/>
          <w:szCs w:val="24"/>
          <w:highlight w:val="none"/>
        </w:rPr>
        <w:t>年</w:t>
      </w:r>
      <w:r>
        <w:rPr>
          <w:rStyle w:val="78"/>
          <w:rFonts w:hint="eastAsia" w:ascii="仿宋" w:hAnsi="仿宋" w:eastAsia="仿宋" w:cs="仿宋"/>
          <w:snapToGrid/>
          <w:color w:val="auto"/>
          <w:kern w:val="2"/>
          <w:sz w:val="24"/>
          <w:szCs w:val="24"/>
          <w:highlight w:val="none"/>
          <w:u w:val="none"/>
          <w:lang w:val="en-US" w:eastAsia="zh-CN"/>
        </w:rPr>
        <w:t>11月4</w:t>
      </w:r>
      <w:r>
        <w:rPr>
          <w:rStyle w:val="78"/>
          <w:rFonts w:hint="eastAsia" w:ascii="仿宋" w:hAnsi="仿宋" w:eastAsia="仿宋" w:cs="仿宋"/>
          <w:snapToGrid/>
          <w:color w:val="auto"/>
          <w:kern w:val="2"/>
          <w:sz w:val="24"/>
          <w:szCs w:val="24"/>
          <w:highlight w:val="none"/>
        </w:rPr>
        <w:t>日</w:t>
      </w:r>
      <w:r>
        <w:rPr>
          <w:rStyle w:val="78"/>
          <w:rFonts w:hint="eastAsia" w:ascii="仿宋" w:hAnsi="仿宋" w:eastAsia="仿宋" w:cs="仿宋"/>
          <w:snapToGrid/>
          <w:color w:val="auto"/>
          <w:kern w:val="2"/>
          <w:sz w:val="24"/>
          <w:szCs w:val="24"/>
          <w:highlight w:val="none"/>
          <w:lang w:val="en-US" w:eastAsia="zh-CN"/>
        </w:rPr>
        <w:t>14</w:t>
      </w:r>
      <w:r>
        <w:rPr>
          <w:rStyle w:val="78"/>
          <w:rFonts w:hint="eastAsia" w:ascii="仿宋" w:hAnsi="仿宋" w:eastAsia="仿宋" w:cs="仿宋"/>
          <w:snapToGrid/>
          <w:color w:val="auto"/>
          <w:kern w:val="2"/>
          <w:sz w:val="24"/>
          <w:szCs w:val="24"/>
          <w:highlight w:val="none"/>
        </w:rPr>
        <w:t>点</w:t>
      </w:r>
      <w:r>
        <w:rPr>
          <w:rStyle w:val="78"/>
          <w:rFonts w:hint="eastAsia" w:ascii="仿宋" w:hAnsi="仿宋" w:eastAsia="仿宋" w:cs="仿宋"/>
          <w:snapToGrid/>
          <w:color w:val="auto"/>
          <w:kern w:val="2"/>
          <w:sz w:val="24"/>
          <w:szCs w:val="24"/>
          <w:highlight w:val="none"/>
          <w:lang w:val="en-US" w:eastAsia="zh-CN"/>
        </w:rPr>
        <w:t>30</w:t>
      </w:r>
      <w:r>
        <w:rPr>
          <w:rStyle w:val="78"/>
          <w:rFonts w:hint="eastAsia" w:ascii="仿宋" w:hAnsi="仿宋" w:eastAsia="仿宋" w:cs="仿宋"/>
          <w:snapToGrid/>
          <w:color w:val="auto"/>
          <w:kern w:val="2"/>
          <w:sz w:val="24"/>
          <w:szCs w:val="24"/>
          <w:highlight w:val="none"/>
        </w:rPr>
        <w:t>分</w:t>
      </w:r>
      <w:r>
        <w:rPr>
          <w:rStyle w:val="78"/>
          <w:rFonts w:hint="eastAsia" w:ascii="仿宋" w:hAnsi="仿宋" w:eastAsia="仿宋" w:cs="仿宋"/>
          <w:bCs/>
          <w:snapToGrid/>
          <w:color w:val="auto"/>
          <w:kern w:val="2"/>
          <w:sz w:val="24"/>
          <w:szCs w:val="24"/>
          <w:highlight w:val="none"/>
          <w:lang w:val="en-US" w:eastAsia="zh-CN"/>
        </w:rPr>
        <w:t>00</w:t>
      </w:r>
      <w:r>
        <w:rPr>
          <w:rStyle w:val="78"/>
          <w:rFonts w:hint="eastAsia" w:ascii="仿宋" w:hAnsi="仿宋" w:eastAsia="仿宋" w:cs="仿宋"/>
          <w:bCs/>
          <w:snapToGrid/>
          <w:color w:val="auto"/>
          <w:kern w:val="2"/>
          <w:sz w:val="24"/>
          <w:szCs w:val="24"/>
          <w:highlight w:val="none"/>
        </w:rPr>
        <w:t>秒</w:t>
      </w:r>
      <w:r>
        <w:rPr>
          <w:rStyle w:val="78"/>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2FECE89F">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2A1A416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bCs/>
          <w:color w:val="auto"/>
          <w:sz w:val="24"/>
          <w:highlight w:val="none"/>
          <w:lang w:val="zh-TW" w:eastAsia="zh-CN"/>
        </w:rPr>
        <w:t>ZJXSJ2024252</w:t>
      </w:r>
    </w:p>
    <w:p w14:paraId="179BDB0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none"/>
          <w:lang w:eastAsia="zh-CN"/>
        </w:rPr>
        <w:t>柯城区人民检察院工作网等保三级安全防护建设项目</w:t>
      </w:r>
      <w:r>
        <w:rPr>
          <w:rFonts w:hint="eastAsia" w:ascii="仿宋" w:hAnsi="仿宋" w:eastAsia="仿宋" w:cs="仿宋"/>
          <w:color w:val="auto"/>
          <w:sz w:val="24"/>
          <w:highlight w:val="none"/>
          <w:lang w:val="en-US" w:eastAsia="zh-CN"/>
        </w:rPr>
        <w:t xml:space="preserve"> </w:t>
      </w:r>
    </w:p>
    <w:p w14:paraId="4D92ECF6">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预算金额（元）：</w:t>
      </w:r>
      <w:r>
        <w:rPr>
          <w:rFonts w:hint="eastAsia" w:ascii="仿宋" w:hAnsi="仿宋" w:eastAsia="仿宋" w:cs="仿宋"/>
          <w:color w:val="auto"/>
          <w:sz w:val="24"/>
          <w:highlight w:val="none"/>
          <w:u w:val="none"/>
          <w:lang w:eastAsia="zh-CN"/>
        </w:rPr>
        <w:t xml:space="preserve">830000 </w:t>
      </w:r>
    </w:p>
    <w:p w14:paraId="5B380E35">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最高限价（元）：</w:t>
      </w:r>
      <w:r>
        <w:rPr>
          <w:rFonts w:hint="eastAsia" w:ascii="仿宋" w:hAnsi="仿宋" w:eastAsia="仿宋" w:cs="仿宋"/>
          <w:b w:val="0"/>
          <w:color w:val="FF0000"/>
          <w:sz w:val="24"/>
          <w:highlight w:val="none"/>
          <w:u w:val="none"/>
          <w:lang w:val="en-US" w:eastAsia="zh-CN"/>
        </w:rPr>
        <w:t>788800</w:t>
      </w:r>
      <w:r>
        <w:rPr>
          <w:rFonts w:hint="eastAsia" w:ascii="仿宋" w:hAnsi="仿宋" w:eastAsia="仿宋" w:cs="仿宋"/>
          <w:color w:val="auto"/>
          <w:sz w:val="24"/>
          <w:highlight w:val="none"/>
          <w:u w:val="none"/>
          <w:lang w:eastAsia="zh-CN"/>
        </w:rPr>
        <w:t xml:space="preserve"> </w:t>
      </w:r>
    </w:p>
    <w:p w14:paraId="4722FFA9">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14:paraId="5DC0ED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标项一：</w:t>
      </w:r>
    </w:p>
    <w:p w14:paraId="6CAC422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标项名称：</w:t>
      </w:r>
      <w:r>
        <w:rPr>
          <w:rFonts w:hint="eastAsia" w:ascii="仿宋" w:hAnsi="仿宋" w:eastAsia="仿宋" w:cs="仿宋"/>
          <w:color w:val="auto"/>
          <w:sz w:val="24"/>
          <w:highlight w:val="none"/>
          <w:u w:val="none"/>
          <w:lang w:eastAsia="zh-CN"/>
        </w:rPr>
        <w:t>柯城区人民检察院工作网等保三级安全防护建设项目</w:t>
      </w:r>
    </w:p>
    <w:p w14:paraId="6CAD11A8">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数量：1项</w:t>
      </w:r>
    </w:p>
    <w:p w14:paraId="023DBC3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预算金额：</w:t>
      </w:r>
      <w:r>
        <w:rPr>
          <w:rFonts w:hint="eastAsia" w:ascii="仿宋" w:hAnsi="仿宋" w:eastAsia="仿宋" w:cs="仿宋"/>
          <w:color w:val="auto"/>
          <w:sz w:val="24"/>
          <w:highlight w:val="none"/>
          <w:u w:val="none"/>
          <w:lang w:eastAsia="zh-CN"/>
        </w:rPr>
        <w:t>830000元</w:t>
      </w:r>
    </w:p>
    <w:p w14:paraId="6FCDC6D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b w:val="0"/>
          <w:bCs/>
          <w:color w:val="auto"/>
          <w:sz w:val="24"/>
          <w:highlight w:val="non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b w:val="0"/>
          <w:bCs/>
          <w:color w:val="auto"/>
          <w:sz w:val="24"/>
          <w:highlight w:val="none"/>
          <w:lang w:eastAsia="zh-CN"/>
        </w:rPr>
        <w:t>柯城区人民检察院工作网等保三级安全防护建设项目，详见招标文件</w:t>
      </w:r>
      <w:r>
        <w:rPr>
          <w:rFonts w:hint="eastAsia" w:ascii="仿宋" w:hAnsi="仿宋" w:eastAsia="仿宋" w:cs="仿宋"/>
          <w:b w:val="0"/>
          <w:bCs/>
          <w:color w:val="auto"/>
          <w:sz w:val="24"/>
          <w:highlight w:val="none"/>
        </w:rPr>
        <w:t>。</w:t>
      </w:r>
    </w:p>
    <w:p w14:paraId="2ED7118A">
      <w:pPr>
        <w:spacing w:line="500" w:lineRule="exact"/>
        <w:ind w:firstLine="424" w:firstLineChars="176"/>
        <w:rPr>
          <w:rFonts w:hint="default" w:ascii="Times New Roman" w:hAnsi="Times New Roman" w:eastAsia="宋体" w:cs="Times New Roman"/>
          <w:color w:val="auto"/>
          <w:sz w:val="24"/>
          <w:szCs w:val="24"/>
          <w:highlight w:val="none"/>
          <w:lang w:val="en-US" w:eastAsia="zh-CN"/>
        </w:rPr>
      </w:pPr>
      <w:r>
        <w:rPr>
          <w:rFonts w:hint="eastAsia" w:ascii="仿宋" w:hAnsi="仿宋" w:eastAsia="仿宋" w:cs="仿宋"/>
          <w:b/>
          <w:color w:val="auto"/>
          <w:sz w:val="24"/>
          <w:highlight w:val="none"/>
        </w:rPr>
        <w:t>合同履行期限</w:t>
      </w:r>
      <w:r>
        <w:rPr>
          <w:rFonts w:hint="eastAsia" w:ascii="仿宋" w:hAnsi="仿宋" w:eastAsia="仿宋" w:cs="仿宋"/>
          <w:color w:val="auto"/>
          <w:sz w:val="24"/>
          <w:highlight w:val="none"/>
        </w:rPr>
        <w:t>：</w:t>
      </w:r>
      <w:r>
        <w:rPr>
          <w:rFonts w:hint="eastAsia" w:ascii="仿宋" w:hAnsi="仿宋" w:eastAsia="仿宋" w:cs="仿宋"/>
          <w:b w:val="0"/>
          <w:bCs/>
          <w:color w:val="auto"/>
          <w:sz w:val="24"/>
          <w:highlight w:val="none"/>
          <w:u w:val="single"/>
          <w:lang w:val="en-US" w:eastAsia="zh-CN"/>
        </w:rPr>
        <w:t>30日历天。</w:t>
      </w:r>
    </w:p>
    <w:p w14:paraId="3F0DECED">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highlight w:val="none"/>
        </w:rPr>
      </w:pPr>
      <w:r>
        <w:rPr>
          <w:rFonts w:hint="eastAsia" w:ascii="仿宋" w:hAnsi="仿宋" w:eastAsia="仿宋" w:cs="仿宋"/>
          <w:b/>
          <w:color w:val="auto"/>
          <w:sz w:val="24"/>
          <w:highlight w:val="none"/>
        </w:rPr>
        <w:t>本项目（</w:t>
      </w:r>
      <w:r>
        <w:rPr>
          <w:rFonts w:hint="eastAsia" w:ascii="仿宋" w:hAnsi="仿宋" w:eastAsia="仿宋" w:cs="仿宋"/>
          <w:b/>
          <w:color w:val="auto"/>
          <w:sz w:val="24"/>
          <w:highlight w:val="none"/>
          <w:lang w:val="en-US" w:eastAsia="zh-CN"/>
        </w:rPr>
        <w:t>是</w:t>
      </w:r>
      <w:r>
        <w:rPr>
          <w:rFonts w:hint="eastAsia" w:ascii="仿宋" w:hAnsi="仿宋" w:eastAsia="仿宋" w:cs="仿宋"/>
          <w:b/>
          <w:color w:val="auto"/>
          <w:sz w:val="24"/>
          <w:highlight w:val="none"/>
        </w:rPr>
        <w:t>）接受联合体投标。</w:t>
      </w:r>
    </w:p>
    <w:p w14:paraId="35393D3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二、申请人的资格要求：</w:t>
      </w:r>
    </w:p>
    <w:p w14:paraId="325A454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C3E2E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以联合体形式投标的，提供联合协议(投标人不以联合体形式投标的，则不需要提供) ；</w:t>
      </w:r>
    </w:p>
    <w:p w14:paraId="3DD9F4E2">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3.落实政府采购政策需满足的资格要求：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color w:val="auto"/>
          <w:sz w:val="24"/>
          <w:highlight w:val="none"/>
          <w:lang w:eastAsia="zh-CN"/>
        </w:rPr>
        <w:t>。</w:t>
      </w:r>
    </w:p>
    <w:p w14:paraId="0466100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highlight w:val="none"/>
          <w:lang w:val="en-US" w:eastAsia="zh-CN"/>
        </w:rPr>
        <w:t>无</w:t>
      </w:r>
      <w:r>
        <w:rPr>
          <w:rFonts w:hint="eastAsia" w:ascii="仿宋" w:hAnsi="仿宋" w:eastAsia="仿宋" w:cs="仿宋"/>
          <w:color w:val="auto"/>
          <w:sz w:val="24"/>
          <w:highlight w:val="none"/>
        </w:rPr>
        <w:t>；</w:t>
      </w:r>
    </w:p>
    <w:p w14:paraId="66D01237">
      <w:pPr>
        <w:pageBreakBefore w:val="0"/>
        <w:widowControl w:val="0"/>
        <w:kinsoku/>
        <w:wordWrap/>
        <w:overflowPunct/>
        <w:topLinePunct w:val="0"/>
        <w:autoSpaceDE/>
        <w:autoSpaceDN/>
        <w:bidi w:val="0"/>
        <w:snapToGrid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w:t>
      </w:r>
    </w:p>
    <w:p w14:paraId="5EB0FC80">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758CD9A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11月4</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376EDFDE">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7434164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3AF26794">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5AD491C7">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0EA40D63">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11月4</w:t>
      </w:r>
      <w:r>
        <w:rPr>
          <w:rFonts w:hint="eastAsia" w:ascii="仿宋" w:hAnsi="仿宋" w:eastAsia="仿宋" w:cs="仿宋"/>
          <w:color w:val="auto"/>
          <w:sz w:val="24"/>
          <w:highlight w:val="none"/>
          <w:u w:val="single"/>
        </w:rPr>
        <w:t>日14点30分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r>
        <w:rPr>
          <w:rFonts w:hint="eastAsia" w:ascii="仿宋" w:hAnsi="仿宋" w:eastAsia="仿宋" w:cs="仿宋"/>
          <w:color w:val="auto"/>
          <w:sz w:val="24"/>
          <w:highlight w:val="none"/>
        </w:rPr>
        <w:t>（北京时间）</w:t>
      </w:r>
    </w:p>
    <w:p w14:paraId="38715B58">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AA29CFF">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2024</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11月4</w:t>
      </w:r>
      <w:r>
        <w:rPr>
          <w:rFonts w:hint="eastAsia" w:ascii="仿宋" w:hAnsi="仿宋" w:eastAsia="仿宋" w:cs="仿宋"/>
          <w:color w:val="auto"/>
          <w:sz w:val="24"/>
          <w:highlight w:val="none"/>
          <w:u w:val="single"/>
        </w:rPr>
        <w:t>日14点30分</w:t>
      </w:r>
      <w:r>
        <w:rPr>
          <w:rFonts w:hint="eastAsia" w:ascii="仿宋" w:hAnsi="仿宋" w:eastAsia="仿宋" w:cs="仿宋"/>
          <w:color w:val="auto"/>
          <w:sz w:val="24"/>
          <w:highlight w:val="none"/>
          <w:u w:val="single"/>
          <w:lang w:val="en-US" w:eastAsia="zh-CN"/>
        </w:rPr>
        <w:t>00</w:t>
      </w:r>
      <w:r>
        <w:rPr>
          <w:rFonts w:hint="eastAsia" w:ascii="仿宋" w:hAnsi="仿宋" w:eastAsia="仿宋" w:cs="仿宋"/>
          <w:color w:val="auto"/>
          <w:sz w:val="24"/>
          <w:highlight w:val="none"/>
          <w:u w:val="single"/>
        </w:rPr>
        <w:t>秒</w:t>
      </w:r>
    </w:p>
    <w:p w14:paraId="422850D7">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14:paraId="6C372808">
      <w:pPr>
        <w:pageBreakBefore w:val="0"/>
        <w:widowControl w:val="0"/>
        <w:kinsoku/>
        <w:wordWrap/>
        <w:overflowPunct/>
        <w:topLinePunct w:val="0"/>
        <w:autoSpaceDE/>
        <w:autoSpaceDN/>
        <w:bidi w:val="0"/>
        <w:spacing w:line="360" w:lineRule="auto"/>
        <w:textAlignment w:val="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331A9E5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15D41A36">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24988BC0">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83B908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822E2E">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D2FEEC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BE5238C">
      <w:pPr>
        <w:pageBreakBefore w:val="0"/>
        <w:widowControl w:val="0"/>
        <w:kinsoku/>
        <w:wordWrap/>
        <w:overflowPunct/>
        <w:topLinePunct w:val="0"/>
        <w:autoSpaceDE/>
        <w:autoSpaceDN/>
        <w:bidi w:val="0"/>
        <w:spacing w:line="360" w:lineRule="auto"/>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07DE66B3">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szCs w:val="24"/>
          <w:highlight w:val="none"/>
        </w:rPr>
      </w:pPr>
      <w:bookmarkStart w:id="5" w:name="_Toc28359096"/>
      <w:bookmarkStart w:id="6" w:name="_Toc28359019"/>
      <w:bookmarkStart w:id="7" w:name="_Toc35393637"/>
      <w:bookmarkStart w:id="8" w:name="_Toc35393806"/>
      <w:r>
        <w:rPr>
          <w:rFonts w:hint="eastAsia" w:ascii="仿宋" w:hAnsi="仿宋" w:eastAsia="仿宋" w:cs="仿宋"/>
          <w:color w:val="auto"/>
          <w:sz w:val="24"/>
          <w:szCs w:val="24"/>
          <w:highlight w:val="none"/>
        </w:rPr>
        <w:t>1.采购人信息</w:t>
      </w:r>
      <w:bookmarkEnd w:id="5"/>
      <w:bookmarkEnd w:id="6"/>
      <w:bookmarkEnd w:id="7"/>
      <w:bookmarkEnd w:id="8"/>
      <w:r>
        <w:rPr>
          <w:rFonts w:hint="eastAsia" w:ascii="仿宋" w:hAnsi="仿宋" w:eastAsia="仿宋" w:cs="仿宋"/>
          <w:color w:val="auto"/>
          <w:sz w:val="24"/>
          <w:szCs w:val="24"/>
          <w:highlight w:val="none"/>
        </w:rPr>
        <w:t>：</w:t>
      </w:r>
    </w:p>
    <w:p w14:paraId="714C538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衢州市柯城区人民检察院</w:t>
      </w:r>
    </w:p>
    <w:p w14:paraId="3FF4C42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地    址：浙江省衢州市双港路406号</w:t>
      </w:r>
    </w:p>
    <w:p w14:paraId="23DED21A">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val="en-US" w:eastAsia="zh-CN"/>
        </w:rPr>
        <w:t xml:space="preserve">程女士 </w:t>
      </w:r>
      <w:r>
        <w:rPr>
          <w:rFonts w:hint="eastAsia" w:ascii="仿宋" w:hAnsi="仿宋" w:eastAsia="仿宋" w:cs="仿宋"/>
          <w:color w:val="auto"/>
          <w:sz w:val="24"/>
          <w:highlight w:val="none"/>
        </w:rPr>
        <w:t xml:space="preserve"> </w:t>
      </w:r>
    </w:p>
    <w:p w14:paraId="766191D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项目联系方式（询问）：</w:t>
      </w:r>
      <w:r>
        <w:rPr>
          <w:rFonts w:hint="eastAsia" w:ascii="仿宋" w:hAnsi="仿宋" w:eastAsia="仿宋" w:cs="仿宋"/>
          <w:color w:val="auto"/>
          <w:sz w:val="24"/>
          <w:highlight w:val="none"/>
          <w:lang w:eastAsia="zh-CN"/>
        </w:rPr>
        <w:t>0570-3135212</w:t>
      </w:r>
      <w:r>
        <w:rPr>
          <w:rFonts w:hint="eastAsia" w:ascii="仿宋" w:hAnsi="仿宋" w:eastAsia="仿宋" w:cs="仿宋"/>
          <w:color w:val="auto"/>
          <w:sz w:val="24"/>
          <w:highlight w:val="none"/>
          <w:lang w:val="en-US" w:eastAsia="zh-CN"/>
        </w:rPr>
        <w:t xml:space="preserve"> </w:t>
      </w:r>
    </w:p>
    <w:p w14:paraId="3FC4E96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质疑联系人：徐先生</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szCs w:val="24"/>
          <w:highlight w:val="none"/>
          <w:lang w:val="en-US" w:eastAsia="zh-CN"/>
        </w:rPr>
        <w:t xml:space="preserve"> </w:t>
      </w:r>
      <w:r>
        <w:rPr>
          <w:rFonts w:hint="eastAsia" w:ascii="仿宋" w:hAnsi="仿宋" w:eastAsia="仿宋" w:cs="仿宋"/>
          <w:color w:val="auto"/>
          <w:sz w:val="24"/>
          <w:highlight w:val="none"/>
        </w:rPr>
        <w:t xml:space="preserve"> </w:t>
      </w:r>
    </w:p>
    <w:p w14:paraId="20CA593C">
      <w:pPr>
        <w:pageBreakBefore w:val="0"/>
        <w:widowControl w:val="0"/>
        <w:kinsoku/>
        <w:wordWrap/>
        <w:overflowPunct/>
        <w:topLinePunct w:val="0"/>
        <w:autoSpaceDE/>
        <w:autoSpaceDN/>
        <w:bidi w:val="0"/>
        <w:spacing w:line="360" w:lineRule="auto"/>
        <w:ind w:left="0" w:firstLine="480" w:firstLineChars="200"/>
        <w:textAlignment w:val="auto"/>
        <w:rPr>
          <w:rFonts w:hint="default" w:ascii="仿宋" w:hAnsi="仿宋" w:eastAsia="仿宋" w:cs="仿宋"/>
          <w:color w:val="auto"/>
          <w:sz w:val="24"/>
          <w:highlight w:val="none"/>
          <w:lang w:val="en-US"/>
        </w:rPr>
      </w:pP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eastAsia="zh-CN"/>
        </w:rPr>
        <w:t>0570-3135262</w:t>
      </w:r>
      <w:r>
        <w:rPr>
          <w:rFonts w:hint="eastAsia" w:ascii="仿宋" w:hAnsi="仿宋" w:eastAsia="仿宋" w:cs="仿宋"/>
          <w:color w:val="auto"/>
          <w:kern w:val="0"/>
          <w:sz w:val="24"/>
          <w:szCs w:val="24"/>
          <w:highlight w:val="none"/>
          <w:lang w:val="en-US" w:eastAsia="zh-CN"/>
        </w:rPr>
        <w:t xml:space="preserve"> </w:t>
      </w:r>
    </w:p>
    <w:p w14:paraId="1118F12C">
      <w:pPr>
        <w:pStyle w:val="4"/>
        <w:pageBreakBefore w:val="0"/>
        <w:widowControl w:val="0"/>
        <w:numPr>
          <w:ilvl w:val="0"/>
          <w:numId w:val="0"/>
        </w:numPr>
        <w:kinsoku/>
        <w:wordWrap/>
        <w:overflowPunct/>
        <w:topLinePunct w:val="0"/>
        <w:autoSpaceDE/>
        <w:autoSpaceDN/>
        <w:bidi w:val="0"/>
        <w:spacing w:line="360" w:lineRule="auto"/>
        <w:ind w:left="0" w:firstLine="482" w:firstLineChars="200"/>
        <w:textAlignment w:val="auto"/>
        <w:rPr>
          <w:rFonts w:hint="eastAsia" w:ascii="仿宋" w:hAnsi="仿宋" w:eastAsia="仿宋" w:cs="仿宋"/>
          <w:color w:val="auto"/>
          <w:sz w:val="24"/>
          <w:highlight w:val="none"/>
        </w:rPr>
      </w:pPr>
      <w:bookmarkStart w:id="9" w:name="_Toc35393807"/>
      <w:bookmarkStart w:id="10" w:name="_Toc35393638"/>
      <w:bookmarkStart w:id="11" w:name="_Toc28359020"/>
      <w:bookmarkStart w:id="12" w:name="_Toc28359097"/>
      <w:r>
        <w:rPr>
          <w:rFonts w:hint="eastAsia" w:ascii="仿宋" w:hAnsi="仿宋" w:eastAsia="仿宋" w:cs="仿宋"/>
          <w:color w:val="auto"/>
          <w:sz w:val="24"/>
          <w:szCs w:val="24"/>
          <w:highlight w:val="none"/>
        </w:rPr>
        <w:t>2.采购代理机构信息</w:t>
      </w:r>
      <w:bookmarkEnd w:id="9"/>
      <w:bookmarkEnd w:id="10"/>
      <w:bookmarkEnd w:id="11"/>
      <w:bookmarkEnd w:id="12"/>
      <w:r>
        <w:rPr>
          <w:rFonts w:hint="eastAsia" w:ascii="仿宋" w:hAnsi="仿宋" w:eastAsia="仿宋" w:cs="仿宋"/>
          <w:color w:val="auto"/>
          <w:sz w:val="24"/>
          <w:szCs w:val="24"/>
          <w:highlight w:val="none"/>
        </w:rPr>
        <w:t>：</w:t>
      </w:r>
    </w:p>
    <w:p w14:paraId="6AAD67D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名    称：浙江新世纪工程咨询有限公司             </w:t>
      </w:r>
    </w:p>
    <w:p w14:paraId="37AE016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 xml:space="preserve">地    址：衢州市柯城区白云北大道509号印象西城8楼 </w:t>
      </w:r>
    </w:p>
    <w:p w14:paraId="69C5CA6C">
      <w:pPr>
        <w:pageBreakBefore w:val="0"/>
        <w:widowControl w:val="0"/>
        <w:kinsoku/>
        <w:wordWrap/>
        <w:overflowPunct/>
        <w:topLinePunct w:val="0"/>
        <w:autoSpaceDE/>
        <w:autoSpaceDN/>
        <w:bidi w:val="0"/>
        <w:spacing w:line="360" w:lineRule="auto"/>
        <w:ind w:left="0" w:firstLine="420" w:firstLineChars="200"/>
        <w:textAlignment w:val="auto"/>
        <w:rPr>
          <w:rFonts w:hint="eastAsia" w:ascii="仿宋" w:hAnsi="仿宋" w:eastAsia="仿宋" w:cs="仿宋"/>
          <w:color w:val="auto"/>
          <w:sz w:val="24"/>
          <w:highlight w:val="none"/>
          <w:lang w:eastAsia="zh-CN"/>
        </w:rPr>
      </w:pPr>
      <w:bookmarkStart w:id="13" w:name="_Toc35393639"/>
      <w:bookmarkStart w:id="14" w:name="_Toc28359021"/>
      <w:bookmarkStart w:id="15" w:name="_Toc28359098"/>
      <w:bookmarkStart w:id="16" w:name="_Toc35393808"/>
      <w:r>
        <w:rPr>
          <w:rFonts w:ascii="Arial" w:hAnsi="Arial" w:cs="Arial"/>
          <w:color w:val="auto"/>
          <w:highlight w:val="none"/>
          <w:lang w:eastAsia="zh-CN"/>
        </w:rPr>
        <w:t> </w:t>
      </w:r>
      <w:r>
        <w:rPr>
          <w:rFonts w:hint="eastAsia" w:ascii="仿宋" w:hAnsi="仿宋" w:eastAsia="仿宋" w:cs="仿宋"/>
          <w:color w:val="auto"/>
          <w:sz w:val="24"/>
          <w:highlight w:val="none"/>
          <w:lang w:eastAsia="zh-CN"/>
        </w:rPr>
        <w:t>项目联系人（询问）：徐</w:t>
      </w:r>
      <w:r>
        <w:rPr>
          <w:rFonts w:hint="eastAsia" w:ascii="仿宋" w:hAnsi="仿宋" w:eastAsia="仿宋" w:cs="仿宋"/>
          <w:color w:val="auto"/>
          <w:sz w:val="24"/>
          <w:highlight w:val="none"/>
          <w:lang w:val="en-US" w:eastAsia="zh-CN"/>
        </w:rPr>
        <w:t>先生</w:t>
      </w:r>
      <w:r>
        <w:rPr>
          <w:rFonts w:hint="eastAsia" w:ascii="仿宋" w:hAnsi="仿宋" w:eastAsia="仿宋" w:cs="仿宋"/>
          <w:color w:val="auto"/>
          <w:sz w:val="24"/>
          <w:highlight w:val="none"/>
          <w:lang w:eastAsia="zh-CN"/>
        </w:rPr>
        <w:t> </w:t>
      </w:r>
    </w:p>
    <w:p w14:paraId="12715458">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项目联系方式（询问）： 0570-8589008  18657045122</w:t>
      </w:r>
    </w:p>
    <w:p w14:paraId="1DFC768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质疑联系人：刘育芳</w:t>
      </w:r>
    </w:p>
    <w:p w14:paraId="00CDF194">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质疑联系方式：0570-8589088</w:t>
      </w:r>
    </w:p>
    <w:p w14:paraId="6936686B">
      <w:pPr>
        <w:pageBreakBefore w:val="0"/>
        <w:widowControl w:val="0"/>
        <w:kinsoku/>
        <w:wordWrap/>
        <w:overflowPunct/>
        <w:topLinePunct w:val="0"/>
        <w:autoSpaceDE/>
        <w:autoSpaceDN/>
        <w:bidi w:val="0"/>
        <w:spacing w:line="360" w:lineRule="auto"/>
        <w:ind w:left="0" w:firstLine="482" w:firstLineChars="200"/>
        <w:textAlignment w:val="auto"/>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13"/>
    <w:bookmarkEnd w:id="14"/>
    <w:bookmarkEnd w:id="15"/>
    <w:bookmarkEnd w:id="16"/>
    <w:p w14:paraId="58F0C3D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名    称：</w:t>
      </w:r>
      <w:r>
        <w:rPr>
          <w:rFonts w:hint="eastAsia" w:ascii="仿宋" w:hAnsi="仿宋" w:eastAsia="仿宋" w:cs="仿宋"/>
          <w:color w:val="auto"/>
          <w:sz w:val="24"/>
          <w:highlight w:val="none"/>
          <w:lang w:val="en-US" w:eastAsia="zh-CN"/>
        </w:rPr>
        <w:t>柯城区</w:t>
      </w:r>
      <w:r>
        <w:rPr>
          <w:rFonts w:hint="eastAsia" w:ascii="仿宋" w:hAnsi="仿宋" w:eastAsia="仿宋" w:cs="仿宋"/>
          <w:color w:val="auto"/>
          <w:sz w:val="24"/>
          <w:highlight w:val="none"/>
          <w:lang w:eastAsia="zh-CN"/>
        </w:rPr>
        <w:t>财政局</w:t>
      </w:r>
    </w:p>
    <w:p w14:paraId="3FF5B556">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地    址：浙江省衢州市柯城区上街92号</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eastAsia="zh-CN"/>
        </w:rPr>
        <w:t xml:space="preserve"> </w:t>
      </w:r>
    </w:p>
    <w:p w14:paraId="47EC1340">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联系人：</w:t>
      </w:r>
      <w:r>
        <w:rPr>
          <w:rFonts w:hint="eastAsia" w:ascii="仿宋" w:hAnsi="仿宋" w:eastAsia="仿宋" w:cs="仿宋"/>
          <w:color w:val="auto"/>
          <w:sz w:val="24"/>
          <w:highlight w:val="none"/>
          <w:lang w:val="en-US" w:eastAsia="zh-CN"/>
        </w:rPr>
        <w:t>蒋</w:t>
      </w:r>
      <w:r>
        <w:rPr>
          <w:rFonts w:hint="eastAsia" w:ascii="仿宋" w:hAnsi="仿宋" w:eastAsia="仿宋" w:cs="仿宋"/>
          <w:color w:val="auto"/>
          <w:sz w:val="24"/>
          <w:highlight w:val="none"/>
          <w:lang w:eastAsia="zh-CN"/>
        </w:rPr>
        <w:t>先生</w:t>
      </w:r>
      <w:r>
        <w:rPr>
          <w:rFonts w:hint="eastAsia" w:ascii="仿宋" w:hAnsi="仿宋" w:eastAsia="仿宋" w:cs="仿宋"/>
          <w:color w:val="auto"/>
          <w:sz w:val="24"/>
          <w:highlight w:val="none"/>
          <w:lang w:val="en-US" w:eastAsia="zh-CN"/>
        </w:rPr>
        <w:t xml:space="preserve"> </w:t>
      </w:r>
    </w:p>
    <w:p w14:paraId="37D9DB47">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监督投诉电话：0570-</w:t>
      </w:r>
      <w:r>
        <w:rPr>
          <w:rFonts w:hint="eastAsia" w:ascii="仿宋" w:hAnsi="仿宋" w:eastAsia="仿宋" w:cs="仿宋"/>
          <w:color w:val="auto"/>
          <w:sz w:val="24"/>
          <w:highlight w:val="none"/>
          <w:lang w:val="en-US" w:eastAsia="zh-CN"/>
        </w:rPr>
        <w:t>3028506</w:t>
      </w:r>
      <w:r>
        <w:rPr>
          <w:rFonts w:hint="eastAsia" w:ascii="仿宋" w:hAnsi="仿宋" w:eastAsia="仿宋" w:cs="仿宋"/>
          <w:color w:val="auto"/>
          <w:sz w:val="24"/>
          <w:highlight w:val="none"/>
          <w:lang w:eastAsia="zh-CN"/>
        </w:rPr>
        <w:t xml:space="preserve">  </w:t>
      </w:r>
    </w:p>
    <w:p w14:paraId="5A16E6EF">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14:paraId="69D79B69">
      <w:pPr>
        <w:pageBreakBefore w:val="0"/>
        <w:widowControl w:val="0"/>
        <w:kinsoku/>
        <w:wordWrap/>
        <w:overflowPunct/>
        <w:topLinePunct w:val="0"/>
        <w:autoSpaceDE/>
        <w:autoSpaceDN/>
        <w:bidi w:val="0"/>
        <w:spacing w:line="360" w:lineRule="auto"/>
        <w:ind w:left="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266B8917">
      <w:pPr>
        <w:widowControl/>
        <w:adjustRightInd/>
        <w:jc w:val="left"/>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22421C26">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2"/>
      <w:r>
        <w:rPr>
          <w:rFonts w:hint="eastAsia" w:ascii="仿宋" w:hAnsi="仿宋" w:eastAsia="仿宋" w:cs="仿宋"/>
          <w:b/>
          <w:color w:val="auto"/>
          <w:sz w:val="36"/>
          <w:szCs w:val="20"/>
          <w:highlight w:val="none"/>
        </w:rPr>
        <w:t xml:space="preserve"> 投标须知</w:t>
      </w:r>
      <w:bookmarkEnd w:id="3"/>
    </w:p>
    <w:p w14:paraId="29D60CA8">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55"/>
        <w:gridCol w:w="7515"/>
      </w:tblGrid>
      <w:tr w14:paraId="54665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70" w:type="dxa"/>
            <w:vAlign w:val="center"/>
          </w:tcPr>
          <w:p w14:paraId="11077BC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0" w:type="dxa"/>
            <w:gridSpan w:val="2"/>
            <w:vAlign w:val="center"/>
          </w:tcPr>
          <w:p w14:paraId="54587D7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14:paraId="7C015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69F45A28">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0" w:type="dxa"/>
            <w:gridSpan w:val="2"/>
            <w:vAlign w:val="center"/>
          </w:tcPr>
          <w:p w14:paraId="7411E1E6">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14:paraId="72EB6CA7">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14:paraId="0C6760E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b/>
                <w:color w:val="auto"/>
                <w:sz w:val="24"/>
                <w:highlight w:val="none"/>
              </w:rPr>
              <w:t>2.法定代表人的被授权委托人必须是投标单位职工。需在投标响应文件技术部分内提供由社保机构出具的该授权代表的社保证明（1.如该授权代表为离退休返聘人员的，投标响应文件技术部分内需提供退休证明及单位聘用证明;2.如由第三方代理社保事项的，则需提供加盖投标人公章的委托代理协议复印件）。</w:t>
            </w:r>
          </w:p>
        </w:tc>
      </w:tr>
      <w:tr w14:paraId="315CE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70" w:type="dxa"/>
            <w:vAlign w:val="center"/>
          </w:tcPr>
          <w:p w14:paraId="2347557E">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0" w:type="dxa"/>
            <w:gridSpan w:val="2"/>
            <w:vAlign w:val="center"/>
          </w:tcPr>
          <w:p w14:paraId="16A97468">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投标有效期：</w:t>
            </w:r>
            <w:r>
              <w:rPr>
                <w:rFonts w:hint="eastAsia" w:ascii="仿宋" w:hAnsi="仿宋" w:eastAsia="仿宋" w:cs="仿宋"/>
                <w:color w:val="auto"/>
                <w:sz w:val="24"/>
                <w:highlight w:val="none"/>
              </w:rPr>
              <w:t>投标有效期为从提交投标文件的截止之日起90天。</w:t>
            </w:r>
            <w:r>
              <w:rPr>
                <w:rFonts w:hint="eastAsia" w:ascii="仿宋" w:hAnsi="仿宋" w:eastAsia="仿宋" w:cs="仿宋"/>
                <w:b/>
                <w:color w:val="auto"/>
                <w:sz w:val="24"/>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tc>
      </w:tr>
      <w:tr w14:paraId="19607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70" w:type="dxa"/>
            <w:vAlign w:val="center"/>
          </w:tcPr>
          <w:p w14:paraId="1E80084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0" w:type="dxa"/>
            <w:gridSpan w:val="2"/>
            <w:vAlign w:val="center"/>
          </w:tcPr>
          <w:p w14:paraId="12F1022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14:paraId="6852A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59F3227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0" w:type="dxa"/>
            <w:gridSpan w:val="2"/>
            <w:vAlign w:val="center"/>
          </w:tcPr>
          <w:p w14:paraId="6022076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同意将非主体、非关键性的工作分包。</w:t>
            </w:r>
          </w:p>
          <w:p w14:paraId="1E00E0AB">
            <w:pPr>
              <w:keepNext w:val="0"/>
              <w:keepLines w:val="0"/>
              <w:pageBreakBefore w:val="0"/>
              <w:widowControl w:val="0"/>
              <w:kinsoku/>
              <w:wordWrap/>
              <w:overflowPunct/>
              <w:topLinePunct w:val="0"/>
              <w:bidi w:val="0"/>
              <w:adjustRightInd w:val="0"/>
              <w:spacing w:line="440" w:lineRule="exact"/>
              <w:ind w:left="0" w:leftChars="0" w:right="0" w:rightChars="0" w:firstLine="720" w:firstLineChars="300"/>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14:paraId="19EAE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870" w:type="dxa"/>
            <w:vAlign w:val="center"/>
          </w:tcPr>
          <w:p w14:paraId="3ABA80C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0" w:type="dxa"/>
            <w:gridSpan w:val="2"/>
            <w:vAlign w:val="center"/>
          </w:tcPr>
          <w:p w14:paraId="4663CD1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highlight w:val="none"/>
              </w:rPr>
              <w:t>投标文件份数：</w:t>
            </w:r>
            <w:r>
              <w:rPr>
                <w:rFonts w:hint="eastAsia" w:ascii="仿宋" w:hAnsi="仿宋" w:eastAsia="仿宋" w:cs="仿宋"/>
                <w:color w:val="auto"/>
                <w:sz w:val="24"/>
                <w:highlight w:val="none"/>
              </w:rPr>
              <w:t>本项目实行网上投标，供应商于“政采云”上提供电子投标文件。</w:t>
            </w:r>
          </w:p>
        </w:tc>
      </w:tr>
      <w:tr w14:paraId="701AF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70" w:type="dxa"/>
            <w:vAlign w:val="center"/>
          </w:tcPr>
          <w:p w14:paraId="2B67A60D">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0" w:type="dxa"/>
            <w:gridSpan w:val="2"/>
            <w:vAlign w:val="center"/>
          </w:tcPr>
          <w:p w14:paraId="35AD371A">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14:paraId="6754FDA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14:paraId="76D4DC7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textAlignment w:val="bottom"/>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14:paraId="27347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70" w:type="dxa"/>
            <w:vAlign w:val="center"/>
          </w:tcPr>
          <w:p w14:paraId="144857A3">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0" w:type="dxa"/>
            <w:gridSpan w:val="2"/>
            <w:vAlign w:val="center"/>
          </w:tcPr>
          <w:p w14:paraId="1B222D2E">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14:paraId="384B72E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不要求提供。</w:t>
            </w:r>
          </w:p>
          <w:p w14:paraId="6A9402FF">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B要求提供，</w:t>
            </w:r>
          </w:p>
          <w:p w14:paraId="081B4F2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snapToGrid w:val="0"/>
                <w:color w:val="auto"/>
                <w:kern w:val="28"/>
                <w:sz w:val="24"/>
                <w:highlight w:val="none"/>
                <w:u w:val="single"/>
              </w:rPr>
              <w:t>；</w:t>
            </w:r>
          </w:p>
          <w:p w14:paraId="5F336147">
            <w:pPr>
              <w:rPr>
                <w:rFonts w:hint="default" w:ascii="仿宋" w:hAnsi="仿宋" w:eastAsia="仿宋" w:cs="仿宋"/>
                <w:snapToGrid w:val="0"/>
                <w:color w:val="auto"/>
                <w:kern w:val="28"/>
                <w:sz w:val="24"/>
                <w:highlight w:val="none"/>
                <w:lang w:val="en-US" w:eastAsia="zh-CN"/>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snapToGrid w:val="0"/>
                <w:color w:val="auto"/>
                <w:kern w:val="28"/>
                <w:sz w:val="24"/>
                <w:highlight w:val="none"/>
                <w:lang w:val="en-US" w:eastAsia="zh-CN"/>
              </w:rPr>
              <w:t>详见</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u w:val="single"/>
              </w:rPr>
              <w:t>第三部分 招标项目范围及要求</w:t>
            </w:r>
            <w:r>
              <w:rPr>
                <w:rFonts w:hint="eastAsia" w:ascii="仿宋" w:hAnsi="仿宋" w:eastAsia="仿宋" w:cs="仿宋"/>
                <w:snapToGrid w:val="0"/>
                <w:color w:val="auto"/>
                <w:kern w:val="28"/>
                <w:sz w:val="24"/>
                <w:highlight w:val="none"/>
                <w:u w:val="single"/>
                <w:lang w:val="en-US" w:eastAsia="zh-CN"/>
              </w:rPr>
              <w:t>”</w:t>
            </w:r>
            <w:r>
              <w:rPr>
                <w:rFonts w:hint="eastAsia" w:ascii="仿宋" w:hAnsi="仿宋" w:eastAsia="仿宋" w:cs="仿宋"/>
                <w:snapToGrid w:val="0"/>
                <w:color w:val="auto"/>
                <w:kern w:val="28"/>
                <w:sz w:val="24"/>
                <w:highlight w:val="none"/>
                <w:lang w:val="en-US" w:eastAsia="zh-CN"/>
              </w:rPr>
              <w:t>。</w:t>
            </w:r>
          </w:p>
          <w:p w14:paraId="28F8F387">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14:paraId="47E45FA5">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14:paraId="4BFC8B39">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lang w:val="en-US" w:eastAsia="zh-CN"/>
              </w:rPr>
              <w:t>同投标截止时间</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lang w:val="en-US" w:eastAsia="zh-CN"/>
              </w:rPr>
              <w:t>浙江新世纪工程咨询有限公司</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sz w:val="24"/>
                <w:highlight w:val="none"/>
                <w:u w:val="single"/>
                <w:lang w:val="en-US" w:eastAsia="zh-CN"/>
              </w:rPr>
              <w:t>衢州市柯城区白云北大道509号印象西城8楼</w:t>
            </w:r>
            <w:r>
              <w:rPr>
                <w:rFonts w:hint="eastAsia" w:ascii="仿宋" w:hAnsi="仿宋" w:eastAsia="仿宋" w:cs="仿宋"/>
                <w:color w:val="auto"/>
                <w:sz w:val="24"/>
                <w:highlight w:val="none"/>
                <w:u w:val="single"/>
                <w:lang w:eastAsia="zh-CN"/>
              </w:rPr>
              <w:t>）</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徐俊</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lang w:val="en-US" w:eastAsia="zh-CN"/>
              </w:rPr>
              <w:t>18657045122</w:t>
            </w:r>
            <w:r>
              <w:rPr>
                <w:rFonts w:hint="eastAsia" w:ascii="仿宋" w:hAnsi="仿宋" w:eastAsia="仿宋" w:cs="仿宋"/>
                <w:color w:val="auto"/>
                <w:sz w:val="24"/>
                <w:highlight w:val="none"/>
              </w:rPr>
              <w:t>。请投标人在上述时间内提供样品并按规定位置安装完毕。超过截止时间的，采购人或采购代理机构将不予接收。</w:t>
            </w:r>
          </w:p>
          <w:p w14:paraId="40FF88DD">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w:t>
            </w:r>
            <w:r>
              <w:rPr>
                <w:rFonts w:hint="eastAsia" w:ascii="仿宋" w:hAnsi="仿宋" w:eastAsia="仿宋" w:cs="仿宋"/>
                <w:color w:val="auto"/>
                <w:sz w:val="24"/>
                <w:highlight w:val="none"/>
                <w:lang w:val="en-US" w:eastAsia="zh-CN"/>
              </w:rPr>
              <w:t>未中标单位的</w:t>
            </w:r>
            <w:r>
              <w:rPr>
                <w:rFonts w:hint="eastAsia" w:ascii="仿宋" w:hAnsi="仿宋" w:eastAsia="仿宋" w:cs="仿宋"/>
                <w:color w:val="auto"/>
                <w:sz w:val="24"/>
                <w:highlight w:val="none"/>
              </w:rPr>
              <w:t>样品</w:t>
            </w:r>
            <w:r>
              <w:rPr>
                <w:rFonts w:hint="eastAsia" w:ascii="仿宋" w:hAnsi="仿宋" w:eastAsia="仿宋" w:cs="仿宋"/>
                <w:color w:val="auto"/>
                <w:sz w:val="24"/>
                <w:highlight w:val="none"/>
                <w:lang w:val="en-US" w:eastAsia="zh-CN"/>
              </w:rPr>
              <w:t>予以退还</w:t>
            </w:r>
            <w:r>
              <w:rPr>
                <w:rFonts w:hint="eastAsia" w:ascii="仿宋" w:hAnsi="仿宋" w:eastAsia="仿宋" w:cs="仿宋"/>
                <w:color w:val="auto"/>
                <w:sz w:val="24"/>
                <w:highlight w:val="none"/>
              </w:rPr>
              <w:t>；对于中标人提供的样品，采购人将进行保管、封存，并作为履约验收的参考。</w:t>
            </w:r>
          </w:p>
          <w:p w14:paraId="31D07807">
            <w:pPr>
              <w:keepNext w:val="0"/>
              <w:keepLines w:val="0"/>
              <w:pageBreakBefore w:val="0"/>
              <w:widowControl w:val="0"/>
              <w:kinsoku/>
              <w:wordWrap/>
              <w:overflowPunct/>
              <w:topLinePunct w:val="0"/>
              <w:autoSpaceDE w:val="0"/>
              <w:autoSpaceDN w:val="0"/>
              <w:bidi w:val="0"/>
              <w:adjustRightInd w:val="0"/>
              <w:spacing w:line="440" w:lineRule="exact"/>
              <w:ind w:left="0" w:leftChars="0" w:right="0" w:rightChars="0"/>
              <w:jc w:val="left"/>
              <w:rPr>
                <w:rFonts w:hint="eastAsia" w:ascii="仿宋" w:hAnsi="仿宋" w:eastAsia="仿宋" w:cs="仿宋"/>
                <w:b/>
                <w:color w:val="auto"/>
                <w:kern w:val="2"/>
                <w:sz w:val="24"/>
                <w:szCs w:val="24"/>
                <w:highlight w:val="none"/>
                <w:lang w:val="en-US" w:eastAsia="zh-CN" w:bidi="ar-SA"/>
              </w:rPr>
            </w:pPr>
            <w:r>
              <w:rPr>
                <w:rFonts w:hint="eastAsia" w:ascii="仿宋" w:hAnsi="仿宋" w:eastAsia="仿宋" w:cs="仿宋"/>
                <w:color w:val="auto"/>
                <w:sz w:val="24"/>
                <w:highlight w:val="none"/>
              </w:rPr>
              <w:t>（7）制作、运输、安装和保管样品所发生的一切费用由投标人自理。</w:t>
            </w:r>
          </w:p>
        </w:tc>
      </w:tr>
      <w:tr w14:paraId="7AF5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70" w:type="dxa"/>
            <w:vAlign w:val="center"/>
          </w:tcPr>
          <w:p w14:paraId="610D954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0" w:type="dxa"/>
            <w:gridSpan w:val="2"/>
            <w:vAlign w:val="center"/>
          </w:tcPr>
          <w:p w14:paraId="1D3D891F">
            <w:pPr>
              <w:spacing w:beforeLines="0" w:afterLines="0" w:line="440" w:lineRule="exact"/>
              <w:rPr>
                <w:rFonts w:hint="eastAsia" w:ascii="仿宋_GB2312" w:hAnsi="宋体" w:eastAsia="仿宋_GB2312"/>
                <w:b/>
                <w:color w:val="auto"/>
                <w:sz w:val="24"/>
                <w:szCs w:val="24"/>
                <w:highlight w:val="none"/>
              </w:rPr>
            </w:pPr>
            <w:r>
              <w:rPr>
                <w:rFonts w:hint="eastAsia" w:ascii="仿宋_GB2312" w:hAnsi="宋体" w:eastAsia="仿宋_GB2312"/>
                <w:b/>
                <w:color w:val="auto"/>
                <w:sz w:val="24"/>
                <w:szCs w:val="24"/>
                <w:highlight w:val="none"/>
              </w:rPr>
              <w:t>方案讲解演示：</w:t>
            </w:r>
          </w:p>
          <w:p w14:paraId="7453A645">
            <w:pPr>
              <w:spacing w:beforeLines="0" w:after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14:paraId="2E5F730A">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B有方案讲解演示：</w:t>
            </w:r>
            <w:r>
              <w:rPr>
                <w:rFonts w:hint="eastAsia" w:ascii="仿宋" w:hAnsi="仿宋" w:eastAsia="仿宋" w:cs="仿宋"/>
                <w:b/>
                <w:color w:val="auto"/>
                <w:sz w:val="24"/>
                <w:szCs w:val="24"/>
                <w:highlight w:val="none"/>
                <w:lang w:val="en-US" w:eastAsia="zh-CN"/>
              </w:rPr>
              <w:t>详见评分办法</w:t>
            </w:r>
            <w:r>
              <w:rPr>
                <w:rFonts w:hint="eastAsia" w:ascii="仿宋" w:hAnsi="仿宋" w:eastAsia="仿宋" w:cs="仿宋"/>
                <w:color w:val="auto"/>
                <w:sz w:val="24"/>
                <w:szCs w:val="24"/>
                <w:highlight w:val="none"/>
                <w:lang w:val="zh-CN"/>
              </w:rPr>
              <w:t>。</w:t>
            </w:r>
          </w:p>
        </w:tc>
      </w:tr>
      <w:tr w14:paraId="2C262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2F73CE05">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9</w:t>
            </w:r>
          </w:p>
        </w:tc>
        <w:tc>
          <w:tcPr>
            <w:tcW w:w="855" w:type="dxa"/>
            <w:vAlign w:val="center"/>
          </w:tcPr>
          <w:p w14:paraId="3F1B5B3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515" w:type="dxa"/>
            <w:vAlign w:val="center"/>
          </w:tcPr>
          <w:p w14:paraId="09F341A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本项目不允许采购进口产品</w:t>
            </w:r>
            <w:r>
              <w:rPr>
                <w:rFonts w:hint="eastAsia" w:ascii="仿宋" w:hAnsi="仿宋" w:eastAsia="仿宋" w:cs="仿宋"/>
                <w:color w:val="auto"/>
                <w:kern w:val="0"/>
                <w:sz w:val="24"/>
                <w:highlight w:val="none"/>
                <w:lang w:val="en-US" w:eastAsia="zh-CN"/>
              </w:rPr>
              <w:t>/服务</w:t>
            </w:r>
            <w:r>
              <w:rPr>
                <w:rFonts w:hint="eastAsia" w:ascii="仿宋" w:hAnsi="仿宋" w:eastAsia="仿宋" w:cs="仿宋"/>
                <w:color w:val="auto"/>
                <w:kern w:val="0"/>
                <w:sz w:val="24"/>
                <w:highlight w:val="none"/>
              </w:rPr>
              <w:t>。</w:t>
            </w:r>
          </w:p>
          <w:p w14:paraId="3ED60C8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1EF01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70" w:type="dxa"/>
            <w:vAlign w:val="center"/>
          </w:tcPr>
          <w:p w14:paraId="625BE8C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0</w:t>
            </w:r>
          </w:p>
        </w:tc>
        <w:tc>
          <w:tcPr>
            <w:tcW w:w="855" w:type="dxa"/>
            <w:vAlign w:val="center"/>
          </w:tcPr>
          <w:p w14:paraId="48A25FD8">
            <w:pPr>
              <w:keepNext w:val="0"/>
              <w:keepLines w:val="0"/>
              <w:pageBreakBefore w:val="0"/>
              <w:widowControl w:val="0"/>
              <w:kinsoku/>
              <w:wordWrap/>
              <w:overflowPunct/>
              <w:topLinePunct w:val="0"/>
              <w:bidi w:val="0"/>
              <w:adjustRightInd w:val="0"/>
              <w:snapToGrid w:val="0"/>
              <w:spacing w:line="440" w:lineRule="exact"/>
              <w:ind w:left="14" w:leftChars="0" w:right="0" w:rightChars="0"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515" w:type="dxa"/>
            <w:vAlign w:val="center"/>
          </w:tcPr>
          <w:p w14:paraId="3ADFE086">
            <w:pPr>
              <w:keepNext w:val="0"/>
              <w:keepLines w:val="0"/>
              <w:pageBreakBefore w:val="0"/>
              <w:widowControl w:val="0"/>
              <w:kinsoku/>
              <w:wordWrap/>
              <w:overflowPunct/>
              <w:topLinePunct w:val="0"/>
              <w:bidi w:val="0"/>
              <w:adjustRightInd w:val="0"/>
              <w:spacing w:line="440" w:lineRule="exact"/>
              <w:ind w:left="0" w:leftChars="0" w:right="0" w:rightChars="0"/>
              <w:rPr>
                <w:rFonts w:hint="default" w:ascii="仿宋" w:hAnsi="仿宋" w:eastAsia="仿宋" w:cs="仿宋"/>
                <w:color w:val="auto"/>
                <w:sz w:val="24"/>
                <w:highlight w:val="none"/>
                <w:lang w:val="en-US"/>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i w:val="0"/>
                <w:iCs w:val="0"/>
                <w:color w:val="auto"/>
                <w:kern w:val="0"/>
                <w:sz w:val="24"/>
                <w:szCs w:val="24"/>
                <w:highlight w:val="none"/>
                <w:u w:val="single"/>
                <w:lang w:val="en-US" w:eastAsia="zh-CN" w:bidi="ar"/>
              </w:rPr>
              <w:t>态势感知系统、探针、防火墙、入侵防御系统</w:t>
            </w:r>
            <w:r>
              <w:rPr>
                <w:rFonts w:hint="eastAsia" w:ascii="仿宋" w:hAnsi="仿宋" w:eastAsia="仿宋" w:cs="仿宋"/>
                <w:color w:val="auto"/>
                <w:kern w:val="0"/>
                <w:sz w:val="24"/>
                <w:highlight w:val="none"/>
                <w:u w:val="single"/>
                <w:lang w:val="en-US" w:eastAsia="zh-CN"/>
              </w:rPr>
              <w:t>。</w:t>
            </w:r>
          </w:p>
          <w:p w14:paraId="46B90A99">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B</w:t>
            </w:r>
            <w:r>
              <w:rPr>
                <w:rFonts w:hint="eastAsia" w:ascii="仿宋" w:hAnsi="仿宋" w:eastAsia="仿宋" w:cs="仿宋"/>
                <w:color w:val="auto"/>
                <w:sz w:val="24"/>
                <w:highlight w:val="none"/>
              </w:rPr>
              <w:t>服务类。</w:t>
            </w:r>
          </w:p>
        </w:tc>
      </w:tr>
      <w:tr w14:paraId="0552E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70" w:type="dxa"/>
            <w:vAlign w:val="center"/>
          </w:tcPr>
          <w:p w14:paraId="42601E21">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1</w:t>
            </w:r>
          </w:p>
        </w:tc>
        <w:tc>
          <w:tcPr>
            <w:tcW w:w="855" w:type="dxa"/>
            <w:vAlign w:val="center"/>
          </w:tcPr>
          <w:p w14:paraId="3D755A0F">
            <w:pPr>
              <w:keepNext w:val="0"/>
              <w:keepLines w:val="0"/>
              <w:pageBreakBefore w:val="0"/>
              <w:widowControl w:val="0"/>
              <w:kinsoku/>
              <w:wordWrap/>
              <w:overflowPunct/>
              <w:topLinePunct w:val="0"/>
              <w:bidi w:val="0"/>
              <w:adjustRightInd w:val="0"/>
              <w:snapToGrid w:val="0"/>
              <w:spacing w:line="440" w:lineRule="exact"/>
              <w:ind w:left="0" w:leftChars="0" w:right="0" w:rightChars="0" w:hanging="1"/>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515" w:type="dxa"/>
            <w:vAlign w:val="center"/>
          </w:tcPr>
          <w:p w14:paraId="4AA0802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highlight w:val="none"/>
              </w:rPr>
            </w:pPr>
            <w:r>
              <w:rPr>
                <w:rFonts w:hint="eastAsia" w:ascii="仿宋" w:hAnsi="仿宋" w:eastAsia="仿宋" w:cs="仿宋"/>
                <w:color w:val="auto"/>
                <w:kern w:val="0"/>
                <w:sz w:val="24"/>
                <w:highlight w:val="none"/>
              </w:rPr>
              <w:t>（1）标的：</w:t>
            </w:r>
            <w:r>
              <w:rPr>
                <w:rFonts w:hint="eastAsia" w:ascii="仿宋" w:hAnsi="仿宋" w:eastAsia="仿宋" w:cs="仿宋"/>
                <w:color w:val="auto"/>
                <w:kern w:val="0"/>
                <w:sz w:val="24"/>
                <w:highlight w:val="none"/>
                <w:u w:val="single"/>
                <w:lang w:val="en-US" w:eastAsia="zh-CN"/>
              </w:rPr>
              <w:t>柯城区人民检察院工作网等保三级安全防护建设项目清单范围内的所有货物</w:t>
            </w:r>
            <w:r>
              <w:rPr>
                <w:rFonts w:hint="eastAsia" w:ascii="仿宋" w:hAnsi="仿宋" w:eastAsia="仿宋" w:cs="仿宋"/>
                <w:color w:val="auto"/>
                <w:kern w:val="0"/>
                <w:sz w:val="24"/>
                <w:highlight w:val="none"/>
              </w:rPr>
              <w:t>，属于</w:t>
            </w:r>
            <w:r>
              <w:rPr>
                <w:rFonts w:hint="eastAsia" w:ascii="仿宋" w:hAnsi="仿宋" w:eastAsia="仿宋" w:cs="仿宋"/>
                <w:color w:val="auto"/>
                <w:kern w:val="0"/>
                <w:sz w:val="24"/>
                <w:highlight w:val="none"/>
                <w:u w:val="single"/>
                <w:lang w:val="en-US" w:eastAsia="zh-CN"/>
              </w:rPr>
              <w:t>工业</w:t>
            </w:r>
            <w:r>
              <w:rPr>
                <w:rFonts w:hint="eastAsia" w:ascii="仿宋" w:hAnsi="仿宋" w:eastAsia="仿宋" w:cs="仿宋"/>
                <w:color w:val="auto"/>
                <w:kern w:val="0"/>
                <w:sz w:val="24"/>
                <w:highlight w:val="none"/>
              </w:rPr>
              <w:t>；</w:t>
            </w:r>
            <w:r>
              <w:rPr>
                <w:rFonts w:hint="eastAsia" w:ascii="仿宋" w:hAnsi="仿宋" w:eastAsia="仿宋" w:cs="仿宋"/>
                <w:b/>
                <w:bCs/>
                <w:color w:val="auto"/>
                <w:kern w:val="0"/>
                <w:sz w:val="24"/>
                <w:highlight w:val="none"/>
                <w:lang w:val="en-US" w:eastAsia="zh-CN"/>
              </w:rPr>
              <w:t>相关文件：工信部联企业〔2011〕300号。</w:t>
            </w:r>
          </w:p>
        </w:tc>
      </w:tr>
      <w:tr w14:paraId="077C7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restart"/>
            <w:vAlign w:val="center"/>
          </w:tcPr>
          <w:p w14:paraId="57A075C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2</w:t>
            </w:r>
          </w:p>
        </w:tc>
        <w:tc>
          <w:tcPr>
            <w:tcW w:w="855" w:type="dxa"/>
            <w:vMerge w:val="restart"/>
            <w:vAlign w:val="center"/>
          </w:tcPr>
          <w:p w14:paraId="40D305E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投标人信用信息事项</w:t>
            </w:r>
          </w:p>
        </w:tc>
        <w:tc>
          <w:tcPr>
            <w:tcW w:w="7515" w:type="dxa"/>
            <w:vAlign w:val="center"/>
          </w:tcPr>
          <w:p w14:paraId="1408FFC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采购人或采购人委托的评审小组或采购代理机构将通过“信用中国”网站(www.creditchina.gov.cn)、中国政府采购网(www.ccgp.gov.cn)渠道查询投标人</w:t>
            </w:r>
            <w:r>
              <w:rPr>
                <w:rFonts w:hint="eastAsia" w:ascii="仿宋" w:hAnsi="仿宋" w:eastAsia="仿宋" w:cs="仿宋"/>
                <w:b/>
                <w:color w:val="auto"/>
                <w:sz w:val="24"/>
                <w:highlight w:val="none"/>
              </w:rPr>
              <w:t>开标当天</w:t>
            </w:r>
            <w:r>
              <w:rPr>
                <w:rFonts w:hint="eastAsia" w:ascii="仿宋" w:hAnsi="仿宋" w:eastAsia="仿宋" w:cs="仿宋"/>
                <w:color w:val="auto"/>
                <w:sz w:val="24"/>
                <w:highlight w:val="none"/>
              </w:rPr>
              <w:t>的信用记录。</w:t>
            </w:r>
          </w:p>
        </w:tc>
      </w:tr>
      <w:tr w14:paraId="3C55D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4662226">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07C83133">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348A8B8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采购人或采购人委托的评审小组或采购代理机构现场查询投标人的信用记录。</w:t>
            </w:r>
          </w:p>
        </w:tc>
      </w:tr>
      <w:tr w14:paraId="2771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Merge w:val="continue"/>
            <w:vAlign w:val="center"/>
          </w:tcPr>
          <w:p w14:paraId="6AB05A62">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p>
        </w:tc>
        <w:tc>
          <w:tcPr>
            <w:tcW w:w="855" w:type="dxa"/>
            <w:vMerge w:val="continue"/>
            <w:vAlign w:val="center"/>
          </w:tcPr>
          <w:p w14:paraId="492E4EA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p>
        </w:tc>
        <w:tc>
          <w:tcPr>
            <w:tcW w:w="7515" w:type="dxa"/>
            <w:vAlign w:val="center"/>
          </w:tcPr>
          <w:p w14:paraId="550D880C">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经查询列入失信被执行人名单、重大税收违法案件当事人名单、政府采购严重违法失信行为记录名单的投标人将被拒绝参与政府采购活动。</w:t>
            </w:r>
          </w:p>
          <w:p w14:paraId="4E99D1F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5559B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jc w:val="center"/>
        </w:trPr>
        <w:tc>
          <w:tcPr>
            <w:tcW w:w="870" w:type="dxa"/>
            <w:vAlign w:val="center"/>
          </w:tcPr>
          <w:p w14:paraId="13AABF6B">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3</w:t>
            </w:r>
          </w:p>
        </w:tc>
        <w:tc>
          <w:tcPr>
            <w:tcW w:w="8370" w:type="dxa"/>
            <w:gridSpan w:val="2"/>
            <w:vAlign w:val="center"/>
          </w:tcPr>
          <w:p w14:paraId="731E5A8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需要落实的政府采购政策：包括保护环境、节约能源、促进中小企业发展等。详见招标文件第二部分总则。</w:t>
            </w:r>
          </w:p>
        </w:tc>
      </w:tr>
      <w:tr w14:paraId="2612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0B0D843A">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4</w:t>
            </w:r>
          </w:p>
        </w:tc>
        <w:tc>
          <w:tcPr>
            <w:tcW w:w="8370" w:type="dxa"/>
            <w:gridSpan w:val="2"/>
            <w:vAlign w:val="center"/>
          </w:tcPr>
          <w:p w14:paraId="74808A65">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14:paraId="55CF5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70" w:type="dxa"/>
            <w:vAlign w:val="center"/>
          </w:tcPr>
          <w:p w14:paraId="6FB76629">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w:t>
            </w:r>
          </w:p>
        </w:tc>
        <w:tc>
          <w:tcPr>
            <w:tcW w:w="8370" w:type="dxa"/>
            <w:gridSpan w:val="2"/>
            <w:vAlign w:val="center"/>
          </w:tcPr>
          <w:p w14:paraId="21697A2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投标与开标注意事项：</w:t>
            </w:r>
          </w:p>
          <w:p w14:paraId="240BF158">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1.本项目实行网上投标，采用电子投标文件。若供应商参与投标，自行承担投标一切费用。</w:t>
            </w:r>
          </w:p>
          <w:p w14:paraId="685AAB4A">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2.标前准备：各供应商应在开标前完成CA数字证书办理。供应商将政采云电子交易客户端下载、安装完成后，可通过账号密码或CA登录客户端进行投标文件制作。在使用政采云投标客户端时，建议使用WIN7及以上操作系统。</w:t>
            </w:r>
          </w:p>
          <w:p w14:paraId="159001E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《CA申领操作指南》和《CA管理操作指南》。完成CA数字证书办理在资料齐全的情况下预计7个工作日左右，建议供应商获取招标文件后立即办理。</w:t>
            </w:r>
          </w:p>
          <w:p w14:paraId="51EB4F22">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3.投标文件制作、递交、解密：</w:t>
            </w:r>
          </w:p>
          <w:p w14:paraId="1F733924">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3.1应按照本项目招标文件和政采云平台的要求编制、加密传输投标文件。供应商在使用系统进行投标的过程中遇到涉及平台使用的任何问题，可致电政采云平台技术支持热线咨询，联系方式：95763。</w:t>
            </w:r>
          </w:p>
          <w:p w14:paraId="5A29DDC7">
            <w:pPr>
              <w:keepNext w:val="0"/>
              <w:keepLines w:val="0"/>
              <w:pageBreakBefore w:val="0"/>
              <w:widowControl w:val="0"/>
              <w:kinsoku/>
              <w:wordWrap/>
              <w:overflowPunct/>
              <w:topLinePunct w:val="0"/>
              <w:bidi w:val="0"/>
              <w:adjustRightInd w:val="0"/>
              <w:snapToGrid w:val="0"/>
              <w:spacing w:line="440" w:lineRule="exact"/>
              <w:ind w:left="0" w:leftChars="0" w:right="0" w:right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3.2投标人通过“政采云”平台制作电子投标文件，投标文件制作详见“供应商-政府采购项目电子交易操作指南。</w:t>
            </w:r>
          </w:p>
          <w:p w14:paraId="3A2446DF">
            <w:pPr>
              <w:keepNext w:val="0"/>
              <w:keepLines w:val="0"/>
              <w:pageBreakBefore w:val="0"/>
              <w:widowControl w:val="0"/>
              <w:kinsoku/>
              <w:wordWrap/>
              <w:overflowPunct/>
              <w:topLinePunct w:val="0"/>
              <w:bidi w:val="0"/>
              <w:adjustRightInd w:val="0"/>
              <w:snapToGri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3.3开标时间后30分钟内供应商可以登录“政采云”平台，用“项目采购-开标评标”功能进行解密投标文件。若供应商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视为投标文件撤回</w:t>
            </w:r>
            <w:r>
              <w:rPr>
                <w:rFonts w:hint="eastAsia" w:ascii="仿宋" w:hAnsi="仿宋" w:eastAsia="仿宋" w:cs="仿宋"/>
                <w:color w:val="auto"/>
                <w:sz w:val="24"/>
                <w:highlight w:val="none"/>
              </w:rPr>
              <w:t>。</w:t>
            </w:r>
          </w:p>
        </w:tc>
      </w:tr>
      <w:tr w14:paraId="53183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restart"/>
            <w:vAlign w:val="center"/>
          </w:tcPr>
          <w:p w14:paraId="5ACECFDC">
            <w:pPr>
              <w:keepNext w:val="0"/>
              <w:keepLines w:val="0"/>
              <w:pageBreakBefore w:val="0"/>
              <w:widowControl w:val="0"/>
              <w:kinsoku/>
              <w:wordWrap/>
              <w:overflowPunct/>
              <w:topLinePunct w:val="0"/>
              <w:bidi w:val="0"/>
              <w:adjustRightInd w:val="0"/>
              <w:spacing w:line="440" w:lineRule="exact"/>
              <w:ind w:left="0" w:leftChars="0" w:right="0" w:right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6</w:t>
            </w:r>
          </w:p>
        </w:tc>
        <w:tc>
          <w:tcPr>
            <w:tcW w:w="8370" w:type="dxa"/>
            <w:gridSpan w:val="2"/>
            <w:vAlign w:val="center"/>
          </w:tcPr>
          <w:p w14:paraId="039BFB2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w:t>
            </w:r>
          </w:p>
          <w:p w14:paraId="083CC886">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联合体投标的或者以分包方式履行合同的，联合体各方（供应商与分包供应商）分别提供与联合体协议（分包意向协议）中规定的分工内容相应的业绩证明材料，业绩数量以提供材料较少的一方为准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14:paraId="5C96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70" w:type="dxa"/>
            <w:vMerge w:val="continue"/>
            <w:vAlign w:val="center"/>
          </w:tcPr>
          <w:p w14:paraId="4DAA416B">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p>
        </w:tc>
        <w:tc>
          <w:tcPr>
            <w:tcW w:w="8370" w:type="dxa"/>
            <w:gridSpan w:val="2"/>
            <w:vAlign w:val="center"/>
          </w:tcPr>
          <w:p w14:paraId="07746E14">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联合体投标的，联合体中有一方或者联合体成员根据分工按招标文件第五部分评标标准要求提供资信证明文件的，视为符合了相关要求。</w:t>
            </w:r>
          </w:p>
        </w:tc>
      </w:tr>
      <w:tr w14:paraId="1906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58A17243">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解释：凡涉及本招标文件的解释权属于采购人。</w:t>
            </w:r>
          </w:p>
        </w:tc>
      </w:tr>
      <w:tr w14:paraId="09547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14:paraId="2FC94E41">
            <w:pPr>
              <w:keepNext w:val="0"/>
              <w:keepLines w:val="0"/>
              <w:pageBreakBefore w:val="0"/>
              <w:widowControl w:val="0"/>
              <w:kinsoku/>
              <w:wordWrap/>
              <w:overflowPunct/>
              <w:topLinePunct w:val="0"/>
              <w:bidi w:val="0"/>
              <w:adjustRightInd w:val="0"/>
              <w:spacing w:line="440" w:lineRule="exact"/>
              <w:ind w:left="0" w:leftChars="0" w:right="0" w:rightChars="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注：中标人放弃中标资格或因质疑、投诉被取消中标资格或不能履行合同的，本项目重新组织采购。</w:t>
            </w:r>
          </w:p>
        </w:tc>
      </w:tr>
      <w:bookmarkEnd w:id="4"/>
    </w:tbl>
    <w:p w14:paraId="23E9DCC4">
      <w:pPr>
        <w:keepNext w:val="0"/>
        <w:keepLines w:val="0"/>
        <w:pageBreakBefore w:val="0"/>
        <w:widowControl w:val="0"/>
        <w:kinsoku/>
        <w:wordWrap/>
        <w:overflowPunct/>
        <w:topLinePunct w:val="0"/>
        <w:autoSpaceDE/>
        <w:autoSpaceDN/>
        <w:bidi w:val="0"/>
        <w:adjustRightInd/>
        <w:snapToGrid/>
        <w:spacing w:line="360" w:lineRule="auto"/>
        <w:ind w:left="0"/>
        <w:jc w:val="center"/>
        <w:textAlignment w:val="auto"/>
        <w:outlineLvl w:val="0"/>
        <w:rPr>
          <w:rFonts w:hint="eastAsia" w:ascii="仿宋" w:hAnsi="仿宋" w:eastAsia="仿宋" w:cs="仿宋"/>
          <w:b/>
          <w:color w:val="auto"/>
          <w:sz w:val="32"/>
          <w:szCs w:val="32"/>
          <w:highlight w:val="none"/>
        </w:rPr>
      </w:pPr>
      <w:bookmarkStart w:id="17" w:name="第三部分"/>
      <w:bookmarkStart w:id="18" w:name="_Toc164416483"/>
    </w:p>
    <w:p w14:paraId="271DF4E7">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p>
    <w:p w14:paraId="634663AE">
      <w:pPr>
        <w:pStyle w:val="25"/>
        <w:rPr>
          <w:rFonts w:hint="eastAsia" w:ascii="仿宋" w:hAnsi="仿宋" w:eastAsia="仿宋" w:cs="仿宋"/>
          <w:b/>
          <w:color w:val="auto"/>
          <w:sz w:val="32"/>
          <w:szCs w:val="32"/>
          <w:highlight w:val="none"/>
        </w:rPr>
      </w:pPr>
    </w:p>
    <w:p w14:paraId="4FA5B44C">
      <w:pPr>
        <w:rPr>
          <w:rFonts w:hint="eastAsia" w:ascii="仿宋" w:hAnsi="仿宋" w:eastAsia="仿宋" w:cs="仿宋"/>
          <w:b/>
          <w:color w:val="auto"/>
          <w:sz w:val="32"/>
          <w:szCs w:val="32"/>
          <w:highlight w:val="none"/>
        </w:rPr>
      </w:pPr>
    </w:p>
    <w:p w14:paraId="6612F294">
      <w:pPr>
        <w:pStyle w:val="25"/>
        <w:rPr>
          <w:rFonts w:hint="eastAsia" w:ascii="仿宋" w:hAnsi="仿宋" w:eastAsia="仿宋" w:cs="仿宋"/>
          <w:b/>
          <w:color w:val="auto"/>
          <w:sz w:val="32"/>
          <w:szCs w:val="32"/>
          <w:highlight w:val="none"/>
        </w:rPr>
      </w:pPr>
    </w:p>
    <w:p w14:paraId="618A8307">
      <w:pPr>
        <w:rPr>
          <w:rFonts w:hint="eastAsia" w:ascii="仿宋" w:hAnsi="仿宋" w:eastAsia="仿宋" w:cs="仿宋"/>
          <w:b/>
          <w:color w:val="auto"/>
          <w:sz w:val="32"/>
          <w:szCs w:val="32"/>
          <w:highlight w:val="none"/>
        </w:rPr>
      </w:pPr>
    </w:p>
    <w:p w14:paraId="32151429">
      <w:pPr>
        <w:pStyle w:val="25"/>
        <w:rPr>
          <w:rFonts w:hint="eastAsia" w:ascii="仿宋" w:hAnsi="仿宋" w:eastAsia="仿宋" w:cs="仿宋"/>
          <w:b/>
          <w:color w:val="auto"/>
          <w:sz w:val="32"/>
          <w:szCs w:val="32"/>
          <w:highlight w:val="none"/>
        </w:rPr>
      </w:pPr>
    </w:p>
    <w:p w14:paraId="49D06782">
      <w:pPr>
        <w:rPr>
          <w:rFonts w:hint="eastAsia" w:ascii="仿宋" w:hAnsi="仿宋" w:eastAsia="仿宋" w:cs="仿宋"/>
          <w:b/>
          <w:color w:val="auto"/>
          <w:sz w:val="32"/>
          <w:szCs w:val="32"/>
          <w:highlight w:val="none"/>
        </w:rPr>
      </w:pPr>
    </w:p>
    <w:p w14:paraId="384146C9">
      <w:pPr>
        <w:pStyle w:val="25"/>
        <w:rPr>
          <w:rFonts w:hint="eastAsia" w:ascii="仿宋" w:hAnsi="仿宋" w:eastAsia="仿宋" w:cs="仿宋"/>
          <w:b/>
          <w:color w:val="auto"/>
          <w:sz w:val="32"/>
          <w:szCs w:val="32"/>
          <w:highlight w:val="none"/>
        </w:rPr>
      </w:pPr>
    </w:p>
    <w:p w14:paraId="49B8EFB8">
      <w:pPr>
        <w:pStyle w:val="25"/>
        <w:rPr>
          <w:rFonts w:hint="eastAsia" w:ascii="仿宋" w:hAnsi="仿宋" w:eastAsia="仿宋" w:cs="仿宋"/>
          <w:b/>
          <w:color w:val="auto"/>
          <w:sz w:val="32"/>
          <w:szCs w:val="32"/>
          <w:highlight w:val="none"/>
        </w:rPr>
      </w:pPr>
    </w:p>
    <w:p w14:paraId="346F2166">
      <w:pPr>
        <w:pStyle w:val="25"/>
        <w:rPr>
          <w:rFonts w:hint="eastAsia" w:ascii="仿宋" w:hAnsi="仿宋" w:eastAsia="仿宋" w:cs="仿宋"/>
          <w:b/>
          <w:color w:val="auto"/>
          <w:sz w:val="32"/>
          <w:szCs w:val="32"/>
          <w:highlight w:val="none"/>
        </w:rPr>
      </w:pPr>
    </w:p>
    <w:p w14:paraId="19F83FEB">
      <w:pPr>
        <w:pStyle w:val="25"/>
        <w:rPr>
          <w:rFonts w:hint="eastAsia" w:ascii="仿宋" w:hAnsi="仿宋" w:eastAsia="仿宋" w:cs="仿宋"/>
          <w:b/>
          <w:color w:val="auto"/>
          <w:sz w:val="32"/>
          <w:szCs w:val="32"/>
          <w:highlight w:val="none"/>
        </w:rPr>
      </w:pPr>
    </w:p>
    <w:p w14:paraId="3E5974FD">
      <w:pPr>
        <w:pStyle w:val="25"/>
        <w:rPr>
          <w:rFonts w:hint="eastAsia" w:ascii="仿宋" w:hAnsi="仿宋" w:eastAsia="仿宋" w:cs="仿宋"/>
          <w:b/>
          <w:color w:val="auto"/>
          <w:sz w:val="32"/>
          <w:szCs w:val="32"/>
          <w:highlight w:val="none"/>
        </w:rPr>
      </w:pPr>
    </w:p>
    <w:p w14:paraId="05AB99C1">
      <w:pPr>
        <w:pStyle w:val="25"/>
        <w:rPr>
          <w:rFonts w:hint="eastAsia" w:ascii="仿宋" w:hAnsi="仿宋" w:eastAsia="仿宋" w:cs="仿宋"/>
          <w:b/>
          <w:color w:val="auto"/>
          <w:sz w:val="32"/>
          <w:szCs w:val="32"/>
          <w:highlight w:val="none"/>
        </w:rPr>
      </w:pPr>
    </w:p>
    <w:p w14:paraId="7F9E67B0">
      <w:pPr>
        <w:pStyle w:val="25"/>
        <w:rPr>
          <w:rFonts w:hint="eastAsia" w:ascii="仿宋" w:hAnsi="仿宋" w:eastAsia="仿宋" w:cs="仿宋"/>
          <w:b/>
          <w:color w:val="auto"/>
          <w:sz w:val="32"/>
          <w:szCs w:val="32"/>
          <w:highlight w:val="none"/>
        </w:rPr>
      </w:pPr>
    </w:p>
    <w:p w14:paraId="71360AEB">
      <w:pPr>
        <w:pStyle w:val="25"/>
        <w:rPr>
          <w:rFonts w:hint="eastAsia" w:ascii="仿宋" w:hAnsi="仿宋" w:eastAsia="仿宋" w:cs="仿宋"/>
          <w:b/>
          <w:color w:val="auto"/>
          <w:sz w:val="32"/>
          <w:szCs w:val="32"/>
          <w:highlight w:val="none"/>
        </w:rPr>
      </w:pPr>
    </w:p>
    <w:p w14:paraId="4F674F2C">
      <w:pPr>
        <w:pStyle w:val="25"/>
        <w:rPr>
          <w:rFonts w:hint="eastAsia" w:ascii="仿宋" w:hAnsi="仿宋" w:eastAsia="仿宋" w:cs="仿宋"/>
          <w:b/>
          <w:color w:val="auto"/>
          <w:sz w:val="32"/>
          <w:szCs w:val="32"/>
          <w:highlight w:val="none"/>
        </w:rPr>
      </w:pPr>
    </w:p>
    <w:p w14:paraId="16E0651C">
      <w:pPr>
        <w:pStyle w:val="25"/>
        <w:rPr>
          <w:rFonts w:hint="eastAsia" w:ascii="仿宋" w:hAnsi="仿宋" w:eastAsia="仿宋" w:cs="仿宋"/>
          <w:b/>
          <w:color w:val="auto"/>
          <w:sz w:val="32"/>
          <w:szCs w:val="32"/>
          <w:highlight w:val="none"/>
        </w:rPr>
      </w:pPr>
    </w:p>
    <w:p w14:paraId="73E60E59">
      <w:pPr>
        <w:rPr>
          <w:rFonts w:hint="eastAsia" w:ascii="仿宋" w:hAnsi="仿宋" w:eastAsia="仿宋" w:cs="仿宋"/>
          <w:b/>
          <w:color w:val="auto"/>
          <w:sz w:val="32"/>
          <w:szCs w:val="32"/>
          <w:highlight w:val="none"/>
        </w:rPr>
      </w:pPr>
    </w:p>
    <w:p w14:paraId="44530A18">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一、总则</w:t>
      </w:r>
    </w:p>
    <w:p w14:paraId="47C5BAD2">
      <w:pPr>
        <w:keepNext w:val="0"/>
        <w:keepLines w:val="0"/>
        <w:pageBreakBefore w:val="0"/>
        <w:kinsoku/>
        <w:wordWrap/>
        <w:overflowPunct/>
        <w:topLinePunct w:val="0"/>
        <w:autoSpaceDE/>
        <w:autoSpaceDN/>
        <w:bidi w:val="0"/>
        <w:snapToGrid w:val="0"/>
        <w:spacing w:beforeAutospacing="0" w:line="440" w:lineRule="exact"/>
        <w:ind w:left="0" w:leftChars="0" w:firstLine="0" w:firstLineChars="0"/>
        <w:jc w:val="left"/>
        <w:textAlignment w:val="auto"/>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1.适用范围</w:t>
      </w:r>
    </w:p>
    <w:p w14:paraId="63984B2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047CAD56">
      <w:pPr>
        <w:keepNext w:val="0"/>
        <w:keepLines w:val="0"/>
        <w:pageBreakBefore w:val="0"/>
        <w:kinsoku/>
        <w:wordWrap/>
        <w:overflowPunct/>
        <w:topLinePunct w:val="0"/>
        <w:autoSpaceDE/>
        <w:autoSpaceDN/>
        <w:bidi w:val="0"/>
        <w:adjustRightInd/>
        <w:spacing w:beforeAutospacing="0" w:line="440" w:lineRule="exact"/>
        <w:ind w:left="0" w:leftChars="0" w:firstLine="0" w:firstLineChars="0"/>
        <w:textAlignment w:val="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14:paraId="6C58B3E7">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053C3D6E">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5BAFAF8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“投标人”“供应商”系指是指响应招标、参加投标竞争的法人、其他组织或者自然人。</w:t>
      </w:r>
    </w:p>
    <w:p w14:paraId="31B081C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2.4</w:t>
      </w:r>
      <w:r>
        <w:rPr>
          <w:rFonts w:hint="eastAsia" w:ascii="仿宋" w:hAnsi="仿宋" w:eastAsia="仿宋" w:cs="仿宋"/>
          <w:color w:val="auto"/>
          <w:sz w:val="24"/>
          <w:highlight w:val="none"/>
        </w:rPr>
        <w:t>“监督单位”系指政府采购法定义监督管理部门</w:t>
      </w:r>
      <w:r>
        <w:rPr>
          <w:rFonts w:hint="eastAsia" w:ascii="仿宋" w:hAnsi="仿宋" w:eastAsia="仿宋" w:cs="仿宋"/>
          <w:color w:val="auto"/>
          <w:sz w:val="24"/>
          <w:highlight w:val="none"/>
          <w:lang w:val="en-US" w:eastAsia="zh-CN"/>
        </w:rPr>
        <w:t>。</w:t>
      </w:r>
    </w:p>
    <w:p w14:paraId="4091E23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 xml:space="preserve"> “负责人”系指法人企业的法定负责人，或其他组织为法律、行政法规规定代表单位行使职权的主要负责人，或自然人本人。</w:t>
      </w:r>
    </w:p>
    <w:p w14:paraId="4A2275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w:t>
      </w:r>
    </w:p>
    <w:p w14:paraId="60E5A45B">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13BC65A3">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“▲”系指实质性指标要求条款，如任意一条打“▲”的指标出现负偏离视为实质性不响应招标文件要求，作无效投标处理。“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sz w:val="24"/>
          <w:highlight w:val="none"/>
        </w:rPr>
        <w:t>”系指适用本项目的要求，“☐”系指不适用本项目的要求。</w:t>
      </w:r>
    </w:p>
    <w:p w14:paraId="5F0D6A7D">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3.采购项目需要落实的政府采购政策</w:t>
      </w:r>
    </w:p>
    <w:p w14:paraId="6DC40D7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B71A01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eastAsia="zh-CN"/>
        </w:rPr>
        <w:t>2</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p>
    <w:p w14:paraId="1AF13B65">
      <w:pPr>
        <w:spacing w:line="440" w:lineRule="exact"/>
        <w:rPr>
          <w:rFonts w:hint="eastAsia" w:ascii="仿宋" w:hAnsi="仿宋" w:eastAsia="仿宋" w:cs="仿宋"/>
          <w:bCs/>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14:paraId="745A7E1A">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14:paraId="360C94A2">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.2在货物采购项目中，货物由小微企业制造，即货物由小微企业生产且使用该小微企业商号或者注册商标。</w:t>
      </w:r>
      <w:r>
        <w:rPr>
          <w:rFonts w:hint="eastAsia" w:ascii="仿宋" w:hAnsi="仿宋" w:eastAsia="仿宋" w:cs="仿宋"/>
          <w:b/>
          <w:bCs/>
          <w:color w:val="auto"/>
          <w:sz w:val="24"/>
          <w:highlight w:val="none"/>
        </w:rPr>
        <w:t>供应商提供的货物既有中小企业制造货物，也有大型企业制造货物的，不享受中小企业扶持政策。</w:t>
      </w:r>
    </w:p>
    <w:p w14:paraId="7BBC9F8E">
      <w:pPr>
        <w:spacing w:line="44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3.2</w:t>
      </w:r>
      <w:r>
        <w:rPr>
          <w:rFonts w:hint="eastAsia" w:ascii="仿宋" w:hAnsi="仿宋" w:eastAsia="仿宋" w:cs="仿宋"/>
          <w:bCs/>
          <w:color w:val="auto"/>
          <w:sz w:val="24"/>
          <w:highlight w:val="none"/>
        </w:rPr>
        <w:t>.3在服务采购项目中，服务由小微企业承接，即提供服务的人员为小微企业依照《中华人民共和国劳动合同法》订立劳动合同的从业人员。</w:t>
      </w:r>
    </w:p>
    <w:p w14:paraId="629D3002">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.4小微企业应按照招标文件格式要求提供《中小企业声明函》。</w:t>
      </w:r>
    </w:p>
    <w:p w14:paraId="5BFC21E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.5对于经主管预算单位统筹后未预留份额专门面向中小企业采购的采购项目，以及预留份额项目中的非预留部分采购包，采购人、采购代理机构将对符合规定的小微企业报价给予10</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w:t>
      </w:r>
    </w:p>
    <w:p w14:paraId="3FA5C91E">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6接受大中型企业与小微企业组成联合体或者允许大中型企业向一家或者多家小微企业分包的采购项目，对于联合协议或者分包意向协议约定小微企业的合同份额占到合同总金额30%以上的，采购人、采购代理机构将对联合体或者大中型企业的报价给予4</w:t>
      </w:r>
      <w:r>
        <w:rPr>
          <w:rFonts w:hint="eastAsia" w:ascii="仿宋" w:hAnsi="仿宋" w:eastAsia="仿宋" w:cs="仿宋"/>
          <w:color w:val="auto"/>
          <w:sz w:val="24"/>
          <w:highlight w:val="none"/>
          <w:lang w:val="en-US" w:eastAsia="zh-CN"/>
        </w:rPr>
        <w:t>%</w:t>
      </w:r>
      <w:r>
        <w:rPr>
          <w:rFonts w:hint="eastAsia" w:ascii="仿宋" w:hAnsi="仿宋" w:eastAsia="仿宋" w:cs="仿宋"/>
          <w:color w:val="auto"/>
          <w:sz w:val="24"/>
          <w:highlight w:val="none"/>
        </w:rPr>
        <w:t>的扣除，用扣除后的价格参加评审。组成联合体或者接受分包的小微企业与联合体内其他企业、分包企业之间存在直接控股、管理关系的，不享受价格扣除优惠政策。</w:t>
      </w:r>
    </w:p>
    <w:p w14:paraId="51BB1E73">
      <w:pPr>
        <w:spacing w:line="44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以联合体形式参加政府采购活动，联合体各方均为中小企业的，联合体视同中小企业。其中，联合体各方均为小微企业的，联合体视同小微企业。</w:t>
      </w:r>
    </w:p>
    <w:p w14:paraId="638421D8">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.7符合《关于促进残疾人就业政府采购政策的通知》（财库〔2017〕141号）规定的条件并提供《残疾人福利性单位声明函》的残疾人福利性单位视同小微企业；</w:t>
      </w:r>
    </w:p>
    <w:p w14:paraId="24DFEB6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3.2</w:t>
      </w:r>
      <w:r>
        <w:rPr>
          <w:rFonts w:hint="eastAsia" w:ascii="仿宋" w:hAnsi="仿宋" w:eastAsia="仿宋" w:cs="仿宋"/>
          <w:color w:val="auto"/>
          <w:sz w:val="24"/>
          <w:highlight w:val="none"/>
        </w:rPr>
        <w:t>.8符合《关于政府采购支持监狱企业发展有关问题的通知》（财库[2014]68号）规定的监狱企业并提供由省级以上监狱管理局、戒毒管理局（含新疆生产建设兵团）出具的属于监狱企业证明文件的，视同为小微企业。</w:t>
      </w:r>
    </w:p>
    <w:p w14:paraId="7B65D034">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14:paraId="4A930E3F">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4.1供应商投标所使用的资格、信誉、荣誉、业绩与企业认证必须为投标单位所拥有。供应商投标所使用的采购项目实施人员必须为投标单位正式员工。</w:t>
      </w:r>
    </w:p>
    <w:p w14:paraId="318EA59A">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4.2供应商应仔细阅读招标文件的所有内容，按照招标文件的要求提交投标文件，并对所提供的全部资料的真实性承担法律责任。</w:t>
      </w:r>
    </w:p>
    <w:p w14:paraId="038B56DC">
      <w:pPr>
        <w:spacing w:line="440" w:lineRule="exact"/>
        <w:rPr>
          <w:rFonts w:hint="eastAsia" w:ascii="仿宋" w:hAnsi="仿宋" w:eastAsia="仿宋" w:cs="仿宋"/>
          <w:color w:val="auto"/>
          <w:highlight w:val="none"/>
        </w:rPr>
      </w:pPr>
      <w:r>
        <w:rPr>
          <w:rFonts w:hint="eastAsia" w:ascii="仿宋" w:hAnsi="仿宋" w:eastAsia="仿宋" w:cs="仿宋"/>
          <w:color w:val="auto"/>
          <w:sz w:val="24"/>
          <w:highlight w:val="none"/>
        </w:rPr>
        <w:t>4.3供应商在投标活动中提供任何虚假材料,其投标无效，并报监管部门查处；中标后发现的,中标人须依照《中华人民共和国消费者权益保护法》规定赔偿采购人，且民事赔偿并不免除违法供应商的行政与刑事责任。</w:t>
      </w:r>
    </w:p>
    <w:p w14:paraId="1F1D959B">
      <w:pPr>
        <w:keepNext w:val="0"/>
        <w:keepLines w:val="0"/>
        <w:pageBreakBefore w:val="0"/>
        <w:widowControl w:val="0"/>
        <w:kinsoku/>
        <w:wordWrap/>
        <w:overflowPunct/>
        <w:topLinePunct w:val="0"/>
        <w:autoSpaceDE/>
        <w:autoSpaceDN/>
        <w:bidi w:val="0"/>
        <w:adjustRightInd/>
        <w:snapToGrid/>
        <w:spacing w:beforeAutospacing="0" w:line="360" w:lineRule="auto"/>
        <w:ind w:left="0" w:leftChars="0"/>
        <w:jc w:val="center"/>
        <w:textAlignment w:val="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二、招标文件</w:t>
      </w:r>
    </w:p>
    <w:p w14:paraId="1AB94C9A">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1．招标方式</w:t>
      </w:r>
    </w:p>
    <w:p w14:paraId="4DDD4C86">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 本次招标采用公开招标方式进行。</w:t>
      </w:r>
    </w:p>
    <w:p w14:paraId="2C3E6001">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如某一标项投标人或实质性响应招标文件的投标人不足三家时，由采购人重新组织招标或按有关规定实施。</w:t>
      </w:r>
    </w:p>
    <w:p w14:paraId="5E8BCDE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本次招标设定限价，即招标公告中公布的各标项预算金额或最高限价（各标项之间的预算金额不能互相调整）</w:t>
      </w:r>
      <w:r>
        <w:rPr>
          <w:rFonts w:hint="eastAsia" w:ascii="仿宋" w:hAnsi="仿宋" w:eastAsia="仿宋" w:cs="仿宋"/>
          <w:color w:val="auto"/>
          <w:sz w:val="24"/>
          <w:highlight w:val="none"/>
          <w:lang w:eastAsia="zh-CN"/>
        </w:rPr>
        <w:t>，</w:t>
      </w:r>
      <w:r>
        <w:rPr>
          <w:rFonts w:hint="eastAsia" w:ascii="仿宋" w:hAnsi="仿宋" w:eastAsia="仿宋" w:cs="仿宋"/>
          <w:b/>
          <w:bCs/>
          <w:color w:val="auto"/>
          <w:sz w:val="24"/>
          <w:highlight w:val="none"/>
          <w:u w:val="single"/>
          <w:lang w:val="en-US" w:eastAsia="zh-CN"/>
        </w:rPr>
        <w:t>各分项最高限价</w:t>
      </w:r>
      <w:r>
        <w:rPr>
          <w:rFonts w:hint="eastAsia" w:ascii="仿宋" w:hAnsi="仿宋" w:eastAsia="仿宋" w:cs="仿宋"/>
          <w:b w:val="0"/>
          <w:bCs w:val="0"/>
          <w:color w:val="auto"/>
          <w:sz w:val="24"/>
          <w:highlight w:val="none"/>
          <w:u w:val="single"/>
          <w:lang w:val="en-US" w:eastAsia="zh-CN"/>
        </w:rPr>
        <w:t>详见第三章招标项目范围及要求（如有）</w:t>
      </w:r>
      <w:r>
        <w:rPr>
          <w:rFonts w:hint="eastAsia" w:ascii="仿宋" w:hAnsi="仿宋" w:eastAsia="仿宋" w:cs="仿宋"/>
          <w:color w:val="auto"/>
          <w:sz w:val="24"/>
          <w:highlight w:val="none"/>
        </w:rPr>
        <w:t>。</w:t>
      </w:r>
    </w:p>
    <w:p w14:paraId="0796ED04">
      <w:pPr>
        <w:pStyle w:val="26"/>
        <w:keepNext w:val="0"/>
        <w:keepLines w:val="0"/>
        <w:pageBreakBefore w:val="0"/>
        <w:kinsoku/>
        <w:wordWrap/>
        <w:overflowPunct/>
        <w:topLinePunct w:val="0"/>
        <w:autoSpaceDE/>
        <w:autoSpaceDN/>
        <w:bidi w:val="0"/>
        <w:snapToGrid w:val="0"/>
        <w:spacing w:line="440" w:lineRule="exact"/>
        <w:ind w:left="0" w:leftChars="0"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2.授权委托</w:t>
      </w:r>
    </w:p>
    <w:p w14:paraId="0D7573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本项目为电子投标项目，投标人的法定代表人或其授权代表或个体工商户不需要参加现场投标和开标。</w:t>
      </w:r>
    </w:p>
    <w:p w14:paraId="0D541EFE">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投标费用</w:t>
      </w:r>
    </w:p>
    <w:p w14:paraId="68D6F95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投标人应自行承担编制投标文件及参加本次投标所涉及的一切费用。不管投标结果如何，招标人对上述费用不负任何责任。</w:t>
      </w:r>
    </w:p>
    <w:p w14:paraId="2366570B">
      <w:pPr>
        <w:keepNext w:val="0"/>
        <w:keepLines w:val="0"/>
        <w:pageBreakBefore w:val="0"/>
        <w:kinsoku/>
        <w:wordWrap/>
        <w:overflowPunct/>
        <w:topLinePunct w:val="0"/>
        <w:autoSpaceDE/>
        <w:autoSpaceDN/>
        <w:bidi w:val="0"/>
        <w:snapToGri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招标文件的修改</w:t>
      </w:r>
    </w:p>
    <w:p w14:paraId="71613A02">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4.1招标文件包括本招标文件及所有的招标答疑记录（澄清、修改）和发出的补充通知。</w:t>
      </w:r>
    </w:p>
    <w:p w14:paraId="2340016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4.2招标文件的澄清 </w:t>
      </w:r>
    </w:p>
    <w:p w14:paraId="1D2D058C">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人对招标文件如有疑点要求澄清，可用书面形式（包括并不仅限于纸质、信件和数据电文(包括电报、电传、传真、电子数据交换和电子邮件）)等通知招标人，但通知不得迟于开标前7日使招标人收到，招标人将用书面形式予以答复。如有必要，可将不说明来源的答复发给所有投标人。</w:t>
      </w:r>
    </w:p>
    <w:p w14:paraId="511ED7C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4.3招标文件的修改</w:t>
      </w:r>
    </w:p>
    <w:p w14:paraId="008D6A40">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4.3.1在投标截止时间前，招标人有权修改招标文件，并以书面形式通知所有投标人，通知中没有注明更改投标截止时间的视为截止时间不变。修改的文件作为招标文件的补充和组成部分，对所有投标人均有约束力。投标人应在两天内以书面形式确认已收到的修改文件，并需附法定代表人或其授权代表的签字加盖公章，逾期不确认的视同认可。</w:t>
      </w:r>
    </w:p>
    <w:p w14:paraId="184C48B4">
      <w:pPr>
        <w:keepNext w:val="0"/>
        <w:keepLines w:val="0"/>
        <w:pageBreakBefore w:val="0"/>
        <w:widowControl w:val="0"/>
        <w:kinsoku/>
        <w:wordWrap/>
        <w:overflowPunct/>
        <w:topLinePunct w:val="0"/>
        <w:autoSpaceDE/>
        <w:autoSpaceDN/>
        <w:bidi w:val="0"/>
        <w:adjustRightInd w:val="0"/>
        <w:snapToGrid/>
        <w:spacing w:beforeAutospacing="0" w:line="440" w:lineRule="exact"/>
        <w:ind w:left="0" w:leftChars="0"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4.3.2为使投标人有足够的时间按修改文件要求修正投标文件，招标人可酌情推迟投标截止时间和开标时间，并将此变更通知投标人。在这种情况下，招标人与投标人以前在投标截止期方面的全部权力、责任和义务，将适用于延长后新的投标截止期。</w:t>
      </w:r>
    </w:p>
    <w:p w14:paraId="3925B1E1">
      <w:pPr>
        <w:pStyle w:val="24"/>
        <w:keepNext w:val="0"/>
        <w:keepLines w:val="0"/>
        <w:pageBreakBefore w:val="0"/>
        <w:widowControl w:val="0"/>
        <w:kinsoku/>
        <w:wordWrap/>
        <w:overflowPunct/>
        <w:topLinePunct w:val="0"/>
        <w:bidi w:val="0"/>
        <w:snapToGrid/>
        <w:spacing w:beforeAutospacing="0" w:line="360" w:lineRule="auto"/>
        <w:ind w:left="0" w:leftChars="0"/>
        <w:jc w:val="center"/>
        <w:textAlignment w:val="auto"/>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三、投标</w:t>
      </w:r>
      <w:r>
        <w:rPr>
          <w:rFonts w:hint="eastAsia" w:ascii="仿宋" w:hAnsi="仿宋" w:eastAsia="仿宋" w:cs="仿宋"/>
          <w:b/>
          <w:color w:val="auto"/>
          <w:sz w:val="32"/>
          <w:szCs w:val="32"/>
          <w:highlight w:val="none"/>
          <w:lang w:eastAsia="zh-CN"/>
        </w:rPr>
        <w:t>文件</w:t>
      </w:r>
    </w:p>
    <w:p w14:paraId="73800D40">
      <w:pPr>
        <w:keepNext w:val="0"/>
        <w:keepLines w:val="0"/>
        <w:pageBreakBefore w:val="0"/>
        <w:widowControl w:val="0"/>
        <w:kinsoku/>
        <w:wordWrap/>
        <w:overflowPunct/>
        <w:topLinePunct w:val="0"/>
        <w:autoSpaceDE/>
        <w:autoSpaceDN/>
        <w:bidi w:val="0"/>
        <w:adjustRightInd w:val="0"/>
        <w:snapToGrid w:val="0"/>
        <w:spacing w:line="440" w:lineRule="exact"/>
        <w:ind w:left="0" w:firstLine="0" w:firstLineChars="0"/>
        <w:jc w:val="left"/>
        <w:textAlignment w:val="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lang w:val="en-US" w:eastAsia="zh-CN"/>
        </w:rPr>
        <w:t>1.</w:t>
      </w:r>
      <w:r>
        <w:rPr>
          <w:rFonts w:hint="eastAsia" w:ascii="仿宋" w:hAnsi="仿宋" w:eastAsia="仿宋" w:cs="仿宋"/>
          <w:b/>
          <w:bCs/>
          <w:color w:val="auto"/>
          <w:sz w:val="24"/>
          <w:highlight w:val="none"/>
        </w:rPr>
        <w:t>投标文件的语言、计量单位、形式及效力</w:t>
      </w:r>
    </w:p>
    <w:p w14:paraId="6B9642E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1.1投标人应仔细阅读招标文件中的所有内容，按照招标文件要求，详细编制投标文件，并保证投标文件的正确性和真实性。</w:t>
      </w:r>
    </w:p>
    <w:p w14:paraId="5229999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 投标文件以及投标方与招标方就有关投标事宜的所有来往函电，均应以中文书写（技术术语除外）。</w:t>
      </w:r>
    </w:p>
    <w:p w14:paraId="2E7C58C0">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 投标计量单位，除招标文件中有特殊要求外，应采用中华人民共和国法定计量单位，货币单位：人民币元。</w:t>
      </w:r>
    </w:p>
    <w:p w14:paraId="68BD5A7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1.4不按招标文件的要求提供的投标文件可能导致被拒绝。</w:t>
      </w:r>
    </w:p>
    <w:p w14:paraId="120C6BE8">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1.5投标文件的形式和效力</w:t>
      </w:r>
    </w:p>
    <w:p w14:paraId="45D11B14">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1.5.1投标文件为电子投标文件，电子投标文件按“政采云供应商项目采购-电子招投标操作指南”及本招标文件要求制作、加密传输。</w:t>
      </w:r>
    </w:p>
    <w:p w14:paraId="03335F7D">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1.5.2投标文件的效力：</w:t>
      </w:r>
    </w:p>
    <w:p w14:paraId="47906F47">
      <w:pPr>
        <w:keepNext w:val="0"/>
        <w:keepLines w:val="0"/>
        <w:pageBreakBefore w:val="0"/>
        <w:widowControl w:val="0"/>
        <w:kinsoku/>
        <w:wordWrap/>
        <w:overflowPunct/>
        <w:topLinePunct w:val="0"/>
        <w:autoSpaceDE/>
        <w:autoSpaceDN/>
        <w:bidi w:val="0"/>
        <w:adjustRightInd w:val="0"/>
        <w:snapToGrid w:val="0"/>
        <w:spacing w:line="440" w:lineRule="exact"/>
        <w:ind w:left="0" w:firstLine="723" w:firstLineChars="300"/>
        <w:jc w:val="left"/>
        <w:textAlignment w:val="auto"/>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投标文件未在投标截止时间前完成传输的，视为投标文件撤回；投标文件未按时解密，亦视为投标文件撤回。</w:t>
      </w:r>
    </w:p>
    <w:p w14:paraId="5E475DA1">
      <w:pPr>
        <w:pStyle w:val="34"/>
        <w:keepNext w:val="0"/>
        <w:keepLines w:val="0"/>
        <w:pageBreakBefore w:val="0"/>
        <w:widowControl w:val="0"/>
        <w:kinsoku/>
        <w:wordWrap/>
        <w:overflowPunct/>
        <w:topLinePunct w:val="0"/>
        <w:autoSpaceDE/>
        <w:autoSpaceDN/>
        <w:bidi w:val="0"/>
        <w:adjustRightInd w:val="0"/>
        <w:spacing w:beforeAutospacing="0" w:line="440" w:lineRule="exac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2</w:t>
      </w:r>
      <w:r>
        <w:rPr>
          <w:rFonts w:hint="eastAsia" w:ascii="仿宋" w:hAnsi="仿宋" w:eastAsia="仿宋" w:cs="仿宋"/>
          <w:b/>
          <w:color w:val="auto"/>
          <w:sz w:val="24"/>
          <w:szCs w:val="24"/>
          <w:highlight w:val="none"/>
        </w:rPr>
        <w:t>. 投标文件的组成</w:t>
      </w:r>
    </w:p>
    <w:p w14:paraId="65610AF6">
      <w:pPr>
        <w:spacing w:line="44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投标文件由</w:t>
      </w:r>
      <w:r>
        <w:rPr>
          <w:rFonts w:hint="eastAsia" w:ascii="仿宋" w:hAnsi="仿宋" w:eastAsia="仿宋" w:cs="仿宋"/>
          <w:color w:val="auto"/>
          <w:sz w:val="24"/>
          <w:highlight w:val="none"/>
          <w:lang w:eastAsia="zh-CN"/>
        </w:rPr>
        <w:t>“资格文件”、“商务技术文件资料”、</w:t>
      </w:r>
      <w:r>
        <w:rPr>
          <w:rFonts w:hint="eastAsia" w:ascii="仿宋" w:hAnsi="仿宋" w:eastAsia="仿宋" w:cs="仿宋"/>
          <w:color w:val="auto"/>
          <w:sz w:val="24"/>
          <w:highlight w:val="none"/>
        </w:rPr>
        <w:t>“报价文件资料”</w:t>
      </w:r>
      <w:r>
        <w:rPr>
          <w:rFonts w:hint="eastAsia" w:ascii="仿宋" w:hAnsi="仿宋" w:eastAsia="仿宋" w:cs="仿宋"/>
          <w:color w:val="auto"/>
          <w:sz w:val="24"/>
          <w:highlight w:val="none"/>
          <w:lang w:eastAsia="zh-CN"/>
        </w:rPr>
        <w:t>三</w:t>
      </w:r>
      <w:r>
        <w:rPr>
          <w:rFonts w:hint="eastAsia" w:ascii="仿宋" w:hAnsi="仿宋" w:eastAsia="仿宋" w:cs="仿宋"/>
          <w:color w:val="auto"/>
          <w:sz w:val="24"/>
          <w:highlight w:val="none"/>
        </w:rPr>
        <w:t>部分组成，其中</w:t>
      </w:r>
      <w:r>
        <w:rPr>
          <w:rFonts w:hint="eastAsia" w:ascii="仿宋" w:hAnsi="仿宋" w:eastAsia="仿宋" w:cs="仿宋"/>
          <w:b/>
          <w:color w:val="auto"/>
          <w:sz w:val="24"/>
          <w:highlight w:val="none"/>
        </w:rPr>
        <w:t>电子投标文件中所须加盖公章部分均应采用电子签章。</w:t>
      </w:r>
    </w:p>
    <w:p w14:paraId="61DC4CE6">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lang w:val="zh-CN"/>
        </w:rPr>
        <w:t>.1资格文件：</w:t>
      </w:r>
    </w:p>
    <w:p w14:paraId="7767BC6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lang w:eastAsia="zh-CN"/>
        </w:rPr>
        <w:t>.1.1营业执照扫描件；</w:t>
      </w:r>
    </w:p>
    <w:p w14:paraId="3B4BEB8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2.1.2符合参加政府采购活动应当具备的一般条件的承诺函；</w:t>
      </w:r>
    </w:p>
    <w:p w14:paraId="0ACC481E">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lang w:eastAsia="zh-CN"/>
        </w:rPr>
        <w:t>联合协议（如果有)；</w:t>
      </w:r>
    </w:p>
    <w:p w14:paraId="24196CF8">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2.1.</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lang w:eastAsia="zh-CN"/>
        </w:rPr>
        <w:t>。</w:t>
      </w:r>
    </w:p>
    <w:p w14:paraId="67EE5960">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14:paraId="33BF904C">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720" w:firstLineChars="3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2</w:t>
      </w:r>
      <w:r>
        <w:rPr>
          <w:rFonts w:hint="eastAsia" w:ascii="仿宋" w:hAnsi="仿宋" w:eastAsia="仿宋" w:cs="仿宋"/>
          <w:color w:val="auto"/>
          <w:sz w:val="24"/>
          <w:highlight w:val="none"/>
        </w:rPr>
        <w:t>.2.1投标函；</w:t>
      </w:r>
      <w:r>
        <w:rPr>
          <w:rFonts w:hint="eastAsia" w:ascii="仿宋" w:hAnsi="仿宋" w:eastAsia="仿宋" w:cs="仿宋"/>
          <w:color w:val="auto"/>
          <w:sz w:val="24"/>
          <w:highlight w:val="none"/>
          <w:lang w:val="zh-CN"/>
        </w:rPr>
        <w:t xml:space="preserve"> </w:t>
      </w:r>
    </w:p>
    <w:p w14:paraId="6DDEF3C9">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2.2.2法定代表人授权委托书；</w:t>
      </w:r>
    </w:p>
    <w:p w14:paraId="56F748FE">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2.2.3授权代表社保证明；</w:t>
      </w:r>
    </w:p>
    <w:p w14:paraId="24A3B63B">
      <w:pPr>
        <w:snapToGrid w:val="0"/>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2.2.4法定代表人身份证明书；</w:t>
      </w:r>
    </w:p>
    <w:p w14:paraId="15E5DACE">
      <w:pPr>
        <w:snapToGrid w:val="0"/>
        <w:spacing w:line="336" w:lineRule="auto"/>
        <w:ind w:firstLine="720" w:firstLineChars="3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2.2.5商务技术偏离表。供应商在投标文件商务技术偏离表中，应对项目技术规范和服务要求中所提出各项要求进行答复、说明和解释。如果供应商在技术偏离表中注明无偏离，评标结束后、签订采购合同前又认为其实际产品与投标技术需求不一致的，视为供应商在投标有效期内对其投标文件进行了实质性修改，采购机构将把这一情况报送采购监管部门；</w:t>
      </w:r>
    </w:p>
    <w:p w14:paraId="12D2C400">
      <w:pPr>
        <w:snapToGrid w:val="0"/>
        <w:spacing w:line="336" w:lineRule="auto"/>
        <w:ind w:firstLine="720" w:firstLineChars="300"/>
        <w:rPr>
          <w:rFonts w:hint="eastAsia" w:ascii="仿宋" w:hAnsi="仿宋" w:eastAsia="仿宋" w:cs="仿宋"/>
          <w:color w:val="auto"/>
          <w:sz w:val="24"/>
          <w:highlight w:val="none"/>
          <w:u w:val="wave"/>
        </w:rPr>
      </w:pPr>
      <w:r>
        <w:rPr>
          <w:rFonts w:hint="eastAsia" w:ascii="仿宋" w:hAnsi="仿宋" w:eastAsia="仿宋" w:cs="仿宋"/>
          <w:color w:val="auto"/>
          <w:sz w:val="24"/>
          <w:highlight w:val="none"/>
          <w:lang w:val="en-US" w:eastAsia="zh-CN"/>
        </w:rPr>
        <w:t>2.2.6</w:t>
      </w:r>
      <w:r>
        <w:rPr>
          <w:rFonts w:hint="eastAsia" w:ascii="仿宋" w:hAnsi="仿宋" w:eastAsia="仿宋" w:cs="仿宋"/>
          <w:color w:val="auto"/>
          <w:sz w:val="24"/>
          <w:highlight w:val="none"/>
          <w:lang w:eastAsia="zh-CN"/>
        </w:rPr>
        <w:t>商务技术文件</w:t>
      </w:r>
      <w:r>
        <w:rPr>
          <w:rFonts w:hint="eastAsia" w:ascii="仿宋" w:hAnsi="仿宋" w:eastAsia="仿宋" w:cs="仿宋"/>
          <w:color w:val="auto"/>
          <w:sz w:val="24"/>
          <w:highlight w:val="none"/>
          <w:lang w:val="en-US" w:eastAsia="zh-CN"/>
        </w:rPr>
        <w:t>其他内容（</w:t>
      </w:r>
      <w:r>
        <w:rPr>
          <w:rFonts w:hint="eastAsia" w:ascii="仿宋" w:hAnsi="仿宋" w:eastAsia="仿宋" w:cs="仿宋"/>
          <w:color w:val="auto"/>
          <w:sz w:val="24"/>
          <w:highlight w:val="none"/>
          <w:u w:val="none"/>
          <w:lang w:val="en-US" w:eastAsia="zh-CN"/>
        </w:rPr>
        <w:t>根据</w:t>
      </w:r>
      <w:r>
        <w:rPr>
          <w:rFonts w:hint="eastAsia" w:ascii="仿宋" w:hAnsi="仿宋" w:eastAsia="仿宋" w:cs="仿宋"/>
          <w:color w:val="auto"/>
          <w:sz w:val="24"/>
          <w:highlight w:val="none"/>
          <w:u w:val="none"/>
        </w:rPr>
        <w:t>评分标准制作</w:t>
      </w:r>
      <w:r>
        <w:rPr>
          <w:rFonts w:hint="eastAsia" w:ascii="仿宋" w:hAnsi="仿宋" w:eastAsia="仿宋" w:cs="仿宋"/>
          <w:color w:val="auto"/>
          <w:sz w:val="24"/>
          <w:highlight w:val="none"/>
          <w:u w:val="none"/>
          <w:lang w:val="en-US" w:eastAsia="zh-CN"/>
        </w:rPr>
        <w:t>）</w:t>
      </w:r>
      <w:r>
        <w:rPr>
          <w:rFonts w:hint="eastAsia" w:ascii="仿宋" w:hAnsi="仿宋" w:eastAsia="仿宋" w:cs="仿宋"/>
          <w:color w:val="auto"/>
          <w:sz w:val="24"/>
          <w:highlight w:val="none"/>
          <w:u w:val="none"/>
        </w:rPr>
        <w:t>；</w:t>
      </w:r>
    </w:p>
    <w:p w14:paraId="32E610A9">
      <w:pPr>
        <w:snapToGrid w:val="0"/>
        <w:spacing w:line="336" w:lineRule="auto"/>
        <w:ind w:firstLine="720" w:firstLineChars="300"/>
        <w:rPr>
          <w:rFonts w:hint="default"/>
          <w:color w:val="auto"/>
          <w:highlight w:val="none"/>
          <w:lang w:val="zh-CN" w:eastAsia="zh-CN"/>
        </w:rPr>
      </w:pPr>
      <w:r>
        <w:rPr>
          <w:rFonts w:hint="eastAsia" w:ascii="仿宋" w:hAnsi="仿宋" w:eastAsia="仿宋" w:cs="仿宋"/>
          <w:color w:val="auto"/>
          <w:sz w:val="24"/>
          <w:highlight w:val="none"/>
        </w:rPr>
        <w:t>2.2.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投标人需要说明的其他文件和说明（格式自拟）。</w:t>
      </w:r>
    </w:p>
    <w:p w14:paraId="66F54E02">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leftChars="0" w:firstLine="482" w:firstLineChars="200"/>
        <w:textAlignment w:val="auto"/>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 xml:space="preserve">2.3报价文件： </w:t>
      </w:r>
    </w:p>
    <w:p w14:paraId="4503409E">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eastAsia="zh-CN"/>
        </w:rPr>
        <w:t>2.3.1开标一览表（报价表）；</w:t>
      </w:r>
    </w:p>
    <w:p w14:paraId="5EF30D7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2.3.2</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eastAsia="zh-CN"/>
        </w:rPr>
        <w:t>；</w:t>
      </w:r>
    </w:p>
    <w:p w14:paraId="53FA85D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2.3.3</w:t>
      </w:r>
      <w:r>
        <w:rPr>
          <w:rFonts w:hint="eastAsia" w:ascii="仿宋" w:hAnsi="仿宋" w:eastAsia="仿宋" w:cs="仿宋"/>
          <w:color w:val="auto"/>
          <w:sz w:val="24"/>
          <w:highlight w:val="none"/>
        </w:rPr>
        <w:t>投标人需要说明的其他文件和说明（格式自拟）</w:t>
      </w:r>
      <w:r>
        <w:rPr>
          <w:rFonts w:hint="eastAsia" w:ascii="仿宋" w:hAnsi="仿宋" w:eastAsia="仿宋" w:cs="仿宋"/>
          <w:color w:val="auto"/>
          <w:sz w:val="24"/>
          <w:highlight w:val="none"/>
          <w:lang w:eastAsia="zh-CN"/>
        </w:rPr>
        <w:t>。</w:t>
      </w:r>
    </w:p>
    <w:p w14:paraId="0E88D78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0"/>
        <w:textAlignment w:val="auto"/>
        <w:rPr>
          <w:rFonts w:hint="eastAsia" w:ascii="仿宋" w:hAnsi="仿宋" w:eastAsia="仿宋" w:cs="仿宋"/>
          <w:b/>
          <w:bCs/>
          <w:color w:val="auto"/>
          <w:sz w:val="24"/>
          <w:highlight w:val="none"/>
        </w:rPr>
      </w:pPr>
      <w:r>
        <w:rPr>
          <w:rFonts w:hint="default" w:ascii="仿宋" w:hAnsi="仿宋" w:eastAsia="仿宋" w:cs="仿宋"/>
          <w:b/>
          <w:bCs/>
          <w:color w:val="auto"/>
          <w:sz w:val="24"/>
          <w:highlight w:val="none"/>
          <w:lang w:val="en-US"/>
        </w:rPr>
        <w:t>3.</w:t>
      </w:r>
      <w:r>
        <w:rPr>
          <w:rFonts w:hint="eastAsia" w:ascii="仿宋" w:hAnsi="仿宋" w:eastAsia="仿宋" w:cs="仿宋"/>
          <w:b/>
          <w:bCs/>
          <w:color w:val="auto"/>
          <w:sz w:val="24"/>
          <w:highlight w:val="none"/>
          <w:lang w:val="en-US" w:eastAsia="zh-CN"/>
        </w:rPr>
        <w:t>投标报价</w:t>
      </w:r>
    </w:p>
    <w:p w14:paraId="11DB0B46">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3.1供应商应按招标文件中《开标一览表》等附表要求填写。</w:t>
      </w:r>
    </w:p>
    <w:p w14:paraId="6CC7EB57">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3.2报价为</w:t>
      </w:r>
      <w:r>
        <w:rPr>
          <w:rFonts w:hint="eastAsia" w:ascii="仿宋" w:hAnsi="仿宋" w:eastAsia="仿宋" w:cs="仿宋"/>
          <w:color w:val="auto"/>
          <w:sz w:val="24"/>
          <w:highlight w:val="none"/>
          <w:lang w:val="en-US" w:eastAsia="zh-CN"/>
        </w:rPr>
        <w:t>完成本项目所需的</w:t>
      </w:r>
      <w:r>
        <w:rPr>
          <w:rFonts w:hint="default" w:ascii="仿宋" w:hAnsi="仿宋" w:eastAsia="仿宋" w:cs="仿宋"/>
          <w:color w:val="auto"/>
          <w:sz w:val="24"/>
          <w:highlight w:val="none"/>
          <w:lang w:val="en-US" w:eastAsia="zh-CN"/>
        </w:rPr>
        <w:t>一切费用。</w:t>
      </w:r>
    </w:p>
    <w:p w14:paraId="515CECBF">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0" w:firstLineChars="300"/>
        <w:textAlignment w:val="auto"/>
        <w:rPr>
          <w:rFonts w:hint="default" w:ascii="仿宋" w:hAnsi="仿宋" w:eastAsia="仿宋" w:cs="仿宋"/>
          <w:color w:val="auto"/>
          <w:sz w:val="24"/>
          <w:highlight w:val="none"/>
          <w:lang w:val="en-US" w:eastAsia="zh-CN"/>
        </w:rPr>
      </w:pPr>
      <w:r>
        <w:rPr>
          <w:rFonts w:hint="default" w:ascii="仿宋" w:hAnsi="仿宋" w:eastAsia="仿宋" w:cs="仿宋"/>
          <w:color w:val="auto"/>
          <w:sz w:val="24"/>
          <w:highlight w:val="none"/>
          <w:lang w:val="en-US" w:eastAsia="zh-CN"/>
        </w:rPr>
        <w:t>3.3招标文件未列明，而供应商认为必需的费用也需列入报价。</w:t>
      </w:r>
    </w:p>
    <w:p w14:paraId="17C0069D">
      <w:pPr>
        <w:pStyle w:val="25"/>
        <w:keepNext w:val="0"/>
        <w:keepLines w:val="0"/>
        <w:pageBreakBefore w:val="0"/>
        <w:widowControl w:val="0"/>
        <w:numPr>
          <w:ilvl w:val="0"/>
          <w:numId w:val="0"/>
        </w:numPr>
        <w:kinsoku/>
        <w:wordWrap/>
        <w:overflowPunct/>
        <w:topLinePunct w:val="0"/>
        <w:autoSpaceDE/>
        <w:autoSpaceDN/>
        <w:bidi w:val="0"/>
        <w:adjustRightInd w:val="0"/>
        <w:snapToGrid w:val="0"/>
        <w:spacing w:beforeAutospacing="0" w:line="440" w:lineRule="exact"/>
        <w:ind w:firstLine="723" w:firstLineChars="300"/>
        <w:textAlignment w:val="auto"/>
        <w:rPr>
          <w:rFonts w:ascii="仿宋" w:hAnsi="仿宋" w:eastAsia="仿宋" w:cs="仿宋"/>
          <w:b/>
          <w:color w:val="auto"/>
          <w:szCs w:val="24"/>
          <w:highlight w:val="none"/>
        </w:rPr>
      </w:pPr>
      <w:r>
        <w:rPr>
          <w:rFonts w:hint="default" w:ascii="仿宋" w:hAnsi="仿宋" w:eastAsia="仿宋" w:cs="仿宋"/>
          <w:b/>
          <w:bCs/>
          <w:color w:val="auto"/>
          <w:sz w:val="24"/>
          <w:highlight w:val="none"/>
          <w:lang w:val="en-US" w:eastAsia="zh-CN"/>
        </w:rPr>
        <w:t>3.4投标报价只允许有一个报价，有选择的报价将不予接受（除指定外）</w:t>
      </w:r>
      <w:r>
        <w:rPr>
          <w:rFonts w:hint="default" w:ascii="仿宋" w:hAnsi="仿宋" w:eastAsia="仿宋" w:cs="仿宋"/>
          <w:b/>
          <w:bCs/>
          <w:color w:val="auto"/>
          <w:sz w:val="24"/>
          <w:highlight w:val="none"/>
          <w:lang w:val="en-US"/>
        </w:rPr>
        <w:t>。4.</w:t>
      </w:r>
      <w:r>
        <w:rPr>
          <w:rFonts w:hint="eastAsia" w:ascii="仿宋" w:hAnsi="仿宋" w:eastAsia="仿宋" w:cs="仿宋"/>
          <w:b/>
          <w:bCs/>
          <w:color w:val="auto"/>
          <w:sz w:val="24"/>
          <w:highlight w:val="none"/>
          <w:lang w:val="zh-CN"/>
        </w:rPr>
        <w:t xml:space="preserve"> </w:t>
      </w:r>
      <w:r>
        <w:rPr>
          <w:rFonts w:hint="eastAsia" w:ascii="仿宋" w:hAnsi="仿宋" w:eastAsia="仿宋" w:cs="仿宋"/>
          <w:b/>
          <w:bCs/>
          <w:color w:val="auto"/>
          <w:sz w:val="24"/>
          <w:highlight w:val="none"/>
          <w:lang w:val="en-US"/>
        </w:rPr>
        <w:t>投标文件的编制</w:t>
      </w:r>
      <w:r>
        <w:rPr>
          <w:rFonts w:hint="eastAsia" w:ascii="仿宋" w:hAnsi="仿宋" w:eastAsia="仿宋" w:cs="仿宋"/>
          <w:b/>
          <w:bCs/>
          <w:color w:val="auto"/>
          <w:sz w:val="24"/>
          <w:highlight w:val="none"/>
          <w:lang w:val="en-US" w:eastAsia="zh-CN"/>
        </w:rPr>
        <w:t>和</w:t>
      </w:r>
      <w:r>
        <w:rPr>
          <w:rFonts w:hint="eastAsia" w:ascii="仿宋" w:hAnsi="仿宋" w:eastAsia="仿宋" w:cs="仿宋"/>
          <w:b/>
          <w:bCs/>
          <w:color w:val="auto"/>
          <w:sz w:val="24"/>
          <w:highlight w:val="none"/>
          <w:lang w:val="en-US"/>
        </w:rPr>
        <w:t>签署</w:t>
      </w:r>
    </w:p>
    <w:p w14:paraId="3B628056">
      <w:pPr>
        <w:snapToGrid w:val="0"/>
        <w:spacing w:line="440" w:lineRule="exact"/>
        <w:ind w:firstLine="480" w:firstLineChars="200"/>
        <w:jc w:val="left"/>
        <w:rPr>
          <w:rFonts w:ascii="仿宋" w:hAnsi="仿宋" w:eastAsia="仿宋" w:cs="仿宋"/>
          <w:color w:val="auto"/>
          <w:sz w:val="24"/>
          <w:highlight w:val="none"/>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C0F9D91">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.2投标人进行电子投标应安装客户端软件—“政采云电子交易客户端”，并按照招标文件和电子交易平台的要求编制并加密投标文件。投标人未按规定加密的投标文件，电子交易平台将拒收并提示。</w:t>
      </w:r>
    </w:p>
    <w:p w14:paraId="7A40B385">
      <w:pPr>
        <w:snapToGrid w:val="0"/>
        <w:spacing w:line="440" w:lineRule="exact"/>
        <w:ind w:firstLine="480" w:firstLineChars="200"/>
        <w:jc w:val="left"/>
        <w:rPr>
          <w:rFonts w:ascii="仿宋" w:hAnsi="仿宋" w:eastAsia="仿宋" w:cs="仿宋"/>
          <w:color w:val="auto"/>
          <w:sz w:val="24"/>
          <w:highlight w:val="none"/>
          <w:lang w:val="zh-CN"/>
        </w:rPr>
      </w:pPr>
      <w:r>
        <w:rPr>
          <w:rFonts w:ascii="仿宋" w:hAnsi="仿宋" w:eastAsia="仿宋" w:cs="仿宋"/>
          <w:color w:val="auto"/>
          <w:sz w:val="24"/>
          <w:highlight w:val="none"/>
        </w:rPr>
        <w:t>4</w:t>
      </w:r>
      <w:r>
        <w:rPr>
          <w:rFonts w:hint="eastAsia" w:ascii="仿宋" w:hAnsi="仿宋" w:eastAsia="仿宋" w:cs="仿宋"/>
          <w:color w:val="auto"/>
          <w:sz w:val="24"/>
          <w:highlight w:val="none"/>
          <w:lang w:val="zh-CN"/>
        </w:rPr>
        <w:t>.3使用“政采云电子交易客户端”需要提前申领CA数字证书，申领流程请自行前往“浙江政府采购网-下载专区-电子交易客户端-CA驱动和申领流程”进行查阅。</w:t>
      </w:r>
    </w:p>
    <w:p w14:paraId="3E47B4D2">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4.4</w:t>
      </w:r>
      <w:r>
        <w:rPr>
          <w:rFonts w:hint="eastAsia" w:ascii="仿宋" w:hAnsi="仿宋" w:eastAsia="仿宋" w:cs="仿宋"/>
          <w:color w:val="auto"/>
          <w:sz w:val="24"/>
          <w:highlight w:val="none"/>
          <w:lang w:val="zh-CN"/>
        </w:rPr>
        <w:t>投标文件按照招标文件第六部分格式要求进行签署、盖章。投标人的投标文件未按照招标文件要求签署、盖章的，其投标无效。</w:t>
      </w:r>
    </w:p>
    <w:p w14:paraId="72DA95CB">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4.5</w:t>
      </w:r>
      <w:r>
        <w:rPr>
          <w:rFonts w:hint="eastAsia" w:ascii="仿宋" w:hAnsi="仿宋" w:eastAsia="仿宋" w:cs="仿宋"/>
          <w:color w:val="auto"/>
          <w:sz w:val="24"/>
          <w:highlight w:val="none"/>
          <w:lang w:val="zh-CN"/>
        </w:rPr>
        <w:t>为确保网上操作合法、有效和安全，投标人应当在投标截止时间前完成在“政府采购云平台”的身份认证，确保在电子投标过程中能够对相关数据电文进行加密和使用电子签名。</w:t>
      </w:r>
    </w:p>
    <w:p w14:paraId="4C99D371">
      <w:pPr>
        <w:snapToGrid w:val="0"/>
        <w:spacing w:line="440" w:lineRule="exact"/>
        <w:ind w:firstLine="480" w:firstLineChars="200"/>
        <w:jc w:val="left"/>
        <w:rPr>
          <w:rFonts w:ascii="仿宋" w:hAnsi="仿宋" w:eastAsia="仿宋" w:cs="仿宋"/>
          <w:color w:val="auto"/>
          <w:sz w:val="24"/>
          <w:highlight w:val="none"/>
          <w:lang w:val="zh-CN"/>
        </w:rPr>
      </w:pP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lang w:val="zh-CN"/>
        </w:rPr>
        <w:t>招标文件对投标文件签署、盖章的要求适用于电子签名。</w:t>
      </w:r>
    </w:p>
    <w:p w14:paraId="492769D1">
      <w:pPr>
        <w:pStyle w:val="133"/>
        <w:spacing w:before="0" w:line="440" w:lineRule="exact"/>
        <w:ind w:firstLine="0" w:firstLineChars="0"/>
        <w:rPr>
          <w:rFonts w:ascii="仿宋" w:hAnsi="仿宋" w:eastAsia="仿宋" w:cs="仿宋"/>
          <w:b/>
          <w:color w:val="auto"/>
          <w:szCs w:val="24"/>
          <w:highlight w:val="none"/>
        </w:rPr>
      </w:pPr>
      <w:r>
        <w:rPr>
          <w:rFonts w:hint="eastAsia" w:ascii="仿宋" w:hAnsi="仿宋" w:eastAsia="仿宋" w:cs="仿宋"/>
          <w:b/>
          <w:color w:val="auto"/>
          <w:szCs w:val="24"/>
          <w:highlight w:val="none"/>
          <w:lang w:val="en-US" w:eastAsia="zh-CN"/>
        </w:rPr>
        <w:t>5</w:t>
      </w:r>
      <w:r>
        <w:rPr>
          <w:rFonts w:ascii="仿宋" w:hAnsi="仿宋" w:eastAsia="仿宋" w:cs="仿宋"/>
          <w:b/>
          <w:color w:val="auto"/>
          <w:szCs w:val="24"/>
          <w:highlight w:val="none"/>
        </w:rPr>
        <w:t>.</w:t>
      </w:r>
      <w:r>
        <w:rPr>
          <w:rFonts w:hint="eastAsia" w:ascii="仿宋" w:hAnsi="仿宋" w:eastAsia="仿宋" w:cs="仿宋"/>
          <w:b/>
          <w:color w:val="auto"/>
          <w:szCs w:val="24"/>
          <w:highlight w:val="none"/>
        </w:rPr>
        <w:t xml:space="preserve"> 投标文件的提交、补充、修改、撤回</w:t>
      </w:r>
    </w:p>
    <w:p w14:paraId="78476414">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00A0553B">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2电子交易平台收到投标文件，将妥善保存并即时向供应商发出确认回执通知。在投标截止时间前，除供应商补充、修改或者撤回投标文件外，任何单位和个人不得解密或提取投标文件。</w:t>
      </w:r>
    </w:p>
    <w:p w14:paraId="40E39682">
      <w:pPr>
        <w:snapToGrid w:val="0"/>
        <w:spacing w:line="440" w:lineRule="exact"/>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r>
        <w:rPr>
          <w:rFonts w:ascii="仿宋" w:hAnsi="仿宋" w:eastAsia="仿宋" w:cs="仿宋"/>
          <w:color w:val="auto"/>
          <w:sz w:val="24"/>
          <w:highlight w:val="none"/>
        </w:rPr>
        <w:t>.</w:t>
      </w:r>
      <w:r>
        <w:rPr>
          <w:rFonts w:hint="eastAsia" w:ascii="仿宋" w:hAnsi="仿宋" w:eastAsia="仿宋" w:cs="仿宋"/>
          <w:color w:val="auto"/>
          <w:sz w:val="24"/>
          <w:highlight w:val="none"/>
        </w:rPr>
        <w:t>3采购人、采购代理机构可以视情况延长投标文件提交的截止时间。在上述情况下，采购代理机构与投标人以前在投标截止期方面的全部权利、责任和义务，将适用于延长至新的投标截止期。</w:t>
      </w:r>
    </w:p>
    <w:p w14:paraId="61CEC194">
      <w:pPr>
        <w:adjustRightInd w:val="0"/>
        <w:spacing w:line="440" w:lineRule="exact"/>
        <w:ind w:left="0" w:leftChars="0" w:firstLine="0" w:firstLineChars="0"/>
        <w:jc w:val="both"/>
        <w:rPr>
          <w:rFonts w:hint="eastAsia" w:ascii="仿宋" w:hAnsi="仿宋" w:eastAsia="仿宋" w:cs="仿宋"/>
          <w:b/>
          <w:color w:val="auto"/>
          <w:sz w:val="32"/>
          <w:highlight w:val="none"/>
        </w:rPr>
      </w:pPr>
      <w:r>
        <w:rPr>
          <w:rFonts w:hint="eastAsia" w:ascii="仿宋" w:hAnsi="仿宋" w:eastAsia="仿宋" w:cs="仿宋"/>
          <w:b/>
          <w:bCs/>
          <w:i w:val="0"/>
          <w:iCs w:val="0"/>
          <w:color w:val="auto"/>
          <w:kern w:val="2"/>
          <w:sz w:val="24"/>
          <w:szCs w:val="24"/>
          <w:highlight w:val="none"/>
          <w:vertAlign w:val="baseline"/>
          <w:lang w:val="en-US" w:eastAsia="zh-CN" w:bidi="ar-SA"/>
        </w:rPr>
        <w:t>6</w:t>
      </w:r>
      <w:r>
        <w:rPr>
          <w:rFonts w:hint="default" w:ascii="仿宋" w:hAnsi="仿宋" w:eastAsia="仿宋" w:cs="仿宋"/>
          <w:b/>
          <w:bCs/>
          <w:i w:val="0"/>
          <w:iCs w:val="0"/>
          <w:color w:val="auto"/>
          <w:kern w:val="2"/>
          <w:sz w:val="24"/>
          <w:szCs w:val="24"/>
          <w:highlight w:val="none"/>
          <w:vertAlign w:val="baseline"/>
          <w:lang w:val="en-US" w:eastAsia="zh-CN" w:bidi="ar-SA"/>
        </w:rPr>
        <w:t>.投标有效期</w:t>
      </w:r>
    </w:p>
    <w:p w14:paraId="3FD70AFF">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.1投标有效期为从提交投标文件的截止之日起90天。投标人的投标文件中承诺的投标有效期少于招标文件中载明的投标有效期的，投标无效。</w:t>
      </w:r>
    </w:p>
    <w:p w14:paraId="44FEB983">
      <w:pPr>
        <w:adjustRightInd w:val="0"/>
        <w:snapToGrid w:val="0"/>
        <w:spacing w:line="440" w:lineRule="exact"/>
        <w:ind w:firstLine="480" w:firstLineChars="200"/>
        <w:jc w:val="left"/>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.2投标文件合格投递后，自投标截止日期起，在投标有效期内有效。</w:t>
      </w:r>
    </w:p>
    <w:p w14:paraId="74201669">
      <w:pPr>
        <w:pStyle w:val="133"/>
        <w:keepNext w:val="0"/>
        <w:keepLines w:val="0"/>
        <w:pageBreakBefore w:val="0"/>
        <w:widowControl w:val="0"/>
        <w:kinsoku/>
        <w:wordWrap/>
        <w:overflowPunct/>
        <w:topLinePunct w:val="0"/>
        <w:autoSpaceDE/>
        <w:autoSpaceDN/>
        <w:bidi w:val="0"/>
        <w:adjustRightInd w:val="0"/>
        <w:snapToGrid/>
        <w:spacing w:before="0" w:beforeAutospacing="0" w:line="360" w:lineRule="auto"/>
        <w:ind w:left="0" w:leftChars="0" w:firstLine="643"/>
        <w:textAlignment w:val="auto"/>
        <w:rPr>
          <w:rFonts w:hint="eastAsia" w:ascii="仿宋" w:hAnsi="仿宋" w:eastAsia="仿宋" w:cs="仿宋"/>
          <w:b/>
          <w:color w:val="auto"/>
          <w:sz w:val="32"/>
          <w:highlight w:val="none"/>
        </w:rPr>
      </w:pPr>
      <w:r>
        <w:rPr>
          <w:rFonts w:hint="eastAsia" w:ascii="仿宋" w:hAnsi="仿宋" w:eastAsia="仿宋" w:cs="仿宋"/>
          <w:b w:val="0"/>
          <w:bCs w:val="0"/>
          <w:i w:val="0"/>
          <w:iCs w:val="0"/>
          <w:color w:val="auto"/>
          <w:kern w:val="2"/>
          <w:sz w:val="24"/>
          <w:szCs w:val="24"/>
          <w:highlight w:val="none"/>
          <w:vertAlign w:val="baseline"/>
          <w:lang w:val="en-US" w:eastAsia="zh-CN" w:bidi="ar-SA"/>
        </w:rPr>
        <w:t>6</w:t>
      </w:r>
      <w:r>
        <w:rPr>
          <w:rFonts w:hint="default" w:ascii="仿宋" w:hAnsi="仿宋" w:eastAsia="仿宋" w:cs="仿宋"/>
          <w:b w:val="0"/>
          <w:bCs w:val="0"/>
          <w:i w:val="0"/>
          <w:iCs w:val="0"/>
          <w:color w:val="auto"/>
          <w:kern w:val="2"/>
          <w:sz w:val="24"/>
          <w:szCs w:val="24"/>
          <w:highlight w:val="none"/>
          <w:vertAlign w:val="baseline"/>
          <w:lang w:val="en-US" w:eastAsia="zh-CN" w:bidi="ar-SA"/>
        </w:rPr>
        <w:t>.3在原定投标有效期满之前，如果出现特殊情况，采购代理机构可以以书面形式通知投标人延长投标有效期。投标人同意延长的，不得要求或被允许修改其投标文件，投标人拒绝延长的，其投标无效。</w:t>
      </w:r>
    </w:p>
    <w:p w14:paraId="069716E0">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2"/>
          <w:szCs w:val="32"/>
          <w:highlight w:val="none"/>
        </w:rPr>
      </w:pPr>
      <w:bookmarkStart w:id="19" w:name="_Toc91899903"/>
      <w:r>
        <w:rPr>
          <w:rFonts w:hint="eastAsia" w:ascii="仿宋" w:hAnsi="仿宋" w:eastAsia="仿宋" w:cs="仿宋"/>
          <w:b/>
          <w:color w:val="auto"/>
          <w:sz w:val="32"/>
          <w:szCs w:val="32"/>
          <w:highlight w:val="none"/>
        </w:rPr>
        <w:t>四、开标和评标</w:t>
      </w:r>
    </w:p>
    <w:p w14:paraId="35C2F439">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1．电子招投标开标及评审程序</w:t>
      </w:r>
    </w:p>
    <w:p w14:paraId="07260FB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1.1投标截止时间后，主持人宣布开标会开始。</w:t>
      </w:r>
    </w:p>
    <w:p w14:paraId="38AFF5C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1.2投标人登录政采云平台，用“项目采购-开标评标”功能对电子投标文件进行在线解密。在线解密电子投标文件时间为开标时间起30分钟内。</w:t>
      </w:r>
    </w:p>
    <w:p w14:paraId="2F457B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1.3评标委员会对资格和商务技术响应文件进行评审。</w:t>
      </w:r>
    </w:p>
    <w:p w14:paraId="6F95488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1.4主持人宣布商务技术得分及无效（废）投标情形（如有），公布经商务技术评审符合招标文件要求的投标人名单及其商务技术得分。</w:t>
      </w:r>
    </w:p>
    <w:p w14:paraId="03FA175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1.5启封报价文件资料，主持人宣读投标人名称、投标价格和投标文件的其他内容。未宣读的投标报价和招标文件未允许提供的备选投标方案等实质性内容，评标时不予承认。</w:t>
      </w:r>
    </w:p>
    <w:p w14:paraId="23BE290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1.6评标委员会对投标文件报价文件资料进行评审，核准投标报价及计算价格分，汇总商务技术分、价格分，根据得分排序确定中标候选人。</w:t>
      </w:r>
    </w:p>
    <w:p w14:paraId="7E1D5C5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1.7主持人公布评标结果。</w:t>
      </w:r>
    </w:p>
    <w:p w14:paraId="46A9DAD7">
      <w:pPr>
        <w:keepNext w:val="0"/>
        <w:keepLines w:val="0"/>
        <w:pageBreakBefore w:val="0"/>
        <w:widowControl w:val="0"/>
        <w:kinsoku/>
        <w:wordWrap/>
        <w:overflowPunct/>
        <w:topLinePunct w:val="0"/>
        <w:autoSpaceDE/>
        <w:autoSpaceDN/>
        <w:bidi w:val="0"/>
        <w:adjustRightInd w:val="0"/>
        <w:snapToGrid w:val="0"/>
        <w:spacing w:line="440" w:lineRule="exact"/>
        <w:ind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特别说明：政采云公司如对电子化开标及评审程序有调整的，按调整后的程序操作。</w:t>
      </w:r>
    </w:p>
    <w:p w14:paraId="00381BD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14:paraId="0E8F3DF1">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2.1电子交易平台发生故障而无法登录访问的； </w:t>
      </w:r>
    </w:p>
    <w:p w14:paraId="6B9A6CD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2.2电子交易平台应用或数据库出现错误，不能进行正常操作的；</w:t>
      </w:r>
    </w:p>
    <w:p w14:paraId="6CC07B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2.3电子交易平台发现严重安全漏洞，有潜在泄密危险的；</w:t>
      </w:r>
    </w:p>
    <w:p w14:paraId="469A6EF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2.4病毒发作导致不能进行正常操作的； </w:t>
      </w:r>
    </w:p>
    <w:p w14:paraId="13F788EE">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2.5其他无法保证电子交易的公平、公正和安全的情况。</w:t>
      </w:r>
    </w:p>
    <w:p w14:paraId="4AB8D61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14:paraId="0F9D2784">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3．评标</w:t>
      </w:r>
    </w:p>
    <w:p w14:paraId="509A054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3.1评标委员会由招标采购单位依法组建，负责评标活动。评标委员会遵循公开、公平、公正、科学合理、竞争择优的原则。</w:t>
      </w:r>
    </w:p>
    <w:p w14:paraId="337C86A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3.2评标委员会由采购人代表和有关方面的专家组成，成员人数为五人以上单数。</w:t>
      </w:r>
    </w:p>
    <w:p w14:paraId="0933CAB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3.3评标委员会负责对投标人资格的最终审定。</w:t>
      </w:r>
    </w:p>
    <w:p w14:paraId="11C06CC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3.4评标委员会可以要求投标人对其投标文件中含义不明确的内容作必要的澄清或者说明，但澄清或者说明不得超过投标文件的范围或者改变投标文件的实质性内容。</w:t>
      </w:r>
    </w:p>
    <w:p w14:paraId="345526FB">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评审中需要供应商对投标、响应文件作出澄清、说明或者补正的，评标委员会和供应商应当通过政采云平台交换数据电文。给予供应商提交澄清说明或补正的时间不少于半小时，供应商已经明确表示澄清说明或补正完毕的除外。</w:t>
      </w:r>
    </w:p>
    <w:p w14:paraId="5074379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供应商通过政采云平台交换的数据电文必须进行电子签章。</w:t>
      </w:r>
    </w:p>
    <w:p w14:paraId="645BF6A2">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3.5评审小组组长组织评审人员独立评审。评审小组对拟认定为采购响应文件无效、供应商资格不符合的，应组织相关供应商代表进行陈述、澄清或申辩；采购组织机构可协助评审小组组长对打分结果进行校对、核对并汇总统计；对明显畸高、畸低的评分情形（评审小组成员个人主观打分偏离所有评审小组成员主观打分平均值30%以上），启动评分畸高、畸低行为认定程序，评审小组组长应提醒相关评审人员进行复核或书面说明理由，评审人员拒绝说明的，由现场监督员据实记录；评审人员的评审、修改记录应保留原件，随项目其他资料一并存档。</w:t>
      </w:r>
    </w:p>
    <w:p w14:paraId="3D7AFB6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3.6评标委员会对投标文件的判定，只依据投标文件和招标文件内容本身，不依据任何外来证明。</w:t>
      </w:r>
    </w:p>
    <w:p w14:paraId="45FA51E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lang w:val="en-US" w:eastAsia="zh-CN"/>
        </w:rPr>
        <w:t>3.7评标委员会不向落标方解释落标的原因。</w:t>
      </w:r>
    </w:p>
    <w:p w14:paraId="052FA50B">
      <w:pPr>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4．投标文件的初审鉴定</w:t>
      </w:r>
    </w:p>
    <w:p w14:paraId="16B0C2B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4.1资格性审查</w:t>
      </w:r>
    </w:p>
    <w:p w14:paraId="6E07E2D8">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4.1.1依据法律、法规和招标文件规定，采购人或采购人代表对投标人进行资格审查，以确定投标人是否具备投标资格。</w:t>
      </w:r>
    </w:p>
    <w:p w14:paraId="022082A3">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4.2符合性审查</w:t>
      </w:r>
    </w:p>
    <w:p w14:paraId="2E06F3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4.2.1评标时，评标委员会将首先评定每份投标文件是否在实质上响应了招标文件要求。所谓实质上的响应，是指投标文件与招标文件的所有实质性条款、条件和要求相符，无显著差异或保留，或者对合同中约定的采购人的权利和投标人的义务方面造成重大的限制，纠正这些显著差异或保留将会对其他实质上响应招标文件要求的投标文件的投标人的竞争地位产生不公正的影响。评标委员会决定投标文件的响应性只根据投标文件本身的内容，而不寻求外部证据。</w:t>
      </w:r>
    </w:p>
    <w:p w14:paraId="216F0DE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4.3如果投标文件实质不响应招标文件的各项要求，评标委员会将予以拒绝，并且不允许投标人通过修改或撤销其不符合要求的差异或保留，使之成为具有实质性响应的投标。</w:t>
      </w:r>
    </w:p>
    <w:p w14:paraId="64831BF7">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 xml:space="preserve">5. </w:t>
      </w:r>
      <w:r>
        <w:rPr>
          <w:rFonts w:hint="eastAsia" w:ascii="仿宋" w:hAnsi="仿宋" w:eastAsia="仿宋" w:cs="仿宋"/>
          <w:b/>
          <w:color w:val="auto"/>
          <w:sz w:val="24"/>
          <w:highlight w:val="none"/>
        </w:rPr>
        <w:t>投标文件报价出现前后不一致的，按照下列规定修正：</w:t>
      </w:r>
    </w:p>
    <w:p w14:paraId="7AE9390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5.1投标文件中开标一览表（报价表）内容与投标文件中相应内容不一致的，以开标一览表（报价表）为准；</w:t>
      </w:r>
    </w:p>
    <w:p w14:paraId="1CF6984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5.2大写金额和小写金额不一致的，以大写金额为准；</w:t>
      </w:r>
    </w:p>
    <w:p w14:paraId="5F4F8F66">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5.3单价金额小数点或者百分比有明显错位的，以开标一览表的总价为准，并修改单价；</w:t>
      </w:r>
    </w:p>
    <w:p w14:paraId="7DA2CCB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5.4总价金额与按单价汇总金额不一致的，以单价金额计算结果为准。</w:t>
      </w:r>
    </w:p>
    <w:p w14:paraId="240A07B5">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同时出现两种以上不一致的，按照前款规定的顺序修正。修正后的报价按照财政部公布第87号令 《政府采购货物和服务招标投标管理办法》第五十一条第二款的规定经投标人确认后产生约束力，投标人不确认的，其投标无效。</w:t>
      </w:r>
    </w:p>
    <w:p w14:paraId="5873677E">
      <w:pPr>
        <w:keepNext w:val="0"/>
        <w:keepLines w:val="0"/>
        <w:pageBreakBefore w:val="0"/>
        <w:kinsoku/>
        <w:wordWrap/>
        <w:overflowPunct/>
        <w:topLinePunct w:val="0"/>
        <w:autoSpaceDE/>
        <w:autoSpaceDN/>
        <w:bidi w:val="0"/>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6.投标文件的评审、比较和否决</w:t>
      </w:r>
    </w:p>
    <w:p w14:paraId="7978BBF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6.1评标委员会将对在实质上响应招标文件要求的投标文件进行评估和比较。</w:t>
      </w:r>
    </w:p>
    <w:p w14:paraId="44D25EA7">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6.2在评审过程中，评标委员会可以书面形式要求投标人就投标文件含义不明确的内容可对其通过政采云平台进行书面说明并提供相关材料，但不得超过投标文件的范围或者改变投标文件的实质性内容。</w:t>
      </w:r>
    </w:p>
    <w:p w14:paraId="2101C22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6.3在评标过程中，如发现与招标文件要求相偏离的，评标委员会可对其偏离情形进行必要的核实。</w:t>
      </w:r>
    </w:p>
    <w:p w14:paraId="3C11695A">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6.4在评审过程中，如属于实质性偏离或符合无效响应条件的，应当询问相关投标人，并可对其通过政采云平台进行线上确认，但不允许对偏离条款进行补充、修正或撤回。</w:t>
      </w:r>
    </w:p>
    <w:p w14:paraId="4F0AF88F">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6.5比较与评价。评标委员会应当按照评标标准，对符合性审查合格的投标文件进行商务和技术评估，综合比较与评价。</w:t>
      </w:r>
    </w:p>
    <w:p w14:paraId="480F89F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6.6汇总（商务技术得分情况）。评标委员会各成员应当独立对每个投标人的商务技术文件进行评价，并汇总商务技术得分情况。</w:t>
      </w:r>
    </w:p>
    <w:p w14:paraId="6CCEBC5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 报价审核。对符合采购需求且通过商务技术评审的投标人的报价的合理性、准确性等进行审查核实。</w:t>
      </w:r>
    </w:p>
    <w:p w14:paraId="3D522C2C">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6.7.1评标委员会认为投标人的报价明显低于其他通过符合性审查投标人的报价，有可能影响产品质量或者不能诚信履约的，应当要求其在评标现场合理的时间内通过政采云平台提供线上说明，必要时提交相关证明材料。</w:t>
      </w:r>
    </w:p>
    <w:p w14:paraId="69173D44">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6.7.2根据财政部发布的《政府采购促进中小企业发展暂行办法》规定，对于非专门面向中小企业的项目，对小型和微型企业产品的价格给予一定的扣除，用扣除后的价格参与评审。</w:t>
      </w:r>
    </w:p>
    <w:p w14:paraId="57E2CB7D">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6.7.3如需投标价格修正，按财政部87号令第五十九条的规定对投标价格进行修正。</w:t>
      </w:r>
    </w:p>
    <w:p w14:paraId="2ED8FD79">
      <w:pPr>
        <w:keepNext w:val="0"/>
        <w:keepLines w:val="0"/>
        <w:pageBreakBefore w:val="0"/>
        <w:widowControl w:val="0"/>
        <w:kinsoku/>
        <w:wordWrap/>
        <w:overflowPunct/>
        <w:topLinePunct w:val="0"/>
        <w:autoSpaceDE/>
        <w:autoSpaceDN/>
        <w:bidi w:val="0"/>
        <w:adjustRightInd w:val="0"/>
        <w:snapToGrid w:val="0"/>
        <w:spacing w:line="440" w:lineRule="exact"/>
        <w:ind w:left="0" w:firstLine="480" w:firstLineChars="200"/>
        <w:jc w:val="left"/>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6.8评标委员会依据招标文件规定的评标标准和方法，对投标文件进行评审和比较后，向采购人或其委托的采购代理机构提供书面评标报告，并按得分高低排序推荐中标候选供应商。</w:t>
      </w:r>
    </w:p>
    <w:p w14:paraId="2C34D31E">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0"/>
        <w:textAlignment w:val="auto"/>
        <w:rPr>
          <w:rFonts w:hint="eastAsia" w:ascii="仿宋" w:hAnsi="仿宋" w:eastAsia="仿宋" w:cs="仿宋"/>
          <w:b/>
          <w:color w:val="auto"/>
          <w:highlight w:val="none"/>
        </w:rPr>
      </w:pPr>
      <w:r>
        <w:rPr>
          <w:rFonts w:hint="eastAsia" w:ascii="仿宋" w:hAnsi="仿宋" w:eastAsia="仿宋" w:cs="仿宋"/>
          <w:b/>
          <w:color w:val="auto"/>
          <w:highlight w:val="none"/>
        </w:rPr>
        <w:t>7.投标文件的澄清</w:t>
      </w:r>
    </w:p>
    <w:p w14:paraId="4C4A7C9F">
      <w:pPr>
        <w:pStyle w:val="16"/>
        <w:keepNext w:val="0"/>
        <w:keepLines w:val="0"/>
        <w:pageBreakBefore w:val="0"/>
        <w:widowControl w:val="0"/>
        <w:tabs>
          <w:tab w:val="clear" w:pos="390"/>
          <w:tab w:val="clear" w:pos="454"/>
        </w:tabs>
        <w:kinsoku/>
        <w:wordWrap/>
        <w:overflowPunct/>
        <w:topLinePunct w:val="0"/>
        <w:autoSpaceDE/>
        <w:autoSpaceDN/>
        <w:bidi w:val="0"/>
        <w:spacing w:after="0" w:line="440" w:lineRule="exact"/>
        <w:ind w:left="0"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szCs w:val="24"/>
          <w:highlight w:val="none"/>
        </w:rPr>
        <w:t>对投标文件中含义不明、表述不一致或有明显计算错误等内容，评标委员会将对投标人进行询标，并可要求投标人作澄清，作为投标文件的补充部分，但澄清的内容不得改变投标文件的实质性内容。</w:t>
      </w:r>
    </w:p>
    <w:p w14:paraId="2A1409A8">
      <w:pPr>
        <w:pStyle w:val="34"/>
        <w:keepNext w:val="0"/>
        <w:keepLines w:val="0"/>
        <w:pageBreakBefore w:val="0"/>
        <w:kinsoku/>
        <w:wordWrap/>
        <w:overflowPunct/>
        <w:topLinePunct w:val="0"/>
        <w:autoSpaceDE/>
        <w:autoSpaceDN/>
        <w:bidi w:val="0"/>
        <w:snapToGrid w:val="0"/>
        <w:spacing w:line="440" w:lineRule="exact"/>
        <w:jc w:val="left"/>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8.无效投标的情形</w:t>
      </w:r>
    </w:p>
    <w:p w14:paraId="4A3AB21F">
      <w:pPr>
        <w:keepNext w:val="0"/>
        <w:keepLines w:val="0"/>
        <w:pageBreakBefore w:val="0"/>
        <w:tabs>
          <w:tab w:val="left" w:pos="4085"/>
        </w:tabs>
        <w:kinsoku/>
        <w:wordWrap/>
        <w:overflowPunct/>
        <w:topLinePunct w:val="0"/>
        <w:autoSpaceDE/>
        <w:autoSpaceDN/>
        <w:bidi w:val="0"/>
        <w:snapToGrid w:val="0"/>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投标文件有下列情形之一的作无效投标处理：</w:t>
      </w:r>
    </w:p>
    <w:p w14:paraId="663DCF5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8.1未按照招标文件规定要求电子签章、签字或盖章的；</w:t>
      </w:r>
    </w:p>
    <w:p w14:paraId="6C0DB53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8.2单位负责人为同一人或者存在直接控股、管理关系的不同供应商参加同一合同项下的政府采购活动的（均无效）；</w:t>
      </w:r>
    </w:p>
    <w:p w14:paraId="25FAB58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投标人未提供招标文件中规定的基本资格条件书面承诺函的，或投标人未提供有效的特定资格证明文件的，视为投标人不具备招标文件中规定的资格要求；</w:t>
      </w:r>
    </w:p>
    <w:p w14:paraId="441B9D7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《法定代表人身份证明书》与提供的身份证复印件信息不符的；《法定代表人授权委托书》与提供的身份证复印件信息不符的；</w:t>
      </w:r>
    </w:p>
    <w:p w14:paraId="5C37397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《法定代表人授权委托书》或《法定代表人身份证明书》填写不全、错误、未电子签章(《法定代表人授权委托书》要求“电子签章”和“签字或盖章”缺一不可）的；</w:t>
      </w:r>
    </w:p>
    <w:p w14:paraId="174A02B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授权代表非投标单位正式职工的（以社保证明为准，如授权代表为离退休返聘人员的，需提供退休证明及单位聘用证明），法定代表人及个体工商户除外；</w:t>
      </w:r>
    </w:p>
    <w:p w14:paraId="549416B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投标文件中的投标函无投标人的电子签章或填写不全的；</w:t>
      </w:r>
    </w:p>
    <w:p w14:paraId="6808F11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报价一经涂改，未在涂改处加盖投标单位公章或者未经法定代表人或其授权代表签字或盖章的；</w:t>
      </w:r>
    </w:p>
    <w:p w14:paraId="600BE91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9</w:t>
      </w:r>
      <w:r>
        <w:rPr>
          <w:rFonts w:hint="eastAsia" w:ascii="仿宋" w:hAnsi="仿宋" w:eastAsia="仿宋" w:cs="仿宋"/>
          <w:b/>
          <w:color w:val="auto"/>
          <w:sz w:val="24"/>
          <w:highlight w:val="none"/>
        </w:rPr>
        <w:t>未按招标文件规定的格式填写，或对招标服务或技术或产品等要求未详细应答或应答内容不全、有缺失的,经评标委员会认定为无法评审的；</w:t>
      </w:r>
    </w:p>
    <w:p w14:paraId="551FE24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出现同一标的物或本次招标产品(服务)内的主要产品(重要组成部分)出现</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文件资料、报价文件资料描述不一致或前后描述不一致，经评标委员会认定后为无法评审的；</w:t>
      </w:r>
    </w:p>
    <w:p w14:paraId="09DAC001">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商务技术偏离表</w:t>
      </w:r>
      <w:r>
        <w:rPr>
          <w:rFonts w:hint="eastAsia" w:ascii="仿宋" w:hAnsi="仿宋" w:eastAsia="仿宋" w:cs="仿宋"/>
          <w:b/>
          <w:color w:val="auto"/>
          <w:sz w:val="24"/>
          <w:highlight w:val="none"/>
        </w:rPr>
        <w:t>》不真实填写或弄虚作假的；</w:t>
      </w:r>
    </w:p>
    <w:p w14:paraId="4586CA35">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投标文件含有采购人不能接受的附加条件；</w:t>
      </w:r>
    </w:p>
    <w:p w14:paraId="0186159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评标委员会认为投标人的报价明显低于其他通过符合性审查投标人的报价，有可能影响产品质量或者不能诚信履约的，未能按要求提供书面说明或者提交相关证明材料证明其报价合理性的;</w:t>
      </w:r>
    </w:p>
    <w:p w14:paraId="4BCBFDFC">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报价超过招标文件中规定的预算金额或最高限价的；</w:t>
      </w:r>
    </w:p>
    <w:p w14:paraId="0B10D070">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投标文件“</w:t>
      </w:r>
      <w:r>
        <w:rPr>
          <w:rFonts w:hint="eastAsia" w:ascii="仿宋" w:hAnsi="仿宋" w:eastAsia="仿宋" w:cs="仿宋"/>
          <w:b/>
          <w:color w:val="auto"/>
          <w:sz w:val="24"/>
          <w:highlight w:val="none"/>
          <w:lang w:eastAsia="zh-CN"/>
        </w:rPr>
        <w:t>商务技术</w:t>
      </w:r>
      <w:r>
        <w:rPr>
          <w:rFonts w:hint="eastAsia" w:ascii="仿宋" w:hAnsi="仿宋" w:eastAsia="仿宋" w:cs="仿宋"/>
          <w:b/>
          <w:color w:val="auto"/>
          <w:sz w:val="24"/>
          <w:highlight w:val="none"/>
        </w:rPr>
        <w:t>文件资料”部分中出现《开标一览表》相关内容的；</w:t>
      </w:r>
    </w:p>
    <w:p w14:paraId="03A6C35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6</w:t>
      </w:r>
      <w:r>
        <w:rPr>
          <w:rFonts w:hint="eastAsia" w:ascii="仿宋" w:hAnsi="仿宋" w:eastAsia="仿宋" w:cs="仿宋"/>
          <w:b/>
          <w:color w:val="FF0000"/>
          <w:sz w:val="24"/>
          <w:highlight w:val="none"/>
        </w:rPr>
        <w:t>采购人拟采购的产品属于政府强制采购的节能产品品目清单范围的，投标人未按招标文件要求提供国家确定的认证机构出具的处于有效期之内的节能产品认证证书</w:t>
      </w:r>
      <w:r>
        <w:rPr>
          <w:rFonts w:hint="eastAsia" w:ascii="仿宋" w:hAnsi="仿宋" w:eastAsia="仿宋" w:cs="仿宋"/>
          <w:b/>
          <w:color w:val="FF0000"/>
          <w:sz w:val="24"/>
          <w:highlight w:val="none"/>
          <w:lang w:val="en-US" w:eastAsia="zh-CN"/>
        </w:rPr>
        <w:t>或中国政府采购网中国政府购买服务信息平台节能产品查询官网截图</w:t>
      </w:r>
      <w:r>
        <w:rPr>
          <w:rFonts w:hint="eastAsia" w:ascii="仿宋" w:hAnsi="仿宋" w:eastAsia="仿宋" w:cs="仿宋"/>
          <w:b/>
          <w:color w:val="FF0000"/>
          <w:sz w:val="24"/>
          <w:highlight w:val="none"/>
        </w:rPr>
        <w:t>的；</w:t>
      </w:r>
      <w:r>
        <w:rPr>
          <w:rFonts w:hint="eastAsia" w:ascii="仿宋" w:hAnsi="仿宋" w:eastAsia="仿宋" w:cs="仿宋"/>
          <w:b/>
          <w:color w:val="FF0000"/>
          <w:sz w:val="24"/>
          <w:highlight w:val="none"/>
          <w:lang w:eastAsia="zh-CN"/>
        </w:rPr>
        <w:t>（</w:t>
      </w:r>
      <w:r>
        <w:rPr>
          <w:rFonts w:hint="eastAsia" w:ascii="仿宋" w:hAnsi="仿宋" w:eastAsia="仿宋" w:cs="仿宋"/>
          <w:b/>
          <w:color w:val="FF0000"/>
          <w:sz w:val="24"/>
          <w:highlight w:val="none"/>
        </w:rPr>
        <w:t>证书</w:t>
      </w:r>
      <w:r>
        <w:rPr>
          <w:rFonts w:hint="eastAsia" w:ascii="仿宋" w:hAnsi="仿宋" w:eastAsia="仿宋" w:cs="仿宋"/>
          <w:b/>
          <w:color w:val="FF0000"/>
          <w:sz w:val="24"/>
          <w:highlight w:val="none"/>
          <w:lang w:val="en-US" w:eastAsia="zh-CN"/>
        </w:rPr>
        <w:t>或截图二者提供任意一个即可</w:t>
      </w:r>
      <w:r>
        <w:rPr>
          <w:rFonts w:hint="eastAsia" w:ascii="仿宋" w:hAnsi="仿宋" w:eastAsia="仿宋" w:cs="仿宋"/>
          <w:b/>
          <w:color w:val="FF0000"/>
          <w:sz w:val="24"/>
          <w:highlight w:val="none"/>
          <w:lang w:eastAsia="zh-CN"/>
        </w:rPr>
        <w:t>）</w:t>
      </w:r>
    </w:p>
    <w:p w14:paraId="0EB0031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《开标一览表》填写不完整或字迹不能辨认或有漏项的，经评标委员会认定属于重大偏差的；</w:t>
      </w:r>
    </w:p>
    <w:p w14:paraId="06F1193B">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8.1</w:t>
      </w:r>
      <w:r>
        <w:rPr>
          <w:rFonts w:hint="eastAsia" w:ascii="仿宋" w:hAnsi="仿宋" w:eastAsia="仿宋" w:cs="仿宋"/>
          <w:b/>
          <w:color w:val="auto"/>
          <w:sz w:val="24"/>
          <w:highlight w:val="none"/>
          <w:lang w:val="en-US" w:eastAsia="zh-CN"/>
        </w:rPr>
        <w:t>8</w:t>
      </w:r>
      <w:r>
        <w:rPr>
          <w:rFonts w:hint="eastAsia" w:ascii="仿宋" w:hAnsi="仿宋" w:eastAsia="仿宋" w:cs="仿宋"/>
          <w:b/>
          <w:color w:val="auto"/>
          <w:sz w:val="24"/>
          <w:highlight w:val="none"/>
        </w:rPr>
        <w:t>投标人对根据修正原则修正后的报价不确认的；</w:t>
      </w:r>
    </w:p>
    <w:p w14:paraId="276245D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w:t>
      </w:r>
      <w:r>
        <w:rPr>
          <w:rFonts w:hint="eastAsia" w:ascii="仿宋" w:hAnsi="仿宋" w:eastAsia="仿宋" w:cs="仿宋"/>
          <w:b/>
          <w:color w:val="auto"/>
          <w:sz w:val="24"/>
          <w:highlight w:val="none"/>
          <w:lang w:val="en-US" w:eastAsia="zh-CN"/>
        </w:rPr>
        <w:t>19</w:t>
      </w:r>
      <w:r>
        <w:rPr>
          <w:rFonts w:hint="eastAsia" w:ascii="仿宋" w:hAnsi="仿宋" w:eastAsia="仿宋" w:cs="仿宋"/>
          <w:b/>
          <w:color w:val="auto"/>
          <w:sz w:val="24"/>
          <w:highlight w:val="none"/>
        </w:rPr>
        <w:t>投标人提供虚假材料投标的（包括但不限于以下情节）；</w:t>
      </w:r>
    </w:p>
    <w:p w14:paraId="0DF4D34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.1使用伪造、变造的许可证件；</w:t>
      </w:r>
    </w:p>
    <w:p w14:paraId="44553E7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.2提供虚假的财务状况或者业绩；</w:t>
      </w:r>
    </w:p>
    <w:p w14:paraId="0EBB6764">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.3提供虚假的项目负责人或者主要技术人员简历、劳动关系证明；</w:t>
      </w:r>
    </w:p>
    <w:p w14:paraId="3315BEA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.4提供虚假的信用状况；</w:t>
      </w:r>
    </w:p>
    <w:p w14:paraId="234630F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en-US" w:eastAsia="zh-CN"/>
        </w:rPr>
        <w:t>19</w:t>
      </w:r>
      <w:r>
        <w:rPr>
          <w:rFonts w:hint="eastAsia" w:ascii="仿宋" w:hAnsi="仿宋" w:eastAsia="仿宋" w:cs="仿宋"/>
          <w:color w:val="auto"/>
          <w:sz w:val="24"/>
          <w:highlight w:val="none"/>
        </w:rPr>
        <w:t>.5其他弄虚作假的行为。</w:t>
      </w:r>
    </w:p>
    <w:p w14:paraId="2FCAFB53">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0</w:t>
      </w:r>
      <w:r>
        <w:rPr>
          <w:rFonts w:hint="eastAsia" w:ascii="仿宋" w:hAnsi="仿宋" w:eastAsia="仿宋" w:cs="仿宋"/>
          <w:b/>
          <w:color w:val="auto"/>
          <w:sz w:val="24"/>
          <w:highlight w:val="none"/>
        </w:rPr>
        <w:t>下列情形之一的，视为投标人串通投标，其投标无效：</w:t>
      </w:r>
    </w:p>
    <w:p w14:paraId="7D63D137">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.1不同投标人的投标文件由同一单位或者个人编制；</w:t>
      </w:r>
    </w:p>
    <w:p w14:paraId="441B62B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.2不同投标人委托同一单位或者个人办理投标事宜；</w:t>
      </w:r>
    </w:p>
    <w:p w14:paraId="6C49F63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.3不同投标人的投标文件载明的项目管理成员或者联系人员为同一人；</w:t>
      </w:r>
    </w:p>
    <w:p w14:paraId="221FD312">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.4不同投标人的投标文件异常一致或者投标报价呈规律性差异；</w:t>
      </w:r>
    </w:p>
    <w:p w14:paraId="29D58731">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.5不同投标人的投标文件相互混装；</w:t>
      </w:r>
    </w:p>
    <w:p w14:paraId="36480C3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8.2</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.6有二份及二份以上投标文件的相互之间有特别相同或相似之处，且经询标澄清投标人无令人信服的理由和可靠证据证明其合理性的，经评标委员会半数以上成员确认有串通投标嫌疑的；</w:t>
      </w:r>
    </w:p>
    <w:p w14:paraId="71D2D700">
      <w:pPr>
        <w:keepNext w:val="0"/>
        <w:keepLines w:val="0"/>
        <w:pageBreakBefore w:val="0"/>
        <w:widowControl w:val="0"/>
        <w:kinsoku/>
        <w:wordWrap/>
        <w:overflowPunct/>
        <w:topLinePunct w:val="0"/>
        <w:autoSpaceDE/>
        <w:autoSpaceDN/>
        <w:bidi w:val="0"/>
        <w:adjustRightInd w:val="0"/>
        <w:snapToGrid w:val="0"/>
        <w:spacing w:line="440" w:lineRule="exact"/>
        <w:ind w:left="0" w:firstLine="720" w:firstLineChars="300"/>
        <w:jc w:val="left"/>
        <w:textAlignment w:val="auto"/>
        <w:rPr>
          <w:rFonts w:hint="eastAsia" w:ascii="仿宋" w:hAnsi="仿宋" w:eastAsia="仿宋" w:cs="仿宋"/>
          <w:color w:val="FF0000"/>
          <w:sz w:val="24"/>
          <w:highlight w:val="none"/>
          <w:lang w:val="en-US" w:eastAsia="zh-CN"/>
        </w:rPr>
      </w:pPr>
      <w:r>
        <w:rPr>
          <w:rFonts w:hint="eastAsia" w:ascii="仿宋" w:hAnsi="仿宋" w:eastAsia="仿宋" w:cs="仿宋"/>
          <w:color w:val="FF0000"/>
          <w:sz w:val="24"/>
          <w:highlight w:val="none"/>
          <w:lang w:val="en-US" w:eastAsia="zh-CN"/>
        </w:rPr>
        <w:t>8.20.7</w:t>
      </w:r>
      <w:r>
        <w:rPr>
          <w:rFonts w:hint="eastAsia" w:ascii="仿宋" w:hAnsi="仿宋" w:eastAsia="仿宋" w:cs="仿宋"/>
          <w:bCs w:val="0"/>
          <w:color w:val="FF0000"/>
          <w:sz w:val="24"/>
          <w:szCs w:val="24"/>
          <w:highlight w:val="none"/>
          <w:lang w:val="en-US" w:eastAsia="zh-CN"/>
        </w:rPr>
        <w:t>不同供应商MAC地址相同、计算机硬盘序列号相同、采购文件细节错误一致且无合理解释等情形</w:t>
      </w:r>
      <w:r>
        <w:rPr>
          <w:rFonts w:hint="eastAsia" w:ascii="仿宋" w:hAnsi="仿宋" w:eastAsia="仿宋" w:cs="仿宋"/>
          <w:color w:val="FF0000"/>
          <w:sz w:val="24"/>
          <w:highlight w:val="none"/>
          <w:lang w:val="en-US" w:eastAsia="zh-CN"/>
        </w:rPr>
        <w:t>。</w:t>
      </w:r>
    </w:p>
    <w:p w14:paraId="0C7B97ED">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1</w:t>
      </w:r>
      <w:r>
        <w:rPr>
          <w:rFonts w:hint="eastAsia" w:ascii="仿宋" w:hAnsi="仿宋" w:eastAsia="仿宋" w:cs="仿宋"/>
          <w:b/>
          <w:color w:val="auto"/>
          <w:sz w:val="24"/>
          <w:highlight w:val="none"/>
        </w:rPr>
        <w:t>有下列情形之一的，属于恶意串通，其投标无效：</w:t>
      </w:r>
    </w:p>
    <w:p w14:paraId="4FA230F0">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.1供应商直接或者间接从采购人或者采购机构处获得其他供应商的相关情况并修改其投标文件或者响应文件；</w:t>
      </w:r>
    </w:p>
    <w:p w14:paraId="7B6229BC">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.2供应商按照采购人或者采购机构的授意撤换、修改投标文件或者响应文件；</w:t>
      </w:r>
    </w:p>
    <w:p w14:paraId="388FA46D">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.3供应商之间协商报价、技术方案等投标文件或者响应文件的实质性内容；</w:t>
      </w:r>
    </w:p>
    <w:p w14:paraId="39D5C92A">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.4属于同一集团、协会、商会等组织成员的供应商按照该组织要求协同参加政府采购活动；</w:t>
      </w:r>
    </w:p>
    <w:p w14:paraId="14EFEA85">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.5供应商之间事先约定由某一特定供应商中标、成交；</w:t>
      </w:r>
    </w:p>
    <w:p w14:paraId="69DD298F">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.6供应商之间商定部分供应商放弃参加政府采购活动或者放弃中标、成交；</w:t>
      </w:r>
    </w:p>
    <w:p w14:paraId="23E6C16B">
      <w:pPr>
        <w:keepNext w:val="0"/>
        <w:keepLines w:val="0"/>
        <w:pageBreakBefore w:val="0"/>
        <w:widowControl w:val="0"/>
        <w:tabs>
          <w:tab w:val="left" w:pos="3870"/>
          <w:tab w:val="left" w:pos="4085"/>
        </w:tabs>
        <w:kinsoku/>
        <w:wordWrap/>
        <w:overflowPunct/>
        <w:topLinePunct w:val="0"/>
        <w:autoSpaceDE/>
        <w:autoSpaceDN/>
        <w:bidi w:val="0"/>
        <w:adjustRightInd w:val="0"/>
        <w:snapToGrid w:val="0"/>
        <w:spacing w:line="440" w:lineRule="exact"/>
        <w:ind w:firstLine="720" w:firstLineChars="3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8.21</w:t>
      </w:r>
      <w:r>
        <w:rPr>
          <w:rFonts w:hint="eastAsia" w:ascii="仿宋" w:hAnsi="仿宋" w:eastAsia="仿宋" w:cs="仿宋"/>
          <w:color w:val="auto"/>
          <w:sz w:val="24"/>
          <w:highlight w:val="none"/>
        </w:rPr>
        <w:t>.7供应商与采购人或者采购机构之间、供应商相互之间，为谋求特定供应商中标、成交或者排斥其他供应商的其他串通行为。</w:t>
      </w:r>
    </w:p>
    <w:p w14:paraId="67A09D4A">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2</w:t>
      </w:r>
      <w:r>
        <w:rPr>
          <w:rFonts w:hint="eastAsia" w:ascii="仿宋" w:hAnsi="仿宋" w:eastAsia="仿宋" w:cs="仿宋"/>
          <w:b/>
          <w:color w:val="auto"/>
          <w:sz w:val="24"/>
          <w:highlight w:val="none"/>
        </w:rPr>
        <w:t>评标委员会认定有重大偏差或实质性不响应招标文件要求的；</w:t>
      </w:r>
    </w:p>
    <w:p w14:paraId="1E3B0947">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投标文件出现不是唯一的、有选择性投标报价的；</w:t>
      </w:r>
    </w:p>
    <w:p w14:paraId="18B6243F">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jc w:val="left"/>
        <w:textAlignment w:val="auto"/>
        <w:rPr>
          <w:rFonts w:hint="eastAsia" w:ascii="仿宋" w:hAnsi="仿宋" w:eastAsia="仿宋" w:cs="仿宋"/>
          <w:color w:val="auto"/>
          <w:highlight w:val="none"/>
        </w:rPr>
      </w:pPr>
      <w:r>
        <w:rPr>
          <w:rFonts w:hint="eastAsia" w:ascii="仿宋" w:hAnsi="仿宋" w:eastAsia="仿宋" w:cs="仿宋"/>
          <w:b/>
          <w:color w:val="auto"/>
          <w:sz w:val="24"/>
          <w:highlight w:val="none"/>
        </w:rPr>
        <w:t>8.2</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其他违反法律、法规的情形。</w:t>
      </w:r>
    </w:p>
    <w:p w14:paraId="49EFE27C">
      <w:pPr>
        <w:keepNext w:val="0"/>
        <w:keepLines w:val="0"/>
        <w:pageBreakBefore w:val="0"/>
        <w:kinsoku/>
        <w:wordWrap/>
        <w:overflowPunct/>
        <w:topLinePunct w:val="0"/>
        <w:autoSpaceDE/>
        <w:autoSpaceDN/>
        <w:bidi w:val="0"/>
        <w:snapToGrid w:val="0"/>
        <w:spacing w:line="440" w:lineRule="exact"/>
        <w:textAlignment w:val="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 评标过程保密</w:t>
      </w:r>
    </w:p>
    <w:p w14:paraId="3CF70F8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9.1</w:t>
      </w:r>
      <w:r>
        <w:rPr>
          <w:rFonts w:hint="eastAsia" w:ascii="仿宋" w:hAnsi="仿宋" w:eastAsia="仿宋" w:cs="仿宋"/>
          <w:color w:val="auto"/>
          <w:sz w:val="24"/>
          <w:highlight w:val="none"/>
        </w:rPr>
        <w:t>评审活动在严格保密的情况下进行。评审过程中凡是与采购响应文件评审和比较、中标成交供应商推荐等评审有关的情况和评审文件的，以及涉及国家秘密和商业秘密等信息，评审委员会成员、采购人和采购机构工作人员、相关监督人员等与评审有关的人员应当予以保密。</w:t>
      </w:r>
    </w:p>
    <w:p w14:paraId="0716E8EC">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9.2 在评标期间，投标人企图影响招标人或</w:t>
      </w:r>
      <w:r>
        <w:rPr>
          <w:rFonts w:hint="eastAsia" w:ascii="仿宋" w:hAnsi="仿宋" w:eastAsia="仿宋" w:cs="仿宋"/>
          <w:color w:val="auto"/>
          <w:sz w:val="24"/>
          <w:highlight w:val="none"/>
        </w:rPr>
        <w:t>评标委员会</w:t>
      </w:r>
      <w:r>
        <w:rPr>
          <w:rFonts w:hint="eastAsia" w:ascii="仿宋" w:hAnsi="仿宋" w:eastAsia="仿宋" w:cs="仿宋"/>
          <w:color w:val="auto"/>
          <w:kern w:val="0"/>
          <w:sz w:val="24"/>
          <w:highlight w:val="none"/>
        </w:rPr>
        <w:t>的任何活动，都将导致投标被拒绝，并由其承担相应的法律责任。</w:t>
      </w:r>
    </w:p>
    <w:bookmarkEnd w:id="19"/>
    <w:p w14:paraId="17E71589">
      <w:pPr>
        <w:pStyle w:val="34"/>
        <w:keepNext w:val="0"/>
        <w:keepLines w:val="0"/>
        <w:pageBreakBefore w:val="0"/>
        <w:widowControl w:val="0"/>
        <w:kinsoku/>
        <w:wordWrap/>
        <w:overflowPunct/>
        <w:topLinePunct w:val="0"/>
        <w:autoSpaceDE/>
        <w:autoSpaceDN/>
        <w:bidi w:val="0"/>
        <w:adjustRightInd w:val="0"/>
        <w:spacing w:line="360" w:lineRule="auto"/>
        <w:ind w:firstLine="726"/>
        <w:jc w:val="center"/>
        <w:textAlignment w:val="auto"/>
        <w:rPr>
          <w:rFonts w:hint="eastAsia" w:ascii="仿宋" w:hAnsi="仿宋" w:eastAsia="仿宋" w:cs="仿宋"/>
          <w:b/>
          <w:color w:val="auto"/>
          <w:sz w:val="32"/>
          <w:szCs w:val="32"/>
          <w:highlight w:val="none"/>
        </w:rPr>
      </w:pPr>
      <w:bookmarkStart w:id="20" w:name="_Hlt68072998"/>
      <w:bookmarkEnd w:id="20"/>
      <w:bookmarkStart w:id="21" w:name="_Hlt68072990"/>
      <w:bookmarkEnd w:id="21"/>
      <w:bookmarkStart w:id="22" w:name="_Hlt75236290"/>
      <w:bookmarkEnd w:id="22"/>
      <w:bookmarkStart w:id="23" w:name="_Hlt74707468"/>
      <w:bookmarkEnd w:id="23"/>
      <w:bookmarkStart w:id="24" w:name="_Hlt68403820"/>
      <w:bookmarkEnd w:id="24"/>
      <w:bookmarkStart w:id="25" w:name="_Hlt68073093"/>
      <w:bookmarkEnd w:id="25"/>
      <w:bookmarkStart w:id="26" w:name="_Hlt68057669"/>
      <w:bookmarkEnd w:id="26"/>
      <w:bookmarkStart w:id="27" w:name="_Hlt75236101"/>
      <w:bookmarkEnd w:id="27"/>
      <w:bookmarkStart w:id="28" w:name="_Hlt74729768"/>
      <w:bookmarkEnd w:id="28"/>
      <w:bookmarkStart w:id="29" w:name="_Hlt75236011"/>
      <w:bookmarkEnd w:id="29"/>
      <w:bookmarkStart w:id="30" w:name="_Hlt74730295"/>
      <w:bookmarkEnd w:id="30"/>
      <w:bookmarkStart w:id="31" w:name="_Hlt74714665"/>
      <w:bookmarkEnd w:id="31"/>
      <w:bookmarkStart w:id="32" w:name="_Toc81372953"/>
      <w:bookmarkStart w:id="33" w:name="_Toc84325929"/>
      <w:bookmarkStart w:id="34" w:name="_Toc81372776"/>
      <w:r>
        <w:rPr>
          <w:rFonts w:hint="eastAsia" w:ascii="仿宋" w:hAnsi="仿宋" w:eastAsia="仿宋" w:cs="仿宋"/>
          <w:b/>
          <w:color w:val="auto"/>
          <w:sz w:val="32"/>
          <w:szCs w:val="32"/>
          <w:highlight w:val="none"/>
        </w:rPr>
        <w:t>五、授予合同</w:t>
      </w:r>
    </w:p>
    <w:bookmarkEnd w:id="32"/>
    <w:bookmarkEnd w:id="33"/>
    <w:bookmarkEnd w:id="34"/>
    <w:p w14:paraId="5215B510">
      <w:pPr>
        <w:pStyle w:val="16"/>
        <w:keepNext w:val="0"/>
        <w:keepLines w:val="0"/>
        <w:pageBreakBefore w:val="0"/>
        <w:tabs>
          <w:tab w:val="clear" w:pos="390"/>
          <w:tab w:val="clear" w:pos="454"/>
        </w:tabs>
        <w:kinsoku/>
        <w:wordWrap/>
        <w:overflowPunct/>
        <w:topLinePunct w:val="0"/>
        <w:autoSpaceDE/>
        <w:autoSpaceDN/>
        <w:bidi w:val="0"/>
        <w:snapToGrid/>
        <w:spacing w:after="0" w:line="440" w:lineRule="exact"/>
        <w:ind w:left="0" w:firstLine="0"/>
        <w:textAlignment w:val="auto"/>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1.中标条件</w:t>
      </w:r>
    </w:p>
    <w:p w14:paraId="185C1A05">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1.1投标文件基本符合招标文件要求；</w:t>
      </w:r>
    </w:p>
    <w:p w14:paraId="653F2E81">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1.2投标人有很好的执行合同的能力；</w:t>
      </w:r>
    </w:p>
    <w:p w14:paraId="421468A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1.3实施方案最合理并对招标人最为有利，最大限度满足招标文件的要求；</w:t>
      </w:r>
    </w:p>
    <w:p w14:paraId="4AF5B63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1.4投标人能够提供质量技术、商务经济占综合优势的系统及服务。</w:t>
      </w:r>
    </w:p>
    <w:p w14:paraId="11C60910">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1.5招标人将把中标通知书授予最佳投标者，但最低价不是中标的绝对保证。</w:t>
      </w:r>
    </w:p>
    <w:p w14:paraId="2E346935">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2.中标确认</w:t>
      </w:r>
    </w:p>
    <w:p w14:paraId="285869F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2.1采购人应当自收到评标报告之日起５个工作日内，在评标报告确定的中标候选人名单中按顺序确定中标人。</w:t>
      </w:r>
    </w:p>
    <w:p w14:paraId="23AD19E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2.2采购人在收到评标报告5个工作日内未按评标报告推荐的中标候选人顺序确定中标人，视同按评标报告推荐的顺序确定的中标候选人为中标人。</w:t>
      </w:r>
    </w:p>
    <w:p w14:paraId="70C5526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2.3采购人应在确认中标人前再次对资格条件和相关证件材料进一步查验核实。</w:t>
      </w:r>
    </w:p>
    <w:p w14:paraId="403CAD30">
      <w:pPr>
        <w:keepNext w:val="0"/>
        <w:keepLines w:val="0"/>
        <w:pageBreakBefore w:val="0"/>
        <w:kinsoku/>
        <w:wordWrap/>
        <w:overflowPunct/>
        <w:topLinePunct w:val="0"/>
        <w:autoSpaceDE/>
        <w:autoSpaceDN/>
        <w:bidi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3．中标通知</w:t>
      </w:r>
    </w:p>
    <w:p w14:paraId="6706EB68">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3.1采购代理机构对中标结果在指定媒体（浙江政府采购网</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"http://www.zjzfcg.gov.cn" </w:instrText>
      </w:r>
      <w:r>
        <w:rPr>
          <w:rFonts w:hint="eastAsia" w:ascii="仿宋" w:hAnsi="仿宋" w:eastAsia="仿宋" w:cs="仿宋"/>
          <w:color w:val="auto"/>
          <w:sz w:val="24"/>
          <w:highlight w:val="none"/>
        </w:rPr>
        <w:fldChar w:fldCharType="separate"/>
      </w:r>
      <w:r>
        <w:rPr>
          <w:rFonts w:hint="eastAsia" w:ascii="仿宋" w:hAnsi="仿宋" w:eastAsia="仿宋" w:cs="仿宋"/>
          <w:color w:val="auto"/>
          <w:sz w:val="24"/>
          <w:highlight w:val="none"/>
        </w:rPr>
        <w:t>http://zfcg.czt.zj.gov.cn/</w:t>
      </w:r>
      <w:r>
        <w:rPr>
          <w:rFonts w:hint="eastAsia" w:ascii="仿宋" w:hAnsi="仿宋" w:eastAsia="仿宋" w:cs="仿宋"/>
          <w:color w:val="auto"/>
          <w:sz w:val="24"/>
          <w:highlight w:val="none"/>
        </w:rPr>
        <w:fldChar w:fldCharType="end"/>
      </w:r>
      <w:r>
        <w:rPr>
          <w:rFonts w:hint="eastAsia" w:ascii="仿宋" w:hAnsi="仿宋" w:eastAsia="仿宋" w:cs="仿宋"/>
          <w:color w:val="auto"/>
          <w:sz w:val="24"/>
          <w:highlight w:val="none"/>
        </w:rPr>
        <w:t>，中标公告期限为1个工作日。</w:t>
      </w:r>
    </w:p>
    <w:p w14:paraId="67792874">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3.2采购机构通过政采云平台向中标供应商签发中标通知书。请中标供应商自行登录政采云平台下载并打印中标通知书。在采购代理机构发出中标通知书前，中标供应商如有违反有关法律法规和本项目要求行为的，则取消该投标人的中标资格</w:t>
      </w:r>
      <w:r>
        <w:rPr>
          <w:rFonts w:hint="eastAsia" w:ascii="仿宋" w:hAnsi="仿宋" w:eastAsia="仿宋" w:cs="仿宋"/>
          <w:color w:val="auto"/>
          <w:sz w:val="24"/>
          <w:highlight w:val="none"/>
          <w:lang w:val="zh-CN"/>
        </w:rPr>
        <w:t>。</w:t>
      </w:r>
    </w:p>
    <w:p w14:paraId="5BF5C05E">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3.3采购代理机构对中标结果不作任何说明和解释，也不回答任何提问。</w:t>
      </w:r>
    </w:p>
    <w:p w14:paraId="28D83B65">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．履约保证金</w:t>
      </w:r>
    </w:p>
    <w:p w14:paraId="6A1BDD8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4.1采购人在签订合同时，按规定可向中标人收取不高于中标额的1%的履约保证金，采购人不得以供应商事先提交履约保证金作为签订合同的条件。鼓励采购人根据项目特点、供应商诚信等情况免收履约保证金或降低缴纳比例。</w:t>
      </w:r>
    </w:p>
    <w:p w14:paraId="14CF6743">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4.2项目验收结束后，采购人应及时退还履约保证金。</w:t>
      </w:r>
    </w:p>
    <w:p w14:paraId="675CCED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4.3供应商以银行、保险公司出具保函形式提交履约保证金的，采购人不得拒收。</w:t>
      </w:r>
    </w:p>
    <w:p w14:paraId="362953C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4.4政府采购货物和服务项目不得收取质量保证金。</w:t>
      </w:r>
    </w:p>
    <w:p w14:paraId="5ED1AC94">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．合同签订及备案</w:t>
      </w:r>
    </w:p>
    <w:p w14:paraId="3CCBB239">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5.1中标人应当在中标通知书发出之日起30天内与采购人签订合同，自采购合同签订之日起</w:t>
      </w:r>
      <w:r>
        <w:rPr>
          <w:rFonts w:hint="eastAsia" w:ascii="仿宋" w:hAnsi="仿宋" w:eastAsia="仿宋" w:cs="仿宋"/>
          <w:b/>
          <w:bCs/>
          <w:color w:val="auto"/>
          <w:sz w:val="24"/>
          <w:highlight w:val="none"/>
          <w:lang w:val="en-US" w:eastAsia="zh-CN"/>
        </w:rPr>
        <w:t>15个日内</w:t>
      </w:r>
      <w:r>
        <w:rPr>
          <w:rFonts w:hint="eastAsia" w:ascii="仿宋" w:hAnsi="仿宋" w:eastAsia="仿宋" w:cs="仿宋"/>
          <w:color w:val="auto"/>
          <w:sz w:val="24"/>
          <w:highlight w:val="none"/>
          <w:lang w:val="en-US" w:eastAsia="zh-CN"/>
        </w:rPr>
        <w:t>，通过电子交易平台进行备案。</w:t>
      </w:r>
    </w:p>
    <w:p w14:paraId="1B3FF7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5.2如中标人为联合体的，由联合体成员各方法定代表人或其授权代表与采购人代表签订合同。</w:t>
      </w:r>
    </w:p>
    <w:p w14:paraId="332C3487">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6</w:t>
      </w:r>
      <w:r>
        <w:rPr>
          <w:rFonts w:hint="eastAsia" w:ascii="仿宋" w:hAnsi="仿宋" w:eastAsia="仿宋" w:cs="仿宋"/>
          <w:b/>
          <w:color w:val="auto"/>
          <w:sz w:val="24"/>
          <w:highlight w:val="none"/>
        </w:rPr>
        <w:t>.验收</w:t>
      </w:r>
    </w:p>
    <w:p w14:paraId="15CAEF0A">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承担相应的法律责任。</w:t>
      </w:r>
    </w:p>
    <w:p w14:paraId="78DD7CA2">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6.2采购人可以邀请参加本项目的其他投标人或者第三方机构参与验收。参与验收的投标人或者第三方机构的意见作为验收书的参考资料一并存档。</w:t>
      </w:r>
    </w:p>
    <w:p w14:paraId="62F99496">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6.3 采购人负责加强对中标人的履约管理，并按照采购合同约定，及时向中标人支付采购资金。对于中标人违反采购合同约定的行为，采购人应当及时处理，依法追究其违约责任。</w:t>
      </w:r>
    </w:p>
    <w:p w14:paraId="4B3A11D8">
      <w:pPr>
        <w:keepNext w:val="0"/>
        <w:keepLines w:val="0"/>
        <w:pageBreakBefore w:val="0"/>
        <w:kinsoku/>
        <w:wordWrap/>
        <w:overflowPunct/>
        <w:topLinePunct w:val="0"/>
        <w:autoSpaceDE/>
        <w:autoSpaceDN/>
        <w:bidi w:val="0"/>
        <w:adjustRightInd w:val="0"/>
        <w:spacing w:line="440" w:lineRule="exact"/>
        <w:ind w:firstLine="0" w:firstLineChars="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lang w:val="en-US" w:eastAsia="zh-CN"/>
        </w:rPr>
        <w:t>7</w:t>
      </w:r>
      <w:r>
        <w:rPr>
          <w:rFonts w:hint="eastAsia" w:ascii="仿宋" w:hAnsi="仿宋" w:eastAsia="仿宋" w:cs="仿宋"/>
          <w:b/>
          <w:color w:val="auto"/>
          <w:sz w:val="24"/>
          <w:highlight w:val="none"/>
        </w:rPr>
        <w:t>.售后服务考核</w:t>
      </w:r>
    </w:p>
    <w:p w14:paraId="28F142BF">
      <w:pPr>
        <w:keepNext w:val="0"/>
        <w:keepLines w:val="0"/>
        <w:pageBreakBefore w:val="0"/>
        <w:widowControl w:val="0"/>
        <w:kinsoku/>
        <w:wordWrap/>
        <w:overflowPunct/>
        <w:topLinePunct w:val="0"/>
        <w:autoSpaceDE/>
        <w:autoSpaceDN/>
        <w:bidi w:val="0"/>
        <w:adjustRightInd w:val="0"/>
        <w:snapToGrid w:val="0"/>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w:t>
      </w:r>
      <w:r>
        <w:rPr>
          <w:rFonts w:hint="eastAsia" w:ascii="仿宋" w:hAnsi="仿宋" w:eastAsia="仿宋" w:cs="仿宋"/>
          <w:color w:val="auto"/>
          <w:sz w:val="24"/>
          <w:highlight w:val="none"/>
          <w:lang w:eastAsia="zh-CN"/>
        </w:rPr>
        <w:t>商务技术</w:t>
      </w:r>
      <w:r>
        <w:rPr>
          <w:rFonts w:hint="eastAsia" w:ascii="仿宋" w:hAnsi="仿宋" w:eastAsia="仿宋" w:cs="仿宋"/>
          <w:color w:val="auto"/>
          <w:sz w:val="24"/>
          <w:highlight w:val="none"/>
        </w:rPr>
        <w:t>文件规定的，一经查实，由政府采购监督管理部门给予相应处罚。</w:t>
      </w:r>
    </w:p>
    <w:p w14:paraId="5E8DE59B">
      <w:pPr>
        <w:adjustRightInd/>
        <w:spacing w:line="336"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六、</w:t>
      </w:r>
      <w:r>
        <w:rPr>
          <w:rFonts w:hint="default" w:ascii="仿宋" w:hAnsi="仿宋" w:eastAsia="仿宋" w:cs="仿宋"/>
          <w:b/>
          <w:bCs/>
          <w:i w:val="0"/>
          <w:iCs w:val="0"/>
          <w:color w:val="auto"/>
          <w:kern w:val="2"/>
          <w:sz w:val="32"/>
          <w:szCs w:val="20"/>
          <w:highlight w:val="none"/>
          <w:vertAlign w:val="baseline"/>
          <w:lang w:val="en-US" w:eastAsia="zh-CN" w:bidi="ar-SA"/>
        </w:rPr>
        <w:t>询问、质疑与投诉</w:t>
      </w:r>
    </w:p>
    <w:p w14:paraId="220DE115">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1.在线询问、质疑、投诉</w:t>
      </w:r>
    </w:p>
    <w:p w14:paraId="50DCC21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6A1A7EA">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2. 供应商询问</w:t>
      </w:r>
    </w:p>
    <w:p w14:paraId="0333046E">
      <w:pPr>
        <w:autoSpaceDE w:val="0"/>
        <w:autoSpaceDN w:val="0"/>
        <w:adjustRightInd w:val="0"/>
        <w:spacing w:line="336" w:lineRule="auto"/>
        <w:ind w:firstLine="480" w:firstLineChars="200"/>
        <w:jc w:val="left"/>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4"/>
          <w:highlight w:val="none"/>
          <w:vertAlign w:val="baseline"/>
          <w:lang w:val="zh-CN" w:eastAsia="zh-CN" w:bidi="ar-SA"/>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A0B62E9">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3. 供应商质疑</w:t>
      </w:r>
    </w:p>
    <w:p w14:paraId="78D12516">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2"/>
          <w:sz w:val="24"/>
          <w:szCs w:val="20"/>
          <w:highlight w:val="none"/>
          <w:vertAlign w:val="baseline"/>
          <w:lang w:val="en-US" w:eastAsia="zh-CN" w:bidi="ar-SA"/>
        </w:rPr>
        <w:t>.1质疑提出时效</w:t>
      </w:r>
    </w:p>
    <w:p w14:paraId="487D1DD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3.1.1提出质疑的供应商应当是参与所质疑项目采购活动的供应商。潜在供应商已依法获取其可质疑的采购文件的，可以对该文件提出质疑。</w:t>
      </w:r>
    </w:p>
    <w:p w14:paraId="0ABEA82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0"/>
          <w:sz w:val="24"/>
          <w:szCs w:val="20"/>
          <w:highlight w:val="none"/>
          <w:vertAlign w:val="baseline"/>
          <w:lang w:val="zh-CN" w:eastAsia="zh-CN" w:bidi="ar-SA"/>
        </w:rPr>
        <w:t>3</w:t>
      </w:r>
      <w:r>
        <w:rPr>
          <w:rFonts w:hint="default" w:ascii="仿宋" w:hAnsi="仿宋" w:eastAsia="仿宋" w:cs="仿宋"/>
          <w:b w:val="0"/>
          <w:bCs w:val="0"/>
          <w:i w:val="0"/>
          <w:iCs w:val="0"/>
          <w:color w:val="auto"/>
          <w:kern w:val="2"/>
          <w:sz w:val="24"/>
          <w:szCs w:val="20"/>
          <w:highlight w:val="none"/>
          <w:vertAlign w:val="baseline"/>
          <w:lang w:val="en-US" w:eastAsia="zh-CN" w:bidi="ar-SA"/>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1313B484">
      <w:pPr>
        <w:widowControl/>
        <w:adjustRightInd w:val="0"/>
        <w:snapToGrid w:val="0"/>
        <w:spacing w:line="336" w:lineRule="auto"/>
        <w:ind w:firstLine="434" w:firstLineChars="181"/>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snapToGrid/>
          <w:color w:val="auto"/>
          <w:kern w:val="2"/>
          <w:sz w:val="24"/>
          <w:szCs w:val="20"/>
          <w:highlight w:val="none"/>
          <w:vertAlign w:val="baseline"/>
          <w:lang w:val="en-US" w:eastAsia="zh-CN" w:bidi="ar-SA"/>
        </w:rPr>
        <w:t>3.1.2.1对采购文件提出质疑的，质疑期限为供应商获得采购文件之日或者采购文件公告期限届满之日起计算，采购文件在获取截止之日后获得的，应当自采购文件公告期限届满之日起计算。</w:t>
      </w:r>
    </w:p>
    <w:p w14:paraId="441EF4CE">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3.1.2.2对采购过程提出质疑的，质疑期限为各采购程序环节结束之日起计算。</w:t>
      </w:r>
    </w:p>
    <w:p w14:paraId="5CB4E37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3.1.2.3对采购结果提出质疑的，质疑期限自采购结果公告期限届满之日起计算。</w:t>
      </w:r>
    </w:p>
    <w:p w14:paraId="6F61198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3.1.2.4对同一采购程序环节的质疑，供应商须一次性提出。</w:t>
      </w:r>
    </w:p>
    <w:p w14:paraId="7F115B2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0"/>
          <w:sz w:val="24"/>
          <w:szCs w:val="20"/>
          <w:highlight w:val="none"/>
          <w:vertAlign w:val="baseline"/>
          <w:lang w:val="zh-CN" w:eastAsia="zh-CN" w:bidi="ar-SA"/>
        </w:rPr>
        <w:t>3.</w:t>
      </w:r>
      <w:r>
        <w:rPr>
          <w:rFonts w:hint="default" w:ascii="仿宋" w:hAnsi="仿宋" w:eastAsia="仿宋" w:cs="仿宋"/>
          <w:b/>
          <w:bCs/>
          <w:i w:val="0"/>
          <w:iCs w:val="0"/>
          <w:color w:val="auto"/>
          <w:kern w:val="0"/>
          <w:sz w:val="24"/>
          <w:szCs w:val="20"/>
          <w:highlight w:val="none"/>
          <w:vertAlign w:val="baseline"/>
          <w:lang w:val="en-US" w:eastAsia="zh-CN" w:bidi="ar-SA"/>
        </w:rPr>
        <w:t>2</w:t>
      </w:r>
      <w:r>
        <w:rPr>
          <w:rFonts w:hint="default" w:ascii="仿宋" w:hAnsi="仿宋" w:eastAsia="仿宋" w:cs="仿宋"/>
          <w:b/>
          <w:bCs/>
          <w:i w:val="0"/>
          <w:iCs w:val="0"/>
          <w:color w:val="auto"/>
          <w:kern w:val="0"/>
          <w:sz w:val="24"/>
          <w:szCs w:val="20"/>
          <w:highlight w:val="none"/>
          <w:vertAlign w:val="baseline"/>
          <w:lang w:val="zh-CN" w:eastAsia="zh-CN" w:bidi="ar-SA"/>
        </w:rPr>
        <w:t>质疑函</w:t>
      </w:r>
    </w:p>
    <w:p w14:paraId="70DF793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3.2.1供应商提出质疑应当提交质疑函和必要的证明材料。质疑函应当包括下列内容：</w:t>
      </w:r>
    </w:p>
    <w:p w14:paraId="5B473044">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供应商的姓名或者名称、地址、邮编、联系人及联系电话；</w:t>
      </w:r>
    </w:p>
    <w:p w14:paraId="2E2780F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质疑项目的名称、编号；</w:t>
      </w:r>
    </w:p>
    <w:p w14:paraId="12E38237">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具体、明确的质疑事项和与质疑事项相关的请求；</w:t>
      </w:r>
    </w:p>
    <w:p w14:paraId="2CE873B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事实依据；</w:t>
      </w:r>
    </w:p>
    <w:p w14:paraId="2E565A83">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必要的法律依据；</w:t>
      </w:r>
    </w:p>
    <w:p w14:paraId="0C47709C">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4"/>
          <w:highlight w:val="none"/>
          <w:vertAlign w:val="baseline"/>
          <w:lang w:val="en-US" w:eastAsia="zh-CN" w:bidi="ar-SA"/>
        </w:rPr>
        <w:t>提出质疑的日期。</w:t>
      </w:r>
    </w:p>
    <w:p w14:paraId="3CDA94D6">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供应商提交的质疑函需一式三份。供应商为自然人的，应当由本人签字；供应商为法人或者其他组织的，应当由法定代表人、主要负责人，或者其授权代表签字或者盖章，并加盖公章。</w:t>
      </w:r>
    </w:p>
    <w:p w14:paraId="523F2B78">
      <w:pPr>
        <w:adjustRightInd w:val="0"/>
        <w:spacing w:line="336" w:lineRule="auto"/>
        <w:ind w:firstLine="482" w:firstLineChars="200"/>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质疑函范本及制作说明详见附件1。</w:t>
      </w:r>
    </w:p>
    <w:p w14:paraId="707807F5">
      <w:pPr>
        <w:adjustRightInd w:val="0"/>
        <w:spacing w:line="336" w:lineRule="auto"/>
        <w:jc w:val="both"/>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4"/>
          <w:highlight w:val="none"/>
          <w:vertAlign w:val="baseline"/>
          <w:lang w:val="en-US" w:eastAsia="zh-CN" w:bidi="ar-SA"/>
        </w:rPr>
        <w:t>4.供应商投诉</w:t>
      </w:r>
    </w:p>
    <w:p w14:paraId="7C45B791">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4.1质疑供应商对采购人或采购代理机构的答复不满意或者采购人、采购代理机构未在规定的时间内作出答复的，可以在答复期满后十五个工作日内向同级政府采购监督管理部门提出投诉。</w:t>
      </w:r>
    </w:p>
    <w:p w14:paraId="3697E03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4.2供应商投诉的事项不得超出已质疑事项的范围，基于质疑答复内容提出的投诉事项除外。</w:t>
      </w:r>
    </w:p>
    <w:p w14:paraId="1C8431BF">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4.3供应商投诉应当有明确的请求和必要的证明材料。</w:t>
      </w:r>
    </w:p>
    <w:p w14:paraId="30ADD0A9">
      <w:pPr>
        <w:adjustRightInd w:val="0"/>
        <w:spacing w:line="336" w:lineRule="auto"/>
        <w:ind w:firstLine="480" w:firstLineChars="200"/>
        <w:jc w:val="both"/>
        <w:rPr>
          <w:rFonts w:hint="eastAsia" w:ascii="仿宋" w:hAnsi="仿宋" w:eastAsia="仿宋" w:cs="仿宋"/>
          <w:b/>
          <w:color w:val="auto"/>
          <w:sz w:val="32"/>
          <w:szCs w:val="32"/>
          <w:highlight w:val="none"/>
        </w:rPr>
      </w:pPr>
      <w:r>
        <w:rPr>
          <w:rFonts w:hint="default" w:ascii="仿宋" w:hAnsi="仿宋" w:eastAsia="仿宋" w:cs="仿宋"/>
          <w:b w:val="0"/>
          <w:bCs w:val="0"/>
          <w:i w:val="0"/>
          <w:iCs w:val="0"/>
          <w:color w:val="auto"/>
          <w:kern w:val="2"/>
          <w:sz w:val="24"/>
          <w:szCs w:val="20"/>
          <w:highlight w:val="none"/>
          <w:vertAlign w:val="baseline"/>
          <w:lang w:val="en-US" w:eastAsia="zh-CN" w:bidi="ar-SA"/>
        </w:rPr>
        <w:t>4.4以联合体形式参加政府采购活动的，其投诉应当由组成联合体的所有供应商共同提出。</w:t>
      </w:r>
    </w:p>
    <w:p w14:paraId="2709971A">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0"/>
        <w:rPr>
          <w:rFonts w:hint="eastAsia" w:ascii="仿宋" w:hAnsi="仿宋" w:eastAsia="仿宋" w:cs="仿宋"/>
          <w:b/>
          <w:color w:val="auto"/>
          <w:sz w:val="32"/>
          <w:szCs w:val="32"/>
          <w:highlight w:val="none"/>
        </w:rPr>
      </w:pPr>
      <w:r>
        <w:rPr>
          <w:rFonts w:hint="default" w:ascii="仿宋" w:hAnsi="仿宋" w:eastAsia="仿宋" w:cs="仿宋"/>
          <w:b/>
          <w:bCs/>
          <w:i w:val="0"/>
          <w:iCs w:val="0"/>
          <w:color w:val="auto"/>
          <w:kern w:val="2"/>
          <w:sz w:val="24"/>
          <w:szCs w:val="20"/>
          <w:highlight w:val="none"/>
          <w:vertAlign w:val="baseline"/>
          <w:lang w:val="en-US" w:eastAsia="zh-CN" w:bidi="ar-SA"/>
        </w:rPr>
        <w:t>投诉书范本及制作说明详见附件2。</w:t>
      </w:r>
    </w:p>
    <w:p w14:paraId="6CBB7C4D">
      <w:pPr>
        <w:rPr>
          <w:rFonts w:hint="eastAsia"/>
          <w:color w:val="auto"/>
          <w:highlight w:val="none"/>
        </w:rPr>
        <w:sectPr>
          <w:footerReference r:id="rId5" w:type="default"/>
          <w:pgSz w:w="11906" w:h="16838"/>
          <w:pgMar w:top="1474" w:right="1814" w:bottom="1474" w:left="1814" w:header="851" w:footer="992" w:gutter="0"/>
          <w:pgNumType w:fmt="decimal" w:start="1"/>
          <w:cols w:space="720" w:num="1"/>
          <w:docGrid w:linePitch="312" w:charSpace="0"/>
        </w:sectPr>
      </w:pPr>
    </w:p>
    <w:bookmarkEnd w:id="17"/>
    <w:bookmarkEnd w:id="18"/>
    <w:p w14:paraId="02D4382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bookmarkStart w:id="35" w:name="第四部分"/>
      <w:r>
        <w:rPr>
          <w:rFonts w:hint="eastAsia" w:ascii="仿宋" w:hAnsi="仿宋" w:eastAsia="仿宋" w:cs="仿宋"/>
          <w:b/>
          <w:color w:val="auto"/>
          <w:sz w:val="36"/>
          <w:szCs w:val="36"/>
          <w:highlight w:val="none"/>
        </w:rPr>
        <w:t>第三部分   招标项目范围及要求</w:t>
      </w:r>
    </w:p>
    <w:p w14:paraId="1F78272B">
      <w:pPr>
        <w:pStyle w:val="3"/>
        <w:spacing w:before="0" w:after="0" w:line="480" w:lineRule="auto"/>
        <w:ind w:left="0" w:firstLine="0"/>
        <w:rPr>
          <w:rFonts w:hint="default" w:eastAsia="宋体"/>
          <w:bCs w:val="0"/>
          <w:color w:val="auto"/>
          <w:sz w:val="28"/>
          <w:szCs w:val="28"/>
          <w:highlight w:val="none"/>
          <w:lang w:val="en-US" w:eastAsia="zh-CN"/>
        </w:rPr>
      </w:pPr>
      <w:r>
        <w:rPr>
          <w:rFonts w:hint="eastAsia"/>
          <w:bCs w:val="0"/>
          <w:color w:val="auto"/>
          <w:sz w:val="28"/>
          <w:szCs w:val="28"/>
          <w:highlight w:val="none"/>
        </w:rPr>
        <w:t>一．采购清单</w:t>
      </w:r>
      <w:r>
        <w:rPr>
          <w:rFonts w:hint="eastAsia"/>
          <w:bCs w:val="0"/>
          <w:color w:val="auto"/>
          <w:sz w:val="28"/>
          <w:szCs w:val="28"/>
          <w:highlight w:val="none"/>
          <w:lang w:val="en-US" w:eastAsia="zh-CN"/>
        </w:rPr>
        <w:t>及技术参数</w:t>
      </w:r>
    </w:p>
    <w:bookmarkEnd w:id="35"/>
    <w:tbl>
      <w:tblPr>
        <w:tblStyle w:val="64"/>
        <w:tblW w:w="4956" w:type="pct"/>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5"/>
        <w:gridCol w:w="1025"/>
        <w:gridCol w:w="11816"/>
        <w:gridCol w:w="720"/>
      </w:tblGrid>
      <w:tr w14:paraId="45F17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3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D7E48ED">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bookmarkStart w:id="36" w:name="第五部分"/>
            <w:bookmarkStart w:id="37" w:name="_Toc86217003"/>
            <w:r>
              <w:rPr>
                <w:rFonts w:hint="eastAsia" w:ascii="仿宋" w:hAnsi="仿宋" w:eastAsia="仿宋" w:cs="仿宋"/>
                <w:b/>
                <w:bCs/>
                <w:i w:val="0"/>
                <w:iCs w:val="0"/>
                <w:color w:val="auto"/>
                <w:kern w:val="0"/>
                <w:sz w:val="24"/>
                <w:szCs w:val="24"/>
                <w:highlight w:val="none"/>
                <w:u w:val="none"/>
                <w:lang w:val="en-US" w:eastAsia="zh-CN" w:bidi="ar"/>
              </w:rPr>
              <w:t>序号</w:t>
            </w:r>
          </w:p>
        </w:tc>
        <w:tc>
          <w:tcPr>
            <w:tcW w:w="35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F1E9943">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名称</w:t>
            </w:r>
          </w:p>
        </w:tc>
        <w:tc>
          <w:tcPr>
            <w:tcW w:w="4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C4A1A7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配置描述</w:t>
            </w:r>
          </w:p>
        </w:tc>
        <w:tc>
          <w:tcPr>
            <w:tcW w:w="246"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106FF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数量</w:t>
            </w:r>
          </w:p>
        </w:tc>
      </w:tr>
      <w:tr w14:paraId="6BE4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9"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7F3FBBB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42A4C2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日志审计系统</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ED34C6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Style w:val="315"/>
                <w:rFonts w:ascii="仿宋" w:hAnsi="仿宋" w:eastAsia="仿宋" w:cs="仿宋"/>
                <w:color w:val="auto"/>
                <w:sz w:val="24"/>
                <w:szCs w:val="24"/>
                <w:highlight w:val="none"/>
                <w:lang w:val="en-US" w:eastAsia="zh-CN" w:bidi="ar"/>
              </w:rPr>
              <w:t>CPU物理核心数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8核，内存</w:t>
            </w:r>
            <w:r>
              <w:rPr>
                <w:rStyle w:val="148"/>
                <w:rFonts w:ascii="仿宋" w:hAnsi="仿宋" w:eastAsia="仿宋" w:cs="仿宋"/>
                <w:color w:val="auto"/>
                <w:sz w:val="24"/>
                <w:szCs w:val="24"/>
                <w:highlight w:val="none"/>
                <w:lang w:val="en-US" w:eastAsia="zh-CN" w:bidi="ar"/>
              </w:rPr>
              <w:t>≧16</w:t>
            </w:r>
            <w:r>
              <w:rPr>
                <w:rStyle w:val="315"/>
                <w:rFonts w:ascii="仿宋" w:hAnsi="仿宋" w:eastAsia="仿宋" w:cs="仿宋"/>
                <w:color w:val="auto"/>
                <w:sz w:val="24"/>
                <w:szCs w:val="24"/>
                <w:highlight w:val="none"/>
                <w:lang w:val="en-US" w:eastAsia="zh-CN" w:bidi="ar"/>
              </w:rPr>
              <w:t>GB，日志采集处理均值</w:t>
            </w:r>
            <w:r>
              <w:rPr>
                <w:rStyle w:val="148"/>
                <w:rFonts w:ascii="仿宋" w:hAnsi="仿宋" w:eastAsia="仿宋" w:cs="仿宋"/>
                <w:color w:val="auto"/>
                <w:sz w:val="24"/>
                <w:szCs w:val="24"/>
                <w:highlight w:val="none"/>
                <w:lang w:val="en-US" w:eastAsia="zh-CN" w:bidi="ar"/>
              </w:rPr>
              <w:t>≧2500</w:t>
            </w:r>
            <w:r>
              <w:rPr>
                <w:rStyle w:val="315"/>
                <w:rFonts w:ascii="仿宋" w:hAnsi="仿宋" w:eastAsia="仿宋" w:cs="仿宋"/>
                <w:color w:val="auto"/>
                <w:sz w:val="24"/>
                <w:szCs w:val="24"/>
                <w:highlight w:val="none"/>
                <w:lang w:val="en-US" w:eastAsia="zh-CN" w:bidi="ar"/>
              </w:rPr>
              <w:t>EPS，日志源审计许可</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50个。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019DE6A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3FC03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2FAEE8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73C9FA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9BFB69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1、支持安全设备、网络设备、中间件、服务器、数据库、操作系统、业务系统等不少于26类300种日志对象的日志数据采集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7546447">
            <w:pPr>
              <w:jc w:val="center"/>
              <w:rPr>
                <w:rFonts w:hint="eastAsia" w:ascii="仿宋" w:hAnsi="仿宋" w:eastAsia="仿宋" w:cs="仿宋"/>
                <w:i w:val="0"/>
                <w:iCs w:val="0"/>
                <w:color w:val="auto"/>
                <w:sz w:val="24"/>
                <w:szCs w:val="24"/>
                <w:highlight w:val="none"/>
                <w:u w:val="none"/>
              </w:rPr>
            </w:pPr>
          </w:p>
        </w:tc>
      </w:tr>
      <w:tr w14:paraId="0070C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07C5DB1">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1D4B7CE">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3E38F6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2、支持日志归一化处理，将不同设备所产生的不同格式的难以理解的日志数据进行统一格式化处理，提炼出有用信息清晰、明确的展示给管理者</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64681683">
            <w:pPr>
              <w:jc w:val="center"/>
              <w:rPr>
                <w:rFonts w:hint="eastAsia" w:ascii="仿宋" w:hAnsi="仿宋" w:eastAsia="仿宋" w:cs="仿宋"/>
                <w:i w:val="0"/>
                <w:iCs w:val="0"/>
                <w:color w:val="auto"/>
                <w:sz w:val="24"/>
                <w:szCs w:val="24"/>
                <w:highlight w:val="none"/>
                <w:u w:val="none"/>
              </w:rPr>
            </w:pPr>
          </w:p>
        </w:tc>
      </w:tr>
      <w:tr w14:paraId="156FB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31B1CAD">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90802F5">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88CF81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3、支持独立展示每个被采集源最近24小时的日志数量趋势，便于掌握设备的安全事件情况，支持独立展示每个设备日志的最新采集时间，便于了解设备日志的采集状态</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09D78713">
            <w:pPr>
              <w:jc w:val="center"/>
              <w:rPr>
                <w:rFonts w:hint="eastAsia" w:ascii="仿宋" w:hAnsi="仿宋" w:eastAsia="仿宋" w:cs="仿宋"/>
                <w:i w:val="0"/>
                <w:iCs w:val="0"/>
                <w:color w:val="auto"/>
                <w:sz w:val="24"/>
                <w:szCs w:val="24"/>
                <w:highlight w:val="none"/>
                <w:u w:val="none"/>
              </w:rPr>
            </w:pPr>
          </w:p>
        </w:tc>
      </w:tr>
      <w:tr w14:paraId="3A388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352BD3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79FFF5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3B6BC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4、支持根据设备重要程度设置独立设置每个被采集源的日志、报表数据存储时间为1个月、3个月、6个月等参数</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43AFBFA">
            <w:pPr>
              <w:jc w:val="center"/>
              <w:rPr>
                <w:rFonts w:hint="eastAsia" w:ascii="仿宋" w:hAnsi="仿宋" w:eastAsia="仿宋" w:cs="仿宋"/>
                <w:i w:val="0"/>
                <w:iCs w:val="0"/>
                <w:color w:val="auto"/>
                <w:sz w:val="24"/>
                <w:szCs w:val="24"/>
                <w:highlight w:val="none"/>
                <w:u w:val="none"/>
              </w:rPr>
            </w:pPr>
          </w:p>
        </w:tc>
      </w:tr>
      <w:tr w14:paraId="69AC9E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2"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73C5F9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E4DAF8D">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12D638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5、支持基于时间轴展示日志数据分布，能够通过时间轴进行查询分析</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30C2E89">
            <w:pPr>
              <w:jc w:val="center"/>
              <w:rPr>
                <w:rFonts w:hint="eastAsia" w:ascii="仿宋" w:hAnsi="仿宋" w:eastAsia="仿宋" w:cs="仿宋"/>
                <w:i w:val="0"/>
                <w:iCs w:val="0"/>
                <w:color w:val="auto"/>
                <w:sz w:val="24"/>
                <w:szCs w:val="24"/>
                <w:highlight w:val="none"/>
                <w:u w:val="none"/>
              </w:rPr>
            </w:pPr>
          </w:p>
        </w:tc>
      </w:tr>
      <w:tr w14:paraId="5BFBC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4"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0D5B9BF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236A60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入侵防御系统</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C84387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Style w:val="315"/>
                <w:rFonts w:ascii="仿宋" w:hAnsi="仿宋" w:eastAsia="仿宋" w:cs="仿宋"/>
                <w:color w:val="auto"/>
                <w:sz w:val="24"/>
                <w:szCs w:val="24"/>
                <w:highlight w:val="none"/>
                <w:lang w:val="en-US" w:eastAsia="zh-CN" w:bidi="ar"/>
              </w:rPr>
              <w:t>接口</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1个管理口+5个千兆电口（包含2组bypass），TCP并发连接数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100万，CPU物理核心数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4核，电源数量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1个，满检速率</w:t>
            </w:r>
            <w:r>
              <w:rPr>
                <w:rStyle w:val="148"/>
                <w:rFonts w:ascii="仿宋" w:hAnsi="仿宋" w:eastAsia="仿宋" w:cs="仿宋"/>
                <w:color w:val="auto"/>
                <w:sz w:val="24"/>
                <w:szCs w:val="24"/>
                <w:highlight w:val="none"/>
                <w:lang w:val="en-US" w:eastAsia="zh-CN" w:bidi="ar"/>
              </w:rPr>
              <w:t>≧650</w:t>
            </w:r>
            <w:r>
              <w:rPr>
                <w:rStyle w:val="315"/>
                <w:rFonts w:ascii="仿宋" w:hAnsi="仿宋" w:eastAsia="仿宋" w:cs="仿宋"/>
                <w:color w:val="auto"/>
                <w:sz w:val="24"/>
                <w:szCs w:val="24"/>
                <w:highlight w:val="none"/>
                <w:lang w:val="en-US" w:eastAsia="zh-CN" w:bidi="ar"/>
              </w:rPr>
              <w:t>0Mbps，规则库</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攻击检测规则库+应用识别库+威胁情报库</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4513005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6437A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13B1F3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3C41A8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FC908D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Style w:val="315"/>
                <w:rFonts w:ascii="仿宋" w:hAnsi="仿宋" w:eastAsia="仿宋" w:cs="仿宋"/>
                <w:color w:val="auto"/>
                <w:sz w:val="24"/>
                <w:szCs w:val="24"/>
                <w:highlight w:val="none"/>
                <w:lang w:val="en-US" w:eastAsia="zh-CN" w:bidi="ar"/>
              </w:rPr>
              <w:t>支持独立的攻击检测引擎，涵盖10000种以上的攻击检测规则库。规则库支持按照攻击类型、操作系统、风险等级、应用类型、流行程度等方式进行分类。</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338EC6E">
            <w:pPr>
              <w:jc w:val="center"/>
              <w:rPr>
                <w:rFonts w:hint="eastAsia" w:ascii="仿宋" w:hAnsi="仿宋" w:eastAsia="仿宋" w:cs="仿宋"/>
                <w:i w:val="0"/>
                <w:iCs w:val="0"/>
                <w:color w:val="auto"/>
                <w:sz w:val="24"/>
                <w:szCs w:val="24"/>
                <w:highlight w:val="none"/>
                <w:u w:val="none"/>
              </w:rPr>
            </w:pPr>
          </w:p>
        </w:tc>
      </w:tr>
      <w:tr w14:paraId="0D748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A0421EA">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7C0DB0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1CC81F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2、支持统计攻击事件次数、阻断次数、受害主机个数、攻击主机个数；可展示攻击事件Top10、受害主机Top10、攻击类型分布、应用类型分布、攻击趋势；能够按照攻击事件、受害主机、攻击主机进行排名。</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537B416">
            <w:pPr>
              <w:jc w:val="center"/>
              <w:rPr>
                <w:rFonts w:hint="eastAsia" w:ascii="仿宋" w:hAnsi="仿宋" w:eastAsia="仿宋" w:cs="仿宋"/>
                <w:i w:val="0"/>
                <w:iCs w:val="0"/>
                <w:color w:val="auto"/>
                <w:sz w:val="24"/>
                <w:szCs w:val="24"/>
                <w:highlight w:val="none"/>
                <w:u w:val="none"/>
              </w:rPr>
            </w:pPr>
          </w:p>
        </w:tc>
      </w:tr>
      <w:tr w14:paraId="2FAA2D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031D26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D09EA52">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7638FE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3、支持通过手动导入PCAP包的方式回放攻击包，可展现回放状态，检测结果可在安全日志中查看。</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C88589F">
            <w:pPr>
              <w:jc w:val="center"/>
              <w:rPr>
                <w:rFonts w:hint="eastAsia" w:ascii="仿宋" w:hAnsi="仿宋" w:eastAsia="仿宋" w:cs="仿宋"/>
                <w:i w:val="0"/>
                <w:iCs w:val="0"/>
                <w:color w:val="auto"/>
                <w:sz w:val="24"/>
                <w:szCs w:val="24"/>
                <w:highlight w:val="none"/>
                <w:u w:val="none"/>
              </w:rPr>
            </w:pPr>
          </w:p>
        </w:tc>
      </w:tr>
      <w:tr w14:paraId="04B2B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F27D224">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95C3EE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8CCC5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4、支持僵尸主机与控制主机异常通信行为检测的方式，具有独立的僵尸主机特征库，能够对僵尸主机行为进行监测和防护，并对规则可设置相应警告、阻断动作。</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68827E1F">
            <w:pPr>
              <w:jc w:val="center"/>
              <w:rPr>
                <w:rFonts w:hint="eastAsia" w:ascii="仿宋" w:hAnsi="仿宋" w:eastAsia="仿宋" w:cs="仿宋"/>
                <w:i w:val="0"/>
                <w:iCs w:val="0"/>
                <w:color w:val="auto"/>
                <w:sz w:val="24"/>
                <w:szCs w:val="24"/>
                <w:highlight w:val="none"/>
                <w:u w:val="none"/>
              </w:rPr>
            </w:pPr>
          </w:p>
        </w:tc>
      </w:tr>
      <w:tr w14:paraId="2971F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36EF86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81BF022">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4290BD9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5、支持独立的DDoS检测引擎，支持对IP扫描攻击、端口扫描攻击等多种扫描攻击行为检测和防护。</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91480CA">
            <w:pPr>
              <w:jc w:val="center"/>
              <w:rPr>
                <w:rFonts w:hint="eastAsia" w:ascii="仿宋" w:hAnsi="仿宋" w:eastAsia="仿宋" w:cs="仿宋"/>
                <w:i w:val="0"/>
                <w:iCs w:val="0"/>
                <w:color w:val="auto"/>
                <w:sz w:val="24"/>
                <w:szCs w:val="24"/>
                <w:highlight w:val="none"/>
                <w:u w:val="none"/>
              </w:rPr>
            </w:pPr>
          </w:p>
        </w:tc>
      </w:tr>
      <w:tr w14:paraId="29B1F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9"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61423E8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1A6F019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运维审计系统（堡垒机）</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408038B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4核，内存大小</w:t>
            </w:r>
            <w:r>
              <w:rPr>
                <w:rStyle w:val="148"/>
                <w:rFonts w:ascii="仿宋" w:hAnsi="仿宋" w:eastAsia="仿宋" w:cs="仿宋"/>
                <w:color w:val="auto"/>
                <w:sz w:val="24"/>
                <w:szCs w:val="24"/>
                <w:highlight w:val="none"/>
                <w:lang w:val="en-US" w:eastAsia="zh-CN" w:bidi="ar"/>
              </w:rPr>
              <w:t>≧8</w:t>
            </w:r>
            <w:r>
              <w:rPr>
                <w:rStyle w:val="315"/>
                <w:rFonts w:ascii="仿宋" w:hAnsi="仿宋" w:eastAsia="仿宋" w:cs="仿宋"/>
                <w:color w:val="auto"/>
                <w:sz w:val="24"/>
                <w:szCs w:val="24"/>
                <w:highlight w:val="none"/>
                <w:lang w:val="en-US" w:eastAsia="zh-CN" w:bidi="ar"/>
              </w:rPr>
              <w:t>GB，电源数量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1个，硬盘容量：</w:t>
            </w:r>
            <w:r>
              <w:rPr>
                <w:rStyle w:val="148"/>
                <w:rFonts w:ascii="仿宋" w:hAnsi="仿宋" w:eastAsia="仿宋" w:cs="仿宋"/>
                <w:color w:val="auto"/>
                <w:sz w:val="24"/>
                <w:szCs w:val="24"/>
                <w:highlight w:val="none"/>
                <w:lang w:val="en-US" w:eastAsia="zh-CN" w:bidi="ar"/>
              </w:rPr>
              <w:t>≧1</w:t>
            </w:r>
            <w:r>
              <w:rPr>
                <w:rStyle w:val="315"/>
                <w:rFonts w:ascii="仿宋" w:hAnsi="仿宋" w:eastAsia="仿宋" w:cs="仿宋"/>
                <w:color w:val="auto"/>
                <w:sz w:val="24"/>
                <w:szCs w:val="24"/>
                <w:highlight w:val="none"/>
                <w:lang w:val="en-US" w:eastAsia="zh-CN" w:bidi="ar"/>
              </w:rPr>
              <w:t>TB，图形运维最大并发数</w:t>
            </w:r>
            <w:r>
              <w:rPr>
                <w:rStyle w:val="148"/>
                <w:rFonts w:ascii="仿宋" w:hAnsi="仿宋" w:eastAsia="仿宋" w:cs="仿宋"/>
                <w:color w:val="auto"/>
                <w:sz w:val="24"/>
                <w:szCs w:val="24"/>
                <w:highlight w:val="none"/>
                <w:lang w:val="en-US" w:eastAsia="zh-CN" w:bidi="ar"/>
              </w:rPr>
              <w:t>≧20</w:t>
            </w:r>
            <w:r>
              <w:rPr>
                <w:rStyle w:val="315"/>
                <w:rFonts w:ascii="仿宋" w:hAnsi="仿宋" w:eastAsia="仿宋" w:cs="仿宋"/>
                <w:color w:val="auto"/>
                <w:sz w:val="24"/>
                <w:szCs w:val="24"/>
                <w:highlight w:val="none"/>
                <w:lang w:val="en-US" w:eastAsia="zh-CN" w:bidi="ar"/>
              </w:rPr>
              <w:t>个，网络接口</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6个千兆电口，含主机/设备许可</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50个；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4F7EF6C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599E3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72A6CA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43DB6ED">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01F7E3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1、支持用户的增删改查、锁定、解锁、清空等操作，对用户进行全生命周期管理。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2CDF7AA">
            <w:pPr>
              <w:jc w:val="center"/>
              <w:rPr>
                <w:rFonts w:hint="eastAsia" w:ascii="仿宋" w:hAnsi="仿宋" w:eastAsia="仿宋" w:cs="仿宋"/>
                <w:i w:val="0"/>
                <w:iCs w:val="0"/>
                <w:color w:val="auto"/>
                <w:sz w:val="24"/>
                <w:szCs w:val="24"/>
                <w:highlight w:val="none"/>
                <w:u w:val="none"/>
              </w:rPr>
            </w:pPr>
          </w:p>
        </w:tc>
      </w:tr>
      <w:tr w14:paraId="5D340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AAF5243">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482916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3AA8F3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2、支持混合云资源的管理，即公有云及局域网资源，支持主机、服务器、网络设备、安全设备、数据库等的资产管理，满足公有云、数据中心多种运维场景。</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30726B4">
            <w:pPr>
              <w:jc w:val="center"/>
              <w:rPr>
                <w:rFonts w:hint="eastAsia" w:ascii="仿宋" w:hAnsi="仿宋" w:eastAsia="仿宋" w:cs="仿宋"/>
                <w:i w:val="0"/>
                <w:iCs w:val="0"/>
                <w:color w:val="auto"/>
                <w:sz w:val="24"/>
                <w:szCs w:val="24"/>
                <w:highlight w:val="none"/>
                <w:u w:val="none"/>
              </w:rPr>
            </w:pPr>
          </w:p>
        </w:tc>
      </w:tr>
      <w:tr w14:paraId="71566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DB0008B">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75E5DA9">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8A4C9D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3、支持自动对Linux、Windows、安全设备、数据库等资产进行账号改密，改密支持手动和定期自动改密。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275FA30">
            <w:pPr>
              <w:jc w:val="center"/>
              <w:rPr>
                <w:rFonts w:hint="eastAsia" w:ascii="仿宋" w:hAnsi="仿宋" w:eastAsia="仿宋" w:cs="仿宋"/>
                <w:i w:val="0"/>
                <w:iCs w:val="0"/>
                <w:color w:val="auto"/>
                <w:sz w:val="24"/>
                <w:szCs w:val="24"/>
                <w:highlight w:val="none"/>
                <w:u w:val="none"/>
              </w:rPr>
            </w:pPr>
          </w:p>
        </w:tc>
      </w:tr>
      <w:tr w14:paraId="3AB86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99ACA19">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0699F0B">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0549DD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4、支持各种自定义客户端工具，支持通过动作流配置提供广泛的应用接入支持，在不作二次开发的情况下，可灵活扩展且实现帐号口令的代填。</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02B81C31">
            <w:pPr>
              <w:jc w:val="center"/>
              <w:rPr>
                <w:rFonts w:hint="eastAsia" w:ascii="仿宋" w:hAnsi="仿宋" w:eastAsia="仿宋" w:cs="仿宋"/>
                <w:i w:val="0"/>
                <w:iCs w:val="0"/>
                <w:color w:val="auto"/>
                <w:sz w:val="24"/>
                <w:szCs w:val="24"/>
                <w:highlight w:val="none"/>
                <w:u w:val="none"/>
              </w:rPr>
            </w:pPr>
          </w:p>
        </w:tc>
      </w:tr>
      <w:tr w14:paraId="2DC29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432D6F2">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3176CD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1AE461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5、支持运维审批，申请人可根据工作需求临时申请设备运维工单，按照要求填写使用时间、申请原因、备注信息等，管理员审批通过后方可运维，过期失效。</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60FB901">
            <w:pPr>
              <w:jc w:val="center"/>
              <w:rPr>
                <w:rFonts w:hint="eastAsia" w:ascii="仿宋" w:hAnsi="仿宋" w:eastAsia="仿宋" w:cs="仿宋"/>
                <w:i w:val="0"/>
                <w:iCs w:val="0"/>
                <w:color w:val="auto"/>
                <w:sz w:val="24"/>
                <w:szCs w:val="24"/>
                <w:highlight w:val="none"/>
                <w:u w:val="none"/>
              </w:rPr>
            </w:pPr>
          </w:p>
        </w:tc>
      </w:tr>
      <w:tr w14:paraId="7A81C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71C3B7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1594F33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探针</w:t>
            </w:r>
            <w:r>
              <w:rPr>
                <w:rStyle w:val="315"/>
                <w:rFonts w:ascii="仿宋" w:hAnsi="仿宋" w:eastAsia="仿宋" w:cs="仿宋"/>
                <w:color w:val="auto"/>
                <w:sz w:val="24"/>
                <w:szCs w:val="24"/>
                <w:highlight w:val="none"/>
                <w:lang w:val="en-US" w:eastAsia="zh-CN" w:bidi="ar"/>
              </w:rPr>
              <w:t xml:space="preserve"> </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70DE76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w:t>
            </w:r>
            <w:r>
              <w:rPr>
                <w:rStyle w:val="315"/>
                <w:rFonts w:ascii="仿宋" w:hAnsi="仿宋" w:eastAsia="仿宋" w:cs="仿宋"/>
                <w:color w:val="auto"/>
                <w:sz w:val="24"/>
                <w:szCs w:val="24"/>
                <w:highlight w:val="none"/>
                <w:lang w:val="en-US" w:eastAsia="zh-CN" w:bidi="ar"/>
              </w:rPr>
              <w:t>CPU物理核心数</w:t>
            </w:r>
            <w:r>
              <w:rPr>
                <w:rStyle w:val="148"/>
                <w:rFonts w:ascii="仿宋" w:hAnsi="仿宋" w:eastAsia="仿宋" w:cs="仿宋"/>
                <w:color w:val="auto"/>
                <w:sz w:val="24"/>
                <w:szCs w:val="24"/>
                <w:highlight w:val="none"/>
                <w:lang w:val="en-US" w:eastAsia="zh-CN" w:bidi="ar"/>
              </w:rPr>
              <w:t>≧4</w:t>
            </w:r>
            <w:r>
              <w:rPr>
                <w:rStyle w:val="315"/>
                <w:rFonts w:ascii="仿宋" w:hAnsi="仿宋" w:eastAsia="仿宋" w:cs="仿宋"/>
                <w:color w:val="auto"/>
                <w:sz w:val="24"/>
                <w:szCs w:val="24"/>
                <w:highlight w:val="none"/>
                <w:lang w:val="en-US" w:eastAsia="zh-CN" w:bidi="ar"/>
              </w:rPr>
              <w:t>核，内存大小</w:t>
            </w:r>
            <w:r>
              <w:rPr>
                <w:rStyle w:val="148"/>
                <w:rFonts w:ascii="仿宋" w:hAnsi="仿宋" w:eastAsia="仿宋" w:cs="仿宋"/>
                <w:color w:val="auto"/>
                <w:sz w:val="24"/>
                <w:szCs w:val="24"/>
                <w:highlight w:val="none"/>
                <w:lang w:val="en-US" w:eastAsia="zh-CN" w:bidi="ar"/>
              </w:rPr>
              <w:t>≧8</w:t>
            </w:r>
            <w:r>
              <w:rPr>
                <w:rStyle w:val="315"/>
                <w:rFonts w:ascii="仿宋" w:hAnsi="仿宋" w:eastAsia="仿宋" w:cs="仿宋"/>
                <w:color w:val="auto"/>
                <w:sz w:val="24"/>
                <w:szCs w:val="24"/>
                <w:highlight w:val="none"/>
                <w:lang w:val="en-US" w:eastAsia="zh-CN" w:bidi="ar"/>
              </w:rPr>
              <w:t>G，接口</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6千兆电口，电源数量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1个，规则库</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攻击检测规则库+应用识别库+威胁情报库</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，网络层吞吐量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1Gbps，硬盘容量</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4T SATA或64GB SSD，支持检测WEB攻击、异常访问、恶意文件攻击、远程控制、WEB后门访问、邮件钓鱼、WEB行为分析、暴力破解等</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竞标时出示功能截图或官网产品查询截图，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4FA2409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49D71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FE2755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FF07A7E">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6FFB76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1、支持独立的攻击检测引擎，涵盖15000种以上的攻击检测规则库。规则库支持按照攻击类型、操作系统、风险等级、应用类型、流行程度等方式进行分类。</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53FBF2C9">
            <w:pPr>
              <w:jc w:val="center"/>
              <w:rPr>
                <w:rFonts w:hint="eastAsia" w:ascii="仿宋" w:hAnsi="仿宋" w:eastAsia="仿宋" w:cs="仿宋"/>
                <w:i w:val="0"/>
                <w:iCs w:val="0"/>
                <w:color w:val="auto"/>
                <w:sz w:val="24"/>
                <w:szCs w:val="24"/>
                <w:highlight w:val="none"/>
                <w:u w:val="none"/>
              </w:rPr>
            </w:pPr>
          </w:p>
        </w:tc>
      </w:tr>
      <w:tr w14:paraId="67E9F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E37B84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B7249C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43E282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2、支持SQL注入攻击、跨站攻击、URL跳转攻击、WEB远程代码执行攻击、WEB缓冲区溢出攻击、WEB漏洞攻击、WEBSHELL上传攻击、WEB越权攻击、WEB扫描攻击、目录遍历攻击、WEB口令暴力破解攻击等多种WEB攻击类型。</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5FFC6728">
            <w:pPr>
              <w:jc w:val="center"/>
              <w:rPr>
                <w:rFonts w:hint="eastAsia" w:ascii="仿宋" w:hAnsi="仿宋" w:eastAsia="仿宋" w:cs="仿宋"/>
                <w:i w:val="0"/>
                <w:iCs w:val="0"/>
                <w:color w:val="auto"/>
                <w:sz w:val="24"/>
                <w:szCs w:val="24"/>
                <w:highlight w:val="none"/>
                <w:u w:val="none"/>
              </w:rPr>
            </w:pPr>
          </w:p>
        </w:tc>
      </w:tr>
      <w:tr w14:paraId="79523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3E49DF8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4D8880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F179B9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3、支持对入侵攻击、僵木蠕行为、恶意程序传播、APT攻击、WEB攻击、访问非法URL/域名、恶意IP访问等安全事件处置。</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1D6634C">
            <w:pPr>
              <w:jc w:val="center"/>
              <w:rPr>
                <w:rFonts w:hint="eastAsia" w:ascii="仿宋" w:hAnsi="仿宋" w:eastAsia="仿宋" w:cs="仿宋"/>
                <w:i w:val="0"/>
                <w:iCs w:val="0"/>
                <w:color w:val="auto"/>
                <w:sz w:val="24"/>
                <w:szCs w:val="24"/>
                <w:highlight w:val="none"/>
                <w:u w:val="none"/>
              </w:rPr>
            </w:pPr>
          </w:p>
        </w:tc>
      </w:tr>
      <w:tr w14:paraId="39818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5"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FB77D0C">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E632BB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2BBE4C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4、支持对网络中传输的异常流量进行检测，包括服务器非法外联、DNS隧道、隐蔽通信、加密流量、邮件监测、异常行为等异常流量类型。</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233A6BFE">
            <w:pPr>
              <w:jc w:val="center"/>
              <w:rPr>
                <w:rFonts w:hint="eastAsia" w:ascii="仿宋" w:hAnsi="仿宋" w:eastAsia="仿宋" w:cs="仿宋"/>
                <w:i w:val="0"/>
                <w:iCs w:val="0"/>
                <w:color w:val="auto"/>
                <w:sz w:val="24"/>
                <w:szCs w:val="24"/>
                <w:highlight w:val="none"/>
                <w:u w:val="none"/>
              </w:rPr>
            </w:pPr>
          </w:p>
        </w:tc>
      </w:tr>
      <w:tr w14:paraId="1688A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8ED28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1555722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态势感知系统</w:t>
            </w:r>
          </w:p>
        </w:tc>
        <w:tc>
          <w:tcPr>
            <w:tcW w:w="4050" w:type="pct"/>
            <w:tcBorders>
              <w:top w:val="single" w:color="000000" w:sz="8" w:space="0"/>
              <w:left w:val="single" w:color="000000" w:sz="8" w:space="0"/>
              <w:bottom w:val="nil"/>
              <w:right w:val="single" w:color="000000" w:sz="8" w:space="0"/>
            </w:tcBorders>
            <w:shd w:val="clear" w:color="auto" w:fill="auto"/>
            <w:vAlign w:val="center"/>
          </w:tcPr>
          <w:p w14:paraId="57B3BE1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▲CPU物理核心数≧24核，内存大小≧96G，硬盘容量≧24TB，接口≧4千兆电口+2万兆光口，冗余电源≧2个；设备包含的“硬件”和“态势感知软件”必须为同一品牌（竞标时出示软硬件截图）。</w:t>
            </w:r>
          </w:p>
        </w:tc>
        <w:tc>
          <w:tcPr>
            <w:tcW w:w="24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5AC682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49D22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01923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047BEAA">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5F1E29C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▲功能包含下述三项：</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9115BB">
            <w:pPr>
              <w:jc w:val="center"/>
              <w:rPr>
                <w:rFonts w:hint="eastAsia" w:ascii="仿宋" w:hAnsi="仿宋" w:eastAsia="仿宋" w:cs="仿宋"/>
                <w:i w:val="0"/>
                <w:iCs w:val="0"/>
                <w:color w:val="auto"/>
                <w:sz w:val="24"/>
                <w:szCs w:val="24"/>
                <w:highlight w:val="none"/>
                <w:u w:val="none"/>
              </w:rPr>
            </w:pPr>
          </w:p>
        </w:tc>
      </w:tr>
      <w:tr w14:paraId="5CA3B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A5D58B7">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D45F81">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1C2A64F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r>
              <w:rPr>
                <w:rStyle w:val="315"/>
                <w:rFonts w:ascii="仿宋" w:hAnsi="仿宋" w:eastAsia="仿宋" w:cs="仿宋"/>
                <w:color w:val="auto"/>
                <w:sz w:val="24"/>
                <w:szCs w:val="24"/>
                <w:highlight w:val="none"/>
                <w:lang w:val="en-US" w:eastAsia="zh-CN" w:bidi="ar"/>
              </w:rPr>
              <w:t>设备包含“全网态势、资产态势、攻击态势和漏洞态势”四项功能</w:t>
            </w:r>
            <w:r>
              <w:rPr>
                <w:rStyle w:val="374"/>
                <w:rFonts w:hAnsi="仿宋"/>
                <w:color w:val="auto"/>
                <w:sz w:val="24"/>
                <w:szCs w:val="24"/>
                <w:highlight w:val="none"/>
                <w:lang w:val="en-US" w:eastAsia="zh-CN" w:bidi="ar"/>
              </w:rPr>
              <w:t>（满足功能要求，名称允许有差异）</w:t>
            </w:r>
            <w:r>
              <w:rPr>
                <w:rStyle w:val="315"/>
                <w:rFonts w:ascii="仿宋" w:hAnsi="仿宋" w:eastAsia="仿宋" w:cs="仿宋"/>
                <w:color w:val="auto"/>
                <w:sz w:val="24"/>
                <w:szCs w:val="24"/>
                <w:highlight w:val="none"/>
                <w:lang w:val="en-US" w:eastAsia="zh-CN" w:bidi="ar"/>
              </w:rPr>
              <w:t>，提供原厂功能截图。</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8210C18">
            <w:pPr>
              <w:jc w:val="center"/>
              <w:rPr>
                <w:rFonts w:hint="eastAsia" w:ascii="仿宋" w:hAnsi="仿宋" w:eastAsia="仿宋" w:cs="仿宋"/>
                <w:i w:val="0"/>
                <w:iCs w:val="0"/>
                <w:color w:val="auto"/>
                <w:sz w:val="24"/>
                <w:szCs w:val="24"/>
                <w:highlight w:val="none"/>
                <w:u w:val="none"/>
              </w:rPr>
            </w:pPr>
          </w:p>
        </w:tc>
      </w:tr>
      <w:tr w14:paraId="40C75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359B49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D96B72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68630960">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r>
              <w:rPr>
                <w:rStyle w:val="374"/>
                <w:rFonts w:hAnsi="仿宋"/>
                <w:color w:val="auto"/>
                <w:sz w:val="24"/>
                <w:szCs w:val="24"/>
                <w:highlight w:val="none"/>
                <w:lang w:val="en-US" w:eastAsia="zh-CN" w:bidi="ar"/>
              </w:rPr>
              <w:t>能接收“探针”的检测日志并加以分析，然后通过与防火墙的联动机制实现“IP阻断，端口阻断和将危险访问对象加入黑名单”等功能。</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62952C">
            <w:pPr>
              <w:jc w:val="center"/>
              <w:rPr>
                <w:rFonts w:hint="eastAsia" w:ascii="仿宋" w:hAnsi="仿宋" w:eastAsia="仿宋" w:cs="仿宋"/>
                <w:i w:val="0"/>
                <w:iCs w:val="0"/>
                <w:color w:val="auto"/>
                <w:sz w:val="24"/>
                <w:szCs w:val="24"/>
                <w:highlight w:val="none"/>
                <w:u w:val="none"/>
              </w:rPr>
            </w:pPr>
          </w:p>
        </w:tc>
      </w:tr>
      <w:tr w14:paraId="290BE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E6C6D81">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6EB6F7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00EDE88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3、支持安全态势的可视化呈现，以大屏的方式从攻击事件、资产安全、运行监测等进行可视化展示（竞标时出示功能截图或官网产品查询截图）。</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2E3ABA1">
            <w:pPr>
              <w:jc w:val="center"/>
              <w:rPr>
                <w:rFonts w:hint="eastAsia" w:ascii="仿宋" w:hAnsi="仿宋" w:eastAsia="仿宋" w:cs="仿宋"/>
                <w:i w:val="0"/>
                <w:iCs w:val="0"/>
                <w:color w:val="auto"/>
                <w:sz w:val="24"/>
                <w:szCs w:val="24"/>
                <w:highlight w:val="none"/>
                <w:u w:val="none"/>
              </w:rPr>
            </w:pPr>
          </w:p>
        </w:tc>
      </w:tr>
      <w:tr w14:paraId="6B665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37065B4">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49028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nil"/>
              <w:right w:val="single" w:color="000000" w:sz="8" w:space="0"/>
            </w:tcBorders>
            <w:shd w:val="clear" w:color="auto" w:fill="auto"/>
            <w:vAlign w:val="center"/>
          </w:tcPr>
          <w:p w14:paraId="21A64E1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竞标时提供设备“销售许可证”，且许可证上的产品名称必须包含“态势分析与安全运营”或“安全分析与管理”或“威胁发现与运维管理”或“安全管理”或“安全感知管理”或“安全分析与管理”文字描述。</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27E145C">
            <w:pPr>
              <w:jc w:val="center"/>
              <w:rPr>
                <w:rFonts w:hint="eastAsia" w:ascii="仿宋" w:hAnsi="仿宋" w:eastAsia="仿宋" w:cs="仿宋"/>
                <w:i w:val="0"/>
                <w:iCs w:val="0"/>
                <w:color w:val="auto"/>
                <w:sz w:val="24"/>
                <w:szCs w:val="24"/>
                <w:highlight w:val="none"/>
                <w:u w:val="none"/>
              </w:rPr>
            </w:pPr>
          </w:p>
        </w:tc>
      </w:tr>
      <w:tr w14:paraId="41B524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6CD7A9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A1EA8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CD8054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B28068E">
            <w:pPr>
              <w:jc w:val="center"/>
              <w:rPr>
                <w:rFonts w:hint="eastAsia" w:ascii="仿宋" w:hAnsi="仿宋" w:eastAsia="仿宋" w:cs="仿宋"/>
                <w:i w:val="0"/>
                <w:iCs w:val="0"/>
                <w:color w:val="auto"/>
                <w:sz w:val="24"/>
                <w:szCs w:val="24"/>
                <w:highlight w:val="none"/>
                <w:u w:val="none"/>
              </w:rPr>
            </w:pPr>
          </w:p>
        </w:tc>
      </w:tr>
      <w:tr w14:paraId="49B8D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B3E4D4">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335D7A">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484CA1B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1、支持态势大屏展示，包括全网态势、资产态势、漏洞态势、攻击态势、全域态势，支持大屏展示时间设置，支持态势大屏中相关信息下钻跳转到对应的详细页面。</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84F025D">
            <w:pPr>
              <w:jc w:val="center"/>
              <w:rPr>
                <w:rFonts w:hint="eastAsia" w:ascii="仿宋" w:hAnsi="仿宋" w:eastAsia="仿宋" w:cs="仿宋"/>
                <w:i w:val="0"/>
                <w:iCs w:val="0"/>
                <w:color w:val="auto"/>
                <w:sz w:val="24"/>
                <w:szCs w:val="24"/>
                <w:highlight w:val="none"/>
                <w:u w:val="none"/>
              </w:rPr>
            </w:pPr>
          </w:p>
        </w:tc>
      </w:tr>
      <w:tr w14:paraId="629E6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9A015BF">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E8E8D67">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74863C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2、支持通过资产视角或安全域视角查看资产概况，支持对遭受攻击最多资产排行、漏洞最多资产排行、性能异常资产列表、风险资产排行、风险安全域列表、风险业务系统排行等信息进行展示。</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462876D">
            <w:pPr>
              <w:jc w:val="center"/>
              <w:rPr>
                <w:rFonts w:hint="eastAsia" w:ascii="仿宋" w:hAnsi="仿宋" w:eastAsia="仿宋" w:cs="仿宋"/>
                <w:i w:val="0"/>
                <w:iCs w:val="0"/>
                <w:color w:val="auto"/>
                <w:sz w:val="24"/>
                <w:szCs w:val="24"/>
                <w:highlight w:val="none"/>
                <w:u w:val="none"/>
              </w:rPr>
            </w:pPr>
          </w:p>
        </w:tc>
      </w:tr>
      <w:tr w14:paraId="2C9A5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B2F63AB">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4D1EBCA">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9459BA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3、支持以全球地图实时展示网络攻击态势，支持以不同颜色攻击线展示攻击过程，支持攻击源和攻击目的国家名称展示，支持攻击目的进行光晕显示。</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382FC2">
            <w:pPr>
              <w:jc w:val="center"/>
              <w:rPr>
                <w:rFonts w:hint="eastAsia" w:ascii="仿宋" w:hAnsi="仿宋" w:eastAsia="仿宋" w:cs="仿宋"/>
                <w:i w:val="0"/>
                <w:iCs w:val="0"/>
                <w:color w:val="auto"/>
                <w:sz w:val="24"/>
                <w:szCs w:val="24"/>
                <w:highlight w:val="none"/>
                <w:u w:val="none"/>
              </w:rPr>
            </w:pPr>
          </w:p>
        </w:tc>
      </w:tr>
      <w:tr w14:paraId="29E6F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F3887A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28A701C">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0383C7F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4、支持拖拽方式自定义大屏界面展示顺序，支持多种地图、拓扑展示方式，包括但不限于世界、全国、省份、拓扑、实时数据、历史数据等，支持logo、大屏超时设置、介绍文案。</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864A6B0">
            <w:pPr>
              <w:jc w:val="center"/>
              <w:rPr>
                <w:rFonts w:hint="eastAsia" w:ascii="仿宋" w:hAnsi="仿宋" w:eastAsia="仿宋" w:cs="仿宋"/>
                <w:i w:val="0"/>
                <w:iCs w:val="0"/>
                <w:color w:val="auto"/>
                <w:sz w:val="24"/>
                <w:szCs w:val="24"/>
                <w:highlight w:val="none"/>
                <w:u w:val="none"/>
              </w:rPr>
            </w:pPr>
          </w:p>
        </w:tc>
      </w:tr>
      <w:tr w14:paraId="454D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48BF872">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BFA248">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4CA453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5、支持对全部资产进行画像分析，支持以列表形式展示资产相关信息，展示信息包括但不限于资产名称、IP、风险等级、失陷状态、漏洞、告警、遭受攻击阶段等。</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3FDA4F4">
            <w:pPr>
              <w:jc w:val="center"/>
              <w:rPr>
                <w:rFonts w:hint="eastAsia" w:ascii="仿宋" w:hAnsi="仿宋" w:eastAsia="仿宋" w:cs="仿宋"/>
                <w:i w:val="0"/>
                <w:iCs w:val="0"/>
                <w:color w:val="auto"/>
                <w:sz w:val="24"/>
                <w:szCs w:val="24"/>
                <w:highlight w:val="none"/>
                <w:u w:val="none"/>
              </w:rPr>
            </w:pPr>
          </w:p>
        </w:tc>
      </w:tr>
      <w:tr w14:paraId="03A26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2" w:hRule="atLeast"/>
        </w:trPr>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6AF100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351"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CE052A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防火墙</w:t>
            </w:r>
          </w:p>
        </w:tc>
        <w:tc>
          <w:tcPr>
            <w:tcW w:w="405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08A7D9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4核，网络层吞吐量≧6500Mbps，TCP新建连接速率≧9.9万/秒，接口≧1个管理口+5个千兆电口+4个千兆光口，冗余电源≧2个，TCP并发连接数≧300万，具有防病毒功能（竞标时出示设备功能确认函），旧机器的配置必须平稳实现在新机器上。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49BF14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1套</w:t>
            </w:r>
          </w:p>
        </w:tc>
      </w:tr>
      <w:tr w14:paraId="0F7AD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4FF296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ACCA75">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52B22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1、支持路由、交换、虚拟线等工作模式；系统支持安全扩展模块功能，保证产品在进行功能模块扩展时保障系统稳定性。</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B6260F">
            <w:pPr>
              <w:jc w:val="center"/>
              <w:rPr>
                <w:rFonts w:hint="eastAsia" w:ascii="仿宋" w:hAnsi="仿宋" w:eastAsia="仿宋" w:cs="仿宋"/>
                <w:i w:val="0"/>
                <w:iCs w:val="0"/>
                <w:color w:val="auto"/>
                <w:sz w:val="24"/>
                <w:szCs w:val="24"/>
                <w:highlight w:val="none"/>
                <w:u w:val="none"/>
              </w:rPr>
            </w:pPr>
          </w:p>
        </w:tc>
      </w:tr>
      <w:tr w14:paraId="7E391D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F2B859D">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359692">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22C3BD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2、支持链路聚合，支持手工链路聚合及LACP链路聚合，可根据源/目的mac、源/目的IP、源/目的端口、五元组、端口轮询等条件提供不少于10种链路负载算法。</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8F7CC4B">
            <w:pPr>
              <w:jc w:val="center"/>
              <w:rPr>
                <w:rFonts w:hint="eastAsia" w:ascii="仿宋" w:hAnsi="仿宋" w:eastAsia="仿宋" w:cs="仿宋"/>
                <w:i w:val="0"/>
                <w:iCs w:val="0"/>
                <w:color w:val="auto"/>
                <w:sz w:val="24"/>
                <w:szCs w:val="24"/>
                <w:highlight w:val="none"/>
                <w:u w:val="none"/>
              </w:rPr>
            </w:pPr>
          </w:p>
        </w:tc>
      </w:tr>
      <w:tr w14:paraId="3A2E8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6D9D7FE">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1242B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89DC73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支持一体化安全策略配置，通过一条策略实现五元组、源MAC、域名、地理区域、应用、服务、时间、长连接、并发会话、WEB认证、IPS、AV、WAF、URL过滤、邮件安全、数据过滤、文件过滤、审计、APT等功能配置，简化用户管理。</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56F8CA4">
            <w:pPr>
              <w:jc w:val="center"/>
              <w:rPr>
                <w:rFonts w:hint="eastAsia" w:ascii="仿宋" w:hAnsi="仿宋" w:eastAsia="仿宋" w:cs="仿宋"/>
                <w:i w:val="0"/>
                <w:iCs w:val="0"/>
                <w:color w:val="auto"/>
                <w:sz w:val="24"/>
                <w:szCs w:val="24"/>
                <w:highlight w:val="none"/>
                <w:u w:val="none"/>
              </w:rPr>
            </w:pPr>
          </w:p>
        </w:tc>
      </w:tr>
      <w:tr w14:paraId="324C73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AF7908">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D13104">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1CC9955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4、内置内容过滤功能，可对FTP上传文件、下载文件、删除文件、重命名文件、创建目录、删除目录、列出目录等信令以及邮件发件人、收件人、主题、内容、附件等进行过滤。</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9155531">
            <w:pPr>
              <w:jc w:val="center"/>
              <w:rPr>
                <w:rFonts w:hint="eastAsia" w:ascii="仿宋" w:hAnsi="仿宋" w:eastAsia="仿宋" w:cs="仿宋"/>
                <w:i w:val="0"/>
                <w:iCs w:val="0"/>
                <w:color w:val="auto"/>
                <w:sz w:val="24"/>
                <w:szCs w:val="24"/>
                <w:highlight w:val="none"/>
                <w:u w:val="none"/>
              </w:rPr>
            </w:pPr>
          </w:p>
        </w:tc>
      </w:tr>
      <w:tr w14:paraId="3C072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45683E2">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FF6BBB6">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7B74527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5、内置行为分析功能，对会话、流量等数据进行统计分析，建立业务行为基线，对异常行为进行告警；支持行为分析监控展示，可展示不同行为分析策略的实时数据和基线数据趋势。</w:t>
            </w:r>
          </w:p>
        </w:tc>
        <w:tc>
          <w:tcPr>
            <w:tcW w:w="246"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2982678">
            <w:pPr>
              <w:jc w:val="center"/>
              <w:rPr>
                <w:rFonts w:hint="eastAsia" w:ascii="仿宋" w:hAnsi="仿宋" w:eastAsia="仿宋" w:cs="仿宋"/>
                <w:i w:val="0"/>
                <w:iCs w:val="0"/>
                <w:color w:val="auto"/>
                <w:sz w:val="24"/>
                <w:szCs w:val="24"/>
                <w:highlight w:val="none"/>
                <w:u w:val="none"/>
              </w:rPr>
            </w:pPr>
          </w:p>
        </w:tc>
      </w:tr>
      <w:tr w14:paraId="094C5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351" w:type="pct"/>
            <w:vMerge w:val="restart"/>
            <w:tcBorders>
              <w:top w:val="nil"/>
              <w:left w:val="single" w:color="000000" w:sz="8" w:space="0"/>
              <w:right w:val="single" w:color="000000" w:sz="8" w:space="0"/>
            </w:tcBorders>
            <w:shd w:val="clear" w:color="auto" w:fill="auto"/>
            <w:noWrap/>
            <w:vAlign w:val="center"/>
          </w:tcPr>
          <w:p w14:paraId="34F2BF6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166283C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显示屏</w:t>
            </w:r>
          </w:p>
        </w:tc>
        <w:tc>
          <w:tcPr>
            <w:tcW w:w="4050" w:type="pct"/>
            <w:tcBorders>
              <w:top w:val="nil"/>
              <w:left w:val="single" w:color="000000" w:sz="8" w:space="0"/>
              <w:bottom w:val="nil"/>
              <w:right w:val="single" w:color="000000" w:sz="8" w:space="0"/>
            </w:tcBorders>
            <w:shd w:val="clear" w:color="auto" w:fill="auto"/>
            <w:vAlign w:val="center"/>
          </w:tcPr>
          <w:p w14:paraId="36C204E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Cortex A73四核；RAM</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3G；屏幕分辨率</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4K；尺寸</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55英寸；HDMI2.0接口数</w:t>
            </w:r>
            <w:r>
              <w:rPr>
                <w:rStyle w:val="148"/>
                <w:rFonts w:ascii="仿宋" w:hAnsi="仿宋" w:eastAsia="仿宋" w:cs="仿宋"/>
                <w:color w:val="auto"/>
                <w:sz w:val="24"/>
                <w:szCs w:val="24"/>
                <w:highlight w:val="none"/>
                <w:lang w:val="en-US" w:eastAsia="zh-CN" w:bidi="ar"/>
              </w:rPr>
              <w:t>≧</w:t>
            </w:r>
            <w:r>
              <w:rPr>
                <w:rStyle w:val="315"/>
                <w:rFonts w:ascii="仿宋" w:hAnsi="仿宋" w:eastAsia="仿宋" w:cs="仿宋"/>
                <w:color w:val="auto"/>
                <w:sz w:val="24"/>
                <w:szCs w:val="24"/>
                <w:highlight w:val="none"/>
                <w:lang w:val="en-US" w:eastAsia="zh-CN" w:bidi="ar"/>
              </w:rPr>
              <w:t>2个。</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2588D17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1台</w:t>
            </w:r>
          </w:p>
        </w:tc>
      </w:tr>
      <w:tr w14:paraId="32C93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351" w:type="pct"/>
            <w:vMerge w:val="continue"/>
            <w:tcBorders>
              <w:left w:val="single" w:color="000000" w:sz="8" w:space="0"/>
              <w:bottom w:val="single" w:color="000000" w:sz="8" w:space="0"/>
              <w:right w:val="single" w:color="000000" w:sz="8" w:space="0"/>
            </w:tcBorders>
            <w:shd w:val="clear" w:color="auto" w:fill="auto"/>
            <w:vAlign w:val="center"/>
          </w:tcPr>
          <w:p w14:paraId="4D6A806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C616EDD">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277805D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展示内容：态势感知系统信息上墙</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1F8AFABB">
            <w:pPr>
              <w:jc w:val="center"/>
              <w:rPr>
                <w:rFonts w:hint="eastAsia" w:ascii="仿宋" w:hAnsi="仿宋" w:eastAsia="仿宋" w:cs="仿宋"/>
                <w:i w:val="0"/>
                <w:iCs w:val="0"/>
                <w:color w:val="auto"/>
                <w:sz w:val="24"/>
                <w:szCs w:val="24"/>
                <w:highlight w:val="none"/>
                <w:u w:val="none"/>
              </w:rPr>
            </w:pPr>
          </w:p>
        </w:tc>
      </w:tr>
      <w:tr w14:paraId="1286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279104F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351" w:type="pct"/>
            <w:vMerge w:val="restart"/>
            <w:tcBorders>
              <w:top w:val="nil"/>
              <w:left w:val="single" w:color="000000" w:sz="8" w:space="0"/>
              <w:right w:val="single" w:color="000000" w:sz="8" w:space="0"/>
            </w:tcBorders>
            <w:shd w:val="clear" w:color="auto" w:fill="auto"/>
            <w:vAlign w:val="center"/>
          </w:tcPr>
          <w:p w14:paraId="56983F20">
            <w:pPr>
              <w:keepNext w:val="0"/>
              <w:keepLines w:val="0"/>
              <w:widowControl/>
              <w:suppressLineNumbers w:val="0"/>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等保</w:t>
            </w:r>
          </w:p>
          <w:p w14:paraId="7352FA1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测评</w:t>
            </w:r>
          </w:p>
        </w:tc>
        <w:tc>
          <w:tcPr>
            <w:tcW w:w="4050" w:type="pct"/>
            <w:tcBorders>
              <w:top w:val="nil"/>
              <w:left w:val="single" w:color="000000" w:sz="8" w:space="0"/>
              <w:bottom w:val="nil"/>
              <w:right w:val="single" w:color="000000" w:sz="8" w:space="0"/>
            </w:tcBorders>
            <w:shd w:val="clear" w:color="auto" w:fill="auto"/>
            <w:vAlign w:val="center"/>
          </w:tcPr>
          <w:p w14:paraId="10FC81EB">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服务包含：等保测评（三级标准）</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22EBF86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r>
      <w:tr w14:paraId="73E22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1C2F957">
            <w:pPr>
              <w:jc w:val="center"/>
              <w:rPr>
                <w:rFonts w:hint="eastAsia" w:ascii="仿宋" w:hAnsi="仿宋" w:eastAsia="仿宋" w:cs="仿宋"/>
                <w:i w:val="0"/>
                <w:iCs w:val="0"/>
                <w:color w:val="auto"/>
                <w:sz w:val="24"/>
                <w:szCs w:val="24"/>
                <w:highlight w:val="none"/>
                <w:u w:val="none"/>
              </w:rPr>
            </w:pPr>
          </w:p>
        </w:tc>
        <w:tc>
          <w:tcPr>
            <w:tcW w:w="351" w:type="pct"/>
            <w:vMerge w:val="continue"/>
            <w:tcBorders>
              <w:left w:val="single" w:color="000000" w:sz="8" w:space="0"/>
              <w:bottom w:val="single" w:color="000000" w:sz="8" w:space="0"/>
              <w:right w:val="single" w:color="000000" w:sz="8" w:space="0"/>
            </w:tcBorders>
            <w:shd w:val="clear" w:color="auto" w:fill="auto"/>
            <w:vAlign w:val="center"/>
          </w:tcPr>
          <w:p w14:paraId="4ED5ED3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5DA707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服务目标：保证衢州市柯城区人民检察院的检察工作网顺利通过等保（三级标准）测评和备案，如本次备案不成功，中标人须配合整改并承担整改所需费用（含测评费用、设备费等），直至备案成功，采购人不再另行支付费用。</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3910ABF">
            <w:pPr>
              <w:jc w:val="center"/>
              <w:rPr>
                <w:rFonts w:hint="eastAsia" w:ascii="仿宋" w:hAnsi="仿宋" w:eastAsia="仿宋" w:cs="仿宋"/>
                <w:i w:val="0"/>
                <w:iCs w:val="0"/>
                <w:color w:val="auto"/>
                <w:sz w:val="24"/>
                <w:szCs w:val="24"/>
                <w:highlight w:val="none"/>
                <w:u w:val="none"/>
              </w:rPr>
            </w:pPr>
          </w:p>
        </w:tc>
      </w:tr>
      <w:tr w14:paraId="294BD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0" w:hRule="atLeast"/>
        </w:trPr>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3994A8F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FF0000"/>
                <w:kern w:val="0"/>
                <w:sz w:val="24"/>
                <w:szCs w:val="24"/>
                <w:highlight w:val="none"/>
                <w:u w:val="none"/>
                <w:lang w:val="en-US" w:eastAsia="zh-CN" w:bidi="ar"/>
              </w:rPr>
              <w:t>9</w:t>
            </w:r>
          </w:p>
        </w:tc>
        <w:tc>
          <w:tcPr>
            <w:tcW w:w="351" w:type="pct"/>
            <w:vMerge w:val="restart"/>
            <w:tcBorders>
              <w:top w:val="nil"/>
              <w:left w:val="single" w:color="000000" w:sz="8" w:space="0"/>
              <w:bottom w:val="single" w:color="000000" w:sz="8" w:space="0"/>
              <w:right w:val="single" w:color="000000" w:sz="8" w:space="0"/>
            </w:tcBorders>
            <w:shd w:val="clear" w:color="auto" w:fill="auto"/>
            <w:vAlign w:val="center"/>
          </w:tcPr>
          <w:p w14:paraId="4523466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漏洞扫描系统</w:t>
            </w: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596458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CPU物理核心数≧4核，内存大小≧16G，并发扫描IP地址数量≧80个，冗余电源≧2，并发扫描任务≧8个，IP授权数≧1024，设备核心部件（中央处理器（CPU）、操作系统和数据库）必须经过安全可靠测评，必须满足中国信息安全测评中心最新出具的“安全可靠测评结果公告”要求（竞标时提供该设备满足安全可靠测评结果要求的承诺函）。</w:t>
            </w:r>
          </w:p>
        </w:tc>
        <w:tc>
          <w:tcPr>
            <w:tcW w:w="246" w:type="pct"/>
            <w:vMerge w:val="restart"/>
            <w:tcBorders>
              <w:top w:val="nil"/>
              <w:left w:val="single" w:color="000000" w:sz="8" w:space="0"/>
              <w:bottom w:val="single" w:color="000000" w:sz="8" w:space="0"/>
              <w:right w:val="single" w:color="000000" w:sz="8" w:space="0"/>
            </w:tcBorders>
            <w:shd w:val="clear" w:color="auto" w:fill="auto"/>
            <w:vAlign w:val="center"/>
          </w:tcPr>
          <w:p w14:paraId="539E93F8">
            <w:pPr>
              <w:jc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r>
      <w:tr w14:paraId="731F5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9BCEE37">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17DBED63">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42521EF">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1、支持IPv4/IPv6双协议栈地址场景漏洞扫描。</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404B409">
            <w:pPr>
              <w:jc w:val="center"/>
              <w:rPr>
                <w:rFonts w:hint="eastAsia" w:ascii="仿宋" w:hAnsi="仿宋" w:eastAsia="仿宋" w:cs="仿宋"/>
                <w:i w:val="0"/>
                <w:iCs w:val="0"/>
                <w:color w:val="auto"/>
                <w:sz w:val="24"/>
                <w:szCs w:val="24"/>
                <w:highlight w:val="none"/>
                <w:u w:val="none"/>
              </w:rPr>
            </w:pPr>
          </w:p>
        </w:tc>
      </w:tr>
      <w:tr w14:paraId="37CA6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583D2F1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0F9A9B1C">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3E0FC669">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2、支持扫描系统漏洞数量大于240000种，web漏洞数量大于5000种,数据库大于3000种，CVE漏洞数大于60000。</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51F0D26F">
            <w:pPr>
              <w:jc w:val="center"/>
              <w:rPr>
                <w:rFonts w:hint="eastAsia" w:ascii="仿宋" w:hAnsi="仿宋" w:eastAsia="仿宋" w:cs="仿宋"/>
                <w:i w:val="0"/>
                <w:iCs w:val="0"/>
                <w:color w:val="auto"/>
                <w:sz w:val="24"/>
                <w:szCs w:val="24"/>
                <w:highlight w:val="none"/>
                <w:u w:val="none"/>
              </w:rPr>
            </w:pPr>
          </w:p>
        </w:tc>
      </w:tr>
      <w:tr w14:paraId="7D76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4962D13">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4323F88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2F0A12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3、产品漏洞库应涵盖目前的安全漏洞和攻击特征，漏洞库具备至少CVE、CNCVE、CNVD、BUGTRAQ、CNNVD编号。</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4B748615">
            <w:pPr>
              <w:jc w:val="center"/>
              <w:rPr>
                <w:rFonts w:hint="eastAsia" w:ascii="仿宋" w:hAnsi="仿宋" w:eastAsia="仿宋" w:cs="仿宋"/>
                <w:i w:val="0"/>
                <w:iCs w:val="0"/>
                <w:color w:val="auto"/>
                <w:sz w:val="24"/>
                <w:szCs w:val="24"/>
                <w:highlight w:val="none"/>
                <w:u w:val="none"/>
              </w:rPr>
            </w:pPr>
          </w:p>
        </w:tc>
      </w:tr>
      <w:tr w14:paraId="1B8FE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361DC6D">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7189770C">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62548B4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r>
              <w:rPr>
                <w:rStyle w:val="315"/>
                <w:rFonts w:ascii="仿宋" w:hAnsi="仿宋" w:eastAsia="仿宋" w:cs="仿宋"/>
                <w:color w:val="auto"/>
                <w:sz w:val="24"/>
                <w:szCs w:val="24"/>
                <w:highlight w:val="none"/>
                <w:lang w:val="en-US" w:eastAsia="zh-CN" w:bidi="ar"/>
              </w:rPr>
              <w:t>支持漏洞生命周期管理。</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7A31977B">
            <w:pPr>
              <w:jc w:val="center"/>
              <w:rPr>
                <w:rFonts w:hint="eastAsia" w:ascii="仿宋" w:hAnsi="仿宋" w:eastAsia="仿宋" w:cs="仿宋"/>
                <w:i w:val="0"/>
                <w:iCs w:val="0"/>
                <w:color w:val="auto"/>
                <w:sz w:val="24"/>
                <w:szCs w:val="24"/>
                <w:highlight w:val="none"/>
                <w:u w:val="none"/>
              </w:rPr>
            </w:pPr>
          </w:p>
        </w:tc>
      </w:tr>
      <w:tr w14:paraId="272A4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 w:hRule="atLeast"/>
        </w:trPr>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29E3FF50">
            <w:pPr>
              <w:jc w:val="center"/>
              <w:rPr>
                <w:rFonts w:hint="eastAsia" w:ascii="仿宋" w:hAnsi="仿宋" w:eastAsia="仿宋" w:cs="仿宋"/>
                <w:i w:val="0"/>
                <w:iCs w:val="0"/>
                <w:color w:val="auto"/>
                <w:sz w:val="24"/>
                <w:szCs w:val="24"/>
                <w:highlight w:val="none"/>
                <w:u w:val="none"/>
              </w:rPr>
            </w:pPr>
          </w:p>
        </w:tc>
        <w:tc>
          <w:tcPr>
            <w:tcW w:w="351" w:type="pct"/>
            <w:vMerge w:val="continue"/>
            <w:tcBorders>
              <w:top w:val="nil"/>
              <w:left w:val="single" w:color="000000" w:sz="8" w:space="0"/>
              <w:bottom w:val="single" w:color="000000" w:sz="8" w:space="0"/>
              <w:right w:val="single" w:color="000000" w:sz="8" w:space="0"/>
            </w:tcBorders>
            <w:shd w:val="clear" w:color="auto" w:fill="auto"/>
            <w:vAlign w:val="center"/>
          </w:tcPr>
          <w:p w14:paraId="6D5681BF">
            <w:pPr>
              <w:jc w:val="center"/>
              <w:rPr>
                <w:rFonts w:hint="eastAsia" w:ascii="仿宋" w:hAnsi="仿宋" w:eastAsia="仿宋" w:cs="仿宋"/>
                <w:i w:val="0"/>
                <w:iCs w:val="0"/>
                <w:color w:val="auto"/>
                <w:sz w:val="24"/>
                <w:szCs w:val="24"/>
                <w:highlight w:val="none"/>
                <w:u w:val="none"/>
              </w:rPr>
            </w:pPr>
          </w:p>
        </w:tc>
        <w:tc>
          <w:tcPr>
            <w:tcW w:w="4050" w:type="pct"/>
            <w:tcBorders>
              <w:top w:val="nil"/>
              <w:left w:val="single" w:color="000000" w:sz="8" w:space="0"/>
              <w:bottom w:val="single" w:color="000000" w:sz="8" w:space="0"/>
              <w:right w:val="single" w:color="000000" w:sz="8" w:space="0"/>
            </w:tcBorders>
            <w:shd w:val="clear" w:color="auto" w:fill="auto"/>
            <w:vAlign w:val="center"/>
          </w:tcPr>
          <w:p w14:paraId="5D6E08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5、报表支持综述报表及主机报表，可自定义安全结论。</w:t>
            </w:r>
          </w:p>
        </w:tc>
        <w:tc>
          <w:tcPr>
            <w:tcW w:w="246" w:type="pct"/>
            <w:vMerge w:val="continue"/>
            <w:tcBorders>
              <w:top w:val="nil"/>
              <w:left w:val="single" w:color="000000" w:sz="8" w:space="0"/>
              <w:bottom w:val="single" w:color="000000" w:sz="8" w:space="0"/>
              <w:right w:val="single" w:color="000000" w:sz="8" w:space="0"/>
            </w:tcBorders>
            <w:shd w:val="clear" w:color="auto" w:fill="auto"/>
            <w:vAlign w:val="center"/>
          </w:tcPr>
          <w:p w14:paraId="00AED237">
            <w:pPr>
              <w:jc w:val="center"/>
              <w:rPr>
                <w:rFonts w:hint="eastAsia" w:ascii="仿宋" w:hAnsi="仿宋" w:eastAsia="仿宋" w:cs="仿宋"/>
                <w:i w:val="0"/>
                <w:iCs w:val="0"/>
                <w:color w:val="auto"/>
                <w:sz w:val="24"/>
                <w:szCs w:val="24"/>
                <w:highlight w:val="none"/>
                <w:u w:val="none"/>
              </w:rPr>
            </w:pPr>
          </w:p>
        </w:tc>
      </w:tr>
      <w:tr w14:paraId="68A6B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 w:hRule="atLeast"/>
        </w:trPr>
        <w:tc>
          <w:tcPr>
            <w:tcW w:w="351" w:type="pct"/>
            <w:tcBorders>
              <w:top w:val="nil"/>
              <w:left w:val="single" w:color="000000" w:sz="8" w:space="0"/>
              <w:bottom w:val="single" w:color="000000" w:sz="8" w:space="0"/>
              <w:right w:val="single" w:color="000000" w:sz="8" w:space="0"/>
            </w:tcBorders>
            <w:shd w:val="clear" w:color="auto" w:fill="auto"/>
            <w:vAlign w:val="center"/>
          </w:tcPr>
          <w:p w14:paraId="354CEC1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351" w:type="pct"/>
            <w:tcBorders>
              <w:top w:val="nil"/>
              <w:left w:val="single" w:color="000000" w:sz="8" w:space="0"/>
              <w:bottom w:val="single" w:color="000000" w:sz="8" w:space="0"/>
              <w:right w:val="single" w:color="000000" w:sz="8" w:space="0"/>
            </w:tcBorders>
            <w:shd w:val="clear" w:color="auto" w:fill="auto"/>
            <w:vAlign w:val="center"/>
          </w:tcPr>
          <w:p w14:paraId="05AD725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安装调试服务</w:t>
            </w:r>
          </w:p>
        </w:tc>
        <w:tc>
          <w:tcPr>
            <w:tcW w:w="4050" w:type="pct"/>
            <w:tcBorders>
              <w:top w:val="nil"/>
              <w:left w:val="single" w:color="000000" w:sz="8" w:space="0"/>
              <w:bottom w:val="single" w:color="auto" w:sz="4" w:space="0"/>
              <w:right w:val="single" w:color="000000" w:sz="8" w:space="0"/>
            </w:tcBorders>
            <w:shd w:val="clear" w:color="auto" w:fill="auto"/>
            <w:vAlign w:val="center"/>
          </w:tcPr>
          <w:p w14:paraId="2B9D113A">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1、项目设备安装、调试、辅材提供、系统集成服务，协助完成工作网等保三级测评工作等</w:t>
            </w:r>
          </w:p>
          <w:p w14:paraId="4003CF1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2、机房旧设备的迁移、安装、调试由中标商负责</w:t>
            </w:r>
          </w:p>
          <w:p w14:paraId="0AB396C2">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3、辅材一批。其中网线要求：国标六类，线径≥0.57mm。HDMI线要求：成品线，支持4K/60HZ分辨率，支持HDMI 2.0。</w:t>
            </w:r>
          </w:p>
        </w:tc>
        <w:tc>
          <w:tcPr>
            <w:tcW w:w="246" w:type="pct"/>
            <w:tcBorders>
              <w:top w:val="nil"/>
              <w:left w:val="single" w:color="000000" w:sz="8" w:space="0"/>
              <w:bottom w:val="single" w:color="000000" w:sz="8" w:space="0"/>
              <w:right w:val="single" w:color="000000" w:sz="8" w:space="0"/>
            </w:tcBorders>
            <w:shd w:val="clear" w:color="auto" w:fill="auto"/>
            <w:vAlign w:val="center"/>
          </w:tcPr>
          <w:p w14:paraId="05ACE0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1项</w:t>
            </w:r>
          </w:p>
        </w:tc>
      </w:tr>
    </w:tbl>
    <w:p w14:paraId="18B6F355">
      <w:pPr>
        <w:pStyle w:val="3"/>
        <w:keepNext w:val="0"/>
        <w:keepLines w:val="0"/>
        <w:widowControl/>
        <w:suppressLineNumbers w:val="0"/>
        <w:spacing w:line="480" w:lineRule="auto"/>
        <w:jc w:val="left"/>
        <w:textAlignment w:val="center"/>
        <w:rPr>
          <w:rFonts w:hint="eastAsia" w:ascii="Times New Roman" w:hAnsi="Times New Roman" w:eastAsia="宋体" w:cs="Times New Roman"/>
          <w:bCs w:val="0"/>
          <w:i w:val="0"/>
          <w:iCs w:val="0"/>
          <w:color w:val="auto"/>
          <w:kern w:val="44"/>
          <w:sz w:val="28"/>
          <w:szCs w:val="28"/>
          <w:highlight w:val="none"/>
          <w:u w:val="none"/>
          <w:lang w:val="en-US" w:eastAsia="zh-CN" w:bidi="ar"/>
        </w:rPr>
      </w:pPr>
      <w:r>
        <w:rPr>
          <w:rFonts w:hint="eastAsia" w:ascii="Times New Roman" w:hAnsi="Times New Roman" w:eastAsia="宋体" w:cs="Times New Roman"/>
          <w:bCs w:val="0"/>
          <w:i w:val="0"/>
          <w:iCs w:val="0"/>
          <w:color w:val="auto"/>
          <w:kern w:val="44"/>
          <w:sz w:val="28"/>
          <w:szCs w:val="28"/>
          <w:highlight w:val="none"/>
          <w:u w:val="none"/>
          <w:lang w:val="en-US" w:eastAsia="zh-CN" w:bidi="ar"/>
        </w:rPr>
        <w:t>二、其它要求</w:t>
      </w:r>
      <w:bookmarkStart w:id="43" w:name="_GoBack"/>
      <w:bookmarkEnd w:id="43"/>
    </w:p>
    <w:p w14:paraId="084F53A5">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1、项目质保期：终验完成之日起五年。</w:t>
      </w:r>
    </w:p>
    <w:p w14:paraId="0AB085A6">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2、项目质保期声明对象：项目中所包含的全部软硬件设备。</w:t>
      </w:r>
    </w:p>
    <w:p w14:paraId="2DF582C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3、项目质保期内，中标商提供所有设备原厂免费软硬件质保，和所有与设备相关的“设备库文件”的原厂免费升级，设备库文件包含规则库、病毒库、特征库、识别库、情报库等。</w:t>
      </w:r>
    </w:p>
    <w:p w14:paraId="330DD128">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4、项目中标后，第1、2、3、4、5、6、</w:t>
      </w:r>
      <w:r>
        <w:rPr>
          <w:rFonts w:hint="eastAsia" w:ascii="仿宋" w:hAnsi="仿宋" w:eastAsia="仿宋" w:cs="仿宋"/>
          <w:i w:val="0"/>
          <w:iCs w:val="0"/>
          <w:color w:val="0000FF"/>
          <w:kern w:val="0"/>
          <w:sz w:val="24"/>
          <w:szCs w:val="24"/>
          <w:highlight w:val="none"/>
          <w:u w:val="none"/>
          <w:lang w:val="en-US" w:eastAsia="zh-CN" w:bidi="ar"/>
        </w:rPr>
        <w:t>9</w:t>
      </w:r>
      <w:r>
        <w:rPr>
          <w:rFonts w:hint="eastAsia" w:ascii="仿宋" w:hAnsi="仿宋" w:eastAsia="仿宋" w:cs="仿宋"/>
          <w:i w:val="0"/>
          <w:iCs w:val="0"/>
          <w:color w:val="auto"/>
          <w:kern w:val="0"/>
          <w:sz w:val="24"/>
          <w:szCs w:val="24"/>
          <w:highlight w:val="none"/>
          <w:u w:val="none"/>
          <w:lang w:val="en-US" w:eastAsia="zh-CN" w:bidi="ar"/>
        </w:rPr>
        <w:t>项设备的交付实施必须由原厂工程师上门服务。</w:t>
      </w:r>
    </w:p>
    <w:p w14:paraId="6230E171">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5、招标方案中的第1、2、3、4、5、6、</w:t>
      </w:r>
      <w:r>
        <w:rPr>
          <w:rFonts w:hint="eastAsia" w:ascii="仿宋" w:hAnsi="仿宋" w:eastAsia="仿宋" w:cs="仿宋"/>
          <w:i w:val="0"/>
          <w:iCs w:val="0"/>
          <w:color w:val="0000FF"/>
          <w:kern w:val="0"/>
          <w:sz w:val="24"/>
          <w:szCs w:val="24"/>
          <w:highlight w:val="none"/>
          <w:u w:val="none"/>
          <w:lang w:val="en-US" w:eastAsia="zh-CN" w:bidi="ar"/>
        </w:rPr>
        <w:t>9</w:t>
      </w:r>
      <w:r>
        <w:rPr>
          <w:rFonts w:hint="eastAsia" w:ascii="仿宋" w:hAnsi="仿宋" w:eastAsia="仿宋" w:cs="仿宋"/>
          <w:i w:val="0"/>
          <w:iCs w:val="0"/>
          <w:color w:val="auto"/>
          <w:kern w:val="0"/>
          <w:sz w:val="24"/>
          <w:szCs w:val="24"/>
          <w:highlight w:val="none"/>
          <w:u w:val="none"/>
          <w:lang w:val="en-US" w:eastAsia="zh-CN" w:bidi="ar"/>
        </w:rPr>
        <w:t>项设备，中标商必须提供设备原厂400等统一查询电话，且甲方可以根据设备序列号查询到设备</w:t>
      </w:r>
      <w:r>
        <w:rPr>
          <w:rStyle w:val="374"/>
          <w:rFonts w:hAnsi="仿宋"/>
          <w:color w:val="auto"/>
          <w:sz w:val="24"/>
          <w:szCs w:val="24"/>
          <w:highlight w:val="none"/>
          <w:lang w:val="en-US" w:eastAsia="zh-CN" w:bidi="ar"/>
        </w:rPr>
        <w:t>对应的最终用户为“柯城区人民检察院”。</w:t>
      </w:r>
      <w:r>
        <w:rPr>
          <w:rStyle w:val="315"/>
          <w:rFonts w:hint="eastAsia" w:ascii="仿宋" w:hAnsi="仿宋" w:eastAsia="仿宋" w:cs="仿宋"/>
          <w:color w:val="auto"/>
          <w:sz w:val="24"/>
          <w:szCs w:val="24"/>
          <w:highlight w:val="none"/>
          <w:lang w:val="en-US" w:eastAsia="zh-CN" w:bidi="ar"/>
        </w:rPr>
        <w:t>上述设备供货后</w:t>
      </w:r>
      <w:r>
        <w:rPr>
          <w:rStyle w:val="315"/>
          <w:rFonts w:ascii="仿宋" w:hAnsi="仿宋" w:eastAsia="仿宋" w:cs="仿宋"/>
          <w:color w:val="auto"/>
          <w:sz w:val="24"/>
          <w:szCs w:val="24"/>
          <w:highlight w:val="none"/>
          <w:lang w:val="en-US" w:eastAsia="zh-CN" w:bidi="ar"/>
        </w:rPr>
        <w:t>，如果甲方无法查询到上述对应关系，则甲方有权要求乙方进行赔偿，赔偿金额为“项目中标金额*20%”。参与竞标，则默认同意此条款。</w:t>
      </w:r>
    </w:p>
    <w:p w14:paraId="17A6F146">
      <w:pPr>
        <w:keepNext w:val="0"/>
        <w:keepLines w:val="0"/>
        <w:widowControl/>
        <w:suppressLineNumbers w:val="0"/>
        <w:tabs>
          <w:tab w:val="left" w:pos="4830"/>
        </w:tabs>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6、项目免费质保期逾期后，采购人可以要求仍由项目中标公司负责有偿质保服务。</w:t>
      </w:r>
    </w:p>
    <w:p w14:paraId="2349594A">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项目质保期满后，甲方可以继续向中标商逐年购买质保，且乙方必须无条件同意甲方的购买行为。甲方购买的质保服务等同于质保期内甲方享受的所有服务（包括质保期内的所有原厂服务，如软硬件的原厂维保和相关规则库升级</w:t>
      </w:r>
      <w:r>
        <w:rPr>
          <w:rStyle w:val="374"/>
          <w:rFonts w:hAnsi="仿宋"/>
          <w:color w:val="auto"/>
          <w:sz w:val="24"/>
          <w:szCs w:val="24"/>
          <w:highlight w:val="none"/>
          <w:lang w:val="en-US" w:eastAsia="zh-CN" w:bidi="ar"/>
        </w:rPr>
        <w:t>等</w:t>
      </w:r>
      <w:r>
        <w:rPr>
          <w:rStyle w:val="315"/>
          <w:rFonts w:ascii="仿宋" w:hAnsi="仿宋" w:eastAsia="仿宋" w:cs="仿宋"/>
          <w:color w:val="auto"/>
          <w:sz w:val="24"/>
          <w:szCs w:val="24"/>
          <w:highlight w:val="none"/>
          <w:lang w:val="en-US" w:eastAsia="zh-CN" w:bidi="ar"/>
        </w:rPr>
        <w:t>）。竞标商在投标时，必须出具“有偿质保服务购买承诺函”，承诺函上必须明确标明“年均服务购买总价和分项单价”和“各设备原厂盖章质保续购承诺”，且年均服务购买单价为同一价，不允许逐年递增。</w:t>
      </w:r>
    </w:p>
    <w:p w14:paraId="3C2761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8、考虑到后期省市县三级院可能出现的安全平台对接，参与竞标的集成商必须出具原厂的设备接口免费开放承诺书，且必须派遣设备原厂工程师无条件配合采购人进行不同平台之间的对接。</w:t>
      </w:r>
    </w:p>
    <w:p w14:paraId="779F2E94">
      <w:pPr>
        <w:keepNext w:val="0"/>
        <w:keepLines w:val="0"/>
        <w:widowControl/>
        <w:suppressLineNumbers w:val="0"/>
        <w:jc w:val="left"/>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9、项目中所有设备的存储部件，如果在售后过程中产生更换的，更换下来的旧存储部件所有权归甲方。</w:t>
      </w:r>
    </w:p>
    <w:p w14:paraId="124F261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10、此项目核心安全设备为态势感知系统、探针、防火墙、入侵防御系统。</w:t>
      </w:r>
    </w:p>
    <w:p w14:paraId="3DF215A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11、考虑到系统联动需要，投标商提供的“态势感知系统、探针、防火墙、入侵防御系统”设备必须为同一品牌。</w:t>
      </w:r>
    </w:p>
    <w:p w14:paraId="0A4CFB40">
      <w:pPr>
        <w:keepNext w:val="0"/>
        <w:keepLines w:val="0"/>
        <w:pageBreakBefore w:val="0"/>
        <w:widowControl w:val="0"/>
        <w:kinsoku/>
        <w:wordWrap/>
        <w:overflowPunct/>
        <w:topLinePunct w:val="0"/>
        <w:autoSpaceDE/>
        <w:autoSpaceDN/>
        <w:bidi w:val="0"/>
        <w:adjustRightInd w:val="0"/>
        <w:snapToGrid/>
        <w:spacing w:line="360" w:lineRule="auto"/>
        <w:jc w:val="left"/>
        <w:textAlignment w:val="auto"/>
        <w:outlineLvl w:val="0"/>
        <w:rPr>
          <w:rFonts w:hint="eastAsia" w:ascii="仿宋" w:hAnsi="仿宋" w:eastAsia="仿宋" w:cs="仿宋"/>
          <w:b/>
          <w:color w:val="auto"/>
          <w:sz w:val="36"/>
          <w:szCs w:val="36"/>
          <w:highlight w:val="none"/>
        </w:rPr>
      </w:pPr>
      <w:r>
        <w:rPr>
          <w:rFonts w:hint="eastAsia" w:ascii="仿宋" w:hAnsi="仿宋" w:eastAsia="仿宋" w:cs="仿宋"/>
          <w:i w:val="0"/>
          <w:iCs w:val="0"/>
          <w:color w:val="auto"/>
          <w:kern w:val="0"/>
          <w:sz w:val="24"/>
          <w:szCs w:val="24"/>
          <w:highlight w:val="none"/>
          <w:u w:val="none"/>
          <w:lang w:val="en-US" w:eastAsia="zh-CN" w:bidi="ar"/>
        </w:rPr>
        <w:t>12、项目安装调试完毕后，需试运行一年后再进行验收，验收时需乙方额外提供三份材料（所有“核心安全设备”原厂巡检报告、原厂工程师上门服务签字确认函、以及与签字确认函上姓名时间想匹配的对应工程师原厂社保证明）（例如，2023年3月是工程师“张三”上门巡检，2023年4月是工程师“李四”上门巡检，则验收时厂家需提供2023年3月张三的原厂社保证明和2023年4月李四的原厂社保证明，以此类推）。</w:t>
      </w:r>
    </w:p>
    <w:p w14:paraId="06B37D19">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sectPr>
          <w:headerReference r:id="rId7" w:type="first"/>
          <w:footerReference r:id="rId9" w:type="first"/>
          <w:headerReference r:id="rId6" w:type="default"/>
          <w:footerReference r:id="rId8" w:type="default"/>
          <w:pgSz w:w="16838" w:h="11906" w:orient="landscape"/>
          <w:pgMar w:top="1238" w:right="1276" w:bottom="1648" w:left="1062" w:header="851" w:footer="992" w:gutter="0"/>
          <w:pgNumType w:fmt="decimal"/>
          <w:cols w:space="720" w:num="1"/>
          <w:titlePg/>
          <w:docGrid w:linePitch="312" w:charSpace="0"/>
        </w:sectPr>
      </w:pPr>
    </w:p>
    <w:p w14:paraId="3C8FEBF7">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w:t>
      </w:r>
      <w:r>
        <w:rPr>
          <w:rFonts w:hint="eastAsia" w:ascii="仿宋" w:hAnsi="仿宋" w:eastAsia="仿宋" w:cs="仿宋"/>
          <w:b/>
          <w:color w:val="auto"/>
          <w:sz w:val="36"/>
          <w:szCs w:val="36"/>
          <w:highlight w:val="none"/>
          <w:lang w:eastAsia="zh-CN"/>
        </w:rPr>
        <w:t>四</w:t>
      </w:r>
      <w:r>
        <w:rPr>
          <w:rFonts w:hint="eastAsia" w:ascii="仿宋" w:hAnsi="仿宋" w:eastAsia="仿宋" w:cs="仿宋"/>
          <w:b/>
          <w:color w:val="auto"/>
          <w:sz w:val="36"/>
          <w:szCs w:val="36"/>
          <w:highlight w:val="none"/>
        </w:rPr>
        <w:t>部分 拟签订的合同文本</w:t>
      </w:r>
    </w:p>
    <w:p w14:paraId="0B716EC2">
      <w:pPr>
        <w:pStyle w:val="522"/>
        <w:ind w:left="0" w:leftChars="0" w:firstLine="0" w:firstLineChars="0"/>
        <w:jc w:val="center"/>
        <w:rPr>
          <w:rFonts w:hint="eastAsia" w:ascii="宋体" w:hAnsi="宋体"/>
          <w:b/>
          <w:color w:val="auto"/>
          <w:sz w:val="28"/>
          <w:szCs w:val="28"/>
          <w:highlight w:val="none"/>
        </w:rPr>
      </w:pPr>
      <w:r>
        <w:rPr>
          <w:rFonts w:hint="eastAsia" w:ascii="宋体" w:hAnsi="宋体"/>
          <w:b/>
          <w:color w:val="auto"/>
          <w:sz w:val="28"/>
          <w:szCs w:val="28"/>
          <w:highlight w:val="none"/>
        </w:rPr>
        <w:t>（具体以双方实际签订的条款为准）</w:t>
      </w:r>
    </w:p>
    <w:p w14:paraId="4E9595A8">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default" w:ascii="宋体" w:hAnsi="宋体" w:eastAsia="宋体" w:cs="宋体"/>
          <w:color w:val="auto"/>
          <w:kern w:val="2"/>
          <w:sz w:val="24"/>
          <w:szCs w:val="24"/>
          <w:highlight w:val="none"/>
          <w:u w:val="single"/>
          <w:lang w:val="en-US" w:eastAsia="zh-CN" w:bidi="ar-SA"/>
        </w:rPr>
      </w:pPr>
      <w:r>
        <w:rPr>
          <w:rFonts w:hint="eastAsia" w:ascii="宋体" w:hAnsi="宋体" w:eastAsia="宋体" w:cs="宋体"/>
          <w:color w:val="auto"/>
          <w:kern w:val="2"/>
          <w:sz w:val="24"/>
          <w:szCs w:val="24"/>
          <w:highlight w:val="none"/>
          <w:lang w:val="en-US" w:eastAsia="zh-CN" w:bidi="ar-SA"/>
        </w:rPr>
        <w:t>甲方</w:t>
      </w:r>
      <w:r>
        <w:rPr>
          <w:rFonts w:hint="eastAsia" w:ascii="宋体" w:hAnsi="宋体" w:eastAsia="宋体" w:cs="宋体"/>
          <w:color w:val="auto"/>
          <w:kern w:val="2"/>
          <w:sz w:val="24"/>
          <w:szCs w:val="24"/>
          <w:highlight w:val="none"/>
          <w:u w:val="none"/>
          <w:lang w:val="en-US" w:eastAsia="zh-CN" w:bidi="ar-SA"/>
        </w:rPr>
        <w:t>：</w:t>
      </w:r>
      <w:r>
        <w:rPr>
          <w:rFonts w:hint="eastAsia" w:ascii="宋体" w:hAnsi="宋体" w:eastAsia="宋体" w:cs="宋体"/>
          <w:color w:val="auto"/>
          <w:kern w:val="2"/>
          <w:sz w:val="24"/>
          <w:szCs w:val="24"/>
          <w:highlight w:val="none"/>
          <w:u w:val="single"/>
          <w:lang w:val="en-US" w:eastAsia="zh-CN" w:bidi="ar-SA"/>
        </w:rPr>
        <w:t xml:space="preserve">    </w:t>
      </w:r>
    </w:p>
    <w:p w14:paraId="2CA64453">
      <w:pPr>
        <w:pStyle w:val="522"/>
        <w:keepNext w:val="0"/>
        <w:keepLines w:val="0"/>
        <w:pageBreakBefore w:val="0"/>
        <w:widowControl/>
        <w:kinsoku/>
        <w:wordWrap/>
        <w:overflowPunct/>
        <w:topLinePunct w:val="0"/>
        <w:autoSpaceDE/>
        <w:autoSpaceDN/>
        <w:bidi w:val="0"/>
        <w:adjustRightInd/>
        <w:snapToGrid/>
        <w:spacing w:line="400" w:lineRule="exact"/>
        <w:ind w:firstLine="240" w:firstLineChars="10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乙方：</w:t>
      </w:r>
    </w:p>
    <w:p w14:paraId="37BB1EC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为保证合同的正确履行，维护合同双方的合法权益，依照《中华人民共和国民法典》及相关法律规定，根据招投标文件有关条款，甲、乙双方本着责任共担，利益共享的原则，经协商一致，达成以下条款，双方共同遵守。</w:t>
      </w:r>
    </w:p>
    <w:p w14:paraId="08C2101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第一条  组成本合同的有关文件</w:t>
      </w:r>
    </w:p>
    <w:p w14:paraId="0C0AC560">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下列文件及有关附件是本合同不可分割的组成部分，与本合同具有同等法律效力，这些文件包括：</w:t>
      </w:r>
    </w:p>
    <w:p w14:paraId="3F25BEC1">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（1）招标文件；</w:t>
      </w:r>
    </w:p>
    <w:p w14:paraId="638DD28A">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（2）乙方提供的投标文件；</w:t>
      </w:r>
    </w:p>
    <w:p w14:paraId="0ADA9785">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（3）甲、乙双方商定的其他文件：</w:t>
      </w:r>
    </w:p>
    <w:p w14:paraId="7B9727E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第二条 合同标的</w:t>
      </w:r>
    </w:p>
    <w:tbl>
      <w:tblPr>
        <w:tblStyle w:val="6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2"/>
        <w:gridCol w:w="1842"/>
        <w:gridCol w:w="756"/>
        <w:gridCol w:w="1478"/>
        <w:gridCol w:w="1611"/>
        <w:gridCol w:w="1179"/>
      </w:tblGrid>
      <w:tr w14:paraId="2EE3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720" w:type="dxa"/>
            <w:noWrap/>
            <w:vAlign w:val="center"/>
          </w:tcPr>
          <w:p w14:paraId="00322D0B">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序号</w:t>
            </w:r>
          </w:p>
        </w:tc>
        <w:tc>
          <w:tcPr>
            <w:tcW w:w="1542" w:type="dxa"/>
            <w:noWrap/>
            <w:vAlign w:val="center"/>
          </w:tcPr>
          <w:p w14:paraId="665DCA69">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名称</w:t>
            </w:r>
          </w:p>
        </w:tc>
        <w:tc>
          <w:tcPr>
            <w:tcW w:w="1842" w:type="dxa"/>
            <w:noWrap/>
            <w:vAlign w:val="center"/>
          </w:tcPr>
          <w:p w14:paraId="668B5AD3">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品牌</w:t>
            </w:r>
            <w:r>
              <w:rPr>
                <w:rFonts w:hint="eastAsia" w:ascii="宋体" w:hAnsi="宋体" w:eastAsia="宋体" w:cs="宋体"/>
                <w:color w:val="auto"/>
                <w:kern w:val="2"/>
                <w:sz w:val="24"/>
                <w:szCs w:val="24"/>
                <w:highlight w:val="none"/>
                <w:lang w:eastAsia="zh-CN"/>
              </w:rPr>
              <w:t>规格型号</w:t>
            </w:r>
          </w:p>
        </w:tc>
        <w:tc>
          <w:tcPr>
            <w:tcW w:w="756" w:type="dxa"/>
            <w:noWrap/>
            <w:vAlign w:val="center"/>
          </w:tcPr>
          <w:p w14:paraId="5EA0BD3D">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单位</w:t>
            </w:r>
          </w:p>
        </w:tc>
        <w:tc>
          <w:tcPr>
            <w:tcW w:w="1478" w:type="dxa"/>
            <w:noWrap/>
            <w:vAlign w:val="center"/>
          </w:tcPr>
          <w:p w14:paraId="7D4B9802">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数量</w:t>
            </w:r>
          </w:p>
        </w:tc>
        <w:tc>
          <w:tcPr>
            <w:tcW w:w="1611" w:type="dxa"/>
            <w:noWrap/>
            <w:vAlign w:val="center"/>
          </w:tcPr>
          <w:p w14:paraId="55C00437">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单价</w:t>
            </w:r>
          </w:p>
        </w:tc>
        <w:tc>
          <w:tcPr>
            <w:tcW w:w="1179" w:type="dxa"/>
            <w:noWrap/>
            <w:vAlign w:val="center"/>
          </w:tcPr>
          <w:p w14:paraId="5B3E5684">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总价</w:t>
            </w:r>
          </w:p>
        </w:tc>
      </w:tr>
      <w:tr w14:paraId="490AB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222FAC1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76AE7AB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27375B2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3981824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761B61F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1FFC191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396EB14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1E00D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15C041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2B3A51C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3F04601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57CECB2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1DD972D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7CC000C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0CD40F5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23D2B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6C5557F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552DD9A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464A5B5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41A14CE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65109CC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28A63AF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46444CA4">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48482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4571017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1345AE4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0FD38B2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1ADD0EDD">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30D1272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71EBBED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5B85D772">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48ED9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3D7AE87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7441868B">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0573AA2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0BD51D2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24F960E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18A1A88F">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3C27C058">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027C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17012FC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367A2D0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6C3E5A8C">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73EAE54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46CA6FE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27B7EF7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55FE601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20433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720" w:type="dxa"/>
            <w:noWrap/>
            <w:vAlign w:val="top"/>
          </w:tcPr>
          <w:p w14:paraId="07372E8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542" w:type="dxa"/>
            <w:noWrap/>
            <w:vAlign w:val="top"/>
          </w:tcPr>
          <w:p w14:paraId="3A908473">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842" w:type="dxa"/>
            <w:noWrap/>
            <w:vAlign w:val="top"/>
          </w:tcPr>
          <w:p w14:paraId="376DD2E6">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756" w:type="dxa"/>
            <w:noWrap/>
            <w:vAlign w:val="top"/>
          </w:tcPr>
          <w:p w14:paraId="796DAE3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478" w:type="dxa"/>
            <w:noWrap/>
            <w:vAlign w:val="top"/>
          </w:tcPr>
          <w:p w14:paraId="2F2117F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611" w:type="dxa"/>
            <w:noWrap/>
            <w:vAlign w:val="top"/>
          </w:tcPr>
          <w:p w14:paraId="6FBC4350">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66358AA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r w14:paraId="01526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2262" w:type="dxa"/>
            <w:gridSpan w:val="2"/>
            <w:noWrap/>
            <w:vAlign w:val="center"/>
          </w:tcPr>
          <w:p w14:paraId="1F043E60">
            <w:pPr>
              <w:pBdr>
                <w:top w:val="none" w:color="auto" w:sz="0" w:space="0"/>
                <w:left w:val="none" w:color="auto" w:sz="0" w:space="0"/>
                <w:bottom w:val="none" w:color="auto" w:sz="0" w:space="0"/>
                <w:right w:val="none" w:color="auto" w:sz="0" w:space="0"/>
              </w:pBdr>
              <w:spacing w:line="340" w:lineRule="exact"/>
              <w:jc w:val="center"/>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货物总价款（大写）</w:t>
            </w:r>
          </w:p>
        </w:tc>
        <w:tc>
          <w:tcPr>
            <w:tcW w:w="5687" w:type="dxa"/>
            <w:gridSpan w:val="4"/>
            <w:noWrap/>
            <w:vAlign w:val="top"/>
          </w:tcPr>
          <w:p w14:paraId="5754CD9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c>
          <w:tcPr>
            <w:tcW w:w="1179" w:type="dxa"/>
            <w:noWrap/>
            <w:vAlign w:val="top"/>
          </w:tcPr>
          <w:p w14:paraId="00D383F1">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p>
        </w:tc>
      </w:tr>
    </w:tbl>
    <w:p w14:paraId="09E2C885">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以上货物价款以人民币进行结算，乙方应随货物向甲方交付货物的使用说明书及随货物相关的资料。</w:t>
      </w:r>
    </w:p>
    <w:p w14:paraId="3B4EA117">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第三条 合同总价款</w:t>
      </w:r>
    </w:p>
    <w:p w14:paraId="7EAAE9BB">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合同总价款（大写）：人民币</w:t>
      </w:r>
      <w:r>
        <w:rPr>
          <w:rFonts w:hint="eastAsia" w:ascii="宋体" w:hAnsi="宋体" w:eastAsia="宋体" w:cs="宋体"/>
          <w:color w:val="auto"/>
          <w:kern w:val="2"/>
          <w:sz w:val="24"/>
          <w:szCs w:val="24"/>
          <w:highlight w:val="none"/>
          <w:u w:val="single"/>
          <w:lang w:eastAsia="zh-CN"/>
        </w:rPr>
        <w:t xml:space="preserve">                 </w:t>
      </w:r>
      <w:r>
        <w:rPr>
          <w:rFonts w:hint="eastAsia" w:ascii="宋体" w:hAnsi="宋体" w:eastAsia="宋体" w:cs="宋体"/>
          <w:color w:val="auto"/>
          <w:kern w:val="2"/>
          <w:sz w:val="24"/>
          <w:szCs w:val="24"/>
          <w:highlight w:val="none"/>
          <w:lang w:eastAsia="zh-CN"/>
        </w:rPr>
        <w:t>元。</w:t>
      </w:r>
    </w:p>
    <w:p w14:paraId="3F5D0C5A">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本合同总价款是材料采购、生产制造、运输、安装、相应的零配件、相关税费及验收合格之前和保修期内备品备件发生的等一切所有含税费用。</w:t>
      </w:r>
    </w:p>
    <w:p w14:paraId="790381D8">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第四条 质量保证</w:t>
      </w:r>
    </w:p>
    <w:p w14:paraId="65CF75B7">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1、技术标准应符合要求。</w:t>
      </w:r>
    </w:p>
    <w:p w14:paraId="63A863CA">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2、乙方提供的必须是全新、原包装、正宗（包括零部件）的货物，主要货物必须符合国家检测标准以及该产品的出厂标准。</w:t>
      </w:r>
    </w:p>
    <w:p w14:paraId="43814DDD">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第五条 进度要求：</w:t>
      </w:r>
    </w:p>
    <w:p w14:paraId="767373EF">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1、乙方应按照招投标文件要求或按施工进度进行</w:t>
      </w:r>
    </w:p>
    <w:p w14:paraId="3A7ACD7B">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2、乙方交付的材料应当完全符合招投标文件或者本合同所规定的材料、数量和规格要求。</w:t>
      </w:r>
    </w:p>
    <w:p w14:paraId="23E8A1B4">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第六条 供货期限、质量标准</w:t>
      </w:r>
    </w:p>
    <w:p w14:paraId="63403008">
      <w:pPr>
        <w:pStyle w:val="24"/>
        <w:rPr>
          <w:rFonts w:hint="eastAsia" w:ascii="宋体" w:hAnsi="宋体" w:eastAsia="宋体" w:cs="宋体"/>
          <w:color w:val="auto"/>
          <w:sz w:val="24"/>
          <w:szCs w:val="24"/>
          <w:highlight w:val="none"/>
          <w:lang w:eastAsia="zh-CN"/>
        </w:rPr>
      </w:pPr>
      <w:r>
        <w:rPr>
          <w:rFonts w:hint="eastAsia" w:ascii="宋体" w:hAnsi="宋体" w:eastAsia="宋体" w:cs="宋体"/>
          <w:color w:val="auto"/>
          <w:kern w:val="2"/>
          <w:sz w:val="24"/>
          <w:szCs w:val="24"/>
          <w:highlight w:val="none"/>
          <w:lang w:eastAsia="zh-CN"/>
        </w:rPr>
        <w:t xml:space="preserve">    以乙方投标承诺为准。</w:t>
      </w:r>
    </w:p>
    <w:p w14:paraId="50F5F63D">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第七条 付款时间及方式 </w:t>
      </w:r>
    </w:p>
    <w:p w14:paraId="2C393CA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付款前乙方应提交以下资料：乙方出具的发票；</w:t>
      </w:r>
    </w:p>
    <w:p w14:paraId="47A0A162">
      <w:pPr>
        <w:spacing w:line="400" w:lineRule="exact"/>
        <w:ind w:firstLine="480" w:firstLineChars="200"/>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付款时间、方式：</w:t>
      </w:r>
    </w:p>
    <w:p w14:paraId="098230AE">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合同</w:t>
      </w:r>
      <w:r>
        <w:rPr>
          <w:rFonts w:hint="eastAsia" w:ascii="宋体" w:hAnsi="宋体" w:eastAsia="宋体" w:cs="宋体"/>
          <w:color w:val="auto"/>
          <w:kern w:val="2"/>
          <w:sz w:val="24"/>
          <w:szCs w:val="24"/>
          <w:highlight w:val="none"/>
          <w:lang w:val="en-US" w:eastAsia="zh-CN"/>
        </w:rPr>
        <w:t>签订生效且项目具备实施条件后7个工作日内</w:t>
      </w:r>
      <w:r>
        <w:rPr>
          <w:rFonts w:hint="eastAsia" w:ascii="宋体" w:hAnsi="宋体" w:eastAsia="宋体" w:cs="宋体"/>
          <w:color w:val="auto"/>
          <w:kern w:val="2"/>
          <w:sz w:val="24"/>
          <w:szCs w:val="24"/>
          <w:highlight w:val="none"/>
          <w:lang w:eastAsia="zh-CN"/>
        </w:rPr>
        <w:t>日内支付合同价</w:t>
      </w: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lang w:eastAsia="zh-CN"/>
        </w:rPr>
        <w:t>0%的货款；</w:t>
      </w:r>
    </w:p>
    <w:p w14:paraId="7EEAC638">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安装调试</w:t>
      </w:r>
      <w:r>
        <w:rPr>
          <w:rFonts w:hint="eastAsia" w:ascii="宋体" w:hAnsi="宋体" w:eastAsia="宋体" w:cs="宋体"/>
          <w:color w:val="auto"/>
          <w:kern w:val="2"/>
          <w:sz w:val="24"/>
          <w:szCs w:val="24"/>
          <w:highlight w:val="none"/>
          <w:lang w:val="en-US" w:eastAsia="zh-CN"/>
        </w:rPr>
        <w:t>完毕、</w:t>
      </w:r>
      <w:r>
        <w:rPr>
          <w:rFonts w:hint="eastAsia" w:ascii="宋体" w:hAnsi="宋体" w:cs="宋体"/>
          <w:color w:val="auto"/>
          <w:kern w:val="2"/>
          <w:sz w:val="24"/>
          <w:szCs w:val="24"/>
          <w:highlight w:val="none"/>
          <w:lang w:val="en-US" w:eastAsia="zh-CN"/>
        </w:rPr>
        <w:t>初步</w:t>
      </w:r>
      <w:r>
        <w:rPr>
          <w:rFonts w:hint="eastAsia" w:ascii="宋体" w:hAnsi="宋体" w:eastAsia="宋体" w:cs="宋体"/>
          <w:color w:val="auto"/>
          <w:kern w:val="2"/>
          <w:sz w:val="24"/>
          <w:szCs w:val="24"/>
          <w:highlight w:val="none"/>
          <w:lang w:eastAsia="zh-CN"/>
        </w:rPr>
        <w:t>验收合格后，支付至</w:t>
      </w:r>
      <w:r>
        <w:rPr>
          <w:rFonts w:hint="eastAsia" w:ascii="宋体" w:hAnsi="宋体" w:eastAsia="宋体" w:cs="宋体"/>
          <w:color w:val="auto"/>
          <w:kern w:val="2"/>
          <w:sz w:val="24"/>
          <w:szCs w:val="24"/>
          <w:highlight w:val="none"/>
          <w:lang w:val="en-US" w:eastAsia="zh-CN"/>
        </w:rPr>
        <w:t>货款</w:t>
      </w:r>
      <w:r>
        <w:rPr>
          <w:rFonts w:hint="eastAsia" w:ascii="宋体" w:hAnsi="宋体" w:eastAsia="宋体" w:cs="宋体"/>
          <w:color w:val="auto"/>
          <w:kern w:val="2"/>
          <w:sz w:val="24"/>
          <w:szCs w:val="24"/>
          <w:highlight w:val="none"/>
          <w:lang w:eastAsia="zh-CN"/>
        </w:rPr>
        <w:t>的</w:t>
      </w:r>
      <w:r>
        <w:rPr>
          <w:rFonts w:hint="eastAsia" w:ascii="宋体" w:hAnsi="宋体" w:cs="宋体"/>
          <w:color w:val="0000FF"/>
          <w:kern w:val="2"/>
          <w:sz w:val="24"/>
          <w:szCs w:val="24"/>
          <w:highlight w:val="none"/>
          <w:lang w:val="en-US" w:eastAsia="zh-CN"/>
        </w:rPr>
        <w:t>95</w:t>
      </w:r>
      <w:r>
        <w:rPr>
          <w:rFonts w:hint="eastAsia" w:ascii="宋体" w:hAnsi="宋体" w:eastAsia="宋体" w:cs="宋体"/>
          <w:color w:val="0000FF"/>
          <w:kern w:val="2"/>
          <w:sz w:val="24"/>
          <w:szCs w:val="24"/>
          <w:highlight w:val="none"/>
          <w:lang w:eastAsia="zh-CN"/>
        </w:rPr>
        <w:t>%。</w:t>
      </w:r>
    </w:p>
    <w:p w14:paraId="1B79A853">
      <w:pPr>
        <w:pStyle w:val="2"/>
        <w:rPr>
          <w:rFonts w:hint="default"/>
          <w:color w:val="auto"/>
          <w:highlight w:val="none"/>
          <w:lang w:val="en-US" w:eastAsia="zh-CN"/>
        </w:rPr>
      </w:pPr>
      <w:r>
        <w:rPr>
          <w:rFonts w:hint="eastAsia" w:ascii="宋体" w:hAnsi="宋体" w:eastAsia="宋体" w:cs="宋体"/>
          <w:color w:val="auto"/>
          <w:kern w:val="2"/>
          <w:sz w:val="24"/>
          <w:szCs w:val="24"/>
          <w:highlight w:val="none"/>
          <w:lang w:val="en-US" w:eastAsia="zh-CN"/>
        </w:rPr>
        <w:t xml:space="preserve">    3、试运行满一年后终验合格后结清余款。</w:t>
      </w:r>
    </w:p>
    <w:p w14:paraId="60097F9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第八条 成品保护</w:t>
      </w:r>
    </w:p>
    <w:p w14:paraId="2EBB1C1D">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在安装完毕验收前要认真做好成品保护。因失窃或失火造成的损失由中标人负责，凡由此而损及总承包单位或招标人利益时，由中标人赔偿。</w:t>
      </w:r>
    </w:p>
    <w:p w14:paraId="40AEFC8A">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第九条 保修约定</w:t>
      </w:r>
    </w:p>
    <w:p w14:paraId="0417672A">
      <w:pPr>
        <w:pBdr>
          <w:top w:val="none" w:color="auto" w:sz="0" w:space="0"/>
          <w:left w:val="none" w:color="auto" w:sz="0" w:space="0"/>
          <w:bottom w:val="none" w:color="auto" w:sz="0" w:space="0"/>
          <w:right w:val="none" w:color="auto" w:sz="0" w:space="0"/>
        </w:pBdr>
        <w:spacing w:line="400" w:lineRule="exact"/>
        <w:ind w:firstLine="360" w:firstLineChars="1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1</w:t>
      </w:r>
      <w:r>
        <w:rPr>
          <w:rFonts w:hint="eastAsia" w:ascii="宋体" w:hAnsi="宋体" w:eastAsia="宋体" w:cs="宋体"/>
          <w:color w:val="auto"/>
          <w:kern w:val="2"/>
          <w:sz w:val="24"/>
          <w:szCs w:val="24"/>
          <w:highlight w:val="none"/>
          <w:lang w:eastAsia="zh-CN"/>
        </w:rPr>
        <w:t>、乙方对系统中的货物（包括系统）提供</w:t>
      </w:r>
      <w:r>
        <w:rPr>
          <w:rFonts w:hint="eastAsia" w:ascii="宋体" w:hAnsi="宋体" w:cs="宋体"/>
          <w:color w:val="auto"/>
          <w:kern w:val="2"/>
          <w:sz w:val="24"/>
          <w:szCs w:val="24"/>
          <w:highlight w:val="none"/>
          <w:lang w:val="en-US" w:eastAsia="zh-CN"/>
        </w:rPr>
        <w:t>至少</w:t>
      </w:r>
      <w:r>
        <w:rPr>
          <w:rFonts w:hint="eastAsia" w:ascii="宋体" w:hAnsi="宋体" w:eastAsia="宋体" w:cs="宋体"/>
          <w:color w:val="auto"/>
          <w:kern w:val="2"/>
          <w:sz w:val="24"/>
          <w:szCs w:val="24"/>
          <w:highlight w:val="none"/>
          <w:lang w:val="en-US" w:eastAsia="zh-CN"/>
        </w:rPr>
        <w:t>5年</w:t>
      </w:r>
      <w:r>
        <w:rPr>
          <w:rFonts w:hint="eastAsia" w:ascii="宋体" w:hAnsi="宋体" w:eastAsia="宋体" w:cs="宋体"/>
          <w:color w:val="auto"/>
          <w:kern w:val="2"/>
          <w:sz w:val="24"/>
          <w:szCs w:val="24"/>
          <w:highlight w:val="none"/>
          <w:lang w:eastAsia="zh-CN"/>
        </w:rPr>
        <w:t>免费质保</w:t>
      </w:r>
      <w:r>
        <w:rPr>
          <w:rFonts w:hint="eastAsia" w:ascii="宋体" w:hAnsi="宋体" w:cs="宋体"/>
          <w:color w:val="0000FF"/>
          <w:kern w:val="2"/>
          <w:sz w:val="24"/>
          <w:szCs w:val="24"/>
          <w:highlight w:val="none"/>
          <w:lang w:eastAsia="zh-CN"/>
        </w:rPr>
        <w:t>（</w:t>
      </w:r>
      <w:r>
        <w:rPr>
          <w:rFonts w:hint="eastAsia" w:ascii="宋体" w:hAnsi="宋体" w:cs="宋体"/>
          <w:color w:val="0000FF"/>
          <w:kern w:val="2"/>
          <w:sz w:val="24"/>
          <w:szCs w:val="24"/>
          <w:highlight w:val="none"/>
          <w:lang w:val="en-US" w:eastAsia="zh-CN"/>
        </w:rPr>
        <w:t>自</w:t>
      </w:r>
      <w:r>
        <w:rPr>
          <w:rFonts w:hint="eastAsia" w:ascii="宋体" w:hAnsi="宋体" w:cs="宋体"/>
          <w:color w:val="0000FF"/>
          <w:kern w:val="2"/>
          <w:sz w:val="24"/>
          <w:szCs w:val="24"/>
          <w:highlight w:val="none"/>
          <w:lang w:eastAsia="zh-CN"/>
        </w:rPr>
        <w:t>终验完成之日起）</w:t>
      </w:r>
      <w:r>
        <w:rPr>
          <w:rFonts w:hint="eastAsia" w:ascii="宋体" w:hAnsi="宋体" w:eastAsia="宋体" w:cs="宋体"/>
          <w:color w:val="auto"/>
          <w:kern w:val="2"/>
          <w:sz w:val="24"/>
          <w:szCs w:val="24"/>
          <w:highlight w:val="none"/>
          <w:lang w:eastAsia="zh-CN"/>
        </w:rPr>
        <w:t>，免费质保期时间从验收之日起计算。质保期内非因甲方的人为原因而出现货物的质量问题，由乙方负责包修、包换、包退，并承担修理的实际费用。</w:t>
      </w:r>
    </w:p>
    <w:p w14:paraId="691EB21A">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val="en-US" w:eastAsia="zh-CN"/>
        </w:rPr>
        <w:t>2</w:t>
      </w:r>
      <w:r>
        <w:rPr>
          <w:rFonts w:hint="eastAsia" w:ascii="宋体" w:hAnsi="宋体" w:eastAsia="宋体" w:cs="宋体"/>
          <w:color w:val="auto"/>
          <w:kern w:val="2"/>
          <w:sz w:val="24"/>
          <w:szCs w:val="24"/>
          <w:highlight w:val="none"/>
          <w:lang w:eastAsia="zh-CN"/>
        </w:rPr>
        <w:t>、乙方提供24小时即时响应服务，对甲方的服务请求信息在4小时内响应到位。</w:t>
      </w:r>
    </w:p>
    <w:p w14:paraId="0574C24E">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第十条 违约责任</w:t>
      </w:r>
    </w:p>
    <w:p w14:paraId="055A9919">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（1）甲方无正当理由拒收货物、拒绝出具验收报告的，甲方向乙方偿付货款总值的30%违约金。</w:t>
      </w:r>
    </w:p>
    <w:p w14:paraId="6F5F9CBE">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（2）乙方所交的货物品种、型号、质量不符合合同规定标准的，甲方有权拒收货物；或者乙方在中标后不能交货；上述情况之一者，乙方均向甲方偿付货款总值30%的违约金。</w:t>
      </w:r>
    </w:p>
    <w:p w14:paraId="11341177">
      <w:pPr>
        <w:pBdr>
          <w:top w:val="none" w:color="auto" w:sz="0" w:space="0"/>
          <w:left w:val="none" w:color="auto" w:sz="0" w:space="0"/>
          <w:bottom w:val="none" w:color="auto" w:sz="0" w:space="0"/>
          <w:right w:val="none" w:color="auto" w:sz="0" w:space="0"/>
        </w:pBdr>
        <w:spacing w:line="34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（3）乙方逾期未交付货物的，乙方向甲方每日偿付货款总额0.5‰的违约金。</w:t>
      </w:r>
    </w:p>
    <w:p w14:paraId="4645C13F">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第十一条 不可抗力 </w:t>
      </w:r>
    </w:p>
    <w:p w14:paraId="5608762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14:paraId="0C633B0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第十二条 争议解决方式</w:t>
      </w:r>
    </w:p>
    <w:p w14:paraId="293CE136">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1、因材料的质量问题发生争议的，应当请国家认可的质量检测机构对质量进行鉴定。符合标准的，鉴定费由甲方承担；不符合质量标准的，鉴定费由乙方承担，并按本合同第九条规定处理。</w:t>
      </w:r>
    </w:p>
    <w:p w14:paraId="4C2F1394">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双方如发生争议，应协商解决；如协商不成，经人民法院提出诉讼方式解决。</w:t>
      </w:r>
    </w:p>
    <w:p w14:paraId="6B2C3285">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第十三条 合同生效、终止及其他</w:t>
      </w:r>
    </w:p>
    <w:p w14:paraId="4C1E1E42">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合同自双方签字并盖章后生效，双方权利义务履行完毕后，合同终止。 合同一式</w:t>
      </w:r>
      <w:r>
        <w:rPr>
          <w:rFonts w:hint="eastAsia" w:ascii="宋体" w:hAnsi="宋体" w:cs="宋体"/>
          <w:color w:val="auto"/>
          <w:kern w:val="2"/>
          <w:sz w:val="24"/>
          <w:szCs w:val="24"/>
          <w:highlight w:val="none"/>
          <w:lang w:val="en-US" w:eastAsia="zh-CN"/>
        </w:rPr>
        <w:t>肆</w:t>
      </w:r>
      <w:r>
        <w:rPr>
          <w:rFonts w:hint="eastAsia" w:ascii="宋体" w:hAnsi="宋体" w:eastAsia="宋体" w:cs="宋体"/>
          <w:color w:val="auto"/>
          <w:kern w:val="2"/>
          <w:sz w:val="24"/>
          <w:szCs w:val="24"/>
          <w:highlight w:val="none"/>
          <w:lang w:eastAsia="zh-CN"/>
        </w:rPr>
        <w:t>份，双方各</w:t>
      </w:r>
      <w:r>
        <w:rPr>
          <w:rFonts w:hint="eastAsia" w:ascii="宋体" w:hAnsi="宋体" w:cs="宋体"/>
          <w:color w:val="auto"/>
          <w:kern w:val="2"/>
          <w:sz w:val="24"/>
          <w:szCs w:val="24"/>
          <w:highlight w:val="none"/>
          <w:lang w:val="en-US" w:eastAsia="zh-CN"/>
        </w:rPr>
        <w:t>贰</w:t>
      </w:r>
      <w:r>
        <w:rPr>
          <w:rFonts w:hint="eastAsia" w:ascii="宋体" w:hAnsi="宋体" w:eastAsia="宋体" w:cs="宋体"/>
          <w:color w:val="auto"/>
          <w:kern w:val="2"/>
          <w:sz w:val="24"/>
          <w:szCs w:val="24"/>
          <w:highlight w:val="none"/>
          <w:lang w:eastAsia="zh-CN"/>
        </w:rPr>
        <w:t>份，具有同等法律效力。</w:t>
      </w:r>
    </w:p>
    <w:p w14:paraId="24D91FE0">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未尽事宜，双方协商解决；合同的变更及修改须经双方同意，以书面形式变更。</w:t>
      </w:r>
    </w:p>
    <w:p w14:paraId="18D499A3">
      <w:pPr>
        <w:pBdr>
          <w:top w:val="none" w:color="auto" w:sz="0" w:space="0"/>
          <w:left w:val="none" w:color="auto" w:sz="0" w:space="0"/>
          <w:bottom w:val="none" w:color="auto" w:sz="0" w:space="0"/>
          <w:right w:val="none" w:color="auto" w:sz="0" w:space="0"/>
        </w:pBdr>
        <w:spacing w:line="400" w:lineRule="exact"/>
        <w:jc w:val="left"/>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第十四条 补充条款</w:t>
      </w:r>
    </w:p>
    <w:p w14:paraId="71AC896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p>
    <w:p w14:paraId="06F53B66">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p>
    <w:p w14:paraId="7698FAB3">
      <w:pPr>
        <w:pBdr>
          <w:top w:val="none" w:color="auto" w:sz="0" w:space="0"/>
          <w:left w:val="none" w:color="auto" w:sz="0" w:space="0"/>
          <w:bottom w:val="none" w:color="auto" w:sz="0" w:space="0"/>
          <w:right w:val="none" w:color="auto" w:sz="0" w:space="0"/>
        </w:pBdr>
        <w:spacing w:line="400" w:lineRule="exact"/>
        <w:jc w:val="both"/>
        <w:rPr>
          <w:rFonts w:hint="eastAsia" w:ascii="宋体" w:hAnsi="宋体" w:eastAsia="宋体" w:cs="宋体"/>
          <w:color w:val="auto"/>
          <w:kern w:val="2"/>
          <w:sz w:val="24"/>
          <w:szCs w:val="24"/>
          <w:highlight w:val="none"/>
          <w:lang w:eastAsia="zh-CN"/>
        </w:rPr>
      </w:pPr>
    </w:p>
    <w:p w14:paraId="2CB78823">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甲方：（盖章）                                  乙方：（盖章）              </w:t>
      </w:r>
    </w:p>
    <w:p w14:paraId="6715FA80">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法人代表：                                      法人代表：               </w:t>
      </w:r>
    </w:p>
    <w:p w14:paraId="486188E6">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代 理 人：                                      代 理 人：                </w:t>
      </w:r>
    </w:p>
    <w:p w14:paraId="50E052CD">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地    址：                                      地    址：                </w:t>
      </w:r>
    </w:p>
    <w:p w14:paraId="269FC859">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开户银行：                                      开户银行：                </w:t>
      </w:r>
    </w:p>
    <w:p w14:paraId="447CEA24">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帐    号：                                      帐    号：                </w:t>
      </w:r>
    </w:p>
    <w:p w14:paraId="422755BF">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电    话：                                      电    话：                </w:t>
      </w:r>
    </w:p>
    <w:p w14:paraId="6370D405">
      <w:pPr>
        <w:pBdr>
          <w:top w:val="none" w:color="auto" w:sz="0" w:space="0"/>
          <w:left w:val="none" w:color="auto" w:sz="0" w:space="0"/>
          <w:bottom w:val="none" w:color="auto" w:sz="0" w:space="0"/>
          <w:right w:val="none" w:color="auto" w:sz="0" w:space="0"/>
        </w:pBdr>
        <w:spacing w:line="400" w:lineRule="exact"/>
        <w:ind w:firstLine="120" w:firstLineChars="50"/>
        <w:jc w:val="both"/>
        <w:rPr>
          <w:rFonts w:hint="eastAsia" w:ascii="宋体" w:hAnsi="宋体" w:eastAsia="宋体" w:cs="宋体"/>
          <w:color w:val="auto"/>
          <w:kern w:val="2"/>
          <w:sz w:val="24"/>
          <w:szCs w:val="24"/>
          <w:highlight w:val="none"/>
          <w:lang w:eastAsia="zh-CN"/>
        </w:rPr>
      </w:pPr>
      <w:r>
        <w:rPr>
          <w:rFonts w:hint="eastAsia" w:ascii="宋体" w:hAnsi="宋体" w:eastAsia="宋体" w:cs="宋体"/>
          <w:color w:val="auto"/>
          <w:kern w:val="2"/>
          <w:sz w:val="24"/>
          <w:szCs w:val="24"/>
          <w:highlight w:val="none"/>
          <w:lang w:eastAsia="zh-CN"/>
        </w:rPr>
        <w:t xml:space="preserve">电子邮箱：                                      电子邮箱：                </w:t>
      </w:r>
    </w:p>
    <w:p w14:paraId="7460C77F">
      <w:pPr>
        <w:pStyle w:val="34"/>
        <w:tabs>
          <w:tab w:val="left" w:pos="2472"/>
        </w:tabs>
        <w:snapToGrid w:val="0"/>
        <w:spacing w:before="0" w:beforeLines="0" w:after="0" w:afterLines="0" w:line="240" w:lineRule="auto"/>
        <w:ind w:firstLine="480" w:firstLineChars="200"/>
        <w:jc w:val="both"/>
        <w:rPr>
          <w:rFonts w:hint="eastAsia" w:ascii="宋体" w:hAnsi="宋体" w:eastAsia="宋体" w:cs="宋体"/>
          <w:color w:val="auto"/>
          <w:sz w:val="24"/>
          <w:szCs w:val="24"/>
          <w:highlight w:val="none"/>
        </w:rPr>
      </w:pPr>
      <w:r>
        <w:rPr>
          <w:rFonts w:hint="eastAsia" w:ascii="宋体" w:hAnsi="宋体" w:eastAsia="宋体" w:cs="宋体"/>
          <w:color w:val="auto"/>
          <w:kern w:val="2"/>
          <w:sz w:val="24"/>
          <w:szCs w:val="24"/>
          <w:highlight w:val="none"/>
          <w:lang w:eastAsia="zh-CN"/>
        </w:rPr>
        <w:t>年  月  日                                      年  月  日</w:t>
      </w:r>
    </w:p>
    <w:p w14:paraId="621439A7">
      <w:pPr>
        <w:pStyle w:val="34"/>
        <w:tabs>
          <w:tab w:val="left" w:pos="2472"/>
        </w:tabs>
        <w:snapToGrid w:val="0"/>
        <w:jc w:val="center"/>
        <w:rPr>
          <w:rFonts w:hAnsi="宋体" w:cs="宋体"/>
          <w:color w:val="auto"/>
          <w:highlight w:val="none"/>
        </w:rPr>
      </w:pPr>
    </w:p>
    <w:p w14:paraId="1A400082">
      <w:pPr>
        <w:spacing w:before="0" w:after="0" w:line="240" w:lineRule="auto"/>
        <w:ind w:firstLine="560" w:firstLineChars="200"/>
        <w:jc w:val="both"/>
        <w:outlineLvl w:val="9"/>
        <w:rPr>
          <w:rFonts w:hint="eastAsia" w:ascii="仿宋_GB2312" w:hAnsi="仿宋_GB2312" w:eastAsia="仿宋_GB2312" w:cs="仿宋_GB2312"/>
          <w:b w:val="0"/>
          <w:bCs w:val="0"/>
          <w:color w:val="auto"/>
          <w:kern w:val="2"/>
          <w:sz w:val="28"/>
          <w:szCs w:val="28"/>
          <w:highlight w:val="none"/>
          <w:lang w:val="en-US" w:eastAsia="zh-CN"/>
        </w:rPr>
      </w:pPr>
    </w:p>
    <w:p w14:paraId="7A71146E">
      <w:pPr>
        <w:spacing w:line="400" w:lineRule="exact"/>
        <w:ind w:firstLine="480" w:firstLineChars="200"/>
        <w:rPr>
          <w:rFonts w:hint="eastAsia" w:ascii="宋体" w:hAnsi="宋体" w:eastAsia="仿宋_GB2312"/>
          <w:color w:val="auto"/>
          <w:sz w:val="24"/>
          <w:szCs w:val="24"/>
          <w:highlight w:val="none"/>
          <w:lang w:eastAsia="zh-CN"/>
        </w:rPr>
      </w:pPr>
    </w:p>
    <w:p w14:paraId="6B2CEEA4">
      <w:pPr>
        <w:spacing w:line="400" w:lineRule="exact"/>
        <w:ind w:firstLine="480" w:firstLineChars="200"/>
        <w:rPr>
          <w:rFonts w:hint="eastAsia" w:ascii="宋体" w:hAnsi="宋体" w:eastAsia="仿宋_GB2312"/>
          <w:color w:val="auto"/>
          <w:sz w:val="24"/>
          <w:szCs w:val="24"/>
          <w:highlight w:val="none"/>
          <w:lang w:eastAsia="zh-CN"/>
        </w:rPr>
      </w:pPr>
    </w:p>
    <w:p w14:paraId="7894DEFE">
      <w:pPr>
        <w:spacing w:line="400" w:lineRule="exact"/>
        <w:ind w:firstLine="480" w:firstLineChars="200"/>
        <w:rPr>
          <w:rFonts w:hint="eastAsia" w:ascii="宋体" w:hAnsi="宋体" w:eastAsia="仿宋_GB2312"/>
          <w:color w:val="auto"/>
          <w:sz w:val="24"/>
          <w:szCs w:val="24"/>
          <w:highlight w:val="none"/>
          <w:lang w:eastAsia="zh-CN"/>
        </w:rPr>
      </w:pPr>
    </w:p>
    <w:p w14:paraId="16EB7A9A">
      <w:pPr>
        <w:spacing w:line="400" w:lineRule="exact"/>
        <w:ind w:firstLine="480" w:firstLineChars="200"/>
        <w:rPr>
          <w:rFonts w:hint="eastAsia" w:ascii="宋体" w:hAnsi="宋体" w:eastAsia="仿宋_GB2312"/>
          <w:color w:val="auto"/>
          <w:sz w:val="24"/>
          <w:szCs w:val="24"/>
          <w:highlight w:val="none"/>
          <w:lang w:eastAsia="zh-CN"/>
        </w:rPr>
      </w:pPr>
    </w:p>
    <w:p w14:paraId="06671C1C">
      <w:pPr>
        <w:spacing w:line="400" w:lineRule="exact"/>
        <w:ind w:firstLine="480" w:firstLineChars="200"/>
        <w:rPr>
          <w:rFonts w:hint="eastAsia" w:ascii="宋体" w:hAnsi="宋体" w:eastAsia="仿宋_GB2312"/>
          <w:color w:val="auto"/>
          <w:sz w:val="24"/>
          <w:szCs w:val="24"/>
          <w:highlight w:val="none"/>
          <w:lang w:eastAsia="zh-CN"/>
        </w:rPr>
      </w:pPr>
    </w:p>
    <w:p w14:paraId="00059CA2">
      <w:pPr>
        <w:spacing w:line="400" w:lineRule="exact"/>
        <w:ind w:firstLine="480" w:firstLineChars="200"/>
        <w:rPr>
          <w:rFonts w:hint="eastAsia" w:ascii="宋体" w:hAnsi="宋体" w:eastAsia="仿宋_GB2312"/>
          <w:color w:val="auto"/>
          <w:sz w:val="24"/>
          <w:szCs w:val="24"/>
          <w:highlight w:val="none"/>
          <w:lang w:eastAsia="zh-CN"/>
        </w:rPr>
      </w:pPr>
    </w:p>
    <w:p w14:paraId="4191BE06">
      <w:pPr>
        <w:pStyle w:val="63"/>
        <w:rPr>
          <w:rFonts w:hint="eastAsia" w:ascii="宋体" w:hAnsi="宋体" w:eastAsia="仿宋_GB2312"/>
          <w:color w:val="auto"/>
          <w:sz w:val="24"/>
          <w:szCs w:val="24"/>
          <w:highlight w:val="none"/>
          <w:lang w:eastAsia="zh-CN"/>
        </w:rPr>
      </w:pPr>
    </w:p>
    <w:p w14:paraId="1A38C936">
      <w:pPr>
        <w:rPr>
          <w:rFonts w:hint="eastAsia" w:ascii="宋体" w:hAnsi="宋体" w:eastAsia="仿宋_GB2312"/>
          <w:color w:val="auto"/>
          <w:sz w:val="24"/>
          <w:szCs w:val="24"/>
          <w:highlight w:val="none"/>
          <w:lang w:eastAsia="zh-CN"/>
        </w:rPr>
      </w:pPr>
    </w:p>
    <w:p w14:paraId="3D05D23F">
      <w:pPr>
        <w:rPr>
          <w:rFonts w:hint="eastAsia" w:ascii="宋体" w:hAnsi="宋体" w:eastAsia="仿宋_GB2312"/>
          <w:color w:val="auto"/>
          <w:sz w:val="24"/>
          <w:szCs w:val="24"/>
          <w:highlight w:val="none"/>
          <w:lang w:eastAsia="zh-CN"/>
        </w:rPr>
      </w:pPr>
    </w:p>
    <w:p w14:paraId="243667F2">
      <w:pPr>
        <w:rPr>
          <w:rFonts w:hint="eastAsia" w:ascii="宋体" w:hAnsi="宋体" w:eastAsia="仿宋_GB2312"/>
          <w:color w:val="auto"/>
          <w:sz w:val="24"/>
          <w:szCs w:val="24"/>
          <w:highlight w:val="none"/>
          <w:lang w:eastAsia="zh-CN"/>
        </w:rPr>
      </w:pPr>
    </w:p>
    <w:p w14:paraId="3071A279">
      <w:pPr>
        <w:rPr>
          <w:rFonts w:hint="eastAsia" w:ascii="宋体" w:hAnsi="宋体" w:eastAsia="仿宋_GB2312"/>
          <w:color w:val="auto"/>
          <w:sz w:val="24"/>
          <w:szCs w:val="24"/>
          <w:highlight w:val="none"/>
          <w:lang w:eastAsia="zh-CN"/>
        </w:rPr>
      </w:pPr>
    </w:p>
    <w:p w14:paraId="237E2500">
      <w:pPr>
        <w:pStyle w:val="24"/>
        <w:rPr>
          <w:rFonts w:hint="eastAsia" w:ascii="宋体" w:hAnsi="宋体" w:eastAsia="仿宋_GB2312"/>
          <w:color w:val="auto"/>
          <w:sz w:val="24"/>
          <w:szCs w:val="24"/>
          <w:highlight w:val="none"/>
          <w:lang w:eastAsia="zh-CN"/>
        </w:rPr>
      </w:pPr>
    </w:p>
    <w:p w14:paraId="7B9216A3">
      <w:pPr>
        <w:pStyle w:val="25"/>
        <w:rPr>
          <w:rFonts w:hint="eastAsia" w:ascii="宋体" w:hAnsi="宋体" w:eastAsia="仿宋_GB2312"/>
          <w:color w:val="auto"/>
          <w:sz w:val="24"/>
          <w:szCs w:val="24"/>
          <w:highlight w:val="none"/>
          <w:lang w:eastAsia="zh-CN"/>
        </w:rPr>
      </w:pPr>
    </w:p>
    <w:p w14:paraId="305704D9">
      <w:pPr>
        <w:rPr>
          <w:rFonts w:hint="eastAsia" w:ascii="宋体" w:hAnsi="宋体" w:eastAsia="仿宋_GB2312"/>
          <w:color w:val="auto"/>
          <w:sz w:val="24"/>
          <w:szCs w:val="24"/>
          <w:highlight w:val="none"/>
          <w:lang w:eastAsia="zh-CN"/>
        </w:rPr>
      </w:pPr>
    </w:p>
    <w:p w14:paraId="568540A4">
      <w:pPr>
        <w:pStyle w:val="24"/>
        <w:rPr>
          <w:rFonts w:hint="eastAsia"/>
          <w:color w:val="auto"/>
          <w:highlight w:val="none"/>
          <w:lang w:eastAsia="zh-CN"/>
        </w:rPr>
      </w:pPr>
    </w:p>
    <w:p w14:paraId="212982D6">
      <w:pPr>
        <w:pStyle w:val="63"/>
        <w:rPr>
          <w:rFonts w:hint="eastAsia" w:ascii="宋体" w:hAnsi="宋体" w:eastAsia="仿宋_GB2312"/>
          <w:color w:val="auto"/>
          <w:sz w:val="24"/>
          <w:szCs w:val="24"/>
          <w:highlight w:val="none"/>
          <w:lang w:eastAsia="zh-CN"/>
        </w:rPr>
      </w:pPr>
    </w:p>
    <w:p w14:paraId="65E1C64F">
      <w:pPr>
        <w:rPr>
          <w:rFonts w:hint="eastAsia" w:ascii="宋体" w:hAnsi="宋体" w:eastAsia="仿宋_GB2312"/>
          <w:color w:val="auto"/>
          <w:sz w:val="24"/>
          <w:szCs w:val="24"/>
          <w:highlight w:val="none"/>
          <w:lang w:eastAsia="zh-CN"/>
        </w:rPr>
      </w:pPr>
    </w:p>
    <w:p w14:paraId="038D81BE">
      <w:pPr>
        <w:rPr>
          <w:rFonts w:hint="eastAsia" w:ascii="宋体" w:hAnsi="宋体" w:eastAsia="仿宋_GB2312"/>
          <w:color w:val="auto"/>
          <w:sz w:val="24"/>
          <w:szCs w:val="24"/>
          <w:highlight w:val="none"/>
          <w:lang w:eastAsia="zh-CN"/>
        </w:rPr>
      </w:pPr>
    </w:p>
    <w:p w14:paraId="52DA7147">
      <w:pPr>
        <w:pStyle w:val="24"/>
        <w:rPr>
          <w:rFonts w:hint="eastAsia" w:ascii="宋体" w:hAnsi="宋体" w:eastAsia="仿宋_GB2312"/>
          <w:color w:val="auto"/>
          <w:sz w:val="24"/>
          <w:szCs w:val="24"/>
          <w:highlight w:val="none"/>
          <w:lang w:eastAsia="zh-CN"/>
        </w:rPr>
      </w:pPr>
    </w:p>
    <w:p w14:paraId="0D5A0A2E">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评标方法及标准</w:t>
      </w:r>
    </w:p>
    <w:p w14:paraId="4DB2A824">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1、评标方法：</w:t>
      </w:r>
    </w:p>
    <w:p w14:paraId="14C54E38">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本次评标采用综合评分法，评标结果按评审后得分由高到低顺序排列。得分相同的，按投标报价由低到高顺序排列。得分且投标报价相同的并列。投标文件满足招标文件全部实质性要求，且按照评审因素的量化指标评审得分最高的投标人为中标候选人。中标候选人并列的，采用随机抽取的方式确定。</w:t>
      </w:r>
    </w:p>
    <w:p w14:paraId="19F7162B">
      <w:pPr>
        <w:keepNext w:val="0"/>
        <w:keepLines w:val="0"/>
        <w:pageBreakBefore w:val="0"/>
        <w:widowControl w:val="0"/>
        <w:kinsoku/>
        <w:wordWrap/>
        <w:overflowPunct/>
        <w:topLinePunct w:val="0"/>
        <w:autoSpaceDE/>
        <w:autoSpaceDN/>
        <w:bidi w:val="0"/>
        <w:adjustRightInd w:val="0"/>
        <w:snapToGrid/>
        <w:spacing w:line="440" w:lineRule="exact"/>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2.评分标准：</w:t>
      </w:r>
    </w:p>
    <w:p w14:paraId="035B815E">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70</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rPr>
        <w:t>分。评分依下述所列为评标打分依据，分值如下（计算分值时，按其算术平均值保留小数2位）。</w:t>
      </w:r>
    </w:p>
    <w:p w14:paraId="0B77D6CB">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70</w:t>
      </w:r>
      <w:r>
        <w:rPr>
          <w:rFonts w:hint="eastAsia" w:ascii="仿宋" w:hAnsi="仿宋" w:eastAsia="仿宋" w:cs="仿宋"/>
          <w:b/>
          <w:bCs/>
          <w:iCs/>
          <w:color w:val="auto"/>
          <w:sz w:val="24"/>
          <w:highlight w:val="none"/>
        </w:rPr>
        <w:t>分）</w:t>
      </w:r>
    </w:p>
    <w:tbl>
      <w:tblPr>
        <w:tblStyle w:val="64"/>
        <w:tblW w:w="9798" w:type="dxa"/>
        <w:jc w:val="center"/>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64"/>
        <w:gridCol w:w="1464"/>
        <w:gridCol w:w="6000"/>
        <w:gridCol w:w="870"/>
      </w:tblGrid>
      <w:tr w14:paraId="60A81EB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E5A72E4">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评分</w:t>
            </w:r>
          </w:p>
          <w:p w14:paraId="370BE6E3">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内容</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649F46">
            <w:pPr>
              <w:keepNext w:val="0"/>
              <w:keepLines w:val="0"/>
              <w:pageBreakBefore w:val="0"/>
              <w:kinsoku/>
              <w:wordWrap/>
              <w:overflowPunct/>
              <w:topLinePunct w:val="0"/>
              <w:autoSpaceDE w:val="0"/>
              <w:autoSpaceDN w:val="0"/>
              <w:bidi w:val="0"/>
              <w:adjustRightInd w:val="0"/>
              <w:spacing w:line="300" w:lineRule="exact"/>
              <w:ind w:firstLine="100" w:firstLineChars="50"/>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细则</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968CD70">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细则内容</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F301E3">
            <w:pPr>
              <w:keepNext w:val="0"/>
              <w:keepLines w:val="0"/>
              <w:pageBreakBefore w:val="0"/>
              <w:kinsoku/>
              <w:wordWrap/>
              <w:overflowPunct/>
              <w:topLinePunct w:val="0"/>
              <w:autoSpaceDE w:val="0"/>
              <w:autoSpaceDN w:val="0"/>
              <w:bidi w:val="0"/>
              <w:adjustRightIn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分值</w:t>
            </w:r>
          </w:p>
        </w:tc>
      </w:tr>
      <w:tr w14:paraId="5769198F">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76D78F5C">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技术</w:t>
            </w:r>
            <w:r>
              <w:rPr>
                <w:rFonts w:hint="eastAsia" w:ascii="微软雅黑" w:hAnsi="微软雅黑" w:eastAsia="微软雅黑" w:cs="微软雅黑"/>
                <w:color w:val="auto"/>
                <w:sz w:val="20"/>
                <w:szCs w:val="20"/>
                <w:highlight w:val="none"/>
                <w:lang w:val="en-US" w:eastAsia="zh-CN"/>
              </w:rPr>
              <w:t>参数配置</w:t>
            </w:r>
            <w:r>
              <w:rPr>
                <w:rFonts w:hint="eastAsia" w:ascii="微软雅黑" w:hAnsi="微软雅黑" w:eastAsia="微软雅黑" w:cs="微软雅黑"/>
                <w:color w:val="auto"/>
                <w:sz w:val="20"/>
                <w:szCs w:val="20"/>
                <w:highlight w:val="none"/>
              </w:rPr>
              <w:t>情况</w:t>
            </w:r>
          </w:p>
          <w:p w14:paraId="78C8827E">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w:t>
            </w:r>
            <w:r>
              <w:rPr>
                <w:rFonts w:hint="eastAsia" w:ascii="微软雅黑" w:hAnsi="微软雅黑" w:eastAsia="微软雅黑" w:cs="微软雅黑"/>
                <w:color w:val="auto"/>
                <w:sz w:val="20"/>
                <w:szCs w:val="20"/>
                <w:highlight w:val="none"/>
                <w:lang w:val="en-US" w:eastAsia="zh-CN"/>
              </w:rPr>
              <w:t>54</w:t>
            </w:r>
            <w:r>
              <w:rPr>
                <w:rFonts w:hint="eastAsia" w:ascii="微软雅黑" w:hAnsi="微软雅黑" w:eastAsia="微软雅黑" w:cs="微软雅黑"/>
                <w:color w:val="auto"/>
                <w:sz w:val="20"/>
                <w:szCs w:val="20"/>
                <w:highlight w:val="none"/>
              </w:rPr>
              <w:t>）分</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B7917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color w:val="auto"/>
                <w:sz w:val="20"/>
                <w:szCs w:val="20"/>
                <w:highlight w:val="none"/>
                <w:lang w:eastAsia="zh-CN"/>
              </w:rPr>
              <w:t>日志审计系统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66A72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技术参数全部满足招标文件要求的得</w:t>
            </w:r>
            <w:r>
              <w:rPr>
                <w:rFonts w:hint="eastAsia" w:ascii="微软雅黑" w:hAnsi="微软雅黑" w:eastAsia="微软雅黑" w:cs="微软雅黑"/>
                <w:color w:val="auto"/>
                <w:sz w:val="20"/>
                <w:szCs w:val="20"/>
                <w:highlight w:val="none"/>
                <w:lang w:val="en-US" w:eastAsia="zh-CN"/>
              </w:rPr>
              <w:t>4.5</w:t>
            </w:r>
            <w:r>
              <w:rPr>
                <w:rFonts w:hint="eastAsia" w:ascii="微软雅黑" w:hAnsi="微软雅黑" w:eastAsia="微软雅黑" w:cs="微软雅黑"/>
                <w:color w:val="auto"/>
                <w:sz w:val="20"/>
                <w:szCs w:val="20"/>
                <w:highlight w:val="none"/>
              </w:rPr>
              <w:t>分；</w:t>
            </w:r>
          </w:p>
          <w:p w14:paraId="0C2269E1">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b/>
                <w:bCs/>
                <w:color w:val="auto"/>
                <w:sz w:val="20"/>
                <w:szCs w:val="20"/>
                <w:highlight w:val="none"/>
                <w:lang w:eastAsia="zh-CN"/>
              </w:rPr>
              <w:t>正偏离加分：</w:t>
            </w:r>
          </w:p>
          <w:p w14:paraId="44CFFA38">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Cs/>
                <w:color w:val="auto"/>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1、</w:t>
            </w:r>
            <w:r>
              <w:rPr>
                <w:rFonts w:hint="eastAsia" w:ascii="微软雅黑" w:hAnsi="微软雅黑" w:eastAsia="微软雅黑" w:cs="微软雅黑"/>
                <w:color w:val="auto"/>
                <w:kern w:val="0"/>
                <w:sz w:val="20"/>
                <w:szCs w:val="20"/>
                <w:highlight w:val="none"/>
              </w:rPr>
              <w:t>CPU</w:t>
            </w:r>
            <w:r>
              <w:rPr>
                <w:rFonts w:hint="eastAsia" w:ascii="微软雅黑" w:hAnsi="微软雅黑" w:eastAsia="微软雅黑" w:cs="微软雅黑"/>
                <w:color w:val="auto"/>
                <w:kern w:val="0"/>
                <w:sz w:val="20"/>
                <w:szCs w:val="20"/>
                <w:highlight w:val="none"/>
                <w:lang w:eastAsia="zh-CN"/>
              </w:rPr>
              <w:t>物理核心</w:t>
            </w:r>
            <w:r>
              <w:rPr>
                <w:rFonts w:hint="eastAsia" w:ascii="微软雅黑" w:hAnsi="微软雅黑" w:eastAsia="微软雅黑" w:cs="微软雅黑"/>
                <w:bCs/>
                <w:color w:val="auto"/>
                <w:sz w:val="20"/>
                <w:szCs w:val="20"/>
                <w:highlight w:val="none"/>
                <w:lang w:eastAsia="zh-CN"/>
              </w:rPr>
              <w:t>数</w:t>
            </w:r>
            <w:r>
              <w:rPr>
                <w:rFonts w:hint="eastAsia" w:ascii="微软雅黑" w:hAnsi="微软雅黑" w:eastAsia="微软雅黑" w:cs="微软雅黑"/>
                <w:bCs/>
                <w:color w:val="auto"/>
                <w:sz w:val="20"/>
                <w:szCs w:val="20"/>
                <w:highlight w:val="none"/>
              </w:rPr>
              <w:t>≧</w:t>
            </w:r>
            <w:r>
              <w:rPr>
                <w:rFonts w:hint="eastAsia" w:ascii="微软雅黑" w:hAnsi="微软雅黑" w:eastAsia="微软雅黑" w:cs="微软雅黑"/>
                <w:bCs/>
                <w:color w:val="auto"/>
                <w:sz w:val="20"/>
                <w:szCs w:val="20"/>
                <w:highlight w:val="none"/>
                <w:lang w:val="en-US" w:eastAsia="zh-CN"/>
              </w:rPr>
              <w:t>16核，加2分。</w:t>
            </w:r>
          </w:p>
          <w:p w14:paraId="159EEDF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Cs/>
                <w:color w:val="auto"/>
                <w:sz w:val="20"/>
                <w:szCs w:val="20"/>
                <w:highlight w:val="none"/>
                <w:lang w:val="en-US" w:eastAsia="zh-CN"/>
              </w:rPr>
            </w:pPr>
            <w:r>
              <w:rPr>
                <w:rFonts w:hint="eastAsia" w:ascii="微软雅黑" w:hAnsi="微软雅黑" w:eastAsia="微软雅黑" w:cs="微软雅黑"/>
                <w:bCs/>
                <w:color w:val="auto"/>
                <w:sz w:val="20"/>
                <w:szCs w:val="20"/>
                <w:highlight w:val="none"/>
                <w:lang w:val="en-US" w:eastAsia="zh-CN"/>
              </w:rPr>
              <w:t>2、</w:t>
            </w:r>
            <w:r>
              <w:rPr>
                <w:rFonts w:hint="eastAsia" w:ascii="微软雅黑" w:hAnsi="微软雅黑" w:eastAsia="微软雅黑" w:cs="微软雅黑"/>
                <w:bCs/>
                <w:color w:val="auto"/>
                <w:sz w:val="20"/>
                <w:szCs w:val="20"/>
                <w:highlight w:val="none"/>
              </w:rPr>
              <w:t>内存≧</w:t>
            </w:r>
            <w:r>
              <w:rPr>
                <w:rFonts w:hint="eastAsia" w:ascii="微软雅黑" w:hAnsi="微软雅黑" w:eastAsia="微软雅黑" w:cs="微软雅黑"/>
                <w:bCs/>
                <w:color w:val="auto"/>
                <w:sz w:val="20"/>
                <w:szCs w:val="20"/>
                <w:highlight w:val="none"/>
                <w:lang w:val="en-US" w:eastAsia="zh-CN"/>
              </w:rPr>
              <w:t>32</w:t>
            </w:r>
            <w:r>
              <w:rPr>
                <w:rFonts w:hint="eastAsia" w:ascii="微软雅黑" w:hAnsi="微软雅黑" w:eastAsia="微软雅黑" w:cs="微软雅黑"/>
                <w:bCs/>
                <w:color w:val="auto"/>
                <w:sz w:val="20"/>
                <w:szCs w:val="20"/>
                <w:highlight w:val="none"/>
              </w:rPr>
              <w:t>GB</w:t>
            </w:r>
            <w:r>
              <w:rPr>
                <w:rFonts w:hint="eastAsia" w:ascii="微软雅黑" w:hAnsi="微软雅黑" w:eastAsia="微软雅黑" w:cs="微软雅黑"/>
                <w:bCs/>
                <w:color w:val="auto"/>
                <w:sz w:val="20"/>
                <w:szCs w:val="20"/>
                <w:highlight w:val="none"/>
                <w:lang w:eastAsia="zh-CN"/>
              </w:rPr>
              <w:t>，加</w:t>
            </w:r>
            <w:r>
              <w:rPr>
                <w:rFonts w:hint="eastAsia" w:ascii="微软雅黑" w:hAnsi="微软雅黑" w:eastAsia="微软雅黑" w:cs="微软雅黑"/>
                <w:bCs/>
                <w:color w:val="auto"/>
                <w:sz w:val="20"/>
                <w:szCs w:val="20"/>
                <w:highlight w:val="none"/>
                <w:lang w:val="en-US" w:eastAsia="zh-CN"/>
              </w:rPr>
              <w:t>0.2分。</w:t>
            </w:r>
          </w:p>
          <w:p w14:paraId="1F9DCCA7">
            <w:pPr>
              <w:keepNext w:val="0"/>
              <w:keepLines w:val="0"/>
              <w:pageBreakBefore w:val="0"/>
              <w:widowControl/>
              <w:kinsoku/>
              <w:wordWrap/>
              <w:overflowPunct/>
              <w:topLinePunct w:val="0"/>
              <w:bidi w:val="0"/>
              <w:adjustRightInd w:val="0"/>
              <w:snapToGrid w:val="0"/>
              <w:spacing w:line="300" w:lineRule="exact"/>
              <w:jc w:val="lef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lang w:val="en-US" w:eastAsia="zh-CN"/>
              </w:rPr>
              <w:t>3、</w:t>
            </w:r>
            <w:r>
              <w:rPr>
                <w:rFonts w:hint="eastAsia" w:ascii="微软雅黑" w:hAnsi="微软雅黑" w:eastAsia="微软雅黑" w:cs="微软雅黑"/>
                <w:color w:val="auto"/>
                <w:kern w:val="0"/>
                <w:sz w:val="20"/>
                <w:szCs w:val="20"/>
                <w:highlight w:val="none"/>
              </w:rPr>
              <w:t>日志采集处理均值</w:t>
            </w:r>
            <w:r>
              <w:rPr>
                <w:rFonts w:hint="eastAsia" w:ascii="微软雅黑" w:hAnsi="微软雅黑" w:eastAsia="微软雅黑" w:cs="微软雅黑"/>
                <w:color w:val="auto"/>
                <w:kern w:val="0"/>
                <w:sz w:val="20"/>
                <w:szCs w:val="20"/>
                <w:highlight w:val="none"/>
                <w:lang w:eastAsia="zh-CN"/>
              </w:rPr>
              <w:t>（非峰值）在</w:t>
            </w:r>
            <w:r>
              <w:rPr>
                <w:rFonts w:hint="eastAsia" w:ascii="微软雅黑" w:hAnsi="微软雅黑" w:eastAsia="微软雅黑" w:cs="微软雅黑"/>
                <w:color w:val="auto"/>
                <w:kern w:val="0"/>
                <w:sz w:val="20"/>
                <w:szCs w:val="20"/>
                <w:highlight w:val="none"/>
                <w:lang w:val="en-US" w:eastAsia="zh-CN"/>
              </w:rPr>
              <w:t>2500</w:t>
            </w:r>
            <w:r>
              <w:rPr>
                <w:rFonts w:hint="eastAsia" w:ascii="微软雅黑" w:hAnsi="微软雅黑" w:eastAsia="微软雅黑" w:cs="微软雅黑"/>
                <w:color w:val="auto"/>
                <w:kern w:val="0"/>
                <w:sz w:val="20"/>
                <w:szCs w:val="20"/>
                <w:highlight w:val="none"/>
              </w:rPr>
              <w:t>EPS</w:t>
            </w:r>
            <w:r>
              <w:rPr>
                <w:rFonts w:hint="eastAsia" w:ascii="微软雅黑" w:hAnsi="微软雅黑" w:eastAsia="微软雅黑" w:cs="微软雅黑"/>
                <w:color w:val="auto"/>
                <w:kern w:val="0"/>
                <w:sz w:val="20"/>
                <w:szCs w:val="20"/>
                <w:highlight w:val="none"/>
                <w:lang w:eastAsia="zh-CN"/>
              </w:rPr>
              <w:t>基础上，每多</w:t>
            </w:r>
            <w:r>
              <w:rPr>
                <w:rFonts w:hint="eastAsia" w:ascii="微软雅黑" w:hAnsi="微软雅黑" w:eastAsia="微软雅黑" w:cs="微软雅黑"/>
                <w:color w:val="auto"/>
                <w:kern w:val="0"/>
                <w:sz w:val="20"/>
                <w:szCs w:val="20"/>
                <w:highlight w:val="none"/>
                <w:lang w:val="en-US" w:eastAsia="zh-CN"/>
              </w:rPr>
              <w:t>1000</w:t>
            </w:r>
            <w:r>
              <w:rPr>
                <w:rFonts w:hint="eastAsia" w:ascii="微软雅黑" w:hAnsi="微软雅黑" w:eastAsia="微软雅黑" w:cs="微软雅黑"/>
                <w:color w:val="auto"/>
                <w:kern w:val="0"/>
                <w:sz w:val="20"/>
                <w:szCs w:val="20"/>
                <w:highlight w:val="none"/>
              </w:rPr>
              <w:t>EPS</w:t>
            </w:r>
            <w:r>
              <w:rPr>
                <w:rFonts w:hint="eastAsia" w:ascii="微软雅黑" w:hAnsi="微软雅黑" w:eastAsia="微软雅黑" w:cs="微软雅黑"/>
                <w:color w:val="auto"/>
                <w:kern w:val="0"/>
                <w:sz w:val="20"/>
                <w:szCs w:val="20"/>
                <w:highlight w:val="none"/>
                <w:lang w:eastAsia="zh-CN"/>
              </w:rPr>
              <w:t>，加</w:t>
            </w:r>
            <w:r>
              <w:rPr>
                <w:rFonts w:hint="eastAsia" w:ascii="微软雅黑" w:hAnsi="微软雅黑" w:eastAsia="微软雅黑" w:cs="微软雅黑"/>
                <w:color w:val="auto"/>
                <w:kern w:val="0"/>
                <w:sz w:val="20"/>
                <w:szCs w:val="20"/>
                <w:highlight w:val="none"/>
                <w:lang w:val="en-US" w:eastAsia="zh-CN"/>
              </w:rPr>
              <w:t>0.1分，封顶0.3分。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2E6E8BC">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分</w:t>
            </w:r>
          </w:p>
        </w:tc>
      </w:tr>
      <w:tr w14:paraId="6233AA7E">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AAC8F1F">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9F06E2F">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eastAsia="zh-CN"/>
              </w:rPr>
              <w:t>入侵防御</w:t>
            </w:r>
            <w:r>
              <w:rPr>
                <w:rFonts w:hint="eastAsia" w:ascii="微软雅黑" w:hAnsi="微软雅黑" w:eastAsia="微软雅黑" w:cs="微软雅黑"/>
                <w:color w:val="auto"/>
                <w:sz w:val="20"/>
                <w:szCs w:val="20"/>
                <w:highlight w:val="none"/>
              </w:rPr>
              <w:t>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5B62AF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技术参数全部满足招标文件要求的得</w:t>
            </w:r>
            <w:r>
              <w:rPr>
                <w:rFonts w:hint="eastAsia" w:ascii="微软雅黑" w:hAnsi="微软雅黑" w:eastAsia="微软雅黑" w:cs="微软雅黑"/>
                <w:color w:val="auto"/>
                <w:sz w:val="20"/>
                <w:szCs w:val="20"/>
                <w:highlight w:val="none"/>
                <w:lang w:val="en-US" w:eastAsia="zh-CN"/>
              </w:rPr>
              <w:t>4.5</w:t>
            </w:r>
            <w:r>
              <w:rPr>
                <w:rFonts w:hint="eastAsia" w:ascii="微软雅黑" w:hAnsi="微软雅黑" w:eastAsia="微软雅黑" w:cs="微软雅黑"/>
                <w:color w:val="auto"/>
                <w:sz w:val="20"/>
                <w:szCs w:val="20"/>
                <w:highlight w:val="none"/>
              </w:rPr>
              <w:t>分；</w:t>
            </w:r>
          </w:p>
          <w:p w14:paraId="4648E831">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正偏离加分：</w:t>
            </w:r>
          </w:p>
          <w:p w14:paraId="0EAB1475">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w:t>
            </w:r>
            <w:r>
              <w:rPr>
                <w:rFonts w:hint="eastAsia" w:ascii="微软雅黑" w:hAnsi="微软雅黑" w:eastAsia="微软雅黑" w:cs="微软雅黑"/>
                <w:color w:val="auto"/>
                <w:sz w:val="20"/>
                <w:szCs w:val="20"/>
                <w:highlight w:val="none"/>
              </w:rPr>
              <w:t>≧</w:t>
            </w:r>
            <w:r>
              <w:rPr>
                <w:rFonts w:hint="eastAsia" w:ascii="微软雅黑" w:hAnsi="微软雅黑" w:eastAsia="微软雅黑" w:cs="微软雅黑"/>
                <w:color w:val="auto"/>
                <w:sz w:val="20"/>
                <w:szCs w:val="20"/>
                <w:highlight w:val="none"/>
                <w:lang w:val="en-US" w:eastAsia="zh-CN"/>
              </w:rPr>
              <w:t>8核，加1分</w:t>
            </w:r>
          </w:p>
          <w:p w14:paraId="230B4DD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2、电源数量≧2个，加0.2分。</w:t>
            </w:r>
          </w:p>
          <w:p w14:paraId="0EE844D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3、满检速率在6500Mbps基础上，每多1000Mbps，加0.2分，封顶1分。</w:t>
            </w:r>
          </w:p>
          <w:p w14:paraId="3108F6CC">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4、规则库在原有基础上，每多1个库，加0.1分，封顶0.3分。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22AB521">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分</w:t>
            </w:r>
          </w:p>
        </w:tc>
      </w:tr>
      <w:tr w14:paraId="7A0D7D8D">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348EF922">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4B43209">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kern w:val="0"/>
                <w:sz w:val="20"/>
                <w:szCs w:val="20"/>
                <w:highlight w:val="none"/>
              </w:rPr>
              <w:t>运维审计系统</w:t>
            </w:r>
            <w:r>
              <w:rPr>
                <w:rFonts w:hint="eastAsia" w:ascii="微软雅黑" w:hAnsi="微软雅黑" w:eastAsia="微软雅黑" w:cs="微软雅黑"/>
                <w:color w:val="auto"/>
                <w:kern w:val="0"/>
                <w:sz w:val="20"/>
                <w:szCs w:val="20"/>
                <w:highlight w:val="none"/>
                <w:lang w:eastAsia="zh-CN"/>
              </w:rPr>
              <w:t>（堡垒机）</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774B87">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技术参数全部满足招标文件要求的得5.7分；</w:t>
            </w:r>
          </w:p>
          <w:p w14:paraId="58F2F4C9">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bCs/>
                <w:color w:val="auto"/>
                <w:kern w:val="0"/>
                <w:sz w:val="20"/>
                <w:szCs w:val="20"/>
                <w:highlight w:val="none"/>
                <w:lang w:val="en-US" w:eastAsia="zh-CN" w:bidi="ar-SA"/>
              </w:rPr>
              <w:t>正偏离加分：</w:t>
            </w:r>
          </w:p>
          <w:p w14:paraId="7724DFE7">
            <w:pPr>
              <w:pStyle w:val="63"/>
              <w:keepNext w:val="0"/>
              <w:keepLines w:val="0"/>
              <w:pageBreakBefore w:val="0"/>
              <w:kinsoku/>
              <w:wordWrap/>
              <w:overflowPunct/>
              <w:topLinePunct w:val="0"/>
              <w:bidi w:val="0"/>
              <w:spacing w:after="0" w:line="300" w:lineRule="exact"/>
              <w:ind w:left="0" w:leftChars="0" w:firstLine="0" w:firstLineChars="0"/>
              <w:textAlignment w:val="auto"/>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kern w:val="2"/>
                <w:sz w:val="20"/>
                <w:szCs w:val="20"/>
                <w:highlight w:val="none"/>
                <w:lang w:val="en-US" w:eastAsia="zh-CN" w:bidi="ar-SA"/>
              </w:rPr>
              <w:t>1、CPU物理核心数</w:t>
            </w:r>
            <w:r>
              <w:rPr>
                <w:rFonts w:hint="eastAsia" w:ascii="微软雅黑" w:hAnsi="微软雅黑" w:eastAsia="微软雅黑" w:cs="微软雅黑"/>
                <w:bCs/>
                <w:color w:val="auto"/>
                <w:sz w:val="20"/>
                <w:szCs w:val="20"/>
                <w:highlight w:val="none"/>
              </w:rPr>
              <w:t>≧</w:t>
            </w:r>
            <w:r>
              <w:rPr>
                <w:rFonts w:hint="eastAsia" w:ascii="微软雅黑" w:hAnsi="微软雅黑" w:eastAsia="微软雅黑" w:cs="微软雅黑"/>
                <w:bCs/>
                <w:color w:val="auto"/>
                <w:sz w:val="20"/>
                <w:szCs w:val="20"/>
                <w:highlight w:val="none"/>
                <w:lang w:val="en-US" w:eastAsia="zh-CN"/>
              </w:rPr>
              <w:t>8</w:t>
            </w:r>
            <w:r>
              <w:rPr>
                <w:rFonts w:hint="eastAsia" w:ascii="微软雅黑" w:hAnsi="微软雅黑" w:eastAsia="微软雅黑" w:cs="微软雅黑"/>
                <w:color w:val="auto"/>
                <w:kern w:val="2"/>
                <w:sz w:val="20"/>
                <w:szCs w:val="20"/>
                <w:highlight w:val="none"/>
                <w:lang w:val="en-US" w:eastAsia="zh-CN" w:bidi="ar-SA"/>
              </w:rPr>
              <w:t>核，加1分</w:t>
            </w:r>
          </w:p>
          <w:p w14:paraId="225E973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2、内存大小≧16GB，加0.1分。</w:t>
            </w:r>
          </w:p>
          <w:p w14:paraId="2CFEEC8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3、电源数量≧2个，加0.2分。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453D5A2">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7</w:t>
            </w:r>
            <w:r>
              <w:rPr>
                <w:rFonts w:hint="eastAsia" w:ascii="微软雅黑" w:hAnsi="微软雅黑" w:eastAsia="微软雅黑" w:cs="微软雅黑"/>
                <w:color w:val="auto"/>
                <w:sz w:val="20"/>
                <w:szCs w:val="20"/>
                <w:highlight w:val="none"/>
              </w:rPr>
              <w:t>分</w:t>
            </w:r>
          </w:p>
        </w:tc>
      </w:tr>
      <w:tr w14:paraId="1CB4E940">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73CD578">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5FA0E62">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lang w:eastAsia="zh-CN"/>
              </w:rPr>
              <w:t>探针</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52B3D1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技术参数全部满足招标文件要求的得6.2分；</w:t>
            </w:r>
          </w:p>
          <w:p w14:paraId="3B2DE6CC">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正偏离加分：</w:t>
            </w:r>
          </w:p>
          <w:p w14:paraId="5DFC5647">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1、CPU物理核心数≧8核，加0.5分</w:t>
            </w:r>
          </w:p>
          <w:p w14:paraId="0AFE9531">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2、内存大小≧16G，加0.1分</w:t>
            </w:r>
          </w:p>
          <w:p w14:paraId="07E1084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3、接口包含万兆口，加0.2分</w:t>
            </w:r>
          </w:p>
          <w:p w14:paraId="46C7E9B9">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4、电源数量≧2个，加0.2分</w:t>
            </w:r>
          </w:p>
          <w:p w14:paraId="04A9518F">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5、规则库在原有基础上，每多1个库，加0.1分，封顶0.3分。</w:t>
            </w:r>
          </w:p>
          <w:p w14:paraId="58D663F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rPr>
            </w:pPr>
            <w:r>
              <w:rPr>
                <w:rFonts w:hint="eastAsia" w:ascii="微软雅黑" w:hAnsi="微软雅黑" w:eastAsia="微软雅黑" w:cs="微软雅黑"/>
                <w:color w:val="auto"/>
                <w:sz w:val="20"/>
                <w:szCs w:val="20"/>
                <w:highlight w:val="none"/>
                <w:lang w:val="en-US" w:eastAsia="zh-CN"/>
              </w:rPr>
              <w:t>6、能与防火墙进行联动，加0.5分（投标时提供功能演示并出具原厂盖章功能确认函）</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0A53DE">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分</w:t>
            </w:r>
          </w:p>
        </w:tc>
      </w:tr>
      <w:tr w14:paraId="1834D975">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7694D5F1">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1EA9F13">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lang w:eastAsia="zh-CN"/>
              </w:rPr>
              <w:t>态势感知系统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EAC1B9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技术参数全部满足招标文件要求的得6.8分；</w:t>
            </w:r>
          </w:p>
          <w:p w14:paraId="19AFB8B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bCs/>
                <w:color w:val="auto"/>
                <w:sz w:val="20"/>
                <w:szCs w:val="20"/>
                <w:highlight w:val="none"/>
                <w:lang w:val="en-US" w:eastAsia="zh-CN"/>
              </w:rPr>
            </w:pPr>
            <w:r>
              <w:rPr>
                <w:rFonts w:hint="eastAsia" w:ascii="微软雅黑" w:hAnsi="微软雅黑" w:eastAsia="微软雅黑" w:cs="微软雅黑"/>
                <w:b/>
                <w:bCs/>
                <w:color w:val="auto"/>
                <w:sz w:val="20"/>
                <w:szCs w:val="20"/>
                <w:highlight w:val="none"/>
                <w:lang w:val="en-US" w:eastAsia="zh-CN"/>
              </w:rPr>
              <w:t>正偏离加分：</w:t>
            </w:r>
          </w:p>
          <w:p w14:paraId="43C98C56">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1、CPU物理核心数≧32核，加1分</w:t>
            </w:r>
          </w:p>
          <w:p w14:paraId="46D0E04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2、内存大小≧128G，加0.4分</w:t>
            </w:r>
          </w:p>
          <w:p w14:paraId="41D83BF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3、硬盘容量在原有24TB基础上，每加8TB，加0.1分，封顶0.2分。</w:t>
            </w:r>
          </w:p>
          <w:p w14:paraId="0FEDAB2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4、千兆电口≧6个，加0.1分</w:t>
            </w:r>
          </w:p>
          <w:p w14:paraId="26AA07B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rPr>
            </w:pPr>
            <w:r>
              <w:rPr>
                <w:rFonts w:hint="eastAsia" w:ascii="微软雅黑" w:hAnsi="微软雅黑" w:eastAsia="微软雅黑" w:cs="微软雅黑"/>
                <w:color w:val="auto"/>
                <w:sz w:val="20"/>
                <w:szCs w:val="20"/>
                <w:highlight w:val="none"/>
                <w:lang w:val="en-US" w:eastAsia="zh-CN"/>
              </w:rPr>
              <w:t>5、能与防火墙进行联动，加0.5分（投标时提供功能演示并出具原厂盖章功能确认函）</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72C4988">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9</w:t>
            </w:r>
            <w:r>
              <w:rPr>
                <w:rFonts w:hint="eastAsia" w:ascii="微软雅黑" w:hAnsi="微软雅黑" w:eastAsia="微软雅黑" w:cs="微软雅黑"/>
                <w:color w:val="auto"/>
                <w:sz w:val="20"/>
                <w:szCs w:val="20"/>
                <w:highlight w:val="none"/>
              </w:rPr>
              <w:t>分</w:t>
            </w:r>
          </w:p>
        </w:tc>
      </w:tr>
      <w:tr w14:paraId="6E26A1E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0855C9D1">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61B8E95">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防火墙</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876A979">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技术参数全部满足招标文件要求的得5分；</w:t>
            </w:r>
          </w:p>
          <w:p w14:paraId="6D77C43A">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正偏离加分：</w:t>
            </w:r>
          </w:p>
          <w:p w14:paraId="374C51B0">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1、CPU物理核心数≧8核，加1分。</w:t>
            </w:r>
          </w:p>
          <w:p w14:paraId="4CD60A5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2、网络层吞吐量在6500Mbps基础上，每多1000Mbps，加0.1分，封顶0.5分。</w:t>
            </w:r>
          </w:p>
          <w:p w14:paraId="135645FE">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3、TCP新建连接速率在原有9.9万/秒基础上，每增加5000/秒，加0.1分，封顶0.5分。</w:t>
            </w:r>
          </w:p>
          <w:p w14:paraId="050DA064">
            <w:pPr>
              <w:keepNext w:val="0"/>
              <w:keepLines w:val="0"/>
              <w:pageBreakBefore w:val="0"/>
              <w:widowControl/>
              <w:kinsoku/>
              <w:wordWrap/>
              <w:overflowPunct/>
              <w:topLinePunct w:val="0"/>
              <w:bidi w:val="0"/>
              <w:snapToGrid w:val="0"/>
              <w:spacing w:line="300" w:lineRule="exact"/>
              <w:textAlignment w:val="auto"/>
              <w:rPr>
                <w:rFonts w:hint="default"/>
                <w:color w:val="auto"/>
                <w:highlight w:val="none"/>
                <w:lang w:val="en-US"/>
              </w:rPr>
            </w:pPr>
            <w:r>
              <w:rPr>
                <w:rFonts w:hint="eastAsia" w:ascii="微软雅黑" w:hAnsi="微软雅黑" w:eastAsia="微软雅黑" w:cs="微软雅黑"/>
                <w:color w:val="auto"/>
                <w:sz w:val="20"/>
                <w:szCs w:val="20"/>
                <w:highlight w:val="none"/>
                <w:lang w:val="en-US" w:eastAsia="zh-CN"/>
              </w:rPr>
              <w:t>4、在原厂自研的病毒库基础上，设备额外可用的主流网络安全厂商的病毒库授权≧2家（投标时出示授权书），加1分。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FEFDD09">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分</w:t>
            </w:r>
          </w:p>
        </w:tc>
      </w:tr>
      <w:tr w14:paraId="367FDE2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2C6089DA">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D92789B">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lang w:eastAsia="zh-CN"/>
              </w:rPr>
            </w:pPr>
            <w:r>
              <w:rPr>
                <w:rFonts w:hint="eastAsia" w:ascii="微软雅黑" w:hAnsi="微软雅黑" w:eastAsia="微软雅黑" w:cs="微软雅黑"/>
                <w:color w:val="auto"/>
                <w:kern w:val="0"/>
                <w:sz w:val="20"/>
                <w:szCs w:val="20"/>
                <w:highlight w:val="none"/>
                <w:lang w:eastAsia="zh-CN"/>
              </w:rPr>
              <w:t>漏洞扫描系统</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B955AD1">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技术参数全部满足招标文件要求的得6.6分；</w:t>
            </w:r>
          </w:p>
          <w:p w14:paraId="6A852D88">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bCs/>
                <w:color w:val="auto"/>
                <w:kern w:val="0"/>
                <w:sz w:val="20"/>
                <w:szCs w:val="20"/>
                <w:highlight w:val="none"/>
                <w:lang w:val="en-US" w:eastAsia="zh-CN" w:bidi="ar-SA"/>
              </w:rPr>
            </w:pPr>
            <w:r>
              <w:rPr>
                <w:rFonts w:hint="eastAsia" w:ascii="微软雅黑" w:hAnsi="微软雅黑" w:eastAsia="微软雅黑" w:cs="微软雅黑"/>
                <w:b/>
                <w:bCs/>
                <w:color w:val="auto"/>
                <w:kern w:val="0"/>
                <w:sz w:val="20"/>
                <w:szCs w:val="20"/>
                <w:highlight w:val="none"/>
                <w:lang w:val="en-US" w:eastAsia="zh-CN" w:bidi="ar-SA"/>
              </w:rPr>
              <w:t>正偏离加分：</w:t>
            </w:r>
          </w:p>
          <w:p w14:paraId="71831831">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1、CPU物理核心数≧8核，加1分</w:t>
            </w:r>
          </w:p>
          <w:p w14:paraId="51579F85">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 w:val="0"/>
                <w:bCs w:val="0"/>
                <w:color w:val="auto"/>
                <w:kern w:val="0"/>
                <w:sz w:val="20"/>
                <w:szCs w:val="20"/>
                <w:highlight w:val="none"/>
                <w:lang w:val="en-US" w:eastAsia="zh-CN" w:bidi="ar-SA"/>
              </w:rPr>
            </w:pPr>
            <w:r>
              <w:rPr>
                <w:rFonts w:hint="eastAsia" w:ascii="微软雅黑" w:hAnsi="微软雅黑" w:eastAsia="微软雅黑" w:cs="微软雅黑"/>
                <w:b w:val="0"/>
                <w:bCs w:val="0"/>
                <w:color w:val="auto"/>
                <w:kern w:val="0"/>
                <w:sz w:val="20"/>
                <w:szCs w:val="20"/>
                <w:highlight w:val="none"/>
                <w:lang w:val="en-US" w:eastAsia="zh-CN" w:bidi="ar-SA"/>
              </w:rPr>
              <w:t>2、内存大小≧32G，加0.2分</w:t>
            </w:r>
          </w:p>
          <w:p w14:paraId="0F2379B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bCs/>
                <w:color w:val="auto"/>
                <w:sz w:val="20"/>
                <w:szCs w:val="20"/>
                <w:highlight w:val="none"/>
              </w:rPr>
            </w:pPr>
            <w:r>
              <w:rPr>
                <w:rFonts w:hint="eastAsia" w:ascii="微软雅黑" w:hAnsi="微软雅黑" w:eastAsia="微软雅黑" w:cs="微软雅黑"/>
                <w:b w:val="0"/>
                <w:bCs w:val="0"/>
                <w:color w:val="auto"/>
                <w:kern w:val="0"/>
                <w:sz w:val="20"/>
                <w:szCs w:val="20"/>
                <w:highlight w:val="none"/>
                <w:lang w:val="en-US" w:eastAsia="zh-CN" w:bidi="ar-SA"/>
              </w:rPr>
              <w:t>3、并发扫描IP地址数量在原有80个基础上，每增加30个，加0.1分，封顶0.2分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695B4BE">
            <w:pPr>
              <w:keepNext w:val="0"/>
              <w:keepLines w:val="0"/>
              <w:pageBreakBefore w:val="0"/>
              <w:kinsoku/>
              <w:wordWrap/>
              <w:overflowPunct/>
              <w:topLinePunct w:val="0"/>
              <w:bidi w:val="0"/>
              <w:snapToGrid w:val="0"/>
              <w:spacing w:line="300" w:lineRule="exact"/>
              <w:ind w:left="-136" w:leftChars="-65" w:right="-164" w:rightChars="-7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8</w:t>
            </w:r>
            <w:r>
              <w:rPr>
                <w:rFonts w:hint="eastAsia" w:ascii="微软雅黑" w:hAnsi="微软雅黑" w:eastAsia="微软雅黑" w:cs="微软雅黑"/>
                <w:color w:val="auto"/>
                <w:sz w:val="20"/>
                <w:szCs w:val="20"/>
                <w:highlight w:val="none"/>
              </w:rPr>
              <w:t>分</w:t>
            </w:r>
          </w:p>
        </w:tc>
      </w:tr>
      <w:tr w14:paraId="004FC61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tcBorders>
              <w:top w:val="single" w:color="auto" w:sz="4" w:space="0"/>
              <w:left w:val="single" w:color="auto" w:sz="4" w:space="0"/>
              <w:right w:val="single" w:color="auto" w:sz="4" w:space="0"/>
            </w:tcBorders>
            <w:shd w:val="clear" w:color="auto" w:fill="auto"/>
            <w:noWrap w:val="0"/>
            <w:vAlign w:val="center"/>
          </w:tcPr>
          <w:p w14:paraId="7D6E2357">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技术方案</w:t>
            </w:r>
          </w:p>
          <w:p w14:paraId="704EC86F">
            <w:pPr>
              <w:keepNext w:val="0"/>
              <w:keepLines w:val="0"/>
              <w:pageBreakBefore w:val="0"/>
              <w:kinsoku/>
              <w:wordWrap/>
              <w:overflowPunct/>
              <w:topLinePunct w:val="0"/>
              <w:bidi w:val="0"/>
              <w:spacing w:line="300" w:lineRule="exact"/>
              <w:jc w:val="center"/>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（4分）</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D3F05A">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lang w:val="en-US" w:eastAsia="zh-CN"/>
              </w:rPr>
              <w:t>项目</w:t>
            </w:r>
            <w:r>
              <w:rPr>
                <w:rFonts w:hint="eastAsia" w:ascii="微软雅黑" w:hAnsi="微软雅黑" w:eastAsia="微软雅黑" w:cs="微软雅黑"/>
                <w:color w:val="auto"/>
                <w:kern w:val="0"/>
                <w:sz w:val="20"/>
                <w:szCs w:val="20"/>
                <w:highlight w:val="none"/>
              </w:rPr>
              <w:t>实施方案</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5A3407C">
            <w:pPr>
              <w:keepNext w:val="0"/>
              <w:keepLines w:val="0"/>
              <w:pageBreakBefore w:val="0"/>
              <w:widowControl/>
              <w:kinsoku/>
              <w:wordWrap/>
              <w:overflowPunct/>
              <w:topLinePunct w:val="0"/>
              <w:bidi w:val="0"/>
              <w:snapToGrid w:val="0"/>
              <w:spacing w:line="300" w:lineRule="exact"/>
              <w:jc w:val="left"/>
              <w:textAlignment w:val="auto"/>
              <w:rPr>
                <w:rFonts w:hint="eastAsia" w:ascii="微软雅黑" w:hAnsi="微软雅黑" w:eastAsia="微软雅黑" w:cs="微软雅黑"/>
                <w:color w:val="auto"/>
                <w:kern w:val="0"/>
                <w:sz w:val="20"/>
                <w:szCs w:val="20"/>
                <w:highlight w:val="none"/>
              </w:rPr>
            </w:pPr>
            <w:r>
              <w:rPr>
                <w:rFonts w:hint="eastAsia" w:ascii="微软雅黑" w:hAnsi="微软雅黑" w:eastAsia="微软雅黑" w:cs="微软雅黑"/>
                <w:color w:val="auto"/>
                <w:kern w:val="0"/>
                <w:sz w:val="20"/>
                <w:szCs w:val="20"/>
                <w:highlight w:val="none"/>
              </w:rPr>
              <w:t xml:space="preserve">据投标人提供的实施总体部署方案、准备计划方案、供货方案、调试技术方案、确保施工质量方案、工序流程等方面进行打分。方案科学合理、安全严密、条理清晰、完善、重点突出、专业性强的得 </w:t>
            </w:r>
            <w:r>
              <w:rPr>
                <w:rFonts w:hint="eastAsia" w:ascii="微软雅黑" w:hAnsi="微软雅黑" w:eastAsia="微软雅黑" w:cs="微软雅黑"/>
                <w:color w:val="auto"/>
                <w:kern w:val="0"/>
                <w:sz w:val="20"/>
                <w:szCs w:val="20"/>
                <w:highlight w:val="none"/>
                <w:lang w:val="en-US" w:eastAsia="zh-CN"/>
              </w:rPr>
              <w:t>4</w:t>
            </w:r>
            <w:r>
              <w:rPr>
                <w:rFonts w:hint="eastAsia" w:ascii="微软雅黑" w:hAnsi="微软雅黑" w:eastAsia="微软雅黑" w:cs="微软雅黑"/>
                <w:color w:val="auto"/>
                <w:kern w:val="0"/>
                <w:sz w:val="20"/>
                <w:szCs w:val="20"/>
                <w:highlight w:val="none"/>
              </w:rPr>
              <w:t>分;方案基本合理、安全可行、具有一定条理、基本完善、专业性一般的得</w:t>
            </w:r>
            <w:r>
              <w:rPr>
                <w:rFonts w:hint="eastAsia" w:ascii="微软雅黑" w:hAnsi="微软雅黑" w:eastAsia="微软雅黑" w:cs="微软雅黑"/>
                <w:color w:val="auto"/>
                <w:kern w:val="0"/>
                <w:sz w:val="20"/>
                <w:szCs w:val="20"/>
                <w:highlight w:val="none"/>
                <w:lang w:val="en-US" w:eastAsia="zh-CN"/>
              </w:rPr>
              <w:t>2.5</w:t>
            </w:r>
            <w:r>
              <w:rPr>
                <w:rFonts w:hint="eastAsia" w:ascii="微软雅黑" w:hAnsi="微软雅黑" w:eastAsia="微软雅黑" w:cs="微软雅黑"/>
                <w:color w:val="auto"/>
                <w:kern w:val="0"/>
                <w:sz w:val="20"/>
                <w:szCs w:val="20"/>
                <w:highlight w:val="none"/>
              </w:rPr>
              <w:t>分;方案不够合理、可操作性不强的得1分。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FE2CC24">
            <w:pPr>
              <w:keepNext w:val="0"/>
              <w:keepLines w:val="0"/>
              <w:pageBreakBefore w:val="0"/>
              <w:widowControl/>
              <w:kinsoku/>
              <w:wordWrap/>
              <w:overflowPunct/>
              <w:topLinePunct w:val="0"/>
              <w:bidi w:val="0"/>
              <w:snapToGrid w:val="0"/>
              <w:spacing w:line="300" w:lineRule="exact"/>
              <w:jc w:val="center"/>
              <w:textAlignment w:val="auto"/>
              <w:rPr>
                <w:rFonts w:hint="eastAsia" w:ascii="微软雅黑" w:hAnsi="微软雅黑" w:eastAsia="微软雅黑" w:cs="微软雅黑"/>
                <w:color w:val="auto"/>
                <w:kern w:val="0"/>
                <w:sz w:val="20"/>
                <w:szCs w:val="20"/>
                <w:highlight w:val="none"/>
                <w:lang w:val="en-US" w:eastAsia="zh-CN"/>
              </w:rPr>
            </w:pPr>
            <w:r>
              <w:rPr>
                <w:rFonts w:hint="eastAsia" w:ascii="微软雅黑" w:hAnsi="微软雅黑" w:eastAsia="微软雅黑" w:cs="微软雅黑"/>
                <w:color w:val="auto"/>
                <w:kern w:val="0"/>
                <w:sz w:val="20"/>
                <w:szCs w:val="20"/>
                <w:highlight w:val="none"/>
                <w:lang w:val="en-US" w:eastAsia="zh-CN"/>
              </w:rPr>
              <w:t>0-4分</w:t>
            </w:r>
          </w:p>
        </w:tc>
      </w:tr>
      <w:tr w14:paraId="5A4B3E59">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restart"/>
            <w:tcBorders>
              <w:top w:val="single" w:color="auto" w:sz="4" w:space="0"/>
              <w:left w:val="single" w:color="auto" w:sz="4" w:space="0"/>
              <w:right w:val="single" w:color="auto" w:sz="4" w:space="0"/>
            </w:tcBorders>
            <w:shd w:val="clear" w:color="auto" w:fill="auto"/>
            <w:noWrap w:val="0"/>
            <w:vAlign w:val="center"/>
          </w:tcPr>
          <w:p w14:paraId="46B75746">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服务及承诺（12分）</w:t>
            </w: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F21473C">
            <w:pPr>
              <w:keepNext w:val="0"/>
              <w:keepLines w:val="0"/>
              <w:pageBreakBefore w:val="0"/>
              <w:kinsoku/>
              <w:wordWrap/>
              <w:overflowPunct/>
              <w:topLinePunct w:val="0"/>
              <w:autoSpaceDE w:val="0"/>
              <w:autoSpaceDN w:val="0"/>
              <w:bidi w:val="0"/>
              <w:adjustRightInd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rPr>
              <w:t>售后服务</w:t>
            </w:r>
            <w:r>
              <w:rPr>
                <w:rFonts w:hint="eastAsia" w:ascii="微软雅黑" w:hAnsi="微软雅黑" w:eastAsia="微软雅黑" w:cs="微软雅黑"/>
                <w:color w:val="auto"/>
                <w:sz w:val="20"/>
                <w:szCs w:val="20"/>
                <w:highlight w:val="none"/>
                <w:lang w:val="en-US" w:eastAsia="zh-CN"/>
              </w:rPr>
              <w:t>方案</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1FC9F1BD">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投标人提供详细完整且科学、合理、具体的售后服务方案、售后服务体系、服务承诺、本地化服务及维保方案等内容（包括质保年限、服务措施、产品质量保证、回访、技术培训、售后服务响应时间等）。方案全面完善、配备合理、响应迅速、措施可行性强的得3分；方案基本全面、基本完善、配备基本合理、响应基本迅速、措施基本可行的得1.5分；方案不够合理，可行性不强的得0.5分；未提供方案不得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548A1F1">
            <w:pPr>
              <w:keepNext w:val="0"/>
              <w:keepLines w:val="0"/>
              <w:pageBreakBefore w:val="0"/>
              <w:kinsoku/>
              <w:wordWrap/>
              <w:overflowPunct/>
              <w:topLinePunct w:val="0"/>
              <w:autoSpaceDE w:val="0"/>
              <w:autoSpaceDN w:val="0"/>
              <w:bidi w:val="0"/>
              <w:adjustRightInd w:val="0"/>
              <w:snapToGri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3</w:t>
            </w:r>
            <w:r>
              <w:rPr>
                <w:rFonts w:hint="eastAsia" w:ascii="微软雅黑" w:hAnsi="微软雅黑" w:eastAsia="微软雅黑" w:cs="微软雅黑"/>
                <w:color w:val="auto"/>
                <w:sz w:val="20"/>
                <w:szCs w:val="20"/>
                <w:highlight w:val="none"/>
              </w:rPr>
              <w:t>分</w:t>
            </w:r>
          </w:p>
        </w:tc>
      </w:tr>
      <w:tr w14:paraId="32EE9E0C">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left w:val="single" w:color="auto" w:sz="4" w:space="0"/>
              <w:right w:val="single" w:color="auto" w:sz="4" w:space="0"/>
            </w:tcBorders>
            <w:shd w:val="clear" w:color="auto" w:fill="auto"/>
            <w:noWrap w:val="0"/>
            <w:vAlign w:val="center"/>
          </w:tcPr>
          <w:p w14:paraId="1B5446B3">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81136F">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rPr>
              <w:t>质保承诺函</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CA991B5">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eastAsia="zh-CN"/>
              </w:rPr>
              <w:t>在招标文件五</w:t>
            </w:r>
            <w:r>
              <w:rPr>
                <w:rFonts w:hint="eastAsia" w:ascii="微软雅黑" w:hAnsi="微软雅黑" w:eastAsia="微软雅黑" w:cs="微软雅黑"/>
                <w:color w:val="auto"/>
                <w:sz w:val="20"/>
                <w:szCs w:val="20"/>
                <w:highlight w:val="none"/>
              </w:rPr>
              <w:t>年质保承诺</w:t>
            </w:r>
            <w:r>
              <w:rPr>
                <w:rFonts w:hint="eastAsia" w:ascii="微软雅黑" w:hAnsi="微软雅黑" w:eastAsia="微软雅黑" w:cs="微软雅黑"/>
                <w:color w:val="auto"/>
                <w:sz w:val="20"/>
                <w:szCs w:val="20"/>
                <w:highlight w:val="none"/>
                <w:lang w:eastAsia="zh-CN"/>
              </w:rPr>
              <w:t>的基础上</w:t>
            </w:r>
            <w:r>
              <w:rPr>
                <w:rFonts w:hint="eastAsia" w:ascii="微软雅黑" w:hAnsi="微软雅黑" w:eastAsia="微软雅黑" w:cs="微软雅黑"/>
                <w:color w:val="auto"/>
                <w:sz w:val="20"/>
                <w:szCs w:val="20"/>
                <w:highlight w:val="none"/>
              </w:rPr>
              <w:t>，质保承诺每增加一年得</w:t>
            </w:r>
            <w:r>
              <w:rPr>
                <w:rFonts w:hint="eastAsia" w:ascii="微软雅黑" w:hAnsi="微软雅黑" w:eastAsia="微软雅黑" w:cs="微软雅黑"/>
                <w:color w:val="auto"/>
                <w:sz w:val="20"/>
                <w:szCs w:val="20"/>
                <w:highlight w:val="none"/>
                <w:lang w:val="en-US" w:eastAsia="zh-CN"/>
              </w:rPr>
              <w:t>2.5</w:t>
            </w:r>
            <w:r>
              <w:rPr>
                <w:rFonts w:hint="eastAsia" w:ascii="微软雅黑" w:hAnsi="微软雅黑" w:eastAsia="微软雅黑" w:cs="微软雅黑"/>
                <w:color w:val="auto"/>
                <w:sz w:val="20"/>
                <w:szCs w:val="20"/>
                <w:highlight w:val="none"/>
              </w:rPr>
              <w:t>分</w:t>
            </w:r>
            <w:r>
              <w:rPr>
                <w:rFonts w:hint="eastAsia" w:ascii="微软雅黑" w:hAnsi="微软雅黑" w:eastAsia="微软雅黑" w:cs="微软雅黑"/>
                <w:color w:val="auto"/>
                <w:sz w:val="20"/>
                <w:szCs w:val="20"/>
                <w:highlight w:val="none"/>
                <w:lang w:eastAsia="zh-CN"/>
              </w:rPr>
              <w:t>，最多得</w:t>
            </w:r>
            <w:r>
              <w:rPr>
                <w:rFonts w:hint="eastAsia" w:ascii="微软雅黑" w:hAnsi="微软雅黑" w:eastAsia="微软雅黑" w:cs="微软雅黑"/>
                <w:color w:val="auto"/>
                <w:sz w:val="20"/>
                <w:szCs w:val="20"/>
                <w:highlight w:val="none"/>
                <w:lang w:val="en-US" w:eastAsia="zh-CN"/>
              </w:rPr>
              <w:t>5分。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D173E04">
            <w:pPr>
              <w:keepNext w:val="0"/>
              <w:keepLines w:val="0"/>
              <w:pageBreakBefore w:val="0"/>
              <w:kinsoku/>
              <w:wordWrap/>
              <w:overflowPunct/>
              <w:topLinePunct w:val="0"/>
              <w:autoSpaceDE w:val="0"/>
              <w:autoSpaceDN w:val="0"/>
              <w:bidi w:val="0"/>
              <w:adjustRightInd w:val="0"/>
              <w:snapToGrid w:val="0"/>
              <w:spacing w:line="300" w:lineRule="exact"/>
              <w:ind w:left="-94" w:leftChars="-45" w:right="-122" w:rightChars="-58"/>
              <w:jc w:val="center"/>
              <w:textAlignment w:val="auto"/>
              <w:rPr>
                <w:rFonts w:hint="eastAsia" w:ascii="微软雅黑" w:hAnsi="微软雅黑" w:eastAsia="微软雅黑" w:cs="微软雅黑"/>
                <w:color w:val="auto"/>
                <w:kern w:val="2"/>
                <w:sz w:val="20"/>
                <w:szCs w:val="20"/>
                <w:highlight w:val="none"/>
                <w:lang w:val="en-US" w:eastAsia="zh-CN" w:bidi="ar-SA"/>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5</w:t>
            </w:r>
            <w:r>
              <w:rPr>
                <w:rFonts w:hint="eastAsia" w:ascii="微软雅黑" w:hAnsi="微软雅黑" w:eastAsia="微软雅黑" w:cs="微软雅黑"/>
                <w:color w:val="auto"/>
                <w:sz w:val="20"/>
                <w:szCs w:val="20"/>
                <w:highlight w:val="none"/>
              </w:rPr>
              <w:t>分</w:t>
            </w:r>
          </w:p>
        </w:tc>
      </w:tr>
      <w:tr w14:paraId="426FCCD2">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left w:val="single" w:color="auto" w:sz="4" w:space="0"/>
              <w:right w:val="single" w:color="auto" w:sz="4" w:space="0"/>
            </w:tcBorders>
            <w:shd w:val="clear" w:color="auto" w:fill="auto"/>
            <w:noWrap w:val="0"/>
            <w:vAlign w:val="center"/>
          </w:tcPr>
          <w:p w14:paraId="12CA7EC1">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254757B">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项目实施期间及质保期内服务承诺</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1BDDF7E">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1.投标人提供2小时上门服务承诺函，且内附“未经甲方同意，乙方延时服务，则扣除1000元违约金/次”条款（加盖公司印章），得0.5分。</w:t>
            </w:r>
          </w:p>
          <w:p w14:paraId="1054A602">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2.所投“核心安全设备”的厂家有原厂工程师“驻本地化服务”的，得0.5分（提供原厂承诺函、负责本地化服务的工程师近3个月中 任意一个月的原厂社保证明）。</w:t>
            </w:r>
          </w:p>
          <w:p w14:paraId="31B82F23">
            <w:pPr>
              <w:pStyle w:val="24"/>
              <w:keepNext w:val="0"/>
              <w:keepLines w:val="0"/>
              <w:pageBreakBefore w:val="0"/>
              <w:kinsoku/>
              <w:wordWrap/>
              <w:overflowPunct/>
              <w:topLinePunct w:val="0"/>
              <w:bidi w:val="0"/>
              <w:spacing w:line="300" w:lineRule="exact"/>
              <w:textAlignment w:val="auto"/>
              <w:rPr>
                <w:rFonts w:hint="eastAsia" w:ascii="微软雅黑" w:hAnsi="微软雅黑" w:eastAsia="微软雅黑" w:cs="微软雅黑"/>
                <w:color w:val="auto"/>
                <w:sz w:val="20"/>
                <w:szCs w:val="20"/>
                <w:highlight w:val="none"/>
                <w:lang w:eastAsia="zh-CN"/>
              </w:rPr>
            </w:pPr>
            <w:r>
              <w:rPr>
                <w:rFonts w:hint="eastAsia" w:ascii="微软雅黑" w:hAnsi="微软雅黑" w:eastAsia="微软雅黑" w:cs="微软雅黑"/>
                <w:color w:val="auto"/>
                <w:sz w:val="20"/>
                <w:szCs w:val="20"/>
                <w:highlight w:val="none"/>
                <w:lang w:val="en-US" w:eastAsia="zh-CN"/>
              </w:rPr>
              <w:t>3.所投“核心安全设备”的厂家承诺让原厂工程师在项目试运行的第一年进行“每15天1次”回访巡检并出具巡检报告，且每次回访需甲方和工程师双方确认签字，得2分。</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BAEE694">
            <w:pPr>
              <w:keepNext w:val="0"/>
              <w:keepLines w:val="0"/>
              <w:pageBreakBefore w:val="0"/>
              <w:kinsoku/>
              <w:wordWrap/>
              <w:overflowPunct/>
              <w:topLinePunct w:val="0"/>
              <w:autoSpaceDE w:val="0"/>
              <w:autoSpaceDN w:val="0"/>
              <w:bidi w:val="0"/>
              <w:adjustRightIn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3</w:t>
            </w:r>
            <w:r>
              <w:rPr>
                <w:rFonts w:hint="eastAsia" w:ascii="微软雅黑" w:hAnsi="微软雅黑" w:eastAsia="微软雅黑" w:cs="微软雅黑"/>
                <w:color w:val="auto"/>
                <w:sz w:val="20"/>
                <w:szCs w:val="20"/>
                <w:highlight w:val="none"/>
              </w:rPr>
              <w:t>分</w:t>
            </w:r>
          </w:p>
        </w:tc>
      </w:tr>
      <w:tr w14:paraId="06CF62D1">
        <w:tblPrEx>
          <w:tblBorders>
            <w:top w:val="single" w:color="808080" w:sz="4" w:space="0"/>
            <w:left w:val="single" w:color="808080" w:sz="4" w:space="0"/>
            <w:bottom w:val="single" w:color="808080" w:sz="4" w:space="0"/>
            <w:right w:val="single" w:color="808080" w:sz="6" w:space="0"/>
            <w:insideH w:val="none" w:color="auto" w:sz="0" w:space="0"/>
            <w:insideV w:val="none" w:color="auto" w:sz="0" w:space="0"/>
          </w:tblBorders>
          <w:shd w:val="clear" w:color="auto" w:fill="auto"/>
          <w:tblCellMar>
            <w:top w:w="0" w:type="dxa"/>
            <w:left w:w="108" w:type="dxa"/>
            <w:bottom w:w="0" w:type="dxa"/>
            <w:right w:w="108" w:type="dxa"/>
          </w:tblCellMar>
        </w:tblPrEx>
        <w:trPr>
          <w:jc w:val="center"/>
        </w:trPr>
        <w:tc>
          <w:tcPr>
            <w:tcW w:w="1464" w:type="dxa"/>
            <w:vMerge w:val="continue"/>
            <w:tcBorders>
              <w:left w:val="single" w:color="auto" w:sz="4" w:space="0"/>
              <w:right w:val="single" w:color="auto" w:sz="4" w:space="0"/>
            </w:tcBorders>
            <w:shd w:val="clear" w:color="auto" w:fill="auto"/>
            <w:noWrap w:val="0"/>
            <w:vAlign w:val="center"/>
          </w:tcPr>
          <w:p w14:paraId="051FE5AC">
            <w:pPr>
              <w:keepNext w:val="0"/>
              <w:keepLines w:val="0"/>
              <w:pageBreakBefore w:val="0"/>
              <w:kinsoku/>
              <w:wordWrap/>
              <w:overflowPunct/>
              <w:topLinePunct w:val="0"/>
              <w:autoSpaceDE w:val="0"/>
              <w:autoSpaceDN w:val="0"/>
              <w:bidi w:val="0"/>
              <w:adjustRightInd w:val="0"/>
              <w:spacing w:line="300" w:lineRule="exact"/>
              <w:jc w:val="center"/>
              <w:textAlignment w:val="auto"/>
              <w:rPr>
                <w:rFonts w:hint="eastAsia" w:ascii="微软雅黑" w:hAnsi="微软雅黑" w:eastAsia="微软雅黑" w:cs="微软雅黑"/>
                <w:color w:val="auto"/>
                <w:sz w:val="20"/>
                <w:szCs w:val="20"/>
                <w:highlight w:val="none"/>
              </w:rPr>
            </w:pPr>
          </w:p>
        </w:tc>
        <w:tc>
          <w:tcPr>
            <w:tcW w:w="1464"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9CE70E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lang w:val="en-US" w:eastAsia="zh-CN"/>
              </w:rPr>
              <w:t>质保期外</w:t>
            </w:r>
            <w:r>
              <w:rPr>
                <w:rFonts w:hint="eastAsia" w:ascii="微软雅黑" w:hAnsi="微软雅黑" w:eastAsia="微软雅黑" w:cs="微软雅黑"/>
                <w:color w:val="auto"/>
                <w:sz w:val="20"/>
                <w:szCs w:val="20"/>
                <w:highlight w:val="none"/>
                <w:lang w:eastAsia="zh-CN"/>
              </w:rPr>
              <w:t>有偿质保服务购买承诺函</w:t>
            </w:r>
          </w:p>
        </w:tc>
        <w:tc>
          <w:tcPr>
            <w:tcW w:w="600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4753B793">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投标人出具“质保期外有偿质保服务购买承诺函”，承诺函上明确标明“年均服务购买总价和分项单价”和“各设备原厂盖章质保续购承诺”</w:t>
            </w:r>
            <w:r>
              <w:rPr>
                <w:rFonts w:hint="eastAsia" w:ascii="微软雅黑" w:hAnsi="微软雅黑" w:eastAsia="微软雅黑" w:cs="微软雅黑"/>
                <w:color w:val="FF0000"/>
                <w:sz w:val="18"/>
                <w:szCs w:val="18"/>
                <w:highlight w:val="none"/>
                <w:lang w:val="en-US" w:eastAsia="zh-CN"/>
              </w:rPr>
              <w:t>（第7项设备“显示屏”不作要求）</w:t>
            </w:r>
            <w:r>
              <w:rPr>
                <w:rFonts w:hint="eastAsia" w:ascii="微软雅黑" w:hAnsi="微软雅黑" w:eastAsia="微软雅黑" w:cs="微软雅黑"/>
                <w:color w:val="auto"/>
                <w:sz w:val="20"/>
                <w:szCs w:val="20"/>
                <w:highlight w:val="none"/>
                <w:lang w:val="en-US" w:eastAsia="zh-CN"/>
              </w:rPr>
              <w:t>的，得0.5分，提供不全的不得分。</w:t>
            </w:r>
          </w:p>
          <w:p w14:paraId="74AE8E64">
            <w:pPr>
              <w:keepNext w:val="0"/>
              <w:keepLines w:val="0"/>
              <w:pageBreakBefore w:val="0"/>
              <w:widowControl/>
              <w:kinsoku/>
              <w:wordWrap/>
              <w:overflowPunct/>
              <w:topLinePunct w:val="0"/>
              <w:bidi w:val="0"/>
              <w:snapToGrid w:val="0"/>
              <w:spacing w:line="300" w:lineRule="exact"/>
              <w:textAlignment w:val="auto"/>
              <w:rPr>
                <w:rFonts w:hint="eastAsia" w:ascii="微软雅黑" w:hAnsi="微软雅黑" w:eastAsia="微软雅黑" w:cs="微软雅黑"/>
                <w:color w:val="auto"/>
                <w:sz w:val="20"/>
                <w:szCs w:val="20"/>
                <w:highlight w:val="none"/>
                <w:lang w:val="en-US" w:eastAsia="zh-CN"/>
              </w:rPr>
            </w:pPr>
            <w:r>
              <w:rPr>
                <w:rFonts w:hint="eastAsia" w:ascii="微软雅黑" w:hAnsi="微软雅黑" w:eastAsia="微软雅黑" w:cs="微软雅黑"/>
                <w:color w:val="auto"/>
                <w:sz w:val="20"/>
                <w:szCs w:val="20"/>
                <w:highlight w:val="none"/>
                <w:lang w:val="en-US" w:eastAsia="zh-CN"/>
              </w:rPr>
              <w:t>所有投标人出具的</w:t>
            </w:r>
            <w:r>
              <w:rPr>
                <w:rFonts w:hint="eastAsia" w:ascii="微软雅黑" w:hAnsi="微软雅黑" w:eastAsia="微软雅黑" w:cs="微软雅黑"/>
                <w:color w:val="auto"/>
                <w:sz w:val="20"/>
                <w:szCs w:val="20"/>
                <w:highlight w:val="none"/>
                <w:lang w:eastAsia="zh-CN"/>
              </w:rPr>
              <w:t>“</w:t>
            </w:r>
            <w:r>
              <w:rPr>
                <w:rFonts w:hint="eastAsia" w:ascii="微软雅黑" w:hAnsi="微软雅黑" w:eastAsia="微软雅黑" w:cs="微软雅黑"/>
                <w:color w:val="auto"/>
                <w:sz w:val="20"/>
                <w:szCs w:val="20"/>
                <w:highlight w:val="none"/>
                <w:lang w:val="en-US" w:eastAsia="zh-CN"/>
              </w:rPr>
              <w:t>质保期外</w:t>
            </w:r>
            <w:r>
              <w:rPr>
                <w:rFonts w:hint="eastAsia" w:ascii="微软雅黑" w:hAnsi="微软雅黑" w:eastAsia="微软雅黑" w:cs="微软雅黑"/>
                <w:color w:val="auto"/>
                <w:sz w:val="20"/>
                <w:szCs w:val="20"/>
                <w:highlight w:val="none"/>
                <w:lang w:eastAsia="zh-CN"/>
              </w:rPr>
              <w:t>年均服务购买总价”按从低到高排序，排名位于前半的，得</w:t>
            </w:r>
            <w:r>
              <w:rPr>
                <w:rFonts w:hint="eastAsia" w:ascii="微软雅黑" w:hAnsi="微软雅黑" w:eastAsia="微软雅黑" w:cs="微软雅黑"/>
                <w:color w:val="auto"/>
                <w:sz w:val="20"/>
                <w:szCs w:val="20"/>
                <w:highlight w:val="none"/>
                <w:lang w:val="en-US" w:eastAsia="zh-CN"/>
              </w:rPr>
              <w:t>0.5分；后半的，不得分。（奇偶情况举例：如有8家公司，出具的购买单价从低到高排序，对半分，低价位区间的前4名可以得0.5分，后4名不得分；如有9加公司，出具的购买单价从低到高排序，对半分，低价位区间的前5名可以得0.5分，后4名不得分，以此类推）</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F4903F7">
            <w:pPr>
              <w:keepNext w:val="0"/>
              <w:keepLines w:val="0"/>
              <w:pageBreakBefore w:val="0"/>
              <w:kinsoku/>
              <w:wordWrap/>
              <w:overflowPunct/>
              <w:topLinePunct w:val="0"/>
              <w:autoSpaceDE w:val="0"/>
              <w:autoSpaceDN w:val="0"/>
              <w:bidi w:val="0"/>
              <w:adjustRightInd w:val="0"/>
              <w:snapToGrid w:val="0"/>
              <w:spacing w:line="300" w:lineRule="exact"/>
              <w:ind w:left="-94" w:leftChars="-45" w:right="-122" w:rightChars="-58"/>
              <w:jc w:val="center"/>
              <w:textAlignment w:val="auto"/>
              <w:rPr>
                <w:rFonts w:hint="eastAsia" w:ascii="微软雅黑" w:hAnsi="微软雅黑" w:eastAsia="微软雅黑" w:cs="微软雅黑"/>
                <w:color w:val="auto"/>
                <w:sz w:val="20"/>
                <w:szCs w:val="20"/>
                <w:highlight w:val="none"/>
              </w:rPr>
            </w:pPr>
            <w:r>
              <w:rPr>
                <w:rFonts w:hint="eastAsia" w:ascii="微软雅黑" w:hAnsi="微软雅黑" w:eastAsia="微软雅黑" w:cs="微软雅黑"/>
                <w:color w:val="auto"/>
                <w:sz w:val="20"/>
                <w:szCs w:val="20"/>
                <w:highlight w:val="none"/>
              </w:rPr>
              <w:t>0-</w:t>
            </w:r>
            <w:r>
              <w:rPr>
                <w:rFonts w:hint="eastAsia" w:ascii="微软雅黑" w:hAnsi="微软雅黑" w:eastAsia="微软雅黑" w:cs="微软雅黑"/>
                <w:color w:val="auto"/>
                <w:sz w:val="20"/>
                <w:szCs w:val="20"/>
                <w:highlight w:val="none"/>
                <w:lang w:val="en-US" w:eastAsia="zh-CN"/>
              </w:rPr>
              <w:t>1</w:t>
            </w:r>
            <w:r>
              <w:rPr>
                <w:rFonts w:hint="eastAsia" w:ascii="微软雅黑" w:hAnsi="微软雅黑" w:eastAsia="微软雅黑" w:cs="微软雅黑"/>
                <w:color w:val="auto"/>
                <w:sz w:val="20"/>
                <w:szCs w:val="20"/>
                <w:highlight w:val="none"/>
              </w:rPr>
              <w:t>分</w:t>
            </w:r>
          </w:p>
        </w:tc>
      </w:tr>
    </w:tbl>
    <w:p w14:paraId="6C463D09">
      <w:pPr>
        <w:keepNext w:val="0"/>
        <w:keepLines w:val="0"/>
        <w:pageBreakBefore w:val="0"/>
        <w:kinsoku/>
        <w:wordWrap/>
        <w:overflowPunct/>
        <w:topLinePunct w:val="0"/>
        <w:bidi w:val="0"/>
        <w:adjustRightInd w:val="0"/>
        <w:snapToGrid w:val="0"/>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供评标标准相应的商务技术资料。 </w:t>
      </w:r>
    </w:p>
    <w:p w14:paraId="06BBC75A">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30</w:t>
      </w:r>
      <w:r>
        <w:rPr>
          <w:rFonts w:hint="eastAsia" w:ascii="仿宋" w:hAnsi="仿宋" w:eastAsia="仿宋" w:cs="仿宋"/>
          <w:b/>
          <w:bCs/>
          <w:iCs/>
          <w:color w:val="auto"/>
          <w:sz w:val="24"/>
          <w:highlight w:val="none"/>
        </w:rPr>
        <w:t>分）</w:t>
      </w:r>
    </w:p>
    <w:p w14:paraId="38341700">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2.2.1评标基准价：即满足招标文件要求且投标价格最低的投标报价为评标基准价，其价格分为满分。</w:t>
      </w:r>
    </w:p>
    <w:p w14:paraId="68B8AF9B">
      <w:pPr>
        <w:keepNext w:val="0"/>
        <w:keepLines w:val="0"/>
        <w:pageBreakBefore w:val="0"/>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2.2.2其他投标人的价格分统一按照下列公式计算：</w:t>
      </w:r>
    </w:p>
    <w:p w14:paraId="0902C55C">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投标报价得分=(评标基准价／投标报价)×价格权值×100</w:t>
      </w:r>
    </w:p>
    <w:p w14:paraId="7064E9B7">
      <w:pPr>
        <w:keepNext w:val="0"/>
        <w:keepLines w:val="0"/>
        <w:pageBreakBefore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topLinePunct w:val="0"/>
        <w:bidi w:val="0"/>
        <w:adjustRightInd w:val="0"/>
        <w:spacing w:line="440" w:lineRule="exact"/>
        <w:textAlignment w:val="auto"/>
        <w:rPr>
          <w:rFonts w:hint="eastAsia" w:ascii="仿宋" w:hAnsi="仿宋" w:eastAsia="仿宋" w:cs="仿宋"/>
          <w:color w:val="auto"/>
          <w:highlight w:val="none"/>
        </w:rPr>
      </w:pPr>
      <w:r>
        <w:rPr>
          <w:rFonts w:hint="eastAsia" w:ascii="仿宋" w:hAnsi="仿宋" w:eastAsia="仿宋" w:cs="仿宋"/>
          <w:bCs/>
          <w:iCs/>
          <w:color w:val="auto"/>
          <w:sz w:val="24"/>
          <w:highlight w:val="none"/>
        </w:rPr>
        <w:t>即：投标报价得分=(评标基准价／投标报价)×</w:t>
      </w:r>
      <w:r>
        <w:rPr>
          <w:rFonts w:hint="eastAsia" w:ascii="仿宋" w:hAnsi="仿宋" w:eastAsia="仿宋" w:cs="仿宋"/>
          <w:bCs/>
          <w:iCs/>
          <w:color w:val="auto"/>
          <w:sz w:val="24"/>
          <w:highlight w:val="none"/>
          <w:u w:val="single"/>
          <w:lang w:val="en-US" w:eastAsia="zh-CN"/>
        </w:rPr>
        <w:t>30</w:t>
      </w:r>
    </w:p>
    <w:p w14:paraId="74EDF7D7">
      <w:pPr>
        <w:rPr>
          <w:rFonts w:hint="eastAsia" w:ascii="仿宋" w:hAnsi="仿宋" w:eastAsia="仿宋" w:cs="仿宋"/>
          <w:color w:val="auto"/>
          <w:highlight w:val="none"/>
        </w:rPr>
      </w:pPr>
    </w:p>
    <w:p w14:paraId="603ACEA6">
      <w:pPr>
        <w:rPr>
          <w:rFonts w:hint="eastAsia" w:ascii="仿宋" w:hAnsi="仿宋" w:eastAsia="仿宋" w:cs="仿宋"/>
          <w:color w:val="auto"/>
          <w:highlight w:val="none"/>
        </w:rPr>
      </w:pPr>
    </w:p>
    <w:p w14:paraId="66556B53">
      <w:pPr>
        <w:pStyle w:val="63"/>
        <w:rPr>
          <w:rFonts w:hint="eastAsia" w:ascii="仿宋" w:hAnsi="仿宋" w:eastAsia="仿宋" w:cs="仿宋"/>
          <w:color w:val="auto"/>
          <w:highlight w:val="none"/>
        </w:rPr>
      </w:pPr>
    </w:p>
    <w:p w14:paraId="527BDA72">
      <w:pPr>
        <w:pStyle w:val="63"/>
        <w:rPr>
          <w:rFonts w:hint="eastAsia" w:ascii="仿宋" w:hAnsi="仿宋" w:eastAsia="仿宋" w:cs="仿宋"/>
          <w:color w:val="auto"/>
          <w:highlight w:val="none"/>
        </w:rPr>
      </w:pPr>
    </w:p>
    <w:p w14:paraId="6F16BD63">
      <w:pPr>
        <w:pStyle w:val="63"/>
        <w:rPr>
          <w:rFonts w:hint="eastAsia" w:ascii="仿宋" w:hAnsi="仿宋" w:eastAsia="仿宋" w:cs="仿宋"/>
          <w:color w:val="auto"/>
          <w:highlight w:val="none"/>
        </w:rPr>
      </w:pPr>
    </w:p>
    <w:p w14:paraId="57873E5C">
      <w:pPr>
        <w:pStyle w:val="63"/>
        <w:rPr>
          <w:rFonts w:hint="eastAsia" w:ascii="仿宋" w:hAnsi="仿宋" w:eastAsia="仿宋" w:cs="仿宋"/>
          <w:color w:val="auto"/>
          <w:highlight w:val="none"/>
        </w:rPr>
      </w:pPr>
    </w:p>
    <w:p w14:paraId="2CB88393">
      <w:pPr>
        <w:pStyle w:val="63"/>
        <w:rPr>
          <w:rFonts w:hint="eastAsia" w:ascii="仿宋" w:hAnsi="仿宋" w:eastAsia="仿宋" w:cs="仿宋"/>
          <w:color w:val="auto"/>
          <w:highlight w:val="none"/>
        </w:rPr>
      </w:pPr>
    </w:p>
    <w:p w14:paraId="39053AB4">
      <w:pPr>
        <w:pStyle w:val="63"/>
        <w:rPr>
          <w:rFonts w:hint="eastAsia" w:ascii="仿宋" w:hAnsi="仿宋" w:eastAsia="仿宋" w:cs="仿宋"/>
          <w:color w:val="auto"/>
          <w:highlight w:val="none"/>
        </w:rPr>
      </w:pPr>
    </w:p>
    <w:p w14:paraId="6E7250D7">
      <w:pPr>
        <w:pStyle w:val="63"/>
        <w:rPr>
          <w:rFonts w:hint="eastAsia" w:ascii="仿宋" w:hAnsi="仿宋" w:eastAsia="仿宋" w:cs="仿宋"/>
          <w:color w:val="auto"/>
          <w:highlight w:val="none"/>
        </w:rPr>
      </w:pPr>
    </w:p>
    <w:p w14:paraId="474F8C90">
      <w:pPr>
        <w:pStyle w:val="63"/>
        <w:rPr>
          <w:rFonts w:hint="eastAsia" w:ascii="仿宋" w:hAnsi="仿宋" w:eastAsia="仿宋" w:cs="仿宋"/>
          <w:color w:val="auto"/>
          <w:highlight w:val="none"/>
        </w:rPr>
      </w:pPr>
    </w:p>
    <w:p w14:paraId="6BAFE702">
      <w:pPr>
        <w:pStyle w:val="63"/>
        <w:rPr>
          <w:rFonts w:hint="eastAsia" w:ascii="仿宋" w:hAnsi="仿宋" w:eastAsia="仿宋" w:cs="仿宋"/>
          <w:color w:val="auto"/>
          <w:highlight w:val="none"/>
        </w:rPr>
      </w:pPr>
    </w:p>
    <w:p w14:paraId="6DBBCCE3">
      <w:pPr>
        <w:pStyle w:val="63"/>
        <w:rPr>
          <w:rFonts w:hint="eastAsia" w:ascii="仿宋" w:hAnsi="仿宋" w:eastAsia="仿宋" w:cs="仿宋"/>
          <w:color w:val="auto"/>
          <w:highlight w:val="none"/>
        </w:rPr>
      </w:pPr>
    </w:p>
    <w:p w14:paraId="6B694371">
      <w:pPr>
        <w:pStyle w:val="63"/>
        <w:rPr>
          <w:rFonts w:hint="eastAsia" w:ascii="仿宋" w:hAnsi="仿宋" w:eastAsia="仿宋" w:cs="仿宋"/>
          <w:color w:val="auto"/>
          <w:highlight w:val="none"/>
        </w:rPr>
      </w:pPr>
    </w:p>
    <w:p w14:paraId="5FCF7BFD">
      <w:pPr>
        <w:pStyle w:val="63"/>
        <w:rPr>
          <w:rFonts w:hint="eastAsia" w:ascii="仿宋" w:hAnsi="仿宋" w:eastAsia="仿宋" w:cs="仿宋"/>
          <w:color w:val="auto"/>
          <w:highlight w:val="none"/>
        </w:rPr>
      </w:pPr>
    </w:p>
    <w:p w14:paraId="7175054E">
      <w:pPr>
        <w:pStyle w:val="63"/>
        <w:rPr>
          <w:rFonts w:hint="eastAsia" w:ascii="仿宋" w:hAnsi="仿宋" w:eastAsia="仿宋" w:cs="仿宋"/>
          <w:color w:val="auto"/>
          <w:highlight w:val="none"/>
        </w:rPr>
      </w:pPr>
    </w:p>
    <w:p w14:paraId="7EA9FA8E">
      <w:pPr>
        <w:pStyle w:val="63"/>
        <w:rPr>
          <w:rFonts w:hint="eastAsia" w:ascii="仿宋" w:hAnsi="仿宋" w:eastAsia="仿宋" w:cs="仿宋"/>
          <w:color w:val="auto"/>
          <w:highlight w:val="none"/>
        </w:rPr>
      </w:pPr>
    </w:p>
    <w:p w14:paraId="3FE862E4">
      <w:pPr>
        <w:pStyle w:val="63"/>
        <w:rPr>
          <w:rFonts w:hint="eastAsia" w:ascii="仿宋" w:hAnsi="仿宋" w:eastAsia="仿宋" w:cs="仿宋"/>
          <w:color w:val="auto"/>
          <w:highlight w:val="none"/>
        </w:rPr>
      </w:pPr>
    </w:p>
    <w:p w14:paraId="0955226B">
      <w:pPr>
        <w:pStyle w:val="63"/>
        <w:rPr>
          <w:rFonts w:hint="eastAsia" w:ascii="仿宋" w:hAnsi="仿宋" w:eastAsia="仿宋" w:cs="仿宋"/>
          <w:color w:val="auto"/>
          <w:highlight w:val="none"/>
        </w:rPr>
      </w:pPr>
    </w:p>
    <w:p w14:paraId="4256A952">
      <w:pPr>
        <w:pStyle w:val="63"/>
        <w:rPr>
          <w:rFonts w:hint="eastAsia" w:ascii="仿宋" w:hAnsi="仿宋" w:eastAsia="仿宋" w:cs="仿宋"/>
          <w:color w:val="auto"/>
          <w:highlight w:val="none"/>
        </w:rPr>
      </w:pPr>
    </w:p>
    <w:p w14:paraId="6F3EADC1">
      <w:pPr>
        <w:pStyle w:val="63"/>
        <w:rPr>
          <w:rFonts w:hint="eastAsia" w:ascii="仿宋" w:hAnsi="仿宋" w:eastAsia="仿宋" w:cs="仿宋"/>
          <w:color w:val="auto"/>
          <w:highlight w:val="none"/>
        </w:rPr>
      </w:pPr>
    </w:p>
    <w:p w14:paraId="18A9EDF1">
      <w:pPr>
        <w:rPr>
          <w:rFonts w:hint="eastAsia" w:ascii="仿宋" w:hAnsi="仿宋" w:eastAsia="仿宋" w:cs="仿宋"/>
          <w:color w:val="auto"/>
          <w:highlight w:val="none"/>
        </w:rPr>
      </w:pPr>
    </w:p>
    <w:p w14:paraId="5622E909">
      <w:pPr>
        <w:widowControl/>
        <w:adjustRightInd/>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6"/>
      <w:r>
        <w:rPr>
          <w:rFonts w:hint="eastAsia" w:ascii="仿宋" w:hAnsi="仿宋" w:eastAsia="仿宋" w:cs="仿宋"/>
          <w:b/>
          <w:color w:val="auto"/>
          <w:sz w:val="36"/>
          <w:szCs w:val="20"/>
          <w:highlight w:val="none"/>
        </w:rPr>
        <w:t xml:space="preserve"> </w:t>
      </w:r>
      <w:bookmarkEnd w:id="37"/>
      <w:r>
        <w:rPr>
          <w:rFonts w:hint="eastAsia" w:ascii="仿宋" w:hAnsi="仿宋" w:eastAsia="仿宋" w:cs="仿宋"/>
          <w:b/>
          <w:color w:val="auto"/>
          <w:sz w:val="36"/>
          <w:szCs w:val="20"/>
          <w:highlight w:val="none"/>
        </w:rPr>
        <w:t>投标文件及其附件格式</w:t>
      </w:r>
    </w:p>
    <w:p w14:paraId="06186AEB">
      <w:pPr>
        <w:spacing w:line="360" w:lineRule="auto"/>
        <w:jc w:val="center"/>
        <w:outlineLvl w:val="0"/>
        <w:rPr>
          <w:rFonts w:hint="eastAsia" w:ascii="仿宋" w:hAnsi="仿宋" w:eastAsia="仿宋" w:cs="仿宋"/>
          <w:b/>
          <w:color w:val="auto"/>
          <w:kern w:val="0"/>
          <w:sz w:val="36"/>
          <w:szCs w:val="36"/>
          <w:highlight w:val="none"/>
        </w:rPr>
      </w:pPr>
    </w:p>
    <w:p w14:paraId="1F7AFAB2">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42157A3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D62E1F0">
      <w:pPr>
        <w:spacing w:line="360" w:lineRule="auto"/>
        <w:jc w:val="center"/>
        <w:outlineLvl w:val="0"/>
        <w:rPr>
          <w:rFonts w:hint="eastAsia" w:ascii="仿宋" w:hAnsi="仿宋" w:eastAsia="仿宋" w:cs="仿宋"/>
          <w:b/>
          <w:color w:val="auto"/>
          <w:kern w:val="0"/>
          <w:sz w:val="36"/>
          <w:szCs w:val="36"/>
          <w:highlight w:val="none"/>
        </w:rPr>
      </w:pPr>
    </w:p>
    <w:p w14:paraId="28F3F737">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5E000675">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AF92A9C">
      <w:pPr>
        <w:pStyle w:val="24"/>
        <w:rPr>
          <w:rFonts w:hint="eastAsia" w:ascii="仿宋" w:hAnsi="仿宋" w:eastAsia="仿宋" w:cs="仿宋"/>
          <w:color w:val="auto"/>
          <w:highlight w:val="none"/>
          <w:lang w:eastAsia="zh-CN"/>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分包协议</w:t>
      </w:r>
      <w:r>
        <w:rPr>
          <w:rFonts w:hint="eastAsia" w:ascii="仿宋" w:hAnsi="仿宋" w:eastAsia="仿宋" w:cs="仿宋"/>
          <w:color w:val="auto"/>
          <w:sz w:val="24"/>
          <w:highlight w:val="none"/>
        </w:rPr>
        <w:t>………………………………………………………………（页码）</w:t>
      </w:r>
    </w:p>
    <w:p w14:paraId="560A7A7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）落实政府采购政策需满足的资格要求………………………………（页码）</w:t>
      </w:r>
    </w:p>
    <w:p w14:paraId="4F2B220A">
      <w:pPr>
        <w:snapToGrid w:val="0"/>
        <w:spacing w:line="360" w:lineRule="auto"/>
        <w:ind w:firstLine="480" w:firstLineChars="200"/>
        <w:rPr>
          <w:rFonts w:hint="eastAsia" w:ascii="仿宋" w:hAnsi="仿宋" w:eastAsia="仿宋" w:cs="仿宋"/>
          <w:color w:val="auto"/>
          <w:sz w:val="24"/>
          <w:highlight w:val="none"/>
        </w:rPr>
      </w:pPr>
    </w:p>
    <w:p w14:paraId="4869CA1F">
      <w:pPr>
        <w:spacing w:line="360" w:lineRule="auto"/>
        <w:ind w:firstLine="480" w:firstLineChars="200"/>
        <w:rPr>
          <w:rFonts w:hint="eastAsia" w:ascii="仿宋" w:hAnsi="仿宋" w:eastAsia="仿宋" w:cs="仿宋"/>
          <w:color w:val="auto"/>
          <w:sz w:val="24"/>
          <w:highlight w:val="none"/>
        </w:rPr>
      </w:pPr>
    </w:p>
    <w:p w14:paraId="3FDA9E5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 xml:space="preserve">  一、 符合参加政府采购活动应当具备的一般条件的承诺函</w:t>
      </w:r>
    </w:p>
    <w:p w14:paraId="63E7CBE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42F9EC9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】政府采购活动，郑重承诺：</w:t>
      </w:r>
    </w:p>
    <w:p w14:paraId="01B2F5FD">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277BA59B">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如投标人为</w:t>
      </w:r>
      <w:r>
        <w:rPr>
          <w:rFonts w:hint="eastAsia" w:ascii="仿宋_GB2312" w:hAnsi="仿宋_GB2312" w:eastAsia="仿宋_GB2312" w:cs="仿宋_GB2312"/>
          <w:color w:val="auto"/>
          <w:sz w:val="24"/>
          <w:highlight w:val="none"/>
        </w:rPr>
        <w:t>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14:paraId="42F40F4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89C069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68CF128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1213C93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70C19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4FA8A3F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5102E8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A2CD76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689CD5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11FD306">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48C91749">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43ABA8F3">
      <w:pPr>
        <w:snapToGrid w:val="0"/>
        <w:spacing w:line="360" w:lineRule="auto"/>
        <w:ind w:right="480"/>
        <w:jc w:val="center"/>
        <w:rPr>
          <w:rFonts w:hint="eastAsia" w:ascii="仿宋" w:hAnsi="仿宋" w:eastAsia="仿宋" w:cs="仿宋"/>
          <w:b/>
          <w:color w:val="auto"/>
          <w:kern w:val="0"/>
          <w:sz w:val="32"/>
          <w:szCs w:val="32"/>
          <w:highlight w:val="none"/>
        </w:rPr>
      </w:pPr>
    </w:p>
    <w:p w14:paraId="4EEE8AA9">
      <w:pPr>
        <w:snapToGrid w:val="0"/>
        <w:spacing w:line="360" w:lineRule="auto"/>
        <w:ind w:right="480"/>
        <w:jc w:val="center"/>
        <w:rPr>
          <w:rFonts w:hint="eastAsia" w:ascii="仿宋" w:hAnsi="仿宋" w:eastAsia="仿宋" w:cs="仿宋"/>
          <w:b/>
          <w:color w:val="auto"/>
          <w:kern w:val="0"/>
          <w:sz w:val="32"/>
          <w:szCs w:val="32"/>
          <w:highlight w:val="none"/>
        </w:rPr>
      </w:pPr>
    </w:p>
    <w:p w14:paraId="1892B5D1">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CD1BD1F">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7F1BE4AC">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）；本项目不接受联合体投标或者投标人不以联合体形式投标的，则不需要提供）]</w:t>
      </w:r>
    </w:p>
    <w:p w14:paraId="3BF3A225">
      <w:pPr>
        <w:snapToGrid w:val="0"/>
        <w:spacing w:line="360" w:lineRule="auto"/>
        <w:ind w:right="480"/>
        <w:jc w:val="center"/>
        <w:rPr>
          <w:rFonts w:hint="eastAsia" w:ascii="仿宋" w:hAnsi="仿宋" w:eastAsia="仿宋" w:cs="仿宋"/>
          <w:b/>
          <w:color w:val="auto"/>
          <w:kern w:val="0"/>
          <w:sz w:val="32"/>
          <w:szCs w:val="32"/>
          <w:highlight w:val="none"/>
        </w:rPr>
      </w:pPr>
    </w:p>
    <w:p w14:paraId="0B992A0C">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6DDE878A">
      <w:pPr>
        <w:widowControl/>
        <w:spacing w:line="360"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[中标后以分包方式履行合同的，提供分包意向协议(附件</w:t>
      </w:r>
      <w:r>
        <w:rPr>
          <w:rFonts w:hint="eastAsia" w:ascii="仿宋" w:hAnsi="仿宋" w:eastAsia="仿宋" w:cs="仿宋"/>
          <w:b/>
          <w:color w:val="auto"/>
          <w:sz w:val="24"/>
          <w:highlight w:val="none"/>
          <w:lang w:val="en-US" w:eastAsia="zh-CN"/>
        </w:rPr>
        <w:t>5</w:t>
      </w:r>
      <w:r>
        <w:rPr>
          <w:rFonts w:hint="eastAsia" w:ascii="仿宋" w:hAnsi="仿宋" w:eastAsia="仿宋" w:cs="仿宋"/>
          <w:b/>
          <w:color w:val="auto"/>
          <w:sz w:val="24"/>
          <w:highlight w:val="none"/>
        </w:rPr>
        <w:t>)；采购人不同意分包或者投标人中标后不以分包方式履行合同的，则不需要提供。]</w:t>
      </w:r>
    </w:p>
    <w:p w14:paraId="37A64512">
      <w:pPr>
        <w:snapToGrid w:val="0"/>
        <w:spacing w:line="360" w:lineRule="auto"/>
        <w:ind w:right="480"/>
        <w:jc w:val="center"/>
        <w:rPr>
          <w:rFonts w:hint="eastAsia" w:ascii="仿宋" w:hAnsi="仿宋" w:eastAsia="仿宋" w:cs="仿宋"/>
          <w:b/>
          <w:color w:val="auto"/>
          <w:kern w:val="0"/>
          <w:sz w:val="32"/>
          <w:szCs w:val="32"/>
          <w:highlight w:val="none"/>
        </w:rPr>
      </w:pPr>
    </w:p>
    <w:p w14:paraId="1B683804">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四</w:t>
      </w:r>
      <w:r>
        <w:rPr>
          <w:rFonts w:hint="eastAsia" w:ascii="仿宋" w:hAnsi="仿宋" w:eastAsia="仿宋" w:cs="仿宋"/>
          <w:b/>
          <w:color w:val="auto"/>
          <w:kern w:val="0"/>
          <w:sz w:val="32"/>
          <w:szCs w:val="32"/>
          <w:highlight w:val="none"/>
        </w:rPr>
        <w:t>、落实政府采购政策需满足的资格要求</w:t>
      </w:r>
    </w:p>
    <w:p w14:paraId="6A71D02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7ADE2195">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14:paraId="0F13BB84">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）和中小企业声明函（附件7），联合协议中中小企业合同金额应当达到招标公告载明的比例；如果供应商本身提供所有标的均由中小企业承接的，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0DE7E80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528C6813">
      <w:pPr>
        <w:widowControl/>
        <w:spacing w:line="360" w:lineRule="auto"/>
        <w:ind w:left="150"/>
        <w:jc w:val="center"/>
        <w:rPr>
          <w:rFonts w:hint="eastAsia" w:ascii="仿宋" w:hAnsi="仿宋" w:eastAsia="仿宋" w:cs="仿宋"/>
          <w:b/>
          <w:color w:val="auto"/>
          <w:kern w:val="0"/>
          <w:sz w:val="32"/>
          <w:szCs w:val="32"/>
          <w:highlight w:val="none"/>
        </w:rPr>
      </w:pPr>
    </w:p>
    <w:p w14:paraId="1E0B523A">
      <w:pPr>
        <w:spacing w:line="360" w:lineRule="auto"/>
        <w:jc w:val="center"/>
        <w:rPr>
          <w:rFonts w:hint="eastAsia" w:ascii="仿宋" w:hAnsi="仿宋" w:eastAsia="仿宋" w:cs="仿宋"/>
          <w:color w:val="auto"/>
          <w:sz w:val="24"/>
          <w:highlight w:val="none"/>
        </w:rPr>
      </w:pPr>
    </w:p>
    <w:p w14:paraId="0474DA05">
      <w:pPr>
        <w:pStyle w:val="25"/>
        <w:rPr>
          <w:rFonts w:hint="eastAsia"/>
          <w:color w:val="auto"/>
          <w:highlight w:val="none"/>
        </w:rPr>
      </w:pPr>
    </w:p>
    <w:p w14:paraId="324E218A">
      <w:pPr>
        <w:rPr>
          <w:rFonts w:hint="eastAsia"/>
          <w:color w:val="auto"/>
          <w:highlight w:val="none"/>
        </w:rPr>
      </w:pPr>
    </w:p>
    <w:p w14:paraId="769E5991">
      <w:pPr>
        <w:pStyle w:val="25"/>
        <w:rPr>
          <w:rFonts w:hint="eastAsia"/>
          <w:color w:val="auto"/>
          <w:highlight w:val="none"/>
        </w:rPr>
      </w:pPr>
    </w:p>
    <w:p w14:paraId="2C9B860C">
      <w:pPr>
        <w:rPr>
          <w:rFonts w:hint="eastAsia"/>
          <w:color w:val="auto"/>
          <w:highlight w:val="none"/>
        </w:rPr>
      </w:pPr>
    </w:p>
    <w:p w14:paraId="7EA00687">
      <w:pPr>
        <w:pStyle w:val="25"/>
        <w:rPr>
          <w:rFonts w:hint="eastAsia"/>
          <w:color w:val="auto"/>
          <w:highlight w:val="none"/>
        </w:rPr>
      </w:pPr>
    </w:p>
    <w:p w14:paraId="321B876A">
      <w:pPr>
        <w:rPr>
          <w:rFonts w:hint="eastAsia"/>
          <w:color w:val="auto"/>
          <w:highlight w:val="none"/>
        </w:rPr>
      </w:pPr>
    </w:p>
    <w:p w14:paraId="65CABA91">
      <w:pPr>
        <w:spacing w:line="336"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6DB2A23E">
      <w:pPr>
        <w:spacing w:line="336" w:lineRule="auto"/>
        <w:jc w:val="center"/>
        <w:outlineLvl w:val="0"/>
        <w:rPr>
          <w:rFonts w:ascii="仿宋" w:hAnsi="仿宋" w:eastAsia="仿宋" w:cs="仿宋"/>
          <w:b/>
          <w:color w:val="auto"/>
          <w:kern w:val="0"/>
          <w:sz w:val="24"/>
          <w:highlight w:val="none"/>
        </w:rPr>
      </w:pPr>
    </w:p>
    <w:p w14:paraId="47303D35">
      <w:pPr>
        <w:spacing w:line="336" w:lineRule="auto"/>
        <w:jc w:val="center"/>
        <w:outlineLvl w:val="0"/>
        <w:rPr>
          <w:rFonts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16D18E06">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eastAsia="zh-CN"/>
        </w:rPr>
        <w:t>投标函</w:t>
      </w:r>
      <w:r>
        <w:rPr>
          <w:rFonts w:hint="eastAsia" w:ascii="仿宋" w:eastAsia="仿宋" w:cs="仿宋"/>
          <w:color w:val="auto"/>
          <w:highlight w:val="none"/>
        </w:rPr>
        <w:t>…………………………………………………………………………（页码）</w:t>
      </w:r>
    </w:p>
    <w:p w14:paraId="1ACFD403">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法定代表人授权书 ………………………………………………………… （页码）</w:t>
      </w:r>
    </w:p>
    <w:p w14:paraId="46C8D878">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法定代表人及其授权代表身份证复印件（复印件）………………………（页码）</w:t>
      </w:r>
    </w:p>
    <w:p w14:paraId="2F7D18D3">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法定代表人身份证明书………………………………………………………（页码）</w:t>
      </w:r>
    </w:p>
    <w:p w14:paraId="2CA155B7">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rPr>
        <w:t>商务技术</w:t>
      </w:r>
      <w:r>
        <w:rPr>
          <w:rFonts w:hint="eastAsia" w:ascii="仿宋" w:eastAsia="仿宋" w:cs="仿宋"/>
          <w:color w:val="auto"/>
          <w:highlight w:val="none"/>
          <w:lang w:eastAsia="zh-CN"/>
        </w:rPr>
        <w:t>偏离表</w:t>
      </w:r>
      <w:r>
        <w:rPr>
          <w:rFonts w:hint="eastAsia" w:ascii="仿宋" w:eastAsia="仿宋" w:cs="仿宋"/>
          <w:color w:val="auto"/>
          <w:highlight w:val="none"/>
        </w:rPr>
        <w:t>………………………………………………………………（页码）</w:t>
      </w:r>
    </w:p>
    <w:p w14:paraId="199E32CA">
      <w:pPr>
        <w:pStyle w:val="907"/>
        <w:numPr>
          <w:ilvl w:val="0"/>
          <w:numId w:val="1"/>
        </w:numPr>
        <w:spacing w:line="336" w:lineRule="auto"/>
        <w:ind w:left="0" w:firstLine="0" w:firstLineChars="0"/>
        <w:jc w:val="both"/>
        <w:rPr>
          <w:rFonts w:ascii="仿宋" w:eastAsia="仿宋" w:cs="仿宋"/>
          <w:color w:val="auto"/>
          <w:highlight w:val="none"/>
        </w:rPr>
      </w:pPr>
      <w:r>
        <w:rPr>
          <w:rFonts w:hint="eastAsia" w:ascii="仿宋" w:eastAsia="仿宋" w:cs="仿宋"/>
          <w:color w:val="auto"/>
          <w:highlight w:val="none"/>
          <w:lang w:val="en-US" w:eastAsia="zh-CN"/>
        </w:rPr>
        <w:t>其他内容</w:t>
      </w:r>
      <w:r>
        <w:rPr>
          <w:rFonts w:hint="eastAsia" w:ascii="仿宋" w:eastAsia="仿宋" w:cs="仿宋"/>
          <w:color w:val="auto"/>
          <w:highlight w:val="none"/>
        </w:rPr>
        <w:t>………………………………………………………………………（页码）</w:t>
      </w:r>
    </w:p>
    <w:p w14:paraId="4DDF6BE3">
      <w:pPr>
        <w:snapToGrid w:val="0"/>
        <w:spacing w:line="360" w:lineRule="auto"/>
        <w:jc w:val="center"/>
        <w:rPr>
          <w:rFonts w:hint="eastAsia" w:ascii="仿宋" w:hAnsi="仿宋" w:eastAsia="仿宋" w:cs="仿宋"/>
          <w:b/>
          <w:color w:val="auto"/>
          <w:kern w:val="0"/>
          <w:sz w:val="32"/>
          <w:szCs w:val="32"/>
          <w:highlight w:val="none"/>
          <w:lang w:val="zh-CN"/>
        </w:rPr>
      </w:pPr>
    </w:p>
    <w:p w14:paraId="3DCC3BEE">
      <w:pPr>
        <w:snapToGrid w:val="0"/>
        <w:spacing w:line="360" w:lineRule="auto"/>
        <w:jc w:val="center"/>
        <w:rPr>
          <w:rFonts w:hint="eastAsia" w:ascii="仿宋" w:hAnsi="仿宋" w:eastAsia="仿宋" w:cs="仿宋"/>
          <w:b/>
          <w:color w:val="auto"/>
          <w:kern w:val="0"/>
          <w:sz w:val="32"/>
          <w:szCs w:val="32"/>
          <w:highlight w:val="none"/>
          <w:lang w:val="zh-CN"/>
        </w:rPr>
      </w:pPr>
    </w:p>
    <w:p w14:paraId="3D244B47">
      <w:pPr>
        <w:snapToGrid w:val="0"/>
        <w:spacing w:line="360" w:lineRule="auto"/>
        <w:jc w:val="center"/>
        <w:rPr>
          <w:rFonts w:hint="eastAsia" w:ascii="仿宋" w:hAnsi="仿宋" w:eastAsia="仿宋" w:cs="仿宋"/>
          <w:b/>
          <w:color w:val="auto"/>
          <w:kern w:val="0"/>
          <w:sz w:val="32"/>
          <w:szCs w:val="32"/>
          <w:highlight w:val="none"/>
          <w:lang w:val="zh-CN"/>
        </w:rPr>
      </w:pPr>
    </w:p>
    <w:p w14:paraId="686400A8">
      <w:pPr>
        <w:snapToGrid w:val="0"/>
        <w:spacing w:line="360" w:lineRule="auto"/>
        <w:jc w:val="both"/>
        <w:rPr>
          <w:rFonts w:hint="eastAsia" w:ascii="仿宋" w:hAnsi="仿宋" w:eastAsia="仿宋" w:cs="仿宋"/>
          <w:b/>
          <w:color w:val="auto"/>
          <w:kern w:val="0"/>
          <w:sz w:val="32"/>
          <w:szCs w:val="32"/>
          <w:highlight w:val="none"/>
          <w:lang w:val="zh-CN"/>
        </w:rPr>
      </w:pPr>
    </w:p>
    <w:p w14:paraId="62EC8B8F">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9B4FDE7">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41F36F8C">
      <w:pPr>
        <w:pStyle w:val="398"/>
        <w:keepNext w:val="0"/>
        <w:keepLines w:val="0"/>
        <w:pageBreakBefore w:val="0"/>
        <w:kinsoku/>
        <w:wordWrap/>
        <w:overflowPunct/>
        <w:topLinePunct w:val="0"/>
        <w:autoSpaceDE/>
        <w:autoSpaceDN/>
        <w:bidi w:val="0"/>
        <w:spacing w:after="0" w:line="336" w:lineRule="auto"/>
        <w:ind w:firstLine="0" w:firstLineChars="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lang w:val="en-US" w:eastAsia="zh-CN"/>
        </w:rPr>
        <w:t xml:space="preserve">              </w:t>
      </w:r>
    </w:p>
    <w:p w14:paraId="16C03A26">
      <w:pPr>
        <w:pStyle w:val="398"/>
        <w:keepNext w:val="0"/>
        <w:keepLines w:val="0"/>
        <w:pageBreakBefore w:val="0"/>
        <w:kinsoku/>
        <w:wordWrap/>
        <w:overflowPunct/>
        <w:topLinePunct w:val="0"/>
        <w:autoSpaceDE/>
        <w:autoSpaceDN/>
        <w:bidi w:val="0"/>
        <w:spacing w:after="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根据贵方招标文件（</w:t>
      </w:r>
      <w:r>
        <w:rPr>
          <w:rFonts w:hint="eastAsia" w:ascii="仿宋" w:hAnsi="仿宋" w:eastAsia="仿宋" w:cs="仿宋"/>
          <w:b/>
          <w:color w:val="auto"/>
          <w:sz w:val="24"/>
          <w:szCs w:val="24"/>
          <w:highlight w:val="none"/>
          <w:u w:val="single"/>
        </w:rPr>
        <w:t>填写</w:t>
      </w:r>
      <w:r>
        <w:rPr>
          <w:rFonts w:hint="eastAsia" w:ascii="仿宋" w:hAnsi="仿宋" w:eastAsia="仿宋" w:cs="仿宋"/>
          <w:b/>
          <w:color w:val="auto"/>
          <w:sz w:val="24"/>
          <w:szCs w:val="24"/>
          <w:highlight w:val="none"/>
          <w:u w:val="single"/>
          <w:lang w:eastAsia="zh-CN"/>
        </w:rPr>
        <w:t>项目编号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）的要求，正式授权</w:t>
      </w:r>
      <w:r>
        <w:rPr>
          <w:rFonts w:hint="eastAsia" w:ascii="仿宋" w:hAnsi="仿宋" w:eastAsia="仿宋" w:cs="仿宋"/>
          <w:b/>
          <w:color w:val="auto"/>
          <w:sz w:val="24"/>
          <w:szCs w:val="24"/>
          <w:highlight w:val="none"/>
          <w:u w:val="single"/>
        </w:rPr>
        <w:t>（全权代表姓名    、单位    、职务   ）</w:t>
      </w:r>
      <w:r>
        <w:rPr>
          <w:rFonts w:hint="eastAsia" w:ascii="仿宋" w:hAnsi="仿宋" w:eastAsia="仿宋" w:cs="仿宋"/>
          <w:color w:val="auto"/>
          <w:sz w:val="24"/>
          <w:szCs w:val="24"/>
          <w:highlight w:val="none"/>
        </w:rPr>
        <w:t>代表投标人</w:t>
      </w:r>
      <w:r>
        <w:rPr>
          <w:rFonts w:hint="eastAsia" w:ascii="仿宋" w:hAnsi="仿宋" w:eastAsia="仿宋" w:cs="仿宋"/>
          <w:color w:val="auto"/>
          <w:sz w:val="24"/>
          <w:szCs w:val="24"/>
          <w:highlight w:val="none"/>
          <w:u w:val="single"/>
        </w:rPr>
        <w:t>（</w:t>
      </w:r>
      <w:r>
        <w:rPr>
          <w:rFonts w:hint="eastAsia" w:ascii="仿宋" w:hAnsi="仿宋" w:eastAsia="仿宋" w:cs="仿宋"/>
          <w:b/>
          <w:color w:val="auto"/>
          <w:sz w:val="24"/>
          <w:szCs w:val="24"/>
          <w:highlight w:val="none"/>
          <w:u w:val="single"/>
        </w:rPr>
        <w:t xml:space="preserve">填写单位    、地址   </w:t>
      </w:r>
      <w:r>
        <w:rPr>
          <w:rFonts w:hint="eastAsia" w:ascii="仿宋" w:hAnsi="仿宋" w:eastAsia="仿宋" w:cs="仿宋"/>
          <w:color w:val="auto"/>
          <w:sz w:val="24"/>
          <w:szCs w:val="24"/>
          <w:highlight w:val="none"/>
          <w:u w:val="single"/>
        </w:rPr>
        <w:t>）</w:t>
      </w:r>
      <w:r>
        <w:rPr>
          <w:rFonts w:hint="eastAsia" w:ascii="仿宋" w:hAnsi="仿宋" w:eastAsia="仿宋" w:cs="仿宋"/>
          <w:color w:val="auto"/>
          <w:sz w:val="24"/>
          <w:szCs w:val="24"/>
          <w:highlight w:val="none"/>
        </w:rPr>
        <w:t>提交投标文件。</w:t>
      </w:r>
    </w:p>
    <w:p w14:paraId="64B1A3EB">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我方已完全明白招标文件的所有条款要求，兹声明同意如下：</w:t>
      </w:r>
    </w:p>
    <w:p w14:paraId="51BBF8F4">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1.我方同意在投标人</w:t>
      </w:r>
      <w:r>
        <w:rPr>
          <w:rFonts w:hint="eastAsia" w:ascii="仿宋" w:hAnsi="仿宋" w:eastAsia="仿宋" w:cs="仿宋"/>
          <w:color w:val="auto"/>
          <w:kern w:val="44"/>
          <w:sz w:val="24"/>
          <w:szCs w:val="24"/>
          <w:highlight w:val="none"/>
        </w:rPr>
        <w:t>须知</w:t>
      </w:r>
      <w:r>
        <w:rPr>
          <w:rFonts w:hint="eastAsia" w:ascii="仿宋" w:hAnsi="仿宋" w:eastAsia="仿宋" w:cs="仿宋"/>
          <w:color w:val="auto"/>
          <w:sz w:val="24"/>
          <w:szCs w:val="24"/>
          <w:highlight w:val="none"/>
        </w:rPr>
        <w:t>规定的开标日期起遵守本投标文件中的承诺且在投标有效期满之前均具有约束力。</w:t>
      </w:r>
    </w:p>
    <w:p w14:paraId="0B810FB9">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2.我方承诺已经具备《中华人民共和国政府采购法》中规定的参加政府采购活动的供应商应当具备的条件。</w:t>
      </w:r>
    </w:p>
    <w:p w14:paraId="055E4BE3">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3.本公司投标文件中填列的技术参数、配置、服务、数量等相关内容都是真实、准确的。保证在本次项目中所提供的资料全部真实和合法。同意向</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提供可能另外要求的与投标有关的任何数据或资料。</w:t>
      </w:r>
    </w:p>
    <w:p w14:paraId="4C37376C">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4.我方理解贵方将不受你们所收到的最低报价的约束。</w:t>
      </w:r>
    </w:p>
    <w:p w14:paraId="0534D588">
      <w:pPr>
        <w:pStyle w:val="14"/>
        <w:keepNext w:val="0"/>
        <w:keepLines w:val="0"/>
        <w:pageBreakBefore w:val="0"/>
        <w:tabs>
          <w:tab w:val="clear" w:pos="1697"/>
        </w:tabs>
        <w:kinsoku/>
        <w:wordWrap/>
        <w:overflowPunct/>
        <w:topLinePunct w:val="0"/>
        <w:autoSpaceDE/>
        <w:autoSpaceDN/>
        <w:bidi w:val="0"/>
        <w:spacing w:after="0" w:afterLines="0" w:line="336" w:lineRule="auto"/>
        <w:ind w:lef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5.本投标自开标之日（投标截止之日）起90天内有效。</w:t>
      </w:r>
    </w:p>
    <w:p w14:paraId="3BB64698">
      <w:pPr>
        <w:pStyle w:val="398"/>
        <w:keepNext w:val="0"/>
        <w:keepLines w:val="0"/>
        <w:pageBreakBefore w:val="0"/>
        <w:kinsoku/>
        <w:wordWrap/>
        <w:overflowPunct/>
        <w:topLinePunct w:val="0"/>
        <w:autoSpaceDE/>
        <w:autoSpaceDN/>
        <w:bidi w:val="0"/>
        <w:spacing w:after="0" w:afterLines="0" w:line="336"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14:paraId="51A6D61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a)提供虚假材料谋取中标、成交的；</w:t>
      </w:r>
    </w:p>
    <w:p w14:paraId="4C614730">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b)采取不正当手段诋毁、排挤其他供应商的；</w:t>
      </w:r>
    </w:p>
    <w:p w14:paraId="6E763CB5">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c)与采购人、其它供应商或者采购代理机构恶意串通的；</w:t>
      </w:r>
    </w:p>
    <w:p w14:paraId="41BD933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d)向采购人、采购代理机构行贿或者提供其他不正当利益的；</w:t>
      </w:r>
    </w:p>
    <w:p w14:paraId="57DD2F37">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e)在招标采购过程中与采购人进行协商谈判的；</w:t>
      </w:r>
    </w:p>
    <w:p w14:paraId="2CA10C5B">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f)拒绝有关部门监督检查或提供虚假情况的。</w:t>
      </w:r>
    </w:p>
    <w:p w14:paraId="5F18A672">
      <w:pPr>
        <w:keepNext w:val="0"/>
        <w:keepLines w:val="0"/>
        <w:pageBreakBefore w:val="0"/>
        <w:kinsoku/>
        <w:wordWrap/>
        <w:overflowPunct/>
        <w:topLinePunct w:val="0"/>
        <w:autoSpaceDE/>
        <w:autoSpaceDN/>
        <w:bidi w:val="0"/>
        <w:snapToGrid w:val="0"/>
        <w:spacing w:line="336"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供应商有前款第a)至e)项情形之一的，中标、成交无效。</w:t>
      </w:r>
    </w:p>
    <w:p w14:paraId="2EB70044">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　　　　　　　　　　　　　　　邮政编码：</w:t>
      </w:r>
    </w:p>
    <w:p w14:paraId="56645BE2">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1C7EF6F2">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                          帐号：</w:t>
      </w:r>
    </w:p>
    <w:p w14:paraId="1EEB4E7B">
      <w:pPr>
        <w:pStyle w:val="398"/>
        <w:keepNext w:val="0"/>
        <w:keepLines w:val="0"/>
        <w:pageBreakBefore w:val="0"/>
        <w:kinsoku/>
        <w:wordWrap/>
        <w:overflowPunct/>
        <w:topLinePunct w:val="0"/>
        <w:autoSpaceDE/>
        <w:autoSpaceDN/>
        <w:bidi w:val="0"/>
        <w:adjustRightInd w:val="0"/>
        <w:snapToGrid w:val="0"/>
        <w:spacing w:after="0" w:afterLines="0" w:line="24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法定代表人或其授权代表(签字或盖章)：</w:t>
      </w:r>
    </w:p>
    <w:p w14:paraId="1A89042A">
      <w:pPr>
        <w:keepNext w:val="0"/>
        <w:keepLines w:val="0"/>
        <w:pageBreakBefore w:val="0"/>
        <w:kinsoku/>
        <w:wordWrap/>
        <w:overflowPunct/>
        <w:topLinePunct w:val="0"/>
        <w:autoSpaceDE/>
        <w:autoSpaceDN/>
        <w:bidi w:val="0"/>
        <w:adjustRightInd w:val="0"/>
        <w:snapToGrid w:val="0"/>
        <w:spacing w:line="240" w:lineRule="auto"/>
        <w:ind w:firstLine="480" w:firstLineChars="200"/>
        <w:jc w:val="left"/>
        <w:textAlignment w:val="auto"/>
        <w:rPr>
          <w:rFonts w:hint="eastAsia" w:ascii="仿宋" w:hAnsi="仿宋" w:eastAsia="仿宋" w:cs="仿宋"/>
          <w:b/>
          <w:color w:val="auto"/>
          <w:kern w:val="0"/>
          <w:sz w:val="32"/>
          <w:szCs w:val="32"/>
          <w:highlight w:val="none"/>
        </w:rPr>
      </w:pPr>
      <w:r>
        <w:rPr>
          <w:rFonts w:hint="eastAsia" w:ascii="仿宋" w:hAnsi="仿宋" w:eastAsia="仿宋" w:cs="仿宋"/>
          <w:color w:val="auto"/>
          <w:sz w:val="24"/>
          <w:szCs w:val="24"/>
          <w:highlight w:val="none"/>
        </w:rPr>
        <w:t xml:space="preserve">投标人(电子签章)：　　　　　　　　　日期：  </w:t>
      </w:r>
    </w:p>
    <w:p w14:paraId="465A2904">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二</w:t>
      </w: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（适用于非联合体投标）</w:t>
      </w:r>
    </w:p>
    <w:p w14:paraId="48757C56">
      <w:pPr>
        <w:jc w:val="center"/>
        <w:rPr>
          <w:rFonts w:hint="eastAsia" w:ascii="仿宋" w:hAnsi="仿宋" w:eastAsia="仿宋" w:cs="仿宋"/>
          <w:b/>
          <w:color w:val="auto"/>
          <w:sz w:val="24"/>
          <w:highlight w:val="none"/>
        </w:rPr>
      </w:pPr>
    </w:p>
    <w:p w14:paraId="6BFFB17D">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00DBC7DA">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7A89142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31EC96AF">
      <w:pPr>
        <w:snapToGrid w:val="0"/>
        <w:spacing w:line="600" w:lineRule="exact"/>
        <w:jc w:val="left"/>
        <w:rPr>
          <w:rFonts w:hint="eastAsia" w:ascii="仿宋" w:hAnsi="仿宋" w:eastAsia="仿宋" w:cs="仿宋"/>
          <w:color w:val="auto"/>
          <w:sz w:val="24"/>
          <w:highlight w:val="none"/>
        </w:rPr>
      </w:pPr>
    </w:p>
    <w:p w14:paraId="3417CAC2">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0C72EE9">
      <w:pPr>
        <w:spacing w:line="360" w:lineRule="exact"/>
        <w:rPr>
          <w:rFonts w:hint="eastAsia" w:ascii="仿宋" w:hAnsi="仿宋" w:eastAsia="仿宋" w:cs="仿宋"/>
          <w:color w:val="auto"/>
          <w:sz w:val="24"/>
          <w:highlight w:val="none"/>
        </w:rPr>
      </w:pPr>
    </w:p>
    <w:p w14:paraId="3A9F6D6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4B7021CA">
      <w:pPr>
        <w:spacing w:line="360" w:lineRule="exact"/>
        <w:rPr>
          <w:rFonts w:hint="eastAsia" w:ascii="仿宋" w:hAnsi="仿宋" w:eastAsia="仿宋" w:cs="仿宋"/>
          <w:color w:val="auto"/>
          <w:sz w:val="24"/>
          <w:highlight w:val="none"/>
        </w:rPr>
      </w:pPr>
    </w:p>
    <w:p w14:paraId="2E6E9AAD">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04A9E9AE">
      <w:pPr>
        <w:spacing w:line="360" w:lineRule="exact"/>
        <w:rPr>
          <w:rFonts w:hint="eastAsia" w:ascii="仿宋" w:hAnsi="仿宋" w:eastAsia="仿宋" w:cs="仿宋"/>
          <w:color w:val="auto"/>
          <w:sz w:val="24"/>
          <w:highlight w:val="none"/>
        </w:rPr>
      </w:pPr>
    </w:p>
    <w:p w14:paraId="00BEA9B7">
      <w:pPr>
        <w:spacing w:line="360" w:lineRule="exact"/>
        <w:rPr>
          <w:rFonts w:hint="eastAsia" w:ascii="仿宋" w:hAnsi="仿宋" w:eastAsia="仿宋" w:cs="仿宋"/>
          <w:color w:val="auto"/>
          <w:sz w:val="24"/>
          <w:highlight w:val="none"/>
        </w:rPr>
      </w:pPr>
    </w:p>
    <w:p w14:paraId="04F7734C">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投标人（电子签章）：</w:t>
      </w:r>
    </w:p>
    <w:p w14:paraId="4E177733">
      <w:pPr>
        <w:spacing w:line="360" w:lineRule="exact"/>
        <w:rPr>
          <w:rFonts w:hint="eastAsia" w:ascii="仿宋" w:hAnsi="仿宋" w:eastAsia="仿宋" w:cs="仿宋"/>
          <w:color w:val="auto"/>
          <w:sz w:val="24"/>
          <w:highlight w:val="none"/>
        </w:rPr>
      </w:pPr>
    </w:p>
    <w:p w14:paraId="04FC7A69">
      <w:pPr>
        <w:spacing w:line="360" w:lineRule="exact"/>
        <w:rPr>
          <w:rFonts w:hint="eastAsia" w:ascii="仿宋" w:hAnsi="仿宋" w:eastAsia="仿宋" w:cs="仿宋"/>
          <w:color w:val="auto"/>
          <w:sz w:val="24"/>
          <w:highlight w:val="none"/>
        </w:rPr>
      </w:pPr>
    </w:p>
    <w:p w14:paraId="6F5E0B0E">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14:paraId="784639DB">
      <w:pPr>
        <w:spacing w:line="360" w:lineRule="exact"/>
        <w:rPr>
          <w:rFonts w:hint="eastAsia" w:ascii="仿宋" w:hAnsi="仿宋" w:eastAsia="仿宋" w:cs="仿宋"/>
          <w:color w:val="auto"/>
          <w:sz w:val="24"/>
          <w:highlight w:val="none"/>
        </w:rPr>
      </w:pPr>
    </w:p>
    <w:p w14:paraId="728835DA">
      <w:pPr>
        <w:spacing w:line="360" w:lineRule="exact"/>
        <w:rPr>
          <w:rFonts w:hint="eastAsia" w:ascii="仿宋" w:hAnsi="仿宋" w:eastAsia="仿宋" w:cs="仿宋"/>
          <w:color w:val="auto"/>
          <w:sz w:val="24"/>
          <w:highlight w:val="none"/>
        </w:rPr>
      </w:pPr>
    </w:p>
    <w:p w14:paraId="0A5E0A52">
      <w:pPr>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6675F96C">
      <w:pPr>
        <w:ind w:firstLine="4920" w:firstLineChars="2050"/>
        <w:jc w:val="left"/>
        <w:rPr>
          <w:rFonts w:hint="eastAsia" w:ascii="仿宋" w:hAnsi="仿宋" w:eastAsia="仿宋" w:cs="仿宋"/>
          <w:color w:val="auto"/>
          <w:sz w:val="24"/>
          <w:highlight w:val="none"/>
        </w:rPr>
      </w:pPr>
    </w:p>
    <w:p w14:paraId="1D28192B">
      <w:pPr>
        <w:spacing w:line="800" w:lineRule="exact"/>
        <w:rPr>
          <w:rFonts w:hint="eastAsia" w:ascii="仿宋" w:hAnsi="仿宋" w:eastAsia="仿宋" w:cs="仿宋"/>
          <w:b/>
          <w:color w:val="auto"/>
          <w:sz w:val="24"/>
          <w:highlight w:val="none"/>
        </w:rPr>
      </w:pPr>
    </w:p>
    <w:p w14:paraId="7FE9B8D6">
      <w:pPr>
        <w:spacing w:line="800" w:lineRule="exact"/>
        <w:rPr>
          <w:rFonts w:hint="eastAsia" w:ascii="仿宋" w:hAnsi="仿宋" w:eastAsia="仿宋" w:cs="仿宋"/>
          <w:b/>
          <w:color w:val="auto"/>
          <w:sz w:val="24"/>
          <w:highlight w:val="none"/>
        </w:rPr>
      </w:pPr>
    </w:p>
    <w:p w14:paraId="097E0C52">
      <w:pPr>
        <w:pageBreakBefore/>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 xml:space="preserve">法定代表人授权委托书（格式） </w:t>
      </w:r>
      <w:r>
        <w:rPr>
          <w:rFonts w:hint="eastAsia" w:ascii="仿宋" w:hAnsi="仿宋" w:eastAsia="仿宋" w:cs="仿宋"/>
          <w:b/>
          <w:color w:val="auto"/>
          <w:kern w:val="0"/>
          <w:sz w:val="32"/>
          <w:szCs w:val="32"/>
          <w:highlight w:val="none"/>
          <w:lang w:val="zh-CN"/>
        </w:rPr>
        <w:t>（适用于联合体投标）</w:t>
      </w:r>
    </w:p>
    <w:p w14:paraId="3F4792B9">
      <w:pPr>
        <w:jc w:val="center"/>
        <w:rPr>
          <w:rFonts w:hint="eastAsia" w:ascii="仿宋" w:hAnsi="仿宋" w:eastAsia="仿宋" w:cs="仿宋"/>
          <w:b/>
          <w:color w:val="auto"/>
          <w:sz w:val="24"/>
          <w:highlight w:val="none"/>
        </w:rPr>
      </w:pPr>
    </w:p>
    <w:p w14:paraId="0261F95F">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本授权委托书声明：</w:t>
      </w:r>
    </w:p>
    <w:p w14:paraId="7F5451F4">
      <w:pPr>
        <w:snapToGrid w:val="0"/>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的（填写姓名）为我方授权代表，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。以我方的名义参加</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投标活动。授权代表在开标、评标、合同谈判过程中所签署的一切文件和处理与之有关的一切事务，我均予以承认。</w:t>
      </w:r>
    </w:p>
    <w:p w14:paraId="2EB6F5BD">
      <w:pPr>
        <w:snapToGrid w:val="0"/>
        <w:spacing w:line="56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14:paraId="3A8E93E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14:paraId="2C379A17">
      <w:pPr>
        <w:snapToGrid w:val="0"/>
        <w:spacing w:line="600" w:lineRule="exact"/>
        <w:jc w:val="left"/>
        <w:rPr>
          <w:rFonts w:hint="eastAsia" w:ascii="仿宋" w:hAnsi="仿宋" w:eastAsia="仿宋" w:cs="仿宋"/>
          <w:color w:val="auto"/>
          <w:sz w:val="24"/>
          <w:highlight w:val="none"/>
        </w:rPr>
      </w:pPr>
    </w:p>
    <w:p w14:paraId="7B48AF19">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14:paraId="159930FF">
      <w:pPr>
        <w:spacing w:line="360" w:lineRule="exact"/>
        <w:rPr>
          <w:rFonts w:hint="eastAsia" w:ascii="仿宋" w:hAnsi="仿宋" w:eastAsia="仿宋" w:cs="仿宋"/>
          <w:color w:val="auto"/>
          <w:sz w:val="24"/>
          <w:highlight w:val="none"/>
        </w:rPr>
      </w:pPr>
    </w:p>
    <w:p w14:paraId="56D8C2C7">
      <w:pPr>
        <w:spacing w:line="3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14:paraId="3798A71D">
      <w:pPr>
        <w:spacing w:line="360" w:lineRule="exact"/>
        <w:rPr>
          <w:rFonts w:hint="eastAsia" w:ascii="仿宋" w:hAnsi="仿宋" w:eastAsia="仿宋" w:cs="仿宋"/>
          <w:color w:val="auto"/>
          <w:sz w:val="24"/>
          <w:highlight w:val="none"/>
        </w:rPr>
      </w:pPr>
    </w:p>
    <w:p w14:paraId="332ABEBA">
      <w:pPr>
        <w:widowControl/>
        <w:snapToGrid w:val="0"/>
        <w:spacing w:line="440" w:lineRule="exac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14:paraId="7B10AEED">
      <w:pPr>
        <w:spacing w:line="360" w:lineRule="exact"/>
        <w:rPr>
          <w:rFonts w:hint="eastAsia" w:ascii="仿宋" w:hAnsi="仿宋" w:eastAsia="仿宋" w:cs="仿宋"/>
          <w:color w:val="auto"/>
          <w:sz w:val="24"/>
          <w:highlight w:val="none"/>
        </w:rPr>
      </w:pPr>
    </w:p>
    <w:p w14:paraId="087838B2">
      <w:pPr>
        <w:spacing w:line="360" w:lineRule="exact"/>
        <w:rPr>
          <w:rFonts w:hint="eastAsia" w:ascii="仿宋" w:hAnsi="仿宋" w:eastAsia="仿宋" w:cs="仿宋"/>
          <w:color w:val="auto"/>
          <w:sz w:val="24"/>
          <w:highlight w:val="none"/>
        </w:rPr>
      </w:pPr>
    </w:p>
    <w:p w14:paraId="36273C6F">
      <w:pPr>
        <w:jc w:val="center"/>
        <w:rPr>
          <w:rFonts w:hint="eastAsia" w:ascii="仿宋" w:hAnsi="仿宋" w:eastAsia="仿宋" w:cs="仿宋"/>
          <w:b/>
          <w:color w:val="auto"/>
          <w:kern w:val="0"/>
          <w:sz w:val="32"/>
          <w:szCs w:val="32"/>
          <w:highlight w:val="none"/>
        </w:rPr>
      </w:pPr>
    </w:p>
    <w:p w14:paraId="1A4B7324">
      <w:pPr>
        <w:rPr>
          <w:rFonts w:hint="eastAsia" w:ascii="仿宋" w:hAnsi="仿宋" w:eastAsia="仿宋" w:cs="仿宋"/>
          <w:color w:val="auto"/>
          <w:highlight w:val="none"/>
        </w:rPr>
      </w:pPr>
    </w:p>
    <w:p w14:paraId="7D3A03A8">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51AF531">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0FA7DD23">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0BB78537">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528F5B36">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668BED7F">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489C09B3">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78C39690">
      <w:pPr>
        <w:spacing w:line="800" w:lineRule="exact"/>
        <w:rPr>
          <w:rFonts w:hint="eastAsia" w:ascii="仿宋" w:hAnsi="仿宋" w:eastAsia="仿宋" w:cs="仿宋"/>
          <w:b/>
          <w:color w:val="auto"/>
          <w:sz w:val="24"/>
          <w:highlight w:val="none"/>
        </w:rPr>
      </w:pPr>
    </w:p>
    <w:p w14:paraId="03F4A40F">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三</w:t>
      </w:r>
      <w:r>
        <w:rPr>
          <w:rFonts w:hint="eastAsia" w:ascii="仿宋" w:hAnsi="仿宋" w:eastAsia="仿宋" w:cs="仿宋"/>
          <w:b/>
          <w:color w:val="auto"/>
          <w:sz w:val="30"/>
          <w:szCs w:val="30"/>
          <w:highlight w:val="none"/>
        </w:rPr>
        <w:t>、法定代表人及其授权代表身份证复印件（正反面）</w:t>
      </w:r>
    </w:p>
    <w:p w14:paraId="727C2B24">
      <w:pPr>
        <w:spacing w:line="800" w:lineRule="exact"/>
        <w:rPr>
          <w:rFonts w:hint="eastAsia" w:ascii="仿宋" w:hAnsi="仿宋" w:eastAsia="仿宋" w:cs="仿宋"/>
          <w:b/>
          <w:color w:val="auto"/>
          <w:sz w:val="24"/>
          <w:highlight w:val="none"/>
        </w:rPr>
      </w:pPr>
    </w:p>
    <w:p w14:paraId="264B5462">
      <w:pPr>
        <w:spacing w:line="800" w:lineRule="exact"/>
        <w:rPr>
          <w:rFonts w:hint="eastAsia" w:ascii="仿宋" w:hAnsi="仿宋" w:eastAsia="仿宋" w:cs="仿宋"/>
          <w:b/>
          <w:color w:val="auto"/>
          <w:sz w:val="24"/>
          <w:highlight w:val="none"/>
        </w:rPr>
      </w:pPr>
    </w:p>
    <w:p w14:paraId="0D1441A6">
      <w:pPr>
        <w:spacing w:line="800" w:lineRule="exact"/>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lang w:eastAsia="zh-CN"/>
        </w:rPr>
        <w:t>四</w:t>
      </w:r>
      <w:r>
        <w:rPr>
          <w:rFonts w:hint="eastAsia" w:ascii="仿宋" w:hAnsi="仿宋" w:eastAsia="仿宋" w:cs="仿宋"/>
          <w:b/>
          <w:color w:val="auto"/>
          <w:sz w:val="30"/>
          <w:szCs w:val="30"/>
          <w:highlight w:val="none"/>
        </w:rPr>
        <w:t>、法定代表人身份证明书(格式)</w:t>
      </w:r>
    </w:p>
    <w:p w14:paraId="4AD6C5C3">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14:paraId="790E84EB">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14:paraId="50990A18">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14:paraId="48B80389">
      <w:pPr>
        <w:spacing w:line="440" w:lineRule="exact"/>
        <w:ind w:right="281" w:rightChars="134"/>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14:paraId="4F268FEE">
      <w:pPr>
        <w:spacing w:line="440" w:lineRule="exact"/>
        <w:ind w:right="281" w:rightChars="134"/>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14:paraId="797AECAC">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（填写投标人名称）</w:t>
      </w:r>
      <w:r>
        <w:rPr>
          <w:rFonts w:hint="eastAsia" w:ascii="仿宋" w:hAnsi="仿宋" w:eastAsia="仿宋" w:cs="仿宋"/>
          <w:color w:val="auto"/>
          <w:sz w:val="24"/>
          <w:highlight w:val="none"/>
        </w:rPr>
        <w:t>的法定代表人。</w:t>
      </w:r>
    </w:p>
    <w:p w14:paraId="0378414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39C8F440">
      <w:pPr>
        <w:spacing w:line="440" w:lineRule="exact"/>
        <w:rPr>
          <w:rFonts w:hint="eastAsia" w:ascii="仿宋" w:hAnsi="仿宋" w:eastAsia="仿宋" w:cs="仿宋"/>
          <w:color w:val="auto"/>
          <w:sz w:val="24"/>
          <w:highlight w:val="none"/>
        </w:rPr>
      </w:pPr>
    </w:p>
    <w:p w14:paraId="4318A287">
      <w:pPr>
        <w:spacing w:line="44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w:t>
      </w:r>
      <w:r>
        <w:rPr>
          <w:rFonts w:hint="eastAsia" w:ascii="仿宋" w:hAnsi="仿宋" w:eastAsia="仿宋" w:cs="仿宋"/>
          <w:color w:val="auto"/>
          <w:sz w:val="24"/>
          <w:highlight w:val="none"/>
          <w:lang w:eastAsia="zh-CN"/>
        </w:rPr>
        <w:t>名称</w:t>
      </w:r>
      <w:r>
        <w:rPr>
          <w:rFonts w:hint="eastAsia" w:ascii="仿宋" w:hAnsi="仿宋" w:eastAsia="仿宋" w:cs="仿宋"/>
          <w:color w:val="auto"/>
          <w:sz w:val="24"/>
          <w:highlight w:val="none"/>
        </w:rPr>
        <w:t>：                             （电子签章）</w:t>
      </w:r>
    </w:p>
    <w:p w14:paraId="014B80DD">
      <w:pPr>
        <w:spacing w:line="440" w:lineRule="exact"/>
        <w:ind w:right="480"/>
        <w:rPr>
          <w:rFonts w:hint="eastAsia" w:ascii="仿宋" w:hAnsi="仿宋" w:eastAsia="仿宋" w:cs="仿宋"/>
          <w:color w:val="auto"/>
          <w:sz w:val="24"/>
          <w:highlight w:val="none"/>
        </w:rPr>
      </w:pPr>
    </w:p>
    <w:p w14:paraId="0F031D36">
      <w:pPr>
        <w:spacing w:line="440" w:lineRule="exact"/>
        <w:ind w:right="72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年   月   日</w:t>
      </w:r>
    </w:p>
    <w:p w14:paraId="5345B43E">
      <w:pPr>
        <w:jc w:val="center"/>
        <w:rPr>
          <w:rFonts w:hint="eastAsia" w:ascii="仿宋" w:hAnsi="仿宋" w:eastAsia="仿宋" w:cs="仿宋"/>
          <w:b/>
          <w:color w:val="auto"/>
          <w:kern w:val="0"/>
          <w:sz w:val="32"/>
          <w:szCs w:val="32"/>
          <w:highlight w:val="none"/>
        </w:rPr>
      </w:pPr>
    </w:p>
    <w:p w14:paraId="04B1164F">
      <w:pPr>
        <w:jc w:val="center"/>
        <w:rPr>
          <w:rFonts w:hint="eastAsia" w:ascii="仿宋" w:hAnsi="仿宋" w:eastAsia="仿宋" w:cs="仿宋"/>
          <w:b/>
          <w:color w:val="auto"/>
          <w:kern w:val="0"/>
          <w:sz w:val="32"/>
          <w:szCs w:val="32"/>
          <w:highlight w:val="none"/>
        </w:rPr>
      </w:pPr>
    </w:p>
    <w:p w14:paraId="5BDDFCE4">
      <w:pPr>
        <w:pStyle w:val="25"/>
        <w:rPr>
          <w:rFonts w:hint="eastAsia"/>
          <w:color w:val="auto"/>
          <w:highlight w:val="none"/>
        </w:rPr>
      </w:pPr>
    </w:p>
    <w:p w14:paraId="55C15DCD">
      <w:pPr>
        <w:jc w:val="both"/>
        <w:rPr>
          <w:rFonts w:hint="eastAsia" w:ascii="仿宋" w:hAnsi="仿宋" w:eastAsia="仿宋" w:cs="仿宋"/>
          <w:b/>
          <w:color w:val="auto"/>
          <w:kern w:val="0"/>
          <w:sz w:val="32"/>
          <w:szCs w:val="32"/>
          <w:highlight w:val="none"/>
        </w:rPr>
      </w:pPr>
    </w:p>
    <w:p w14:paraId="45DD837C">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eastAsia="zh-CN"/>
        </w:rPr>
        <w:t>五</w:t>
      </w:r>
      <w:r>
        <w:rPr>
          <w:rFonts w:hint="eastAsia" w:ascii="仿宋" w:hAnsi="仿宋" w:eastAsia="仿宋" w:cs="仿宋"/>
          <w:b/>
          <w:color w:val="auto"/>
          <w:kern w:val="0"/>
          <w:sz w:val="32"/>
          <w:szCs w:val="32"/>
          <w:highlight w:val="none"/>
        </w:rPr>
        <w:t>、商务技术偏离表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5391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F85F76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0BB4B69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5763FC9">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0C18AC6F">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779CB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051F3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49C96D1A">
            <w:pPr>
              <w:jc w:val="center"/>
              <w:rPr>
                <w:rFonts w:hint="eastAsia" w:ascii="仿宋" w:hAnsi="仿宋" w:eastAsia="仿宋" w:cs="仿宋"/>
                <w:b/>
                <w:color w:val="auto"/>
                <w:kern w:val="0"/>
                <w:sz w:val="32"/>
                <w:szCs w:val="32"/>
                <w:highlight w:val="none"/>
              </w:rPr>
            </w:pPr>
          </w:p>
        </w:tc>
        <w:tc>
          <w:tcPr>
            <w:tcW w:w="3546" w:type="dxa"/>
          </w:tcPr>
          <w:p w14:paraId="5DB54225">
            <w:pPr>
              <w:jc w:val="center"/>
              <w:rPr>
                <w:rFonts w:hint="eastAsia" w:ascii="仿宋" w:hAnsi="仿宋" w:eastAsia="仿宋" w:cs="仿宋"/>
                <w:b/>
                <w:color w:val="auto"/>
                <w:kern w:val="0"/>
                <w:sz w:val="32"/>
                <w:szCs w:val="32"/>
                <w:highlight w:val="none"/>
              </w:rPr>
            </w:pPr>
          </w:p>
        </w:tc>
        <w:tc>
          <w:tcPr>
            <w:tcW w:w="1276" w:type="dxa"/>
          </w:tcPr>
          <w:p w14:paraId="5E91AA75">
            <w:pPr>
              <w:jc w:val="center"/>
              <w:rPr>
                <w:rFonts w:hint="eastAsia" w:ascii="仿宋" w:hAnsi="仿宋" w:eastAsia="仿宋" w:cs="仿宋"/>
                <w:b/>
                <w:color w:val="auto"/>
                <w:kern w:val="0"/>
                <w:sz w:val="32"/>
                <w:szCs w:val="32"/>
                <w:highlight w:val="none"/>
              </w:rPr>
            </w:pPr>
          </w:p>
        </w:tc>
      </w:tr>
      <w:tr w14:paraId="7437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30B314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25EE55A3">
            <w:pPr>
              <w:jc w:val="center"/>
              <w:rPr>
                <w:rFonts w:hint="eastAsia" w:ascii="仿宋" w:hAnsi="仿宋" w:eastAsia="仿宋" w:cs="仿宋"/>
                <w:b/>
                <w:color w:val="auto"/>
                <w:kern w:val="0"/>
                <w:sz w:val="32"/>
                <w:szCs w:val="32"/>
                <w:highlight w:val="none"/>
              </w:rPr>
            </w:pPr>
          </w:p>
        </w:tc>
        <w:tc>
          <w:tcPr>
            <w:tcW w:w="3546" w:type="dxa"/>
          </w:tcPr>
          <w:p w14:paraId="63B06116">
            <w:pPr>
              <w:jc w:val="center"/>
              <w:rPr>
                <w:rFonts w:hint="eastAsia" w:ascii="仿宋" w:hAnsi="仿宋" w:eastAsia="仿宋" w:cs="仿宋"/>
                <w:b/>
                <w:color w:val="auto"/>
                <w:kern w:val="0"/>
                <w:sz w:val="32"/>
                <w:szCs w:val="32"/>
                <w:highlight w:val="none"/>
              </w:rPr>
            </w:pPr>
          </w:p>
        </w:tc>
        <w:tc>
          <w:tcPr>
            <w:tcW w:w="1276" w:type="dxa"/>
          </w:tcPr>
          <w:p w14:paraId="5830BB52">
            <w:pPr>
              <w:jc w:val="center"/>
              <w:rPr>
                <w:rFonts w:hint="eastAsia" w:ascii="仿宋" w:hAnsi="仿宋" w:eastAsia="仿宋" w:cs="仿宋"/>
                <w:b/>
                <w:color w:val="auto"/>
                <w:kern w:val="0"/>
                <w:sz w:val="32"/>
                <w:szCs w:val="32"/>
                <w:highlight w:val="none"/>
              </w:rPr>
            </w:pPr>
          </w:p>
        </w:tc>
      </w:tr>
      <w:tr w14:paraId="4366D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282B6B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255630D2">
            <w:pPr>
              <w:jc w:val="center"/>
              <w:rPr>
                <w:rFonts w:hint="eastAsia" w:ascii="仿宋" w:hAnsi="仿宋" w:eastAsia="仿宋" w:cs="仿宋"/>
                <w:b/>
                <w:color w:val="auto"/>
                <w:kern w:val="0"/>
                <w:sz w:val="32"/>
                <w:szCs w:val="32"/>
                <w:highlight w:val="none"/>
              </w:rPr>
            </w:pPr>
          </w:p>
        </w:tc>
        <w:tc>
          <w:tcPr>
            <w:tcW w:w="3546" w:type="dxa"/>
          </w:tcPr>
          <w:p w14:paraId="119BC0DE">
            <w:pPr>
              <w:jc w:val="center"/>
              <w:rPr>
                <w:rFonts w:hint="eastAsia" w:ascii="仿宋" w:hAnsi="仿宋" w:eastAsia="仿宋" w:cs="仿宋"/>
                <w:b/>
                <w:color w:val="auto"/>
                <w:kern w:val="0"/>
                <w:sz w:val="32"/>
                <w:szCs w:val="32"/>
                <w:highlight w:val="none"/>
              </w:rPr>
            </w:pPr>
          </w:p>
        </w:tc>
        <w:tc>
          <w:tcPr>
            <w:tcW w:w="1276" w:type="dxa"/>
          </w:tcPr>
          <w:p w14:paraId="2C7BFA3C">
            <w:pPr>
              <w:jc w:val="center"/>
              <w:rPr>
                <w:rFonts w:hint="eastAsia" w:ascii="仿宋" w:hAnsi="仿宋" w:eastAsia="仿宋" w:cs="仿宋"/>
                <w:b/>
                <w:color w:val="auto"/>
                <w:kern w:val="0"/>
                <w:sz w:val="32"/>
                <w:szCs w:val="32"/>
                <w:highlight w:val="none"/>
              </w:rPr>
            </w:pPr>
          </w:p>
        </w:tc>
      </w:tr>
    </w:tbl>
    <w:p w14:paraId="45E351AD">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投标人保证：除商务技术偏离表列出的偏离外，投标人响应招标文件的全部要求</w:t>
      </w:r>
    </w:p>
    <w:p w14:paraId="25DC91C1">
      <w:pPr>
        <w:jc w:val="center"/>
        <w:rPr>
          <w:rFonts w:hint="eastAsia" w:ascii="仿宋" w:hAnsi="仿宋" w:eastAsia="仿宋" w:cs="仿宋"/>
          <w:b/>
          <w:color w:val="auto"/>
          <w:kern w:val="0"/>
          <w:sz w:val="32"/>
          <w:szCs w:val="32"/>
          <w:highlight w:val="none"/>
        </w:rPr>
      </w:pPr>
    </w:p>
    <w:p w14:paraId="52B33D4D">
      <w:pPr>
        <w:spacing w:line="360" w:lineRule="auto"/>
        <w:ind w:right="420"/>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t>注：按本格式和要求提供。</w:t>
      </w:r>
    </w:p>
    <w:p w14:paraId="69342A7E">
      <w:pPr>
        <w:widowControl/>
        <w:adjustRightInd/>
        <w:jc w:val="left"/>
        <w:rPr>
          <w:rFonts w:hint="eastAsia" w:ascii="仿宋" w:hAnsi="仿宋" w:eastAsia="仿宋" w:cs="仿宋"/>
          <w:b/>
          <w:bCs/>
          <w:color w:val="auto"/>
          <w:sz w:val="32"/>
          <w:szCs w:val="32"/>
          <w:highlight w:val="none"/>
          <w:lang w:eastAsia="zh-CN"/>
        </w:rPr>
      </w:pPr>
    </w:p>
    <w:p w14:paraId="4BF83FF8">
      <w:pPr>
        <w:pStyle w:val="25"/>
        <w:rPr>
          <w:rFonts w:hint="eastAsia" w:ascii="仿宋" w:hAnsi="仿宋" w:eastAsia="仿宋" w:cs="仿宋"/>
          <w:b/>
          <w:bCs/>
          <w:color w:val="auto"/>
          <w:sz w:val="32"/>
          <w:szCs w:val="32"/>
          <w:highlight w:val="none"/>
          <w:lang w:eastAsia="zh-CN"/>
        </w:rPr>
      </w:pPr>
    </w:p>
    <w:p w14:paraId="5EE07135">
      <w:pPr>
        <w:rPr>
          <w:rFonts w:hint="eastAsia" w:ascii="仿宋" w:hAnsi="仿宋" w:eastAsia="仿宋" w:cs="仿宋"/>
          <w:b/>
          <w:bCs/>
          <w:color w:val="auto"/>
          <w:sz w:val="32"/>
          <w:szCs w:val="32"/>
          <w:highlight w:val="none"/>
          <w:lang w:eastAsia="zh-CN"/>
        </w:rPr>
      </w:pPr>
    </w:p>
    <w:p w14:paraId="1F581435">
      <w:pPr>
        <w:pStyle w:val="25"/>
        <w:rPr>
          <w:rFonts w:hint="eastAsia"/>
          <w:color w:val="auto"/>
          <w:highlight w:val="none"/>
          <w:lang w:eastAsia="zh-CN"/>
        </w:rPr>
      </w:pPr>
    </w:p>
    <w:p w14:paraId="2A0300CE">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8349228">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2C4A99F2">
      <w:pPr>
        <w:spacing w:line="360" w:lineRule="auto"/>
        <w:jc w:val="center"/>
        <w:outlineLvl w:val="0"/>
        <w:rPr>
          <w:rFonts w:hint="eastAsia" w:ascii="仿宋" w:hAnsi="仿宋" w:eastAsia="仿宋" w:cs="仿宋"/>
          <w:b/>
          <w:color w:val="auto"/>
          <w:kern w:val="0"/>
          <w:sz w:val="36"/>
          <w:szCs w:val="36"/>
          <w:highlight w:val="none"/>
        </w:rPr>
      </w:pPr>
    </w:p>
    <w:p w14:paraId="5E7F8E06">
      <w:pPr>
        <w:pStyle w:val="25"/>
        <w:numPr>
          <w:ilvl w:val="0"/>
          <w:numId w:val="0"/>
        </w:numPr>
        <w:rPr>
          <w:rFonts w:hint="eastAsia"/>
          <w:color w:val="auto"/>
          <w:highlight w:val="none"/>
        </w:rPr>
      </w:pPr>
      <w:r>
        <w:rPr>
          <w:rFonts w:hint="eastAsia" w:ascii="仿宋" w:hAnsi="仿宋" w:eastAsia="仿宋" w:cs="仿宋"/>
          <w:color w:val="auto"/>
          <w:sz w:val="24"/>
          <w:highlight w:val="none"/>
        </w:rPr>
        <w:t>开标一览表（报价表）………………………………………………………（页码）</w:t>
      </w:r>
    </w:p>
    <w:p w14:paraId="79C74611">
      <w:pPr>
        <w:snapToGrid w:val="0"/>
        <w:spacing w:line="360" w:lineRule="auto"/>
        <w:ind w:right="480"/>
        <w:jc w:val="center"/>
        <w:rPr>
          <w:rFonts w:hint="eastAsia" w:ascii="仿宋" w:hAnsi="仿宋" w:eastAsia="仿宋" w:cs="仿宋"/>
          <w:b/>
          <w:color w:val="auto"/>
          <w:kern w:val="0"/>
          <w:sz w:val="32"/>
          <w:szCs w:val="32"/>
          <w:highlight w:val="none"/>
        </w:rPr>
      </w:pPr>
    </w:p>
    <w:p w14:paraId="0B40AB5C">
      <w:pPr>
        <w:snapToGrid w:val="0"/>
        <w:spacing w:line="360" w:lineRule="auto"/>
        <w:ind w:right="480"/>
        <w:jc w:val="center"/>
        <w:rPr>
          <w:rFonts w:hint="eastAsia" w:ascii="仿宋" w:hAnsi="仿宋" w:eastAsia="仿宋" w:cs="仿宋"/>
          <w:b/>
          <w:color w:val="auto"/>
          <w:kern w:val="0"/>
          <w:sz w:val="32"/>
          <w:szCs w:val="32"/>
          <w:highlight w:val="none"/>
        </w:rPr>
      </w:pPr>
    </w:p>
    <w:p w14:paraId="6A95AC89">
      <w:pPr>
        <w:snapToGrid w:val="0"/>
        <w:spacing w:line="360" w:lineRule="auto"/>
        <w:ind w:right="480"/>
        <w:jc w:val="center"/>
        <w:rPr>
          <w:rFonts w:hint="eastAsia" w:ascii="仿宋" w:hAnsi="仿宋" w:eastAsia="仿宋" w:cs="仿宋"/>
          <w:b/>
          <w:color w:val="auto"/>
          <w:kern w:val="0"/>
          <w:sz w:val="32"/>
          <w:szCs w:val="32"/>
          <w:highlight w:val="none"/>
        </w:rPr>
      </w:pPr>
    </w:p>
    <w:p w14:paraId="4AF48041">
      <w:pPr>
        <w:snapToGrid w:val="0"/>
        <w:spacing w:line="360" w:lineRule="auto"/>
        <w:ind w:right="480"/>
        <w:jc w:val="center"/>
        <w:rPr>
          <w:rFonts w:hint="eastAsia" w:ascii="仿宋" w:hAnsi="仿宋" w:eastAsia="仿宋" w:cs="仿宋"/>
          <w:b/>
          <w:color w:val="auto"/>
          <w:kern w:val="0"/>
          <w:sz w:val="32"/>
          <w:szCs w:val="32"/>
          <w:highlight w:val="none"/>
        </w:rPr>
      </w:pPr>
    </w:p>
    <w:p w14:paraId="39DBB711">
      <w:pPr>
        <w:snapToGrid w:val="0"/>
        <w:spacing w:line="360" w:lineRule="auto"/>
        <w:ind w:right="480"/>
        <w:jc w:val="center"/>
        <w:rPr>
          <w:rFonts w:hint="eastAsia" w:ascii="仿宋" w:hAnsi="仿宋" w:eastAsia="仿宋" w:cs="仿宋"/>
          <w:b/>
          <w:color w:val="auto"/>
          <w:kern w:val="0"/>
          <w:sz w:val="32"/>
          <w:szCs w:val="32"/>
          <w:highlight w:val="none"/>
        </w:rPr>
      </w:pPr>
    </w:p>
    <w:p w14:paraId="03D9088A">
      <w:pPr>
        <w:snapToGrid w:val="0"/>
        <w:spacing w:line="360" w:lineRule="auto"/>
        <w:ind w:right="480"/>
        <w:jc w:val="center"/>
        <w:rPr>
          <w:rFonts w:hint="eastAsia" w:ascii="仿宋" w:hAnsi="仿宋" w:eastAsia="仿宋" w:cs="仿宋"/>
          <w:b/>
          <w:color w:val="auto"/>
          <w:kern w:val="0"/>
          <w:sz w:val="32"/>
          <w:szCs w:val="32"/>
          <w:highlight w:val="none"/>
        </w:rPr>
      </w:pPr>
    </w:p>
    <w:p w14:paraId="155B19B2">
      <w:pPr>
        <w:snapToGrid w:val="0"/>
        <w:spacing w:line="360" w:lineRule="auto"/>
        <w:ind w:right="480"/>
        <w:jc w:val="center"/>
        <w:rPr>
          <w:rFonts w:hint="eastAsia" w:ascii="仿宋" w:hAnsi="仿宋" w:eastAsia="仿宋" w:cs="仿宋"/>
          <w:b/>
          <w:color w:val="auto"/>
          <w:kern w:val="0"/>
          <w:sz w:val="32"/>
          <w:szCs w:val="32"/>
          <w:highlight w:val="none"/>
        </w:rPr>
      </w:pPr>
    </w:p>
    <w:p w14:paraId="704ABAE8">
      <w:pPr>
        <w:snapToGrid w:val="0"/>
        <w:spacing w:line="360" w:lineRule="auto"/>
        <w:ind w:right="480"/>
        <w:jc w:val="center"/>
        <w:rPr>
          <w:rFonts w:hint="eastAsia" w:ascii="仿宋" w:hAnsi="仿宋" w:eastAsia="仿宋" w:cs="仿宋"/>
          <w:b/>
          <w:color w:val="auto"/>
          <w:kern w:val="0"/>
          <w:sz w:val="32"/>
          <w:szCs w:val="32"/>
          <w:highlight w:val="none"/>
        </w:rPr>
      </w:pPr>
    </w:p>
    <w:p w14:paraId="77CB4EAF">
      <w:pPr>
        <w:snapToGrid w:val="0"/>
        <w:spacing w:line="360" w:lineRule="auto"/>
        <w:ind w:right="480"/>
        <w:jc w:val="center"/>
        <w:rPr>
          <w:rFonts w:hint="eastAsia" w:ascii="仿宋" w:hAnsi="仿宋" w:eastAsia="仿宋" w:cs="仿宋"/>
          <w:b/>
          <w:color w:val="auto"/>
          <w:kern w:val="0"/>
          <w:sz w:val="32"/>
          <w:szCs w:val="32"/>
          <w:highlight w:val="none"/>
        </w:rPr>
      </w:pPr>
    </w:p>
    <w:p w14:paraId="2C3C16A3">
      <w:pPr>
        <w:snapToGrid w:val="0"/>
        <w:spacing w:line="360" w:lineRule="auto"/>
        <w:ind w:right="480"/>
        <w:jc w:val="center"/>
        <w:rPr>
          <w:rFonts w:hint="eastAsia" w:ascii="仿宋" w:hAnsi="仿宋" w:eastAsia="仿宋" w:cs="仿宋"/>
          <w:b/>
          <w:color w:val="auto"/>
          <w:kern w:val="0"/>
          <w:sz w:val="32"/>
          <w:szCs w:val="32"/>
          <w:highlight w:val="none"/>
        </w:rPr>
      </w:pPr>
    </w:p>
    <w:p w14:paraId="131E2B49">
      <w:pPr>
        <w:snapToGrid w:val="0"/>
        <w:spacing w:line="360" w:lineRule="auto"/>
        <w:ind w:right="480"/>
        <w:jc w:val="center"/>
        <w:rPr>
          <w:rFonts w:hint="eastAsia" w:ascii="仿宋" w:hAnsi="仿宋" w:eastAsia="仿宋" w:cs="仿宋"/>
          <w:b/>
          <w:color w:val="auto"/>
          <w:kern w:val="0"/>
          <w:sz w:val="32"/>
          <w:szCs w:val="32"/>
          <w:highlight w:val="none"/>
        </w:rPr>
      </w:pPr>
    </w:p>
    <w:p w14:paraId="453228E2">
      <w:pPr>
        <w:snapToGrid w:val="0"/>
        <w:spacing w:line="360" w:lineRule="auto"/>
        <w:ind w:right="480"/>
        <w:jc w:val="center"/>
        <w:rPr>
          <w:rFonts w:hint="eastAsia" w:ascii="仿宋" w:hAnsi="仿宋" w:eastAsia="仿宋" w:cs="仿宋"/>
          <w:b/>
          <w:color w:val="auto"/>
          <w:kern w:val="0"/>
          <w:sz w:val="32"/>
          <w:szCs w:val="32"/>
          <w:highlight w:val="none"/>
        </w:rPr>
      </w:pPr>
    </w:p>
    <w:p w14:paraId="6904F5E4">
      <w:pPr>
        <w:snapToGrid w:val="0"/>
        <w:spacing w:line="360" w:lineRule="auto"/>
        <w:ind w:right="480"/>
        <w:jc w:val="center"/>
        <w:rPr>
          <w:rFonts w:hint="eastAsia" w:ascii="仿宋" w:hAnsi="仿宋" w:eastAsia="仿宋" w:cs="仿宋"/>
          <w:b/>
          <w:color w:val="auto"/>
          <w:kern w:val="0"/>
          <w:sz w:val="32"/>
          <w:szCs w:val="32"/>
          <w:highlight w:val="none"/>
        </w:rPr>
      </w:pPr>
    </w:p>
    <w:p w14:paraId="4ED67877">
      <w:pPr>
        <w:snapToGrid w:val="0"/>
        <w:spacing w:line="360" w:lineRule="auto"/>
        <w:ind w:right="480"/>
        <w:jc w:val="both"/>
        <w:rPr>
          <w:rFonts w:hint="eastAsia" w:ascii="仿宋" w:hAnsi="仿宋" w:eastAsia="仿宋" w:cs="仿宋"/>
          <w:b/>
          <w:color w:val="auto"/>
          <w:kern w:val="0"/>
          <w:sz w:val="32"/>
          <w:szCs w:val="32"/>
          <w:highlight w:val="none"/>
        </w:rPr>
      </w:pPr>
    </w:p>
    <w:p w14:paraId="2CA1D6A4">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1906" w:h="16838"/>
          <w:pgMar w:top="1276" w:right="1648" w:bottom="1062" w:left="1238" w:header="851" w:footer="992" w:gutter="0"/>
          <w:pgNumType w:fmt="decimal"/>
          <w:cols w:space="720" w:num="1"/>
          <w:titlePg/>
          <w:docGrid w:linePitch="312" w:charSpace="0"/>
        </w:sectPr>
      </w:pPr>
    </w:p>
    <w:p w14:paraId="754EF042">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1D57F5E1">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25D2FE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5566B811">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4"/>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5FF1D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02CBFFC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417" w:type="dxa"/>
            <w:vAlign w:val="center"/>
          </w:tcPr>
          <w:p w14:paraId="5517357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843" w:type="dxa"/>
          </w:tcPr>
          <w:p w14:paraId="317DC035">
            <w:pPr>
              <w:spacing w:line="360" w:lineRule="auto"/>
              <w:jc w:val="center"/>
              <w:rPr>
                <w:rFonts w:ascii="宋体" w:hAnsi="宋体" w:cs="宋体"/>
                <w:b/>
                <w:color w:val="auto"/>
                <w:sz w:val="24"/>
                <w:highlight w:val="none"/>
              </w:rPr>
            </w:pPr>
          </w:p>
          <w:p w14:paraId="4BB37C3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3118" w:type="dxa"/>
            <w:vAlign w:val="center"/>
          </w:tcPr>
          <w:p w14:paraId="63975B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993" w:type="dxa"/>
            <w:vAlign w:val="center"/>
          </w:tcPr>
          <w:p w14:paraId="4A470CE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559" w:type="dxa"/>
            <w:vAlign w:val="center"/>
          </w:tcPr>
          <w:p w14:paraId="12F8AAF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单价</w:t>
            </w:r>
          </w:p>
        </w:tc>
        <w:tc>
          <w:tcPr>
            <w:tcW w:w="1984" w:type="dxa"/>
            <w:vAlign w:val="center"/>
          </w:tcPr>
          <w:p w14:paraId="4680EB3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合计</w:t>
            </w:r>
          </w:p>
        </w:tc>
        <w:tc>
          <w:tcPr>
            <w:tcW w:w="3119" w:type="dxa"/>
            <w:vAlign w:val="center"/>
          </w:tcPr>
          <w:p w14:paraId="4BC57A8E">
            <w:pPr>
              <w:spacing w:line="360" w:lineRule="auto"/>
              <w:jc w:val="center"/>
              <w:rPr>
                <w:rFonts w:ascii="宋体" w:hAnsi="宋体" w:cs="宋体"/>
                <w:b/>
                <w:color w:val="auto"/>
                <w:sz w:val="24"/>
                <w:highlight w:val="none"/>
              </w:rPr>
            </w:pPr>
          </w:p>
          <w:p w14:paraId="74BAAE8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4D25BD0A">
            <w:pPr>
              <w:spacing w:line="360" w:lineRule="auto"/>
              <w:jc w:val="center"/>
              <w:rPr>
                <w:rFonts w:ascii="宋体" w:hAnsi="宋体" w:cs="宋体"/>
                <w:b/>
                <w:color w:val="auto"/>
                <w:sz w:val="24"/>
                <w:highlight w:val="none"/>
              </w:rPr>
            </w:pPr>
          </w:p>
        </w:tc>
      </w:tr>
      <w:tr w14:paraId="14FA1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2B6A593">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417" w:type="dxa"/>
            <w:vAlign w:val="center"/>
          </w:tcPr>
          <w:p w14:paraId="52C579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7CFB6582">
            <w:pPr>
              <w:snapToGrid w:val="0"/>
              <w:spacing w:line="360" w:lineRule="auto"/>
              <w:jc w:val="center"/>
              <w:rPr>
                <w:rFonts w:ascii="宋体" w:hAnsi="宋体" w:cs="宋体"/>
                <w:color w:val="auto"/>
                <w:sz w:val="24"/>
                <w:highlight w:val="none"/>
              </w:rPr>
            </w:pPr>
          </w:p>
        </w:tc>
        <w:tc>
          <w:tcPr>
            <w:tcW w:w="3118" w:type="dxa"/>
            <w:vAlign w:val="center"/>
          </w:tcPr>
          <w:p w14:paraId="1B9C55B6">
            <w:pPr>
              <w:snapToGrid w:val="0"/>
              <w:spacing w:line="360" w:lineRule="auto"/>
              <w:jc w:val="center"/>
              <w:rPr>
                <w:rFonts w:ascii="宋体" w:hAnsi="宋体" w:cs="宋体"/>
                <w:color w:val="auto"/>
                <w:sz w:val="24"/>
                <w:highlight w:val="none"/>
              </w:rPr>
            </w:pPr>
          </w:p>
        </w:tc>
        <w:tc>
          <w:tcPr>
            <w:tcW w:w="993" w:type="dxa"/>
            <w:vAlign w:val="center"/>
          </w:tcPr>
          <w:p w14:paraId="45D0E1F7">
            <w:pPr>
              <w:snapToGrid w:val="0"/>
              <w:spacing w:line="360" w:lineRule="auto"/>
              <w:jc w:val="center"/>
              <w:rPr>
                <w:rFonts w:ascii="宋体" w:hAnsi="宋体" w:cs="宋体"/>
                <w:color w:val="auto"/>
                <w:sz w:val="24"/>
                <w:highlight w:val="none"/>
              </w:rPr>
            </w:pPr>
          </w:p>
        </w:tc>
        <w:tc>
          <w:tcPr>
            <w:tcW w:w="1559" w:type="dxa"/>
            <w:vAlign w:val="center"/>
          </w:tcPr>
          <w:p w14:paraId="29202DAF">
            <w:pPr>
              <w:spacing w:line="360" w:lineRule="auto"/>
              <w:jc w:val="center"/>
              <w:rPr>
                <w:rFonts w:ascii="宋体" w:hAnsi="宋体" w:cs="宋体"/>
                <w:color w:val="auto"/>
                <w:sz w:val="24"/>
                <w:highlight w:val="none"/>
              </w:rPr>
            </w:pPr>
          </w:p>
        </w:tc>
        <w:tc>
          <w:tcPr>
            <w:tcW w:w="1984" w:type="dxa"/>
            <w:vAlign w:val="center"/>
          </w:tcPr>
          <w:p w14:paraId="042F4F25">
            <w:pPr>
              <w:spacing w:line="360" w:lineRule="auto"/>
              <w:jc w:val="center"/>
              <w:rPr>
                <w:rFonts w:ascii="宋体" w:hAnsi="宋体" w:cs="宋体"/>
                <w:color w:val="auto"/>
                <w:sz w:val="24"/>
                <w:highlight w:val="none"/>
              </w:rPr>
            </w:pPr>
          </w:p>
        </w:tc>
        <w:tc>
          <w:tcPr>
            <w:tcW w:w="3119" w:type="dxa"/>
            <w:vAlign w:val="center"/>
          </w:tcPr>
          <w:p w14:paraId="4C2497B7">
            <w:pPr>
              <w:spacing w:line="360" w:lineRule="auto"/>
              <w:jc w:val="center"/>
              <w:rPr>
                <w:rFonts w:ascii="宋体" w:hAnsi="宋体" w:cs="宋体"/>
                <w:color w:val="auto"/>
                <w:sz w:val="24"/>
                <w:highlight w:val="none"/>
              </w:rPr>
            </w:pPr>
          </w:p>
        </w:tc>
      </w:tr>
      <w:tr w14:paraId="238C8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91D8B3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417" w:type="dxa"/>
            <w:vAlign w:val="center"/>
          </w:tcPr>
          <w:p w14:paraId="1A6AA3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1843" w:type="dxa"/>
            <w:vAlign w:val="center"/>
          </w:tcPr>
          <w:p w14:paraId="116324F9">
            <w:pPr>
              <w:snapToGrid w:val="0"/>
              <w:spacing w:line="360" w:lineRule="auto"/>
              <w:jc w:val="center"/>
              <w:rPr>
                <w:rFonts w:ascii="宋体" w:hAnsi="宋体" w:cs="宋体"/>
                <w:color w:val="auto"/>
                <w:sz w:val="24"/>
                <w:highlight w:val="none"/>
              </w:rPr>
            </w:pPr>
          </w:p>
        </w:tc>
        <w:tc>
          <w:tcPr>
            <w:tcW w:w="3118" w:type="dxa"/>
            <w:vAlign w:val="center"/>
          </w:tcPr>
          <w:p w14:paraId="3BC91D34">
            <w:pPr>
              <w:snapToGrid w:val="0"/>
              <w:spacing w:line="360" w:lineRule="auto"/>
              <w:jc w:val="center"/>
              <w:rPr>
                <w:rFonts w:ascii="宋体" w:hAnsi="宋体" w:cs="宋体"/>
                <w:color w:val="auto"/>
                <w:sz w:val="24"/>
                <w:highlight w:val="none"/>
              </w:rPr>
            </w:pPr>
          </w:p>
        </w:tc>
        <w:tc>
          <w:tcPr>
            <w:tcW w:w="993" w:type="dxa"/>
            <w:vAlign w:val="center"/>
          </w:tcPr>
          <w:p w14:paraId="520B7769">
            <w:pPr>
              <w:snapToGrid w:val="0"/>
              <w:spacing w:line="360" w:lineRule="auto"/>
              <w:jc w:val="center"/>
              <w:rPr>
                <w:rFonts w:ascii="宋体" w:hAnsi="宋体" w:cs="宋体"/>
                <w:color w:val="auto"/>
                <w:sz w:val="24"/>
                <w:highlight w:val="none"/>
              </w:rPr>
            </w:pPr>
          </w:p>
        </w:tc>
        <w:tc>
          <w:tcPr>
            <w:tcW w:w="1559" w:type="dxa"/>
            <w:vAlign w:val="center"/>
          </w:tcPr>
          <w:p w14:paraId="1199165F">
            <w:pPr>
              <w:spacing w:line="360" w:lineRule="auto"/>
              <w:jc w:val="center"/>
              <w:rPr>
                <w:rFonts w:ascii="宋体" w:hAnsi="宋体" w:cs="宋体"/>
                <w:color w:val="auto"/>
                <w:sz w:val="24"/>
                <w:highlight w:val="none"/>
              </w:rPr>
            </w:pPr>
          </w:p>
        </w:tc>
        <w:tc>
          <w:tcPr>
            <w:tcW w:w="1984" w:type="dxa"/>
            <w:vAlign w:val="center"/>
          </w:tcPr>
          <w:p w14:paraId="6E4005CD">
            <w:pPr>
              <w:spacing w:line="360" w:lineRule="auto"/>
              <w:jc w:val="center"/>
              <w:rPr>
                <w:rFonts w:ascii="宋体" w:hAnsi="宋体" w:cs="宋体"/>
                <w:color w:val="auto"/>
                <w:sz w:val="24"/>
                <w:highlight w:val="none"/>
              </w:rPr>
            </w:pPr>
          </w:p>
        </w:tc>
        <w:tc>
          <w:tcPr>
            <w:tcW w:w="3119" w:type="dxa"/>
            <w:vAlign w:val="center"/>
          </w:tcPr>
          <w:p w14:paraId="18AC1B2D">
            <w:pPr>
              <w:spacing w:line="360" w:lineRule="auto"/>
              <w:jc w:val="center"/>
              <w:rPr>
                <w:rFonts w:ascii="宋体" w:hAnsi="宋体" w:cs="宋体"/>
                <w:color w:val="auto"/>
                <w:sz w:val="24"/>
                <w:highlight w:val="none"/>
              </w:rPr>
            </w:pPr>
          </w:p>
        </w:tc>
      </w:tr>
      <w:tr w14:paraId="2A0F5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1B2374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417" w:type="dxa"/>
            <w:vAlign w:val="center"/>
          </w:tcPr>
          <w:p w14:paraId="3ED6D159">
            <w:pPr>
              <w:snapToGrid w:val="0"/>
              <w:spacing w:line="360" w:lineRule="auto"/>
              <w:jc w:val="center"/>
              <w:rPr>
                <w:rFonts w:ascii="宋体" w:hAnsi="宋体" w:cs="宋体"/>
                <w:color w:val="auto"/>
                <w:sz w:val="24"/>
                <w:highlight w:val="none"/>
              </w:rPr>
            </w:pPr>
          </w:p>
        </w:tc>
        <w:tc>
          <w:tcPr>
            <w:tcW w:w="1843" w:type="dxa"/>
            <w:vAlign w:val="center"/>
          </w:tcPr>
          <w:p w14:paraId="4B93A78D">
            <w:pPr>
              <w:snapToGrid w:val="0"/>
              <w:spacing w:line="360" w:lineRule="auto"/>
              <w:jc w:val="center"/>
              <w:rPr>
                <w:rFonts w:ascii="宋体" w:hAnsi="宋体" w:cs="宋体"/>
                <w:color w:val="auto"/>
                <w:sz w:val="24"/>
                <w:highlight w:val="none"/>
              </w:rPr>
            </w:pPr>
          </w:p>
        </w:tc>
        <w:tc>
          <w:tcPr>
            <w:tcW w:w="3118" w:type="dxa"/>
            <w:vAlign w:val="center"/>
          </w:tcPr>
          <w:p w14:paraId="4086A0ED">
            <w:pPr>
              <w:snapToGrid w:val="0"/>
              <w:spacing w:line="360" w:lineRule="auto"/>
              <w:jc w:val="center"/>
              <w:rPr>
                <w:rFonts w:ascii="宋体" w:hAnsi="宋体" w:cs="宋体"/>
                <w:color w:val="auto"/>
                <w:sz w:val="24"/>
                <w:highlight w:val="none"/>
              </w:rPr>
            </w:pPr>
          </w:p>
        </w:tc>
        <w:tc>
          <w:tcPr>
            <w:tcW w:w="993" w:type="dxa"/>
            <w:vAlign w:val="center"/>
          </w:tcPr>
          <w:p w14:paraId="7E2667A2">
            <w:pPr>
              <w:snapToGrid w:val="0"/>
              <w:spacing w:line="360" w:lineRule="auto"/>
              <w:jc w:val="center"/>
              <w:rPr>
                <w:rFonts w:ascii="宋体" w:hAnsi="宋体" w:cs="宋体"/>
                <w:color w:val="auto"/>
                <w:sz w:val="24"/>
                <w:highlight w:val="none"/>
              </w:rPr>
            </w:pPr>
          </w:p>
        </w:tc>
        <w:tc>
          <w:tcPr>
            <w:tcW w:w="1559" w:type="dxa"/>
            <w:vAlign w:val="center"/>
          </w:tcPr>
          <w:p w14:paraId="70911639">
            <w:pPr>
              <w:spacing w:line="360" w:lineRule="auto"/>
              <w:jc w:val="center"/>
              <w:rPr>
                <w:rFonts w:ascii="宋体" w:hAnsi="宋体" w:cs="宋体"/>
                <w:color w:val="auto"/>
                <w:sz w:val="24"/>
                <w:highlight w:val="none"/>
              </w:rPr>
            </w:pPr>
          </w:p>
        </w:tc>
        <w:tc>
          <w:tcPr>
            <w:tcW w:w="1984" w:type="dxa"/>
            <w:vAlign w:val="center"/>
          </w:tcPr>
          <w:p w14:paraId="412D0C54">
            <w:pPr>
              <w:spacing w:line="360" w:lineRule="auto"/>
              <w:jc w:val="center"/>
              <w:rPr>
                <w:rFonts w:ascii="宋体" w:hAnsi="宋体" w:cs="宋体"/>
                <w:color w:val="auto"/>
                <w:sz w:val="24"/>
                <w:highlight w:val="none"/>
              </w:rPr>
            </w:pPr>
          </w:p>
        </w:tc>
        <w:tc>
          <w:tcPr>
            <w:tcW w:w="3119" w:type="dxa"/>
            <w:vAlign w:val="center"/>
          </w:tcPr>
          <w:p w14:paraId="060A0D4E">
            <w:pPr>
              <w:spacing w:line="360" w:lineRule="auto"/>
              <w:jc w:val="center"/>
              <w:rPr>
                <w:rFonts w:ascii="宋体" w:hAnsi="宋体" w:cs="宋体"/>
                <w:color w:val="auto"/>
                <w:sz w:val="24"/>
                <w:highlight w:val="none"/>
              </w:rPr>
            </w:pPr>
          </w:p>
        </w:tc>
      </w:tr>
      <w:tr w14:paraId="02B9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7C6787F">
            <w:pPr>
              <w:spacing w:line="360" w:lineRule="auto"/>
              <w:jc w:val="center"/>
              <w:rPr>
                <w:rFonts w:ascii="宋体" w:hAnsi="宋体" w:cs="宋体"/>
                <w:color w:val="auto"/>
                <w:sz w:val="24"/>
                <w:highlight w:val="none"/>
              </w:rPr>
            </w:pPr>
          </w:p>
        </w:tc>
        <w:tc>
          <w:tcPr>
            <w:tcW w:w="1417" w:type="dxa"/>
            <w:vAlign w:val="center"/>
          </w:tcPr>
          <w:p w14:paraId="657A7DA7">
            <w:pPr>
              <w:snapToGrid w:val="0"/>
              <w:spacing w:line="360" w:lineRule="auto"/>
              <w:jc w:val="center"/>
              <w:rPr>
                <w:rFonts w:ascii="宋体" w:hAnsi="宋体" w:cs="宋体"/>
                <w:color w:val="auto"/>
                <w:sz w:val="24"/>
                <w:highlight w:val="none"/>
              </w:rPr>
            </w:pPr>
          </w:p>
        </w:tc>
        <w:tc>
          <w:tcPr>
            <w:tcW w:w="1843" w:type="dxa"/>
            <w:vAlign w:val="center"/>
          </w:tcPr>
          <w:p w14:paraId="30000622">
            <w:pPr>
              <w:snapToGrid w:val="0"/>
              <w:spacing w:line="360" w:lineRule="auto"/>
              <w:jc w:val="center"/>
              <w:rPr>
                <w:rFonts w:ascii="宋体" w:hAnsi="宋体" w:cs="宋体"/>
                <w:color w:val="auto"/>
                <w:sz w:val="24"/>
                <w:highlight w:val="none"/>
              </w:rPr>
            </w:pPr>
          </w:p>
        </w:tc>
        <w:tc>
          <w:tcPr>
            <w:tcW w:w="3118" w:type="dxa"/>
            <w:vAlign w:val="center"/>
          </w:tcPr>
          <w:p w14:paraId="7CC800DD">
            <w:pPr>
              <w:snapToGrid w:val="0"/>
              <w:spacing w:line="360" w:lineRule="auto"/>
              <w:jc w:val="center"/>
              <w:rPr>
                <w:rFonts w:ascii="宋体" w:hAnsi="宋体" w:cs="宋体"/>
                <w:color w:val="auto"/>
                <w:sz w:val="24"/>
                <w:highlight w:val="none"/>
              </w:rPr>
            </w:pPr>
          </w:p>
        </w:tc>
        <w:tc>
          <w:tcPr>
            <w:tcW w:w="993" w:type="dxa"/>
            <w:vAlign w:val="center"/>
          </w:tcPr>
          <w:p w14:paraId="18D14E07">
            <w:pPr>
              <w:snapToGrid w:val="0"/>
              <w:spacing w:line="360" w:lineRule="auto"/>
              <w:jc w:val="center"/>
              <w:rPr>
                <w:rFonts w:ascii="宋体" w:hAnsi="宋体" w:cs="宋体"/>
                <w:color w:val="auto"/>
                <w:sz w:val="24"/>
                <w:highlight w:val="none"/>
              </w:rPr>
            </w:pPr>
          </w:p>
        </w:tc>
        <w:tc>
          <w:tcPr>
            <w:tcW w:w="1559" w:type="dxa"/>
            <w:vAlign w:val="center"/>
          </w:tcPr>
          <w:p w14:paraId="41171A23">
            <w:pPr>
              <w:spacing w:line="360" w:lineRule="auto"/>
              <w:jc w:val="center"/>
              <w:rPr>
                <w:rFonts w:ascii="宋体" w:hAnsi="宋体" w:cs="宋体"/>
                <w:color w:val="auto"/>
                <w:sz w:val="24"/>
                <w:highlight w:val="none"/>
              </w:rPr>
            </w:pPr>
          </w:p>
        </w:tc>
        <w:tc>
          <w:tcPr>
            <w:tcW w:w="1984" w:type="dxa"/>
            <w:vAlign w:val="center"/>
          </w:tcPr>
          <w:p w14:paraId="1F88B292">
            <w:pPr>
              <w:spacing w:line="360" w:lineRule="auto"/>
              <w:jc w:val="center"/>
              <w:rPr>
                <w:rFonts w:ascii="宋体" w:hAnsi="宋体" w:cs="宋体"/>
                <w:color w:val="auto"/>
                <w:sz w:val="24"/>
                <w:highlight w:val="none"/>
              </w:rPr>
            </w:pPr>
          </w:p>
        </w:tc>
        <w:tc>
          <w:tcPr>
            <w:tcW w:w="3119" w:type="dxa"/>
            <w:vAlign w:val="center"/>
          </w:tcPr>
          <w:p w14:paraId="5DCD8EEF">
            <w:pPr>
              <w:spacing w:line="360" w:lineRule="auto"/>
              <w:jc w:val="center"/>
              <w:rPr>
                <w:rFonts w:ascii="宋体" w:hAnsi="宋体" w:cs="宋体"/>
                <w:color w:val="auto"/>
                <w:sz w:val="24"/>
                <w:highlight w:val="none"/>
              </w:rPr>
            </w:pPr>
          </w:p>
        </w:tc>
      </w:tr>
      <w:tr w14:paraId="620E0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71061A46">
            <w:pPr>
              <w:spacing w:line="360" w:lineRule="auto"/>
              <w:jc w:val="center"/>
              <w:rPr>
                <w:rFonts w:ascii="宋体" w:hAnsi="宋体" w:cs="宋体"/>
                <w:color w:val="auto"/>
                <w:sz w:val="24"/>
                <w:highlight w:val="none"/>
              </w:rPr>
            </w:pPr>
          </w:p>
        </w:tc>
        <w:tc>
          <w:tcPr>
            <w:tcW w:w="1417" w:type="dxa"/>
            <w:vAlign w:val="center"/>
          </w:tcPr>
          <w:p w14:paraId="4C37DDCC">
            <w:pPr>
              <w:snapToGrid w:val="0"/>
              <w:spacing w:line="360" w:lineRule="auto"/>
              <w:jc w:val="center"/>
              <w:rPr>
                <w:rFonts w:ascii="宋体" w:hAnsi="宋体" w:cs="宋体"/>
                <w:color w:val="auto"/>
                <w:sz w:val="24"/>
                <w:highlight w:val="none"/>
              </w:rPr>
            </w:pPr>
          </w:p>
        </w:tc>
        <w:tc>
          <w:tcPr>
            <w:tcW w:w="1843" w:type="dxa"/>
            <w:vAlign w:val="center"/>
          </w:tcPr>
          <w:p w14:paraId="56525657">
            <w:pPr>
              <w:snapToGrid w:val="0"/>
              <w:spacing w:line="360" w:lineRule="auto"/>
              <w:jc w:val="center"/>
              <w:rPr>
                <w:rFonts w:ascii="宋体" w:hAnsi="宋体" w:cs="宋体"/>
                <w:color w:val="auto"/>
                <w:sz w:val="24"/>
                <w:highlight w:val="none"/>
              </w:rPr>
            </w:pPr>
          </w:p>
        </w:tc>
        <w:tc>
          <w:tcPr>
            <w:tcW w:w="3118" w:type="dxa"/>
            <w:vAlign w:val="center"/>
          </w:tcPr>
          <w:p w14:paraId="06481E87">
            <w:pPr>
              <w:snapToGrid w:val="0"/>
              <w:spacing w:line="360" w:lineRule="auto"/>
              <w:jc w:val="center"/>
              <w:rPr>
                <w:rFonts w:ascii="宋体" w:hAnsi="宋体" w:cs="宋体"/>
                <w:color w:val="auto"/>
                <w:sz w:val="24"/>
                <w:highlight w:val="none"/>
              </w:rPr>
            </w:pPr>
          </w:p>
        </w:tc>
        <w:tc>
          <w:tcPr>
            <w:tcW w:w="993" w:type="dxa"/>
            <w:vAlign w:val="center"/>
          </w:tcPr>
          <w:p w14:paraId="0DFDE609">
            <w:pPr>
              <w:snapToGrid w:val="0"/>
              <w:spacing w:line="360" w:lineRule="auto"/>
              <w:jc w:val="center"/>
              <w:rPr>
                <w:rFonts w:ascii="宋体" w:hAnsi="宋体" w:cs="宋体"/>
                <w:color w:val="auto"/>
                <w:sz w:val="24"/>
                <w:highlight w:val="none"/>
              </w:rPr>
            </w:pPr>
          </w:p>
        </w:tc>
        <w:tc>
          <w:tcPr>
            <w:tcW w:w="1559" w:type="dxa"/>
            <w:vAlign w:val="center"/>
          </w:tcPr>
          <w:p w14:paraId="176214E1">
            <w:pPr>
              <w:spacing w:line="360" w:lineRule="auto"/>
              <w:jc w:val="center"/>
              <w:rPr>
                <w:rFonts w:ascii="宋体" w:hAnsi="宋体" w:cs="宋体"/>
                <w:color w:val="auto"/>
                <w:sz w:val="24"/>
                <w:highlight w:val="none"/>
              </w:rPr>
            </w:pPr>
          </w:p>
        </w:tc>
        <w:tc>
          <w:tcPr>
            <w:tcW w:w="1984" w:type="dxa"/>
            <w:vAlign w:val="center"/>
          </w:tcPr>
          <w:p w14:paraId="37CBB4F4">
            <w:pPr>
              <w:spacing w:line="360" w:lineRule="auto"/>
              <w:jc w:val="center"/>
              <w:rPr>
                <w:rFonts w:ascii="宋体" w:hAnsi="宋体" w:cs="宋体"/>
                <w:color w:val="auto"/>
                <w:sz w:val="24"/>
                <w:highlight w:val="none"/>
              </w:rPr>
            </w:pPr>
          </w:p>
        </w:tc>
        <w:tc>
          <w:tcPr>
            <w:tcW w:w="3119" w:type="dxa"/>
            <w:vAlign w:val="center"/>
          </w:tcPr>
          <w:p w14:paraId="6173EA34">
            <w:pPr>
              <w:spacing w:line="360" w:lineRule="auto"/>
              <w:jc w:val="center"/>
              <w:rPr>
                <w:rFonts w:ascii="宋体" w:hAnsi="宋体" w:cs="宋体"/>
                <w:color w:val="auto"/>
                <w:sz w:val="24"/>
                <w:highlight w:val="none"/>
              </w:rPr>
            </w:pPr>
          </w:p>
        </w:tc>
      </w:tr>
      <w:tr w14:paraId="0E309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71E7F55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7655" w:type="dxa"/>
            <w:gridSpan w:val="4"/>
            <w:vAlign w:val="center"/>
          </w:tcPr>
          <w:p w14:paraId="10A9AB6F">
            <w:pPr>
              <w:spacing w:line="360" w:lineRule="auto"/>
              <w:jc w:val="center"/>
              <w:rPr>
                <w:rFonts w:ascii="宋体" w:hAnsi="宋体" w:cs="宋体"/>
                <w:color w:val="auto"/>
                <w:sz w:val="24"/>
                <w:highlight w:val="none"/>
              </w:rPr>
            </w:pPr>
          </w:p>
        </w:tc>
      </w:tr>
      <w:tr w14:paraId="218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12DB61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7655" w:type="dxa"/>
            <w:gridSpan w:val="4"/>
            <w:vAlign w:val="center"/>
          </w:tcPr>
          <w:p w14:paraId="0BC84DFF">
            <w:pPr>
              <w:spacing w:line="360" w:lineRule="auto"/>
              <w:jc w:val="center"/>
              <w:rPr>
                <w:rFonts w:ascii="宋体" w:hAnsi="宋体" w:cs="宋体"/>
                <w:color w:val="auto"/>
                <w:sz w:val="24"/>
                <w:highlight w:val="none"/>
              </w:rPr>
            </w:pPr>
          </w:p>
        </w:tc>
      </w:tr>
    </w:tbl>
    <w:p w14:paraId="69D4E7A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7CB8A43">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color w:val="auto"/>
          <w:kern w:val="0"/>
          <w:sz w:val="24"/>
          <w:highlight w:val="none"/>
          <w:lang w:val="zh-CN"/>
        </w:rPr>
        <w:t>。</w:t>
      </w:r>
    </w:p>
    <w:p w14:paraId="169D2ED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2AF767F5">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2204A3EA">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AC27961">
      <w:pPr>
        <w:snapToGrid w:val="0"/>
        <w:spacing w:line="360" w:lineRule="auto"/>
        <w:ind w:firstLine="480" w:firstLineChars="200"/>
        <w:jc w:val="left"/>
        <w:rPr>
          <w:rFonts w:hint="eastAsia" w:ascii="仿宋" w:hAnsi="仿宋" w:eastAsia="仿宋" w:cs="仿宋"/>
          <w:color w:val="auto"/>
          <w:kern w:val="0"/>
          <w:sz w:val="24"/>
          <w:highlight w:val="none"/>
          <w:lang w:val="zh-CN"/>
        </w:rPr>
      </w:pPr>
    </w:p>
    <w:p w14:paraId="1EA18BDB">
      <w:pPr>
        <w:spacing w:line="360" w:lineRule="auto"/>
        <w:ind w:firstLine="482" w:firstLineChars="200"/>
        <w:rPr>
          <w:rFonts w:hint="eastAsia" w:ascii="仿宋" w:hAnsi="仿宋" w:eastAsia="仿宋" w:cs="仿宋"/>
          <w:b/>
          <w:color w:val="auto"/>
          <w:kern w:val="0"/>
          <w:sz w:val="24"/>
          <w:highlight w:val="none"/>
        </w:rPr>
      </w:pPr>
    </w:p>
    <w:p w14:paraId="11AE933A">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p>
    <w:p w14:paraId="213A49DE">
      <w:pPr>
        <w:pStyle w:val="694"/>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pgNumType w:fmt="decimal"/>
          <w:cols w:space="720" w:num="1"/>
          <w:titlePg/>
          <w:docGrid w:linePitch="312" w:charSpace="0"/>
        </w:sectPr>
      </w:pPr>
    </w:p>
    <w:p w14:paraId="5F303FD7">
      <w:pPr>
        <w:pStyle w:val="3"/>
        <w:keepNext w:val="0"/>
        <w:keepLines w:val="0"/>
        <w:pageBreakBefore/>
        <w:widowControl/>
        <w:spacing w:before="100" w:beforeAutospacing="1" w:after="100" w:afterAutospacing="1" w:line="360" w:lineRule="auto"/>
        <w:ind w:left="1290" w:firstLine="3092" w:firstLineChars="700"/>
        <w:rPr>
          <w:rFonts w:hint="eastAsia" w:ascii="仿宋" w:hAnsi="仿宋" w:eastAsia="仿宋" w:cs="仿宋"/>
          <w:color w:val="auto"/>
          <w:highlight w:val="none"/>
        </w:rPr>
      </w:pPr>
      <w:r>
        <w:rPr>
          <w:rFonts w:hint="eastAsia" w:ascii="仿宋" w:hAnsi="仿宋" w:eastAsia="仿宋" w:cs="仿宋"/>
          <w:color w:val="auto"/>
          <w:highlight w:val="none"/>
        </w:rPr>
        <w:t>附件</w:t>
      </w:r>
    </w:p>
    <w:p w14:paraId="6C5160BC">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14:paraId="22C81192">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115EF047">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1D4EA28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07B500B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2EF0CFE9">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1A14375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169C77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858B3A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014AED9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62C57D3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7346D7D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72275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14AFCE6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9A4C050">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78AF24B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3DCE39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DD07D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334C0BF9">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4C365FE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5FC5D6C">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DE9A1B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3D62683D">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524305D0">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26B2694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74644B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6BB534CA">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5A9B3AD8">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2117726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517ACEA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04936A83">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0B0CD781">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501951D7">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0C87E04E">
      <w:pPr>
        <w:widowControl/>
        <w:spacing w:line="360" w:lineRule="auto"/>
        <w:ind w:firstLine="600" w:firstLineChars="200"/>
        <w:jc w:val="left"/>
        <w:rPr>
          <w:rFonts w:hint="eastAsia" w:ascii="仿宋" w:hAnsi="仿宋" w:eastAsia="仿宋" w:cs="仿宋"/>
          <w:color w:val="auto"/>
          <w:sz w:val="30"/>
          <w:szCs w:val="30"/>
          <w:highlight w:val="none"/>
        </w:rPr>
      </w:pPr>
    </w:p>
    <w:p w14:paraId="05C3C9BC">
      <w:pPr>
        <w:spacing w:line="360" w:lineRule="auto"/>
        <w:jc w:val="center"/>
        <w:rPr>
          <w:rFonts w:hint="eastAsia" w:ascii="仿宋" w:hAnsi="仿宋" w:eastAsia="仿宋" w:cs="仿宋"/>
          <w:b/>
          <w:color w:val="auto"/>
          <w:spacing w:val="6"/>
          <w:sz w:val="32"/>
          <w:szCs w:val="32"/>
          <w:highlight w:val="none"/>
        </w:rPr>
      </w:pPr>
    </w:p>
    <w:p w14:paraId="7EBA1FD9">
      <w:pPr>
        <w:spacing w:line="360" w:lineRule="auto"/>
        <w:jc w:val="center"/>
        <w:rPr>
          <w:rFonts w:hint="eastAsia" w:ascii="仿宋" w:hAnsi="仿宋" w:eastAsia="仿宋" w:cs="仿宋"/>
          <w:b/>
          <w:color w:val="auto"/>
          <w:spacing w:val="6"/>
          <w:sz w:val="32"/>
          <w:szCs w:val="32"/>
          <w:highlight w:val="none"/>
        </w:rPr>
      </w:pPr>
    </w:p>
    <w:p w14:paraId="67C48F15">
      <w:pPr>
        <w:spacing w:line="360" w:lineRule="auto"/>
        <w:jc w:val="center"/>
        <w:rPr>
          <w:rFonts w:hint="eastAsia" w:ascii="仿宋" w:hAnsi="仿宋" w:eastAsia="仿宋" w:cs="仿宋"/>
          <w:b/>
          <w:color w:val="auto"/>
          <w:spacing w:val="6"/>
          <w:sz w:val="32"/>
          <w:szCs w:val="32"/>
          <w:highlight w:val="none"/>
        </w:rPr>
      </w:pPr>
    </w:p>
    <w:p w14:paraId="1A086652">
      <w:pPr>
        <w:spacing w:line="360" w:lineRule="auto"/>
        <w:jc w:val="center"/>
        <w:rPr>
          <w:rFonts w:hint="eastAsia" w:ascii="仿宋" w:hAnsi="仿宋" w:eastAsia="仿宋" w:cs="仿宋"/>
          <w:b/>
          <w:color w:val="auto"/>
          <w:spacing w:val="6"/>
          <w:sz w:val="32"/>
          <w:szCs w:val="32"/>
          <w:highlight w:val="none"/>
        </w:rPr>
      </w:pPr>
    </w:p>
    <w:p w14:paraId="367E5C9B">
      <w:pPr>
        <w:spacing w:line="360" w:lineRule="auto"/>
        <w:jc w:val="center"/>
        <w:rPr>
          <w:rFonts w:hint="eastAsia" w:ascii="仿宋" w:hAnsi="仿宋" w:eastAsia="仿宋" w:cs="仿宋"/>
          <w:b/>
          <w:color w:val="auto"/>
          <w:spacing w:val="6"/>
          <w:sz w:val="32"/>
          <w:szCs w:val="32"/>
          <w:highlight w:val="none"/>
        </w:rPr>
      </w:pPr>
    </w:p>
    <w:p w14:paraId="3F68EDF4">
      <w:pPr>
        <w:spacing w:line="360" w:lineRule="auto"/>
        <w:jc w:val="center"/>
        <w:rPr>
          <w:rFonts w:hint="eastAsia" w:ascii="仿宋" w:hAnsi="仿宋" w:eastAsia="仿宋" w:cs="仿宋"/>
          <w:b/>
          <w:color w:val="auto"/>
          <w:spacing w:val="6"/>
          <w:sz w:val="32"/>
          <w:szCs w:val="32"/>
          <w:highlight w:val="none"/>
        </w:rPr>
      </w:pPr>
    </w:p>
    <w:p w14:paraId="60DB68D9">
      <w:pPr>
        <w:spacing w:line="360" w:lineRule="auto"/>
        <w:jc w:val="center"/>
        <w:rPr>
          <w:rFonts w:hint="eastAsia" w:ascii="仿宋" w:hAnsi="仿宋" w:eastAsia="仿宋" w:cs="仿宋"/>
          <w:b/>
          <w:color w:val="auto"/>
          <w:spacing w:val="6"/>
          <w:sz w:val="32"/>
          <w:szCs w:val="32"/>
          <w:highlight w:val="none"/>
        </w:rPr>
      </w:pPr>
    </w:p>
    <w:p w14:paraId="4DF4C886">
      <w:pPr>
        <w:pStyle w:val="25"/>
        <w:rPr>
          <w:rFonts w:hint="eastAsia" w:ascii="仿宋" w:hAnsi="仿宋" w:eastAsia="仿宋" w:cs="仿宋"/>
          <w:b/>
          <w:color w:val="auto"/>
          <w:spacing w:val="6"/>
          <w:sz w:val="32"/>
          <w:szCs w:val="32"/>
          <w:highlight w:val="none"/>
        </w:rPr>
      </w:pPr>
    </w:p>
    <w:p w14:paraId="5B09869D">
      <w:pPr>
        <w:rPr>
          <w:rFonts w:hint="eastAsia" w:ascii="仿宋" w:hAnsi="仿宋" w:eastAsia="仿宋" w:cs="仿宋"/>
          <w:b/>
          <w:color w:val="auto"/>
          <w:spacing w:val="6"/>
          <w:sz w:val="32"/>
          <w:szCs w:val="32"/>
          <w:highlight w:val="none"/>
        </w:rPr>
      </w:pPr>
    </w:p>
    <w:p w14:paraId="261693D7">
      <w:pPr>
        <w:pStyle w:val="25"/>
        <w:rPr>
          <w:rFonts w:hint="eastAsia" w:ascii="仿宋" w:hAnsi="仿宋" w:eastAsia="仿宋" w:cs="仿宋"/>
          <w:b/>
          <w:color w:val="auto"/>
          <w:spacing w:val="6"/>
          <w:sz w:val="32"/>
          <w:szCs w:val="32"/>
          <w:highlight w:val="none"/>
        </w:rPr>
      </w:pPr>
    </w:p>
    <w:p w14:paraId="19ADA029">
      <w:pPr>
        <w:rPr>
          <w:rFonts w:hint="eastAsia" w:ascii="仿宋" w:hAnsi="仿宋" w:eastAsia="仿宋" w:cs="仿宋"/>
          <w:b/>
          <w:color w:val="auto"/>
          <w:spacing w:val="6"/>
          <w:sz w:val="32"/>
          <w:szCs w:val="32"/>
          <w:highlight w:val="none"/>
        </w:rPr>
      </w:pPr>
    </w:p>
    <w:p w14:paraId="6200B918">
      <w:pPr>
        <w:pStyle w:val="25"/>
        <w:rPr>
          <w:rFonts w:hint="eastAsia"/>
          <w:color w:val="auto"/>
          <w:highlight w:val="none"/>
        </w:rPr>
      </w:pPr>
    </w:p>
    <w:p w14:paraId="53245B02">
      <w:pPr>
        <w:spacing w:line="360" w:lineRule="auto"/>
        <w:jc w:val="left"/>
        <w:rPr>
          <w:rFonts w:hint="eastAsia" w:ascii="仿宋" w:hAnsi="仿宋" w:eastAsia="仿宋" w:cs="仿宋"/>
          <w:b/>
          <w:color w:val="auto"/>
          <w:spacing w:val="6"/>
          <w:sz w:val="32"/>
          <w:szCs w:val="32"/>
          <w:highlight w:val="none"/>
        </w:rPr>
      </w:pPr>
    </w:p>
    <w:p w14:paraId="344FD02D">
      <w:pPr>
        <w:pStyle w:val="25"/>
        <w:rPr>
          <w:rFonts w:hint="eastAsia" w:ascii="仿宋" w:hAnsi="仿宋" w:eastAsia="仿宋" w:cs="仿宋"/>
          <w:b/>
          <w:color w:val="auto"/>
          <w:spacing w:val="6"/>
          <w:sz w:val="32"/>
          <w:szCs w:val="32"/>
          <w:highlight w:val="none"/>
        </w:rPr>
      </w:pPr>
    </w:p>
    <w:p w14:paraId="78FAEC40">
      <w:pPr>
        <w:rPr>
          <w:rFonts w:hint="eastAsia" w:ascii="仿宋" w:hAnsi="仿宋" w:eastAsia="仿宋" w:cs="仿宋"/>
          <w:b/>
          <w:color w:val="auto"/>
          <w:spacing w:val="6"/>
          <w:sz w:val="32"/>
          <w:szCs w:val="32"/>
          <w:highlight w:val="none"/>
        </w:rPr>
      </w:pPr>
    </w:p>
    <w:p w14:paraId="46F98A35">
      <w:pPr>
        <w:pStyle w:val="25"/>
        <w:rPr>
          <w:rFonts w:hint="eastAsia" w:ascii="仿宋" w:hAnsi="仿宋" w:eastAsia="仿宋" w:cs="仿宋"/>
          <w:b/>
          <w:color w:val="auto"/>
          <w:spacing w:val="6"/>
          <w:sz w:val="32"/>
          <w:szCs w:val="32"/>
          <w:highlight w:val="none"/>
        </w:rPr>
      </w:pPr>
    </w:p>
    <w:p w14:paraId="60D8DD37">
      <w:pPr>
        <w:spacing w:line="360"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2</w:t>
      </w:r>
      <w:r>
        <w:rPr>
          <w:rFonts w:hint="eastAsia" w:ascii="仿宋" w:hAnsi="仿宋" w:eastAsia="仿宋" w:cs="仿宋"/>
          <w:b/>
          <w:color w:val="auto"/>
          <w:spacing w:val="6"/>
          <w:sz w:val="32"/>
          <w:szCs w:val="32"/>
          <w:highlight w:val="none"/>
        </w:rPr>
        <w:t>：投诉书范本及制作说明</w:t>
      </w:r>
    </w:p>
    <w:p w14:paraId="13B0542D">
      <w:pPr>
        <w:spacing w:line="360" w:lineRule="auto"/>
        <w:jc w:val="center"/>
        <w:rPr>
          <w:rFonts w:hint="eastAsia" w:ascii="仿宋" w:hAnsi="仿宋" w:eastAsia="仿宋" w:cs="仿宋"/>
          <w:b/>
          <w:color w:val="auto"/>
          <w:sz w:val="24"/>
          <w:highlight w:val="none"/>
        </w:rPr>
      </w:pPr>
    </w:p>
    <w:p w14:paraId="376A8B7E">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15CFD47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2C30574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1B5DF92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3BB2581">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4440DC00">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A671AC5">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5466AB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3EE66F6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30FE12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0D18F1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3EF43E8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4C7F36AA">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20D7BDC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557704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A2A38C">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354980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4581418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4EEBC691">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3821D0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E682B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56C5147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237287C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53C8ED3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66FADDB">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7CABB9C">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E25374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7E435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0C2C7FC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04407B4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084C3BC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3639B3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1A0152B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D9996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38F2B572">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417867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65CC4DA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F05076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456C091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4F213CA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06480E7F">
      <w:pPr>
        <w:spacing w:line="360" w:lineRule="auto"/>
        <w:rPr>
          <w:rFonts w:hint="eastAsia" w:ascii="仿宋" w:hAnsi="仿宋" w:eastAsia="仿宋" w:cs="仿宋"/>
          <w:b/>
          <w:color w:val="auto"/>
          <w:sz w:val="24"/>
          <w:highlight w:val="none"/>
        </w:rPr>
      </w:pPr>
    </w:p>
    <w:p w14:paraId="08C06333">
      <w:pPr>
        <w:spacing w:line="360" w:lineRule="auto"/>
        <w:rPr>
          <w:rFonts w:hint="eastAsia" w:ascii="仿宋" w:hAnsi="仿宋" w:eastAsia="仿宋" w:cs="仿宋"/>
          <w:b/>
          <w:color w:val="auto"/>
          <w:sz w:val="24"/>
          <w:highlight w:val="none"/>
        </w:rPr>
      </w:pPr>
    </w:p>
    <w:p w14:paraId="516F0DCB">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25B8B4C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42C7AA9D">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1B61926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370773C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3B6117F0">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64F4620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2F85CCF">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07D69AAC">
      <w:pPr>
        <w:spacing w:line="360" w:lineRule="auto"/>
        <w:rPr>
          <w:rFonts w:hint="eastAsia" w:ascii="仿宋" w:hAnsi="仿宋" w:eastAsia="仿宋" w:cs="仿宋"/>
          <w:b/>
          <w:color w:val="auto"/>
          <w:sz w:val="24"/>
          <w:highlight w:val="none"/>
        </w:rPr>
      </w:pPr>
    </w:p>
    <w:p w14:paraId="350E783D">
      <w:pPr>
        <w:autoSpaceDE w:val="0"/>
        <w:autoSpaceDN w:val="0"/>
        <w:jc w:val="center"/>
        <w:rPr>
          <w:rFonts w:hint="eastAsia" w:ascii="仿宋" w:hAnsi="仿宋" w:eastAsia="仿宋" w:cs="仿宋"/>
          <w:b/>
          <w:color w:val="auto"/>
          <w:spacing w:val="6"/>
          <w:sz w:val="32"/>
          <w:szCs w:val="32"/>
          <w:highlight w:val="none"/>
        </w:rPr>
      </w:pPr>
    </w:p>
    <w:p w14:paraId="50DEB178">
      <w:pPr>
        <w:autoSpaceDE w:val="0"/>
        <w:autoSpaceDN w:val="0"/>
        <w:jc w:val="center"/>
        <w:rPr>
          <w:rFonts w:hint="eastAsia" w:ascii="仿宋" w:hAnsi="仿宋" w:eastAsia="仿宋" w:cs="仿宋"/>
          <w:b/>
          <w:color w:val="auto"/>
          <w:spacing w:val="6"/>
          <w:sz w:val="32"/>
          <w:szCs w:val="32"/>
          <w:highlight w:val="none"/>
        </w:rPr>
      </w:pPr>
    </w:p>
    <w:p w14:paraId="59DCA270">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w:t>
      </w:r>
      <w:r>
        <w:rPr>
          <w:rFonts w:hint="eastAsia" w:ascii="仿宋" w:hAnsi="仿宋" w:eastAsia="仿宋" w:cs="仿宋"/>
          <w:b/>
          <w:bCs/>
          <w:color w:val="auto"/>
          <w:sz w:val="32"/>
          <w:szCs w:val="32"/>
          <w:highlight w:val="none"/>
        </w:rPr>
        <w:t>业务专用章使用说明函</w:t>
      </w:r>
    </w:p>
    <w:p w14:paraId="2BB88A5E">
      <w:pPr>
        <w:spacing w:line="360" w:lineRule="auto"/>
        <w:rPr>
          <w:rFonts w:hint="eastAsia" w:ascii="仿宋" w:hAnsi="仿宋" w:eastAsia="仿宋" w:cs="仿宋"/>
          <w:color w:val="auto"/>
          <w:sz w:val="24"/>
          <w:highlight w:val="none"/>
          <w:u w:val="single"/>
        </w:rPr>
      </w:pPr>
    </w:p>
    <w:p w14:paraId="4D473BB3">
      <w:pPr>
        <w:keepNext w:val="0"/>
        <w:keepLines w:val="0"/>
        <w:pageBreakBefore w:val="0"/>
        <w:widowControl w:val="0"/>
        <w:kinsoku/>
        <w:wordWrap/>
        <w:overflowPunct/>
        <w:topLinePunct w:val="0"/>
        <w:autoSpaceDE/>
        <w:autoSpaceDN/>
        <w:bidi w:val="0"/>
        <w:adjustRightInd w:val="0"/>
        <w:snapToGrid/>
        <w:spacing w:line="440" w:lineRule="exac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E73BD2F">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57FBAB05">
      <w:pPr>
        <w:keepNext w:val="0"/>
        <w:keepLines w:val="0"/>
        <w:pageBreakBefore w:val="0"/>
        <w:widowControl w:val="0"/>
        <w:kinsoku/>
        <w:wordWrap/>
        <w:overflowPunct/>
        <w:topLinePunct w:val="0"/>
        <w:autoSpaceDE/>
        <w:autoSpaceDN/>
        <w:bidi w:val="0"/>
        <w:adjustRightInd w:val="0"/>
        <w:snapToGrid/>
        <w:spacing w:line="44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1721D813">
      <w:pPr>
        <w:spacing w:line="360" w:lineRule="auto"/>
        <w:ind w:firstLine="494"/>
        <w:rPr>
          <w:rFonts w:hint="eastAsia" w:ascii="仿宋" w:hAnsi="仿宋" w:eastAsia="仿宋" w:cs="仿宋"/>
          <w:color w:val="auto"/>
          <w:sz w:val="24"/>
          <w:highlight w:val="none"/>
        </w:rPr>
      </w:pPr>
    </w:p>
    <w:p w14:paraId="7B7BEFD1">
      <w:pPr>
        <w:spacing w:line="360" w:lineRule="auto"/>
        <w:ind w:firstLine="494"/>
        <w:rPr>
          <w:rFonts w:hint="eastAsia" w:ascii="仿宋" w:hAnsi="仿宋" w:eastAsia="仿宋" w:cs="仿宋"/>
          <w:color w:val="auto"/>
          <w:sz w:val="24"/>
          <w:highlight w:val="none"/>
        </w:rPr>
      </w:pPr>
    </w:p>
    <w:p w14:paraId="038EA07F">
      <w:pPr>
        <w:spacing w:line="360" w:lineRule="auto"/>
        <w:ind w:firstLine="494"/>
        <w:rPr>
          <w:rFonts w:hint="eastAsia" w:ascii="仿宋" w:hAnsi="仿宋" w:eastAsia="仿宋" w:cs="仿宋"/>
          <w:color w:val="auto"/>
          <w:sz w:val="24"/>
          <w:highlight w:val="none"/>
        </w:rPr>
      </w:pPr>
    </w:p>
    <w:p w14:paraId="62E698ED">
      <w:pPr>
        <w:spacing w:line="360" w:lineRule="auto"/>
        <w:ind w:firstLine="494"/>
        <w:rPr>
          <w:rFonts w:hint="eastAsia" w:ascii="仿宋" w:hAnsi="仿宋" w:eastAsia="仿宋" w:cs="仿宋"/>
          <w:color w:val="auto"/>
          <w:sz w:val="24"/>
          <w:highlight w:val="none"/>
        </w:rPr>
      </w:pPr>
    </w:p>
    <w:p w14:paraId="608A65D6">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4FF6E251">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56967E67">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7A3CACC7">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3034030</wp:posOffset>
                </wp:positionH>
                <wp:positionV relativeFrom="paragraph">
                  <wp:posOffset>356235</wp:posOffset>
                </wp:positionV>
                <wp:extent cx="2704465" cy="2253615"/>
                <wp:effectExtent l="10160" t="13334" r="9525" b="9525"/>
                <wp:wrapNone/>
                <wp:docPr id="1026"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7" o:spid="_x0000_s1026" o:spt="1" style="position:absolute;left:0pt;margin-left:238.9pt;margin-top:28.05pt;height:177.45pt;width:212.95pt;z-index:-251656192;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x&#10;z/jB2AAAAAoBAAAPAAAAAAAAAAEAIAAAACIAAABkcnMvZG93bnJldi54bWxQSwECFAAUAAAACACH&#10;TuJADfIsy+sBAAAaBAAADgAAAAAAAAABACAAAAAnAQAAZHJzL2Uyb0RvYy54bWxQSwUGAAAAAAYA&#10;BgBZAQAAhAUAAAAA&#10;">
                <v:fill on="t" focussize="0,0"/>
                <v:stroke color="#000000"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0" distR="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4" r="10160" b="9525"/>
                <wp:wrapNone/>
                <wp:docPr id="1027"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ndOwWNgAAAAKAQAADwAAAAAAAAABACAAAAAiAAAAZHJzL2Rvd25yZXYueG1sUEsBAhQAFAAAAAgA&#10;h07iQJjnx4nsAQAAGgQAAA4AAAAAAAAAAQAgAAAAJwEAAGRycy9lMm9Eb2MueG1sUEsFBgAAAAAG&#10;AAYAWQEAAIUFAAAAAA==&#10;">
                <v:fill on="t" focussize="0,0"/>
                <v:stroke color="#000000"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159EDC66">
      <w:pPr>
        <w:autoSpaceDE w:val="0"/>
        <w:autoSpaceDN w:val="0"/>
        <w:jc w:val="center"/>
        <w:rPr>
          <w:rFonts w:hint="eastAsia" w:ascii="仿宋" w:hAnsi="仿宋" w:eastAsia="仿宋" w:cs="仿宋"/>
          <w:b/>
          <w:color w:val="auto"/>
          <w:spacing w:val="6"/>
          <w:sz w:val="32"/>
          <w:szCs w:val="32"/>
          <w:highlight w:val="none"/>
        </w:rPr>
      </w:pPr>
    </w:p>
    <w:p w14:paraId="0255D322">
      <w:pPr>
        <w:autoSpaceDE w:val="0"/>
        <w:autoSpaceDN w:val="0"/>
        <w:jc w:val="center"/>
        <w:rPr>
          <w:rFonts w:hint="eastAsia" w:ascii="仿宋" w:hAnsi="仿宋" w:eastAsia="仿宋" w:cs="仿宋"/>
          <w:b/>
          <w:color w:val="auto"/>
          <w:spacing w:val="6"/>
          <w:sz w:val="32"/>
          <w:szCs w:val="32"/>
          <w:highlight w:val="none"/>
        </w:rPr>
      </w:pPr>
    </w:p>
    <w:p w14:paraId="77B8E61E">
      <w:pPr>
        <w:autoSpaceDE w:val="0"/>
        <w:autoSpaceDN w:val="0"/>
        <w:jc w:val="center"/>
        <w:rPr>
          <w:rFonts w:hint="eastAsia" w:ascii="仿宋" w:hAnsi="仿宋" w:eastAsia="仿宋" w:cs="仿宋"/>
          <w:b/>
          <w:color w:val="auto"/>
          <w:spacing w:val="6"/>
          <w:sz w:val="32"/>
          <w:szCs w:val="32"/>
          <w:highlight w:val="none"/>
        </w:rPr>
      </w:pPr>
    </w:p>
    <w:p w14:paraId="0AD0AF7B">
      <w:pPr>
        <w:autoSpaceDE w:val="0"/>
        <w:autoSpaceDN w:val="0"/>
        <w:jc w:val="center"/>
        <w:rPr>
          <w:rFonts w:hint="eastAsia" w:ascii="仿宋" w:hAnsi="仿宋" w:eastAsia="仿宋" w:cs="仿宋"/>
          <w:b/>
          <w:color w:val="auto"/>
          <w:spacing w:val="6"/>
          <w:sz w:val="32"/>
          <w:szCs w:val="32"/>
          <w:highlight w:val="none"/>
        </w:rPr>
      </w:pPr>
    </w:p>
    <w:p w14:paraId="0DB81EDD">
      <w:pPr>
        <w:autoSpaceDE w:val="0"/>
        <w:autoSpaceDN w:val="0"/>
        <w:jc w:val="center"/>
        <w:rPr>
          <w:rFonts w:hint="eastAsia" w:ascii="仿宋" w:hAnsi="仿宋" w:eastAsia="仿宋" w:cs="仿宋"/>
          <w:b/>
          <w:color w:val="auto"/>
          <w:spacing w:val="6"/>
          <w:sz w:val="32"/>
          <w:szCs w:val="32"/>
          <w:highlight w:val="none"/>
        </w:rPr>
      </w:pPr>
    </w:p>
    <w:p w14:paraId="1F74C551">
      <w:pPr>
        <w:autoSpaceDE w:val="0"/>
        <w:autoSpaceDN w:val="0"/>
        <w:jc w:val="center"/>
        <w:rPr>
          <w:rFonts w:hint="eastAsia" w:ascii="仿宋" w:hAnsi="仿宋" w:eastAsia="仿宋" w:cs="仿宋"/>
          <w:b/>
          <w:color w:val="auto"/>
          <w:spacing w:val="6"/>
          <w:sz w:val="32"/>
          <w:szCs w:val="32"/>
          <w:highlight w:val="none"/>
        </w:rPr>
      </w:pPr>
    </w:p>
    <w:p w14:paraId="12E7EB72">
      <w:pPr>
        <w:autoSpaceDE w:val="0"/>
        <w:autoSpaceDN w:val="0"/>
        <w:jc w:val="center"/>
        <w:rPr>
          <w:rFonts w:hint="eastAsia" w:ascii="仿宋" w:hAnsi="仿宋" w:eastAsia="仿宋" w:cs="仿宋"/>
          <w:b/>
          <w:color w:val="auto"/>
          <w:spacing w:val="6"/>
          <w:sz w:val="32"/>
          <w:szCs w:val="32"/>
          <w:highlight w:val="none"/>
        </w:rPr>
      </w:pPr>
    </w:p>
    <w:p w14:paraId="3B3CFFB5">
      <w:pPr>
        <w:pStyle w:val="25"/>
        <w:rPr>
          <w:rFonts w:hint="eastAsia" w:ascii="仿宋" w:hAnsi="仿宋" w:eastAsia="仿宋" w:cs="仿宋"/>
          <w:b/>
          <w:color w:val="auto"/>
          <w:spacing w:val="6"/>
          <w:sz w:val="32"/>
          <w:szCs w:val="32"/>
          <w:highlight w:val="none"/>
        </w:rPr>
      </w:pPr>
    </w:p>
    <w:p w14:paraId="5BFC64A8">
      <w:pPr>
        <w:rPr>
          <w:rFonts w:hint="eastAsia" w:ascii="仿宋" w:hAnsi="仿宋" w:eastAsia="仿宋" w:cs="仿宋"/>
          <w:b/>
          <w:color w:val="auto"/>
          <w:spacing w:val="6"/>
          <w:sz w:val="32"/>
          <w:szCs w:val="32"/>
          <w:highlight w:val="none"/>
        </w:rPr>
      </w:pPr>
    </w:p>
    <w:p w14:paraId="720CAC18">
      <w:pPr>
        <w:pStyle w:val="25"/>
        <w:rPr>
          <w:rFonts w:hint="eastAsia" w:ascii="仿宋" w:hAnsi="仿宋" w:eastAsia="仿宋" w:cs="仿宋"/>
          <w:b/>
          <w:color w:val="auto"/>
          <w:spacing w:val="6"/>
          <w:sz w:val="32"/>
          <w:szCs w:val="32"/>
          <w:highlight w:val="none"/>
        </w:rPr>
      </w:pPr>
    </w:p>
    <w:p w14:paraId="48C9B189">
      <w:pPr>
        <w:rPr>
          <w:rFonts w:hint="eastAsia" w:ascii="仿宋" w:hAnsi="仿宋" w:eastAsia="仿宋" w:cs="仿宋"/>
          <w:b/>
          <w:color w:val="auto"/>
          <w:spacing w:val="6"/>
          <w:sz w:val="32"/>
          <w:szCs w:val="32"/>
          <w:highlight w:val="none"/>
        </w:rPr>
      </w:pPr>
    </w:p>
    <w:p w14:paraId="6FF20F4C">
      <w:pPr>
        <w:pStyle w:val="25"/>
        <w:rPr>
          <w:rFonts w:hint="eastAsia" w:ascii="仿宋" w:hAnsi="仿宋" w:eastAsia="仿宋" w:cs="仿宋"/>
          <w:b/>
          <w:color w:val="auto"/>
          <w:spacing w:val="6"/>
          <w:sz w:val="32"/>
          <w:szCs w:val="32"/>
          <w:highlight w:val="none"/>
        </w:rPr>
      </w:pPr>
    </w:p>
    <w:p w14:paraId="672173F1">
      <w:pPr>
        <w:rPr>
          <w:rFonts w:hint="eastAsia" w:ascii="仿宋" w:hAnsi="仿宋" w:eastAsia="仿宋" w:cs="仿宋"/>
          <w:b/>
          <w:color w:val="auto"/>
          <w:spacing w:val="6"/>
          <w:sz w:val="32"/>
          <w:szCs w:val="32"/>
          <w:highlight w:val="none"/>
        </w:rPr>
      </w:pPr>
    </w:p>
    <w:p w14:paraId="7EC74689">
      <w:pPr>
        <w:pStyle w:val="25"/>
        <w:rPr>
          <w:rFonts w:hint="eastAsia" w:ascii="仿宋" w:hAnsi="仿宋" w:eastAsia="仿宋" w:cs="仿宋"/>
          <w:b/>
          <w:color w:val="auto"/>
          <w:spacing w:val="6"/>
          <w:sz w:val="32"/>
          <w:szCs w:val="32"/>
          <w:highlight w:val="none"/>
        </w:rPr>
      </w:pPr>
    </w:p>
    <w:p w14:paraId="06C0E97E">
      <w:pPr>
        <w:pStyle w:val="25"/>
        <w:rPr>
          <w:rFonts w:hint="eastAsia"/>
          <w:color w:val="auto"/>
          <w:highlight w:val="none"/>
        </w:rPr>
      </w:pPr>
    </w:p>
    <w:p w14:paraId="2C0D6241">
      <w:pPr>
        <w:autoSpaceDE w:val="0"/>
        <w:autoSpaceDN w:val="0"/>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4</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lang w:val="zh-CN"/>
        </w:rPr>
        <w:t>联合协议</w:t>
      </w:r>
    </w:p>
    <w:p w14:paraId="3991793B">
      <w:pPr>
        <w:keepNext w:val="0"/>
        <w:keepLines w:val="0"/>
        <w:pageBreakBefore w:val="0"/>
        <w:widowControl/>
        <w:kinsoku/>
        <w:wordWrap/>
        <w:overflowPunct/>
        <w:topLinePunct w:val="0"/>
        <w:autoSpaceDE/>
        <w:autoSpaceDN/>
        <w:bidi w:val="0"/>
        <w:adjustRightInd w:val="0"/>
        <w:spacing w:line="440" w:lineRule="exact"/>
        <w:ind w:right="0" w:firstLine="482" w:firstLineChars="200"/>
        <w:jc w:val="left"/>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549D93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投标。 </w:t>
      </w:r>
    </w:p>
    <w:p w14:paraId="0AA991F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55531AA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509498F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23F8E1E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77E75E">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9FF382C">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p w14:paraId="3594EA47">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p>
    <w:p w14:paraId="58A551B6">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1、</w:t>
      </w:r>
      <w:r>
        <w:rPr>
          <w:rFonts w:hint="eastAsia" w:ascii="仿宋" w:hAnsi="仿宋" w:eastAsia="仿宋" w:cs="仿宋"/>
          <w:color w:val="auto"/>
          <w:kern w:val="0"/>
          <w:sz w:val="24"/>
          <w:highlight w:val="none"/>
          <w:u w:val="single"/>
        </w:rPr>
        <w:t>（</w:t>
      </w:r>
      <w:bookmarkStart w:id="38" w:name="_Hlk101131882"/>
      <w:r>
        <w:rPr>
          <w:rFonts w:hint="eastAsia" w:ascii="仿宋" w:hAnsi="仿宋" w:eastAsia="仿宋" w:cs="仿宋"/>
          <w:color w:val="auto"/>
          <w:kern w:val="0"/>
          <w:sz w:val="24"/>
          <w:highlight w:val="none"/>
          <w:u w:val="single"/>
        </w:rPr>
        <w:t>联合体成员X,……</w:t>
      </w:r>
      <w:bookmarkEnd w:id="38"/>
      <w:r>
        <w:rPr>
          <w:rFonts w:hint="eastAsia" w:ascii="仿宋" w:hAnsi="仿宋" w:eastAsia="仿宋" w:cs="仿宋"/>
          <w:color w:val="auto"/>
          <w:kern w:val="0"/>
          <w:sz w:val="24"/>
          <w:highlight w:val="none"/>
          <w:u w:val="single"/>
        </w:rPr>
        <w:t>）</w:t>
      </w:r>
      <w:r>
        <w:rPr>
          <w:rFonts w:hint="eastAsia" w:ascii="仿宋" w:hAnsi="仿宋" w:eastAsia="仿宋" w:cs="仿宋"/>
          <w:color w:val="auto"/>
          <w:kern w:val="0"/>
          <w:sz w:val="24"/>
          <w:highlight w:val="none"/>
        </w:rPr>
        <w:t>提供的服务由小微企业承接，其合同份额占到合同总金额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w:t>
      </w:r>
      <w:bookmarkStart w:id="39" w:name="_Hlk101133598"/>
      <w:r>
        <w:rPr>
          <w:rFonts w:hint="eastAsia" w:ascii="仿宋" w:hAnsi="仿宋" w:eastAsia="仿宋" w:cs="仿宋"/>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bookmarkEnd w:id="39"/>
      <w:r>
        <w:rPr>
          <w:rFonts w:hint="eastAsia" w:ascii="仿宋" w:hAnsi="仿宋" w:eastAsia="仿宋" w:cs="仿宋"/>
          <w:b/>
          <w:color w:val="auto"/>
          <w:kern w:val="0"/>
          <w:sz w:val="24"/>
          <w:highlight w:val="none"/>
          <w:lang w:val="zh-CN"/>
        </w:rPr>
        <w:t>）</w:t>
      </w:r>
    </w:p>
    <w:p w14:paraId="7E2CA02C">
      <w:pPr>
        <w:keepNext w:val="0"/>
        <w:keepLines w:val="0"/>
        <w:pageBreakBefore w:val="0"/>
        <w:kinsoku/>
        <w:wordWrap/>
        <w:overflowPunct/>
        <w:topLinePunct w:val="0"/>
        <w:autoSpaceDE/>
        <w:autoSpaceDN/>
        <w:bidi w:val="0"/>
        <w:adjustRightInd w:val="0"/>
        <w:spacing w:line="440" w:lineRule="exact"/>
        <w:ind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w:t>
      </w:r>
      <w:bookmarkStart w:id="4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bookmarkEnd w:id="40"/>
    </w:p>
    <w:p w14:paraId="6492897B">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5173BFE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1C5FA24">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13416ED">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630EADFF">
      <w:pPr>
        <w:keepNext w:val="0"/>
        <w:keepLines w:val="0"/>
        <w:pageBreakBefore w:val="0"/>
        <w:kinsoku/>
        <w:wordWrap/>
        <w:overflowPunct/>
        <w:topLinePunct w:val="0"/>
        <w:autoSpaceDE/>
        <w:autoSpaceDN/>
        <w:bidi w:val="0"/>
        <w:adjustRightInd w:val="0"/>
        <w:snapToGrid w:val="0"/>
        <w:spacing w:line="440" w:lineRule="exact"/>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4C8E7088">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5FB10C88">
      <w:pPr>
        <w:keepNext w:val="0"/>
        <w:keepLines w:val="0"/>
        <w:pageBreakBefore w:val="0"/>
        <w:kinsoku/>
        <w:wordWrap/>
        <w:overflowPunct/>
        <w:topLinePunct w:val="0"/>
        <w:autoSpaceDE/>
        <w:autoSpaceDN/>
        <w:bidi w:val="0"/>
        <w:adjustRightInd w:val="0"/>
        <w:snapToGrid w:val="0"/>
        <w:spacing w:line="440" w:lineRule="exact"/>
        <w:ind w:right="0" w:firstLine="5040" w:firstLine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BABD601">
      <w:pPr>
        <w:keepNext w:val="0"/>
        <w:keepLines w:val="0"/>
        <w:pageBreakBefore w:val="0"/>
        <w:kinsoku/>
        <w:wordWrap/>
        <w:overflowPunct/>
        <w:topLinePunct w:val="0"/>
        <w:autoSpaceDE/>
        <w:autoSpaceDN/>
        <w:bidi w:val="0"/>
        <w:adjustRightInd w:val="0"/>
        <w:snapToGrid w:val="0"/>
        <w:spacing w:line="440" w:lineRule="exact"/>
        <w:ind w:right="0"/>
        <w:jc w:val="center"/>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326DAE9D">
      <w:pPr>
        <w:keepNext w:val="0"/>
        <w:keepLines w:val="0"/>
        <w:pageBreakBefore w:val="0"/>
        <w:kinsoku/>
        <w:wordWrap/>
        <w:overflowPunct/>
        <w:topLinePunct w:val="0"/>
        <w:autoSpaceDE/>
        <w:autoSpaceDN/>
        <w:bidi w:val="0"/>
        <w:adjustRightInd w:val="0"/>
        <w:snapToGrid w:val="0"/>
        <w:spacing w:line="440" w:lineRule="exact"/>
        <w:ind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3E645AB4">
      <w:pPr>
        <w:keepNext w:val="0"/>
        <w:keepLines w:val="0"/>
        <w:pageBreakBefore w:val="0"/>
        <w:kinsoku/>
        <w:wordWrap/>
        <w:overflowPunct/>
        <w:topLinePunct w:val="0"/>
        <w:autoSpaceDE/>
        <w:autoSpaceDN/>
        <w:bidi w:val="0"/>
        <w:adjustRightInd w:val="0"/>
        <w:spacing w:line="440" w:lineRule="exact"/>
        <w:ind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226620F9">
      <w:pPr>
        <w:autoSpaceDE w:val="0"/>
        <w:autoSpaceDN w:val="0"/>
        <w:jc w:val="center"/>
        <w:rPr>
          <w:rFonts w:hint="eastAsia" w:ascii="仿宋" w:hAnsi="仿宋" w:eastAsia="仿宋" w:cs="仿宋"/>
          <w:b/>
          <w:color w:val="auto"/>
          <w:spacing w:val="6"/>
          <w:sz w:val="32"/>
          <w:szCs w:val="32"/>
          <w:highlight w:val="none"/>
        </w:rPr>
      </w:pPr>
    </w:p>
    <w:p w14:paraId="7667A9C7">
      <w:pPr>
        <w:autoSpaceDE w:val="0"/>
        <w:autoSpaceDN w:val="0"/>
        <w:jc w:val="center"/>
        <w:rPr>
          <w:rFonts w:hint="eastAsia" w:ascii="仿宋" w:hAnsi="仿宋" w:eastAsia="仿宋" w:cs="仿宋"/>
          <w:b/>
          <w:color w:val="auto"/>
          <w:spacing w:val="6"/>
          <w:sz w:val="32"/>
          <w:szCs w:val="32"/>
          <w:highlight w:val="none"/>
        </w:rPr>
      </w:pPr>
    </w:p>
    <w:p w14:paraId="690A5701">
      <w:pPr>
        <w:autoSpaceDE w:val="0"/>
        <w:autoSpaceDN w:val="0"/>
        <w:jc w:val="center"/>
        <w:rPr>
          <w:rFonts w:hint="eastAsia" w:ascii="仿宋" w:hAnsi="仿宋" w:eastAsia="仿宋" w:cs="仿宋"/>
          <w:b/>
          <w:color w:val="auto"/>
          <w:spacing w:val="6"/>
          <w:sz w:val="32"/>
          <w:szCs w:val="32"/>
          <w:highlight w:val="none"/>
        </w:rPr>
      </w:pPr>
    </w:p>
    <w:p w14:paraId="2911981C">
      <w:pPr>
        <w:autoSpaceDE w:val="0"/>
        <w:autoSpaceDN w:val="0"/>
        <w:jc w:val="center"/>
        <w:rPr>
          <w:rFonts w:hint="eastAsia" w:ascii="仿宋" w:hAnsi="仿宋" w:eastAsia="仿宋" w:cs="仿宋"/>
          <w:b/>
          <w:color w:val="auto"/>
          <w:spacing w:val="6"/>
          <w:sz w:val="32"/>
          <w:szCs w:val="32"/>
          <w:highlight w:val="none"/>
        </w:rPr>
      </w:pPr>
    </w:p>
    <w:p w14:paraId="78A33A14">
      <w:pPr>
        <w:autoSpaceDE w:val="0"/>
        <w:autoSpaceDN w:val="0"/>
        <w:jc w:val="center"/>
        <w:rPr>
          <w:rFonts w:hint="eastAsia" w:ascii="仿宋" w:hAnsi="仿宋" w:eastAsia="仿宋" w:cs="仿宋"/>
          <w:b/>
          <w:color w:val="auto"/>
          <w:spacing w:val="6"/>
          <w:sz w:val="32"/>
          <w:szCs w:val="32"/>
          <w:highlight w:val="none"/>
        </w:rPr>
      </w:pPr>
    </w:p>
    <w:p w14:paraId="37F30ADE">
      <w:pPr>
        <w:autoSpaceDE w:val="0"/>
        <w:autoSpaceDN w:val="0"/>
        <w:jc w:val="center"/>
        <w:rPr>
          <w:rFonts w:hint="eastAsia" w:ascii="仿宋" w:hAnsi="仿宋" w:eastAsia="仿宋" w:cs="仿宋"/>
          <w:b/>
          <w:color w:val="auto"/>
          <w:spacing w:val="6"/>
          <w:sz w:val="32"/>
          <w:szCs w:val="32"/>
          <w:highlight w:val="none"/>
        </w:rPr>
      </w:pPr>
    </w:p>
    <w:p w14:paraId="6F9ED0F8">
      <w:pPr>
        <w:autoSpaceDE w:val="0"/>
        <w:autoSpaceDN w:val="0"/>
        <w:jc w:val="center"/>
        <w:rPr>
          <w:rFonts w:hint="eastAsia" w:ascii="仿宋" w:hAnsi="仿宋" w:eastAsia="仿宋" w:cs="仿宋"/>
          <w:b/>
          <w:color w:val="auto"/>
          <w:spacing w:val="6"/>
          <w:sz w:val="32"/>
          <w:szCs w:val="32"/>
          <w:highlight w:val="none"/>
        </w:rPr>
      </w:pPr>
    </w:p>
    <w:p w14:paraId="7AAE85D6">
      <w:pPr>
        <w:autoSpaceDE w:val="0"/>
        <w:autoSpaceDN w:val="0"/>
        <w:jc w:val="center"/>
        <w:rPr>
          <w:rFonts w:hint="eastAsia" w:ascii="仿宋" w:hAnsi="仿宋" w:eastAsia="仿宋" w:cs="仿宋"/>
          <w:b/>
          <w:color w:val="auto"/>
          <w:spacing w:val="6"/>
          <w:sz w:val="32"/>
          <w:szCs w:val="32"/>
          <w:highlight w:val="none"/>
        </w:rPr>
      </w:pPr>
    </w:p>
    <w:p w14:paraId="5748787D">
      <w:pPr>
        <w:autoSpaceDE w:val="0"/>
        <w:autoSpaceDN w:val="0"/>
        <w:jc w:val="center"/>
        <w:rPr>
          <w:rFonts w:hint="eastAsia" w:ascii="仿宋" w:hAnsi="仿宋" w:eastAsia="仿宋" w:cs="仿宋"/>
          <w:b/>
          <w:color w:val="auto"/>
          <w:spacing w:val="6"/>
          <w:sz w:val="32"/>
          <w:szCs w:val="32"/>
          <w:highlight w:val="none"/>
        </w:rPr>
      </w:pPr>
    </w:p>
    <w:p w14:paraId="11670574">
      <w:pPr>
        <w:autoSpaceDE w:val="0"/>
        <w:autoSpaceDN w:val="0"/>
        <w:jc w:val="center"/>
        <w:rPr>
          <w:rFonts w:hint="eastAsia" w:ascii="仿宋" w:hAnsi="仿宋" w:eastAsia="仿宋" w:cs="仿宋"/>
          <w:b/>
          <w:color w:val="auto"/>
          <w:spacing w:val="6"/>
          <w:sz w:val="32"/>
          <w:szCs w:val="32"/>
          <w:highlight w:val="none"/>
        </w:rPr>
      </w:pPr>
    </w:p>
    <w:p w14:paraId="12A281D3">
      <w:pPr>
        <w:autoSpaceDE w:val="0"/>
        <w:autoSpaceDN w:val="0"/>
        <w:jc w:val="center"/>
        <w:rPr>
          <w:rFonts w:hint="eastAsia" w:ascii="仿宋" w:hAnsi="仿宋" w:eastAsia="仿宋" w:cs="仿宋"/>
          <w:b/>
          <w:color w:val="auto"/>
          <w:spacing w:val="6"/>
          <w:sz w:val="32"/>
          <w:szCs w:val="32"/>
          <w:highlight w:val="none"/>
        </w:rPr>
      </w:pPr>
    </w:p>
    <w:p w14:paraId="348A4827">
      <w:pPr>
        <w:autoSpaceDE w:val="0"/>
        <w:autoSpaceDN w:val="0"/>
        <w:jc w:val="center"/>
        <w:rPr>
          <w:rFonts w:hint="eastAsia" w:ascii="仿宋" w:hAnsi="仿宋" w:eastAsia="仿宋" w:cs="仿宋"/>
          <w:b/>
          <w:color w:val="auto"/>
          <w:spacing w:val="6"/>
          <w:sz w:val="32"/>
          <w:szCs w:val="32"/>
          <w:highlight w:val="none"/>
        </w:rPr>
      </w:pPr>
    </w:p>
    <w:p w14:paraId="0757F8C2">
      <w:pPr>
        <w:autoSpaceDE w:val="0"/>
        <w:autoSpaceDN w:val="0"/>
        <w:jc w:val="center"/>
        <w:rPr>
          <w:rFonts w:hint="eastAsia" w:ascii="仿宋" w:hAnsi="仿宋" w:eastAsia="仿宋" w:cs="仿宋"/>
          <w:b/>
          <w:color w:val="auto"/>
          <w:spacing w:val="6"/>
          <w:sz w:val="32"/>
          <w:szCs w:val="32"/>
          <w:highlight w:val="none"/>
        </w:rPr>
      </w:pPr>
    </w:p>
    <w:p w14:paraId="42C3E10C">
      <w:pPr>
        <w:autoSpaceDE w:val="0"/>
        <w:autoSpaceDN w:val="0"/>
        <w:jc w:val="center"/>
        <w:rPr>
          <w:rFonts w:hint="eastAsia" w:ascii="仿宋" w:hAnsi="仿宋" w:eastAsia="仿宋" w:cs="仿宋"/>
          <w:b/>
          <w:color w:val="auto"/>
          <w:spacing w:val="6"/>
          <w:sz w:val="32"/>
          <w:szCs w:val="32"/>
          <w:highlight w:val="none"/>
        </w:rPr>
      </w:pPr>
    </w:p>
    <w:p w14:paraId="71F6BCE0">
      <w:pPr>
        <w:autoSpaceDE w:val="0"/>
        <w:autoSpaceDN w:val="0"/>
        <w:jc w:val="center"/>
        <w:rPr>
          <w:rFonts w:hint="eastAsia" w:ascii="仿宋" w:hAnsi="仿宋" w:eastAsia="仿宋" w:cs="仿宋"/>
          <w:b/>
          <w:color w:val="auto"/>
          <w:spacing w:val="6"/>
          <w:sz w:val="32"/>
          <w:szCs w:val="32"/>
          <w:highlight w:val="none"/>
        </w:rPr>
      </w:pPr>
    </w:p>
    <w:p w14:paraId="7F44946D">
      <w:pPr>
        <w:autoSpaceDE w:val="0"/>
        <w:autoSpaceDN w:val="0"/>
        <w:jc w:val="center"/>
        <w:rPr>
          <w:rFonts w:hint="eastAsia" w:ascii="仿宋" w:hAnsi="仿宋" w:eastAsia="仿宋" w:cs="仿宋"/>
          <w:b/>
          <w:color w:val="auto"/>
          <w:spacing w:val="6"/>
          <w:sz w:val="32"/>
          <w:szCs w:val="32"/>
          <w:highlight w:val="none"/>
        </w:rPr>
      </w:pPr>
    </w:p>
    <w:p w14:paraId="7C060004">
      <w:pPr>
        <w:autoSpaceDE w:val="0"/>
        <w:autoSpaceDN w:val="0"/>
        <w:jc w:val="center"/>
        <w:rPr>
          <w:rFonts w:hint="eastAsia" w:ascii="仿宋" w:hAnsi="仿宋" w:eastAsia="仿宋" w:cs="仿宋"/>
          <w:b/>
          <w:color w:val="auto"/>
          <w:spacing w:val="6"/>
          <w:sz w:val="32"/>
          <w:szCs w:val="32"/>
          <w:highlight w:val="none"/>
        </w:rPr>
      </w:pPr>
    </w:p>
    <w:p w14:paraId="407A079D">
      <w:pPr>
        <w:autoSpaceDE w:val="0"/>
        <w:autoSpaceDN w:val="0"/>
        <w:jc w:val="center"/>
        <w:rPr>
          <w:rFonts w:hint="eastAsia" w:ascii="仿宋" w:hAnsi="仿宋" w:eastAsia="仿宋" w:cs="仿宋"/>
          <w:b/>
          <w:color w:val="auto"/>
          <w:spacing w:val="6"/>
          <w:sz w:val="32"/>
          <w:szCs w:val="32"/>
          <w:highlight w:val="none"/>
        </w:rPr>
      </w:pPr>
    </w:p>
    <w:p w14:paraId="60C829AD">
      <w:pPr>
        <w:autoSpaceDE w:val="0"/>
        <w:autoSpaceDN w:val="0"/>
        <w:jc w:val="center"/>
        <w:rPr>
          <w:rFonts w:hint="eastAsia" w:ascii="仿宋" w:hAnsi="仿宋" w:eastAsia="仿宋" w:cs="仿宋"/>
          <w:b/>
          <w:color w:val="auto"/>
          <w:spacing w:val="6"/>
          <w:sz w:val="32"/>
          <w:szCs w:val="32"/>
          <w:highlight w:val="none"/>
        </w:rPr>
      </w:pPr>
    </w:p>
    <w:p w14:paraId="6FFC07F6">
      <w:pPr>
        <w:autoSpaceDE w:val="0"/>
        <w:autoSpaceDN w:val="0"/>
        <w:jc w:val="center"/>
        <w:rPr>
          <w:rFonts w:hint="eastAsia" w:ascii="仿宋" w:hAnsi="仿宋" w:eastAsia="仿宋" w:cs="仿宋"/>
          <w:b/>
          <w:color w:val="auto"/>
          <w:spacing w:val="6"/>
          <w:sz w:val="32"/>
          <w:szCs w:val="32"/>
          <w:highlight w:val="none"/>
        </w:rPr>
      </w:pPr>
    </w:p>
    <w:p w14:paraId="4E27B90B">
      <w:pPr>
        <w:autoSpaceDE w:val="0"/>
        <w:autoSpaceDN w:val="0"/>
        <w:jc w:val="center"/>
        <w:rPr>
          <w:rFonts w:hint="eastAsia" w:ascii="仿宋" w:hAnsi="仿宋" w:eastAsia="仿宋" w:cs="仿宋"/>
          <w:b/>
          <w:color w:val="auto"/>
          <w:spacing w:val="6"/>
          <w:sz w:val="32"/>
          <w:szCs w:val="32"/>
          <w:highlight w:val="none"/>
        </w:rPr>
      </w:pPr>
    </w:p>
    <w:p w14:paraId="1CD077A0">
      <w:pPr>
        <w:autoSpaceDE w:val="0"/>
        <w:autoSpaceDN w:val="0"/>
        <w:jc w:val="center"/>
        <w:rPr>
          <w:rFonts w:hint="eastAsia" w:ascii="仿宋" w:hAnsi="仿宋" w:eastAsia="仿宋" w:cs="仿宋"/>
          <w:b/>
          <w:color w:val="auto"/>
          <w:spacing w:val="6"/>
          <w:sz w:val="32"/>
          <w:szCs w:val="32"/>
          <w:highlight w:val="none"/>
        </w:rPr>
      </w:pPr>
    </w:p>
    <w:p w14:paraId="5227B594">
      <w:pPr>
        <w:autoSpaceDE w:val="0"/>
        <w:autoSpaceDN w:val="0"/>
        <w:jc w:val="center"/>
        <w:rPr>
          <w:rFonts w:hint="eastAsia" w:ascii="仿宋" w:hAnsi="仿宋" w:eastAsia="仿宋" w:cs="仿宋"/>
          <w:b/>
          <w:color w:val="auto"/>
          <w:spacing w:val="6"/>
          <w:sz w:val="32"/>
          <w:szCs w:val="32"/>
          <w:highlight w:val="none"/>
        </w:rPr>
      </w:pPr>
    </w:p>
    <w:p w14:paraId="6AD006B3">
      <w:pPr>
        <w:snapToGrid w:val="0"/>
        <w:spacing w:line="360" w:lineRule="auto"/>
        <w:ind w:firstLine="3666" w:firstLineChars="1100"/>
        <w:rPr>
          <w:rFonts w:hint="eastAsia" w:ascii="仿宋" w:hAnsi="仿宋" w:eastAsia="仿宋" w:cs="仿宋"/>
          <w:b/>
          <w:color w:val="auto"/>
          <w:spacing w:val="6"/>
          <w:sz w:val="32"/>
          <w:szCs w:val="32"/>
          <w:highlight w:val="none"/>
        </w:rPr>
      </w:pPr>
    </w:p>
    <w:p w14:paraId="18DAC7B6">
      <w:pPr>
        <w:widowControl/>
        <w:adjustRightInd/>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074B3600">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b/>
          <w:color w:val="auto"/>
          <w:spacing w:val="6"/>
          <w:sz w:val="32"/>
          <w:szCs w:val="32"/>
          <w:highlight w:val="none"/>
        </w:rPr>
        <w:t>：</w:t>
      </w:r>
      <w:r>
        <w:rPr>
          <w:rFonts w:hint="eastAsia" w:ascii="仿宋" w:hAnsi="仿宋" w:eastAsia="仿宋" w:cs="仿宋"/>
          <w:b/>
          <w:color w:val="auto"/>
          <w:kern w:val="0"/>
          <w:sz w:val="32"/>
          <w:szCs w:val="32"/>
          <w:highlight w:val="none"/>
        </w:rPr>
        <w:t>分包意向协议</w:t>
      </w:r>
    </w:p>
    <w:p w14:paraId="5618D1B7">
      <w:pPr>
        <w:pageBreakBefore w:val="0"/>
        <w:widowControl/>
        <w:kinsoku/>
        <w:wordWrap/>
        <w:overflowPunct/>
        <w:topLinePunct w:val="0"/>
        <w:autoSpaceDE/>
        <w:autoSpaceDN/>
        <w:bidi w:val="0"/>
        <w:spacing w:line="440" w:lineRule="exact"/>
        <w:ind w:left="0" w:leftChars="0" w:right="0" w:firstLine="120" w:firstLineChars="5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51254FA8">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lang w:eastAsia="zh-CN"/>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项目编号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4912A7C7">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一、分包标的及数量</w:t>
      </w:r>
    </w:p>
    <w:p w14:paraId="12750E2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u w:val="single"/>
        </w:rPr>
        <w:t>（分包供应商2名称），</w:t>
      </w:r>
      <w:r>
        <w:rPr>
          <w:rFonts w:hint="eastAsia" w:ascii="仿宋" w:hAnsi="仿宋" w:eastAsia="仿宋" w:cs="仿宋"/>
          <w:color w:val="auto"/>
          <w:kern w:val="0"/>
          <w:sz w:val="24"/>
          <w:highlight w:val="none"/>
          <w:lang w:val="zh-CN"/>
        </w:rPr>
        <w:t>具备承</w:t>
      </w:r>
      <w:r>
        <w:rPr>
          <w:rFonts w:hint="eastAsia" w:ascii="仿宋" w:hAnsi="仿宋" w:eastAsia="仿宋" w:cs="仿宋"/>
          <w:color w:val="auto"/>
          <w:kern w:val="0"/>
          <w:sz w:val="24"/>
          <w:highlight w:val="none"/>
        </w:rPr>
        <w:t>担</w:t>
      </w:r>
      <w:r>
        <w:rPr>
          <w:rFonts w:hint="eastAsia" w:ascii="仿宋" w:hAnsi="仿宋" w:eastAsia="仿宋" w:cs="仿宋"/>
          <w:color w:val="auto"/>
          <w:kern w:val="0"/>
          <w:sz w:val="24"/>
          <w:highlight w:val="none"/>
          <w:u w:val="single"/>
          <w:lang w:val="zh-CN"/>
        </w:rPr>
        <w:t>XX工作内容</w:t>
      </w:r>
      <w:r>
        <w:rPr>
          <w:rFonts w:hint="eastAsia" w:ascii="仿宋" w:hAnsi="仿宋" w:eastAsia="仿宋" w:cs="仿宋"/>
          <w:color w:val="auto"/>
          <w:kern w:val="0"/>
          <w:sz w:val="24"/>
          <w:highlight w:val="none"/>
          <w:lang w:val="zh-CN"/>
        </w:rPr>
        <w:t>相应资质条件且不得再次分包；</w:t>
      </w:r>
    </w:p>
    <w:p w14:paraId="0563D4B5">
      <w:pPr>
        <w:pStyle w:val="4"/>
        <w:pageBreakBefore w:val="0"/>
        <w:kinsoku/>
        <w:wordWrap/>
        <w:overflowPunct/>
        <w:topLinePunct w:val="0"/>
        <w:autoSpaceDE/>
        <w:autoSpaceDN/>
        <w:bidi w:val="0"/>
        <w:spacing w:line="440" w:lineRule="exact"/>
        <w:ind w:left="0" w:leftChars="0" w:right="0" w:firstLine="229" w:firstLineChars="95"/>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0B13C82C">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5C43B869">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p>
    <w:p w14:paraId="3AAF2E2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u w:val="single"/>
        </w:rPr>
        <w:t>（分包供应商X,……）提供的服务全部由小微企业承接，</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6562E0C5">
      <w:pPr>
        <w:pageBreakBefore w:val="0"/>
        <w:kinsoku/>
        <w:wordWrap/>
        <w:overflowPunct/>
        <w:topLinePunct w:val="0"/>
        <w:autoSpaceDE/>
        <w:autoSpaceDN/>
        <w:bidi w:val="0"/>
        <w:spacing w:line="440" w:lineRule="exact"/>
        <w:ind w:left="0" w:leftChars="0" w:right="0" w:firstLine="480" w:firstLineChars="200"/>
        <w:textAlignment w:val="auto"/>
        <w:rPr>
          <w:rFonts w:hint="eastAsia" w:ascii="仿宋" w:hAnsi="仿宋" w:eastAsia="仿宋" w:cs="仿宋"/>
          <w:b/>
          <w:bCs/>
          <w:color w:val="auto"/>
          <w:kern w:val="0"/>
          <w:sz w:val="24"/>
          <w:highlight w:val="none"/>
          <w:lang w:val="zh-CN"/>
        </w:rPr>
      </w:pPr>
      <w:r>
        <w:rPr>
          <w:rFonts w:hint="eastAsia" w:ascii="仿宋" w:hAnsi="仿宋" w:eastAsia="仿宋" w:cs="仿宋"/>
          <w:color w:val="auto"/>
          <w:sz w:val="24"/>
          <w:highlight w:val="none"/>
        </w:rPr>
        <w:t>2、中小企业合同金额达到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中中小企业、小微企业合同金额应当达到的比例要求填写。</w:t>
      </w:r>
      <w:r>
        <w:rPr>
          <w:rFonts w:hint="eastAsia" w:ascii="仿宋" w:hAnsi="仿宋" w:eastAsia="仿宋" w:cs="仿宋"/>
          <w:b/>
          <w:bCs/>
          <w:color w:val="auto"/>
          <w:kern w:val="0"/>
          <w:sz w:val="24"/>
          <w:highlight w:val="none"/>
          <w:lang w:val="zh-CN"/>
        </w:rPr>
        <w:t>）</w:t>
      </w:r>
    </w:p>
    <w:p w14:paraId="21EA03C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1247F65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3471BC3F">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613848A1">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6BFFF52E">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02E9EFB6">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5F0BE436">
      <w:pPr>
        <w:pageBreakBefore w:val="0"/>
        <w:kinsoku/>
        <w:wordWrap/>
        <w:overflowPunct/>
        <w:topLinePunct w:val="0"/>
        <w:autoSpaceDE/>
        <w:autoSpaceDN/>
        <w:bidi w:val="0"/>
        <w:snapToGrid w:val="0"/>
        <w:spacing w:line="440" w:lineRule="exact"/>
        <w:ind w:left="0" w:leftChars="0" w:right="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A71F25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EAA25D">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76C6558C">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36F12F6B">
      <w:pPr>
        <w:pageBreakBefore w:val="0"/>
        <w:kinsoku/>
        <w:wordWrap/>
        <w:overflowPunct/>
        <w:topLinePunct w:val="0"/>
        <w:autoSpaceDE/>
        <w:autoSpaceDN/>
        <w:bidi w:val="0"/>
        <w:snapToGrid w:val="0"/>
        <w:spacing w:line="440" w:lineRule="exact"/>
        <w:ind w:left="0" w:leftChars="0"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八、其他</w:t>
      </w:r>
    </w:p>
    <w:p w14:paraId="7DDCF9D4">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 xml:space="preserve">  。                                           投标人名称(电子签名)：</w:t>
      </w:r>
    </w:p>
    <w:p w14:paraId="2E2802A6">
      <w:pPr>
        <w:pageBreakBefore w:val="0"/>
        <w:kinsoku/>
        <w:wordWrap/>
        <w:overflowPunct/>
        <w:topLinePunct w:val="0"/>
        <w:autoSpaceDE/>
        <w:autoSpaceDN/>
        <w:bidi w:val="0"/>
        <w:snapToGrid w:val="0"/>
        <w:spacing w:line="440" w:lineRule="exact"/>
        <w:ind w:left="0" w:leftChars="0" w:right="0"/>
        <w:jc w:val="right"/>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6A26C950">
      <w:pPr>
        <w:pageBreakBefore w:val="0"/>
        <w:kinsoku/>
        <w:wordWrap/>
        <w:overflowPunct/>
        <w:topLinePunct w:val="0"/>
        <w:autoSpaceDE/>
        <w:autoSpaceDN/>
        <w:bidi w:val="0"/>
        <w:snapToGrid w:val="0"/>
        <w:spacing w:line="440" w:lineRule="exact"/>
        <w:ind w:left="0" w:leftChars="0" w:right="0" w:firstLine="5760" w:firstLineChars="2400"/>
        <w:textAlignment w:val="auto"/>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2B74167C">
      <w:pPr>
        <w:pageBreakBefore w:val="0"/>
        <w:kinsoku/>
        <w:wordWrap/>
        <w:overflowPunct/>
        <w:topLinePunct w:val="0"/>
        <w:autoSpaceDE/>
        <w:autoSpaceDN/>
        <w:bidi w:val="0"/>
        <w:snapToGrid w:val="0"/>
        <w:spacing w:line="440" w:lineRule="exact"/>
        <w:ind w:left="5040" w:leftChars="0" w:right="0" w:hanging="5040" w:hangingChars="2100"/>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210A9343">
      <w:pPr>
        <w:pageBreakBefore w:val="0"/>
        <w:kinsoku/>
        <w:wordWrap/>
        <w:overflowPunct/>
        <w:topLinePunct w:val="0"/>
        <w:autoSpaceDE/>
        <w:autoSpaceDN/>
        <w:bidi w:val="0"/>
        <w:spacing w:line="440" w:lineRule="exact"/>
        <w:ind w:left="0" w:leftChars="0" w:right="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10AE8218">
      <w:pPr>
        <w:autoSpaceDE w:val="0"/>
        <w:autoSpaceDN w:val="0"/>
        <w:jc w:val="center"/>
        <w:rPr>
          <w:rFonts w:hint="eastAsia" w:ascii="仿宋" w:hAnsi="仿宋" w:eastAsia="仿宋" w:cs="仿宋"/>
          <w:b/>
          <w:color w:val="auto"/>
          <w:spacing w:val="6"/>
          <w:sz w:val="32"/>
          <w:szCs w:val="32"/>
          <w:highlight w:val="none"/>
        </w:rPr>
      </w:pPr>
    </w:p>
    <w:p w14:paraId="311EADB5">
      <w:pPr>
        <w:autoSpaceDE w:val="0"/>
        <w:autoSpaceDN w:val="0"/>
        <w:jc w:val="center"/>
        <w:rPr>
          <w:rFonts w:hint="eastAsia" w:ascii="仿宋" w:hAnsi="仿宋" w:eastAsia="仿宋" w:cs="仿宋"/>
          <w:b/>
          <w:color w:val="auto"/>
          <w:spacing w:val="6"/>
          <w:sz w:val="32"/>
          <w:szCs w:val="32"/>
          <w:highlight w:val="none"/>
        </w:rPr>
      </w:pPr>
    </w:p>
    <w:p w14:paraId="2AA82011">
      <w:pPr>
        <w:autoSpaceDE w:val="0"/>
        <w:autoSpaceDN w:val="0"/>
        <w:jc w:val="center"/>
        <w:rPr>
          <w:rFonts w:hint="eastAsia" w:ascii="仿宋" w:hAnsi="仿宋" w:eastAsia="仿宋" w:cs="仿宋"/>
          <w:b/>
          <w:color w:val="auto"/>
          <w:spacing w:val="6"/>
          <w:sz w:val="32"/>
          <w:szCs w:val="32"/>
          <w:highlight w:val="none"/>
        </w:rPr>
      </w:pPr>
    </w:p>
    <w:p w14:paraId="01AFE1D3">
      <w:pPr>
        <w:pStyle w:val="2"/>
        <w:rPr>
          <w:rFonts w:hint="eastAsia" w:ascii="仿宋" w:hAnsi="仿宋" w:eastAsia="仿宋" w:cs="仿宋"/>
          <w:b/>
          <w:color w:val="auto"/>
          <w:spacing w:val="6"/>
          <w:sz w:val="32"/>
          <w:szCs w:val="32"/>
          <w:highlight w:val="none"/>
        </w:rPr>
      </w:pPr>
    </w:p>
    <w:p w14:paraId="4F8B701D">
      <w:pPr>
        <w:pStyle w:val="83"/>
        <w:rPr>
          <w:rFonts w:hint="eastAsia" w:ascii="仿宋" w:hAnsi="仿宋" w:eastAsia="仿宋" w:cs="仿宋"/>
          <w:b/>
          <w:color w:val="auto"/>
          <w:spacing w:val="6"/>
          <w:sz w:val="32"/>
          <w:szCs w:val="32"/>
          <w:highlight w:val="none"/>
        </w:rPr>
      </w:pPr>
    </w:p>
    <w:p w14:paraId="3EEAB646">
      <w:pPr>
        <w:rPr>
          <w:rFonts w:hint="eastAsia" w:ascii="仿宋" w:hAnsi="仿宋" w:eastAsia="仿宋" w:cs="仿宋"/>
          <w:b/>
          <w:color w:val="auto"/>
          <w:spacing w:val="6"/>
          <w:sz w:val="32"/>
          <w:szCs w:val="32"/>
          <w:highlight w:val="none"/>
        </w:rPr>
      </w:pPr>
    </w:p>
    <w:p w14:paraId="36DAF8DF">
      <w:pPr>
        <w:pStyle w:val="2"/>
        <w:rPr>
          <w:rFonts w:hint="eastAsia" w:ascii="仿宋" w:hAnsi="仿宋" w:eastAsia="仿宋" w:cs="仿宋"/>
          <w:b/>
          <w:color w:val="auto"/>
          <w:spacing w:val="6"/>
          <w:sz w:val="32"/>
          <w:szCs w:val="32"/>
          <w:highlight w:val="none"/>
        </w:rPr>
      </w:pPr>
    </w:p>
    <w:p w14:paraId="6B308F18">
      <w:pPr>
        <w:pStyle w:val="83"/>
        <w:rPr>
          <w:rFonts w:hint="eastAsia" w:ascii="仿宋" w:hAnsi="仿宋" w:eastAsia="仿宋" w:cs="仿宋"/>
          <w:b/>
          <w:color w:val="auto"/>
          <w:spacing w:val="6"/>
          <w:sz w:val="32"/>
          <w:szCs w:val="32"/>
          <w:highlight w:val="none"/>
        </w:rPr>
      </w:pPr>
    </w:p>
    <w:p w14:paraId="597B9D5C">
      <w:pPr>
        <w:rPr>
          <w:rFonts w:hint="eastAsia" w:ascii="仿宋" w:hAnsi="仿宋" w:eastAsia="仿宋" w:cs="仿宋"/>
          <w:b/>
          <w:color w:val="auto"/>
          <w:spacing w:val="6"/>
          <w:sz w:val="32"/>
          <w:szCs w:val="32"/>
          <w:highlight w:val="none"/>
        </w:rPr>
      </w:pPr>
    </w:p>
    <w:p w14:paraId="7A786D89">
      <w:pPr>
        <w:pStyle w:val="2"/>
        <w:rPr>
          <w:rFonts w:hint="eastAsia" w:ascii="仿宋" w:hAnsi="仿宋" w:eastAsia="仿宋" w:cs="仿宋"/>
          <w:b/>
          <w:color w:val="auto"/>
          <w:spacing w:val="6"/>
          <w:sz w:val="32"/>
          <w:szCs w:val="32"/>
          <w:highlight w:val="none"/>
        </w:rPr>
      </w:pPr>
    </w:p>
    <w:p w14:paraId="7CA19C67">
      <w:pPr>
        <w:pStyle w:val="83"/>
        <w:rPr>
          <w:rFonts w:hint="eastAsia" w:ascii="仿宋" w:hAnsi="仿宋" w:eastAsia="仿宋" w:cs="仿宋"/>
          <w:b/>
          <w:color w:val="auto"/>
          <w:spacing w:val="6"/>
          <w:sz w:val="32"/>
          <w:szCs w:val="32"/>
          <w:highlight w:val="none"/>
        </w:rPr>
      </w:pPr>
    </w:p>
    <w:p w14:paraId="1CCB9267">
      <w:pPr>
        <w:rPr>
          <w:rFonts w:hint="eastAsia" w:ascii="仿宋" w:hAnsi="仿宋" w:eastAsia="仿宋" w:cs="仿宋"/>
          <w:b/>
          <w:color w:val="auto"/>
          <w:spacing w:val="6"/>
          <w:sz w:val="32"/>
          <w:szCs w:val="32"/>
          <w:highlight w:val="none"/>
        </w:rPr>
      </w:pPr>
    </w:p>
    <w:p w14:paraId="0772FBCF">
      <w:pPr>
        <w:pStyle w:val="2"/>
        <w:rPr>
          <w:rFonts w:hint="eastAsia" w:ascii="仿宋" w:hAnsi="仿宋" w:eastAsia="仿宋" w:cs="仿宋"/>
          <w:b/>
          <w:color w:val="auto"/>
          <w:spacing w:val="6"/>
          <w:sz w:val="32"/>
          <w:szCs w:val="32"/>
          <w:highlight w:val="none"/>
        </w:rPr>
      </w:pPr>
    </w:p>
    <w:p w14:paraId="6390760C">
      <w:pPr>
        <w:pStyle w:val="83"/>
        <w:rPr>
          <w:rFonts w:hint="eastAsia" w:ascii="仿宋" w:hAnsi="仿宋" w:eastAsia="仿宋" w:cs="仿宋"/>
          <w:b/>
          <w:color w:val="auto"/>
          <w:spacing w:val="6"/>
          <w:sz w:val="32"/>
          <w:szCs w:val="32"/>
          <w:highlight w:val="none"/>
        </w:rPr>
      </w:pPr>
    </w:p>
    <w:p w14:paraId="017F80D5">
      <w:pPr>
        <w:rPr>
          <w:rFonts w:hint="eastAsia" w:ascii="仿宋" w:hAnsi="仿宋" w:eastAsia="仿宋" w:cs="仿宋"/>
          <w:b/>
          <w:color w:val="auto"/>
          <w:spacing w:val="6"/>
          <w:sz w:val="32"/>
          <w:szCs w:val="32"/>
          <w:highlight w:val="none"/>
        </w:rPr>
      </w:pPr>
    </w:p>
    <w:p w14:paraId="47EAF144">
      <w:pPr>
        <w:pStyle w:val="2"/>
        <w:rPr>
          <w:rFonts w:hint="eastAsia" w:ascii="仿宋" w:hAnsi="仿宋" w:eastAsia="仿宋" w:cs="仿宋"/>
          <w:b/>
          <w:color w:val="auto"/>
          <w:spacing w:val="6"/>
          <w:sz w:val="32"/>
          <w:szCs w:val="32"/>
          <w:highlight w:val="none"/>
        </w:rPr>
      </w:pPr>
    </w:p>
    <w:p w14:paraId="3C166DC2">
      <w:pPr>
        <w:pStyle w:val="83"/>
        <w:rPr>
          <w:rFonts w:hint="eastAsia" w:ascii="仿宋" w:hAnsi="仿宋" w:eastAsia="仿宋" w:cs="仿宋"/>
          <w:b/>
          <w:color w:val="auto"/>
          <w:spacing w:val="6"/>
          <w:sz w:val="32"/>
          <w:szCs w:val="32"/>
          <w:highlight w:val="none"/>
        </w:rPr>
      </w:pPr>
    </w:p>
    <w:p w14:paraId="474C6E07">
      <w:pPr>
        <w:rPr>
          <w:rFonts w:hint="eastAsia" w:ascii="仿宋" w:hAnsi="仿宋" w:eastAsia="仿宋" w:cs="仿宋"/>
          <w:b/>
          <w:color w:val="auto"/>
          <w:spacing w:val="6"/>
          <w:sz w:val="32"/>
          <w:szCs w:val="32"/>
          <w:highlight w:val="none"/>
        </w:rPr>
      </w:pPr>
    </w:p>
    <w:p w14:paraId="74481870">
      <w:pPr>
        <w:pStyle w:val="2"/>
        <w:rPr>
          <w:rFonts w:hint="eastAsia" w:ascii="仿宋" w:hAnsi="仿宋" w:eastAsia="仿宋" w:cs="仿宋"/>
          <w:b/>
          <w:color w:val="auto"/>
          <w:spacing w:val="6"/>
          <w:sz w:val="32"/>
          <w:szCs w:val="32"/>
          <w:highlight w:val="none"/>
        </w:rPr>
      </w:pPr>
    </w:p>
    <w:p w14:paraId="38FAD9A2">
      <w:pPr>
        <w:pStyle w:val="83"/>
        <w:rPr>
          <w:rFonts w:hint="eastAsia" w:ascii="仿宋" w:hAnsi="仿宋" w:eastAsia="仿宋" w:cs="仿宋"/>
          <w:b/>
          <w:color w:val="auto"/>
          <w:spacing w:val="6"/>
          <w:sz w:val="32"/>
          <w:szCs w:val="32"/>
          <w:highlight w:val="none"/>
        </w:rPr>
      </w:pPr>
    </w:p>
    <w:p w14:paraId="176D39A2">
      <w:pPr>
        <w:rPr>
          <w:rFonts w:hint="eastAsia" w:ascii="仿宋" w:hAnsi="仿宋" w:eastAsia="仿宋" w:cs="仿宋"/>
          <w:b/>
          <w:color w:val="auto"/>
          <w:spacing w:val="6"/>
          <w:sz w:val="32"/>
          <w:szCs w:val="32"/>
          <w:highlight w:val="none"/>
        </w:rPr>
      </w:pPr>
    </w:p>
    <w:p w14:paraId="6BC380A7">
      <w:pPr>
        <w:pStyle w:val="2"/>
        <w:rPr>
          <w:rFonts w:hint="eastAsia"/>
          <w:color w:val="auto"/>
          <w:highlight w:val="none"/>
        </w:rPr>
      </w:pPr>
    </w:p>
    <w:p w14:paraId="3E56AE6E">
      <w:pPr>
        <w:autoSpaceDE w:val="0"/>
        <w:autoSpaceDN w:val="0"/>
        <w:jc w:val="center"/>
        <w:rPr>
          <w:rFonts w:hint="eastAsia" w:ascii="仿宋" w:hAnsi="仿宋" w:eastAsia="仿宋" w:cs="仿宋"/>
          <w:b/>
          <w:color w:val="auto"/>
          <w:spacing w:val="6"/>
          <w:sz w:val="32"/>
          <w:szCs w:val="32"/>
          <w:highlight w:val="none"/>
        </w:rPr>
      </w:pPr>
    </w:p>
    <w:p w14:paraId="7A0774A3">
      <w:pPr>
        <w:autoSpaceDE w:val="0"/>
        <w:autoSpaceDN w:val="0"/>
        <w:jc w:val="center"/>
        <w:rPr>
          <w:rFonts w:hint="eastAsia" w:ascii="仿宋" w:hAnsi="仿宋" w:eastAsia="仿宋" w:cs="仿宋"/>
          <w:b/>
          <w:color w:val="auto"/>
          <w:spacing w:val="6"/>
          <w:sz w:val="32"/>
          <w:szCs w:val="32"/>
          <w:highlight w:val="none"/>
        </w:rPr>
      </w:pPr>
    </w:p>
    <w:p w14:paraId="38FD21BB">
      <w:pPr>
        <w:autoSpaceDE w:val="0"/>
        <w:autoSpaceDN w:val="0"/>
        <w:jc w:val="center"/>
        <w:rPr>
          <w:rFonts w:hint="eastAsia" w:ascii="仿宋" w:hAnsi="仿宋" w:eastAsia="仿宋" w:cs="仿宋"/>
          <w:b/>
          <w:color w:val="auto"/>
          <w:spacing w:val="6"/>
          <w:sz w:val="32"/>
          <w:szCs w:val="32"/>
          <w:highlight w:val="none"/>
        </w:rPr>
      </w:pPr>
    </w:p>
    <w:p w14:paraId="1DF5DCB1">
      <w:pPr>
        <w:pStyle w:val="25"/>
        <w:rPr>
          <w:rFonts w:hint="eastAsia" w:ascii="仿宋" w:hAnsi="仿宋" w:eastAsia="仿宋" w:cs="仿宋"/>
          <w:b/>
          <w:color w:val="auto"/>
          <w:spacing w:val="6"/>
          <w:sz w:val="32"/>
          <w:szCs w:val="32"/>
          <w:highlight w:val="none"/>
        </w:rPr>
      </w:pPr>
    </w:p>
    <w:p w14:paraId="16FB6490">
      <w:pPr>
        <w:rPr>
          <w:rFonts w:hint="eastAsia" w:ascii="仿宋" w:hAnsi="仿宋" w:eastAsia="仿宋" w:cs="仿宋"/>
          <w:b/>
          <w:color w:val="auto"/>
          <w:spacing w:val="6"/>
          <w:sz w:val="32"/>
          <w:szCs w:val="32"/>
          <w:highlight w:val="none"/>
        </w:rPr>
      </w:pPr>
    </w:p>
    <w:p w14:paraId="406299D3">
      <w:pPr>
        <w:pStyle w:val="25"/>
        <w:rPr>
          <w:rFonts w:hint="eastAsia"/>
          <w:color w:val="auto"/>
          <w:highlight w:val="none"/>
        </w:rPr>
      </w:pPr>
    </w:p>
    <w:p w14:paraId="586E4FF5">
      <w:pPr>
        <w:rPr>
          <w:rFonts w:hint="eastAsia"/>
          <w:color w:val="auto"/>
          <w:highlight w:val="none"/>
        </w:rPr>
      </w:pPr>
    </w:p>
    <w:p w14:paraId="36378A68">
      <w:pPr>
        <w:autoSpaceDE w:val="0"/>
        <w:autoSpaceDN w:val="0"/>
        <w:jc w:val="center"/>
        <w:rPr>
          <w:rFonts w:hint="eastAsia" w:ascii="仿宋" w:hAnsi="仿宋" w:eastAsia="仿宋" w:cs="仿宋"/>
          <w:b/>
          <w:color w:val="auto"/>
          <w:spacing w:val="6"/>
          <w:sz w:val="32"/>
          <w:szCs w:val="32"/>
          <w:highlight w:val="none"/>
        </w:rPr>
      </w:pPr>
    </w:p>
    <w:p w14:paraId="723691C6">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6</w:t>
      </w:r>
      <w:r>
        <w:rPr>
          <w:rFonts w:hint="eastAsia" w:ascii="仿宋" w:hAnsi="仿宋" w:eastAsia="仿宋" w:cs="仿宋"/>
          <w:b/>
          <w:color w:val="auto"/>
          <w:spacing w:val="6"/>
          <w:sz w:val="32"/>
          <w:szCs w:val="32"/>
          <w:highlight w:val="none"/>
        </w:rPr>
        <w:t>：</w:t>
      </w:r>
      <w:bookmarkStart w:id="41" w:name="OLE_LINK14"/>
      <w:bookmarkStart w:id="42" w:name="OLE_LINK13"/>
      <w:r>
        <w:rPr>
          <w:rFonts w:hint="eastAsia" w:ascii="仿宋" w:hAnsi="仿宋" w:eastAsia="仿宋" w:cs="仿宋"/>
          <w:b/>
          <w:color w:val="auto"/>
          <w:spacing w:val="6"/>
          <w:sz w:val="32"/>
          <w:szCs w:val="32"/>
          <w:highlight w:val="none"/>
        </w:rPr>
        <w:t>残疾人福利性单位声明函</w:t>
      </w:r>
    </w:p>
    <w:bookmarkEnd w:id="41"/>
    <w:bookmarkEnd w:id="42"/>
    <w:p w14:paraId="6805C687">
      <w:pPr>
        <w:spacing w:line="360" w:lineRule="auto"/>
        <w:rPr>
          <w:rFonts w:hint="eastAsia" w:ascii="仿宋" w:hAnsi="仿宋" w:eastAsia="仿宋" w:cs="仿宋"/>
          <w:b/>
          <w:color w:val="auto"/>
          <w:spacing w:val="6"/>
          <w:sz w:val="30"/>
          <w:szCs w:val="30"/>
          <w:highlight w:val="none"/>
        </w:rPr>
      </w:pPr>
    </w:p>
    <w:p w14:paraId="2938FFE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lang w:eastAsia="zh-CN"/>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1A57583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57482DEB">
      <w:pPr>
        <w:spacing w:line="360" w:lineRule="auto"/>
        <w:ind w:firstLine="480" w:firstLineChars="200"/>
        <w:rPr>
          <w:rFonts w:hint="eastAsia" w:ascii="仿宋" w:hAnsi="仿宋" w:eastAsia="仿宋" w:cs="仿宋"/>
          <w:color w:val="auto"/>
          <w:sz w:val="24"/>
          <w:highlight w:val="none"/>
        </w:rPr>
      </w:pPr>
    </w:p>
    <w:p w14:paraId="79B189E7">
      <w:pPr>
        <w:spacing w:line="360" w:lineRule="auto"/>
        <w:ind w:firstLine="480" w:firstLineChars="200"/>
        <w:rPr>
          <w:rFonts w:hint="eastAsia" w:ascii="仿宋" w:hAnsi="仿宋" w:eastAsia="仿宋" w:cs="仿宋"/>
          <w:color w:val="auto"/>
          <w:sz w:val="24"/>
          <w:highlight w:val="none"/>
        </w:rPr>
      </w:pPr>
    </w:p>
    <w:p w14:paraId="66A31CBA">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592A63AC">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11FCC02B">
      <w:pPr>
        <w:autoSpaceDE w:val="0"/>
        <w:autoSpaceDN w:val="0"/>
        <w:jc w:val="center"/>
        <w:rPr>
          <w:rFonts w:hint="eastAsia" w:ascii="仿宋" w:hAnsi="仿宋" w:eastAsia="仿宋" w:cs="仿宋"/>
          <w:b/>
          <w:color w:val="auto"/>
          <w:spacing w:val="6"/>
          <w:sz w:val="32"/>
          <w:szCs w:val="32"/>
          <w:highlight w:val="none"/>
        </w:rPr>
      </w:pPr>
    </w:p>
    <w:p w14:paraId="4AAAD9AC">
      <w:pPr>
        <w:autoSpaceDE w:val="0"/>
        <w:autoSpaceDN w:val="0"/>
        <w:jc w:val="center"/>
        <w:rPr>
          <w:rFonts w:hint="eastAsia" w:ascii="仿宋" w:hAnsi="仿宋" w:eastAsia="仿宋" w:cs="仿宋"/>
          <w:b/>
          <w:color w:val="auto"/>
          <w:spacing w:val="6"/>
          <w:sz w:val="32"/>
          <w:szCs w:val="32"/>
          <w:highlight w:val="none"/>
        </w:rPr>
      </w:pPr>
    </w:p>
    <w:p w14:paraId="293CDCE0">
      <w:pPr>
        <w:autoSpaceDE w:val="0"/>
        <w:autoSpaceDN w:val="0"/>
        <w:jc w:val="center"/>
        <w:rPr>
          <w:rFonts w:hint="eastAsia" w:ascii="仿宋" w:hAnsi="仿宋" w:eastAsia="仿宋" w:cs="仿宋"/>
          <w:b/>
          <w:color w:val="auto"/>
          <w:spacing w:val="6"/>
          <w:sz w:val="32"/>
          <w:szCs w:val="32"/>
          <w:highlight w:val="none"/>
        </w:rPr>
      </w:pPr>
    </w:p>
    <w:p w14:paraId="53F7CCBA">
      <w:pPr>
        <w:autoSpaceDE w:val="0"/>
        <w:autoSpaceDN w:val="0"/>
        <w:jc w:val="center"/>
        <w:rPr>
          <w:rFonts w:hint="eastAsia" w:ascii="仿宋" w:hAnsi="仿宋" w:eastAsia="仿宋" w:cs="仿宋"/>
          <w:b/>
          <w:color w:val="auto"/>
          <w:spacing w:val="6"/>
          <w:sz w:val="32"/>
          <w:szCs w:val="32"/>
          <w:highlight w:val="none"/>
        </w:rPr>
      </w:pPr>
    </w:p>
    <w:p w14:paraId="20FAAF80">
      <w:pPr>
        <w:autoSpaceDE w:val="0"/>
        <w:autoSpaceDN w:val="0"/>
        <w:jc w:val="center"/>
        <w:rPr>
          <w:rFonts w:hint="eastAsia" w:ascii="仿宋" w:hAnsi="仿宋" w:eastAsia="仿宋" w:cs="仿宋"/>
          <w:b/>
          <w:color w:val="auto"/>
          <w:spacing w:val="6"/>
          <w:sz w:val="32"/>
          <w:szCs w:val="32"/>
          <w:highlight w:val="none"/>
        </w:rPr>
      </w:pPr>
    </w:p>
    <w:p w14:paraId="078963D6">
      <w:pPr>
        <w:autoSpaceDE w:val="0"/>
        <w:autoSpaceDN w:val="0"/>
        <w:jc w:val="center"/>
        <w:rPr>
          <w:rFonts w:hint="eastAsia" w:ascii="仿宋" w:hAnsi="仿宋" w:eastAsia="仿宋" w:cs="仿宋"/>
          <w:b/>
          <w:color w:val="auto"/>
          <w:spacing w:val="6"/>
          <w:sz w:val="32"/>
          <w:szCs w:val="32"/>
          <w:highlight w:val="none"/>
        </w:rPr>
      </w:pPr>
    </w:p>
    <w:p w14:paraId="4E94EF3B">
      <w:pPr>
        <w:autoSpaceDE w:val="0"/>
        <w:autoSpaceDN w:val="0"/>
        <w:jc w:val="center"/>
        <w:rPr>
          <w:rFonts w:hint="eastAsia" w:ascii="仿宋" w:hAnsi="仿宋" w:eastAsia="仿宋" w:cs="仿宋"/>
          <w:b/>
          <w:color w:val="auto"/>
          <w:spacing w:val="6"/>
          <w:sz w:val="32"/>
          <w:szCs w:val="32"/>
          <w:highlight w:val="none"/>
        </w:rPr>
      </w:pPr>
    </w:p>
    <w:p w14:paraId="7F763454">
      <w:pPr>
        <w:autoSpaceDE w:val="0"/>
        <w:autoSpaceDN w:val="0"/>
        <w:jc w:val="center"/>
        <w:rPr>
          <w:rFonts w:hint="eastAsia" w:ascii="仿宋" w:hAnsi="仿宋" w:eastAsia="仿宋" w:cs="仿宋"/>
          <w:b/>
          <w:color w:val="auto"/>
          <w:spacing w:val="6"/>
          <w:sz w:val="32"/>
          <w:szCs w:val="32"/>
          <w:highlight w:val="none"/>
        </w:rPr>
      </w:pPr>
    </w:p>
    <w:p w14:paraId="298A3E44">
      <w:pPr>
        <w:autoSpaceDE w:val="0"/>
        <w:autoSpaceDN w:val="0"/>
        <w:jc w:val="center"/>
        <w:rPr>
          <w:rFonts w:hint="eastAsia" w:ascii="仿宋" w:hAnsi="仿宋" w:eastAsia="仿宋" w:cs="仿宋"/>
          <w:b/>
          <w:color w:val="auto"/>
          <w:spacing w:val="6"/>
          <w:sz w:val="32"/>
          <w:szCs w:val="32"/>
          <w:highlight w:val="none"/>
        </w:rPr>
      </w:pPr>
    </w:p>
    <w:p w14:paraId="1299FF05">
      <w:pPr>
        <w:autoSpaceDE w:val="0"/>
        <w:autoSpaceDN w:val="0"/>
        <w:jc w:val="center"/>
        <w:rPr>
          <w:rFonts w:hint="eastAsia" w:ascii="仿宋" w:hAnsi="仿宋" w:eastAsia="仿宋" w:cs="仿宋"/>
          <w:b/>
          <w:color w:val="auto"/>
          <w:spacing w:val="6"/>
          <w:sz w:val="32"/>
          <w:szCs w:val="32"/>
          <w:highlight w:val="none"/>
        </w:rPr>
      </w:pPr>
    </w:p>
    <w:p w14:paraId="61BACBC6">
      <w:pPr>
        <w:autoSpaceDE w:val="0"/>
        <w:autoSpaceDN w:val="0"/>
        <w:jc w:val="center"/>
        <w:rPr>
          <w:rFonts w:hint="eastAsia" w:ascii="仿宋" w:hAnsi="仿宋" w:eastAsia="仿宋" w:cs="仿宋"/>
          <w:b/>
          <w:color w:val="auto"/>
          <w:spacing w:val="6"/>
          <w:sz w:val="32"/>
          <w:szCs w:val="32"/>
          <w:highlight w:val="none"/>
        </w:rPr>
      </w:pPr>
    </w:p>
    <w:p w14:paraId="3E1DA41C">
      <w:pPr>
        <w:autoSpaceDE w:val="0"/>
        <w:autoSpaceDN w:val="0"/>
        <w:jc w:val="center"/>
        <w:rPr>
          <w:rFonts w:hint="eastAsia" w:ascii="仿宋" w:hAnsi="仿宋" w:eastAsia="仿宋" w:cs="仿宋"/>
          <w:b/>
          <w:color w:val="auto"/>
          <w:spacing w:val="6"/>
          <w:sz w:val="32"/>
          <w:szCs w:val="32"/>
          <w:highlight w:val="none"/>
        </w:rPr>
      </w:pPr>
    </w:p>
    <w:p w14:paraId="798B1355">
      <w:pPr>
        <w:autoSpaceDE w:val="0"/>
        <w:autoSpaceDN w:val="0"/>
        <w:jc w:val="center"/>
        <w:rPr>
          <w:rFonts w:hint="eastAsia" w:ascii="仿宋" w:hAnsi="仿宋" w:eastAsia="仿宋" w:cs="仿宋"/>
          <w:b/>
          <w:color w:val="auto"/>
          <w:spacing w:val="6"/>
          <w:sz w:val="32"/>
          <w:szCs w:val="32"/>
          <w:highlight w:val="none"/>
        </w:rPr>
      </w:pPr>
    </w:p>
    <w:p w14:paraId="3CB30B08">
      <w:pPr>
        <w:autoSpaceDE w:val="0"/>
        <w:autoSpaceDN w:val="0"/>
        <w:jc w:val="center"/>
        <w:rPr>
          <w:rFonts w:hint="eastAsia" w:ascii="仿宋" w:hAnsi="仿宋" w:eastAsia="仿宋" w:cs="仿宋"/>
          <w:b/>
          <w:color w:val="auto"/>
          <w:spacing w:val="6"/>
          <w:sz w:val="32"/>
          <w:szCs w:val="32"/>
          <w:highlight w:val="none"/>
        </w:rPr>
      </w:pPr>
    </w:p>
    <w:p w14:paraId="22872310">
      <w:pPr>
        <w:autoSpaceDE w:val="0"/>
        <w:autoSpaceDN w:val="0"/>
        <w:jc w:val="center"/>
        <w:rPr>
          <w:rFonts w:hint="eastAsia" w:ascii="仿宋" w:hAnsi="仿宋" w:eastAsia="仿宋" w:cs="仿宋"/>
          <w:b/>
          <w:color w:val="auto"/>
          <w:spacing w:val="6"/>
          <w:sz w:val="32"/>
          <w:szCs w:val="32"/>
          <w:highlight w:val="none"/>
        </w:rPr>
      </w:pPr>
    </w:p>
    <w:p w14:paraId="59EB66AD">
      <w:pPr>
        <w:pStyle w:val="24"/>
        <w:rPr>
          <w:rFonts w:hint="eastAsia" w:ascii="仿宋" w:hAnsi="仿宋" w:eastAsia="仿宋" w:cs="仿宋"/>
          <w:color w:val="auto"/>
          <w:highlight w:val="none"/>
        </w:rPr>
      </w:pPr>
    </w:p>
    <w:p w14:paraId="509040F3">
      <w:pPr>
        <w:pStyle w:val="25"/>
        <w:rPr>
          <w:rFonts w:hint="eastAsia" w:ascii="仿宋" w:hAnsi="仿宋" w:eastAsia="仿宋" w:cs="仿宋"/>
          <w:color w:val="auto"/>
          <w:highlight w:val="none"/>
        </w:rPr>
      </w:pPr>
    </w:p>
    <w:p w14:paraId="20650C8E">
      <w:pPr>
        <w:rPr>
          <w:rFonts w:hint="eastAsia" w:ascii="仿宋" w:hAnsi="仿宋" w:eastAsia="仿宋" w:cs="仿宋"/>
          <w:color w:val="auto"/>
          <w:highlight w:val="none"/>
        </w:rPr>
      </w:pPr>
    </w:p>
    <w:p w14:paraId="1979315C">
      <w:pPr>
        <w:pStyle w:val="25"/>
        <w:rPr>
          <w:rFonts w:hint="eastAsia"/>
          <w:color w:val="auto"/>
          <w:highlight w:val="none"/>
        </w:rPr>
      </w:pPr>
    </w:p>
    <w:p w14:paraId="56D95B5C">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7</w:t>
      </w:r>
      <w:r>
        <w:rPr>
          <w:rFonts w:hint="eastAsia" w:ascii="仿宋" w:hAnsi="仿宋" w:eastAsia="仿宋" w:cs="仿宋"/>
          <w:b/>
          <w:color w:val="auto"/>
          <w:kern w:val="0"/>
          <w:sz w:val="32"/>
          <w:szCs w:val="32"/>
          <w:highlight w:val="none"/>
        </w:rPr>
        <w:t>：中小企业声明函</w:t>
      </w:r>
    </w:p>
    <w:p w14:paraId="472FA870">
      <w:pPr>
        <w:spacing w:line="360" w:lineRule="auto"/>
        <w:jc w:val="center"/>
        <w:rPr>
          <w:rFonts w:hint="eastAsia" w:ascii="仿宋" w:hAnsi="仿宋" w:eastAsia="仿宋" w:cs="仿宋"/>
          <w:color w:val="auto"/>
          <w:sz w:val="24"/>
          <w:highlight w:val="none"/>
          <w:u w:val="single"/>
        </w:rPr>
      </w:pPr>
    </w:p>
    <w:p w14:paraId="21ED6E2C">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7FC16D1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262DA35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07CE2D5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w:t>
      </w:r>
      <w:r>
        <w:rPr>
          <w:rFonts w:hint="eastAsia" w:ascii="仿宋" w:hAnsi="仿宋" w:eastAsia="仿宋" w:cs="仿宋"/>
          <w:color w:val="auto"/>
          <w:sz w:val="24"/>
          <w:highlight w:val="none"/>
        </w:rPr>
        <w:t xml:space="preserve"> ；</w:t>
      </w:r>
    </w:p>
    <w:p w14:paraId="274CE50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C643B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0752396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AC0C6A4">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1539319">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224C8E82">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从业人员、营业收入、资产总额填报上一年度数据，无上一年度数据的新成立企业可不填报。</w:t>
      </w:r>
    </w:p>
    <w:p w14:paraId="0C2F5193">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5F279005">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46F2624">
      <w:pPr>
        <w:spacing w:line="360" w:lineRule="auto"/>
        <w:ind w:right="420"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73AACEAB">
      <w:pPr>
        <w:spacing w:line="360" w:lineRule="auto"/>
        <w:ind w:right="420" w:firstLine="720" w:firstLineChars="300"/>
        <w:rPr>
          <w:rFonts w:hint="eastAsia" w:ascii="仿宋" w:hAnsi="仿宋" w:eastAsia="仿宋" w:cs="仿宋"/>
          <w:color w:val="auto"/>
          <w:sz w:val="24"/>
          <w:highlight w:val="none"/>
        </w:rPr>
      </w:pPr>
    </w:p>
    <w:p w14:paraId="457FD19A">
      <w:pPr>
        <w:pStyle w:val="4"/>
        <w:rPr>
          <w:rFonts w:hint="eastAsia" w:ascii="仿宋" w:hAnsi="仿宋" w:eastAsia="仿宋" w:cs="仿宋"/>
          <w:color w:val="auto"/>
          <w:highlight w:val="none"/>
          <w:lang w:val="en-US"/>
        </w:rPr>
      </w:pPr>
    </w:p>
    <w:p w14:paraId="261A9166">
      <w:pPr>
        <w:pageBreakBefore/>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14:paraId="7CE77B2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14:paraId="3D0D19D0">
      <w:pPr>
        <w:widowControl/>
        <w:shd w:val="clear" w:color="auto" w:fill="FFFFFF"/>
        <w:spacing w:before="150" w:line="420" w:lineRule="atLeast"/>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24E5A487">
      <w:pPr>
        <w:widowControl/>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14:paraId="7AE94483">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14:paraId="65C522E7">
      <w:pPr>
        <w:widowControl/>
        <w:shd w:val="clear" w:color="auto" w:fill="FFFFFF"/>
        <w:spacing w:before="150" w:line="420" w:lineRule="atLeast"/>
        <w:ind w:right="825"/>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14:paraId="0E374E55">
      <w:pPr>
        <w:pStyle w:val="24"/>
        <w:rPr>
          <w:rFonts w:hint="eastAsia"/>
          <w:color w:val="auto"/>
          <w:highlight w:val="none"/>
          <w:lang w:val="en-US" w:eastAsia="zh-CN"/>
        </w:rPr>
      </w:pPr>
    </w:p>
    <w:p w14:paraId="3F9B604D">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14:paraId="10A039E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14:paraId="2F12CCDC">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14:paraId="15F5C7F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77C01BA2">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14:paraId="38A63CA3">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14:paraId="64E1834E">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14:paraId="712AA266">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14:paraId="771E93EF">
      <w:pPr>
        <w:widowControl/>
        <w:jc w:val="left"/>
        <w:rPr>
          <w:rFonts w:hint="eastAsia" w:ascii="仿宋" w:hAnsi="仿宋" w:eastAsia="仿宋" w:cs="仿宋"/>
          <w:color w:val="auto"/>
          <w:kern w:val="0"/>
          <w:sz w:val="24"/>
          <w:highlight w:val="none"/>
        </w:rPr>
      </w:pPr>
    </w:p>
    <w:p w14:paraId="6A9E2B2E">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14:paraId="7EBBBF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14:paraId="7B182A5C">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14:paraId="7FEB165D">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14:paraId="0107C2E5">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14:paraId="129C3339">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14:paraId="6E9A4D47">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14:paraId="0334D91A">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14:paraId="39B15CF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14:paraId="67AC3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6F6B0E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14:paraId="0EFD1C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9B6F3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F5A256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2FC27E8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6785BA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14:paraId="170BD5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5AE9B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354BB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14:paraId="757082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88A21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BEED5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4F6097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07AB755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E735C8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6823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97F5F7D">
            <w:pPr>
              <w:widowControl/>
              <w:jc w:val="left"/>
              <w:rPr>
                <w:rFonts w:hint="eastAsia" w:ascii="仿宋" w:hAnsi="仿宋" w:eastAsia="仿宋" w:cs="仿宋"/>
                <w:color w:val="auto"/>
                <w:kern w:val="0"/>
                <w:sz w:val="24"/>
                <w:highlight w:val="none"/>
              </w:rPr>
            </w:pPr>
          </w:p>
        </w:tc>
        <w:tc>
          <w:tcPr>
            <w:tcW w:w="1560" w:type="dxa"/>
            <w:vAlign w:val="center"/>
          </w:tcPr>
          <w:p w14:paraId="35FE937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6977E9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6271E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02A7AC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14:paraId="06BC1B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14:paraId="1049BA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0BA741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5E4FD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14:paraId="042A955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723B2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2104D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14:paraId="2153465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14:paraId="2FBEB5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14:paraId="76A4CF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14:paraId="4CAE1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C2414E5">
            <w:pPr>
              <w:widowControl/>
              <w:jc w:val="left"/>
              <w:rPr>
                <w:rFonts w:hint="eastAsia" w:ascii="仿宋" w:hAnsi="仿宋" w:eastAsia="仿宋" w:cs="仿宋"/>
                <w:color w:val="auto"/>
                <w:kern w:val="0"/>
                <w:sz w:val="24"/>
                <w:highlight w:val="none"/>
              </w:rPr>
            </w:pPr>
          </w:p>
        </w:tc>
        <w:tc>
          <w:tcPr>
            <w:tcW w:w="1560" w:type="dxa"/>
            <w:vAlign w:val="center"/>
          </w:tcPr>
          <w:p w14:paraId="15AA857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1E1C95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3B4F5D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14:paraId="257175A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14:paraId="4614CD8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14:paraId="7F11B68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14:paraId="07B93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5DA70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14:paraId="577ED9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7CA749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113BC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226378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14:paraId="57B205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14:paraId="7951AA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14:paraId="0115E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C98919F">
            <w:pPr>
              <w:widowControl/>
              <w:jc w:val="left"/>
              <w:rPr>
                <w:rFonts w:hint="eastAsia" w:ascii="仿宋" w:hAnsi="仿宋" w:eastAsia="仿宋" w:cs="仿宋"/>
                <w:color w:val="auto"/>
                <w:kern w:val="0"/>
                <w:sz w:val="24"/>
                <w:highlight w:val="none"/>
              </w:rPr>
            </w:pPr>
          </w:p>
        </w:tc>
        <w:tc>
          <w:tcPr>
            <w:tcW w:w="1560" w:type="dxa"/>
            <w:vAlign w:val="center"/>
          </w:tcPr>
          <w:p w14:paraId="3B9599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53AA60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2B53806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14:paraId="20AAA1C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14:paraId="37B035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14:paraId="6950BE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14:paraId="28D277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24A19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14:paraId="00AC40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134F2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6CC25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37654D7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14:paraId="3822A1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14:paraId="63ED209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7562FB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6CD5E49">
            <w:pPr>
              <w:widowControl/>
              <w:jc w:val="left"/>
              <w:rPr>
                <w:rFonts w:hint="eastAsia" w:ascii="仿宋" w:hAnsi="仿宋" w:eastAsia="仿宋" w:cs="仿宋"/>
                <w:color w:val="auto"/>
                <w:kern w:val="0"/>
                <w:sz w:val="24"/>
                <w:highlight w:val="none"/>
              </w:rPr>
            </w:pPr>
          </w:p>
        </w:tc>
        <w:tc>
          <w:tcPr>
            <w:tcW w:w="1560" w:type="dxa"/>
            <w:vAlign w:val="center"/>
          </w:tcPr>
          <w:p w14:paraId="1F83ED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0A9883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4F163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14:paraId="5CA028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14:paraId="790E5CD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14:paraId="762542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0DAD8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CACE0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14:paraId="39E62E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755BB4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385D54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A5A0C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667AC9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284B9EC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11B640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583B5C3">
            <w:pPr>
              <w:widowControl/>
              <w:jc w:val="left"/>
              <w:rPr>
                <w:rFonts w:hint="eastAsia" w:ascii="仿宋" w:hAnsi="仿宋" w:eastAsia="仿宋" w:cs="仿宋"/>
                <w:color w:val="auto"/>
                <w:kern w:val="0"/>
                <w:sz w:val="24"/>
                <w:highlight w:val="none"/>
              </w:rPr>
            </w:pPr>
          </w:p>
        </w:tc>
        <w:tc>
          <w:tcPr>
            <w:tcW w:w="1560" w:type="dxa"/>
            <w:vAlign w:val="center"/>
          </w:tcPr>
          <w:p w14:paraId="2E06678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618EE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C066E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FC1C0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14:paraId="2E00C8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14:paraId="12B2BB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14:paraId="050A5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73560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14:paraId="7E274EE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80F127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65237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14:paraId="48B2D43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14:paraId="2FBC42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14:paraId="1E4D96B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219CF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3B72AA55">
            <w:pPr>
              <w:widowControl/>
              <w:jc w:val="left"/>
              <w:rPr>
                <w:rFonts w:hint="eastAsia" w:ascii="仿宋" w:hAnsi="仿宋" w:eastAsia="仿宋" w:cs="仿宋"/>
                <w:color w:val="auto"/>
                <w:kern w:val="0"/>
                <w:sz w:val="24"/>
                <w:highlight w:val="none"/>
              </w:rPr>
            </w:pPr>
          </w:p>
        </w:tc>
        <w:tc>
          <w:tcPr>
            <w:tcW w:w="1560" w:type="dxa"/>
            <w:vAlign w:val="center"/>
          </w:tcPr>
          <w:p w14:paraId="03491F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00DE00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01D72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54305F6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14:paraId="5E2D1E5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2DEE41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46379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4A0EE55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14:paraId="534F5E5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37E9DC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ED3FC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190497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1A67AD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14:paraId="0519F58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14:paraId="3E7EA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48297A7">
            <w:pPr>
              <w:widowControl/>
              <w:jc w:val="left"/>
              <w:rPr>
                <w:rFonts w:hint="eastAsia" w:ascii="仿宋" w:hAnsi="仿宋" w:eastAsia="仿宋" w:cs="仿宋"/>
                <w:color w:val="auto"/>
                <w:kern w:val="0"/>
                <w:sz w:val="24"/>
                <w:highlight w:val="none"/>
              </w:rPr>
            </w:pPr>
          </w:p>
        </w:tc>
        <w:tc>
          <w:tcPr>
            <w:tcW w:w="1560" w:type="dxa"/>
            <w:vAlign w:val="center"/>
          </w:tcPr>
          <w:p w14:paraId="2031EE0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5A1EB65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5477B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14:paraId="21E101A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14:paraId="221848F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7192321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79D802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E639D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14:paraId="621248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279FD0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6A91F0A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2E7E470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193DF6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7AEFA3B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66D0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A350FC0">
            <w:pPr>
              <w:widowControl/>
              <w:jc w:val="left"/>
              <w:rPr>
                <w:rFonts w:hint="eastAsia" w:ascii="仿宋" w:hAnsi="仿宋" w:eastAsia="仿宋" w:cs="仿宋"/>
                <w:color w:val="auto"/>
                <w:kern w:val="0"/>
                <w:sz w:val="24"/>
                <w:highlight w:val="none"/>
              </w:rPr>
            </w:pPr>
          </w:p>
        </w:tc>
        <w:tc>
          <w:tcPr>
            <w:tcW w:w="1560" w:type="dxa"/>
            <w:vAlign w:val="center"/>
          </w:tcPr>
          <w:p w14:paraId="08B3699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21FACC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64F783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5735FB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5F7BAB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4C24C45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DF00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82670B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14:paraId="49ABABC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06B35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108EE3D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6F96D42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5F5B25A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210F3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27206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42335A9E">
            <w:pPr>
              <w:widowControl/>
              <w:jc w:val="left"/>
              <w:rPr>
                <w:rFonts w:hint="eastAsia" w:ascii="仿宋" w:hAnsi="仿宋" w:eastAsia="仿宋" w:cs="仿宋"/>
                <w:color w:val="auto"/>
                <w:kern w:val="0"/>
                <w:sz w:val="24"/>
                <w:highlight w:val="none"/>
              </w:rPr>
            </w:pPr>
          </w:p>
        </w:tc>
        <w:tc>
          <w:tcPr>
            <w:tcW w:w="1560" w:type="dxa"/>
            <w:vAlign w:val="center"/>
          </w:tcPr>
          <w:p w14:paraId="73B9DAC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110907E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53C8BA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49B68BE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14:paraId="074ECB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14:paraId="1B5132A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214159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39675A3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14:paraId="2B879EF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06F9A82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4A28684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14:paraId="0EE4E3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14:paraId="080F7D0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5910F2A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291F5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7FED1607">
            <w:pPr>
              <w:widowControl/>
              <w:jc w:val="left"/>
              <w:rPr>
                <w:rFonts w:hint="eastAsia" w:ascii="仿宋" w:hAnsi="仿宋" w:eastAsia="仿宋" w:cs="仿宋"/>
                <w:color w:val="auto"/>
                <w:kern w:val="0"/>
                <w:sz w:val="24"/>
                <w:highlight w:val="none"/>
              </w:rPr>
            </w:pPr>
          </w:p>
        </w:tc>
        <w:tc>
          <w:tcPr>
            <w:tcW w:w="1560" w:type="dxa"/>
            <w:vAlign w:val="center"/>
          </w:tcPr>
          <w:p w14:paraId="721BA97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5F774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A64AB7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14:paraId="2242934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14:paraId="6B9DD8E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338FF7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17607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634DD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14:paraId="4C56071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601DF2E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AA5CBF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7FB710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128FF29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10B635A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0CE622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0656C53F">
            <w:pPr>
              <w:widowControl/>
              <w:jc w:val="left"/>
              <w:rPr>
                <w:rFonts w:hint="eastAsia" w:ascii="仿宋" w:hAnsi="仿宋" w:eastAsia="仿宋" w:cs="仿宋"/>
                <w:color w:val="auto"/>
                <w:kern w:val="0"/>
                <w:sz w:val="24"/>
                <w:highlight w:val="none"/>
              </w:rPr>
            </w:pPr>
          </w:p>
        </w:tc>
        <w:tc>
          <w:tcPr>
            <w:tcW w:w="1560" w:type="dxa"/>
            <w:vAlign w:val="center"/>
          </w:tcPr>
          <w:p w14:paraId="57CC3B6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35D3207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6F298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14:paraId="654C705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14:paraId="1515B6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14:paraId="6FF0929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14:paraId="78218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6F2E8F0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14:paraId="766FB47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7E3450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419A6E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14:paraId="7B10CC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14:paraId="7F89FF9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14:paraId="72630B5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14:paraId="31F5CA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F3300E4">
            <w:pPr>
              <w:widowControl/>
              <w:jc w:val="left"/>
              <w:rPr>
                <w:rFonts w:hint="eastAsia" w:ascii="仿宋" w:hAnsi="仿宋" w:eastAsia="仿宋" w:cs="仿宋"/>
                <w:color w:val="auto"/>
                <w:kern w:val="0"/>
                <w:sz w:val="24"/>
                <w:highlight w:val="none"/>
              </w:rPr>
            </w:pPr>
          </w:p>
        </w:tc>
        <w:tc>
          <w:tcPr>
            <w:tcW w:w="1560" w:type="dxa"/>
            <w:vAlign w:val="center"/>
          </w:tcPr>
          <w:p w14:paraId="4F4217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D65F7F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3F8EAE4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14:paraId="712E14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14:paraId="46D5D1A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14:paraId="50FF59B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14:paraId="0AFDEC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63677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14:paraId="3E47F26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13A6EE0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7B55D8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14:paraId="5901F39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14:paraId="317366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14:paraId="676E94C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14:paraId="6AAD5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54B2B9A7">
            <w:pPr>
              <w:widowControl/>
              <w:jc w:val="left"/>
              <w:rPr>
                <w:rFonts w:hint="eastAsia" w:ascii="仿宋" w:hAnsi="仿宋" w:eastAsia="仿宋" w:cs="仿宋"/>
                <w:color w:val="auto"/>
                <w:kern w:val="0"/>
                <w:sz w:val="24"/>
                <w:highlight w:val="none"/>
              </w:rPr>
            </w:pPr>
          </w:p>
        </w:tc>
        <w:tc>
          <w:tcPr>
            <w:tcW w:w="1560" w:type="dxa"/>
            <w:vAlign w:val="center"/>
          </w:tcPr>
          <w:p w14:paraId="0976EAB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14:paraId="4F9768C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71315BD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14:paraId="53593FE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14:paraId="1B459DC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14:paraId="6F09D9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14:paraId="291DC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14:paraId="5AA512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14:paraId="5AF69F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3D17E4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3A0FBF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5D920DA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7740524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048F47D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14:paraId="4BCDEF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14:paraId="6A141087">
            <w:pPr>
              <w:widowControl/>
              <w:jc w:val="left"/>
              <w:rPr>
                <w:rFonts w:hint="eastAsia" w:ascii="仿宋" w:hAnsi="仿宋" w:eastAsia="仿宋" w:cs="仿宋"/>
                <w:color w:val="auto"/>
                <w:kern w:val="0"/>
                <w:sz w:val="24"/>
                <w:highlight w:val="none"/>
              </w:rPr>
            </w:pPr>
          </w:p>
        </w:tc>
        <w:tc>
          <w:tcPr>
            <w:tcW w:w="1560" w:type="dxa"/>
            <w:vAlign w:val="center"/>
          </w:tcPr>
          <w:p w14:paraId="26A063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14:paraId="0AE8F8F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14:paraId="0B7CFCD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14:paraId="396246F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14:paraId="634F60F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14:paraId="4E98A3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14:paraId="240B2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14:paraId="00A9E82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14:paraId="7A315F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14:paraId="20FA3CB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14:paraId="2D89CD5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14:paraId="1C9A16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14:paraId="365996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14:paraId="2B7DA2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14:paraId="5D1C21F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14:paraId="496B4A4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1.大型、中型和小型企业须同时满足所列指标的下限，否则下划一档；微型企业只须满足所列指标中的一项即可。 　　</w:t>
      </w:r>
    </w:p>
    <w:p w14:paraId="7F95921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14:paraId="5CAD7BAD">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14:paraId="6C97379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14:paraId="7838DC5B">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14:paraId="34FD39B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14:paraId="68656657">
      <w:pPr>
        <w:widowControl/>
        <w:jc w:val="left"/>
        <w:rPr>
          <w:rFonts w:hint="eastAsia" w:ascii="仿宋" w:hAnsi="仿宋" w:eastAsia="仿宋" w:cs="仿宋"/>
          <w:color w:val="auto"/>
          <w:kern w:val="0"/>
          <w:sz w:val="24"/>
          <w:highlight w:val="none"/>
        </w:rPr>
      </w:pPr>
    </w:p>
    <w:p w14:paraId="012D1AFF">
      <w:pPr>
        <w:widowControl/>
        <w:jc w:val="left"/>
        <w:rPr>
          <w:rFonts w:hint="eastAsia" w:ascii="仿宋" w:hAnsi="仿宋" w:eastAsia="仿宋" w:cs="仿宋"/>
          <w:color w:val="auto"/>
          <w:kern w:val="0"/>
          <w:sz w:val="24"/>
          <w:highlight w:val="none"/>
        </w:rPr>
      </w:pPr>
    </w:p>
    <w:p w14:paraId="4E17702C">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14:paraId="3864343E">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14:paraId="30B35931">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14:paraId="3C97106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14:paraId="2A65F002">
      <w:pPr>
        <w:widowControl/>
        <w:shd w:val="clear" w:color="auto" w:fill="FFFFFF"/>
        <w:spacing w:before="150" w:line="540" w:lineRule="atLeast"/>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14:paraId="72612E44">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14:paraId="21A3B49B">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14:paraId="0489A1D5">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14:paraId="713E7279">
      <w:pPr>
        <w:widowControl/>
        <w:jc w:val="left"/>
        <w:rPr>
          <w:rFonts w:hint="eastAsia" w:ascii="仿宋" w:hAnsi="仿宋" w:eastAsia="仿宋" w:cs="仿宋"/>
          <w:color w:val="auto"/>
          <w:kern w:val="0"/>
          <w:sz w:val="18"/>
          <w:szCs w:val="18"/>
          <w:highlight w:val="none"/>
        </w:rPr>
      </w:pPr>
    </w:p>
    <w:p w14:paraId="66F96BF0">
      <w:pPr>
        <w:widowControl/>
        <w:jc w:val="left"/>
        <w:rPr>
          <w:rFonts w:hint="eastAsia" w:ascii="仿宋" w:hAnsi="仿宋" w:eastAsia="仿宋" w:cs="仿宋"/>
          <w:color w:val="auto"/>
          <w:kern w:val="0"/>
          <w:sz w:val="18"/>
          <w:szCs w:val="18"/>
          <w:highlight w:val="none"/>
        </w:rPr>
      </w:pPr>
    </w:p>
    <w:p w14:paraId="34E44002">
      <w:pPr>
        <w:widowControl/>
        <w:jc w:val="left"/>
        <w:rPr>
          <w:rFonts w:hint="eastAsia" w:ascii="仿宋" w:hAnsi="仿宋" w:eastAsia="仿宋" w:cs="仿宋"/>
          <w:color w:val="auto"/>
          <w:kern w:val="0"/>
          <w:sz w:val="18"/>
          <w:szCs w:val="18"/>
          <w:highlight w:val="none"/>
        </w:rPr>
      </w:pPr>
    </w:p>
    <w:p w14:paraId="063A82AF">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中国人民银行中国银行业监督管理委员会</w:t>
      </w:r>
    </w:p>
    <w:p w14:paraId="7C151FC0">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中国证券监督管理委员会中国保险监督管理委员会</w:t>
      </w:r>
    </w:p>
    <w:p w14:paraId="2D821153">
      <w:pPr>
        <w:widowControl/>
        <w:shd w:val="clear" w:color="auto" w:fill="FFFFFF"/>
        <w:spacing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国家统计局关于印发《金融业企业划型标准规定》的通知</w:t>
      </w:r>
    </w:p>
    <w:p w14:paraId="587C165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为进一步贯彻落实《中华人民共和国中小企业促进法》、《国务院关于进一步促进中小企业发展的若干意见》（国发〔2009〕36号）、《国务院办公厅关于金融支持小微企业发展的实施意见》（国办发〔2013〕87号），推动中小金融机构健康发展，加大金融对实体经济的支持，人民银行会同银监会、证监会、保监会和国家统计局联合研究制定了《金融业企业划型标准规定》（见附件）。 经国务院同意，现印发给你们，请遵照执行。</w:t>
      </w:r>
    </w:p>
    <w:p w14:paraId="47369FE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请人民银行上海总部，各分行、营业管理部、省会（首府）城市中心支行、副省级城市中心支行会同所在省（区、市）银监局、证监局、保监局、统计局将本通知联合转发至辖内相关机构。</w:t>
      </w:r>
    </w:p>
    <w:p w14:paraId="66DB126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附件：金融业企业划型标准规定</w:t>
      </w:r>
    </w:p>
    <w:p w14:paraId="05010FC8">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金融业企业划型标准规定</w:t>
      </w:r>
    </w:p>
    <w:p w14:paraId="7E58F92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根据《中华人民共和国中小企业促进法》、《国务院关于进一步促进中小企业发展的若干意见》（国发〔2009〕36号）和《国务院办公厅关于金融支持小微企业发展的实施意见》（国办发〔2013〕87号），制定本规定。</w:t>
      </w:r>
    </w:p>
    <w:p w14:paraId="4DFCB8D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适用范围。本规定适用于从事《国民经济行业分类》(GB/T4754-2011)中J门类（金融业）活动的企业。</w:t>
      </w:r>
    </w:p>
    <w:p w14:paraId="3E7F658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行业分类。采用复合分类方法对金融业企业进行分类。首先，按《国民经济行业分类》将金融业企业分为货币金融服务、资本市场服务、保险业、其他金融业四大类。其次，将货币金融服务分为货币银行服务和非货币银行服务两类，将其他金融业分为金融信托与管理服务、控股公司服务和其他未包括的金融业三类。最后，按经济性质将货币银行服务类金融业企业划为银行业存款类金融机构；将非货币银行服务类金融业企业分为银行业非存款类金融机构，贷款公司、小额贷款公司及典当行；将资本市场服务类金融业企业划为证券业金融机构；将保险业金融企业划为保险业金融机构；将其他金融业企业分为信托公司，金融控股公司和除贷款公司、小额贷款公司、典当行以外的其他金融机构。</w:t>
      </w:r>
    </w:p>
    <w:p w14:paraId="1D37DC6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四、划型标准指标。采用一个完整会计年度中四个季度末法人并表口径的资产总额（信托公司为信托资产）平均值作为划型指标，该指标以监管部门数据为准。</w:t>
      </w:r>
    </w:p>
    <w:p w14:paraId="4C556CD1">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五、指标标准值。依据指标标准值，将各类金融业企业划分为大、中、小、微四个规模类型，中型企业标准上限及以上的为大型企业。</w:t>
      </w:r>
    </w:p>
    <w:p w14:paraId="31CC7DB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(一) 银行业存款类金融机构。资产总额40000亿元以下的为中小微型企业。其中，资产总额5000亿元及以上的为中型企业，资产总额50亿元及以上的为小型企业，资产总额50亿元以下的为微型企业。</w:t>
      </w:r>
    </w:p>
    <w:p w14:paraId="4935B81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(二) 银行业非存款类金融机构。资产总额1000亿元以下的为中小微型企业。其中，资产总额200亿元及以上的为中型企业，资产总额50亿元及以上的为小型企业，资产总额50亿元以下的为微型企业。</w:t>
      </w:r>
    </w:p>
    <w:p w14:paraId="7358793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(三) 贷款公司、小额贷款公司及典当行。资产总额1000亿元以下的为中小微型企业。其中，资产总额200亿元及以上的为中型企业，资产总额50亿元及以上的为小型企业，资产总额50亿元以下的为微型企业。</w:t>
      </w:r>
    </w:p>
    <w:p w14:paraId="266E0FF3">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(四) 证券业金融机构。资产总额1000亿元以下的为中小微型企业。其中，资产总额100亿元及以上的为中型企业，资产总额10亿元及以上的为小型企业，资产总额10亿元以下的为微型企业。</w:t>
      </w:r>
    </w:p>
    <w:p w14:paraId="5ED4F214">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(五) 保险业金融机构。资产总额5000亿元以下的为中小微型企业。其中，资产总额400亿元及以上的为中型企业，资产总额20亿元及以上的为小型企业，资产总额20亿元以下的为微型企业。</w:t>
      </w:r>
    </w:p>
    <w:p w14:paraId="348FF83C">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信托公司。信托资产1000亿元以下的为中小微型企业。其中，信托资产400亿元及以上的为中型企业，信托资产20亿元及以上的为小型企业，信托资产20亿元以下的为微型企业。</w:t>
      </w:r>
    </w:p>
    <w:p w14:paraId="6428E0C8">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金融控股公司。资产总额40000亿元以下的为中小微型企业。其中，资产总额5000亿元及以上的为中型企业，资产总额50亿元及以上的为小型企业，资产总额50亿元以下的为微型企业。</w:t>
      </w:r>
    </w:p>
    <w:p w14:paraId="33C4C67A">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除贷款公司、小额贷款公司，典当行以外的其他金融机构。资产总额1000亿元以下的为中小微型企业。其中，资产总额200亿元及以上的为中型企业，资产总额50亿元及以上的为小型企业，资产总额50亿元以下的为微型企业。</w:t>
      </w:r>
    </w:p>
    <w:p w14:paraId="17B99229">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六、 组织实施。由人民银行会同银监会、证监会、保监会和统计局联合组成金融业企业划型标准工作组，负责金融业企业划型标准的实施、后期评估和调整工作，按年组织金融业企业规模认定，并在人民银行建立的《金融业机构信息管理系统》中增相应的字段模块。经过认定的金融业企业在系统中进行规模登记，方便政府部门和社会各界查询使用。</w:t>
      </w:r>
    </w:p>
    <w:p w14:paraId="68084A3E">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七、 标准值的评估和调整。金融业企业划型标准工作组毎五年对划型标准值受经济发展与通货膨胀等因素的响程度进行评估和调整。</w:t>
      </w:r>
    </w:p>
    <w:p w14:paraId="51EFD86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八、 本规定的中型金融业企业标准上限即为大型金融业企业下限。国务院有关部门据此进行相关数据的统计分析，不得制定与本规定不一致的金融业企业划型标准。</w:t>
      </w:r>
    </w:p>
    <w:p w14:paraId="02A97F27">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九、 融资担保公司参照本规定中“除贷款公司、小额贷款公司、典当行以外的其他金融机构”标准划型。</w:t>
      </w:r>
    </w:p>
    <w:p w14:paraId="32352452">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十、本规定由人民银行会同银监会，证监会、保监会和统计局负责解释。</w:t>
      </w:r>
    </w:p>
    <w:p w14:paraId="1D545E26">
      <w:pPr>
        <w:widowControl/>
        <w:shd w:val="clear" w:color="auto" w:fill="FFFFFF"/>
        <w:spacing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十一、本规定自发布之日起实施。</w:t>
      </w:r>
    </w:p>
    <w:p w14:paraId="3118CF8F">
      <w:pPr>
        <w:widowControl/>
        <w:shd w:val="clear" w:color="auto" w:fill="FFFFFF"/>
        <w:spacing w:before="150" w:line="420" w:lineRule="atLeast"/>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附：金融业企业划型标准</w:t>
      </w:r>
    </w:p>
    <w:p w14:paraId="70A63479">
      <w:pPr>
        <w:widowControl/>
        <w:shd w:val="clear" w:color="auto" w:fill="FFFFFF"/>
        <w:spacing w:before="150" w:line="600" w:lineRule="atLeast"/>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金融业企业划型标准</w:t>
      </w:r>
    </w:p>
    <w:tbl>
      <w:tblPr>
        <w:tblStyle w:val="64"/>
        <w:tblW w:w="852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5"/>
        <w:gridCol w:w="1025"/>
        <w:gridCol w:w="2836"/>
        <w:gridCol w:w="606"/>
        <w:gridCol w:w="3326"/>
      </w:tblGrid>
      <w:tr w14:paraId="059075FF">
        <w:trPr>
          <w:jc w:val="center"/>
        </w:trPr>
        <w:tc>
          <w:tcPr>
            <w:tcW w:w="1760" w:type="dxa"/>
            <w:gridSpan w:val="2"/>
            <w:tcMar>
              <w:top w:w="75" w:type="dxa"/>
              <w:left w:w="75" w:type="dxa"/>
              <w:bottom w:w="75" w:type="dxa"/>
              <w:right w:w="75" w:type="dxa"/>
            </w:tcMar>
            <w:vAlign w:val="bottom"/>
          </w:tcPr>
          <w:p w14:paraId="15BAC35B">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w:t>
            </w:r>
          </w:p>
        </w:tc>
        <w:tc>
          <w:tcPr>
            <w:tcW w:w="2836" w:type="dxa"/>
            <w:tcMar>
              <w:top w:w="75" w:type="dxa"/>
              <w:left w:w="75" w:type="dxa"/>
              <w:bottom w:w="75" w:type="dxa"/>
              <w:right w:w="75" w:type="dxa"/>
            </w:tcMar>
            <w:vAlign w:val="bottom"/>
          </w:tcPr>
          <w:p w14:paraId="402C8374">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类别</w:t>
            </w:r>
          </w:p>
        </w:tc>
        <w:tc>
          <w:tcPr>
            <w:tcW w:w="606" w:type="dxa"/>
            <w:tcMar>
              <w:top w:w="75" w:type="dxa"/>
              <w:left w:w="75" w:type="dxa"/>
              <w:bottom w:w="75" w:type="dxa"/>
              <w:right w:w="75" w:type="dxa"/>
            </w:tcMar>
            <w:vAlign w:val="bottom"/>
          </w:tcPr>
          <w:p w14:paraId="72FC2AD0">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类型</w:t>
            </w:r>
          </w:p>
        </w:tc>
        <w:tc>
          <w:tcPr>
            <w:tcW w:w="3326" w:type="dxa"/>
            <w:tcMar>
              <w:top w:w="75" w:type="dxa"/>
              <w:left w:w="75" w:type="dxa"/>
              <w:bottom w:w="75" w:type="dxa"/>
              <w:right w:w="75" w:type="dxa"/>
            </w:tcMar>
            <w:vAlign w:val="bottom"/>
          </w:tcPr>
          <w:p w14:paraId="23E8C18E">
            <w:pPr>
              <w:widowControl/>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资产总额</w:t>
            </w:r>
          </w:p>
        </w:tc>
      </w:tr>
      <w:tr w14:paraId="3D8BD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3FB55D4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货币金融服务</w:t>
            </w:r>
          </w:p>
        </w:tc>
        <w:tc>
          <w:tcPr>
            <w:tcW w:w="1025" w:type="dxa"/>
            <w:vMerge w:val="restart"/>
            <w:vAlign w:val="center"/>
          </w:tcPr>
          <w:p w14:paraId="4B0ACEE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货币银行服务</w:t>
            </w:r>
          </w:p>
        </w:tc>
        <w:tc>
          <w:tcPr>
            <w:tcW w:w="2836" w:type="dxa"/>
            <w:vMerge w:val="restart"/>
            <w:vAlign w:val="center"/>
          </w:tcPr>
          <w:p w14:paraId="1C84DE4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银行业存款类金融机构</w:t>
            </w:r>
          </w:p>
        </w:tc>
        <w:tc>
          <w:tcPr>
            <w:tcW w:w="606" w:type="dxa"/>
            <w:vAlign w:val="center"/>
          </w:tcPr>
          <w:p w14:paraId="6945A4F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C81BD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6E1DB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DE1B3B8">
            <w:pPr>
              <w:widowControl/>
              <w:jc w:val="left"/>
              <w:rPr>
                <w:rFonts w:hint="eastAsia" w:ascii="仿宋" w:hAnsi="仿宋" w:eastAsia="仿宋" w:cs="仿宋"/>
                <w:color w:val="auto"/>
                <w:kern w:val="0"/>
                <w:sz w:val="24"/>
                <w:highlight w:val="none"/>
              </w:rPr>
            </w:pPr>
          </w:p>
        </w:tc>
        <w:tc>
          <w:tcPr>
            <w:tcW w:w="1025" w:type="dxa"/>
            <w:vMerge w:val="continue"/>
            <w:vAlign w:val="center"/>
          </w:tcPr>
          <w:p w14:paraId="7CA63C45">
            <w:pPr>
              <w:widowControl/>
              <w:jc w:val="left"/>
              <w:rPr>
                <w:rFonts w:hint="eastAsia" w:ascii="仿宋" w:hAnsi="仿宋" w:eastAsia="仿宋" w:cs="仿宋"/>
                <w:color w:val="auto"/>
                <w:kern w:val="0"/>
                <w:sz w:val="24"/>
                <w:highlight w:val="none"/>
              </w:rPr>
            </w:pPr>
          </w:p>
        </w:tc>
        <w:tc>
          <w:tcPr>
            <w:tcW w:w="2836" w:type="dxa"/>
            <w:vMerge w:val="continue"/>
            <w:vAlign w:val="center"/>
          </w:tcPr>
          <w:p w14:paraId="0F17556A">
            <w:pPr>
              <w:widowControl/>
              <w:jc w:val="left"/>
              <w:rPr>
                <w:rFonts w:hint="eastAsia" w:ascii="仿宋" w:hAnsi="仿宋" w:eastAsia="仿宋" w:cs="仿宋"/>
                <w:color w:val="auto"/>
                <w:kern w:val="0"/>
                <w:sz w:val="24"/>
                <w:highlight w:val="none"/>
              </w:rPr>
            </w:pPr>
          </w:p>
        </w:tc>
        <w:tc>
          <w:tcPr>
            <w:tcW w:w="606" w:type="dxa"/>
            <w:vAlign w:val="center"/>
          </w:tcPr>
          <w:p w14:paraId="383DA90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40CC48E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1823F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99AB46C">
            <w:pPr>
              <w:widowControl/>
              <w:jc w:val="left"/>
              <w:rPr>
                <w:rFonts w:hint="eastAsia" w:ascii="仿宋" w:hAnsi="仿宋" w:eastAsia="仿宋" w:cs="仿宋"/>
                <w:color w:val="auto"/>
                <w:kern w:val="0"/>
                <w:sz w:val="24"/>
                <w:highlight w:val="none"/>
              </w:rPr>
            </w:pPr>
          </w:p>
        </w:tc>
        <w:tc>
          <w:tcPr>
            <w:tcW w:w="1025" w:type="dxa"/>
            <w:vMerge w:val="continue"/>
            <w:vAlign w:val="center"/>
          </w:tcPr>
          <w:p w14:paraId="45AAB9C3">
            <w:pPr>
              <w:widowControl/>
              <w:jc w:val="left"/>
              <w:rPr>
                <w:rFonts w:hint="eastAsia" w:ascii="仿宋" w:hAnsi="仿宋" w:eastAsia="仿宋" w:cs="仿宋"/>
                <w:color w:val="auto"/>
                <w:kern w:val="0"/>
                <w:sz w:val="24"/>
                <w:highlight w:val="none"/>
              </w:rPr>
            </w:pPr>
          </w:p>
        </w:tc>
        <w:tc>
          <w:tcPr>
            <w:tcW w:w="2836" w:type="dxa"/>
            <w:vMerge w:val="continue"/>
            <w:vAlign w:val="center"/>
          </w:tcPr>
          <w:p w14:paraId="68258B63">
            <w:pPr>
              <w:widowControl/>
              <w:jc w:val="left"/>
              <w:rPr>
                <w:rFonts w:hint="eastAsia" w:ascii="仿宋" w:hAnsi="仿宋" w:eastAsia="仿宋" w:cs="仿宋"/>
                <w:color w:val="auto"/>
                <w:kern w:val="0"/>
                <w:sz w:val="24"/>
                <w:highlight w:val="none"/>
              </w:rPr>
            </w:pPr>
          </w:p>
        </w:tc>
        <w:tc>
          <w:tcPr>
            <w:tcW w:w="606" w:type="dxa"/>
            <w:vAlign w:val="center"/>
          </w:tcPr>
          <w:p w14:paraId="11CB556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641B71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6DA80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0580F2B">
            <w:pPr>
              <w:widowControl/>
              <w:jc w:val="left"/>
              <w:rPr>
                <w:rFonts w:hint="eastAsia" w:ascii="仿宋" w:hAnsi="仿宋" w:eastAsia="仿宋" w:cs="仿宋"/>
                <w:color w:val="auto"/>
                <w:kern w:val="0"/>
                <w:sz w:val="24"/>
                <w:highlight w:val="none"/>
              </w:rPr>
            </w:pPr>
          </w:p>
        </w:tc>
        <w:tc>
          <w:tcPr>
            <w:tcW w:w="1025" w:type="dxa"/>
            <w:vMerge w:val="restart"/>
            <w:vAlign w:val="center"/>
          </w:tcPr>
          <w:p w14:paraId="5B5DAA8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非货币银行服务</w:t>
            </w:r>
          </w:p>
        </w:tc>
        <w:tc>
          <w:tcPr>
            <w:tcW w:w="2836" w:type="dxa"/>
            <w:vMerge w:val="restart"/>
            <w:vAlign w:val="center"/>
          </w:tcPr>
          <w:p w14:paraId="5B3CA8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银行业非存款类金融机构</w:t>
            </w:r>
          </w:p>
        </w:tc>
        <w:tc>
          <w:tcPr>
            <w:tcW w:w="606" w:type="dxa"/>
            <w:vAlign w:val="center"/>
          </w:tcPr>
          <w:p w14:paraId="76464C4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638BB4F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00006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62AF7CEB">
            <w:pPr>
              <w:widowControl/>
              <w:jc w:val="left"/>
              <w:rPr>
                <w:rFonts w:hint="eastAsia" w:ascii="仿宋" w:hAnsi="仿宋" w:eastAsia="仿宋" w:cs="仿宋"/>
                <w:color w:val="auto"/>
                <w:kern w:val="0"/>
                <w:sz w:val="24"/>
                <w:highlight w:val="none"/>
              </w:rPr>
            </w:pPr>
          </w:p>
        </w:tc>
        <w:tc>
          <w:tcPr>
            <w:tcW w:w="1025" w:type="dxa"/>
            <w:vMerge w:val="continue"/>
            <w:vAlign w:val="center"/>
          </w:tcPr>
          <w:p w14:paraId="240942C7">
            <w:pPr>
              <w:widowControl/>
              <w:jc w:val="left"/>
              <w:rPr>
                <w:rFonts w:hint="eastAsia" w:ascii="仿宋" w:hAnsi="仿宋" w:eastAsia="仿宋" w:cs="仿宋"/>
                <w:color w:val="auto"/>
                <w:kern w:val="0"/>
                <w:sz w:val="24"/>
                <w:highlight w:val="none"/>
              </w:rPr>
            </w:pPr>
          </w:p>
        </w:tc>
        <w:tc>
          <w:tcPr>
            <w:tcW w:w="2836" w:type="dxa"/>
            <w:vMerge w:val="continue"/>
            <w:vAlign w:val="center"/>
          </w:tcPr>
          <w:p w14:paraId="42FCC5F1">
            <w:pPr>
              <w:widowControl/>
              <w:jc w:val="left"/>
              <w:rPr>
                <w:rFonts w:hint="eastAsia" w:ascii="仿宋" w:hAnsi="仿宋" w:eastAsia="仿宋" w:cs="仿宋"/>
                <w:color w:val="auto"/>
                <w:kern w:val="0"/>
                <w:sz w:val="24"/>
                <w:highlight w:val="none"/>
              </w:rPr>
            </w:pPr>
          </w:p>
        </w:tc>
        <w:tc>
          <w:tcPr>
            <w:tcW w:w="606" w:type="dxa"/>
            <w:vAlign w:val="center"/>
          </w:tcPr>
          <w:p w14:paraId="4E31142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29B3FE0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4AB94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2A617B9">
            <w:pPr>
              <w:widowControl/>
              <w:jc w:val="left"/>
              <w:rPr>
                <w:rFonts w:hint="eastAsia" w:ascii="仿宋" w:hAnsi="仿宋" w:eastAsia="仿宋" w:cs="仿宋"/>
                <w:color w:val="auto"/>
                <w:kern w:val="0"/>
                <w:sz w:val="24"/>
                <w:highlight w:val="none"/>
              </w:rPr>
            </w:pPr>
          </w:p>
        </w:tc>
        <w:tc>
          <w:tcPr>
            <w:tcW w:w="1025" w:type="dxa"/>
            <w:vMerge w:val="continue"/>
            <w:vAlign w:val="center"/>
          </w:tcPr>
          <w:p w14:paraId="741B9D8E">
            <w:pPr>
              <w:widowControl/>
              <w:jc w:val="left"/>
              <w:rPr>
                <w:rFonts w:hint="eastAsia" w:ascii="仿宋" w:hAnsi="仿宋" w:eastAsia="仿宋" w:cs="仿宋"/>
                <w:color w:val="auto"/>
                <w:kern w:val="0"/>
                <w:sz w:val="24"/>
                <w:highlight w:val="none"/>
              </w:rPr>
            </w:pPr>
          </w:p>
        </w:tc>
        <w:tc>
          <w:tcPr>
            <w:tcW w:w="2836" w:type="dxa"/>
            <w:vMerge w:val="continue"/>
            <w:vAlign w:val="center"/>
          </w:tcPr>
          <w:p w14:paraId="79D79A46">
            <w:pPr>
              <w:widowControl/>
              <w:jc w:val="left"/>
              <w:rPr>
                <w:rFonts w:hint="eastAsia" w:ascii="仿宋" w:hAnsi="仿宋" w:eastAsia="仿宋" w:cs="仿宋"/>
                <w:color w:val="auto"/>
                <w:kern w:val="0"/>
                <w:sz w:val="24"/>
                <w:highlight w:val="none"/>
              </w:rPr>
            </w:pPr>
          </w:p>
        </w:tc>
        <w:tc>
          <w:tcPr>
            <w:tcW w:w="606" w:type="dxa"/>
            <w:vAlign w:val="center"/>
          </w:tcPr>
          <w:p w14:paraId="2C48C8D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88FDEC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1D516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97FEE46">
            <w:pPr>
              <w:widowControl/>
              <w:jc w:val="left"/>
              <w:rPr>
                <w:rFonts w:hint="eastAsia" w:ascii="仿宋" w:hAnsi="仿宋" w:eastAsia="仿宋" w:cs="仿宋"/>
                <w:color w:val="auto"/>
                <w:kern w:val="0"/>
                <w:sz w:val="24"/>
                <w:highlight w:val="none"/>
              </w:rPr>
            </w:pPr>
          </w:p>
        </w:tc>
        <w:tc>
          <w:tcPr>
            <w:tcW w:w="1025" w:type="dxa"/>
            <w:vMerge w:val="continue"/>
            <w:vAlign w:val="center"/>
          </w:tcPr>
          <w:p w14:paraId="69A2A463">
            <w:pPr>
              <w:widowControl/>
              <w:jc w:val="left"/>
              <w:rPr>
                <w:rFonts w:hint="eastAsia" w:ascii="仿宋" w:hAnsi="仿宋" w:eastAsia="仿宋" w:cs="仿宋"/>
                <w:color w:val="auto"/>
                <w:kern w:val="0"/>
                <w:sz w:val="24"/>
                <w:highlight w:val="none"/>
              </w:rPr>
            </w:pPr>
          </w:p>
        </w:tc>
        <w:tc>
          <w:tcPr>
            <w:tcW w:w="2836" w:type="dxa"/>
            <w:vMerge w:val="restart"/>
            <w:vAlign w:val="center"/>
          </w:tcPr>
          <w:p w14:paraId="4738C11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贷款公司、小额贷款公司及典当行</w:t>
            </w:r>
          </w:p>
        </w:tc>
        <w:tc>
          <w:tcPr>
            <w:tcW w:w="606" w:type="dxa"/>
            <w:vAlign w:val="center"/>
          </w:tcPr>
          <w:p w14:paraId="670AB5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174824A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63843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04CBFE4D">
            <w:pPr>
              <w:widowControl/>
              <w:jc w:val="left"/>
              <w:rPr>
                <w:rFonts w:hint="eastAsia" w:ascii="仿宋" w:hAnsi="仿宋" w:eastAsia="仿宋" w:cs="仿宋"/>
                <w:color w:val="auto"/>
                <w:kern w:val="0"/>
                <w:sz w:val="24"/>
                <w:highlight w:val="none"/>
              </w:rPr>
            </w:pPr>
          </w:p>
        </w:tc>
        <w:tc>
          <w:tcPr>
            <w:tcW w:w="1025" w:type="dxa"/>
            <w:vMerge w:val="continue"/>
            <w:vAlign w:val="center"/>
          </w:tcPr>
          <w:p w14:paraId="72DFC19A">
            <w:pPr>
              <w:widowControl/>
              <w:jc w:val="left"/>
              <w:rPr>
                <w:rFonts w:hint="eastAsia" w:ascii="仿宋" w:hAnsi="仿宋" w:eastAsia="仿宋" w:cs="仿宋"/>
                <w:color w:val="auto"/>
                <w:kern w:val="0"/>
                <w:sz w:val="24"/>
                <w:highlight w:val="none"/>
              </w:rPr>
            </w:pPr>
          </w:p>
        </w:tc>
        <w:tc>
          <w:tcPr>
            <w:tcW w:w="2836" w:type="dxa"/>
            <w:vMerge w:val="continue"/>
            <w:vAlign w:val="center"/>
          </w:tcPr>
          <w:p w14:paraId="78A14A19">
            <w:pPr>
              <w:widowControl/>
              <w:jc w:val="left"/>
              <w:rPr>
                <w:rFonts w:hint="eastAsia" w:ascii="仿宋" w:hAnsi="仿宋" w:eastAsia="仿宋" w:cs="仿宋"/>
                <w:color w:val="auto"/>
                <w:kern w:val="0"/>
                <w:sz w:val="24"/>
                <w:highlight w:val="none"/>
              </w:rPr>
            </w:pPr>
          </w:p>
        </w:tc>
        <w:tc>
          <w:tcPr>
            <w:tcW w:w="606" w:type="dxa"/>
            <w:vAlign w:val="center"/>
          </w:tcPr>
          <w:p w14:paraId="2E4F361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562E6D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5D87C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659DD8C">
            <w:pPr>
              <w:widowControl/>
              <w:jc w:val="left"/>
              <w:rPr>
                <w:rFonts w:hint="eastAsia" w:ascii="仿宋" w:hAnsi="仿宋" w:eastAsia="仿宋" w:cs="仿宋"/>
                <w:color w:val="auto"/>
                <w:kern w:val="0"/>
                <w:sz w:val="24"/>
                <w:highlight w:val="none"/>
              </w:rPr>
            </w:pPr>
          </w:p>
        </w:tc>
        <w:tc>
          <w:tcPr>
            <w:tcW w:w="1025" w:type="dxa"/>
            <w:vMerge w:val="continue"/>
            <w:vAlign w:val="center"/>
          </w:tcPr>
          <w:p w14:paraId="103C092F">
            <w:pPr>
              <w:widowControl/>
              <w:jc w:val="left"/>
              <w:rPr>
                <w:rFonts w:hint="eastAsia" w:ascii="仿宋" w:hAnsi="仿宋" w:eastAsia="仿宋" w:cs="仿宋"/>
                <w:color w:val="auto"/>
                <w:kern w:val="0"/>
                <w:sz w:val="24"/>
                <w:highlight w:val="none"/>
              </w:rPr>
            </w:pPr>
          </w:p>
        </w:tc>
        <w:tc>
          <w:tcPr>
            <w:tcW w:w="2836" w:type="dxa"/>
            <w:vMerge w:val="continue"/>
            <w:vAlign w:val="center"/>
          </w:tcPr>
          <w:p w14:paraId="0E91EC7A">
            <w:pPr>
              <w:widowControl/>
              <w:jc w:val="left"/>
              <w:rPr>
                <w:rFonts w:hint="eastAsia" w:ascii="仿宋" w:hAnsi="仿宋" w:eastAsia="仿宋" w:cs="仿宋"/>
                <w:color w:val="auto"/>
                <w:kern w:val="0"/>
                <w:sz w:val="24"/>
                <w:highlight w:val="none"/>
              </w:rPr>
            </w:pPr>
          </w:p>
        </w:tc>
        <w:tc>
          <w:tcPr>
            <w:tcW w:w="606" w:type="dxa"/>
            <w:vAlign w:val="center"/>
          </w:tcPr>
          <w:p w14:paraId="1627BB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4A1D78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32FB3F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424EF6B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资本市场服务</w:t>
            </w:r>
          </w:p>
        </w:tc>
        <w:tc>
          <w:tcPr>
            <w:tcW w:w="2836" w:type="dxa"/>
            <w:vMerge w:val="restart"/>
            <w:vAlign w:val="center"/>
          </w:tcPr>
          <w:p w14:paraId="078EDB2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证券业金融机构</w:t>
            </w:r>
          </w:p>
        </w:tc>
        <w:tc>
          <w:tcPr>
            <w:tcW w:w="606" w:type="dxa"/>
            <w:vAlign w:val="center"/>
          </w:tcPr>
          <w:p w14:paraId="71B843BE">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538BF1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100亿元（含）至1000亿元</w:t>
            </w:r>
          </w:p>
        </w:tc>
      </w:tr>
      <w:tr w14:paraId="0A6DDB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13132A10">
            <w:pPr>
              <w:widowControl/>
              <w:jc w:val="left"/>
              <w:rPr>
                <w:rFonts w:hint="eastAsia" w:ascii="仿宋" w:hAnsi="仿宋" w:eastAsia="仿宋" w:cs="仿宋"/>
                <w:color w:val="auto"/>
                <w:kern w:val="0"/>
                <w:sz w:val="24"/>
                <w:highlight w:val="none"/>
              </w:rPr>
            </w:pPr>
          </w:p>
        </w:tc>
        <w:tc>
          <w:tcPr>
            <w:tcW w:w="2836" w:type="dxa"/>
            <w:vMerge w:val="continue"/>
            <w:vAlign w:val="center"/>
          </w:tcPr>
          <w:p w14:paraId="26CE398B">
            <w:pPr>
              <w:widowControl/>
              <w:jc w:val="left"/>
              <w:rPr>
                <w:rFonts w:hint="eastAsia" w:ascii="仿宋" w:hAnsi="仿宋" w:eastAsia="仿宋" w:cs="仿宋"/>
                <w:color w:val="auto"/>
                <w:kern w:val="0"/>
                <w:sz w:val="24"/>
                <w:highlight w:val="none"/>
              </w:rPr>
            </w:pPr>
          </w:p>
        </w:tc>
        <w:tc>
          <w:tcPr>
            <w:tcW w:w="606" w:type="dxa"/>
            <w:vAlign w:val="center"/>
          </w:tcPr>
          <w:p w14:paraId="551915B1">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061E66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10亿元（含）至100亿元</w:t>
            </w:r>
          </w:p>
        </w:tc>
      </w:tr>
      <w:tr w14:paraId="5300E3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E64F0BF">
            <w:pPr>
              <w:widowControl/>
              <w:jc w:val="left"/>
              <w:rPr>
                <w:rFonts w:hint="eastAsia" w:ascii="仿宋" w:hAnsi="仿宋" w:eastAsia="仿宋" w:cs="仿宋"/>
                <w:color w:val="auto"/>
                <w:kern w:val="0"/>
                <w:sz w:val="24"/>
                <w:highlight w:val="none"/>
              </w:rPr>
            </w:pPr>
          </w:p>
        </w:tc>
        <w:tc>
          <w:tcPr>
            <w:tcW w:w="2836" w:type="dxa"/>
            <w:vMerge w:val="continue"/>
            <w:vAlign w:val="center"/>
          </w:tcPr>
          <w:p w14:paraId="4E187164">
            <w:pPr>
              <w:widowControl/>
              <w:jc w:val="left"/>
              <w:rPr>
                <w:rFonts w:hint="eastAsia" w:ascii="仿宋" w:hAnsi="仿宋" w:eastAsia="仿宋" w:cs="仿宋"/>
                <w:color w:val="auto"/>
                <w:kern w:val="0"/>
                <w:sz w:val="24"/>
                <w:highlight w:val="none"/>
              </w:rPr>
            </w:pPr>
          </w:p>
        </w:tc>
        <w:tc>
          <w:tcPr>
            <w:tcW w:w="606" w:type="dxa"/>
            <w:vAlign w:val="center"/>
          </w:tcPr>
          <w:p w14:paraId="06DE111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EF7B47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10亿元以下</w:t>
            </w:r>
          </w:p>
        </w:tc>
      </w:tr>
      <w:tr w14:paraId="4FE36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restart"/>
            <w:vAlign w:val="center"/>
          </w:tcPr>
          <w:p w14:paraId="7593942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w:t>
            </w:r>
          </w:p>
        </w:tc>
        <w:tc>
          <w:tcPr>
            <w:tcW w:w="2836" w:type="dxa"/>
            <w:vMerge w:val="restart"/>
            <w:vAlign w:val="center"/>
          </w:tcPr>
          <w:p w14:paraId="4BCA8EE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保险业金融机构</w:t>
            </w:r>
          </w:p>
        </w:tc>
        <w:tc>
          <w:tcPr>
            <w:tcW w:w="606" w:type="dxa"/>
            <w:vAlign w:val="center"/>
          </w:tcPr>
          <w:p w14:paraId="370308A9">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772A9D2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400亿元（含）至5000亿元</w:t>
            </w:r>
          </w:p>
        </w:tc>
      </w:tr>
      <w:tr w14:paraId="24DD9D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378E799E">
            <w:pPr>
              <w:widowControl/>
              <w:jc w:val="left"/>
              <w:rPr>
                <w:rFonts w:hint="eastAsia" w:ascii="仿宋" w:hAnsi="仿宋" w:eastAsia="仿宋" w:cs="仿宋"/>
                <w:color w:val="auto"/>
                <w:kern w:val="0"/>
                <w:sz w:val="24"/>
                <w:highlight w:val="none"/>
              </w:rPr>
            </w:pPr>
          </w:p>
        </w:tc>
        <w:tc>
          <w:tcPr>
            <w:tcW w:w="2836" w:type="dxa"/>
            <w:vMerge w:val="continue"/>
            <w:vAlign w:val="center"/>
          </w:tcPr>
          <w:p w14:paraId="57869A43">
            <w:pPr>
              <w:widowControl/>
              <w:jc w:val="left"/>
              <w:rPr>
                <w:rFonts w:hint="eastAsia" w:ascii="仿宋" w:hAnsi="仿宋" w:eastAsia="仿宋" w:cs="仿宋"/>
                <w:color w:val="auto"/>
                <w:kern w:val="0"/>
                <w:sz w:val="24"/>
                <w:highlight w:val="none"/>
              </w:rPr>
            </w:pPr>
          </w:p>
        </w:tc>
        <w:tc>
          <w:tcPr>
            <w:tcW w:w="606" w:type="dxa"/>
            <w:vAlign w:val="center"/>
          </w:tcPr>
          <w:p w14:paraId="7F65268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38B9FBE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4C05C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1760" w:type="dxa"/>
            <w:gridSpan w:val="2"/>
            <w:vMerge w:val="continue"/>
            <w:vAlign w:val="center"/>
          </w:tcPr>
          <w:p w14:paraId="5B350F3C">
            <w:pPr>
              <w:widowControl/>
              <w:jc w:val="left"/>
              <w:rPr>
                <w:rFonts w:hint="eastAsia" w:ascii="仿宋" w:hAnsi="仿宋" w:eastAsia="仿宋" w:cs="仿宋"/>
                <w:color w:val="auto"/>
                <w:kern w:val="0"/>
                <w:sz w:val="24"/>
                <w:highlight w:val="none"/>
              </w:rPr>
            </w:pPr>
          </w:p>
        </w:tc>
        <w:tc>
          <w:tcPr>
            <w:tcW w:w="2836" w:type="dxa"/>
            <w:vMerge w:val="continue"/>
            <w:vAlign w:val="center"/>
          </w:tcPr>
          <w:p w14:paraId="178A848C">
            <w:pPr>
              <w:widowControl/>
              <w:jc w:val="left"/>
              <w:rPr>
                <w:rFonts w:hint="eastAsia" w:ascii="仿宋" w:hAnsi="仿宋" w:eastAsia="仿宋" w:cs="仿宋"/>
                <w:color w:val="auto"/>
                <w:kern w:val="0"/>
                <w:sz w:val="24"/>
                <w:highlight w:val="none"/>
              </w:rPr>
            </w:pPr>
          </w:p>
        </w:tc>
        <w:tc>
          <w:tcPr>
            <w:tcW w:w="606" w:type="dxa"/>
            <w:vAlign w:val="center"/>
          </w:tcPr>
          <w:p w14:paraId="5842DA2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7E9CD6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7FBD14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restart"/>
            <w:vAlign w:val="center"/>
          </w:tcPr>
          <w:p w14:paraId="52FC543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其他金融业</w:t>
            </w:r>
          </w:p>
        </w:tc>
        <w:tc>
          <w:tcPr>
            <w:tcW w:w="1025" w:type="dxa"/>
            <w:vMerge w:val="restart"/>
            <w:vAlign w:val="center"/>
          </w:tcPr>
          <w:p w14:paraId="25B4251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金融信托与管理服务</w:t>
            </w:r>
          </w:p>
        </w:tc>
        <w:tc>
          <w:tcPr>
            <w:tcW w:w="2836" w:type="dxa"/>
            <w:vMerge w:val="restart"/>
            <w:vAlign w:val="center"/>
          </w:tcPr>
          <w:p w14:paraId="530D3EC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信托公司</w:t>
            </w:r>
          </w:p>
        </w:tc>
        <w:tc>
          <w:tcPr>
            <w:tcW w:w="606" w:type="dxa"/>
            <w:vAlign w:val="center"/>
          </w:tcPr>
          <w:p w14:paraId="53AA04F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58E5C0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400亿元（含）至1000亿元</w:t>
            </w:r>
          </w:p>
        </w:tc>
      </w:tr>
      <w:tr w14:paraId="39BDB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E093818">
            <w:pPr>
              <w:widowControl/>
              <w:jc w:val="left"/>
              <w:rPr>
                <w:rFonts w:hint="eastAsia" w:ascii="仿宋" w:hAnsi="仿宋" w:eastAsia="仿宋" w:cs="仿宋"/>
                <w:color w:val="auto"/>
                <w:kern w:val="0"/>
                <w:sz w:val="24"/>
                <w:highlight w:val="none"/>
              </w:rPr>
            </w:pPr>
          </w:p>
        </w:tc>
        <w:tc>
          <w:tcPr>
            <w:tcW w:w="1025" w:type="dxa"/>
            <w:vMerge w:val="continue"/>
            <w:vAlign w:val="center"/>
          </w:tcPr>
          <w:p w14:paraId="478FE169">
            <w:pPr>
              <w:widowControl/>
              <w:jc w:val="left"/>
              <w:rPr>
                <w:rFonts w:hint="eastAsia" w:ascii="仿宋" w:hAnsi="仿宋" w:eastAsia="仿宋" w:cs="仿宋"/>
                <w:color w:val="auto"/>
                <w:kern w:val="0"/>
                <w:sz w:val="24"/>
                <w:highlight w:val="none"/>
              </w:rPr>
            </w:pPr>
          </w:p>
        </w:tc>
        <w:tc>
          <w:tcPr>
            <w:tcW w:w="2836" w:type="dxa"/>
            <w:vMerge w:val="continue"/>
            <w:vAlign w:val="center"/>
          </w:tcPr>
          <w:p w14:paraId="2229CBA0">
            <w:pPr>
              <w:widowControl/>
              <w:jc w:val="left"/>
              <w:rPr>
                <w:rFonts w:hint="eastAsia" w:ascii="仿宋" w:hAnsi="仿宋" w:eastAsia="仿宋" w:cs="仿宋"/>
                <w:color w:val="auto"/>
                <w:kern w:val="0"/>
                <w:sz w:val="24"/>
                <w:highlight w:val="none"/>
              </w:rPr>
            </w:pPr>
          </w:p>
        </w:tc>
        <w:tc>
          <w:tcPr>
            <w:tcW w:w="606" w:type="dxa"/>
            <w:vAlign w:val="center"/>
          </w:tcPr>
          <w:p w14:paraId="0EA6B102">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655D4F65">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20亿元（含）至400亿元</w:t>
            </w:r>
          </w:p>
        </w:tc>
      </w:tr>
      <w:tr w14:paraId="11727A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AA88407">
            <w:pPr>
              <w:widowControl/>
              <w:jc w:val="left"/>
              <w:rPr>
                <w:rFonts w:hint="eastAsia" w:ascii="仿宋" w:hAnsi="仿宋" w:eastAsia="仿宋" w:cs="仿宋"/>
                <w:color w:val="auto"/>
                <w:kern w:val="0"/>
                <w:sz w:val="24"/>
                <w:highlight w:val="none"/>
              </w:rPr>
            </w:pPr>
          </w:p>
        </w:tc>
        <w:tc>
          <w:tcPr>
            <w:tcW w:w="1025" w:type="dxa"/>
            <w:vMerge w:val="continue"/>
            <w:vAlign w:val="center"/>
          </w:tcPr>
          <w:p w14:paraId="207497D0">
            <w:pPr>
              <w:widowControl/>
              <w:jc w:val="left"/>
              <w:rPr>
                <w:rFonts w:hint="eastAsia" w:ascii="仿宋" w:hAnsi="仿宋" w:eastAsia="仿宋" w:cs="仿宋"/>
                <w:color w:val="auto"/>
                <w:kern w:val="0"/>
                <w:sz w:val="24"/>
                <w:highlight w:val="none"/>
              </w:rPr>
            </w:pPr>
          </w:p>
        </w:tc>
        <w:tc>
          <w:tcPr>
            <w:tcW w:w="2836" w:type="dxa"/>
            <w:vMerge w:val="continue"/>
            <w:vAlign w:val="center"/>
          </w:tcPr>
          <w:p w14:paraId="28C4FB08">
            <w:pPr>
              <w:widowControl/>
              <w:jc w:val="left"/>
              <w:rPr>
                <w:rFonts w:hint="eastAsia" w:ascii="仿宋" w:hAnsi="仿宋" w:eastAsia="仿宋" w:cs="仿宋"/>
                <w:color w:val="auto"/>
                <w:kern w:val="0"/>
                <w:sz w:val="24"/>
                <w:highlight w:val="none"/>
              </w:rPr>
            </w:pPr>
          </w:p>
        </w:tc>
        <w:tc>
          <w:tcPr>
            <w:tcW w:w="606" w:type="dxa"/>
            <w:vAlign w:val="center"/>
          </w:tcPr>
          <w:p w14:paraId="470466A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71E7D480">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20亿元以下</w:t>
            </w:r>
          </w:p>
        </w:tc>
      </w:tr>
      <w:tr w14:paraId="34676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20EDC24D">
            <w:pPr>
              <w:widowControl/>
              <w:jc w:val="left"/>
              <w:rPr>
                <w:rFonts w:hint="eastAsia" w:ascii="仿宋" w:hAnsi="仿宋" w:eastAsia="仿宋" w:cs="仿宋"/>
                <w:color w:val="auto"/>
                <w:kern w:val="0"/>
                <w:sz w:val="24"/>
                <w:highlight w:val="none"/>
              </w:rPr>
            </w:pPr>
          </w:p>
        </w:tc>
        <w:tc>
          <w:tcPr>
            <w:tcW w:w="1025" w:type="dxa"/>
            <w:vMerge w:val="restart"/>
            <w:vAlign w:val="center"/>
          </w:tcPr>
          <w:p w14:paraId="77A67D2D">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控股公司服务</w:t>
            </w:r>
          </w:p>
        </w:tc>
        <w:tc>
          <w:tcPr>
            <w:tcW w:w="2836" w:type="dxa"/>
            <w:vMerge w:val="restart"/>
            <w:vAlign w:val="center"/>
          </w:tcPr>
          <w:p w14:paraId="076AE62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金融控股公司</w:t>
            </w:r>
          </w:p>
        </w:tc>
        <w:tc>
          <w:tcPr>
            <w:tcW w:w="606" w:type="dxa"/>
            <w:vAlign w:val="center"/>
          </w:tcPr>
          <w:p w14:paraId="1818AF0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ED757D3">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5000亿元（含）至40000亿元</w:t>
            </w:r>
          </w:p>
        </w:tc>
      </w:tr>
      <w:tr w14:paraId="36801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5B9138DC">
            <w:pPr>
              <w:widowControl/>
              <w:jc w:val="left"/>
              <w:rPr>
                <w:rFonts w:hint="eastAsia" w:ascii="仿宋" w:hAnsi="仿宋" w:eastAsia="仿宋" w:cs="仿宋"/>
                <w:color w:val="auto"/>
                <w:kern w:val="0"/>
                <w:sz w:val="24"/>
                <w:highlight w:val="none"/>
              </w:rPr>
            </w:pPr>
          </w:p>
        </w:tc>
        <w:tc>
          <w:tcPr>
            <w:tcW w:w="1025" w:type="dxa"/>
            <w:vMerge w:val="continue"/>
            <w:vAlign w:val="center"/>
          </w:tcPr>
          <w:p w14:paraId="1F8D2219">
            <w:pPr>
              <w:widowControl/>
              <w:jc w:val="left"/>
              <w:rPr>
                <w:rFonts w:hint="eastAsia" w:ascii="仿宋" w:hAnsi="仿宋" w:eastAsia="仿宋" w:cs="仿宋"/>
                <w:color w:val="auto"/>
                <w:kern w:val="0"/>
                <w:sz w:val="24"/>
                <w:highlight w:val="none"/>
              </w:rPr>
            </w:pPr>
          </w:p>
        </w:tc>
        <w:tc>
          <w:tcPr>
            <w:tcW w:w="2836" w:type="dxa"/>
            <w:vMerge w:val="continue"/>
            <w:vAlign w:val="center"/>
          </w:tcPr>
          <w:p w14:paraId="1D2E1EA3">
            <w:pPr>
              <w:widowControl/>
              <w:jc w:val="left"/>
              <w:rPr>
                <w:rFonts w:hint="eastAsia" w:ascii="仿宋" w:hAnsi="仿宋" w:eastAsia="仿宋" w:cs="仿宋"/>
                <w:color w:val="auto"/>
                <w:kern w:val="0"/>
                <w:sz w:val="24"/>
                <w:highlight w:val="none"/>
              </w:rPr>
            </w:pPr>
          </w:p>
        </w:tc>
        <w:tc>
          <w:tcPr>
            <w:tcW w:w="606" w:type="dxa"/>
            <w:vAlign w:val="center"/>
          </w:tcPr>
          <w:p w14:paraId="09CBA1F7">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1302599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50亿元（含）至5000亿元</w:t>
            </w:r>
          </w:p>
        </w:tc>
      </w:tr>
      <w:tr w14:paraId="4C33F8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7D6EE9B8">
            <w:pPr>
              <w:widowControl/>
              <w:jc w:val="left"/>
              <w:rPr>
                <w:rFonts w:hint="eastAsia" w:ascii="仿宋" w:hAnsi="仿宋" w:eastAsia="仿宋" w:cs="仿宋"/>
                <w:color w:val="auto"/>
                <w:kern w:val="0"/>
                <w:sz w:val="24"/>
                <w:highlight w:val="none"/>
              </w:rPr>
            </w:pPr>
          </w:p>
        </w:tc>
        <w:tc>
          <w:tcPr>
            <w:tcW w:w="1025" w:type="dxa"/>
            <w:vMerge w:val="continue"/>
            <w:vAlign w:val="center"/>
          </w:tcPr>
          <w:p w14:paraId="6806CAE4">
            <w:pPr>
              <w:widowControl/>
              <w:jc w:val="left"/>
              <w:rPr>
                <w:rFonts w:hint="eastAsia" w:ascii="仿宋" w:hAnsi="仿宋" w:eastAsia="仿宋" w:cs="仿宋"/>
                <w:color w:val="auto"/>
                <w:kern w:val="0"/>
                <w:sz w:val="24"/>
                <w:highlight w:val="none"/>
              </w:rPr>
            </w:pPr>
          </w:p>
        </w:tc>
        <w:tc>
          <w:tcPr>
            <w:tcW w:w="2836" w:type="dxa"/>
            <w:vMerge w:val="continue"/>
            <w:vAlign w:val="center"/>
          </w:tcPr>
          <w:p w14:paraId="63691D93">
            <w:pPr>
              <w:widowControl/>
              <w:jc w:val="left"/>
              <w:rPr>
                <w:rFonts w:hint="eastAsia" w:ascii="仿宋" w:hAnsi="仿宋" w:eastAsia="仿宋" w:cs="仿宋"/>
                <w:color w:val="auto"/>
                <w:kern w:val="0"/>
                <w:sz w:val="24"/>
                <w:highlight w:val="none"/>
              </w:rPr>
            </w:pPr>
          </w:p>
        </w:tc>
        <w:tc>
          <w:tcPr>
            <w:tcW w:w="606" w:type="dxa"/>
            <w:vAlign w:val="center"/>
          </w:tcPr>
          <w:p w14:paraId="5C86939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0454113C">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r w14:paraId="02677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3743146D">
            <w:pPr>
              <w:widowControl/>
              <w:jc w:val="left"/>
              <w:rPr>
                <w:rFonts w:hint="eastAsia" w:ascii="仿宋" w:hAnsi="仿宋" w:eastAsia="仿宋" w:cs="仿宋"/>
                <w:color w:val="auto"/>
                <w:kern w:val="0"/>
                <w:sz w:val="24"/>
                <w:highlight w:val="none"/>
              </w:rPr>
            </w:pPr>
          </w:p>
        </w:tc>
        <w:tc>
          <w:tcPr>
            <w:tcW w:w="1025" w:type="dxa"/>
            <w:vMerge w:val="restart"/>
            <w:vAlign w:val="center"/>
          </w:tcPr>
          <w:p w14:paraId="2E280FE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其他未包括的金融业</w:t>
            </w:r>
          </w:p>
        </w:tc>
        <w:tc>
          <w:tcPr>
            <w:tcW w:w="2836" w:type="dxa"/>
            <w:vMerge w:val="restart"/>
            <w:vAlign w:val="center"/>
          </w:tcPr>
          <w:p w14:paraId="09B8FBCF">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除贷款公司、小额贷款公司及典当行以外的其他金融机构</w:t>
            </w:r>
          </w:p>
        </w:tc>
        <w:tc>
          <w:tcPr>
            <w:tcW w:w="606" w:type="dxa"/>
            <w:vAlign w:val="center"/>
          </w:tcPr>
          <w:p w14:paraId="1A2D4D86">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中型</w:t>
            </w:r>
          </w:p>
        </w:tc>
        <w:tc>
          <w:tcPr>
            <w:tcW w:w="3326" w:type="dxa"/>
            <w:vAlign w:val="center"/>
          </w:tcPr>
          <w:p w14:paraId="50894D6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200亿元（含）至1000亿元</w:t>
            </w:r>
          </w:p>
        </w:tc>
      </w:tr>
      <w:tr w14:paraId="53C66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1B01F640">
            <w:pPr>
              <w:widowControl/>
              <w:jc w:val="left"/>
              <w:rPr>
                <w:rFonts w:hint="eastAsia" w:ascii="仿宋" w:hAnsi="仿宋" w:eastAsia="仿宋" w:cs="仿宋"/>
                <w:color w:val="auto"/>
                <w:kern w:val="0"/>
                <w:sz w:val="24"/>
                <w:highlight w:val="none"/>
              </w:rPr>
            </w:pPr>
          </w:p>
        </w:tc>
        <w:tc>
          <w:tcPr>
            <w:tcW w:w="1025" w:type="dxa"/>
            <w:vMerge w:val="continue"/>
            <w:vAlign w:val="center"/>
          </w:tcPr>
          <w:p w14:paraId="578A6CDA">
            <w:pPr>
              <w:widowControl/>
              <w:jc w:val="left"/>
              <w:rPr>
                <w:rFonts w:hint="eastAsia" w:ascii="仿宋" w:hAnsi="仿宋" w:eastAsia="仿宋" w:cs="仿宋"/>
                <w:color w:val="auto"/>
                <w:kern w:val="0"/>
                <w:sz w:val="24"/>
                <w:highlight w:val="none"/>
              </w:rPr>
            </w:pPr>
          </w:p>
        </w:tc>
        <w:tc>
          <w:tcPr>
            <w:tcW w:w="2836" w:type="dxa"/>
            <w:vMerge w:val="continue"/>
            <w:vAlign w:val="center"/>
          </w:tcPr>
          <w:p w14:paraId="295B9142">
            <w:pPr>
              <w:widowControl/>
              <w:jc w:val="left"/>
              <w:rPr>
                <w:rFonts w:hint="eastAsia" w:ascii="仿宋" w:hAnsi="仿宋" w:eastAsia="仿宋" w:cs="仿宋"/>
                <w:color w:val="auto"/>
                <w:kern w:val="0"/>
                <w:sz w:val="24"/>
                <w:highlight w:val="none"/>
              </w:rPr>
            </w:pPr>
          </w:p>
        </w:tc>
        <w:tc>
          <w:tcPr>
            <w:tcW w:w="606" w:type="dxa"/>
            <w:vAlign w:val="center"/>
          </w:tcPr>
          <w:p w14:paraId="4055CDD8">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小型</w:t>
            </w:r>
          </w:p>
        </w:tc>
        <w:tc>
          <w:tcPr>
            <w:tcW w:w="3326" w:type="dxa"/>
            <w:vAlign w:val="center"/>
          </w:tcPr>
          <w:p w14:paraId="52E3433A">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50亿元（含）至200亿元</w:t>
            </w:r>
          </w:p>
        </w:tc>
      </w:tr>
      <w:tr w14:paraId="3AA127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735" w:type="dxa"/>
            <w:vMerge w:val="continue"/>
            <w:vAlign w:val="center"/>
          </w:tcPr>
          <w:p w14:paraId="40FA8C13">
            <w:pPr>
              <w:widowControl/>
              <w:jc w:val="left"/>
              <w:rPr>
                <w:rFonts w:hint="eastAsia" w:ascii="仿宋" w:hAnsi="仿宋" w:eastAsia="仿宋" w:cs="仿宋"/>
                <w:color w:val="auto"/>
                <w:kern w:val="0"/>
                <w:sz w:val="24"/>
                <w:highlight w:val="none"/>
              </w:rPr>
            </w:pPr>
          </w:p>
        </w:tc>
        <w:tc>
          <w:tcPr>
            <w:tcW w:w="1025" w:type="dxa"/>
            <w:vMerge w:val="continue"/>
            <w:vAlign w:val="center"/>
          </w:tcPr>
          <w:p w14:paraId="27500051">
            <w:pPr>
              <w:widowControl/>
              <w:jc w:val="left"/>
              <w:rPr>
                <w:rFonts w:hint="eastAsia" w:ascii="仿宋" w:hAnsi="仿宋" w:eastAsia="仿宋" w:cs="仿宋"/>
                <w:color w:val="auto"/>
                <w:kern w:val="0"/>
                <w:sz w:val="24"/>
                <w:highlight w:val="none"/>
              </w:rPr>
            </w:pPr>
          </w:p>
        </w:tc>
        <w:tc>
          <w:tcPr>
            <w:tcW w:w="2836" w:type="dxa"/>
            <w:vMerge w:val="continue"/>
            <w:vAlign w:val="center"/>
          </w:tcPr>
          <w:p w14:paraId="6610AA61">
            <w:pPr>
              <w:widowControl/>
              <w:jc w:val="left"/>
              <w:rPr>
                <w:rFonts w:hint="eastAsia" w:ascii="仿宋" w:hAnsi="仿宋" w:eastAsia="仿宋" w:cs="仿宋"/>
                <w:color w:val="auto"/>
                <w:kern w:val="0"/>
                <w:sz w:val="24"/>
                <w:highlight w:val="none"/>
              </w:rPr>
            </w:pPr>
          </w:p>
        </w:tc>
        <w:tc>
          <w:tcPr>
            <w:tcW w:w="606" w:type="dxa"/>
            <w:vAlign w:val="center"/>
          </w:tcPr>
          <w:p w14:paraId="24D9E2E4">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微型</w:t>
            </w:r>
          </w:p>
        </w:tc>
        <w:tc>
          <w:tcPr>
            <w:tcW w:w="3326" w:type="dxa"/>
            <w:vAlign w:val="center"/>
          </w:tcPr>
          <w:p w14:paraId="49C9AB0B">
            <w:pPr>
              <w:widowControl/>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50亿元以下</w:t>
            </w:r>
          </w:p>
        </w:tc>
      </w:tr>
    </w:tbl>
    <w:p w14:paraId="31F53980">
      <w:pPr>
        <w:rPr>
          <w:rFonts w:hint="eastAsia" w:ascii="仿宋" w:hAnsi="仿宋" w:eastAsia="仿宋" w:cs="仿宋"/>
          <w:color w:val="auto"/>
          <w:sz w:val="24"/>
          <w:highlight w:val="none"/>
        </w:rPr>
      </w:pPr>
    </w:p>
    <w:p w14:paraId="1892978C">
      <w:pPr>
        <w:ind w:firstLine="420" w:firstLineChars="200"/>
        <w:rPr>
          <w:rFonts w:hint="eastAsia" w:ascii="仿宋" w:hAnsi="仿宋" w:eastAsia="仿宋" w:cs="仿宋"/>
          <w:color w:val="auto"/>
          <w:highlight w:val="none"/>
        </w:rPr>
      </w:pPr>
    </w:p>
    <w:p w14:paraId="4CB1A8E9">
      <w:pPr>
        <w:spacing w:line="360" w:lineRule="auto"/>
        <w:ind w:right="420"/>
        <w:rPr>
          <w:rFonts w:hint="eastAsia" w:ascii="仿宋" w:hAnsi="仿宋" w:eastAsia="仿宋" w:cs="仿宋"/>
          <w:color w:val="auto"/>
          <w:highlight w:val="none"/>
        </w:rPr>
      </w:pPr>
    </w:p>
    <w:p w14:paraId="1E2C43C1">
      <w:pPr>
        <w:spacing w:line="360" w:lineRule="auto"/>
        <w:rPr>
          <w:rFonts w:ascii="宋体" w:hAnsi="宋体" w:cs="宋体"/>
          <w:bCs/>
          <w:color w:val="auto"/>
          <w:sz w:val="24"/>
          <w:highlight w:val="none"/>
        </w:rPr>
      </w:pPr>
    </w:p>
    <w:sectPr>
      <w:headerReference r:id="rId11" w:type="first"/>
      <w:footerReference r:id="rId14" w:type="first"/>
      <w:headerReference r:id="rId10" w:type="default"/>
      <w:footerReference r:id="rId12" w:type="default"/>
      <w:footerReference r:id="rId13" w:type="even"/>
      <w:pgSz w:w="11906" w:h="16838"/>
      <w:pgMar w:top="1276" w:right="1418" w:bottom="1247" w:left="1418" w:header="851" w:footer="992" w:gutter="0"/>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itka Text">
    <w:panose1 w:val="00000000000000000000"/>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E09BB">
    <w:pPr>
      <w:pStyle w:val="41"/>
      <w:framePr w:wrap="around" w:vAnchor="text" w:hAnchor="margin" w:xAlign="right" w:y="1"/>
      <w:rPr>
        <w:rStyle w:val="74"/>
      </w:rPr>
    </w:pPr>
    <w:r>
      <w:fldChar w:fldCharType="begin"/>
    </w:r>
    <w:r>
      <w:rPr>
        <w:rStyle w:val="74"/>
      </w:rPr>
      <w:instrText xml:space="preserve">PAGE  </w:instrText>
    </w:r>
    <w:r>
      <w:fldChar w:fldCharType="end"/>
    </w:r>
  </w:p>
  <w:p w14:paraId="775F7CEE">
    <w:pPr>
      <w:pStyle w:val="4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E93FE">
    <w:pPr>
      <w:pStyle w:val="41"/>
      <w:jc w:val="center"/>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D0E5BC">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2D0E5BC">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6DB378">
    <w:pPr>
      <w:pStyle w:val="41"/>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5F4DB6">
                          <w:pPr>
                            <w:pStyle w:val="41"/>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65F4DB6">
                    <w:pPr>
                      <w:pStyle w:val="41"/>
                    </w:pPr>
                    <w:r>
                      <w:fldChar w:fldCharType="begin"/>
                    </w:r>
                    <w:r>
                      <w:instrText xml:space="preserve"> PAGE  \* MERGEFORMAT </w:instrText>
                    </w:r>
                    <w:r>
                      <w:fldChar w:fldCharType="separate"/>
                    </w:r>
                    <w:r>
                      <w:t>27</w:t>
                    </w:r>
                    <w:r>
                      <w:fldChar w:fldCharType="end"/>
                    </w:r>
                  </w:p>
                </w:txbxContent>
              </v:textbox>
            </v:shape>
          </w:pict>
        </mc:Fallback>
      </mc:AlternateContent>
    </w:r>
  </w:p>
  <w:p w14:paraId="0A17E74D">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2EF0F">
    <w:pPr>
      <w:pStyle w:val="41"/>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D34E33">
                          <w:pPr>
                            <w:pStyle w:val="4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5D34E33">
                    <w:pPr>
                      <w:pStyle w:val="41"/>
                    </w:pPr>
                    <w:r>
                      <w:fldChar w:fldCharType="begin"/>
                    </w:r>
                    <w:r>
                      <w:instrText xml:space="preserve"> PAGE  \* MERGEFORMAT </w:instrText>
                    </w:r>
                    <w:r>
                      <w:fldChar w:fldCharType="separate"/>
                    </w:r>
                    <w:r>
                      <w:t>26</w:t>
                    </w:r>
                    <w:r>
                      <w:fldChar w:fldCharType="end"/>
                    </w:r>
                  </w:p>
                </w:txbxContent>
              </v:textbox>
            </v:shape>
          </w:pict>
        </mc:Fallback>
      </mc:AlternateContent>
    </w:r>
  </w:p>
  <w:p w14:paraId="2A899C7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6BFD09">
    <w:pPr>
      <w:pStyle w:val="41"/>
      <w:jc w:val="center"/>
      <w:rPr>
        <w:rFonts w:ascii="仿宋_GB2312" w:eastAsia="仿宋_GB2312"/>
        <w:szCs w:val="24"/>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A63E99">
                          <w:pPr>
                            <w:pStyle w:val="4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44A63E99">
                    <w:pPr>
                      <w:pStyle w:val="4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A989">
    <w:pPr>
      <w:pStyle w:val="41"/>
      <w:framePr w:wrap="around" w:vAnchor="text" w:hAnchor="margin" w:xAlign="right" w:y="1"/>
      <w:rPr>
        <w:rStyle w:val="74"/>
      </w:rPr>
    </w:pPr>
    <w:r>
      <w:fldChar w:fldCharType="begin"/>
    </w:r>
    <w:r>
      <w:rPr>
        <w:rStyle w:val="74"/>
      </w:rPr>
      <w:instrText xml:space="preserve">PAGE  </w:instrText>
    </w:r>
    <w:r>
      <w:fldChar w:fldCharType="end"/>
    </w:r>
  </w:p>
  <w:p w14:paraId="3E4D1DA7">
    <w:pPr>
      <w:pStyle w:val="4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8E975">
    <w:pPr>
      <w:pStyle w:val="41"/>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89C48F">
                          <w:pPr>
                            <w:pStyle w:val="4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2789C48F">
                    <w:pPr>
                      <w:pStyle w:val="4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A00762">
    <w:pPr>
      <w:pStyle w:val="42"/>
      <w:pBdr>
        <w:bottom w:val="none" w:color="auto" w:sz="0" w:space="0"/>
      </w:pBdr>
      <w:tabs>
        <w:tab w:val="clear" w:pos="4153"/>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47F2">
    <w:pPr>
      <w:pStyle w:val="42"/>
      <w:jc w:val="left"/>
      <w:rPr>
        <w:rFonts w:ascii="仿宋_GB2312" w:eastAsia="仿宋_GB2312"/>
        <w:b/>
        <w:i/>
        <w:u w:val="single"/>
      </w:rPr>
    </w:pPr>
    <w:r>
      <w:rPr>
        <w:rFonts w:hint="eastAsia"/>
      </w:rPr>
      <w:t xml:space="preserve">   </w:t>
    </w:r>
  </w:p>
  <w:p w14:paraId="603236E5">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44F49">
    <w:pPr>
      <w:pStyle w:val="42"/>
      <w:pBdr>
        <w:bottom w:val="none" w:color="auto" w:sz="0" w:space="1"/>
      </w:pBdr>
      <w:jc w:val="right"/>
    </w:pPr>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60305">
    <w:pPr>
      <w:pStyle w:val="42"/>
      <w:pBdr>
        <w:bottom w:val="none" w:color="auto" w:sz="0" w:space="1"/>
      </w:pBdr>
      <w:jc w:val="right"/>
      <w:rPr>
        <w:rFonts w:ascii="仿宋_GB2312" w:eastAsia="仿宋_GB2312"/>
        <w:b/>
        <w:i/>
        <w:iCs/>
        <w:u w:val="single"/>
      </w:rPr>
    </w:pPr>
    <w:r>
      <w:t></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3265AA">
    <w:pPr>
      <w:pStyle w:val="42"/>
      <w:jc w:val="left"/>
      <w:rPr>
        <w:rFonts w:ascii="仿宋_GB2312" w:eastAsia="仿宋_GB2312"/>
        <w:b w:val="0"/>
        <w:i/>
        <w:sz w:val="18"/>
        <w:u w:val="single"/>
        <w:lang w:val="en-US"/>
      </w:rPr>
    </w:pPr>
  </w:p>
  <w:p w14:paraId="0AF8C803">
    <w:pPr>
      <w:pStyle w:val="42"/>
      <w:pBdr>
        <w:bottom w:val="none" w:color="auto" w:sz="0" w:space="1"/>
      </w:pBdr>
    </w:pPr>
    <w:r>
      <w:t></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5YjRhZDUxZWM1NjI1ZmNmZDZlMzFjMzdiNTU2ZjAifQ=="/>
  </w:docVars>
  <w:rsids>
    <w:rsidRoot w:val="00172A27"/>
    <w:rsid w:val="00504E1F"/>
    <w:rsid w:val="00B34AC1"/>
    <w:rsid w:val="025C7D67"/>
    <w:rsid w:val="037531DE"/>
    <w:rsid w:val="03A43768"/>
    <w:rsid w:val="04B0621C"/>
    <w:rsid w:val="04EF6F26"/>
    <w:rsid w:val="066C57D4"/>
    <w:rsid w:val="072D5B5D"/>
    <w:rsid w:val="07470F48"/>
    <w:rsid w:val="07645999"/>
    <w:rsid w:val="077C1E70"/>
    <w:rsid w:val="07867221"/>
    <w:rsid w:val="079554EC"/>
    <w:rsid w:val="082320BB"/>
    <w:rsid w:val="084367D4"/>
    <w:rsid w:val="08471E20"/>
    <w:rsid w:val="08FA7CD2"/>
    <w:rsid w:val="09BB4654"/>
    <w:rsid w:val="09ED420C"/>
    <w:rsid w:val="0A950E17"/>
    <w:rsid w:val="0B456C86"/>
    <w:rsid w:val="0B666A61"/>
    <w:rsid w:val="0BBF404A"/>
    <w:rsid w:val="0D411534"/>
    <w:rsid w:val="0EB208AB"/>
    <w:rsid w:val="0F096B8F"/>
    <w:rsid w:val="0F3A02DE"/>
    <w:rsid w:val="0F63063F"/>
    <w:rsid w:val="0F660AC2"/>
    <w:rsid w:val="0FF64531"/>
    <w:rsid w:val="11D02FFB"/>
    <w:rsid w:val="12274A70"/>
    <w:rsid w:val="158E3DE7"/>
    <w:rsid w:val="17070FBA"/>
    <w:rsid w:val="18E60774"/>
    <w:rsid w:val="193471C9"/>
    <w:rsid w:val="19803DDB"/>
    <w:rsid w:val="19BD7FA9"/>
    <w:rsid w:val="1A4833E8"/>
    <w:rsid w:val="1A851E04"/>
    <w:rsid w:val="1AB523B8"/>
    <w:rsid w:val="1D2F1C3B"/>
    <w:rsid w:val="1D4D267C"/>
    <w:rsid w:val="1E9D3052"/>
    <w:rsid w:val="23E565CB"/>
    <w:rsid w:val="23EC0894"/>
    <w:rsid w:val="24432E15"/>
    <w:rsid w:val="251A4D54"/>
    <w:rsid w:val="27895E51"/>
    <w:rsid w:val="2798746D"/>
    <w:rsid w:val="27A31E9C"/>
    <w:rsid w:val="28330E58"/>
    <w:rsid w:val="28911331"/>
    <w:rsid w:val="28CD4027"/>
    <w:rsid w:val="2A587E6A"/>
    <w:rsid w:val="2B5B467B"/>
    <w:rsid w:val="2BB745DB"/>
    <w:rsid w:val="2BFA48EE"/>
    <w:rsid w:val="2C054218"/>
    <w:rsid w:val="2DBC1DDB"/>
    <w:rsid w:val="2ED81CF8"/>
    <w:rsid w:val="2F46078F"/>
    <w:rsid w:val="2FFD4A0C"/>
    <w:rsid w:val="301C01E8"/>
    <w:rsid w:val="30392568"/>
    <w:rsid w:val="30CD01D9"/>
    <w:rsid w:val="30D758A6"/>
    <w:rsid w:val="31301F8B"/>
    <w:rsid w:val="32A87D40"/>
    <w:rsid w:val="32C330EE"/>
    <w:rsid w:val="33117F8E"/>
    <w:rsid w:val="33AC1E6E"/>
    <w:rsid w:val="35187000"/>
    <w:rsid w:val="354D1DCE"/>
    <w:rsid w:val="363C37E2"/>
    <w:rsid w:val="37443B2D"/>
    <w:rsid w:val="37EB016A"/>
    <w:rsid w:val="38AE355A"/>
    <w:rsid w:val="3A3555AF"/>
    <w:rsid w:val="3B516536"/>
    <w:rsid w:val="3D031AB2"/>
    <w:rsid w:val="3D5B369C"/>
    <w:rsid w:val="3D7306E9"/>
    <w:rsid w:val="3E4E076E"/>
    <w:rsid w:val="3E9C59B1"/>
    <w:rsid w:val="3ECB4225"/>
    <w:rsid w:val="3F0B7643"/>
    <w:rsid w:val="400766F2"/>
    <w:rsid w:val="411575E1"/>
    <w:rsid w:val="41AC4782"/>
    <w:rsid w:val="42307C61"/>
    <w:rsid w:val="42433DBE"/>
    <w:rsid w:val="427E60E8"/>
    <w:rsid w:val="43C23BF4"/>
    <w:rsid w:val="457A1A0B"/>
    <w:rsid w:val="46F56910"/>
    <w:rsid w:val="47822622"/>
    <w:rsid w:val="47D06CCE"/>
    <w:rsid w:val="49610C37"/>
    <w:rsid w:val="49D927B9"/>
    <w:rsid w:val="49F13FA2"/>
    <w:rsid w:val="4A1452FF"/>
    <w:rsid w:val="4B9E07D3"/>
    <w:rsid w:val="4BC35604"/>
    <w:rsid w:val="4CC74F06"/>
    <w:rsid w:val="4CFB16AB"/>
    <w:rsid w:val="4DAB514A"/>
    <w:rsid w:val="4DAF223E"/>
    <w:rsid w:val="4F3B26EA"/>
    <w:rsid w:val="4F4B3D85"/>
    <w:rsid w:val="4FF5172F"/>
    <w:rsid w:val="510B431A"/>
    <w:rsid w:val="5122646C"/>
    <w:rsid w:val="51257DF2"/>
    <w:rsid w:val="51562628"/>
    <w:rsid w:val="52D153E1"/>
    <w:rsid w:val="531603B6"/>
    <w:rsid w:val="538A1F90"/>
    <w:rsid w:val="54F5478A"/>
    <w:rsid w:val="579F3B2D"/>
    <w:rsid w:val="57F10A2D"/>
    <w:rsid w:val="58A360D2"/>
    <w:rsid w:val="58A72330"/>
    <w:rsid w:val="59770627"/>
    <w:rsid w:val="59ED5A91"/>
    <w:rsid w:val="5A130056"/>
    <w:rsid w:val="5A6A2F6D"/>
    <w:rsid w:val="5A9E28C7"/>
    <w:rsid w:val="5B6537E0"/>
    <w:rsid w:val="5B737A41"/>
    <w:rsid w:val="5DAC0E28"/>
    <w:rsid w:val="5E24275D"/>
    <w:rsid w:val="5EA5700D"/>
    <w:rsid w:val="5EF162F9"/>
    <w:rsid w:val="5F447FDD"/>
    <w:rsid w:val="5F561B6F"/>
    <w:rsid w:val="5F57E5CA"/>
    <w:rsid w:val="5FB5358F"/>
    <w:rsid w:val="60C12418"/>
    <w:rsid w:val="61AE6840"/>
    <w:rsid w:val="62F13654"/>
    <w:rsid w:val="669C35D3"/>
    <w:rsid w:val="683134FF"/>
    <w:rsid w:val="68332888"/>
    <w:rsid w:val="685C1EF3"/>
    <w:rsid w:val="69083EB9"/>
    <w:rsid w:val="6AEA7541"/>
    <w:rsid w:val="6AF41C76"/>
    <w:rsid w:val="6B2E1F76"/>
    <w:rsid w:val="6BD10E4A"/>
    <w:rsid w:val="6D0446EE"/>
    <w:rsid w:val="6E4B1911"/>
    <w:rsid w:val="6EF15B11"/>
    <w:rsid w:val="6F2143BB"/>
    <w:rsid w:val="6FC37AD4"/>
    <w:rsid w:val="70A94E62"/>
    <w:rsid w:val="71315D8D"/>
    <w:rsid w:val="713B2574"/>
    <w:rsid w:val="718F0D51"/>
    <w:rsid w:val="719F4271"/>
    <w:rsid w:val="71A10E29"/>
    <w:rsid w:val="726B771C"/>
    <w:rsid w:val="72CF314D"/>
    <w:rsid w:val="72D16789"/>
    <w:rsid w:val="753448B5"/>
    <w:rsid w:val="7728448C"/>
    <w:rsid w:val="77E6160F"/>
    <w:rsid w:val="78AD1F79"/>
    <w:rsid w:val="79536535"/>
    <w:rsid w:val="79E41270"/>
    <w:rsid w:val="7A4C68FC"/>
    <w:rsid w:val="7C715C64"/>
    <w:rsid w:val="7D950072"/>
    <w:rsid w:val="7DFF3A1B"/>
    <w:rsid w:val="7E9E0650"/>
    <w:rsid w:val="7F776EE9"/>
    <w:rsid w:val="7FCE9F2A"/>
    <w:rsid w:val="FF3F5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6">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7">
    <w:name w:val="heading 4"/>
    <w:basedOn w:val="1"/>
    <w:next w:val="1"/>
    <w:link w:val="328"/>
    <w:autoRedefine/>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8">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0">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1">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2">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autoRedefine/>
    <w:qFormat/>
    <w:uiPriority w:val="1"/>
  </w:style>
  <w:style w:type="table" w:default="1" w:styleId="64">
    <w:name w:val="Normal Table"/>
    <w:autoRedefine/>
    <w:qFormat/>
    <w:uiPriority w:val="99"/>
    <w:tblPr>
      <w:tblCellMar>
        <w:top w:w="0" w:type="dxa"/>
        <w:left w:w="108" w:type="dxa"/>
        <w:bottom w:w="0" w:type="dxa"/>
        <w:right w:w="108" w:type="dxa"/>
      </w:tblCellMar>
    </w:tblPr>
  </w:style>
  <w:style w:type="paragraph" w:customStyle="1" w:styleId="2">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5">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5">
    <w:name w:val="List Bullet 4"/>
    <w:basedOn w:val="1"/>
    <w:autoRedefine/>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link w:val="322"/>
    <w:autoRedefine/>
    <w:qFormat/>
    <w:uiPriority w:val="0"/>
    <w:pPr>
      <w:ind w:firstLine="420"/>
    </w:pPr>
    <w:rPr>
      <w:rFonts w:hAnsi="Calibri" w:cs="Times New Roman"/>
      <w:snapToGrid/>
      <w:szCs w:val="20"/>
    </w:rPr>
  </w:style>
  <w:style w:type="paragraph" w:styleId="26">
    <w:name w:val="Body Text Indent"/>
    <w:basedOn w:val="1"/>
    <w:next w:val="1"/>
    <w:link w:val="266"/>
    <w:autoRedefine/>
    <w:qFormat/>
    <w:uiPriority w:val="0"/>
    <w:pPr>
      <w:spacing w:line="480" w:lineRule="exact"/>
      <w:ind w:firstLine="480" w:firstLineChars="200"/>
    </w:pPr>
    <w:rPr>
      <w:rFonts w:ascii="宋体" w:hAnsi="宋体"/>
      <w:sz w:val="24"/>
    </w:rPr>
  </w:style>
  <w:style w:type="paragraph" w:styleId="27">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autoRedefine/>
    <w:qFormat/>
    <w:uiPriority w:val="0"/>
    <w:pPr>
      <w:adjustRightInd/>
      <w:spacing w:line="360" w:lineRule="auto"/>
      <w:ind w:left="100" w:leftChars="200" w:hanging="200" w:hangingChars="200"/>
    </w:pPr>
    <w:rPr>
      <w:rFonts w:eastAsia="微软雅黑"/>
    </w:rPr>
  </w:style>
  <w:style w:type="paragraph" w:styleId="29">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2">
    <w:name w:val="toc 5"/>
    <w:basedOn w:val="1"/>
    <w:next w:val="1"/>
    <w:autoRedefine/>
    <w:qFormat/>
    <w:uiPriority w:val="0"/>
    <w:pPr>
      <w:ind w:left="1680" w:leftChars="800"/>
    </w:pPr>
  </w:style>
  <w:style w:type="paragraph" w:styleId="33">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next w:val="5"/>
    <w:link w:val="127"/>
    <w:autoRedefine/>
    <w:qFormat/>
    <w:uiPriority w:val="0"/>
    <w:rPr>
      <w:rFonts w:ascii="宋体" w:hAnsi="Courier New" w:cs="Arial"/>
      <w:snapToGrid w:val="0"/>
      <w:szCs w:val="21"/>
    </w:rPr>
  </w:style>
  <w:style w:type="paragraph" w:styleId="35">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autoRedefine/>
    <w:qFormat/>
    <w:uiPriority w:val="0"/>
    <w:pPr>
      <w:ind w:left="2940" w:leftChars="1400"/>
    </w:pPr>
  </w:style>
  <w:style w:type="paragraph" w:styleId="37">
    <w:name w:val="Date"/>
    <w:basedOn w:val="1"/>
    <w:next w:val="1"/>
    <w:link w:val="183"/>
    <w:autoRedefine/>
    <w:qFormat/>
    <w:uiPriority w:val="0"/>
    <w:pPr>
      <w:ind w:left="100" w:leftChars="2500"/>
    </w:pPr>
    <w:rPr>
      <w:rFonts w:ascii="宋体"/>
      <w:sz w:val="24"/>
      <w:szCs w:val="21"/>
      <w:lang w:val="zh-CN"/>
    </w:rPr>
  </w:style>
  <w:style w:type="paragraph" w:styleId="38">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39">
    <w:name w:val="endnote text"/>
    <w:basedOn w:val="1"/>
    <w:link w:val="933"/>
    <w:autoRedefine/>
    <w:qFormat/>
    <w:uiPriority w:val="0"/>
    <w:rPr>
      <w:lang w:val="zh-CN"/>
    </w:rPr>
  </w:style>
  <w:style w:type="paragraph" w:styleId="40">
    <w:name w:val="Balloon Text"/>
    <w:basedOn w:val="1"/>
    <w:next w:val="1"/>
    <w:link w:val="190"/>
    <w:autoRedefine/>
    <w:qFormat/>
    <w:uiPriority w:val="0"/>
    <w:rPr>
      <w:sz w:val="18"/>
      <w:szCs w:val="18"/>
    </w:rPr>
  </w:style>
  <w:style w:type="paragraph" w:styleId="41">
    <w:name w:val="footer"/>
    <w:basedOn w:val="1"/>
    <w:link w:val="384"/>
    <w:autoRedefine/>
    <w:qFormat/>
    <w:uiPriority w:val="99"/>
    <w:pPr>
      <w:tabs>
        <w:tab w:val="center" w:pos="4153"/>
        <w:tab w:val="right" w:pos="8306"/>
      </w:tabs>
      <w:snapToGrid w:val="0"/>
      <w:jc w:val="left"/>
    </w:pPr>
    <w:rPr>
      <w:sz w:val="18"/>
      <w:szCs w:val="18"/>
    </w:rPr>
  </w:style>
  <w:style w:type="paragraph" w:styleId="42">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autoRedefine/>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autoRedefine/>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sz w:val="24"/>
      <w:szCs w:val="20"/>
    </w:rPr>
  </w:style>
  <w:style w:type="paragraph" w:styleId="50">
    <w:name w:val="List"/>
    <w:basedOn w:val="1"/>
    <w:autoRedefine/>
    <w:qFormat/>
    <w:uiPriority w:val="0"/>
    <w:pPr>
      <w:ind w:left="200" w:hanging="200" w:hangingChars="200"/>
    </w:pPr>
  </w:style>
  <w:style w:type="paragraph" w:styleId="51">
    <w:name w:val="footnote text"/>
    <w:basedOn w:val="5"/>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autoRedefine/>
    <w:qFormat/>
    <w:uiPriority w:val="0"/>
    <w:pPr>
      <w:adjustRightInd/>
      <w:ind w:left="100" w:leftChars="800" w:hanging="200" w:hangingChars="200"/>
    </w:pPr>
  </w:style>
  <w:style w:type="paragraph" w:styleId="54">
    <w:name w:val="Body Text Indent 3"/>
    <w:basedOn w:val="1"/>
    <w:link w:val="376"/>
    <w:autoRedefine/>
    <w:qFormat/>
    <w:uiPriority w:val="0"/>
    <w:pPr>
      <w:spacing w:line="360" w:lineRule="auto"/>
      <w:ind w:firstLine="420"/>
    </w:pPr>
    <w:rPr>
      <w:sz w:val="24"/>
      <w:szCs w:val="20"/>
    </w:rPr>
  </w:style>
  <w:style w:type="paragraph" w:styleId="55">
    <w:name w:val="toc 2"/>
    <w:basedOn w:val="1"/>
    <w:next w:val="1"/>
    <w:autoRedefine/>
    <w:qFormat/>
    <w:uiPriority w:val="0"/>
    <w:pPr>
      <w:ind w:left="420" w:leftChars="200"/>
    </w:pPr>
  </w:style>
  <w:style w:type="paragraph" w:styleId="56">
    <w:name w:val="toc 9"/>
    <w:basedOn w:val="1"/>
    <w:next w:val="1"/>
    <w:autoRedefine/>
    <w:qFormat/>
    <w:uiPriority w:val="0"/>
    <w:pPr>
      <w:ind w:left="3360" w:leftChars="1600"/>
    </w:pPr>
  </w:style>
  <w:style w:type="paragraph" w:styleId="57">
    <w:name w:val="Body Text 2"/>
    <w:basedOn w:val="1"/>
    <w:link w:val="303"/>
    <w:autoRedefine/>
    <w:qFormat/>
    <w:uiPriority w:val="0"/>
    <w:pPr>
      <w:spacing w:after="120" w:line="480" w:lineRule="auto"/>
    </w:pPr>
  </w:style>
  <w:style w:type="paragraph" w:styleId="58">
    <w:name w:val="Message Header"/>
    <w:basedOn w:val="1"/>
    <w:autoRedefine/>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next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paragraph" w:styleId="63">
    <w:name w:val="Body Text First Indent 2"/>
    <w:basedOn w:val="26"/>
    <w:link w:val="123"/>
    <w:autoRedefine/>
    <w:qFormat/>
    <w:uiPriority w:val="0"/>
    <w:pPr>
      <w:adjustRightInd/>
      <w:spacing w:after="120" w:line="240" w:lineRule="auto"/>
      <w:ind w:left="420" w:leftChars="200" w:firstLine="210"/>
    </w:pPr>
    <w:rPr>
      <w:sz w:val="21"/>
    </w:rPr>
  </w:style>
  <w:style w:type="table" w:styleId="65">
    <w:name w:val="Table Grid"/>
    <w:basedOn w:val="6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Theme"/>
    <w:basedOn w:val="64"/>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7">
    <w:name w:val="Table Elegant"/>
    <w:basedOn w:val="64"/>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basedOn w:val="71"/>
    <w:autoRedefine/>
    <w:qFormat/>
    <w:uiPriority w:val="22"/>
    <w:rPr>
      <w:b/>
      <w:bCs/>
    </w:rPr>
  </w:style>
  <w:style w:type="character" w:styleId="73">
    <w:name w:val="endnote reference"/>
    <w:autoRedefine/>
    <w:qFormat/>
    <w:uiPriority w:val="0"/>
    <w:rPr>
      <w:vertAlign w:val="superscript"/>
    </w:rPr>
  </w:style>
  <w:style w:type="character" w:styleId="74">
    <w:name w:val="page number"/>
    <w:basedOn w:val="71"/>
    <w:autoRedefine/>
    <w:qFormat/>
    <w:uiPriority w:val="0"/>
    <w:rPr>
      <w:rFonts w:ascii="Arial" w:hAnsi="Arial" w:eastAsia="黑体" w:cs="Arial"/>
      <w:snapToGrid w:val="0"/>
      <w:kern w:val="0"/>
      <w:szCs w:val="21"/>
    </w:rPr>
  </w:style>
  <w:style w:type="character" w:styleId="75">
    <w:name w:val="FollowedHyperlink"/>
    <w:autoRedefine/>
    <w:qFormat/>
    <w:uiPriority w:val="99"/>
    <w:rPr>
      <w:rFonts w:ascii="Arial" w:hAnsi="Arial" w:eastAsia="黑体" w:cs="Arial"/>
      <w:snapToGrid w:val="0"/>
      <w:color w:val="000000"/>
      <w:kern w:val="0"/>
      <w:sz w:val="18"/>
      <w:szCs w:val="18"/>
      <w:u w:val="none"/>
    </w:rPr>
  </w:style>
  <w:style w:type="character" w:styleId="76">
    <w:name w:val="Emphasis"/>
    <w:autoRedefine/>
    <w:qFormat/>
    <w:uiPriority w:val="20"/>
    <w:rPr>
      <w:color w:val="CC0033"/>
    </w:rPr>
  </w:style>
  <w:style w:type="character" w:styleId="77">
    <w:name w:val="line number"/>
    <w:basedOn w:val="71"/>
    <w:autoRedefine/>
    <w:qFormat/>
    <w:uiPriority w:val="0"/>
    <w:rPr>
      <w:rFonts w:ascii="Arial" w:hAnsi="Arial" w:eastAsia="黑体" w:cs="Arial"/>
      <w:snapToGrid w:val="0"/>
      <w:kern w:val="0"/>
      <w:szCs w:val="21"/>
    </w:rPr>
  </w:style>
  <w:style w:type="character" w:styleId="78">
    <w:name w:val="Hyperlink"/>
    <w:autoRedefine/>
    <w:qFormat/>
    <w:uiPriority w:val="99"/>
    <w:rPr>
      <w:rFonts w:ascii="Arial" w:hAnsi="Arial" w:eastAsia="黑体" w:cs="Arial"/>
      <w:snapToGrid w:val="0"/>
      <w:color w:val="000000"/>
      <w:kern w:val="0"/>
      <w:sz w:val="18"/>
      <w:szCs w:val="18"/>
      <w:u w:val="none"/>
    </w:rPr>
  </w:style>
  <w:style w:type="character" w:styleId="79">
    <w:name w:val="HTML Code"/>
    <w:autoRedefine/>
    <w:qFormat/>
    <w:uiPriority w:val="0"/>
    <w:rPr>
      <w:rFonts w:ascii="黑体" w:hAnsi="Courier New" w:eastAsia="黑体" w:cs="楷体_GB2312"/>
      <w:sz w:val="20"/>
      <w:szCs w:val="20"/>
    </w:rPr>
  </w:style>
  <w:style w:type="character" w:styleId="80">
    <w:name w:val="annotation reference"/>
    <w:autoRedefine/>
    <w:qFormat/>
    <w:uiPriority w:val="99"/>
    <w:rPr>
      <w:sz w:val="21"/>
      <w:szCs w:val="21"/>
    </w:rPr>
  </w:style>
  <w:style w:type="paragraph" w:customStyle="1" w:styleId="81">
    <w:name w:val="正文空2字"/>
    <w:basedOn w:val="82"/>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2">
    <w:name w:val="左对齐正文"/>
    <w:autoRedefine/>
    <w:qFormat/>
    <w:uiPriority w:val="99"/>
    <w:rPr>
      <w:rFonts w:ascii="Calibri" w:hAnsi="Calibri" w:eastAsia="仿宋_GB2312" w:cs="Calibri"/>
      <w:kern w:val="2"/>
      <w:sz w:val="32"/>
      <w:szCs w:val="32"/>
      <w:lang w:val="en-US" w:eastAsia="zh-CN" w:bidi="ar-SA"/>
    </w:rPr>
  </w:style>
  <w:style w:type="paragraph" w:customStyle="1" w:styleId="8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_a065a2bc-5607-4f88-bb9a-f4f6c7b4e0ea"/>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Char1"/>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_29dca83e-cfa0-4d29-9006-28a1b752e563"/>
    <w:autoRedefine/>
    <w:qFormat/>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首行缩进 2 Char"/>
    <w:link w:val="63"/>
    <w:autoRedefine/>
    <w:qFormat/>
    <w:uiPriority w:val="0"/>
    <w:rPr>
      <w:rFonts w:ascii="宋体" w:hAnsi="宋体"/>
      <w:kern w:val="2"/>
      <w:sz w:val="21"/>
      <w:szCs w:val="24"/>
    </w:rPr>
  </w:style>
  <w:style w:type="character" w:customStyle="1" w:styleId="124">
    <w:name w:val="font11"/>
    <w:basedOn w:val="7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1"/>
    <w:autoRedefine/>
    <w:qFormat/>
    <w:uiPriority w:val="0"/>
    <w:rPr>
      <w:rFonts w:ascii="Arial" w:hAnsi="Arial" w:eastAsia="黑体" w:cs="Arial"/>
      <w:snapToGrid w:val="0"/>
      <w:kern w:val="0"/>
      <w:szCs w:val="21"/>
    </w:rPr>
  </w:style>
  <w:style w:type="character" w:customStyle="1" w:styleId="127">
    <w:name w:val="纯文本 Char"/>
    <w:link w:val="34"/>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Char"/>
    <w:link w:val="48"/>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uiPriority w:val="0"/>
    <w:rPr>
      <w:rFonts w:eastAsia="宋体"/>
      <w:kern w:val="2"/>
      <w:sz w:val="21"/>
      <w:szCs w:val="24"/>
      <w:lang w:val="en-US" w:eastAsia="zh-CN" w:bidi="ar-SA"/>
    </w:rPr>
  </w:style>
  <w:style w:type="character" w:customStyle="1" w:styleId="148">
    <w:name w:val="font41"/>
    <w:basedOn w:val="71"/>
    <w:autoRedefine/>
    <w:qFormat/>
    <w:uiPriority w:val="0"/>
    <w:rPr>
      <w:rFonts w:hint="eastAsia" w:ascii="仿宋_GB2312" w:eastAsia="仿宋_GB2312" w:cs="仿宋_GB2312"/>
      <w:color w:val="000000"/>
      <w:sz w:val="22"/>
      <w:szCs w:val="22"/>
      <w:u w:val="none"/>
    </w:rPr>
  </w:style>
  <w:style w:type="character" w:customStyle="1" w:styleId="149">
    <w:name w:val="标题 6 Char"/>
    <w:link w:val="9"/>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Char"/>
    <w:link w:val="37"/>
    <w:autoRedefine/>
    <w:qFormat/>
    <w:uiPriority w:val="0"/>
    <w:rPr>
      <w:rFonts w:ascii="宋体"/>
      <w:kern w:val="2"/>
      <w:sz w:val="24"/>
      <w:szCs w:val="21"/>
      <w:lang w:val="zh-CN"/>
    </w:rPr>
  </w:style>
  <w:style w:type="character" w:customStyle="1" w:styleId="184">
    <w:name w:val="标题 9 Char"/>
    <w:link w:val="12"/>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qFormat/>
    <w:uiPriority w:val="99"/>
    <w:rPr>
      <w:rFonts w:ascii="Times New Roman" w:hAnsi="Times New Roman" w:eastAsia="宋体" w:cs="Times New Roman"/>
      <w:szCs w:val="24"/>
    </w:rPr>
  </w:style>
  <w:style w:type="character" w:customStyle="1" w:styleId="190">
    <w:name w:val="批注框文本 Char"/>
    <w:link w:val="40"/>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Char2"/>
    <w:link w:val="5"/>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6"/>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Char1"/>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1"/>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Char"/>
    <w:link w:val="31"/>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7"/>
    <w:link w:val="224"/>
    <w:autoRedefine/>
    <w:qFormat/>
    <w:uiPriority w:val="0"/>
    <w:pPr>
      <w:tabs>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_b6bb7154-40a1-4532-be09-cdbace51fda5"/>
    <w:autoRedefine/>
    <w:qFormat/>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Char"/>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2"/>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Char3"/>
    <w:link w:val="26"/>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_856f206f-2151-488a-bf44-70c62fd33d46"/>
    <w:autoRedefine/>
    <w:qFormat/>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Char"/>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Char2"/>
    <w:link w:val="61"/>
    <w:autoRedefine/>
    <w:qFormat/>
    <w:uiPriority w:val="10"/>
    <w:rPr>
      <w:b/>
      <w:sz w:val="24"/>
      <w:lang w:val="en-GB"/>
    </w:rPr>
  </w:style>
  <w:style w:type="character" w:customStyle="1" w:styleId="288">
    <w:name w:val="font81"/>
    <w:basedOn w:val="7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Char"/>
    <w:link w:val="8"/>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Char"/>
    <w:link w:val="21"/>
    <w:autoRedefine/>
    <w:qFormat/>
    <w:uiPriority w:val="0"/>
    <w:rPr>
      <w:rFonts w:ascii="仿宋_GB2312" w:eastAsia="仿宋_GB2312"/>
      <w:kern w:val="2"/>
      <w:sz w:val="28"/>
    </w:rPr>
  </w:style>
  <w:style w:type="character" w:customStyle="1" w:styleId="300">
    <w:name w:val="文本正文 Char Char"/>
    <w:autoRedefine/>
    <w:qFormat/>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Char"/>
    <w:link w:val="59"/>
    <w:autoRedefine/>
    <w:qFormat/>
    <w:uiPriority w:val="0"/>
    <w:rPr>
      <w:rFonts w:ascii="黑体" w:hAnsi="Courier New" w:eastAsia="黑体"/>
    </w:rPr>
  </w:style>
  <w:style w:type="character" w:customStyle="1" w:styleId="303">
    <w:name w:val="正文文本 2 Char1"/>
    <w:link w:val="57"/>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7"/>
    <w:link w:val="414"/>
    <w:autoRedefine/>
    <w:qFormat/>
    <w:uiPriority w:val="0"/>
    <w:pPr>
      <w:tabs>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Char"/>
    <w:link w:val="10"/>
    <w:autoRedefine/>
    <w:qFormat/>
    <w:uiPriority w:val="0"/>
    <w:rPr>
      <w:b/>
      <w:bCs/>
      <w:kern w:val="2"/>
      <w:sz w:val="24"/>
      <w:szCs w:val="24"/>
    </w:rPr>
  </w:style>
  <w:style w:type="character" w:customStyle="1" w:styleId="309">
    <w:name w:val="正文文本缩进 2 Char"/>
    <w:link w:val="38"/>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Char"/>
    <w:link w:val="51"/>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basedOn w:val="7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首行缩进 Char"/>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Char2"/>
    <w:link w:val="7"/>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Char"/>
    <w:link w:val="22"/>
    <w:autoRedefine/>
    <w:qFormat/>
    <w:uiPriority w:val="0"/>
    <w:rPr>
      <w:kern w:val="2"/>
      <w:sz w:val="21"/>
    </w:rPr>
  </w:style>
  <w:style w:type="character" w:customStyle="1" w:styleId="332">
    <w:name w:val="font31"/>
    <w:basedOn w:val="7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Char1"/>
    <w:link w:val="20"/>
    <w:autoRedefine/>
    <w:qFormat/>
    <w:uiPriority w:val="99"/>
    <w:rPr>
      <w:kern w:val="2"/>
      <w:sz w:val="21"/>
      <w:szCs w:val="24"/>
    </w:rPr>
  </w:style>
  <w:style w:type="character" w:customStyle="1" w:styleId="346">
    <w:name w:val="签名 Char"/>
    <w:link w:val="43"/>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Char"/>
    <w:link w:val="11"/>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basedOn w:val="7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Char"/>
    <w:link w:val="54"/>
    <w:autoRedefine/>
    <w:qFormat/>
    <w:uiPriority w:val="0"/>
    <w:rPr>
      <w:kern w:val="2"/>
      <w:sz w:val="24"/>
    </w:rPr>
  </w:style>
  <w:style w:type="character" w:customStyle="1" w:styleId="377">
    <w:name w:val="日期 Char1"/>
    <w:autoRedefine/>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Char2"/>
    <w:link w:val="41"/>
    <w:autoRedefine/>
    <w:qFormat/>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Char2"/>
    <w:link w:val="42"/>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1"/>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5"/>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Char1"/>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1"/>
    <w:autoRedefine/>
    <w:qFormat/>
    <w:uiPriority w:val="0"/>
    <w:rPr>
      <w:rFonts w:ascii="Arial" w:hAnsi="Arial" w:eastAsia="黑体" w:cs="Arial"/>
      <w:snapToGrid w:val="0"/>
      <w:kern w:val="0"/>
      <w:szCs w:val="21"/>
    </w:rPr>
  </w:style>
  <w:style w:type="character" w:customStyle="1" w:styleId="433">
    <w:name w:val="hui"/>
    <w:basedOn w:val="71"/>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6"/>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7"/>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6"/>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8"/>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6"/>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5"/>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7"/>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2"/>
    <w:next w:val="2"/>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2"/>
    <w:next w:val="2"/>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5"/>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6"/>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4"/>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6"/>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7"/>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6"/>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6"/>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7"/>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0"/>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after="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7"/>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6"/>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38"/>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6"/>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6"/>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5"/>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6"/>
    <w:next w:val="54"/>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7"/>
    <w:autoRedefine/>
    <w:qFormat/>
    <w:uiPriority w:val="0"/>
    <w:p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38"/>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3"/>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6"/>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6"/>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6"/>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6"/>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8"/>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1"/>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6"/>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3"/>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4"/>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5"/>
    <w:basedOn w:val="64"/>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Char"/>
    <w:link w:val="39"/>
    <w:autoRedefine/>
    <w:qFormat/>
    <w:uiPriority w:val="0"/>
    <w:rPr>
      <w:kern w:val="2"/>
      <w:sz w:val="21"/>
      <w:szCs w:val="24"/>
      <w:lang w:val="zh-CN"/>
    </w:rPr>
  </w:style>
  <w:style w:type="character" w:customStyle="1" w:styleId="934">
    <w:name w:val="无间隔 Char"/>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1"/>
    <w:autoRedefine/>
    <w:qFormat/>
    <w:uiPriority w:val="0"/>
    <w:rPr>
      <w:color w:val="000000"/>
      <w:shd w:val="clear" w:color="auto" w:fill="EFD200"/>
    </w:rPr>
  </w:style>
  <w:style w:type="character" w:customStyle="1" w:styleId="963">
    <w:name w:val="font71"/>
    <w:basedOn w:val="71"/>
    <w:autoRedefine/>
    <w:qFormat/>
    <w:uiPriority w:val="0"/>
    <w:rPr>
      <w:rFonts w:hint="eastAsia" w:ascii="宋体" w:hAnsi="宋体" w:eastAsia="宋体" w:cs="宋体"/>
      <w:color w:val="000000"/>
      <w:sz w:val="22"/>
      <w:szCs w:val="22"/>
      <w:u w:val="none"/>
    </w:rPr>
  </w:style>
  <w:style w:type="character" w:customStyle="1" w:styleId="964">
    <w:name w:val="font91"/>
    <w:basedOn w:val="71"/>
    <w:autoRedefine/>
    <w:qFormat/>
    <w:uiPriority w:val="0"/>
    <w:rPr>
      <w:rFonts w:hint="eastAsia" w:ascii="仿宋" w:hAnsi="仿宋" w:eastAsia="仿宋" w:cs="仿宋"/>
      <w:color w:val="000000"/>
      <w:sz w:val="22"/>
      <w:szCs w:val="22"/>
      <w:u w:val="none"/>
    </w:rPr>
  </w:style>
  <w:style w:type="paragraph" w:customStyle="1" w:styleId="965">
    <w:name w:val="修订4"/>
    <w:autoRedefine/>
    <w:qFormat/>
    <w:uiPriority w:val="99"/>
    <w:rPr>
      <w:rFonts w:ascii="Times New Roman" w:hAnsi="Times New Roman" w:eastAsia="宋体" w:cs="Times New Roman"/>
      <w:kern w:val="2"/>
      <w:sz w:val="21"/>
      <w:szCs w:val="24"/>
      <w:lang w:val="en-US" w:eastAsia="zh-CN" w:bidi="ar-SA"/>
    </w:rPr>
  </w:style>
  <w:style w:type="paragraph" w:customStyle="1" w:styleId="966">
    <w:name w:val="[Normal]"/>
    <w:autoRedefine/>
    <w:unhideWhenUsed/>
    <w:qFormat/>
    <w:uiPriority w:val="0"/>
    <w:pPr>
      <w:widowControl w:val="0"/>
      <w:autoSpaceDE w:val="0"/>
      <w:autoSpaceDN w:val="0"/>
      <w:adjustRightInd w:val="0"/>
      <w:spacing w:beforeLines="0" w:afterLines="0"/>
    </w:pPr>
    <w:rPr>
      <w:rFonts w:hint="eastAsia" w:ascii="宋体" w:hAnsi="Times New Roman" w:eastAsia="宋体" w:cs="宋体"/>
      <w:sz w:val="24"/>
      <w:szCs w:val="24"/>
      <w:lang w:val="en-US" w:eastAsia="zh-CN" w:bidi="ar-SA"/>
    </w:rPr>
  </w:style>
  <w:style w:type="character" w:customStyle="1" w:styleId="967">
    <w:name w:val="无"/>
    <w:autoRedefine/>
    <w:qFormat/>
    <w:uiPriority w:val="99"/>
  </w:style>
  <w:style w:type="table" w:customStyle="1" w:styleId="968">
    <w:name w:val="Table Normal"/>
    <w:autoRedefine/>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66</Pages>
  <Words>36954</Words>
  <Characters>39620</Characters>
  <Paragraphs>1943</Paragraphs>
  <TotalTime>51</TotalTime>
  <ScaleCrop>false</ScaleCrop>
  <LinksUpToDate>false</LinksUpToDate>
  <CharactersWithSpaces>45619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2021-07-31T16:22:00Z</dcterms:created>
  <dc:creator>玥</dc:creator>
  <cp:lastModifiedBy>徐俊</cp:lastModifiedBy>
  <cp:lastPrinted>2024-06-14T03:27:00Z</cp:lastPrinted>
  <dcterms:modified xsi:type="dcterms:W3CDTF">2024-10-18T14:31:06Z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FD4F2E9C1A204534AF7538FC60BBF2A0_13</vt:lpwstr>
  </property>
</Properties>
</file>