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D19FFA">
      <w:pPr>
        <w:jc w:val="center"/>
        <w:rPr>
          <w:rFonts w:hint="eastAsia" w:ascii="宋体" w:hAnsi="宋体" w:eastAsia="宋体" w:cs="宋体"/>
          <w:sz w:val="32"/>
          <w:szCs w:val="32"/>
        </w:rPr>
      </w:pPr>
      <w:r>
        <w:rPr>
          <w:rFonts w:hint="eastAsia" w:ascii="宋体" w:hAnsi="宋体" w:eastAsia="宋体" w:cs="宋体"/>
          <w:sz w:val="32"/>
          <w:szCs w:val="32"/>
        </w:rPr>
        <w:t>关于江山市人民检察院“浙里花开·彩虹”未成年人双向保护办案中心提升工程采购项目结果更正公</w:t>
      </w:r>
    </w:p>
    <w:p w14:paraId="7D00DF5A">
      <w:pPr>
        <w:ind w:firstLine="600" w:firstLineChars="200"/>
        <w:jc w:val="both"/>
        <w:rPr>
          <w:rFonts w:hint="eastAsia" w:cs="Times New Roman"/>
          <w:color w:val="000000"/>
          <w:sz w:val="30"/>
          <w:szCs w:val="30"/>
          <w:lang w:val="en-US" w:eastAsia="zh-CN"/>
        </w:rPr>
      </w:pPr>
      <w:r>
        <w:rPr>
          <w:rFonts w:hint="eastAsia" w:ascii="宋体" w:hAnsi="宋体" w:eastAsia="宋体" w:cs="宋体"/>
          <w:sz w:val="30"/>
          <w:szCs w:val="30"/>
          <w:lang w:val="en-US" w:eastAsia="zh-CN"/>
        </w:rPr>
        <w:t>由于本项目第一中标候选人浙江灿辰科技发展有限公司所提供的部分产品为中大型企业生产，不符合货物全部由符合政策要求的中小企业制造的要求，取消其</w:t>
      </w:r>
      <w:r>
        <w:rPr>
          <w:rFonts w:hint="default" w:cs="Times New Roman"/>
          <w:color w:val="000000"/>
          <w:sz w:val="30"/>
          <w:szCs w:val="30"/>
          <w:lang w:val="en-US" w:eastAsia="zh-CN"/>
        </w:rPr>
        <w:t>中小企业20%的</w:t>
      </w:r>
      <w:r>
        <w:rPr>
          <w:rFonts w:hint="eastAsia" w:cs="Times New Roman"/>
          <w:color w:val="000000"/>
          <w:sz w:val="30"/>
          <w:szCs w:val="30"/>
          <w:lang w:val="en-US" w:eastAsia="zh-CN"/>
        </w:rPr>
        <w:t>优惠</w:t>
      </w:r>
      <w:r>
        <w:rPr>
          <w:rFonts w:hint="default" w:cs="Times New Roman"/>
          <w:color w:val="000000"/>
          <w:sz w:val="30"/>
          <w:szCs w:val="30"/>
          <w:lang w:val="en-US" w:eastAsia="zh-CN"/>
        </w:rPr>
        <w:t>扣除</w:t>
      </w:r>
      <w:r>
        <w:rPr>
          <w:rFonts w:hint="eastAsia" w:cs="Times New Roman"/>
          <w:color w:val="000000"/>
          <w:sz w:val="30"/>
          <w:szCs w:val="30"/>
          <w:lang w:val="en-US" w:eastAsia="zh-CN"/>
        </w:rPr>
        <w:t>，经过对投标报价及总分重新进计算，</w:t>
      </w:r>
      <w:bookmarkStart w:id="0" w:name="_GoBack"/>
      <w:bookmarkEnd w:id="0"/>
      <w:r>
        <w:rPr>
          <w:rFonts w:hint="eastAsia" w:cs="Times New Roman"/>
          <w:color w:val="000000"/>
          <w:sz w:val="30"/>
          <w:szCs w:val="30"/>
          <w:lang w:val="en-US" w:eastAsia="zh-CN"/>
        </w:rPr>
        <w:t>推荐浙江华数广电网络股份有限公司为第一中标候选人。</w:t>
      </w:r>
    </w:p>
    <w:p w14:paraId="6D0C89F8">
      <w:pPr>
        <w:ind w:firstLine="600" w:firstLineChars="200"/>
        <w:jc w:val="both"/>
        <w:rPr>
          <w:rFonts w:hint="default" w:cs="Times New Roman"/>
          <w:color w:val="000000"/>
          <w:sz w:val="30"/>
          <w:szCs w:val="30"/>
          <w:lang w:val="en-US" w:eastAsia="zh-CN"/>
        </w:rPr>
      </w:pPr>
      <w:r>
        <w:rPr>
          <w:rFonts w:hint="eastAsia" w:cs="Times New Roman"/>
          <w:color w:val="000000"/>
          <w:sz w:val="30"/>
          <w:szCs w:val="30"/>
          <w:lang w:val="en-US" w:eastAsia="zh-CN"/>
        </w:rPr>
        <w:t>更正后的报价得分、总得分及排名</w:t>
      </w:r>
    </w:p>
    <w:p w14:paraId="718E4FD0">
      <w:pPr>
        <w:tabs>
          <w:tab w:val="left" w:pos="7513"/>
        </w:tabs>
        <w:ind w:firstLine="600" w:firstLineChars="200"/>
        <w:jc w:val="both"/>
        <w:rPr>
          <w:rFonts w:hint="eastAsia" w:cs="Times New Roman"/>
          <w:color w:val="000000"/>
          <w:sz w:val="30"/>
          <w:szCs w:val="30"/>
          <w:lang w:val="en-US" w:eastAsia="zh-CN"/>
        </w:rPr>
        <w:sectPr>
          <w:pgSz w:w="11906" w:h="16838"/>
          <w:pgMar w:top="1440" w:right="1800" w:bottom="1440" w:left="1800" w:header="851" w:footer="992" w:gutter="0"/>
          <w:cols w:space="425" w:num="1"/>
          <w:docGrid w:type="lines" w:linePitch="312" w:charSpace="0"/>
        </w:sectPr>
      </w:pPr>
    </w:p>
    <w:tbl>
      <w:tblPr>
        <w:tblStyle w:val="3"/>
        <w:tblW w:w="15775" w:type="dxa"/>
        <w:tblInd w:w="-7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66"/>
        <w:gridCol w:w="1136"/>
        <w:gridCol w:w="1042"/>
        <w:gridCol w:w="1117"/>
        <w:gridCol w:w="1469"/>
        <w:gridCol w:w="1469"/>
        <w:gridCol w:w="1682"/>
        <w:gridCol w:w="1256"/>
        <w:gridCol w:w="1469"/>
        <w:gridCol w:w="1469"/>
      </w:tblGrid>
      <w:tr w14:paraId="164D3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trPr>
        <w:tc>
          <w:tcPr>
            <w:tcW w:w="3666" w:type="dxa"/>
            <w:vAlign w:val="top"/>
          </w:tcPr>
          <w:p w14:paraId="6FBECB52">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供应商名称</w:t>
            </w:r>
          </w:p>
        </w:tc>
        <w:tc>
          <w:tcPr>
            <w:tcW w:w="1136" w:type="dxa"/>
            <w:vAlign w:val="top"/>
          </w:tcPr>
          <w:p w14:paraId="2C4FFC59">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专家1</w:t>
            </w:r>
          </w:p>
        </w:tc>
        <w:tc>
          <w:tcPr>
            <w:tcW w:w="1042" w:type="dxa"/>
            <w:vAlign w:val="top"/>
          </w:tcPr>
          <w:p w14:paraId="74DC3AF8">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专家2</w:t>
            </w:r>
          </w:p>
        </w:tc>
        <w:tc>
          <w:tcPr>
            <w:tcW w:w="1117" w:type="dxa"/>
            <w:vAlign w:val="top"/>
          </w:tcPr>
          <w:p w14:paraId="1BE75FD9">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专家3</w:t>
            </w:r>
          </w:p>
        </w:tc>
        <w:tc>
          <w:tcPr>
            <w:tcW w:w="1469" w:type="dxa"/>
            <w:vAlign w:val="top"/>
          </w:tcPr>
          <w:p w14:paraId="48E4F2A9">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专家4</w:t>
            </w:r>
          </w:p>
        </w:tc>
        <w:tc>
          <w:tcPr>
            <w:tcW w:w="1469" w:type="dxa"/>
            <w:vAlign w:val="top"/>
          </w:tcPr>
          <w:p w14:paraId="26859A3F">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专家5</w:t>
            </w:r>
          </w:p>
        </w:tc>
        <w:tc>
          <w:tcPr>
            <w:tcW w:w="1682" w:type="dxa"/>
            <w:vAlign w:val="top"/>
          </w:tcPr>
          <w:p w14:paraId="5B22A593">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商务技术得分</w:t>
            </w:r>
          </w:p>
        </w:tc>
        <w:tc>
          <w:tcPr>
            <w:tcW w:w="1256" w:type="dxa"/>
            <w:vAlign w:val="top"/>
          </w:tcPr>
          <w:p w14:paraId="44BFBFB0">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报价得分</w:t>
            </w:r>
          </w:p>
        </w:tc>
        <w:tc>
          <w:tcPr>
            <w:tcW w:w="1469" w:type="dxa"/>
            <w:vAlign w:val="top"/>
          </w:tcPr>
          <w:p w14:paraId="70A8F86A">
            <w:pPr>
              <w:keepNext w:val="0"/>
              <w:keepLines w:val="0"/>
              <w:widowControl/>
              <w:suppressLineNumbers w:val="0"/>
              <w:spacing w:line="315" w:lineRule="atLeast"/>
              <w:jc w:val="center"/>
              <w:textAlignment w:val="top"/>
              <w:rPr>
                <w:rFonts w:hint="eastAsia"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总分</w:t>
            </w:r>
          </w:p>
        </w:tc>
        <w:tc>
          <w:tcPr>
            <w:tcW w:w="1469" w:type="dxa"/>
            <w:vAlign w:val="top"/>
          </w:tcPr>
          <w:p w14:paraId="240F26B6">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排名</w:t>
            </w:r>
          </w:p>
        </w:tc>
      </w:tr>
      <w:tr w14:paraId="2B3EB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trPr>
        <w:tc>
          <w:tcPr>
            <w:tcW w:w="3666" w:type="dxa"/>
            <w:vAlign w:val="top"/>
          </w:tcPr>
          <w:p w14:paraId="3A446248">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浙江灿辰科技发展有限公司</w:t>
            </w:r>
          </w:p>
        </w:tc>
        <w:tc>
          <w:tcPr>
            <w:tcW w:w="1136" w:type="dxa"/>
            <w:vAlign w:val="top"/>
          </w:tcPr>
          <w:p w14:paraId="5E09161D">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63.5</w:t>
            </w:r>
          </w:p>
        </w:tc>
        <w:tc>
          <w:tcPr>
            <w:tcW w:w="1042" w:type="dxa"/>
            <w:vAlign w:val="top"/>
          </w:tcPr>
          <w:p w14:paraId="39DDE8D7">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63.75</w:t>
            </w:r>
          </w:p>
        </w:tc>
        <w:tc>
          <w:tcPr>
            <w:tcW w:w="1117" w:type="dxa"/>
            <w:vAlign w:val="top"/>
          </w:tcPr>
          <w:p w14:paraId="27A2DC2A">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63.5</w:t>
            </w:r>
          </w:p>
        </w:tc>
        <w:tc>
          <w:tcPr>
            <w:tcW w:w="1469" w:type="dxa"/>
            <w:vAlign w:val="top"/>
          </w:tcPr>
          <w:p w14:paraId="403B700A">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63.75</w:t>
            </w:r>
          </w:p>
        </w:tc>
        <w:tc>
          <w:tcPr>
            <w:tcW w:w="1469" w:type="dxa"/>
            <w:vAlign w:val="top"/>
          </w:tcPr>
          <w:p w14:paraId="7B34FB96">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63.0</w:t>
            </w:r>
          </w:p>
        </w:tc>
        <w:tc>
          <w:tcPr>
            <w:tcW w:w="1682" w:type="dxa"/>
            <w:vAlign w:val="top"/>
          </w:tcPr>
          <w:p w14:paraId="392BE5A0">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63.5</w:t>
            </w:r>
          </w:p>
        </w:tc>
        <w:tc>
          <w:tcPr>
            <w:tcW w:w="1256" w:type="dxa"/>
            <w:vAlign w:val="top"/>
          </w:tcPr>
          <w:p w14:paraId="09EA0A54">
            <w:pPr>
              <w:keepNext w:val="0"/>
              <w:keepLines w:val="0"/>
              <w:widowControl/>
              <w:suppressLineNumbers w:val="0"/>
              <w:spacing w:line="315" w:lineRule="atLeast"/>
              <w:jc w:val="center"/>
              <w:textAlignment w:val="top"/>
              <w:rPr>
                <w:rFonts w:hint="default"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24.39</w:t>
            </w:r>
          </w:p>
        </w:tc>
        <w:tc>
          <w:tcPr>
            <w:tcW w:w="1469" w:type="dxa"/>
            <w:vAlign w:val="top"/>
          </w:tcPr>
          <w:p w14:paraId="368699CA">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87.89</w:t>
            </w:r>
          </w:p>
        </w:tc>
        <w:tc>
          <w:tcPr>
            <w:tcW w:w="1469" w:type="dxa"/>
            <w:vAlign w:val="top"/>
          </w:tcPr>
          <w:p w14:paraId="0FB61E63">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2</w:t>
            </w:r>
          </w:p>
        </w:tc>
      </w:tr>
      <w:tr w14:paraId="1C38D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trPr>
        <w:tc>
          <w:tcPr>
            <w:tcW w:w="3666" w:type="dxa"/>
            <w:vAlign w:val="top"/>
          </w:tcPr>
          <w:p w14:paraId="31141A82">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浙江华数广电网络股份有限公司</w:t>
            </w:r>
          </w:p>
        </w:tc>
        <w:tc>
          <w:tcPr>
            <w:tcW w:w="1136" w:type="dxa"/>
            <w:vAlign w:val="top"/>
          </w:tcPr>
          <w:p w14:paraId="4D806A55">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68.5</w:t>
            </w:r>
          </w:p>
        </w:tc>
        <w:tc>
          <w:tcPr>
            <w:tcW w:w="1042" w:type="dxa"/>
            <w:vAlign w:val="top"/>
          </w:tcPr>
          <w:p w14:paraId="08938306">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67.0</w:t>
            </w:r>
          </w:p>
        </w:tc>
        <w:tc>
          <w:tcPr>
            <w:tcW w:w="1117" w:type="dxa"/>
            <w:vAlign w:val="top"/>
          </w:tcPr>
          <w:p w14:paraId="71C57397">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66.75</w:t>
            </w:r>
          </w:p>
        </w:tc>
        <w:tc>
          <w:tcPr>
            <w:tcW w:w="1469" w:type="dxa"/>
            <w:vAlign w:val="top"/>
          </w:tcPr>
          <w:p w14:paraId="5A070385">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66.75</w:t>
            </w:r>
          </w:p>
        </w:tc>
        <w:tc>
          <w:tcPr>
            <w:tcW w:w="1469" w:type="dxa"/>
            <w:vAlign w:val="top"/>
          </w:tcPr>
          <w:p w14:paraId="629DF5A4">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70.0</w:t>
            </w:r>
          </w:p>
        </w:tc>
        <w:tc>
          <w:tcPr>
            <w:tcW w:w="1682" w:type="dxa"/>
            <w:vAlign w:val="top"/>
          </w:tcPr>
          <w:p w14:paraId="2C2EF53F">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67.8</w:t>
            </w:r>
          </w:p>
        </w:tc>
        <w:tc>
          <w:tcPr>
            <w:tcW w:w="1256" w:type="dxa"/>
            <w:vAlign w:val="top"/>
          </w:tcPr>
          <w:p w14:paraId="039B8411">
            <w:pPr>
              <w:keepNext w:val="0"/>
              <w:keepLines w:val="0"/>
              <w:widowControl/>
              <w:suppressLineNumbers w:val="0"/>
              <w:spacing w:line="315" w:lineRule="atLeast"/>
              <w:jc w:val="center"/>
              <w:textAlignment w:val="top"/>
              <w:rPr>
                <w:rFonts w:hint="default"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20.79</w:t>
            </w:r>
          </w:p>
        </w:tc>
        <w:tc>
          <w:tcPr>
            <w:tcW w:w="1469" w:type="dxa"/>
            <w:vAlign w:val="top"/>
          </w:tcPr>
          <w:p w14:paraId="5CEFF69B">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88.59</w:t>
            </w:r>
          </w:p>
        </w:tc>
        <w:tc>
          <w:tcPr>
            <w:tcW w:w="1469" w:type="dxa"/>
            <w:vAlign w:val="top"/>
          </w:tcPr>
          <w:p w14:paraId="4DD7DF4E">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1</w:t>
            </w:r>
          </w:p>
        </w:tc>
      </w:tr>
      <w:tr w14:paraId="7F574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trPr>
        <w:tc>
          <w:tcPr>
            <w:tcW w:w="3666" w:type="dxa"/>
            <w:vAlign w:val="top"/>
          </w:tcPr>
          <w:p w14:paraId="64CFA6E4">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浙江巨达智能科技有限公司</w:t>
            </w:r>
          </w:p>
        </w:tc>
        <w:tc>
          <w:tcPr>
            <w:tcW w:w="1136" w:type="dxa"/>
            <w:vAlign w:val="top"/>
          </w:tcPr>
          <w:p w14:paraId="3D49602C">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46.0</w:t>
            </w:r>
          </w:p>
        </w:tc>
        <w:tc>
          <w:tcPr>
            <w:tcW w:w="1042" w:type="dxa"/>
            <w:vAlign w:val="top"/>
          </w:tcPr>
          <w:p w14:paraId="4A5D6F39">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46.0</w:t>
            </w:r>
          </w:p>
        </w:tc>
        <w:tc>
          <w:tcPr>
            <w:tcW w:w="1117" w:type="dxa"/>
            <w:vAlign w:val="top"/>
          </w:tcPr>
          <w:p w14:paraId="0CA6FB1D">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46.0</w:t>
            </w:r>
          </w:p>
        </w:tc>
        <w:tc>
          <w:tcPr>
            <w:tcW w:w="1469" w:type="dxa"/>
            <w:vAlign w:val="top"/>
          </w:tcPr>
          <w:p w14:paraId="3F4E8560">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46.0</w:t>
            </w:r>
          </w:p>
        </w:tc>
        <w:tc>
          <w:tcPr>
            <w:tcW w:w="1469" w:type="dxa"/>
            <w:vAlign w:val="top"/>
          </w:tcPr>
          <w:p w14:paraId="2CEC7AB4">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46.5</w:t>
            </w:r>
          </w:p>
        </w:tc>
        <w:tc>
          <w:tcPr>
            <w:tcW w:w="1682" w:type="dxa"/>
            <w:vAlign w:val="top"/>
          </w:tcPr>
          <w:p w14:paraId="08C47519">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46.1</w:t>
            </w:r>
          </w:p>
        </w:tc>
        <w:tc>
          <w:tcPr>
            <w:tcW w:w="1256" w:type="dxa"/>
            <w:vAlign w:val="top"/>
          </w:tcPr>
          <w:p w14:paraId="67B053F8">
            <w:pPr>
              <w:keepNext w:val="0"/>
              <w:keepLines w:val="0"/>
              <w:widowControl/>
              <w:suppressLineNumbers w:val="0"/>
              <w:spacing w:line="315" w:lineRule="atLeast"/>
              <w:jc w:val="center"/>
              <w:textAlignment w:val="top"/>
              <w:rPr>
                <w:rFonts w:hint="default"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30</w:t>
            </w:r>
          </w:p>
        </w:tc>
        <w:tc>
          <w:tcPr>
            <w:tcW w:w="1469" w:type="dxa"/>
            <w:vAlign w:val="top"/>
          </w:tcPr>
          <w:p w14:paraId="370259E9">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76.1</w:t>
            </w:r>
          </w:p>
        </w:tc>
        <w:tc>
          <w:tcPr>
            <w:tcW w:w="1469" w:type="dxa"/>
            <w:vAlign w:val="top"/>
          </w:tcPr>
          <w:p w14:paraId="115FCEC0">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3</w:t>
            </w:r>
          </w:p>
        </w:tc>
      </w:tr>
      <w:tr w14:paraId="5E13C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3666" w:type="dxa"/>
            <w:vAlign w:val="top"/>
          </w:tcPr>
          <w:p w14:paraId="78CDBA67">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浙江航睿建设工程有限公司</w:t>
            </w:r>
          </w:p>
        </w:tc>
        <w:tc>
          <w:tcPr>
            <w:tcW w:w="1136" w:type="dxa"/>
            <w:vAlign w:val="top"/>
          </w:tcPr>
          <w:p w14:paraId="18ED7408">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49.0</w:t>
            </w:r>
          </w:p>
        </w:tc>
        <w:tc>
          <w:tcPr>
            <w:tcW w:w="1042" w:type="dxa"/>
            <w:vAlign w:val="top"/>
          </w:tcPr>
          <w:p w14:paraId="5ED269DA">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47.5</w:t>
            </w:r>
          </w:p>
        </w:tc>
        <w:tc>
          <w:tcPr>
            <w:tcW w:w="1117" w:type="dxa"/>
            <w:vAlign w:val="top"/>
          </w:tcPr>
          <w:p w14:paraId="0AF6D7F3">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47.0</w:t>
            </w:r>
          </w:p>
        </w:tc>
        <w:tc>
          <w:tcPr>
            <w:tcW w:w="1469" w:type="dxa"/>
            <w:vAlign w:val="top"/>
          </w:tcPr>
          <w:p w14:paraId="2F3AA8D0">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47.0</w:t>
            </w:r>
          </w:p>
        </w:tc>
        <w:tc>
          <w:tcPr>
            <w:tcW w:w="1469" w:type="dxa"/>
            <w:vAlign w:val="top"/>
          </w:tcPr>
          <w:p w14:paraId="2E6FCCC0">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47.0</w:t>
            </w:r>
          </w:p>
        </w:tc>
        <w:tc>
          <w:tcPr>
            <w:tcW w:w="1682" w:type="dxa"/>
            <w:vAlign w:val="top"/>
          </w:tcPr>
          <w:p w14:paraId="5E66A4E4">
            <w:pPr>
              <w:keepNext w:val="0"/>
              <w:keepLines w:val="0"/>
              <w:widowControl/>
              <w:suppressLineNumbers w:val="0"/>
              <w:spacing w:line="315" w:lineRule="atLeast"/>
              <w:jc w:val="center"/>
              <w:textAlignment w:val="top"/>
              <w:rPr>
                <w:rFonts w:hint="eastAsia"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47.5</w:t>
            </w:r>
          </w:p>
        </w:tc>
        <w:tc>
          <w:tcPr>
            <w:tcW w:w="1256" w:type="dxa"/>
            <w:vAlign w:val="top"/>
          </w:tcPr>
          <w:p w14:paraId="3BD962E8">
            <w:pPr>
              <w:keepNext w:val="0"/>
              <w:keepLines w:val="0"/>
              <w:widowControl/>
              <w:suppressLineNumbers w:val="0"/>
              <w:spacing w:line="315" w:lineRule="atLeast"/>
              <w:jc w:val="center"/>
              <w:textAlignment w:val="top"/>
              <w:rPr>
                <w:rFonts w:hint="default" w:ascii="宋体" w:hAnsi="宋体" w:eastAsia="宋体" w:cs="宋体"/>
                <w:color w:val="000000"/>
                <w:sz w:val="30"/>
                <w:szCs w:val="30"/>
                <w:vertAlign w:val="baseline"/>
                <w:lang w:val="en-US" w:eastAsia="zh-CN"/>
              </w:rPr>
            </w:pPr>
            <w:r>
              <w:rPr>
                <w:rFonts w:hint="eastAsia" w:ascii="宋体" w:hAnsi="宋体" w:eastAsia="宋体" w:cs="宋体"/>
                <w:caps w:val="0"/>
                <w:spacing w:val="0"/>
                <w:kern w:val="0"/>
                <w:sz w:val="24"/>
                <w:szCs w:val="24"/>
                <w:lang w:val="en-US" w:eastAsia="zh-CN" w:bidi="ar"/>
              </w:rPr>
              <w:t>20.67</w:t>
            </w:r>
          </w:p>
        </w:tc>
        <w:tc>
          <w:tcPr>
            <w:tcW w:w="1469" w:type="dxa"/>
            <w:vAlign w:val="top"/>
          </w:tcPr>
          <w:p w14:paraId="5F86ECF9">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68.17</w:t>
            </w:r>
          </w:p>
        </w:tc>
        <w:tc>
          <w:tcPr>
            <w:tcW w:w="1469" w:type="dxa"/>
            <w:vAlign w:val="top"/>
          </w:tcPr>
          <w:p w14:paraId="63F1A1E4">
            <w:pPr>
              <w:keepNext w:val="0"/>
              <w:keepLines w:val="0"/>
              <w:widowControl/>
              <w:suppressLineNumbers w:val="0"/>
              <w:spacing w:line="315" w:lineRule="atLeast"/>
              <w:jc w:val="center"/>
              <w:textAlignment w:val="top"/>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4</w:t>
            </w:r>
          </w:p>
        </w:tc>
      </w:tr>
    </w:tbl>
    <w:p w14:paraId="64C97F5C">
      <w:pPr>
        <w:tabs>
          <w:tab w:val="left" w:pos="7513"/>
        </w:tabs>
        <w:ind w:firstLine="600" w:firstLineChars="200"/>
        <w:jc w:val="both"/>
        <w:rPr>
          <w:rFonts w:hint="eastAsia" w:cs="Times New Roman"/>
          <w:color w:val="000000"/>
          <w:sz w:val="30"/>
          <w:szCs w:val="30"/>
          <w:lang w:val="en-US" w:eastAsia="zh-CN"/>
        </w:rPr>
        <w:sectPr>
          <w:pgSz w:w="16838" w:h="11906" w:orient="landscape"/>
          <w:pgMar w:top="1800" w:right="1440" w:bottom="1800" w:left="1440" w:header="851" w:footer="992" w:gutter="0"/>
          <w:cols w:space="425" w:num="1"/>
          <w:docGrid w:type="lines" w:linePitch="312" w:charSpace="0"/>
        </w:sectPr>
      </w:pPr>
    </w:p>
    <w:p w14:paraId="650B32A2">
      <w:pPr>
        <w:jc w:val="both"/>
        <w:rPr>
          <w:rFonts w:hint="default" w:cs="Times New Roman"/>
          <w:color w:val="000000"/>
          <w:sz w:val="30"/>
          <w:szCs w:val="3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3657A0"/>
    <w:rsid w:val="1AD04D99"/>
    <w:rsid w:val="1DE010B8"/>
    <w:rsid w:val="27151FD1"/>
    <w:rsid w:val="3B143534"/>
    <w:rsid w:val="45DA51F3"/>
    <w:rsid w:val="6B524DDF"/>
    <w:rsid w:val="7CEB7706"/>
    <w:rsid w:val="7EB937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234</Words>
  <Characters>264</Characters>
  <Lines>0</Lines>
  <Paragraphs>0</Paragraphs>
  <TotalTime>0</TotalTime>
  <ScaleCrop>false</ScaleCrop>
  <LinksUpToDate>false</LinksUpToDate>
  <CharactersWithSpaces>264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2025-04-10T07:02:00Z</dcterms:created>
  <dc:creator>eed</dc:creator>
  <cp:lastModifiedBy>放空☆飛翔♡</cp:lastModifiedBy>
  <dcterms:modified xsi:type="dcterms:W3CDTF">2025-04-11T01:16:05Z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eyJoZGlkIjoiMjdlZmYxNDM3ODc4MzMxMzc1ZGUxMWIzOTY5MGYyNmQiLCJ1c2VySWQiOiIzMDI4NTQyOTMifQ==</vt:lpwstr>
  </property>
  <property fmtid="{D5CDD505-2E9C-101B-9397-08002B2CF9AE}" pid="4" name="ICV">
    <vt:lpwstr>38FF62326DD14A17B38CC78EB80936C7_12</vt:lpwstr>
  </property>
</Properties>
</file>