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24"/>
          <w:lang w:val="en-US" w:eastAsia="zh-CN"/>
        </w:rPr>
      </w:pPr>
      <w:r>
        <w:rPr>
          <w:rFonts w:hint="eastAsia"/>
          <w:b/>
          <w:bCs/>
          <w:sz w:val="24"/>
          <w:szCs w:val="24"/>
          <w:lang w:val="en-US" w:eastAsia="zh-CN"/>
        </w:rPr>
        <w:t>附件：</w:t>
      </w:r>
    </w:p>
    <w:p>
      <w:pPr>
        <w:jc w:val="center"/>
        <w:rPr>
          <w:rFonts w:hint="eastAsia" w:ascii="宋体" w:hAnsi="宋体" w:cs="宋体"/>
          <w:sz w:val="24"/>
          <w:szCs w:val="24"/>
        </w:rPr>
      </w:pPr>
      <w:r>
        <w:rPr>
          <w:rFonts w:hint="eastAsia" w:ascii="宋体" w:hAnsi="宋体" w:cs="宋体"/>
          <w:b/>
          <w:sz w:val="36"/>
          <w:szCs w:val="36"/>
          <w:lang w:eastAsia="zh-CN"/>
        </w:rPr>
        <w:t>多湖街道中心幼儿园新建工程-提升改造项目（</w:t>
      </w:r>
      <w:r>
        <w:rPr>
          <w:rFonts w:hint="eastAsia" w:ascii="宋体" w:hAnsi="宋体" w:cs="宋体"/>
          <w:b/>
          <w:sz w:val="36"/>
          <w:szCs w:val="36"/>
          <w:lang w:val="en-US" w:eastAsia="zh-CN"/>
        </w:rPr>
        <w:t>窗帘</w:t>
      </w:r>
      <w:r>
        <w:rPr>
          <w:rFonts w:hint="eastAsia" w:ascii="宋体" w:hAnsi="宋体" w:cs="宋体"/>
          <w:b/>
          <w:sz w:val="36"/>
          <w:szCs w:val="36"/>
          <w:lang w:eastAsia="zh-CN"/>
        </w:rPr>
        <w:t>采购）</w:t>
      </w:r>
      <w:r>
        <w:rPr>
          <w:rFonts w:hint="eastAsia" w:ascii="宋体" w:hAnsi="宋体" w:cs="宋体"/>
          <w:b/>
          <w:sz w:val="36"/>
          <w:szCs w:val="36"/>
          <w:lang w:val="en-US" w:eastAsia="zh-CN"/>
        </w:rPr>
        <w:t>报价</w:t>
      </w:r>
      <w:r>
        <w:rPr>
          <w:rFonts w:hint="eastAsia" w:ascii="宋体" w:hAnsi="宋体" w:cs="宋体"/>
          <w:b/>
          <w:sz w:val="36"/>
          <w:szCs w:val="36"/>
        </w:rPr>
        <w:t>单</w:t>
      </w:r>
    </w:p>
    <w:p>
      <w:pPr>
        <w:widowControl w:val="0"/>
        <w:spacing w:line="300" w:lineRule="exact"/>
        <w:ind w:left="956" w:leftChars="284" w:hanging="360" w:hangingChars="150"/>
        <w:rPr>
          <w:rFonts w:hint="eastAsia" w:ascii="宋体" w:hAnsi="宋体" w:cs="宋体"/>
          <w:sz w:val="24"/>
          <w:szCs w:val="24"/>
        </w:rPr>
      </w:pPr>
    </w:p>
    <w:tbl>
      <w:tblPr>
        <w:tblStyle w:val="7"/>
        <w:tblW w:w="14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84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b/>
                <w:bCs/>
                <w:color w:val="auto"/>
                <w:kern w:val="2"/>
                <w:sz w:val="24"/>
                <w:szCs w:val="24"/>
              </w:rPr>
            </w:pPr>
            <w:r>
              <w:rPr>
                <w:rFonts w:hint="eastAsia" w:ascii="宋体" w:hAnsi="宋体" w:cs="宋体"/>
                <w:b/>
                <w:bCs/>
                <w:color w:val="auto"/>
                <w:sz w:val="24"/>
                <w:szCs w:val="24"/>
              </w:rPr>
              <w:t>项目名称</w:t>
            </w:r>
          </w:p>
        </w:tc>
        <w:tc>
          <w:tcPr>
            <w:tcW w:w="11858" w:type="dxa"/>
            <w:tcBorders>
              <w:top w:val="single" w:color="auto" w:sz="4" w:space="0"/>
              <w:left w:val="single" w:color="auto" w:sz="4" w:space="0"/>
              <w:right w:val="single" w:color="auto" w:sz="4" w:space="0"/>
            </w:tcBorders>
            <w:vAlign w:val="center"/>
          </w:tcPr>
          <w:p>
            <w:pPr>
              <w:widowControl w:val="0"/>
              <w:spacing w:line="440" w:lineRule="exact"/>
              <w:rPr>
                <w:rFonts w:hint="eastAsia" w:ascii="宋体" w:hAnsi="宋体" w:eastAsia="宋体" w:cs="宋体"/>
                <w:b/>
                <w:bCs/>
                <w:color w:val="auto"/>
                <w:kern w:val="2"/>
                <w:sz w:val="24"/>
                <w:szCs w:val="24"/>
                <w:lang w:eastAsia="zh-CN"/>
              </w:rPr>
            </w:pPr>
            <w:r>
              <w:rPr>
                <w:rFonts w:hint="eastAsia" w:ascii="宋体" w:hAnsi="宋体" w:cs="宋体"/>
                <w:b/>
                <w:bCs/>
                <w:color w:val="auto"/>
                <w:sz w:val="24"/>
                <w:szCs w:val="24"/>
                <w:lang w:eastAsia="zh-CN"/>
              </w:rPr>
              <w:t>多湖街道中心幼儿园新建工程-提升改造项目（</w:t>
            </w:r>
            <w:r>
              <w:rPr>
                <w:rFonts w:hint="eastAsia" w:ascii="宋体" w:hAnsi="宋体" w:cs="宋体"/>
                <w:b/>
                <w:bCs/>
                <w:color w:val="auto"/>
                <w:sz w:val="24"/>
                <w:szCs w:val="24"/>
                <w:lang w:val="en-US" w:eastAsia="zh-CN"/>
              </w:rPr>
              <w:t>窗帘</w:t>
            </w:r>
            <w:r>
              <w:rPr>
                <w:rFonts w:hint="eastAsia" w:ascii="宋体" w:hAnsi="宋体" w:cs="宋体"/>
                <w:b/>
                <w:bCs/>
                <w:color w:val="auto"/>
                <w:sz w:val="24"/>
                <w:szCs w:val="24"/>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2849" w:type="dxa"/>
            <w:tcBorders>
              <w:top w:val="single" w:color="auto" w:sz="4" w:space="0"/>
              <w:left w:val="single" w:color="auto" w:sz="4" w:space="0"/>
              <w:right w:val="single" w:color="auto" w:sz="4" w:space="0"/>
            </w:tcBorders>
            <w:vAlign w:val="center"/>
          </w:tcPr>
          <w:p>
            <w:pPr>
              <w:widowControl w:val="0"/>
              <w:spacing w:line="440" w:lineRule="exact"/>
              <w:rPr>
                <w:rFonts w:ascii="宋体" w:hAnsi="宋体" w:cs="宋体"/>
                <w:color w:val="auto"/>
                <w:kern w:val="2"/>
                <w:sz w:val="24"/>
                <w:szCs w:val="24"/>
              </w:rPr>
            </w:pPr>
            <w:r>
              <w:rPr>
                <w:rFonts w:hint="eastAsia" w:ascii="宋体" w:hAnsi="宋体" w:cs="宋体"/>
                <w:b/>
                <w:bCs/>
                <w:color w:val="auto"/>
                <w:sz w:val="24"/>
                <w:szCs w:val="24"/>
              </w:rPr>
              <w:t>项目内容</w:t>
            </w:r>
          </w:p>
        </w:tc>
        <w:tc>
          <w:tcPr>
            <w:tcW w:w="11858" w:type="dxa"/>
            <w:tcBorders>
              <w:top w:val="single" w:color="auto" w:sz="4" w:space="0"/>
              <w:left w:val="single" w:color="auto" w:sz="4" w:space="0"/>
              <w:right w:val="single" w:color="auto" w:sz="4" w:space="0"/>
            </w:tcBorders>
            <w:vAlign w:val="center"/>
          </w:tcPr>
          <w:p>
            <w:pPr>
              <w:jc w:val="both"/>
              <w:rPr>
                <w:rFonts w:hint="default" w:ascii="宋体" w:hAnsi="宋体" w:eastAsia="宋体" w:cs="宋体"/>
                <w:color w:val="auto"/>
                <w:kern w:val="2"/>
                <w:sz w:val="24"/>
                <w:szCs w:val="24"/>
                <w:lang w:val="en-US" w:eastAsia="zh-CN"/>
              </w:rPr>
            </w:pPr>
            <w:r>
              <w:rPr>
                <w:rFonts w:hint="eastAsia" w:ascii="宋体" w:hAnsi="宋体" w:cs="宋体"/>
                <w:b/>
                <w:color w:val="auto"/>
                <w:kern w:val="2"/>
                <w:sz w:val="24"/>
                <w:szCs w:val="24"/>
                <w:lang w:val="en-US" w:eastAsia="zh-CN"/>
              </w:rPr>
              <w:t>窗帘及辅材一批，详见附件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2849"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color w:val="auto"/>
                <w:kern w:val="2"/>
                <w:sz w:val="24"/>
                <w:szCs w:val="24"/>
              </w:rPr>
            </w:pPr>
            <w:r>
              <w:rPr>
                <w:rFonts w:hint="eastAsia" w:ascii="宋体" w:hAnsi="宋体" w:cs="宋体"/>
                <w:color w:val="auto"/>
                <w:kern w:val="2"/>
                <w:sz w:val="24"/>
                <w:szCs w:val="24"/>
              </w:rPr>
              <w:t>询价承诺（人民币/报价）</w:t>
            </w:r>
          </w:p>
        </w:tc>
        <w:tc>
          <w:tcPr>
            <w:tcW w:w="11858"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left"/>
              <w:rPr>
                <w:rFonts w:hint="default" w:ascii="宋体" w:hAnsi="宋体" w:eastAsia="宋体" w:cs="宋体"/>
                <w:color w:val="auto"/>
                <w:kern w:val="2"/>
                <w:sz w:val="24"/>
                <w:szCs w:val="24"/>
                <w:u w:val="none"/>
                <w:lang w:val="en-US" w:eastAsia="zh-CN"/>
              </w:rPr>
            </w:pPr>
            <w:r>
              <w:rPr>
                <w:rFonts w:hint="eastAsia" w:ascii="宋体" w:hAnsi="宋体" w:cs="宋体"/>
                <w:color w:val="auto"/>
                <w:kern w:val="2"/>
                <w:sz w:val="24"/>
                <w:szCs w:val="24"/>
              </w:rPr>
              <w:t>大写</w:t>
            </w:r>
            <w:r>
              <w:rPr>
                <w:rFonts w:hint="eastAsia" w:ascii="宋体" w:hAnsi="宋体" w:cs="宋体"/>
                <w:color w:val="auto"/>
                <w:kern w:val="2"/>
                <w:sz w:val="24"/>
                <w:szCs w:val="24"/>
                <w:lang w:eastAsia="zh-CN"/>
              </w:rPr>
              <w:t>：</w:t>
            </w:r>
            <w:r>
              <w:rPr>
                <w:rFonts w:hint="eastAsia" w:ascii="宋体" w:hAnsi="宋体" w:cs="宋体"/>
                <w:color w:val="auto"/>
                <w:kern w:val="2"/>
                <w:sz w:val="24"/>
                <w:szCs w:val="24"/>
                <w:u w:val="single"/>
                <w:lang w:val="en-US" w:eastAsia="zh-CN"/>
              </w:rPr>
              <w:t xml:space="preserve">       </w:t>
            </w:r>
            <w:r>
              <w:rPr>
                <w:rFonts w:hint="eastAsia" w:ascii="宋体" w:hAnsi="宋体" w:cs="宋体"/>
                <w:color w:val="auto"/>
                <w:kern w:val="2"/>
                <w:sz w:val="24"/>
                <w:szCs w:val="24"/>
                <w:u w:val="none"/>
                <w:lang w:val="en-US" w:eastAsia="zh-CN"/>
              </w:rPr>
              <w:t>元</w:t>
            </w:r>
          </w:p>
          <w:p>
            <w:pPr>
              <w:widowControl w:val="0"/>
              <w:spacing w:line="440" w:lineRule="exact"/>
              <w:jc w:val="both"/>
              <w:rPr>
                <w:rFonts w:hint="default" w:ascii="宋体" w:hAnsi="宋体" w:eastAsia="宋体" w:cs="宋体"/>
                <w:color w:val="auto"/>
                <w:kern w:val="2"/>
                <w:sz w:val="24"/>
                <w:szCs w:val="24"/>
                <w:lang w:val="en-US" w:eastAsia="zh-CN"/>
              </w:rPr>
            </w:pPr>
            <w:r>
              <w:rPr>
                <w:rFonts w:hint="eastAsia" w:ascii="宋体" w:hAnsi="宋体" w:cs="宋体"/>
                <w:color w:val="auto"/>
                <w:kern w:val="2"/>
                <w:sz w:val="24"/>
                <w:szCs w:val="24"/>
              </w:rPr>
              <w:t>小写</w:t>
            </w:r>
            <w:r>
              <w:rPr>
                <w:rFonts w:hint="eastAsia" w:ascii="宋体" w:hAnsi="宋体" w:cs="宋体"/>
                <w:color w:val="auto"/>
                <w:kern w:val="2"/>
                <w:sz w:val="24"/>
                <w:szCs w:val="24"/>
                <w:lang w:eastAsia="zh-CN"/>
              </w:rPr>
              <w:t>：</w:t>
            </w:r>
            <w:r>
              <w:rPr>
                <w:rFonts w:hint="eastAsia" w:ascii="宋体" w:hAnsi="宋体" w:cs="宋体"/>
                <w:color w:val="auto"/>
                <w:kern w:val="2"/>
                <w:sz w:val="24"/>
                <w:szCs w:val="24"/>
                <w:u w:val="single"/>
                <w:lang w:val="en-US" w:eastAsia="zh-CN"/>
              </w:rPr>
              <w:t xml:space="preserve">       </w:t>
            </w:r>
            <w:r>
              <w:rPr>
                <w:rFonts w:hint="eastAsia" w:ascii="宋体" w:hAnsi="宋体" w:cs="宋体"/>
                <w:color w:val="auto"/>
                <w:kern w:val="2"/>
                <w:sz w:val="24"/>
                <w:szCs w:val="24"/>
                <w:u w:val="none"/>
                <w:lang w:val="en-US" w:eastAsia="zh-CN"/>
              </w:rPr>
              <w:t>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70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440" w:lineRule="exact"/>
              <w:rPr>
                <w:rFonts w:ascii="宋体" w:hAnsi="宋体" w:cs="宋体"/>
                <w:color w:val="auto"/>
                <w:sz w:val="24"/>
                <w:szCs w:val="24"/>
              </w:rPr>
            </w:pPr>
            <w:r>
              <w:rPr>
                <w:rFonts w:hint="eastAsia" w:ascii="宋体" w:hAnsi="宋体" w:cs="宋体"/>
                <w:color w:val="auto"/>
                <w:sz w:val="24"/>
                <w:szCs w:val="24"/>
              </w:rPr>
              <w:t>报价人名称：</w:t>
            </w:r>
          </w:p>
          <w:p>
            <w:pPr>
              <w:widowControl w:val="0"/>
              <w:spacing w:line="440" w:lineRule="exact"/>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联系电话：</w:t>
            </w:r>
          </w:p>
          <w:p>
            <w:pPr>
              <w:widowControl w:val="0"/>
              <w:spacing w:line="440" w:lineRule="exact"/>
              <w:rPr>
                <w:rFonts w:ascii="宋体" w:hAnsi="宋体" w:cs="宋体"/>
                <w:color w:val="auto"/>
                <w:kern w:val="2"/>
                <w:sz w:val="24"/>
                <w:szCs w:val="24"/>
              </w:rPr>
            </w:pPr>
            <w:r>
              <w:rPr>
                <w:rFonts w:hint="eastAsia" w:ascii="宋体" w:hAnsi="宋体" w:cs="宋体"/>
                <w:color w:val="auto"/>
                <w:sz w:val="24"/>
                <w:szCs w:val="24"/>
                <w:lang w:val="en-US" w:eastAsia="zh-CN"/>
              </w:rPr>
              <w:t>电子邮箱</w:t>
            </w:r>
            <w:r>
              <w:rPr>
                <w:rFonts w:hint="eastAsia" w:ascii="宋体" w:hAnsi="宋体" w:cs="宋体"/>
                <w:color w:val="auto"/>
                <w:sz w:val="24"/>
                <w:szCs w:val="24"/>
              </w:rPr>
              <w:t>：                           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日（盖章）</w:t>
            </w:r>
          </w:p>
        </w:tc>
      </w:tr>
    </w:tbl>
    <w:p>
      <w:pPr>
        <w:widowControl w:val="0"/>
        <w:spacing w:line="300" w:lineRule="exact"/>
        <w:ind w:left="840" w:leftChars="57" w:hanging="720" w:hangingChars="300"/>
        <w:rPr>
          <w:rFonts w:ascii="宋体" w:hAnsi="宋体" w:cs="宋体"/>
          <w:color w:val="auto"/>
          <w:sz w:val="24"/>
          <w:szCs w:val="24"/>
        </w:rPr>
      </w:pPr>
      <w:r>
        <w:rPr>
          <w:rFonts w:hint="eastAsia" w:ascii="宋体" w:hAnsi="宋体" w:cs="宋体"/>
          <w:color w:val="auto"/>
          <w:sz w:val="24"/>
          <w:szCs w:val="24"/>
        </w:rPr>
        <w:t>注：1、附报价人</w:t>
      </w:r>
      <w:r>
        <w:rPr>
          <w:rFonts w:hint="eastAsia" w:ascii="宋体" w:hAnsi="宋体" w:cs="宋体"/>
          <w:color w:val="auto"/>
          <w:sz w:val="24"/>
        </w:rPr>
        <w:t>（营业执照、授权</w:t>
      </w:r>
      <w:r>
        <w:rPr>
          <w:rFonts w:hint="eastAsia" w:ascii="宋体" w:hAnsi="宋体" w:cs="宋体"/>
          <w:color w:val="auto"/>
          <w:sz w:val="24"/>
          <w:szCs w:val="24"/>
        </w:rPr>
        <w:t>代表身</w:t>
      </w:r>
      <w:r>
        <w:rPr>
          <w:rFonts w:hint="eastAsia" w:ascii="宋体" w:hAnsi="宋体" w:cs="宋体"/>
          <w:color w:val="auto"/>
          <w:sz w:val="24"/>
        </w:rPr>
        <w:t>份证）复印件、报价函、授权委托书等</w:t>
      </w:r>
      <w:r>
        <w:rPr>
          <w:rFonts w:hint="eastAsia" w:ascii="宋体" w:hAnsi="宋体" w:cs="宋体"/>
          <w:color w:val="auto"/>
          <w:sz w:val="24"/>
          <w:szCs w:val="24"/>
        </w:rPr>
        <w:t>。</w:t>
      </w:r>
    </w:p>
    <w:p>
      <w:pPr>
        <w:widowControl w:val="0"/>
        <w:spacing w:line="300" w:lineRule="exact"/>
        <w:ind w:left="956" w:leftChars="284" w:hanging="360" w:hangingChars="150"/>
        <w:rPr>
          <w:rFonts w:ascii="宋体" w:hAnsi="宋体" w:cs="宋体"/>
          <w:color w:val="auto"/>
          <w:sz w:val="24"/>
          <w:szCs w:val="24"/>
        </w:rPr>
      </w:pPr>
      <w:r>
        <w:rPr>
          <w:rFonts w:hint="eastAsia" w:ascii="宋体" w:hAnsi="宋体" w:cs="宋体"/>
          <w:color w:val="auto"/>
          <w:sz w:val="24"/>
          <w:szCs w:val="24"/>
        </w:rPr>
        <w:t>2、本询价单填写内容必须按要求清晰完整，如有涂改，应加盖公章。</w:t>
      </w:r>
    </w:p>
    <w:p>
      <w:pPr>
        <w:rPr>
          <w:rFonts w:hint="eastAsia" w:ascii="宋体" w:hAnsi="宋体" w:cs="宋体"/>
          <w:color w:val="auto"/>
          <w:sz w:val="24"/>
          <w:szCs w:val="24"/>
        </w:rPr>
      </w:pPr>
    </w:p>
    <w:p>
      <w:pPr>
        <w:pStyle w:val="2"/>
        <w:rPr>
          <w:rFonts w:hint="eastAsia" w:ascii="宋体" w:hAnsi="宋体" w:cs="宋体"/>
          <w:color w:val="auto"/>
          <w:sz w:val="24"/>
          <w:szCs w:val="24"/>
        </w:rPr>
      </w:pPr>
    </w:p>
    <w:p>
      <w:pPr>
        <w:rPr>
          <w:rFonts w:hint="eastAsia" w:eastAsia="宋体"/>
          <w:color w:val="auto"/>
          <w:sz w:val="24"/>
          <w:szCs w:val="24"/>
          <w:lang w:eastAsia="zh-CN"/>
        </w:rPr>
        <w:sectPr>
          <w:pgSz w:w="16838" w:h="11906" w:orient="landscape"/>
          <w:pgMar w:top="1180" w:right="1440" w:bottom="1686" w:left="1440" w:header="851" w:footer="992" w:gutter="0"/>
          <w:cols w:space="425" w:num="1"/>
          <w:docGrid w:type="lines" w:linePitch="312" w:charSpace="0"/>
        </w:sectPr>
      </w:pPr>
    </w:p>
    <w:p>
      <w:pPr>
        <w:pStyle w:val="2"/>
        <w:ind w:left="0" w:leftChars="0" w:firstLine="0" w:firstLineChars="0"/>
        <w:jc w:val="center"/>
        <w:rPr>
          <w:rFonts w:hint="eastAsia"/>
          <w:lang w:eastAsia="zh-CN"/>
        </w:rPr>
      </w:pPr>
      <w:r>
        <w:rPr>
          <w:rFonts w:hint="eastAsia" w:ascii="宋体" w:hAnsi="宋体" w:cs="宋体"/>
          <w:b/>
          <w:sz w:val="36"/>
          <w:szCs w:val="36"/>
          <w:lang w:eastAsia="zh-CN"/>
        </w:rPr>
        <w:t>多湖街道中心幼儿园新建工程-提升改造项目（</w:t>
      </w:r>
      <w:r>
        <w:rPr>
          <w:rFonts w:hint="eastAsia" w:ascii="宋体" w:hAnsi="宋体" w:cs="宋体"/>
          <w:b/>
          <w:sz w:val="36"/>
          <w:szCs w:val="36"/>
          <w:lang w:val="en-US" w:eastAsia="zh-CN"/>
        </w:rPr>
        <w:t>窗帘</w:t>
      </w:r>
      <w:r>
        <w:rPr>
          <w:rFonts w:hint="eastAsia" w:ascii="宋体" w:hAnsi="宋体" w:cs="宋体"/>
          <w:b/>
          <w:sz w:val="36"/>
          <w:szCs w:val="36"/>
          <w:lang w:eastAsia="zh-CN"/>
        </w:rPr>
        <w:t>采购）</w:t>
      </w:r>
      <w:r>
        <w:rPr>
          <w:rFonts w:hint="eastAsia" w:ascii="宋体" w:hAnsi="宋体" w:cs="宋体"/>
          <w:b/>
          <w:sz w:val="36"/>
          <w:szCs w:val="36"/>
          <w:lang w:val="en-US" w:eastAsia="zh-CN"/>
        </w:rPr>
        <w:t>报价清单</w:t>
      </w:r>
    </w:p>
    <w:tbl>
      <w:tblPr>
        <w:tblStyle w:val="7"/>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429"/>
        <w:gridCol w:w="5831"/>
        <w:gridCol w:w="2619"/>
        <w:gridCol w:w="942"/>
        <w:gridCol w:w="11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6" w:type="pct"/>
            <w:noWrap w:val="0"/>
            <w:vAlign w:val="center"/>
          </w:tcPr>
          <w:p>
            <w:pPr>
              <w:widowControl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518" w:type="pct"/>
            <w:noWrap w:val="0"/>
            <w:vAlign w:val="center"/>
          </w:tcPr>
          <w:p>
            <w:pPr>
              <w:widowControl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产品名称</w:t>
            </w:r>
          </w:p>
        </w:tc>
        <w:tc>
          <w:tcPr>
            <w:tcW w:w="2117" w:type="pct"/>
            <w:noWrap w:val="0"/>
            <w:vAlign w:val="center"/>
          </w:tcPr>
          <w:p>
            <w:pPr>
              <w:widowControl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技术参数</w:t>
            </w:r>
          </w:p>
        </w:tc>
        <w:tc>
          <w:tcPr>
            <w:tcW w:w="950" w:type="pct"/>
            <w:noWrap w:val="0"/>
            <w:vAlign w:val="center"/>
          </w:tcPr>
          <w:p>
            <w:pPr>
              <w:widowControl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参考图片</w:t>
            </w:r>
          </w:p>
        </w:tc>
        <w:tc>
          <w:tcPr>
            <w:tcW w:w="342" w:type="pct"/>
            <w:noWrap w:val="0"/>
            <w:vAlign w:val="center"/>
          </w:tcPr>
          <w:p>
            <w:pPr>
              <w:widowControl w:val="0"/>
              <w:jc w:val="center"/>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数量</w:t>
            </w:r>
          </w:p>
        </w:tc>
        <w:tc>
          <w:tcPr>
            <w:tcW w:w="432" w:type="pct"/>
            <w:noWrap w:val="0"/>
            <w:vAlign w:val="center"/>
          </w:tcPr>
          <w:p>
            <w:pPr>
              <w:widowControl w:val="0"/>
              <w:jc w:val="center"/>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综合单价</w:t>
            </w:r>
          </w:p>
        </w:tc>
        <w:tc>
          <w:tcPr>
            <w:tcW w:w="432" w:type="pct"/>
            <w:noWrap w:val="0"/>
            <w:vAlign w:val="center"/>
          </w:tcPr>
          <w:p>
            <w:pPr>
              <w:widowControl w:val="0"/>
              <w:jc w:val="center"/>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6"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18"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永久阻燃布帘</w:t>
            </w:r>
          </w:p>
        </w:tc>
        <w:tc>
          <w:tcPr>
            <w:tcW w:w="2117" w:type="pct"/>
            <w:noWrap w:val="0"/>
            <w:vAlign w:val="center"/>
          </w:tcPr>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1.成分：100%聚酯纤维；</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单位面积质量：≥</w:t>
            </w:r>
            <w:r>
              <w:rPr>
                <w:rFonts w:hint="default" w:ascii="Times New Roman" w:hAnsi="Times New Roman" w:eastAsia="宋体" w:cs="Times New Roman"/>
                <w:color w:val="auto"/>
                <w:sz w:val="21"/>
                <w:szCs w:val="21"/>
                <w:highlight w:val="none"/>
                <w:lang w:val="en-US" w:eastAsia="zh-CN"/>
              </w:rPr>
              <w:t>37</w:t>
            </w:r>
            <w:r>
              <w:rPr>
                <w:rFonts w:hint="default" w:ascii="Times New Roman" w:hAnsi="Times New Roman" w:eastAsia="宋体" w:cs="Times New Roman"/>
                <w:color w:val="auto"/>
                <w:sz w:val="21"/>
                <w:szCs w:val="21"/>
                <w:highlight w:val="none"/>
              </w:rPr>
              <w:t>0g/㎡</w:t>
            </w:r>
            <w:r>
              <w:rPr>
                <w:rFonts w:hint="eastAsia" w:eastAsia="宋体" w:cs="Times New Roman"/>
                <w:b/>
                <w:bCs/>
                <w:color w:val="auto"/>
                <w:sz w:val="21"/>
                <w:szCs w:val="21"/>
                <w:highlight w:val="none"/>
                <w:lang w:val="en-US" w:eastAsia="zh-CN"/>
              </w:rPr>
              <w:t>（提供由国家认可的第三方检测机构出具的检测报告复印件）</w:t>
            </w:r>
            <w:r>
              <w:rPr>
                <w:rFonts w:hint="default" w:ascii="Times New Roman" w:hAnsi="Times New Roman" w:eastAsia="宋体" w:cs="Times New Roman"/>
                <w:color w:val="auto"/>
                <w:sz w:val="21"/>
                <w:szCs w:val="21"/>
                <w:highlight w:val="none"/>
                <w:lang w:val="en-US" w:eastAsia="zh-CN"/>
              </w:rPr>
              <w:t>；</w:t>
            </w:r>
          </w:p>
          <w:p>
            <w:pPr>
              <w:numPr>
                <w:ilvl w:val="0"/>
                <w:numId w:val="0"/>
              </w:numPr>
              <w:spacing w:line="240" w:lineRule="auto"/>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3.遮光率</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9</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eastAsia="zh-CN"/>
              </w:rPr>
              <w:t>；</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bidi="ar"/>
              </w:rPr>
              <w:t>UPF紫外线防护系数：</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bidi="ar"/>
              </w:rPr>
              <w:t>50</w:t>
            </w:r>
            <w:r>
              <w:rPr>
                <w:rFonts w:hint="default" w:ascii="Times New Roman" w:hAnsi="Times New Roman" w:eastAsia="宋体" w:cs="Times New Roman"/>
                <w:color w:val="auto"/>
                <w:sz w:val="21"/>
                <w:szCs w:val="21"/>
                <w:highlight w:val="none"/>
                <w:lang w:eastAsia="zh-CN" w:bidi="ar"/>
              </w:rPr>
              <w:t>；</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5.耐磨性能：试验10000次后未破损；</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6.具有易去污性；</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7.色牢度、异味、PH值、甲醛、可分解致癌芳香胺染料符合 GB18401-2010《国家纺织产品基本安全技术规范》C类标准或更优A/B类标准；</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8.环保标准：符合绿色产品 GB/T35611-2017 非直接接触皮肤类标准或更优直接接触皮肤类标准或婴幼儿用品标准；</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▲9.阻燃标准：水洗≥50次后，检测符合GB20286-2006阻燃1级要求：</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（1）经向/纬向氧指数≥32%</w:t>
            </w:r>
            <w:r>
              <w:rPr>
                <w:rFonts w:hint="eastAsia" w:eastAsia="宋体" w:cs="Times New Roman"/>
                <w:b/>
                <w:bCs/>
                <w:color w:val="auto"/>
                <w:sz w:val="21"/>
                <w:szCs w:val="21"/>
                <w:highlight w:val="none"/>
                <w:lang w:val="en-US" w:eastAsia="zh-CN"/>
              </w:rPr>
              <w:t>（提供由国家认可的第三方检测机构出具的检测报告复印件）</w:t>
            </w:r>
            <w:r>
              <w:rPr>
                <w:rFonts w:hint="default" w:ascii="Times New Roman" w:hAnsi="Times New Roman" w:eastAsia="宋体" w:cs="Times New Roman"/>
                <w:color w:val="auto"/>
                <w:sz w:val="21"/>
                <w:szCs w:val="21"/>
                <w:highlight w:val="none"/>
                <w:lang w:val="en-US" w:eastAsia="zh-CN"/>
              </w:rPr>
              <w:t>；</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（2）损毁长度≤150mm，续燃时间≤5S，阴燃时间≤5S</w:t>
            </w:r>
            <w:r>
              <w:rPr>
                <w:rFonts w:hint="eastAsia"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燃烧滴落物未引起脱脂棉燃烧或阴燃</w:t>
            </w:r>
            <w:r>
              <w:rPr>
                <w:rFonts w:hint="eastAsia" w:eastAsia="宋体" w:cs="Times New Roman"/>
                <w:b/>
                <w:bCs/>
                <w:color w:val="auto"/>
                <w:sz w:val="21"/>
                <w:szCs w:val="21"/>
                <w:highlight w:val="none"/>
                <w:lang w:val="en-US" w:eastAsia="zh-CN"/>
              </w:rPr>
              <w:t>（提供由国家认可的第三方检测机构出具的检测报告复印件）；</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烟密度≤15SDR；</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）产烟毒性等级不低于 ZA2级；</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10.甲醛、苯、甲苯、二甲苯、TVOC去除率≥38%；</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11.抗菌性能：符合GB/T20944.3-2008或更优检测标准；</w:t>
            </w:r>
          </w:p>
          <w:p>
            <w:pPr>
              <w:pStyle w:val="14"/>
              <w:widowControl w:val="0"/>
              <w:spacing w:before="25" w:line="223" w:lineRule="auto"/>
              <w:ind w:right="132"/>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12.布帘褶皱率系数 1：2；整块裁剪，不得拼接，阻燃方式为永久性阻燃，非经阻燃剂浸泡/涂层阻燃方式。</w:t>
            </w:r>
          </w:p>
        </w:tc>
        <w:tc>
          <w:tcPr>
            <w:tcW w:w="950" w:type="pct"/>
            <w:noWrap w:val="0"/>
            <w:vAlign w:val="center"/>
          </w:tcPr>
          <w:p>
            <w:pPr>
              <w:widowControl w:val="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drawing>
                <wp:inline distT="0" distB="0" distL="114300" distR="114300">
                  <wp:extent cx="1285875" cy="3048000"/>
                  <wp:effectExtent l="0" t="0" r="9525" b="0"/>
                  <wp:docPr id="5" name="图片 5" descr="dfc97b1bcde92472372e14ba06158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fc97b1bcde92472372e14ba061585b"/>
                          <pic:cNvPicPr>
                            <a:picLocks noChangeAspect="1"/>
                          </pic:cNvPicPr>
                        </pic:nvPicPr>
                        <pic:blipFill>
                          <a:blip r:embed="rId4"/>
                          <a:stretch>
                            <a:fillRect/>
                          </a:stretch>
                        </pic:blipFill>
                        <pic:spPr>
                          <a:xfrm>
                            <a:off x="0" y="0"/>
                            <a:ext cx="1285875" cy="3048000"/>
                          </a:xfrm>
                          <a:prstGeom prst="rect">
                            <a:avLst/>
                          </a:prstGeom>
                        </pic:spPr>
                      </pic:pic>
                    </a:graphicData>
                  </a:graphic>
                </wp:inline>
              </w:drawing>
            </w:r>
          </w:p>
        </w:tc>
        <w:tc>
          <w:tcPr>
            <w:tcW w:w="342" w:type="pct"/>
            <w:noWrap w:val="0"/>
            <w:vAlign w:val="center"/>
          </w:tcPr>
          <w:p>
            <w:pPr>
              <w:widowControl w:val="0"/>
              <w:jc w:val="center"/>
              <w:rPr>
                <w:rFonts w:hint="default" w:eastAsia="宋体"/>
                <w:color w:val="auto"/>
                <w:sz w:val="21"/>
                <w:szCs w:val="21"/>
                <w:lang w:val="en-US" w:eastAsia="zh-CN"/>
              </w:rPr>
            </w:pPr>
            <w:r>
              <w:rPr>
                <w:rFonts w:hint="eastAsia"/>
                <w:color w:val="auto"/>
                <w:sz w:val="21"/>
                <w:szCs w:val="21"/>
                <w:lang w:val="en-US" w:eastAsia="zh-CN"/>
              </w:rPr>
              <w:t>1225米</w:t>
            </w:r>
          </w:p>
        </w:tc>
        <w:tc>
          <w:tcPr>
            <w:tcW w:w="432" w:type="pct"/>
            <w:noWrap w:val="0"/>
            <w:vAlign w:val="center"/>
          </w:tcPr>
          <w:p>
            <w:pPr>
              <w:widowControl w:val="0"/>
              <w:jc w:val="center"/>
              <w:rPr>
                <w:rFonts w:hint="eastAsia"/>
                <w:color w:val="auto"/>
                <w:sz w:val="21"/>
                <w:szCs w:val="21"/>
                <w:lang w:val="en-US" w:eastAsia="zh-CN"/>
              </w:rPr>
            </w:pPr>
          </w:p>
        </w:tc>
        <w:tc>
          <w:tcPr>
            <w:tcW w:w="432" w:type="pct"/>
            <w:noWrap w:val="0"/>
            <w:vAlign w:val="center"/>
          </w:tcPr>
          <w:p>
            <w:pPr>
              <w:widowControl w:val="0"/>
              <w:jc w:val="center"/>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1" w:hRule="atLeast"/>
          <w:jc w:val="center"/>
        </w:trPr>
        <w:tc>
          <w:tcPr>
            <w:tcW w:w="206" w:type="pct"/>
            <w:noWrap w:val="0"/>
            <w:vAlign w:val="center"/>
          </w:tcPr>
          <w:p>
            <w:pPr>
              <w:widowControl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2</w:t>
            </w:r>
          </w:p>
        </w:tc>
        <w:tc>
          <w:tcPr>
            <w:tcW w:w="518"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永久阻燃纱帘</w:t>
            </w:r>
          </w:p>
        </w:tc>
        <w:tc>
          <w:tcPr>
            <w:tcW w:w="2117" w:type="pct"/>
            <w:noWrap w:val="0"/>
            <w:vAlign w:val="center"/>
          </w:tcPr>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1.成分：100%聚酯纤维；</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织物重量：</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159g/㎡</w:t>
            </w:r>
            <w:r>
              <w:rPr>
                <w:rFonts w:hint="eastAsia" w:eastAsia="宋体" w:cs="Times New Roman"/>
                <w:b/>
                <w:bCs/>
                <w:color w:val="auto"/>
                <w:sz w:val="21"/>
                <w:szCs w:val="21"/>
                <w:highlight w:val="none"/>
                <w:lang w:val="en-US" w:eastAsia="zh-CN"/>
              </w:rPr>
              <w:t>（提供由国家认可的第三方检测机构出具的检测报告复印件）</w:t>
            </w:r>
            <w:r>
              <w:rPr>
                <w:rFonts w:hint="default" w:ascii="Times New Roman" w:hAnsi="Times New Roman" w:eastAsia="宋体" w:cs="Times New Roman"/>
                <w:color w:val="auto"/>
                <w:sz w:val="21"/>
                <w:szCs w:val="21"/>
                <w:highlight w:val="none"/>
                <w:lang w:val="en-US" w:eastAsia="zh-CN"/>
              </w:rPr>
              <w:t>；</w:t>
            </w:r>
          </w:p>
          <w:p>
            <w:pPr>
              <w:numPr>
                <w:ilvl w:val="0"/>
                <w:numId w:val="0"/>
              </w:numPr>
              <w:spacing w:line="240" w:lineRule="auto"/>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3.遮光率：50-60%</w:t>
            </w:r>
            <w:r>
              <w:rPr>
                <w:rFonts w:hint="eastAsia" w:ascii="Times New Roman" w:hAnsi="Times New Roman" w:eastAsia="宋体" w:cs="Times New Roman"/>
                <w:color w:val="auto"/>
                <w:sz w:val="21"/>
                <w:szCs w:val="21"/>
                <w:highlight w:val="none"/>
                <w:lang w:eastAsia="zh-CN"/>
              </w:rPr>
              <w:t>；</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4.耐磨性能：试验10000次后未破损；</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5.具有易去污性；</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6.色牢度、异味、PH值、甲醛、可分解致癌芳香胺染料符合 GB18401-2010《国家纺织产品基本安全技术规范》C类标准或更优A/B类标准；</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7.环保标准：符合绿色产品 GB/T35611-2017 非直接接触皮肤类标准或更优直接接触皮肤类标准或婴幼儿用品标准；</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▲8.阻燃标准：水洗≥50次后，检测符合GB20286-2006阻燃1级要求：</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（1）经向/纬向氧指数≥32%</w:t>
            </w:r>
            <w:r>
              <w:rPr>
                <w:rFonts w:hint="eastAsia" w:eastAsia="宋体" w:cs="Times New Roman"/>
                <w:b/>
                <w:bCs/>
                <w:color w:val="auto"/>
                <w:sz w:val="21"/>
                <w:szCs w:val="21"/>
                <w:highlight w:val="none"/>
                <w:lang w:val="en-US" w:eastAsia="zh-CN"/>
              </w:rPr>
              <w:t>（提供由国家认可的第三方检测机构出具的检测报告复印件）</w:t>
            </w:r>
            <w:r>
              <w:rPr>
                <w:rFonts w:hint="default" w:ascii="Times New Roman" w:hAnsi="Times New Roman" w:eastAsia="宋体" w:cs="Times New Roman"/>
                <w:color w:val="auto"/>
                <w:sz w:val="21"/>
                <w:szCs w:val="21"/>
                <w:highlight w:val="none"/>
                <w:lang w:val="en-US" w:eastAsia="zh-CN"/>
              </w:rPr>
              <w:t>；</w:t>
            </w:r>
          </w:p>
          <w:p>
            <w:pPr>
              <w:numPr>
                <w:ilvl w:val="0"/>
                <w:numId w:val="0"/>
              </w:numPr>
              <w:spacing w:line="240" w:lineRule="auto"/>
              <w:jc w:val="left"/>
              <w:rPr>
                <w:rFonts w:hint="eastAsia"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（2）损毁长度≤150mm，续燃时间≤5S，阴燃时间≤5S，燃烧滴落物未引起脱脂棉燃烧或阴燃</w:t>
            </w:r>
            <w:r>
              <w:rPr>
                <w:rFonts w:hint="eastAsia" w:eastAsia="宋体" w:cs="Times New Roman"/>
                <w:b/>
                <w:bCs/>
                <w:color w:val="auto"/>
                <w:sz w:val="21"/>
                <w:szCs w:val="21"/>
                <w:highlight w:val="none"/>
                <w:lang w:val="en-US" w:eastAsia="zh-CN"/>
              </w:rPr>
              <w:t>（提供由国家认可的第三方检测机构出具的检测报告复印件）；</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w:t>
            </w:r>
            <w:r>
              <w:rPr>
                <w:rFonts w:hint="default" w:eastAsia="宋体" w:cs="Times New Roman"/>
                <w:color w:val="auto"/>
                <w:sz w:val="21"/>
                <w:szCs w:val="21"/>
                <w:highlight w:val="none"/>
                <w:lang w:val="en-US" w:eastAsia="zh-CN"/>
              </w:rPr>
              <w:t>烟密</w:t>
            </w:r>
            <w:r>
              <w:rPr>
                <w:rFonts w:hint="default" w:ascii="Times New Roman" w:hAnsi="Times New Roman" w:eastAsia="宋体" w:cs="Times New Roman"/>
                <w:color w:val="auto"/>
                <w:sz w:val="21"/>
                <w:szCs w:val="21"/>
                <w:highlight w:val="none"/>
                <w:lang w:val="en-US" w:eastAsia="zh-CN"/>
              </w:rPr>
              <w:t>度≤15SDR；</w:t>
            </w:r>
          </w:p>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）产烟毒性等级不低于 ZA2级；</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9.抗菌性能：符合GB/T20944.3-2008或更优检测标准；</w:t>
            </w:r>
          </w:p>
          <w:p>
            <w:pPr>
              <w:pStyle w:val="6"/>
              <w:ind w:left="0" w:leftChars="0" w:firstLine="0" w:firstLineChars="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10.净化性能：具有去甲醛功能；</w:t>
            </w:r>
          </w:p>
          <w:p>
            <w:pPr>
              <w:widowControl w:val="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11.布帘褶皱率系数 1：2；整块裁剪，不得拼接，阻燃方式为永久性阻燃，非经阻燃剂浸泡/涂层阻燃方式。</w:t>
            </w:r>
          </w:p>
        </w:tc>
        <w:tc>
          <w:tcPr>
            <w:tcW w:w="950" w:type="pct"/>
            <w:noWrap w:val="0"/>
            <w:vAlign w:val="center"/>
          </w:tcPr>
          <w:p>
            <w:pPr>
              <w:widowControl w:val="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drawing>
                <wp:inline distT="0" distB="0" distL="114300" distR="114300">
                  <wp:extent cx="1495425" cy="1943100"/>
                  <wp:effectExtent l="0" t="0" r="9525" b="0"/>
                  <wp:docPr id="4" name="图片 4" descr="e5a42a17a0f8e19f8842c4e9d0784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a42a17a0f8e19f8842c4e9d07842b"/>
                          <pic:cNvPicPr>
                            <a:picLocks noChangeAspect="1"/>
                          </pic:cNvPicPr>
                        </pic:nvPicPr>
                        <pic:blipFill>
                          <a:blip r:embed="rId5"/>
                          <a:stretch>
                            <a:fillRect/>
                          </a:stretch>
                        </pic:blipFill>
                        <pic:spPr>
                          <a:xfrm>
                            <a:off x="0" y="0"/>
                            <a:ext cx="1495425" cy="1943100"/>
                          </a:xfrm>
                          <a:prstGeom prst="rect">
                            <a:avLst/>
                          </a:prstGeom>
                        </pic:spPr>
                      </pic:pic>
                    </a:graphicData>
                  </a:graphic>
                </wp:inline>
              </w:drawing>
            </w:r>
          </w:p>
        </w:tc>
        <w:tc>
          <w:tcPr>
            <w:tcW w:w="342"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eastAsia"/>
                <w:color w:val="auto"/>
                <w:sz w:val="21"/>
                <w:szCs w:val="21"/>
                <w:lang w:val="en-US" w:eastAsia="zh-CN"/>
              </w:rPr>
              <w:t>1225米</w:t>
            </w:r>
          </w:p>
        </w:tc>
        <w:tc>
          <w:tcPr>
            <w:tcW w:w="432" w:type="pct"/>
            <w:noWrap w:val="0"/>
            <w:vAlign w:val="center"/>
          </w:tcPr>
          <w:p>
            <w:pPr>
              <w:widowControl w:val="0"/>
              <w:jc w:val="center"/>
              <w:rPr>
                <w:rFonts w:hint="eastAsia"/>
                <w:color w:val="auto"/>
                <w:sz w:val="21"/>
                <w:szCs w:val="21"/>
                <w:lang w:val="en-US" w:eastAsia="zh-CN"/>
              </w:rPr>
            </w:pPr>
          </w:p>
        </w:tc>
        <w:tc>
          <w:tcPr>
            <w:tcW w:w="432" w:type="pct"/>
            <w:noWrap w:val="0"/>
            <w:vAlign w:val="center"/>
          </w:tcPr>
          <w:p>
            <w:pPr>
              <w:widowControl w:val="0"/>
              <w:jc w:val="center"/>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jc w:val="center"/>
        </w:trPr>
        <w:tc>
          <w:tcPr>
            <w:tcW w:w="206" w:type="pct"/>
            <w:noWrap w:val="0"/>
            <w:vAlign w:val="center"/>
          </w:tcPr>
          <w:p>
            <w:pPr>
              <w:widowControl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3</w:t>
            </w:r>
          </w:p>
        </w:tc>
        <w:tc>
          <w:tcPr>
            <w:tcW w:w="518"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布带、挂钩</w:t>
            </w:r>
          </w:p>
        </w:tc>
        <w:tc>
          <w:tcPr>
            <w:tcW w:w="2117" w:type="pct"/>
            <w:noWrap w:val="0"/>
            <w:vAlign w:val="center"/>
          </w:tcPr>
          <w:p>
            <w:pPr>
              <w:numPr>
                <w:ilvl w:val="0"/>
                <w:numId w:val="0"/>
              </w:num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1.成分：100%聚酯纤维；</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2.色牢度、异味、PH值、甲醛、可分解致癌芳香胺染料符合 GB18401-2010《国家纺织产品基本安全技术规范》C类标准或更优A/B类标准；</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3.环保标准：符合绿色产品 GB/T35611-2017 非直接接触皮肤类标准或更优直接接触皮肤类标准或婴幼儿用品标准；</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4.阻燃标准：水洗≥50次后，检测符合GB20286-2006阻燃1级要求；</w:t>
            </w:r>
          </w:p>
          <w:p>
            <w:pPr>
              <w:spacing w:line="24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5抗老化强力保持率：≥75%；</w:t>
            </w:r>
          </w:p>
          <w:p>
            <w:pPr>
              <w:widowControl w:val="0"/>
              <w:spacing w:line="240" w:lineRule="auto"/>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6.整块裁剪，阻燃方式为永久性阻燃（纱线阻燃），非经阻燃剂浸泡/涂层阻燃方式；</w:t>
            </w:r>
          </w:p>
          <w:p>
            <w:pPr>
              <w:widowContro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挂钩：承重能力：≥35kg/m</w:t>
            </w:r>
            <w:r>
              <w:rPr>
                <w:rFonts w:hint="default" w:ascii="Times New Roman" w:hAnsi="Times New Roman" w:eastAsia="宋体" w:cs="Times New Roman"/>
                <w:color w:val="auto"/>
                <w:sz w:val="21"/>
                <w:szCs w:val="21"/>
                <w:highlight w:val="none"/>
                <w:lang w:val="en-US" w:eastAsia="zh-CN"/>
              </w:rPr>
              <w:t>。</w:t>
            </w:r>
          </w:p>
        </w:tc>
        <w:tc>
          <w:tcPr>
            <w:tcW w:w="950"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539240" cy="1539240"/>
                  <wp:effectExtent l="0" t="0" r="3810" b="3810"/>
                  <wp:docPr id="11" name="图片 4" descr="1c43309ac0198100ab85b24f39c0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1c43309ac0198100ab85b24f39c09c9"/>
                          <pic:cNvPicPr>
                            <a:picLocks noChangeAspect="1"/>
                          </pic:cNvPicPr>
                        </pic:nvPicPr>
                        <pic:blipFill>
                          <a:blip r:embed="rId6"/>
                          <a:stretch>
                            <a:fillRect/>
                          </a:stretch>
                        </pic:blipFill>
                        <pic:spPr>
                          <a:xfrm>
                            <a:off x="0" y="0"/>
                            <a:ext cx="1539240" cy="1539240"/>
                          </a:xfrm>
                          <a:prstGeom prst="rect">
                            <a:avLst/>
                          </a:prstGeom>
                          <a:noFill/>
                          <a:ln>
                            <a:noFill/>
                          </a:ln>
                        </pic:spPr>
                      </pic:pic>
                    </a:graphicData>
                  </a:graphic>
                </wp:inline>
              </w:drawing>
            </w:r>
            <w:r>
              <w:rPr>
                <w:rFonts w:hint="default" w:ascii="Times New Roman" w:hAnsi="Times New Roman" w:eastAsia="宋体" w:cs="Times New Roman"/>
                <w:color w:val="auto"/>
                <w:sz w:val="21"/>
                <w:szCs w:val="21"/>
                <w:highlight w:val="none"/>
              </w:rPr>
              <w:drawing>
                <wp:inline distT="0" distB="0" distL="114300" distR="114300">
                  <wp:extent cx="1536065" cy="1023620"/>
                  <wp:effectExtent l="0" t="0" r="6985" b="5080"/>
                  <wp:docPr id="12" name="图片 5" descr="7d91865032e49942e3c8b166234a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7d91865032e49942e3c8b166234a500"/>
                          <pic:cNvPicPr>
                            <a:picLocks noChangeAspect="1"/>
                          </pic:cNvPicPr>
                        </pic:nvPicPr>
                        <pic:blipFill>
                          <a:blip r:embed="rId7"/>
                          <a:stretch>
                            <a:fillRect/>
                          </a:stretch>
                        </pic:blipFill>
                        <pic:spPr>
                          <a:xfrm>
                            <a:off x="0" y="0"/>
                            <a:ext cx="1536065" cy="1023620"/>
                          </a:xfrm>
                          <a:prstGeom prst="rect">
                            <a:avLst/>
                          </a:prstGeom>
                          <a:noFill/>
                          <a:ln>
                            <a:noFill/>
                          </a:ln>
                        </pic:spPr>
                      </pic:pic>
                    </a:graphicData>
                  </a:graphic>
                </wp:inline>
              </w:drawing>
            </w:r>
          </w:p>
        </w:tc>
        <w:tc>
          <w:tcPr>
            <w:tcW w:w="342" w:type="pct"/>
            <w:noWrap w:val="0"/>
            <w:vAlign w:val="center"/>
          </w:tcPr>
          <w:p>
            <w:pPr>
              <w:widowControl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1070米</w:t>
            </w:r>
          </w:p>
        </w:tc>
        <w:tc>
          <w:tcPr>
            <w:tcW w:w="432" w:type="pct"/>
            <w:noWrap w:val="0"/>
            <w:vAlign w:val="center"/>
          </w:tcPr>
          <w:p>
            <w:pPr>
              <w:widowControl w:val="0"/>
              <w:jc w:val="center"/>
              <w:rPr>
                <w:rFonts w:hint="eastAsia" w:cs="Times New Roman"/>
                <w:color w:val="auto"/>
                <w:sz w:val="21"/>
                <w:szCs w:val="21"/>
                <w:highlight w:val="none"/>
                <w:lang w:val="en-US" w:eastAsia="zh-CN"/>
              </w:rPr>
            </w:pPr>
          </w:p>
        </w:tc>
        <w:tc>
          <w:tcPr>
            <w:tcW w:w="432" w:type="pct"/>
            <w:noWrap w:val="0"/>
            <w:vAlign w:val="center"/>
          </w:tcPr>
          <w:p>
            <w:pPr>
              <w:widowControl w:val="0"/>
              <w:jc w:val="center"/>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206" w:type="pct"/>
            <w:noWrap w:val="0"/>
            <w:vAlign w:val="center"/>
          </w:tcPr>
          <w:p>
            <w:pPr>
              <w:widowControl w:val="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4</w:t>
            </w:r>
          </w:p>
        </w:tc>
        <w:tc>
          <w:tcPr>
            <w:tcW w:w="518"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轨道</w:t>
            </w:r>
          </w:p>
        </w:tc>
        <w:tc>
          <w:tcPr>
            <w:tcW w:w="2117" w:type="pct"/>
            <w:noWrap w:val="0"/>
            <w:vAlign w:val="center"/>
          </w:tcPr>
          <w:p>
            <w:pPr>
              <w:widowControl w:val="0"/>
              <w:numPr>
                <w:ilvl w:val="0"/>
                <w:numId w:val="0"/>
              </w:numPr>
              <w:spacing w:line="24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▲1.成分</w:t>
            </w:r>
            <w:r>
              <w:rPr>
                <w:rFonts w:hint="eastAsia"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6063-T5铝合金</w:t>
            </w:r>
            <w:r>
              <w:rPr>
                <w:rFonts w:hint="eastAsia" w:eastAsia="宋体" w:cs="Times New Roman"/>
                <w:b/>
                <w:bCs/>
                <w:color w:val="auto"/>
                <w:sz w:val="21"/>
                <w:szCs w:val="21"/>
                <w:highlight w:val="none"/>
                <w:lang w:val="en-US" w:eastAsia="zh-CN"/>
              </w:rPr>
              <w:t>（提供由国家认可的第三方检测机构出具的检测报告复印件）</w:t>
            </w:r>
            <w:r>
              <w:rPr>
                <w:rFonts w:hint="eastAsia" w:eastAsia="宋体" w:cs="Times New Roman"/>
                <w:color w:val="auto"/>
                <w:sz w:val="21"/>
                <w:szCs w:val="21"/>
                <w:highlight w:val="none"/>
                <w:lang w:eastAsia="zh-CN"/>
              </w:rPr>
              <w:t>；</w:t>
            </w:r>
          </w:p>
          <w:p>
            <w:pPr>
              <w:widowControl w:val="0"/>
              <w:numPr>
                <w:ilvl w:val="0"/>
                <w:numId w:val="0"/>
              </w:numPr>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宽度：≥2</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mm，高度</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mm</w:t>
            </w:r>
            <w:r>
              <w:rPr>
                <w:rFonts w:hint="default" w:ascii="Times New Roman" w:hAnsi="Times New Roman" w:eastAsia="宋体" w:cs="Times New Roman"/>
                <w:color w:val="auto"/>
                <w:sz w:val="21"/>
                <w:szCs w:val="21"/>
                <w:highlight w:val="none"/>
                <w:lang w:val="en-US" w:eastAsia="zh-CN"/>
              </w:rPr>
              <w:t>，壁厚≥2mm；</w:t>
            </w:r>
          </w:p>
          <w:p>
            <w:pPr>
              <w:widowContro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外观质量：型材装饰面上涂层均匀，无皱纹、流痕、鼓泡、发黏、凹陷、暗斑、针孔、划伤等影响使用的可见缺陷。</w:t>
            </w:r>
          </w:p>
        </w:tc>
        <w:tc>
          <w:tcPr>
            <w:tcW w:w="950" w:type="pct"/>
            <w:noWrap w:val="0"/>
            <w:vAlign w:val="center"/>
          </w:tcPr>
          <w:p>
            <w:pPr>
              <w:widowControl w:val="0"/>
              <w:jc w:val="center"/>
              <w:rPr>
                <w:rFonts w:hint="default" w:ascii="Times New Roman" w:hAnsi="Times New Roman" w:eastAsia="宋体" w:cs="Times New Roman"/>
                <w:color w:val="auto"/>
                <w:sz w:val="21"/>
                <w:szCs w:val="21"/>
                <w:highlight w:val="none"/>
                <w:shd w:val="clear" w:color="FFFFFF" w:fill="D9D9D9"/>
              </w:rPr>
            </w:pPr>
            <w:r>
              <w:rPr>
                <w:rFonts w:hint="eastAsia" w:ascii="宋体" w:hAnsi="宋体" w:eastAsia="宋体" w:cs="宋体"/>
                <w:i w:val="0"/>
                <w:iCs w:val="0"/>
                <w:color w:val="auto"/>
                <w:kern w:val="0"/>
                <w:sz w:val="21"/>
                <w:szCs w:val="21"/>
                <w:u w:val="none"/>
                <w:bdr w:val="single" w:color="000000" w:sz="4" w:space="0"/>
                <w:shd w:val="clear" w:color="FFFFFF" w:fill="D9D9D9"/>
                <w:lang w:val="en-US" w:eastAsia="zh-CN" w:bidi="ar"/>
              </w:rPr>
              <w:drawing>
                <wp:anchor distT="0" distB="0" distL="114300" distR="114300" simplePos="0" relativeHeight="251659264" behindDoc="0" locked="0" layoutInCell="1" allowOverlap="1">
                  <wp:simplePos x="0" y="0"/>
                  <wp:positionH relativeFrom="column">
                    <wp:posOffset>71755</wp:posOffset>
                  </wp:positionH>
                  <wp:positionV relativeFrom="paragraph">
                    <wp:posOffset>130175</wp:posOffset>
                  </wp:positionV>
                  <wp:extent cx="1315085" cy="704215"/>
                  <wp:effectExtent l="0" t="0" r="18415" b="635"/>
                  <wp:wrapNone/>
                  <wp:docPr id="6" name="图片_13"/>
                  <wp:cNvGraphicFramePr/>
                  <a:graphic xmlns:a="http://schemas.openxmlformats.org/drawingml/2006/main">
                    <a:graphicData uri="http://schemas.openxmlformats.org/drawingml/2006/picture">
                      <pic:pic xmlns:pic="http://schemas.openxmlformats.org/drawingml/2006/picture">
                        <pic:nvPicPr>
                          <pic:cNvPr id="6" name="图片_13"/>
                          <pic:cNvPicPr/>
                        </pic:nvPicPr>
                        <pic:blipFill>
                          <a:blip r:embed="rId8"/>
                          <a:stretch>
                            <a:fillRect/>
                          </a:stretch>
                        </pic:blipFill>
                        <pic:spPr>
                          <a:xfrm>
                            <a:off x="0" y="0"/>
                            <a:ext cx="1315085" cy="704215"/>
                          </a:xfrm>
                          <a:prstGeom prst="rect">
                            <a:avLst/>
                          </a:prstGeom>
                          <a:noFill/>
                          <a:ln>
                            <a:noFill/>
                          </a:ln>
                        </pic:spPr>
                      </pic:pic>
                    </a:graphicData>
                  </a:graphic>
                </wp:anchor>
              </w:drawing>
            </w:r>
          </w:p>
        </w:tc>
        <w:tc>
          <w:tcPr>
            <w:tcW w:w="342" w:type="pct"/>
            <w:noWrap w:val="0"/>
            <w:vAlign w:val="center"/>
          </w:tcPr>
          <w:p>
            <w:pPr>
              <w:widowControl w:val="0"/>
              <w:jc w:val="center"/>
              <w:rPr>
                <w:rFonts w:hint="default" w:ascii="宋体" w:hAnsi="宋体" w:eastAsia="宋体" w:cs="宋体"/>
                <w:i w:val="0"/>
                <w:iCs w:val="0"/>
                <w:color w:val="auto"/>
                <w:kern w:val="0"/>
                <w:sz w:val="21"/>
                <w:szCs w:val="21"/>
                <w:u w:val="none"/>
                <w:bdr w:val="single" w:color="000000" w:sz="4" w:space="0"/>
                <w:shd w:val="clear" w:color="FFFFFF" w:fill="D9D9D9"/>
                <w:lang w:val="en-US" w:eastAsia="zh-CN" w:bidi="ar"/>
              </w:rPr>
            </w:pPr>
            <w:r>
              <w:rPr>
                <w:rFonts w:hint="eastAsia"/>
                <w:color w:val="auto"/>
                <w:sz w:val="21"/>
                <w:szCs w:val="21"/>
                <w:lang w:val="en-US" w:eastAsia="zh-CN"/>
              </w:rPr>
              <w:t>535米</w:t>
            </w:r>
          </w:p>
        </w:tc>
        <w:tc>
          <w:tcPr>
            <w:tcW w:w="432" w:type="pct"/>
            <w:noWrap w:val="0"/>
            <w:vAlign w:val="center"/>
          </w:tcPr>
          <w:p>
            <w:pPr>
              <w:widowControl w:val="0"/>
              <w:jc w:val="center"/>
              <w:rPr>
                <w:rFonts w:hint="eastAsia"/>
                <w:color w:val="auto"/>
                <w:sz w:val="21"/>
                <w:szCs w:val="21"/>
                <w:lang w:val="en-US" w:eastAsia="zh-CN"/>
              </w:rPr>
            </w:pPr>
          </w:p>
        </w:tc>
        <w:tc>
          <w:tcPr>
            <w:tcW w:w="432" w:type="pct"/>
            <w:noWrap w:val="0"/>
            <w:vAlign w:val="center"/>
          </w:tcPr>
          <w:p>
            <w:pPr>
              <w:widowControl w:val="0"/>
              <w:jc w:val="center"/>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206" w:type="pct"/>
            <w:noWrap w:val="0"/>
            <w:vAlign w:val="center"/>
          </w:tcPr>
          <w:p>
            <w:pPr>
              <w:widowControl w:val="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518" w:type="pct"/>
            <w:noWrap w:val="0"/>
            <w:vAlign w:val="center"/>
          </w:tcPr>
          <w:p>
            <w:pPr>
              <w:widowControl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铝百叶</w:t>
            </w:r>
          </w:p>
        </w:tc>
        <w:tc>
          <w:tcPr>
            <w:tcW w:w="2117" w:type="pct"/>
            <w:noWrap w:val="0"/>
            <w:vAlign w:val="top"/>
          </w:tcPr>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外观：卷平面整体目视平整，无直条纹，横条纹，无黑线、麻点，无漏涂，无钉点，无框边，无挂漆，无橘皮，表面流平均匀，无起泡、缩边等不良现象。卷立面无星点，无松动，无掉漆，无划伤，立面无明显色差，无黑点，无伤片，无错层，无杂质(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厚度，mm：0.205-0.211 (依据GB/T 1865-2009标准）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宽度，mm：25(依据GB/T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色差DE值：浅色：≤0.8 (依据GB/T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条差DE值：浅色：≤0.8 (依据GB/T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漆膜厚度，μm：11~13 (依据GB/T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漆膜光泽度（60°）：(21±5)°(依据GB/T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附着力：取卷片200mm，在1c㎡范围刻成10×10方格，用粘胶带贴平，撕开，100%不掉漆(依据GB/T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弯曲性能：绕Φ20mm钢棒弯曲180°，10次以上无微裂(依据GB/T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弯曲度，mm：≤10(依据GB/T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11.</w:t>
            </w:r>
            <w:r>
              <w:rPr>
                <w:rFonts w:hint="default" w:ascii="Times New Roman" w:hAnsi="Times New Roman" w:eastAsia="宋体" w:cs="Times New Roman"/>
                <w:color w:val="auto"/>
                <w:sz w:val="21"/>
                <w:szCs w:val="21"/>
              </w:rPr>
              <w:t>扭曲度：平片不允许有木耳边(依据GB/T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rPr>
              <w:t>铅笔硬度，H：≥2 (依据GB/T 1865-2009标准）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13.</w:t>
            </w:r>
            <w:r>
              <w:rPr>
                <w:rFonts w:hint="default" w:ascii="Times New Roman" w:hAnsi="Times New Roman" w:eastAsia="宋体" w:cs="Times New Roman"/>
                <w:color w:val="auto"/>
                <w:sz w:val="21"/>
                <w:szCs w:val="21"/>
              </w:rPr>
              <w:t>耐沸水性：沸水浸1h，漆膜表面无收缩、微裂和剥离 (依据GB/T 1865-2009 标准）</w:t>
            </w:r>
            <w:r>
              <w:rPr>
                <w:rFonts w:hint="eastAsia" w:eastAsia="宋体" w:cs="Times New Roman"/>
                <w:color w:val="auto"/>
                <w:sz w:val="21"/>
                <w:szCs w:val="21"/>
                <w:lang w:eastAsia="zh-CN"/>
              </w:rPr>
              <w:t>；</w:t>
            </w:r>
          </w:p>
          <w:p>
            <w:pPr>
              <w:widowControl w:val="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14.</w:t>
            </w:r>
            <w:r>
              <w:rPr>
                <w:rFonts w:hint="default" w:ascii="Times New Roman" w:hAnsi="Times New Roman" w:eastAsia="宋体" w:cs="Times New Roman"/>
                <w:color w:val="auto"/>
                <w:sz w:val="21"/>
                <w:szCs w:val="21"/>
              </w:rPr>
              <w:t>耐酸性：5%HCL，60min漆膜表面无明显脱漆状况 (依据GB/T 1865-2009 标准）</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耐碱性：15%NaOH，60min漆膜表面无明显脱漆状况(依据GB/T 1865-2009 标准）</w:t>
            </w:r>
            <w:r>
              <w:rPr>
                <w:rFonts w:hint="eastAsia"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16.</w:t>
            </w:r>
            <w:r>
              <w:rPr>
                <w:rFonts w:hint="default" w:ascii="Times New Roman" w:hAnsi="Times New Roman" w:eastAsia="宋体" w:cs="Times New Roman"/>
                <w:color w:val="auto"/>
                <w:sz w:val="21"/>
                <w:szCs w:val="21"/>
              </w:rPr>
              <w:t>耐溶剂性：用粘上二甲苯溶剂棉球，用1kg压力连续擦拭120次以上不掉漆(依据GB/T 1865-2009 标准）</w:t>
            </w:r>
            <w:r>
              <w:rPr>
                <w:rFonts w:hint="eastAsia" w:eastAsia="宋体" w:cs="Times New Roman"/>
                <w:color w:val="auto"/>
                <w:sz w:val="21"/>
                <w:szCs w:val="21"/>
                <w:lang w:eastAsia="zh-CN"/>
              </w:rPr>
              <w:t>；</w:t>
            </w:r>
          </w:p>
          <w:p>
            <w:pPr>
              <w:widowControl w:val="0"/>
              <w:jc w:val="both"/>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17.</w:t>
            </w:r>
            <w:r>
              <w:rPr>
                <w:rFonts w:hint="default" w:ascii="Times New Roman" w:hAnsi="Times New Roman" w:eastAsia="宋体" w:cs="Times New Roman"/>
                <w:color w:val="auto"/>
                <w:sz w:val="21"/>
                <w:szCs w:val="21"/>
              </w:rPr>
              <w:t>耐洗涤性：25℃清水洗涤50次，表面无变化(依据GB/T 1865-2009标准）</w:t>
            </w:r>
            <w:r>
              <w:rPr>
                <w:rFonts w:hint="eastAsia" w:eastAsia="宋体" w:cs="Times New Roman"/>
                <w:color w:val="auto"/>
                <w:sz w:val="21"/>
                <w:szCs w:val="21"/>
                <w:lang w:eastAsia="zh-CN"/>
              </w:rPr>
              <w:t>；</w:t>
            </w:r>
          </w:p>
          <w:p>
            <w:pPr>
              <w:widowControl w:val="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rPr>
              <w:t>耐人工紫外老化试验：涂层表面无失</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变色，粉化，裂纹，气泡，脱落等。</w:t>
            </w:r>
          </w:p>
        </w:tc>
        <w:tc>
          <w:tcPr>
            <w:tcW w:w="950" w:type="pct"/>
            <w:noWrap w:val="0"/>
            <w:vAlign w:val="center"/>
          </w:tcPr>
          <w:p>
            <w:pPr>
              <w:widowControl w:val="0"/>
              <w:jc w:val="center"/>
              <w:rPr>
                <w:rFonts w:hint="eastAsia" w:ascii="宋体" w:hAnsi="宋体" w:eastAsia="宋体" w:cs="宋体"/>
                <w:i w:val="0"/>
                <w:iCs w:val="0"/>
                <w:color w:val="auto"/>
                <w:kern w:val="0"/>
                <w:sz w:val="21"/>
                <w:szCs w:val="21"/>
                <w:u w:val="none"/>
                <w:bdr w:val="single" w:color="000000" w:sz="4" w:space="0"/>
                <w:lang w:val="en-US" w:eastAsia="zh-CN" w:bidi="ar"/>
              </w:rPr>
            </w:pPr>
            <w:r>
              <w:rPr>
                <w:color w:val="auto"/>
              </w:rPr>
              <w:drawing>
                <wp:inline distT="0" distB="0" distL="114300" distR="114300">
                  <wp:extent cx="1537335" cy="1365250"/>
                  <wp:effectExtent l="0" t="0" r="571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37335" cy="1365250"/>
                          </a:xfrm>
                          <a:prstGeom prst="rect">
                            <a:avLst/>
                          </a:prstGeom>
                          <a:noFill/>
                          <a:ln>
                            <a:noFill/>
                          </a:ln>
                        </pic:spPr>
                      </pic:pic>
                    </a:graphicData>
                  </a:graphic>
                </wp:inline>
              </w:drawing>
            </w:r>
          </w:p>
        </w:tc>
        <w:tc>
          <w:tcPr>
            <w:tcW w:w="342" w:type="pct"/>
            <w:noWrap w:val="0"/>
            <w:vAlign w:val="center"/>
          </w:tcPr>
          <w:p>
            <w:pPr>
              <w:widowControl w:val="0"/>
              <w:jc w:val="center"/>
              <w:rPr>
                <w:rFonts w:hint="default" w:eastAsia="宋体"/>
                <w:color w:val="auto"/>
                <w:sz w:val="21"/>
                <w:szCs w:val="21"/>
                <w:lang w:val="en-US" w:eastAsia="zh-CN"/>
              </w:rPr>
            </w:pPr>
            <w:r>
              <w:rPr>
                <w:rFonts w:hint="eastAsia"/>
                <w:color w:val="auto"/>
                <w:sz w:val="21"/>
                <w:szCs w:val="21"/>
                <w:lang w:val="en-US" w:eastAsia="zh-CN"/>
              </w:rPr>
              <w:t>190平方米</w:t>
            </w:r>
          </w:p>
        </w:tc>
        <w:tc>
          <w:tcPr>
            <w:tcW w:w="432" w:type="pct"/>
            <w:noWrap w:val="0"/>
            <w:vAlign w:val="center"/>
          </w:tcPr>
          <w:p>
            <w:pPr>
              <w:widowControl w:val="0"/>
              <w:jc w:val="center"/>
              <w:rPr>
                <w:rFonts w:hint="eastAsia"/>
                <w:color w:val="auto"/>
                <w:sz w:val="21"/>
                <w:szCs w:val="21"/>
                <w:lang w:val="en-US" w:eastAsia="zh-CN"/>
              </w:rPr>
            </w:pPr>
          </w:p>
        </w:tc>
        <w:tc>
          <w:tcPr>
            <w:tcW w:w="432" w:type="pct"/>
            <w:noWrap w:val="0"/>
            <w:vAlign w:val="center"/>
          </w:tcPr>
          <w:p>
            <w:pPr>
              <w:widowControl w:val="0"/>
              <w:jc w:val="center"/>
              <w:rPr>
                <w:rFonts w:hint="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9" w:type="dxa"/>
            <w:gridSpan w:val="3"/>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i w:val="0"/>
                <w:color w:val="auto"/>
                <w:sz w:val="24"/>
                <w:szCs w:val="24"/>
                <w:u w:val="none"/>
                <w:lang w:val="en-US" w:eastAsia="zh-CN"/>
              </w:rPr>
              <w:t>合计</w:t>
            </w:r>
          </w:p>
        </w:tc>
        <w:tc>
          <w:tcPr>
            <w:tcW w:w="5941" w:type="dxa"/>
            <w:gridSpan w:val="4"/>
            <w:noWrap w:val="0"/>
            <w:vAlign w:val="center"/>
          </w:tcPr>
          <w:p>
            <w:pPr>
              <w:widowControl w:val="0"/>
              <w:spacing w:line="440" w:lineRule="exact"/>
              <w:jc w:val="left"/>
              <w:rPr>
                <w:rFonts w:hint="default" w:ascii="宋体" w:hAnsi="宋体" w:eastAsia="宋体" w:cs="宋体"/>
                <w:b/>
                <w:bCs/>
                <w:color w:val="auto"/>
                <w:kern w:val="2"/>
                <w:sz w:val="24"/>
                <w:szCs w:val="24"/>
                <w:u w:val="none"/>
                <w:lang w:val="en-US" w:eastAsia="zh-CN"/>
              </w:rPr>
            </w:pPr>
            <w:r>
              <w:rPr>
                <w:rFonts w:hint="eastAsia" w:ascii="宋体" w:hAnsi="宋体" w:cs="宋体"/>
                <w:b/>
                <w:bCs/>
                <w:color w:val="auto"/>
                <w:kern w:val="2"/>
                <w:sz w:val="24"/>
                <w:szCs w:val="24"/>
              </w:rPr>
              <w:t>大写</w:t>
            </w:r>
            <w:r>
              <w:rPr>
                <w:rFonts w:hint="eastAsia" w:ascii="宋体" w:hAnsi="宋体" w:cs="宋体"/>
                <w:b/>
                <w:bCs/>
                <w:color w:val="auto"/>
                <w:kern w:val="2"/>
                <w:sz w:val="24"/>
                <w:szCs w:val="24"/>
                <w:lang w:eastAsia="zh-CN"/>
              </w:rPr>
              <w:t>：</w:t>
            </w:r>
            <w:r>
              <w:rPr>
                <w:rFonts w:hint="eastAsia" w:ascii="宋体" w:hAnsi="宋体" w:cs="宋体"/>
                <w:b/>
                <w:bCs/>
                <w:color w:val="auto"/>
                <w:kern w:val="2"/>
                <w:sz w:val="24"/>
                <w:szCs w:val="24"/>
                <w:u w:val="single"/>
                <w:lang w:val="en-US" w:eastAsia="zh-CN"/>
              </w:rPr>
              <w:t xml:space="preserve">       </w:t>
            </w:r>
            <w:r>
              <w:rPr>
                <w:rFonts w:hint="eastAsia" w:ascii="宋体" w:hAnsi="宋体" w:cs="宋体"/>
                <w:b/>
                <w:bCs/>
                <w:color w:val="auto"/>
                <w:kern w:val="2"/>
                <w:sz w:val="24"/>
                <w:szCs w:val="24"/>
                <w:u w:val="none"/>
                <w:lang w:val="en-US" w:eastAsia="zh-CN"/>
              </w:rPr>
              <w:t>元</w:t>
            </w:r>
          </w:p>
          <w:p>
            <w:pPr>
              <w:keepNext w:val="0"/>
              <w:keepLines w:val="0"/>
              <w:widowControl/>
              <w:suppressLineNumbers w:val="0"/>
              <w:jc w:val="both"/>
              <w:textAlignment w:val="center"/>
              <w:rPr>
                <w:rFonts w:hint="eastAsia"/>
                <w:color w:val="auto"/>
                <w:sz w:val="21"/>
                <w:szCs w:val="21"/>
                <w:lang w:val="en-US" w:eastAsia="zh-CN"/>
              </w:rPr>
            </w:pPr>
            <w:r>
              <w:rPr>
                <w:rFonts w:hint="eastAsia" w:ascii="宋体" w:hAnsi="宋体" w:cs="宋体"/>
                <w:b/>
                <w:bCs/>
                <w:color w:val="auto"/>
                <w:kern w:val="2"/>
                <w:sz w:val="24"/>
                <w:szCs w:val="24"/>
              </w:rPr>
              <w:t>小写</w:t>
            </w:r>
            <w:r>
              <w:rPr>
                <w:rFonts w:hint="eastAsia" w:ascii="宋体" w:hAnsi="宋体" w:cs="宋体"/>
                <w:b/>
                <w:bCs/>
                <w:color w:val="auto"/>
                <w:kern w:val="2"/>
                <w:sz w:val="24"/>
                <w:szCs w:val="24"/>
                <w:lang w:eastAsia="zh-CN"/>
              </w:rPr>
              <w:t>：</w:t>
            </w:r>
            <w:r>
              <w:rPr>
                <w:rFonts w:hint="eastAsia" w:ascii="宋体" w:hAnsi="宋体" w:cs="宋体"/>
                <w:b/>
                <w:bCs/>
                <w:color w:val="auto"/>
                <w:kern w:val="2"/>
                <w:sz w:val="24"/>
                <w:szCs w:val="24"/>
                <w:u w:val="single"/>
                <w:lang w:val="en-US" w:eastAsia="zh-CN"/>
              </w:rPr>
              <w:t xml:space="preserve">       </w:t>
            </w:r>
            <w:r>
              <w:rPr>
                <w:rFonts w:hint="eastAsia" w:ascii="宋体" w:hAnsi="宋体" w:cs="宋体"/>
                <w:b/>
                <w:bCs/>
                <w:color w:val="auto"/>
                <w:kern w:val="2"/>
                <w:sz w:val="24"/>
                <w:szCs w:val="24"/>
                <w:u w:val="none"/>
                <w:lang w:val="en-US" w:eastAsia="zh-CN"/>
              </w:rPr>
              <w:t>元</w:t>
            </w:r>
          </w:p>
        </w:tc>
      </w:tr>
    </w:tbl>
    <w:p>
      <w:pPr>
        <w:pStyle w:val="10"/>
        <w:jc w:val="both"/>
        <w:rPr>
          <w:rFonts w:hint="default"/>
          <w:sz w:val="21"/>
          <w:szCs w:val="21"/>
          <w:lang w:val="en-US" w:eastAsia="zh-CN"/>
        </w:rPr>
      </w:pPr>
      <w:r>
        <w:rPr>
          <w:rFonts w:hint="default" w:ascii="Times New Roman" w:hAnsi="Times New Roman" w:cs="Times New Roman"/>
          <w:b/>
          <w:bCs/>
          <w:i w:val="0"/>
          <w:color w:val="auto"/>
          <w:kern w:val="0"/>
          <w:sz w:val="21"/>
          <w:szCs w:val="21"/>
          <w:u w:val="none"/>
          <w:lang w:val="en-US" w:eastAsia="zh-CN" w:bidi="ar"/>
        </w:rPr>
        <w:t>注：上表技术参数中标示“▲”技术参数为重要参数。</w:t>
      </w:r>
      <w:r>
        <w:rPr>
          <w:rFonts w:hint="eastAsia" w:ascii="Times New Roman" w:hAnsi="Times New Roman" w:cs="Times New Roman"/>
          <w:b/>
          <w:bCs/>
          <w:i w:val="0"/>
          <w:color w:val="auto"/>
          <w:kern w:val="0"/>
          <w:sz w:val="21"/>
          <w:szCs w:val="21"/>
          <w:u w:val="none"/>
          <w:lang w:val="en-US" w:eastAsia="zh-CN" w:bidi="ar"/>
        </w:rPr>
        <w:t>在投</w:t>
      </w:r>
      <w:r>
        <w:rPr>
          <w:rFonts w:hint="eastAsia" w:ascii="Times New Roman" w:hAnsi="Times New Roman" w:eastAsia="宋体" w:cs="Times New Roman"/>
          <w:b/>
          <w:bCs/>
          <w:i w:val="0"/>
          <w:color w:val="auto"/>
          <w:kern w:val="0"/>
          <w:sz w:val="21"/>
          <w:szCs w:val="21"/>
          <w:u w:val="none"/>
          <w:lang w:val="en-US" w:eastAsia="zh-CN" w:bidi="ar"/>
        </w:rPr>
        <w:t>标时根据要求提供检测报告。</w:t>
      </w:r>
    </w:p>
    <w:sectPr>
      <w:pgSz w:w="16838" w:h="11906" w:orient="landscape"/>
      <w:pgMar w:top="1180" w:right="1440" w:bottom="16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DkxZTU3NGI3ZTVlMjFjOWQ5ZWQ0YzcwN2IzMzMifQ=="/>
  </w:docVars>
  <w:rsids>
    <w:rsidRoot w:val="47D305EA"/>
    <w:rsid w:val="076D2F09"/>
    <w:rsid w:val="09DB3120"/>
    <w:rsid w:val="0B1E6E36"/>
    <w:rsid w:val="115A4FA2"/>
    <w:rsid w:val="159E7DFE"/>
    <w:rsid w:val="1E045AB3"/>
    <w:rsid w:val="1E391BC9"/>
    <w:rsid w:val="1F97069A"/>
    <w:rsid w:val="27C92330"/>
    <w:rsid w:val="2BC67F40"/>
    <w:rsid w:val="31D317B3"/>
    <w:rsid w:val="3CD43032"/>
    <w:rsid w:val="424814E2"/>
    <w:rsid w:val="428D1DBC"/>
    <w:rsid w:val="47273263"/>
    <w:rsid w:val="47D305EA"/>
    <w:rsid w:val="552B66EF"/>
    <w:rsid w:val="56876CF6"/>
    <w:rsid w:val="5D3E3A06"/>
    <w:rsid w:val="5EB451EF"/>
    <w:rsid w:val="601443F9"/>
    <w:rsid w:val="61DE5B84"/>
    <w:rsid w:val="65397F9E"/>
    <w:rsid w:val="673377D6"/>
    <w:rsid w:val="6C46522D"/>
    <w:rsid w:val="74CC33EE"/>
    <w:rsid w:val="7AD374F2"/>
    <w:rsid w:val="7BA3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jc w:val="left"/>
    </w:pPr>
    <w:rPr>
      <w:rFonts w:ascii="Times New Roman" w:hAnsi="Times New Roman" w:eastAsia="宋体" w:cs="Times New Roman"/>
    </w:rPr>
  </w:style>
  <w:style w:type="paragraph" w:styleId="3">
    <w:name w:val="Body Text Indent"/>
    <w:basedOn w:val="1"/>
    <w:next w:val="4"/>
    <w:qFormat/>
    <w:uiPriority w:val="0"/>
    <w:pPr>
      <w:spacing w:line="440" w:lineRule="exact"/>
      <w:ind w:firstLine="480" w:firstLineChars="200"/>
      <w:jc w:val="both"/>
    </w:pPr>
    <w:rPr>
      <w:rFonts w:ascii="Times New Roman" w:hAnsi="Times New Roman" w:eastAsia="仿宋_GB2312" w:cs="Times New Roman"/>
    </w:rPr>
  </w:style>
  <w:style w:type="paragraph" w:styleId="4">
    <w:name w:val="Normal Indent"/>
    <w:basedOn w:val="1"/>
    <w:next w:val="3"/>
    <w:qFormat/>
    <w:uiPriority w:val="99"/>
    <w:pPr>
      <w:widowControl w:val="0"/>
      <w:spacing w:line="360" w:lineRule="auto"/>
      <w:ind w:firstLine="200" w:firstLineChars="200"/>
    </w:pPr>
    <w:rPr>
      <w:rFonts w:ascii="Times New Roman" w:hAnsi="Times New Roman" w:eastAsia="宋体" w:cs="Times New Roman"/>
      <w:kern w:val="2"/>
      <w:sz w:val="21"/>
      <w:szCs w:val="20"/>
    </w:rPr>
  </w:style>
  <w:style w:type="paragraph" w:styleId="5">
    <w:name w:val="Body Text First Indent"/>
    <w:basedOn w:val="6"/>
    <w:next w:val="1"/>
    <w:qFormat/>
    <w:uiPriority w:val="0"/>
    <w:pPr>
      <w:ind w:firstLine="420" w:firstLineChars="100"/>
    </w:pPr>
  </w:style>
  <w:style w:type="paragraph" w:styleId="6">
    <w:name w:val="Body Text"/>
    <w:basedOn w:val="1"/>
    <w:next w:val="1"/>
    <w:qFormat/>
    <w:uiPriority w:val="99"/>
    <w:pPr>
      <w:autoSpaceDE w:val="0"/>
      <w:autoSpaceDN w:val="0"/>
      <w:adjustRightInd w:val="0"/>
      <w:ind w:left="111"/>
      <w:jc w:val="left"/>
    </w:pPr>
    <w:rPr>
      <w:rFonts w:ascii="仿宋_GB2312" w:hAnsi="Times New Roman" w:eastAsia="仿宋_GB2312" w:cs="仿宋_GB2312"/>
      <w:kern w:val="0"/>
      <w:sz w:val="32"/>
      <w:szCs w:val="32"/>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xl53"/>
    <w:basedOn w:val="1"/>
    <w:next w:val="1"/>
    <w:qFormat/>
    <w:uiPriority w:val="0"/>
    <w:pPr>
      <w:spacing w:before="280" w:after="280" w:line="100" w:lineRule="exact"/>
      <w:jc w:val="center"/>
    </w:pPr>
    <w:rPr>
      <w:b/>
      <w:sz w:val="20"/>
    </w:rPr>
  </w:style>
  <w:style w:type="character" w:customStyle="1" w:styleId="11">
    <w:name w:val="NormalCharacter"/>
    <w:link w:val="12"/>
    <w:qFormat/>
    <w:uiPriority w:val="0"/>
    <w:rPr>
      <w:rFonts w:asciiTheme="minorHAnsi" w:hAnsiTheme="minorHAnsi" w:eastAsiaTheme="minorEastAsia" w:cstheme="minorBidi"/>
      <w:kern w:val="2"/>
    </w:rPr>
  </w:style>
  <w:style w:type="paragraph" w:customStyle="1" w:styleId="12">
    <w:name w:val="UserStyle_6"/>
    <w:basedOn w:val="1"/>
    <w:link w:val="11"/>
    <w:qFormat/>
    <w:uiPriority w:val="0"/>
    <w:pPr>
      <w:overflowPunct/>
      <w:autoSpaceDE/>
      <w:autoSpaceDN/>
      <w:adjustRightInd/>
    </w:pPr>
    <w:rPr>
      <w:rFonts w:asciiTheme="minorHAnsi" w:hAnsiTheme="minorHAnsi" w:eastAsiaTheme="minorEastAsia" w:cstheme="minorBidi"/>
      <w:kern w:val="2"/>
    </w:rPr>
  </w:style>
  <w:style w:type="character" w:customStyle="1" w:styleId="13">
    <w:name w:val="UserStyle_17"/>
    <w:basedOn w:val="11"/>
    <w:qFormat/>
    <w:uiPriority w:val="0"/>
    <w:rPr>
      <w:rFonts w:ascii="Times New Roman" w:hAnsi="Times New Roman" w:eastAsia="宋体" w:cstheme="minorBidi"/>
      <w:kern w:val="2"/>
      <w:sz w:val="28"/>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2023-10-18T02:23:00Z</dcterms:created>
  <dc:creator>大钱</dc:creator>
  <cp:lastModifiedBy>Administrator</cp:lastModifiedBy>
  <dcterms:modified xsi:type="dcterms:W3CDTF">2024-05-30T13:04:09Z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68BECF882E9F4A1EA099F9CEF5433BDB</vt:lpwstr>
  </property>
</Properties>
</file>