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16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排涝车（三期）修改内容</w:t>
      </w:r>
    </w:p>
    <w:p w14:paraId="396F0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标段二：</w:t>
      </w:r>
    </w:p>
    <w:tbl>
      <w:tblPr>
        <w:tblStyle w:val="11"/>
        <w:tblW w:w="13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349"/>
        <w:gridCol w:w="6622"/>
      </w:tblGrid>
      <w:tr w14:paraId="0A8B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1" w:type="dxa"/>
            <w:gridSpan w:val="3"/>
            <w:vAlign w:val="center"/>
          </w:tcPr>
          <w:p w14:paraId="07C2BB8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序号2：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子母式泵车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000m3/h）</w:t>
            </w:r>
          </w:p>
        </w:tc>
      </w:tr>
      <w:tr w14:paraId="7940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198912D2">
            <w:pPr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349" w:type="dxa"/>
            <w:vAlign w:val="center"/>
          </w:tcPr>
          <w:p w14:paraId="570DAF72">
            <w:pPr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原参数</w:t>
            </w:r>
          </w:p>
        </w:tc>
        <w:tc>
          <w:tcPr>
            <w:tcW w:w="6622" w:type="dxa"/>
            <w:vAlign w:val="center"/>
          </w:tcPr>
          <w:p w14:paraId="128DCD0D">
            <w:pPr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修改为</w:t>
            </w:r>
          </w:p>
        </w:tc>
      </w:tr>
      <w:tr w14:paraId="1836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05817F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349" w:type="dxa"/>
            <w:vAlign w:val="center"/>
          </w:tcPr>
          <w:p w14:paraId="3E18613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液压驱动时，发动机功率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≥225kw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（投标文件中提供具有CNAS或CMA认证的第三方检测报告扫描件作为佐证材料）；</w:t>
            </w:r>
          </w:p>
          <w:p w14:paraId="40CDF4CF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电源驱动时，发动机功率≥175kw（投标文件中提供具有CNAS或CMA认证的第三方检测报告扫描件作为佐证材料），同时满足车载发电机组功率≥200kw（国三及以上排放标准，提供发电机组铭牌照片）</w:t>
            </w:r>
          </w:p>
        </w:tc>
        <w:tc>
          <w:tcPr>
            <w:tcW w:w="6622" w:type="dxa"/>
            <w:vAlign w:val="center"/>
          </w:tcPr>
          <w:p w14:paraId="1E42EC3E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液压驱动时，发动机功率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（投标文件中提供具有CNAS或CMA认证的第三方检测报告扫描件</w:t>
            </w:r>
            <w:r>
              <w:rPr>
                <w:rFonts w:hint="eastAsia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或车辆工信部公告参数截图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作为佐证材料）；</w:t>
            </w:r>
          </w:p>
          <w:p w14:paraId="0D4E69A3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电源驱动时，发动机功率≥175kw（投标文件中提供具有CNAS或CMA认证的第三方检测报告扫描件</w:t>
            </w:r>
            <w:r>
              <w:rPr>
                <w:rFonts w:hint="eastAsia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或车辆工信部公告参数截图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作为佐证材料），同时满足车载发电机组功率≥200kw（国三及以上排放标准，提供发电机组铭牌照片）</w:t>
            </w:r>
          </w:p>
        </w:tc>
      </w:tr>
      <w:tr w14:paraId="03FE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298723D5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349" w:type="dxa"/>
            <w:vAlign w:val="center"/>
          </w:tcPr>
          <w:p w14:paraId="7EDFE017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总质量（kg）≤16000</w:t>
            </w:r>
          </w:p>
          <w:p w14:paraId="3ADB3337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（投标文件中提供工信部公告参数页作为佐证材料）</w:t>
            </w:r>
          </w:p>
        </w:tc>
        <w:tc>
          <w:tcPr>
            <w:tcW w:w="6622" w:type="dxa"/>
            <w:vAlign w:val="center"/>
          </w:tcPr>
          <w:p w14:paraId="1CB7CE61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总质量（kg）≤16000</w:t>
            </w:r>
          </w:p>
          <w:p w14:paraId="5948B4EF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（投标文件中提供工信部公告参数页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或第三方检测报告扫描件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作为佐证材料）</w:t>
            </w:r>
          </w:p>
        </w:tc>
      </w:tr>
      <w:tr w14:paraId="4A68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1FCD914E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349" w:type="dxa"/>
            <w:vAlign w:val="center"/>
          </w:tcPr>
          <w:p w14:paraId="2CF20EBD">
            <w:pPr>
              <w:pStyle w:val="13"/>
              <w:widowControl w:val="0"/>
              <w:numPr>
                <w:ilvl w:val="0"/>
                <w:numId w:val="0"/>
              </w:numPr>
              <w:spacing w:before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▲整车尺寸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长度：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mm；宽度：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mm；</w:t>
            </w:r>
          </w:p>
          <w:p w14:paraId="511B8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高度：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4000mm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</w:p>
          <w:p w14:paraId="533DD7E8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（投标文件中提供工信部公告参数页作为佐证材料）</w:t>
            </w:r>
          </w:p>
        </w:tc>
        <w:tc>
          <w:tcPr>
            <w:tcW w:w="6622" w:type="dxa"/>
            <w:vAlign w:val="center"/>
          </w:tcPr>
          <w:p w14:paraId="00DC7A35">
            <w:pPr>
              <w:pStyle w:val="13"/>
              <w:widowControl w:val="0"/>
              <w:numPr>
                <w:ilvl w:val="0"/>
                <w:numId w:val="0"/>
              </w:numPr>
              <w:spacing w:before="3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▲整车尺寸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长度：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mm；宽度：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mm；高度：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4000mm;</w:t>
            </w:r>
          </w:p>
          <w:p w14:paraId="2F30CD7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（投标文件中提供工信部公告参数页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或第三方检测报告扫描件作为佐证材料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3CD4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7BAAEEB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349" w:type="dxa"/>
            <w:vAlign w:val="center"/>
          </w:tcPr>
          <w:p w14:paraId="5DFB497B">
            <w:pPr>
              <w:pStyle w:val="13"/>
              <w:widowControl w:val="0"/>
              <w:numPr>
                <w:ilvl w:val="0"/>
                <w:numId w:val="0"/>
              </w:numPr>
              <w:spacing w:before="3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配置：一台移动排水泵站。</w:t>
            </w:r>
          </w:p>
          <w:p w14:paraId="5FFBC57D">
            <w:pPr>
              <w:pStyle w:val="13"/>
              <w:widowControl w:val="0"/>
              <w:numPr>
                <w:ilvl w:val="0"/>
                <w:numId w:val="0"/>
              </w:numPr>
              <w:spacing w:before="3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移动排水泵站单个水泵规定点流量≥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m³/h，规定点扬程不小于15m（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投标文件中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提供具有CNAS或CMA认证的第三方检测报告扫描件作为佐证材料）。</w:t>
            </w:r>
          </w:p>
        </w:tc>
        <w:tc>
          <w:tcPr>
            <w:tcW w:w="6622" w:type="dxa"/>
            <w:vAlign w:val="center"/>
          </w:tcPr>
          <w:p w14:paraId="3F88E5C3">
            <w:pPr>
              <w:pStyle w:val="13"/>
              <w:widowControl w:val="0"/>
              <w:numPr>
                <w:ilvl w:val="0"/>
                <w:numId w:val="0"/>
              </w:numPr>
              <w:spacing w:before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配置：一台移动排水泵站。</w:t>
            </w:r>
          </w:p>
          <w:p w14:paraId="7F66E25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移动排水泵站水泵流量≥1500m³/h，扬程不小于</w:t>
            </w:r>
            <w:r>
              <w:rPr>
                <w:rFonts w:hint="eastAsia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（投标文件中提供具有CNAS或CMA认证的第三方检测报告扫描件作为佐证材料）</w:t>
            </w:r>
          </w:p>
        </w:tc>
      </w:tr>
      <w:tr w14:paraId="3164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217F076C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349" w:type="dxa"/>
            <w:vAlign w:val="center"/>
          </w:tcPr>
          <w:p w14:paraId="798CC825">
            <w:pPr>
              <w:pStyle w:val="13"/>
              <w:widowControl w:val="0"/>
              <w:numPr>
                <w:ilvl w:val="0"/>
                <w:numId w:val="0"/>
              </w:numPr>
              <w:spacing w:before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eastAsia="zh-CN"/>
              </w:rPr>
              <w:t>加热电动调节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广角主后视镜，工程车辆后视镜外壳，侧面望地镜。</w:t>
            </w:r>
          </w:p>
        </w:tc>
        <w:tc>
          <w:tcPr>
            <w:tcW w:w="6622" w:type="dxa"/>
            <w:vAlign w:val="center"/>
          </w:tcPr>
          <w:p w14:paraId="4650EA8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）广角主后视镜，工程车辆后视镜外壳，侧面望地镜。</w:t>
            </w:r>
          </w:p>
        </w:tc>
      </w:tr>
      <w:tr w14:paraId="440D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6B0B88F9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6349" w:type="dxa"/>
            <w:vAlign w:val="center"/>
          </w:tcPr>
          <w:p w14:paraId="02F00C17">
            <w:pPr>
              <w:pStyle w:val="13"/>
              <w:widowControl w:val="0"/>
              <w:numPr>
                <w:ilvl w:val="0"/>
                <w:numId w:val="0"/>
              </w:numPr>
              <w:spacing w:before="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投标人须承诺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控制系统不涉及第三方知识产权，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控制软件提供计算机软件著作权证书。</w:t>
            </w:r>
          </w:p>
        </w:tc>
        <w:tc>
          <w:tcPr>
            <w:tcW w:w="6622" w:type="dxa"/>
            <w:vAlign w:val="center"/>
          </w:tcPr>
          <w:p w14:paraId="3436A380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投标人须承诺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控制系统不涉及第三方知识产权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删除“控制软件提供计算机软件著作权证书”</w:t>
            </w:r>
          </w:p>
        </w:tc>
      </w:tr>
      <w:tr w14:paraId="31A7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5B1F2A0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6349" w:type="dxa"/>
            <w:vAlign w:val="center"/>
          </w:tcPr>
          <w:p w14:paraId="7C42F05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冷却系统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水泵的冷却采用水冷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（投标文件中提供实物照片及设计图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作为佐证材料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，应能满足系统6小时满负荷连续工作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622" w:type="dxa"/>
            <w:vAlign w:val="center"/>
          </w:tcPr>
          <w:p w14:paraId="67DC98D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冷却系统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水泵的冷却采用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水冷或风冷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（投标文件中提供实物照片及设计图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作为佐证材料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，应能满足系统6小时满负荷连续工作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3CCD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715CC9D9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6349" w:type="dxa"/>
            <w:vAlign w:val="center"/>
          </w:tcPr>
          <w:p w14:paraId="51B456BC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▲水泵性能：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规定点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流量：≥1500m³/h，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规定点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扬程：≥15m（投标文件中提供具有CNAS或CMA认证的第三方检测报告扫描件作为佐证材料）</w:t>
            </w:r>
          </w:p>
        </w:tc>
        <w:tc>
          <w:tcPr>
            <w:tcW w:w="6622" w:type="dxa"/>
            <w:vAlign w:val="center"/>
          </w:tcPr>
          <w:p w14:paraId="6E881D7C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▲水泵性能：流量：≥1500m³/h，扬程：≥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（投标文件中提供具有CNAS或CMA认证的第三方检测报告扫描件作为佐证材料）</w:t>
            </w:r>
          </w:p>
        </w:tc>
      </w:tr>
      <w:tr w14:paraId="72E3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1" w:type="dxa"/>
            <w:gridSpan w:val="3"/>
            <w:vAlign w:val="center"/>
          </w:tcPr>
          <w:p w14:paraId="376ABC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序号3：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eastAsia="zh-CN"/>
              </w:rPr>
              <w:t>子母式泵车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000m3/h）</w:t>
            </w:r>
          </w:p>
        </w:tc>
      </w:tr>
      <w:tr w14:paraId="3D81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623C96C1">
            <w:pPr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349" w:type="dxa"/>
            <w:vAlign w:val="center"/>
          </w:tcPr>
          <w:p w14:paraId="79BF7A38">
            <w:pPr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原参数</w:t>
            </w:r>
          </w:p>
        </w:tc>
        <w:tc>
          <w:tcPr>
            <w:tcW w:w="6622" w:type="dxa"/>
            <w:vAlign w:val="center"/>
          </w:tcPr>
          <w:p w14:paraId="6BD9F02A">
            <w:pPr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修改为</w:t>
            </w:r>
          </w:p>
        </w:tc>
      </w:tr>
      <w:tr w14:paraId="70B4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0F5B3488">
            <w:pPr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349" w:type="dxa"/>
            <w:vAlign w:val="center"/>
          </w:tcPr>
          <w:p w14:paraId="40BC210B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液压驱动时，发动机功率≥295kw（投标文件中提供具有CNAS或CMA认证的第三方检测报告扫描件作为佐证材料）；</w:t>
            </w:r>
          </w:p>
          <w:p w14:paraId="167D266E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电源驱动时，发动机功率≥177kw（投标文件中提供具有CNAS或CMA认证的第三方检测报告扫描件作为佐证材料），同时满足车载发电机组功率≥200kw（国三及以上排放标准，提供发电机组铭牌照片）</w:t>
            </w:r>
          </w:p>
        </w:tc>
        <w:tc>
          <w:tcPr>
            <w:tcW w:w="6622" w:type="dxa"/>
            <w:vAlign w:val="center"/>
          </w:tcPr>
          <w:p w14:paraId="31F37B7A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液压驱动时，发动机功率≥295kw（投标文件中提供具有CNAS或CMA认证的第三方检测报告扫描件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或车辆工信部公告参数截图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作为佐证材料）；</w:t>
            </w:r>
          </w:p>
          <w:p w14:paraId="77A18010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电源驱动时，发动机功率≥177kw（投标文件中提供具有CNAS或CMA认证的第三方检测报告扫描件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或车辆工信部公告参数截图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作为佐证材料），同时满足车载发电机组功率≥200kw（国三及以上排放标准，提供发电机组铭牌照片）</w:t>
            </w:r>
          </w:p>
        </w:tc>
      </w:tr>
      <w:tr w14:paraId="678F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0" w:type="dxa"/>
            <w:vAlign w:val="center"/>
          </w:tcPr>
          <w:p w14:paraId="08986A7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6349" w:type="dxa"/>
            <w:vAlign w:val="center"/>
          </w:tcPr>
          <w:p w14:paraId="45B7801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加热电动调节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广角主后视镜，工程车辆后视镜外壳，侧面望地镜。</w:t>
            </w:r>
          </w:p>
        </w:tc>
        <w:tc>
          <w:tcPr>
            <w:tcW w:w="6622" w:type="dxa"/>
            <w:vAlign w:val="center"/>
          </w:tcPr>
          <w:p w14:paraId="672AB3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（4）广角主后视镜，工程车辆后视镜外壳，侧面望地镜。</w:t>
            </w:r>
          </w:p>
        </w:tc>
      </w:tr>
      <w:tr w14:paraId="2CAF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0" w:type="dxa"/>
            <w:vAlign w:val="center"/>
          </w:tcPr>
          <w:p w14:paraId="4BFFFA93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6349" w:type="dxa"/>
            <w:vAlign w:val="center"/>
          </w:tcPr>
          <w:p w14:paraId="2D58DF9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（2）投标人须承诺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控制系统不涉及第三方知识产权，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控制软件提供计算机软件著作权证书。</w:t>
            </w:r>
          </w:p>
        </w:tc>
        <w:tc>
          <w:tcPr>
            <w:tcW w:w="6622" w:type="dxa"/>
            <w:vAlign w:val="center"/>
          </w:tcPr>
          <w:p w14:paraId="5E5B3AE0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（2）投标人须承诺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控制系统不涉及第三方知识产权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删除“控制软件提供计算机软件著作权证书。”</w:t>
            </w:r>
          </w:p>
        </w:tc>
      </w:tr>
      <w:tr w14:paraId="681F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72A4D36D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6349" w:type="dxa"/>
            <w:vAlign w:val="center"/>
          </w:tcPr>
          <w:p w14:paraId="0E9D093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▲冷却系统：水泵的冷却采用水冷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（投标文件中提供实物照片及设计图作为佐证材料）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，应能满足系统6小时满负荷连续工作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622" w:type="dxa"/>
            <w:vAlign w:val="center"/>
          </w:tcPr>
          <w:p w14:paraId="5C715C6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▲冷却系统：水泵的冷却采用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水冷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或风冷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（投标文件中提供实物照片及设计图作为佐证材料）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，应能满足系统6小时满负荷连续工作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 w14:paraId="2024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28D0C5D0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6349" w:type="dxa"/>
            <w:vAlign w:val="center"/>
          </w:tcPr>
          <w:p w14:paraId="5E793737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▲水泵性能：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单个水泵规定点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流量：≥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00m³/h，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单个水泵规定点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扬程：≥15m（投标文件中提供具有CNAS或CMA认证的第三方检测报告扫描件作为佐证材料）</w:t>
            </w:r>
          </w:p>
        </w:tc>
        <w:tc>
          <w:tcPr>
            <w:tcW w:w="6622" w:type="dxa"/>
            <w:vAlign w:val="center"/>
          </w:tcPr>
          <w:p w14:paraId="1DA70A12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▲水泵性能：</w:t>
            </w:r>
            <w:r>
              <w:rPr>
                <w:rFonts w:hint="eastAsia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一个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水泵流量：≥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00m³/h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扬程：≥15m（投标文件中提供具有CNAS或CMA认证的第三方检测报告扫描件作为佐证材料）</w:t>
            </w:r>
          </w:p>
        </w:tc>
      </w:tr>
      <w:tr w14:paraId="002D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11A5B4E5">
            <w:pPr>
              <w:jc w:val="both"/>
              <w:rPr>
                <w:rFonts w:hint="default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6349" w:type="dxa"/>
            <w:vAlign w:val="center"/>
          </w:tcPr>
          <w:p w14:paraId="1C24283F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移动排水泵站高度：≤1600mm</w:t>
            </w:r>
          </w:p>
        </w:tc>
        <w:tc>
          <w:tcPr>
            <w:tcW w:w="6622" w:type="dxa"/>
            <w:vAlign w:val="center"/>
          </w:tcPr>
          <w:p w14:paraId="77DD6E31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移动排水泵站高度：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≤1700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mm</w:t>
            </w:r>
          </w:p>
        </w:tc>
      </w:tr>
      <w:tr w14:paraId="725C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770AD98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349" w:type="dxa"/>
            <w:vAlign w:val="center"/>
          </w:tcPr>
          <w:p w14:paraId="3EEBB54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移动排水泵站质量≤2200kg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6622" w:type="dxa"/>
            <w:vAlign w:val="center"/>
          </w:tcPr>
          <w:p w14:paraId="62CDBF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移动排水泵站质量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≤2300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kg</w:t>
            </w:r>
          </w:p>
        </w:tc>
      </w:tr>
    </w:tbl>
    <w:p w14:paraId="115C0AC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74C40"/>
    <w:multiLevelType w:val="multilevel"/>
    <w:tmpl w:val="2DC74C40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1800" w:firstLine="0"/>
      </w:pPr>
      <w:rPr>
        <w:rFonts w:hint="eastAsia"/>
      </w:rPr>
    </w:lvl>
    <w:lvl w:ilvl="1" w:tentative="0">
      <w:start w:val="1"/>
      <w:numFmt w:val="upperLetter"/>
      <w:suff w:val="nothing"/>
      <w:lvlText w:val="%2"/>
      <w:lvlJc w:val="left"/>
      <w:pPr>
        <w:ind w:left="1800" w:firstLine="0"/>
      </w:pPr>
      <w:rPr>
        <w:rFonts w:hint="eastAsia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180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180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80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8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8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8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9041DAD"/>
    <w:rsid w:val="03D02352"/>
    <w:rsid w:val="0C150462"/>
    <w:rsid w:val="15E54705"/>
    <w:rsid w:val="163A31F9"/>
    <w:rsid w:val="1B6C41E0"/>
    <w:rsid w:val="1B9D06B2"/>
    <w:rsid w:val="230A7D32"/>
    <w:rsid w:val="2500012F"/>
    <w:rsid w:val="288F27E9"/>
    <w:rsid w:val="3A990F64"/>
    <w:rsid w:val="4B4B7DBF"/>
    <w:rsid w:val="5784133E"/>
    <w:rsid w:val="5B896BBF"/>
    <w:rsid w:val="69041DAD"/>
    <w:rsid w:val="7D7D570C"/>
    <w:rsid w:val="7E9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楷体" w:cs="宋体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after="120" w:line="360" w:lineRule="auto"/>
      <w:ind w:left="1803"/>
      <w:jc w:val="center"/>
      <w:outlineLvl w:val="0"/>
    </w:pPr>
    <w:rPr>
      <w:rFonts w:ascii="宋体" w:hAnsi="宋体" w:eastAsia="楷体" w:cs="宋体"/>
      <w:b/>
      <w:kern w:val="44"/>
      <w:sz w:val="32"/>
      <w:szCs w:val="20"/>
      <w:lang w:eastAsia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1"/>
    </w:pPr>
    <w:rPr>
      <w:rFonts w:ascii="Arial" w:hAnsi="Arial" w:eastAsia="楷体" w:cs="宋体"/>
      <w:b/>
      <w:sz w:val="30"/>
      <w:szCs w:val="22"/>
      <w:lang w:eastAsia="en-US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annotation text"/>
    <w:basedOn w:val="1"/>
    <w:qFormat/>
    <w:uiPriority w:val="0"/>
    <w:pPr>
      <w:widowControl w:val="0"/>
    </w:pPr>
    <w:rPr>
      <w:kern w:val="2"/>
      <w:sz w:val="21"/>
    </w:rPr>
  </w:style>
  <w:style w:type="paragraph" w:styleId="6">
    <w:name w:val="toc 3"/>
    <w:basedOn w:val="1"/>
    <w:next w:val="1"/>
    <w:qFormat/>
    <w:uiPriority w:val="0"/>
    <w:pPr>
      <w:spacing w:line="312" w:lineRule="auto"/>
      <w:ind w:left="840" w:leftChars="400"/>
    </w:pPr>
    <w:rPr>
      <w:rFonts w:asciiTheme="minorAscii" w:hAnsiTheme="minorAscii" w:eastAsiaTheme="minorEastAsia" w:cstheme="minorBidi"/>
      <w:kern w:val="2"/>
      <w:sz w:val="21"/>
      <w:lang w:eastAsia="zh-C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toc 1"/>
    <w:basedOn w:val="1"/>
    <w:next w:val="1"/>
    <w:qFormat/>
    <w:uiPriority w:val="0"/>
    <w:pPr>
      <w:spacing w:line="312" w:lineRule="auto"/>
    </w:pPr>
    <w:rPr>
      <w:rFonts w:asciiTheme="minorAscii" w:hAnsiTheme="minorAscii" w:eastAsiaTheme="minorEastAsia" w:cstheme="minorBidi"/>
      <w:kern w:val="2"/>
      <w:sz w:val="21"/>
      <w:lang w:eastAsia="zh-CN"/>
    </w:rPr>
  </w:style>
  <w:style w:type="paragraph" w:styleId="9">
    <w:name w:val="toc 2"/>
    <w:basedOn w:val="1"/>
    <w:next w:val="1"/>
    <w:qFormat/>
    <w:uiPriority w:val="0"/>
    <w:pPr>
      <w:tabs>
        <w:tab w:val="right" w:leader="dot" w:pos="9628"/>
      </w:tabs>
      <w:spacing w:line="312" w:lineRule="auto"/>
      <w:ind w:left="420" w:leftChars="200"/>
    </w:pPr>
    <w:rPr>
      <w:rFonts w:asciiTheme="minorAscii" w:hAnsiTheme="minorAscii" w:eastAsiaTheme="minorEastAsia" w:cstheme="minorBidi"/>
      <w:kern w:val="2"/>
      <w:sz w:val="21"/>
      <w:lang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Paragraph"/>
    <w:autoRedefine/>
    <w:qFormat/>
    <w:uiPriority w:val="1"/>
    <w:pPr>
      <w:spacing w:line="400" w:lineRule="exact"/>
      <w:jc w:val="both"/>
      <w:outlineLvl w:val="2"/>
    </w:pPr>
    <w:rPr>
      <w:rFonts w:ascii="楷体" w:hAnsi="楷体" w:eastAsia="楷体" w:cs="楷体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1942</Words>
  <Characters>2202</Characters>
  <Lines>0</Lines>
  <Paragraphs>0</Paragraphs>
  <TotalTime>7</TotalTime>
  <ScaleCrop>false</ScaleCrop>
  <LinksUpToDate>false</LinksUpToDate>
  <CharactersWithSpaces>2202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2024-08-12T03:10:00Z</dcterms:created>
  <dc:creator>陈
同
学
</dc:creator>
  <cp:lastModifiedBy>阳光招标</cp:lastModifiedBy>
  <dcterms:modified xsi:type="dcterms:W3CDTF">2024-08-26T09:41:47Z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3517D44DC97D4DC99FBBDBFC7C72ED3E_11</vt:lpwstr>
  </property>
</Properties>
</file>