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overflowPunct/>
        <w:topLinePunct w:val="0"/>
        <w:autoSpaceDE/>
        <w:autoSpaceDN/>
        <w:bidi w:val="0"/>
        <w:adjustRightInd/>
        <w:snapToGrid/>
        <w:spacing w:line="540" w:lineRule="exact"/>
        <w:jc w:val="center"/>
        <w:textAlignment w:val="auto"/>
        <w:rPr>
          <w:rFonts w:hint="eastAsia"/>
          <w:lang w:val="en-US" w:eastAsia="zh-CN"/>
        </w:rPr>
      </w:pPr>
      <w:r>
        <w:rPr>
          <w:rFonts w:hint="eastAsia" w:ascii="方正小标宋简体" w:hAnsi="方正小标宋简体" w:eastAsia="方正小标宋简体" w:cs="方正小标宋简体"/>
          <w:sz w:val="44"/>
          <w:szCs w:val="44"/>
          <w:lang w:val="en-US" w:eastAsia="zh-CN"/>
        </w:rPr>
        <w:t>金华市司法局信息化系统、网络、软件、硬件运维及耗材采购项目询价公告</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为切实保障司法行政各类信息化设备和系统稳定有序运行，我局拟采购信息化系统、网络、软件、硬件维护服务及相关耗材。具体事项如下:</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textAlignment w:val="auto"/>
        <w:rPr>
          <w:rFonts w:hint="eastAsia" w:ascii="黑体" w:hAnsi="黑体" w:eastAsia="黑体" w:cs="黑体"/>
          <w:color w:val="000000"/>
          <w:sz w:val="32"/>
          <w:szCs w:val="32"/>
          <w:lang w:val="en-US" w:eastAsia="zh-CN"/>
        </w:rPr>
      </w:pPr>
      <w:r>
        <w:rPr>
          <w:rFonts w:hint="eastAsia" w:ascii="黑体" w:hAnsi="黑体" w:eastAsia="黑体" w:cs="黑体"/>
          <w:color w:val="000000"/>
          <w:sz w:val="32"/>
          <w:szCs w:val="32"/>
          <w:lang w:val="en-US" w:eastAsia="zh-CN"/>
        </w:rPr>
        <w:t>一、采购内容</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left"/>
        <w:textAlignment w:val="auto"/>
        <w:rPr>
          <w:rFonts w:hint="eastAsia" w:ascii="楷体_GB2312" w:hAnsi="楷体_GB2312" w:eastAsia="楷体_GB2312" w:cs="楷体_GB2312"/>
          <w:color w:val="000000"/>
          <w:sz w:val="32"/>
          <w:szCs w:val="32"/>
          <w:lang w:val="en-US" w:eastAsia="zh-CN"/>
        </w:rPr>
      </w:pPr>
      <w:r>
        <w:rPr>
          <w:rFonts w:hint="eastAsia" w:ascii="楷体_GB2312" w:hAnsi="楷体_GB2312" w:eastAsia="楷体_GB2312" w:cs="楷体_GB2312"/>
          <w:color w:val="000000"/>
          <w:sz w:val="32"/>
          <w:szCs w:val="32"/>
          <w:lang w:val="en-US" w:eastAsia="zh-CN"/>
        </w:rPr>
        <w:t>（一）信息化系统、网络、软件、硬件维护服务</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根据我局要求，提供信息化系统、网络、软件、硬件维护需求，提供专人技术服务。</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1.系统运维。包括司法行政信息化数据梳理、整合、制表，腾讯会议、小鱼易联、宝利通等指挥中心会议系统和视联网会议技术保障等服务。</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2.网络运维。包括单位服务器和个人终端网络出口链路、主干链路、接入交换机到设备端、用户端网络故障排查、检测维修，确保网络运行可靠高效。</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3.软件运维。包括各类信息化设备驱动、应用软件的安装、配置、调试，</w:t>
      </w:r>
      <w:r>
        <w:rPr>
          <w:rFonts w:hint="eastAsia" w:ascii="仿宋_GB2312" w:hAnsi="仿宋_GB2312" w:eastAsia="仿宋_GB2312" w:cs="仿宋_GB2312"/>
          <w:sz w:val="32"/>
          <w:szCs w:val="32"/>
        </w:rPr>
        <w:t>日常应用软件使用故障的诊断和恢复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操作系统的备份、恢复和重装。负责司法行政业务信息系统运行维护，协调系统开发公司解决信息系统技术性故障。</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4.硬件运维。包括计算机、打印机、扫描仪、传真机、复印机等办公设备的保养检测、故障维修，以及LED显示屏的故障检测与前端维修。</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left"/>
        <w:textAlignment w:val="auto"/>
        <w:rPr>
          <w:rFonts w:hint="eastAsia" w:ascii="楷体_GB2312" w:hAnsi="楷体_GB2312" w:eastAsia="楷体_GB2312" w:cs="楷体_GB2312"/>
          <w:color w:val="000000"/>
          <w:sz w:val="32"/>
          <w:szCs w:val="32"/>
          <w:lang w:val="en-US" w:eastAsia="zh-CN"/>
        </w:rPr>
      </w:pPr>
      <w:r>
        <w:rPr>
          <w:rFonts w:hint="eastAsia" w:ascii="楷体_GB2312" w:hAnsi="楷体_GB2312" w:eastAsia="楷体_GB2312" w:cs="楷体_GB2312"/>
          <w:color w:val="000000"/>
          <w:sz w:val="32"/>
          <w:szCs w:val="32"/>
          <w:lang w:val="en-US" w:eastAsia="zh-CN"/>
        </w:rPr>
        <w:t>（二）耗材采购及上门送货、安装服务</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64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根据我局需求提供相关耗材，并免费提供耗材的上门送货、安装服务，以及耗材在质保期内的维护工作，如耗材出现质量问题须免费更换。耗材类型主要包括</w:t>
      </w:r>
      <w:r>
        <w:rPr>
          <w:rFonts w:hint="default" w:ascii="仿宋_GB2312" w:hAnsi="仿宋_GB2312" w:eastAsia="仿宋_GB2312" w:cs="仿宋_GB2312"/>
          <w:sz w:val="32"/>
          <w:szCs w:val="32"/>
          <w:lang w:val="en-US" w:eastAsia="zh-CN"/>
        </w:rPr>
        <w:t>碳粉</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val="en-US" w:eastAsia="zh-CN"/>
        </w:rPr>
        <w:t>硒鼓</w:t>
      </w:r>
      <w:r>
        <w:rPr>
          <w:rFonts w:hint="eastAsia" w:ascii="仿宋_GB2312" w:hAnsi="仿宋_GB2312" w:eastAsia="仿宋_GB2312" w:cs="仿宋_GB2312"/>
          <w:sz w:val="32"/>
          <w:szCs w:val="32"/>
          <w:lang w:val="en-US" w:eastAsia="zh-CN"/>
        </w:rPr>
        <w:t>、鼠标、硬盘、内存条、键盘、网线、音频线、电池等，相关设备品牌型号、采购需求量见《询价单》（附件）。耗材上门送货安装服务须</w:t>
      </w:r>
      <w:r>
        <w:rPr>
          <w:rFonts w:hint="eastAsia" w:ascii="仿宋_GB2312" w:hAnsi="仿宋_GB2312" w:eastAsia="仿宋_GB2312" w:cs="仿宋_GB2312"/>
          <w:sz w:val="32"/>
          <w:szCs w:val="32"/>
          <w:highlight w:val="none"/>
          <w:lang w:val="en-US" w:eastAsia="zh-CN"/>
        </w:rPr>
        <w:t>保证一般情况3小时内响应，紧急情况1小时内响应。</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二、服务模式</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rPr>
          <w:rFonts w:hint="eastAsia" w:ascii="华文楷体" w:hAnsi="华文楷体" w:eastAsia="华文楷体" w:cs="华文楷体"/>
          <w:color w:val="000000"/>
          <w:sz w:val="32"/>
          <w:szCs w:val="32"/>
          <w:lang w:val="en-US" w:eastAsia="zh-CN"/>
        </w:rPr>
      </w:pPr>
      <w:r>
        <w:rPr>
          <w:rFonts w:hint="eastAsia" w:ascii="Times New Roman" w:hAnsi="Times New Roman" w:eastAsia="仿宋_GB2312" w:cs="Times New Roman"/>
          <w:sz w:val="32"/>
          <w:szCs w:val="32"/>
          <w:lang w:val="en-US" w:eastAsia="zh-CN"/>
        </w:rPr>
        <w:t>通过政采云公告询价方式择优确定1家公司提供相应技术服务。中标公司根据服务主要内容安排至少1名适合的技术人员为我局提供</w:t>
      </w:r>
      <w:r>
        <w:rPr>
          <w:rFonts w:hint="eastAsia" w:ascii="仿宋_GB2312" w:hAnsi="仿宋_GB2312" w:eastAsia="仿宋_GB2312" w:cs="仿宋_GB2312"/>
          <w:color w:val="000000"/>
          <w:sz w:val="32"/>
          <w:szCs w:val="32"/>
          <w:lang w:val="en-US" w:eastAsia="zh-CN"/>
        </w:rPr>
        <w:t>信息化系统、网络、软件、硬件现场维护服务，并</w:t>
      </w:r>
      <w:r>
        <w:rPr>
          <w:rFonts w:hint="eastAsia" w:ascii="Times New Roman" w:hAnsi="Times New Roman" w:eastAsia="仿宋_GB2312" w:cs="Times New Roman"/>
          <w:sz w:val="32"/>
          <w:szCs w:val="32"/>
          <w:lang w:val="en-US" w:eastAsia="zh-CN"/>
        </w:rPr>
        <w:t>为技术人员提供必要技术、设备和人员支持，协助处理疑难复杂问题；</w:t>
      </w:r>
      <w:r>
        <w:rPr>
          <w:rFonts w:hint="eastAsia" w:ascii="仿宋_GB2312" w:hAnsi="仿宋_GB2312" w:eastAsia="仿宋_GB2312" w:cs="仿宋_GB2312"/>
          <w:color w:val="000000"/>
          <w:sz w:val="32"/>
          <w:szCs w:val="32"/>
          <w:lang w:val="en-US" w:eastAsia="zh-CN"/>
        </w:rPr>
        <w:t>提供</w:t>
      </w:r>
      <w:r>
        <w:rPr>
          <w:rFonts w:hint="eastAsia" w:ascii="Times New Roman" w:hAnsi="Times New Roman" w:eastAsia="仿宋_GB2312" w:cs="Times New Roman"/>
          <w:sz w:val="32"/>
          <w:szCs w:val="32"/>
          <w:lang w:val="en-US" w:eastAsia="zh-CN"/>
        </w:rPr>
        <w:t>采购耗材的上门送货、安装等服务。现场维护人员设置试用期1个月，无法胜任工作的，中标公司应根据金华市司法局要求另行安排合适技术人员。</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三、竞标单位及技术人员要求</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sz w:val="32"/>
          <w:szCs w:val="32"/>
          <w:lang w:val="en-US" w:eastAsia="zh-CN"/>
        </w:rPr>
        <w:t>竞标单位须为注册在金华市区的信息类服务单位，具有相关经营范</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围；具有涉密信息系统总体集成及运维资质；应具备一定的规模和实力，能够提供技术和人员在现场协助指导维护人员解决疑难复杂问题及</w:t>
      </w:r>
      <w:r>
        <w:rPr>
          <w:rFonts w:hint="eastAsia" w:ascii="仿宋_GB2312" w:hAnsi="仿宋_GB2312" w:eastAsia="仿宋_GB2312" w:cs="仿宋_GB2312"/>
          <w:color w:val="000000"/>
          <w:sz w:val="32"/>
          <w:szCs w:val="32"/>
          <w:lang w:val="en-US" w:eastAsia="zh-CN"/>
        </w:rPr>
        <w:t>及市司法局要求处理的涉密工作</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，能够提供现场维护备用人选。</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jc w:val="left"/>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技术人员须拥有2年以上计算机设备和信息系统维护服务经验，具备计算机相关专业知识，对日常计算机设备如终端电脑、打印机、复印机、扫描仪等设备熟悉；熟悉IT运维服务体系，对信息安全、入侵检测、防火墙/防病毒等有一定的了解；熟悉操作系统环境的应用系统运维工作，能够定位、解决服务器及各类信息化设备的简单故障；工作稳定，做事严谨负责、踏实、敬业，具备一定的人际沟通协调能力，在接到市司法局工作任务后能够15分钟内抵达现场。</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Chars="0" w:firstLine="640" w:firstLineChars="200"/>
        <w:jc w:val="lef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四、采购方式</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640"/>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我局将成立临时采购小组，通过政采平台发布询价公告，以最低价中标方式确定1家公司提供相应技术服务及产品。与中标公司就具体合同条款达成一致后，我局将与中标公司签订书面合同。</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Chars="0" w:firstLine="640" w:firstLineChars="200"/>
        <w:jc w:val="lef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五、合作期限及费用支付</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640" w:firstLineChars="0"/>
        <w:jc w:val="both"/>
        <w:textAlignment w:val="auto"/>
        <w:outlineLvl w:val="9"/>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本次招标合作期限为一年。合作费用由两部分组成，其中信息化系统、网络、软件、硬件维护服务在限额8万元/年以内，具体价格由各公司报价开标后确定，合同签订后先支付该部分费用的70%，剩余30%费用于服务到期后根据服务绩效情况支付；耗材采购及上门送货、安装服务预算为7万元，具体费用根据中标公司的报价标准据实结算。</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六、其他事项</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640" w:firstLineChars="200"/>
        <w:jc w:val="both"/>
        <w:textAlignment w:val="auto"/>
        <w:outlineLvl w:val="9"/>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请各公司务必确信能够提供上述服务内容且满足上述条件，如公司中标后无法满足上述条件或无法保质保量提供上述服务内容的，视为违约处理。</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640" w:firstLineChars="200"/>
        <w:jc w:val="both"/>
        <w:textAlignment w:val="auto"/>
        <w:outlineLvl w:val="9"/>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其他未尽事项，各公司可致电我局咨询。联系人：杜宇昊  联系电话：82469278。</w:t>
      </w:r>
    </w:p>
    <w:p>
      <w:pPr>
        <w:pStyle w:val="2"/>
        <w:keepNext w:val="0"/>
        <w:keepLines w:val="0"/>
        <w:pageBreakBefore w:val="0"/>
        <w:widowControl w:val="0"/>
        <w:kinsoku/>
        <w:overflowPunct/>
        <w:topLinePunct w:val="0"/>
        <w:autoSpaceDE/>
        <w:autoSpaceDN/>
        <w:bidi w:val="0"/>
        <w:adjustRightInd/>
        <w:snapToGrid/>
        <w:spacing w:line="540" w:lineRule="exact"/>
        <w:textAlignment w:val="auto"/>
        <w:rPr>
          <w:rFonts w:hint="eastAsia"/>
          <w:lang w:val="en-US" w:eastAsia="zh-CN"/>
        </w:rPr>
      </w:pPr>
    </w:p>
    <w:p>
      <w:pPr>
        <w:keepNext w:val="0"/>
        <w:keepLines w:val="0"/>
        <w:pageBreakBefore w:val="0"/>
        <w:widowControl w:val="0"/>
        <w:kinsoku/>
        <w:overflowPunct/>
        <w:topLinePunct w:val="0"/>
        <w:autoSpaceDE/>
        <w:autoSpaceDN/>
        <w:bidi w:val="0"/>
        <w:adjustRightInd/>
        <w:snapToGrid/>
        <w:spacing w:line="540" w:lineRule="exact"/>
        <w:ind w:firstLine="640"/>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附件：询价单</w:t>
      </w:r>
    </w:p>
    <w:p>
      <w:pPr>
        <w:keepNext w:val="0"/>
        <w:keepLines w:val="0"/>
        <w:pageBreakBefore w:val="0"/>
        <w:widowControl w:val="0"/>
        <w:kinsoku/>
        <w:wordWrap w:val="0"/>
        <w:overflowPunct/>
        <w:topLinePunct w:val="0"/>
        <w:autoSpaceDE/>
        <w:autoSpaceDN/>
        <w:bidi w:val="0"/>
        <w:adjustRightInd/>
        <w:snapToGrid/>
        <w:spacing w:line="540" w:lineRule="exact"/>
        <w:ind w:firstLine="640"/>
        <w:jc w:val="right"/>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 xml:space="preserve">金华市司法局    </w:t>
      </w:r>
    </w:p>
    <w:p>
      <w:pPr>
        <w:keepNext w:val="0"/>
        <w:keepLines w:val="0"/>
        <w:pageBreakBefore w:val="0"/>
        <w:widowControl w:val="0"/>
        <w:kinsoku/>
        <w:wordWrap w:val="0"/>
        <w:overflowPunct/>
        <w:topLinePunct w:val="0"/>
        <w:autoSpaceDE/>
        <w:autoSpaceDN/>
        <w:bidi w:val="0"/>
        <w:adjustRightInd/>
        <w:snapToGrid/>
        <w:spacing w:line="540" w:lineRule="exact"/>
        <w:ind w:firstLine="640"/>
        <w:jc w:val="right"/>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 xml:space="preserve">2024年9月11日  </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_GB2312" w:hAnsi="仿宋_GB2312" w:eastAsia="仿宋_GB2312" w:cs="仿宋_GB2312"/>
          <w:color w:val="000000"/>
          <w:sz w:val="32"/>
          <w:szCs w:val="32"/>
          <w:lang w:val="en-US" w:eastAsia="zh-CN"/>
        </w:rPr>
        <w:sectPr>
          <w:footerReference r:id="rId3" w:type="default"/>
          <w:pgSz w:w="11906" w:h="16838"/>
          <w:pgMar w:top="1440" w:right="1800" w:bottom="1440" w:left="1800" w:header="851" w:footer="992" w:gutter="0"/>
          <w:pgNumType w:fmt="decimal"/>
          <w:cols w:space="425" w:num="1"/>
          <w:docGrid w:type="lines" w:linePitch="312" w:charSpace="0"/>
        </w:sectPr>
      </w:pPr>
    </w:p>
    <w:p>
      <w:pPr>
        <w:wordWrap/>
        <w:jc w:val="left"/>
        <w:rPr>
          <w:rFonts w:hint="eastAsia" w:ascii="黑体" w:hAnsi="黑体" w:eastAsia="黑体" w:cs="黑体"/>
          <w:color w:val="000000"/>
          <w:sz w:val="28"/>
          <w:szCs w:val="28"/>
          <w:lang w:val="en-US" w:eastAsia="zh-CN"/>
        </w:rPr>
      </w:pPr>
      <w:r>
        <w:rPr>
          <w:rFonts w:hint="eastAsia" w:ascii="黑体" w:hAnsi="黑体" w:eastAsia="黑体" w:cs="黑体"/>
          <w:color w:val="000000"/>
          <w:sz w:val="28"/>
          <w:szCs w:val="28"/>
          <w:lang w:val="en-US" w:eastAsia="zh-CN"/>
        </w:rPr>
        <w:t>附件</w:t>
      </w:r>
    </w:p>
    <w:p>
      <w:pPr>
        <w:widowControl w:val="0"/>
        <w:spacing w:line="560" w:lineRule="exact"/>
        <w:jc w:val="center"/>
        <w:rPr>
          <w:rFonts w:hint="eastAsia" w:ascii="方正小标宋简体" w:eastAsia="方正小标宋简体"/>
          <w:bCs/>
          <w:sz w:val="24"/>
          <w:szCs w:val="24"/>
        </w:rPr>
      </w:pPr>
      <w:r>
        <w:rPr>
          <w:rFonts w:hint="eastAsia" w:ascii="方正小标宋简体" w:eastAsia="方正小标宋简体"/>
          <w:bCs/>
          <w:sz w:val="36"/>
          <w:szCs w:val="36"/>
        </w:rPr>
        <w:t>询           价          单</w:t>
      </w:r>
    </w:p>
    <w:p>
      <w:pPr>
        <w:widowControl w:val="0"/>
        <w:spacing w:line="560" w:lineRule="exact"/>
        <w:ind w:firstLine="573"/>
        <w:rPr>
          <w:rFonts w:hint="eastAsia"/>
          <w:sz w:val="24"/>
        </w:rPr>
      </w:pPr>
      <w:r>
        <w:rPr>
          <w:rFonts w:hint="eastAsia"/>
          <w:sz w:val="24"/>
        </w:rPr>
        <w:t>本单位</w:t>
      </w:r>
      <w:r>
        <w:rPr>
          <w:rFonts w:hint="eastAsia"/>
          <w:sz w:val="24"/>
          <w:lang w:val="en-US" w:eastAsia="zh-CN"/>
        </w:rPr>
        <w:t>拟对2024-2025年度办公设备耗材及维护服务进行询价采购。根据实际需求，现将我局2023-2024年度主要办公设备耗材及维护服务列举如下，</w:t>
      </w:r>
      <w:r>
        <w:rPr>
          <w:rFonts w:hint="eastAsia"/>
          <w:sz w:val="24"/>
        </w:rPr>
        <w:t>望你公司</w:t>
      </w:r>
      <w:r>
        <w:rPr>
          <w:rFonts w:hint="eastAsia"/>
          <w:sz w:val="24"/>
          <w:lang w:val="en-US" w:eastAsia="zh-CN"/>
        </w:rPr>
        <w:t>按要求填写并</w:t>
      </w:r>
      <w:r>
        <w:rPr>
          <w:rFonts w:hint="eastAsia"/>
          <w:sz w:val="24"/>
        </w:rPr>
        <w:t>于</w:t>
      </w:r>
      <w:r>
        <w:rPr>
          <w:rFonts w:hint="eastAsia"/>
          <w:sz w:val="24"/>
          <w:lang w:val="en-US" w:eastAsia="zh-CN"/>
        </w:rPr>
        <w:t xml:space="preserve"> 2024</w:t>
      </w:r>
      <w:r>
        <w:rPr>
          <w:rFonts w:hint="eastAsia"/>
          <w:sz w:val="24"/>
        </w:rPr>
        <w:t xml:space="preserve"> 年</w:t>
      </w:r>
      <w:r>
        <w:rPr>
          <w:rFonts w:hint="eastAsia"/>
          <w:sz w:val="24"/>
          <w:lang w:val="en-US" w:eastAsia="zh-CN"/>
        </w:rPr>
        <w:t xml:space="preserve"> 9 </w:t>
      </w:r>
      <w:r>
        <w:rPr>
          <w:rFonts w:hint="eastAsia"/>
          <w:sz w:val="24"/>
        </w:rPr>
        <w:t>月</w:t>
      </w:r>
      <w:r>
        <w:rPr>
          <w:rFonts w:hint="eastAsia"/>
          <w:sz w:val="24"/>
          <w:lang w:val="en-US" w:eastAsia="zh-CN"/>
        </w:rPr>
        <w:t xml:space="preserve"> 20</w:t>
      </w:r>
      <w:bookmarkStart w:id="0" w:name="_GoBack"/>
      <w:bookmarkEnd w:id="0"/>
      <w:r>
        <w:rPr>
          <w:rFonts w:hint="eastAsia"/>
          <w:sz w:val="24"/>
        </w:rPr>
        <w:t>日</w:t>
      </w:r>
      <w:r>
        <w:rPr>
          <w:rFonts w:hint="eastAsia"/>
          <w:sz w:val="24"/>
          <w:lang w:val="en-US" w:eastAsia="zh-CN"/>
        </w:rPr>
        <w:t>18:00</w:t>
      </w:r>
      <w:r>
        <w:rPr>
          <w:rFonts w:hint="eastAsia"/>
          <w:sz w:val="24"/>
        </w:rPr>
        <w:t>时前（询价截止时间）将本询价单寄送给我单位。</w:t>
      </w:r>
    </w:p>
    <w:tbl>
      <w:tblPr>
        <w:tblStyle w:val="7"/>
        <w:tblW w:w="136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4"/>
        <w:gridCol w:w="3989"/>
        <w:gridCol w:w="713"/>
        <w:gridCol w:w="611"/>
        <w:gridCol w:w="726"/>
        <w:gridCol w:w="1262"/>
        <w:gridCol w:w="1330"/>
        <w:gridCol w:w="1716"/>
        <w:gridCol w:w="12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2084" w:type="dxa"/>
            <w:tcBorders>
              <w:left w:val="single" w:color="auto" w:sz="4" w:space="0"/>
              <w:bottom w:val="single" w:color="auto" w:sz="4" w:space="0"/>
              <w:right w:val="single" w:color="auto" w:sz="4" w:space="0"/>
            </w:tcBorders>
            <w:noWrap w:val="0"/>
            <w:vAlign w:val="center"/>
          </w:tcPr>
          <w:p>
            <w:pPr>
              <w:widowControl w:val="0"/>
              <w:spacing w:line="440" w:lineRule="exact"/>
              <w:jc w:val="center"/>
              <w:rPr>
                <w:rFonts w:hint="default" w:ascii="黑体" w:hAnsi="黑体" w:eastAsia="黑体" w:cs="黑体"/>
                <w:b w:val="0"/>
                <w:bCs w:val="0"/>
                <w:sz w:val="24"/>
                <w:lang w:val="en-US" w:eastAsia="zh-CN"/>
              </w:rPr>
            </w:pPr>
            <w:r>
              <w:rPr>
                <w:rFonts w:hint="eastAsia" w:ascii="黑体" w:hAnsi="黑体" w:eastAsia="黑体" w:cs="黑体"/>
                <w:b w:val="0"/>
                <w:bCs w:val="0"/>
                <w:sz w:val="24"/>
                <w:lang w:val="en-US" w:eastAsia="zh-CN"/>
              </w:rPr>
              <w:t>项目名称</w:t>
            </w:r>
          </w:p>
        </w:tc>
        <w:tc>
          <w:tcPr>
            <w:tcW w:w="3989" w:type="dxa"/>
            <w:tcBorders>
              <w:top w:val="single" w:color="auto" w:sz="4" w:space="0"/>
              <w:left w:val="single" w:color="auto" w:sz="4" w:space="0"/>
              <w:bottom w:val="single" w:color="auto" w:sz="4" w:space="0"/>
              <w:right w:val="single" w:color="auto" w:sz="4" w:space="0"/>
            </w:tcBorders>
            <w:noWrap w:val="0"/>
            <w:vAlign w:val="center"/>
          </w:tcPr>
          <w:p>
            <w:pPr>
              <w:widowControl w:val="0"/>
              <w:spacing w:line="440" w:lineRule="exact"/>
              <w:jc w:val="center"/>
              <w:rPr>
                <w:rFonts w:hint="default" w:ascii="黑体" w:hAnsi="黑体" w:eastAsia="黑体" w:cs="黑体"/>
                <w:b w:val="0"/>
                <w:bCs w:val="0"/>
                <w:sz w:val="24"/>
                <w:lang w:val="en-US" w:eastAsia="zh-CN"/>
              </w:rPr>
            </w:pPr>
            <w:r>
              <w:rPr>
                <w:rFonts w:hint="eastAsia" w:ascii="黑体" w:hAnsi="黑体" w:eastAsia="黑体" w:cs="黑体"/>
                <w:b w:val="0"/>
                <w:bCs w:val="0"/>
                <w:sz w:val="24"/>
                <w:lang w:val="en-US" w:eastAsia="zh-CN"/>
              </w:rPr>
              <w:t>技术参数和主要内容</w:t>
            </w:r>
          </w:p>
        </w:tc>
        <w:tc>
          <w:tcPr>
            <w:tcW w:w="713" w:type="dxa"/>
            <w:tcBorders>
              <w:top w:val="single" w:color="auto" w:sz="4" w:space="0"/>
              <w:left w:val="single" w:color="auto" w:sz="4" w:space="0"/>
              <w:bottom w:val="single" w:color="auto" w:sz="4" w:space="0"/>
              <w:right w:val="single" w:color="auto" w:sz="4" w:space="0"/>
            </w:tcBorders>
            <w:noWrap w:val="0"/>
            <w:vAlign w:val="center"/>
          </w:tcPr>
          <w:p>
            <w:pPr>
              <w:widowControl w:val="0"/>
              <w:spacing w:line="440" w:lineRule="exact"/>
              <w:jc w:val="center"/>
              <w:rPr>
                <w:rFonts w:hint="default" w:ascii="黑体" w:hAnsi="黑体" w:eastAsia="黑体" w:cs="黑体"/>
                <w:b w:val="0"/>
                <w:bCs w:val="0"/>
                <w:sz w:val="24"/>
                <w:lang w:val="en-US" w:eastAsia="zh-CN"/>
              </w:rPr>
            </w:pPr>
            <w:r>
              <w:rPr>
                <w:rFonts w:hint="eastAsia" w:ascii="黑体" w:hAnsi="黑体" w:eastAsia="黑体" w:cs="黑体"/>
                <w:b w:val="0"/>
                <w:bCs w:val="0"/>
                <w:sz w:val="24"/>
                <w:lang w:val="en-US" w:eastAsia="zh-CN"/>
              </w:rPr>
              <w:t>数量</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widowControl w:val="0"/>
              <w:spacing w:line="440" w:lineRule="exact"/>
              <w:jc w:val="center"/>
              <w:rPr>
                <w:rFonts w:hint="default" w:ascii="黑体" w:hAnsi="黑体" w:eastAsia="黑体" w:cs="黑体"/>
                <w:b w:val="0"/>
                <w:bCs w:val="0"/>
                <w:sz w:val="24"/>
                <w:lang w:val="en-US" w:eastAsia="zh-CN"/>
              </w:rPr>
            </w:pPr>
            <w:r>
              <w:rPr>
                <w:rFonts w:hint="eastAsia" w:ascii="黑体" w:hAnsi="黑体" w:eastAsia="黑体" w:cs="黑体"/>
                <w:b w:val="0"/>
                <w:bCs w:val="0"/>
                <w:sz w:val="24"/>
                <w:lang w:val="en-US" w:eastAsia="zh-CN"/>
              </w:rPr>
              <w:t>计量单位</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440" w:lineRule="exact"/>
              <w:jc w:val="center"/>
              <w:rPr>
                <w:rFonts w:hint="eastAsia" w:ascii="黑体" w:hAnsi="黑体" w:eastAsia="黑体" w:cs="黑体"/>
                <w:b w:val="0"/>
                <w:bCs w:val="0"/>
                <w:sz w:val="24"/>
                <w:lang w:eastAsia="zh-CN"/>
              </w:rPr>
            </w:pPr>
            <w:r>
              <w:rPr>
                <w:rFonts w:hint="eastAsia" w:ascii="黑体" w:hAnsi="黑体" w:eastAsia="黑体" w:cs="黑体"/>
                <w:b w:val="0"/>
                <w:bCs w:val="0"/>
                <w:sz w:val="24"/>
                <w:lang w:eastAsia="zh-CN"/>
              </w:rPr>
              <w:t>单价（元）</w:t>
            </w: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440" w:lineRule="exact"/>
              <w:jc w:val="center"/>
              <w:rPr>
                <w:rFonts w:hint="eastAsia" w:ascii="黑体" w:hAnsi="黑体" w:eastAsia="黑体" w:cs="黑体"/>
                <w:b w:val="0"/>
                <w:bCs w:val="0"/>
                <w:sz w:val="24"/>
                <w:lang w:eastAsia="zh-CN"/>
              </w:rPr>
            </w:pPr>
            <w:r>
              <w:rPr>
                <w:rFonts w:hint="eastAsia" w:ascii="黑体" w:hAnsi="黑体" w:eastAsia="黑体" w:cs="黑体"/>
                <w:b w:val="0"/>
                <w:bCs w:val="0"/>
                <w:sz w:val="24"/>
                <w:lang w:eastAsia="zh-CN"/>
              </w:rPr>
              <w:t>总价（元）</w:t>
            </w:r>
          </w:p>
        </w:tc>
        <w:tc>
          <w:tcPr>
            <w:tcW w:w="1716" w:type="dxa"/>
            <w:tcBorders>
              <w:top w:val="single" w:color="auto" w:sz="4" w:space="0"/>
              <w:left w:val="single" w:color="auto" w:sz="4" w:space="0"/>
              <w:bottom w:val="single" w:color="auto" w:sz="4" w:space="0"/>
              <w:right w:val="single" w:color="auto" w:sz="4" w:space="0"/>
            </w:tcBorders>
            <w:noWrap w:val="0"/>
            <w:vAlign w:val="center"/>
          </w:tcPr>
          <w:p>
            <w:pPr>
              <w:widowControl w:val="0"/>
              <w:spacing w:line="440" w:lineRule="exact"/>
              <w:jc w:val="center"/>
              <w:rPr>
                <w:rFonts w:hint="eastAsia" w:ascii="黑体" w:hAnsi="黑体" w:eastAsia="黑体" w:cs="黑体"/>
                <w:b w:val="0"/>
                <w:bCs w:val="0"/>
                <w:sz w:val="24"/>
                <w:lang w:eastAsia="zh-CN"/>
              </w:rPr>
            </w:pPr>
            <w:r>
              <w:rPr>
                <w:rFonts w:hint="eastAsia" w:ascii="黑体" w:hAnsi="黑体" w:eastAsia="黑体" w:cs="黑体"/>
                <w:b w:val="0"/>
                <w:bCs w:val="0"/>
                <w:sz w:val="24"/>
                <w:lang w:eastAsia="zh-CN"/>
              </w:rPr>
              <w:t>项目报价（元）</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widowControl w:val="0"/>
              <w:spacing w:line="440" w:lineRule="exact"/>
              <w:jc w:val="center"/>
              <w:rPr>
                <w:rFonts w:hint="eastAsia" w:ascii="黑体" w:hAnsi="黑体" w:eastAsia="黑体" w:cs="黑体"/>
                <w:b w:val="0"/>
                <w:bCs w:val="0"/>
                <w:sz w:val="24"/>
                <w:lang w:eastAsia="zh-CN"/>
              </w:rPr>
            </w:pPr>
            <w:r>
              <w:rPr>
                <w:rFonts w:hint="eastAsia" w:ascii="黑体" w:hAnsi="黑体" w:eastAsia="黑体" w:cs="黑体"/>
                <w:b w:val="0"/>
                <w:bCs w:val="0"/>
                <w:sz w:val="24"/>
                <w:lang w:eastAsia="zh-CN"/>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2084" w:type="dxa"/>
            <w:tcBorders>
              <w:top w:val="single" w:color="auto" w:sz="4" w:space="0"/>
              <w:left w:val="single" w:color="auto" w:sz="4" w:space="0"/>
              <w:right w:val="single" w:color="auto" w:sz="4" w:space="0"/>
            </w:tcBorders>
            <w:noWrap w:val="0"/>
            <w:vAlign w:val="center"/>
          </w:tcPr>
          <w:p>
            <w:pPr>
              <w:widowControl w:val="0"/>
              <w:snapToGrid w:val="0"/>
              <w:rPr>
                <w:rFonts w:hint="eastAsia" w:ascii="仿宋_GB2312" w:hAnsi="仿宋_GB2312" w:eastAsia="仿宋_GB2312" w:cs="仿宋_GB2312"/>
                <w:spacing w:val="-12"/>
                <w:sz w:val="21"/>
                <w:szCs w:val="21"/>
                <w:lang w:val="en-US" w:eastAsia="zh-CN"/>
              </w:rPr>
            </w:pPr>
            <w:r>
              <w:rPr>
                <w:rFonts w:hint="eastAsia" w:ascii="仿宋_GB2312" w:hAnsi="仿宋_GB2312" w:eastAsia="仿宋_GB2312" w:cs="仿宋_GB2312"/>
                <w:spacing w:val="-12"/>
                <w:sz w:val="21"/>
                <w:szCs w:val="21"/>
                <w:lang w:val="en-US" w:eastAsia="zh-CN"/>
              </w:rPr>
              <w:t>信息化系统、网络、软件、硬件维护服务费用</w:t>
            </w:r>
          </w:p>
        </w:tc>
        <w:tc>
          <w:tcPr>
            <w:tcW w:w="3989" w:type="dxa"/>
            <w:tcBorders>
              <w:top w:val="single" w:color="auto" w:sz="4" w:space="0"/>
              <w:left w:val="single" w:color="auto" w:sz="4" w:space="0"/>
              <w:bottom w:val="single" w:color="auto" w:sz="4" w:space="0"/>
              <w:right w:val="single" w:color="auto" w:sz="4" w:space="0"/>
            </w:tcBorders>
            <w:noWrap w:val="0"/>
            <w:vAlign w:val="center"/>
          </w:tcPr>
          <w:p>
            <w:pPr>
              <w:widowControl w:val="0"/>
              <w:wordWrap w:val="0"/>
              <w:spacing w:line="300" w:lineRule="exact"/>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见公告</w:t>
            </w:r>
          </w:p>
        </w:tc>
        <w:tc>
          <w:tcPr>
            <w:tcW w:w="713" w:type="dxa"/>
            <w:tcBorders>
              <w:top w:val="single" w:color="auto" w:sz="4" w:space="0"/>
              <w:left w:val="single" w:color="auto" w:sz="4" w:space="0"/>
              <w:bottom w:val="single" w:color="auto" w:sz="4" w:space="0"/>
              <w:right w:val="single" w:color="auto" w:sz="4" w:space="0"/>
            </w:tcBorders>
            <w:noWrap w:val="0"/>
            <w:vAlign w:val="center"/>
          </w:tcPr>
          <w:p>
            <w:pPr>
              <w:widowControl w:val="0"/>
              <w:wordWrap w:val="0"/>
              <w:spacing w:line="300" w:lineRule="exact"/>
              <w:jc w:val="center"/>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pStyle w:val="10"/>
              <w:ind w:firstLine="0" w:firstLineChars="0"/>
              <w:jc w:val="center"/>
              <w:rPr>
                <w:rFonts w:hint="eastAsia" w:ascii="仿宋_GB2312" w:hAnsi="仿宋_GB2312" w:eastAsia="仿宋_GB2312" w:cs="仿宋_GB2312"/>
                <w:kern w:val="0"/>
                <w:sz w:val="21"/>
                <w:szCs w:val="21"/>
                <w:lang w:val="en-US" w:eastAsia="zh-CN"/>
              </w:rPr>
            </w:pPr>
            <w:r>
              <w:rPr>
                <w:rFonts w:hint="eastAsia" w:ascii="仿宋_GB2312" w:hAnsi="仿宋_GB2312" w:eastAsia="仿宋_GB2312" w:cs="仿宋_GB2312"/>
                <w:kern w:val="0"/>
                <w:sz w:val="21"/>
                <w:szCs w:val="21"/>
                <w:lang w:val="en-US" w:eastAsia="zh-CN"/>
              </w:rPr>
              <w:t>/</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eastAsia" w:ascii="Times New Roman" w:hAnsi="Times New Roman" w:cs="Times New Roman" w:eastAsiaTheme="minorEastAsia"/>
                <w:kern w:val="2"/>
                <w:sz w:val="24"/>
                <w:szCs w:val="24"/>
                <w:lang w:val="en-US" w:eastAsia="zh-CN"/>
              </w:rPr>
            </w:pPr>
            <w:r>
              <w:rPr>
                <w:rFonts w:hint="eastAsia" w:ascii="Times New Roman" w:hAnsi="Times New Roman" w:cs="Times New Roman"/>
                <w:kern w:val="2"/>
                <w:sz w:val="24"/>
                <w:szCs w:val="24"/>
                <w:lang w:val="en-US" w:eastAsia="zh-CN"/>
              </w:rPr>
              <w:t>/</w:t>
            </w: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eastAsia" w:ascii="Times New Roman" w:hAnsi="Times New Roman" w:cs="Times New Roman" w:eastAsiaTheme="minorEastAsia"/>
                <w:kern w:val="2"/>
                <w:sz w:val="24"/>
                <w:szCs w:val="24"/>
                <w:lang w:val="en-US" w:eastAsia="zh-CN"/>
              </w:rPr>
            </w:pPr>
            <w:r>
              <w:rPr>
                <w:rFonts w:hint="eastAsia" w:ascii="Times New Roman" w:hAnsi="Times New Roman" w:cs="Times New Roman"/>
                <w:kern w:val="2"/>
                <w:sz w:val="24"/>
                <w:szCs w:val="24"/>
                <w:lang w:val="en-US" w:eastAsia="zh-CN"/>
              </w:rPr>
              <w:t>/</w:t>
            </w:r>
          </w:p>
        </w:tc>
        <w:tc>
          <w:tcPr>
            <w:tcW w:w="1716" w:type="dxa"/>
            <w:tcBorders>
              <w:top w:val="single" w:color="auto" w:sz="4" w:space="0"/>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restart"/>
            <w:tcBorders>
              <w:top w:val="single" w:color="auto" w:sz="4" w:space="0"/>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restart"/>
            <w:tcBorders>
              <w:top w:val="single" w:color="auto" w:sz="4" w:space="0"/>
              <w:left w:val="single" w:color="auto" w:sz="4" w:space="0"/>
              <w:right w:val="single" w:color="auto" w:sz="4" w:space="0"/>
            </w:tcBorders>
            <w:noWrap w:val="0"/>
            <w:vAlign w:val="center"/>
          </w:tcPr>
          <w:p>
            <w:pPr>
              <w:widowControl w:val="0"/>
              <w:snapToGrid w:val="0"/>
              <w:rPr>
                <w:rFonts w:hint="default" w:ascii="仿宋_GB2312" w:hAnsi="仿宋_GB2312" w:eastAsia="仿宋_GB2312" w:cs="仿宋_GB2312"/>
                <w:spacing w:val="-12"/>
                <w:sz w:val="21"/>
                <w:szCs w:val="21"/>
                <w:lang w:val="en-US" w:eastAsia="zh-CN"/>
              </w:rPr>
            </w:pPr>
            <w:r>
              <w:rPr>
                <w:rFonts w:hint="eastAsia" w:ascii="仿宋_GB2312" w:hAnsi="仿宋_GB2312" w:eastAsia="仿宋_GB2312" w:cs="仿宋_GB2312"/>
                <w:spacing w:val="-12"/>
                <w:sz w:val="21"/>
                <w:szCs w:val="21"/>
                <w:lang w:val="en-US" w:eastAsia="zh-CN"/>
              </w:rPr>
              <w:t>耗材采购及上门送货、安装服务</w:t>
            </w: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eastAsia" w:ascii="宋体" w:hAnsi="宋体" w:eastAsia="宋体" w:cs="宋体"/>
                <w:b/>
                <w:bCs/>
                <w:i w:val="0"/>
                <w:iCs w:val="0"/>
                <w:color w:val="000000"/>
                <w:kern w:val="0"/>
                <w:sz w:val="20"/>
                <w:szCs w:val="20"/>
                <w:u w:val="none"/>
                <w:lang w:val="en-US" w:eastAsia="zh-CN" w:bidi="ar"/>
              </w:rPr>
              <w:t>得力</w:t>
            </w:r>
            <w:r>
              <w:rPr>
                <w:rStyle w:val="11"/>
                <w:rFonts w:eastAsia="宋体"/>
                <w:lang w:val="en-US" w:eastAsia="zh-CN" w:bidi="ar"/>
              </w:rPr>
              <w:t>DT2</w:t>
            </w:r>
            <w:r>
              <w:rPr>
                <w:rStyle w:val="12"/>
                <w:lang w:val="en-US" w:eastAsia="zh-CN" w:bidi="ar"/>
              </w:rPr>
              <w:t>硒鼓</w:t>
            </w:r>
            <w:r>
              <w:rPr>
                <w:rStyle w:val="11"/>
                <w:rFonts w:eastAsia="宋体"/>
                <w:lang w:val="en-US" w:eastAsia="zh-CN" w:bidi="ar"/>
              </w:rPr>
              <w:t>DP25/DM28</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41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pStyle w:val="10"/>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restart"/>
            <w:tcBorders>
              <w:top w:val="single" w:color="auto" w:sz="4" w:space="0"/>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eastAsia" w:ascii="宋体" w:hAnsi="宋体" w:eastAsia="宋体" w:cs="宋体"/>
                <w:b/>
                <w:bCs/>
                <w:i w:val="0"/>
                <w:iCs w:val="0"/>
                <w:color w:val="000000"/>
                <w:kern w:val="0"/>
                <w:sz w:val="20"/>
                <w:szCs w:val="20"/>
                <w:u w:val="none"/>
                <w:lang w:val="en-US" w:eastAsia="zh-CN" w:bidi="ar"/>
              </w:rPr>
              <w:t>网线</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23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pStyle w:val="10"/>
              <w:ind w:firstLine="0" w:firstLineChars="0"/>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lang w:eastAsia="zh-CN"/>
              </w:rPr>
              <w:t>米</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HP505A硒鼓</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15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eastAsia" w:ascii="宋体" w:hAnsi="宋体" w:eastAsia="宋体" w:cs="宋体"/>
                <w:b/>
                <w:bCs/>
                <w:i w:val="0"/>
                <w:iCs w:val="0"/>
                <w:color w:val="000000"/>
                <w:kern w:val="0"/>
                <w:sz w:val="20"/>
                <w:szCs w:val="20"/>
                <w:u w:val="none"/>
                <w:lang w:val="en-US" w:eastAsia="zh-CN" w:bidi="ar"/>
              </w:rPr>
              <w:t>电话线</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10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lang w:eastAsia="zh-CN"/>
              </w:rPr>
              <w:t>米</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得力DT2 碳粉DP25/DM28</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10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格之格2612碳粉</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9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Style w:val="13"/>
                <w:lang w:val="en-US" w:eastAsia="zh-CN" w:bidi="ar"/>
              </w:rPr>
              <w:t>佳能</w:t>
            </w:r>
            <w:r>
              <w:rPr>
                <w:rStyle w:val="11"/>
                <w:rFonts w:eastAsia="宋体"/>
                <w:lang w:val="en-US" w:eastAsia="zh-CN" w:bidi="ar"/>
              </w:rPr>
              <w:t>NPG-67</w:t>
            </w:r>
            <w:r>
              <w:rPr>
                <w:rStyle w:val="13"/>
                <w:lang w:val="en-US" w:eastAsia="zh-CN" w:bidi="ar"/>
              </w:rPr>
              <w:t>黑粉仓</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8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佳能G67/3320-M粉仓</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8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格之格388碳粉</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8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Style w:val="13"/>
                <w:lang w:val="en-US" w:eastAsia="zh-CN" w:bidi="ar"/>
              </w:rPr>
              <w:t>佳能</w:t>
            </w:r>
            <w:r>
              <w:rPr>
                <w:rStyle w:val="11"/>
                <w:rFonts w:eastAsia="宋体"/>
                <w:lang w:val="en-US" w:eastAsia="zh-CN" w:bidi="ar"/>
              </w:rPr>
              <w:t>G67</w:t>
            </w:r>
            <w:r>
              <w:rPr>
                <w:rStyle w:val="13"/>
                <w:lang w:val="en-US" w:eastAsia="zh-CN" w:bidi="ar"/>
              </w:rPr>
              <w:t>鼓组件</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6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佳能G67/3320-Y粉仓</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6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欣彩/格之格2612硒鼓（易）</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4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惠普打印机维修</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4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国产HP CF230A粉仓</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4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pStyle w:val="10"/>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格之格HP280硒鼓</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4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KST 8G/3200内存</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4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主板电池</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3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eastAsia" w:ascii="宋体" w:hAnsi="宋体" w:eastAsia="宋体" w:cs="宋体"/>
                <w:b/>
                <w:bCs/>
                <w:i w:val="0"/>
                <w:iCs w:val="0"/>
                <w:color w:val="000000"/>
                <w:kern w:val="0"/>
                <w:sz w:val="20"/>
                <w:szCs w:val="20"/>
                <w:u w:val="none"/>
                <w:lang w:val="en-US" w:eastAsia="zh-CN" w:bidi="ar"/>
              </w:rPr>
              <w:t>双飞燕</w:t>
            </w:r>
            <w:r>
              <w:rPr>
                <w:rStyle w:val="11"/>
                <w:rFonts w:eastAsia="宋体"/>
                <w:lang w:val="en-US" w:eastAsia="zh-CN" w:bidi="ar"/>
              </w:rPr>
              <w:t>/</w:t>
            </w:r>
            <w:r>
              <w:rPr>
                <w:rStyle w:val="13"/>
                <w:lang w:val="en-US" w:eastAsia="zh-CN" w:bidi="ar"/>
              </w:rPr>
              <w:t>狼蛛鼠标</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eastAsia" w:ascii="Arial" w:hAnsi="Arial" w:eastAsia="宋体" w:cs="Arial"/>
                <w:i w:val="0"/>
                <w:iCs w:val="0"/>
                <w:color w:val="000000"/>
                <w:kern w:val="0"/>
                <w:sz w:val="20"/>
                <w:szCs w:val="20"/>
                <w:u w:val="none"/>
                <w:lang w:val="en-US" w:eastAsia="zh-CN" w:bidi="ar"/>
              </w:rPr>
              <w:t>5</w:t>
            </w:r>
            <w:r>
              <w:rPr>
                <w:rFonts w:hint="default" w:ascii="Arial" w:hAnsi="Arial" w:eastAsia="宋体" w:cs="Arial"/>
                <w:i w:val="0"/>
                <w:iCs w:val="0"/>
                <w:color w:val="000000"/>
                <w:kern w:val="0"/>
                <w:sz w:val="20"/>
                <w:szCs w:val="20"/>
                <w:u w:val="none"/>
                <w:lang w:val="en-US" w:eastAsia="zh-CN" w:bidi="ar"/>
              </w:rPr>
              <w:t xml:space="preserve">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佳能G67/3320-K粉仓</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3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pStyle w:val="10"/>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Style w:val="13"/>
                <w:lang w:val="en-US" w:eastAsia="zh-CN" w:bidi="ar"/>
              </w:rPr>
              <w:t>佳能</w:t>
            </w:r>
            <w:r>
              <w:rPr>
                <w:rStyle w:val="11"/>
                <w:rFonts w:eastAsia="宋体"/>
                <w:lang w:val="en-US" w:eastAsia="zh-CN" w:bidi="ar"/>
              </w:rPr>
              <w:t>G67/3320-C</w:t>
            </w:r>
            <w:r>
              <w:rPr>
                <w:rStyle w:val="13"/>
                <w:lang w:val="en-US" w:eastAsia="zh-CN" w:bidi="ar"/>
              </w:rPr>
              <w:t>粉仓</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3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widowControl w:val="0"/>
              <w:wordWrap w:val="0"/>
              <w:spacing w:line="300" w:lineRule="exact"/>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佳能G57粉仓</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3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辉煌耐力得力DT2硒鼓DP25/DM28</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3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USB小音箱</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3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LG HP505A（280A）硒鼓</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3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欣彩/格之格CRG337硒鼓</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2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欣彩/格之格912硒鼓</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2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eastAsia" w:ascii="宋体" w:hAnsi="宋体" w:eastAsia="宋体" w:cs="宋体"/>
                <w:b/>
                <w:bCs/>
                <w:i w:val="0"/>
                <w:iCs w:val="0"/>
                <w:color w:val="000000"/>
                <w:kern w:val="0"/>
                <w:sz w:val="20"/>
                <w:szCs w:val="20"/>
                <w:u w:val="none"/>
                <w:lang w:val="en-US" w:eastAsia="zh-CN" w:bidi="ar"/>
              </w:rPr>
              <w:t>无线鼠标</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2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金士顿64G U盘</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2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佳能C3020纸盒搓纸轮</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2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before="75" w:line="330" w:lineRule="atLeast"/>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佳能25451搓纸轮</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2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before="75" w:line="330" w:lineRule="atLeast"/>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eastAsia" w:ascii="宋体" w:hAnsi="宋体" w:eastAsia="宋体" w:cs="宋体"/>
                <w:b/>
                <w:bCs/>
                <w:i w:val="0"/>
                <w:iCs w:val="0"/>
                <w:color w:val="000000"/>
                <w:kern w:val="0"/>
                <w:sz w:val="20"/>
                <w:szCs w:val="20"/>
                <w:u w:val="none"/>
                <w:lang w:val="en-US" w:eastAsia="zh-CN" w:bidi="ar"/>
              </w:rPr>
              <w:t>佳能</w:t>
            </w:r>
            <w:r>
              <w:rPr>
                <w:rStyle w:val="14"/>
                <w:rFonts w:eastAsia="宋体"/>
                <w:lang w:val="en-US" w:eastAsia="zh-CN" w:bidi="ar"/>
              </w:rPr>
              <w:t xml:space="preserve"> NPG-67</w:t>
            </w:r>
            <w:r>
              <w:rPr>
                <w:rFonts w:hint="eastAsia" w:ascii="宋体" w:hAnsi="宋体" w:eastAsia="宋体" w:cs="宋体"/>
                <w:b/>
                <w:bCs/>
                <w:i w:val="0"/>
                <w:iCs w:val="0"/>
                <w:color w:val="000000"/>
                <w:kern w:val="0"/>
                <w:sz w:val="20"/>
                <w:szCs w:val="20"/>
                <w:u w:val="none"/>
                <w:lang w:val="en-US" w:eastAsia="zh-CN" w:bidi="ar"/>
              </w:rPr>
              <w:t>废粉盒</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2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before="75" w:line="330" w:lineRule="atLeast"/>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noWrap w:val="0"/>
            <w:vAlign w:val="center"/>
          </w:tcPr>
          <w:p>
            <w:pPr>
              <w:widowControl w:val="0"/>
              <w:wordWrap w:val="0"/>
              <w:spacing w:line="300" w:lineRule="exact"/>
              <w:jc w:val="both"/>
              <w:rPr>
                <w:rFonts w:hint="default" w:ascii="Times New Roman" w:hAnsi="Times New Roman" w:cs="Times New Roman"/>
              </w:rPr>
            </w:pPr>
          </w:p>
        </w:tc>
        <w:tc>
          <w:tcPr>
            <w:tcW w:w="3989"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辉煌耐力 佳能337硒鼓</w:t>
            </w:r>
          </w:p>
        </w:tc>
        <w:tc>
          <w:tcPr>
            <w:tcW w:w="713" w:type="dxa"/>
            <w:tcBorders>
              <w:top w:val="single" w:color="auto" w:sz="4" w:space="0"/>
              <w:left w:val="single" w:color="auto" w:sz="4" w:space="0"/>
              <w:bottom w:val="single" w:color="auto" w:sz="4" w:space="0"/>
              <w:right w:val="single" w:color="auto" w:sz="4" w:space="0"/>
            </w:tcBorders>
            <w:noWrap w:val="0"/>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2 </w:t>
            </w:r>
          </w:p>
        </w:tc>
        <w:tc>
          <w:tcPr>
            <w:tcW w:w="1337"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before="75" w:line="330" w:lineRule="atLeast"/>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330" w:type="dxa"/>
            <w:tcBorders>
              <w:top w:val="single" w:color="auto" w:sz="4" w:space="0"/>
              <w:left w:val="single" w:color="auto" w:sz="4" w:space="0"/>
              <w:bottom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noWrap w:val="0"/>
            <w:vAlign w:val="center"/>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格之格230硒鼓含芯片（惠普227）</w:t>
            </w:r>
          </w:p>
        </w:tc>
        <w:tc>
          <w:tcPr>
            <w:tcW w:w="713" w:type="dxa"/>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2 </w:t>
            </w:r>
          </w:p>
        </w:tc>
        <w:tc>
          <w:tcPr>
            <w:tcW w:w="1337" w:type="dxa"/>
            <w:gridSpan w:val="2"/>
            <w:vAlign w:val="center"/>
          </w:tcPr>
          <w:p>
            <w:pPr>
              <w:widowControl w:val="0"/>
              <w:wordWrap w:val="0"/>
              <w:spacing w:line="300" w:lineRule="exact"/>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奔图打印机维修</w:t>
            </w:r>
          </w:p>
        </w:tc>
        <w:tc>
          <w:tcPr>
            <w:tcW w:w="713" w:type="dxa"/>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2 </w:t>
            </w:r>
          </w:p>
        </w:tc>
        <w:tc>
          <w:tcPr>
            <w:tcW w:w="1337" w:type="dxa"/>
            <w:gridSpan w:val="2"/>
            <w:vAlign w:val="center"/>
          </w:tcPr>
          <w:p>
            <w:pPr>
              <w:widowControl w:val="0"/>
              <w:wordWrap w:val="0"/>
              <w:spacing w:line="300" w:lineRule="exact"/>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次</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4"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TP-842双天线无线路由</w:t>
            </w:r>
          </w:p>
        </w:tc>
        <w:tc>
          <w:tcPr>
            <w:tcW w:w="713" w:type="dxa"/>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2 </w:t>
            </w:r>
          </w:p>
        </w:tc>
        <w:tc>
          <w:tcPr>
            <w:tcW w:w="1337" w:type="dxa"/>
            <w:gridSpan w:val="2"/>
            <w:vAlign w:val="center"/>
          </w:tcPr>
          <w:p>
            <w:pPr>
              <w:widowControl w:val="0"/>
              <w:wordWrap w:val="0"/>
              <w:spacing w:line="300" w:lineRule="exact"/>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TP5口交换机</w:t>
            </w:r>
          </w:p>
        </w:tc>
        <w:tc>
          <w:tcPr>
            <w:tcW w:w="713" w:type="dxa"/>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2 </w:t>
            </w:r>
          </w:p>
        </w:tc>
        <w:tc>
          <w:tcPr>
            <w:tcW w:w="1337" w:type="dxa"/>
            <w:gridSpan w:val="2"/>
            <w:vAlign w:val="center"/>
          </w:tcPr>
          <w:p>
            <w:pPr>
              <w:ind w:firstLine="0" w:firstLineChars="0"/>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LG HP2612A硒鼓</w:t>
            </w:r>
          </w:p>
        </w:tc>
        <w:tc>
          <w:tcPr>
            <w:tcW w:w="713" w:type="dxa"/>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2 </w:t>
            </w:r>
          </w:p>
        </w:tc>
        <w:tc>
          <w:tcPr>
            <w:tcW w:w="1337" w:type="dxa"/>
            <w:gridSpan w:val="2"/>
            <w:vAlign w:val="center"/>
          </w:tcPr>
          <w:p>
            <w:pPr>
              <w:widowControl w:val="0"/>
              <w:wordWrap w:val="0"/>
              <w:spacing w:line="300" w:lineRule="exact"/>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LG  HP388A硒鼓</w:t>
            </w:r>
          </w:p>
        </w:tc>
        <w:tc>
          <w:tcPr>
            <w:tcW w:w="713" w:type="dxa"/>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2 </w:t>
            </w:r>
          </w:p>
        </w:tc>
        <w:tc>
          <w:tcPr>
            <w:tcW w:w="1337" w:type="dxa"/>
            <w:gridSpan w:val="2"/>
            <w:vAlign w:val="center"/>
          </w:tcPr>
          <w:p>
            <w:pPr>
              <w:widowControl w:val="0"/>
              <w:wordWrap w:val="0"/>
              <w:spacing w:line="300" w:lineRule="exact"/>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HP62黑墨盒</w:t>
            </w:r>
          </w:p>
        </w:tc>
        <w:tc>
          <w:tcPr>
            <w:tcW w:w="713" w:type="dxa"/>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2 </w:t>
            </w:r>
          </w:p>
        </w:tc>
        <w:tc>
          <w:tcPr>
            <w:tcW w:w="1337" w:type="dxa"/>
            <w:gridSpan w:val="2"/>
            <w:vAlign w:val="center"/>
          </w:tcPr>
          <w:p>
            <w:pPr>
              <w:widowControl w:val="0"/>
              <w:wordWrap w:val="0"/>
              <w:spacing w:line="300" w:lineRule="exact"/>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AOC键盘</w:t>
            </w:r>
          </w:p>
        </w:tc>
        <w:tc>
          <w:tcPr>
            <w:tcW w:w="713" w:type="dxa"/>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2 </w:t>
            </w:r>
          </w:p>
        </w:tc>
        <w:tc>
          <w:tcPr>
            <w:tcW w:w="1337" w:type="dxa"/>
            <w:gridSpan w:val="2"/>
            <w:vAlign w:val="center"/>
          </w:tcPr>
          <w:p>
            <w:pPr>
              <w:widowControl w:val="0"/>
              <w:wordWrap w:val="0"/>
              <w:spacing w:line="300" w:lineRule="exact"/>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欣彩/格之格HP-CE413硒鼓</w:t>
            </w:r>
          </w:p>
        </w:tc>
        <w:tc>
          <w:tcPr>
            <w:tcW w:w="713" w:type="dxa"/>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欣彩/格之格HP-CE412硒鼓</w:t>
            </w:r>
          </w:p>
        </w:tc>
        <w:tc>
          <w:tcPr>
            <w:tcW w:w="713" w:type="dxa"/>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欣彩/格之格HP-CE411硒鼓</w:t>
            </w:r>
          </w:p>
        </w:tc>
        <w:tc>
          <w:tcPr>
            <w:tcW w:w="713" w:type="dxa"/>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欣彩/格之格HP-CE410硒鼓</w:t>
            </w:r>
          </w:p>
        </w:tc>
        <w:tc>
          <w:tcPr>
            <w:tcW w:w="713" w:type="dxa"/>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eastAsia" w:ascii="宋体" w:hAnsi="宋体" w:eastAsia="宋体" w:cs="宋体"/>
                <w:b/>
                <w:bCs/>
                <w:i w:val="0"/>
                <w:iCs w:val="0"/>
                <w:color w:val="000000"/>
                <w:kern w:val="0"/>
                <w:sz w:val="20"/>
                <w:szCs w:val="20"/>
                <w:u w:val="none"/>
                <w:lang w:val="en-US" w:eastAsia="zh-CN" w:bidi="ar"/>
              </w:rPr>
              <w:t>欣彩/格之格HP228硒鼓</w:t>
            </w:r>
          </w:p>
        </w:tc>
        <w:tc>
          <w:tcPr>
            <w:tcW w:w="713" w:type="dxa"/>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欣彩/格之格HP-154蓝色硒鼓（CF511）</w:t>
            </w:r>
          </w:p>
        </w:tc>
        <w:tc>
          <w:tcPr>
            <w:tcW w:w="713" w:type="dxa"/>
            <w:vAlign w:val="bottom"/>
          </w:tcPr>
          <w:p>
            <w:pPr>
              <w:keepNext w:val="0"/>
              <w:keepLines w:val="0"/>
              <w:widowControl/>
              <w:suppressLineNumbers w:val="0"/>
              <w:jc w:val="right"/>
              <w:textAlignment w:val="bottom"/>
              <w:rPr>
                <w:rFonts w:hint="default"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default"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欣彩/格之格HP-154黄色硒鼓（CF512）</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欣彩/格之格HP-154红色硒鼓（CF513）</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欣彩/格之格HP-154黑色硒鼓（CF510）</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欣彩/格之格CF413(医疗版）</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欣彩/格之格CF232A硒鼓（芯）</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欣彩/格之格CC388A硒鼓（易）</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室外支架</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十度S20扩音器</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9"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三星8G/1600内存</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铭豹3米HDMI线</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条</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绿巨能 (llano)电脑显示器防蓝光保护屏 护眼防蓝光辐射膜台式机星莫保护置亚克力县挂式阳隔板24苗寸16:9</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罗技k120键盘</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联想 M8600T M6600T M4600 IQ1X0MS Q170主板 M900 M800</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科大讯飞H1 Pro智能录音笔32G</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监控维修安装费</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次</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佳能打印机维修</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次</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eastAsia" w:ascii="宋体" w:hAnsi="宋体" w:eastAsia="宋体" w:cs="宋体"/>
                <w:b/>
                <w:bCs/>
                <w:i w:val="0"/>
                <w:iCs w:val="0"/>
                <w:color w:val="000000"/>
                <w:kern w:val="0"/>
                <w:sz w:val="20"/>
                <w:szCs w:val="20"/>
                <w:u w:val="none"/>
                <w:lang w:val="en-US" w:eastAsia="zh-CN" w:bidi="ar"/>
              </w:rPr>
              <w:t>佳能</w:t>
            </w:r>
            <w:r>
              <w:rPr>
                <w:rFonts w:hint="default" w:ascii="Arial" w:hAnsi="Arial" w:eastAsia="宋体" w:cs="Arial"/>
                <w:b/>
                <w:bCs/>
                <w:i w:val="0"/>
                <w:iCs w:val="0"/>
                <w:color w:val="000000"/>
                <w:kern w:val="0"/>
                <w:sz w:val="20"/>
                <w:szCs w:val="20"/>
                <w:u w:val="none"/>
                <w:lang w:val="en-US" w:eastAsia="zh-CN" w:bidi="ar"/>
              </w:rPr>
              <w:t>NPG-67</w:t>
            </w:r>
            <w:r>
              <w:rPr>
                <w:rFonts w:hint="eastAsia" w:ascii="宋体" w:hAnsi="宋体" w:eastAsia="宋体" w:cs="宋体"/>
                <w:b/>
                <w:bCs/>
                <w:i w:val="0"/>
                <w:iCs w:val="0"/>
                <w:color w:val="000000"/>
                <w:kern w:val="0"/>
                <w:sz w:val="20"/>
                <w:szCs w:val="20"/>
                <w:u w:val="none"/>
                <w:lang w:val="en-US" w:eastAsia="zh-CN" w:bidi="ar"/>
              </w:rPr>
              <w:t>黄粉仓</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eastAsia" w:ascii="宋体" w:hAnsi="宋体" w:eastAsia="宋体" w:cs="宋体"/>
                <w:b/>
                <w:bCs/>
                <w:i w:val="0"/>
                <w:iCs w:val="0"/>
                <w:color w:val="000000"/>
                <w:kern w:val="0"/>
                <w:sz w:val="20"/>
                <w:szCs w:val="20"/>
                <w:u w:val="none"/>
                <w:lang w:val="en-US" w:eastAsia="zh-CN" w:bidi="ar"/>
              </w:rPr>
              <w:t>佳能</w:t>
            </w:r>
            <w:r>
              <w:rPr>
                <w:rFonts w:hint="default" w:ascii="Arial" w:hAnsi="Arial" w:eastAsia="宋体" w:cs="Arial"/>
                <w:b/>
                <w:bCs/>
                <w:i w:val="0"/>
                <w:iCs w:val="0"/>
                <w:color w:val="000000"/>
                <w:kern w:val="0"/>
                <w:sz w:val="20"/>
                <w:szCs w:val="20"/>
                <w:u w:val="none"/>
                <w:lang w:val="en-US" w:eastAsia="zh-CN" w:bidi="ar"/>
              </w:rPr>
              <w:t>iRADV DX C3730 3725 3720</w:t>
            </w:r>
            <w:r>
              <w:rPr>
                <w:rFonts w:hint="eastAsia" w:ascii="宋体" w:hAnsi="宋体" w:eastAsia="宋体" w:cs="宋体"/>
                <w:b/>
                <w:bCs/>
                <w:i w:val="0"/>
                <w:iCs w:val="0"/>
                <w:color w:val="000000"/>
                <w:kern w:val="0"/>
                <w:sz w:val="20"/>
                <w:szCs w:val="20"/>
                <w:u w:val="none"/>
                <w:lang w:val="en-US" w:eastAsia="zh-CN" w:bidi="ar"/>
              </w:rPr>
              <w:t>扫描头扁平线</w:t>
            </w:r>
            <w:r>
              <w:rPr>
                <w:rFonts w:hint="default" w:ascii="Arial" w:hAnsi="Arial" w:eastAsia="宋体" w:cs="Arial"/>
                <w:b/>
                <w:bCs/>
                <w:i w:val="0"/>
                <w:iCs w:val="0"/>
                <w:color w:val="000000"/>
                <w:kern w:val="0"/>
                <w:sz w:val="20"/>
                <w:szCs w:val="20"/>
                <w:u w:val="none"/>
                <w:lang w:val="en-US" w:eastAsia="zh-CN" w:bidi="ar"/>
              </w:rPr>
              <w:t>E280 302</w:t>
            </w:r>
            <w:r>
              <w:rPr>
                <w:rFonts w:hint="eastAsia" w:ascii="宋体" w:hAnsi="宋体" w:eastAsia="宋体" w:cs="宋体"/>
                <w:b/>
                <w:bCs/>
                <w:i w:val="0"/>
                <w:iCs w:val="0"/>
                <w:color w:val="000000"/>
                <w:kern w:val="0"/>
                <w:sz w:val="20"/>
                <w:szCs w:val="20"/>
                <w:u w:val="none"/>
                <w:lang w:val="en-US" w:eastAsia="zh-CN" w:bidi="ar"/>
              </w:rPr>
              <w:t>扫描排线</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条</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3"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eastAsia" w:ascii="宋体" w:hAnsi="宋体" w:eastAsia="宋体" w:cs="宋体"/>
                <w:b/>
                <w:bCs/>
                <w:i w:val="0"/>
                <w:iCs w:val="0"/>
                <w:color w:val="000000"/>
                <w:kern w:val="0"/>
                <w:sz w:val="20"/>
                <w:szCs w:val="20"/>
                <w:u w:val="none"/>
                <w:lang w:val="en-US" w:eastAsia="zh-CN" w:bidi="ar"/>
              </w:rPr>
              <w:t>佳能</w:t>
            </w:r>
            <w:r>
              <w:rPr>
                <w:rFonts w:hint="default" w:ascii="Arial" w:hAnsi="Arial" w:eastAsia="宋体" w:cs="Arial"/>
                <w:b/>
                <w:bCs/>
                <w:i w:val="0"/>
                <w:iCs w:val="0"/>
                <w:color w:val="000000"/>
                <w:kern w:val="0"/>
                <w:sz w:val="20"/>
                <w:szCs w:val="20"/>
                <w:u w:val="none"/>
                <w:lang w:val="en-US" w:eastAsia="zh-CN" w:bidi="ar"/>
              </w:rPr>
              <w:t>G67</w:t>
            </w:r>
            <w:r>
              <w:rPr>
                <w:rFonts w:hint="eastAsia" w:ascii="宋体" w:hAnsi="宋体" w:eastAsia="宋体" w:cs="宋体"/>
                <w:b/>
                <w:bCs/>
                <w:i w:val="0"/>
                <w:iCs w:val="0"/>
                <w:color w:val="000000"/>
                <w:kern w:val="0"/>
                <w:sz w:val="20"/>
                <w:szCs w:val="20"/>
                <w:u w:val="none"/>
                <w:lang w:val="en-US" w:eastAsia="zh-CN" w:bidi="ar"/>
              </w:rPr>
              <w:t>粉仓</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9"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eastAsia" w:ascii="宋体" w:hAnsi="宋体" w:eastAsia="宋体" w:cs="宋体"/>
                <w:b/>
                <w:bCs/>
                <w:i w:val="0"/>
                <w:iCs w:val="0"/>
                <w:color w:val="000000"/>
                <w:kern w:val="0"/>
                <w:sz w:val="20"/>
                <w:szCs w:val="20"/>
                <w:u w:val="none"/>
                <w:lang w:val="en-US" w:eastAsia="zh-CN" w:bidi="ar"/>
              </w:rPr>
              <w:t>佳能</w:t>
            </w:r>
            <w:r>
              <w:rPr>
                <w:rFonts w:hint="default" w:ascii="Arial" w:hAnsi="Arial" w:eastAsia="宋体" w:cs="Arial"/>
                <w:b/>
                <w:bCs/>
                <w:i w:val="0"/>
                <w:iCs w:val="0"/>
                <w:color w:val="000000"/>
                <w:kern w:val="0"/>
                <w:sz w:val="20"/>
                <w:szCs w:val="20"/>
                <w:u w:val="none"/>
                <w:lang w:val="en-US" w:eastAsia="zh-CN" w:bidi="ar"/>
              </w:rPr>
              <w:t>C3020</w:t>
            </w:r>
            <w:r>
              <w:rPr>
                <w:rFonts w:hint="eastAsia" w:ascii="宋体" w:hAnsi="宋体" w:eastAsia="宋体" w:cs="宋体"/>
                <w:b/>
                <w:bCs/>
                <w:i w:val="0"/>
                <w:iCs w:val="0"/>
                <w:color w:val="000000"/>
                <w:kern w:val="0"/>
                <w:sz w:val="20"/>
                <w:szCs w:val="20"/>
                <w:u w:val="none"/>
                <w:lang w:val="en-US" w:eastAsia="zh-CN" w:bidi="ar"/>
              </w:rPr>
              <w:t>废粉盒</w:t>
            </w:r>
            <w:r>
              <w:rPr>
                <w:rFonts w:hint="default" w:ascii="Arial" w:hAnsi="Arial" w:eastAsia="宋体" w:cs="Arial"/>
                <w:b/>
                <w:bCs/>
                <w:i w:val="0"/>
                <w:iCs w:val="0"/>
                <w:color w:val="000000"/>
                <w:kern w:val="0"/>
                <w:sz w:val="20"/>
                <w:szCs w:val="20"/>
                <w:u w:val="none"/>
                <w:lang w:val="en-US" w:eastAsia="zh-CN" w:bidi="ar"/>
              </w:rPr>
              <w:t>C3120L C3125 C3330</w:t>
            </w:r>
            <w:r>
              <w:rPr>
                <w:rFonts w:hint="eastAsia" w:ascii="宋体" w:hAnsi="宋体" w:eastAsia="宋体" w:cs="宋体"/>
                <w:b/>
                <w:bCs/>
                <w:i w:val="0"/>
                <w:iCs w:val="0"/>
                <w:color w:val="000000"/>
                <w:kern w:val="0"/>
                <w:sz w:val="20"/>
                <w:szCs w:val="20"/>
                <w:u w:val="none"/>
                <w:lang w:val="en-US" w:eastAsia="zh-CN" w:bidi="ar"/>
              </w:rPr>
              <w:t>废粉仓</w:t>
            </w:r>
            <w:r>
              <w:rPr>
                <w:rFonts w:hint="default" w:ascii="Arial" w:hAnsi="Arial" w:eastAsia="宋体" w:cs="Arial"/>
                <w:b/>
                <w:bCs/>
                <w:i w:val="0"/>
                <w:iCs w:val="0"/>
                <w:color w:val="000000"/>
                <w:kern w:val="0"/>
                <w:sz w:val="20"/>
                <w:szCs w:val="20"/>
                <w:u w:val="none"/>
                <w:lang w:val="en-US" w:eastAsia="zh-CN" w:bidi="ar"/>
              </w:rPr>
              <w:t>NPG67</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佳能4225废粉仓</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佳能4225定影组件</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惠普打印机227搓纸轮</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辉煌耐力HP228硒鼓</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格之格奔图413粉仓</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格之格3335粉仓</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格之格2612A硒鼓</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菲玛特B600一拖一会议话筒</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得实DS200色带框（94D-5）</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得力打印机维修</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次</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WD1T移动硬盘</w:t>
            </w:r>
          </w:p>
        </w:tc>
        <w:tc>
          <w:tcPr>
            <w:tcW w:w="713" w:type="dxa"/>
            <w:vAlign w:val="bottom"/>
          </w:tcPr>
          <w:p>
            <w:pPr>
              <w:keepNext w:val="0"/>
              <w:keepLines w:val="0"/>
              <w:widowControl/>
              <w:suppressLineNumbers w:val="0"/>
              <w:jc w:val="righ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WD1000移动硬盘</w:t>
            </w:r>
          </w:p>
        </w:tc>
        <w:tc>
          <w:tcPr>
            <w:tcW w:w="713" w:type="dxa"/>
            <w:vAlign w:val="bottom"/>
          </w:tcPr>
          <w:p>
            <w:pPr>
              <w:keepNext w:val="0"/>
              <w:keepLines w:val="0"/>
              <w:widowControl/>
              <w:suppressLineNumbers w:val="0"/>
              <w:jc w:val="right"/>
              <w:textAlignment w:val="bottom"/>
              <w:rPr>
                <w:rFonts w:hint="default" w:ascii="Arial" w:hAnsi="Arial" w:eastAsia="宋体" w:cs="Arial"/>
                <w:i w:val="0"/>
                <w:iCs w:val="0"/>
                <w:color w:val="000000"/>
                <w:kern w:val="0"/>
                <w:sz w:val="20"/>
                <w:szCs w:val="20"/>
                <w:u w:val="none"/>
                <w:lang w:val="en-US" w:eastAsia="zh-CN" w:bidi="ar"/>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eastAsia" w:ascii="仿宋_GB2312" w:hAnsi="仿宋_GB2312" w:eastAsia="仿宋_GB2312" w:cs="仿宋_GB2312"/>
                <w:kern w:val="2"/>
                <w:sz w:val="21"/>
                <w:szCs w:val="21"/>
                <w:lang w:val="en-US" w:eastAsia="zh-CN" w:bidi="ar-SA"/>
              </w:rPr>
            </w:pPr>
            <w:r>
              <w:rPr>
                <w:rFonts w:hint="default" w:ascii="Arial" w:hAnsi="Arial" w:eastAsia="宋体" w:cs="Arial"/>
                <w:b/>
                <w:bCs/>
                <w:i w:val="0"/>
                <w:iCs w:val="0"/>
                <w:color w:val="000000"/>
                <w:kern w:val="0"/>
                <w:sz w:val="20"/>
                <w:szCs w:val="20"/>
                <w:u w:val="none"/>
                <w:lang w:val="en-US" w:eastAsia="zh-CN" w:bidi="ar"/>
              </w:rPr>
              <w:t>USB HUB</w:t>
            </w:r>
          </w:p>
        </w:tc>
        <w:tc>
          <w:tcPr>
            <w:tcW w:w="713" w:type="dxa"/>
            <w:vAlign w:val="bottom"/>
          </w:tcPr>
          <w:p>
            <w:pPr>
              <w:keepNext w:val="0"/>
              <w:keepLines w:val="0"/>
              <w:widowControl/>
              <w:suppressLineNumbers w:val="0"/>
              <w:jc w:val="right"/>
              <w:textAlignment w:val="bottom"/>
              <w:rPr>
                <w:rFonts w:hint="default" w:ascii="Arial" w:hAnsi="Arial" w:eastAsia="宋体" w:cs="Arial"/>
                <w:i w:val="0"/>
                <w:iCs w:val="0"/>
                <w:color w:val="000000"/>
                <w:kern w:val="0"/>
                <w:sz w:val="20"/>
                <w:szCs w:val="20"/>
                <w:u w:val="none"/>
                <w:lang w:val="en-US" w:eastAsia="zh-CN" w:bidi="ar"/>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default" w:ascii="Arial" w:hAnsi="Arial" w:eastAsia="宋体" w:cs="Arial"/>
                <w:b/>
                <w:bCs/>
                <w:i w:val="0"/>
                <w:iCs w:val="0"/>
                <w:color w:val="000000"/>
                <w:kern w:val="0"/>
                <w:sz w:val="20"/>
                <w:szCs w:val="20"/>
                <w:u w:val="none"/>
                <w:lang w:val="en-US" w:eastAsia="zh-CN" w:bidi="ar"/>
              </w:rPr>
            </w:pPr>
            <w:r>
              <w:rPr>
                <w:rFonts w:hint="default" w:ascii="Arial" w:hAnsi="Arial" w:eastAsia="宋体" w:cs="Arial"/>
                <w:b/>
                <w:bCs/>
                <w:i w:val="0"/>
                <w:iCs w:val="0"/>
                <w:color w:val="000000"/>
                <w:kern w:val="0"/>
                <w:sz w:val="20"/>
                <w:szCs w:val="20"/>
                <w:u w:val="none"/>
                <w:lang w:val="en-US" w:eastAsia="zh-CN" w:bidi="ar"/>
              </w:rPr>
              <w:t>IP-COM 5口千兆交换机</w:t>
            </w:r>
          </w:p>
        </w:tc>
        <w:tc>
          <w:tcPr>
            <w:tcW w:w="713" w:type="dxa"/>
            <w:vAlign w:val="bottom"/>
          </w:tcPr>
          <w:p>
            <w:pPr>
              <w:keepNext w:val="0"/>
              <w:keepLines w:val="0"/>
              <w:widowControl/>
              <w:suppressLineNumbers w:val="0"/>
              <w:jc w:val="right"/>
              <w:textAlignment w:val="bottom"/>
              <w:rPr>
                <w:rFonts w:hint="default" w:ascii="Arial" w:hAnsi="Arial" w:eastAsia="宋体" w:cs="Arial"/>
                <w:i w:val="0"/>
                <w:iCs w:val="0"/>
                <w:color w:val="000000"/>
                <w:kern w:val="0"/>
                <w:sz w:val="20"/>
                <w:szCs w:val="20"/>
                <w:u w:val="none"/>
                <w:lang w:val="en-US" w:eastAsia="zh-CN" w:bidi="ar"/>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default" w:ascii="Arial" w:hAnsi="Arial" w:eastAsia="宋体" w:cs="Arial"/>
                <w:b/>
                <w:bCs/>
                <w:i w:val="0"/>
                <w:iCs w:val="0"/>
                <w:color w:val="000000"/>
                <w:kern w:val="0"/>
                <w:sz w:val="20"/>
                <w:szCs w:val="20"/>
                <w:u w:val="none"/>
                <w:lang w:val="en-US" w:eastAsia="zh-CN" w:bidi="ar"/>
              </w:rPr>
            </w:pPr>
            <w:r>
              <w:rPr>
                <w:rFonts w:hint="default" w:ascii="Arial" w:hAnsi="Arial" w:eastAsia="宋体" w:cs="Arial"/>
                <w:b/>
                <w:bCs/>
                <w:i w:val="0"/>
                <w:iCs w:val="0"/>
                <w:color w:val="000000"/>
                <w:kern w:val="0"/>
                <w:sz w:val="20"/>
                <w:szCs w:val="20"/>
                <w:u w:val="none"/>
                <w:lang w:val="en-US" w:eastAsia="zh-CN" w:bidi="ar"/>
              </w:rPr>
              <w:t>IP-COM 16口千兆交换机</w:t>
            </w:r>
          </w:p>
        </w:tc>
        <w:tc>
          <w:tcPr>
            <w:tcW w:w="713" w:type="dxa"/>
            <w:vAlign w:val="bottom"/>
          </w:tcPr>
          <w:p>
            <w:pPr>
              <w:keepNext w:val="0"/>
              <w:keepLines w:val="0"/>
              <w:widowControl/>
              <w:suppressLineNumbers w:val="0"/>
              <w:jc w:val="right"/>
              <w:textAlignment w:val="bottom"/>
              <w:rPr>
                <w:rFonts w:hint="default" w:ascii="Arial" w:hAnsi="Arial" w:eastAsia="宋体" w:cs="Arial"/>
                <w:i w:val="0"/>
                <w:iCs w:val="0"/>
                <w:color w:val="000000"/>
                <w:kern w:val="0"/>
                <w:sz w:val="20"/>
                <w:szCs w:val="20"/>
                <w:u w:val="none"/>
                <w:lang w:val="en-US" w:eastAsia="zh-CN" w:bidi="ar"/>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default" w:ascii="Arial" w:hAnsi="Arial" w:eastAsia="宋体" w:cs="Arial"/>
                <w:b/>
                <w:bCs/>
                <w:i w:val="0"/>
                <w:iCs w:val="0"/>
                <w:color w:val="000000"/>
                <w:kern w:val="0"/>
                <w:sz w:val="20"/>
                <w:szCs w:val="20"/>
                <w:u w:val="none"/>
                <w:lang w:val="en-US" w:eastAsia="zh-CN" w:bidi="ar"/>
              </w:rPr>
            </w:pPr>
            <w:r>
              <w:rPr>
                <w:rFonts w:hint="default" w:ascii="Arial" w:hAnsi="Arial" w:eastAsia="宋体" w:cs="Arial"/>
                <w:b/>
                <w:bCs/>
                <w:i w:val="0"/>
                <w:iCs w:val="0"/>
                <w:color w:val="000000"/>
                <w:kern w:val="0"/>
                <w:sz w:val="20"/>
                <w:szCs w:val="20"/>
                <w:u w:val="none"/>
                <w:lang w:val="en-US" w:eastAsia="zh-CN" w:bidi="ar"/>
              </w:rPr>
              <w:t>DELL键盘</w:t>
            </w:r>
          </w:p>
        </w:tc>
        <w:tc>
          <w:tcPr>
            <w:tcW w:w="713" w:type="dxa"/>
            <w:vAlign w:val="bottom"/>
          </w:tcPr>
          <w:p>
            <w:pPr>
              <w:keepNext w:val="0"/>
              <w:keepLines w:val="0"/>
              <w:widowControl/>
              <w:suppressLineNumbers w:val="0"/>
              <w:jc w:val="right"/>
              <w:textAlignment w:val="bottom"/>
              <w:rPr>
                <w:rFonts w:hint="default" w:ascii="Arial" w:hAnsi="Arial" w:eastAsia="宋体" w:cs="Arial"/>
                <w:i w:val="0"/>
                <w:iCs w:val="0"/>
                <w:color w:val="000000"/>
                <w:kern w:val="0"/>
                <w:sz w:val="20"/>
                <w:szCs w:val="20"/>
                <w:u w:val="none"/>
                <w:lang w:val="en-US" w:eastAsia="zh-CN" w:bidi="ar"/>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default" w:ascii="Arial" w:hAnsi="Arial" w:eastAsia="宋体" w:cs="Arial"/>
                <w:b/>
                <w:bCs/>
                <w:i w:val="0"/>
                <w:iCs w:val="0"/>
                <w:color w:val="000000"/>
                <w:kern w:val="0"/>
                <w:sz w:val="20"/>
                <w:szCs w:val="20"/>
                <w:u w:val="none"/>
                <w:lang w:val="en-US" w:eastAsia="zh-CN" w:bidi="ar"/>
              </w:rPr>
            </w:pPr>
            <w:r>
              <w:rPr>
                <w:rFonts w:hint="default" w:ascii="Arial" w:hAnsi="Arial" w:eastAsia="宋体" w:cs="Arial"/>
                <w:b/>
                <w:bCs/>
                <w:i w:val="0"/>
                <w:iCs w:val="0"/>
                <w:color w:val="000000"/>
                <w:kern w:val="0"/>
                <w:sz w:val="20"/>
                <w:szCs w:val="20"/>
                <w:u w:val="none"/>
                <w:lang w:val="en-US" w:eastAsia="zh-CN" w:bidi="ar"/>
              </w:rPr>
              <w:t>20v3.5a电源适配器</w:t>
            </w:r>
          </w:p>
        </w:tc>
        <w:tc>
          <w:tcPr>
            <w:tcW w:w="713" w:type="dxa"/>
            <w:vAlign w:val="bottom"/>
          </w:tcPr>
          <w:p>
            <w:pPr>
              <w:keepNext w:val="0"/>
              <w:keepLines w:val="0"/>
              <w:widowControl/>
              <w:suppressLineNumbers w:val="0"/>
              <w:jc w:val="right"/>
              <w:textAlignment w:val="bottom"/>
              <w:rPr>
                <w:rFonts w:hint="default" w:ascii="Arial" w:hAnsi="Arial" w:eastAsia="宋体" w:cs="Arial"/>
                <w:i w:val="0"/>
                <w:iCs w:val="0"/>
                <w:color w:val="000000"/>
                <w:kern w:val="0"/>
                <w:sz w:val="20"/>
                <w:szCs w:val="20"/>
                <w:u w:val="none"/>
                <w:lang w:val="en-US" w:eastAsia="zh-CN" w:bidi="ar"/>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2084" w:type="dxa"/>
            <w:vMerge w:val="continue"/>
            <w:tcBorders>
              <w:left w:val="single" w:color="auto" w:sz="4" w:space="0"/>
              <w:right w:val="single" w:color="auto" w:sz="4" w:space="0"/>
            </w:tcBorders>
          </w:tcPr>
          <w:p>
            <w:pPr>
              <w:widowControl w:val="0"/>
              <w:wordWrap w:val="0"/>
              <w:spacing w:line="300" w:lineRule="exact"/>
              <w:jc w:val="both"/>
              <w:rPr>
                <w:rFonts w:hint="default" w:ascii="Times New Roman" w:hAnsi="Times New Roman" w:cs="Times New Roman"/>
              </w:rPr>
            </w:pPr>
          </w:p>
        </w:tc>
        <w:tc>
          <w:tcPr>
            <w:tcW w:w="3989" w:type="dxa"/>
            <w:vAlign w:val="bottom"/>
          </w:tcPr>
          <w:p>
            <w:pPr>
              <w:keepNext w:val="0"/>
              <w:keepLines w:val="0"/>
              <w:widowControl/>
              <w:suppressLineNumbers w:val="0"/>
              <w:jc w:val="left"/>
              <w:textAlignment w:val="bottom"/>
              <w:rPr>
                <w:rFonts w:hint="default" w:ascii="Arial" w:hAnsi="Arial" w:eastAsia="宋体" w:cs="Arial"/>
                <w:b/>
                <w:bCs/>
                <w:i w:val="0"/>
                <w:iCs w:val="0"/>
                <w:color w:val="000000"/>
                <w:kern w:val="0"/>
                <w:sz w:val="20"/>
                <w:szCs w:val="20"/>
                <w:u w:val="none"/>
                <w:lang w:val="en-US" w:eastAsia="zh-CN" w:bidi="ar"/>
              </w:rPr>
            </w:pPr>
            <w:r>
              <w:rPr>
                <w:rFonts w:hint="default" w:ascii="Arial" w:hAnsi="Arial" w:eastAsia="宋体" w:cs="Arial"/>
                <w:b/>
                <w:bCs/>
                <w:i w:val="0"/>
                <w:iCs w:val="0"/>
                <w:color w:val="000000"/>
                <w:kern w:val="0"/>
                <w:sz w:val="20"/>
                <w:szCs w:val="20"/>
                <w:u w:val="none"/>
                <w:lang w:val="en-US" w:eastAsia="zh-CN" w:bidi="ar"/>
              </w:rPr>
              <w:t>HPCF228A黑</w:t>
            </w:r>
          </w:p>
        </w:tc>
        <w:tc>
          <w:tcPr>
            <w:tcW w:w="713" w:type="dxa"/>
            <w:vAlign w:val="bottom"/>
          </w:tcPr>
          <w:p>
            <w:pPr>
              <w:keepNext w:val="0"/>
              <w:keepLines w:val="0"/>
              <w:widowControl/>
              <w:suppressLineNumbers w:val="0"/>
              <w:jc w:val="right"/>
              <w:textAlignment w:val="bottom"/>
              <w:rPr>
                <w:rFonts w:hint="default" w:ascii="Arial" w:hAnsi="Arial" w:eastAsia="宋体" w:cs="Arial"/>
                <w:i w:val="0"/>
                <w:iCs w:val="0"/>
                <w:color w:val="000000"/>
                <w:kern w:val="0"/>
                <w:sz w:val="20"/>
                <w:szCs w:val="20"/>
                <w:u w:val="none"/>
                <w:lang w:val="en-US" w:eastAsia="zh-CN" w:bidi="ar"/>
              </w:rPr>
            </w:pPr>
            <w:r>
              <w:rPr>
                <w:rFonts w:hint="default" w:ascii="Arial" w:hAnsi="Arial" w:eastAsia="宋体" w:cs="Arial"/>
                <w:i w:val="0"/>
                <w:iCs w:val="0"/>
                <w:color w:val="000000"/>
                <w:kern w:val="0"/>
                <w:sz w:val="20"/>
                <w:szCs w:val="20"/>
                <w:u w:val="none"/>
                <w:lang w:val="en-US" w:eastAsia="zh-CN" w:bidi="ar"/>
              </w:rPr>
              <w:t xml:space="preserve">1 </w:t>
            </w:r>
          </w:p>
        </w:tc>
        <w:tc>
          <w:tcPr>
            <w:tcW w:w="1337" w:type="dxa"/>
            <w:gridSpan w:val="2"/>
            <w:vAlign w:val="center"/>
          </w:tcPr>
          <w:p>
            <w:pPr>
              <w:widowControl w:val="0"/>
              <w:wordWrap w:val="0"/>
              <w:spacing w:line="300" w:lineRule="exact"/>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个</w:t>
            </w:r>
          </w:p>
        </w:tc>
        <w:tc>
          <w:tcPr>
            <w:tcW w:w="1262" w:type="dxa"/>
          </w:tcPr>
          <w:p>
            <w:pPr>
              <w:widowControl w:val="0"/>
              <w:spacing w:line="560" w:lineRule="exact"/>
              <w:jc w:val="both"/>
              <w:rPr>
                <w:rFonts w:hint="default" w:ascii="Times New Roman" w:hAnsi="Times New Roman" w:cs="Times New Roman"/>
                <w:kern w:val="2"/>
                <w:sz w:val="24"/>
                <w:szCs w:val="24"/>
              </w:rPr>
            </w:pPr>
          </w:p>
        </w:tc>
        <w:tc>
          <w:tcPr>
            <w:tcW w:w="1330" w:type="dxa"/>
          </w:tcPr>
          <w:p>
            <w:pPr>
              <w:widowControl w:val="0"/>
              <w:spacing w:line="560" w:lineRule="exact"/>
              <w:jc w:val="both"/>
              <w:rPr>
                <w:rFonts w:hint="default" w:ascii="Times New Roman" w:hAnsi="Times New Roman" w:cs="Times New Roman"/>
                <w:kern w:val="2"/>
                <w:sz w:val="24"/>
                <w:szCs w:val="24"/>
              </w:rPr>
            </w:pPr>
          </w:p>
        </w:tc>
        <w:tc>
          <w:tcPr>
            <w:tcW w:w="1716"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c>
          <w:tcPr>
            <w:tcW w:w="1201" w:type="dxa"/>
            <w:vMerge w:val="continue"/>
            <w:tcBorders>
              <w:left w:val="single" w:color="auto" w:sz="4" w:space="0"/>
              <w:right w:val="single" w:color="auto" w:sz="4" w:space="0"/>
            </w:tcBorders>
          </w:tcPr>
          <w:p>
            <w:pPr>
              <w:widowControl w:val="0"/>
              <w:spacing w:line="560" w:lineRule="exact"/>
              <w:jc w:val="both"/>
              <w:rPr>
                <w:rFonts w:hint="default" w:ascii="Times New Roman" w:hAnsi="Times New Roman"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72" w:hRule="atLeast"/>
          <w:jc w:val="center"/>
        </w:trPr>
        <w:tc>
          <w:tcPr>
            <w:tcW w:w="7397" w:type="dxa"/>
            <w:gridSpan w:val="4"/>
            <w:tcBorders>
              <w:left w:val="single" w:color="auto" w:sz="4" w:space="0"/>
              <w:right w:val="single" w:color="auto" w:sz="4" w:space="0"/>
            </w:tcBorders>
            <w:vAlign w:val="top"/>
          </w:tcPr>
          <w:p>
            <w:pPr>
              <w:widowControl w:val="0"/>
              <w:snapToGrid w:val="0"/>
              <w:spacing w:line="360" w:lineRule="auto"/>
              <w:rPr>
                <w:rFonts w:hint="eastAsia" w:eastAsiaTheme="minorEastAsia"/>
                <w:sz w:val="21"/>
                <w:szCs w:val="21"/>
                <w:lang w:eastAsia="zh-CN"/>
              </w:rPr>
            </w:pPr>
            <w:r>
              <w:rPr>
                <w:rFonts w:hint="eastAsia"/>
                <w:sz w:val="21"/>
                <w:szCs w:val="21"/>
                <w:lang w:eastAsia="zh-CN"/>
              </w:rPr>
              <w:t>（</w:t>
            </w:r>
            <w:r>
              <w:rPr>
                <w:rFonts w:hint="eastAsia"/>
                <w:sz w:val="21"/>
                <w:szCs w:val="21"/>
                <w:lang w:val="en-US" w:eastAsia="zh-CN"/>
              </w:rPr>
              <w:t>采购单位</w:t>
            </w:r>
            <w:r>
              <w:rPr>
                <w:rFonts w:hint="eastAsia"/>
                <w:sz w:val="21"/>
                <w:szCs w:val="21"/>
                <w:lang w:eastAsia="zh-CN"/>
              </w:rPr>
              <w:t>）</w:t>
            </w:r>
          </w:p>
          <w:p>
            <w:pPr>
              <w:widowControl w:val="0"/>
              <w:snapToGrid w:val="0"/>
              <w:spacing w:line="360" w:lineRule="auto"/>
              <w:rPr>
                <w:rFonts w:hint="eastAsia"/>
                <w:sz w:val="21"/>
                <w:szCs w:val="21"/>
                <w:lang w:val="en-US" w:eastAsia="zh-CN"/>
              </w:rPr>
            </w:pPr>
            <w:r>
              <w:rPr>
                <w:rFonts w:hint="eastAsia"/>
                <w:sz w:val="21"/>
                <w:szCs w:val="21"/>
              </w:rPr>
              <w:t>联系人：</w:t>
            </w:r>
            <w:r>
              <w:rPr>
                <w:rFonts w:hint="eastAsia"/>
                <w:sz w:val="21"/>
                <w:szCs w:val="21"/>
                <w:lang w:eastAsia="zh-CN"/>
              </w:rPr>
              <w:t>杜宇昊</w:t>
            </w:r>
            <w:r>
              <w:rPr>
                <w:rFonts w:hint="eastAsia"/>
                <w:sz w:val="21"/>
                <w:szCs w:val="21"/>
                <w:lang w:val="en-US" w:eastAsia="zh-CN"/>
              </w:rPr>
              <w:t xml:space="preserve">  </w:t>
            </w:r>
            <w:r>
              <w:rPr>
                <w:rFonts w:hint="eastAsia"/>
                <w:sz w:val="21"/>
                <w:szCs w:val="21"/>
              </w:rPr>
              <w:t>联系电话：82469339</w:t>
            </w:r>
            <w:r>
              <w:rPr>
                <w:rFonts w:hint="eastAsia"/>
                <w:sz w:val="21"/>
                <w:szCs w:val="21"/>
                <w:lang w:val="en-US" w:eastAsia="zh-CN"/>
              </w:rPr>
              <w:t xml:space="preserve">    </w:t>
            </w:r>
          </w:p>
          <w:p>
            <w:pPr>
              <w:widowControl w:val="0"/>
              <w:snapToGrid w:val="0"/>
              <w:spacing w:line="360" w:lineRule="auto"/>
              <w:rPr>
                <w:rFonts w:hint="eastAsia"/>
                <w:sz w:val="21"/>
                <w:szCs w:val="21"/>
              </w:rPr>
            </w:pPr>
            <w:r>
              <w:rPr>
                <w:rFonts w:hint="eastAsia"/>
                <w:sz w:val="21"/>
                <w:szCs w:val="21"/>
              </w:rPr>
              <w:t>传真电话：82468011</w:t>
            </w:r>
          </w:p>
          <w:p>
            <w:pPr>
              <w:widowControl w:val="0"/>
              <w:snapToGrid w:val="0"/>
              <w:spacing w:line="360" w:lineRule="auto"/>
              <w:rPr>
                <w:rFonts w:hint="eastAsia"/>
                <w:sz w:val="21"/>
                <w:szCs w:val="21"/>
              </w:rPr>
            </w:pPr>
            <w:r>
              <w:rPr>
                <w:rFonts w:hint="eastAsia"/>
                <w:sz w:val="21"/>
                <w:szCs w:val="21"/>
                <w:lang w:val="en-US" w:eastAsia="zh-CN"/>
              </w:rPr>
              <w:t>地址：金华市双龙南街801号 金华市司法局</w:t>
            </w:r>
            <w:r>
              <w:rPr>
                <w:sz w:val="21"/>
                <w:szCs w:val="21"/>
              </w:rPr>
              <w:t xml:space="preserve">                                    </w:t>
            </w:r>
          </w:p>
          <w:p>
            <w:pPr>
              <w:widowControl w:val="0"/>
              <w:snapToGrid w:val="0"/>
              <w:spacing w:line="360" w:lineRule="auto"/>
              <w:ind w:firstLine="2310" w:firstLineChars="1100"/>
              <w:rPr>
                <w:rFonts w:hint="eastAsia"/>
                <w:sz w:val="21"/>
                <w:szCs w:val="21"/>
              </w:rPr>
            </w:pPr>
            <w:r>
              <w:rPr>
                <w:rFonts w:hint="eastAsia"/>
                <w:sz w:val="21"/>
                <w:szCs w:val="21"/>
              </w:rPr>
              <w:t>2</w:t>
            </w:r>
            <w:r>
              <w:rPr>
                <w:rFonts w:hint="eastAsia"/>
                <w:sz w:val="21"/>
                <w:szCs w:val="21"/>
                <w:lang w:val="en-US" w:eastAsia="zh-CN"/>
              </w:rPr>
              <w:t>024</w:t>
            </w:r>
            <w:r>
              <w:rPr>
                <w:rFonts w:hint="eastAsia"/>
                <w:sz w:val="21"/>
                <w:szCs w:val="21"/>
              </w:rPr>
              <w:t xml:space="preserve">年 </w:t>
            </w:r>
            <w:r>
              <w:rPr>
                <w:rFonts w:hint="eastAsia"/>
                <w:sz w:val="21"/>
                <w:szCs w:val="21"/>
                <w:lang w:val="en-US" w:eastAsia="zh-CN"/>
              </w:rPr>
              <w:t>9</w:t>
            </w:r>
            <w:r>
              <w:rPr>
                <w:rFonts w:hint="eastAsia"/>
                <w:sz w:val="21"/>
                <w:szCs w:val="21"/>
              </w:rPr>
              <w:t>月</w:t>
            </w:r>
            <w:r>
              <w:rPr>
                <w:rFonts w:hint="eastAsia"/>
                <w:sz w:val="21"/>
                <w:szCs w:val="21"/>
                <w:lang w:val="en-US" w:eastAsia="zh-CN"/>
              </w:rPr>
              <w:t>11</w:t>
            </w:r>
            <w:r>
              <w:rPr>
                <w:rFonts w:hint="eastAsia"/>
                <w:sz w:val="21"/>
                <w:szCs w:val="21"/>
              </w:rPr>
              <w:t>日</w:t>
            </w:r>
            <w:r>
              <w:rPr>
                <w:rFonts w:hint="eastAsia"/>
                <w:sz w:val="21"/>
                <w:szCs w:val="21"/>
                <w:lang w:val="en-US" w:eastAsia="zh-CN"/>
              </w:rPr>
              <w:t xml:space="preserve"> </w:t>
            </w:r>
          </w:p>
          <w:p>
            <w:pPr>
              <w:widowControl w:val="0"/>
              <w:snapToGrid w:val="0"/>
              <w:spacing w:line="360" w:lineRule="auto"/>
              <w:ind w:firstLine="2940" w:firstLineChars="1400"/>
              <w:rPr>
                <w:rFonts w:hint="default" w:asciiTheme="minorHAnsi" w:hAnsiTheme="minorHAnsi" w:eastAsiaTheme="minorEastAsia" w:cstheme="minorBidi"/>
                <w:kern w:val="2"/>
                <w:sz w:val="21"/>
                <w:szCs w:val="21"/>
                <w:lang w:val="en-US" w:eastAsia="zh-CN" w:bidi="ar-SA"/>
              </w:rPr>
            </w:pPr>
            <w:r>
              <w:rPr>
                <w:rFonts w:hint="eastAsia"/>
                <w:sz w:val="21"/>
                <w:szCs w:val="21"/>
              </w:rPr>
              <w:t>（盖章）</w:t>
            </w:r>
          </w:p>
        </w:tc>
        <w:tc>
          <w:tcPr>
            <w:tcW w:w="6235" w:type="dxa"/>
            <w:gridSpan w:val="5"/>
            <w:tcBorders>
              <w:left w:val="single" w:color="auto" w:sz="4" w:space="0"/>
              <w:right w:val="single" w:color="auto" w:sz="4" w:space="0"/>
            </w:tcBorders>
            <w:vAlign w:val="center"/>
          </w:tcPr>
          <w:p>
            <w:pPr>
              <w:widowControl w:val="0"/>
              <w:snapToGrid w:val="0"/>
              <w:spacing w:line="360" w:lineRule="auto"/>
              <w:rPr>
                <w:rFonts w:hint="eastAsia" w:eastAsiaTheme="minorEastAsia"/>
                <w:sz w:val="21"/>
                <w:szCs w:val="21"/>
                <w:lang w:eastAsia="zh-CN"/>
              </w:rPr>
            </w:pPr>
            <w:r>
              <w:rPr>
                <w:rFonts w:hint="eastAsia"/>
                <w:sz w:val="21"/>
                <w:szCs w:val="21"/>
                <w:lang w:eastAsia="zh-CN"/>
              </w:rPr>
              <w:t>（</w:t>
            </w:r>
            <w:r>
              <w:rPr>
                <w:rFonts w:hint="eastAsia"/>
                <w:sz w:val="21"/>
                <w:szCs w:val="21"/>
                <w:lang w:val="en-US" w:eastAsia="zh-CN"/>
              </w:rPr>
              <w:t>供应单位</w:t>
            </w:r>
            <w:r>
              <w:rPr>
                <w:rFonts w:hint="eastAsia"/>
                <w:sz w:val="21"/>
                <w:szCs w:val="21"/>
                <w:lang w:eastAsia="zh-CN"/>
              </w:rPr>
              <w:t>）</w:t>
            </w:r>
          </w:p>
          <w:p>
            <w:pPr>
              <w:widowControl w:val="0"/>
              <w:snapToGrid w:val="0"/>
              <w:spacing w:line="360" w:lineRule="auto"/>
              <w:rPr>
                <w:rFonts w:hint="eastAsia"/>
                <w:sz w:val="21"/>
                <w:szCs w:val="21"/>
              </w:rPr>
            </w:pPr>
            <w:r>
              <w:rPr>
                <w:rFonts w:hint="eastAsia"/>
                <w:sz w:val="21"/>
                <w:szCs w:val="21"/>
              </w:rPr>
              <w:t>联系人：</w:t>
            </w:r>
            <w:r>
              <w:rPr>
                <w:rFonts w:hint="eastAsia"/>
                <w:sz w:val="21"/>
                <w:szCs w:val="21"/>
                <w:lang w:val="en-US" w:eastAsia="zh-CN"/>
              </w:rPr>
              <w:t xml:space="preserve"> </w:t>
            </w:r>
            <w:r>
              <w:rPr>
                <w:sz w:val="21"/>
                <w:szCs w:val="21"/>
              </w:rPr>
              <w:t xml:space="preserve"> </w:t>
            </w:r>
            <w:r>
              <w:rPr>
                <w:rFonts w:hint="eastAsia"/>
                <w:sz w:val="21"/>
                <w:szCs w:val="21"/>
                <w:lang w:val="en-US" w:eastAsia="zh-CN"/>
              </w:rPr>
              <w:t xml:space="preserve">       </w:t>
            </w:r>
            <w:r>
              <w:rPr>
                <w:rFonts w:hint="eastAsia"/>
                <w:sz w:val="21"/>
                <w:szCs w:val="21"/>
              </w:rPr>
              <w:t>联系电话：</w:t>
            </w:r>
            <w:r>
              <w:rPr>
                <w:rFonts w:hint="eastAsia"/>
                <w:sz w:val="21"/>
                <w:szCs w:val="21"/>
                <w:lang w:val="en-US" w:eastAsia="zh-CN"/>
              </w:rPr>
              <w:t xml:space="preserve">   </w:t>
            </w:r>
            <w:r>
              <w:rPr>
                <w:sz w:val="21"/>
                <w:szCs w:val="21"/>
              </w:rPr>
              <w:t xml:space="preserve">                                    </w:t>
            </w:r>
          </w:p>
          <w:p>
            <w:pPr>
              <w:widowControl w:val="0"/>
              <w:snapToGrid w:val="0"/>
              <w:spacing w:line="360" w:lineRule="auto"/>
              <w:ind w:firstLine="1890" w:firstLineChars="900"/>
              <w:rPr>
                <w:rFonts w:hint="eastAsia"/>
                <w:sz w:val="21"/>
                <w:szCs w:val="21"/>
              </w:rPr>
            </w:pPr>
            <w:r>
              <w:rPr>
                <w:rFonts w:hint="eastAsia"/>
                <w:sz w:val="21"/>
                <w:szCs w:val="21"/>
              </w:rPr>
              <w:t>2</w:t>
            </w:r>
            <w:r>
              <w:rPr>
                <w:rFonts w:hint="eastAsia"/>
                <w:sz w:val="21"/>
                <w:szCs w:val="21"/>
                <w:lang w:val="en-US" w:eastAsia="zh-CN"/>
              </w:rPr>
              <w:t>024</w:t>
            </w:r>
            <w:r>
              <w:rPr>
                <w:sz w:val="21"/>
                <w:szCs w:val="21"/>
              </w:rPr>
              <w:t xml:space="preserve"> </w:t>
            </w:r>
            <w:r>
              <w:rPr>
                <w:rFonts w:hint="eastAsia"/>
                <w:sz w:val="21"/>
                <w:szCs w:val="21"/>
              </w:rPr>
              <w:t xml:space="preserve">年 </w:t>
            </w:r>
            <w:r>
              <w:rPr>
                <w:rFonts w:hint="eastAsia"/>
                <w:sz w:val="21"/>
                <w:szCs w:val="21"/>
                <w:lang w:val="en-US" w:eastAsia="zh-CN"/>
              </w:rPr>
              <w:t xml:space="preserve"> </w:t>
            </w:r>
            <w:r>
              <w:rPr>
                <w:sz w:val="21"/>
                <w:szCs w:val="21"/>
              </w:rPr>
              <w:t xml:space="preserve"> </w:t>
            </w:r>
            <w:r>
              <w:rPr>
                <w:rFonts w:hint="eastAsia"/>
                <w:sz w:val="21"/>
                <w:szCs w:val="21"/>
              </w:rPr>
              <w:t>月</w:t>
            </w:r>
            <w:r>
              <w:rPr>
                <w:rFonts w:hint="eastAsia"/>
                <w:sz w:val="21"/>
                <w:szCs w:val="21"/>
                <w:lang w:val="en-US" w:eastAsia="zh-CN"/>
              </w:rPr>
              <w:t xml:space="preserve">    </w:t>
            </w:r>
            <w:r>
              <w:rPr>
                <w:rFonts w:hint="eastAsia"/>
                <w:sz w:val="21"/>
                <w:szCs w:val="21"/>
              </w:rPr>
              <w:t>日</w:t>
            </w:r>
          </w:p>
          <w:p>
            <w:pPr>
              <w:widowControl w:val="0"/>
              <w:snapToGrid w:val="0"/>
              <w:spacing w:line="360" w:lineRule="auto"/>
              <w:ind w:firstLine="3360" w:firstLineChars="1600"/>
              <w:rPr>
                <w:rFonts w:hint="default" w:asciiTheme="minorHAnsi" w:hAnsiTheme="minorHAnsi" w:eastAsiaTheme="minorEastAsia" w:cstheme="minorBidi"/>
                <w:kern w:val="2"/>
                <w:sz w:val="21"/>
                <w:szCs w:val="21"/>
                <w:lang w:val="en-US" w:eastAsia="zh-CN" w:bidi="ar-SA"/>
              </w:rPr>
            </w:pPr>
            <w:r>
              <w:rPr>
                <w:rFonts w:hint="eastAsia"/>
                <w:sz w:val="21"/>
                <w:szCs w:val="21"/>
              </w:rPr>
              <w:t>（盖章）</w:t>
            </w:r>
          </w:p>
        </w:tc>
      </w:tr>
    </w:tbl>
    <w:p>
      <w:pPr>
        <w:keepNext w:val="0"/>
        <w:keepLines w:val="0"/>
        <w:pageBreakBefore w:val="0"/>
        <w:widowControl w:val="0"/>
        <w:kinsoku/>
        <w:wordWrap/>
        <w:topLinePunct w:val="0"/>
        <w:bidi w:val="0"/>
        <w:snapToGrid/>
        <w:spacing w:line="360" w:lineRule="exact"/>
        <w:ind w:left="811" w:hanging="840" w:hangingChars="350"/>
        <w:rPr>
          <w:rFonts w:hint="default"/>
          <w:color w:val="auto"/>
          <w:lang w:val="en-US" w:eastAsia="zh-CN"/>
        </w:rPr>
      </w:pPr>
      <w:r>
        <w:rPr>
          <w:rFonts w:hint="eastAsia"/>
          <w:color w:val="auto"/>
          <w:sz w:val="24"/>
        </w:rPr>
        <w:t>注：</w:t>
      </w:r>
      <w:r>
        <w:rPr>
          <w:rFonts w:hint="eastAsia"/>
          <w:color w:val="auto"/>
          <w:sz w:val="24"/>
          <w:lang w:val="en-US" w:eastAsia="zh-CN"/>
        </w:rPr>
        <w:t>1.本询价单中所列耗材需求量为本局2023-2024年度的实际需求量，2024-2025年度需求量以实际需求为准；询价单中相关耗材可以使用欣彩、格之格品牌耗材替换；如本局2024-2025年度实际产生的办公设备耗材及维修不在上表所列举的事项中，以实际需求进行结算。</w:t>
      </w:r>
    </w:p>
    <w:p>
      <w:pPr>
        <w:keepNext w:val="0"/>
        <w:keepLines w:val="0"/>
        <w:widowControl/>
        <w:suppressLineNumbers w:val="0"/>
        <w:ind w:left="719" w:leftChars="228" w:hanging="240" w:hangingChars="100"/>
        <w:jc w:val="left"/>
        <w:rPr>
          <w:rFonts w:hint="eastAsia"/>
          <w:color w:val="auto"/>
          <w:sz w:val="24"/>
          <w:lang w:val="en-US" w:eastAsia="zh-CN"/>
        </w:rPr>
      </w:pPr>
      <w:r>
        <w:rPr>
          <w:rFonts w:hint="eastAsia"/>
          <w:color w:val="auto"/>
          <w:sz w:val="24"/>
          <w:lang w:val="en-US" w:eastAsia="zh-CN"/>
        </w:rPr>
        <w:t>2.本询价单中本局包含市司法局（双龙南街801号）、复议局（四联路458号）、公共法律服务中心（双溪西路618号）及三江、江南、西关、秋滨、苏孟、汤溪、罗埠、洋埠8家司法所。供货单位需能够去以上各地开展服务。</w:t>
      </w:r>
    </w:p>
    <w:p>
      <w:pPr>
        <w:pStyle w:val="2"/>
        <w:keepNext w:val="0"/>
        <w:keepLines w:val="0"/>
        <w:pageBreakBefore w:val="0"/>
        <w:widowControl w:val="0"/>
        <w:numPr>
          <w:ilvl w:val="0"/>
          <w:numId w:val="0"/>
        </w:numPr>
        <w:kinsoku/>
        <w:wordWrap/>
        <w:topLinePunct w:val="0"/>
        <w:bidi w:val="0"/>
        <w:snapToGrid/>
        <w:spacing w:line="360" w:lineRule="exact"/>
        <w:ind w:left="438" w:leftChars="0"/>
        <w:rPr>
          <w:rFonts w:hint="default"/>
          <w:color w:val="auto"/>
          <w:sz w:val="24"/>
          <w:lang w:val="en-US" w:eastAsia="zh-CN"/>
        </w:rPr>
      </w:pPr>
      <w:r>
        <w:rPr>
          <w:rFonts w:hint="eastAsia"/>
          <w:color w:val="auto"/>
          <w:sz w:val="24"/>
          <w:lang w:val="en-US" w:eastAsia="zh-CN"/>
        </w:rPr>
        <w:t>3.耗材上门安装维护服务需免费，请各供货单位在报价时予以充分考虑，且保证一般情况3小时内响应，紧急情况1小时内响应。</w:t>
      </w:r>
    </w:p>
    <w:p>
      <w:pPr>
        <w:pStyle w:val="2"/>
        <w:keepNext w:val="0"/>
        <w:keepLines w:val="0"/>
        <w:pageBreakBefore w:val="0"/>
        <w:widowControl w:val="0"/>
        <w:numPr>
          <w:ilvl w:val="0"/>
          <w:numId w:val="0"/>
        </w:numPr>
        <w:kinsoku/>
        <w:wordWrap/>
        <w:topLinePunct w:val="0"/>
        <w:bidi w:val="0"/>
        <w:snapToGrid/>
        <w:spacing w:line="360" w:lineRule="exact"/>
        <w:ind w:left="438" w:leftChars="0"/>
        <w:rPr>
          <w:rFonts w:hint="default"/>
          <w:color w:val="auto"/>
          <w:sz w:val="24"/>
          <w:lang w:val="en-US" w:eastAsia="zh-CN"/>
        </w:rPr>
      </w:pPr>
      <w:r>
        <w:rPr>
          <w:rFonts w:hint="eastAsia"/>
          <w:color w:val="auto"/>
          <w:sz w:val="24"/>
          <w:lang w:val="en-US" w:eastAsia="zh-CN"/>
        </w:rPr>
        <w:t>4.本单位有权对不符合上述条件的报价单位取消其中标资格。</w:t>
      </w:r>
    </w:p>
    <w:p>
      <w:pPr>
        <w:pStyle w:val="2"/>
        <w:rPr>
          <w:rFonts w:hint="eastAsia"/>
          <w:lang w:val="en-US" w:eastAsia="zh-CN"/>
        </w:rPr>
      </w:pPr>
    </w:p>
    <w:sectPr>
      <w:footerReference r:id="rId4" w:type="default"/>
      <w:pgSz w:w="16838" w:h="11906" w:orient="landscape"/>
      <w:pgMar w:top="1800" w:right="1440" w:bottom="180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6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20"/>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&#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JIJGtDECAABhBAAADgAAAAAAAAABACAAAAA1&#10;AQAAZHJzL2Uyb0RvYy54bWxQSwUGAAAAAAYABgBZAQAA2AUAAAAA&#10;">
              <v:fill on="f" focussize="0,0"/>
              <v:stroke on="f" weight="0.5pt"/>
              <v:imagedata o:title=""/>
              <o:lock v:ext="edit" aspectratio="f"/>
              <v:textbox inset="0mm,0mm,0mm,0mm" style="mso-fit-shape-to-text:t;">
                <w:txbxContent>
                  <w:p>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right="360" w:firstLine="360"/>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4"/>
                            <w:rPr>
                              <w:rFonts w:hint="eastAsia"/>
                            </w:rPr>
                          </w:pPr>
                          <w:r>
                            <w:rPr>
                              <w:rFonts w:hint="eastAsia"/>
                            </w:rPr>
                            <w:t xml:space="preserve">— </w:t>
                          </w:r>
                          <w:r>
                            <w:rPr>
                              <w:rFonts w:hint="eastAsia"/>
                            </w:rPr>
                            <w:fldChar w:fldCharType="begin"/>
                          </w:r>
                          <w:r>
                            <w:rPr>
                              <w:rFonts w:hint="eastAsia"/>
                            </w:rPr>
                            <w:instrText xml:space="preserve"> PAGE  \* MERGEFORMAT </w:instrText>
                          </w:r>
                          <w:r>
                            <w:rPr>
                              <w:rFonts w:hint="eastAsia"/>
                            </w:rPr>
                            <w:fldChar w:fldCharType="separate"/>
                          </w:r>
                          <w:r>
                            <w:rPr>
                              <w:rFonts w:hint="eastAsia"/>
                            </w:rPr>
                            <w:t>4</w:t>
                          </w:r>
                          <w:r>
                            <w:rPr>
                              <w:rFonts w:hint="eastAsia"/>
                            </w:rPr>
                            <w:fldChar w:fldCharType="end"/>
                          </w:r>
                          <w:r>
                            <w:rPr>
                              <w:rFonts w:hint="eastAsia"/>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FgAAAGRycy9QSwECFAAUAAAACACHTuJAzql5uc8AAAAFAQAADwAA&#10;AAAAAAABACAAAAA4AAAAZHJzL2Rvd25yZXYueG1sUEsBAhQAFAAAAAgAh07iQGF4TI/QAQAAogMA&#10;AA4AAAAAAAAAAQAgAAAANAEAAGRycy9lMm9Eb2MueG1sUEsFBgAAAAAGAAYAWQEAAHYFAAAAAA==&#10;">
              <v:fill on="f" focussize="0,0"/>
              <v:stroke on="f"/>
              <v:imagedata o:title=""/>
              <o:lock v:ext="edit" aspectratio="f"/>
              <v:textbox inset="0mm,0mm,0mm,0mm" style="mso-fit-shape-to-text:t;">
                <w:txbxContent>
                  <w:p>
                    <w:pPr>
                      <w:pStyle w:val="4"/>
                      <w:rPr>
                        <w:rFonts w:hint="eastAsia"/>
                      </w:rPr>
                    </w:pPr>
                    <w:r>
                      <w:rPr>
                        <w:rFonts w:hint="eastAsia"/>
                      </w:rPr>
                      <w:t xml:space="preserve">— </w:t>
                    </w:r>
                    <w:r>
                      <w:rPr>
                        <w:rFonts w:hint="eastAsia"/>
                      </w:rPr>
                      <w:fldChar w:fldCharType="begin"/>
                    </w:r>
                    <w:r>
                      <w:rPr>
                        <w:rFonts w:hint="eastAsia"/>
                      </w:rPr>
                      <w:instrText xml:space="preserve"> PAGE  \* MERGEFORMAT </w:instrText>
                    </w:r>
                    <w:r>
                      <w:rPr>
                        <w:rFonts w:hint="eastAsia"/>
                      </w:rPr>
                      <w:fldChar w:fldCharType="separate"/>
                    </w:r>
                    <w:r>
                      <w:rPr>
                        <w:rFonts w:hint="eastAsia"/>
                      </w:rPr>
                      <w:t>4</w:t>
                    </w:r>
                    <w:r>
                      <w:rPr>
                        <w:rFonts w:hint="eastAsia"/>
                      </w:rPr>
                      <w:fldChar w:fldCharType="end"/>
                    </w:r>
                    <w:r>
                      <w:rPr>
                        <w:rFonts w:hint="eastAsia"/>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1002F3"/>
    <w:rsid w:val="04033C75"/>
    <w:rsid w:val="04BA7E2C"/>
    <w:rsid w:val="057C67D9"/>
    <w:rsid w:val="05F13BB7"/>
    <w:rsid w:val="069C41A9"/>
    <w:rsid w:val="0857207A"/>
    <w:rsid w:val="08CE473D"/>
    <w:rsid w:val="093E72AF"/>
    <w:rsid w:val="09BC1D55"/>
    <w:rsid w:val="0A553B70"/>
    <w:rsid w:val="0AC21EF8"/>
    <w:rsid w:val="0C5E7E7A"/>
    <w:rsid w:val="0D691031"/>
    <w:rsid w:val="0D82786F"/>
    <w:rsid w:val="10762F08"/>
    <w:rsid w:val="13E669FF"/>
    <w:rsid w:val="1538742A"/>
    <w:rsid w:val="16AB612B"/>
    <w:rsid w:val="18506546"/>
    <w:rsid w:val="188540EC"/>
    <w:rsid w:val="191D1B4E"/>
    <w:rsid w:val="19587023"/>
    <w:rsid w:val="19742177"/>
    <w:rsid w:val="1A1A5B37"/>
    <w:rsid w:val="1DFC6EEA"/>
    <w:rsid w:val="1EBB131C"/>
    <w:rsid w:val="201740FD"/>
    <w:rsid w:val="21923EF2"/>
    <w:rsid w:val="220A32B1"/>
    <w:rsid w:val="222C2918"/>
    <w:rsid w:val="23F81C8B"/>
    <w:rsid w:val="245F5AF8"/>
    <w:rsid w:val="273E24BF"/>
    <w:rsid w:val="274852CF"/>
    <w:rsid w:val="274C5380"/>
    <w:rsid w:val="282D01A2"/>
    <w:rsid w:val="2A4E5244"/>
    <w:rsid w:val="2B9447AC"/>
    <w:rsid w:val="2BB4015A"/>
    <w:rsid w:val="2BD42120"/>
    <w:rsid w:val="2C581497"/>
    <w:rsid w:val="2D784C9D"/>
    <w:rsid w:val="2EC135FA"/>
    <w:rsid w:val="31774735"/>
    <w:rsid w:val="359864AB"/>
    <w:rsid w:val="35E03E4C"/>
    <w:rsid w:val="371F4E55"/>
    <w:rsid w:val="37457D8C"/>
    <w:rsid w:val="37C7704A"/>
    <w:rsid w:val="38111285"/>
    <w:rsid w:val="39776A74"/>
    <w:rsid w:val="3C1815BF"/>
    <w:rsid w:val="3CC90FC2"/>
    <w:rsid w:val="3D09079D"/>
    <w:rsid w:val="3D3A6904"/>
    <w:rsid w:val="3E2B3FB3"/>
    <w:rsid w:val="3E8248F6"/>
    <w:rsid w:val="3F3266B1"/>
    <w:rsid w:val="3F8614B3"/>
    <w:rsid w:val="42AB36C5"/>
    <w:rsid w:val="42B53AAC"/>
    <w:rsid w:val="433103BF"/>
    <w:rsid w:val="43F143F4"/>
    <w:rsid w:val="445A0D4C"/>
    <w:rsid w:val="44B955D0"/>
    <w:rsid w:val="44F43663"/>
    <w:rsid w:val="45195829"/>
    <w:rsid w:val="45330104"/>
    <w:rsid w:val="46013B6F"/>
    <w:rsid w:val="462D21A8"/>
    <w:rsid w:val="465448E0"/>
    <w:rsid w:val="47B3391F"/>
    <w:rsid w:val="49BC3C14"/>
    <w:rsid w:val="4A8018D8"/>
    <w:rsid w:val="4B9836F1"/>
    <w:rsid w:val="4C541D33"/>
    <w:rsid w:val="4F092CC8"/>
    <w:rsid w:val="4F3B792F"/>
    <w:rsid w:val="50A45A6E"/>
    <w:rsid w:val="51033DC1"/>
    <w:rsid w:val="55F10299"/>
    <w:rsid w:val="56D3C818"/>
    <w:rsid w:val="579359F8"/>
    <w:rsid w:val="590179B7"/>
    <w:rsid w:val="594F53E2"/>
    <w:rsid w:val="59FF734C"/>
    <w:rsid w:val="5A770F07"/>
    <w:rsid w:val="5B1D0947"/>
    <w:rsid w:val="5B3C36AB"/>
    <w:rsid w:val="5BA22358"/>
    <w:rsid w:val="5C555751"/>
    <w:rsid w:val="5D78133B"/>
    <w:rsid w:val="5E0D78C2"/>
    <w:rsid w:val="5E756304"/>
    <w:rsid w:val="5FF7DBA4"/>
    <w:rsid w:val="614F2550"/>
    <w:rsid w:val="61E851BC"/>
    <w:rsid w:val="62185F2A"/>
    <w:rsid w:val="626E125F"/>
    <w:rsid w:val="62F4158F"/>
    <w:rsid w:val="65E404E0"/>
    <w:rsid w:val="66FD50B4"/>
    <w:rsid w:val="67FB2911"/>
    <w:rsid w:val="686F15FC"/>
    <w:rsid w:val="6B255E4D"/>
    <w:rsid w:val="6BB23888"/>
    <w:rsid w:val="6BCB0911"/>
    <w:rsid w:val="6C6A22FF"/>
    <w:rsid w:val="6C7B2764"/>
    <w:rsid w:val="6EFF6AFF"/>
    <w:rsid w:val="6F917D61"/>
    <w:rsid w:val="71197193"/>
    <w:rsid w:val="72F456D4"/>
    <w:rsid w:val="745D08CA"/>
    <w:rsid w:val="746A194D"/>
    <w:rsid w:val="74F41C50"/>
    <w:rsid w:val="775C1CE8"/>
    <w:rsid w:val="781B09A6"/>
    <w:rsid w:val="799E48E0"/>
    <w:rsid w:val="79D500E9"/>
    <w:rsid w:val="79E7468D"/>
    <w:rsid w:val="7B755256"/>
    <w:rsid w:val="7BE3AF0A"/>
    <w:rsid w:val="7CFDFE6F"/>
    <w:rsid w:val="7E52448E"/>
    <w:rsid w:val="7EDFD6CD"/>
    <w:rsid w:val="7FAF140B"/>
    <w:rsid w:val="86826F7E"/>
    <w:rsid w:val="97FF4AA3"/>
    <w:rsid w:val="9E7F18C6"/>
    <w:rsid w:val="ABD7986E"/>
    <w:rsid w:val="C7FF6EC5"/>
    <w:rsid w:val="CF7FAABD"/>
    <w:rsid w:val="D1BFA03F"/>
    <w:rsid w:val="DBEE480B"/>
    <w:rsid w:val="DF6F7763"/>
    <w:rsid w:val="EF6E7041"/>
    <w:rsid w:val="FB8F7219"/>
    <w:rsid w:val="FDDEFFFB"/>
    <w:rsid w:val="FDFE6548"/>
    <w:rsid w:val="FDFFEB46"/>
    <w:rsid w:val="FEE7EB4B"/>
    <w:rsid w:val="FF8487D9"/>
    <w:rsid w:val="FFDF282C"/>
    <w:rsid w:val="FFE652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w:basedOn w:val="3"/>
    <w:unhideWhenUsed/>
    <w:qFormat/>
    <w:uiPriority w:val="99"/>
    <w:pPr>
      <w:ind w:firstLine="420" w:firstLineChars="100"/>
    </w:pPr>
  </w:style>
  <w:style w:type="paragraph" w:styleId="3">
    <w:name w:val="Body Text"/>
    <w:basedOn w:val="1"/>
    <w:qFormat/>
    <w:uiPriority w:val="0"/>
    <w:pPr>
      <w:widowControl w:val="0"/>
      <w:overflowPunct/>
      <w:autoSpaceDE/>
      <w:autoSpaceDN/>
      <w:adjustRightInd/>
      <w:textAlignment w:val="auto"/>
    </w:pPr>
    <w:rPr>
      <w:color w:val="800000"/>
      <w:kern w:val="2"/>
      <w:sz w:val="30"/>
    </w:rPr>
  </w:style>
  <w:style w:type="paragraph" w:styleId="4">
    <w:name w:val="footer"/>
    <w:basedOn w:val="1"/>
    <w:qFormat/>
    <w:uiPriority w:val="0"/>
    <w:pPr>
      <w:tabs>
        <w:tab w:val="center" w:pos="4153"/>
        <w:tab w:val="right" w:pos="8306"/>
      </w:tabs>
    </w:pPr>
    <w:rPr>
      <w:sz w:val="20"/>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page number"/>
    <w:basedOn w:val="8"/>
    <w:qFormat/>
    <w:uiPriority w:val="0"/>
  </w:style>
  <w:style w:type="paragraph" w:customStyle="1" w:styleId="10">
    <w:name w:val="表格正文"/>
    <w:basedOn w:val="1"/>
    <w:qFormat/>
    <w:uiPriority w:val="0"/>
    <w:pPr>
      <w:ind w:firstLine="0" w:firstLineChars="0"/>
    </w:pPr>
    <w:rPr>
      <w:sz w:val="24"/>
    </w:rPr>
  </w:style>
  <w:style w:type="character" w:customStyle="1" w:styleId="11">
    <w:name w:val="font01"/>
    <w:basedOn w:val="8"/>
    <w:qFormat/>
    <w:uiPriority w:val="0"/>
    <w:rPr>
      <w:rFonts w:ascii="Arial" w:hAnsi="Arial" w:cs="Arial"/>
      <w:b/>
      <w:bCs/>
      <w:color w:val="000000"/>
      <w:sz w:val="20"/>
      <w:szCs w:val="20"/>
      <w:u w:val="none"/>
    </w:rPr>
  </w:style>
  <w:style w:type="character" w:customStyle="1" w:styleId="12">
    <w:name w:val="font31"/>
    <w:basedOn w:val="8"/>
    <w:qFormat/>
    <w:uiPriority w:val="0"/>
    <w:rPr>
      <w:rFonts w:hint="eastAsia" w:ascii="宋体" w:hAnsi="宋体" w:eastAsia="宋体" w:cs="宋体"/>
      <w:b/>
      <w:bCs/>
      <w:color w:val="000000"/>
      <w:sz w:val="20"/>
      <w:szCs w:val="20"/>
      <w:u w:val="none"/>
    </w:rPr>
  </w:style>
  <w:style w:type="character" w:customStyle="1" w:styleId="13">
    <w:name w:val="font11"/>
    <w:basedOn w:val="8"/>
    <w:qFormat/>
    <w:uiPriority w:val="0"/>
    <w:rPr>
      <w:rFonts w:hint="eastAsia" w:ascii="宋体" w:hAnsi="宋体" w:eastAsia="宋体" w:cs="宋体"/>
      <w:b/>
      <w:bCs/>
      <w:color w:val="000000"/>
      <w:sz w:val="20"/>
      <w:szCs w:val="20"/>
      <w:u w:val="none"/>
    </w:rPr>
  </w:style>
  <w:style w:type="character" w:customStyle="1" w:styleId="14">
    <w:name w:val="font21"/>
    <w:basedOn w:val="8"/>
    <w:qFormat/>
    <w:uiPriority w:val="0"/>
    <w:rPr>
      <w:rFonts w:hint="default" w:ascii="Arial" w:hAnsi="Arial" w:cs="Arial"/>
      <w:b/>
      <w:bCs/>
      <w:color w:val="000000"/>
      <w:sz w:val="20"/>
      <w:szCs w:val="20"/>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Office_11.8.2.1122_F1E327BC-269C-435d-A152-05C5408002CA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2020-06-20T23:20:00Z</dcterms:created>
  <dc:creator>Administrator.SC-201908161713</dc:creator>
  <cp:lastModifiedBy>杜宇昊</cp:lastModifiedBy>
  <cp:lastPrinted>2024-09-10T08:41:00Z</cp:lastPrinted>
  <dcterms:modified xsi:type="dcterms:W3CDTF">2024-09-11T11:05:25Z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2052-11.8.2.1122</vt:lpwstr>
  </property>
  <property fmtid="{D5CDD505-2E9C-101B-9397-08002B2CF9AE}" pid="3" name="ICV">
    <vt:lpwstr>13C2E1B463E9353E8C8AFE644826C028</vt:lpwstr>
  </property>
</Properties>
</file>