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85E30B">
      <w:pPr>
        <w:jc w:val="center"/>
        <w:rPr>
          <w:rFonts w:ascii="宋体" w:hAnsi="宋体" w:cs="宋体"/>
          <w:color w:val="auto"/>
          <w:highlight w:val="none"/>
        </w:rPr>
      </w:pPr>
    </w:p>
    <w:p w14:paraId="7FE5019A">
      <w:pPr>
        <w:tabs>
          <w:tab w:val="left" w:pos="1836"/>
        </w:tabs>
        <w:jc w:val="center"/>
        <w:rPr>
          <w:rFonts w:hint="eastAsia" w:ascii="宋体" w:hAnsi="宋体" w:cs="宋体"/>
          <w:b/>
          <w:color w:val="auto"/>
          <w:sz w:val="60"/>
          <w:szCs w:val="60"/>
          <w:highlight w:val="none"/>
        </w:rPr>
      </w:pPr>
      <w:r>
        <w:rPr>
          <w:rFonts w:hint="eastAsia" w:ascii="宋体" w:hAnsi="宋体" w:cs="宋体"/>
          <w:b/>
          <w:color w:val="auto"/>
          <w:sz w:val="60"/>
          <w:szCs w:val="60"/>
          <w:highlight w:val="none"/>
        </w:rPr>
        <w:t>东阳市鑫盛工程咨询有限公司关于</w:t>
      </w:r>
    </w:p>
    <w:p w14:paraId="2ABE8D7D">
      <w:pPr>
        <w:tabs>
          <w:tab w:val="left" w:pos="1836"/>
        </w:tabs>
        <w:jc w:val="center"/>
        <w:rPr>
          <w:rFonts w:ascii="宋体" w:hAnsi="宋体" w:cs="宋体"/>
          <w:color w:val="auto"/>
          <w:sz w:val="60"/>
          <w:szCs w:val="60"/>
          <w:highlight w:val="none"/>
        </w:rPr>
      </w:pPr>
      <w:r>
        <w:rPr>
          <w:rFonts w:hint="eastAsia" w:ascii="宋体" w:hAnsi="宋体" w:cs="宋体"/>
          <w:b/>
          <w:color w:val="auto"/>
          <w:sz w:val="60"/>
          <w:szCs w:val="60"/>
          <w:highlight w:val="none"/>
          <w:lang w:eastAsia="zh-CN"/>
        </w:rPr>
        <w:t>东阳市红会医院5G查房采购项目</w:t>
      </w:r>
    </w:p>
    <w:p w14:paraId="605CBCF9">
      <w:pPr>
        <w:rPr>
          <w:rFonts w:ascii="宋体" w:hAnsi="宋体" w:cs="宋体"/>
          <w:color w:val="auto"/>
          <w:highlight w:val="none"/>
        </w:rPr>
      </w:pPr>
    </w:p>
    <w:p w14:paraId="1E5816C0">
      <w:pPr>
        <w:pStyle w:val="49"/>
        <w:ind w:firstLine="210"/>
        <w:rPr>
          <w:rFonts w:cs="宋体"/>
          <w:color w:val="auto"/>
          <w:highlight w:val="none"/>
          <w:lang w:val="en-US"/>
        </w:rPr>
      </w:pPr>
    </w:p>
    <w:p w14:paraId="146E6A76">
      <w:pPr>
        <w:rPr>
          <w:rFonts w:cs="宋体"/>
          <w:color w:val="auto"/>
          <w:highlight w:val="none"/>
        </w:rPr>
      </w:pPr>
    </w:p>
    <w:p w14:paraId="7EC03AAD">
      <w:pPr>
        <w:pStyle w:val="17"/>
        <w:rPr>
          <w:rFonts w:cs="宋体"/>
          <w:color w:val="auto"/>
          <w:highlight w:val="none"/>
        </w:rPr>
      </w:pPr>
    </w:p>
    <w:p w14:paraId="28675242">
      <w:pPr>
        <w:pStyle w:val="17"/>
        <w:rPr>
          <w:rFonts w:cs="宋体"/>
          <w:color w:val="auto"/>
          <w:highlight w:val="none"/>
        </w:rPr>
      </w:pPr>
    </w:p>
    <w:p w14:paraId="2B03E22F">
      <w:pPr>
        <w:pStyle w:val="15"/>
        <w:rPr>
          <w:color w:val="auto"/>
          <w:highlight w:val="none"/>
        </w:rPr>
      </w:pPr>
    </w:p>
    <w:p w14:paraId="69466693">
      <w:pPr>
        <w:pStyle w:val="16"/>
        <w:rPr>
          <w:color w:val="auto"/>
          <w:highlight w:val="none"/>
        </w:rPr>
      </w:pPr>
    </w:p>
    <w:p w14:paraId="01752449">
      <w:pPr>
        <w:pStyle w:val="49"/>
        <w:ind w:firstLine="210"/>
        <w:rPr>
          <w:rFonts w:cs="宋体"/>
          <w:color w:val="auto"/>
          <w:highlight w:val="none"/>
          <w:lang w:val="en-US"/>
        </w:rPr>
      </w:pPr>
    </w:p>
    <w:p w14:paraId="4B503F37">
      <w:pPr>
        <w:jc w:val="center"/>
        <w:rPr>
          <w:rFonts w:ascii="宋体" w:hAnsi="宋体" w:cs="宋体"/>
          <w:b/>
          <w:color w:val="auto"/>
          <w:highlight w:val="none"/>
        </w:rPr>
      </w:pPr>
      <w:r>
        <w:rPr>
          <w:rFonts w:hint="eastAsia" w:ascii="宋体" w:hAnsi="宋体" w:cs="宋体"/>
          <w:b/>
          <w:color w:val="auto"/>
          <w:kern w:val="0"/>
          <w:sz w:val="72"/>
          <w:szCs w:val="72"/>
          <w:highlight w:val="none"/>
        </w:rPr>
        <w:t>公开招标文件</w:t>
      </w:r>
    </w:p>
    <w:p w14:paraId="47771D14">
      <w:pPr>
        <w:rPr>
          <w:rFonts w:ascii="宋体" w:hAnsi="宋体" w:cs="宋体"/>
          <w:color w:val="auto"/>
          <w:highlight w:val="none"/>
        </w:rPr>
      </w:pPr>
    </w:p>
    <w:p w14:paraId="5174D367">
      <w:pPr>
        <w:pStyle w:val="49"/>
        <w:ind w:firstLine="210"/>
        <w:rPr>
          <w:rFonts w:cs="宋体"/>
          <w:color w:val="auto"/>
          <w:highlight w:val="none"/>
        </w:rPr>
      </w:pPr>
    </w:p>
    <w:p w14:paraId="761F0F9C">
      <w:pPr>
        <w:pStyle w:val="49"/>
        <w:ind w:firstLine="321"/>
        <w:rPr>
          <w:rFonts w:cs="宋体"/>
          <w:b/>
          <w:color w:val="auto"/>
          <w:kern w:val="0"/>
          <w:sz w:val="32"/>
          <w:szCs w:val="32"/>
          <w:highlight w:val="none"/>
        </w:rPr>
      </w:pPr>
    </w:p>
    <w:p w14:paraId="694BE7B0">
      <w:pPr>
        <w:pStyle w:val="49"/>
        <w:ind w:firstLine="321"/>
        <w:rPr>
          <w:rFonts w:cs="宋体"/>
          <w:b/>
          <w:color w:val="auto"/>
          <w:kern w:val="0"/>
          <w:sz w:val="32"/>
          <w:szCs w:val="32"/>
          <w:highlight w:val="none"/>
        </w:rPr>
      </w:pPr>
    </w:p>
    <w:p w14:paraId="28B1BEEB">
      <w:pPr>
        <w:rPr>
          <w:rFonts w:cs="宋体"/>
          <w:b/>
          <w:color w:val="auto"/>
          <w:kern w:val="0"/>
          <w:sz w:val="32"/>
          <w:szCs w:val="32"/>
          <w:highlight w:val="none"/>
        </w:rPr>
      </w:pPr>
    </w:p>
    <w:p w14:paraId="42E38C56">
      <w:pPr>
        <w:pStyle w:val="49"/>
        <w:ind w:firstLine="210"/>
        <w:rPr>
          <w:color w:val="auto"/>
          <w:highlight w:val="none"/>
        </w:rPr>
      </w:pPr>
    </w:p>
    <w:p w14:paraId="49FE4D97">
      <w:pPr>
        <w:rPr>
          <w:color w:val="auto"/>
          <w:highlight w:val="none"/>
        </w:rPr>
      </w:pPr>
    </w:p>
    <w:p w14:paraId="3C55D306">
      <w:pPr>
        <w:spacing w:line="600" w:lineRule="auto"/>
        <w:ind w:firstLine="643" w:firstLineChars="200"/>
        <w:rPr>
          <w:rFonts w:hint="eastAsia" w:ascii="宋体" w:hAnsi="宋体" w:eastAsia="宋体" w:cs="宋体"/>
          <w:b/>
          <w:color w:val="auto"/>
          <w:kern w:val="0"/>
          <w:sz w:val="32"/>
          <w:szCs w:val="32"/>
          <w:highlight w:val="none"/>
          <w:lang w:eastAsia="zh-CN"/>
        </w:rPr>
      </w:pPr>
      <w:r>
        <w:rPr>
          <w:rFonts w:hint="eastAsia" w:ascii="宋体" w:hAnsi="宋体" w:cs="宋体"/>
          <w:b/>
          <w:color w:val="auto"/>
          <w:kern w:val="0"/>
          <w:sz w:val="32"/>
          <w:szCs w:val="32"/>
          <w:highlight w:val="none"/>
        </w:rPr>
        <w:t>项目名称：</w:t>
      </w:r>
      <w:r>
        <w:rPr>
          <w:rFonts w:hint="eastAsia" w:ascii="宋体" w:hAnsi="宋体" w:cs="宋体"/>
          <w:b/>
          <w:color w:val="auto"/>
          <w:w w:val="93"/>
          <w:kern w:val="0"/>
          <w:sz w:val="32"/>
          <w:szCs w:val="32"/>
          <w:highlight w:val="none"/>
          <w:lang w:eastAsia="zh-CN"/>
        </w:rPr>
        <w:t>东阳市红会医院5G查房采购项目</w:t>
      </w:r>
    </w:p>
    <w:p w14:paraId="5C5FCB70">
      <w:pPr>
        <w:spacing w:line="600" w:lineRule="auto"/>
        <w:ind w:left="2249" w:leftChars="306" w:hanging="1606" w:hangingChars="500"/>
        <w:rPr>
          <w:rFonts w:hint="eastAsia" w:ascii="宋体" w:hAnsi="宋体" w:eastAsia="宋体" w:cs="宋体"/>
          <w:b/>
          <w:color w:val="auto"/>
          <w:kern w:val="0"/>
          <w:sz w:val="32"/>
          <w:szCs w:val="32"/>
          <w:highlight w:val="none"/>
          <w:lang w:eastAsia="zh-CN"/>
        </w:rPr>
      </w:pPr>
      <w:r>
        <w:rPr>
          <w:rFonts w:hint="eastAsia" w:ascii="宋体" w:hAnsi="宋体" w:cs="宋体"/>
          <w:b/>
          <w:color w:val="auto"/>
          <w:kern w:val="0"/>
          <w:sz w:val="32"/>
          <w:szCs w:val="32"/>
          <w:highlight w:val="none"/>
        </w:rPr>
        <w:t>项目编号：</w:t>
      </w:r>
      <w:r>
        <w:rPr>
          <w:rFonts w:hint="eastAsia" w:ascii="宋体" w:hAnsi="宋体" w:cs="宋体"/>
          <w:b/>
          <w:color w:val="auto"/>
          <w:kern w:val="0"/>
          <w:sz w:val="32"/>
          <w:szCs w:val="32"/>
          <w:highlight w:val="none"/>
          <w:lang w:eastAsia="zh-CN"/>
        </w:rPr>
        <w:t>XSZFCGDZ2025-110改</w:t>
      </w:r>
    </w:p>
    <w:p w14:paraId="5F50EF66">
      <w:pPr>
        <w:spacing w:line="600" w:lineRule="auto"/>
        <w:ind w:left="2249" w:leftChars="306" w:hanging="1606" w:hangingChars="5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采购单位：</w:t>
      </w:r>
      <w:r>
        <w:rPr>
          <w:rFonts w:hint="eastAsia" w:ascii="宋体" w:hAnsi="宋体" w:cs="宋体"/>
          <w:b/>
          <w:color w:val="auto"/>
          <w:kern w:val="0"/>
          <w:sz w:val="32"/>
          <w:szCs w:val="32"/>
          <w:highlight w:val="none"/>
          <w:lang w:eastAsia="zh-CN"/>
        </w:rPr>
        <w:t>东阳市红会医院</w:t>
      </w:r>
      <w:r>
        <w:rPr>
          <w:rFonts w:ascii="宋体" w:hAnsi="宋体" w:cs="宋体"/>
          <w:b/>
          <w:color w:val="auto"/>
          <w:kern w:val="0"/>
          <w:sz w:val="32"/>
          <w:szCs w:val="32"/>
          <w:highlight w:val="none"/>
        </w:rPr>
        <w:t xml:space="preserve"> </w:t>
      </w:r>
    </w:p>
    <w:p w14:paraId="005FB3F6">
      <w:pPr>
        <w:spacing w:line="600" w:lineRule="auto"/>
        <w:ind w:left="2249" w:leftChars="306" w:hanging="1606" w:hangingChars="500"/>
        <w:rPr>
          <w:rFonts w:ascii="宋体" w:hAnsi="宋体" w:cs="宋体"/>
          <w:b/>
          <w:color w:val="auto"/>
          <w:sz w:val="32"/>
          <w:szCs w:val="32"/>
          <w:highlight w:val="none"/>
        </w:rPr>
      </w:pPr>
      <w:r>
        <w:rPr>
          <w:rFonts w:hint="eastAsia" w:ascii="宋体" w:hAnsi="宋体" w:cs="宋体"/>
          <w:b/>
          <w:color w:val="auto"/>
          <w:kern w:val="0"/>
          <w:sz w:val="32"/>
          <w:szCs w:val="32"/>
          <w:highlight w:val="none"/>
        </w:rPr>
        <w:t>招标机构：东阳市鑫盛工程咨询有限公司</w:t>
      </w:r>
    </w:p>
    <w:p w14:paraId="5C15F5B9">
      <w:pPr>
        <w:pStyle w:val="23"/>
        <w:spacing w:line="288" w:lineRule="auto"/>
        <w:jc w:val="center"/>
        <w:rPr>
          <w:rFonts w:ascii="宋体" w:hAnsi="宋体" w:cs="宋体"/>
          <w:b/>
          <w:color w:val="auto"/>
          <w:sz w:val="32"/>
          <w:szCs w:val="32"/>
          <w:highlight w:val="none"/>
        </w:rPr>
      </w:pPr>
    </w:p>
    <w:p w14:paraId="1917C72E">
      <w:pPr>
        <w:rPr>
          <w:color w:val="auto"/>
          <w:highlight w:val="none"/>
        </w:rPr>
      </w:pPr>
    </w:p>
    <w:p w14:paraId="1C5801E0">
      <w:pPr>
        <w:rPr>
          <w:color w:val="auto"/>
          <w:highlight w:val="none"/>
        </w:rPr>
      </w:pPr>
    </w:p>
    <w:p w14:paraId="2AB31594">
      <w:pPr>
        <w:pStyle w:val="23"/>
        <w:spacing w:line="288"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202</w:t>
      </w:r>
      <w:r>
        <w:rPr>
          <w:rFonts w:hint="eastAsia" w:ascii="宋体" w:hAnsi="宋体" w:cs="宋体"/>
          <w:b/>
          <w:color w:val="auto"/>
          <w:sz w:val="32"/>
          <w:szCs w:val="32"/>
          <w:highlight w:val="none"/>
          <w:lang w:val="en-US" w:eastAsia="zh-CN"/>
        </w:rPr>
        <w:t>5</w:t>
      </w:r>
      <w:r>
        <w:rPr>
          <w:rFonts w:hint="eastAsia" w:ascii="宋体" w:hAnsi="宋体" w:cs="宋体"/>
          <w:b/>
          <w:color w:val="auto"/>
          <w:sz w:val="32"/>
          <w:szCs w:val="32"/>
          <w:highlight w:val="none"/>
        </w:rPr>
        <w:t>年</w:t>
      </w:r>
      <w:r>
        <w:rPr>
          <w:rFonts w:hint="eastAsia" w:ascii="宋体" w:hAnsi="宋体" w:cs="宋体"/>
          <w:b/>
          <w:color w:val="auto"/>
          <w:sz w:val="32"/>
          <w:szCs w:val="32"/>
          <w:highlight w:val="none"/>
          <w:lang w:val="en-US" w:eastAsia="zh-CN"/>
        </w:rPr>
        <w:t>4</w:t>
      </w:r>
      <w:r>
        <w:rPr>
          <w:rFonts w:hint="eastAsia" w:ascii="宋体" w:hAnsi="宋体" w:cs="宋体"/>
          <w:b/>
          <w:color w:val="auto"/>
          <w:sz w:val="32"/>
          <w:szCs w:val="32"/>
          <w:highlight w:val="none"/>
        </w:rPr>
        <w:t>月</w:t>
      </w:r>
    </w:p>
    <w:p w14:paraId="41626220">
      <w:pPr>
        <w:pStyle w:val="23"/>
        <w:pageBreakBefore/>
        <w:spacing w:line="276" w:lineRule="auto"/>
        <w:jc w:val="center"/>
        <w:rPr>
          <w:rFonts w:ascii="宋体" w:hAnsi="宋体" w:cs="宋体"/>
          <w:b/>
          <w:color w:val="auto"/>
          <w:szCs w:val="24"/>
          <w:highlight w:val="none"/>
        </w:rPr>
      </w:pPr>
      <w:r>
        <w:rPr>
          <w:rFonts w:hint="eastAsia" w:ascii="宋体" w:hAnsi="宋体" w:cs="宋体"/>
          <w:b/>
          <w:color w:val="auto"/>
          <w:szCs w:val="24"/>
          <w:highlight w:val="none"/>
        </w:rPr>
        <w:t>目    录</w:t>
      </w:r>
    </w:p>
    <w:p w14:paraId="713F1BD5">
      <w:pPr>
        <w:pStyle w:val="31"/>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TOC \o "1-2" \h \z \u </w:instrText>
      </w:r>
      <w:r>
        <w:rPr>
          <w:rFonts w:hint="eastAsia" w:ascii="宋体" w:hAnsi="宋体" w:cs="宋体"/>
          <w:color w:val="auto"/>
          <w:sz w:val="24"/>
          <w:highlight w:val="none"/>
        </w:rPr>
        <w:fldChar w:fldCharType="separate"/>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_Toc2043 </w:instrText>
      </w:r>
      <w:r>
        <w:rPr>
          <w:rFonts w:hint="eastAsia" w:ascii="宋体" w:hAnsi="宋体" w:cs="宋体"/>
          <w:color w:val="auto"/>
          <w:highlight w:val="none"/>
        </w:rPr>
        <w:fldChar w:fldCharType="separate"/>
      </w:r>
      <w:r>
        <w:rPr>
          <w:rFonts w:hint="eastAsia" w:ascii="宋体" w:hAnsi="宋体" w:cs="宋体"/>
          <w:color w:val="auto"/>
          <w:highlight w:val="none"/>
        </w:rPr>
        <w:t>第一章  公开招标采购公告</w:t>
      </w:r>
      <w:r>
        <w:rPr>
          <w:color w:val="auto"/>
          <w:highlight w:val="none"/>
        </w:rPr>
        <w:tab/>
      </w:r>
      <w:r>
        <w:rPr>
          <w:color w:val="auto"/>
          <w:highlight w:val="none"/>
        </w:rPr>
        <w:fldChar w:fldCharType="begin"/>
      </w:r>
      <w:r>
        <w:rPr>
          <w:color w:val="auto"/>
          <w:highlight w:val="none"/>
        </w:rPr>
        <w:instrText xml:space="preserve"> PAGEREF _Toc2043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cs="宋体"/>
          <w:color w:val="auto"/>
          <w:highlight w:val="none"/>
        </w:rPr>
        <w:fldChar w:fldCharType="end"/>
      </w:r>
    </w:p>
    <w:p w14:paraId="52074E6E">
      <w:pPr>
        <w:pStyle w:val="31"/>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_Toc17550 </w:instrText>
      </w:r>
      <w:r>
        <w:rPr>
          <w:rFonts w:hint="eastAsia" w:ascii="宋体" w:hAnsi="宋体" w:cs="宋体"/>
          <w:color w:val="auto"/>
          <w:highlight w:val="none"/>
        </w:rPr>
        <w:fldChar w:fldCharType="separate"/>
      </w:r>
      <w:r>
        <w:rPr>
          <w:rFonts w:hint="eastAsia" w:ascii="宋体" w:hAnsi="宋体" w:cs="宋体"/>
          <w:color w:val="auto"/>
          <w:szCs w:val="32"/>
          <w:highlight w:val="none"/>
        </w:rPr>
        <w:t>第二章  招标需求</w:t>
      </w:r>
      <w:r>
        <w:rPr>
          <w:color w:val="auto"/>
          <w:highlight w:val="none"/>
        </w:rPr>
        <w:tab/>
      </w:r>
      <w:r>
        <w:rPr>
          <w:color w:val="auto"/>
          <w:highlight w:val="none"/>
        </w:rPr>
        <w:fldChar w:fldCharType="begin"/>
      </w:r>
      <w:r>
        <w:rPr>
          <w:color w:val="auto"/>
          <w:highlight w:val="none"/>
        </w:rPr>
        <w:instrText xml:space="preserve"> PAGEREF _Toc17550 \h </w:instrText>
      </w:r>
      <w:r>
        <w:rPr>
          <w:color w:val="auto"/>
          <w:highlight w:val="none"/>
        </w:rPr>
        <w:fldChar w:fldCharType="separate"/>
      </w:r>
      <w:r>
        <w:rPr>
          <w:color w:val="auto"/>
          <w:highlight w:val="none"/>
        </w:rPr>
        <w:t>8</w:t>
      </w:r>
      <w:r>
        <w:rPr>
          <w:color w:val="auto"/>
          <w:highlight w:val="none"/>
        </w:rPr>
        <w:fldChar w:fldCharType="end"/>
      </w:r>
      <w:r>
        <w:rPr>
          <w:rFonts w:hint="eastAsia" w:ascii="宋体" w:hAnsi="宋体" w:cs="宋体"/>
          <w:color w:val="auto"/>
          <w:highlight w:val="none"/>
        </w:rPr>
        <w:fldChar w:fldCharType="end"/>
      </w:r>
    </w:p>
    <w:p w14:paraId="4D0E2100">
      <w:pPr>
        <w:pStyle w:val="31"/>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_Toc3196 </w:instrText>
      </w:r>
      <w:r>
        <w:rPr>
          <w:rFonts w:hint="eastAsia" w:ascii="宋体" w:hAnsi="宋体" w:cs="宋体"/>
          <w:color w:val="auto"/>
          <w:highlight w:val="none"/>
        </w:rPr>
        <w:fldChar w:fldCharType="separate"/>
      </w:r>
      <w:r>
        <w:rPr>
          <w:rFonts w:hint="eastAsia" w:ascii="宋体" w:hAnsi="宋体" w:cs="宋体"/>
          <w:color w:val="auto"/>
          <w:szCs w:val="24"/>
          <w:highlight w:val="none"/>
        </w:rPr>
        <w:t>第三章   投标人须知</w:t>
      </w:r>
      <w:r>
        <w:rPr>
          <w:color w:val="auto"/>
          <w:highlight w:val="none"/>
        </w:rPr>
        <w:tab/>
      </w:r>
      <w:r>
        <w:rPr>
          <w:color w:val="auto"/>
          <w:highlight w:val="none"/>
        </w:rPr>
        <w:fldChar w:fldCharType="begin"/>
      </w:r>
      <w:r>
        <w:rPr>
          <w:color w:val="auto"/>
          <w:highlight w:val="none"/>
        </w:rPr>
        <w:instrText xml:space="preserve"> PAGEREF _Toc3196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cs="宋体"/>
          <w:color w:val="auto"/>
          <w:highlight w:val="none"/>
        </w:rPr>
        <w:fldChar w:fldCharType="end"/>
      </w:r>
    </w:p>
    <w:p w14:paraId="03FAFE3D">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_Toc25457 </w:instrText>
      </w:r>
      <w:r>
        <w:rPr>
          <w:rFonts w:hint="eastAsia" w:ascii="宋体" w:hAnsi="宋体" w:cs="宋体"/>
          <w:color w:val="auto"/>
          <w:highlight w:val="none"/>
        </w:rPr>
        <w:fldChar w:fldCharType="separate"/>
      </w:r>
      <w:r>
        <w:rPr>
          <w:rFonts w:hint="eastAsia" w:ascii="宋体" w:hAnsi="宋体" w:cs="宋体"/>
          <w:color w:val="auto"/>
          <w:szCs w:val="24"/>
          <w:highlight w:val="none"/>
        </w:rPr>
        <w:t>前附表</w:t>
      </w:r>
      <w:r>
        <w:rPr>
          <w:color w:val="auto"/>
          <w:highlight w:val="none"/>
        </w:rPr>
        <w:tab/>
      </w:r>
      <w:r>
        <w:rPr>
          <w:color w:val="auto"/>
          <w:highlight w:val="none"/>
        </w:rPr>
        <w:fldChar w:fldCharType="begin"/>
      </w:r>
      <w:r>
        <w:rPr>
          <w:color w:val="auto"/>
          <w:highlight w:val="none"/>
        </w:rPr>
        <w:instrText xml:space="preserve"> PAGEREF _Toc25457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cs="宋体"/>
          <w:color w:val="auto"/>
          <w:highlight w:val="none"/>
        </w:rPr>
        <w:fldChar w:fldCharType="end"/>
      </w:r>
    </w:p>
    <w:p w14:paraId="19497AB9">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_Toc6983 </w:instrText>
      </w:r>
      <w:r>
        <w:rPr>
          <w:rFonts w:hint="eastAsia" w:ascii="宋体" w:hAnsi="宋体" w:cs="宋体"/>
          <w:color w:val="auto"/>
          <w:highlight w:val="none"/>
        </w:rPr>
        <w:fldChar w:fldCharType="separate"/>
      </w:r>
      <w:r>
        <w:rPr>
          <w:rFonts w:hint="default" w:ascii="宋体" w:hAnsi="宋体" w:cs="宋体"/>
          <w:color w:val="auto"/>
          <w:szCs w:val="24"/>
          <w:highlight w:val="none"/>
        </w:rPr>
        <w:t xml:space="preserve">一、 </w:t>
      </w:r>
      <w:r>
        <w:rPr>
          <w:rFonts w:hint="eastAsia" w:ascii="宋体" w:hAnsi="宋体" w:cs="宋体"/>
          <w:color w:val="auto"/>
          <w:szCs w:val="24"/>
          <w:highlight w:val="none"/>
        </w:rPr>
        <w:t>总则</w:t>
      </w:r>
      <w:r>
        <w:rPr>
          <w:color w:val="auto"/>
          <w:highlight w:val="none"/>
        </w:rPr>
        <w:tab/>
      </w:r>
      <w:r>
        <w:rPr>
          <w:color w:val="auto"/>
          <w:highlight w:val="none"/>
        </w:rPr>
        <w:fldChar w:fldCharType="begin"/>
      </w:r>
      <w:r>
        <w:rPr>
          <w:color w:val="auto"/>
          <w:highlight w:val="none"/>
        </w:rPr>
        <w:instrText xml:space="preserve"> PAGEREF _Toc6983 \h </w:instrText>
      </w:r>
      <w:r>
        <w:rPr>
          <w:color w:val="auto"/>
          <w:highlight w:val="none"/>
        </w:rPr>
        <w:fldChar w:fldCharType="separate"/>
      </w:r>
      <w:r>
        <w:rPr>
          <w:color w:val="auto"/>
          <w:highlight w:val="none"/>
        </w:rPr>
        <w:t>20</w:t>
      </w:r>
      <w:r>
        <w:rPr>
          <w:color w:val="auto"/>
          <w:highlight w:val="none"/>
        </w:rPr>
        <w:fldChar w:fldCharType="end"/>
      </w:r>
      <w:r>
        <w:rPr>
          <w:rFonts w:hint="eastAsia" w:ascii="宋体" w:hAnsi="宋体" w:cs="宋体"/>
          <w:color w:val="auto"/>
          <w:highlight w:val="none"/>
        </w:rPr>
        <w:fldChar w:fldCharType="end"/>
      </w:r>
    </w:p>
    <w:p w14:paraId="2919CD93">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_Toc8910 </w:instrText>
      </w:r>
      <w:r>
        <w:rPr>
          <w:rFonts w:hint="eastAsia" w:ascii="宋体" w:hAnsi="宋体" w:cs="宋体"/>
          <w:color w:val="auto"/>
          <w:highlight w:val="none"/>
        </w:rPr>
        <w:fldChar w:fldCharType="separate"/>
      </w:r>
      <w:r>
        <w:rPr>
          <w:rFonts w:hint="eastAsia" w:ascii="宋体" w:hAnsi="宋体" w:eastAsia="宋体" w:cs="宋体"/>
          <w:bCs/>
          <w:color w:val="auto"/>
          <w:szCs w:val="24"/>
          <w:highlight w:val="none"/>
        </w:rPr>
        <w:t>二、招标文件</w:t>
      </w:r>
      <w:r>
        <w:rPr>
          <w:color w:val="auto"/>
          <w:highlight w:val="none"/>
        </w:rPr>
        <w:tab/>
      </w:r>
      <w:r>
        <w:rPr>
          <w:color w:val="auto"/>
          <w:highlight w:val="none"/>
        </w:rPr>
        <w:fldChar w:fldCharType="begin"/>
      </w:r>
      <w:r>
        <w:rPr>
          <w:color w:val="auto"/>
          <w:highlight w:val="none"/>
        </w:rPr>
        <w:instrText xml:space="preserve"> PAGEREF _Toc8910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cs="宋体"/>
          <w:color w:val="auto"/>
          <w:highlight w:val="none"/>
        </w:rPr>
        <w:fldChar w:fldCharType="end"/>
      </w:r>
    </w:p>
    <w:p w14:paraId="557F1BD1">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_Toc3981 </w:instrText>
      </w:r>
      <w:r>
        <w:rPr>
          <w:rFonts w:hint="eastAsia" w:ascii="宋体" w:hAnsi="宋体" w:cs="宋体"/>
          <w:color w:val="auto"/>
          <w:highlight w:val="none"/>
        </w:rPr>
        <w:fldChar w:fldCharType="separate"/>
      </w:r>
      <w:r>
        <w:rPr>
          <w:rFonts w:hint="eastAsia" w:ascii="宋体" w:hAnsi="宋体" w:eastAsia="宋体" w:cs="宋体"/>
          <w:bCs/>
          <w:color w:val="auto"/>
          <w:szCs w:val="24"/>
          <w:highlight w:val="none"/>
        </w:rPr>
        <w:t>三、投标文件的编制</w:t>
      </w:r>
      <w:r>
        <w:rPr>
          <w:color w:val="auto"/>
          <w:highlight w:val="none"/>
        </w:rPr>
        <w:tab/>
      </w:r>
      <w:r>
        <w:rPr>
          <w:color w:val="auto"/>
          <w:highlight w:val="none"/>
        </w:rPr>
        <w:fldChar w:fldCharType="begin"/>
      </w:r>
      <w:r>
        <w:rPr>
          <w:color w:val="auto"/>
          <w:highlight w:val="none"/>
        </w:rPr>
        <w:instrText xml:space="preserve"> PAGEREF _Toc3981 \h </w:instrText>
      </w:r>
      <w:r>
        <w:rPr>
          <w:color w:val="auto"/>
          <w:highlight w:val="none"/>
        </w:rPr>
        <w:fldChar w:fldCharType="separate"/>
      </w:r>
      <w:r>
        <w:rPr>
          <w:color w:val="auto"/>
          <w:highlight w:val="none"/>
        </w:rPr>
        <w:t>26</w:t>
      </w:r>
      <w:r>
        <w:rPr>
          <w:color w:val="auto"/>
          <w:highlight w:val="none"/>
        </w:rPr>
        <w:fldChar w:fldCharType="end"/>
      </w:r>
      <w:r>
        <w:rPr>
          <w:rFonts w:hint="eastAsia" w:ascii="宋体" w:hAnsi="宋体" w:cs="宋体"/>
          <w:color w:val="auto"/>
          <w:highlight w:val="none"/>
        </w:rPr>
        <w:fldChar w:fldCharType="end"/>
      </w:r>
    </w:p>
    <w:p w14:paraId="30899EEB">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_Toc19973 </w:instrText>
      </w:r>
      <w:r>
        <w:rPr>
          <w:rFonts w:hint="eastAsia" w:ascii="宋体" w:hAnsi="宋体" w:cs="宋体"/>
          <w:color w:val="auto"/>
          <w:highlight w:val="none"/>
        </w:rPr>
        <w:fldChar w:fldCharType="separate"/>
      </w:r>
      <w:r>
        <w:rPr>
          <w:rFonts w:hint="eastAsia" w:ascii="宋体" w:hAnsi="宋体" w:eastAsia="宋体" w:cs="宋体"/>
          <w:bCs/>
          <w:color w:val="auto"/>
          <w:szCs w:val="24"/>
          <w:highlight w:val="none"/>
        </w:rPr>
        <w:t>四、开标</w:t>
      </w:r>
      <w:r>
        <w:rPr>
          <w:color w:val="auto"/>
          <w:highlight w:val="none"/>
        </w:rPr>
        <w:tab/>
      </w:r>
      <w:r>
        <w:rPr>
          <w:color w:val="auto"/>
          <w:highlight w:val="none"/>
        </w:rPr>
        <w:fldChar w:fldCharType="begin"/>
      </w:r>
      <w:r>
        <w:rPr>
          <w:color w:val="auto"/>
          <w:highlight w:val="none"/>
        </w:rPr>
        <w:instrText xml:space="preserve"> PAGEREF _Toc19973 \h </w:instrText>
      </w:r>
      <w:r>
        <w:rPr>
          <w:color w:val="auto"/>
          <w:highlight w:val="none"/>
        </w:rPr>
        <w:fldChar w:fldCharType="separate"/>
      </w:r>
      <w:r>
        <w:rPr>
          <w:color w:val="auto"/>
          <w:highlight w:val="none"/>
        </w:rPr>
        <w:t>32</w:t>
      </w:r>
      <w:r>
        <w:rPr>
          <w:color w:val="auto"/>
          <w:highlight w:val="none"/>
        </w:rPr>
        <w:fldChar w:fldCharType="end"/>
      </w:r>
      <w:r>
        <w:rPr>
          <w:rFonts w:hint="eastAsia" w:ascii="宋体" w:hAnsi="宋体" w:cs="宋体"/>
          <w:color w:val="auto"/>
          <w:highlight w:val="none"/>
        </w:rPr>
        <w:fldChar w:fldCharType="end"/>
      </w:r>
    </w:p>
    <w:p w14:paraId="5134654E">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_Toc6257 </w:instrText>
      </w:r>
      <w:r>
        <w:rPr>
          <w:rFonts w:hint="eastAsia" w:ascii="宋体" w:hAnsi="宋体" w:cs="宋体"/>
          <w:color w:val="auto"/>
          <w:highlight w:val="none"/>
        </w:rPr>
        <w:fldChar w:fldCharType="separate"/>
      </w:r>
      <w:r>
        <w:rPr>
          <w:rFonts w:hint="eastAsia" w:ascii="宋体" w:hAnsi="宋体" w:eastAsia="宋体" w:cs="宋体"/>
          <w:bCs/>
          <w:color w:val="auto"/>
          <w:szCs w:val="24"/>
          <w:highlight w:val="none"/>
        </w:rPr>
        <w:t>五、评标</w:t>
      </w:r>
      <w:r>
        <w:rPr>
          <w:color w:val="auto"/>
          <w:highlight w:val="none"/>
        </w:rPr>
        <w:tab/>
      </w:r>
      <w:r>
        <w:rPr>
          <w:color w:val="auto"/>
          <w:highlight w:val="none"/>
        </w:rPr>
        <w:fldChar w:fldCharType="begin"/>
      </w:r>
      <w:r>
        <w:rPr>
          <w:color w:val="auto"/>
          <w:highlight w:val="none"/>
        </w:rPr>
        <w:instrText xml:space="preserve"> PAGEREF _Toc6257 \h </w:instrText>
      </w:r>
      <w:r>
        <w:rPr>
          <w:color w:val="auto"/>
          <w:highlight w:val="none"/>
        </w:rPr>
        <w:fldChar w:fldCharType="separate"/>
      </w:r>
      <w:r>
        <w:rPr>
          <w:color w:val="auto"/>
          <w:highlight w:val="none"/>
        </w:rPr>
        <w:t>33</w:t>
      </w:r>
      <w:r>
        <w:rPr>
          <w:color w:val="auto"/>
          <w:highlight w:val="none"/>
        </w:rPr>
        <w:fldChar w:fldCharType="end"/>
      </w:r>
      <w:r>
        <w:rPr>
          <w:rFonts w:hint="eastAsia" w:ascii="宋体" w:hAnsi="宋体" w:cs="宋体"/>
          <w:color w:val="auto"/>
          <w:highlight w:val="none"/>
        </w:rPr>
        <w:fldChar w:fldCharType="end"/>
      </w:r>
    </w:p>
    <w:p w14:paraId="5DE430FA">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_Toc11236 </w:instrText>
      </w:r>
      <w:r>
        <w:rPr>
          <w:rFonts w:hint="eastAsia" w:ascii="宋体" w:hAnsi="宋体" w:cs="宋体"/>
          <w:color w:val="auto"/>
          <w:highlight w:val="none"/>
        </w:rPr>
        <w:fldChar w:fldCharType="separate"/>
      </w:r>
      <w:r>
        <w:rPr>
          <w:rFonts w:hint="eastAsia" w:ascii="宋体" w:hAnsi="宋体" w:eastAsia="宋体" w:cs="宋体"/>
          <w:bCs/>
          <w:color w:val="auto"/>
          <w:szCs w:val="24"/>
          <w:highlight w:val="none"/>
        </w:rPr>
        <w:t>六、定标</w:t>
      </w:r>
      <w:r>
        <w:rPr>
          <w:color w:val="auto"/>
          <w:highlight w:val="none"/>
        </w:rPr>
        <w:tab/>
      </w:r>
      <w:r>
        <w:rPr>
          <w:color w:val="auto"/>
          <w:highlight w:val="none"/>
        </w:rPr>
        <w:fldChar w:fldCharType="begin"/>
      </w:r>
      <w:r>
        <w:rPr>
          <w:color w:val="auto"/>
          <w:highlight w:val="none"/>
        </w:rPr>
        <w:instrText xml:space="preserve"> PAGEREF _Toc11236 \h </w:instrText>
      </w:r>
      <w:r>
        <w:rPr>
          <w:color w:val="auto"/>
          <w:highlight w:val="none"/>
        </w:rPr>
        <w:fldChar w:fldCharType="separate"/>
      </w:r>
      <w:r>
        <w:rPr>
          <w:color w:val="auto"/>
          <w:highlight w:val="none"/>
        </w:rPr>
        <w:t>37</w:t>
      </w:r>
      <w:r>
        <w:rPr>
          <w:color w:val="auto"/>
          <w:highlight w:val="none"/>
        </w:rPr>
        <w:fldChar w:fldCharType="end"/>
      </w:r>
      <w:r>
        <w:rPr>
          <w:rFonts w:hint="eastAsia" w:ascii="宋体" w:hAnsi="宋体" w:cs="宋体"/>
          <w:color w:val="auto"/>
          <w:highlight w:val="none"/>
        </w:rPr>
        <w:fldChar w:fldCharType="end"/>
      </w:r>
    </w:p>
    <w:p w14:paraId="3DD546CC">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_Toc19672 </w:instrText>
      </w:r>
      <w:r>
        <w:rPr>
          <w:rFonts w:hint="eastAsia" w:ascii="宋体" w:hAnsi="宋体" w:cs="宋体"/>
          <w:color w:val="auto"/>
          <w:highlight w:val="none"/>
        </w:rPr>
        <w:fldChar w:fldCharType="separate"/>
      </w:r>
      <w:r>
        <w:rPr>
          <w:rFonts w:hint="eastAsia" w:ascii="宋体" w:hAnsi="宋体" w:eastAsia="宋体" w:cs="宋体"/>
          <w:bCs/>
          <w:color w:val="auto"/>
          <w:szCs w:val="24"/>
          <w:highlight w:val="none"/>
        </w:rPr>
        <w:t>七、合同授予</w:t>
      </w:r>
      <w:r>
        <w:rPr>
          <w:color w:val="auto"/>
          <w:highlight w:val="none"/>
        </w:rPr>
        <w:tab/>
      </w:r>
      <w:r>
        <w:rPr>
          <w:color w:val="auto"/>
          <w:highlight w:val="none"/>
        </w:rPr>
        <w:fldChar w:fldCharType="begin"/>
      </w:r>
      <w:r>
        <w:rPr>
          <w:color w:val="auto"/>
          <w:highlight w:val="none"/>
        </w:rPr>
        <w:instrText xml:space="preserve"> PAGEREF _Toc19672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cs="宋体"/>
          <w:color w:val="auto"/>
          <w:highlight w:val="none"/>
        </w:rPr>
        <w:fldChar w:fldCharType="end"/>
      </w:r>
    </w:p>
    <w:p w14:paraId="4EB1D4A5">
      <w:pPr>
        <w:pStyle w:val="31"/>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_Toc32195 </w:instrText>
      </w:r>
      <w:r>
        <w:rPr>
          <w:rFonts w:hint="eastAsia" w:ascii="宋体" w:hAnsi="宋体" w:cs="宋体"/>
          <w:color w:val="auto"/>
          <w:highlight w:val="none"/>
        </w:rPr>
        <w:fldChar w:fldCharType="separate"/>
      </w:r>
      <w:r>
        <w:rPr>
          <w:rFonts w:hint="eastAsia" w:ascii="宋体" w:hAnsi="宋体" w:cs="宋体"/>
          <w:color w:val="auto"/>
          <w:szCs w:val="24"/>
          <w:highlight w:val="none"/>
        </w:rPr>
        <w:t>第四章  评标办法及评分标准</w:t>
      </w:r>
      <w:r>
        <w:rPr>
          <w:color w:val="auto"/>
          <w:highlight w:val="none"/>
        </w:rPr>
        <w:tab/>
      </w:r>
      <w:r>
        <w:rPr>
          <w:color w:val="auto"/>
          <w:highlight w:val="none"/>
        </w:rPr>
        <w:fldChar w:fldCharType="begin"/>
      </w:r>
      <w:r>
        <w:rPr>
          <w:color w:val="auto"/>
          <w:highlight w:val="none"/>
        </w:rPr>
        <w:instrText xml:space="preserve"> PAGEREF _Toc32195 \h </w:instrText>
      </w:r>
      <w:r>
        <w:rPr>
          <w:color w:val="auto"/>
          <w:highlight w:val="none"/>
        </w:rPr>
        <w:fldChar w:fldCharType="separate"/>
      </w:r>
      <w:r>
        <w:rPr>
          <w:color w:val="auto"/>
          <w:highlight w:val="none"/>
        </w:rPr>
        <w:t>39</w:t>
      </w:r>
      <w:r>
        <w:rPr>
          <w:color w:val="auto"/>
          <w:highlight w:val="none"/>
        </w:rPr>
        <w:fldChar w:fldCharType="end"/>
      </w:r>
      <w:r>
        <w:rPr>
          <w:rFonts w:hint="eastAsia" w:ascii="宋体" w:hAnsi="宋体" w:cs="宋体"/>
          <w:color w:val="auto"/>
          <w:highlight w:val="none"/>
        </w:rPr>
        <w:fldChar w:fldCharType="end"/>
      </w:r>
    </w:p>
    <w:p w14:paraId="0CD720C4">
      <w:pPr>
        <w:pStyle w:val="31"/>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_Toc32413 </w:instrText>
      </w:r>
      <w:r>
        <w:rPr>
          <w:rFonts w:hint="eastAsia" w:ascii="宋体" w:hAnsi="宋体" w:cs="宋体"/>
          <w:color w:val="auto"/>
          <w:highlight w:val="none"/>
        </w:rPr>
        <w:fldChar w:fldCharType="separate"/>
      </w:r>
      <w:r>
        <w:rPr>
          <w:rFonts w:hint="eastAsia" w:ascii="宋体" w:hAnsi="宋体" w:cs="宋体"/>
          <w:bCs w:val="0"/>
          <w:color w:val="auto"/>
          <w:szCs w:val="32"/>
          <w:highlight w:val="none"/>
        </w:rPr>
        <w:t>第五章 合同主要条款</w:t>
      </w:r>
      <w:r>
        <w:rPr>
          <w:color w:val="auto"/>
          <w:highlight w:val="none"/>
        </w:rPr>
        <w:tab/>
      </w:r>
      <w:r>
        <w:rPr>
          <w:color w:val="auto"/>
          <w:highlight w:val="none"/>
        </w:rPr>
        <w:fldChar w:fldCharType="begin"/>
      </w:r>
      <w:r>
        <w:rPr>
          <w:color w:val="auto"/>
          <w:highlight w:val="none"/>
        </w:rPr>
        <w:instrText xml:space="preserve"> PAGEREF _Toc32413 \h </w:instrText>
      </w:r>
      <w:r>
        <w:rPr>
          <w:color w:val="auto"/>
          <w:highlight w:val="none"/>
        </w:rPr>
        <w:fldChar w:fldCharType="separate"/>
      </w:r>
      <w:r>
        <w:rPr>
          <w:color w:val="auto"/>
          <w:highlight w:val="none"/>
        </w:rPr>
        <w:t>43</w:t>
      </w:r>
      <w:r>
        <w:rPr>
          <w:color w:val="auto"/>
          <w:highlight w:val="none"/>
        </w:rPr>
        <w:fldChar w:fldCharType="end"/>
      </w:r>
      <w:r>
        <w:rPr>
          <w:rFonts w:hint="eastAsia" w:ascii="宋体" w:hAnsi="宋体" w:cs="宋体"/>
          <w:color w:val="auto"/>
          <w:highlight w:val="none"/>
        </w:rPr>
        <w:fldChar w:fldCharType="end"/>
      </w:r>
    </w:p>
    <w:p w14:paraId="482D0C3E">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_Toc5231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东阳市政府采购合同（样本）</w:t>
      </w:r>
      <w:r>
        <w:rPr>
          <w:color w:val="auto"/>
          <w:highlight w:val="none"/>
        </w:rPr>
        <w:tab/>
      </w:r>
      <w:r>
        <w:rPr>
          <w:color w:val="auto"/>
          <w:highlight w:val="none"/>
        </w:rPr>
        <w:fldChar w:fldCharType="begin"/>
      </w:r>
      <w:r>
        <w:rPr>
          <w:color w:val="auto"/>
          <w:highlight w:val="none"/>
        </w:rPr>
        <w:instrText xml:space="preserve"> PAGEREF _Toc5231 \h </w:instrText>
      </w:r>
      <w:r>
        <w:rPr>
          <w:color w:val="auto"/>
          <w:highlight w:val="none"/>
        </w:rPr>
        <w:fldChar w:fldCharType="separate"/>
      </w:r>
      <w:r>
        <w:rPr>
          <w:color w:val="auto"/>
          <w:highlight w:val="none"/>
        </w:rPr>
        <w:t>43</w:t>
      </w:r>
      <w:r>
        <w:rPr>
          <w:color w:val="auto"/>
          <w:highlight w:val="none"/>
        </w:rPr>
        <w:fldChar w:fldCharType="end"/>
      </w:r>
      <w:r>
        <w:rPr>
          <w:rFonts w:hint="eastAsia" w:ascii="宋体" w:hAnsi="宋体" w:cs="宋体"/>
          <w:color w:val="auto"/>
          <w:highlight w:val="none"/>
        </w:rPr>
        <w:fldChar w:fldCharType="end"/>
      </w:r>
    </w:p>
    <w:p w14:paraId="060583DA">
      <w:pPr>
        <w:pStyle w:val="31"/>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_Toc20555 </w:instrText>
      </w:r>
      <w:r>
        <w:rPr>
          <w:rFonts w:hint="eastAsia" w:ascii="宋体" w:hAnsi="宋体" w:cs="宋体"/>
          <w:color w:val="auto"/>
          <w:highlight w:val="none"/>
        </w:rPr>
        <w:fldChar w:fldCharType="separate"/>
      </w:r>
      <w:r>
        <w:rPr>
          <w:rFonts w:hint="eastAsia" w:ascii="宋体" w:hAnsi="宋体" w:cs="宋体"/>
          <w:color w:val="auto"/>
          <w:szCs w:val="24"/>
          <w:highlight w:val="none"/>
        </w:rPr>
        <w:t>第六章　投标文件组成内容及格式</w:t>
      </w:r>
      <w:r>
        <w:rPr>
          <w:color w:val="auto"/>
          <w:highlight w:val="none"/>
        </w:rPr>
        <w:tab/>
      </w:r>
      <w:r>
        <w:rPr>
          <w:color w:val="auto"/>
          <w:highlight w:val="none"/>
        </w:rPr>
        <w:fldChar w:fldCharType="begin"/>
      </w:r>
      <w:r>
        <w:rPr>
          <w:color w:val="auto"/>
          <w:highlight w:val="none"/>
        </w:rPr>
        <w:instrText xml:space="preserve"> PAGEREF _Toc20555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cs="宋体"/>
          <w:color w:val="auto"/>
          <w:highlight w:val="none"/>
        </w:rPr>
        <w:fldChar w:fldCharType="end"/>
      </w:r>
    </w:p>
    <w:p w14:paraId="78C26E82">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_Toc4461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一、投标文件封面格式</w:t>
      </w:r>
      <w:r>
        <w:rPr>
          <w:color w:val="auto"/>
          <w:highlight w:val="none"/>
        </w:rPr>
        <w:tab/>
      </w:r>
      <w:r>
        <w:rPr>
          <w:color w:val="auto"/>
          <w:highlight w:val="none"/>
        </w:rPr>
        <w:fldChar w:fldCharType="begin"/>
      </w:r>
      <w:r>
        <w:rPr>
          <w:color w:val="auto"/>
          <w:highlight w:val="none"/>
        </w:rPr>
        <w:instrText xml:space="preserve"> PAGEREF _Toc4461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cs="宋体"/>
          <w:color w:val="auto"/>
          <w:highlight w:val="none"/>
        </w:rPr>
        <w:fldChar w:fldCharType="end"/>
      </w:r>
    </w:p>
    <w:p w14:paraId="606FA2D9">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_Toc27093 </w:instrText>
      </w:r>
      <w:r>
        <w:rPr>
          <w:rFonts w:hint="eastAsia" w:ascii="宋体" w:hAnsi="宋体" w:cs="宋体"/>
          <w:color w:val="auto"/>
          <w:highlight w:val="none"/>
        </w:rPr>
        <w:fldChar w:fldCharType="separate"/>
      </w:r>
      <w:r>
        <w:rPr>
          <w:rFonts w:hint="eastAsia" w:ascii="宋体" w:hAnsi="宋体" w:eastAsia="宋体" w:cs="宋体"/>
          <w:bCs/>
          <w:color w:val="auto"/>
          <w:szCs w:val="24"/>
          <w:highlight w:val="none"/>
        </w:rPr>
        <w:t>附件一：投标声明书</w:t>
      </w:r>
      <w:r>
        <w:rPr>
          <w:color w:val="auto"/>
          <w:highlight w:val="none"/>
        </w:rPr>
        <w:tab/>
      </w:r>
      <w:r>
        <w:rPr>
          <w:color w:val="auto"/>
          <w:highlight w:val="none"/>
        </w:rPr>
        <w:fldChar w:fldCharType="begin"/>
      </w:r>
      <w:r>
        <w:rPr>
          <w:color w:val="auto"/>
          <w:highlight w:val="none"/>
        </w:rPr>
        <w:instrText xml:space="preserve"> PAGEREF _Toc27093 \h </w:instrText>
      </w:r>
      <w:r>
        <w:rPr>
          <w:color w:val="auto"/>
          <w:highlight w:val="none"/>
        </w:rPr>
        <w:fldChar w:fldCharType="separate"/>
      </w:r>
      <w:r>
        <w:rPr>
          <w:color w:val="auto"/>
          <w:highlight w:val="none"/>
        </w:rPr>
        <w:t>51</w:t>
      </w:r>
      <w:r>
        <w:rPr>
          <w:color w:val="auto"/>
          <w:highlight w:val="none"/>
        </w:rPr>
        <w:fldChar w:fldCharType="end"/>
      </w:r>
      <w:r>
        <w:rPr>
          <w:rFonts w:hint="eastAsia" w:ascii="宋体" w:hAnsi="宋体" w:cs="宋体"/>
          <w:color w:val="auto"/>
          <w:highlight w:val="none"/>
        </w:rPr>
        <w:fldChar w:fldCharType="end"/>
      </w:r>
    </w:p>
    <w:p w14:paraId="3D5D1395">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_Toc24416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附件二：符合参加政府采购活动应当具备的一般条件的承诺函</w:t>
      </w:r>
      <w:r>
        <w:rPr>
          <w:color w:val="auto"/>
          <w:highlight w:val="none"/>
        </w:rPr>
        <w:tab/>
      </w:r>
      <w:r>
        <w:rPr>
          <w:color w:val="auto"/>
          <w:highlight w:val="none"/>
        </w:rPr>
        <w:fldChar w:fldCharType="begin"/>
      </w:r>
      <w:r>
        <w:rPr>
          <w:color w:val="auto"/>
          <w:highlight w:val="none"/>
        </w:rPr>
        <w:instrText xml:space="preserve"> PAGEREF _Toc24416 \h </w:instrText>
      </w:r>
      <w:r>
        <w:rPr>
          <w:color w:val="auto"/>
          <w:highlight w:val="none"/>
        </w:rPr>
        <w:fldChar w:fldCharType="separate"/>
      </w:r>
      <w:r>
        <w:rPr>
          <w:color w:val="auto"/>
          <w:highlight w:val="none"/>
        </w:rPr>
        <w:t>52</w:t>
      </w:r>
      <w:r>
        <w:rPr>
          <w:color w:val="auto"/>
          <w:highlight w:val="none"/>
        </w:rPr>
        <w:fldChar w:fldCharType="end"/>
      </w:r>
      <w:r>
        <w:rPr>
          <w:rFonts w:hint="eastAsia" w:ascii="宋体" w:hAnsi="宋体" w:cs="宋体"/>
          <w:color w:val="auto"/>
          <w:highlight w:val="none"/>
        </w:rPr>
        <w:fldChar w:fldCharType="end"/>
      </w:r>
    </w:p>
    <w:p w14:paraId="2CACF826">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_Toc19429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附件三：政府采购活动现场确认声明书</w:t>
      </w:r>
      <w:r>
        <w:rPr>
          <w:color w:val="auto"/>
          <w:highlight w:val="none"/>
        </w:rPr>
        <w:tab/>
      </w:r>
      <w:r>
        <w:rPr>
          <w:color w:val="auto"/>
          <w:highlight w:val="none"/>
        </w:rPr>
        <w:fldChar w:fldCharType="begin"/>
      </w:r>
      <w:r>
        <w:rPr>
          <w:color w:val="auto"/>
          <w:highlight w:val="none"/>
        </w:rPr>
        <w:instrText xml:space="preserve"> PAGEREF _Toc19429 \h </w:instrText>
      </w:r>
      <w:r>
        <w:rPr>
          <w:color w:val="auto"/>
          <w:highlight w:val="none"/>
        </w:rPr>
        <w:fldChar w:fldCharType="separate"/>
      </w:r>
      <w:r>
        <w:rPr>
          <w:color w:val="auto"/>
          <w:highlight w:val="none"/>
        </w:rPr>
        <w:t>53</w:t>
      </w:r>
      <w:r>
        <w:rPr>
          <w:color w:val="auto"/>
          <w:highlight w:val="none"/>
        </w:rPr>
        <w:fldChar w:fldCharType="end"/>
      </w:r>
      <w:r>
        <w:rPr>
          <w:rFonts w:hint="eastAsia" w:ascii="宋体" w:hAnsi="宋体" w:cs="宋体"/>
          <w:color w:val="auto"/>
          <w:highlight w:val="none"/>
        </w:rPr>
        <w:fldChar w:fldCharType="end"/>
      </w:r>
    </w:p>
    <w:p w14:paraId="0676E693">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_Toc663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w:t>
      </w:r>
      <w:r>
        <w:rPr>
          <w:rFonts w:hint="eastAsia" w:ascii="宋体" w:hAnsi="宋体" w:eastAsia="宋体" w:cs="宋体"/>
          <w:color w:val="auto"/>
          <w:szCs w:val="24"/>
          <w:highlight w:val="none"/>
          <w:lang w:val="en-US" w:eastAsia="zh-CN"/>
        </w:rPr>
        <w:t>四</w:t>
      </w:r>
      <w:r>
        <w:rPr>
          <w:rFonts w:hint="eastAsia" w:ascii="宋体" w:hAnsi="宋体" w:eastAsia="宋体" w:cs="宋体"/>
          <w:color w:val="auto"/>
          <w:szCs w:val="24"/>
          <w:highlight w:val="none"/>
        </w:rPr>
        <w:t>：法定代表人授权委托书</w:t>
      </w:r>
      <w:r>
        <w:rPr>
          <w:color w:val="auto"/>
          <w:highlight w:val="none"/>
        </w:rPr>
        <w:tab/>
      </w:r>
      <w:r>
        <w:rPr>
          <w:color w:val="auto"/>
          <w:highlight w:val="none"/>
        </w:rPr>
        <w:fldChar w:fldCharType="begin"/>
      </w:r>
      <w:r>
        <w:rPr>
          <w:color w:val="auto"/>
          <w:highlight w:val="none"/>
        </w:rPr>
        <w:instrText xml:space="preserve"> PAGEREF _Toc663 \h </w:instrText>
      </w:r>
      <w:r>
        <w:rPr>
          <w:color w:val="auto"/>
          <w:highlight w:val="none"/>
        </w:rPr>
        <w:fldChar w:fldCharType="separate"/>
      </w:r>
      <w:r>
        <w:rPr>
          <w:color w:val="auto"/>
          <w:highlight w:val="none"/>
        </w:rPr>
        <w:t>54</w:t>
      </w:r>
      <w:r>
        <w:rPr>
          <w:color w:val="auto"/>
          <w:highlight w:val="none"/>
        </w:rPr>
        <w:fldChar w:fldCharType="end"/>
      </w:r>
      <w:r>
        <w:rPr>
          <w:rFonts w:hint="eastAsia" w:ascii="宋体" w:hAnsi="宋体" w:cs="宋体"/>
          <w:color w:val="auto"/>
          <w:highlight w:val="none"/>
        </w:rPr>
        <w:fldChar w:fldCharType="end"/>
      </w:r>
    </w:p>
    <w:p w14:paraId="32285E4E">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_Toc32431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w:t>
      </w:r>
      <w:r>
        <w:rPr>
          <w:rFonts w:hint="eastAsia" w:ascii="宋体" w:hAnsi="宋体" w:eastAsia="宋体" w:cs="宋体"/>
          <w:color w:val="auto"/>
          <w:szCs w:val="24"/>
          <w:highlight w:val="none"/>
          <w:lang w:val="en-US" w:eastAsia="zh-CN"/>
        </w:rPr>
        <w:t>五</w:t>
      </w:r>
      <w:r>
        <w:rPr>
          <w:rFonts w:hint="eastAsia" w:ascii="宋体" w:hAnsi="宋体" w:eastAsia="宋体" w:cs="宋体"/>
          <w:color w:val="auto"/>
          <w:szCs w:val="24"/>
          <w:highlight w:val="none"/>
        </w:rPr>
        <w:t>：联合体协议书（联合体投标时提供）</w:t>
      </w:r>
      <w:r>
        <w:rPr>
          <w:color w:val="auto"/>
          <w:highlight w:val="none"/>
        </w:rPr>
        <w:tab/>
      </w:r>
      <w:r>
        <w:rPr>
          <w:color w:val="auto"/>
          <w:highlight w:val="none"/>
        </w:rPr>
        <w:fldChar w:fldCharType="begin"/>
      </w:r>
      <w:r>
        <w:rPr>
          <w:color w:val="auto"/>
          <w:highlight w:val="none"/>
        </w:rPr>
        <w:instrText xml:space="preserve"> PAGEREF _Toc32431 \h </w:instrText>
      </w:r>
      <w:r>
        <w:rPr>
          <w:color w:val="auto"/>
          <w:highlight w:val="none"/>
        </w:rPr>
        <w:fldChar w:fldCharType="separate"/>
      </w:r>
      <w:r>
        <w:rPr>
          <w:color w:val="auto"/>
          <w:highlight w:val="none"/>
        </w:rPr>
        <w:t>55</w:t>
      </w:r>
      <w:r>
        <w:rPr>
          <w:color w:val="auto"/>
          <w:highlight w:val="none"/>
        </w:rPr>
        <w:fldChar w:fldCharType="end"/>
      </w:r>
      <w:r>
        <w:rPr>
          <w:rFonts w:hint="eastAsia" w:ascii="宋体" w:hAnsi="宋体" w:cs="宋体"/>
          <w:color w:val="auto"/>
          <w:highlight w:val="none"/>
        </w:rPr>
        <w:fldChar w:fldCharType="end"/>
      </w:r>
    </w:p>
    <w:p w14:paraId="43E5069C">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_Toc11020 </w:instrText>
      </w:r>
      <w:r>
        <w:rPr>
          <w:rFonts w:hint="eastAsia" w:ascii="宋体" w:hAnsi="宋体" w:cs="宋体"/>
          <w:color w:val="auto"/>
          <w:highlight w:val="none"/>
        </w:rPr>
        <w:fldChar w:fldCharType="separate"/>
      </w:r>
      <w:r>
        <w:rPr>
          <w:rFonts w:hint="eastAsia" w:ascii="宋体" w:hAnsi="宋体"/>
          <w:bCs/>
          <w:color w:val="auto"/>
          <w:szCs w:val="32"/>
          <w:highlight w:val="none"/>
        </w:rPr>
        <w:t>附件</w:t>
      </w:r>
      <w:r>
        <w:rPr>
          <w:rFonts w:hint="eastAsia" w:ascii="宋体" w:hAnsi="宋体"/>
          <w:bCs/>
          <w:color w:val="auto"/>
          <w:szCs w:val="32"/>
          <w:highlight w:val="none"/>
          <w:lang w:val="en-US" w:eastAsia="zh-CN"/>
        </w:rPr>
        <w:t>六</w:t>
      </w:r>
      <w:r>
        <w:rPr>
          <w:rFonts w:hint="eastAsia" w:ascii="宋体" w:hAnsi="宋体"/>
          <w:bCs/>
          <w:color w:val="auto"/>
          <w:szCs w:val="32"/>
          <w:highlight w:val="none"/>
        </w:rPr>
        <w:t>：</w:t>
      </w:r>
      <w:r>
        <w:rPr>
          <w:rFonts w:hint="eastAsia" w:ascii="宋体" w:hAnsi="宋体"/>
          <w:bCs/>
          <w:color w:val="auto"/>
          <w:highlight w:val="none"/>
        </w:rPr>
        <w:t>分包意向协议</w:t>
      </w:r>
      <w:r>
        <w:rPr>
          <w:color w:val="auto"/>
          <w:highlight w:val="none"/>
        </w:rPr>
        <w:tab/>
      </w:r>
      <w:r>
        <w:rPr>
          <w:color w:val="auto"/>
          <w:highlight w:val="none"/>
        </w:rPr>
        <w:fldChar w:fldCharType="begin"/>
      </w:r>
      <w:r>
        <w:rPr>
          <w:color w:val="auto"/>
          <w:highlight w:val="none"/>
        </w:rPr>
        <w:instrText xml:space="preserve"> PAGEREF _Toc11020 \h </w:instrText>
      </w:r>
      <w:r>
        <w:rPr>
          <w:color w:val="auto"/>
          <w:highlight w:val="none"/>
        </w:rPr>
        <w:fldChar w:fldCharType="separate"/>
      </w:r>
      <w:r>
        <w:rPr>
          <w:color w:val="auto"/>
          <w:highlight w:val="none"/>
        </w:rPr>
        <w:t>56</w:t>
      </w:r>
      <w:r>
        <w:rPr>
          <w:color w:val="auto"/>
          <w:highlight w:val="none"/>
        </w:rPr>
        <w:fldChar w:fldCharType="end"/>
      </w:r>
      <w:r>
        <w:rPr>
          <w:rFonts w:hint="eastAsia" w:ascii="宋体" w:hAnsi="宋体" w:cs="宋体"/>
          <w:color w:val="auto"/>
          <w:highlight w:val="none"/>
        </w:rPr>
        <w:fldChar w:fldCharType="end"/>
      </w:r>
    </w:p>
    <w:p w14:paraId="4C804310">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_Toc120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w:t>
      </w:r>
      <w:r>
        <w:rPr>
          <w:rFonts w:hint="eastAsia" w:ascii="宋体" w:hAnsi="宋体" w:eastAsia="宋体" w:cs="宋体"/>
          <w:color w:val="auto"/>
          <w:szCs w:val="24"/>
          <w:highlight w:val="none"/>
          <w:lang w:val="en-US" w:eastAsia="zh-CN"/>
        </w:rPr>
        <w:t>七</w:t>
      </w:r>
      <w:r>
        <w:rPr>
          <w:rFonts w:hint="eastAsia" w:ascii="宋体" w:hAnsi="宋体" w:eastAsia="宋体" w:cs="宋体"/>
          <w:color w:val="auto"/>
          <w:szCs w:val="24"/>
          <w:highlight w:val="none"/>
        </w:rPr>
        <w:t>：投标人资信商务、技术自评得分表</w:t>
      </w:r>
      <w:r>
        <w:rPr>
          <w:color w:val="auto"/>
          <w:highlight w:val="none"/>
        </w:rPr>
        <w:tab/>
      </w:r>
      <w:r>
        <w:rPr>
          <w:color w:val="auto"/>
          <w:highlight w:val="none"/>
        </w:rPr>
        <w:fldChar w:fldCharType="begin"/>
      </w:r>
      <w:r>
        <w:rPr>
          <w:color w:val="auto"/>
          <w:highlight w:val="none"/>
        </w:rPr>
        <w:instrText xml:space="preserve"> PAGEREF _Toc120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cs="宋体"/>
          <w:color w:val="auto"/>
          <w:highlight w:val="none"/>
        </w:rPr>
        <w:fldChar w:fldCharType="end"/>
      </w:r>
    </w:p>
    <w:p w14:paraId="284CA37C">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_Toc31580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w:t>
      </w:r>
      <w:r>
        <w:rPr>
          <w:rFonts w:hint="eastAsia" w:ascii="宋体" w:hAnsi="宋体" w:eastAsia="宋体" w:cs="宋体"/>
          <w:color w:val="auto"/>
          <w:szCs w:val="24"/>
          <w:highlight w:val="none"/>
          <w:lang w:val="en-US" w:eastAsia="zh-CN"/>
        </w:rPr>
        <w:t>八</w:t>
      </w:r>
      <w:r>
        <w:rPr>
          <w:rFonts w:hint="eastAsia" w:ascii="宋体" w:hAnsi="宋体" w:eastAsia="宋体" w:cs="宋体"/>
          <w:color w:val="auto"/>
          <w:szCs w:val="24"/>
          <w:highlight w:val="none"/>
        </w:rPr>
        <w:t>：商务响应表</w:t>
      </w:r>
      <w:r>
        <w:rPr>
          <w:color w:val="auto"/>
          <w:highlight w:val="none"/>
        </w:rPr>
        <w:tab/>
      </w:r>
      <w:r>
        <w:rPr>
          <w:color w:val="auto"/>
          <w:highlight w:val="none"/>
        </w:rPr>
        <w:fldChar w:fldCharType="begin"/>
      </w:r>
      <w:r>
        <w:rPr>
          <w:color w:val="auto"/>
          <w:highlight w:val="none"/>
        </w:rPr>
        <w:instrText xml:space="preserve"> PAGEREF _Toc31580 \h </w:instrText>
      </w:r>
      <w:r>
        <w:rPr>
          <w:color w:val="auto"/>
          <w:highlight w:val="none"/>
        </w:rPr>
        <w:fldChar w:fldCharType="separate"/>
      </w:r>
      <w:r>
        <w:rPr>
          <w:color w:val="auto"/>
          <w:highlight w:val="none"/>
        </w:rPr>
        <w:t>58</w:t>
      </w:r>
      <w:r>
        <w:rPr>
          <w:color w:val="auto"/>
          <w:highlight w:val="none"/>
        </w:rPr>
        <w:fldChar w:fldCharType="end"/>
      </w:r>
      <w:r>
        <w:rPr>
          <w:rFonts w:hint="eastAsia" w:ascii="宋体" w:hAnsi="宋体" w:cs="宋体"/>
          <w:color w:val="auto"/>
          <w:highlight w:val="none"/>
        </w:rPr>
        <w:fldChar w:fldCharType="end"/>
      </w:r>
    </w:p>
    <w:p w14:paraId="707C0ACA">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_Toc14634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w:t>
      </w:r>
      <w:r>
        <w:rPr>
          <w:rFonts w:hint="eastAsia" w:ascii="宋体" w:hAnsi="宋体" w:eastAsia="宋体" w:cs="宋体"/>
          <w:color w:val="auto"/>
          <w:szCs w:val="24"/>
          <w:highlight w:val="none"/>
          <w:lang w:val="en-US" w:eastAsia="zh-CN"/>
        </w:rPr>
        <w:t>九</w:t>
      </w:r>
      <w:r>
        <w:rPr>
          <w:rFonts w:hint="eastAsia" w:ascii="宋体" w:hAnsi="宋体" w:eastAsia="宋体" w:cs="宋体"/>
          <w:color w:val="auto"/>
          <w:szCs w:val="24"/>
          <w:highlight w:val="none"/>
        </w:rPr>
        <w:t>：技术响应表</w:t>
      </w:r>
      <w:r>
        <w:rPr>
          <w:color w:val="auto"/>
          <w:highlight w:val="none"/>
        </w:rPr>
        <w:tab/>
      </w:r>
      <w:r>
        <w:rPr>
          <w:color w:val="auto"/>
          <w:highlight w:val="none"/>
        </w:rPr>
        <w:fldChar w:fldCharType="begin"/>
      </w:r>
      <w:r>
        <w:rPr>
          <w:color w:val="auto"/>
          <w:highlight w:val="none"/>
        </w:rPr>
        <w:instrText xml:space="preserve"> PAGEREF _Toc14634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cs="宋体"/>
          <w:color w:val="auto"/>
          <w:highlight w:val="none"/>
        </w:rPr>
        <w:fldChar w:fldCharType="end"/>
      </w:r>
    </w:p>
    <w:p w14:paraId="0DE24D84">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_Toc21632 </w:instrText>
      </w:r>
      <w:r>
        <w:rPr>
          <w:rFonts w:hint="eastAsia" w:ascii="宋体" w:hAnsi="宋体" w:cs="宋体"/>
          <w:color w:val="auto"/>
          <w:highlight w:val="none"/>
        </w:rPr>
        <w:fldChar w:fldCharType="separate"/>
      </w:r>
      <w:r>
        <w:rPr>
          <w:rFonts w:hint="eastAsia" w:ascii="宋体" w:hAnsi="宋体" w:eastAsia="宋体"/>
          <w:color w:val="auto"/>
          <w:szCs w:val="24"/>
          <w:highlight w:val="none"/>
        </w:rPr>
        <w:t>附件十：产品配置清单</w:t>
      </w:r>
      <w:r>
        <w:rPr>
          <w:color w:val="auto"/>
          <w:highlight w:val="none"/>
        </w:rPr>
        <w:tab/>
      </w:r>
      <w:r>
        <w:rPr>
          <w:color w:val="auto"/>
          <w:highlight w:val="none"/>
        </w:rPr>
        <w:fldChar w:fldCharType="begin"/>
      </w:r>
      <w:r>
        <w:rPr>
          <w:color w:val="auto"/>
          <w:highlight w:val="none"/>
        </w:rPr>
        <w:instrText xml:space="preserve"> PAGEREF _Toc21632 \h </w:instrText>
      </w:r>
      <w:r>
        <w:rPr>
          <w:color w:val="auto"/>
          <w:highlight w:val="none"/>
        </w:rPr>
        <w:fldChar w:fldCharType="separate"/>
      </w:r>
      <w:r>
        <w:rPr>
          <w:color w:val="auto"/>
          <w:highlight w:val="none"/>
        </w:rPr>
        <w:t>60</w:t>
      </w:r>
      <w:r>
        <w:rPr>
          <w:color w:val="auto"/>
          <w:highlight w:val="none"/>
        </w:rPr>
        <w:fldChar w:fldCharType="end"/>
      </w:r>
      <w:r>
        <w:rPr>
          <w:rFonts w:hint="eastAsia" w:ascii="宋体" w:hAnsi="宋体" w:cs="宋体"/>
          <w:color w:val="auto"/>
          <w:highlight w:val="none"/>
        </w:rPr>
        <w:fldChar w:fldCharType="end"/>
      </w:r>
    </w:p>
    <w:p w14:paraId="04087277">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_Toc9133 </w:instrText>
      </w:r>
      <w:r>
        <w:rPr>
          <w:rFonts w:hint="eastAsia" w:ascii="宋体" w:hAnsi="宋体" w:cs="宋体"/>
          <w:color w:val="auto"/>
          <w:highlight w:val="none"/>
        </w:rPr>
        <w:fldChar w:fldCharType="separate"/>
      </w:r>
      <w:r>
        <w:rPr>
          <w:rFonts w:hint="eastAsia" w:ascii="宋体" w:hAnsi="宋体"/>
          <w:color w:val="auto"/>
          <w:szCs w:val="28"/>
          <w:highlight w:val="none"/>
        </w:rPr>
        <w:t>附件十</w:t>
      </w:r>
      <w:r>
        <w:rPr>
          <w:rFonts w:hint="eastAsia" w:ascii="宋体" w:hAnsi="宋体" w:eastAsia="宋体"/>
          <w:color w:val="auto"/>
          <w:szCs w:val="24"/>
          <w:highlight w:val="none"/>
          <w:lang w:val="en-US" w:eastAsia="zh-CN"/>
        </w:rPr>
        <w:t>一</w:t>
      </w:r>
      <w:r>
        <w:rPr>
          <w:rFonts w:hint="eastAsia" w:ascii="宋体" w:hAnsi="宋体"/>
          <w:color w:val="auto"/>
          <w:szCs w:val="28"/>
          <w:highlight w:val="none"/>
        </w:rPr>
        <w:t>：随机标准附件、备品备件、零配件、专用工具清单</w:t>
      </w:r>
      <w:r>
        <w:rPr>
          <w:color w:val="auto"/>
          <w:highlight w:val="none"/>
        </w:rPr>
        <w:tab/>
      </w:r>
      <w:r>
        <w:rPr>
          <w:color w:val="auto"/>
          <w:highlight w:val="none"/>
        </w:rPr>
        <w:fldChar w:fldCharType="begin"/>
      </w:r>
      <w:r>
        <w:rPr>
          <w:color w:val="auto"/>
          <w:highlight w:val="none"/>
        </w:rPr>
        <w:instrText xml:space="preserve"> PAGEREF _Toc9133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cs="宋体"/>
          <w:color w:val="auto"/>
          <w:highlight w:val="none"/>
        </w:rPr>
        <w:fldChar w:fldCharType="end"/>
      </w:r>
    </w:p>
    <w:p w14:paraId="503166FA">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_Toc13391 </w:instrText>
      </w:r>
      <w:r>
        <w:rPr>
          <w:rFonts w:hint="eastAsia" w:ascii="宋体" w:hAnsi="宋体" w:cs="宋体"/>
          <w:color w:val="auto"/>
          <w:highlight w:val="none"/>
        </w:rPr>
        <w:fldChar w:fldCharType="separate"/>
      </w:r>
      <w:r>
        <w:rPr>
          <w:rFonts w:hint="eastAsia" w:ascii="宋体" w:hAnsi="宋体" w:eastAsia="宋体" w:cs="宋体"/>
          <w:color w:val="auto"/>
          <w:kern w:val="0"/>
          <w:szCs w:val="24"/>
          <w:highlight w:val="none"/>
        </w:rPr>
        <w:t>附件十</w:t>
      </w:r>
      <w:r>
        <w:rPr>
          <w:rFonts w:hint="eastAsia" w:ascii="宋体" w:hAnsi="宋体" w:eastAsia="宋体" w:cs="宋体"/>
          <w:color w:val="auto"/>
          <w:kern w:val="0"/>
          <w:szCs w:val="24"/>
          <w:highlight w:val="none"/>
          <w:lang w:val="en-US" w:eastAsia="zh-CN"/>
        </w:rPr>
        <w:t>二</w:t>
      </w:r>
      <w:r>
        <w:rPr>
          <w:rFonts w:hint="eastAsia" w:ascii="宋体" w:hAnsi="宋体" w:eastAsia="宋体" w:cs="宋体"/>
          <w:color w:val="auto"/>
          <w:kern w:val="0"/>
          <w:szCs w:val="24"/>
          <w:highlight w:val="none"/>
        </w:rPr>
        <w:t>：同类项目业绩一览表</w:t>
      </w:r>
      <w:r>
        <w:rPr>
          <w:color w:val="auto"/>
          <w:highlight w:val="none"/>
        </w:rPr>
        <w:tab/>
      </w:r>
      <w:r>
        <w:rPr>
          <w:color w:val="auto"/>
          <w:highlight w:val="none"/>
        </w:rPr>
        <w:fldChar w:fldCharType="begin"/>
      </w:r>
      <w:r>
        <w:rPr>
          <w:color w:val="auto"/>
          <w:highlight w:val="none"/>
        </w:rPr>
        <w:instrText xml:space="preserve"> PAGEREF _Toc13391 \h </w:instrText>
      </w:r>
      <w:r>
        <w:rPr>
          <w:color w:val="auto"/>
          <w:highlight w:val="none"/>
        </w:rPr>
        <w:fldChar w:fldCharType="separate"/>
      </w:r>
      <w:r>
        <w:rPr>
          <w:color w:val="auto"/>
          <w:highlight w:val="none"/>
        </w:rPr>
        <w:t>62</w:t>
      </w:r>
      <w:r>
        <w:rPr>
          <w:color w:val="auto"/>
          <w:highlight w:val="none"/>
        </w:rPr>
        <w:fldChar w:fldCharType="end"/>
      </w:r>
      <w:r>
        <w:rPr>
          <w:rFonts w:hint="eastAsia" w:ascii="宋体" w:hAnsi="宋体" w:cs="宋体"/>
          <w:color w:val="auto"/>
          <w:highlight w:val="none"/>
        </w:rPr>
        <w:fldChar w:fldCharType="end"/>
      </w:r>
    </w:p>
    <w:p w14:paraId="3D831490">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_Toc8922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三</w:t>
      </w:r>
      <w:r>
        <w:rPr>
          <w:rFonts w:hint="eastAsia" w:ascii="宋体" w:hAnsi="宋体" w:cs="宋体"/>
          <w:bCs/>
          <w:color w:val="auto"/>
          <w:highlight w:val="none"/>
        </w:rPr>
        <w:t>：服务费承诺书</w:t>
      </w:r>
      <w:r>
        <w:rPr>
          <w:color w:val="auto"/>
          <w:highlight w:val="none"/>
        </w:rPr>
        <w:tab/>
      </w:r>
      <w:r>
        <w:rPr>
          <w:color w:val="auto"/>
          <w:highlight w:val="none"/>
        </w:rPr>
        <w:fldChar w:fldCharType="begin"/>
      </w:r>
      <w:r>
        <w:rPr>
          <w:color w:val="auto"/>
          <w:highlight w:val="none"/>
        </w:rPr>
        <w:instrText xml:space="preserve"> PAGEREF _Toc8922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cs="宋体"/>
          <w:color w:val="auto"/>
          <w:highlight w:val="none"/>
        </w:rPr>
        <w:fldChar w:fldCharType="end"/>
      </w:r>
    </w:p>
    <w:p w14:paraId="5B2DC285">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_Toc25876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四</w:t>
      </w:r>
      <w:r>
        <w:rPr>
          <w:rFonts w:hint="eastAsia" w:ascii="宋体" w:hAnsi="宋体" w:cs="宋体"/>
          <w:bCs/>
          <w:color w:val="auto"/>
          <w:highlight w:val="none"/>
        </w:rPr>
        <w:t>:投标函</w:t>
      </w:r>
      <w:r>
        <w:rPr>
          <w:color w:val="auto"/>
          <w:highlight w:val="none"/>
        </w:rPr>
        <w:tab/>
      </w:r>
      <w:r>
        <w:rPr>
          <w:color w:val="auto"/>
          <w:highlight w:val="none"/>
        </w:rPr>
        <w:fldChar w:fldCharType="begin"/>
      </w:r>
      <w:r>
        <w:rPr>
          <w:color w:val="auto"/>
          <w:highlight w:val="none"/>
        </w:rPr>
        <w:instrText xml:space="preserve"> PAGEREF _Toc25876 \h </w:instrText>
      </w:r>
      <w:r>
        <w:rPr>
          <w:color w:val="auto"/>
          <w:highlight w:val="none"/>
        </w:rPr>
        <w:fldChar w:fldCharType="separate"/>
      </w:r>
      <w:r>
        <w:rPr>
          <w:color w:val="auto"/>
          <w:highlight w:val="none"/>
        </w:rPr>
        <w:t>64</w:t>
      </w:r>
      <w:r>
        <w:rPr>
          <w:color w:val="auto"/>
          <w:highlight w:val="none"/>
        </w:rPr>
        <w:fldChar w:fldCharType="end"/>
      </w:r>
      <w:r>
        <w:rPr>
          <w:rFonts w:hint="eastAsia" w:ascii="宋体" w:hAnsi="宋体" w:cs="宋体"/>
          <w:color w:val="auto"/>
          <w:highlight w:val="none"/>
        </w:rPr>
        <w:fldChar w:fldCharType="end"/>
      </w:r>
    </w:p>
    <w:p w14:paraId="26F2AE0C">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_Toc26440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五</w:t>
      </w:r>
      <w:r>
        <w:rPr>
          <w:rFonts w:ascii="宋体" w:hAnsi="宋体" w:cs="宋体"/>
          <w:bCs/>
          <w:color w:val="auto"/>
          <w:highlight w:val="none"/>
        </w:rPr>
        <w:t>:</w:t>
      </w:r>
      <w:r>
        <w:rPr>
          <w:rFonts w:hint="eastAsia" w:ascii="宋体" w:hAnsi="宋体" w:cs="宋体"/>
          <w:bCs/>
          <w:color w:val="auto"/>
          <w:highlight w:val="none"/>
        </w:rPr>
        <w:t>开标一览表</w:t>
      </w:r>
      <w:r>
        <w:rPr>
          <w:color w:val="auto"/>
          <w:highlight w:val="none"/>
        </w:rPr>
        <w:tab/>
      </w:r>
      <w:r>
        <w:rPr>
          <w:color w:val="auto"/>
          <w:highlight w:val="none"/>
        </w:rPr>
        <w:fldChar w:fldCharType="begin"/>
      </w:r>
      <w:r>
        <w:rPr>
          <w:color w:val="auto"/>
          <w:highlight w:val="none"/>
        </w:rPr>
        <w:instrText xml:space="preserve"> PAGEREF _Toc26440 \h </w:instrText>
      </w:r>
      <w:r>
        <w:rPr>
          <w:color w:val="auto"/>
          <w:highlight w:val="none"/>
        </w:rPr>
        <w:fldChar w:fldCharType="separate"/>
      </w:r>
      <w:r>
        <w:rPr>
          <w:color w:val="auto"/>
          <w:highlight w:val="none"/>
        </w:rPr>
        <w:t>65</w:t>
      </w:r>
      <w:r>
        <w:rPr>
          <w:color w:val="auto"/>
          <w:highlight w:val="none"/>
        </w:rPr>
        <w:fldChar w:fldCharType="end"/>
      </w:r>
      <w:r>
        <w:rPr>
          <w:rFonts w:hint="eastAsia" w:ascii="宋体" w:hAnsi="宋体" w:cs="宋体"/>
          <w:color w:val="auto"/>
          <w:highlight w:val="none"/>
        </w:rPr>
        <w:fldChar w:fldCharType="end"/>
      </w:r>
    </w:p>
    <w:p w14:paraId="751C2DA7">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_Toc28340 </w:instrText>
      </w:r>
      <w:r>
        <w:rPr>
          <w:rFonts w:hint="eastAsia" w:ascii="宋体" w:hAnsi="宋体" w:cs="宋体"/>
          <w:color w:val="auto"/>
          <w:highlight w:val="none"/>
        </w:rPr>
        <w:fldChar w:fldCharType="separate"/>
      </w:r>
      <w:r>
        <w:rPr>
          <w:rFonts w:hint="eastAsia" w:ascii="宋体" w:hAnsi="宋体" w:cs="宋体"/>
          <w:bCs/>
          <w:color w:val="auto"/>
          <w:highlight w:val="none"/>
        </w:rPr>
        <w:t>附件十</w:t>
      </w:r>
      <w:r>
        <w:rPr>
          <w:rFonts w:hint="eastAsia" w:ascii="宋体" w:hAnsi="宋体" w:cs="宋体"/>
          <w:bCs/>
          <w:color w:val="auto"/>
          <w:highlight w:val="none"/>
          <w:lang w:val="en-US" w:eastAsia="zh-CN"/>
        </w:rPr>
        <w:t>六</w:t>
      </w:r>
      <w:r>
        <w:rPr>
          <w:rFonts w:hint="eastAsia" w:ascii="宋体" w:hAnsi="宋体" w:cs="宋体"/>
          <w:bCs/>
          <w:color w:val="auto"/>
          <w:highlight w:val="none"/>
        </w:rPr>
        <w:t>：中小企业声明函（货物）</w:t>
      </w:r>
      <w:r>
        <w:rPr>
          <w:color w:val="auto"/>
          <w:highlight w:val="none"/>
        </w:rPr>
        <w:tab/>
      </w:r>
      <w:r>
        <w:rPr>
          <w:color w:val="auto"/>
          <w:highlight w:val="none"/>
        </w:rPr>
        <w:fldChar w:fldCharType="begin"/>
      </w:r>
      <w:r>
        <w:rPr>
          <w:color w:val="auto"/>
          <w:highlight w:val="none"/>
        </w:rPr>
        <w:instrText xml:space="preserve"> PAGEREF _Toc28340 \h </w:instrText>
      </w:r>
      <w:r>
        <w:rPr>
          <w:color w:val="auto"/>
          <w:highlight w:val="none"/>
        </w:rPr>
        <w:fldChar w:fldCharType="separate"/>
      </w:r>
      <w:r>
        <w:rPr>
          <w:color w:val="auto"/>
          <w:highlight w:val="none"/>
        </w:rPr>
        <w:t>66</w:t>
      </w:r>
      <w:r>
        <w:rPr>
          <w:color w:val="auto"/>
          <w:highlight w:val="none"/>
        </w:rPr>
        <w:fldChar w:fldCharType="end"/>
      </w:r>
      <w:r>
        <w:rPr>
          <w:rFonts w:hint="eastAsia" w:ascii="宋体" w:hAnsi="宋体" w:cs="宋体"/>
          <w:color w:val="auto"/>
          <w:highlight w:val="none"/>
        </w:rPr>
        <w:fldChar w:fldCharType="end"/>
      </w:r>
    </w:p>
    <w:p w14:paraId="5B6EA310">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_Toc13381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w:t>
      </w:r>
      <w:r>
        <w:rPr>
          <w:rFonts w:ascii="宋体" w:hAnsi="宋体" w:eastAsia="宋体" w:cs="宋体"/>
          <w:color w:val="auto"/>
          <w:szCs w:val="24"/>
          <w:highlight w:val="none"/>
        </w:rPr>
        <w:t>十</w:t>
      </w:r>
      <w:r>
        <w:rPr>
          <w:rFonts w:hint="eastAsia" w:ascii="宋体" w:hAnsi="宋体" w:eastAsia="宋体" w:cs="宋体"/>
          <w:color w:val="auto"/>
          <w:szCs w:val="24"/>
          <w:highlight w:val="none"/>
          <w:lang w:val="en-US" w:eastAsia="zh-CN"/>
        </w:rPr>
        <w:t>七</w:t>
      </w:r>
      <w:r>
        <w:rPr>
          <w:rFonts w:hint="eastAsia" w:ascii="宋体" w:hAnsi="宋体" w:eastAsia="宋体" w:cs="宋体"/>
          <w:color w:val="auto"/>
          <w:szCs w:val="24"/>
          <w:highlight w:val="none"/>
        </w:rPr>
        <w:t>：残疾人福利性单位声明函</w:t>
      </w:r>
      <w:r>
        <w:rPr>
          <w:color w:val="auto"/>
          <w:highlight w:val="none"/>
        </w:rPr>
        <w:tab/>
      </w:r>
      <w:r>
        <w:rPr>
          <w:color w:val="auto"/>
          <w:highlight w:val="none"/>
        </w:rPr>
        <w:fldChar w:fldCharType="begin"/>
      </w:r>
      <w:r>
        <w:rPr>
          <w:color w:val="auto"/>
          <w:highlight w:val="none"/>
        </w:rPr>
        <w:instrText xml:space="preserve"> PAGEREF _Toc13381 \h </w:instrText>
      </w:r>
      <w:r>
        <w:rPr>
          <w:color w:val="auto"/>
          <w:highlight w:val="none"/>
        </w:rPr>
        <w:fldChar w:fldCharType="separate"/>
      </w:r>
      <w:r>
        <w:rPr>
          <w:color w:val="auto"/>
          <w:highlight w:val="none"/>
        </w:rPr>
        <w:t>67</w:t>
      </w:r>
      <w:r>
        <w:rPr>
          <w:color w:val="auto"/>
          <w:highlight w:val="none"/>
        </w:rPr>
        <w:fldChar w:fldCharType="end"/>
      </w:r>
      <w:r>
        <w:rPr>
          <w:rFonts w:hint="eastAsia" w:ascii="宋体" w:hAnsi="宋体" w:cs="宋体"/>
          <w:color w:val="auto"/>
          <w:highlight w:val="none"/>
        </w:rPr>
        <w:fldChar w:fldCharType="end"/>
      </w:r>
    </w:p>
    <w:p w14:paraId="44157BD8">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_Toc32323 </w:instrText>
      </w:r>
      <w:r>
        <w:rPr>
          <w:rFonts w:hint="eastAsia" w:ascii="宋体" w:hAnsi="宋体" w:cs="宋体"/>
          <w:color w:val="auto"/>
          <w:highlight w:val="none"/>
        </w:rPr>
        <w:fldChar w:fldCharType="separate"/>
      </w:r>
      <w:r>
        <w:rPr>
          <w:rFonts w:hint="eastAsia" w:ascii="宋体" w:hAnsi="宋体" w:cs="宋体"/>
          <w:bCs/>
          <w:color w:val="auto"/>
          <w:highlight w:val="none"/>
        </w:rPr>
        <w:t>附件</w:t>
      </w:r>
      <w:r>
        <w:rPr>
          <w:rFonts w:ascii="宋体" w:hAnsi="宋体" w:cs="宋体"/>
          <w:bCs/>
          <w:color w:val="auto"/>
          <w:highlight w:val="none"/>
        </w:rPr>
        <w:t>十</w:t>
      </w:r>
      <w:r>
        <w:rPr>
          <w:rFonts w:hint="eastAsia" w:ascii="宋体" w:hAnsi="宋体" w:cs="宋体"/>
          <w:bCs/>
          <w:color w:val="auto"/>
          <w:highlight w:val="none"/>
          <w:lang w:val="en-US" w:eastAsia="zh-CN"/>
        </w:rPr>
        <w:t>八</w:t>
      </w:r>
      <w:r>
        <w:rPr>
          <w:rFonts w:hint="eastAsia" w:ascii="宋体" w:hAnsi="宋体" w:cs="宋体"/>
          <w:bCs/>
          <w:color w:val="auto"/>
          <w:highlight w:val="none"/>
        </w:rPr>
        <w:t>：东阳市采购项目验收方案</w:t>
      </w:r>
      <w:r>
        <w:rPr>
          <w:color w:val="auto"/>
          <w:highlight w:val="none"/>
        </w:rPr>
        <w:tab/>
      </w:r>
      <w:r>
        <w:rPr>
          <w:color w:val="auto"/>
          <w:highlight w:val="none"/>
        </w:rPr>
        <w:fldChar w:fldCharType="begin"/>
      </w:r>
      <w:r>
        <w:rPr>
          <w:color w:val="auto"/>
          <w:highlight w:val="none"/>
        </w:rPr>
        <w:instrText xml:space="preserve"> PAGEREF _Toc32323 \h </w:instrText>
      </w:r>
      <w:r>
        <w:rPr>
          <w:color w:val="auto"/>
          <w:highlight w:val="none"/>
        </w:rPr>
        <w:fldChar w:fldCharType="separate"/>
      </w:r>
      <w:r>
        <w:rPr>
          <w:color w:val="auto"/>
          <w:highlight w:val="none"/>
        </w:rPr>
        <w:t>68</w:t>
      </w:r>
      <w:r>
        <w:rPr>
          <w:color w:val="auto"/>
          <w:highlight w:val="none"/>
        </w:rPr>
        <w:fldChar w:fldCharType="end"/>
      </w:r>
      <w:r>
        <w:rPr>
          <w:rFonts w:hint="eastAsia" w:ascii="宋体" w:hAnsi="宋体" w:cs="宋体"/>
          <w:color w:val="auto"/>
          <w:highlight w:val="none"/>
        </w:rPr>
        <w:fldChar w:fldCharType="end"/>
      </w:r>
    </w:p>
    <w:p w14:paraId="6D16A31A">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_Toc1453 </w:instrText>
      </w:r>
      <w:r>
        <w:rPr>
          <w:rFonts w:hint="eastAsia" w:ascii="宋体" w:hAnsi="宋体" w:cs="宋体"/>
          <w:color w:val="auto"/>
          <w:highlight w:val="none"/>
        </w:rPr>
        <w:fldChar w:fldCharType="separate"/>
      </w:r>
      <w:r>
        <w:rPr>
          <w:rFonts w:hint="eastAsia" w:ascii="宋体" w:hAnsi="宋体" w:cs="宋体"/>
          <w:bCs/>
          <w:color w:val="auto"/>
          <w:highlight w:val="none"/>
        </w:rPr>
        <w:t>附件</w:t>
      </w:r>
      <w:r>
        <w:rPr>
          <w:rFonts w:hint="eastAsia" w:ascii="宋体" w:hAnsi="宋体" w:cs="宋体"/>
          <w:bCs/>
          <w:color w:val="auto"/>
          <w:highlight w:val="none"/>
          <w:lang w:val="en-US" w:eastAsia="zh-CN"/>
        </w:rPr>
        <w:t>十九</w:t>
      </w:r>
      <w:r>
        <w:rPr>
          <w:rFonts w:hint="eastAsia" w:ascii="宋体" w:hAnsi="宋体" w:cs="宋体"/>
          <w:bCs/>
          <w:color w:val="auto"/>
          <w:highlight w:val="none"/>
        </w:rPr>
        <w:t>：东阳市政府采购代理机构社会评价表</w:t>
      </w:r>
      <w:r>
        <w:rPr>
          <w:color w:val="auto"/>
          <w:highlight w:val="none"/>
        </w:rPr>
        <w:tab/>
      </w:r>
      <w:r>
        <w:rPr>
          <w:color w:val="auto"/>
          <w:highlight w:val="none"/>
        </w:rPr>
        <w:fldChar w:fldCharType="begin"/>
      </w:r>
      <w:r>
        <w:rPr>
          <w:color w:val="auto"/>
          <w:highlight w:val="none"/>
        </w:rPr>
        <w:instrText xml:space="preserve"> PAGEREF _Toc1453 \h </w:instrText>
      </w:r>
      <w:r>
        <w:rPr>
          <w:color w:val="auto"/>
          <w:highlight w:val="none"/>
        </w:rPr>
        <w:fldChar w:fldCharType="separate"/>
      </w:r>
      <w:r>
        <w:rPr>
          <w:color w:val="auto"/>
          <w:highlight w:val="none"/>
        </w:rPr>
        <w:t>69</w:t>
      </w:r>
      <w:r>
        <w:rPr>
          <w:color w:val="auto"/>
          <w:highlight w:val="none"/>
        </w:rPr>
        <w:fldChar w:fldCharType="end"/>
      </w:r>
      <w:r>
        <w:rPr>
          <w:rFonts w:hint="eastAsia" w:ascii="宋体" w:hAnsi="宋体" w:cs="宋体"/>
          <w:color w:val="auto"/>
          <w:highlight w:val="none"/>
        </w:rPr>
        <w:fldChar w:fldCharType="end"/>
      </w:r>
    </w:p>
    <w:p w14:paraId="7BBBF2BF">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_Toc24305 </w:instrText>
      </w:r>
      <w:r>
        <w:rPr>
          <w:rFonts w:hint="eastAsia" w:ascii="宋体" w:hAnsi="宋体" w:cs="宋体"/>
          <w:color w:val="auto"/>
          <w:highlight w:val="none"/>
        </w:rPr>
        <w:fldChar w:fldCharType="separate"/>
      </w:r>
      <w:r>
        <w:rPr>
          <w:rFonts w:hint="eastAsia" w:ascii="宋体" w:hAnsi="宋体" w:eastAsia="宋体" w:cs="宋体"/>
          <w:color w:val="auto"/>
          <w:szCs w:val="24"/>
          <w:highlight w:val="none"/>
        </w:rPr>
        <w:t>附件二十：办理保函需提供资料</w:t>
      </w:r>
      <w:r>
        <w:rPr>
          <w:color w:val="auto"/>
          <w:highlight w:val="none"/>
        </w:rPr>
        <w:tab/>
      </w:r>
      <w:r>
        <w:rPr>
          <w:color w:val="auto"/>
          <w:highlight w:val="none"/>
        </w:rPr>
        <w:fldChar w:fldCharType="begin"/>
      </w:r>
      <w:r>
        <w:rPr>
          <w:color w:val="auto"/>
          <w:highlight w:val="none"/>
        </w:rPr>
        <w:instrText xml:space="preserve"> PAGEREF _Toc24305 \h </w:instrText>
      </w:r>
      <w:r>
        <w:rPr>
          <w:color w:val="auto"/>
          <w:highlight w:val="none"/>
        </w:rPr>
        <w:fldChar w:fldCharType="separate"/>
      </w:r>
      <w:r>
        <w:rPr>
          <w:color w:val="auto"/>
          <w:highlight w:val="none"/>
        </w:rPr>
        <w:t>70</w:t>
      </w:r>
      <w:r>
        <w:rPr>
          <w:color w:val="auto"/>
          <w:highlight w:val="none"/>
        </w:rPr>
        <w:fldChar w:fldCharType="end"/>
      </w:r>
      <w:r>
        <w:rPr>
          <w:rFonts w:hint="eastAsia" w:ascii="宋体" w:hAnsi="宋体" w:cs="宋体"/>
          <w:color w:val="auto"/>
          <w:highlight w:val="none"/>
        </w:rPr>
        <w:fldChar w:fldCharType="end"/>
      </w:r>
    </w:p>
    <w:p w14:paraId="7DB66F79">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_Toc25996 </w:instrText>
      </w:r>
      <w:r>
        <w:rPr>
          <w:rFonts w:hint="eastAsia" w:ascii="宋体" w:hAnsi="宋体" w:cs="宋体"/>
          <w:color w:val="auto"/>
          <w:highlight w:val="none"/>
        </w:rPr>
        <w:fldChar w:fldCharType="separate"/>
      </w:r>
      <w:r>
        <w:rPr>
          <w:rFonts w:hint="eastAsia" w:ascii="宋体" w:hAnsi="宋体" w:eastAsia="宋体" w:cs="宋体"/>
          <w:color w:val="auto"/>
          <w:highlight w:val="none"/>
        </w:rPr>
        <w:t>附件二十</w:t>
      </w:r>
      <w:r>
        <w:rPr>
          <w:rFonts w:hint="eastAsia" w:ascii="宋体" w:hAnsi="宋体" w:eastAsia="宋体" w:cs="宋体"/>
          <w:color w:val="auto"/>
          <w:highlight w:val="none"/>
          <w:lang w:val="en-US" w:eastAsia="zh-CN"/>
        </w:rPr>
        <w:t>一</w:t>
      </w:r>
      <w:r>
        <w:rPr>
          <w:rFonts w:hint="eastAsia" w:ascii="宋体" w:hAnsi="宋体" w:eastAsia="宋体" w:cs="宋体"/>
          <w:color w:val="auto"/>
          <w:highlight w:val="none"/>
        </w:rPr>
        <w:t>：质疑函范本</w:t>
      </w:r>
      <w:r>
        <w:rPr>
          <w:color w:val="auto"/>
          <w:highlight w:val="none"/>
        </w:rPr>
        <w:tab/>
      </w:r>
      <w:r>
        <w:rPr>
          <w:color w:val="auto"/>
          <w:highlight w:val="none"/>
        </w:rPr>
        <w:fldChar w:fldCharType="begin"/>
      </w:r>
      <w:r>
        <w:rPr>
          <w:color w:val="auto"/>
          <w:highlight w:val="none"/>
        </w:rPr>
        <w:instrText xml:space="preserve"> PAGEREF _Toc25996 \h </w:instrText>
      </w:r>
      <w:r>
        <w:rPr>
          <w:color w:val="auto"/>
          <w:highlight w:val="none"/>
        </w:rPr>
        <w:fldChar w:fldCharType="separate"/>
      </w:r>
      <w:r>
        <w:rPr>
          <w:color w:val="auto"/>
          <w:highlight w:val="none"/>
        </w:rPr>
        <w:t>72</w:t>
      </w:r>
      <w:r>
        <w:rPr>
          <w:color w:val="auto"/>
          <w:highlight w:val="none"/>
        </w:rPr>
        <w:fldChar w:fldCharType="end"/>
      </w:r>
      <w:r>
        <w:rPr>
          <w:rFonts w:hint="eastAsia" w:ascii="宋体" w:hAnsi="宋体" w:cs="宋体"/>
          <w:color w:val="auto"/>
          <w:highlight w:val="none"/>
        </w:rPr>
        <w:fldChar w:fldCharType="end"/>
      </w:r>
    </w:p>
    <w:p w14:paraId="286719FC">
      <w:pPr>
        <w:pStyle w:val="29"/>
        <w:keepNext w:val="0"/>
        <w:keepLines w:val="0"/>
        <w:pageBreakBefore w:val="0"/>
        <w:widowControl w:val="0"/>
        <w:tabs>
          <w:tab w:val="right" w:leader="middleDot" w:pos="9070"/>
        </w:tabs>
        <w:kinsoku/>
        <w:wordWrap/>
        <w:overflowPunct/>
        <w:topLinePunct w:val="0"/>
        <w:autoSpaceDE/>
        <w:autoSpaceDN/>
        <w:bidi w:val="0"/>
        <w:adjustRightInd/>
        <w:snapToGrid/>
        <w:textAlignment w:val="auto"/>
        <w:rPr>
          <w:color w:val="auto"/>
          <w:highlight w:val="none"/>
        </w:rPr>
      </w:pP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\l _Toc14265 </w:instrText>
      </w:r>
      <w:r>
        <w:rPr>
          <w:rFonts w:hint="eastAsia" w:ascii="宋体" w:hAnsi="宋体" w:cs="宋体"/>
          <w:color w:val="auto"/>
          <w:highlight w:val="none"/>
        </w:rPr>
        <w:fldChar w:fldCharType="separate"/>
      </w:r>
      <w:r>
        <w:rPr>
          <w:rFonts w:hint="eastAsia" w:ascii="宋体" w:hAnsi="宋体" w:eastAsia="宋体" w:cs="宋体"/>
          <w:color w:val="auto"/>
          <w:highlight w:val="none"/>
        </w:rPr>
        <w:t>附件二十</w:t>
      </w:r>
      <w:r>
        <w:rPr>
          <w:rFonts w:hint="eastAsia" w:ascii="宋体" w:hAnsi="宋体" w:eastAsia="宋体" w:cs="宋体"/>
          <w:color w:val="auto"/>
          <w:highlight w:val="none"/>
          <w:lang w:val="en-US" w:eastAsia="zh-CN"/>
        </w:rPr>
        <w:t>二</w:t>
      </w:r>
      <w:r>
        <w:rPr>
          <w:rFonts w:hint="eastAsia" w:ascii="宋体" w:hAnsi="宋体" w:eastAsia="宋体" w:cs="宋体"/>
          <w:color w:val="auto"/>
          <w:highlight w:val="none"/>
        </w:rPr>
        <w:t>：投诉书范本</w:t>
      </w:r>
      <w:r>
        <w:rPr>
          <w:color w:val="auto"/>
          <w:highlight w:val="none"/>
        </w:rPr>
        <w:tab/>
      </w:r>
      <w:r>
        <w:rPr>
          <w:color w:val="auto"/>
          <w:highlight w:val="none"/>
        </w:rPr>
        <w:fldChar w:fldCharType="begin"/>
      </w:r>
      <w:r>
        <w:rPr>
          <w:color w:val="auto"/>
          <w:highlight w:val="none"/>
        </w:rPr>
        <w:instrText xml:space="preserve"> PAGEREF _Toc14265 \h </w:instrText>
      </w:r>
      <w:r>
        <w:rPr>
          <w:color w:val="auto"/>
          <w:highlight w:val="none"/>
        </w:rPr>
        <w:fldChar w:fldCharType="separate"/>
      </w:r>
      <w:r>
        <w:rPr>
          <w:color w:val="auto"/>
          <w:highlight w:val="none"/>
        </w:rPr>
        <w:t>74</w:t>
      </w:r>
      <w:r>
        <w:rPr>
          <w:color w:val="auto"/>
          <w:highlight w:val="none"/>
        </w:rPr>
        <w:fldChar w:fldCharType="end"/>
      </w:r>
      <w:r>
        <w:rPr>
          <w:rFonts w:hint="eastAsia" w:ascii="宋体" w:hAnsi="宋体" w:cs="宋体"/>
          <w:color w:val="auto"/>
          <w:highlight w:val="none"/>
        </w:rPr>
        <w:fldChar w:fldCharType="end"/>
      </w:r>
    </w:p>
    <w:p w14:paraId="4C0A96BE">
      <w:pPr>
        <w:pStyle w:val="31"/>
        <w:keepNext w:val="0"/>
        <w:keepLines w:val="0"/>
        <w:pageBreakBefore w:val="0"/>
        <w:widowControl w:val="0"/>
        <w:tabs>
          <w:tab w:val="right" w:leader="middleDot" w:pos="9070"/>
        </w:tabs>
        <w:kinsoku/>
        <w:wordWrap/>
        <w:overflowPunct/>
        <w:topLinePunct w:val="0"/>
        <w:autoSpaceDE/>
        <w:autoSpaceDN/>
        <w:bidi w:val="0"/>
        <w:adjustRightInd/>
        <w:snapToGrid/>
        <w:spacing w:line="360" w:lineRule="auto"/>
        <w:jc w:val="center"/>
        <w:textAlignment w:val="auto"/>
        <w:rPr>
          <w:rFonts w:ascii="宋体" w:hAnsi="宋体" w:cs="宋体"/>
          <w:color w:val="auto"/>
          <w:sz w:val="24"/>
          <w:highlight w:val="none"/>
        </w:rPr>
      </w:pPr>
      <w:r>
        <w:rPr>
          <w:rFonts w:hint="eastAsia" w:ascii="宋体" w:hAnsi="宋体" w:cs="宋体"/>
          <w:color w:val="auto"/>
          <w:highlight w:val="none"/>
        </w:rPr>
        <w:fldChar w:fldCharType="end"/>
      </w:r>
    </w:p>
    <w:p w14:paraId="395A3158">
      <w:pPr>
        <w:keepNext w:val="0"/>
        <w:keepLines w:val="0"/>
        <w:pageBreakBefore w:val="0"/>
        <w:widowControl w:val="0"/>
        <w:tabs>
          <w:tab w:val="right" w:leader="middleDot" w:pos="9070"/>
        </w:tabs>
        <w:kinsoku/>
        <w:wordWrap/>
        <w:overflowPunct/>
        <w:topLinePunct w:val="0"/>
        <w:autoSpaceDE/>
        <w:autoSpaceDN/>
        <w:bidi w:val="0"/>
        <w:adjustRightInd/>
        <w:snapToGrid/>
        <w:spacing w:line="360" w:lineRule="auto"/>
        <w:textAlignment w:val="auto"/>
        <w:rPr>
          <w:rFonts w:ascii="宋体" w:hAnsi="宋体" w:cs="宋体"/>
          <w:color w:val="auto"/>
          <w:sz w:val="24"/>
          <w:highlight w:val="none"/>
        </w:rPr>
      </w:pPr>
    </w:p>
    <w:p w14:paraId="788965B7">
      <w:pPr>
        <w:pStyle w:val="31"/>
        <w:pageBreakBefore/>
        <w:tabs>
          <w:tab w:val="right" w:leader="dot" w:pos="9402"/>
        </w:tabs>
        <w:spacing w:line="460" w:lineRule="exact"/>
        <w:jc w:val="center"/>
        <w:outlineLvl w:val="0"/>
        <w:rPr>
          <w:rFonts w:ascii="宋体" w:hAnsi="宋体" w:cs="宋体"/>
          <w:b/>
          <w:color w:val="auto"/>
          <w:sz w:val="24"/>
          <w:highlight w:val="none"/>
        </w:rPr>
      </w:pPr>
      <w:bookmarkStart w:id="0" w:name="_Toc2043"/>
      <w:r>
        <w:rPr>
          <w:rFonts w:hint="eastAsia" w:ascii="宋体" w:hAnsi="宋体" w:cs="宋体"/>
          <w:b/>
          <w:color w:val="auto"/>
          <w:sz w:val="24"/>
          <w:highlight w:val="none"/>
        </w:rPr>
        <w:t>第一章  公开招标采购公告</w:t>
      </w:r>
      <w:bookmarkEnd w:id="0"/>
      <w:r>
        <w:rPr>
          <w:rFonts w:hint="eastAsia" w:ascii="宋体" w:hAnsi="宋体" w:cs="宋体"/>
          <w:b/>
          <w:color w:val="auto"/>
          <w:sz w:val="24"/>
          <w:highlight w:val="none"/>
        </w:rPr>
        <w:t xml:space="preserve"> </w:t>
      </w:r>
    </w:p>
    <w:p w14:paraId="60AA927A">
      <w:pPr>
        <w:pBdr>
          <w:top w:val="single" w:color="auto" w:sz="4" w:space="1"/>
          <w:left w:val="single" w:color="auto" w:sz="4" w:space="4"/>
          <w:bottom w:val="single" w:color="auto" w:sz="4" w:space="1"/>
          <w:right w:val="single" w:color="auto" w:sz="4" w:space="4"/>
        </w:pBd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项目概况</w:t>
      </w:r>
    </w:p>
    <w:p w14:paraId="0D808AE9">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CN"/>
        </w:rPr>
        <w:t>东阳市红会医院5G查房采购项目</w:t>
      </w:r>
      <w:r>
        <w:rPr>
          <w:rFonts w:hint="eastAsia" w:ascii="宋体" w:hAnsi="宋体" w:cs="宋体"/>
          <w:color w:val="auto"/>
          <w:sz w:val="24"/>
          <w:highlight w:val="none"/>
        </w:rPr>
        <w:t>的潜在投标人应在浙江政府采购网（http://zfcg.czt.zj.gov.cn/）；东阳市公共资源交易网(http://www.dongyang.gov.cn/ggzyjy/index.html)获取（下载）招标文件，并于</w:t>
      </w:r>
      <w:r>
        <w:rPr>
          <w:rFonts w:hint="eastAsia" w:ascii="宋体" w:hAnsi="宋体" w:cs="宋体"/>
          <w:color w:val="auto"/>
          <w:sz w:val="24"/>
          <w:highlight w:val="none"/>
          <w:lang w:eastAsia="zh-CN"/>
        </w:rPr>
        <w:t>2025年5月6日14时00分</w:t>
      </w:r>
      <w:r>
        <w:rPr>
          <w:rFonts w:hint="eastAsia" w:ascii="宋体" w:hAnsi="宋体" w:cs="宋体"/>
          <w:color w:val="auto"/>
          <w:sz w:val="24"/>
          <w:highlight w:val="none"/>
        </w:rPr>
        <w:t>（北京时间）前递交（上传）电子投标文件。</w:t>
      </w:r>
    </w:p>
    <w:p w14:paraId="4DF6996F">
      <w:pPr>
        <w:numPr>
          <w:ilvl w:val="0"/>
          <w:numId w:val="4"/>
        </w:numPr>
        <w:snapToGrid w:val="0"/>
        <w:spacing w:line="360" w:lineRule="auto"/>
        <w:rPr>
          <w:rFonts w:ascii="宋体" w:hAnsi="宋体" w:cs="宋体"/>
          <w:b/>
          <w:bCs/>
          <w:color w:val="auto"/>
          <w:sz w:val="24"/>
          <w:highlight w:val="none"/>
        </w:rPr>
      </w:pPr>
      <w:r>
        <w:rPr>
          <w:rFonts w:hint="eastAsia" w:ascii="宋体" w:hAnsi="宋体" w:cs="宋体"/>
          <w:b/>
          <w:bCs/>
          <w:color w:val="auto"/>
          <w:sz w:val="24"/>
          <w:highlight w:val="none"/>
        </w:rPr>
        <w:t>项目基本情况</w:t>
      </w:r>
    </w:p>
    <w:p w14:paraId="728AF8AA">
      <w:pPr>
        <w:keepNext w:val="0"/>
        <w:keepLines w:val="0"/>
        <w:pageBreakBefore w:val="0"/>
        <w:kinsoku/>
        <w:wordWrap/>
        <w:overflowPunct/>
        <w:topLinePunct w:val="0"/>
        <w:autoSpaceDE/>
        <w:autoSpaceDN/>
        <w:bidi w:val="0"/>
        <w:spacing w:line="384" w:lineRule="auto"/>
        <w:ind w:firstLine="482" w:firstLineChars="200"/>
        <w:textAlignment w:val="auto"/>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rPr>
        <w:t>项目编号：</w:t>
      </w:r>
      <w:r>
        <w:rPr>
          <w:rFonts w:hint="eastAsia" w:ascii="宋体" w:hAnsi="宋体" w:cs="宋体"/>
          <w:b/>
          <w:bCs/>
          <w:color w:val="auto"/>
          <w:sz w:val="24"/>
          <w:highlight w:val="none"/>
          <w:lang w:eastAsia="zh-CN"/>
        </w:rPr>
        <w:t>XSZFCGDZ2025-110改</w:t>
      </w:r>
    </w:p>
    <w:p w14:paraId="48A5B474">
      <w:pPr>
        <w:keepNext w:val="0"/>
        <w:keepLines w:val="0"/>
        <w:pageBreakBefore w:val="0"/>
        <w:kinsoku/>
        <w:wordWrap/>
        <w:overflowPunct/>
        <w:topLinePunct w:val="0"/>
        <w:autoSpaceDE/>
        <w:autoSpaceDN/>
        <w:bidi w:val="0"/>
        <w:spacing w:line="384" w:lineRule="auto"/>
        <w:ind w:firstLine="482" w:firstLineChars="200"/>
        <w:textAlignment w:val="auto"/>
        <w:rPr>
          <w:rFonts w:hint="eastAsia" w:ascii="宋体" w:hAnsi="宋体" w:eastAsia="宋体" w:cs="宋体"/>
          <w:color w:val="auto"/>
          <w:sz w:val="24"/>
          <w:highlight w:val="none"/>
          <w:lang w:eastAsia="zh-CN"/>
        </w:rPr>
      </w:pPr>
      <w:r>
        <w:rPr>
          <w:rFonts w:hint="eastAsia" w:ascii="宋体" w:hAnsi="宋体" w:cs="宋体"/>
          <w:b/>
          <w:bCs/>
          <w:color w:val="auto"/>
          <w:sz w:val="24"/>
          <w:highlight w:val="none"/>
        </w:rPr>
        <w:t>项目名称：</w:t>
      </w:r>
      <w:r>
        <w:rPr>
          <w:rFonts w:hint="eastAsia" w:ascii="宋体" w:hAnsi="宋体" w:cs="宋体"/>
          <w:b/>
          <w:bCs/>
          <w:color w:val="auto"/>
          <w:sz w:val="24"/>
          <w:highlight w:val="none"/>
          <w:lang w:eastAsia="zh-CN"/>
        </w:rPr>
        <w:t>东阳市红会医院5G查房采购项目</w:t>
      </w:r>
    </w:p>
    <w:p w14:paraId="747B9EB3">
      <w:pPr>
        <w:keepNext w:val="0"/>
        <w:keepLines w:val="0"/>
        <w:pageBreakBefore w:val="0"/>
        <w:kinsoku/>
        <w:wordWrap/>
        <w:overflowPunct/>
        <w:topLinePunct w:val="0"/>
        <w:autoSpaceDE/>
        <w:autoSpaceDN/>
        <w:bidi w:val="0"/>
        <w:spacing w:line="384" w:lineRule="auto"/>
        <w:ind w:firstLine="480" w:firstLineChars="200"/>
        <w:textAlignment w:val="auto"/>
        <w:rPr>
          <w:rFonts w:hint="eastAsia" w:ascii="宋体" w:hAnsi="宋体" w:cs="宋体"/>
          <w:bCs/>
          <w:color w:val="auto"/>
          <w:sz w:val="24"/>
          <w:highlight w:val="none"/>
        </w:rPr>
      </w:pPr>
      <w:r>
        <w:rPr>
          <w:rFonts w:hint="eastAsia" w:ascii="宋体" w:hAnsi="宋体" w:cs="宋体"/>
          <w:bCs/>
          <w:color w:val="auto"/>
          <w:sz w:val="24"/>
          <w:highlight w:val="none"/>
        </w:rPr>
        <w:t>预算金额（元）：</w:t>
      </w:r>
      <w:r>
        <w:rPr>
          <w:rFonts w:hint="eastAsia" w:ascii="宋体" w:hAnsi="宋体" w:cs="宋体"/>
          <w:bCs/>
          <w:color w:val="auto"/>
          <w:sz w:val="24"/>
          <w:highlight w:val="none"/>
          <w:lang w:eastAsia="zh-CN"/>
        </w:rPr>
        <w:t>1711000.00</w:t>
      </w:r>
      <w:r>
        <w:rPr>
          <w:rFonts w:hint="eastAsia" w:ascii="宋体" w:hAnsi="宋体" w:cs="宋体"/>
          <w:bCs/>
          <w:color w:val="auto"/>
          <w:sz w:val="24"/>
          <w:highlight w:val="none"/>
        </w:rPr>
        <w:t>；</w:t>
      </w:r>
    </w:p>
    <w:p w14:paraId="5CDD7DDA">
      <w:pPr>
        <w:keepNext w:val="0"/>
        <w:keepLines w:val="0"/>
        <w:pageBreakBefore w:val="0"/>
        <w:kinsoku/>
        <w:wordWrap/>
        <w:overflowPunct/>
        <w:topLinePunct w:val="0"/>
        <w:autoSpaceDE/>
        <w:autoSpaceDN/>
        <w:bidi w:val="0"/>
        <w:spacing w:line="384" w:lineRule="auto"/>
        <w:ind w:firstLine="480" w:firstLineChars="200"/>
        <w:textAlignment w:val="auto"/>
        <w:rPr>
          <w:color w:val="auto"/>
          <w:highlight w:val="none"/>
        </w:rPr>
      </w:pPr>
      <w:r>
        <w:rPr>
          <w:rFonts w:hint="eastAsia" w:ascii="宋体" w:hAnsi="宋体" w:cs="宋体"/>
          <w:bCs/>
          <w:color w:val="auto"/>
          <w:sz w:val="24"/>
          <w:highlight w:val="none"/>
        </w:rPr>
        <w:t>最高限价（元）：</w:t>
      </w:r>
      <w:r>
        <w:rPr>
          <w:rFonts w:hint="eastAsia" w:ascii="宋体" w:hAnsi="宋体" w:cs="宋体"/>
          <w:bCs/>
          <w:color w:val="auto"/>
          <w:sz w:val="24"/>
          <w:highlight w:val="none"/>
          <w:lang w:val="en-US" w:eastAsia="zh-CN"/>
        </w:rPr>
        <w:t>1580000</w:t>
      </w:r>
      <w:r>
        <w:rPr>
          <w:rFonts w:hint="eastAsia" w:ascii="宋体" w:hAnsi="宋体" w:cs="宋体"/>
          <w:bCs/>
          <w:color w:val="auto"/>
          <w:sz w:val="24"/>
          <w:highlight w:val="none"/>
          <w:lang w:eastAsia="zh-CN"/>
        </w:rPr>
        <w:t>.00</w:t>
      </w:r>
      <w:r>
        <w:rPr>
          <w:rFonts w:hint="eastAsia" w:ascii="宋体" w:hAnsi="宋体" w:cs="宋体"/>
          <w:bCs/>
          <w:color w:val="auto"/>
          <w:sz w:val="24"/>
          <w:highlight w:val="none"/>
        </w:rPr>
        <w:t>；</w:t>
      </w:r>
    </w:p>
    <w:p w14:paraId="2711E0FA">
      <w:pPr>
        <w:keepNext w:val="0"/>
        <w:keepLines w:val="0"/>
        <w:pageBreakBefore w:val="0"/>
        <w:kinsoku/>
        <w:wordWrap/>
        <w:overflowPunct/>
        <w:topLinePunct w:val="0"/>
        <w:autoSpaceDE/>
        <w:autoSpaceDN/>
        <w:bidi w:val="0"/>
        <w:spacing w:line="384" w:lineRule="auto"/>
        <w:ind w:firstLine="482" w:firstLineChars="200"/>
        <w:textAlignment w:val="auto"/>
        <w:rPr>
          <w:rFonts w:ascii="宋体" w:hAnsi="宋体" w:cs="宋体"/>
          <w:b/>
          <w:bCs/>
          <w:color w:val="auto"/>
          <w:sz w:val="24"/>
          <w:highlight w:val="none"/>
        </w:rPr>
      </w:pPr>
      <w:r>
        <w:rPr>
          <w:rFonts w:hint="eastAsia" w:ascii="宋体" w:hAnsi="宋体" w:cs="宋体"/>
          <w:b/>
          <w:bCs/>
          <w:color w:val="auto"/>
          <w:sz w:val="24"/>
          <w:highlight w:val="none"/>
        </w:rPr>
        <w:t>采购需求：</w:t>
      </w:r>
    </w:p>
    <w:p w14:paraId="07086BD3">
      <w:pPr>
        <w:pStyle w:val="4"/>
        <w:keepNext w:val="0"/>
        <w:keepLines w:val="0"/>
        <w:pageBreakBefore w:val="0"/>
        <w:kinsoku/>
        <w:wordWrap/>
        <w:overflowPunct/>
        <w:topLinePunct w:val="0"/>
        <w:autoSpaceDE/>
        <w:autoSpaceDN/>
        <w:bidi w:val="0"/>
        <w:spacing w:line="384" w:lineRule="auto"/>
        <w:ind w:firstLine="482" w:firstLineChars="200"/>
        <w:textAlignment w:val="auto"/>
        <w:rPr>
          <w:rFonts w:ascii="宋体" w:hAnsi="宋体" w:cs="宋体"/>
          <w:b/>
          <w:bCs/>
          <w:color w:val="auto"/>
          <w:sz w:val="24"/>
          <w:highlight w:val="none"/>
        </w:rPr>
      </w:pPr>
      <w:r>
        <w:rPr>
          <w:rFonts w:hint="eastAsia" w:ascii="宋体" w:hAnsi="宋体" w:cs="宋体"/>
          <w:b/>
          <w:bCs/>
          <w:color w:val="auto"/>
          <w:sz w:val="24"/>
          <w:highlight w:val="none"/>
        </w:rPr>
        <w:t>标项一：</w:t>
      </w:r>
      <w:r>
        <w:rPr>
          <w:rFonts w:ascii="宋体" w:hAnsi="宋体" w:cs="宋体"/>
          <w:b/>
          <w:bCs/>
          <w:color w:val="auto"/>
          <w:sz w:val="24"/>
          <w:highlight w:val="none"/>
        </w:rPr>
        <w:t xml:space="preserve"> </w:t>
      </w:r>
    </w:p>
    <w:p w14:paraId="6709AB0C">
      <w:pPr>
        <w:pStyle w:val="4"/>
        <w:keepNext w:val="0"/>
        <w:keepLines w:val="0"/>
        <w:pageBreakBefore w:val="0"/>
        <w:kinsoku/>
        <w:wordWrap/>
        <w:overflowPunct/>
        <w:topLinePunct w:val="0"/>
        <w:autoSpaceDE/>
        <w:autoSpaceDN/>
        <w:bidi w:val="0"/>
        <w:spacing w:line="384" w:lineRule="auto"/>
        <w:ind w:firstLine="480" w:firstLineChars="200"/>
        <w:textAlignment w:val="auto"/>
        <w:rPr>
          <w:rFonts w:hint="eastAsia" w:ascii="宋体" w:hAnsi="宋体" w:cs="宋体"/>
          <w:color w:val="auto"/>
          <w:sz w:val="24"/>
          <w:highlight w:val="none"/>
          <w:lang w:eastAsia="zh-CN"/>
        </w:rPr>
      </w:pPr>
      <w:r>
        <w:rPr>
          <w:rFonts w:hint="eastAsia" w:ascii="宋体" w:hAnsi="宋体" w:cs="宋体"/>
          <w:color w:val="auto"/>
          <w:sz w:val="24"/>
          <w:highlight w:val="none"/>
        </w:rPr>
        <w:t>标项名称：</w:t>
      </w:r>
      <w:r>
        <w:rPr>
          <w:rFonts w:hint="eastAsia" w:ascii="宋体" w:hAnsi="宋体" w:cs="宋体"/>
          <w:color w:val="auto"/>
          <w:sz w:val="24"/>
          <w:highlight w:val="none"/>
          <w:lang w:eastAsia="zh-CN"/>
        </w:rPr>
        <w:t>东阳市红会医院5G查房采购项目</w:t>
      </w:r>
    </w:p>
    <w:p w14:paraId="508D477E">
      <w:pPr>
        <w:pStyle w:val="4"/>
        <w:keepNext w:val="0"/>
        <w:keepLines w:val="0"/>
        <w:pageBreakBefore w:val="0"/>
        <w:kinsoku/>
        <w:wordWrap/>
        <w:overflowPunct/>
        <w:topLinePunct w:val="0"/>
        <w:autoSpaceDE/>
        <w:autoSpaceDN/>
        <w:bidi w:val="0"/>
        <w:spacing w:line="384"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数量：1</w:t>
      </w:r>
      <w:r>
        <w:rPr>
          <w:rFonts w:hint="eastAsia" w:ascii="宋体" w:hAnsi="宋体" w:cs="宋体"/>
          <w:color w:val="auto"/>
          <w:sz w:val="24"/>
          <w:highlight w:val="none"/>
          <w:lang w:val="en-US" w:eastAsia="zh-CN"/>
        </w:rPr>
        <w:t>套</w:t>
      </w:r>
    </w:p>
    <w:p w14:paraId="46291BCE">
      <w:pPr>
        <w:pStyle w:val="4"/>
        <w:keepNext w:val="0"/>
        <w:keepLines w:val="0"/>
        <w:pageBreakBefore w:val="0"/>
        <w:kinsoku/>
        <w:wordWrap/>
        <w:overflowPunct/>
        <w:topLinePunct w:val="0"/>
        <w:autoSpaceDE/>
        <w:autoSpaceDN/>
        <w:bidi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预算金额（元）：</w:t>
      </w:r>
      <w:r>
        <w:rPr>
          <w:rFonts w:hint="eastAsia" w:ascii="宋体" w:hAnsi="宋体" w:cs="宋体"/>
          <w:color w:val="auto"/>
          <w:sz w:val="24"/>
          <w:highlight w:val="none"/>
          <w:lang w:eastAsia="zh-CN"/>
        </w:rPr>
        <w:t>1711000.00</w:t>
      </w:r>
      <w:r>
        <w:rPr>
          <w:rFonts w:hint="eastAsia" w:ascii="宋体" w:hAnsi="宋体" w:cs="宋体"/>
          <w:color w:val="auto"/>
          <w:sz w:val="24"/>
          <w:highlight w:val="none"/>
        </w:rPr>
        <w:t>；</w:t>
      </w:r>
    </w:p>
    <w:p w14:paraId="1A854582">
      <w:pPr>
        <w:pStyle w:val="4"/>
        <w:keepNext w:val="0"/>
        <w:keepLines w:val="0"/>
        <w:pageBreakBefore w:val="0"/>
        <w:kinsoku/>
        <w:wordWrap/>
        <w:overflowPunct/>
        <w:topLinePunct w:val="0"/>
        <w:autoSpaceDE/>
        <w:autoSpaceDN/>
        <w:bidi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简要规格描述或项目基本概况介绍、用途：具体要求详见第二章招标需求</w:t>
      </w:r>
    </w:p>
    <w:p w14:paraId="741FCA3E">
      <w:pPr>
        <w:pStyle w:val="4"/>
        <w:keepNext w:val="0"/>
        <w:keepLines w:val="0"/>
        <w:pageBreakBefore w:val="0"/>
        <w:kinsoku/>
        <w:wordWrap/>
        <w:overflowPunct/>
        <w:topLinePunct w:val="0"/>
        <w:autoSpaceDE/>
        <w:autoSpaceDN/>
        <w:bidi w:val="0"/>
        <w:spacing w:line="384" w:lineRule="auto"/>
        <w:ind w:firstLine="480" w:firstLineChars="200"/>
        <w:textAlignment w:val="auto"/>
        <w:rPr>
          <w:rFonts w:hint="default" w:ascii="宋体" w:hAnsi="宋体" w:eastAsia="宋体" w:cs="宋体"/>
          <w:b w:val="0"/>
          <w:bCs w:val="0"/>
          <w:color w:val="auto"/>
          <w:sz w:val="24"/>
          <w:highlight w:val="none"/>
          <w:lang w:val="en-US" w:eastAsia="zh-CN"/>
        </w:rPr>
      </w:pPr>
      <w:r>
        <w:rPr>
          <w:rFonts w:hint="eastAsia" w:ascii="宋体" w:hAnsi="宋体" w:eastAsia="宋体" w:cs="宋体"/>
          <w:b w:val="0"/>
          <w:bCs w:val="0"/>
          <w:color w:val="auto"/>
          <w:sz w:val="24"/>
          <w:highlight w:val="none"/>
        </w:rPr>
        <w:t>备注：</w:t>
      </w:r>
    </w:p>
    <w:p w14:paraId="33676761">
      <w:pPr>
        <w:pStyle w:val="4"/>
        <w:keepNext w:val="0"/>
        <w:keepLines w:val="0"/>
        <w:pageBreakBefore w:val="0"/>
        <w:kinsoku/>
        <w:wordWrap/>
        <w:overflowPunct/>
        <w:topLinePunct w:val="0"/>
        <w:autoSpaceDE/>
        <w:autoSpaceDN/>
        <w:bidi w:val="0"/>
        <w:spacing w:line="384"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合同履约期限：详见招标文件</w:t>
      </w:r>
    </w:p>
    <w:p w14:paraId="5AFD3353">
      <w:pPr>
        <w:pStyle w:val="4"/>
        <w:keepNext w:val="0"/>
        <w:keepLines w:val="0"/>
        <w:pageBreakBefore w:val="0"/>
        <w:kinsoku/>
        <w:wordWrap/>
        <w:overflowPunct/>
        <w:topLinePunct w:val="0"/>
        <w:autoSpaceDE/>
        <w:autoSpaceDN/>
        <w:bidi w:val="0"/>
        <w:spacing w:line="384"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本项目（是）接受联合体投标</w:t>
      </w:r>
    </w:p>
    <w:p w14:paraId="45045729">
      <w:pPr>
        <w:keepNext w:val="0"/>
        <w:keepLines w:val="0"/>
        <w:pageBreakBefore w:val="0"/>
        <w:kinsoku/>
        <w:wordWrap/>
        <w:overflowPunct/>
        <w:topLinePunct w:val="0"/>
        <w:autoSpaceDE/>
        <w:autoSpaceDN/>
        <w:bidi w:val="0"/>
        <w:snapToGrid w:val="0"/>
        <w:spacing w:line="384" w:lineRule="auto"/>
        <w:textAlignment w:val="auto"/>
        <w:rPr>
          <w:rFonts w:ascii="宋体" w:hAnsi="宋体" w:cs="宋体"/>
          <w:b/>
          <w:bCs/>
          <w:color w:val="auto"/>
          <w:sz w:val="24"/>
          <w:highlight w:val="none"/>
        </w:rPr>
      </w:pPr>
      <w:r>
        <w:rPr>
          <w:rFonts w:hint="eastAsia" w:ascii="宋体" w:hAnsi="宋体" w:cs="宋体"/>
          <w:b/>
          <w:bCs/>
          <w:color w:val="auto"/>
          <w:sz w:val="24"/>
          <w:highlight w:val="none"/>
        </w:rPr>
        <w:t xml:space="preserve">▲二、申请人的资格要求： </w:t>
      </w:r>
    </w:p>
    <w:p w14:paraId="190B9908">
      <w:pPr>
        <w:pStyle w:val="4"/>
        <w:keepNext w:val="0"/>
        <w:keepLines w:val="0"/>
        <w:pageBreakBefore w:val="0"/>
        <w:kinsoku/>
        <w:wordWrap/>
        <w:overflowPunct/>
        <w:topLinePunct w:val="0"/>
        <w:autoSpaceDE/>
        <w:autoSpaceDN/>
        <w:bidi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333FD17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落实政府采购政策需满足的资格要求：本项目不限制大型企业和中小企业组成联合体投标，大型企业参与本项目投标的，必须以联合体或分包形式投标，且中小企业合同金额不小于40%。联合体投标/分包的须提供联合体协议/分包意向协议和中小企业声明函，联合体协议/分包意向协议中中小企业合同金额不小于40%，如果供应商本身提供所有标的均由中小企业制造、承建或承接，视同符合了资格条件，无需再与其他中小企业组成联合体/分包参加政府采购活动，无需提供联合体协议/分包意向协议。</w:t>
      </w:r>
    </w:p>
    <w:p w14:paraId="523BAD0A">
      <w:pPr>
        <w:pStyle w:val="4"/>
        <w:keepNext w:val="0"/>
        <w:keepLines w:val="0"/>
        <w:pageBreakBefore w:val="0"/>
        <w:kinsoku/>
        <w:wordWrap/>
        <w:overflowPunct/>
        <w:topLinePunct w:val="0"/>
        <w:autoSpaceDE/>
        <w:autoSpaceDN/>
        <w:bidi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3.本项目的特定资格要求：</w:t>
      </w:r>
    </w:p>
    <w:p w14:paraId="432D933C">
      <w:pPr>
        <w:keepNext w:val="0"/>
        <w:keepLines w:val="0"/>
        <w:pageBreakBefore w:val="0"/>
        <w:kinsoku/>
        <w:wordWrap/>
        <w:overflowPunct/>
        <w:topLinePunct w:val="0"/>
        <w:autoSpaceDE/>
        <w:autoSpaceDN/>
        <w:bidi w:val="0"/>
        <w:spacing w:line="384" w:lineRule="auto"/>
        <w:ind w:firstLine="240" w:firstLineChars="100"/>
        <w:textAlignment w:val="auto"/>
        <w:rPr>
          <w:rFonts w:hint="eastAsia" w:ascii="宋体" w:hAnsi="宋体" w:eastAsia="宋体" w:cs="宋体"/>
          <w:color w:val="auto"/>
          <w:sz w:val="24"/>
          <w:highlight w:val="none"/>
        </w:rPr>
      </w:pPr>
      <w:r>
        <w:rPr>
          <w:rFonts w:hint="eastAsia" w:ascii="宋体" w:hAnsi="宋体" w:cs="宋体"/>
          <w:color w:val="auto"/>
          <w:sz w:val="24"/>
          <w:highlight w:val="none"/>
        </w:rPr>
        <w:t>（1）</w:t>
      </w:r>
      <w:r>
        <w:rPr>
          <w:rFonts w:hint="eastAsia" w:ascii="宋体" w:hAnsi="宋体" w:eastAsia="宋体" w:cs="宋体"/>
          <w:color w:val="auto"/>
          <w:sz w:val="24"/>
          <w:highlight w:val="none"/>
        </w:rPr>
        <w:t>投标人须为浙江政府采购网注册的正式供应商或承诺中标后30天内注册为浙江政府采购网正式供应商。</w:t>
      </w:r>
    </w:p>
    <w:p w14:paraId="54AF0605">
      <w:pPr>
        <w:keepNext w:val="0"/>
        <w:keepLines w:val="0"/>
        <w:pageBreakBefore w:val="0"/>
        <w:kinsoku/>
        <w:wordWrap/>
        <w:overflowPunct/>
        <w:topLinePunct w:val="0"/>
        <w:autoSpaceDE/>
        <w:autoSpaceDN/>
        <w:bidi w:val="0"/>
        <w:snapToGrid w:val="0"/>
        <w:spacing w:line="384" w:lineRule="auto"/>
        <w:textAlignment w:val="auto"/>
        <w:rPr>
          <w:rFonts w:ascii="宋体" w:hAnsi="宋体" w:cs="宋体"/>
          <w:b/>
          <w:bCs/>
          <w:color w:val="auto"/>
          <w:sz w:val="24"/>
          <w:highlight w:val="none"/>
        </w:rPr>
      </w:pPr>
      <w:r>
        <w:rPr>
          <w:rFonts w:hint="eastAsia" w:ascii="宋体" w:hAnsi="宋体" w:cs="宋体"/>
          <w:b/>
          <w:bCs/>
          <w:color w:val="auto"/>
          <w:sz w:val="24"/>
          <w:highlight w:val="none"/>
        </w:rPr>
        <w:t xml:space="preserve">▲三、获取招标文件： </w:t>
      </w:r>
    </w:p>
    <w:p w14:paraId="45F958B6">
      <w:pPr>
        <w:keepNext w:val="0"/>
        <w:keepLines w:val="0"/>
        <w:pageBreakBefore w:val="0"/>
        <w:kinsoku/>
        <w:wordWrap/>
        <w:overflowPunct/>
        <w:topLinePunct w:val="0"/>
        <w:autoSpaceDE/>
        <w:autoSpaceDN/>
        <w:bidi w:val="0"/>
        <w:spacing w:line="384" w:lineRule="auto"/>
        <w:ind w:firstLine="640"/>
        <w:textAlignment w:val="auto"/>
        <w:rPr>
          <w:rFonts w:ascii="宋体" w:hAnsi="宋体" w:cs="宋体"/>
          <w:color w:val="auto"/>
          <w:sz w:val="24"/>
          <w:highlight w:val="none"/>
        </w:rPr>
      </w:pPr>
      <w:r>
        <w:rPr>
          <w:rFonts w:hint="eastAsia" w:ascii="宋体" w:hAnsi="宋体" w:cs="宋体"/>
          <w:color w:val="auto"/>
          <w:sz w:val="24"/>
          <w:highlight w:val="none"/>
        </w:rPr>
        <w:t>时间：/至</w:t>
      </w:r>
      <w:r>
        <w:rPr>
          <w:rFonts w:hint="eastAsia" w:ascii="宋体" w:hAnsi="宋体" w:cs="宋体"/>
          <w:color w:val="auto"/>
          <w:sz w:val="24"/>
          <w:highlight w:val="none"/>
          <w:lang w:eastAsia="zh-CN"/>
        </w:rPr>
        <w:t>2025年5月6日14时00分</w:t>
      </w:r>
      <w:r>
        <w:rPr>
          <w:rFonts w:hint="eastAsia" w:ascii="宋体" w:hAnsi="宋体" w:cs="宋体"/>
          <w:color w:val="auto"/>
          <w:sz w:val="24"/>
          <w:highlight w:val="none"/>
        </w:rPr>
        <w:t>，每天上午00：00至12:00，下午12:00至23:59（北京时间，线上获取法定节假日均可，线下获取文件法定节假日除外）</w:t>
      </w:r>
    </w:p>
    <w:p w14:paraId="2A7174DD">
      <w:pPr>
        <w:keepNext w:val="0"/>
        <w:keepLines w:val="0"/>
        <w:pageBreakBefore w:val="0"/>
        <w:kinsoku/>
        <w:wordWrap/>
        <w:overflowPunct/>
        <w:topLinePunct w:val="0"/>
        <w:autoSpaceDE/>
        <w:autoSpaceDN/>
        <w:bidi w:val="0"/>
        <w:spacing w:line="384" w:lineRule="auto"/>
        <w:ind w:firstLine="640"/>
        <w:textAlignment w:val="auto"/>
        <w:rPr>
          <w:rFonts w:ascii="宋体" w:hAnsi="宋体" w:cs="宋体"/>
          <w:color w:val="auto"/>
          <w:sz w:val="24"/>
          <w:highlight w:val="none"/>
        </w:rPr>
      </w:pPr>
      <w:r>
        <w:rPr>
          <w:rFonts w:hint="eastAsia" w:ascii="宋体" w:hAnsi="宋体" w:cs="宋体"/>
          <w:color w:val="auto"/>
          <w:sz w:val="24"/>
          <w:highlight w:val="none"/>
        </w:rPr>
        <w:t>地点（网址）：浙江政府采购网（http://zfcg.czt.zj.gov.cn/）； 东阳市公共资源交易网(http://www.dongyang.gov.cn/ggzyjy/index.html)</w:t>
      </w:r>
    </w:p>
    <w:p w14:paraId="7A9BC0A0">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方式：1、由投标人通过登录浙江省政府采购网(http://zfcg.czt.zj.gov.cn/)上的政采云系统进行获取（首次参加投标的单位应先登录浙江省政府采购网(http://zfcg.czt.zj.gov.cn/)进行账户注册，注册完毕待审核成功后方可登录政采云系统获取；注册流程见网址</w:t>
      </w:r>
    </w:p>
    <w:p w14:paraId="2ABDEBB6">
      <w:pPr>
        <w:keepNext w:val="0"/>
        <w:keepLines w:val="0"/>
        <w:pageBreakBefore w:val="0"/>
        <w:kinsoku/>
        <w:wordWrap/>
        <w:overflowPunct/>
        <w:topLinePunct w:val="0"/>
        <w:autoSpaceDE/>
        <w:autoSpaceDN/>
        <w:bidi w:val="0"/>
        <w:snapToGrid w:val="0"/>
        <w:spacing w:line="384" w:lineRule="auto"/>
        <w:textAlignment w:val="auto"/>
        <w:rPr>
          <w:rFonts w:ascii="宋体" w:hAnsi="宋体" w:cs="宋体"/>
          <w:color w:val="auto"/>
          <w:sz w:val="24"/>
          <w:highlight w:val="none"/>
        </w:rPr>
      </w:pPr>
      <w:r>
        <w:rPr>
          <w:rFonts w:hint="eastAsia" w:ascii="宋体" w:hAnsi="宋体" w:cs="宋体"/>
          <w:color w:val="auto"/>
          <w:sz w:val="24"/>
          <w:highlight w:val="none"/>
        </w:rPr>
        <w:t>http://zfcg.czt.zj.gov.cn/register/2017-07-24/6728.html?_=2017-11-13%2011:10:28）；</w:t>
      </w:r>
    </w:p>
    <w:p w14:paraId="05882E6F">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2、招标文件获取流程：浙江政府采购网-政采云用户登录-用户中心-项目采购-获取采购文件管理。</w:t>
      </w:r>
    </w:p>
    <w:p w14:paraId="1E2DE9A1">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3、浙江政府采购网上以“游客”身份获取的采购文件仅供阅览；潜在供应商应按上述方式获取采购文件；未按上述方式获取采购文件的，不得对采购文件提起质疑投诉。</w:t>
      </w:r>
    </w:p>
    <w:p w14:paraId="0D76349A">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 售价（元）：0</w:t>
      </w:r>
    </w:p>
    <w:p w14:paraId="654C285A">
      <w:pPr>
        <w:keepNext w:val="0"/>
        <w:keepLines w:val="0"/>
        <w:pageBreakBefore w:val="0"/>
        <w:kinsoku/>
        <w:wordWrap/>
        <w:overflowPunct/>
        <w:topLinePunct w:val="0"/>
        <w:autoSpaceDE/>
        <w:autoSpaceDN/>
        <w:bidi w:val="0"/>
        <w:snapToGrid w:val="0"/>
        <w:spacing w:line="384" w:lineRule="auto"/>
        <w:textAlignment w:val="auto"/>
        <w:rPr>
          <w:rFonts w:ascii="宋体" w:hAnsi="宋体" w:cs="宋体"/>
          <w:b/>
          <w:bCs/>
          <w:color w:val="auto"/>
          <w:sz w:val="24"/>
          <w:highlight w:val="none"/>
        </w:rPr>
      </w:pPr>
      <w:r>
        <w:rPr>
          <w:rFonts w:hint="eastAsia" w:ascii="宋体" w:hAnsi="宋体" w:cs="宋体"/>
          <w:b/>
          <w:bCs/>
          <w:color w:val="auto"/>
          <w:sz w:val="24"/>
          <w:highlight w:val="none"/>
        </w:rPr>
        <w:t>四、提交投标文件截止时间、开标时间和地点</w:t>
      </w:r>
    </w:p>
    <w:p w14:paraId="2FF8802A">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提交投标文件截止时间：</w:t>
      </w:r>
      <w:r>
        <w:rPr>
          <w:rFonts w:hint="eastAsia" w:ascii="宋体" w:hAnsi="宋体" w:cs="宋体"/>
          <w:color w:val="auto"/>
          <w:sz w:val="24"/>
          <w:highlight w:val="none"/>
          <w:lang w:eastAsia="zh-CN"/>
        </w:rPr>
        <w:t>2025年5月6日14时00分</w:t>
      </w:r>
      <w:r>
        <w:rPr>
          <w:rFonts w:hint="eastAsia" w:ascii="宋体" w:hAnsi="宋体" w:cs="宋体"/>
          <w:color w:val="auto"/>
          <w:sz w:val="24"/>
          <w:highlight w:val="none"/>
        </w:rPr>
        <w:t>（北京时间）</w:t>
      </w:r>
    </w:p>
    <w:p w14:paraId="332DD8C1">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投标地点（网址）：政采云平台</w:t>
      </w:r>
    </w:p>
    <w:p w14:paraId="6E4C1100">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开标时间：</w:t>
      </w:r>
      <w:r>
        <w:rPr>
          <w:rFonts w:hint="eastAsia" w:ascii="宋体" w:hAnsi="宋体" w:cs="宋体"/>
          <w:color w:val="auto"/>
          <w:sz w:val="24"/>
          <w:highlight w:val="none"/>
          <w:lang w:eastAsia="zh-CN"/>
        </w:rPr>
        <w:t>2025年5月6日14时00分</w:t>
      </w:r>
    </w:p>
    <w:p w14:paraId="27E44777">
      <w:pPr>
        <w:keepNext w:val="0"/>
        <w:keepLines w:val="0"/>
        <w:pageBreakBefore w:val="0"/>
        <w:kinsoku/>
        <w:wordWrap/>
        <w:overflowPunct/>
        <w:topLinePunct w:val="0"/>
        <w:autoSpaceDE/>
        <w:autoSpaceDN/>
        <w:bidi w:val="0"/>
        <w:snapToGrid w:val="0"/>
        <w:spacing w:line="384" w:lineRule="auto"/>
        <w:ind w:firstLine="481"/>
        <w:textAlignment w:val="auto"/>
        <w:rPr>
          <w:rFonts w:ascii="宋体" w:hAnsi="宋体" w:cs="宋体"/>
          <w:b/>
          <w:bCs/>
          <w:color w:val="auto"/>
          <w:sz w:val="24"/>
          <w:highlight w:val="none"/>
        </w:rPr>
      </w:pPr>
      <w:r>
        <w:rPr>
          <w:rFonts w:hint="eastAsia" w:ascii="宋体" w:hAnsi="宋体" w:cs="宋体"/>
          <w:color w:val="auto"/>
          <w:sz w:val="24"/>
          <w:highlight w:val="none"/>
        </w:rPr>
        <w:t>开标地点（网址）：政采云平台</w:t>
      </w:r>
    </w:p>
    <w:p w14:paraId="177CAEF4">
      <w:pPr>
        <w:keepNext w:val="0"/>
        <w:keepLines w:val="0"/>
        <w:pageBreakBefore w:val="0"/>
        <w:numPr>
          <w:ilvl w:val="0"/>
          <w:numId w:val="5"/>
        </w:numPr>
        <w:kinsoku/>
        <w:wordWrap/>
        <w:overflowPunct/>
        <w:topLinePunct w:val="0"/>
        <w:autoSpaceDE/>
        <w:autoSpaceDN/>
        <w:bidi w:val="0"/>
        <w:snapToGrid w:val="0"/>
        <w:spacing w:line="384" w:lineRule="auto"/>
        <w:textAlignment w:val="auto"/>
        <w:rPr>
          <w:rFonts w:ascii="宋体" w:hAnsi="宋体" w:cs="宋体"/>
          <w:b/>
          <w:bCs/>
          <w:color w:val="auto"/>
          <w:sz w:val="24"/>
          <w:highlight w:val="none"/>
        </w:rPr>
      </w:pPr>
      <w:r>
        <w:rPr>
          <w:rFonts w:hint="eastAsia" w:ascii="宋体" w:hAnsi="宋体" w:cs="宋体"/>
          <w:b/>
          <w:bCs/>
          <w:color w:val="auto"/>
          <w:sz w:val="24"/>
          <w:highlight w:val="none"/>
        </w:rPr>
        <w:t>采购意向公开链接</w:t>
      </w:r>
    </w:p>
    <w:p w14:paraId="480CCFCA">
      <w:pPr>
        <w:keepNext w:val="0"/>
        <w:keepLines w:val="0"/>
        <w:pageBreakBefore w:val="0"/>
        <w:kinsoku/>
        <w:wordWrap/>
        <w:overflowPunct/>
        <w:topLinePunct w:val="0"/>
        <w:autoSpaceDE/>
        <w:autoSpaceDN/>
        <w:bidi w:val="0"/>
        <w:snapToGrid w:val="0"/>
        <w:spacing w:line="384" w:lineRule="auto"/>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fldChar w:fldCharType="begin"/>
      </w:r>
      <w:r>
        <w:rPr>
          <w:rFonts w:hint="eastAsia" w:ascii="宋体" w:hAnsi="宋体" w:cs="宋体"/>
          <w:b/>
          <w:bCs/>
          <w:color w:val="auto"/>
          <w:sz w:val="24"/>
          <w:highlight w:val="none"/>
        </w:rPr>
        <w:instrText xml:space="preserve"> HYPERLINK "https://zfcg.czt.zj.gov.cn/luban/detail?parentId=600007&amp;articleId=gPKVwVf8LYhzXVqTUjdCfg==&amp;utm=web-micro-app-back-front.6da13629.0.0.66a6c450ed9511efbaf3077401308cae" </w:instrText>
      </w:r>
      <w:r>
        <w:rPr>
          <w:rFonts w:hint="eastAsia" w:ascii="宋体" w:hAnsi="宋体" w:cs="宋体"/>
          <w:b/>
          <w:bCs/>
          <w:color w:val="auto"/>
          <w:sz w:val="24"/>
          <w:highlight w:val="none"/>
        </w:rPr>
        <w:fldChar w:fldCharType="separate"/>
      </w:r>
      <w:r>
        <w:rPr>
          <w:rStyle w:val="47"/>
          <w:rFonts w:hint="eastAsia" w:ascii="宋体" w:hAnsi="宋体" w:cs="宋体"/>
          <w:b/>
          <w:bCs/>
          <w:color w:val="auto"/>
          <w:sz w:val="24"/>
          <w:highlight w:val="none"/>
        </w:rPr>
        <w:t>https://zfcg.czt.zj.gov.cn/luban/detail?parentId=600007&amp;articleId=gPKVwVf8LYhzXVqTUjdCfg==&amp;utm=web-micro-app-back-front.6da13629.0.0.66a6c450ed9511efbaf3077401308cae</w:t>
      </w:r>
      <w:r>
        <w:rPr>
          <w:rFonts w:hint="eastAsia" w:ascii="宋体" w:hAnsi="宋体" w:cs="宋体"/>
          <w:b/>
          <w:bCs/>
          <w:color w:val="auto"/>
          <w:sz w:val="24"/>
          <w:highlight w:val="none"/>
        </w:rPr>
        <w:fldChar w:fldCharType="end"/>
      </w:r>
    </w:p>
    <w:p w14:paraId="3127A044">
      <w:pPr>
        <w:keepNext w:val="0"/>
        <w:keepLines w:val="0"/>
        <w:pageBreakBefore w:val="0"/>
        <w:kinsoku/>
        <w:wordWrap/>
        <w:overflowPunct/>
        <w:topLinePunct w:val="0"/>
        <w:autoSpaceDE/>
        <w:autoSpaceDN/>
        <w:bidi w:val="0"/>
        <w:snapToGrid w:val="0"/>
        <w:spacing w:line="384" w:lineRule="auto"/>
        <w:textAlignment w:val="auto"/>
        <w:rPr>
          <w:rFonts w:ascii="宋体" w:hAnsi="宋体" w:cs="宋体"/>
          <w:b/>
          <w:bCs/>
          <w:color w:val="auto"/>
          <w:sz w:val="24"/>
          <w:highlight w:val="none"/>
        </w:rPr>
      </w:pPr>
      <w:r>
        <w:rPr>
          <w:rFonts w:hint="eastAsia" w:ascii="宋体" w:hAnsi="宋体" w:cs="宋体"/>
          <w:b/>
          <w:bCs/>
          <w:color w:val="auto"/>
          <w:sz w:val="24"/>
          <w:highlight w:val="none"/>
        </w:rPr>
        <w:t>六、公告期限</w:t>
      </w:r>
    </w:p>
    <w:p w14:paraId="737360E5">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2ACE412A">
      <w:pPr>
        <w:keepNext w:val="0"/>
        <w:keepLines w:val="0"/>
        <w:pageBreakBefore w:val="0"/>
        <w:kinsoku/>
        <w:wordWrap/>
        <w:overflowPunct/>
        <w:topLinePunct w:val="0"/>
        <w:autoSpaceDE/>
        <w:autoSpaceDN/>
        <w:bidi w:val="0"/>
        <w:snapToGrid w:val="0"/>
        <w:spacing w:line="384" w:lineRule="auto"/>
        <w:textAlignment w:val="auto"/>
        <w:rPr>
          <w:rFonts w:ascii="宋体" w:hAnsi="宋体" w:cs="宋体"/>
          <w:b/>
          <w:bCs/>
          <w:color w:val="auto"/>
          <w:sz w:val="24"/>
          <w:highlight w:val="none"/>
        </w:rPr>
      </w:pPr>
      <w:r>
        <w:rPr>
          <w:rFonts w:hint="eastAsia" w:ascii="宋体" w:hAnsi="宋体" w:cs="宋体"/>
          <w:b/>
          <w:bCs/>
          <w:color w:val="auto"/>
          <w:sz w:val="24"/>
          <w:highlight w:val="none"/>
        </w:rPr>
        <w:t>七、其他补充事宜</w:t>
      </w:r>
    </w:p>
    <w:p w14:paraId="5AFFC85C">
      <w:pPr>
        <w:pStyle w:val="36"/>
        <w:keepNext w:val="0"/>
        <w:keepLines w:val="0"/>
        <w:pageBreakBefore w:val="0"/>
        <w:kinsoku/>
        <w:wordWrap/>
        <w:overflowPunct/>
        <w:topLinePunct w:val="0"/>
        <w:autoSpaceDE/>
        <w:autoSpaceDN/>
        <w:bidi w:val="0"/>
        <w:adjustRightInd w:val="0"/>
        <w:snapToGrid w:val="0"/>
        <w:spacing w:line="384" w:lineRule="auto"/>
        <w:textAlignment w:val="auto"/>
        <w:rPr>
          <w:color w:val="auto"/>
          <w:kern w:val="2"/>
          <w:highlight w:val="none"/>
        </w:rPr>
      </w:pPr>
      <w:r>
        <w:rPr>
          <w:rFonts w:hint="eastAsia"/>
          <w:color w:val="auto"/>
          <w:highlight w:val="none"/>
        </w:rPr>
        <w:t xml:space="preserve">  </w:t>
      </w:r>
      <w:bookmarkStart w:id="1" w:name="_Toc28359085"/>
      <w:bookmarkStart w:id="2" w:name="_Toc35393796"/>
      <w:bookmarkStart w:id="3" w:name="_Toc35393627"/>
      <w:bookmarkStart w:id="4" w:name="_Toc28359008"/>
      <w:r>
        <w:rPr>
          <w:rFonts w:hint="eastAsia"/>
          <w:color w:val="auto"/>
          <w:highlight w:val="none"/>
        </w:rPr>
        <w:t xml:space="preserve">  </w:t>
      </w:r>
      <w:r>
        <w:rPr>
          <w:rFonts w:hint="eastAsia"/>
          <w:color w:val="auto"/>
          <w:kern w:val="2"/>
          <w:highlight w:val="none"/>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D2BEA31">
      <w:pPr>
        <w:pStyle w:val="36"/>
        <w:keepNext w:val="0"/>
        <w:keepLines w:val="0"/>
        <w:pageBreakBefore w:val="0"/>
        <w:kinsoku/>
        <w:wordWrap/>
        <w:overflowPunct/>
        <w:topLinePunct w:val="0"/>
        <w:autoSpaceDE/>
        <w:autoSpaceDN/>
        <w:bidi w:val="0"/>
        <w:adjustRightInd w:val="0"/>
        <w:snapToGrid w:val="0"/>
        <w:spacing w:line="384" w:lineRule="auto"/>
        <w:ind w:firstLine="480" w:firstLineChars="200"/>
        <w:jc w:val="both"/>
        <w:textAlignment w:val="auto"/>
        <w:rPr>
          <w:color w:val="auto"/>
          <w:kern w:val="2"/>
          <w:highlight w:val="none"/>
        </w:rPr>
      </w:pPr>
      <w:r>
        <w:rPr>
          <w:rFonts w:hint="eastAsia"/>
          <w:color w:val="auto"/>
          <w:kern w:val="2"/>
          <w:highlight w:val="none"/>
        </w:rPr>
        <w:t>2、其他事项：1.《浙江省财政厅关于进一步发挥政府采购政策功能全力推动经济稳进提质的通知》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 助力扎实稳住经济的通知》（浙财采监〔2022〕8号）已分别于2022年1月29日、2022年2月1日和2022年7月1日开始实施，此前有关规定与上述文件内容不一致的，按上述文件要求执行。</w:t>
      </w:r>
    </w:p>
    <w:p w14:paraId="329DB5A0">
      <w:pPr>
        <w:pStyle w:val="36"/>
        <w:keepNext w:val="0"/>
        <w:keepLines w:val="0"/>
        <w:pageBreakBefore w:val="0"/>
        <w:kinsoku/>
        <w:wordWrap/>
        <w:overflowPunct/>
        <w:topLinePunct w:val="0"/>
        <w:autoSpaceDE/>
        <w:autoSpaceDN/>
        <w:bidi w:val="0"/>
        <w:adjustRightInd w:val="0"/>
        <w:snapToGrid w:val="0"/>
        <w:spacing w:line="384" w:lineRule="auto"/>
        <w:ind w:firstLine="240" w:firstLineChars="100"/>
        <w:jc w:val="both"/>
        <w:textAlignment w:val="auto"/>
        <w:rPr>
          <w:color w:val="auto"/>
          <w:kern w:val="2"/>
          <w:highlight w:val="none"/>
        </w:rPr>
      </w:pPr>
      <w:r>
        <w:rPr>
          <w:rFonts w:hint="eastAsia"/>
          <w:color w:val="auto"/>
          <w:kern w:val="2"/>
          <w:highlight w:val="none"/>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A7766C8">
      <w:pPr>
        <w:keepNext w:val="0"/>
        <w:keepLines w:val="0"/>
        <w:pageBreakBefore w:val="0"/>
        <w:kinsoku/>
        <w:wordWrap/>
        <w:overflowPunct/>
        <w:topLinePunct w:val="0"/>
        <w:autoSpaceDE/>
        <w:autoSpaceDN/>
        <w:bidi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https://zfcg.czt.zj.gov.cn)的中小企业信用融资栏目了解相关信息。 供应商可以通过浙江政府采购网(https://zfcg. czt.zj. gov.cn/)首页的“浙江政采贷”模块进入申请，还可以通过政府采购云平台(https://wwwzcygov.cn/)首页的“金融服务”模块进入申请。</w:t>
      </w:r>
    </w:p>
    <w:p w14:paraId="58DB4042">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4.根据《浙江省财政厅关于进一步加大政府采购支持中小企业力度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35303483">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5.本项目实行电子投标，投标文件应按照本项目招标文件和政采云平台的要求编制、加密并递交。投标人在使用系统进行投标的过程中遇到涉及平台使用的任何问题，可致电政采云平台技术支持热线咨询，联系方式：</w:t>
      </w:r>
      <w:r>
        <w:rPr>
          <w:rFonts w:ascii="宋体" w:hAnsi="宋体" w:cs="宋体"/>
          <w:color w:val="auto"/>
          <w:sz w:val="24"/>
          <w:highlight w:val="none"/>
        </w:rPr>
        <w:t>95763</w:t>
      </w:r>
      <w:r>
        <w:rPr>
          <w:rFonts w:hint="eastAsia" w:ascii="宋体" w:hAnsi="宋体" w:cs="宋体"/>
          <w:color w:val="auto"/>
          <w:sz w:val="24"/>
          <w:highlight w:val="none"/>
        </w:rPr>
        <w:t>。</w:t>
      </w:r>
    </w:p>
    <w:p w14:paraId="1F87E1EB">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6. 投 标 人 应 在 开 标 前 完 成 CA 数 字 证 书 办 理 。 （ 办 理 流 程 详 见http://zfcg.czt.zj.gov.cn/bidClientTemplate/2019-05-27/12945.html）。完成 CA 数字证书办理预计一周左右，建议各投标人抓紧时间办理。</w:t>
      </w:r>
    </w:p>
    <w:p w14:paraId="73D6998B">
      <w:pPr>
        <w:keepNext w:val="0"/>
        <w:keepLines w:val="0"/>
        <w:pageBreakBefore w:val="0"/>
        <w:kinsoku/>
        <w:wordWrap/>
        <w:overflowPunct/>
        <w:topLinePunct w:val="0"/>
        <w:autoSpaceDE/>
        <w:autoSpaceDN/>
        <w:bidi w:val="0"/>
        <w:snapToGrid w:val="0"/>
        <w:spacing w:line="384"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7.投标人通过政采云平台电子投标工具制作投标文件，电子投标工具请供应商自行前往浙江省政府采购网下载并安装，（下载网址：http://zfcg.czt.zj.gov.cn/bidClientTemplate/2019-08-30/12975.html），</w:t>
      </w:r>
    </w:p>
    <w:p w14:paraId="09D5D9C9">
      <w:pPr>
        <w:keepNext w:val="0"/>
        <w:keepLines w:val="0"/>
        <w:pageBreakBefore w:val="0"/>
        <w:kinsoku/>
        <w:wordWrap/>
        <w:overflowPunct/>
        <w:topLinePunct w:val="0"/>
        <w:autoSpaceDE/>
        <w:autoSpaceDN/>
        <w:bidi w:val="0"/>
        <w:snapToGrid w:val="0"/>
        <w:spacing w:line="384" w:lineRule="auto"/>
        <w:textAlignment w:val="auto"/>
        <w:rPr>
          <w:rStyle w:val="47"/>
          <w:rFonts w:ascii="宋体" w:hAnsi="宋体" w:cs="宋体"/>
          <w:color w:val="auto"/>
          <w:sz w:val="24"/>
          <w:highlight w:val="none"/>
        </w:rPr>
      </w:pPr>
      <w:r>
        <w:rPr>
          <w:rFonts w:hint="eastAsia" w:ascii="宋体" w:hAnsi="宋体" w:cs="宋体"/>
          <w:color w:val="auto"/>
          <w:sz w:val="24"/>
          <w:highlight w:val="none"/>
        </w:rPr>
        <w:t xml:space="preserve">（ 电 子 投 标 相 关 学 习 网 址 ： </w:t>
      </w:r>
      <w:r>
        <w:rPr>
          <w:color w:val="auto"/>
          <w:highlight w:val="none"/>
        </w:rPr>
        <w:fldChar w:fldCharType="begin"/>
      </w:r>
      <w:r>
        <w:rPr>
          <w:color w:val="auto"/>
          <w:highlight w:val="none"/>
        </w:rPr>
        <w:instrText xml:space="preserve"> HYPERLINK "https://edu.zcygov.cn/luban/e-biding?utm=a0004.2ef5001f.0001.0109.2d44db10df9111e9b92b0f36d4889416。）" </w:instrText>
      </w:r>
      <w:r>
        <w:rPr>
          <w:color w:val="auto"/>
          <w:highlight w:val="none"/>
        </w:rPr>
        <w:fldChar w:fldCharType="separate"/>
      </w:r>
      <w:r>
        <w:rPr>
          <w:rStyle w:val="47"/>
          <w:rFonts w:hint="eastAsia" w:ascii="宋体" w:hAnsi="宋体" w:cs="宋体"/>
          <w:color w:val="auto"/>
          <w:sz w:val="24"/>
          <w:highlight w:val="none"/>
        </w:rPr>
        <w:t>https://edu.zcygov.cn/luban/e-biding?utm=a0004.2ef5001f.0001.0109.2d44db10df9111e9b92b0f36d4889416。）</w:t>
      </w:r>
      <w:r>
        <w:rPr>
          <w:rStyle w:val="47"/>
          <w:rFonts w:hint="eastAsia" w:ascii="宋体" w:hAnsi="宋体" w:cs="宋体"/>
          <w:color w:val="auto"/>
          <w:sz w:val="24"/>
          <w:highlight w:val="none"/>
        </w:rPr>
        <w:fldChar w:fldCharType="end"/>
      </w:r>
    </w:p>
    <w:p w14:paraId="65CF6621">
      <w:pPr>
        <w:keepNext w:val="0"/>
        <w:keepLines w:val="0"/>
        <w:pageBreakBefore w:val="0"/>
        <w:kinsoku/>
        <w:wordWrap/>
        <w:overflowPunct/>
        <w:topLinePunct w:val="0"/>
        <w:autoSpaceDE/>
        <w:autoSpaceDN/>
        <w:bidi w:val="0"/>
        <w:spacing w:line="384" w:lineRule="auto"/>
        <w:ind w:firstLine="482" w:firstLineChars="200"/>
        <w:textAlignment w:val="auto"/>
        <w:rPr>
          <w:rFonts w:ascii="宋体" w:hAnsi="宋体" w:cs="宋体"/>
          <w:b/>
          <w:bCs/>
          <w:color w:val="auto"/>
          <w:sz w:val="24"/>
          <w:highlight w:val="none"/>
        </w:rPr>
      </w:pPr>
      <w:r>
        <w:rPr>
          <w:rFonts w:hint="eastAsia" w:ascii="宋体" w:hAnsi="宋体" w:cs="宋体"/>
          <w:b/>
          <w:bCs/>
          <w:color w:val="auto"/>
          <w:sz w:val="24"/>
          <w:highlight w:val="none"/>
        </w:rPr>
        <w:t>8</w:t>
      </w:r>
      <w:r>
        <w:rPr>
          <w:rFonts w:hint="eastAsia" w:ascii="宋体" w:hAnsi="宋体" w:cs="宋体"/>
          <w:color w:val="auto"/>
          <w:sz w:val="24"/>
          <w:highlight w:val="none"/>
        </w:rPr>
        <w:t>.</w:t>
      </w:r>
      <w:r>
        <w:rPr>
          <w:rFonts w:hint="eastAsia" w:ascii="宋体" w:hAnsi="宋体" w:cs="宋体"/>
          <w:b/>
          <w:bCs/>
          <w:color w:val="auto"/>
          <w:sz w:val="24"/>
          <w:highlight w:val="none"/>
        </w:rPr>
        <w:t xml:space="preserve">政府采购金融服务提示：为扩大政府采购金融服务面，除政采云网上金融服务合作银行外，东阳市范围内增加浙商银行金华分行东阳支行作为线下合作银行。   </w:t>
      </w:r>
    </w:p>
    <w:p w14:paraId="24D5154E">
      <w:pPr>
        <w:keepNext w:val="0"/>
        <w:keepLines w:val="0"/>
        <w:pageBreakBefore w:val="0"/>
        <w:kinsoku/>
        <w:wordWrap/>
        <w:overflowPunct/>
        <w:topLinePunct w:val="0"/>
        <w:autoSpaceDE/>
        <w:autoSpaceDN/>
        <w:bidi w:val="0"/>
        <w:spacing w:line="384" w:lineRule="auto"/>
        <w:ind w:firstLine="482" w:firstLineChars="200"/>
        <w:textAlignment w:val="auto"/>
        <w:rPr>
          <w:rFonts w:ascii="宋体" w:hAnsi="宋体" w:cs="宋体"/>
          <w:b/>
          <w:bCs/>
          <w:color w:val="auto"/>
          <w:sz w:val="24"/>
          <w:highlight w:val="none"/>
        </w:rPr>
      </w:pPr>
      <w:r>
        <w:rPr>
          <w:rFonts w:hint="eastAsia" w:ascii="宋体" w:hAnsi="宋体" w:cs="宋体"/>
          <w:b/>
          <w:bCs/>
          <w:color w:val="auto"/>
          <w:sz w:val="24"/>
          <w:highlight w:val="none"/>
        </w:rPr>
        <w:t>浙商银行金华东阳支行  联系人：许燕  联系电话：13967983441  0579-86222992</w:t>
      </w:r>
    </w:p>
    <w:p w14:paraId="78327272">
      <w:pPr>
        <w:keepNext w:val="0"/>
        <w:keepLines w:val="0"/>
        <w:pageBreakBefore w:val="0"/>
        <w:kinsoku/>
        <w:wordWrap/>
        <w:overflowPunct/>
        <w:topLinePunct w:val="0"/>
        <w:autoSpaceDE/>
        <w:autoSpaceDN/>
        <w:bidi w:val="0"/>
        <w:spacing w:line="384" w:lineRule="auto"/>
        <w:textAlignment w:val="auto"/>
        <w:rPr>
          <w:rFonts w:ascii="宋体" w:hAnsi="宋体" w:cs="宋体"/>
          <w:b/>
          <w:color w:val="auto"/>
          <w:sz w:val="24"/>
          <w:highlight w:val="none"/>
        </w:rPr>
      </w:pPr>
      <w:r>
        <w:rPr>
          <w:rFonts w:hint="eastAsia" w:ascii="宋体" w:hAnsi="宋体" w:cs="宋体"/>
          <w:b/>
          <w:color w:val="auto"/>
          <w:sz w:val="24"/>
          <w:highlight w:val="none"/>
        </w:rPr>
        <w:t>八、</w:t>
      </w:r>
      <w:bookmarkEnd w:id="1"/>
      <w:bookmarkEnd w:id="2"/>
      <w:bookmarkEnd w:id="3"/>
      <w:bookmarkEnd w:id="4"/>
      <w:r>
        <w:rPr>
          <w:rFonts w:hint="eastAsia" w:ascii="宋体" w:hAnsi="宋体" w:cs="宋体"/>
          <w:b/>
          <w:color w:val="auto"/>
          <w:sz w:val="24"/>
          <w:highlight w:val="none"/>
        </w:rPr>
        <w:t>对本次采购提出询问、质疑、投诉，请按以下方式联系</w:t>
      </w:r>
    </w:p>
    <w:p w14:paraId="5A41B636">
      <w:pPr>
        <w:keepNext w:val="0"/>
        <w:keepLines w:val="0"/>
        <w:pageBreakBefore w:val="0"/>
        <w:kinsoku/>
        <w:wordWrap/>
        <w:overflowPunct/>
        <w:topLinePunct w:val="0"/>
        <w:autoSpaceDE/>
        <w:autoSpaceDN/>
        <w:bidi w:val="0"/>
        <w:spacing w:line="384" w:lineRule="auto"/>
        <w:ind w:firstLine="723" w:firstLineChars="300"/>
        <w:textAlignment w:val="auto"/>
        <w:rPr>
          <w:rFonts w:ascii="宋体" w:hAnsi="宋体" w:cs="宋体"/>
          <w:b/>
          <w:bCs/>
          <w:color w:val="auto"/>
          <w:sz w:val="24"/>
          <w:highlight w:val="none"/>
        </w:rPr>
      </w:pPr>
      <w:r>
        <w:rPr>
          <w:rFonts w:hint="eastAsia" w:ascii="宋体" w:hAnsi="宋体" w:cs="宋体"/>
          <w:b/>
          <w:bCs/>
          <w:color w:val="auto"/>
          <w:sz w:val="24"/>
          <w:highlight w:val="none"/>
        </w:rPr>
        <w:t xml:space="preserve">1.采购人信息  </w:t>
      </w:r>
    </w:p>
    <w:p w14:paraId="2C081172">
      <w:pPr>
        <w:keepNext w:val="0"/>
        <w:keepLines w:val="0"/>
        <w:pageBreakBefore w:val="0"/>
        <w:widowControl w:val="0"/>
        <w:kinsoku/>
        <w:wordWrap/>
        <w:overflowPunct/>
        <w:topLinePunct w:val="0"/>
        <w:autoSpaceDE/>
        <w:autoSpaceDN/>
        <w:bidi w:val="0"/>
        <w:adjustRightInd/>
        <w:spacing w:line="384" w:lineRule="auto"/>
        <w:ind w:firstLine="720" w:firstLineChars="300"/>
        <w:textAlignment w:val="auto"/>
        <w:rPr>
          <w:rFonts w:hint="eastAsia" w:ascii="宋体" w:hAnsi="宋体" w:eastAsia="宋体" w:cs="宋体"/>
          <w:color w:val="auto"/>
          <w:sz w:val="24"/>
          <w:highlight w:val="none"/>
          <w:lang w:eastAsia="zh-CN"/>
        </w:rPr>
      </w:pPr>
      <w:bookmarkStart w:id="5" w:name="_Toc28359009"/>
      <w:bookmarkStart w:id="6" w:name="_Toc28359086"/>
      <w:r>
        <w:rPr>
          <w:rFonts w:hint="eastAsia" w:ascii="宋体" w:hAnsi="宋体" w:eastAsia="宋体" w:cs="宋体"/>
          <w:color w:val="auto"/>
          <w:sz w:val="24"/>
          <w:highlight w:val="none"/>
        </w:rPr>
        <w:t>名</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称：</w:t>
      </w:r>
      <w:r>
        <w:rPr>
          <w:rFonts w:hint="eastAsia" w:ascii="宋体" w:hAnsi="宋体" w:cs="宋体"/>
          <w:color w:val="auto"/>
          <w:sz w:val="24"/>
          <w:highlight w:val="none"/>
          <w:lang w:eastAsia="zh-CN"/>
        </w:rPr>
        <w:t>东阳市红会医院</w:t>
      </w:r>
    </w:p>
    <w:p w14:paraId="50F1C5A2">
      <w:pPr>
        <w:keepNext w:val="0"/>
        <w:keepLines w:val="0"/>
        <w:pageBreakBefore w:val="0"/>
        <w:widowControl w:val="0"/>
        <w:kinsoku/>
        <w:wordWrap/>
        <w:overflowPunct/>
        <w:topLinePunct w:val="0"/>
        <w:autoSpaceDE/>
        <w:autoSpaceDN/>
        <w:bidi w:val="0"/>
        <w:adjustRightInd/>
        <w:spacing w:line="384" w:lineRule="auto"/>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址：</w:t>
      </w:r>
      <w:r>
        <w:rPr>
          <w:rFonts w:hint="eastAsia" w:ascii="宋体" w:hAnsi="宋体" w:cs="宋体"/>
          <w:color w:val="auto"/>
          <w:sz w:val="24"/>
          <w:highlight w:val="none"/>
        </w:rPr>
        <w:t>东阳市环城北路128号</w:t>
      </w:r>
    </w:p>
    <w:p w14:paraId="0F84DCD6">
      <w:pPr>
        <w:keepNext w:val="0"/>
        <w:keepLines w:val="0"/>
        <w:pageBreakBefore w:val="0"/>
        <w:widowControl w:val="0"/>
        <w:kinsoku/>
        <w:wordWrap/>
        <w:overflowPunct/>
        <w:topLinePunct w:val="0"/>
        <w:autoSpaceDE/>
        <w:autoSpaceDN/>
        <w:bidi w:val="0"/>
        <w:adjustRightInd/>
        <w:spacing w:line="384" w:lineRule="auto"/>
        <w:ind w:firstLine="720" w:firstLineChars="3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项目联系人（询问）： 金磊          项目联系方式（询问）： 13516911128  </w:t>
      </w:r>
    </w:p>
    <w:p w14:paraId="6C95816A">
      <w:pPr>
        <w:keepNext w:val="0"/>
        <w:keepLines w:val="0"/>
        <w:pageBreakBefore w:val="0"/>
        <w:widowControl w:val="0"/>
        <w:kinsoku/>
        <w:wordWrap/>
        <w:overflowPunct/>
        <w:topLinePunct w:val="0"/>
        <w:autoSpaceDE/>
        <w:autoSpaceDN/>
        <w:bidi w:val="0"/>
        <w:adjustRightInd/>
        <w:spacing w:line="384" w:lineRule="auto"/>
        <w:ind w:firstLine="720" w:firstLineChars="3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 xml:space="preserve">质疑联系人： 陈向阳                质疑联系方式： 13967435998  </w:t>
      </w:r>
    </w:p>
    <w:p w14:paraId="79CCEB63">
      <w:pPr>
        <w:keepNext w:val="0"/>
        <w:keepLines w:val="0"/>
        <w:pageBreakBefore w:val="0"/>
        <w:widowControl w:val="0"/>
        <w:kinsoku/>
        <w:wordWrap/>
        <w:overflowPunct/>
        <w:topLinePunct w:val="0"/>
        <w:autoSpaceDE/>
        <w:autoSpaceDN/>
        <w:bidi w:val="0"/>
        <w:adjustRightInd/>
        <w:spacing w:line="384" w:lineRule="auto"/>
        <w:ind w:firstLine="723" w:firstLineChars="3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2.采购代理机构</w:t>
      </w:r>
      <w:bookmarkEnd w:id="5"/>
      <w:bookmarkEnd w:id="6"/>
      <w:r>
        <w:rPr>
          <w:rFonts w:hint="eastAsia" w:ascii="宋体" w:hAnsi="宋体" w:eastAsia="宋体" w:cs="宋体"/>
          <w:b/>
          <w:bCs/>
          <w:color w:val="auto"/>
          <w:sz w:val="24"/>
          <w:highlight w:val="none"/>
        </w:rPr>
        <w:t>信息</w:t>
      </w:r>
    </w:p>
    <w:p w14:paraId="30CEF0EC">
      <w:pPr>
        <w:keepNext w:val="0"/>
        <w:keepLines w:val="0"/>
        <w:pageBreakBefore w:val="0"/>
        <w:widowControl w:val="0"/>
        <w:kinsoku/>
        <w:wordWrap/>
        <w:overflowPunct/>
        <w:topLinePunct w:val="0"/>
        <w:autoSpaceDE/>
        <w:autoSpaceDN/>
        <w:bidi w:val="0"/>
        <w:adjustRightInd/>
        <w:spacing w:line="384" w:lineRule="auto"/>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名 称：东阳市鑫盛工程咨询有限公司 </w:t>
      </w:r>
    </w:p>
    <w:p w14:paraId="06AA01E6">
      <w:pPr>
        <w:keepNext w:val="0"/>
        <w:keepLines w:val="0"/>
        <w:pageBreakBefore w:val="0"/>
        <w:widowControl w:val="0"/>
        <w:kinsoku/>
        <w:wordWrap/>
        <w:overflowPunct/>
        <w:topLinePunct w:val="0"/>
        <w:autoSpaceDE/>
        <w:autoSpaceDN/>
        <w:bidi w:val="0"/>
        <w:adjustRightInd/>
        <w:spacing w:line="384" w:lineRule="auto"/>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w:t>
      </w:r>
      <w:r>
        <w:rPr>
          <w:rFonts w:hint="eastAsia" w:ascii="宋体" w:hAnsi="宋体" w:eastAsia="宋体" w:cs="宋体"/>
          <w:color w:val="auto"/>
          <w:sz w:val="24"/>
          <w:highlight w:val="none"/>
          <w:lang w:eastAsia="zh-CN"/>
        </w:rPr>
        <w:t>东阳市白云街道八华南路63号</w:t>
      </w:r>
      <w:r>
        <w:rPr>
          <w:rFonts w:hint="eastAsia" w:ascii="宋体" w:hAnsi="宋体" w:eastAsia="宋体" w:cs="宋体"/>
          <w:color w:val="auto"/>
          <w:sz w:val="24"/>
          <w:highlight w:val="none"/>
        </w:rPr>
        <w:t xml:space="preserve">      传</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真：0579-86633123 </w:t>
      </w:r>
    </w:p>
    <w:p w14:paraId="28410DBD">
      <w:pPr>
        <w:keepNext w:val="0"/>
        <w:keepLines w:val="0"/>
        <w:pageBreakBefore w:val="0"/>
        <w:widowControl w:val="0"/>
        <w:kinsoku/>
        <w:wordWrap/>
        <w:overflowPunct/>
        <w:topLinePunct w:val="0"/>
        <w:autoSpaceDE/>
        <w:autoSpaceDN/>
        <w:bidi w:val="0"/>
        <w:adjustRightInd/>
        <w:spacing w:line="384" w:lineRule="auto"/>
        <w:ind w:left="718" w:leftChars="342" w:firstLine="0" w:firstLineChars="0"/>
        <w:textAlignment w:val="auto"/>
        <w:rPr>
          <w:rFonts w:hint="default" w:ascii="宋体" w:hAnsi="宋体" w:eastAsia="宋体" w:cs="宋体"/>
          <w:color w:val="auto"/>
          <w:sz w:val="24"/>
          <w:highlight w:val="none"/>
          <w:lang w:val="en-US"/>
        </w:rPr>
      </w:pPr>
      <w:r>
        <w:rPr>
          <w:rFonts w:hint="eastAsia" w:ascii="宋体" w:hAnsi="宋体" w:eastAsia="宋体" w:cs="宋体"/>
          <w:color w:val="auto"/>
          <w:sz w:val="24"/>
          <w:highlight w:val="none"/>
        </w:rPr>
        <w:t>项目联系人（询问）：</w:t>
      </w:r>
      <w:r>
        <w:rPr>
          <w:rFonts w:hint="eastAsia" w:ascii="宋体" w:hAnsi="宋体" w:cs="宋体"/>
          <w:color w:val="auto"/>
          <w:sz w:val="24"/>
          <w:highlight w:val="none"/>
          <w:lang w:val="en-US" w:eastAsia="zh-CN"/>
        </w:rPr>
        <w:t>王晓菲</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项目联系方式（询问）：</w:t>
      </w:r>
      <w:r>
        <w:rPr>
          <w:rFonts w:hint="eastAsia" w:ascii="宋体" w:hAnsi="宋体" w:cs="宋体"/>
          <w:color w:val="auto"/>
          <w:sz w:val="24"/>
          <w:highlight w:val="none"/>
          <w:lang w:val="en-US" w:eastAsia="zh-CN"/>
        </w:rPr>
        <w:t>0579-86633123</w:t>
      </w:r>
      <w:r>
        <w:rPr>
          <w:rFonts w:hint="eastAsia" w:ascii="宋体" w:hAnsi="宋体" w:eastAsia="宋体" w:cs="宋体"/>
          <w:color w:val="auto"/>
          <w:sz w:val="24"/>
          <w:highlight w:val="none"/>
        </w:rPr>
        <w:t>质疑联系人：</w:t>
      </w:r>
      <w:r>
        <w:rPr>
          <w:rFonts w:hint="eastAsia" w:ascii="宋体" w:hAnsi="宋体" w:cs="宋体"/>
          <w:color w:val="auto"/>
          <w:sz w:val="24"/>
          <w:highlight w:val="none"/>
          <w:lang w:val="en-US" w:eastAsia="zh-CN"/>
        </w:rPr>
        <w:t>胡丹春</w:t>
      </w:r>
      <w:r>
        <w:rPr>
          <w:rFonts w:hint="eastAsia" w:ascii="宋体" w:hAnsi="宋体" w:eastAsia="宋体" w:cs="宋体"/>
          <w:color w:val="auto"/>
          <w:sz w:val="24"/>
          <w:highlight w:val="none"/>
        </w:rPr>
        <w:t xml:space="preserve">                质疑联系方式：</w:t>
      </w:r>
      <w:bookmarkStart w:id="7" w:name="_Toc28359087"/>
      <w:bookmarkStart w:id="8" w:name="_Toc28359010"/>
      <w:r>
        <w:rPr>
          <w:rFonts w:hint="eastAsia" w:ascii="宋体" w:hAnsi="宋体" w:eastAsia="宋体" w:cs="宋体"/>
          <w:color w:val="auto"/>
          <w:sz w:val="24"/>
          <w:highlight w:val="none"/>
        </w:rPr>
        <w:t>0579-</w:t>
      </w:r>
      <w:r>
        <w:rPr>
          <w:rFonts w:hint="eastAsia" w:ascii="宋体" w:hAnsi="宋体" w:eastAsia="宋体" w:cs="宋体"/>
          <w:color w:val="auto"/>
          <w:sz w:val="24"/>
          <w:highlight w:val="none"/>
          <w:lang w:eastAsia="zh-CN"/>
        </w:rPr>
        <w:t>86</w:t>
      </w:r>
      <w:r>
        <w:rPr>
          <w:rFonts w:hint="eastAsia" w:ascii="宋体" w:hAnsi="宋体" w:cs="宋体"/>
          <w:color w:val="auto"/>
          <w:sz w:val="24"/>
          <w:highlight w:val="none"/>
          <w:lang w:val="en-US" w:eastAsia="zh-CN"/>
        </w:rPr>
        <w:t>018280</w:t>
      </w:r>
    </w:p>
    <w:p w14:paraId="0306601B">
      <w:pPr>
        <w:keepNext w:val="0"/>
        <w:keepLines w:val="0"/>
        <w:pageBreakBefore w:val="0"/>
        <w:widowControl w:val="0"/>
        <w:kinsoku/>
        <w:wordWrap/>
        <w:overflowPunct/>
        <w:topLinePunct w:val="0"/>
        <w:autoSpaceDE/>
        <w:autoSpaceDN/>
        <w:bidi w:val="0"/>
        <w:adjustRightInd/>
        <w:spacing w:line="384" w:lineRule="auto"/>
        <w:ind w:firstLine="723" w:firstLineChars="300"/>
        <w:textAlignment w:val="auto"/>
        <w:rPr>
          <w:rFonts w:hint="eastAsia" w:ascii="宋体" w:hAnsi="宋体" w:eastAsia="宋体" w:cs="宋体"/>
          <w:color w:val="auto"/>
          <w:sz w:val="24"/>
          <w:highlight w:val="none"/>
          <w:u w:val="single"/>
        </w:rPr>
      </w:pPr>
      <w:r>
        <w:rPr>
          <w:rFonts w:hint="eastAsia" w:ascii="宋体" w:hAnsi="宋体" w:eastAsia="宋体" w:cs="宋体"/>
          <w:b/>
          <w:bCs/>
          <w:color w:val="auto"/>
          <w:sz w:val="24"/>
          <w:highlight w:val="none"/>
        </w:rPr>
        <w:t>3.</w:t>
      </w:r>
      <w:bookmarkEnd w:id="7"/>
      <w:bookmarkEnd w:id="8"/>
      <w:r>
        <w:rPr>
          <w:rFonts w:hint="eastAsia" w:ascii="宋体" w:hAnsi="宋体" w:eastAsia="宋体" w:cs="宋体"/>
          <w:b/>
          <w:bCs/>
          <w:color w:val="auto"/>
          <w:sz w:val="24"/>
          <w:highlight w:val="none"/>
        </w:rPr>
        <w:t>同级政府采购监督管理部门</w:t>
      </w:r>
    </w:p>
    <w:p w14:paraId="54FDFE43">
      <w:pPr>
        <w:keepNext w:val="0"/>
        <w:keepLines w:val="0"/>
        <w:pageBreakBefore w:val="0"/>
        <w:widowControl w:val="0"/>
        <w:kinsoku/>
        <w:wordWrap/>
        <w:overflowPunct/>
        <w:topLinePunct w:val="0"/>
        <w:autoSpaceDE/>
        <w:autoSpaceDN/>
        <w:bidi w:val="0"/>
        <w:adjustRightInd/>
        <w:spacing w:line="384" w:lineRule="auto"/>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名称：东阳市财政局采监科              地址：东阳市人民</w:t>
      </w:r>
      <w:r>
        <w:rPr>
          <w:rFonts w:hint="eastAsia" w:ascii="宋体" w:hAnsi="宋体" w:cs="宋体"/>
          <w:color w:val="auto"/>
          <w:sz w:val="24"/>
          <w:highlight w:val="none"/>
          <w:lang w:eastAsia="zh-CN"/>
        </w:rPr>
        <w:t>北</w:t>
      </w:r>
      <w:r>
        <w:rPr>
          <w:rFonts w:hint="eastAsia" w:ascii="宋体" w:hAnsi="宋体" w:eastAsia="宋体" w:cs="宋体"/>
          <w:color w:val="auto"/>
          <w:sz w:val="24"/>
          <w:highlight w:val="none"/>
        </w:rPr>
        <w:t>路8号</w:t>
      </w:r>
    </w:p>
    <w:p w14:paraId="26279B34">
      <w:pPr>
        <w:keepNext w:val="0"/>
        <w:keepLines w:val="0"/>
        <w:pageBreakBefore w:val="0"/>
        <w:widowControl w:val="0"/>
        <w:kinsoku/>
        <w:wordWrap/>
        <w:overflowPunct/>
        <w:topLinePunct w:val="0"/>
        <w:autoSpaceDE/>
        <w:autoSpaceDN/>
        <w:bidi w:val="0"/>
        <w:adjustRightInd/>
        <w:spacing w:line="384" w:lineRule="auto"/>
        <w:ind w:firstLine="720" w:firstLineChars="300"/>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监督投诉电话：0579-86662677</w:t>
      </w:r>
    </w:p>
    <w:p w14:paraId="78694BEC">
      <w:pPr>
        <w:keepNext w:val="0"/>
        <w:keepLines w:val="0"/>
        <w:pageBreakBefore w:val="0"/>
        <w:widowControl w:val="0"/>
        <w:kinsoku/>
        <w:wordWrap/>
        <w:overflowPunct/>
        <w:topLinePunct w:val="0"/>
        <w:autoSpaceDE/>
        <w:autoSpaceDN/>
        <w:bidi w:val="0"/>
        <w:adjustRightInd/>
        <w:snapToGrid w:val="0"/>
        <w:spacing w:line="384" w:lineRule="auto"/>
        <w:ind w:left="1441" w:leftChars="342" w:hanging="723" w:hangingChars="300"/>
        <w:textAlignment w:val="auto"/>
        <w:rPr>
          <w:rFonts w:hint="eastAsia"/>
          <w:color w:val="auto"/>
          <w:highlight w:val="none"/>
        </w:rPr>
      </w:pPr>
      <w:r>
        <w:rPr>
          <w:rFonts w:hint="eastAsia" w:ascii="宋体" w:hAnsi="宋体" w:eastAsia="宋体" w:cs="宋体"/>
          <w:b/>
          <w:color w:val="auto"/>
          <w:sz w:val="24"/>
          <w:highlight w:val="none"/>
        </w:rPr>
        <w:t>附件：</w:t>
      </w:r>
      <w:r>
        <w:rPr>
          <w:rFonts w:hint="eastAsia" w:ascii="宋体" w:hAnsi="宋体" w:cs="宋体"/>
          <w:b/>
          <w:color w:val="auto"/>
          <w:sz w:val="24"/>
          <w:highlight w:val="none"/>
          <w:lang w:val="en-US" w:eastAsia="zh-CN"/>
        </w:rPr>
        <w:t>东阳市红会医院5G查房采购项目</w:t>
      </w:r>
      <w:r>
        <w:rPr>
          <w:rFonts w:hint="eastAsia" w:ascii="宋体" w:hAnsi="宋体" w:cs="宋体"/>
          <w:b/>
          <w:color w:val="auto"/>
          <w:sz w:val="24"/>
          <w:highlight w:val="none"/>
          <w:lang w:eastAsia="zh-CN"/>
        </w:rPr>
        <w:t>招标文件</w:t>
      </w:r>
      <w:r>
        <w:rPr>
          <w:rFonts w:hint="eastAsia" w:ascii="宋体" w:hAnsi="宋体" w:eastAsia="宋体" w:cs="宋体"/>
          <w:b/>
          <w:color w:val="auto"/>
          <w:sz w:val="24"/>
          <w:highlight w:val="none"/>
        </w:rPr>
        <w:t xml:space="preserve">   </w:t>
      </w:r>
    </w:p>
    <w:p w14:paraId="3FF43FF7">
      <w:pPr>
        <w:keepNext w:val="0"/>
        <w:keepLines w:val="0"/>
        <w:pageBreakBefore w:val="0"/>
        <w:kinsoku/>
        <w:wordWrap/>
        <w:overflowPunct/>
        <w:topLinePunct w:val="0"/>
        <w:autoSpaceDE/>
        <w:autoSpaceDN/>
        <w:bidi w:val="0"/>
        <w:snapToGrid w:val="0"/>
        <w:spacing w:line="384" w:lineRule="auto"/>
        <w:ind w:left="5799" w:leftChars="237" w:right="198" w:hanging="5301" w:hangingChars="2200"/>
        <w:jc w:val="center"/>
        <w:textAlignment w:val="auto"/>
        <w:rPr>
          <w:rFonts w:hint="eastAsia" w:ascii="宋体" w:hAnsi="宋体" w:cs="宋体"/>
          <w:b/>
          <w:color w:val="auto"/>
          <w:sz w:val="24"/>
          <w:highlight w:val="none"/>
        </w:rPr>
      </w:pPr>
      <w:r>
        <w:rPr>
          <w:rFonts w:hint="eastAsia" w:ascii="宋体" w:hAnsi="宋体" w:cs="宋体"/>
          <w:b/>
          <w:color w:val="auto"/>
          <w:sz w:val="24"/>
          <w:highlight w:val="none"/>
        </w:rPr>
        <w:t xml:space="preserve">                           </w:t>
      </w:r>
    </w:p>
    <w:p w14:paraId="0754AE85">
      <w:pPr>
        <w:keepNext w:val="0"/>
        <w:keepLines w:val="0"/>
        <w:pageBreakBefore w:val="0"/>
        <w:kinsoku/>
        <w:wordWrap/>
        <w:overflowPunct/>
        <w:topLinePunct w:val="0"/>
        <w:autoSpaceDE/>
        <w:autoSpaceDN/>
        <w:bidi w:val="0"/>
        <w:snapToGrid w:val="0"/>
        <w:spacing w:line="384" w:lineRule="auto"/>
        <w:ind w:left="5799" w:leftChars="237" w:right="198" w:hanging="5301" w:hangingChars="2200"/>
        <w:jc w:val="center"/>
        <w:textAlignment w:val="auto"/>
        <w:rPr>
          <w:rFonts w:hint="eastAsia" w:ascii="宋体" w:hAnsi="宋体" w:cs="宋体"/>
          <w:b/>
          <w:color w:val="auto"/>
          <w:sz w:val="24"/>
          <w:highlight w:val="none"/>
        </w:rPr>
      </w:pPr>
      <w:r>
        <w:rPr>
          <w:rFonts w:hint="eastAsia" w:ascii="宋体" w:hAnsi="宋体" w:cs="宋体"/>
          <w:b/>
          <w:color w:val="auto"/>
          <w:sz w:val="24"/>
          <w:highlight w:val="none"/>
        </w:rPr>
        <w:t xml:space="preserve">              </w:t>
      </w:r>
    </w:p>
    <w:p w14:paraId="432DF2B2">
      <w:pPr>
        <w:keepNext w:val="0"/>
        <w:keepLines w:val="0"/>
        <w:pageBreakBefore w:val="0"/>
        <w:kinsoku/>
        <w:wordWrap/>
        <w:overflowPunct/>
        <w:topLinePunct w:val="0"/>
        <w:autoSpaceDE/>
        <w:autoSpaceDN/>
        <w:bidi w:val="0"/>
        <w:snapToGrid w:val="0"/>
        <w:spacing w:line="384" w:lineRule="auto"/>
        <w:ind w:left="5799" w:leftChars="237" w:right="198" w:hanging="5301" w:hangingChars="2200"/>
        <w:jc w:val="center"/>
        <w:textAlignment w:val="auto"/>
        <w:rPr>
          <w:rFonts w:ascii="宋体" w:hAnsi="宋体" w:cs="宋体"/>
          <w:b/>
          <w:color w:val="auto"/>
          <w:sz w:val="24"/>
          <w:highlight w:val="none"/>
        </w:rPr>
      </w:pP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lang w:eastAsia="zh-CN"/>
        </w:rPr>
        <w:t>东阳市红会医院</w:t>
      </w:r>
      <w:r>
        <w:rPr>
          <w:rFonts w:ascii="宋体" w:hAnsi="宋体" w:cs="宋体"/>
          <w:b/>
          <w:color w:val="auto"/>
          <w:sz w:val="24"/>
          <w:highlight w:val="none"/>
        </w:rPr>
        <w:t xml:space="preserve">    </w:t>
      </w:r>
      <w:r>
        <w:rPr>
          <w:rFonts w:hint="eastAsia" w:ascii="宋体" w:hAnsi="宋体" w:cs="宋体"/>
          <w:b/>
          <w:color w:val="auto"/>
          <w:sz w:val="24"/>
          <w:highlight w:val="none"/>
        </w:rPr>
        <w:t xml:space="preserve">                           </w:t>
      </w:r>
    </w:p>
    <w:p w14:paraId="67C5CE3B">
      <w:pPr>
        <w:keepNext w:val="0"/>
        <w:keepLines w:val="0"/>
        <w:pageBreakBefore w:val="0"/>
        <w:kinsoku/>
        <w:wordWrap/>
        <w:overflowPunct/>
        <w:topLinePunct w:val="0"/>
        <w:autoSpaceDE/>
        <w:autoSpaceDN/>
        <w:bidi w:val="0"/>
        <w:snapToGrid w:val="0"/>
        <w:spacing w:line="384" w:lineRule="auto"/>
        <w:ind w:left="5799" w:leftChars="237" w:right="198" w:hanging="5301" w:hangingChars="2200"/>
        <w:jc w:val="center"/>
        <w:textAlignment w:val="auto"/>
        <w:rPr>
          <w:rFonts w:ascii="宋体" w:hAnsi="宋体" w:cs="宋体"/>
          <w:b/>
          <w:color w:val="auto"/>
          <w:sz w:val="24"/>
          <w:highlight w:val="none"/>
        </w:rPr>
      </w:pPr>
      <w:r>
        <w:rPr>
          <w:rFonts w:hint="eastAsia" w:ascii="宋体" w:hAnsi="宋体" w:cs="宋体"/>
          <w:b/>
          <w:color w:val="auto"/>
          <w:sz w:val="24"/>
          <w:highlight w:val="none"/>
        </w:rPr>
        <w:t xml:space="preserve">                                       </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 xml:space="preserve">  东阳市鑫盛工程咨询有限公司</w:t>
      </w:r>
    </w:p>
    <w:p w14:paraId="3A264E55">
      <w:pPr>
        <w:keepNext w:val="0"/>
        <w:keepLines w:val="0"/>
        <w:pageBreakBefore w:val="0"/>
        <w:kinsoku/>
        <w:wordWrap/>
        <w:overflowPunct/>
        <w:topLinePunct w:val="0"/>
        <w:autoSpaceDE/>
        <w:autoSpaceDN/>
        <w:bidi w:val="0"/>
        <w:snapToGrid w:val="0"/>
        <w:spacing w:line="384" w:lineRule="auto"/>
        <w:ind w:right="198" w:firstLine="6505" w:firstLineChars="2700"/>
        <w:textAlignment w:val="auto"/>
        <w:rPr>
          <w:rFonts w:hint="eastAsia" w:ascii="宋体" w:hAnsi="宋体" w:cs="宋体"/>
          <w:b/>
          <w:color w:val="auto"/>
          <w:sz w:val="24"/>
          <w:highlight w:val="none"/>
        </w:rPr>
      </w:pPr>
      <w:r>
        <w:rPr>
          <w:rFonts w:hint="eastAsia" w:ascii="宋体" w:hAnsi="宋体" w:cs="宋体"/>
          <w:b/>
          <w:color w:val="auto"/>
          <w:sz w:val="24"/>
          <w:highlight w:val="none"/>
          <w:lang w:eastAsia="zh-CN"/>
        </w:rPr>
        <w:t>2025年</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月</w:t>
      </w:r>
      <w:r>
        <w:rPr>
          <w:rFonts w:hint="eastAsia" w:ascii="宋体" w:hAnsi="宋体" w:cs="宋体"/>
          <w:b/>
          <w:color w:val="auto"/>
          <w:sz w:val="24"/>
          <w:highlight w:val="none"/>
          <w:lang w:val="en-US" w:eastAsia="zh-CN"/>
        </w:rPr>
        <w:t>15</w:t>
      </w:r>
      <w:r>
        <w:rPr>
          <w:rFonts w:hint="eastAsia" w:ascii="宋体" w:hAnsi="宋体" w:cs="宋体"/>
          <w:b/>
          <w:color w:val="auto"/>
          <w:sz w:val="24"/>
          <w:highlight w:val="none"/>
        </w:rPr>
        <w:t>日</w:t>
      </w:r>
    </w:p>
    <w:p w14:paraId="1ADB9538">
      <w:pPr>
        <w:pStyle w:val="8"/>
        <w:rPr>
          <w:color w:val="auto"/>
          <w:highlight w:val="none"/>
        </w:rPr>
      </w:pPr>
    </w:p>
    <w:p w14:paraId="74B90292">
      <w:pPr>
        <w:keepNext w:val="0"/>
        <w:keepLines w:val="0"/>
        <w:pageBreakBefore w:val="0"/>
        <w:kinsoku/>
        <w:wordWrap/>
        <w:overflowPunct/>
        <w:topLinePunct w:val="0"/>
        <w:autoSpaceDE/>
        <w:autoSpaceDN/>
        <w:bidi w:val="0"/>
        <w:snapToGrid w:val="0"/>
        <w:spacing w:line="384" w:lineRule="auto"/>
        <w:ind w:right="198"/>
        <w:textAlignment w:val="auto"/>
        <w:rPr>
          <w:rFonts w:ascii="宋体" w:hAnsi="宋体" w:cs="宋体"/>
          <w:color w:val="auto"/>
          <w:sz w:val="24"/>
          <w:highlight w:val="none"/>
        </w:rPr>
      </w:pPr>
      <w:r>
        <w:rPr>
          <w:rFonts w:hint="eastAsia" w:ascii="宋体" w:hAnsi="宋体" w:cs="宋体"/>
          <w:color w:val="auto"/>
          <w:kern w:val="0"/>
          <w:sz w:val="24"/>
          <w:highlight w:val="none"/>
        </w:rPr>
        <w:t>若对项目采购电子交易系统操作有疑问，可登录政采云（https://www.zcygov.cn/），点击右侧咨询小采，获取采小蜜智能服务管家帮助，或拨打政采云服务热线</w:t>
      </w:r>
      <w:r>
        <w:rPr>
          <w:rFonts w:ascii="宋体" w:hAnsi="宋体" w:cs="宋体"/>
          <w:color w:val="auto"/>
          <w:kern w:val="0"/>
          <w:sz w:val="24"/>
          <w:highlight w:val="none"/>
        </w:rPr>
        <w:t>95763</w:t>
      </w:r>
      <w:r>
        <w:rPr>
          <w:rFonts w:hint="eastAsia" w:ascii="宋体" w:hAnsi="宋体" w:cs="宋体"/>
          <w:color w:val="auto"/>
          <w:kern w:val="0"/>
          <w:sz w:val="24"/>
          <w:highlight w:val="none"/>
        </w:rPr>
        <w:t>获取热线服务帮助。</w:t>
      </w:r>
    </w:p>
    <w:p w14:paraId="0691EC5C">
      <w:pPr>
        <w:keepNext w:val="0"/>
        <w:keepLines w:val="0"/>
        <w:pageBreakBefore w:val="0"/>
        <w:widowControl/>
        <w:kinsoku/>
        <w:wordWrap/>
        <w:overflowPunct/>
        <w:topLinePunct w:val="0"/>
        <w:autoSpaceDE/>
        <w:autoSpaceDN/>
        <w:bidi w:val="0"/>
        <w:spacing w:line="384" w:lineRule="auto"/>
        <w:jc w:val="left"/>
        <w:textAlignment w:val="auto"/>
        <w:rPr>
          <w:rFonts w:ascii="宋体" w:hAnsi="宋体" w:cs="宋体"/>
          <w:color w:val="auto"/>
          <w:sz w:val="24"/>
          <w:highlight w:val="none"/>
        </w:rPr>
      </w:pPr>
      <w:r>
        <w:rPr>
          <w:rFonts w:hint="eastAsia" w:ascii="宋体" w:hAnsi="宋体" w:cs="宋体"/>
          <w:color w:val="auto"/>
          <w:kern w:val="0"/>
          <w:sz w:val="24"/>
          <w:highlight w:val="none"/>
        </w:rPr>
        <w:t>CA问题联系电话（人工）：汇信CA 400-888-4636；天谷CA 400-087-8198。</w:t>
      </w:r>
    </w:p>
    <w:p w14:paraId="2B6D770D">
      <w:pPr>
        <w:pStyle w:val="23"/>
        <w:pageBreakBefore/>
        <w:snapToGrid w:val="0"/>
        <w:spacing w:before="120" w:after="120" w:line="360" w:lineRule="auto"/>
        <w:jc w:val="center"/>
        <w:outlineLvl w:val="0"/>
        <w:rPr>
          <w:rFonts w:ascii="宋体" w:hAnsi="宋体" w:cs="宋体"/>
          <w:b/>
          <w:color w:val="auto"/>
          <w:sz w:val="32"/>
          <w:szCs w:val="32"/>
          <w:highlight w:val="none"/>
        </w:rPr>
      </w:pPr>
      <w:bookmarkStart w:id="9" w:name="_Toc17550"/>
      <w:r>
        <w:rPr>
          <w:rFonts w:hint="eastAsia" w:ascii="宋体" w:hAnsi="宋体" w:cs="宋体"/>
          <w:b/>
          <w:color w:val="auto"/>
          <w:sz w:val="32"/>
          <w:szCs w:val="32"/>
          <w:highlight w:val="none"/>
        </w:rPr>
        <w:t>第二章  招标需求</w:t>
      </w:r>
      <w:bookmarkEnd w:id="9"/>
    </w:p>
    <w:p w14:paraId="7B8FF259">
      <w:pPr>
        <w:spacing w:line="360" w:lineRule="auto"/>
        <w:rPr>
          <w:rFonts w:hint="eastAsia" w:ascii="宋体" w:hAnsi="宋体" w:eastAsia="宋体" w:cs="宋体"/>
          <w:b/>
          <w:color w:val="auto"/>
          <w:sz w:val="24"/>
          <w:highlight w:val="none"/>
          <w:lang w:eastAsia="zh-CN"/>
        </w:rPr>
      </w:pPr>
      <w:r>
        <w:rPr>
          <w:rFonts w:ascii="宋体" w:hAnsi="宋体" w:cs="宋体"/>
          <w:b/>
          <w:color w:val="auto"/>
          <w:sz w:val="24"/>
          <w:highlight w:val="none"/>
        </w:rPr>
        <w:t>一、</w:t>
      </w:r>
      <w:r>
        <w:rPr>
          <w:rFonts w:hint="eastAsia" w:ascii="宋体" w:hAnsi="宋体" w:cs="宋体"/>
          <w:b/>
          <w:color w:val="auto"/>
          <w:sz w:val="24"/>
          <w:highlight w:val="none"/>
        </w:rPr>
        <w:t>项目编号：</w:t>
      </w:r>
      <w:r>
        <w:rPr>
          <w:rFonts w:hint="eastAsia" w:ascii="宋体" w:hAnsi="宋体" w:cs="宋体"/>
          <w:b/>
          <w:color w:val="auto"/>
          <w:sz w:val="24"/>
          <w:highlight w:val="none"/>
          <w:lang w:eastAsia="zh-CN"/>
        </w:rPr>
        <w:t>XSZFCGDZ2025-110改</w:t>
      </w:r>
    </w:p>
    <w:p w14:paraId="6FD2B370">
      <w:pPr>
        <w:spacing w:line="360" w:lineRule="auto"/>
        <w:rPr>
          <w:rFonts w:hint="eastAsia" w:ascii="宋体" w:hAnsi="宋体" w:cs="宋体"/>
          <w:b/>
          <w:color w:val="auto"/>
          <w:sz w:val="24"/>
          <w:highlight w:val="none"/>
          <w:lang w:eastAsia="zh-CN"/>
        </w:rPr>
      </w:pPr>
      <w:r>
        <w:rPr>
          <w:rFonts w:ascii="宋体" w:hAnsi="宋体" w:cs="宋体"/>
          <w:b/>
          <w:color w:val="auto"/>
          <w:sz w:val="24"/>
          <w:highlight w:val="none"/>
        </w:rPr>
        <w:t>二、</w:t>
      </w:r>
      <w:r>
        <w:rPr>
          <w:rFonts w:hint="eastAsia" w:ascii="宋体" w:hAnsi="宋体" w:cs="宋体"/>
          <w:b/>
          <w:color w:val="auto"/>
          <w:sz w:val="24"/>
          <w:highlight w:val="none"/>
        </w:rPr>
        <w:t>采购项目名称：</w:t>
      </w:r>
      <w:bookmarkStart w:id="10" w:name="_Toc495926918"/>
      <w:r>
        <w:rPr>
          <w:rFonts w:hint="eastAsia" w:ascii="宋体" w:hAnsi="宋体" w:cs="宋体"/>
          <w:b/>
          <w:color w:val="auto"/>
          <w:sz w:val="24"/>
          <w:highlight w:val="none"/>
          <w:lang w:eastAsia="zh-CN"/>
        </w:rPr>
        <w:t>东阳市红会医院5G查房采购项目</w:t>
      </w:r>
    </w:p>
    <w:p w14:paraId="28C3D7E3">
      <w:pPr>
        <w:spacing w:line="360" w:lineRule="auto"/>
        <w:rPr>
          <w:rFonts w:ascii="宋体" w:hAnsi="宋体" w:cs="宋体"/>
          <w:b/>
          <w:color w:val="auto"/>
          <w:sz w:val="24"/>
          <w:highlight w:val="none"/>
        </w:rPr>
      </w:pPr>
      <w:r>
        <w:rPr>
          <w:rFonts w:ascii="宋体" w:hAnsi="宋体" w:cs="宋体"/>
          <w:b/>
          <w:color w:val="auto"/>
          <w:sz w:val="24"/>
          <w:highlight w:val="none"/>
        </w:rPr>
        <w:t>三、</w:t>
      </w:r>
      <w:r>
        <w:rPr>
          <w:rFonts w:hint="eastAsia" w:ascii="宋体" w:hAnsi="宋体" w:cs="宋体"/>
          <w:b/>
          <w:color w:val="auto"/>
          <w:sz w:val="24"/>
          <w:highlight w:val="none"/>
        </w:rPr>
        <w:t>采购内容</w:t>
      </w:r>
    </w:p>
    <w:tbl>
      <w:tblPr>
        <w:tblStyle w:val="39"/>
        <w:tblpPr w:leftFromText="180" w:rightFromText="180" w:vertAnchor="text" w:horzAnchor="page" w:tblpXSpec="center" w:tblpY="194"/>
        <w:tblOverlap w:val="never"/>
        <w:tblW w:w="91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3171"/>
        <w:gridCol w:w="1091"/>
        <w:gridCol w:w="1637"/>
        <w:gridCol w:w="1474"/>
        <w:gridCol w:w="980"/>
      </w:tblGrid>
      <w:tr w14:paraId="511F2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807" w:type="dxa"/>
            <w:shd w:val="clear" w:color="auto" w:fill="auto"/>
            <w:vAlign w:val="center"/>
          </w:tcPr>
          <w:p w14:paraId="3E4E71D2">
            <w:pPr>
              <w:spacing w:line="360" w:lineRule="auto"/>
              <w:jc w:val="center"/>
              <w:rPr>
                <w:rFonts w:hint="eastAsia" w:ascii="宋体" w:hAnsi="宋体" w:eastAsia="宋体" w:cs="宋体"/>
                <w:b/>
                <w:color w:val="auto"/>
                <w:sz w:val="24"/>
                <w:highlight w:val="none"/>
                <w:lang w:val="en-US" w:eastAsia="zh-CN"/>
              </w:rPr>
            </w:pPr>
            <w:bookmarkStart w:id="11" w:name="_Hlk135837446"/>
            <w:r>
              <w:rPr>
                <w:rFonts w:hint="eastAsia" w:ascii="宋体" w:hAnsi="宋体" w:cs="宋体"/>
                <w:b/>
                <w:color w:val="auto"/>
                <w:sz w:val="24"/>
                <w:highlight w:val="none"/>
                <w:lang w:val="en-US" w:eastAsia="zh-CN"/>
              </w:rPr>
              <w:t>序号</w:t>
            </w:r>
          </w:p>
        </w:tc>
        <w:tc>
          <w:tcPr>
            <w:tcW w:w="3171" w:type="dxa"/>
            <w:shd w:val="clear" w:color="auto" w:fill="auto"/>
            <w:vAlign w:val="center"/>
          </w:tcPr>
          <w:p w14:paraId="69E0DF9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设备名称</w:t>
            </w:r>
          </w:p>
        </w:tc>
        <w:tc>
          <w:tcPr>
            <w:tcW w:w="1091" w:type="dxa"/>
            <w:shd w:val="clear" w:color="auto" w:fill="auto"/>
            <w:vAlign w:val="center"/>
          </w:tcPr>
          <w:p w14:paraId="07FFB86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37" w:type="dxa"/>
            <w:shd w:val="clear" w:color="auto" w:fill="auto"/>
            <w:vAlign w:val="center"/>
          </w:tcPr>
          <w:p w14:paraId="7DA7601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预算金额</w:t>
            </w:r>
          </w:p>
        </w:tc>
        <w:tc>
          <w:tcPr>
            <w:tcW w:w="1474" w:type="dxa"/>
            <w:shd w:val="clear" w:color="auto" w:fill="auto"/>
            <w:vAlign w:val="center"/>
          </w:tcPr>
          <w:p w14:paraId="54E21862">
            <w:pPr>
              <w:spacing w:line="360" w:lineRule="auto"/>
              <w:jc w:val="center"/>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最高限价</w:t>
            </w:r>
          </w:p>
        </w:tc>
        <w:tc>
          <w:tcPr>
            <w:tcW w:w="980" w:type="dxa"/>
            <w:shd w:val="clear" w:color="auto" w:fill="auto"/>
            <w:vAlign w:val="center"/>
          </w:tcPr>
          <w:p w14:paraId="63CBFCD8">
            <w:pPr>
              <w:spacing w:line="360" w:lineRule="auto"/>
              <w:jc w:val="center"/>
              <w:rPr>
                <w:rFonts w:ascii="宋体" w:hAnsi="宋体" w:cs="宋体"/>
                <w:b/>
                <w:color w:val="auto"/>
                <w:sz w:val="24"/>
                <w:highlight w:val="none"/>
              </w:rPr>
            </w:pPr>
            <w:r>
              <w:rPr>
                <w:rFonts w:ascii="宋体" w:hAnsi="宋体" w:cs="宋体"/>
                <w:b/>
                <w:color w:val="auto"/>
                <w:sz w:val="24"/>
                <w:highlight w:val="none"/>
              </w:rPr>
              <w:t>备注</w:t>
            </w:r>
          </w:p>
        </w:tc>
      </w:tr>
      <w:tr w14:paraId="032AE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807" w:type="dxa"/>
            <w:shd w:val="clear" w:color="auto" w:fill="auto"/>
            <w:vAlign w:val="center"/>
          </w:tcPr>
          <w:p w14:paraId="6A1164F0">
            <w:pPr>
              <w:spacing w:line="380" w:lineRule="exact"/>
              <w:jc w:val="center"/>
              <w:rPr>
                <w:rFonts w:hint="eastAsia" w:ascii="宋体" w:hAnsi="宋体" w:eastAsia="宋体" w:cs="宋体"/>
                <w:bCs/>
                <w:color w:val="auto"/>
                <w:sz w:val="24"/>
                <w:highlight w:val="none"/>
                <w:lang w:val="en-US" w:eastAsia="zh-CN"/>
              </w:rPr>
            </w:pPr>
            <w:r>
              <w:rPr>
                <w:rFonts w:hint="eastAsia" w:ascii="宋体" w:hAnsi="宋体" w:cs="宋体"/>
                <w:color w:val="auto"/>
                <w:sz w:val="24"/>
                <w:highlight w:val="none"/>
                <w:lang w:val="en-US" w:eastAsia="zh-CN"/>
              </w:rPr>
              <w:t>1</w:t>
            </w:r>
          </w:p>
        </w:tc>
        <w:tc>
          <w:tcPr>
            <w:tcW w:w="3171" w:type="dxa"/>
            <w:shd w:val="clear" w:color="auto" w:fill="auto"/>
            <w:vAlign w:val="center"/>
          </w:tcPr>
          <w:p w14:paraId="72697643">
            <w:pPr>
              <w:spacing w:line="380" w:lineRule="exact"/>
              <w:jc w:val="center"/>
              <w:rPr>
                <w:rFonts w:ascii="宋体" w:hAnsi="宋体" w:cs="宋体"/>
                <w:bCs/>
                <w:color w:val="auto"/>
                <w:sz w:val="24"/>
                <w:highlight w:val="none"/>
              </w:rPr>
            </w:pPr>
            <w:r>
              <w:rPr>
                <w:rFonts w:hint="eastAsia"/>
                <w:color w:val="auto"/>
                <w:sz w:val="24"/>
                <w:highlight w:val="none"/>
                <w:lang w:val="en-US" w:eastAsia="zh-CN"/>
              </w:rPr>
              <w:t>东阳市红会医院5G查房采购项目</w:t>
            </w:r>
          </w:p>
        </w:tc>
        <w:tc>
          <w:tcPr>
            <w:tcW w:w="1091" w:type="dxa"/>
            <w:shd w:val="clear" w:color="auto" w:fill="auto"/>
            <w:vAlign w:val="center"/>
          </w:tcPr>
          <w:p w14:paraId="378DD134">
            <w:pPr>
              <w:spacing w:line="380" w:lineRule="exact"/>
              <w:jc w:val="center"/>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1套</w:t>
            </w:r>
          </w:p>
        </w:tc>
        <w:tc>
          <w:tcPr>
            <w:tcW w:w="1637" w:type="dxa"/>
            <w:shd w:val="clear" w:color="auto" w:fill="auto"/>
            <w:vAlign w:val="center"/>
          </w:tcPr>
          <w:p w14:paraId="6DE51AFE">
            <w:pPr>
              <w:spacing w:line="380" w:lineRule="exact"/>
              <w:jc w:val="center"/>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1711000元</w:t>
            </w:r>
          </w:p>
        </w:tc>
        <w:tc>
          <w:tcPr>
            <w:tcW w:w="1474" w:type="dxa"/>
            <w:shd w:val="clear" w:color="auto" w:fill="auto"/>
            <w:vAlign w:val="center"/>
          </w:tcPr>
          <w:p w14:paraId="1796071E">
            <w:pPr>
              <w:spacing w:line="380" w:lineRule="exact"/>
              <w:jc w:val="center"/>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1580000元</w:t>
            </w:r>
          </w:p>
        </w:tc>
        <w:tc>
          <w:tcPr>
            <w:tcW w:w="980" w:type="dxa"/>
            <w:shd w:val="clear" w:color="auto" w:fill="auto"/>
            <w:vAlign w:val="center"/>
          </w:tcPr>
          <w:p w14:paraId="222D6BF5">
            <w:pPr>
              <w:spacing w:line="380" w:lineRule="exact"/>
              <w:jc w:val="center"/>
              <w:rPr>
                <w:rFonts w:hint="eastAsia" w:ascii="宋体" w:hAnsi="宋体" w:cs="宋体"/>
                <w:bCs/>
                <w:color w:val="auto"/>
                <w:sz w:val="24"/>
                <w:highlight w:val="none"/>
                <w:lang w:eastAsia="zh-CN"/>
              </w:rPr>
            </w:pPr>
          </w:p>
        </w:tc>
      </w:tr>
      <w:bookmarkEnd w:id="11"/>
    </w:tbl>
    <w:p w14:paraId="0F8F401C">
      <w:pPr>
        <w:numPr>
          <w:ilvl w:val="0"/>
          <w:numId w:val="6"/>
        </w:numPr>
        <w:spacing w:line="360" w:lineRule="auto"/>
        <w:rPr>
          <w:rFonts w:hint="eastAsia" w:ascii="宋体" w:hAnsi="宋体" w:cs="宋体"/>
          <w:b/>
          <w:color w:val="auto"/>
          <w:sz w:val="24"/>
          <w:highlight w:val="none"/>
          <w:lang w:eastAsia="zh-CN"/>
        </w:rPr>
      </w:pPr>
      <w:r>
        <w:rPr>
          <w:rFonts w:hint="eastAsia" w:ascii="宋体" w:hAnsi="宋体" w:cs="宋体"/>
          <w:b/>
          <w:color w:val="auto"/>
          <w:sz w:val="24"/>
          <w:highlight w:val="none"/>
          <w:lang w:val="en-US" w:eastAsia="zh-CN"/>
        </w:rPr>
        <w:t>技术参数</w:t>
      </w:r>
    </w:p>
    <w:p w14:paraId="7E9E6311">
      <w:pPr>
        <w:numPr>
          <w:ilvl w:val="0"/>
          <w:numId w:val="0"/>
        </w:numPr>
        <w:spacing w:line="360" w:lineRule="auto"/>
        <w:rPr>
          <w:rFonts w:hint="eastAsia"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（一）采购名称及数量</w:t>
      </w:r>
    </w:p>
    <w:tbl>
      <w:tblPr>
        <w:tblStyle w:val="40"/>
        <w:tblW w:w="67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98"/>
        <w:gridCol w:w="1779"/>
        <w:gridCol w:w="1302"/>
      </w:tblGrid>
      <w:tr w14:paraId="45AC4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3698" w:type="dxa"/>
          </w:tcPr>
          <w:p w14:paraId="38616B70">
            <w:pPr>
              <w:pStyle w:val="2"/>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序号</w:t>
            </w:r>
          </w:p>
        </w:tc>
        <w:tc>
          <w:tcPr>
            <w:tcW w:w="1779" w:type="dxa"/>
          </w:tcPr>
          <w:p w14:paraId="5C3E5497">
            <w:pPr>
              <w:pStyle w:val="2"/>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数量</w:t>
            </w:r>
          </w:p>
        </w:tc>
        <w:tc>
          <w:tcPr>
            <w:tcW w:w="1302" w:type="dxa"/>
          </w:tcPr>
          <w:p w14:paraId="6ED5317A">
            <w:pPr>
              <w:pStyle w:val="2"/>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单位</w:t>
            </w:r>
          </w:p>
        </w:tc>
      </w:tr>
      <w:tr w14:paraId="71795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3698" w:type="dxa"/>
          </w:tcPr>
          <w:p w14:paraId="4420F626">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移动护理车</w:t>
            </w:r>
            <w:r>
              <w:rPr>
                <w:rFonts w:hint="eastAsia" w:ascii="宋体" w:hAnsi="宋体" w:eastAsia="宋体" w:cs="宋体"/>
                <w:b/>
                <w:bCs/>
                <w:i w:val="0"/>
                <w:iCs w:val="0"/>
                <w:color w:val="auto"/>
                <w:kern w:val="0"/>
                <w:sz w:val="24"/>
                <w:szCs w:val="24"/>
                <w:highlight w:val="none"/>
                <w:u w:val="none"/>
                <w:lang w:val="en-US" w:eastAsia="zh-CN" w:bidi="ar"/>
              </w:rPr>
              <w:t>（核心产品）</w:t>
            </w:r>
            <w:r>
              <w:rPr>
                <w:rFonts w:hint="eastAsia" w:ascii="宋体" w:hAnsi="宋体" w:cs="宋体"/>
                <w:b w:val="0"/>
                <w:bCs/>
                <w:color w:val="auto"/>
                <w:sz w:val="24"/>
                <w:highlight w:val="none"/>
                <w:vertAlign w:val="baseline"/>
              </w:rPr>
              <w:t xml:space="preserve"> </w:t>
            </w:r>
          </w:p>
        </w:tc>
        <w:tc>
          <w:tcPr>
            <w:tcW w:w="1779" w:type="dxa"/>
          </w:tcPr>
          <w:p w14:paraId="7F66CBDC">
            <w:pPr>
              <w:pStyle w:val="2"/>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vertAlign w:val="baseline"/>
              </w:rPr>
              <w:t>40</w:t>
            </w:r>
          </w:p>
        </w:tc>
        <w:tc>
          <w:tcPr>
            <w:tcW w:w="1302" w:type="dxa"/>
          </w:tcPr>
          <w:p w14:paraId="1362D058">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台</w:t>
            </w:r>
          </w:p>
        </w:tc>
      </w:tr>
      <w:tr w14:paraId="7AADD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3698" w:type="dxa"/>
          </w:tcPr>
          <w:p w14:paraId="7E9B324E">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 xml:space="preserve">移动医生车 </w:t>
            </w:r>
          </w:p>
        </w:tc>
        <w:tc>
          <w:tcPr>
            <w:tcW w:w="1779" w:type="dxa"/>
          </w:tcPr>
          <w:p w14:paraId="7BB273FD">
            <w:pPr>
              <w:pStyle w:val="2"/>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vertAlign w:val="baseline"/>
              </w:rPr>
              <w:t>30</w:t>
            </w:r>
          </w:p>
        </w:tc>
        <w:tc>
          <w:tcPr>
            <w:tcW w:w="1302" w:type="dxa"/>
          </w:tcPr>
          <w:p w14:paraId="4A35C9AB">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台</w:t>
            </w:r>
          </w:p>
        </w:tc>
      </w:tr>
      <w:tr w14:paraId="636BF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3698" w:type="dxa"/>
          </w:tcPr>
          <w:p w14:paraId="2AD1E2C4">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 xml:space="preserve">PDA  </w:t>
            </w:r>
          </w:p>
        </w:tc>
        <w:tc>
          <w:tcPr>
            <w:tcW w:w="1779" w:type="dxa"/>
          </w:tcPr>
          <w:p w14:paraId="0A9B4A63">
            <w:pPr>
              <w:pStyle w:val="2"/>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vertAlign w:val="baseline"/>
              </w:rPr>
              <w:t>60</w:t>
            </w:r>
          </w:p>
        </w:tc>
        <w:tc>
          <w:tcPr>
            <w:tcW w:w="1302" w:type="dxa"/>
          </w:tcPr>
          <w:p w14:paraId="690594E5">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台</w:t>
            </w:r>
          </w:p>
        </w:tc>
      </w:tr>
      <w:tr w14:paraId="50C82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3698" w:type="dxa"/>
          </w:tcPr>
          <w:p w14:paraId="7E299834">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 xml:space="preserve">云桌面一体机 </w:t>
            </w:r>
          </w:p>
        </w:tc>
        <w:tc>
          <w:tcPr>
            <w:tcW w:w="1779" w:type="dxa"/>
          </w:tcPr>
          <w:p w14:paraId="32337DD1">
            <w:pPr>
              <w:pStyle w:val="2"/>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vertAlign w:val="baseline"/>
              </w:rPr>
              <w:t>3</w:t>
            </w:r>
          </w:p>
        </w:tc>
        <w:tc>
          <w:tcPr>
            <w:tcW w:w="1302" w:type="dxa"/>
          </w:tcPr>
          <w:p w14:paraId="5EE0A08D">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台</w:t>
            </w:r>
          </w:p>
        </w:tc>
      </w:tr>
      <w:tr w14:paraId="0CC84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3698" w:type="dxa"/>
          </w:tcPr>
          <w:p w14:paraId="48AB8C3B">
            <w:pPr>
              <w:pStyle w:val="2"/>
              <w:ind w:firstLine="720" w:firstLineChars="300"/>
              <w:jc w:val="both"/>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 xml:space="preserve">云桌面软件及授权  </w:t>
            </w:r>
          </w:p>
        </w:tc>
        <w:tc>
          <w:tcPr>
            <w:tcW w:w="1779" w:type="dxa"/>
          </w:tcPr>
          <w:p w14:paraId="37273CBC">
            <w:pPr>
              <w:pStyle w:val="2"/>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vertAlign w:val="baseline"/>
              </w:rPr>
              <w:t>1</w:t>
            </w:r>
          </w:p>
        </w:tc>
        <w:tc>
          <w:tcPr>
            <w:tcW w:w="1302" w:type="dxa"/>
          </w:tcPr>
          <w:p w14:paraId="3D748EEC">
            <w:pPr>
              <w:pStyle w:val="2"/>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套</w:t>
            </w:r>
          </w:p>
        </w:tc>
      </w:tr>
      <w:tr w14:paraId="0CE32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3698" w:type="dxa"/>
          </w:tcPr>
          <w:p w14:paraId="262A9027">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 xml:space="preserve">数据服务  </w:t>
            </w:r>
          </w:p>
        </w:tc>
        <w:tc>
          <w:tcPr>
            <w:tcW w:w="1779" w:type="dxa"/>
          </w:tcPr>
          <w:p w14:paraId="74F915EF">
            <w:pPr>
              <w:pStyle w:val="2"/>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vertAlign w:val="baseline"/>
              </w:rPr>
              <w:t>1</w:t>
            </w:r>
          </w:p>
        </w:tc>
        <w:tc>
          <w:tcPr>
            <w:tcW w:w="1302" w:type="dxa"/>
          </w:tcPr>
          <w:p w14:paraId="57248050">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lang w:val="en-US" w:eastAsia="zh-CN"/>
              </w:rPr>
              <w:t>套</w:t>
            </w:r>
          </w:p>
        </w:tc>
      </w:tr>
      <w:tr w14:paraId="260CF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3698" w:type="dxa"/>
          </w:tcPr>
          <w:p w14:paraId="5E73ADE7">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rPr>
              <w:t>通信服务</w:t>
            </w:r>
          </w:p>
        </w:tc>
        <w:tc>
          <w:tcPr>
            <w:tcW w:w="1779" w:type="dxa"/>
          </w:tcPr>
          <w:p w14:paraId="46D61ADE">
            <w:pPr>
              <w:pStyle w:val="2"/>
              <w:jc w:val="center"/>
              <w:rPr>
                <w:rFonts w:hint="eastAsia" w:ascii="宋体" w:hAnsi="宋体" w:eastAsia="宋体" w:cs="宋体"/>
                <w:b w:val="0"/>
                <w:bCs/>
                <w:color w:val="auto"/>
                <w:sz w:val="24"/>
                <w:highlight w:val="none"/>
                <w:vertAlign w:val="baseline"/>
              </w:rPr>
            </w:pPr>
            <w:r>
              <w:rPr>
                <w:rFonts w:hint="eastAsia" w:ascii="宋体" w:hAnsi="宋体" w:eastAsia="宋体" w:cs="宋体"/>
                <w:b w:val="0"/>
                <w:bCs/>
                <w:color w:val="auto"/>
                <w:sz w:val="24"/>
                <w:highlight w:val="none"/>
                <w:vertAlign w:val="baseline"/>
              </w:rPr>
              <w:t>1</w:t>
            </w:r>
          </w:p>
        </w:tc>
        <w:tc>
          <w:tcPr>
            <w:tcW w:w="1302" w:type="dxa"/>
          </w:tcPr>
          <w:p w14:paraId="16E46835">
            <w:pPr>
              <w:pStyle w:val="2"/>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vertAlign w:val="baseline"/>
                <w:lang w:val="en-US" w:eastAsia="zh-CN"/>
              </w:rPr>
              <w:t>套</w:t>
            </w:r>
          </w:p>
        </w:tc>
      </w:tr>
    </w:tbl>
    <w:p w14:paraId="5F2F37FC">
      <w:pPr>
        <w:pStyle w:val="2"/>
        <w:jc w:val="both"/>
        <w:rPr>
          <w:rFonts w:hint="eastAsia"/>
          <w:color w:val="auto"/>
          <w:highlight w:val="none"/>
          <w:lang w:eastAsia="zh-CN"/>
        </w:rPr>
      </w:pPr>
      <w:r>
        <w:rPr>
          <w:rFonts w:hint="eastAsia" w:ascii="宋体" w:hAnsi="宋体" w:cs="宋体"/>
          <w:b/>
          <w:color w:val="auto"/>
          <w:sz w:val="24"/>
          <w:highlight w:val="none"/>
          <w:lang w:eastAsia="zh-CN"/>
        </w:rPr>
        <w:t>（</w:t>
      </w:r>
      <w:r>
        <w:rPr>
          <w:rFonts w:hint="eastAsia" w:ascii="宋体" w:hAnsi="宋体" w:cs="宋体"/>
          <w:b/>
          <w:color w:val="auto"/>
          <w:sz w:val="24"/>
          <w:highlight w:val="none"/>
          <w:lang w:val="en-US" w:eastAsia="zh-CN"/>
        </w:rPr>
        <w:t>二</w:t>
      </w:r>
      <w:r>
        <w:rPr>
          <w:rFonts w:hint="eastAsia" w:ascii="宋体" w:hAnsi="宋体" w:cs="宋体"/>
          <w:b/>
          <w:color w:val="auto"/>
          <w:sz w:val="24"/>
          <w:highlight w:val="none"/>
          <w:lang w:eastAsia="zh-CN"/>
        </w:rPr>
        <w:t>）</w:t>
      </w:r>
      <w:r>
        <w:rPr>
          <w:rFonts w:hint="eastAsia" w:ascii="宋体" w:hAnsi="宋体" w:cs="宋体"/>
          <w:b/>
          <w:color w:val="auto"/>
          <w:sz w:val="24"/>
          <w:highlight w:val="none"/>
        </w:rPr>
        <w:t>设备技术参数及配制要求</w:t>
      </w:r>
    </w:p>
    <w:tbl>
      <w:tblPr>
        <w:tblStyle w:val="39"/>
        <w:tblW w:w="9558" w:type="dxa"/>
        <w:tblInd w:w="1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93"/>
        <w:gridCol w:w="661"/>
        <w:gridCol w:w="1405"/>
        <w:gridCol w:w="6699"/>
      </w:tblGrid>
      <w:tr w14:paraId="3571D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6" w:hRule="atLeast"/>
        </w:trPr>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4127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子项目名称</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B08B1">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3996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硬件名称</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5D33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技术参数及配置标准</w:t>
            </w:r>
          </w:p>
        </w:tc>
      </w:tr>
      <w:tr w14:paraId="04EC1A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9" w:hRule="atLeast"/>
        </w:trPr>
        <w:tc>
          <w:tcPr>
            <w:tcW w:w="7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4F9330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移动护理车</w:t>
            </w:r>
            <w:r>
              <w:rPr>
                <w:rFonts w:hint="eastAsia" w:ascii="宋体" w:hAnsi="宋体" w:eastAsia="宋体" w:cs="宋体"/>
                <w:b/>
                <w:bCs/>
                <w:i w:val="0"/>
                <w:iCs w:val="0"/>
                <w:color w:val="auto"/>
                <w:kern w:val="0"/>
                <w:sz w:val="24"/>
                <w:szCs w:val="24"/>
                <w:highlight w:val="none"/>
                <w:u w:val="none"/>
                <w:lang w:val="en-US" w:eastAsia="zh-CN" w:bidi="ar"/>
              </w:rPr>
              <w:t>（核心产品）</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BCCEC">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F9B22">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整车材质</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74362">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整车采用航空铝合金抗菌材料和ABS工程塑料抗菌材质；抗菌率99.9%，抗菌耐腐蚀,持久耐用；</w:t>
            </w:r>
          </w:p>
        </w:tc>
      </w:tr>
      <w:tr w14:paraId="1EEE8D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2"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820193">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C3E38">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DB63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台面设计</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77FB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台面离地高度≥975mm，同时方便站姿和坐姿使用，显示器支架后移或侧移，不得位于台面,不占用台面面积，保证台面实际使用面积最大化，台面使用部分为完整方形，操作台面（不含把手）尺寸≤450mm*500mm；</w:t>
            </w:r>
          </w:p>
        </w:tc>
      </w:tr>
      <w:tr w14:paraId="02D787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24C772">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CA2E6">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D14BE">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双把手</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6010A6">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车体前后均带有圆弧形闭环式ABS把手，抗菌抗压、耐腐蚀，方便各角度推动；</w:t>
            </w:r>
          </w:p>
        </w:tc>
      </w:tr>
      <w:tr w14:paraId="1F70F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3"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7F22DD">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67F41">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A6096">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把手设计</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4B6B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前把手与台面为ABS压铸无缝一体成型，无螺丝固定，颜色及材质一致，把手两端直接与台面相连为闭环式设计；</w:t>
            </w:r>
          </w:p>
        </w:tc>
      </w:tr>
      <w:tr w14:paraId="46208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26ED1C">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05758">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00CF3">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前把手</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7C15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前把手向下弯曲，符合人体工程学设计，抽出键盘托时，前把手位于键盘托下方，不影响操作视线；</w:t>
            </w:r>
          </w:p>
        </w:tc>
      </w:tr>
      <w:tr w14:paraId="41702F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EA0594">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131A9">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A37D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后把手</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31D9B">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配置后把手，后把手采用ABS塑料材质，且与台面颜色材质完全一致，后把手一体成型，不得用于支撑显示终端或显示器，方便推拉操作；</w:t>
            </w:r>
          </w:p>
        </w:tc>
      </w:tr>
      <w:tr w14:paraId="0C2694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AB2C44">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A48C2">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CBAC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终端固定支架</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6672C9">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终端固定支架支持≥15cm升降；支持横竖屏转换，便于床旁阅片；支持左右各≥90°旋转</w:t>
            </w:r>
          </w:p>
        </w:tc>
      </w:tr>
      <w:tr w14:paraId="51FE8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5D01F1">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B82A2">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44F6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键盘托设计</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5CEDC">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键盘托完全隐藏嵌入台面内部，使用时可从台面内拉出,拉出后位于把手上方，不影响操作视线；</w:t>
            </w:r>
          </w:p>
        </w:tc>
      </w:tr>
      <w:tr w14:paraId="0F442B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7C9B19">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DED68">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22E0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双立柱结构</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CE5A1">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采用高强度铝合金双立柱，立柱结构靠近前把手，便于安装柜体和配件，保障车体重心稳定平衡，不易发生后倾或侧翻；</w:t>
            </w:r>
          </w:p>
        </w:tc>
      </w:tr>
      <w:tr w14:paraId="476071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1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1AC5C3">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9B2F8">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D76C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抽屉</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F6C1C">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配置≥4层抽屉，抽屉规格≥2种，小抽屉≥2层，抽屉尺寸≥440mm *310 mm *100mm；大抽屉≥2层，抽屉尺寸≥440mm *310mm*200mm，安装于双立柱上，确保车体的平衡性；</w:t>
            </w:r>
          </w:p>
        </w:tc>
      </w:tr>
      <w:tr w14:paraId="266DE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75FE91">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D2112">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2D62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抽屉设计</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CAC77">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抽屉内框架采用铝合金支撑，外表面采用抗菌ABS材质覆盖，车体轻便；抽屉采用全铝合金圆弧形闭环结构拉手，拉手抽拉方向与台面把手方向一致，方便抽拉抽屉操作；</w:t>
            </w:r>
          </w:p>
        </w:tc>
      </w:tr>
      <w:tr w14:paraId="55D55F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FDDEAA">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917C7">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623F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台面柜体结构</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4453B">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台面与柜体分离，非一体化结构，预留足够的空间，便于灵活变更柜体；</w:t>
            </w:r>
          </w:p>
        </w:tc>
      </w:tr>
      <w:tr w14:paraId="07414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2"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4D6ACE">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7E6F4">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2168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系统配置</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835D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CPU型号不小于10代I5，内存不低于8G，固态硬盘不低于250G；支持2.4G/5G双频网络，802.11 a/b/g/n/ac；显示终端：尺寸≥23.8”，最佳分辨率≥1920x1080，内置音箱；5G: 主板支持5G模块与WiFi兼容</w:t>
            </w:r>
          </w:p>
        </w:tc>
      </w:tr>
      <w:tr w14:paraId="6840F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3E5A3E">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86CB0">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BB97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柜体离地高度</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51299">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柜体底部离地高度≥20CM，预留出柜体和地面距离，可有效防水防潮，避免细菌滋生</w:t>
            </w:r>
          </w:p>
        </w:tc>
      </w:tr>
      <w:tr w14:paraId="4A6073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86FB23">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F6191">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F9D2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底座</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97410">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高强度铝合金材料经高压一体成型，无缝无组装设计，承重耐压性能强，双脚避位设计，底座向内弯曲可有效避免推动时撞脚同时方便坐姿使用；</w:t>
            </w:r>
          </w:p>
        </w:tc>
      </w:tr>
      <w:tr w14:paraId="19A55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FDE26D">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C8DA3">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338D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脚轮</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968C9">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4个医用静音双面轮，四轮八面更平稳，其中2个带刹车锁定功能；</w:t>
            </w:r>
          </w:p>
        </w:tc>
      </w:tr>
      <w:tr w14:paraId="42E296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2"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D3BA74">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0CA74">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06DB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配件</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92580">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可选配多种类型配件，满足临床使用需要,PVC台面垫*1，有线键鼠套装*1，鼠标盒*1，小置物盒*1，6.5L垃圾桶*2，多功能置物盒*1，中置物盒*1</w:t>
            </w:r>
          </w:p>
        </w:tc>
      </w:tr>
      <w:tr w14:paraId="50D65C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0"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969D00">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B1D253">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E205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节能模块</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749F3">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车体配置人体感应识别智能节能模块，高效节能，提升推车续航时间。</w:t>
            </w:r>
          </w:p>
        </w:tc>
      </w:tr>
      <w:tr w14:paraId="4A753C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39F7F4">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0B8F7">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7E4E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硬盘支架</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C0927">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配置防震设计的硬盘支架，固定防护硬盘，适合医护人员高频移动操作设备，保障数据存储安全稳定；</w:t>
            </w:r>
          </w:p>
        </w:tc>
      </w:tr>
      <w:tr w14:paraId="202E2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ABE89E">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77941">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58D5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电路保护</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F4286">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配置直流马达转动控制模块，防止过压、过流、欠压、过充、过放，保护电路安全；</w:t>
            </w:r>
          </w:p>
        </w:tc>
      </w:tr>
      <w:tr w14:paraId="17565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56CB87">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E1DDA">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14FF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电池性能</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EE70B">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支持≥8小时续航时间</w:t>
            </w:r>
          </w:p>
        </w:tc>
      </w:tr>
      <w:tr w14:paraId="466F9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95DEF1">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3B7A3">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7427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视频宣教</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A96AF">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配置节能控制模块，在不接通市电情况下，设备一次充满电后，支持床旁连续播放视频时长≥16小时对患者进行健康宣教。</w:t>
            </w:r>
          </w:p>
        </w:tc>
      </w:tr>
      <w:tr w14:paraId="6B968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FC9885">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550C6">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5CF0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医疗电源</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DFE46">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配置医疗电源控制模板，确保输出电压、电流可调节，提高电源使用效率，避免能源浪费；</w:t>
            </w:r>
          </w:p>
        </w:tc>
      </w:tr>
      <w:tr w14:paraId="4B1320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D33F52">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66301">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CCB5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安全认证</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82C7D">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整车通过3C认证；</w:t>
            </w:r>
          </w:p>
        </w:tc>
      </w:tr>
      <w:tr w14:paraId="761C65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77350A">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C393C">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D73E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抗菌感控</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EB8C6">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车体表面采用粉体涂料抑菌处理，抗菌耐腐蚀，抗菌率≥99%</w:t>
            </w:r>
          </w:p>
        </w:tc>
      </w:tr>
      <w:tr w14:paraId="7F5DC4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2"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9FA962">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9D67A">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6DB0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安规管理体系</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AF887">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整车厂商具备完善的安全生产管理体系，并同时通过ISO9001、ISO14001、ISO45001、ISO13485、ISO20000、ISO27001、GB/T29490-2013、安全生产标准化企业认证、辐射安全许可证。</w:t>
            </w:r>
          </w:p>
        </w:tc>
      </w:tr>
      <w:tr w14:paraId="5612F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7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392572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移动医生车</w:t>
            </w: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4B282">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033D7">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整车材质</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F5327">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整车采用航空铝合金抗菌材料和ABS工程塑料抗菌材质；抗菌率99.9%，抗菌耐腐蚀,持久耐用；</w:t>
            </w:r>
          </w:p>
        </w:tc>
      </w:tr>
      <w:tr w14:paraId="29E089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418F6A">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1F430">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BFBE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台面设计</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7E61B">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显示器支架后移或侧移，不得位于台面，不占用台面面积，保证台面实际使用面积最大化，台面使用部分为完整方形；</w:t>
            </w:r>
          </w:p>
        </w:tc>
      </w:tr>
      <w:tr w14:paraId="51ABDC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B829A7">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8C223">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07A4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扩展台面</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8DF84">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扩展台面尺寸≥340mm*270mm，内嵌于台面，采用无把手设计，支持按压弹出，优化台面操作空间；</w:t>
            </w:r>
          </w:p>
        </w:tc>
      </w:tr>
      <w:tr w14:paraId="74660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611300">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0EA05">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1CE4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把手材质</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94FD1">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采用ABS材质，抗菌抗压、耐腐蚀，与台面压铸一体成型，不可拆卸</w:t>
            </w:r>
          </w:p>
        </w:tc>
      </w:tr>
      <w:tr w14:paraId="2E885E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9"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63B7D6">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B23C4">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1295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把手设计</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036B7">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把手与台面为ABS压铸无缝一体成型，无螺丝固定，颜色及材质一致，把手两端直接与台面相连为闭环式设计；</w:t>
            </w:r>
          </w:p>
        </w:tc>
      </w:tr>
      <w:tr w14:paraId="465428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9"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40FFC9">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E2272">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C73D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把手方向</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A7F02">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把手向下弯曲，符合人体工程学设计，抽出键盘操作时，把手位于键盘托下方，不影响操作视线；</w:t>
            </w:r>
          </w:p>
        </w:tc>
      </w:tr>
      <w:tr w14:paraId="6F39F3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2D84F2">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8C535">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812F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键盘托设计</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5762D">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键盘托完全隐藏嵌入台面内部，使用时可从台面内拉出,拉出后位于把手上方，不影响操作视线；</w:t>
            </w:r>
          </w:p>
        </w:tc>
      </w:tr>
      <w:tr w14:paraId="0DB62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5B0AE3">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630E2">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DDA6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显示器固定支架</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65BE4">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显示器支架支持≥15cm升降；支持横竖屏转换，便于床旁阅片，支持左右各旋转≥360度；</w:t>
            </w:r>
          </w:p>
        </w:tc>
      </w:tr>
      <w:tr w14:paraId="719BE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FDE269">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E06B0">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53F1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立柱结构</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C1A78">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配置上宽下窄高强度铝合金升降立柱，预留扩展位置，便于安装抽屉和配件；</w:t>
            </w:r>
          </w:p>
        </w:tc>
      </w:tr>
      <w:tr w14:paraId="7C7114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7707B6">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66089">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3529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车体升降</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732C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标配气动升降方式，支持台面升降≥30cm；</w:t>
            </w:r>
          </w:p>
        </w:tc>
      </w:tr>
      <w:tr w14:paraId="45F8B0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8"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0CB270">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166BC">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BAA3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脚轮</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3B1C0">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4个医用静音双面轮，四轮八面更平稳，其中2个带刹车锁定功能；</w:t>
            </w:r>
          </w:p>
        </w:tc>
      </w:tr>
      <w:tr w14:paraId="317C79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9"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65C65B">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6F7F8">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7439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节能模块</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7E092">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车体配置人体感应识别智能节能模块，高效节能，提升推车续航时间。</w:t>
            </w:r>
          </w:p>
        </w:tc>
      </w:tr>
      <w:tr w14:paraId="5F778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9"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776D3F">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0B134">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F714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系统配置</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3BF11">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CPU型号不小于10代I5，内存不低于8G，固态硬盘不低于250G；支持2.4G/5G双频网络，802.11 a/b/g/n/ac；</w:t>
            </w:r>
          </w:p>
        </w:tc>
      </w:tr>
      <w:tr w14:paraId="3BE5AC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109464">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1D3F3">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BD30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硬盘支架</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89FE0">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配置防震设计的硬盘支架，固定防护硬盘，适合医护人员高频移动操作设备，保障数据存储安全稳定；</w:t>
            </w:r>
          </w:p>
        </w:tc>
      </w:tr>
      <w:tr w14:paraId="5D1010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883DAE">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0A3CE">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0631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电池性能</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4AE1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支持≥8小时续航时间</w:t>
            </w:r>
          </w:p>
        </w:tc>
      </w:tr>
      <w:tr w14:paraId="6D57B9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477995">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E0044">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DB43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视频宣教</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788F6">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配置节能控制模块，在不接通市电情况下，设备一次充满电后，支持床旁连续播放视频时长≥16小时对患者进行健康宣教。</w:t>
            </w:r>
          </w:p>
        </w:tc>
      </w:tr>
      <w:tr w14:paraId="0C31C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2757DE">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735CB">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C265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电路保护</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F43E1">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配置直流马达转动控制模块，防止过压、过流、欠压、过充、过放，保护电路安全；</w:t>
            </w:r>
          </w:p>
        </w:tc>
      </w:tr>
      <w:tr w14:paraId="78DCE8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8E5AA6">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11EBA">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49E6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医疗电源</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30C02">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配置医疗电源控制模板，确保输出电压、电流可调节，提高电源使用效率，避免能源浪费；</w:t>
            </w:r>
          </w:p>
        </w:tc>
      </w:tr>
      <w:tr w14:paraId="1610C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92307B">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2DC3E">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7A40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电源线</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8FFD3">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采用螺旋弹簧电源线，方便不同距离充电，固定在车体上，防盗失；</w:t>
            </w:r>
          </w:p>
        </w:tc>
      </w:tr>
      <w:tr w14:paraId="08F546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02854A">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AC0B2">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B6E9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安全认证</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3DD84">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整车通过3C认证；</w:t>
            </w:r>
          </w:p>
        </w:tc>
      </w:tr>
      <w:tr w14:paraId="05E3C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3"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039008">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E5BA1">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7669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抗菌感控</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8BDF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整车使用的粉体涂料抑菌处理，抗菌耐腐蚀，抗菌率≥99%</w:t>
            </w:r>
          </w:p>
        </w:tc>
      </w:tr>
      <w:tr w14:paraId="001A8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9"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3D7E6B">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FDDDE">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1836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安规管理体系</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03600">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整车厂商具备完善的安全生产管理体系，并同时通过ISO9001、ISO14001、ISO45001、ISO13485、ISO20000、ISO27001、GB/T29490-2013、安全生产标准化企业认证、辐射安全许可证。</w:t>
            </w:r>
          </w:p>
        </w:tc>
      </w:tr>
      <w:tr w14:paraId="246423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6" w:hRule="atLeast"/>
        </w:trPr>
        <w:tc>
          <w:tcPr>
            <w:tcW w:w="7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E09435">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PDA</w:t>
            </w:r>
          </w:p>
        </w:tc>
        <w:tc>
          <w:tcPr>
            <w:tcW w:w="6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46F2D8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一般参数</w:t>
            </w: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AB6F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处理器</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649BF">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 xml:space="preserve">高速八核64位处理器，2.2GHz </w:t>
            </w:r>
          </w:p>
        </w:tc>
      </w:tr>
      <w:tr w14:paraId="015ED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107DC5">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63078B">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44FB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FLASH</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3D871">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64GB</w:t>
            </w:r>
          </w:p>
        </w:tc>
      </w:tr>
      <w:tr w14:paraId="64043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3C4A63">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FC198A">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1B70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RAM</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62950">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4GB</w:t>
            </w:r>
          </w:p>
        </w:tc>
      </w:tr>
      <w:tr w14:paraId="0D111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D5FD5F">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BF728B">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4716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显示屏</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8DA78">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6.1(分辨率≥720*1560)</w:t>
            </w:r>
            <w:r>
              <w:rPr>
                <w:rFonts w:hint="eastAsia" w:ascii="宋体" w:hAnsi="宋体" w:eastAsia="宋体" w:cs="宋体"/>
                <w:i w:val="0"/>
                <w:iCs w:val="0"/>
                <w:strike w:val="0"/>
                <w:dstrike w:val="0"/>
                <w:color w:val="auto"/>
                <w:kern w:val="0"/>
                <w:sz w:val="22"/>
                <w:szCs w:val="22"/>
                <w:highlight w:val="none"/>
                <w:u w:val="none"/>
                <w:lang w:val="en-US" w:eastAsia="zh-CN" w:bidi="ar"/>
              </w:rPr>
              <w:t>康宁</w:t>
            </w:r>
            <w:r>
              <w:rPr>
                <w:rFonts w:hint="eastAsia" w:ascii="宋体" w:hAnsi="宋体" w:eastAsia="宋体" w:cs="宋体"/>
                <w:i w:val="0"/>
                <w:iCs w:val="0"/>
                <w:strike w:val="0"/>
                <w:color w:val="auto"/>
                <w:kern w:val="0"/>
                <w:sz w:val="22"/>
                <w:szCs w:val="22"/>
                <w:highlight w:val="none"/>
                <w:u w:val="none"/>
                <w:lang w:val="en-US" w:eastAsia="zh-CN" w:bidi="ar"/>
              </w:rPr>
              <w:t>玻璃</w:t>
            </w:r>
          </w:p>
        </w:tc>
      </w:tr>
      <w:tr w14:paraId="30D287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698210">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A72E9A">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BF3FB">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手写输入法</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B72B0">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w:t>
            </w:r>
          </w:p>
        </w:tc>
      </w:tr>
      <w:tr w14:paraId="4073C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2"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ADE9B6">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6C8FD4">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4727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键盘</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6B237">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5键(含左右侧按键)</w:t>
            </w:r>
          </w:p>
        </w:tc>
      </w:tr>
      <w:tr w14:paraId="31B72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D7F0FD">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FF6557">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80A5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操作系统</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CC369">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Android 11(64位版本)</w:t>
            </w:r>
          </w:p>
        </w:tc>
      </w:tr>
      <w:tr w14:paraId="3B3DFF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1"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05AE4B">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AEB0E2">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4AEB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摄像头</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4CECB">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前置定焦≥800万像素摄像头;后置≥1300万像素自动对焦摄像头,支持闪光</w:t>
            </w:r>
          </w:p>
        </w:tc>
      </w:tr>
      <w:tr w14:paraId="39489E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DB1F6A">
            <w:pPr>
              <w:jc w:val="both"/>
              <w:rPr>
                <w:rFonts w:hint="eastAsia" w:ascii="宋体" w:hAnsi="宋体" w:eastAsia="宋体" w:cs="宋体"/>
                <w:i w:val="0"/>
                <w:iCs w:val="0"/>
                <w:color w:val="auto"/>
                <w:sz w:val="22"/>
                <w:szCs w:val="22"/>
                <w:highlight w:val="none"/>
                <w:u w:val="none"/>
              </w:rPr>
            </w:pPr>
          </w:p>
        </w:tc>
        <w:tc>
          <w:tcPr>
            <w:tcW w:w="6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1E3DB8">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扫描引擎</w:t>
            </w:r>
          </w:p>
        </w:tc>
        <w:tc>
          <w:tcPr>
            <w:tcW w:w="14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C3FA9A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工业级二维条码扫描引擎</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0654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支持一维、二维条码扫描</w:t>
            </w:r>
          </w:p>
        </w:tc>
      </w:tr>
      <w:tr w14:paraId="13C4AA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37FAE6">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E880D">
            <w:pP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F1FACC">
            <w:pPr>
              <w:jc w:val="center"/>
              <w:rPr>
                <w:rFonts w:hint="eastAsia" w:ascii="宋体" w:hAnsi="宋体" w:eastAsia="宋体" w:cs="宋体"/>
                <w:i w:val="0"/>
                <w:iCs w:val="0"/>
                <w:color w:val="auto"/>
                <w:sz w:val="22"/>
                <w:szCs w:val="22"/>
                <w:highlight w:val="none"/>
                <w:u w:val="none"/>
              </w:rPr>
            </w:pPr>
          </w:p>
        </w:tc>
        <w:tc>
          <w:tcPr>
            <w:tcW w:w="66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D8E9B61">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条码类型：Code128UCC/EAN-128AIM 128EAN-8JAN-8EAN-13，ISBN/ISSNUPC-EUPC-A,Interleave 2/5ITF-6ITF-14,Deutsche 14Deutsche12.COOP 25Matrix 2/5Industrial 2/5,Standard 25Code 39.Codabar/NW7,Code 93Code 11, Plessey, MSI/Plessey, GS1 Databar 等维条码及PDF-417，QR CodeData MatrixAztec汉信码等二维码</w:t>
            </w:r>
          </w:p>
        </w:tc>
      </w:tr>
      <w:tr w14:paraId="38EFC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494522">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C8FDE">
            <w:pP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16670C">
            <w:pPr>
              <w:jc w:val="center"/>
              <w:rPr>
                <w:rFonts w:hint="eastAsia" w:ascii="宋体" w:hAnsi="宋体" w:eastAsia="宋体" w:cs="宋体"/>
                <w:i w:val="0"/>
                <w:iCs w:val="0"/>
                <w:color w:val="auto"/>
                <w:sz w:val="22"/>
                <w:szCs w:val="22"/>
                <w:highlight w:val="none"/>
                <w:u w:val="none"/>
              </w:rPr>
            </w:pPr>
          </w:p>
        </w:tc>
        <w:tc>
          <w:tcPr>
            <w:tcW w:w="66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978764">
            <w:pPr>
              <w:rPr>
                <w:rFonts w:hint="eastAsia" w:ascii="宋体" w:hAnsi="宋体" w:eastAsia="宋体" w:cs="宋体"/>
                <w:i w:val="0"/>
                <w:iCs w:val="0"/>
                <w:color w:val="auto"/>
                <w:sz w:val="22"/>
                <w:szCs w:val="22"/>
                <w:highlight w:val="none"/>
                <w:u w:val="none"/>
              </w:rPr>
            </w:pPr>
          </w:p>
        </w:tc>
      </w:tr>
      <w:tr w14:paraId="3A73B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B38E41">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B164DC">
            <w:pP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2AAB40">
            <w:pPr>
              <w:jc w:val="center"/>
              <w:rPr>
                <w:rFonts w:hint="eastAsia" w:ascii="宋体" w:hAnsi="宋体" w:eastAsia="宋体" w:cs="宋体"/>
                <w:i w:val="0"/>
                <w:iCs w:val="0"/>
                <w:color w:val="auto"/>
                <w:sz w:val="22"/>
                <w:szCs w:val="22"/>
                <w:highlight w:val="none"/>
                <w:u w:val="none"/>
              </w:rPr>
            </w:pPr>
          </w:p>
        </w:tc>
        <w:tc>
          <w:tcPr>
            <w:tcW w:w="66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2FE5EE">
            <w:pPr>
              <w:rPr>
                <w:rFonts w:hint="eastAsia" w:ascii="宋体" w:hAnsi="宋体" w:eastAsia="宋体" w:cs="宋体"/>
                <w:i w:val="0"/>
                <w:iCs w:val="0"/>
                <w:color w:val="auto"/>
                <w:sz w:val="22"/>
                <w:szCs w:val="22"/>
                <w:highlight w:val="none"/>
                <w:u w:val="none"/>
              </w:rPr>
            </w:pPr>
          </w:p>
        </w:tc>
      </w:tr>
      <w:tr w14:paraId="758B4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A3F80D">
            <w:pPr>
              <w:jc w:val="both"/>
              <w:rPr>
                <w:rFonts w:hint="eastAsia" w:ascii="宋体" w:hAnsi="宋体" w:eastAsia="宋体" w:cs="宋体"/>
                <w:i w:val="0"/>
                <w:iCs w:val="0"/>
                <w:color w:val="auto"/>
                <w:sz w:val="22"/>
                <w:szCs w:val="22"/>
                <w:highlight w:val="none"/>
                <w:u w:val="none"/>
              </w:rPr>
            </w:pPr>
          </w:p>
        </w:tc>
        <w:tc>
          <w:tcPr>
            <w:tcW w:w="6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AE573">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通信参数</w:t>
            </w:r>
          </w:p>
        </w:tc>
        <w:tc>
          <w:tcPr>
            <w:tcW w:w="14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D7771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WAN</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3307D4">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FDD-LTE(B1,B2,B3,B5,B7,B8)</w:t>
            </w:r>
          </w:p>
        </w:tc>
      </w:tr>
      <w:tr w14:paraId="700939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632B03">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BE7B9">
            <w:pP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C78806">
            <w:pPr>
              <w:jc w:val="center"/>
              <w:rPr>
                <w:rFonts w:hint="eastAsia" w:ascii="宋体" w:hAnsi="宋体" w:eastAsia="宋体" w:cs="宋体"/>
                <w:i w:val="0"/>
                <w:iCs w:val="0"/>
                <w:color w:val="auto"/>
                <w:sz w:val="22"/>
                <w:szCs w:val="22"/>
                <w:highlight w:val="none"/>
                <w:u w:val="none"/>
              </w:rPr>
            </w:pP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ECF26">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TD-LTE(B38,B39,B40,B41)</w:t>
            </w:r>
          </w:p>
        </w:tc>
      </w:tr>
      <w:tr w14:paraId="4AC62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F181E2">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04C31">
            <w:pP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D4EBC8">
            <w:pPr>
              <w:jc w:val="center"/>
              <w:rPr>
                <w:rFonts w:hint="eastAsia" w:ascii="宋体" w:hAnsi="宋体" w:eastAsia="宋体" w:cs="宋体"/>
                <w:i w:val="0"/>
                <w:iCs w:val="0"/>
                <w:color w:val="auto"/>
                <w:sz w:val="22"/>
                <w:szCs w:val="22"/>
                <w:highlight w:val="none"/>
                <w:u w:val="none"/>
              </w:rPr>
            </w:pP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AB1AA6">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TD-SCDMA(B34,B39)</w:t>
            </w:r>
          </w:p>
        </w:tc>
      </w:tr>
      <w:tr w14:paraId="15CB83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E13350">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60922">
            <w:pP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10621E">
            <w:pPr>
              <w:jc w:val="center"/>
              <w:rPr>
                <w:rFonts w:hint="eastAsia" w:ascii="宋体" w:hAnsi="宋体" w:eastAsia="宋体" w:cs="宋体"/>
                <w:i w:val="0"/>
                <w:iCs w:val="0"/>
                <w:color w:val="auto"/>
                <w:sz w:val="22"/>
                <w:szCs w:val="22"/>
                <w:highlight w:val="none"/>
                <w:u w:val="none"/>
              </w:rPr>
            </w:pP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5B17B0">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CDMA EV-DO Rev.A(BC0)</w:t>
            </w:r>
          </w:p>
        </w:tc>
      </w:tr>
      <w:tr w14:paraId="221D0C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C01709">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A0B446">
            <w:pP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32F276">
            <w:pPr>
              <w:jc w:val="center"/>
              <w:rPr>
                <w:rFonts w:hint="eastAsia" w:ascii="宋体" w:hAnsi="宋体" w:eastAsia="宋体" w:cs="宋体"/>
                <w:i w:val="0"/>
                <w:iCs w:val="0"/>
                <w:color w:val="auto"/>
                <w:sz w:val="22"/>
                <w:szCs w:val="22"/>
                <w:highlight w:val="none"/>
                <w:u w:val="none"/>
              </w:rPr>
            </w:pP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BCB59">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WCDMA(B1,B2,B5,B8)</w:t>
            </w:r>
          </w:p>
        </w:tc>
      </w:tr>
      <w:tr w14:paraId="4270E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7ECF03">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45453">
            <w:pP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9AC555">
            <w:pPr>
              <w:jc w:val="center"/>
              <w:rPr>
                <w:rFonts w:hint="eastAsia" w:ascii="宋体" w:hAnsi="宋体" w:eastAsia="宋体" w:cs="宋体"/>
                <w:i w:val="0"/>
                <w:iCs w:val="0"/>
                <w:color w:val="auto"/>
                <w:sz w:val="22"/>
                <w:szCs w:val="22"/>
                <w:highlight w:val="none"/>
                <w:u w:val="none"/>
              </w:rPr>
            </w:pP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5C226">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GSM/GPRS/EDGE(B2,B3,B5,B8)</w:t>
            </w:r>
          </w:p>
        </w:tc>
      </w:tr>
      <w:tr w14:paraId="435750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AD331D">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0C489">
            <w:pP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9E67A9">
            <w:pPr>
              <w:jc w:val="center"/>
              <w:rPr>
                <w:rFonts w:hint="eastAsia" w:ascii="宋体" w:hAnsi="宋体" w:eastAsia="宋体" w:cs="宋体"/>
                <w:i w:val="0"/>
                <w:iCs w:val="0"/>
                <w:color w:val="auto"/>
                <w:sz w:val="22"/>
                <w:szCs w:val="22"/>
                <w:highlight w:val="none"/>
                <w:u w:val="none"/>
              </w:rPr>
            </w:pP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CD8E9">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NR(N1/3/8/28/38/41/77/78/79)</w:t>
            </w:r>
          </w:p>
        </w:tc>
      </w:tr>
      <w:tr w14:paraId="6481B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95E677">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FE257">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7AFF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WLAN</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40488">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 xml:space="preserve">IEEE 802.11 a/b/g/n/ac,2.4GHz and 5GHz </w:t>
            </w:r>
          </w:p>
        </w:tc>
      </w:tr>
      <w:tr w14:paraId="6AC747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5427C8">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52A6EB">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36B12">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物联</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918AB1">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支持蓝牙5.2</w:t>
            </w:r>
          </w:p>
        </w:tc>
      </w:tr>
      <w:tr w14:paraId="7E76E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40B737">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EFE96">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F4AC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定位系统</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9527E">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支持GPS+北斗+GLONASS+Galileo+AGPS</w:t>
            </w:r>
          </w:p>
        </w:tc>
      </w:tr>
      <w:tr w14:paraId="0FB93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833F81">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7E44B">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F642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NFC</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D6AF4">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通讯协议:ISO14443A/BISO15693ISO18000-3MifareFeliCaRFKovio,NFC Forum Type1-4 Tags</w:t>
            </w:r>
          </w:p>
        </w:tc>
      </w:tr>
      <w:tr w14:paraId="4B67CF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9CAC7D">
            <w:pPr>
              <w:jc w:val="both"/>
              <w:rPr>
                <w:rFonts w:hint="eastAsia" w:ascii="宋体" w:hAnsi="宋体" w:eastAsia="宋体" w:cs="宋体"/>
                <w:i w:val="0"/>
                <w:iCs w:val="0"/>
                <w:color w:val="auto"/>
                <w:sz w:val="22"/>
                <w:szCs w:val="22"/>
                <w:highlight w:val="none"/>
                <w:u w:val="none"/>
              </w:rPr>
            </w:pPr>
          </w:p>
        </w:tc>
        <w:tc>
          <w:tcPr>
            <w:tcW w:w="6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C8DFB">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电源参数</w:t>
            </w: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F4BF9">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电池</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A0474">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3.85V，6000mAh</w:t>
            </w:r>
          </w:p>
        </w:tc>
      </w:tr>
      <w:tr w14:paraId="44695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2CDF62">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C4EFF7">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F1C6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电源充电器</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7FD15">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输入：110-240V AC，50/60Hz，输出：9.0V DC 1.67A;</w:t>
            </w:r>
          </w:p>
        </w:tc>
      </w:tr>
      <w:tr w14:paraId="47624C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6850A2">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79BED">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DFD5C">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快充</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228BB5">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支持18瓦快充</w:t>
            </w:r>
          </w:p>
        </w:tc>
      </w:tr>
      <w:tr w14:paraId="04C7FF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06914F">
            <w:pPr>
              <w:jc w:val="both"/>
              <w:rPr>
                <w:rFonts w:hint="eastAsia" w:ascii="宋体" w:hAnsi="宋体" w:eastAsia="宋体" w:cs="宋体"/>
                <w:i w:val="0"/>
                <w:iCs w:val="0"/>
                <w:color w:val="auto"/>
                <w:sz w:val="22"/>
                <w:szCs w:val="22"/>
                <w:highlight w:val="none"/>
                <w:u w:val="none"/>
              </w:rPr>
            </w:pPr>
          </w:p>
        </w:tc>
        <w:tc>
          <w:tcPr>
            <w:tcW w:w="6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8B5518">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物理参数</w:t>
            </w: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2110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外观</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F871F">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外壳一体成形，前后壳无缝隙、螺丝孔及螺丝柱</w:t>
            </w:r>
          </w:p>
        </w:tc>
      </w:tr>
      <w:tr w14:paraId="0130E3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D1878B">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D0932">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1E90E">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抗菌外壳</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9C9E6">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抗菌外壳，抵抗大肠杆菌、金黄色葡萄糖球菌等</w:t>
            </w:r>
          </w:p>
        </w:tc>
      </w:tr>
      <w:tr w14:paraId="72F22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DD463C">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E8A59">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A811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外部接口</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B9A46">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标准TYPE-C USB接口</w:t>
            </w:r>
          </w:p>
        </w:tc>
      </w:tr>
      <w:tr w14:paraId="3817B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FEB034">
            <w:pPr>
              <w:jc w:val="both"/>
              <w:rPr>
                <w:rFonts w:hint="eastAsia" w:ascii="宋体" w:hAnsi="宋体" w:eastAsia="宋体" w:cs="宋体"/>
                <w:i w:val="0"/>
                <w:iCs w:val="0"/>
                <w:color w:val="auto"/>
                <w:sz w:val="22"/>
                <w:szCs w:val="22"/>
                <w:highlight w:val="none"/>
                <w:u w:val="none"/>
              </w:rPr>
            </w:pPr>
          </w:p>
        </w:tc>
        <w:tc>
          <w:tcPr>
            <w:tcW w:w="6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80774">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产品规范</w:t>
            </w: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2E55D">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工业等级</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B872DC">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IP67</w:t>
            </w:r>
          </w:p>
        </w:tc>
      </w:tr>
      <w:tr w14:paraId="0EC49F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A8D4A2">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C0A0D">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1603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工作温度</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3F9A0">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－20℃至55℃</w:t>
            </w:r>
          </w:p>
        </w:tc>
      </w:tr>
      <w:tr w14:paraId="0E127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0142D1">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8D9D2">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D6DB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储藏温度</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7B4A4F">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－30℃至55℃</w:t>
            </w:r>
          </w:p>
        </w:tc>
      </w:tr>
      <w:tr w14:paraId="09E9D8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EE5A59">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A9A9F">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8FD98">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工作湿度</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42600B">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5%~95%(无凝结)</w:t>
            </w:r>
          </w:p>
        </w:tc>
      </w:tr>
      <w:tr w14:paraId="46855C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136ABD">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8D23C">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CDF21">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静电保护</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35752">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±15kV(空气放电)，±8 kV (直接放电)</w:t>
            </w:r>
          </w:p>
        </w:tc>
      </w:tr>
      <w:tr w14:paraId="260E8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D8743A">
            <w:pPr>
              <w:jc w:val="both"/>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C41C02">
            <w:pP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01FA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抗震强度</w:t>
            </w:r>
          </w:p>
        </w:tc>
        <w:tc>
          <w:tcPr>
            <w:tcW w:w="66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8A0BD">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6个面不超过1.5米的水泥地面跌落(六个面各一次)</w:t>
            </w:r>
          </w:p>
        </w:tc>
      </w:tr>
      <w:tr w14:paraId="7AAFE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2"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C9E4FB">
            <w:pPr>
              <w:jc w:val="both"/>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261F7D">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管理员权限</w:t>
            </w:r>
          </w:p>
        </w:tc>
        <w:tc>
          <w:tcPr>
            <w:tcW w:w="14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C4AB6">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设置系统管理员权限</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E6FD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管理员权限：需要管理员密码权限才可以对应用安装（卸载）管理、应用锁等，以及后端设置管理（WiFi，网络等），不借助第三方软件即可实现软件黑白名单设置</w:t>
            </w:r>
          </w:p>
        </w:tc>
      </w:tr>
      <w:tr w14:paraId="0B0328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6" w:hRule="atLeast"/>
        </w:trPr>
        <w:tc>
          <w:tcPr>
            <w:tcW w:w="7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E9111F">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云桌面</w:t>
            </w:r>
          </w:p>
        </w:tc>
        <w:tc>
          <w:tcPr>
            <w:tcW w:w="6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37E4A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国产化桌面云一体机</w:t>
            </w:r>
          </w:p>
        </w:tc>
        <w:tc>
          <w:tcPr>
            <w:tcW w:w="14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873BA7A">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基本配置</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3BA86">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▲为了保障桌面资源满足使用需求，单台服务器配置要求为：每台服务器≥2颗hygon 5390（16C，2.9GHz），系统盘≥2 * 240GB SATA，内存≥512GB，标配盘位数≥12，至少配备2块960G SSD和4块6T SATA硬盘，接口≥4个千兆电口+2个万兆光口，2U设备，冗余电源。</w:t>
            </w:r>
          </w:p>
        </w:tc>
      </w:tr>
      <w:tr w14:paraId="0A6F1B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70A55A">
            <w:pPr>
              <w:jc w:val="center"/>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CBD847">
            <w:pPr>
              <w:jc w:val="cente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EDCF0B">
            <w:pPr>
              <w:jc w:val="center"/>
              <w:rPr>
                <w:rFonts w:hint="eastAsia" w:ascii="宋体" w:hAnsi="宋体" w:eastAsia="宋体" w:cs="宋体"/>
                <w:i w:val="0"/>
                <w:iCs w:val="0"/>
                <w:color w:val="auto"/>
                <w:sz w:val="22"/>
                <w:szCs w:val="22"/>
                <w:highlight w:val="none"/>
                <w:u w:val="none"/>
              </w:rPr>
            </w:pPr>
          </w:p>
        </w:tc>
        <w:tc>
          <w:tcPr>
            <w:tcW w:w="6699" w:type="dxa"/>
            <w:tcBorders>
              <w:top w:val="single" w:color="000000" w:sz="4" w:space="0"/>
              <w:left w:val="single" w:color="000000" w:sz="4" w:space="0"/>
              <w:bottom w:val="nil"/>
              <w:right w:val="single" w:color="000000" w:sz="4" w:space="0"/>
            </w:tcBorders>
            <w:shd w:val="clear" w:color="auto" w:fill="FFFFFF"/>
            <w:vAlign w:val="center"/>
          </w:tcPr>
          <w:p w14:paraId="003A0E91">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预装符合信创的虚拟桌面软件，不限于存储虚拟化软件等（提供佐证材料）。虚拟机操作系统需支持主流信创操作系统（提供与主流信创厂家的兼容性报告）。</w:t>
            </w:r>
          </w:p>
        </w:tc>
      </w:tr>
      <w:tr w14:paraId="7A727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180849">
            <w:pPr>
              <w:jc w:val="center"/>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3EE626">
            <w:pPr>
              <w:jc w:val="center"/>
              <w:rPr>
                <w:rFonts w:hint="eastAsia" w:ascii="宋体" w:hAnsi="宋体" w:eastAsia="宋体" w:cs="宋体"/>
                <w:i w:val="0"/>
                <w:iCs w:val="0"/>
                <w:color w:val="auto"/>
                <w:sz w:val="22"/>
                <w:szCs w:val="22"/>
                <w:highlight w:val="none"/>
                <w:u w:val="none"/>
              </w:rPr>
            </w:pPr>
          </w:p>
        </w:tc>
        <w:tc>
          <w:tcPr>
            <w:tcW w:w="14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495C41">
            <w:pPr>
              <w:jc w:val="center"/>
              <w:rPr>
                <w:rFonts w:hint="eastAsia" w:ascii="宋体" w:hAnsi="宋体" w:eastAsia="宋体" w:cs="宋体"/>
                <w:i w:val="0"/>
                <w:iCs w:val="0"/>
                <w:color w:val="auto"/>
                <w:sz w:val="22"/>
                <w:szCs w:val="22"/>
                <w:highlight w:val="none"/>
                <w:u w:val="none"/>
              </w:rPr>
            </w:pPr>
          </w:p>
        </w:tc>
        <w:tc>
          <w:tcPr>
            <w:tcW w:w="669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44213C8">
            <w:pPr>
              <w:keepNext w:val="0"/>
              <w:keepLines w:val="0"/>
              <w:widowControl/>
              <w:suppressLineNumbers w:val="0"/>
              <w:jc w:val="both"/>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支持自助快照恢复，实现系统盘快照还原，支持安卓瘦终端、PC客户端。提供全局模板功能，实现云桌面统一创建、更新、管理（提供功能配置截图）。内置应用管控技术，可自由选择规则库，应用控制规则需支持应用进程名称、应用特征码、产品名称、发布者名称等多个维度。（提供功能截图）</w:t>
            </w:r>
          </w:p>
        </w:tc>
      </w:tr>
      <w:tr w14:paraId="407FA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1"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F5C932">
            <w:pPr>
              <w:jc w:val="center"/>
              <w:rPr>
                <w:rFonts w:hint="eastAsia" w:ascii="宋体" w:hAnsi="宋体" w:eastAsia="宋体" w:cs="宋体"/>
                <w:i w:val="0"/>
                <w:iCs w:val="0"/>
                <w:color w:val="auto"/>
                <w:sz w:val="22"/>
                <w:szCs w:val="22"/>
                <w:highlight w:val="none"/>
                <w:u w:val="none"/>
              </w:rPr>
            </w:pPr>
          </w:p>
        </w:tc>
        <w:tc>
          <w:tcPr>
            <w:tcW w:w="66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70673">
            <w:pPr>
              <w:keepNext w:val="0"/>
              <w:keepLines w:val="0"/>
              <w:widowControl/>
              <w:suppressLineNumbers w:val="0"/>
              <w:jc w:val="center"/>
              <w:textAlignment w:val="center"/>
              <w:rPr>
                <w:rFonts w:hint="eastAsia" w:ascii="宋体" w:hAnsi="宋体" w:eastAsia="宋体" w:cs="宋体"/>
                <w:i w:val="0"/>
                <w:iCs w:val="0"/>
                <w:color w:val="auto"/>
                <w:sz w:val="20"/>
                <w:szCs w:val="20"/>
                <w:highlight w:val="none"/>
                <w:u w:val="none"/>
              </w:rPr>
            </w:pPr>
            <w:r>
              <w:rPr>
                <w:rFonts w:hint="eastAsia" w:ascii="宋体" w:hAnsi="宋体" w:eastAsia="宋体" w:cs="宋体"/>
                <w:i w:val="0"/>
                <w:iCs w:val="0"/>
                <w:color w:val="auto"/>
                <w:kern w:val="0"/>
                <w:sz w:val="20"/>
                <w:szCs w:val="20"/>
                <w:highlight w:val="none"/>
                <w:u w:val="none"/>
                <w:lang w:val="en-US" w:eastAsia="zh-CN" w:bidi="ar"/>
              </w:rPr>
              <w:t>云桌面软件及授权</w:t>
            </w: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FFA1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云桌面软件及授权</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23C99">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▲提供至少3年的软件升级和产品质保</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▲本项目要求提供至少80个VDI并发用户连接的永久授权（当这批服务器淘汰后，授权在新服务器上仍可使用）</w:t>
            </w:r>
          </w:p>
        </w:tc>
      </w:tr>
      <w:tr w14:paraId="33A000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7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B9FE3A0">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数据通信服务</w:t>
            </w:r>
          </w:p>
        </w:tc>
        <w:tc>
          <w:tcPr>
            <w:tcW w:w="6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9ACE74">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数据通信服务</w:t>
            </w: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C3603">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数据服务</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89656">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需要满足此次项目采购的所有设备使用需求，采购物联网数据服务，每个月至少提供30G数据流量服务（3年）</w:t>
            </w:r>
          </w:p>
        </w:tc>
      </w:tr>
      <w:tr w14:paraId="71CB71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5"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9376BC">
            <w:pPr>
              <w:jc w:val="center"/>
              <w:rPr>
                <w:rFonts w:hint="eastAsia" w:ascii="宋体" w:hAnsi="宋体" w:eastAsia="宋体" w:cs="宋体"/>
                <w:i w:val="0"/>
                <w:iCs w:val="0"/>
                <w:color w:val="auto"/>
                <w:sz w:val="22"/>
                <w:szCs w:val="22"/>
                <w:highlight w:val="none"/>
                <w:u w:val="none"/>
              </w:rPr>
            </w:pPr>
          </w:p>
        </w:tc>
        <w:tc>
          <w:tcPr>
            <w:tcW w:w="6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BE5B97">
            <w:pPr>
              <w:jc w:val="center"/>
              <w:rPr>
                <w:rFonts w:hint="eastAsia" w:ascii="宋体" w:hAnsi="宋体" w:eastAsia="宋体" w:cs="宋体"/>
                <w:i w:val="0"/>
                <w:iCs w:val="0"/>
                <w:color w:val="auto"/>
                <w:sz w:val="22"/>
                <w:szCs w:val="22"/>
                <w:highlight w:val="none"/>
                <w:u w:val="none"/>
              </w:rPr>
            </w:pPr>
          </w:p>
        </w:tc>
        <w:tc>
          <w:tcPr>
            <w:tcW w:w="14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86725">
            <w:pPr>
              <w:keepNext w:val="0"/>
              <w:keepLines w:val="0"/>
              <w:widowControl/>
              <w:suppressLineNumbers w:val="0"/>
              <w:jc w:val="center"/>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通信服务</w:t>
            </w:r>
          </w:p>
        </w:tc>
        <w:tc>
          <w:tcPr>
            <w:tcW w:w="669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EC4EE">
            <w:pPr>
              <w:keepNext w:val="0"/>
              <w:keepLines w:val="0"/>
              <w:widowControl/>
              <w:suppressLineNumbers w:val="0"/>
              <w:jc w:val="left"/>
              <w:textAlignment w:val="center"/>
              <w:rPr>
                <w:rFonts w:hint="eastAsia" w:ascii="宋体" w:hAnsi="宋体" w:eastAsia="宋体" w:cs="宋体"/>
                <w:i w:val="0"/>
                <w:iCs w:val="0"/>
                <w:color w:val="auto"/>
                <w:sz w:val="22"/>
                <w:szCs w:val="22"/>
                <w:highlight w:val="none"/>
                <w:u w:val="none"/>
              </w:rPr>
            </w:pPr>
            <w:r>
              <w:rPr>
                <w:rFonts w:hint="eastAsia" w:ascii="宋体" w:hAnsi="宋体" w:eastAsia="宋体" w:cs="宋体"/>
                <w:i w:val="0"/>
                <w:iCs w:val="0"/>
                <w:color w:val="auto"/>
                <w:kern w:val="0"/>
                <w:sz w:val="22"/>
                <w:szCs w:val="22"/>
                <w:highlight w:val="none"/>
                <w:u w:val="none"/>
                <w:lang w:val="en-US" w:eastAsia="zh-CN" w:bidi="ar"/>
              </w:rPr>
              <w:t>提供至少3年的互联网虚拟专用网通信服务（至少100M ，要求冗余），用于设备的数据交互。</w:t>
            </w:r>
          </w:p>
        </w:tc>
      </w:tr>
    </w:tbl>
    <w:p w14:paraId="5604E02A">
      <w:pPr>
        <w:rPr>
          <w:color w:val="auto"/>
          <w:highlight w:val="none"/>
        </w:rPr>
      </w:pPr>
    </w:p>
    <w:p w14:paraId="515D3E9D">
      <w:pPr>
        <w:numPr>
          <w:ilvl w:val="0"/>
          <w:numId w:val="6"/>
        </w:numPr>
        <w:spacing w:line="360" w:lineRule="auto"/>
        <w:ind w:left="0" w:leftChars="0" w:firstLine="0" w:firstLineChars="0"/>
        <w:rPr>
          <w:rFonts w:hint="default"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商务要求</w:t>
      </w:r>
    </w:p>
    <w:tbl>
      <w:tblPr>
        <w:tblStyle w:val="39"/>
        <w:tblW w:w="9936" w:type="dxa"/>
        <w:jc w:val="center"/>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2326"/>
        <w:gridCol w:w="7610"/>
      </w:tblGrid>
      <w:tr w14:paraId="2ED110F7">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641" w:hRule="atLeast"/>
          <w:jc w:val="center"/>
        </w:trPr>
        <w:tc>
          <w:tcPr>
            <w:tcW w:w="2326" w:type="dxa"/>
            <w:vMerge w:val="restart"/>
            <w:tcBorders>
              <w:top w:val="double" w:color="auto" w:sz="4" w:space="0"/>
              <w:left w:val="double" w:color="auto" w:sz="4" w:space="0"/>
              <w:bottom w:val="double" w:color="auto" w:sz="4" w:space="0"/>
              <w:right w:val="double" w:color="auto" w:sz="4" w:space="0"/>
            </w:tcBorders>
            <w:vAlign w:val="center"/>
          </w:tcPr>
          <w:p w14:paraId="48FC5EB8">
            <w:pPr>
              <w:snapToGrid w:val="0"/>
              <w:spacing w:before="120" w:beforeLines="50" w:after="120" w:afterLines="50" w:line="360" w:lineRule="auto"/>
              <w:jc w:val="center"/>
              <w:rPr>
                <w:rFonts w:ascii="宋体" w:hAnsi="宋体"/>
                <w:color w:val="auto"/>
                <w:sz w:val="24"/>
                <w:highlight w:val="none"/>
              </w:rPr>
            </w:pPr>
            <w:bookmarkStart w:id="12" w:name="_Toc404778372"/>
            <w:bookmarkStart w:id="13" w:name="_Toc404778589"/>
            <w:bookmarkStart w:id="14" w:name="_Toc404778651"/>
            <w:bookmarkStart w:id="15" w:name="_Toc508353613"/>
            <w:r>
              <w:rPr>
                <w:rFonts w:hint="eastAsia" w:ascii="宋体" w:hAnsi="宋体"/>
                <w:color w:val="auto"/>
                <w:sz w:val="24"/>
                <w:highlight w:val="none"/>
              </w:rPr>
              <w:t>一、免费质保期</w:t>
            </w:r>
            <w:bookmarkEnd w:id="12"/>
            <w:bookmarkEnd w:id="13"/>
            <w:bookmarkEnd w:id="14"/>
            <w:bookmarkEnd w:id="15"/>
          </w:p>
        </w:tc>
        <w:tc>
          <w:tcPr>
            <w:tcW w:w="7610" w:type="dxa"/>
            <w:tcBorders>
              <w:top w:val="double" w:color="auto" w:sz="4" w:space="0"/>
              <w:left w:val="double" w:color="auto" w:sz="4" w:space="0"/>
              <w:bottom w:val="double" w:color="auto" w:sz="4" w:space="0"/>
              <w:right w:val="double" w:color="auto" w:sz="4" w:space="0"/>
            </w:tcBorders>
            <w:vAlign w:val="center"/>
          </w:tcPr>
          <w:p w14:paraId="5218C573">
            <w:pPr>
              <w:spacing w:line="360" w:lineRule="auto"/>
              <w:jc w:val="left"/>
              <w:rPr>
                <w:rFonts w:ascii="宋体" w:hAnsi="宋体"/>
                <w:b/>
                <w:color w:val="auto"/>
                <w:sz w:val="24"/>
                <w:highlight w:val="none"/>
              </w:rPr>
            </w:pPr>
            <w:r>
              <w:rPr>
                <w:rFonts w:hint="eastAsia" w:ascii="宋体" w:hAnsi="宋体"/>
                <w:bCs/>
                <w:color w:val="auto"/>
                <w:sz w:val="24"/>
                <w:highlight w:val="none"/>
              </w:rPr>
              <w:t>设备验收合格后移动护理车</w:t>
            </w:r>
            <w:r>
              <w:rPr>
                <w:rFonts w:hint="eastAsia" w:ascii="宋体" w:hAnsi="宋体"/>
                <w:bCs/>
                <w:color w:val="auto"/>
                <w:sz w:val="24"/>
                <w:highlight w:val="none"/>
                <w:lang w:eastAsia="zh-CN"/>
              </w:rPr>
              <w:t>、</w:t>
            </w:r>
            <w:r>
              <w:rPr>
                <w:rFonts w:hint="eastAsia" w:ascii="宋体" w:hAnsi="宋体" w:eastAsia="宋体" w:cs="宋体"/>
                <w:i w:val="0"/>
                <w:iCs w:val="0"/>
                <w:color w:val="auto"/>
                <w:kern w:val="0"/>
                <w:sz w:val="22"/>
                <w:szCs w:val="22"/>
                <w:highlight w:val="none"/>
                <w:u w:val="none"/>
                <w:lang w:val="en-US" w:eastAsia="zh-CN" w:bidi="ar"/>
              </w:rPr>
              <w:t>移动医生车</w:t>
            </w:r>
            <w:r>
              <w:rPr>
                <w:rFonts w:hint="eastAsia" w:ascii="宋体" w:hAnsi="宋体" w:cs="宋体"/>
                <w:i w:val="0"/>
                <w:iCs w:val="0"/>
                <w:color w:val="auto"/>
                <w:kern w:val="0"/>
                <w:sz w:val="22"/>
                <w:szCs w:val="22"/>
                <w:highlight w:val="none"/>
                <w:u w:val="none"/>
                <w:lang w:val="en-US" w:eastAsia="zh-CN" w:bidi="ar"/>
              </w:rPr>
              <w:t>、PDA</w:t>
            </w:r>
            <w:r>
              <w:rPr>
                <w:rFonts w:hint="eastAsia" w:ascii="宋体" w:hAnsi="宋体"/>
                <w:bCs/>
                <w:color w:val="auto"/>
                <w:sz w:val="24"/>
                <w:highlight w:val="none"/>
              </w:rPr>
              <w:t>免费保修≥</w:t>
            </w:r>
            <w:r>
              <w:rPr>
                <w:rFonts w:hint="eastAsia" w:ascii="宋体" w:hAnsi="宋体"/>
                <w:b/>
                <w:color w:val="auto"/>
                <w:sz w:val="24"/>
                <w:highlight w:val="none"/>
                <w:lang w:val="en-US" w:eastAsia="zh-CN"/>
              </w:rPr>
              <w:t>5</w:t>
            </w:r>
            <w:r>
              <w:rPr>
                <w:rFonts w:hint="eastAsia" w:ascii="宋体" w:hAnsi="宋体"/>
                <w:b/>
                <w:color w:val="auto"/>
                <w:sz w:val="24"/>
                <w:highlight w:val="none"/>
              </w:rPr>
              <w:t>年</w:t>
            </w:r>
            <w:r>
              <w:rPr>
                <w:rFonts w:hint="eastAsia" w:ascii="宋体" w:hAnsi="宋体"/>
                <w:bCs/>
                <w:color w:val="auto"/>
                <w:sz w:val="24"/>
                <w:highlight w:val="none"/>
              </w:rPr>
              <w:t>,终身维修。</w:t>
            </w:r>
          </w:p>
        </w:tc>
      </w:tr>
      <w:tr w14:paraId="682278D7">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2326" w:type="dxa"/>
            <w:vMerge w:val="continue"/>
            <w:tcBorders>
              <w:top w:val="double" w:color="auto" w:sz="4" w:space="0"/>
              <w:left w:val="double" w:color="auto" w:sz="4" w:space="0"/>
              <w:bottom w:val="double" w:color="auto" w:sz="4" w:space="0"/>
              <w:right w:val="double" w:color="auto" w:sz="4" w:space="0"/>
            </w:tcBorders>
            <w:vAlign w:val="center"/>
          </w:tcPr>
          <w:p w14:paraId="70448C0A">
            <w:pPr>
              <w:widowControl/>
              <w:spacing w:line="360" w:lineRule="auto"/>
              <w:jc w:val="center"/>
              <w:rPr>
                <w:rFonts w:ascii="宋体" w:hAnsi="宋体"/>
                <w:color w:val="auto"/>
                <w:sz w:val="24"/>
                <w:highlight w:val="none"/>
              </w:rPr>
            </w:pPr>
          </w:p>
        </w:tc>
        <w:tc>
          <w:tcPr>
            <w:tcW w:w="7610" w:type="dxa"/>
            <w:tcBorders>
              <w:top w:val="double" w:color="auto" w:sz="4" w:space="0"/>
              <w:left w:val="double" w:color="auto" w:sz="4" w:space="0"/>
              <w:bottom w:val="double" w:color="auto" w:sz="4" w:space="0"/>
              <w:right w:val="double" w:color="auto" w:sz="4" w:space="0"/>
            </w:tcBorders>
            <w:vAlign w:val="center"/>
          </w:tcPr>
          <w:p w14:paraId="069E6341">
            <w:pPr>
              <w:spacing w:line="360" w:lineRule="auto"/>
              <w:jc w:val="left"/>
              <w:rPr>
                <w:rFonts w:ascii="宋体" w:hAnsi="宋体"/>
                <w:color w:val="auto"/>
                <w:sz w:val="24"/>
                <w:highlight w:val="none"/>
              </w:rPr>
            </w:pPr>
            <w:r>
              <w:rPr>
                <w:rFonts w:hint="eastAsia" w:ascii="宋体" w:hAnsi="宋体"/>
                <w:color w:val="auto"/>
                <w:sz w:val="24"/>
                <w:highlight w:val="none"/>
              </w:rPr>
              <w:t>质保期外不收取任何维修、差旅费等，仅收取配件费。</w:t>
            </w:r>
          </w:p>
        </w:tc>
      </w:tr>
      <w:tr w14:paraId="139685B1">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2326" w:type="dxa"/>
            <w:vMerge w:val="continue"/>
            <w:tcBorders>
              <w:top w:val="double" w:color="auto" w:sz="4" w:space="0"/>
              <w:left w:val="double" w:color="auto" w:sz="4" w:space="0"/>
              <w:bottom w:val="double" w:color="auto" w:sz="4" w:space="0"/>
              <w:right w:val="double" w:color="auto" w:sz="4" w:space="0"/>
            </w:tcBorders>
            <w:vAlign w:val="center"/>
          </w:tcPr>
          <w:p w14:paraId="7DCA4D4F">
            <w:pPr>
              <w:widowControl/>
              <w:spacing w:line="360" w:lineRule="auto"/>
              <w:jc w:val="center"/>
              <w:rPr>
                <w:rFonts w:ascii="宋体" w:hAnsi="宋体"/>
                <w:color w:val="auto"/>
                <w:sz w:val="24"/>
                <w:highlight w:val="none"/>
              </w:rPr>
            </w:pPr>
          </w:p>
        </w:tc>
        <w:tc>
          <w:tcPr>
            <w:tcW w:w="7610" w:type="dxa"/>
            <w:tcBorders>
              <w:top w:val="double" w:color="auto" w:sz="4" w:space="0"/>
              <w:left w:val="double" w:color="auto" w:sz="4" w:space="0"/>
              <w:bottom w:val="double" w:color="auto" w:sz="4" w:space="0"/>
              <w:right w:val="double" w:color="auto" w:sz="4" w:space="0"/>
            </w:tcBorders>
            <w:vAlign w:val="center"/>
          </w:tcPr>
          <w:p w14:paraId="604B2CB6">
            <w:pPr>
              <w:spacing w:line="360" w:lineRule="auto"/>
              <w:jc w:val="left"/>
              <w:rPr>
                <w:rFonts w:ascii="宋体" w:hAnsi="宋体"/>
                <w:color w:val="auto"/>
                <w:sz w:val="24"/>
                <w:highlight w:val="none"/>
              </w:rPr>
            </w:pPr>
            <w:r>
              <w:rPr>
                <w:rFonts w:hint="eastAsia" w:ascii="宋体" w:hAnsi="宋体"/>
                <w:color w:val="auto"/>
                <w:sz w:val="24"/>
                <w:highlight w:val="none"/>
              </w:rPr>
              <w:t>免费提供软件升级，及时提供最新软件。</w:t>
            </w:r>
          </w:p>
        </w:tc>
      </w:tr>
      <w:tr w14:paraId="4411D957">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2326" w:type="dxa"/>
            <w:tcBorders>
              <w:top w:val="double" w:color="auto" w:sz="4" w:space="0"/>
              <w:left w:val="double" w:color="auto" w:sz="4" w:space="0"/>
              <w:bottom w:val="double" w:color="auto" w:sz="4" w:space="0"/>
              <w:right w:val="double" w:color="auto" w:sz="4" w:space="0"/>
            </w:tcBorders>
            <w:vAlign w:val="center"/>
          </w:tcPr>
          <w:p w14:paraId="7AEBE21C">
            <w:pPr>
              <w:keepNext w:val="0"/>
              <w:keepLines w:val="0"/>
              <w:widowControl/>
              <w:suppressLineNumbers w:val="0"/>
              <w:jc w:val="center"/>
              <w:textAlignment w:val="center"/>
              <w:rPr>
                <w:rFonts w:ascii="宋体" w:hAnsi="宋体"/>
                <w:color w:val="auto"/>
                <w:sz w:val="24"/>
                <w:highlight w:val="none"/>
              </w:rPr>
            </w:pPr>
            <w:bookmarkStart w:id="16" w:name="_Toc404778373"/>
            <w:bookmarkStart w:id="17" w:name="_Toc508353614"/>
            <w:bookmarkStart w:id="18" w:name="_Toc404778590"/>
            <w:bookmarkStart w:id="19" w:name="_Toc404778652"/>
            <w:r>
              <w:rPr>
                <w:rFonts w:hint="eastAsia" w:ascii="宋体" w:hAnsi="宋体" w:cs="宋体"/>
                <w:i w:val="0"/>
                <w:iCs w:val="0"/>
                <w:color w:val="auto"/>
                <w:kern w:val="0"/>
                <w:sz w:val="22"/>
                <w:szCs w:val="22"/>
                <w:highlight w:val="none"/>
                <w:u w:val="none"/>
                <w:lang w:val="en-US" w:eastAsia="zh-CN" w:bidi="ar"/>
              </w:rPr>
              <w:t>二</w:t>
            </w:r>
            <w:r>
              <w:rPr>
                <w:rFonts w:hint="eastAsia" w:ascii="宋体" w:hAnsi="宋体" w:eastAsia="宋体" w:cs="宋体"/>
                <w:i w:val="0"/>
                <w:iCs w:val="0"/>
                <w:color w:val="auto"/>
                <w:kern w:val="0"/>
                <w:sz w:val="22"/>
                <w:szCs w:val="22"/>
                <w:highlight w:val="none"/>
                <w:u w:val="none"/>
                <w:lang w:val="en-US" w:eastAsia="zh-CN" w:bidi="ar"/>
              </w:rPr>
              <w:t>、服务期及其他要求</w:t>
            </w:r>
          </w:p>
        </w:tc>
        <w:tc>
          <w:tcPr>
            <w:tcW w:w="7610" w:type="dxa"/>
            <w:tcBorders>
              <w:top w:val="double" w:color="auto" w:sz="4" w:space="0"/>
              <w:left w:val="double" w:color="auto" w:sz="4" w:space="0"/>
              <w:bottom w:val="double" w:color="auto" w:sz="4" w:space="0"/>
              <w:right w:val="double" w:color="auto" w:sz="4" w:space="0"/>
            </w:tcBorders>
            <w:vAlign w:val="center"/>
          </w:tcPr>
          <w:p w14:paraId="4D8BF32D">
            <w:pPr>
              <w:spacing w:line="360" w:lineRule="auto"/>
              <w:jc w:val="left"/>
              <w:rPr>
                <w:rFonts w:hint="eastAsia" w:ascii="宋体" w:hAnsi="宋体"/>
                <w:color w:val="auto"/>
                <w:sz w:val="24"/>
                <w:highlight w:val="none"/>
              </w:rPr>
            </w:pPr>
            <w:r>
              <w:rPr>
                <w:rFonts w:hint="eastAsia" w:ascii="宋体" w:hAnsi="宋体"/>
                <w:color w:val="auto"/>
                <w:sz w:val="24"/>
                <w:highlight w:val="none"/>
                <w:lang w:val="en-US" w:eastAsia="zh-CN"/>
              </w:rPr>
              <w:t>完成时间：合同签订后30日历天内完成所有项目</w:t>
            </w:r>
            <w:r>
              <w:rPr>
                <w:rFonts w:hint="eastAsia" w:ascii="宋体" w:hAnsi="宋体"/>
                <w:b w:val="0"/>
                <w:bCs/>
                <w:color w:val="auto"/>
                <w:sz w:val="24"/>
                <w:highlight w:val="none"/>
              </w:rPr>
              <w:t>安装、调试并通过验收</w:t>
            </w:r>
            <w:r>
              <w:rPr>
                <w:rFonts w:hint="eastAsia" w:ascii="宋体" w:hAnsi="宋体"/>
                <w:b w:val="0"/>
                <w:bCs/>
                <w:color w:val="auto"/>
                <w:sz w:val="24"/>
                <w:highlight w:val="none"/>
                <w:lang w:val="en-US" w:eastAsia="zh-CN"/>
              </w:rPr>
              <w:t>。</w:t>
            </w:r>
            <w:r>
              <w:rPr>
                <w:rFonts w:hint="eastAsia" w:ascii="宋体" w:hAnsi="宋体"/>
                <w:b w:val="0"/>
                <w:bCs/>
                <w:color w:val="auto"/>
                <w:sz w:val="24"/>
                <w:highlight w:val="none"/>
                <w:lang w:val="en-US" w:eastAsia="zh-CN"/>
              </w:rPr>
              <w:br w:type="textWrapping"/>
            </w:r>
            <w:r>
              <w:rPr>
                <w:rFonts w:hint="eastAsia" w:ascii="宋体" w:hAnsi="宋体"/>
                <w:color w:val="auto"/>
                <w:sz w:val="24"/>
                <w:highlight w:val="none"/>
                <w:lang w:val="en-US" w:eastAsia="zh-CN"/>
              </w:rPr>
              <w:t>软件运维服务期：软件完成并交付采购人验收后三年。</w:t>
            </w:r>
            <w:r>
              <w:rPr>
                <w:rFonts w:hint="eastAsia" w:ascii="宋体" w:hAnsi="宋体"/>
                <w:color w:val="auto"/>
                <w:sz w:val="24"/>
                <w:highlight w:val="none"/>
                <w:lang w:val="en-US" w:eastAsia="zh-CN"/>
              </w:rPr>
              <w:br w:type="textWrapping"/>
            </w:r>
            <w:r>
              <w:rPr>
                <w:rFonts w:hint="eastAsia" w:ascii="宋体" w:hAnsi="宋体"/>
                <w:color w:val="auto"/>
                <w:sz w:val="24"/>
                <w:highlight w:val="none"/>
                <w:lang w:val="en-US" w:eastAsia="zh-CN"/>
              </w:rPr>
              <w:t>其他要求：按采购人实际需求完成本项目。</w:t>
            </w:r>
            <w:r>
              <w:rPr>
                <w:rFonts w:hint="eastAsia" w:ascii="宋体" w:hAnsi="宋体"/>
                <w:color w:val="auto"/>
                <w:sz w:val="24"/>
                <w:highlight w:val="none"/>
                <w:lang w:val="en-US" w:eastAsia="zh-CN"/>
              </w:rPr>
              <w:br w:type="textWrapping"/>
            </w:r>
            <w:r>
              <w:rPr>
                <w:rFonts w:hint="eastAsia" w:ascii="宋体" w:hAnsi="宋体"/>
                <w:color w:val="auto"/>
                <w:sz w:val="24"/>
                <w:highlight w:val="none"/>
                <w:lang w:val="en-US" w:eastAsia="zh-CN"/>
              </w:rPr>
              <w:t>监理费：监理费总额为本项目合同价款的1.5%；</w:t>
            </w:r>
            <w:r>
              <w:rPr>
                <w:rFonts w:hint="eastAsia" w:ascii="宋体" w:hAnsi="宋体"/>
                <w:color w:val="auto"/>
                <w:sz w:val="24"/>
                <w:highlight w:val="none"/>
                <w:lang w:val="en-US" w:eastAsia="zh-CN"/>
              </w:rPr>
              <w:br w:type="textWrapping"/>
            </w:r>
            <w:r>
              <w:rPr>
                <w:rFonts w:hint="eastAsia" w:ascii="宋体" w:hAnsi="宋体"/>
                <w:color w:val="auto"/>
                <w:sz w:val="24"/>
                <w:highlight w:val="none"/>
                <w:lang w:val="en-US" w:eastAsia="zh-CN"/>
              </w:rPr>
              <w:t>监理费付款方式：项目竣工验收合格后30个工作日内，中标人向监理单位支付监理费总额的100%。</w:t>
            </w:r>
          </w:p>
        </w:tc>
      </w:tr>
      <w:tr w14:paraId="2075096C">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90" w:hRule="atLeast"/>
          <w:jc w:val="center"/>
        </w:trPr>
        <w:tc>
          <w:tcPr>
            <w:tcW w:w="2326" w:type="dxa"/>
            <w:vMerge w:val="restart"/>
            <w:tcBorders>
              <w:top w:val="double" w:color="auto" w:sz="4" w:space="0"/>
              <w:left w:val="double" w:color="auto" w:sz="4" w:space="0"/>
              <w:bottom w:val="double" w:color="auto" w:sz="4" w:space="0"/>
              <w:right w:val="double" w:color="auto" w:sz="4" w:space="0"/>
            </w:tcBorders>
            <w:vAlign w:val="center"/>
          </w:tcPr>
          <w:p w14:paraId="30218E41">
            <w:pPr>
              <w:snapToGrid w:val="0"/>
              <w:spacing w:before="120" w:beforeLines="50" w:after="120" w:afterLines="50" w:line="360" w:lineRule="auto"/>
              <w:jc w:val="center"/>
              <w:rPr>
                <w:rFonts w:ascii="宋体" w:hAnsi="宋体"/>
                <w:color w:val="auto"/>
                <w:sz w:val="24"/>
                <w:highlight w:val="none"/>
              </w:rPr>
            </w:pPr>
            <w:r>
              <w:rPr>
                <w:rFonts w:hint="eastAsia" w:ascii="宋体" w:hAnsi="宋体"/>
                <w:color w:val="auto"/>
                <w:sz w:val="24"/>
                <w:highlight w:val="none"/>
                <w:lang w:val="en-US" w:eastAsia="zh-CN"/>
              </w:rPr>
              <w:t>三</w:t>
            </w:r>
            <w:r>
              <w:rPr>
                <w:rFonts w:hint="eastAsia" w:ascii="宋体" w:hAnsi="宋体"/>
                <w:color w:val="auto"/>
                <w:sz w:val="24"/>
                <w:highlight w:val="none"/>
              </w:rPr>
              <w:t>、售后服务要求</w:t>
            </w:r>
            <w:bookmarkEnd w:id="16"/>
            <w:bookmarkEnd w:id="17"/>
            <w:bookmarkEnd w:id="18"/>
            <w:bookmarkEnd w:id="19"/>
          </w:p>
        </w:tc>
        <w:tc>
          <w:tcPr>
            <w:tcW w:w="7610" w:type="dxa"/>
            <w:tcBorders>
              <w:top w:val="double" w:color="auto" w:sz="4" w:space="0"/>
              <w:left w:val="double" w:color="auto" w:sz="4" w:space="0"/>
              <w:bottom w:val="double" w:color="auto" w:sz="4" w:space="0"/>
              <w:right w:val="double" w:color="auto" w:sz="4" w:space="0"/>
            </w:tcBorders>
            <w:vAlign w:val="center"/>
          </w:tcPr>
          <w:p w14:paraId="3D2C8A36">
            <w:pPr>
              <w:spacing w:line="360" w:lineRule="auto"/>
              <w:jc w:val="left"/>
              <w:rPr>
                <w:rFonts w:ascii="宋体" w:hAnsi="宋体"/>
                <w:color w:val="auto"/>
                <w:sz w:val="24"/>
                <w:highlight w:val="none"/>
              </w:rPr>
            </w:pPr>
            <w:r>
              <w:rPr>
                <w:rFonts w:hint="eastAsia" w:ascii="宋体" w:hAnsi="宋体"/>
                <w:color w:val="auto"/>
                <w:sz w:val="24"/>
                <w:highlight w:val="none"/>
              </w:rPr>
              <w:t>1.有维修点及零配件供应点；</w:t>
            </w:r>
          </w:p>
        </w:tc>
      </w:tr>
      <w:tr w14:paraId="757C316B">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738" w:hRule="atLeast"/>
          <w:jc w:val="center"/>
        </w:trPr>
        <w:tc>
          <w:tcPr>
            <w:tcW w:w="2326" w:type="dxa"/>
            <w:vMerge w:val="continue"/>
            <w:tcBorders>
              <w:top w:val="double" w:color="auto" w:sz="4" w:space="0"/>
              <w:left w:val="double" w:color="auto" w:sz="4" w:space="0"/>
              <w:bottom w:val="double" w:color="auto" w:sz="4" w:space="0"/>
              <w:right w:val="double" w:color="auto" w:sz="4" w:space="0"/>
            </w:tcBorders>
            <w:vAlign w:val="center"/>
          </w:tcPr>
          <w:p w14:paraId="1076C6C5">
            <w:pPr>
              <w:widowControl/>
              <w:spacing w:line="360" w:lineRule="auto"/>
              <w:jc w:val="center"/>
              <w:rPr>
                <w:rFonts w:ascii="宋体" w:hAnsi="宋体"/>
                <w:color w:val="auto"/>
                <w:sz w:val="24"/>
                <w:highlight w:val="none"/>
              </w:rPr>
            </w:pPr>
          </w:p>
        </w:tc>
        <w:tc>
          <w:tcPr>
            <w:tcW w:w="7610" w:type="dxa"/>
            <w:tcBorders>
              <w:top w:val="double" w:color="auto" w:sz="4" w:space="0"/>
              <w:left w:val="double" w:color="auto" w:sz="4" w:space="0"/>
              <w:bottom w:val="double" w:color="auto" w:sz="4" w:space="0"/>
              <w:right w:val="double" w:color="auto" w:sz="4" w:space="0"/>
            </w:tcBorders>
            <w:vAlign w:val="center"/>
          </w:tcPr>
          <w:p w14:paraId="0463805B">
            <w:pPr>
              <w:spacing w:line="360" w:lineRule="auto"/>
              <w:jc w:val="left"/>
              <w:rPr>
                <w:rFonts w:ascii="宋体" w:hAnsi="宋体"/>
                <w:color w:val="auto"/>
                <w:sz w:val="24"/>
                <w:highlight w:val="none"/>
              </w:rPr>
            </w:pPr>
            <w:r>
              <w:rPr>
                <w:rFonts w:hint="eastAsia" w:ascii="宋体" w:hAnsi="宋体"/>
                <w:color w:val="auto"/>
                <w:sz w:val="24"/>
                <w:highlight w:val="none"/>
              </w:rPr>
              <w:t>2.须明确承诺维修响应时间、保修期内巡视保养措施及保修期后维护保养承诺。</w:t>
            </w:r>
          </w:p>
        </w:tc>
      </w:tr>
      <w:tr w14:paraId="678BA65D">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2326" w:type="dxa"/>
            <w:tcBorders>
              <w:top w:val="double" w:color="auto" w:sz="4" w:space="0"/>
              <w:left w:val="double" w:color="auto" w:sz="4" w:space="0"/>
              <w:bottom w:val="double" w:color="auto" w:sz="4" w:space="0"/>
              <w:right w:val="double" w:color="auto" w:sz="4" w:space="0"/>
            </w:tcBorders>
            <w:vAlign w:val="center"/>
          </w:tcPr>
          <w:p w14:paraId="380EB17D">
            <w:pPr>
              <w:snapToGrid w:val="0"/>
              <w:spacing w:before="120" w:beforeLines="50" w:after="120" w:afterLines="50" w:line="360" w:lineRule="auto"/>
              <w:jc w:val="center"/>
              <w:rPr>
                <w:rFonts w:ascii="宋体" w:hAnsi="宋体"/>
                <w:color w:val="auto"/>
                <w:sz w:val="24"/>
                <w:highlight w:val="none"/>
              </w:rPr>
            </w:pPr>
            <w:bookmarkStart w:id="20" w:name="_Toc404778591"/>
            <w:bookmarkStart w:id="21" w:name="_Toc508353615"/>
            <w:bookmarkStart w:id="22" w:name="_Toc404778653"/>
            <w:bookmarkStart w:id="23" w:name="_Toc404778374"/>
            <w:r>
              <w:rPr>
                <w:rFonts w:hint="eastAsia" w:ascii="宋体" w:hAnsi="宋体"/>
                <w:color w:val="auto"/>
                <w:sz w:val="24"/>
                <w:highlight w:val="none"/>
                <w:lang w:val="en-US" w:eastAsia="zh-CN"/>
              </w:rPr>
              <w:t>四</w:t>
            </w:r>
            <w:r>
              <w:rPr>
                <w:rFonts w:hint="eastAsia" w:ascii="宋体" w:hAnsi="宋体"/>
                <w:color w:val="auto"/>
                <w:sz w:val="24"/>
                <w:highlight w:val="none"/>
              </w:rPr>
              <w:t>、售后服务保障或维修响应时间要求</w:t>
            </w:r>
            <w:bookmarkEnd w:id="20"/>
            <w:bookmarkEnd w:id="21"/>
            <w:bookmarkEnd w:id="22"/>
            <w:bookmarkEnd w:id="23"/>
          </w:p>
        </w:tc>
        <w:tc>
          <w:tcPr>
            <w:tcW w:w="7610" w:type="dxa"/>
            <w:tcBorders>
              <w:top w:val="double" w:color="auto" w:sz="4" w:space="0"/>
              <w:left w:val="double" w:color="auto" w:sz="4" w:space="0"/>
              <w:bottom w:val="double" w:color="auto" w:sz="4" w:space="0"/>
              <w:right w:val="double" w:color="auto" w:sz="4" w:space="0"/>
            </w:tcBorders>
            <w:vAlign w:val="center"/>
          </w:tcPr>
          <w:p w14:paraId="1ED022FB">
            <w:pPr>
              <w:spacing w:line="360" w:lineRule="auto"/>
              <w:rPr>
                <w:rFonts w:ascii="宋体" w:hAnsi="宋体"/>
                <w:b/>
                <w:color w:val="auto"/>
                <w:sz w:val="24"/>
                <w:highlight w:val="none"/>
              </w:rPr>
            </w:pPr>
            <w:r>
              <w:rPr>
                <w:rFonts w:hint="eastAsia" w:ascii="宋体" w:hAnsi="宋体"/>
                <w:color w:val="auto"/>
                <w:sz w:val="24"/>
                <w:highlight w:val="none"/>
              </w:rPr>
              <w:t>如设备在使用时出现故障，中标人接到采购人电话后1小时内响应，必须在24小时内赶到现场维修，并保证在48小时内修复完毕。如不能修复则提供备机使用，质保期内，与维修相关的所有费用由中标方负责。</w:t>
            </w:r>
          </w:p>
        </w:tc>
      </w:tr>
      <w:tr w14:paraId="396F36D9">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074" w:hRule="atLeast"/>
          <w:jc w:val="center"/>
        </w:trPr>
        <w:tc>
          <w:tcPr>
            <w:tcW w:w="2326" w:type="dxa"/>
            <w:tcBorders>
              <w:top w:val="double" w:color="auto" w:sz="4" w:space="0"/>
              <w:left w:val="double" w:color="auto" w:sz="4" w:space="0"/>
              <w:bottom w:val="double" w:color="auto" w:sz="4" w:space="0"/>
              <w:right w:val="double" w:color="auto" w:sz="4" w:space="0"/>
            </w:tcBorders>
            <w:vAlign w:val="center"/>
          </w:tcPr>
          <w:p w14:paraId="41EAA98B">
            <w:pPr>
              <w:snapToGrid w:val="0"/>
              <w:spacing w:before="120" w:beforeLines="50" w:after="120" w:afterLines="50" w:line="360" w:lineRule="auto"/>
              <w:jc w:val="center"/>
              <w:rPr>
                <w:rFonts w:ascii="宋体" w:hAnsi="宋体"/>
                <w:color w:val="auto"/>
                <w:sz w:val="24"/>
                <w:highlight w:val="none"/>
              </w:rPr>
            </w:pPr>
            <w:r>
              <w:rPr>
                <w:rFonts w:hint="eastAsia" w:ascii="宋体" w:hAnsi="宋体"/>
                <w:color w:val="auto"/>
                <w:sz w:val="24"/>
                <w:highlight w:val="none"/>
                <w:lang w:val="en-US" w:eastAsia="zh-CN"/>
              </w:rPr>
              <w:t>五</w:t>
            </w:r>
            <w:r>
              <w:rPr>
                <w:rFonts w:hint="eastAsia" w:ascii="宋体" w:hAnsi="宋体"/>
                <w:color w:val="auto"/>
                <w:sz w:val="24"/>
                <w:highlight w:val="none"/>
              </w:rPr>
              <w:t>、付款方式</w:t>
            </w:r>
          </w:p>
        </w:tc>
        <w:tc>
          <w:tcPr>
            <w:tcW w:w="7610" w:type="dxa"/>
            <w:tcBorders>
              <w:top w:val="double" w:color="auto" w:sz="4" w:space="0"/>
              <w:left w:val="double" w:color="auto" w:sz="4" w:space="0"/>
              <w:bottom w:val="double" w:color="auto" w:sz="4" w:space="0"/>
              <w:right w:val="double" w:color="auto" w:sz="4" w:space="0"/>
            </w:tcBorders>
            <w:vAlign w:val="center"/>
          </w:tcPr>
          <w:p w14:paraId="7AD10BDA">
            <w:pPr>
              <w:spacing w:line="360" w:lineRule="auto"/>
              <w:rPr>
                <w:rFonts w:hint="eastAsia" w:ascii="宋体" w:hAnsi="宋体"/>
                <w:bCs/>
                <w:color w:val="auto"/>
                <w:sz w:val="24"/>
                <w:highlight w:val="none"/>
                <w:lang w:val="en-US" w:eastAsia="zh-CN"/>
              </w:rPr>
            </w:pPr>
            <w:r>
              <w:rPr>
                <w:rFonts w:hint="eastAsia" w:ascii="宋体" w:hAnsi="宋体"/>
                <w:bCs/>
                <w:color w:val="auto"/>
                <w:sz w:val="24"/>
                <w:highlight w:val="none"/>
              </w:rPr>
              <w:t>合同生效以及具备实施条件后7个工作日内</w:t>
            </w:r>
            <w:r>
              <w:rPr>
                <w:rFonts w:hint="eastAsia" w:ascii="宋体" w:hAnsi="宋体"/>
                <w:bCs/>
                <w:color w:val="auto"/>
                <w:sz w:val="24"/>
                <w:highlight w:val="none"/>
                <w:lang w:val="en-US" w:eastAsia="zh-CN"/>
              </w:rPr>
              <w:t>支付</w:t>
            </w:r>
            <w:r>
              <w:rPr>
                <w:rFonts w:hint="eastAsia" w:ascii="宋体" w:hAnsi="宋体"/>
                <w:bCs/>
                <w:color w:val="auto"/>
                <w:sz w:val="24"/>
                <w:highlight w:val="none"/>
              </w:rPr>
              <w:t>合同金额的40%作为项目的预付款（对供应商明确表示无需预付款或者主动要求降低预付款比例的，采购单位可不适用前述规定），在支付预付款之前中标单位</w:t>
            </w:r>
            <w:r>
              <w:rPr>
                <w:rFonts w:hint="eastAsia" w:ascii="宋体" w:hAnsi="宋体"/>
                <w:bCs/>
                <w:color w:val="auto"/>
                <w:sz w:val="24"/>
                <w:highlight w:val="none"/>
                <w:lang w:eastAsia="zh-CN"/>
              </w:rPr>
              <w:t>要</w:t>
            </w:r>
            <w:r>
              <w:rPr>
                <w:rFonts w:hint="eastAsia" w:ascii="宋体" w:hAnsi="宋体"/>
                <w:bCs/>
                <w:color w:val="auto"/>
                <w:sz w:val="24"/>
                <w:highlight w:val="none"/>
              </w:rPr>
              <w:t>提供金融机构出具的预付款保函（预付款保函可以在政采云平台线上办理）；设备安装验收合格并在供应商提交东阳市政府采购验收单、发票原件后7个工作日内付清余款。</w:t>
            </w:r>
          </w:p>
        </w:tc>
      </w:tr>
      <w:tr w14:paraId="56FDD0E5">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2326" w:type="dxa"/>
            <w:tcBorders>
              <w:top w:val="double" w:color="auto" w:sz="4" w:space="0"/>
              <w:left w:val="double" w:color="auto" w:sz="4" w:space="0"/>
              <w:bottom w:val="double" w:color="auto" w:sz="4" w:space="0"/>
              <w:right w:val="double" w:color="auto" w:sz="4" w:space="0"/>
            </w:tcBorders>
            <w:vAlign w:val="center"/>
          </w:tcPr>
          <w:p w14:paraId="40941758">
            <w:pPr>
              <w:snapToGrid w:val="0"/>
              <w:spacing w:before="120" w:beforeLines="50" w:after="120" w:afterLines="50" w:line="360" w:lineRule="auto"/>
              <w:jc w:val="center"/>
              <w:rPr>
                <w:rFonts w:ascii="宋体" w:hAnsi="宋体"/>
                <w:color w:val="auto"/>
                <w:sz w:val="24"/>
                <w:highlight w:val="none"/>
              </w:rPr>
            </w:pPr>
            <w:bookmarkStart w:id="24" w:name="_Toc508353617"/>
            <w:bookmarkStart w:id="25" w:name="_Toc404778655"/>
            <w:bookmarkStart w:id="26" w:name="_Toc404778593"/>
            <w:bookmarkStart w:id="27" w:name="_Toc404778376"/>
            <w:r>
              <w:rPr>
                <w:rFonts w:hint="eastAsia" w:ascii="宋体" w:hAnsi="宋体"/>
                <w:color w:val="auto"/>
                <w:sz w:val="24"/>
                <w:highlight w:val="none"/>
                <w:lang w:val="en-US" w:eastAsia="zh-CN"/>
              </w:rPr>
              <w:t>六</w:t>
            </w:r>
            <w:r>
              <w:rPr>
                <w:rFonts w:hint="eastAsia" w:ascii="宋体" w:hAnsi="宋体"/>
                <w:color w:val="auto"/>
                <w:sz w:val="24"/>
                <w:highlight w:val="none"/>
              </w:rPr>
              <w:t>、技术资料</w:t>
            </w:r>
          </w:p>
        </w:tc>
        <w:tc>
          <w:tcPr>
            <w:tcW w:w="7610" w:type="dxa"/>
            <w:tcBorders>
              <w:top w:val="double" w:color="auto" w:sz="4" w:space="0"/>
              <w:left w:val="double" w:color="auto" w:sz="4" w:space="0"/>
              <w:bottom w:val="double" w:color="auto" w:sz="4" w:space="0"/>
              <w:right w:val="double" w:color="auto" w:sz="4" w:space="0"/>
            </w:tcBorders>
            <w:vAlign w:val="center"/>
          </w:tcPr>
          <w:p w14:paraId="73718EA1">
            <w:pPr>
              <w:spacing w:line="360" w:lineRule="auto"/>
              <w:rPr>
                <w:rFonts w:ascii="宋体" w:hAnsi="宋体"/>
                <w:b/>
                <w:color w:val="auto"/>
                <w:sz w:val="24"/>
                <w:highlight w:val="none"/>
              </w:rPr>
            </w:pPr>
            <w:r>
              <w:rPr>
                <w:rFonts w:ascii="宋体" w:hAnsi="宋体"/>
                <w:color w:val="auto"/>
                <w:sz w:val="24"/>
                <w:highlight w:val="none"/>
              </w:rPr>
              <w:t>提供完整的技术资料，包括操作手册、维修手册、软件手册等，同时应提供设备出厂检验报告和质量合格证书等及电子版的操作规程。</w:t>
            </w:r>
          </w:p>
        </w:tc>
      </w:tr>
      <w:tr w14:paraId="56244398">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140" w:hRule="atLeast"/>
          <w:jc w:val="center"/>
        </w:trPr>
        <w:tc>
          <w:tcPr>
            <w:tcW w:w="2326" w:type="dxa"/>
            <w:tcBorders>
              <w:top w:val="double" w:color="auto" w:sz="4" w:space="0"/>
              <w:left w:val="double" w:color="auto" w:sz="4" w:space="0"/>
              <w:bottom w:val="double" w:color="auto" w:sz="4" w:space="0"/>
              <w:right w:val="double" w:color="auto" w:sz="4" w:space="0"/>
            </w:tcBorders>
            <w:vAlign w:val="center"/>
          </w:tcPr>
          <w:p w14:paraId="29DDF9EC">
            <w:pPr>
              <w:snapToGrid w:val="0"/>
              <w:spacing w:before="120" w:beforeLines="50" w:after="120" w:afterLines="50" w:line="360" w:lineRule="auto"/>
              <w:jc w:val="center"/>
              <w:rPr>
                <w:rFonts w:ascii="宋体" w:hAnsi="宋体"/>
                <w:color w:val="auto"/>
                <w:sz w:val="24"/>
                <w:highlight w:val="none"/>
              </w:rPr>
            </w:pPr>
            <w:r>
              <w:rPr>
                <w:rFonts w:hint="eastAsia" w:ascii="宋体" w:hAnsi="宋体"/>
                <w:color w:val="auto"/>
                <w:sz w:val="24"/>
                <w:highlight w:val="none"/>
                <w:lang w:val="en-US" w:eastAsia="zh-CN"/>
              </w:rPr>
              <w:t>七</w:t>
            </w:r>
            <w:r>
              <w:rPr>
                <w:rFonts w:hint="eastAsia" w:ascii="宋体" w:hAnsi="宋体"/>
                <w:color w:val="auto"/>
                <w:sz w:val="24"/>
                <w:highlight w:val="none"/>
              </w:rPr>
              <w:t>、安装</w:t>
            </w:r>
            <w:bookmarkEnd w:id="24"/>
            <w:bookmarkEnd w:id="25"/>
            <w:bookmarkEnd w:id="26"/>
            <w:bookmarkEnd w:id="27"/>
          </w:p>
        </w:tc>
        <w:tc>
          <w:tcPr>
            <w:tcW w:w="7610" w:type="dxa"/>
            <w:tcBorders>
              <w:top w:val="double" w:color="auto" w:sz="4" w:space="0"/>
              <w:left w:val="double" w:color="auto" w:sz="4" w:space="0"/>
              <w:bottom w:val="double" w:color="auto" w:sz="4" w:space="0"/>
              <w:right w:val="double" w:color="auto" w:sz="4" w:space="0"/>
            </w:tcBorders>
            <w:vAlign w:val="center"/>
          </w:tcPr>
          <w:p w14:paraId="0B292E6E">
            <w:pPr>
              <w:spacing w:line="360" w:lineRule="auto"/>
              <w:rPr>
                <w:rFonts w:ascii="宋体" w:hAnsi="宋体"/>
                <w:color w:val="auto"/>
                <w:sz w:val="24"/>
                <w:highlight w:val="none"/>
              </w:rPr>
            </w:pPr>
            <w:r>
              <w:rPr>
                <w:rFonts w:hint="eastAsia" w:ascii="宋体" w:hAnsi="宋体"/>
                <w:color w:val="auto"/>
                <w:sz w:val="24"/>
                <w:highlight w:val="none"/>
              </w:rPr>
              <w:t>中标人及时提供有关的安装调试、检测验收、运行维护、维修等相应全过程服务。安装必须符合合同要求和国家有关的技术规范及标准。</w:t>
            </w:r>
          </w:p>
        </w:tc>
      </w:tr>
      <w:tr w14:paraId="06BE47B9">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2289" w:hRule="atLeast"/>
          <w:jc w:val="center"/>
        </w:trPr>
        <w:tc>
          <w:tcPr>
            <w:tcW w:w="2326" w:type="dxa"/>
            <w:tcBorders>
              <w:top w:val="double" w:color="auto" w:sz="4" w:space="0"/>
              <w:left w:val="double" w:color="auto" w:sz="4" w:space="0"/>
              <w:bottom w:val="double" w:color="auto" w:sz="4" w:space="0"/>
              <w:right w:val="double" w:color="auto" w:sz="4" w:space="0"/>
            </w:tcBorders>
            <w:vAlign w:val="center"/>
          </w:tcPr>
          <w:p w14:paraId="61558A5E">
            <w:pPr>
              <w:snapToGrid w:val="0"/>
              <w:spacing w:before="120" w:beforeLines="50" w:after="120" w:afterLines="50" w:line="360" w:lineRule="auto"/>
              <w:jc w:val="center"/>
              <w:rPr>
                <w:rFonts w:ascii="宋体" w:hAnsi="宋体"/>
                <w:color w:val="auto"/>
                <w:sz w:val="24"/>
                <w:highlight w:val="none"/>
              </w:rPr>
            </w:pPr>
            <w:bookmarkStart w:id="28" w:name="_Toc508353618"/>
            <w:bookmarkStart w:id="29" w:name="_Toc404778594"/>
            <w:bookmarkStart w:id="30" w:name="_Toc404778377"/>
            <w:bookmarkStart w:id="31" w:name="_Toc404778656"/>
            <w:r>
              <w:rPr>
                <w:rFonts w:hint="eastAsia" w:ascii="宋体" w:hAnsi="宋体"/>
                <w:color w:val="auto"/>
                <w:sz w:val="24"/>
                <w:highlight w:val="none"/>
                <w:lang w:val="en-US" w:eastAsia="zh-CN"/>
              </w:rPr>
              <w:t>八</w:t>
            </w:r>
            <w:r>
              <w:rPr>
                <w:rFonts w:hint="eastAsia" w:ascii="宋体" w:hAnsi="宋体"/>
                <w:color w:val="auto"/>
                <w:sz w:val="24"/>
                <w:highlight w:val="none"/>
              </w:rPr>
              <w:t>、培训</w:t>
            </w:r>
            <w:bookmarkEnd w:id="28"/>
            <w:bookmarkEnd w:id="29"/>
            <w:bookmarkEnd w:id="30"/>
            <w:bookmarkEnd w:id="31"/>
          </w:p>
        </w:tc>
        <w:tc>
          <w:tcPr>
            <w:tcW w:w="7610" w:type="dxa"/>
            <w:tcBorders>
              <w:top w:val="double" w:color="auto" w:sz="4" w:space="0"/>
              <w:left w:val="double" w:color="auto" w:sz="4" w:space="0"/>
              <w:bottom w:val="double" w:color="auto" w:sz="4" w:space="0"/>
              <w:right w:val="double" w:color="auto" w:sz="4" w:space="0"/>
            </w:tcBorders>
            <w:vAlign w:val="center"/>
          </w:tcPr>
          <w:p w14:paraId="279E3211">
            <w:pPr>
              <w:spacing w:line="360" w:lineRule="auto"/>
              <w:rPr>
                <w:rFonts w:ascii="宋体" w:hAnsi="宋体"/>
                <w:color w:val="auto"/>
                <w:sz w:val="24"/>
                <w:highlight w:val="none"/>
              </w:rPr>
            </w:pPr>
            <w:r>
              <w:rPr>
                <w:rFonts w:hint="eastAsia" w:ascii="宋体" w:hAnsi="宋体"/>
                <w:color w:val="auto"/>
                <w:sz w:val="24"/>
                <w:highlight w:val="none"/>
              </w:rPr>
              <w:t>中标人必须提供就设备的操作、安装、启动、调试、运行、维护和修理对采购方操作人员进行培训，并向培训人员提供维修所需的特殊工具、口令、图纸及维修手册。提供详细的操作和维护软件。</w:t>
            </w:r>
          </w:p>
          <w:p w14:paraId="5852C71A">
            <w:pPr>
              <w:spacing w:line="360" w:lineRule="auto"/>
              <w:rPr>
                <w:rFonts w:ascii="宋体" w:hAnsi="宋体"/>
                <w:color w:val="auto"/>
                <w:sz w:val="24"/>
                <w:highlight w:val="none"/>
              </w:rPr>
            </w:pPr>
            <w:r>
              <w:rPr>
                <w:rFonts w:hint="eastAsia" w:ascii="宋体" w:hAnsi="宋体"/>
                <w:color w:val="auto"/>
                <w:sz w:val="24"/>
                <w:highlight w:val="none"/>
              </w:rPr>
              <w:t>培训计划须包括计划</w:t>
            </w:r>
            <w:r>
              <w:rPr>
                <w:rFonts w:hint="eastAsia" w:ascii="宋体" w:hAnsi="宋体" w:cs="宋体"/>
                <w:color w:val="auto"/>
                <w:kern w:val="0"/>
                <w:sz w:val="24"/>
                <w:highlight w:val="none"/>
              </w:rPr>
              <w:t>培训的人数、时间、地点</w:t>
            </w:r>
            <w:r>
              <w:rPr>
                <w:rFonts w:hint="eastAsia" w:ascii="宋体" w:hAnsi="宋体"/>
                <w:color w:val="auto"/>
                <w:sz w:val="24"/>
                <w:highlight w:val="none"/>
              </w:rPr>
              <w:t>，所有的培训费用必须计入投标总价。</w:t>
            </w:r>
          </w:p>
        </w:tc>
      </w:tr>
      <w:tr w14:paraId="548E4882">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2326" w:type="dxa"/>
            <w:vMerge w:val="restart"/>
            <w:tcBorders>
              <w:top w:val="double" w:color="auto" w:sz="4" w:space="0"/>
              <w:left w:val="double" w:color="auto" w:sz="4" w:space="0"/>
              <w:right w:val="double" w:color="auto" w:sz="4" w:space="0"/>
            </w:tcBorders>
            <w:vAlign w:val="center"/>
          </w:tcPr>
          <w:p w14:paraId="2BF95F50">
            <w:pPr>
              <w:snapToGrid w:val="0"/>
              <w:spacing w:before="120" w:beforeLines="50" w:after="120" w:afterLines="50" w:line="360" w:lineRule="auto"/>
              <w:jc w:val="center"/>
              <w:rPr>
                <w:rFonts w:ascii="宋体" w:hAnsi="宋体"/>
                <w:color w:val="auto"/>
                <w:sz w:val="24"/>
                <w:highlight w:val="none"/>
              </w:rPr>
            </w:pPr>
            <w:r>
              <w:rPr>
                <w:rFonts w:hint="eastAsia" w:ascii="宋体" w:hAnsi="宋体"/>
                <w:color w:val="auto"/>
                <w:sz w:val="24"/>
                <w:highlight w:val="none"/>
                <w:lang w:val="en-US" w:eastAsia="zh-CN"/>
              </w:rPr>
              <w:t>九</w:t>
            </w:r>
            <w:r>
              <w:rPr>
                <w:rFonts w:hint="eastAsia" w:ascii="宋体" w:hAnsi="宋体"/>
                <w:color w:val="auto"/>
                <w:sz w:val="24"/>
                <w:highlight w:val="none"/>
              </w:rPr>
              <w:t>、</w:t>
            </w:r>
            <w:r>
              <w:rPr>
                <w:rFonts w:hint="eastAsia" w:hAnsi="宋体"/>
                <w:color w:val="auto"/>
                <w:sz w:val="24"/>
                <w:highlight w:val="none"/>
              </w:rPr>
              <w:t>验收</w:t>
            </w:r>
          </w:p>
        </w:tc>
        <w:tc>
          <w:tcPr>
            <w:tcW w:w="7610" w:type="dxa"/>
            <w:tcBorders>
              <w:top w:val="double" w:color="auto" w:sz="4" w:space="0"/>
              <w:left w:val="double" w:color="auto" w:sz="4" w:space="0"/>
              <w:bottom w:val="double" w:color="auto" w:sz="4" w:space="0"/>
              <w:right w:val="double" w:color="auto" w:sz="4" w:space="0"/>
            </w:tcBorders>
            <w:vAlign w:val="center"/>
          </w:tcPr>
          <w:p w14:paraId="4623FD4A">
            <w:pPr>
              <w:spacing w:line="360" w:lineRule="auto"/>
              <w:rPr>
                <w:rFonts w:ascii="宋体" w:hAnsi="宋体"/>
                <w:color w:val="auto"/>
                <w:sz w:val="24"/>
                <w:highlight w:val="none"/>
              </w:rPr>
            </w:pPr>
            <w:r>
              <w:rPr>
                <w:rFonts w:hint="eastAsia" w:ascii="宋体" w:hAnsi="宋体"/>
                <w:color w:val="auto"/>
                <w:sz w:val="24"/>
                <w:highlight w:val="none"/>
              </w:rPr>
              <w:t>项目设备安装调试，采购人将按规定对货物的品牌、外观、规格、参数配置、数量、配件及安装调试后的使用性能、运行状况、技术资料及其他进行验收，中标人必须在验收现场提供必要的技术支持，验收费用由中标人承担。</w:t>
            </w:r>
          </w:p>
        </w:tc>
      </w:tr>
      <w:tr w14:paraId="10D98AC5">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1201" w:hRule="atLeast"/>
          <w:jc w:val="center"/>
        </w:trPr>
        <w:tc>
          <w:tcPr>
            <w:tcW w:w="2326" w:type="dxa"/>
            <w:vMerge w:val="continue"/>
            <w:tcBorders>
              <w:left w:val="double" w:color="auto" w:sz="4" w:space="0"/>
              <w:right w:val="double" w:color="auto" w:sz="4" w:space="0"/>
            </w:tcBorders>
            <w:vAlign w:val="center"/>
          </w:tcPr>
          <w:p w14:paraId="565FDA97">
            <w:pPr>
              <w:snapToGrid w:val="0"/>
              <w:spacing w:before="120" w:beforeLines="50" w:after="120" w:afterLines="50" w:line="360" w:lineRule="auto"/>
              <w:jc w:val="center"/>
              <w:rPr>
                <w:rFonts w:hAnsi="宋体"/>
                <w:color w:val="auto"/>
                <w:sz w:val="24"/>
                <w:highlight w:val="none"/>
              </w:rPr>
            </w:pPr>
          </w:p>
        </w:tc>
        <w:tc>
          <w:tcPr>
            <w:tcW w:w="7610" w:type="dxa"/>
            <w:tcBorders>
              <w:top w:val="double" w:color="auto" w:sz="4" w:space="0"/>
              <w:left w:val="double" w:color="auto" w:sz="4" w:space="0"/>
              <w:bottom w:val="double" w:color="auto" w:sz="4" w:space="0"/>
              <w:right w:val="double" w:color="auto" w:sz="4" w:space="0"/>
            </w:tcBorders>
            <w:vAlign w:val="center"/>
          </w:tcPr>
          <w:p w14:paraId="1F063D8F">
            <w:pPr>
              <w:spacing w:line="360" w:lineRule="auto"/>
              <w:rPr>
                <w:rFonts w:ascii="宋体" w:hAnsi="宋体"/>
                <w:color w:val="auto"/>
                <w:sz w:val="24"/>
                <w:highlight w:val="none"/>
              </w:rPr>
            </w:pPr>
            <w:r>
              <w:rPr>
                <w:rFonts w:hint="eastAsia" w:ascii="宋体" w:hAnsi="宋体"/>
                <w:color w:val="auto"/>
                <w:sz w:val="24"/>
                <w:highlight w:val="none"/>
              </w:rPr>
              <w:t>如发生所供设备与招标文件中规定的设备不符，由此产生的一切责任和后果由中标人承担，采购方有权要求中标人赔偿相关损失。</w:t>
            </w:r>
          </w:p>
        </w:tc>
      </w:tr>
      <w:tr w14:paraId="70FC1B76">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jc w:val="center"/>
        </w:trPr>
        <w:tc>
          <w:tcPr>
            <w:tcW w:w="2326" w:type="dxa"/>
            <w:vMerge w:val="continue"/>
            <w:tcBorders>
              <w:left w:val="double" w:color="auto" w:sz="4" w:space="0"/>
              <w:bottom w:val="double" w:color="auto" w:sz="4" w:space="0"/>
              <w:right w:val="double" w:color="auto" w:sz="4" w:space="0"/>
            </w:tcBorders>
            <w:vAlign w:val="center"/>
          </w:tcPr>
          <w:p w14:paraId="2EE9F8E9">
            <w:pPr>
              <w:snapToGrid w:val="0"/>
              <w:spacing w:before="120" w:beforeLines="50" w:after="120" w:afterLines="50" w:line="360" w:lineRule="auto"/>
              <w:jc w:val="center"/>
              <w:rPr>
                <w:rFonts w:hAnsi="宋体"/>
                <w:color w:val="auto"/>
                <w:sz w:val="24"/>
                <w:highlight w:val="none"/>
              </w:rPr>
            </w:pPr>
          </w:p>
        </w:tc>
        <w:tc>
          <w:tcPr>
            <w:tcW w:w="7610" w:type="dxa"/>
            <w:tcBorders>
              <w:top w:val="double" w:color="auto" w:sz="4" w:space="0"/>
              <w:left w:val="double" w:color="auto" w:sz="4" w:space="0"/>
              <w:bottom w:val="double" w:color="auto" w:sz="4" w:space="0"/>
              <w:right w:val="double" w:color="auto" w:sz="4" w:space="0"/>
            </w:tcBorders>
            <w:vAlign w:val="center"/>
          </w:tcPr>
          <w:p w14:paraId="46D42B53">
            <w:pPr>
              <w:spacing w:line="360" w:lineRule="auto"/>
              <w:rPr>
                <w:rFonts w:ascii="宋体" w:hAnsi="宋体"/>
                <w:color w:val="auto"/>
                <w:sz w:val="24"/>
                <w:highlight w:val="none"/>
              </w:rPr>
            </w:pPr>
            <w:r>
              <w:rPr>
                <w:rFonts w:hint="eastAsia" w:ascii="宋体" w:hAnsi="宋体"/>
                <w:color w:val="auto"/>
                <w:sz w:val="24"/>
                <w:highlight w:val="none"/>
              </w:rPr>
              <w:t>质量符合国际或国家通用标准，满足招标文件技术标准部分所规定的全部功能。如出现质量问题或系假冒伪劣产品，中标人负责包退、包换，因此而涉及的全部违约责任和费用由中标人承担。</w:t>
            </w:r>
          </w:p>
        </w:tc>
      </w:tr>
    </w:tbl>
    <w:p w14:paraId="768C9E67">
      <w:pPr>
        <w:spacing w:line="360" w:lineRule="auto"/>
        <w:rPr>
          <w:rFonts w:hint="eastAsia"/>
          <w:b/>
          <w:strike/>
          <w:dstrike w:val="0"/>
          <w:color w:val="auto"/>
          <w:szCs w:val="21"/>
          <w:highlight w:val="none"/>
        </w:rPr>
      </w:pPr>
    </w:p>
    <w:p w14:paraId="33191C4B">
      <w:pPr>
        <w:spacing w:line="360" w:lineRule="auto"/>
        <w:rPr>
          <w:rFonts w:hint="eastAsia"/>
          <w:b/>
          <w:strike/>
          <w:dstrike w:val="0"/>
          <w:color w:val="auto"/>
          <w:szCs w:val="21"/>
          <w:highlight w:val="none"/>
        </w:rPr>
      </w:pPr>
    </w:p>
    <w:bookmarkEnd w:id="10"/>
    <w:p w14:paraId="01A0FBE6">
      <w:pPr>
        <w:pStyle w:val="7"/>
        <w:keepNext w:val="0"/>
        <w:keepLines w:val="0"/>
        <w:pageBreakBefore/>
        <w:spacing w:line="240" w:lineRule="auto"/>
        <w:jc w:val="center"/>
        <w:rPr>
          <w:rFonts w:ascii="宋体" w:hAnsi="宋体" w:cs="宋体"/>
          <w:color w:val="auto"/>
          <w:kern w:val="0"/>
          <w:sz w:val="24"/>
          <w:szCs w:val="24"/>
          <w:highlight w:val="none"/>
        </w:rPr>
      </w:pPr>
      <w:bookmarkStart w:id="32" w:name="_Toc3196"/>
      <w:r>
        <w:rPr>
          <w:rFonts w:hint="eastAsia" w:ascii="宋体" w:hAnsi="宋体" w:cs="宋体"/>
          <w:color w:val="auto"/>
          <w:sz w:val="24"/>
          <w:szCs w:val="24"/>
          <w:highlight w:val="none"/>
        </w:rPr>
        <w:t>第三章   投标人须知</w:t>
      </w:r>
      <w:bookmarkEnd w:id="32"/>
    </w:p>
    <w:p w14:paraId="65828EF0">
      <w:pPr>
        <w:pStyle w:val="23"/>
        <w:snapToGrid w:val="0"/>
        <w:spacing w:before="120" w:after="120"/>
        <w:ind w:firstLine="472" w:firstLineChars="196"/>
        <w:jc w:val="center"/>
        <w:outlineLvl w:val="1"/>
        <w:rPr>
          <w:rFonts w:ascii="宋体" w:hAnsi="宋体" w:cs="宋体"/>
          <w:b/>
          <w:color w:val="auto"/>
          <w:szCs w:val="24"/>
          <w:highlight w:val="none"/>
        </w:rPr>
      </w:pPr>
      <w:bookmarkStart w:id="33" w:name="_Toc25457"/>
      <w:r>
        <w:rPr>
          <w:rFonts w:hint="eastAsia" w:ascii="宋体" w:hAnsi="宋体" w:cs="宋体"/>
          <w:b/>
          <w:color w:val="auto"/>
          <w:szCs w:val="24"/>
          <w:highlight w:val="none"/>
        </w:rPr>
        <w:t>前附表</w:t>
      </w:r>
      <w:bookmarkEnd w:id="33"/>
    </w:p>
    <w:tbl>
      <w:tblPr>
        <w:tblStyle w:val="39"/>
        <w:tblW w:w="994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74"/>
        <w:gridCol w:w="9172"/>
      </w:tblGrid>
      <w:tr w14:paraId="2B52A7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4"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1F79F0E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序号</w:t>
            </w:r>
          </w:p>
        </w:tc>
        <w:tc>
          <w:tcPr>
            <w:tcW w:w="9172" w:type="dxa"/>
            <w:tcBorders>
              <w:top w:val="single" w:color="auto" w:sz="4" w:space="0"/>
              <w:left w:val="single" w:color="auto" w:sz="4" w:space="0"/>
              <w:bottom w:val="single" w:color="auto" w:sz="4" w:space="0"/>
              <w:right w:val="single" w:color="auto" w:sz="4" w:space="0"/>
            </w:tcBorders>
            <w:vAlign w:val="center"/>
          </w:tcPr>
          <w:p w14:paraId="505D50ED">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内容、要求</w:t>
            </w:r>
          </w:p>
        </w:tc>
      </w:tr>
      <w:tr w14:paraId="527855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75584FEE">
            <w:pPr>
              <w:snapToGrid w:val="0"/>
              <w:spacing w:line="360" w:lineRule="auto"/>
              <w:ind w:firstLine="240" w:firstLineChars="100"/>
              <w:jc w:val="left"/>
              <w:rPr>
                <w:rFonts w:ascii="宋体" w:hAnsi="宋体" w:cs="宋体"/>
                <w:color w:val="auto"/>
                <w:sz w:val="24"/>
                <w:highlight w:val="none"/>
              </w:rPr>
            </w:pPr>
            <w:r>
              <w:rPr>
                <w:rFonts w:hint="eastAsia" w:ascii="宋体" w:hAnsi="宋体" w:cs="宋体"/>
                <w:color w:val="auto"/>
                <w:sz w:val="24"/>
                <w:highlight w:val="none"/>
              </w:rPr>
              <w:t>1</w:t>
            </w:r>
          </w:p>
        </w:tc>
        <w:tc>
          <w:tcPr>
            <w:tcW w:w="9172" w:type="dxa"/>
            <w:tcBorders>
              <w:top w:val="single" w:color="auto" w:sz="4" w:space="0"/>
              <w:left w:val="single" w:color="auto" w:sz="4" w:space="0"/>
              <w:bottom w:val="single" w:color="auto" w:sz="4" w:space="0"/>
              <w:right w:val="single" w:color="auto" w:sz="4" w:space="0"/>
            </w:tcBorders>
            <w:vAlign w:val="center"/>
          </w:tcPr>
          <w:p w14:paraId="26EC3D68">
            <w:pPr>
              <w:spacing w:line="360" w:lineRule="auto"/>
              <w:rPr>
                <w:rFonts w:hint="eastAsia" w:ascii="宋体" w:hAnsi="宋体" w:eastAsia="宋体" w:cs="宋体"/>
                <w:b/>
                <w:bCs/>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东阳市红会医院5G查房采购项目</w:t>
            </w:r>
          </w:p>
        </w:tc>
      </w:tr>
      <w:tr w14:paraId="6D2C3F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6A30F3B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172" w:type="dxa"/>
            <w:tcBorders>
              <w:top w:val="single" w:color="auto" w:sz="4" w:space="0"/>
              <w:left w:val="single" w:color="auto" w:sz="4" w:space="0"/>
              <w:bottom w:val="single" w:color="auto" w:sz="4" w:space="0"/>
              <w:right w:val="single" w:color="auto" w:sz="4" w:space="0"/>
            </w:tcBorders>
            <w:vAlign w:val="center"/>
          </w:tcPr>
          <w:p w14:paraId="072766B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投标报价及费用：1、本项目投标应以人民币报价；2、不论投标结果如何，投标人均应自行承担所有与投标有关的全部费用；3、投标费用：东阳市鑫盛工程咨询有限公司按照本招标文件总则第（五）条规定向中标人收取中标服务费。</w:t>
            </w:r>
          </w:p>
        </w:tc>
      </w:tr>
      <w:tr w14:paraId="02533C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7"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0F21A9B4">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3</w:t>
            </w:r>
          </w:p>
        </w:tc>
        <w:tc>
          <w:tcPr>
            <w:tcW w:w="9172" w:type="dxa"/>
            <w:tcBorders>
              <w:top w:val="single" w:color="auto" w:sz="4" w:space="0"/>
              <w:left w:val="single" w:color="auto" w:sz="4" w:space="0"/>
              <w:bottom w:val="single" w:color="auto" w:sz="4" w:space="0"/>
              <w:right w:val="single" w:color="auto" w:sz="4" w:space="0"/>
            </w:tcBorders>
            <w:vAlign w:val="center"/>
          </w:tcPr>
          <w:p w14:paraId="33C0AB2E">
            <w:pPr>
              <w:snapToGrid w:val="0"/>
              <w:spacing w:line="420" w:lineRule="exact"/>
              <w:rPr>
                <w:rFonts w:ascii="宋体" w:hAnsi="宋体" w:cs="宋体"/>
                <w:color w:val="auto"/>
                <w:sz w:val="24"/>
                <w:highlight w:val="none"/>
              </w:rPr>
            </w:pPr>
            <w:r>
              <w:rPr>
                <w:rFonts w:hint="eastAsia" w:ascii="宋体" w:hAnsi="宋体" w:cs="宋体"/>
                <w:b/>
                <w:bCs/>
                <w:color w:val="auto"/>
                <w:sz w:val="24"/>
                <w:highlight w:val="none"/>
              </w:rPr>
              <w:t>根据《政府采购促进中小企业管理办法》及《关于印发中小企业划型标准规定的通知工信部联企业》（〔2011〕300号）有关规定，本采购标的对应的所属行业为：</w:t>
            </w:r>
            <w:r>
              <w:rPr>
                <w:rFonts w:hint="eastAsia" w:ascii="宋体" w:hAnsi="宋体" w:cs="宋体"/>
                <w:b/>
                <w:bCs/>
                <w:color w:val="auto"/>
                <w:sz w:val="24"/>
                <w:highlight w:val="none"/>
                <w:lang w:val="en-US" w:eastAsia="zh-CN"/>
              </w:rPr>
              <w:t>工业</w:t>
            </w:r>
            <w:r>
              <w:rPr>
                <w:rFonts w:hint="eastAsia" w:ascii="宋体" w:hAnsi="宋体" w:cs="宋体"/>
                <w:b/>
                <w:bCs/>
                <w:color w:val="auto"/>
                <w:sz w:val="24"/>
                <w:highlight w:val="none"/>
              </w:rPr>
              <w:t>。</w:t>
            </w:r>
          </w:p>
        </w:tc>
      </w:tr>
      <w:tr w14:paraId="28071D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24EABDA2">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4</w:t>
            </w:r>
          </w:p>
        </w:tc>
        <w:tc>
          <w:tcPr>
            <w:tcW w:w="9172" w:type="dxa"/>
            <w:tcBorders>
              <w:top w:val="single" w:color="auto" w:sz="4" w:space="0"/>
              <w:left w:val="single" w:color="auto" w:sz="4" w:space="0"/>
              <w:bottom w:val="single" w:color="auto" w:sz="4" w:space="0"/>
              <w:right w:val="single" w:color="auto" w:sz="4" w:space="0"/>
            </w:tcBorders>
            <w:vAlign w:val="center"/>
          </w:tcPr>
          <w:p w14:paraId="4539E11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根据《关于在政府采购活动中查询及使用信用记录有关问题的通知》财库[2016]125号的规定：</w:t>
            </w:r>
          </w:p>
          <w:p w14:paraId="049F94E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（1）采购人或采购代理机构将对本项目供应商的信用记录进行查询。查询渠道为信用中国网站（www.creditchina.gov.cn）、中国政府采购网（www.ccgp.gov.cn）；</w:t>
            </w:r>
          </w:p>
          <w:p w14:paraId="0FFB4DF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（2）截止时点：提交投标文件（响应文件）截止时间前3年内；</w:t>
            </w:r>
          </w:p>
          <w:p w14:paraId="245498C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（3）查询记录和证据的留存：信用信息查询记录和证据以网页截图等方式留存。</w:t>
            </w:r>
          </w:p>
          <w:p w14:paraId="099E1E0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68FB1170">
            <w:pPr>
              <w:snapToGrid w:val="0"/>
              <w:spacing w:line="360" w:lineRule="auto"/>
              <w:rPr>
                <w:rFonts w:ascii="宋体" w:hAnsi="宋体" w:cs="宋体"/>
                <w:b/>
                <w:bCs/>
                <w:color w:val="auto"/>
                <w:sz w:val="24"/>
                <w:highlight w:val="none"/>
              </w:rPr>
            </w:pPr>
            <w:r>
              <w:rPr>
                <w:rFonts w:hint="eastAsia" w:ascii="宋体" w:hAnsi="宋体" w:cs="宋体"/>
                <w:color w:val="auto"/>
                <w:sz w:val="24"/>
                <w:highlight w:val="none"/>
              </w:rPr>
              <w:t>（5）联合体成员任意一方存在不良信用记录的，视同联合体存在不良信用记录。</w:t>
            </w:r>
          </w:p>
        </w:tc>
      </w:tr>
      <w:tr w14:paraId="6FE5B4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36625B42">
            <w:pPr>
              <w:snapToGrid w:val="0"/>
              <w:spacing w:line="348"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9172" w:type="dxa"/>
            <w:tcBorders>
              <w:top w:val="single" w:color="auto" w:sz="4" w:space="0"/>
              <w:left w:val="single" w:color="auto" w:sz="4" w:space="0"/>
              <w:bottom w:val="single" w:color="auto" w:sz="4" w:space="0"/>
              <w:right w:val="single" w:color="auto" w:sz="4" w:space="0"/>
            </w:tcBorders>
            <w:vAlign w:val="center"/>
          </w:tcPr>
          <w:p w14:paraId="0BC8199E">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1、节能产品、环境标志产品的强制采购政策</w:t>
            </w:r>
          </w:p>
          <w:p w14:paraId="2B6A1EF5">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投标人提供的产品应具有国家确定的认证机构出具的、处于有效期之内的节能产品、环境标志产品认证证书，并在响应文件中提供该产品节能产品、环境标志产品认证证书，否则无效。（注：本项目执行最新政府采购节能产品、环境标志产品品目清单。）</w:t>
            </w:r>
          </w:p>
          <w:p w14:paraId="07082CAD">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2、节能产品、环境标志产品的优先采购政策</w:t>
            </w:r>
          </w:p>
          <w:p w14:paraId="64D54109">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根据财政部、国家发展和改革委员会、生态环境部等部门公布的政府采购节能产品、环境标志产品品目清单的规定、依据品目清单和认证证书实施政府优先采购和强制采购。采购人拟采购的产品属于品目清单范围内的优先采购品目的，投标人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tc>
      </w:tr>
      <w:tr w14:paraId="7F1D47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69F73735">
            <w:pPr>
              <w:snapToGrid w:val="0"/>
              <w:spacing w:line="348"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9172" w:type="dxa"/>
            <w:tcBorders>
              <w:top w:val="single" w:color="auto" w:sz="4" w:space="0"/>
              <w:left w:val="single" w:color="auto" w:sz="4" w:space="0"/>
              <w:bottom w:val="single" w:color="auto" w:sz="4" w:space="0"/>
              <w:right w:val="single" w:color="auto" w:sz="4" w:space="0"/>
            </w:tcBorders>
            <w:vAlign w:val="center"/>
          </w:tcPr>
          <w:p w14:paraId="7E9B0C3B">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答疑与澄清：投标人如认为招标文件表述不清晰、存在歧视性、排他性或者其他违法内容的，应当按照公开招标公告第三、七条规定以书面形式要求招标方作出书面解释、澄清或者向招标方提出书面质疑；</w:t>
            </w:r>
            <w:r>
              <w:rPr>
                <w:rFonts w:hint="eastAsia" w:ascii="宋体" w:hAnsi="宋体" w:cs="宋体"/>
                <w:b/>
                <w:color w:val="auto"/>
                <w:sz w:val="24"/>
                <w:highlight w:val="none"/>
              </w:rPr>
              <w:t>在质疑截止时间前，未对招标文件提出质疑时，视投标人对招标文件的默认；</w:t>
            </w:r>
            <w:r>
              <w:rPr>
                <w:rFonts w:hint="eastAsia" w:ascii="宋体" w:hAnsi="宋体" w:cs="宋体"/>
                <w:color w:val="auto"/>
                <w:sz w:val="24"/>
                <w:highlight w:val="none"/>
              </w:rPr>
              <w:t>招标采购单位对已发出的招标文件进行必要澄清、答复、修改或者补充的，在财政部门指定的政府采购信息发布媒体上发布更正公告，并以书面形式通知所有已获取招标文件的投标人；答疑内容是招标文件的组成部分；澄清或者修改的内容可能影响投标文件编制的，应当在投标截止时间至少15日前，以书面形式通知所有获取招标文件的潜在投标人；不足15日的，顺延提交投标文件的截止时间。</w:t>
            </w:r>
          </w:p>
        </w:tc>
      </w:tr>
      <w:tr w14:paraId="0A56BC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237897AD">
            <w:pPr>
              <w:snapToGrid w:val="0"/>
              <w:spacing w:line="348"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9172" w:type="dxa"/>
            <w:tcBorders>
              <w:top w:val="single" w:color="auto" w:sz="4" w:space="0"/>
              <w:left w:val="single" w:color="auto" w:sz="4" w:space="0"/>
              <w:bottom w:val="single" w:color="auto" w:sz="4" w:space="0"/>
              <w:right w:val="single" w:color="auto" w:sz="4" w:space="0"/>
            </w:tcBorders>
            <w:vAlign w:val="center"/>
          </w:tcPr>
          <w:p w14:paraId="051A120D">
            <w:pPr>
              <w:autoSpaceDE w:val="0"/>
              <w:autoSpaceDN w:val="0"/>
              <w:snapToGrid w:val="0"/>
              <w:spacing w:line="348" w:lineRule="auto"/>
              <w:textAlignment w:val="bottom"/>
              <w:rPr>
                <w:rFonts w:ascii="宋体" w:hAnsi="宋体" w:cs="宋体"/>
                <w:color w:val="auto"/>
                <w:sz w:val="24"/>
                <w:highlight w:val="none"/>
              </w:rPr>
            </w:pPr>
            <w:r>
              <w:rPr>
                <w:rFonts w:hint="eastAsia" w:ascii="宋体" w:hAnsi="宋体" w:cs="宋体"/>
                <w:color w:val="auto"/>
                <w:sz w:val="24"/>
                <w:highlight w:val="none"/>
              </w:rPr>
              <w:t>投标文件的递交：</w:t>
            </w:r>
          </w:p>
          <w:p w14:paraId="2936FD8B">
            <w:pPr>
              <w:autoSpaceDE w:val="0"/>
              <w:autoSpaceDN w:val="0"/>
              <w:snapToGrid w:val="0"/>
              <w:spacing w:line="348" w:lineRule="auto"/>
              <w:textAlignment w:val="bottom"/>
              <w:rPr>
                <w:rFonts w:ascii="宋体" w:hAnsi="宋体" w:cs="宋体"/>
                <w:color w:val="auto"/>
                <w:sz w:val="24"/>
                <w:highlight w:val="none"/>
              </w:rPr>
            </w:pPr>
            <w:r>
              <w:rPr>
                <w:rFonts w:hint="eastAsia" w:ascii="宋体" w:hAnsi="宋体" w:cs="宋体"/>
                <w:color w:val="auto"/>
                <w:sz w:val="24"/>
                <w:highlight w:val="none"/>
              </w:rPr>
              <w:t>本项目投标文件由资格审查文件、商务技术文件和报价文件三部分组成。投标人应按以下方式递交投标文件：</w:t>
            </w:r>
          </w:p>
          <w:p w14:paraId="78BB74C1">
            <w:pPr>
              <w:autoSpaceDE w:val="0"/>
              <w:autoSpaceDN w:val="0"/>
              <w:snapToGrid w:val="0"/>
              <w:spacing w:line="348" w:lineRule="auto"/>
              <w:textAlignment w:val="bottom"/>
              <w:rPr>
                <w:rFonts w:ascii="宋体" w:hAnsi="宋体" w:cs="宋体"/>
                <w:color w:val="auto"/>
                <w:sz w:val="24"/>
                <w:highlight w:val="none"/>
              </w:rPr>
            </w:pPr>
            <w:r>
              <w:rPr>
                <w:rFonts w:hint="eastAsia" w:ascii="宋体" w:hAnsi="宋体" w:cs="宋体"/>
                <w:color w:val="auto"/>
                <w:sz w:val="24"/>
                <w:highlight w:val="none"/>
              </w:rPr>
              <w:t>▲1、本项目实行“网上投标、电子评标”，投标人应于投标截止时间前在“政采云”（电子交易平台）上传输、递交电子版投标文件（包括资格审查文件、商务技术文件和报价文件）；</w:t>
            </w:r>
          </w:p>
          <w:p w14:paraId="3DA92562">
            <w:pPr>
              <w:autoSpaceDE w:val="0"/>
              <w:autoSpaceDN w:val="0"/>
              <w:snapToGrid w:val="0"/>
              <w:spacing w:line="348" w:lineRule="auto"/>
              <w:textAlignment w:val="bottom"/>
              <w:rPr>
                <w:rFonts w:ascii="宋体" w:hAnsi="宋体" w:cs="宋体"/>
                <w:color w:val="auto"/>
                <w:sz w:val="24"/>
                <w:highlight w:val="none"/>
              </w:rPr>
            </w:pPr>
            <w:r>
              <w:rPr>
                <w:rFonts w:hint="eastAsia" w:ascii="宋体" w:hAnsi="宋体" w:cs="宋体"/>
                <w:color w:val="auto"/>
                <w:sz w:val="24"/>
                <w:highlight w:val="none"/>
              </w:rPr>
              <w:t>2、为了避免由于电子交易平台无法正常运行等技术、安全故障原因造成投标文件无法解密或解密失败，导致投标无效的情况，投标人可以在投标截止时间前将电子备份投标文件（经政采云电子交易客户端和CA驱动制作出的后缀名为“bfbs”的加密电子备份投标文件）发送至东阳市鑫盛工程咨询有限公司邮箱：1816352277@qq.com，逾期发送或发错后缀名的备份投标文件将被视为无效；</w:t>
            </w:r>
          </w:p>
          <w:p w14:paraId="0D2F4646">
            <w:pPr>
              <w:autoSpaceDE w:val="0"/>
              <w:autoSpaceDN w:val="0"/>
              <w:snapToGrid w:val="0"/>
              <w:spacing w:line="348" w:lineRule="auto"/>
              <w:textAlignment w:val="bottom"/>
              <w:rPr>
                <w:rFonts w:ascii="宋体" w:hAnsi="宋体" w:cs="宋体"/>
                <w:color w:val="auto"/>
                <w:sz w:val="24"/>
                <w:highlight w:val="none"/>
              </w:rPr>
            </w:pPr>
            <w:r>
              <w:rPr>
                <w:rFonts w:hint="eastAsia" w:ascii="宋体" w:hAnsi="宋体" w:cs="宋体"/>
                <w:color w:val="auto"/>
                <w:sz w:val="24"/>
                <w:highlight w:val="none"/>
              </w:rPr>
              <w:t>3、投标人仅提交电子备份投标文件的，投标无效；</w:t>
            </w:r>
          </w:p>
          <w:p w14:paraId="4FF0FD3D">
            <w:pPr>
              <w:autoSpaceDE w:val="0"/>
              <w:autoSpaceDN w:val="0"/>
              <w:snapToGrid w:val="0"/>
              <w:spacing w:line="348" w:lineRule="auto"/>
              <w:textAlignment w:val="bottom"/>
              <w:rPr>
                <w:rFonts w:ascii="宋体" w:hAnsi="宋体" w:cs="宋体"/>
                <w:color w:val="auto"/>
                <w:highlight w:val="none"/>
              </w:rPr>
            </w:pPr>
            <w:r>
              <w:rPr>
                <w:rFonts w:hint="eastAsia" w:ascii="宋体" w:hAnsi="宋体" w:cs="宋体"/>
                <w:color w:val="auto"/>
                <w:sz w:val="24"/>
                <w:highlight w:val="none"/>
              </w:rPr>
              <w:t>4、本项目不强制投标人提交电子备份投标文件；如在开评标时出现电子投标文件无法解密或解密失败等情况，因投标人未提供电子备份投标文件而造成投标无效等一切后果和风险由投标人自行承担。</w:t>
            </w:r>
          </w:p>
        </w:tc>
      </w:tr>
      <w:tr w14:paraId="5DDDD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637C51D7">
            <w:pPr>
              <w:snapToGrid w:val="0"/>
              <w:spacing w:line="348"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9172" w:type="dxa"/>
            <w:tcBorders>
              <w:top w:val="single" w:color="auto" w:sz="4" w:space="0"/>
              <w:left w:val="single" w:color="auto" w:sz="4" w:space="0"/>
              <w:bottom w:val="single" w:color="auto" w:sz="4" w:space="0"/>
              <w:right w:val="single" w:color="auto" w:sz="4" w:space="0"/>
            </w:tcBorders>
            <w:vAlign w:val="center"/>
          </w:tcPr>
          <w:p w14:paraId="6C6E0949">
            <w:pPr>
              <w:snapToGrid w:val="0"/>
              <w:spacing w:line="348" w:lineRule="auto"/>
              <w:rPr>
                <w:rFonts w:hint="default" w:ascii="宋体" w:hAnsi="宋体" w:eastAsia="宋体" w:cs="宋体"/>
                <w:bCs/>
                <w:color w:val="auto"/>
                <w:sz w:val="24"/>
                <w:highlight w:val="none"/>
                <w:u w:val="single"/>
                <w:lang w:val="en-US" w:eastAsia="zh-CN"/>
              </w:rPr>
            </w:pPr>
            <w:r>
              <w:rPr>
                <w:rFonts w:hint="eastAsia" w:ascii="宋体" w:hAnsi="宋体" w:cs="宋体"/>
                <w:bCs/>
                <w:color w:val="auto"/>
                <w:sz w:val="24"/>
                <w:highlight w:val="none"/>
              </w:rPr>
              <w:t>投标截止时间：</w:t>
            </w:r>
            <w:r>
              <w:rPr>
                <w:rFonts w:hint="eastAsia" w:ascii="宋体" w:hAnsi="宋体" w:cs="宋体"/>
                <w:color w:val="auto"/>
                <w:sz w:val="24"/>
                <w:highlight w:val="none"/>
                <w:lang w:eastAsia="zh-CN"/>
              </w:rPr>
              <w:t>2025年5月6日14时00分</w:t>
            </w:r>
            <w:r>
              <w:rPr>
                <w:rFonts w:hint="eastAsia" w:ascii="宋体" w:hAnsi="宋体" w:cs="宋体"/>
                <w:color w:val="auto"/>
                <w:sz w:val="24"/>
                <w:highlight w:val="none"/>
                <w:lang w:val="en-US" w:eastAsia="zh-CN"/>
              </w:rPr>
              <w:t>前</w:t>
            </w:r>
          </w:p>
          <w:p w14:paraId="4F0071DB">
            <w:pPr>
              <w:pStyle w:val="23"/>
              <w:spacing w:line="348" w:lineRule="auto"/>
              <w:rPr>
                <w:rFonts w:ascii="宋体" w:hAnsi="宋体" w:cs="宋体"/>
                <w:bCs/>
                <w:color w:val="auto"/>
                <w:szCs w:val="24"/>
                <w:highlight w:val="none"/>
              </w:rPr>
            </w:pPr>
            <w:r>
              <w:rPr>
                <w:rFonts w:hint="eastAsia" w:ascii="宋体" w:hAnsi="宋体" w:cs="宋体"/>
                <w:bCs/>
                <w:color w:val="auto"/>
                <w:szCs w:val="24"/>
                <w:highlight w:val="none"/>
              </w:rPr>
              <w:t>1、投标人应当在投标截止时间前在“政采云”（电子交易平台）上自行上传加密的电子投标文件。投标截止时间前未完成传输的，视为撤回电子投标文件。投标截止时间后递交的电子投标文件，将被政采云平台拒收。</w:t>
            </w:r>
          </w:p>
          <w:p w14:paraId="5D086C9F">
            <w:pPr>
              <w:snapToGrid w:val="0"/>
              <w:spacing w:line="348" w:lineRule="auto"/>
              <w:rPr>
                <w:rFonts w:ascii="宋体" w:hAnsi="宋体" w:cs="宋体"/>
                <w:bCs/>
                <w:color w:val="auto"/>
                <w:sz w:val="24"/>
                <w:highlight w:val="none"/>
              </w:rPr>
            </w:pPr>
            <w:r>
              <w:rPr>
                <w:rFonts w:hint="eastAsia" w:ascii="宋体" w:hAnsi="宋体" w:cs="宋体"/>
                <w:bCs/>
                <w:color w:val="auto"/>
                <w:sz w:val="24"/>
                <w:highlight w:val="none"/>
              </w:rPr>
              <w:t>2、电子备份投标文件的递交时间：投标人应当在投标截止时间前，逾期未递交的视为自动放弃。</w:t>
            </w:r>
          </w:p>
          <w:p w14:paraId="260E0DBD">
            <w:pPr>
              <w:pStyle w:val="23"/>
              <w:spacing w:line="348" w:lineRule="auto"/>
              <w:rPr>
                <w:rFonts w:ascii="宋体" w:hAnsi="宋体" w:cs="宋体"/>
                <w:color w:val="auto"/>
                <w:highlight w:val="none"/>
              </w:rPr>
            </w:pPr>
            <w:r>
              <w:rPr>
                <w:rFonts w:hint="eastAsia" w:ascii="宋体" w:hAnsi="宋体" w:cs="宋体"/>
                <w:bCs/>
                <w:color w:val="auto"/>
                <w:szCs w:val="24"/>
                <w:highlight w:val="none"/>
              </w:rPr>
              <w:t>3、投标人应当在投标截止时间前完成投标准备事宜（应具备上网的技术条件并保持网络及联系方式畅通）及电子投标文件的传输递交，可以补充、修改或者撤回电子投标文件。补充或者修改电子投标文件的，应当先行撤回原文件，补充、修改后重新传输递交。</w:t>
            </w:r>
          </w:p>
        </w:tc>
      </w:tr>
      <w:tr w14:paraId="1EBB91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56DF350B">
            <w:pPr>
              <w:snapToGrid w:val="0"/>
              <w:spacing w:line="348"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9172" w:type="dxa"/>
            <w:tcBorders>
              <w:top w:val="single" w:color="auto" w:sz="4" w:space="0"/>
              <w:left w:val="single" w:color="auto" w:sz="4" w:space="0"/>
              <w:bottom w:val="single" w:color="auto" w:sz="4" w:space="0"/>
              <w:right w:val="single" w:color="auto" w:sz="4" w:space="0"/>
            </w:tcBorders>
            <w:vAlign w:val="center"/>
          </w:tcPr>
          <w:p w14:paraId="60D73C66">
            <w:pPr>
              <w:snapToGrid w:val="0"/>
              <w:spacing w:line="348"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开标时间：</w:t>
            </w:r>
            <w:r>
              <w:rPr>
                <w:rFonts w:hint="eastAsia" w:ascii="宋体" w:hAnsi="宋体" w:cs="宋体"/>
                <w:color w:val="auto"/>
                <w:sz w:val="24"/>
                <w:highlight w:val="none"/>
                <w:lang w:eastAsia="zh-CN"/>
              </w:rPr>
              <w:t>2025年5月6日14时00分</w:t>
            </w:r>
          </w:p>
          <w:p w14:paraId="187AEC36">
            <w:pPr>
              <w:snapToGrid w:val="0"/>
              <w:spacing w:line="348"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不要求投标人到开标现场开标，但投标人应派法定代表人或委托代理人【委托代理人应当是投标人的在职正式职工（以投标人本单位缴纳社保花名册为准）】准时在线出席电子开标会议，随时关注开标进度，如在开标过程中有电子询标，应在规定的时间内对电子询标函进行澄清回复。</w:t>
            </w:r>
          </w:p>
          <w:p w14:paraId="3A7B4964">
            <w:pPr>
              <w:snapToGrid w:val="0"/>
              <w:spacing w:line="348"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tc>
      </w:tr>
      <w:tr w14:paraId="4F55E1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B6A56EA">
            <w:pPr>
              <w:snapToGrid w:val="0"/>
              <w:spacing w:line="348"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9172" w:type="dxa"/>
            <w:tcBorders>
              <w:top w:val="single" w:color="auto" w:sz="4" w:space="0"/>
              <w:left w:val="single" w:color="auto" w:sz="4" w:space="0"/>
              <w:bottom w:val="single" w:color="auto" w:sz="4" w:space="0"/>
              <w:right w:val="single" w:color="auto" w:sz="4" w:space="0"/>
            </w:tcBorders>
            <w:vAlign w:val="center"/>
          </w:tcPr>
          <w:p w14:paraId="59809152">
            <w:pPr>
              <w:autoSpaceDE w:val="0"/>
              <w:autoSpaceDN w:val="0"/>
              <w:snapToGrid w:val="0"/>
              <w:spacing w:line="348" w:lineRule="auto"/>
              <w:textAlignment w:val="bottom"/>
              <w:rPr>
                <w:rFonts w:ascii="宋体" w:hAnsi="宋体" w:cs="宋体"/>
                <w:color w:val="auto"/>
                <w:sz w:val="24"/>
                <w:highlight w:val="none"/>
              </w:rPr>
            </w:pPr>
            <w:r>
              <w:rPr>
                <w:rFonts w:hint="eastAsia" w:ascii="宋体" w:hAnsi="宋体" w:cs="宋体"/>
                <w:color w:val="auto"/>
                <w:sz w:val="24"/>
                <w:highlight w:val="none"/>
              </w:rPr>
              <w:t>评标办法：综合评分法</w:t>
            </w:r>
          </w:p>
        </w:tc>
      </w:tr>
      <w:tr w14:paraId="7E17F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185835E4">
            <w:pPr>
              <w:snapToGrid w:val="0"/>
              <w:spacing w:line="348"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9172" w:type="dxa"/>
            <w:tcBorders>
              <w:top w:val="single" w:color="auto" w:sz="4" w:space="0"/>
              <w:left w:val="single" w:color="auto" w:sz="4" w:space="0"/>
              <w:bottom w:val="single" w:color="auto" w:sz="4" w:space="0"/>
              <w:right w:val="single" w:color="auto" w:sz="4" w:space="0"/>
            </w:tcBorders>
            <w:vAlign w:val="center"/>
          </w:tcPr>
          <w:p w14:paraId="6B8A71F0">
            <w:pPr>
              <w:autoSpaceDE w:val="0"/>
              <w:autoSpaceDN w:val="0"/>
              <w:snapToGrid w:val="0"/>
              <w:spacing w:line="348" w:lineRule="auto"/>
              <w:textAlignment w:val="bottom"/>
              <w:rPr>
                <w:rFonts w:ascii="宋体" w:hAnsi="宋体" w:cs="宋体"/>
                <w:color w:val="auto"/>
                <w:sz w:val="24"/>
                <w:highlight w:val="none"/>
              </w:rPr>
            </w:pPr>
            <w:r>
              <w:rPr>
                <w:rFonts w:hint="eastAsia" w:ascii="宋体" w:hAnsi="宋体" w:cs="宋体"/>
                <w:color w:val="auto"/>
                <w:sz w:val="24"/>
                <w:highlight w:val="none"/>
              </w:rPr>
              <w:t>中标结果公告：自中标人确定之日起2个工作日内，中标结果公告于浙江省政府采购网(http://zfcg.czt.zj.gov.cn/)、东阳市公共资源交易网(http://www.dongyang.gov.cn/ggzyjy/index.html)，公告1个工作日。</w:t>
            </w:r>
          </w:p>
        </w:tc>
      </w:tr>
      <w:tr w14:paraId="1650B1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5ADACFCD">
            <w:pPr>
              <w:snapToGrid w:val="0"/>
              <w:spacing w:line="348"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9172" w:type="dxa"/>
            <w:tcBorders>
              <w:top w:val="single" w:color="auto" w:sz="4" w:space="0"/>
              <w:left w:val="single" w:color="auto" w:sz="4" w:space="0"/>
              <w:bottom w:val="single" w:color="auto" w:sz="4" w:space="0"/>
              <w:right w:val="single" w:color="auto" w:sz="4" w:space="0"/>
            </w:tcBorders>
            <w:vAlign w:val="center"/>
          </w:tcPr>
          <w:p w14:paraId="7CABBB5F">
            <w:pPr>
              <w:autoSpaceDE w:val="0"/>
              <w:autoSpaceDN w:val="0"/>
              <w:snapToGrid w:val="0"/>
              <w:spacing w:line="348" w:lineRule="auto"/>
              <w:textAlignment w:val="bottom"/>
              <w:rPr>
                <w:color w:val="auto"/>
                <w:highlight w:val="none"/>
              </w:rPr>
            </w:pPr>
            <w:r>
              <w:rPr>
                <w:rFonts w:hint="eastAsia" w:ascii="宋体" w:hAnsi="宋体" w:cs="宋体"/>
                <w:color w:val="auto"/>
                <w:sz w:val="24"/>
                <w:highlight w:val="none"/>
              </w:rPr>
              <w:t>《中标通知书》的领取时间：中标人应自中标结果公告结束日起，在3个工作日内领取，否则按放弃中标资格处理，并因违反诚信原则，提交财政部门列入政府采购黑名单。</w:t>
            </w:r>
          </w:p>
        </w:tc>
      </w:tr>
      <w:tr w14:paraId="74053B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2A23AA0F">
            <w:pPr>
              <w:snapToGrid w:val="0"/>
              <w:spacing w:line="348"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p>
        </w:tc>
        <w:tc>
          <w:tcPr>
            <w:tcW w:w="9172" w:type="dxa"/>
            <w:tcBorders>
              <w:top w:val="single" w:color="auto" w:sz="4" w:space="0"/>
              <w:left w:val="single" w:color="auto" w:sz="4" w:space="0"/>
              <w:bottom w:val="single" w:color="auto" w:sz="4" w:space="0"/>
              <w:right w:val="single" w:color="auto" w:sz="4" w:space="0"/>
            </w:tcBorders>
            <w:vAlign w:val="center"/>
          </w:tcPr>
          <w:p w14:paraId="554117A5">
            <w:pPr>
              <w:snapToGrid w:val="0"/>
              <w:spacing w:line="348" w:lineRule="auto"/>
              <w:jc w:val="left"/>
              <w:rPr>
                <w:rFonts w:ascii="宋体" w:hAnsi="宋体" w:cs="宋体"/>
                <w:color w:val="auto"/>
                <w:sz w:val="24"/>
                <w:highlight w:val="none"/>
              </w:rPr>
            </w:pPr>
            <w:r>
              <w:rPr>
                <w:rFonts w:hint="eastAsia" w:ascii="宋体" w:hAnsi="宋体" w:cs="宋体"/>
                <w:color w:val="auto"/>
                <w:sz w:val="24"/>
                <w:highlight w:val="none"/>
              </w:rPr>
              <w:t>1、企业信用融资: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网(http://zfcg.czt.zj.gov.cn/)的中小企业信用融资栏目了解相关信息。 供应商可以通过浙江政府采购网(http://zfcg.czt.zj.gov.cn/)首页的“浙江政采贷”模块进入申请，还可以通过政府采购云平台(https://www.zcygov.cn/)首页的“金融服务”模块进入申请。</w:t>
            </w:r>
          </w:p>
          <w:p w14:paraId="5774DDE7">
            <w:pPr>
              <w:snapToGrid w:val="0"/>
              <w:spacing w:line="348" w:lineRule="auto"/>
              <w:jc w:val="left"/>
              <w:rPr>
                <w:rFonts w:ascii="宋体" w:hAnsi="宋体" w:cs="宋体"/>
                <w:color w:val="auto"/>
                <w:sz w:val="24"/>
                <w:highlight w:val="none"/>
              </w:rPr>
            </w:pPr>
            <w:r>
              <w:rPr>
                <w:rFonts w:hint="eastAsia" w:ascii="宋体" w:hAnsi="宋体" w:cs="宋体"/>
                <w:color w:val="auto"/>
                <w:sz w:val="24"/>
                <w:highlight w:val="none"/>
              </w:rPr>
              <w:t xml:space="preserve">2、政府采购金融服务提示：为扩大政府采购金融服务面，除政采云网上金融服务合作银行外，东阳市范围内增加浙商银行金华分行东阳支行作为线下合作银行。   </w:t>
            </w:r>
          </w:p>
          <w:p w14:paraId="1284C1BA">
            <w:pPr>
              <w:snapToGrid w:val="0"/>
              <w:spacing w:line="348" w:lineRule="auto"/>
              <w:jc w:val="left"/>
              <w:rPr>
                <w:rFonts w:ascii="宋体" w:hAnsi="宋体" w:cs="宋体"/>
                <w:color w:val="auto"/>
                <w:sz w:val="24"/>
                <w:highlight w:val="none"/>
              </w:rPr>
            </w:pPr>
            <w:r>
              <w:rPr>
                <w:rFonts w:hint="eastAsia" w:ascii="宋体" w:hAnsi="宋体" w:cs="宋体"/>
                <w:color w:val="auto"/>
                <w:sz w:val="24"/>
                <w:highlight w:val="none"/>
              </w:rPr>
              <w:t>浙商银行金华东阳支行联系人：许燕  联系电话：13967983441  0579-86222992</w:t>
            </w:r>
          </w:p>
        </w:tc>
      </w:tr>
      <w:tr w14:paraId="506259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5016D309">
            <w:pPr>
              <w:snapToGrid w:val="0"/>
              <w:spacing w:line="348" w:lineRule="auto"/>
              <w:jc w:val="center"/>
              <w:rPr>
                <w:rFonts w:hint="eastAsia" w:ascii="宋体" w:hAnsi="宋体" w:eastAsia="宋体" w:cs="宋体"/>
                <w:bCs/>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p>
        </w:tc>
        <w:tc>
          <w:tcPr>
            <w:tcW w:w="9172" w:type="dxa"/>
            <w:tcBorders>
              <w:top w:val="single" w:color="auto" w:sz="4" w:space="0"/>
              <w:left w:val="single" w:color="auto" w:sz="4" w:space="0"/>
              <w:bottom w:val="single" w:color="auto" w:sz="4" w:space="0"/>
              <w:right w:val="single" w:color="auto" w:sz="4" w:space="0"/>
            </w:tcBorders>
            <w:vAlign w:val="center"/>
          </w:tcPr>
          <w:p w14:paraId="4563484D">
            <w:pPr>
              <w:autoSpaceDE w:val="0"/>
              <w:autoSpaceDN w:val="0"/>
              <w:snapToGrid w:val="0"/>
              <w:spacing w:line="348" w:lineRule="auto"/>
              <w:textAlignment w:val="bottom"/>
              <w:rPr>
                <w:rFonts w:ascii="宋体" w:hAnsi="宋体" w:cs="宋体"/>
                <w:color w:val="auto"/>
                <w:sz w:val="24"/>
                <w:highlight w:val="none"/>
              </w:rPr>
            </w:pPr>
            <w:r>
              <w:rPr>
                <w:rFonts w:hint="eastAsia" w:ascii="宋体" w:hAnsi="宋体" w:cs="宋体"/>
                <w:color w:val="auto"/>
                <w:sz w:val="24"/>
                <w:highlight w:val="none"/>
              </w:rPr>
              <w:t>签订合同时间：发出《中标通知书》之日起20天内。</w:t>
            </w:r>
          </w:p>
        </w:tc>
      </w:tr>
      <w:tr w14:paraId="64C352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0C2A358">
            <w:pPr>
              <w:snapToGrid w:val="0"/>
              <w:spacing w:line="348" w:lineRule="auto"/>
              <w:jc w:val="center"/>
              <w:rPr>
                <w:rFonts w:hint="eastAsia" w:ascii="宋体" w:hAnsi="宋体" w:eastAsia="宋体" w:cs="宋体"/>
                <w:color w:val="auto"/>
                <w:sz w:val="24"/>
                <w:highlight w:val="none"/>
                <w:lang w:val="en-US" w:eastAsia="zh-CN"/>
              </w:rPr>
            </w:pPr>
            <w:r>
              <w:rPr>
                <w:rFonts w:hint="eastAsia" w:ascii="宋体" w:hAnsi="宋体" w:cs="宋体"/>
                <w:bCs/>
                <w:color w:val="auto"/>
                <w:sz w:val="24"/>
                <w:highlight w:val="none"/>
              </w:rPr>
              <w:t>1</w:t>
            </w:r>
            <w:r>
              <w:rPr>
                <w:rFonts w:hint="eastAsia" w:ascii="宋体" w:hAnsi="宋体" w:cs="宋体"/>
                <w:bCs/>
                <w:color w:val="auto"/>
                <w:sz w:val="24"/>
                <w:highlight w:val="none"/>
                <w:lang w:val="en-US" w:eastAsia="zh-CN"/>
              </w:rPr>
              <w:t>5</w:t>
            </w:r>
          </w:p>
        </w:tc>
        <w:tc>
          <w:tcPr>
            <w:tcW w:w="9172" w:type="dxa"/>
            <w:tcBorders>
              <w:top w:val="single" w:color="auto" w:sz="4" w:space="0"/>
              <w:left w:val="single" w:color="auto" w:sz="4" w:space="0"/>
              <w:bottom w:val="single" w:color="auto" w:sz="4" w:space="0"/>
              <w:right w:val="single" w:color="auto" w:sz="4" w:space="0"/>
            </w:tcBorders>
            <w:vAlign w:val="center"/>
          </w:tcPr>
          <w:p w14:paraId="0000D0F3">
            <w:pPr>
              <w:autoSpaceDE w:val="0"/>
              <w:autoSpaceDN w:val="0"/>
              <w:snapToGrid w:val="0"/>
              <w:spacing w:line="348" w:lineRule="auto"/>
              <w:textAlignment w:val="bottom"/>
              <w:rPr>
                <w:color w:val="auto"/>
                <w:highlight w:val="none"/>
              </w:rPr>
            </w:pPr>
            <w:r>
              <w:rPr>
                <w:rFonts w:hint="eastAsia" w:ascii="宋体" w:hAnsi="宋体" w:cs="宋体"/>
                <w:color w:val="auto"/>
                <w:sz w:val="24"/>
                <w:highlight w:val="none"/>
              </w:rPr>
              <w:t>中标人与</w:t>
            </w:r>
            <w:r>
              <w:rPr>
                <w:rFonts w:hint="eastAsia" w:ascii="宋体" w:hAnsi="宋体" w:cs="宋体"/>
                <w:color w:val="auto"/>
                <w:sz w:val="24"/>
                <w:highlight w:val="none"/>
                <w:lang w:eastAsia="zh-CN"/>
              </w:rPr>
              <w:t>东阳市红会医院</w:t>
            </w:r>
            <w:r>
              <w:rPr>
                <w:rFonts w:hint="eastAsia" w:ascii="宋体" w:hAnsi="宋体" w:cs="宋体"/>
                <w:color w:val="auto"/>
                <w:sz w:val="24"/>
                <w:highlight w:val="none"/>
              </w:rPr>
              <w:t>签订政府采购合同。</w:t>
            </w:r>
          </w:p>
        </w:tc>
      </w:tr>
      <w:tr w14:paraId="10D322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60EE1406">
            <w:pPr>
              <w:snapToGrid w:val="0"/>
              <w:spacing w:line="348"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p>
        </w:tc>
        <w:tc>
          <w:tcPr>
            <w:tcW w:w="9172" w:type="dxa"/>
            <w:tcBorders>
              <w:top w:val="single" w:color="auto" w:sz="4" w:space="0"/>
              <w:left w:val="single" w:color="auto" w:sz="4" w:space="0"/>
              <w:bottom w:val="single" w:color="auto" w:sz="4" w:space="0"/>
              <w:right w:val="single" w:color="auto" w:sz="4" w:space="0"/>
            </w:tcBorders>
            <w:vAlign w:val="center"/>
          </w:tcPr>
          <w:p w14:paraId="086740EC">
            <w:pPr>
              <w:spacing w:line="360" w:lineRule="auto"/>
              <w:rPr>
                <w:rFonts w:hint="default" w:ascii="宋体" w:hAnsi="宋体" w:eastAsia="宋体" w:cs="宋体"/>
                <w:color w:val="auto"/>
                <w:sz w:val="24"/>
                <w:highlight w:val="none"/>
                <w:lang w:val="en-US" w:eastAsia="zh-CN"/>
              </w:rPr>
            </w:pPr>
            <w:r>
              <w:rPr>
                <w:rFonts w:hint="eastAsia" w:ascii="宋体" w:hAnsi="宋体" w:cs="宋体"/>
                <w:b/>
                <w:bCs/>
                <w:color w:val="auto"/>
                <w:sz w:val="24"/>
                <w:highlight w:val="none"/>
              </w:rPr>
              <w:t>付款方式</w:t>
            </w:r>
            <w:r>
              <w:rPr>
                <w:rFonts w:hint="eastAsia" w:ascii="宋体" w:hAnsi="宋体" w:cs="宋体"/>
                <w:b/>
                <w:bCs/>
                <w:color w:val="auto"/>
                <w:sz w:val="24"/>
                <w:highlight w:val="none"/>
                <w:lang w:eastAsia="zh-CN"/>
              </w:rPr>
              <w:t>：</w:t>
            </w:r>
            <w:r>
              <w:rPr>
                <w:rFonts w:hint="eastAsia" w:ascii="宋体" w:hAnsi="宋体"/>
                <w:bCs/>
                <w:color w:val="auto"/>
                <w:sz w:val="24"/>
                <w:highlight w:val="none"/>
              </w:rPr>
              <w:t>合同生效以及具备实施条件后7个工作日内</w:t>
            </w:r>
            <w:r>
              <w:rPr>
                <w:rFonts w:hint="eastAsia" w:ascii="宋体" w:hAnsi="宋体"/>
                <w:bCs/>
                <w:color w:val="auto"/>
                <w:sz w:val="24"/>
                <w:highlight w:val="none"/>
                <w:lang w:val="en-US" w:eastAsia="zh-CN"/>
              </w:rPr>
              <w:t>支付</w:t>
            </w:r>
            <w:r>
              <w:rPr>
                <w:rFonts w:hint="eastAsia" w:ascii="宋体" w:hAnsi="宋体"/>
                <w:bCs/>
                <w:color w:val="auto"/>
                <w:sz w:val="24"/>
                <w:highlight w:val="none"/>
              </w:rPr>
              <w:t>合同金额的40%作为项目的预付款（对供应商明确表示无需预付款或者主动要求降低预付款比例的，采购单位可不适用前述规定），在支付预付款之前中标单位</w:t>
            </w:r>
            <w:r>
              <w:rPr>
                <w:rFonts w:hint="eastAsia" w:ascii="宋体" w:hAnsi="宋体"/>
                <w:bCs/>
                <w:color w:val="auto"/>
                <w:sz w:val="24"/>
                <w:highlight w:val="none"/>
                <w:lang w:eastAsia="zh-CN"/>
              </w:rPr>
              <w:t>要</w:t>
            </w:r>
            <w:r>
              <w:rPr>
                <w:rFonts w:hint="eastAsia" w:ascii="宋体" w:hAnsi="宋体"/>
                <w:bCs/>
                <w:color w:val="auto"/>
                <w:sz w:val="24"/>
                <w:highlight w:val="none"/>
              </w:rPr>
              <w:t>提供金融机构出具的预付款保函（预付款保函可以在政采云平台线上办理）；设备安装验收合格并在供应商提交东阳市政府采购验收单、发票原件后7个工作日内付清余款。</w:t>
            </w:r>
          </w:p>
        </w:tc>
      </w:tr>
      <w:tr w14:paraId="653BC5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ED2FE71">
            <w:pPr>
              <w:snapToGrid w:val="0"/>
              <w:spacing w:line="348"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p>
        </w:tc>
        <w:tc>
          <w:tcPr>
            <w:tcW w:w="9172" w:type="dxa"/>
            <w:tcBorders>
              <w:top w:val="single" w:color="auto" w:sz="4" w:space="0"/>
              <w:left w:val="single" w:color="auto" w:sz="4" w:space="0"/>
              <w:bottom w:val="single" w:color="auto" w:sz="4" w:space="0"/>
              <w:right w:val="single" w:color="auto" w:sz="4" w:space="0"/>
            </w:tcBorders>
            <w:vAlign w:val="center"/>
          </w:tcPr>
          <w:p w14:paraId="162BD5C6">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货物交付/服务地点：东阳市内，采购人指定的地点。</w:t>
            </w:r>
          </w:p>
          <w:p w14:paraId="15976A9D">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验收：</w:t>
            </w:r>
          </w:p>
          <w:p w14:paraId="4F6FAEB6">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1.采购人组织相关人员对供应商履约的验收，验收费用由中标人承担；采购人出具一式二份验收报告，一份由中标人保管，一份由东阳市鑫盛工程咨询有限公司（原件）存档。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5AACEA0">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2.采购人可以邀请参加本项目的其他供应商或者第三方机构参与验收。参与验收的供应商或者第三方机构的意见作为验收书的参考资料一并存档。</w:t>
            </w:r>
          </w:p>
          <w:p w14:paraId="2413FEB5">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1E93F14">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4.采购人原则上应当在履约验收之日起2个工作日内，将履约验收结果在浙江政府采购网上公告。</w:t>
            </w:r>
          </w:p>
          <w:p w14:paraId="0F80D8BF">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5.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tc>
      </w:tr>
      <w:tr w14:paraId="2E1AC4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67049E6A">
            <w:pPr>
              <w:snapToGrid w:val="0"/>
              <w:spacing w:line="348"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8</w:t>
            </w:r>
          </w:p>
        </w:tc>
        <w:tc>
          <w:tcPr>
            <w:tcW w:w="9172" w:type="dxa"/>
            <w:tcBorders>
              <w:top w:val="single" w:color="auto" w:sz="4" w:space="0"/>
              <w:left w:val="single" w:color="auto" w:sz="4" w:space="0"/>
              <w:bottom w:val="single" w:color="auto" w:sz="4" w:space="0"/>
              <w:right w:val="single" w:color="auto" w:sz="4" w:space="0"/>
            </w:tcBorders>
            <w:vAlign w:val="center"/>
          </w:tcPr>
          <w:p w14:paraId="37DC4FA2">
            <w:pPr>
              <w:snapToGrid w:val="0"/>
              <w:spacing w:before="120" w:beforeLines="50" w:line="348" w:lineRule="auto"/>
              <w:outlineLvl w:val="2"/>
              <w:rPr>
                <w:rFonts w:ascii="宋体" w:hAnsi="宋体"/>
                <w:b/>
                <w:color w:val="auto"/>
                <w:sz w:val="24"/>
                <w:highlight w:val="none"/>
              </w:rPr>
            </w:pPr>
            <w:r>
              <w:rPr>
                <w:rFonts w:hint="eastAsia" w:ascii="宋体" w:hAnsi="宋体"/>
                <w:b/>
                <w:color w:val="auto"/>
                <w:sz w:val="24"/>
                <w:highlight w:val="none"/>
              </w:rPr>
              <w:t>供应商有下列情形之一的，列入失信名单，同时依照《政府采购法》第七十七条及《中华人民共和国政府采购法实施条例》第七十二条规定处罚并追求法律责任。</w:t>
            </w:r>
          </w:p>
          <w:p w14:paraId="0B48DF9E">
            <w:pPr>
              <w:snapToGrid w:val="0"/>
              <w:spacing w:line="348" w:lineRule="auto"/>
              <w:jc w:val="left"/>
              <w:rPr>
                <w:rFonts w:ascii="宋体" w:hAnsi="宋体"/>
                <w:color w:val="auto"/>
                <w:sz w:val="24"/>
                <w:highlight w:val="none"/>
              </w:rPr>
            </w:pPr>
            <w:r>
              <w:rPr>
                <w:rFonts w:hint="eastAsia" w:ascii="宋体" w:hAnsi="宋体"/>
                <w:color w:val="auto"/>
                <w:sz w:val="24"/>
                <w:highlight w:val="none"/>
              </w:rPr>
              <w:t xml:space="preserve">1、提供虚假材料谋取中标、成交的； </w:t>
            </w:r>
          </w:p>
          <w:p w14:paraId="04950608">
            <w:pPr>
              <w:snapToGrid w:val="0"/>
              <w:spacing w:line="348" w:lineRule="auto"/>
              <w:jc w:val="left"/>
              <w:rPr>
                <w:rFonts w:ascii="宋体" w:hAnsi="宋体"/>
                <w:color w:val="auto"/>
                <w:sz w:val="24"/>
                <w:highlight w:val="none"/>
              </w:rPr>
            </w:pPr>
            <w:r>
              <w:rPr>
                <w:rFonts w:hint="eastAsia" w:ascii="宋体" w:hAnsi="宋体"/>
                <w:color w:val="auto"/>
                <w:sz w:val="24"/>
                <w:highlight w:val="none"/>
              </w:rPr>
              <w:t xml:space="preserve">2、采取不正当手段诋毁、排挤其他供应商的； </w:t>
            </w:r>
          </w:p>
          <w:p w14:paraId="134945C2">
            <w:pPr>
              <w:snapToGrid w:val="0"/>
              <w:spacing w:line="348" w:lineRule="auto"/>
              <w:jc w:val="left"/>
              <w:rPr>
                <w:rFonts w:ascii="宋体" w:hAnsi="宋体"/>
                <w:color w:val="auto"/>
                <w:sz w:val="24"/>
                <w:highlight w:val="none"/>
              </w:rPr>
            </w:pPr>
            <w:r>
              <w:rPr>
                <w:rFonts w:hint="eastAsia" w:ascii="宋体" w:hAnsi="宋体"/>
                <w:color w:val="auto"/>
                <w:sz w:val="24"/>
                <w:highlight w:val="none"/>
              </w:rPr>
              <w:t xml:space="preserve">3、与采购人、其他供应商或者采购代理机构恶意串通的； </w:t>
            </w:r>
          </w:p>
          <w:p w14:paraId="393F1418">
            <w:pPr>
              <w:snapToGrid w:val="0"/>
              <w:spacing w:line="348" w:lineRule="auto"/>
              <w:jc w:val="left"/>
              <w:rPr>
                <w:rFonts w:ascii="宋体" w:hAnsi="宋体"/>
                <w:color w:val="auto"/>
                <w:sz w:val="24"/>
                <w:highlight w:val="none"/>
              </w:rPr>
            </w:pPr>
            <w:r>
              <w:rPr>
                <w:rFonts w:hint="eastAsia" w:ascii="宋体" w:hAnsi="宋体"/>
                <w:color w:val="auto"/>
                <w:sz w:val="24"/>
                <w:highlight w:val="none"/>
              </w:rPr>
              <w:t xml:space="preserve">4、向采购人、采购代理机构行贿或者提供其他不正当利益的； </w:t>
            </w:r>
          </w:p>
          <w:p w14:paraId="0833641B">
            <w:pPr>
              <w:snapToGrid w:val="0"/>
              <w:spacing w:line="348" w:lineRule="auto"/>
              <w:jc w:val="left"/>
              <w:rPr>
                <w:rFonts w:ascii="宋体" w:hAnsi="宋体"/>
                <w:color w:val="auto"/>
                <w:sz w:val="24"/>
                <w:highlight w:val="none"/>
              </w:rPr>
            </w:pPr>
            <w:r>
              <w:rPr>
                <w:rFonts w:hint="eastAsia" w:ascii="宋体" w:hAnsi="宋体"/>
                <w:color w:val="auto"/>
                <w:sz w:val="24"/>
                <w:highlight w:val="none"/>
              </w:rPr>
              <w:t xml:space="preserve">5、在招标采购过程中与采购人进行协商谈判的； </w:t>
            </w:r>
          </w:p>
          <w:p w14:paraId="12428535">
            <w:pPr>
              <w:snapToGrid w:val="0"/>
              <w:spacing w:line="348" w:lineRule="auto"/>
              <w:jc w:val="left"/>
              <w:rPr>
                <w:rFonts w:ascii="宋体" w:hAnsi="宋体"/>
                <w:color w:val="auto"/>
                <w:sz w:val="24"/>
                <w:highlight w:val="none"/>
              </w:rPr>
            </w:pPr>
            <w:r>
              <w:rPr>
                <w:rFonts w:hint="eastAsia" w:ascii="宋体" w:hAnsi="宋体"/>
                <w:color w:val="auto"/>
                <w:sz w:val="24"/>
                <w:highlight w:val="none"/>
              </w:rPr>
              <w:t>6、向评标委员会、竞争性谈判小组或者询价小组成员行贿或者提供其他不正当利益；</w:t>
            </w:r>
          </w:p>
          <w:p w14:paraId="64C371E3">
            <w:pPr>
              <w:snapToGrid w:val="0"/>
              <w:spacing w:line="348" w:lineRule="auto"/>
              <w:jc w:val="left"/>
              <w:rPr>
                <w:rFonts w:ascii="宋体" w:hAnsi="宋体"/>
                <w:color w:val="auto"/>
                <w:sz w:val="24"/>
                <w:highlight w:val="none"/>
              </w:rPr>
            </w:pPr>
            <w:r>
              <w:rPr>
                <w:rFonts w:hint="eastAsia" w:ascii="宋体" w:hAnsi="宋体"/>
                <w:color w:val="auto"/>
                <w:sz w:val="24"/>
                <w:highlight w:val="none"/>
              </w:rPr>
              <w:t>7、中标或者成交后无正当理由拒不与采购人签订政府采购合同；</w:t>
            </w:r>
          </w:p>
          <w:p w14:paraId="2C3B3523">
            <w:pPr>
              <w:snapToGrid w:val="0"/>
              <w:spacing w:line="348" w:lineRule="auto"/>
              <w:jc w:val="left"/>
              <w:rPr>
                <w:rFonts w:ascii="宋体" w:hAnsi="宋体"/>
                <w:color w:val="auto"/>
                <w:sz w:val="24"/>
                <w:highlight w:val="none"/>
              </w:rPr>
            </w:pPr>
            <w:r>
              <w:rPr>
                <w:rFonts w:hint="eastAsia" w:ascii="宋体" w:hAnsi="宋体"/>
                <w:color w:val="auto"/>
                <w:sz w:val="24"/>
                <w:highlight w:val="none"/>
              </w:rPr>
              <w:t>8、未按照采购文件确定的事项签订政府采购合同；</w:t>
            </w:r>
          </w:p>
          <w:p w14:paraId="63F8CB32">
            <w:pPr>
              <w:snapToGrid w:val="0"/>
              <w:spacing w:line="348" w:lineRule="auto"/>
              <w:jc w:val="left"/>
              <w:rPr>
                <w:rFonts w:ascii="宋体" w:hAnsi="宋体"/>
                <w:color w:val="auto"/>
                <w:sz w:val="24"/>
                <w:highlight w:val="none"/>
              </w:rPr>
            </w:pPr>
            <w:r>
              <w:rPr>
                <w:rFonts w:hint="eastAsia" w:ascii="宋体" w:hAnsi="宋体"/>
                <w:color w:val="auto"/>
                <w:sz w:val="24"/>
                <w:highlight w:val="none"/>
              </w:rPr>
              <w:t>9、将政府采购合同转包；</w:t>
            </w:r>
          </w:p>
          <w:p w14:paraId="696EC162">
            <w:pPr>
              <w:snapToGrid w:val="0"/>
              <w:spacing w:line="348" w:lineRule="auto"/>
              <w:jc w:val="left"/>
              <w:rPr>
                <w:rFonts w:ascii="宋体" w:hAnsi="宋体"/>
                <w:color w:val="auto"/>
                <w:sz w:val="24"/>
                <w:highlight w:val="none"/>
              </w:rPr>
            </w:pPr>
            <w:r>
              <w:rPr>
                <w:rFonts w:hint="eastAsia" w:ascii="宋体" w:hAnsi="宋体"/>
                <w:color w:val="auto"/>
                <w:sz w:val="24"/>
                <w:highlight w:val="none"/>
              </w:rPr>
              <w:t>10、提供假冒伪劣产品；</w:t>
            </w:r>
          </w:p>
          <w:p w14:paraId="03F9509C">
            <w:pPr>
              <w:snapToGrid w:val="0"/>
              <w:spacing w:line="348" w:lineRule="auto"/>
              <w:jc w:val="left"/>
              <w:rPr>
                <w:rFonts w:ascii="宋体" w:hAnsi="宋体"/>
                <w:color w:val="auto"/>
                <w:sz w:val="24"/>
                <w:highlight w:val="none"/>
              </w:rPr>
            </w:pPr>
            <w:r>
              <w:rPr>
                <w:rFonts w:hint="eastAsia" w:ascii="宋体" w:hAnsi="宋体"/>
                <w:color w:val="auto"/>
                <w:sz w:val="24"/>
                <w:highlight w:val="none"/>
              </w:rPr>
              <w:t>11、擅自变更、中止或者终止政府采购合同。</w:t>
            </w:r>
          </w:p>
          <w:p w14:paraId="1BCF27CE">
            <w:pPr>
              <w:snapToGrid w:val="0"/>
              <w:spacing w:line="348" w:lineRule="auto"/>
              <w:rPr>
                <w:rFonts w:ascii="宋体" w:hAnsi="宋体" w:cs="宋体"/>
                <w:color w:val="auto"/>
                <w:sz w:val="24"/>
                <w:highlight w:val="none"/>
              </w:rPr>
            </w:pPr>
            <w:r>
              <w:rPr>
                <w:rFonts w:hint="eastAsia" w:ascii="宋体" w:hAnsi="宋体"/>
                <w:color w:val="auto"/>
                <w:sz w:val="24"/>
                <w:highlight w:val="none"/>
              </w:rPr>
              <w:t>12、其他严重扰乱招投标程序的。</w:t>
            </w:r>
          </w:p>
        </w:tc>
      </w:tr>
      <w:tr w14:paraId="439A52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8"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1B5B8C29">
            <w:pPr>
              <w:snapToGrid w:val="0"/>
              <w:spacing w:line="348"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19</w:t>
            </w:r>
          </w:p>
        </w:tc>
        <w:tc>
          <w:tcPr>
            <w:tcW w:w="9172" w:type="dxa"/>
            <w:tcBorders>
              <w:top w:val="single" w:color="auto" w:sz="4" w:space="0"/>
              <w:left w:val="single" w:color="auto" w:sz="4" w:space="0"/>
              <w:bottom w:val="single" w:color="auto" w:sz="4" w:space="0"/>
              <w:right w:val="single" w:color="auto" w:sz="4" w:space="0"/>
            </w:tcBorders>
            <w:vAlign w:val="center"/>
          </w:tcPr>
          <w:p w14:paraId="62C4B265">
            <w:pPr>
              <w:snapToGrid w:val="0"/>
              <w:spacing w:line="348" w:lineRule="auto"/>
              <w:rPr>
                <w:rFonts w:ascii="宋体" w:hAnsi="宋体" w:cs="宋体"/>
                <w:b/>
                <w:color w:val="auto"/>
                <w:sz w:val="24"/>
                <w:highlight w:val="none"/>
              </w:rPr>
            </w:pPr>
            <w:r>
              <w:rPr>
                <w:rFonts w:hint="eastAsia" w:ascii="宋体" w:hAnsi="宋体" w:cs="宋体"/>
                <w:color w:val="auto"/>
                <w:sz w:val="24"/>
                <w:highlight w:val="none"/>
              </w:rPr>
              <w:t>投标文件有效期：</w:t>
            </w:r>
            <w:r>
              <w:rPr>
                <w:rFonts w:hint="eastAsia" w:ascii="宋体" w:hAnsi="宋体" w:cs="宋体"/>
                <w:color w:val="auto"/>
                <w:sz w:val="24"/>
                <w:highlight w:val="none"/>
                <w:u w:val="single"/>
              </w:rPr>
              <w:t>60</w:t>
            </w:r>
            <w:r>
              <w:rPr>
                <w:rFonts w:hint="eastAsia" w:ascii="宋体" w:hAnsi="宋体" w:cs="宋体"/>
                <w:color w:val="auto"/>
                <w:sz w:val="24"/>
                <w:highlight w:val="none"/>
              </w:rPr>
              <w:t>天</w:t>
            </w:r>
          </w:p>
        </w:tc>
      </w:tr>
      <w:tr w14:paraId="128BCF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9"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3F606961">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20</w:t>
            </w:r>
          </w:p>
        </w:tc>
        <w:tc>
          <w:tcPr>
            <w:tcW w:w="9172" w:type="dxa"/>
            <w:tcBorders>
              <w:top w:val="single" w:color="auto" w:sz="4" w:space="0"/>
              <w:left w:val="single" w:color="auto" w:sz="4" w:space="0"/>
              <w:bottom w:val="single" w:color="auto" w:sz="4" w:space="0"/>
              <w:right w:val="single" w:color="auto" w:sz="4" w:space="0"/>
            </w:tcBorders>
            <w:vAlign w:val="center"/>
          </w:tcPr>
          <w:p w14:paraId="57ECB22D">
            <w:pPr>
              <w:snapToGrid w:val="0"/>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本招标文件未尽事宜根据相关法律法规执行。</w:t>
            </w:r>
          </w:p>
        </w:tc>
      </w:tr>
      <w:tr w14:paraId="75F03F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197A984D">
            <w:pPr>
              <w:snapToGrid w:val="0"/>
              <w:spacing w:line="348"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p>
        </w:tc>
        <w:tc>
          <w:tcPr>
            <w:tcW w:w="9172" w:type="dxa"/>
            <w:tcBorders>
              <w:top w:val="single" w:color="auto" w:sz="4" w:space="0"/>
              <w:left w:val="single" w:color="auto" w:sz="4" w:space="0"/>
              <w:bottom w:val="single" w:color="auto" w:sz="4" w:space="0"/>
              <w:right w:val="single" w:color="auto" w:sz="4" w:space="0"/>
            </w:tcBorders>
            <w:vAlign w:val="center"/>
          </w:tcPr>
          <w:p w14:paraId="589894C7">
            <w:pPr>
              <w:snapToGrid w:val="0"/>
              <w:spacing w:line="348" w:lineRule="auto"/>
              <w:rPr>
                <w:rFonts w:ascii="宋体" w:hAnsi="宋体" w:cs="宋体"/>
                <w:b/>
                <w:color w:val="auto"/>
                <w:sz w:val="24"/>
                <w:highlight w:val="none"/>
              </w:rPr>
            </w:pPr>
            <w:r>
              <w:rPr>
                <w:rFonts w:hint="eastAsia" w:ascii="宋体" w:hAnsi="宋体" w:cs="宋体"/>
                <w:b/>
                <w:color w:val="auto"/>
                <w:sz w:val="24"/>
                <w:highlight w:val="none"/>
              </w:rPr>
              <w:t>招标方对投标人的落选不作出任何解释。</w:t>
            </w:r>
          </w:p>
        </w:tc>
      </w:tr>
      <w:tr w14:paraId="3C2C10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2"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6CCAEF65">
            <w:pPr>
              <w:snapToGrid w:val="0"/>
              <w:spacing w:line="348"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2</w:t>
            </w:r>
          </w:p>
        </w:tc>
        <w:tc>
          <w:tcPr>
            <w:tcW w:w="9172" w:type="dxa"/>
            <w:tcBorders>
              <w:top w:val="single" w:color="auto" w:sz="4" w:space="0"/>
              <w:left w:val="single" w:color="auto" w:sz="4" w:space="0"/>
              <w:bottom w:val="single" w:color="auto" w:sz="4" w:space="0"/>
              <w:right w:val="single" w:color="auto" w:sz="4" w:space="0"/>
            </w:tcBorders>
            <w:vAlign w:val="center"/>
          </w:tcPr>
          <w:p w14:paraId="43BC08D9">
            <w:pPr>
              <w:spacing w:line="348" w:lineRule="auto"/>
              <w:rPr>
                <w:rFonts w:ascii="宋体" w:hAnsi="宋体" w:cs="宋体"/>
                <w:color w:val="auto"/>
                <w:sz w:val="24"/>
                <w:highlight w:val="none"/>
              </w:rPr>
            </w:pPr>
            <w:r>
              <w:rPr>
                <w:rFonts w:hint="eastAsia" w:ascii="宋体" w:hAnsi="宋体" w:cs="宋体"/>
                <w:b/>
                <w:color w:val="auto"/>
                <w:kern w:val="0"/>
                <w:sz w:val="24"/>
                <w:highlight w:val="none"/>
              </w:rPr>
              <w:t>采购人和招标代理机构的任何工作人员对投标人所作的任何口头解释、介绍、答复，仅供投标人参考，不作为招标依据，对采购人、招标代理机构和投标人无任何约束力，一切以网上公告及书面形式为准。</w:t>
            </w:r>
          </w:p>
        </w:tc>
      </w:tr>
      <w:tr w14:paraId="62C4A3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6" w:hRule="atLeast"/>
          <w:jc w:val="center"/>
        </w:trPr>
        <w:tc>
          <w:tcPr>
            <w:tcW w:w="774" w:type="dxa"/>
            <w:tcBorders>
              <w:top w:val="single" w:color="auto" w:sz="4" w:space="0"/>
              <w:left w:val="single" w:color="auto" w:sz="4" w:space="0"/>
              <w:bottom w:val="single" w:color="auto" w:sz="4" w:space="0"/>
              <w:right w:val="single" w:color="auto" w:sz="4" w:space="0"/>
            </w:tcBorders>
            <w:vAlign w:val="center"/>
          </w:tcPr>
          <w:p w14:paraId="44738D87">
            <w:pPr>
              <w:snapToGrid w:val="0"/>
              <w:spacing w:line="348"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p>
        </w:tc>
        <w:tc>
          <w:tcPr>
            <w:tcW w:w="9172" w:type="dxa"/>
            <w:tcBorders>
              <w:top w:val="single" w:color="auto" w:sz="4" w:space="0"/>
              <w:left w:val="single" w:color="auto" w:sz="4" w:space="0"/>
              <w:bottom w:val="single" w:color="auto" w:sz="4" w:space="0"/>
              <w:right w:val="single" w:color="auto" w:sz="4" w:space="0"/>
            </w:tcBorders>
            <w:vAlign w:val="center"/>
          </w:tcPr>
          <w:p w14:paraId="4414B54F">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解释：本招标文件的解释权属于东阳市鑫盛工程咨询有限公司。</w:t>
            </w:r>
          </w:p>
        </w:tc>
      </w:tr>
    </w:tbl>
    <w:p w14:paraId="1541394C">
      <w:pPr>
        <w:pStyle w:val="23"/>
        <w:snapToGrid w:val="0"/>
        <w:spacing w:before="120" w:after="120" w:line="360" w:lineRule="auto"/>
        <w:rPr>
          <w:rFonts w:ascii="宋体" w:hAnsi="宋体" w:cs="宋体"/>
          <w:b/>
          <w:color w:val="auto"/>
          <w:szCs w:val="24"/>
          <w:highlight w:val="none"/>
        </w:rPr>
      </w:pPr>
      <w:r>
        <w:rPr>
          <w:rFonts w:hint="eastAsia" w:ascii="宋体" w:hAnsi="宋体" w:cs="宋体"/>
          <w:b/>
          <w:color w:val="auto"/>
          <w:szCs w:val="24"/>
          <w:highlight w:val="none"/>
        </w:rPr>
        <w:t>注：如本招标文件后面的条款与本表有矛盾的以本表的内容为准。</w:t>
      </w:r>
    </w:p>
    <w:p w14:paraId="11C3B801">
      <w:pPr>
        <w:pStyle w:val="23"/>
        <w:pageBreakBefore/>
        <w:numPr>
          <w:ilvl w:val="0"/>
          <w:numId w:val="7"/>
        </w:numPr>
        <w:snapToGrid w:val="0"/>
        <w:spacing w:line="360" w:lineRule="auto"/>
        <w:ind w:left="826" w:hanging="826" w:hangingChars="343"/>
        <w:jc w:val="center"/>
        <w:outlineLvl w:val="1"/>
        <w:rPr>
          <w:rFonts w:ascii="宋体" w:hAnsi="宋体" w:cs="宋体"/>
          <w:b/>
          <w:color w:val="auto"/>
          <w:szCs w:val="24"/>
          <w:highlight w:val="none"/>
        </w:rPr>
      </w:pPr>
      <w:bookmarkStart w:id="34" w:name="_Toc6983"/>
      <w:r>
        <w:rPr>
          <w:rFonts w:hint="eastAsia" w:ascii="宋体" w:hAnsi="宋体" w:cs="宋体"/>
          <w:b/>
          <w:color w:val="auto"/>
          <w:szCs w:val="24"/>
          <w:highlight w:val="none"/>
        </w:rPr>
        <w:t>总则</w:t>
      </w:r>
      <w:bookmarkEnd w:id="34"/>
    </w:p>
    <w:p w14:paraId="299FA41E">
      <w:pPr>
        <w:spacing w:line="440" w:lineRule="exact"/>
        <w:rPr>
          <w:rFonts w:ascii="宋体" w:hAnsi="宋体" w:cs="宋体"/>
          <w:b/>
          <w:color w:val="auto"/>
          <w:sz w:val="24"/>
          <w:highlight w:val="none"/>
        </w:rPr>
      </w:pPr>
      <w:bookmarkStart w:id="35" w:name="_Toc407182093"/>
      <w:r>
        <w:rPr>
          <w:rFonts w:hint="eastAsia" w:ascii="宋体" w:hAnsi="宋体" w:cs="宋体"/>
          <w:b/>
          <w:color w:val="auto"/>
          <w:sz w:val="24"/>
          <w:highlight w:val="none"/>
        </w:rPr>
        <w:t>（一） 适用范围</w:t>
      </w:r>
      <w:bookmarkEnd w:id="35"/>
    </w:p>
    <w:p w14:paraId="5DB164F3">
      <w:pPr>
        <w:spacing w:line="44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本招标文件适用于</w:t>
      </w:r>
      <w:r>
        <w:rPr>
          <w:rFonts w:hint="eastAsia" w:ascii="宋体" w:hAnsi="宋体" w:cs="宋体"/>
          <w:color w:val="auto"/>
          <w:sz w:val="24"/>
          <w:highlight w:val="none"/>
          <w:lang w:eastAsia="zh-CN"/>
        </w:rPr>
        <w:t>东阳市红会医院5G查房采购项目</w:t>
      </w:r>
      <w:r>
        <w:rPr>
          <w:rFonts w:hint="eastAsia" w:ascii="宋体" w:hAnsi="宋体" w:cs="宋体"/>
          <w:color w:val="auto"/>
          <w:sz w:val="24"/>
          <w:highlight w:val="none"/>
        </w:rPr>
        <w:t>的招标、投标、评标、定标、验收、合同履约、付款等行为（法律、法规另有规定的，从其规定）。</w:t>
      </w:r>
    </w:p>
    <w:p w14:paraId="411B2737">
      <w:pPr>
        <w:spacing w:line="440" w:lineRule="exact"/>
        <w:rPr>
          <w:rFonts w:ascii="宋体" w:hAnsi="宋体" w:cs="宋体"/>
          <w:b/>
          <w:color w:val="auto"/>
          <w:sz w:val="24"/>
          <w:highlight w:val="none"/>
        </w:rPr>
      </w:pPr>
      <w:bookmarkStart w:id="36" w:name="_Toc407182094"/>
      <w:r>
        <w:rPr>
          <w:rFonts w:hint="eastAsia" w:ascii="宋体" w:hAnsi="宋体" w:cs="宋体"/>
          <w:b/>
          <w:color w:val="auto"/>
          <w:sz w:val="24"/>
          <w:highlight w:val="none"/>
        </w:rPr>
        <w:t>（二）定义</w:t>
      </w:r>
      <w:bookmarkEnd w:id="36"/>
      <w:r>
        <w:rPr>
          <w:rFonts w:hint="eastAsia" w:ascii="宋体" w:hAnsi="宋体" w:cs="宋体"/>
          <w:b/>
          <w:color w:val="auto"/>
          <w:sz w:val="24"/>
          <w:highlight w:val="none"/>
        </w:rPr>
        <w:t>及采购项目需要落实的政府采购政策</w:t>
      </w:r>
    </w:p>
    <w:p w14:paraId="67BD899A">
      <w:pPr>
        <w:spacing w:line="440" w:lineRule="exact"/>
        <w:rPr>
          <w:rFonts w:ascii="宋体" w:hAnsi="宋体" w:cs="宋体"/>
          <w:color w:val="auto"/>
          <w:sz w:val="24"/>
          <w:highlight w:val="none"/>
        </w:rPr>
      </w:pPr>
      <w:r>
        <w:rPr>
          <w:rFonts w:hint="eastAsia" w:ascii="宋体" w:hAnsi="宋体" w:cs="宋体"/>
          <w:color w:val="auto"/>
          <w:sz w:val="24"/>
          <w:highlight w:val="none"/>
        </w:rPr>
        <w:t>1.招标采购单位系指组织本次招标的东阳市鑫盛工程咨询有限公司（“招标方”）和</w:t>
      </w:r>
      <w:r>
        <w:rPr>
          <w:rFonts w:hint="eastAsia" w:ascii="宋体" w:hAnsi="宋体" w:cs="宋体"/>
          <w:color w:val="auto"/>
          <w:sz w:val="24"/>
          <w:highlight w:val="none"/>
          <w:lang w:eastAsia="zh-CN"/>
        </w:rPr>
        <w:t>东阳市红会医院</w:t>
      </w:r>
      <w:r>
        <w:rPr>
          <w:rFonts w:hint="eastAsia" w:ascii="宋体" w:hAnsi="宋体" w:cs="宋体"/>
          <w:color w:val="auto"/>
          <w:sz w:val="24"/>
          <w:highlight w:val="none"/>
        </w:rPr>
        <w:t>（“采购人”）。</w:t>
      </w:r>
    </w:p>
    <w:p w14:paraId="68620FDA">
      <w:pPr>
        <w:spacing w:line="440" w:lineRule="exact"/>
        <w:rPr>
          <w:rFonts w:ascii="宋体" w:hAnsi="宋体" w:cs="宋体"/>
          <w:color w:val="auto"/>
          <w:sz w:val="24"/>
          <w:highlight w:val="none"/>
        </w:rPr>
      </w:pPr>
      <w:r>
        <w:rPr>
          <w:rFonts w:hint="eastAsia" w:ascii="宋体" w:hAnsi="宋体" w:cs="宋体"/>
          <w:color w:val="auto"/>
          <w:sz w:val="24"/>
          <w:highlight w:val="none"/>
        </w:rPr>
        <w:t>2.“投标人”系指向招标方提交投标文件的单位或个人。</w:t>
      </w:r>
    </w:p>
    <w:p w14:paraId="49408572">
      <w:pPr>
        <w:spacing w:line="440" w:lineRule="exact"/>
        <w:rPr>
          <w:rFonts w:ascii="宋体" w:hAnsi="宋体" w:cs="宋体"/>
          <w:color w:val="auto"/>
          <w:sz w:val="24"/>
          <w:highlight w:val="none"/>
        </w:rPr>
      </w:pPr>
      <w:r>
        <w:rPr>
          <w:rFonts w:hint="eastAsia" w:ascii="宋体" w:hAnsi="宋体" w:cs="宋体"/>
          <w:color w:val="auto"/>
          <w:sz w:val="24"/>
          <w:highlight w:val="none"/>
        </w:rPr>
        <w:t>3.“产品”系指供方按招标文件规定，须向采购人提供的一切货物、保险、税金、备品备件、工具、手册及其它有关技术资料和材料。</w:t>
      </w:r>
    </w:p>
    <w:p w14:paraId="5FC8BFFB">
      <w:pPr>
        <w:spacing w:line="440" w:lineRule="exact"/>
        <w:rPr>
          <w:rFonts w:ascii="宋体" w:hAnsi="宋体" w:cs="宋体"/>
          <w:color w:val="auto"/>
          <w:sz w:val="24"/>
          <w:highlight w:val="none"/>
        </w:rPr>
      </w:pPr>
      <w:r>
        <w:rPr>
          <w:rFonts w:hint="eastAsia" w:ascii="宋体" w:hAnsi="宋体" w:cs="宋体"/>
          <w:color w:val="auto"/>
          <w:sz w:val="24"/>
          <w:highlight w:val="none"/>
        </w:rPr>
        <w:t>4. “服务”系指招标文件规定投标人须承担的安装、调试、技术协助、校准、培训、技术指导以及其他类似的义务。</w:t>
      </w:r>
    </w:p>
    <w:p w14:paraId="40B48764">
      <w:pPr>
        <w:spacing w:line="440" w:lineRule="exact"/>
        <w:rPr>
          <w:rFonts w:ascii="宋体" w:hAnsi="宋体" w:cs="宋体"/>
          <w:color w:val="auto"/>
          <w:sz w:val="24"/>
          <w:highlight w:val="none"/>
        </w:rPr>
      </w:pPr>
      <w:r>
        <w:rPr>
          <w:rFonts w:hint="eastAsia" w:ascii="宋体" w:hAnsi="宋体" w:cs="宋体"/>
          <w:color w:val="auto"/>
          <w:sz w:val="24"/>
          <w:highlight w:val="none"/>
        </w:rPr>
        <w:t>5.“项目”系指投标人按招标文件规定向采购人提供的产品和服务。</w:t>
      </w:r>
    </w:p>
    <w:p w14:paraId="198FC129">
      <w:pPr>
        <w:spacing w:line="440" w:lineRule="exact"/>
        <w:rPr>
          <w:rFonts w:ascii="宋体" w:hAnsi="宋体" w:cs="宋体"/>
          <w:color w:val="auto"/>
          <w:sz w:val="24"/>
          <w:highlight w:val="none"/>
        </w:rPr>
      </w:pPr>
      <w:r>
        <w:rPr>
          <w:rFonts w:hint="eastAsia" w:ascii="宋体" w:hAnsi="宋体" w:cs="宋体"/>
          <w:color w:val="auto"/>
          <w:sz w:val="24"/>
          <w:highlight w:val="none"/>
        </w:rPr>
        <w:t>6.“书面形式”包括信函、传真、电报等。</w:t>
      </w:r>
    </w:p>
    <w:p w14:paraId="7637D8FE">
      <w:pPr>
        <w:spacing w:line="440" w:lineRule="exact"/>
        <w:rPr>
          <w:rFonts w:ascii="宋体" w:hAnsi="宋体" w:cs="宋体"/>
          <w:b/>
          <w:bCs/>
          <w:color w:val="auto"/>
          <w:sz w:val="24"/>
          <w:highlight w:val="none"/>
        </w:rPr>
      </w:pPr>
      <w:r>
        <w:rPr>
          <w:rFonts w:hint="eastAsia" w:ascii="宋体" w:hAnsi="宋体" w:cs="宋体"/>
          <w:b/>
          <w:bCs/>
          <w:color w:val="auto"/>
          <w:sz w:val="24"/>
          <w:highlight w:val="none"/>
        </w:rPr>
        <w:t>7.“▲”系实质性要求条款</w:t>
      </w:r>
      <w:r>
        <w:rPr>
          <w:rFonts w:hint="eastAsia" w:ascii="宋体" w:hAnsi="宋体" w:cs="宋体"/>
          <w:b/>
          <w:bCs/>
          <w:color w:val="auto"/>
          <w:sz w:val="24"/>
          <w:highlight w:val="none"/>
          <w:lang w:eastAsia="zh-CN"/>
        </w:rPr>
        <w:t>。</w:t>
      </w:r>
      <w:r>
        <w:rPr>
          <w:rFonts w:ascii="宋体" w:hAnsi="宋体" w:cs="宋体"/>
          <w:b/>
          <w:bCs/>
          <w:color w:val="auto"/>
          <w:sz w:val="24"/>
          <w:highlight w:val="none"/>
        </w:rPr>
        <w:t xml:space="preserve"> </w:t>
      </w:r>
    </w:p>
    <w:p w14:paraId="2D6BFD94">
      <w:pPr>
        <w:spacing w:line="440" w:lineRule="exact"/>
        <w:rPr>
          <w:rFonts w:ascii="宋体" w:hAnsi="宋体" w:cs="宋体"/>
          <w:color w:val="auto"/>
          <w:sz w:val="24"/>
          <w:highlight w:val="none"/>
        </w:rPr>
      </w:pPr>
      <w:r>
        <w:rPr>
          <w:rFonts w:hint="eastAsia" w:ascii="宋体" w:hAnsi="宋体" w:cs="宋体"/>
          <w:color w:val="auto"/>
          <w:sz w:val="24"/>
          <w:highlight w:val="none"/>
        </w:rPr>
        <w:t>8. 采购项目需要落实的政府采购政策</w:t>
      </w:r>
    </w:p>
    <w:p w14:paraId="082A2BD1">
      <w:pPr>
        <w:spacing w:line="440" w:lineRule="exact"/>
        <w:rPr>
          <w:rFonts w:ascii="宋体" w:hAnsi="宋体" w:cs="宋体"/>
          <w:color w:val="auto"/>
          <w:sz w:val="24"/>
          <w:highlight w:val="none"/>
        </w:rPr>
      </w:pPr>
      <w:r>
        <w:rPr>
          <w:rFonts w:hint="eastAsia" w:ascii="宋体" w:hAnsi="宋体" w:cs="宋体"/>
          <w:color w:val="auto"/>
          <w:sz w:val="24"/>
          <w:highlight w:val="none"/>
        </w:rPr>
        <w:t>8.1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29500A81">
      <w:pPr>
        <w:spacing w:line="440" w:lineRule="exact"/>
        <w:rPr>
          <w:rFonts w:ascii="宋体" w:hAnsi="宋体" w:cs="宋体"/>
          <w:color w:val="auto"/>
          <w:sz w:val="24"/>
          <w:highlight w:val="none"/>
        </w:rPr>
      </w:pPr>
      <w:r>
        <w:rPr>
          <w:rFonts w:hint="eastAsia" w:ascii="宋体" w:hAnsi="宋体" w:cs="宋体"/>
          <w:color w:val="auto"/>
          <w:sz w:val="24"/>
          <w:highlight w:val="none"/>
        </w:rPr>
        <w:t>8.2 支持绿色发展</w:t>
      </w:r>
    </w:p>
    <w:p w14:paraId="34C4B2E4">
      <w:pPr>
        <w:spacing w:line="440" w:lineRule="exact"/>
        <w:rPr>
          <w:rFonts w:ascii="宋体" w:hAnsi="宋体" w:cs="宋体"/>
          <w:color w:val="auto"/>
          <w:sz w:val="24"/>
          <w:highlight w:val="none"/>
        </w:rPr>
      </w:pPr>
      <w:r>
        <w:rPr>
          <w:rFonts w:hint="eastAsia" w:ascii="宋体" w:hAnsi="宋体" w:cs="宋体"/>
          <w:color w:val="auto"/>
          <w:sz w:val="24"/>
          <w:highlight w:val="none"/>
        </w:rPr>
        <w:t>8.2.1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cs="宋体"/>
          <w:b/>
          <w:bCs/>
          <w:color w:val="auto"/>
          <w:sz w:val="24"/>
          <w:highlight w:val="none"/>
        </w:rPr>
        <w:t>▲</w:t>
      </w:r>
      <w:r>
        <w:rPr>
          <w:rFonts w:hint="eastAsia" w:ascii="宋体" w:hAnsi="宋体" w:cs="宋体"/>
          <w:color w:val="auto"/>
          <w:sz w:val="24"/>
          <w:highlight w:val="none"/>
        </w:rPr>
        <w:t>采购人拟采购的产品属于政府强制采购的节能产品品目清单范围的，供应商未按采购文件要求提供国家确定的认证机构出具的、处于有效期之内的节能产品认证证书的，投标无效。</w:t>
      </w:r>
    </w:p>
    <w:p w14:paraId="1FCAE962">
      <w:pPr>
        <w:spacing w:line="440" w:lineRule="exact"/>
        <w:rPr>
          <w:rFonts w:ascii="宋体" w:hAnsi="宋体" w:cs="宋体"/>
          <w:color w:val="auto"/>
          <w:sz w:val="24"/>
          <w:highlight w:val="none"/>
        </w:rPr>
      </w:pPr>
      <w:r>
        <w:rPr>
          <w:rFonts w:hint="eastAsia" w:ascii="宋体" w:hAnsi="宋体" w:cs="宋体"/>
          <w:color w:val="auto"/>
          <w:sz w:val="24"/>
          <w:highlight w:val="none"/>
        </w:rPr>
        <w:t>8.2.2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6CF534AD">
      <w:pPr>
        <w:spacing w:line="440" w:lineRule="exact"/>
        <w:rPr>
          <w:rFonts w:ascii="宋体" w:hAnsi="宋体" w:cs="宋体"/>
          <w:color w:val="auto"/>
          <w:sz w:val="24"/>
          <w:highlight w:val="none"/>
        </w:rPr>
      </w:pPr>
      <w:r>
        <w:rPr>
          <w:rFonts w:hint="eastAsia" w:ascii="宋体" w:hAnsi="宋体" w:cs="宋体"/>
          <w:color w:val="auto"/>
          <w:sz w:val="24"/>
          <w:highlight w:val="none"/>
        </w:rPr>
        <w:t>8.3支持中小企业发展</w:t>
      </w:r>
    </w:p>
    <w:p w14:paraId="06552F3D">
      <w:pPr>
        <w:spacing w:line="440" w:lineRule="exact"/>
        <w:rPr>
          <w:rFonts w:ascii="宋体" w:hAnsi="宋体" w:cs="宋体"/>
          <w:color w:val="auto"/>
          <w:sz w:val="24"/>
          <w:highlight w:val="none"/>
        </w:rPr>
      </w:pPr>
      <w:r>
        <w:rPr>
          <w:rFonts w:hint="eastAsia" w:ascii="宋体" w:hAnsi="宋体" w:cs="宋体"/>
          <w:color w:val="auto"/>
          <w:sz w:val="24"/>
          <w:highlight w:val="none"/>
        </w:rPr>
        <w:t>8.3.1中小企业，是指在中华人民共和国境内依法设立，依据国务院批准的中小企业划分标准确定的中型企业、小型企业和微型企业，但与大企业的负责人为同一人，或者与大企业存在直接控股、管理关系的除外。</w:t>
      </w:r>
    </w:p>
    <w:p w14:paraId="16C0D397">
      <w:pPr>
        <w:spacing w:line="440" w:lineRule="exact"/>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10E238ED">
      <w:pPr>
        <w:spacing w:line="440" w:lineRule="exact"/>
        <w:rPr>
          <w:rFonts w:ascii="宋体" w:hAnsi="宋体" w:cs="宋体"/>
          <w:color w:val="auto"/>
          <w:sz w:val="24"/>
          <w:highlight w:val="none"/>
        </w:rPr>
      </w:pPr>
      <w:r>
        <w:rPr>
          <w:rFonts w:hint="eastAsia" w:ascii="宋体" w:hAnsi="宋体" w:cs="宋体"/>
          <w:color w:val="auto"/>
          <w:sz w:val="24"/>
          <w:highlight w:val="none"/>
        </w:rPr>
        <w:t>8.3.2在政府采购活动中，供应商提供的货物、工程或者服务符合下列情形的，享受中小企业扶持政策：</w:t>
      </w:r>
    </w:p>
    <w:p w14:paraId="7B750D04">
      <w:pPr>
        <w:spacing w:line="440" w:lineRule="exact"/>
        <w:rPr>
          <w:rFonts w:ascii="宋体" w:hAnsi="宋体" w:cs="宋体"/>
          <w:color w:val="auto"/>
          <w:sz w:val="24"/>
          <w:highlight w:val="none"/>
        </w:rPr>
      </w:pPr>
      <w:r>
        <w:rPr>
          <w:rFonts w:hint="eastAsia" w:ascii="宋体" w:hAnsi="宋体" w:cs="宋体"/>
          <w:color w:val="auto"/>
          <w:sz w:val="24"/>
          <w:highlight w:val="none"/>
        </w:rPr>
        <w:t>8.3.2.1在货物采购项目中，货物由中小企业制造，即货物由中小企业生产且使用该中小企业商号或者注册商标；</w:t>
      </w:r>
    </w:p>
    <w:p w14:paraId="48536181">
      <w:pPr>
        <w:spacing w:line="440" w:lineRule="exact"/>
        <w:rPr>
          <w:rFonts w:ascii="宋体" w:hAnsi="宋体" w:cs="宋体"/>
          <w:color w:val="auto"/>
          <w:sz w:val="24"/>
          <w:highlight w:val="none"/>
        </w:rPr>
      </w:pPr>
      <w:r>
        <w:rPr>
          <w:rFonts w:hint="eastAsia" w:ascii="宋体" w:hAnsi="宋体" w:cs="宋体"/>
          <w:color w:val="auto"/>
          <w:sz w:val="24"/>
          <w:highlight w:val="none"/>
        </w:rPr>
        <w:t>8.3.2.2在工程采购项目中，工程由中小企业承建，即工程施工单位为中小企业；</w:t>
      </w:r>
    </w:p>
    <w:p w14:paraId="1C6D2FE2">
      <w:pPr>
        <w:spacing w:line="440" w:lineRule="exact"/>
        <w:rPr>
          <w:rFonts w:ascii="宋体" w:hAnsi="宋体" w:cs="宋体"/>
          <w:color w:val="auto"/>
          <w:sz w:val="24"/>
          <w:highlight w:val="none"/>
        </w:rPr>
      </w:pPr>
      <w:r>
        <w:rPr>
          <w:rFonts w:hint="eastAsia" w:ascii="宋体" w:hAnsi="宋体" w:cs="宋体"/>
          <w:color w:val="auto"/>
          <w:sz w:val="24"/>
          <w:highlight w:val="none"/>
        </w:rPr>
        <w:t>8.3.2.3在服务采购项目中，服务由中小企业承接，即提供服务的人员为中小企业依照《中华人民共和国劳动合同法》订立劳动合同的从业人员。</w:t>
      </w:r>
    </w:p>
    <w:p w14:paraId="58D19533">
      <w:pPr>
        <w:spacing w:line="440" w:lineRule="exact"/>
        <w:rPr>
          <w:rFonts w:ascii="宋体" w:hAnsi="宋体" w:cs="宋体"/>
          <w:color w:val="auto"/>
          <w:sz w:val="24"/>
          <w:highlight w:val="none"/>
        </w:rPr>
      </w:pPr>
      <w:r>
        <w:rPr>
          <w:rFonts w:hint="eastAsia" w:ascii="宋体" w:hAnsi="宋体" w:cs="宋体"/>
          <w:color w:val="auto"/>
          <w:sz w:val="24"/>
          <w:highlight w:val="none"/>
        </w:rPr>
        <w:t>在货物采购项目中，供应商提供的货物既有中小企业制造货物，也有大型企业制造货物的，不享受中小企业扶持政策。</w:t>
      </w:r>
    </w:p>
    <w:p w14:paraId="47507820">
      <w:pPr>
        <w:spacing w:line="440" w:lineRule="exact"/>
        <w:rPr>
          <w:rFonts w:ascii="宋体" w:hAnsi="宋体" w:cs="宋体"/>
          <w:color w:val="auto"/>
          <w:sz w:val="24"/>
          <w:highlight w:val="none"/>
        </w:rPr>
      </w:pPr>
      <w:r>
        <w:rPr>
          <w:rFonts w:hint="eastAsia" w:ascii="宋体" w:hAnsi="宋体" w:cs="宋体"/>
          <w:color w:val="auto"/>
          <w:sz w:val="24"/>
          <w:highlight w:val="none"/>
        </w:rPr>
        <w:t>以联合体形式参加政府采购活动，联合体各方均为中小企业的，联合体视同中小企业。其中，联合体各方均为小微企业的，联合体视同小微企业。</w:t>
      </w:r>
    </w:p>
    <w:p w14:paraId="5311A131">
      <w:pPr>
        <w:spacing w:line="440" w:lineRule="exact"/>
        <w:rPr>
          <w:rFonts w:ascii="宋体" w:hAnsi="宋体" w:cs="宋体"/>
          <w:color w:val="auto"/>
          <w:sz w:val="24"/>
          <w:highlight w:val="none"/>
        </w:rPr>
      </w:pPr>
      <w:r>
        <w:rPr>
          <w:rFonts w:hint="default" w:ascii="宋体" w:hAnsi="宋体" w:cs="宋体"/>
          <w:color w:val="auto"/>
          <w:sz w:val="24"/>
          <w:highlight w:val="none"/>
          <w:lang w:eastAsia="zh-CN"/>
        </w:rPr>
        <w:t>8</w:t>
      </w:r>
      <w:r>
        <w:rPr>
          <w:rFonts w:hint="eastAsia" w:ascii="宋体" w:hAnsi="宋体" w:cs="宋体"/>
          <w:color w:val="auto"/>
          <w:sz w:val="24"/>
          <w:highlight w:val="none"/>
          <w:lang w:val="en-US" w:eastAsia="zh-CN"/>
        </w:rPr>
        <w:t>.3.3</w:t>
      </w:r>
      <w:r>
        <w:rPr>
          <w:rFonts w:hint="eastAsia" w:ascii="宋体" w:hAnsi="宋体" w:cs="宋体"/>
          <w:color w:val="auto"/>
          <w:sz w:val="24"/>
          <w:highlight w:val="none"/>
        </w:rPr>
        <w:t>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hint="default" w:ascii="宋体" w:hAnsi="宋体" w:cs="宋体"/>
          <w:color w:val="auto"/>
          <w:sz w:val="24"/>
          <w:highlight w:val="none"/>
        </w:rPr>
        <w:t>4</w:t>
      </w:r>
      <w:r>
        <w:rPr>
          <w:rFonts w:hint="eastAsia" w:ascii="宋体" w:hAnsi="宋体" w:cs="宋体"/>
          <w:color w:val="auto"/>
          <w:sz w:val="24"/>
          <w:highlight w:val="none"/>
        </w:rPr>
        <w:t>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282396B4">
      <w:pPr>
        <w:spacing w:line="440" w:lineRule="exact"/>
        <w:rPr>
          <w:rFonts w:hint="eastAsia" w:ascii="宋体" w:hAnsi="宋体" w:cs="宋体"/>
          <w:color w:val="auto"/>
          <w:sz w:val="24"/>
          <w:highlight w:val="none"/>
        </w:rPr>
      </w:pPr>
      <w:r>
        <w:rPr>
          <w:rFonts w:hint="eastAsia" w:ascii="宋体" w:hAnsi="宋体" w:cs="宋体"/>
          <w:color w:val="auto"/>
          <w:sz w:val="24"/>
          <w:highlight w:val="none"/>
        </w:rPr>
        <w:t>8.3.</w:t>
      </w:r>
      <w:r>
        <w:rPr>
          <w:rFonts w:ascii="宋体" w:hAnsi="宋体" w:cs="宋体"/>
          <w:color w:val="auto"/>
          <w:sz w:val="24"/>
          <w:highlight w:val="none"/>
        </w:rPr>
        <w:t>4</w:t>
      </w:r>
      <w:r>
        <w:rPr>
          <w:rFonts w:hint="eastAsia" w:ascii="宋体" w:hAnsi="宋体" w:cs="宋体"/>
          <w:color w:val="auto"/>
          <w:sz w:val="24"/>
          <w:highlight w:val="none"/>
        </w:rPr>
        <w:t>符合《关于促进残疾人就业政府采购政策的通知》（财库〔2017〕141号）规定的条件并提供《残疾人福利性单位声明函》（附件1）的残疾人福利性单位视同小型、微型企业；</w:t>
      </w:r>
    </w:p>
    <w:p w14:paraId="41786B4A">
      <w:pPr>
        <w:spacing w:line="440" w:lineRule="exact"/>
        <w:rPr>
          <w:rFonts w:ascii="宋体" w:hAnsi="宋体" w:cs="宋体"/>
          <w:color w:val="auto"/>
          <w:sz w:val="24"/>
          <w:highlight w:val="none"/>
        </w:rPr>
      </w:pPr>
      <w:r>
        <w:rPr>
          <w:rFonts w:hint="eastAsia" w:ascii="宋体" w:hAnsi="宋体" w:cs="宋体"/>
          <w:color w:val="auto"/>
          <w:sz w:val="24"/>
          <w:highlight w:val="none"/>
        </w:rPr>
        <w:t>8.3.</w:t>
      </w:r>
      <w:r>
        <w:rPr>
          <w:rFonts w:ascii="宋体" w:hAnsi="宋体" w:cs="宋体"/>
          <w:color w:val="auto"/>
          <w:sz w:val="24"/>
          <w:highlight w:val="none"/>
        </w:rPr>
        <w:t>5</w:t>
      </w:r>
      <w:r>
        <w:rPr>
          <w:rFonts w:hint="eastAsia" w:ascii="宋体" w:hAnsi="宋体" w:cs="宋体"/>
          <w:color w:val="auto"/>
          <w:sz w:val="24"/>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15DF1B1C">
      <w:pPr>
        <w:spacing w:line="440" w:lineRule="exact"/>
        <w:rPr>
          <w:rFonts w:ascii="宋体" w:hAnsi="宋体" w:cs="宋体"/>
          <w:color w:val="auto"/>
          <w:sz w:val="24"/>
          <w:highlight w:val="none"/>
        </w:rPr>
      </w:pPr>
      <w:r>
        <w:rPr>
          <w:rFonts w:hint="eastAsia" w:ascii="宋体" w:hAnsi="宋体" w:cs="宋体"/>
          <w:color w:val="auto"/>
          <w:sz w:val="24"/>
          <w:highlight w:val="none"/>
        </w:rPr>
        <w:t>8.3.</w:t>
      </w:r>
      <w:r>
        <w:rPr>
          <w:rFonts w:ascii="宋体" w:hAnsi="宋体" w:cs="宋体"/>
          <w:color w:val="auto"/>
          <w:sz w:val="24"/>
          <w:highlight w:val="none"/>
        </w:rPr>
        <w:t>6</w:t>
      </w:r>
      <w:r>
        <w:rPr>
          <w:rFonts w:hint="eastAsia" w:ascii="宋体" w:hAnsi="宋体" w:cs="宋体"/>
          <w:color w:val="auto"/>
          <w:sz w:val="24"/>
          <w:highlight w:val="none"/>
        </w:rPr>
        <w:t>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34845285">
      <w:pPr>
        <w:spacing w:line="440" w:lineRule="exact"/>
        <w:rPr>
          <w:rFonts w:ascii="宋体" w:hAnsi="宋体" w:cs="宋体"/>
          <w:color w:val="auto"/>
          <w:sz w:val="24"/>
          <w:highlight w:val="none"/>
        </w:rPr>
      </w:pPr>
      <w:r>
        <w:rPr>
          <w:rFonts w:hint="eastAsia" w:ascii="宋体" w:hAnsi="宋体" w:cs="宋体"/>
          <w:color w:val="auto"/>
          <w:sz w:val="24"/>
          <w:highlight w:val="none"/>
        </w:rPr>
        <w:t>8.3.</w:t>
      </w:r>
      <w:r>
        <w:rPr>
          <w:rFonts w:ascii="宋体" w:hAnsi="宋体" w:cs="宋体"/>
          <w:color w:val="auto"/>
          <w:sz w:val="24"/>
          <w:highlight w:val="none"/>
        </w:rPr>
        <w:t>7</w:t>
      </w:r>
      <w:r>
        <w:rPr>
          <w:rFonts w:hint="eastAsia" w:ascii="宋体" w:hAnsi="宋体" w:cs="宋体"/>
          <w:color w:val="auto"/>
          <w:sz w:val="24"/>
          <w:highlight w:val="none"/>
        </w:rPr>
        <w:t>中小企业享受扶持政策获得政府采购合同的，小微企业不得将合同分包给大中型企业，中型企业不得将合同分包给大型企业。</w:t>
      </w:r>
    </w:p>
    <w:p w14:paraId="7474E4C6">
      <w:pPr>
        <w:spacing w:line="440" w:lineRule="exact"/>
        <w:rPr>
          <w:rFonts w:ascii="宋体" w:hAnsi="宋体" w:cs="宋体"/>
          <w:color w:val="auto"/>
          <w:sz w:val="24"/>
          <w:highlight w:val="none"/>
        </w:rPr>
      </w:pPr>
      <w:r>
        <w:rPr>
          <w:rFonts w:hint="eastAsia" w:ascii="宋体" w:hAnsi="宋体" w:cs="宋体"/>
          <w:color w:val="auto"/>
          <w:sz w:val="24"/>
          <w:highlight w:val="none"/>
        </w:rPr>
        <w:t>8.4支持创新发展</w:t>
      </w:r>
    </w:p>
    <w:p w14:paraId="1ADB638F">
      <w:pPr>
        <w:spacing w:line="440" w:lineRule="exact"/>
        <w:rPr>
          <w:rFonts w:ascii="宋体" w:hAnsi="宋体" w:cs="宋体"/>
          <w:color w:val="auto"/>
          <w:sz w:val="24"/>
          <w:highlight w:val="none"/>
        </w:rPr>
      </w:pPr>
      <w:r>
        <w:rPr>
          <w:rFonts w:hint="eastAsia" w:ascii="宋体" w:hAnsi="宋体" w:cs="宋体"/>
          <w:color w:val="auto"/>
          <w:sz w:val="24"/>
          <w:highlight w:val="none"/>
        </w:rPr>
        <w:t>8.4.1 采购人优先采购被认定为首台套产品和“制造精品”的自主创新产品。</w:t>
      </w:r>
    </w:p>
    <w:p w14:paraId="5BCE9C6F">
      <w:pPr>
        <w:spacing w:line="440" w:lineRule="exact"/>
        <w:rPr>
          <w:rFonts w:ascii="宋体" w:hAnsi="宋体" w:cs="宋体"/>
          <w:color w:val="auto"/>
          <w:sz w:val="24"/>
          <w:highlight w:val="none"/>
        </w:rPr>
      </w:pPr>
      <w:r>
        <w:rPr>
          <w:rFonts w:hint="eastAsia" w:ascii="宋体" w:hAnsi="宋体" w:cs="宋体"/>
          <w:color w:val="auto"/>
          <w:sz w:val="24"/>
          <w:highlight w:val="none"/>
        </w:rPr>
        <w:t>8.4.2首台套产品被纳入《首台套产品推广应用指导目录》之日起3年内，以及产品核心技术高于国内领先水平，并具有明晰自主知识产权的“制造精品”产品，自认定之日起3年内视同已具备相应销售业绩，参加政府采购活动时业绩分值为满分。</w:t>
      </w:r>
    </w:p>
    <w:p w14:paraId="64D00EBF">
      <w:pPr>
        <w:spacing w:line="440" w:lineRule="exact"/>
        <w:rPr>
          <w:rFonts w:ascii="宋体" w:hAnsi="宋体" w:cs="宋体"/>
          <w:color w:val="auto"/>
          <w:sz w:val="24"/>
          <w:highlight w:val="none"/>
        </w:rPr>
      </w:pPr>
      <w:r>
        <w:rPr>
          <w:rFonts w:hint="eastAsia" w:ascii="宋体" w:hAnsi="宋体" w:cs="宋体"/>
          <w:color w:val="auto"/>
          <w:sz w:val="24"/>
          <w:highlight w:val="none"/>
        </w:rPr>
        <w:t>8.5中小企业信用融资：为支持和促进中小企业发展，进一步发挥政府采购政策功能，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https://zfcg.czt.zj.gov.cn)的中小企业信用融资栏目了解相关信息。 供应商可以通过浙江政府采购网(https://zfcg. czt.zj. gov.cn/)首页的“浙江政采贷”模块进入申请，还可以通过政府采购云平台(https://wwwzcygov.cn/)首页的“金融服务”模块进入申请。</w:t>
      </w:r>
    </w:p>
    <w:p w14:paraId="773AEF70">
      <w:pPr>
        <w:spacing w:line="440" w:lineRule="exact"/>
        <w:rPr>
          <w:rFonts w:ascii="宋体" w:hAnsi="宋体" w:cs="宋体"/>
          <w:b/>
          <w:color w:val="auto"/>
          <w:sz w:val="24"/>
          <w:highlight w:val="none"/>
        </w:rPr>
      </w:pPr>
      <w:r>
        <w:rPr>
          <w:rFonts w:hint="eastAsia" w:ascii="宋体" w:hAnsi="宋体" w:cs="宋体"/>
          <w:b/>
          <w:color w:val="auto"/>
          <w:sz w:val="24"/>
          <w:highlight w:val="none"/>
        </w:rPr>
        <w:t>（三）招标方式</w:t>
      </w:r>
    </w:p>
    <w:p w14:paraId="1CC7C8D6">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本次招标采用公开招标方式进行。</w:t>
      </w:r>
    </w:p>
    <w:p w14:paraId="03B5F2B3">
      <w:pPr>
        <w:spacing w:line="440" w:lineRule="exact"/>
        <w:rPr>
          <w:rFonts w:ascii="宋体" w:hAnsi="宋体" w:cs="宋体"/>
          <w:b/>
          <w:color w:val="auto"/>
          <w:sz w:val="24"/>
          <w:highlight w:val="none"/>
        </w:rPr>
      </w:pPr>
      <w:r>
        <w:rPr>
          <w:rFonts w:hint="eastAsia" w:ascii="宋体" w:hAnsi="宋体" w:cs="宋体"/>
          <w:b/>
          <w:color w:val="auto"/>
          <w:sz w:val="24"/>
          <w:highlight w:val="none"/>
        </w:rPr>
        <w:t>（四）投标委托</w:t>
      </w:r>
    </w:p>
    <w:p w14:paraId="3FA5B3FD">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如投标人代表不是法定代表人，须有法定代表人出具的授权委托书，委托代理人必须为投标人的在职正式职工（以投标人本单位缴纳社保花名册为准）。</w:t>
      </w:r>
    </w:p>
    <w:p w14:paraId="10B256CC">
      <w:pPr>
        <w:spacing w:line="440" w:lineRule="exact"/>
        <w:rPr>
          <w:rFonts w:ascii="宋体" w:hAnsi="宋体" w:cs="宋体"/>
          <w:b/>
          <w:color w:val="auto"/>
          <w:sz w:val="24"/>
          <w:highlight w:val="none"/>
        </w:rPr>
      </w:pPr>
      <w:r>
        <w:rPr>
          <w:rFonts w:hint="eastAsia" w:ascii="宋体" w:hAnsi="宋体" w:cs="宋体"/>
          <w:b/>
          <w:bCs/>
          <w:color w:val="auto"/>
          <w:sz w:val="24"/>
          <w:highlight w:val="none"/>
        </w:rPr>
        <w:t>▲</w:t>
      </w:r>
      <w:r>
        <w:rPr>
          <w:rFonts w:hint="eastAsia" w:ascii="宋体" w:hAnsi="宋体" w:cs="宋体"/>
          <w:b/>
          <w:color w:val="auto"/>
          <w:sz w:val="24"/>
          <w:highlight w:val="none"/>
        </w:rPr>
        <w:t>（五）投标费用</w:t>
      </w:r>
    </w:p>
    <w:p w14:paraId="5410A5F6">
      <w:pPr>
        <w:spacing w:line="440" w:lineRule="exact"/>
        <w:ind w:firstLine="480" w:firstLineChars="200"/>
        <w:rPr>
          <w:rFonts w:ascii="宋体" w:hAnsi="宋体" w:cs="宋体"/>
          <w:bCs/>
          <w:color w:val="auto"/>
          <w:sz w:val="24"/>
          <w:highlight w:val="none"/>
        </w:rPr>
      </w:pPr>
      <w:r>
        <w:rPr>
          <w:rFonts w:hint="eastAsia" w:ascii="宋体" w:hAnsi="宋体" w:cs="宋体"/>
          <w:bCs/>
          <w:color w:val="auto"/>
          <w:sz w:val="24"/>
          <w:highlight w:val="none"/>
        </w:rPr>
        <w:t>1.不论投标结果如何，投标人均应自行承担所有与投标有关的全部费用（招标文件有相反规定除外）。</w:t>
      </w:r>
    </w:p>
    <w:p w14:paraId="578EE906">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bCs w:val="0"/>
          <w:color w:val="auto"/>
          <w:sz w:val="24"/>
          <w:szCs w:val="24"/>
          <w:highlight w:val="none"/>
        </w:rPr>
        <w:t>2</w:t>
      </w:r>
      <w:r>
        <w:rPr>
          <w:rFonts w:hint="eastAsia" w:ascii="宋体" w:hAnsi="宋体" w:eastAsia="宋体" w:cs="宋体"/>
          <w:b w:val="0"/>
          <w:bCs/>
          <w:color w:val="auto"/>
          <w:sz w:val="24"/>
          <w:szCs w:val="24"/>
          <w:highlight w:val="none"/>
          <w:lang w:eastAsia="zh-CN"/>
        </w:rPr>
        <w:t>.</w:t>
      </w:r>
      <w:r>
        <w:rPr>
          <w:rFonts w:hint="eastAsia" w:ascii="宋体" w:hAnsi="宋体" w:cs="宋体"/>
          <w:b/>
          <w:bCs/>
          <w:color w:val="auto"/>
          <w:sz w:val="24"/>
          <w:highlight w:val="none"/>
        </w:rPr>
        <w:t>东阳市鑫盛工程咨询有限公司按差额定率累进法计算（详见本条下列表格收费标准），向中标人收取中标服务费，</w:t>
      </w:r>
      <w:r>
        <w:rPr>
          <w:rFonts w:hint="eastAsia" w:ascii="宋体" w:hAnsi="宋体" w:cs="宋体"/>
          <w:b/>
          <w:bCs/>
          <w:color w:val="auto"/>
          <w:sz w:val="24"/>
          <w:highlight w:val="none"/>
          <w:lang w:val="en-US" w:eastAsia="zh-CN"/>
        </w:rPr>
        <w:t>在</w:t>
      </w:r>
      <w:r>
        <w:rPr>
          <w:rFonts w:hint="eastAsia" w:ascii="宋体" w:hAnsi="宋体" w:cs="宋体"/>
          <w:b/>
          <w:bCs/>
          <w:color w:val="auto"/>
          <w:sz w:val="24"/>
          <w:highlight w:val="none"/>
        </w:rPr>
        <w:t>中标结果公示结束之日起3天内（在领取中标通知书前）交纳。</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41"/>
        <w:gridCol w:w="4038"/>
      </w:tblGrid>
      <w:tr w14:paraId="6D6D6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trPr>
        <w:tc>
          <w:tcPr>
            <w:tcW w:w="5241" w:type="dxa"/>
            <w:tcBorders>
              <w:top w:val="single" w:color="auto" w:sz="4" w:space="0"/>
              <w:left w:val="single" w:color="auto" w:sz="4" w:space="0"/>
              <w:bottom w:val="single" w:color="auto" w:sz="4" w:space="0"/>
              <w:right w:val="single" w:color="auto" w:sz="4" w:space="0"/>
              <w:tl2br w:val="single" w:color="auto" w:sz="4" w:space="0"/>
            </w:tcBorders>
            <w:noWrap w:val="0"/>
            <w:vAlign w:val="top"/>
          </w:tcPr>
          <w:p w14:paraId="3A8CEDAD">
            <w:pPr>
              <w:ind w:firstLine="840" w:firstLineChars="400"/>
              <w:rPr>
                <w:rFonts w:hint="eastAsia" w:ascii="宋体" w:hAnsi="宋体" w:cs="宋体"/>
                <w:b/>
                <w:color w:val="auto"/>
                <w:sz w:val="24"/>
                <w:highlight w:val="none"/>
              </w:rPr>
            </w:pPr>
            <w:r>
              <w:rPr>
                <w:rFonts w:hint="eastAsia" w:ascii="宋体" w:hAnsi="宋体" w:cs="宋体"/>
                <w:color w:val="auto"/>
                <w:highlight w:val="none"/>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0"/>
                      <wp:effectExtent l="0" t="4445" r="8890" b="5080"/>
                      <wp:wrapNone/>
                      <wp:docPr id="3" name="直接连接符 3"/>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9pt;margin-top:-0.5pt;height:0pt;width:0.05pt;z-index:251659264;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BrkdN+1QAAAAkBAAAP&#10;AAAAAAAAAAEAIAAAACIAAABkcnMvZG93bnJldi54bWxQSwECFAAUAAAACACHTuJAM+s/NuIBAACy&#10;AwAADgAAAAAAAAABACAAAAAkAQAAZHJzL2Uyb0RvYy54bWxQSwUGAAAAAAYABgBZAQAAeAUAAAAA&#10;">
                      <v:fill on="f" focussize="0,0"/>
                      <v:stroke color="#000000" joinstyle="round"/>
                      <v:imagedata o:title=""/>
                      <o:lock v:ext="edit" aspectratio="f"/>
                    </v:line>
                  </w:pict>
                </mc:Fallback>
              </mc:AlternateContent>
            </w:r>
            <w:r>
              <w:rPr>
                <w:rFonts w:hint="eastAsia" w:ascii="宋体" w:hAnsi="宋体" w:cs="宋体"/>
                <w:b/>
                <w:color w:val="auto"/>
                <w:sz w:val="24"/>
                <w:highlight w:val="none"/>
              </w:rPr>
              <w:t>服务类型</w:t>
            </w:r>
          </w:p>
          <w:p w14:paraId="1C72FD51">
            <w:pPr>
              <w:rPr>
                <w:rFonts w:hint="eastAsia" w:ascii="宋体" w:hAnsi="宋体" w:cs="宋体"/>
                <w:b/>
                <w:color w:val="auto"/>
                <w:sz w:val="24"/>
                <w:highlight w:val="none"/>
              </w:rPr>
            </w:pPr>
            <w:r>
              <w:rPr>
                <w:rFonts w:hint="eastAsia" w:ascii="宋体" w:hAnsi="宋体" w:cs="宋体"/>
                <w:b/>
                <w:color w:val="auto"/>
                <w:sz w:val="24"/>
                <w:highlight w:val="none"/>
              </w:rPr>
              <w:t>费率</w:t>
            </w:r>
          </w:p>
          <w:p w14:paraId="00A09611">
            <w:pPr>
              <w:rPr>
                <w:rFonts w:hint="eastAsia" w:ascii="宋体" w:hAnsi="宋体" w:cs="宋体"/>
                <w:b/>
                <w:color w:val="auto"/>
                <w:sz w:val="24"/>
                <w:highlight w:val="none"/>
              </w:rPr>
            </w:pPr>
            <w:r>
              <w:rPr>
                <w:rFonts w:hint="eastAsia" w:ascii="宋体" w:hAnsi="宋体" w:cs="宋体"/>
                <w:color w:val="auto"/>
                <w:highlight w:val="none"/>
              </w:rPr>
              <mc:AlternateContent>
                <mc:Choice Requires="wps">
                  <w:drawing>
                    <wp:anchor distT="0" distB="0" distL="114300" distR="114300" simplePos="0" relativeHeight="251660288" behindDoc="0" locked="0" layoutInCell="1" allowOverlap="1">
                      <wp:simplePos x="0" y="0"/>
                      <wp:positionH relativeFrom="column">
                        <wp:posOffset>-58420</wp:posOffset>
                      </wp:positionH>
                      <wp:positionV relativeFrom="paragraph">
                        <wp:posOffset>71755</wp:posOffset>
                      </wp:positionV>
                      <wp:extent cx="3237865" cy="320675"/>
                      <wp:effectExtent l="635" t="4445" r="0" b="8255"/>
                      <wp:wrapNone/>
                      <wp:docPr id="7" name="直接连接符 7"/>
                      <wp:cNvGraphicFramePr/>
                      <a:graphic xmlns:a="http://schemas.openxmlformats.org/drawingml/2006/main">
                        <a:graphicData uri="http://schemas.microsoft.com/office/word/2010/wordprocessingShape">
                          <wps:wsp>
                            <wps:cNvCnPr>
                              <a:cxnSpLocks noChangeShapeType="1"/>
                            </wps:cNvCnPr>
                            <wps:spPr bwMode="auto">
                              <a:xfrm>
                                <a:off x="0" y="0"/>
                                <a:ext cx="3237865" cy="320675"/>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4.6pt;margin-top:5.65pt;height:25.25pt;width:254.95pt;z-index:251660288;mso-width-relative:page;mso-height-relative:page;" filled="f" stroked="t" coordsize="21600,21600" o:gfxdata="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r0GLJ1wAAAAgBAAAPAAAAAAAAAAEAIAAAACIAAABkcnMvZG93bnJldi54bWxQSwECFAAUAAAA&#10;CACHTuJA3IsxK+8BAAC9AwAADgAAAAAAAAABACAAAAAmAQAAZHJzL2Uyb0RvYy54bWxQSwUGAAAA&#10;AAYABgBZAQAAhwUAAAAA&#10;">
                      <v:fill on="f" focussize="0,0"/>
                      <v:stroke color="#000000" joinstyle="round"/>
                      <v:imagedata o:title=""/>
                      <o:lock v:ext="edit" aspectratio="f"/>
                    </v:line>
                  </w:pict>
                </mc:Fallback>
              </mc:AlternateContent>
            </w:r>
          </w:p>
          <w:p w14:paraId="7D75FE61">
            <w:pPr>
              <w:rPr>
                <w:rFonts w:hint="eastAsia" w:ascii="宋体" w:hAnsi="宋体" w:cs="宋体"/>
                <w:b/>
                <w:color w:val="auto"/>
                <w:sz w:val="24"/>
                <w:highlight w:val="none"/>
              </w:rPr>
            </w:pPr>
            <w:r>
              <w:rPr>
                <w:rFonts w:hint="eastAsia" w:ascii="宋体" w:hAnsi="宋体" w:cs="宋体"/>
                <w:b/>
                <w:color w:val="auto"/>
                <w:sz w:val="24"/>
                <w:highlight w:val="none"/>
              </w:rPr>
              <w:t>中标金额（万元）</w:t>
            </w:r>
          </w:p>
        </w:tc>
        <w:tc>
          <w:tcPr>
            <w:tcW w:w="4038" w:type="dxa"/>
            <w:tcBorders>
              <w:top w:val="single" w:color="auto" w:sz="4" w:space="0"/>
              <w:left w:val="single" w:color="auto" w:sz="4" w:space="0"/>
              <w:bottom w:val="single" w:color="auto" w:sz="4" w:space="0"/>
              <w:right w:val="single" w:color="auto" w:sz="4" w:space="0"/>
            </w:tcBorders>
            <w:noWrap w:val="0"/>
            <w:vAlign w:val="center"/>
          </w:tcPr>
          <w:p w14:paraId="4C787C26">
            <w:pPr>
              <w:jc w:val="center"/>
              <w:rPr>
                <w:rFonts w:hint="eastAsia" w:ascii="宋体" w:hAnsi="宋体" w:cs="宋体"/>
                <w:b/>
                <w:color w:val="auto"/>
                <w:sz w:val="24"/>
                <w:highlight w:val="none"/>
              </w:rPr>
            </w:pPr>
            <w:r>
              <w:rPr>
                <w:rFonts w:hint="eastAsia" w:ascii="宋体" w:hAnsi="宋体" w:cs="宋体"/>
                <w:b/>
                <w:color w:val="auto"/>
                <w:sz w:val="24"/>
                <w:highlight w:val="none"/>
                <w:lang w:val="en-US" w:eastAsia="zh-CN"/>
              </w:rPr>
              <w:t>货物</w:t>
            </w:r>
            <w:r>
              <w:rPr>
                <w:rFonts w:hint="eastAsia" w:ascii="宋体" w:hAnsi="宋体" w:cs="宋体"/>
                <w:b/>
                <w:color w:val="auto"/>
                <w:sz w:val="24"/>
                <w:highlight w:val="none"/>
              </w:rPr>
              <w:t>招标</w:t>
            </w:r>
          </w:p>
        </w:tc>
      </w:tr>
      <w:tr w14:paraId="089DB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 w:hRule="atLeast"/>
        </w:trPr>
        <w:tc>
          <w:tcPr>
            <w:tcW w:w="5241" w:type="dxa"/>
            <w:tcBorders>
              <w:top w:val="single" w:color="auto" w:sz="4" w:space="0"/>
              <w:left w:val="single" w:color="auto" w:sz="4" w:space="0"/>
              <w:bottom w:val="single" w:color="auto" w:sz="4" w:space="0"/>
              <w:right w:val="single" w:color="auto" w:sz="4" w:space="0"/>
            </w:tcBorders>
            <w:noWrap w:val="0"/>
            <w:vAlign w:val="top"/>
          </w:tcPr>
          <w:p w14:paraId="294E8998">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100以下</w:t>
            </w:r>
          </w:p>
        </w:tc>
        <w:tc>
          <w:tcPr>
            <w:tcW w:w="4038" w:type="dxa"/>
            <w:tcBorders>
              <w:top w:val="single" w:color="auto" w:sz="4" w:space="0"/>
              <w:left w:val="single" w:color="auto" w:sz="4" w:space="0"/>
              <w:bottom w:val="single" w:color="auto" w:sz="4" w:space="0"/>
              <w:right w:val="single" w:color="auto" w:sz="4" w:space="0"/>
            </w:tcBorders>
            <w:noWrap w:val="0"/>
            <w:vAlign w:val="top"/>
          </w:tcPr>
          <w:p w14:paraId="1A965635">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1.5%</w:t>
            </w:r>
          </w:p>
        </w:tc>
      </w:tr>
      <w:tr w14:paraId="39339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rPr>
        <w:tc>
          <w:tcPr>
            <w:tcW w:w="5241" w:type="dxa"/>
            <w:tcBorders>
              <w:top w:val="single" w:color="auto" w:sz="4" w:space="0"/>
              <w:left w:val="single" w:color="auto" w:sz="4" w:space="0"/>
              <w:bottom w:val="single" w:color="auto" w:sz="4" w:space="0"/>
              <w:right w:val="single" w:color="auto" w:sz="4" w:space="0"/>
            </w:tcBorders>
            <w:noWrap w:val="0"/>
            <w:vAlign w:val="top"/>
          </w:tcPr>
          <w:p w14:paraId="6CCDD08D">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100-500</w:t>
            </w:r>
          </w:p>
        </w:tc>
        <w:tc>
          <w:tcPr>
            <w:tcW w:w="4038" w:type="dxa"/>
            <w:tcBorders>
              <w:top w:val="single" w:color="auto" w:sz="4" w:space="0"/>
              <w:left w:val="single" w:color="auto" w:sz="4" w:space="0"/>
              <w:bottom w:val="single" w:color="auto" w:sz="4" w:space="0"/>
              <w:right w:val="single" w:color="auto" w:sz="4" w:space="0"/>
            </w:tcBorders>
            <w:noWrap w:val="0"/>
            <w:vAlign w:val="top"/>
          </w:tcPr>
          <w:p w14:paraId="0849327F">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1.1</w:t>
            </w:r>
            <w:r>
              <w:rPr>
                <w:rFonts w:hint="eastAsia" w:ascii="宋体" w:hAnsi="宋体" w:cs="宋体"/>
                <w:color w:val="auto"/>
                <w:sz w:val="24"/>
                <w:highlight w:val="none"/>
              </w:rPr>
              <w:t>%</w:t>
            </w:r>
          </w:p>
        </w:tc>
      </w:tr>
    </w:tbl>
    <w:p w14:paraId="68749387">
      <w:pPr>
        <w:spacing w:line="440" w:lineRule="exact"/>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中标服务费由中标人汇至以下账户：</w:t>
      </w:r>
    </w:p>
    <w:p w14:paraId="34C751B0">
      <w:pPr>
        <w:spacing w:line="440" w:lineRule="exact"/>
        <w:ind w:firstLine="472" w:firstLineChars="19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帐户名称：东阳市鑫盛工程咨询有限公司</w:t>
      </w:r>
    </w:p>
    <w:p w14:paraId="15610F71">
      <w:pPr>
        <w:spacing w:line="440" w:lineRule="exact"/>
        <w:ind w:firstLine="472" w:firstLineChars="19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开户银行：兴业银行股份有限公司金华东阳支行</w:t>
      </w:r>
    </w:p>
    <w:p w14:paraId="0340526B">
      <w:pPr>
        <w:spacing w:line="440" w:lineRule="exact"/>
        <w:ind w:firstLine="472" w:firstLineChars="196"/>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账号：356090100100082625</w:t>
      </w:r>
    </w:p>
    <w:p w14:paraId="35CD060C">
      <w:pPr>
        <w:numPr>
          <w:ilvl w:val="0"/>
          <w:numId w:val="8"/>
        </w:numPr>
        <w:spacing w:line="440" w:lineRule="exact"/>
        <w:rPr>
          <w:rFonts w:ascii="宋体" w:hAnsi="宋体" w:cs="宋体"/>
          <w:b/>
          <w:color w:val="auto"/>
          <w:sz w:val="24"/>
          <w:highlight w:val="none"/>
        </w:rPr>
      </w:pPr>
      <w:r>
        <w:rPr>
          <w:rFonts w:hint="eastAsia" w:ascii="宋体" w:hAnsi="宋体" w:cs="宋体"/>
          <w:b/>
          <w:color w:val="auto"/>
          <w:sz w:val="24"/>
          <w:highlight w:val="none"/>
        </w:rPr>
        <w:t>联合体投标</w:t>
      </w:r>
      <w:r>
        <w:rPr>
          <w:rFonts w:hint="eastAsia" w:ascii="宋体" w:hAnsi="宋体" w:cs="宋体"/>
          <w:b/>
          <w:color w:val="auto"/>
          <w:sz w:val="24"/>
          <w:highlight w:val="none"/>
        </w:rPr>
        <w:tab/>
      </w:r>
    </w:p>
    <w:p w14:paraId="2AF067FE">
      <w:pPr>
        <w:spacing w:line="440" w:lineRule="exact"/>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本项目接受联合体投标。</w:t>
      </w:r>
    </w:p>
    <w:p w14:paraId="34941A3B">
      <w:pPr>
        <w:spacing w:line="440" w:lineRule="exact"/>
        <w:rPr>
          <w:rFonts w:ascii="宋体" w:hAnsi="宋体" w:cs="宋体"/>
          <w:b/>
          <w:color w:val="auto"/>
          <w:kern w:val="0"/>
          <w:sz w:val="24"/>
          <w:highlight w:val="none"/>
        </w:rPr>
      </w:pPr>
      <w:r>
        <w:rPr>
          <w:rFonts w:hint="eastAsia" w:ascii="宋体" w:hAnsi="宋体" w:cs="宋体"/>
          <w:b/>
          <w:color w:val="auto"/>
          <w:sz w:val="24"/>
          <w:highlight w:val="none"/>
        </w:rPr>
        <w:t>（七）</w:t>
      </w:r>
      <w:r>
        <w:rPr>
          <w:rFonts w:hint="eastAsia" w:ascii="宋体" w:hAnsi="宋体" w:cs="宋体"/>
          <w:b/>
          <w:color w:val="auto"/>
          <w:kern w:val="0"/>
          <w:sz w:val="24"/>
          <w:highlight w:val="none"/>
        </w:rPr>
        <w:t>转包与分包</w:t>
      </w:r>
    </w:p>
    <w:p w14:paraId="58148E55">
      <w:pPr>
        <w:spacing w:line="440" w:lineRule="exact"/>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1.本项目不允许转包。</w:t>
      </w:r>
    </w:p>
    <w:p w14:paraId="3DF50C51">
      <w:pPr>
        <w:spacing w:line="440" w:lineRule="exact"/>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2.本项目允许分包。</w:t>
      </w:r>
    </w:p>
    <w:p w14:paraId="55B51C58">
      <w:pPr>
        <w:spacing w:line="440" w:lineRule="exact"/>
        <w:rPr>
          <w:rFonts w:ascii="宋体" w:hAnsi="宋体" w:cs="宋体"/>
          <w:b/>
          <w:bCs/>
          <w:color w:val="auto"/>
          <w:sz w:val="24"/>
          <w:highlight w:val="none"/>
        </w:rPr>
      </w:pPr>
      <w:r>
        <w:rPr>
          <w:rFonts w:hint="eastAsia" w:ascii="宋体" w:hAnsi="宋体" w:cs="宋体"/>
          <w:b/>
          <w:bCs/>
          <w:color w:val="auto"/>
          <w:sz w:val="24"/>
          <w:highlight w:val="none"/>
        </w:rPr>
        <w:t>▲（八）特别说明</w:t>
      </w:r>
    </w:p>
    <w:p w14:paraId="23D91DCE">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本招标文件规定的方式（第三章第六节“定标”）确定一个投标人获得中标人推荐资格，招标文件未规定的采取随机抽取方式确定，其他同品牌投标人不作为中标候选人。</w:t>
      </w:r>
    </w:p>
    <w:p w14:paraId="149D9E31">
      <w:pPr>
        <w:spacing w:line="44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非单一产品采购项目，多家投标人提供的核心产品品牌相同的，按前款规定处理。</w:t>
      </w:r>
    </w:p>
    <w:p w14:paraId="0ADCA8F9">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2.投标人投标所使用的资格、信誉、荣誉与企业认证必须为本法人所拥有。投标人投标所使用的采购项目实施人员必须为本法人员工（或必须为本法人或控股公司正式员工）。</w:t>
      </w:r>
    </w:p>
    <w:p w14:paraId="32DD9F7A">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3.投标人应仔细阅读招标文件的所有内容，按照招标文件的要求提交投标文件，并对所提供的全部资料的真实性承担法律责任。</w:t>
      </w:r>
    </w:p>
    <w:p w14:paraId="7E03D943">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投标人在投标活动中提供任何虚假材料,其投标无效，并报监管部门查处；中标后发现的,中标人须依照《中华人民共和国消费者权益保护法》第49条之规定，按中标价双倍赔偿采购人，且民事赔偿并不免除违法投标人的行政与刑事责任。</w:t>
      </w:r>
    </w:p>
    <w:p w14:paraId="546103BB">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评标委员会认为预中标人的投标报价明显低于其他通过符合性审查投标人的报价，有可能影响产品质量或者不能诚信履约的，应当要求其在评标现场合理的时间内提供书面说明，必要时提交相关证明材料，预中标人不能证明其报价合理性的，评标委员会应当将其作为无效投标处理。</w:t>
      </w:r>
    </w:p>
    <w:p w14:paraId="42F8385E">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6.招标方不保证最低报价者为中标方。</w:t>
      </w:r>
    </w:p>
    <w:p w14:paraId="5C7A1E54">
      <w:pPr>
        <w:spacing w:line="440" w:lineRule="exact"/>
        <w:ind w:firstLine="480" w:firstLineChars="200"/>
        <w:rPr>
          <w:rFonts w:ascii="宋体" w:hAnsi="宋体" w:cs="宋体"/>
          <w:color w:val="auto"/>
          <w:sz w:val="24"/>
          <w:highlight w:val="none"/>
        </w:rPr>
      </w:pPr>
      <w:r>
        <w:rPr>
          <w:rFonts w:ascii="宋体" w:hAnsi="宋体" w:cs="宋体"/>
          <w:color w:val="auto"/>
          <w:sz w:val="24"/>
          <w:highlight w:val="none"/>
        </w:rPr>
        <w:t>7</w:t>
      </w:r>
      <w:r>
        <w:rPr>
          <w:rFonts w:hint="eastAsia" w:ascii="宋体" w:hAnsi="宋体" w:cs="宋体"/>
          <w:color w:val="auto"/>
          <w:sz w:val="24"/>
          <w:highlight w:val="none"/>
        </w:rPr>
        <w:t>.“政采云”平台运营机构，以及与该机构有直接控股或者管理关系可能影响采购公正性的任何单位和个人，不得在该平台进行的政府采购项目电子交易中投标、响应政府采购项目。</w:t>
      </w:r>
    </w:p>
    <w:p w14:paraId="2BFA94BE">
      <w:pPr>
        <w:spacing w:line="440" w:lineRule="exact"/>
        <w:rPr>
          <w:rFonts w:ascii="宋体" w:hAnsi="宋体" w:cs="宋体"/>
          <w:b/>
          <w:bCs/>
          <w:color w:val="auto"/>
          <w:sz w:val="24"/>
          <w:highlight w:val="none"/>
        </w:rPr>
      </w:pPr>
      <w:r>
        <w:rPr>
          <w:rFonts w:hint="eastAsia" w:ascii="宋体" w:hAnsi="宋体" w:cs="宋体"/>
          <w:b/>
          <w:bCs/>
          <w:color w:val="auto"/>
          <w:sz w:val="24"/>
          <w:highlight w:val="none"/>
        </w:rPr>
        <w:t>（九）质疑和投诉</w:t>
      </w:r>
    </w:p>
    <w:p w14:paraId="6D9FECB1">
      <w:pPr>
        <w:spacing w:line="440" w:lineRule="exact"/>
        <w:rPr>
          <w:rFonts w:ascii="宋体" w:hAnsi="宋体" w:cs="宋体"/>
          <w:color w:val="auto"/>
          <w:sz w:val="24"/>
          <w:highlight w:val="none"/>
        </w:rPr>
      </w:pPr>
      <w:r>
        <w:rPr>
          <w:rFonts w:hint="eastAsia" w:ascii="宋体" w:hAnsi="宋体" w:cs="宋体"/>
          <w:color w:val="auto"/>
          <w:sz w:val="24"/>
          <w:highlight w:val="none"/>
        </w:rPr>
        <w:t>1.投标人认为招标文件、招标过程或中标结果使自己的合法权益受到损害的，应当在知道或者应知其权益受到损害之日起七个工作日内，以书面形式向采购人、招标方提出质疑。投标人对招标方的质疑答复不满意或者招标方未在规定时间内作出答复的，可以在答复期满后十五个工作日内向同级采购监管部门投诉。</w:t>
      </w:r>
    </w:p>
    <w:p w14:paraId="03DB5EF9">
      <w:pPr>
        <w:spacing w:line="440" w:lineRule="exact"/>
        <w:rPr>
          <w:rFonts w:ascii="宋体" w:hAnsi="宋体" w:cs="宋体"/>
          <w:color w:val="auto"/>
          <w:sz w:val="24"/>
          <w:highlight w:val="none"/>
        </w:rPr>
      </w:pPr>
      <w:r>
        <w:rPr>
          <w:rFonts w:hint="eastAsia" w:ascii="宋体" w:hAnsi="宋体" w:cs="宋体"/>
          <w:color w:val="auto"/>
          <w:sz w:val="24"/>
          <w:highlight w:val="none"/>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66006FAA">
      <w:pPr>
        <w:spacing w:line="440" w:lineRule="exact"/>
        <w:rPr>
          <w:rFonts w:ascii="宋体" w:hAnsi="宋体" w:cs="宋体"/>
          <w:color w:val="auto"/>
          <w:sz w:val="24"/>
          <w:highlight w:val="none"/>
        </w:rPr>
      </w:pPr>
      <w:r>
        <w:rPr>
          <w:rFonts w:hint="eastAsia" w:ascii="宋体" w:hAnsi="宋体" w:cs="宋体"/>
          <w:color w:val="auto"/>
          <w:sz w:val="24"/>
          <w:highlight w:val="none"/>
        </w:rPr>
        <w:t>3.采购人、招标方应当按照《浙江省政府采购供应商质疑处理办法》、中华人民共和国财政部第94号令《政府采购质疑和投诉办法》进行受理与答复质疑。</w:t>
      </w:r>
    </w:p>
    <w:p w14:paraId="010031E7">
      <w:pPr>
        <w:pStyle w:val="8"/>
        <w:keepNext w:val="0"/>
        <w:keepLines w:val="0"/>
        <w:pageBreakBefore/>
        <w:spacing w:line="360" w:lineRule="auto"/>
        <w:jc w:val="center"/>
        <w:rPr>
          <w:rFonts w:ascii="宋体" w:hAnsi="宋体" w:eastAsia="宋体" w:cs="宋体"/>
          <w:b/>
          <w:bCs/>
          <w:color w:val="auto"/>
          <w:sz w:val="24"/>
          <w:szCs w:val="24"/>
          <w:highlight w:val="none"/>
        </w:rPr>
      </w:pPr>
      <w:bookmarkStart w:id="37" w:name="_Toc8910"/>
      <w:bookmarkStart w:id="38" w:name="_Toc458697268"/>
      <w:bookmarkStart w:id="39" w:name="_Toc454196066"/>
      <w:r>
        <w:rPr>
          <w:rFonts w:hint="eastAsia" w:ascii="宋体" w:hAnsi="宋体" w:eastAsia="宋体" w:cs="宋体"/>
          <w:b/>
          <w:bCs/>
          <w:color w:val="auto"/>
          <w:sz w:val="24"/>
          <w:szCs w:val="24"/>
          <w:highlight w:val="none"/>
        </w:rPr>
        <w:t>二、招标文件</w:t>
      </w:r>
      <w:bookmarkEnd w:id="37"/>
      <w:bookmarkEnd w:id="38"/>
      <w:bookmarkEnd w:id="39"/>
    </w:p>
    <w:p w14:paraId="6F9FD16B">
      <w:pPr>
        <w:spacing w:line="360" w:lineRule="auto"/>
        <w:rPr>
          <w:rFonts w:ascii="宋体" w:hAnsi="宋体" w:cs="宋体"/>
          <w:b/>
          <w:color w:val="auto"/>
          <w:sz w:val="24"/>
          <w:highlight w:val="none"/>
        </w:rPr>
      </w:pPr>
      <w:r>
        <w:rPr>
          <w:rFonts w:hint="eastAsia" w:ascii="宋体" w:hAnsi="宋体" w:cs="宋体"/>
          <w:b/>
          <w:color w:val="auto"/>
          <w:sz w:val="24"/>
          <w:highlight w:val="none"/>
        </w:rPr>
        <w:t>（一）招标文件的构成。本招标文件由以下部分组成：</w:t>
      </w:r>
    </w:p>
    <w:p w14:paraId="7F6CCA5C">
      <w:pPr>
        <w:spacing w:line="360" w:lineRule="auto"/>
        <w:rPr>
          <w:rFonts w:ascii="宋体" w:hAnsi="宋体" w:cs="宋体"/>
          <w:color w:val="auto"/>
          <w:sz w:val="24"/>
          <w:highlight w:val="none"/>
        </w:rPr>
      </w:pPr>
      <w:r>
        <w:rPr>
          <w:rFonts w:hint="eastAsia" w:ascii="宋体" w:hAnsi="宋体" w:cs="宋体"/>
          <w:color w:val="auto"/>
          <w:sz w:val="24"/>
          <w:highlight w:val="none"/>
        </w:rPr>
        <w:t>1.招标公告</w:t>
      </w:r>
    </w:p>
    <w:p w14:paraId="1C62FAF6">
      <w:pPr>
        <w:spacing w:line="360" w:lineRule="auto"/>
        <w:rPr>
          <w:rFonts w:ascii="宋体" w:hAnsi="宋体" w:cs="宋体"/>
          <w:color w:val="auto"/>
          <w:sz w:val="24"/>
          <w:highlight w:val="none"/>
        </w:rPr>
      </w:pPr>
      <w:r>
        <w:rPr>
          <w:rFonts w:hint="eastAsia" w:ascii="宋体" w:hAnsi="宋体" w:cs="宋体"/>
          <w:color w:val="auto"/>
          <w:sz w:val="24"/>
          <w:highlight w:val="none"/>
        </w:rPr>
        <w:t>2.招标需求</w:t>
      </w:r>
    </w:p>
    <w:p w14:paraId="58107D4A">
      <w:pPr>
        <w:spacing w:line="360" w:lineRule="auto"/>
        <w:rPr>
          <w:rFonts w:ascii="宋体" w:hAnsi="宋体" w:cs="宋体"/>
          <w:color w:val="auto"/>
          <w:sz w:val="24"/>
          <w:highlight w:val="none"/>
        </w:rPr>
      </w:pPr>
      <w:r>
        <w:rPr>
          <w:rFonts w:hint="eastAsia" w:ascii="宋体" w:hAnsi="宋体" w:cs="宋体"/>
          <w:color w:val="auto"/>
          <w:sz w:val="24"/>
          <w:highlight w:val="none"/>
        </w:rPr>
        <w:t>3.投标人须知</w:t>
      </w:r>
    </w:p>
    <w:p w14:paraId="325D2EE5">
      <w:pPr>
        <w:spacing w:line="360" w:lineRule="auto"/>
        <w:rPr>
          <w:rFonts w:ascii="宋体" w:hAnsi="宋体" w:cs="宋体"/>
          <w:color w:val="auto"/>
          <w:sz w:val="24"/>
          <w:highlight w:val="none"/>
        </w:rPr>
      </w:pPr>
      <w:r>
        <w:rPr>
          <w:rFonts w:hint="eastAsia" w:ascii="宋体" w:hAnsi="宋体" w:cs="宋体"/>
          <w:color w:val="auto"/>
          <w:sz w:val="24"/>
          <w:highlight w:val="none"/>
        </w:rPr>
        <w:t>4.评标办法及标准</w:t>
      </w:r>
    </w:p>
    <w:p w14:paraId="1F0AA599">
      <w:pPr>
        <w:spacing w:line="360" w:lineRule="auto"/>
        <w:rPr>
          <w:rFonts w:ascii="宋体" w:hAnsi="宋体" w:cs="宋体"/>
          <w:color w:val="auto"/>
          <w:sz w:val="24"/>
          <w:highlight w:val="none"/>
        </w:rPr>
      </w:pPr>
      <w:r>
        <w:rPr>
          <w:rFonts w:hint="eastAsia" w:ascii="宋体" w:hAnsi="宋体" w:cs="宋体"/>
          <w:color w:val="auto"/>
          <w:sz w:val="24"/>
          <w:highlight w:val="none"/>
        </w:rPr>
        <w:t>5.合同主要条款</w:t>
      </w:r>
    </w:p>
    <w:p w14:paraId="5956D736">
      <w:pPr>
        <w:spacing w:line="360" w:lineRule="auto"/>
        <w:rPr>
          <w:rFonts w:ascii="宋体" w:hAnsi="宋体" w:cs="宋体"/>
          <w:color w:val="auto"/>
          <w:sz w:val="24"/>
          <w:highlight w:val="none"/>
        </w:rPr>
      </w:pPr>
      <w:r>
        <w:rPr>
          <w:rFonts w:hint="eastAsia" w:ascii="宋体" w:hAnsi="宋体" w:cs="宋体"/>
          <w:color w:val="auto"/>
          <w:sz w:val="24"/>
          <w:highlight w:val="none"/>
        </w:rPr>
        <w:t>6.投标文件格式</w:t>
      </w:r>
    </w:p>
    <w:p w14:paraId="09DC4C52">
      <w:pPr>
        <w:spacing w:line="360" w:lineRule="auto"/>
        <w:rPr>
          <w:rFonts w:ascii="宋体" w:hAnsi="宋体" w:cs="宋体"/>
          <w:color w:val="auto"/>
          <w:sz w:val="24"/>
          <w:highlight w:val="none"/>
        </w:rPr>
      </w:pPr>
      <w:r>
        <w:rPr>
          <w:rFonts w:hint="eastAsia" w:ascii="宋体" w:hAnsi="宋体" w:cs="宋体"/>
          <w:color w:val="auto"/>
          <w:sz w:val="24"/>
          <w:highlight w:val="none"/>
        </w:rPr>
        <w:t>7.本项目招标文件的澄清、答复、修改、补充的内容</w:t>
      </w:r>
    </w:p>
    <w:p w14:paraId="32FD5576">
      <w:pPr>
        <w:spacing w:line="360" w:lineRule="auto"/>
        <w:rPr>
          <w:rFonts w:ascii="宋体" w:hAnsi="宋体" w:cs="宋体"/>
          <w:b/>
          <w:color w:val="auto"/>
          <w:sz w:val="24"/>
          <w:highlight w:val="none"/>
        </w:rPr>
      </w:pPr>
      <w:r>
        <w:rPr>
          <w:rFonts w:hint="eastAsia" w:ascii="宋体" w:hAnsi="宋体" w:cs="宋体"/>
          <w:b/>
          <w:color w:val="auto"/>
          <w:sz w:val="24"/>
          <w:highlight w:val="none"/>
        </w:rPr>
        <w:t>（二）投标人的风险</w:t>
      </w:r>
    </w:p>
    <w:p w14:paraId="03D33F0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投标人没有按照招标文件要求提供全部资料，或者投标人没有对招标文件在各方面作出实质性响应是投标人的风险，并可能导致其投标被拒绝。</w:t>
      </w:r>
    </w:p>
    <w:p w14:paraId="5CA02800">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（三）招标文件的澄清与修改 </w:t>
      </w:r>
    </w:p>
    <w:p w14:paraId="59A0A29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bCs/>
          <w:color w:val="auto"/>
          <w:sz w:val="24"/>
          <w:highlight w:val="none"/>
        </w:rPr>
        <w:t>投标人应认真阅读本招标文件，发现其中有误或有不合理要求的，投标人应当按照公开招标公告第三、七条规定以书面形式要求招标方澄清</w:t>
      </w:r>
      <w:r>
        <w:rPr>
          <w:rFonts w:hint="eastAsia" w:ascii="宋体" w:hAnsi="宋体" w:cs="宋体"/>
          <w:color w:val="auto"/>
          <w:sz w:val="24"/>
          <w:highlight w:val="none"/>
        </w:rPr>
        <w:t>。招标方对已发出的招标文件进行必要澄清、答复、修改或补充的，应当在招标文件要求提交投标文件截止时间15日前，在财政部门指定的政府采购信息发布媒体上发布更正公告，并以书面形式通知所有招标文件收受人。</w:t>
      </w:r>
    </w:p>
    <w:p w14:paraId="7229E6D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2.招标方必须以书面形式答复投标人要求澄清的问题，并将不包含问题来源的答复书面通知所有购买招标文件的投标人；除书面答复以外的其他澄清方式及澄清内容均无效。</w:t>
      </w:r>
    </w:p>
    <w:p w14:paraId="0110FC1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3.招标文件澄清、答复、修改、补充的内容为招标文件的组成部分。当招标文件与招标文件的答复、澄清、修改、补充通知就同一内容的表述不一致时，以最后发出的书面文件为准。</w:t>
      </w:r>
    </w:p>
    <w:p w14:paraId="356CF9C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4.招标文件的澄清、答复、修改或补充都应该通过本招标机构以法定形式发布，采购人非通过本机构，不得擅自澄清、答复、修改或补充招标文件。</w:t>
      </w:r>
    </w:p>
    <w:p w14:paraId="74E4001F">
      <w:pPr>
        <w:pStyle w:val="8"/>
        <w:keepNext w:val="0"/>
        <w:keepLines w:val="0"/>
        <w:pageBreakBefore/>
        <w:spacing w:line="360" w:lineRule="auto"/>
        <w:jc w:val="center"/>
        <w:rPr>
          <w:rFonts w:ascii="宋体" w:hAnsi="宋体" w:eastAsia="宋体" w:cs="宋体"/>
          <w:b/>
          <w:bCs/>
          <w:color w:val="auto"/>
          <w:sz w:val="24"/>
          <w:szCs w:val="24"/>
          <w:highlight w:val="none"/>
        </w:rPr>
      </w:pPr>
      <w:bookmarkStart w:id="40" w:name="_Toc454196067"/>
      <w:bookmarkStart w:id="41" w:name="_Toc3981"/>
      <w:bookmarkStart w:id="42" w:name="_Toc458697269"/>
      <w:r>
        <w:rPr>
          <w:rFonts w:hint="eastAsia" w:ascii="宋体" w:hAnsi="宋体" w:eastAsia="宋体" w:cs="宋体"/>
          <w:b/>
          <w:bCs/>
          <w:color w:val="auto"/>
          <w:sz w:val="24"/>
          <w:szCs w:val="24"/>
          <w:highlight w:val="none"/>
        </w:rPr>
        <w:t>三、投标文件的编制</w:t>
      </w:r>
      <w:bookmarkEnd w:id="40"/>
      <w:bookmarkEnd w:id="41"/>
      <w:bookmarkEnd w:id="42"/>
    </w:p>
    <w:p w14:paraId="78E29B5A">
      <w:pPr>
        <w:spacing w:line="360" w:lineRule="auto"/>
        <w:rPr>
          <w:rFonts w:ascii="宋体" w:hAnsi="宋体" w:cs="宋体"/>
          <w:b/>
          <w:color w:val="auto"/>
          <w:sz w:val="24"/>
          <w:highlight w:val="none"/>
        </w:rPr>
      </w:pPr>
      <w:r>
        <w:rPr>
          <w:rFonts w:hint="eastAsia" w:ascii="宋体" w:hAnsi="宋体" w:cs="宋体"/>
          <w:b/>
          <w:bCs/>
          <w:color w:val="auto"/>
          <w:sz w:val="24"/>
          <w:highlight w:val="none"/>
        </w:rPr>
        <w:t>▲</w:t>
      </w:r>
      <w:r>
        <w:rPr>
          <w:rFonts w:hint="eastAsia" w:ascii="宋体" w:hAnsi="宋体" w:cs="宋体"/>
          <w:b/>
          <w:color w:val="auto"/>
          <w:sz w:val="24"/>
          <w:highlight w:val="none"/>
        </w:rPr>
        <w:t>（一）投标文件的组成</w:t>
      </w:r>
    </w:p>
    <w:p w14:paraId="2EDA77F7">
      <w:pPr>
        <w:spacing w:line="360" w:lineRule="auto"/>
        <w:rPr>
          <w:rFonts w:ascii="宋体" w:hAnsi="宋体" w:cs="宋体"/>
          <w:color w:val="auto"/>
          <w:sz w:val="24"/>
          <w:highlight w:val="none"/>
        </w:rPr>
      </w:pPr>
      <w:r>
        <w:rPr>
          <w:rFonts w:hint="eastAsia" w:ascii="宋体" w:hAnsi="宋体" w:cs="宋体"/>
          <w:color w:val="auto"/>
          <w:sz w:val="24"/>
          <w:highlight w:val="none"/>
        </w:rPr>
        <w:t>投标文件由资格审查文件、商务技术文件、报价文件三部分组成。</w:t>
      </w:r>
    </w:p>
    <w:p w14:paraId="7527D067">
      <w:pPr>
        <w:spacing w:line="360" w:lineRule="auto"/>
        <w:rPr>
          <w:rFonts w:ascii="宋体" w:hAnsi="宋体" w:cs="宋体"/>
          <w:b/>
          <w:color w:val="auto"/>
          <w:sz w:val="24"/>
          <w:highlight w:val="none"/>
        </w:rPr>
      </w:pPr>
      <w:r>
        <w:rPr>
          <w:rFonts w:hint="eastAsia" w:ascii="宋体" w:hAnsi="宋体" w:cs="宋体"/>
          <w:b/>
          <w:color w:val="auto"/>
          <w:sz w:val="24"/>
          <w:highlight w:val="none"/>
        </w:rPr>
        <w:t>1.资格审查文件：</w:t>
      </w:r>
    </w:p>
    <w:p w14:paraId="59D2B3C3">
      <w:pPr>
        <w:spacing w:line="360" w:lineRule="auto"/>
        <w:rPr>
          <w:rFonts w:ascii="宋体" w:hAnsi="宋体" w:cs="宋体"/>
          <w:color w:val="auto"/>
          <w:sz w:val="24"/>
          <w:highlight w:val="none"/>
        </w:rPr>
      </w:pPr>
      <w:r>
        <w:rPr>
          <w:rFonts w:hint="eastAsia" w:ascii="宋体" w:hAnsi="宋体" w:cs="宋体"/>
          <w:color w:val="auto"/>
          <w:sz w:val="24"/>
          <w:highlight w:val="none"/>
        </w:rPr>
        <w:t>（1）具有独立承担民事责任的能力：投标人须在投标文件中出具符合以下情况的证明材料复印件（五选一）：</w:t>
      </w:r>
    </w:p>
    <w:p w14:paraId="7A0854F1">
      <w:pPr>
        <w:spacing w:line="360" w:lineRule="auto"/>
        <w:rPr>
          <w:rFonts w:ascii="宋体" w:hAnsi="宋体" w:cs="宋体"/>
          <w:color w:val="auto"/>
          <w:sz w:val="24"/>
          <w:highlight w:val="none"/>
        </w:rPr>
      </w:pPr>
      <w:r>
        <w:rPr>
          <w:rFonts w:hint="eastAsia" w:ascii="宋体" w:hAnsi="宋体" w:cs="宋体"/>
          <w:color w:val="auto"/>
          <w:sz w:val="24"/>
          <w:highlight w:val="none"/>
        </w:rPr>
        <w:t>①如投标人是企业（包括合伙企业），提供在工商部门注册的有效“企业法人营业执照”或“营业执照”；</w:t>
      </w:r>
    </w:p>
    <w:p w14:paraId="5B9BE6C7">
      <w:pPr>
        <w:spacing w:line="360" w:lineRule="auto"/>
        <w:rPr>
          <w:rFonts w:ascii="宋体" w:hAnsi="宋体" w:cs="宋体"/>
          <w:color w:val="auto"/>
          <w:sz w:val="24"/>
          <w:highlight w:val="none"/>
        </w:rPr>
      </w:pPr>
      <w:r>
        <w:rPr>
          <w:rFonts w:hint="eastAsia" w:ascii="宋体" w:hAnsi="宋体" w:cs="宋体"/>
          <w:color w:val="auto"/>
          <w:sz w:val="24"/>
          <w:highlight w:val="none"/>
        </w:rPr>
        <w:t>②如投标人是事业单位，提供有效的“事业单位法人证书”；</w:t>
      </w:r>
    </w:p>
    <w:p w14:paraId="028A6AB6">
      <w:pPr>
        <w:spacing w:line="360" w:lineRule="auto"/>
        <w:rPr>
          <w:rFonts w:ascii="宋体" w:hAnsi="宋体" w:cs="宋体"/>
          <w:color w:val="auto"/>
          <w:sz w:val="24"/>
          <w:highlight w:val="none"/>
        </w:rPr>
      </w:pPr>
      <w:r>
        <w:rPr>
          <w:rFonts w:hint="eastAsia" w:ascii="宋体" w:hAnsi="宋体" w:cs="宋体"/>
          <w:color w:val="auto"/>
          <w:sz w:val="24"/>
          <w:highlight w:val="none"/>
        </w:rPr>
        <w:t>③如投标人是非企业专业服务机构的，提供执业许可证等证明文件；</w:t>
      </w:r>
    </w:p>
    <w:p w14:paraId="7F3B9829">
      <w:pPr>
        <w:spacing w:line="360" w:lineRule="auto"/>
        <w:rPr>
          <w:rFonts w:ascii="宋体" w:hAnsi="宋体" w:cs="宋体"/>
          <w:color w:val="auto"/>
          <w:sz w:val="24"/>
          <w:highlight w:val="none"/>
        </w:rPr>
      </w:pPr>
      <w:r>
        <w:rPr>
          <w:rFonts w:hint="eastAsia" w:ascii="宋体" w:hAnsi="宋体" w:cs="宋体"/>
          <w:color w:val="auto"/>
          <w:sz w:val="24"/>
          <w:highlight w:val="none"/>
        </w:rPr>
        <w:t>④如投标人是个体工商户，提供有效的“个体工商户营业执照”；</w:t>
      </w:r>
    </w:p>
    <w:p w14:paraId="2A3A559A">
      <w:pPr>
        <w:spacing w:line="360" w:lineRule="auto"/>
        <w:rPr>
          <w:rFonts w:ascii="宋体" w:hAnsi="宋体" w:cs="宋体"/>
          <w:color w:val="auto"/>
          <w:sz w:val="24"/>
          <w:highlight w:val="none"/>
        </w:rPr>
      </w:pPr>
      <w:r>
        <w:rPr>
          <w:rFonts w:hint="eastAsia" w:ascii="宋体" w:hAnsi="宋体" w:cs="宋体"/>
          <w:color w:val="auto"/>
          <w:sz w:val="24"/>
          <w:highlight w:val="none"/>
        </w:rPr>
        <w:t>⑤如投标人是自然人，提供有效的自然人身份证明（居民身份证正反面或公安机关出具的临时居民身份证正反面或港澳台胞证或护照）。</w:t>
      </w:r>
    </w:p>
    <w:p w14:paraId="1951198A">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default" w:ascii="宋体" w:hAnsi="宋体" w:cs="宋体"/>
          <w:color w:val="auto"/>
          <w:sz w:val="24"/>
          <w:highlight w:val="none"/>
        </w:rPr>
        <w:t>2</w:t>
      </w:r>
      <w:r>
        <w:rPr>
          <w:rFonts w:hint="eastAsia" w:ascii="宋体" w:hAnsi="宋体" w:cs="宋体"/>
          <w:color w:val="auto"/>
          <w:sz w:val="24"/>
          <w:highlight w:val="none"/>
        </w:rPr>
        <w:t>）法定代表人身份证复印件或法定代表人授权委托书(格式见附件)；</w:t>
      </w:r>
    </w:p>
    <w:p w14:paraId="246AEDD7">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default" w:ascii="宋体" w:hAnsi="宋体" w:cs="宋体"/>
          <w:color w:val="auto"/>
          <w:sz w:val="24"/>
          <w:highlight w:val="none"/>
        </w:rPr>
        <w:t>3</w:t>
      </w:r>
      <w:r>
        <w:rPr>
          <w:rFonts w:hint="eastAsia" w:ascii="宋体" w:hAnsi="宋体" w:cs="宋体"/>
          <w:color w:val="auto"/>
          <w:sz w:val="24"/>
          <w:highlight w:val="none"/>
        </w:rPr>
        <w:t>）符合参加政府采购活动应当具备的一般条件的承诺函（格式见附件）；</w:t>
      </w:r>
    </w:p>
    <w:p w14:paraId="783545EC">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）联合体协议书/分包意向协议；（联合体投标/分包时提供，格式见附件）；</w:t>
      </w:r>
    </w:p>
    <w:p w14:paraId="6C67A0FD">
      <w:pPr>
        <w:spacing w:line="360" w:lineRule="auto"/>
        <w:rPr>
          <w:rFonts w:ascii="宋体" w:hAnsi="宋体" w:cs="宋体"/>
          <w:b/>
          <w:bCs/>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）中小企业声明函（格式见附件）</w:t>
      </w:r>
      <w:r>
        <w:rPr>
          <w:rFonts w:hint="eastAsia" w:ascii="宋体" w:hAnsi="宋体" w:cs="宋体"/>
          <w:color w:val="auto"/>
          <w:sz w:val="24"/>
          <w:highlight w:val="none"/>
          <w:lang w:val="en-US" w:eastAsia="zh-CN"/>
        </w:rPr>
        <w:t>；</w:t>
      </w:r>
    </w:p>
    <w:p w14:paraId="3D771240">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41674AB">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）浙江政府采购网注册正式供应商的网络截图或承诺中标后30天内注册为浙江政府采购网正式供应商（须提供承诺书）；</w:t>
      </w:r>
    </w:p>
    <w:p w14:paraId="450A51DF">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）东阳市政府采购代理机构社会评价表（格式见附件）；</w:t>
      </w:r>
    </w:p>
    <w:p w14:paraId="53A17E4F">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）投标声明书 (格式见附件) ；</w:t>
      </w:r>
    </w:p>
    <w:p w14:paraId="3BEC0442">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）政府采购活动现场确认声明书 (格式见附件)；</w:t>
      </w:r>
    </w:p>
    <w:p w14:paraId="6A8BDFC0">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）投标人情况介绍；</w:t>
      </w:r>
    </w:p>
    <w:p w14:paraId="6113D867">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）投标人认为有必要提供的其它文件。</w:t>
      </w:r>
    </w:p>
    <w:p w14:paraId="566BBF70">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2.商务技术文件</w:t>
      </w:r>
    </w:p>
    <w:p w14:paraId="3612ABCA">
      <w:pPr>
        <w:spacing w:line="360" w:lineRule="auto"/>
        <w:rPr>
          <w:rFonts w:hint="eastAsia" w:ascii="宋体" w:hAnsi="宋体" w:cs="宋体"/>
          <w:color w:val="auto"/>
          <w:sz w:val="24"/>
          <w:highlight w:val="none"/>
        </w:rPr>
      </w:pPr>
      <w:r>
        <w:rPr>
          <w:rFonts w:hint="eastAsia" w:ascii="宋体" w:hAnsi="宋体" w:cs="宋体"/>
          <w:color w:val="auto"/>
          <w:sz w:val="24"/>
          <w:highlight w:val="none"/>
        </w:rPr>
        <w:t>（1）投标人资信商务、技术自评得分表（格式见附件）；</w:t>
      </w:r>
    </w:p>
    <w:p w14:paraId="285BA579">
      <w:pPr>
        <w:spacing w:line="360" w:lineRule="auto"/>
        <w:rPr>
          <w:rFonts w:hint="eastAsia" w:ascii="宋体" w:hAnsi="宋体" w:cs="宋体"/>
          <w:color w:val="auto"/>
          <w:sz w:val="24"/>
          <w:highlight w:val="none"/>
        </w:rPr>
      </w:pPr>
      <w:r>
        <w:rPr>
          <w:rFonts w:hint="eastAsia" w:ascii="宋体" w:hAnsi="宋体" w:cs="宋体"/>
          <w:color w:val="auto"/>
          <w:sz w:val="24"/>
          <w:highlight w:val="none"/>
        </w:rPr>
        <w:t>（2）商务响应表（格式见附件</w:t>
      </w:r>
      <w:r>
        <w:rPr>
          <w:rFonts w:hint="default" w:ascii="宋体" w:hAnsi="宋体" w:cs="宋体"/>
          <w:color w:val="auto"/>
          <w:sz w:val="24"/>
          <w:highlight w:val="none"/>
          <w:lang w:val="en-US"/>
        </w:rPr>
        <w:t xml:space="preserve">  </w:t>
      </w:r>
      <w:r>
        <w:rPr>
          <w:rFonts w:hint="eastAsia" w:ascii="宋体" w:hAnsi="宋体" w:cs="宋体"/>
          <w:color w:val="auto"/>
          <w:sz w:val="24"/>
          <w:highlight w:val="none"/>
        </w:rPr>
        <w:t>）；</w:t>
      </w:r>
    </w:p>
    <w:p w14:paraId="190EDC7A">
      <w:pPr>
        <w:spacing w:line="360" w:lineRule="auto"/>
        <w:rPr>
          <w:rFonts w:hint="eastAsia" w:ascii="宋体" w:hAnsi="宋体" w:cs="宋体"/>
          <w:color w:val="auto"/>
          <w:sz w:val="24"/>
          <w:highlight w:val="none"/>
        </w:rPr>
      </w:pPr>
      <w:r>
        <w:rPr>
          <w:rFonts w:hint="eastAsia" w:ascii="宋体" w:hAnsi="宋体" w:cs="宋体"/>
          <w:color w:val="auto"/>
          <w:sz w:val="24"/>
          <w:highlight w:val="none"/>
        </w:rPr>
        <w:t>（3）技术响应表（格式见附件）；</w:t>
      </w:r>
    </w:p>
    <w:p w14:paraId="3BD6F413">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）产品配置清单（格式见附件）；</w:t>
      </w:r>
    </w:p>
    <w:p w14:paraId="68BCC9BF">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）技术响应情况；</w:t>
      </w:r>
    </w:p>
    <w:p w14:paraId="0753AC38">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）项目技术方案及实施条件；</w:t>
      </w:r>
    </w:p>
    <w:p w14:paraId="21748FA9">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）安装、调试、验收；</w:t>
      </w:r>
    </w:p>
    <w:p w14:paraId="1A328F6B">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）质保期；</w:t>
      </w:r>
    </w:p>
    <w:p w14:paraId="42AC35CE">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）应急方案；</w:t>
      </w:r>
    </w:p>
    <w:p w14:paraId="4C378DFB">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）培训方案；</w:t>
      </w:r>
    </w:p>
    <w:p w14:paraId="75DDFAFE">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hAnsi="宋体" w:cs="宋体"/>
          <w:color w:val="auto"/>
          <w:sz w:val="24"/>
          <w:highlight w:val="none"/>
          <w:lang w:val="en-US" w:eastAsia="zh-CN"/>
        </w:rPr>
        <w:t>企业证书</w:t>
      </w:r>
      <w:r>
        <w:rPr>
          <w:rFonts w:hint="eastAsia" w:ascii="宋体" w:hAnsi="宋体" w:cs="宋体"/>
          <w:color w:val="auto"/>
          <w:sz w:val="24"/>
          <w:highlight w:val="none"/>
          <w:lang w:val="en-US" w:eastAsia="zh-CN"/>
        </w:rPr>
        <w:t>；</w:t>
      </w:r>
    </w:p>
    <w:p w14:paraId="60CD915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）同类业绩（格式见附件）；</w:t>
      </w:r>
    </w:p>
    <w:p w14:paraId="5EC2EF43">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）实施人员</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 xml:space="preserve"> </w:t>
      </w:r>
    </w:p>
    <w:p w14:paraId="3C2B436E">
      <w:pPr>
        <w:spacing w:line="360" w:lineRule="auto"/>
        <w:rPr>
          <w:rFonts w:hint="eastAsia" w:ascii="宋体" w:hAnsi="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）售后服务保障及运维能力</w:t>
      </w:r>
      <w:r>
        <w:rPr>
          <w:rFonts w:hint="eastAsia" w:ascii="宋体" w:hAnsi="宋体" w:cs="宋体"/>
          <w:color w:val="auto"/>
          <w:sz w:val="24"/>
          <w:highlight w:val="none"/>
          <w:lang w:eastAsia="zh-CN"/>
        </w:rPr>
        <w:t>；</w:t>
      </w:r>
    </w:p>
    <w:p w14:paraId="3EBB2265">
      <w:pPr>
        <w:spacing w:line="360" w:lineRule="auto"/>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15</w:t>
      </w:r>
      <w:r>
        <w:rPr>
          <w:rFonts w:hint="eastAsia" w:ascii="宋体" w:hAnsi="宋体" w:cs="宋体"/>
          <w:color w:val="auto"/>
          <w:sz w:val="24"/>
          <w:highlight w:val="none"/>
          <w:lang w:eastAsia="zh-CN"/>
        </w:rPr>
        <w:t>）</w:t>
      </w:r>
      <w:r>
        <w:rPr>
          <w:rFonts w:hint="eastAsia" w:ascii="宋体" w:hAnsi="宋体" w:cs="宋体"/>
          <w:color w:val="auto"/>
          <w:sz w:val="24"/>
          <w:highlight w:val="none"/>
        </w:rPr>
        <w:t>环保节能产品</w:t>
      </w:r>
      <w:r>
        <w:rPr>
          <w:rFonts w:hint="eastAsia" w:ascii="宋体" w:hAnsi="宋体" w:cs="宋体"/>
          <w:color w:val="auto"/>
          <w:sz w:val="24"/>
          <w:highlight w:val="none"/>
          <w:lang w:eastAsia="zh-CN"/>
        </w:rPr>
        <w:t>；</w:t>
      </w:r>
    </w:p>
    <w:p w14:paraId="45D354D7">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）服务费承诺书（格式见附件）；</w:t>
      </w:r>
    </w:p>
    <w:p w14:paraId="141A2415">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17</w:t>
      </w:r>
      <w:r>
        <w:rPr>
          <w:rFonts w:hint="eastAsia" w:ascii="宋体" w:hAnsi="宋体" w:cs="宋体"/>
          <w:color w:val="auto"/>
          <w:sz w:val="24"/>
          <w:highlight w:val="none"/>
        </w:rPr>
        <w:t>）投标人需要说明的其他文件和说明。</w:t>
      </w:r>
    </w:p>
    <w:p w14:paraId="2740ED41">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3.报价文件</w:t>
      </w:r>
    </w:p>
    <w:p w14:paraId="0A8D3FE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（1）投标函（格式见附件）；</w:t>
      </w:r>
    </w:p>
    <w:p w14:paraId="0E56CB6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（2）中小企业声明函（格式见附件）；</w:t>
      </w:r>
    </w:p>
    <w:p w14:paraId="0B2E4CD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（3）监狱企业证明文件；</w:t>
      </w:r>
    </w:p>
    <w:p w14:paraId="7642552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（4）联合体协议书/分包意向协议；（联合体投标/分包时提供，格式见附件）</w:t>
      </w:r>
    </w:p>
    <w:p w14:paraId="738CC77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（5）残疾人福利性单位声明函（格式见附件）；</w:t>
      </w:r>
    </w:p>
    <w:p w14:paraId="2811663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（6）开标一览表（格式见附件）； </w:t>
      </w:r>
    </w:p>
    <w:p w14:paraId="1918B5AB">
      <w:pPr>
        <w:snapToGrid w:val="0"/>
        <w:spacing w:line="360" w:lineRule="auto"/>
        <w:rPr>
          <w:rFonts w:ascii="宋体" w:hAnsi="宋体" w:cs="宋体"/>
          <w:b/>
          <w:bCs/>
          <w:color w:val="auto"/>
          <w:sz w:val="24"/>
          <w:highlight w:val="none"/>
        </w:rPr>
      </w:pPr>
      <w:r>
        <w:rPr>
          <w:rFonts w:hint="eastAsia" w:ascii="宋体" w:hAnsi="宋体" w:cs="宋体"/>
          <w:color w:val="auto"/>
          <w:sz w:val="24"/>
          <w:highlight w:val="none"/>
        </w:rPr>
        <w:t>（7）投标人针对报价需要说明的其他文件和说明（格式自拟）。</w:t>
      </w:r>
    </w:p>
    <w:p w14:paraId="39DCC7D9">
      <w:pPr>
        <w:spacing w:line="360" w:lineRule="auto"/>
        <w:rPr>
          <w:rFonts w:ascii="宋体" w:hAnsi="宋体" w:cs="宋体"/>
          <w:b/>
          <w:color w:val="auto"/>
          <w:sz w:val="24"/>
          <w:highlight w:val="none"/>
        </w:rPr>
      </w:pPr>
      <w:r>
        <w:rPr>
          <w:rFonts w:hint="eastAsia" w:ascii="宋体" w:hAnsi="宋体" w:cs="宋体"/>
          <w:b/>
          <w:bCs/>
          <w:color w:val="auto"/>
          <w:sz w:val="24"/>
          <w:highlight w:val="none"/>
        </w:rPr>
        <w:t>▲</w:t>
      </w:r>
      <w:r>
        <w:rPr>
          <w:rFonts w:hint="eastAsia" w:ascii="宋体" w:hAnsi="宋体" w:cs="宋体"/>
          <w:b/>
          <w:color w:val="auto"/>
          <w:sz w:val="24"/>
          <w:highlight w:val="none"/>
        </w:rPr>
        <w:t>（二）投标文件的语言及计量</w:t>
      </w:r>
    </w:p>
    <w:p w14:paraId="427B967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1．投标文件以及投标方与招标方就有关投标事宜的所有来往函电，均应以中文汉语书写。除签名、盖章、专用名称等特殊情形外，以中文汉语以外的文字表述的投标文件视同未提供。</w:t>
      </w:r>
    </w:p>
    <w:p w14:paraId="310D5D87">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2.投标计量单位，应采用中华人民共和国法定计量单位（货币单位：人民币元），否则视同未响应。</w:t>
      </w:r>
    </w:p>
    <w:p w14:paraId="1C1D933E">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▲（三）投标报价</w:t>
      </w:r>
    </w:p>
    <w:p w14:paraId="374C6CC6">
      <w:pPr>
        <w:spacing w:line="360" w:lineRule="auto"/>
        <w:rPr>
          <w:rFonts w:ascii="宋体" w:hAnsi="宋体" w:cs="宋体"/>
          <w:color w:val="auto"/>
          <w:sz w:val="24"/>
          <w:highlight w:val="none"/>
        </w:rPr>
      </w:pPr>
      <w:r>
        <w:rPr>
          <w:rFonts w:hint="eastAsia" w:ascii="宋体" w:hAnsi="宋体" w:cs="宋体"/>
          <w:color w:val="auto"/>
          <w:sz w:val="24"/>
          <w:highlight w:val="none"/>
        </w:rPr>
        <w:t>1.投标报价应按招标文件中相关附表格式填写。</w:t>
      </w:r>
    </w:p>
    <w:p w14:paraId="64C9C9D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olor w:val="auto"/>
          <w:sz w:val="24"/>
          <w:highlight w:val="none"/>
        </w:rPr>
        <w:t>投标报价是履行合同的最终价格，包括</w:t>
      </w:r>
      <w:r>
        <w:rPr>
          <w:rFonts w:hint="eastAsia" w:ascii="宋体" w:hAnsi="宋体"/>
          <w:color w:val="auto"/>
          <w:sz w:val="24"/>
          <w:highlight w:val="none"/>
          <w:lang w:eastAsia="zh-CN"/>
        </w:rPr>
        <w:t>产品购置费、随机配送（备品备件、另配件、专用工具）、运杂费、保险费、到货验收、保管、安装、调试、试运行、检验、</w:t>
      </w:r>
      <w:r>
        <w:rPr>
          <w:rFonts w:hint="eastAsia" w:ascii="宋体" w:hAnsi="宋体"/>
          <w:color w:val="auto"/>
          <w:sz w:val="24"/>
          <w:highlight w:val="none"/>
          <w:lang w:val="en-US" w:eastAsia="zh-CN"/>
        </w:rPr>
        <w:t>监理费用、</w:t>
      </w:r>
      <w:r>
        <w:rPr>
          <w:rFonts w:hint="eastAsia" w:ascii="宋体" w:hAnsi="宋体"/>
          <w:color w:val="auto"/>
          <w:sz w:val="24"/>
          <w:highlight w:val="none"/>
          <w:lang w:eastAsia="zh-CN"/>
        </w:rPr>
        <w:t>培训费、验收、交付使用、保修期内的售后服务等完成本项目的一切费用及税金。</w:t>
      </w:r>
      <w:r>
        <w:rPr>
          <w:rFonts w:hint="eastAsia" w:ascii="宋体" w:hAnsi="宋体"/>
          <w:color w:val="auto"/>
          <w:sz w:val="24"/>
          <w:highlight w:val="none"/>
        </w:rPr>
        <w:t>投标人所投报的投标报价为投标人所能承受的整个项目的一次性最终最低报价，如有漏项，视同已包含在</w:t>
      </w:r>
      <w:r>
        <w:rPr>
          <w:rFonts w:hint="eastAsia" w:ascii="宋体" w:hAnsi="宋体"/>
          <w:color w:val="auto"/>
          <w:sz w:val="24"/>
          <w:highlight w:val="none"/>
          <w:lang w:val="en-US" w:eastAsia="zh-CN"/>
        </w:rPr>
        <w:t>本</w:t>
      </w:r>
      <w:r>
        <w:rPr>
          <w:rFonts w:hint="eastAsia" w:ascii="宋体" w:hAnsi="宋体"/>
          <w:color w:val="auto"/>
          <w:sz w:val="24"/>
          <w:highlight w:val="none"/>
        </w:rPr>
        <w:t>项目中，合同单价和总价不作调整。</w:t>
      </w:r>
    </w:p>
    <w:p w14:paraId="73554F5A">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（四）投标文件的有效期</w:t>
      </w:r>
    </w:p>
    <w:p w14:paraId="45BFF000">
      <w:pPr>
        <w:spacing w:line="360" w:lineRule="auto"/>
        <w:rPr>
          <w:rFonts w:ascii="宋体" w:hAnsi="宋体" w:cs="宋体"/>
          <w:color w:val="auto"/>
          <w:sz w:val="24"/>
          <w:highlight w:val="none"/>
        </w:rPr>
      </w:pPr>
      <w:bookmarkStart w:id="43" w:name="_Toc405368930"/>
      <w:bookmarkStart w:id="44" w:name="_Toc450548873"/>
      <w:r>
        <w:rPr>
          <w:rFonts w:hint="eastAsia" w:ascii="宋体" w:hAnsi="宋体" w:cs="宋体"/>
          <w:b/>
          <w:bCs/>
          <w:color w:val="auto"/>
          <w:sz w:val="24"/>
          <w:highlight w:val="none"/>
        </w:rPr>
        <w:t>▲</w:t>
      </w:r>
      <w:r>
        <w:rPr>
          <w:rFonts w:hint="eastAsia" w:ascii="宋体" w:hAnsi="宋体" w:cs="宋体"/>
          <w:color w:val="auto"/>
          <w:sz w:val="24"/>
          <w:highlight w:val="none"/>
        </w:rPr>
        <w:t>1.自投标截止日起</w:t>
      </w:r>
      <w:r>
        <w:rPr>
          <w:rFonts w:hint="eastAsia" w:ascii="宋体" w:hAnsi="宋体" w:cs="宋体"/>
          <w:color w:val="auto"/>
          <w:sz w:val="24"/>
          <w:highlight w:val="none"/>
          <w:u w:val="single"/>
        </w:rPr>
        <w:t>60</w:t>
      </w:r>
      <w:r>
        <w:rPr>
          <w:rFonts w:hint="eastAsia" w:ascii="宋体" w:hAnsi="宋体" w:cs="宋体"/>
          <w:color w:val="auto"/>
          <w:sz w:val="24"/>
          <w:highlight w:val="none"/>
        </w:rPr>
        <w:t>天投标文件应保持有效。有效期不足的投标文件将被拒绝。</w:t>
      </w:r>
    </w:p>
    <w:p w14:paraId="13DBBC41">
      <w:pPr>
        <w:spacing w:line="360" w:lineRule="auto"/>
        <w:rPr>
          <w:rFonts w:ascii="宋体" w:hAnsi="宋体" w:cs="宋体"/>
          <w:color w:val="auto"/>
          <w:sz w:val="24"/>
          <w:highlight w:val="none"/>
        </w:rPr>
      </w:pPr>
      <w:r>
        <w:rPr>
          <w:rFonts w:hint="eastAsia" w:ascii="宋体" w:hAnsi="宋体" w:cs="宋体"/>
          <w:color w:val="auto"/>
          <w:sz w:val="24"/>
          <w:highlight w:val="none"/>
        </w:rPr>
        <w:t>2.在特殊情况下，招标人可与投标人协商延长投标书的有效期，这种要求和答复均以书面形式进行。</w:t>
      </w:r>
    </w:p>
    <w:p w14:paraId="19B2F05E">
      <w:pPr>
        <w:spacing w:line="360" w:lineRule="auto"/>
        <w:rPr>
          <w:rFonts w:ascii="宋体" w:hAnsi="宋体" w:cs="宋体"/>
          <w:color w:val="auto"/>
          <w:sz w:val="24"/>
          <w:highlight w:val="none"/>
        </w:rPr>
      </w:pPr>
      <w:bookmarkStart w:id="45" w:name="_Toc407182105"/>
      <w:r>
        <w:rPr>
          <w:rFonts w:hint="eastAsia" w:ascii="宋体" w:hAnsi="宋体" w:cs="宋体"/>
          <w:color w:val="auto"/>
          <w:sz w:val="24"/>
          <w:highlight w:val="none"/>
        </w:rPr>
        <w:t>3.投标人可拒绝接受延期要求，若同意延长有效期的投标人，则不能修改投标文件。</w:t>
      </w:r>
      <w:bookmarkEnd w:id="45"/>
      <w:r>
        <w:rPr>
          <w:rFonts w:hint="eastAsia" w:ascii="宋体" w:hAnsi="宋体" w:cs="宋体"/>
          <w:color w:val="auto"/>
          <w:sz w:val="24"/>
          <w:highlight w:val="none"/>
        </w:rPr>
        <w:t xml:space="preserve"> </w:t>
      </w:r>
    </w:p>
    <w:p w14:paraId="6C543964">
      <w:pPr>
        <w:spacing w:line="360" w:lineRule="auto"/>
        <w:rPr>
          <w:rFonts w:ascii="宋体" w:hAnsi="宋体" w:cs="宋体"/>
          <w:color w:val="auto"/>
          <w:sz w:val="24"/>
          <w:highlight w:val="none"/>
        </w:rPr>
      </w:pPr>
      <w:r>
        <w:rPr>
          <w:rFonts w:hint="eastAsia" w:ascii="宋体" w:hAnsi="宋体" w:cs="宋体"/>
          <w:color w:val="auto"/>
          <w:sz w:val="24"/>
          <w:highlight w:val="none"/>
        </w:rPr>
        <w:t>4.中标人的投标文件自开标之日起至合同履行完毕止均应保持有效。</w:t>
      </w:r>
    </w:p>
    <w:bookmarkEnd w:id="43"/>
    <w:bookmarkEnd w:id="44"/>
    <w:p w14:paraId="5A8427F9">
      <w:pPr>
        <w:spacing w:line="360" w:lineRule="auto"/>
        <w:rPr>
          <w:rFonts w:ascii="宋体" w:hAnsi="宋体" w:cs="宋体"/>
          <w:b/>
          <w:color w:val="auto"/>
          <w:sz w:val="24"/>
          <w:highlight w:val="none"/>
        </w:rPr>
      </w:pPr>
      <w:r>
        <w:rPr>
          <w:rFonts w:hint="eastAsia" w:ascii="宋体" w:hAnsi="宋体" w:cs="宋体"/>
          <w:b/>
          <w:bCs/>
          <w:color w:val="auto"/>
          <w:sz w:val="24"/>
          <w:highlight w:val="none"/>
        </w:rPr>
        <w:t>▲</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七</w:t>
      </w:r>
      <w:r>
        <w:rPr>
          <w:rFonts w:hint="eastAsia" w:ascii="宋体" w:hAnsi="宋体" w:cs="宋体"/>
          <w:b/>
          <w:color w:val="auto"/>
          <w:sz w:val="24"/>
          <w:highlight w:val="none"/>
        </w:rPr>
        <w:t>）投标文件的签署和份数</w:t>
      </w:r>
    </w:p>
    <w:p w14:paraId="3397EF06">
      <w:pPr>
        <w:numPr>
          <w:ilvl w:val="0"/>
          <w:numId w:val="9"/>
        </w:numPr>
        <w:spacing w:line="360" w:lineRule="auto"/>
        <w:rPr>
          <w:rFonts w:ascii="宋体" w:hAnsi="宋体" w:cs="宋体"/>
          <w:color w:val="auto"/>
          <w:sz w:val="24"/>
          <w:highlight w:val="none"/>
        </w:rPr>
      </w:pPr>
      <w:r>
        <w:rPr>
          <w:rFonts w:hint="eastAsia" w:ascii="宋体" w:hAnsi="宋体" w:cs="宋体"/>
          <w:color w:val="auto"/>
          <w:sz w:val="24"/>
          <w:highlight w:val="none"/>
        </w:rPr>
        <w:t>投标人应按本招标文件规定的格式和顺序编制投标文件并标注页码，因投标文件内容不完整、编排混乱、放弃关联点或关联点错误等原因导致投标文件被误读、漏读或者查找不到相关内容等风险由投标人自行承担。</w:t>
      </w:r>
    </w:p>
    <w:p w14:paraId="10E006D0">
      <w:pPr>
        <w:spacing w:line="360" w:lineRule="auto"/>
        <w:rPr>
          <w:rFonts w:ascii="宋体" w:hAnsi="宋体" w:cs="宋体"/>
          <w:b/>
          <w:color w:val="auto"/>
          <w:sz w:val="24"/>
          <w:highlight w:val="none"/>
        </w:rPr>
      </w:pPr>
      <w:r>
        <w:rPr>
          <w:rFonts w:hint="eastAsia" w:ascii="宋体" w:hAnsi="宋体" w:cs="宋体"/>
          <w:b/>
          <w:color w:val="auto"/>
          <w:sz w:val="24"/>
          <w:highlight w:val="none"/>
        </w:rPr>
        <w:t>2. 投标文件需盖章签字的地方必须由投标人法定代表人或法定代表人的授权委托人签署并加盖单位公章，投标人应写全称。</w:t>
      </w:r>
    </w:p>
    <w:p w14:paraId="01E581FA">
      <w:pPr>
        <w:spacing w:line="360" w:lineRule="auto"/>
        <w:rPr>
          <w:rFonts w:ascii="宋体" w:hAnsi="宋体" w:cs="宋体"/>
          <w:color w:val="auto"/>
          <w:sz w:val="24"/>
          <w:highlight w:val="none"/>
        </w:rPr>
      </w:pPr>
      <w:r>
        <w:rPr>
          <w:rFonts w:hint="eastAsia" w:ascii="宋体" w:hAnsi="宋体" w:cs="宋体"/>
          <w:color w:val="auto"/>
          <w:sz w:val="24"/>
          <w:highlight w:val="none"/>
        </w:rPr>
        <w:t>3.投标文件不得涂改，若有修改错漏处，须加盖单位公章和由法定代表人或授权委托人签字或盖章。投标文件因字迹潦草或表达不清所引起的后果由投标人负责。</w:t>
      </w:r>
    </w:p>
    <w:p w14:paraId="43717F8B">
      <w:pPr>
        <w:spacing w:line="360" w:lineRule="auto"/>
        <w:rPr>
          <w:rFonts w:ascii="宋体" w:hAnsi="宋体" w:cs="宋体"/>
          <w:b/>
          <w:color w:val="auto"/>
          <w:sz w:val="24"/>
          <w:highlight w:val="none"/>
        </w:rPr>
      </w:pPr>
      <w:r>
        <w:rPr>
          <w:rFonts w:hint="eastAsia" w:ascii="宋体" w:hAnsi="宋体" w:cs="宋体"/>
          <w:b/>
          <w:bCs/>
          <w:color w:val="auto"/>
          <w:sz w:val="24"/>
          <w:highlight w:val="none"/>
        </w:rPr>
        <w:t>▲</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八</w:t>
      </w:r>
      <w:r>
        <w:rPr>
          <w:rFonts w:hint="eastAsia" w:ascii="宋体" w:hAnsi="宋体" w:cs="宋体"/>
          <w:b/>
          <w:color w:val="auto"/>
          <w:sz w:val="24"/>
          <w:highlight w:val="none"/>
        </w:rPr>
        <w:t>）投标文件的上传、递交、修改和撤回</w:t>
      </w:r>
    </w:p>
    <w:p w14:paraId="1B13DF38">
      <w:pPr>
        <w:spacing w:line="360" w:lineRule="auto"/>
        <w:ind w:firstLine="495"/>
        <w:rPr>
          <w:rFonts w:ascii="宋体" w:hAnsi="宋体" w:cs="宋体"/>
          <w:color w:val="auto"/>
          <w:sz w:val="24"/>
          <w:highlight w:val="none"/>
        </w:rPr>
      </w:pPr>
      <w:r>
        <w:rPr>
          <w:rFonts w:hint="eastAsia" w:ascii="宋体" w:hAnsi="宋体" w:cs="宋体"/>
          <w:color w:val="auto"/>
          <w:sz w:val="24"/>
          <w:highlight w:val="none"/>
        </w:rPr>
        <w:t>1. 投标人应当在投标截止时间前在“政采云”（电子交易平台）上自行上传加密的电子投标文件。</w:t>
      </w:r>
    </w:p>
    <w:p w14:paraId="7BB462F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2.未按规定上传的投标文件将被拒绝，由此造成投标文件解密失败或被误投的风险由投标人承担。</w:t>
      </w:r>
    </w:p>
    <w:p w14:paraId="14B3E74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 投标人未在“政采云”（电子交易平台）上自行上传加密的电子投标文件，仅提交电子备份投标文件的，投标无效。</w:t>
      </w:r>
    </w:p>
    <w:p w14:paraId="6E4BBA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 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上传的投标响应文件，将被政采云平台拒收。</w:t>
      </w:r>
    </w:p>
    <w:p w14:paraId="779DB6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在投标截止时间之前，可以对已提交的电子备份投标文件进行修改或撤回，并书面通知招标采购单位；修改后重新递交的电子备份投标文件应当按本招标文件的要求签署、盖章。投标截止时间后，投标人不得撤回、修改电子备份投标文件。</w:t>
      </w:r>
    </w:p>
    <w:p w14:paraId="3199E6C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 截止开标时间，政采云（电子交易平台）自动提取所有投标文件，投标人须在开标时间截止后30分钟内对上传政采云的投标文件进行解密，所有投标人在规定的解密时限内解密完成或解密时限到后，采购代理机构开启投标文件；投标人超过解密时限的，系统默认自动放弃。</w:t>
      </w:r>
    </w:p>
    <w:p w14:paraId="33635D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 电子投标文件无法解密或解密失败时，投标人提供了电子备份投标文件的，以电子备份投标文件作为评审依据，否则视为投标文件撤回。投标文件已按时解密的，电子备份投标文件自动失效。</w:t>
      </w:r>
    </w:p>
    <w:p w14:paraId="12F5C4CE">
      <w:pPr>
        <w:spacing w:line="360" w:lineRule="auto"/>
        <w:rPr>
          <w:rFonts w:ascii="宋体" w:hAnsi="宋体" w:cs="宋体"/>
          <w:b/>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w:t>
      </w:r>
      <w:r>
        <w:rPr>
          <w:rFonts w:hint="eastAsia" w:ascii="宋体" w:hAnsi="宋体" w:cs="宋体"/>
          <w:b/>
          <w:color w:val="auto"/>
          <w:sz w:val="24"/>
          <w:highlight w:val="none"/>
          <w:lang w:val="en-US" w:eastAsia="zh-CN"/>
        </w:rPr>
        <w:t>九</w:t>
      </w:r>
      <w:r>
        <w:rPr>
          <w:rFonts w:hint="eastAsia" w:ascii="宋体" w:hAnsi="宋体" w:cs="宋体"/>
          <w:b/>
          <w:color w:val="auto"/>
          <w:sz w:val="24"/>
          <w:highlight w:val="none"/>
        </w:rPr>
        <w:t>）投标无效的情形</w:t>
      </w:r>
    </w:p>
    <w:p w14:paraId="716C2A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限期内不补正或经补正后仍不符合招标文件要求的，应认定其投标无效。投标人修改、补正投标文件后，不影响评标委员会对其投标文件所作的评价和评分结果。</w:t>
      </w:r>
    </w:p>
    <w:p w14:paraId="04830144">
      <w:pPr>
        <w:spacing w:line="360" w:lineRule="auto"/>
        <w:rPr>
          <w:rFonts w:ascii="宋体" w:hAnsi="宋体" w:cs="宋体"/>
          <w:b/>
          <w:color w:val="auto"/>
          <w:sz w:val="24"/>
          <w:highlight w:val="none"/>
        </w:rPr>
      </w:pPr>
      <w:r>
        <w:rPr>
          <w:rFonts w:hint="eastAsia" w:ascii="宋体" w:hAnsi="宋体" w:cs="宋体"/>
          <w:b/>
          <w:color w:val="auto"/>
          <w:sz w:val="24"/>
          <w:highlight w:val="none"/>
        </w:rPr>
        <w:t>1.在符合性审查和商务评审时，如发现下列情形之一的，投标文件将被视为无效：</w:t>
      </w:r>
    </w:p>
    <w:p w14:paraId="69C3A177">
      <w:pPr>
        <w:spacing w:line="360" w:lineRule="auto"/>
        <w:rPr>
          <w:rFonts w:ascii="宋体" w:hAnsi="宋体" w:cs="宋体"/>
          <w:color w:val="auto"/>
          <w:sz w:val="24"/>
          <w:highlight w:val="none"/>
        </w:rPr>
      </w:pPr>
      <w:r>
        <w:rPr>
          <w:rFonts w:hint="eastAsia" w:ascii="宋体" w:hAnsi="宋体" w:cs="宋体"/>
          <w:color w:val="auto"/>
          <w:sz w:val="24"/>
          <w:highlight w:val="none"/>
        </w:rPr>
        <w:t>（1）投标人仅提交电子备份投标文件的；</w:t>
      </w:r>
    </w:p>
    <w:p w14:paraId="521F20F0">
      <w:pPr>
        <w:spacing w:line="360" w:lineRule="auto"/>
        <w:ind w:firstLine="120" w:firstLineChars="50"/>
        <w:rPr>
          <w:rFonts w:ascii="宋体" w:hAnsi="宋体" w:cs="宋体"/>
          <w:color w:val="auto"/>
          <w:sz w:val="24"/>
          <w:highlight w:val="none"/>
        </w:rPr>
      </w:pPr>
      <w:r>
        <w:rPr>
          <w:rFonts w:hint="eastAsia" w:ascii="宋体" w:hAnsi="宋体" w:cs="宋体"/>
          <w:color w:val="auto"/>
          <w:sz w:val="24"/>
          <w:highlight w:val="none"/>
        </w:rPr>
        <w:t>(2) 在开评标时出现电子投标文件无法解密或解密失败等情况，投标人未提供电子备份投标文件，无法对投标人继续进行评审的；</w:t>
      </w:r>
    </w:p>
    <w:p w14:paraId="58166F99">
      <w:pPr>
        <w:spacing w:line="360" w:lineRule="auto"/>
        <w:rPr>
          <w:rFonts w:ascii="宋体" w:hAnsi="宋体" w:cs="宋体"/>
          <w:color w:val="auto"/>
          <w:sz w:val="24"/>
          <w:highlight w:val="none"/>
        </w:rPr>
      </w:pPr>
      <w:r>
        <w:rPr>
          <w:rFonts w:hint="eastAsia" w:ascii="宋体" w:hAnsi="宋体" w:cs="宋体"/>
          <w:color w:val="auto"/>
          <w:sz w:val="24"/>
          <w:highlight w:val="none"/>
        </w:rPr>
        <w:t>（3）投标人未在规定的时间内对电子询标函进行澄清回复、拒绝澄清回复或澄清回复的内容改变了投标文件的实质性内容的；</w:t>
      </w:r>
    </w:p>
    <w:p w14:paraId="34DBE22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（4）网上下载的证明文件，不能通过真实性验证的（发现提供虚假资料的，按照提供虚假资料处理）； </w:t>
      </w:r>
    </w:p>
    <w:p w14:paraId="094829E9">
      <w:pPr>
        <w:spacing w:line="450" w:lineRule="exact"/>
        <w:rPr>
          <w:rFonts w:ascii="宋体" w:hAnsi="宋体" w:cs="宋体"/>
          <w:color w:val="auto"/>
          <w:sz w:val="24"/>
          <w:highlight w:val="none"/>
        </w:rPr>
      </w:pPr>
      <w:r>
        <w:rPr>
          <w:rFonts w:hint="eastAsia" w:ascii="宋体" w:hAnsi="宋体" w:cs="宋体"/>
          <w:color w:val="auto"/>
          <w:sz w:val="24"/>
          <w:highlight w:val="none"/>
        </w:rPr>
        <w:t>（5）资格证明文件不全的，或者不符合招标文件标明的资格要求的，及未提供招标文件中标有“▲”特殊符号的证明文件的；</w:t>
      </w:r>
    </w:p>
    <w:p w14:paraId="25D81FC0">
      <w:pPr>
        <w:spacing w:line="450" w:lineRule="exact"/>
        <w:rPr>
          <w:rFonts w:ascii="宋体" w:hAnsi="宋体" w:cs="宋体"/>
          <w:color w:val="auto"/>
          <w:sz w:val="24"/>
          <w:highlight w:val="none"/>
        </w:rPr>
      </w:pPr>
      <w:r>
        <w:rPr>
          <w:rFonts w:hint="eastAsia" w:ascii="宋体" w:hAnsi="宋体" w:cs="宋体"/>
          <w:color w:val="auto"/>
          <w:sz w:val="24"/>
          <w:highlight w:val="none"/>
        </w:rPr>
        <w:t>（6）本项目投标截止之日前三年内，相关主体在“信用中国”网站、中国政府采购网有失信行为或被列入受惩黑名单。</w:t>
      </w:r>
    </w:p>
    <w:p w14:paraId="45C50DC9">
      <w:pPr>
        <w:pStyle w:val="15"/>
        <w:rPr>
          <w:color w:val="auto"/>
          <w:highlight w:val="none"/>
        </w:rPr>
      </w:pPr>
    </w:p>
    <w:p w14:paraId="25100C3D">
      <w:pPr>
        <w:spacing w:line="360" w:lineRule="auto"/>
        <w:rPr>
          <w:rFonts w:ascii="宋体" w:hAnsi="宋体" w:cs="宋体"/>
          <w:color w:val="auto"/>
          <w:sz w:val="24"/>
          <w:highlight w:val="none"/>
        </w:rPr>
      </w:pPr>
      <w:r>
        <w:rPr>
          <w:rFonts w:hint="eastAsia" w:ascii="宋体" w:hAnsi="宋体" w:cs="宋体"/>
          <w:color w:val="auto"/>
          <w:sz w:val="24"/>
          <w:highlight w:val="none"/>
        </w:rPr>
        <w:t>（7）投标文件无法定代表人签字,或未提供法定代表人授权委托书、投标声明书或者填写项目不齐全的；</w:t>
      </w:r>
    </w:p>
    <w:p w14:paraId="5FD95A6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（8）投标代表人未能出具身份证明或与法定代表人授权委托人身份不符的； </w:t>
      </w:r>
    </w:p>
    <w:p w14:paraId="0F6B949D">
      <w:pPr>
        <w:spacing w:line="360" w:lineRule="auto"/>
        <w:rPr>
          <w:rFonts w:ascii="宋体" w:hAnsi="宋体" w:cs="宋体"/>
          <w:color w:val="auto"/>
          <w:sz w:val="24"/>
          <w:highlight w:val="none"/>
        </w:rPr>
      </w:pPr>
      <w:r>
        <w:rPr>
          <w:rFonts w:hint="eastAsia" w:ascii="宋体" w:hAnsi="宋体" w:cs="宋体"/>
          <w:color w:val="auto"/>
          <w:sz w:val="24"/>
          <w:highlight w:val="none"/>
        </w:rPr>
        <w:t>（9）投标文件格式未按招标文件附件规定的格式、未按招标文件规定的内容编制投标文件的或者内容虚假的、未按规定签字或盖章的；</w:t>
      </w:r>
    </w:p>
    <w:p w14:paraId="2A9D1512">
      <w:pPr>
        <w:spacing w:line="360" w:lineRule="auto"/>
        <w:rPr>
          <w:rFonts w:ascii="宋体" w:hAnsi="宋体" w:cs="宋体"/>
          <w:color w:val="auto"/>
          <w:sz w:val="24"/>
          <w:highlight w:val="none"/>
        </w:rPr>
      </w:pPr>
      <w:r>
        <w:rPr>
          <w:rFonts w:hint="eastAsia" w:ascii="宋体" w:hAnsi="宋体" w:cs="宋体"/>
          <w:color w:val="auto"/>
          <w:sz w:val="24"/>
          <w:highlight w:val="none"/>
        </w:rPr>
        <w:t>（10）投标文件的实质性内容未使用中文表述的或意思表述不明确、前后矛盾的或者使用计量单位不符合招标文件要求的（经评标委员会认定并允许其当场更正的笔误除外）；</w:t>
      </w:r>
    </w:p>
    <w:p w14:paraId="6730874B">
      <w:pPr>
        <w:spacing w:line="360" w:lineRule="auto"/>
        <w:rPr>
          <w:rFonts w:ascii="宋体" w:hAnsi="宋体" w:cs="宋体"/>
          <w:color w:val="auto"/>
          <w:sz w:val="24"/>
          <w:highlight w:val="none"/>
        </w:rPr>
      </w:pPr>
      <w:r>
        <w:rPr>
          <w:rFonts w:hint="eastAsia" w:ascii="宋体" w:hAnsi="宋体" w:cs="宋体"/>
          <w:color w:val="auto"/>
          <w:sz w:val="24"/>
          <w:highlight w:val="none"/>
        </w:rPr>
        <w:t>（11）投标有效期、服务期（交货期）、质保期、付款方式等商务条款不能满足招标文件要求的；</w:t>
      </w:r>
    </w:p>
    <w:p w14:paraId="06DE1BAD">
      <w:pPr>
        <w:spacing w:line="360" w:lineRule="auto"/>
        <w:rPr>
          <w:rFonts w:ascii="宋体" w:hAnsi="宋体" w:cs="宋体"/>
          <w:color w:val="auto"/>
          <w:sz w:val="24"/>
          <w:highlight w:val="none"/>
        </w:rPr>
      </w:pPr>
      <w:r>
        <w:rPr>
          <w:rFonts w:hint="eastAsia" w:ascii="宋体" w:hAnsi="宋体" w:cs="宋体"/>
          <w:color w:val="auto"/>
          <w:sz w:val="24"/>
          <w:highlight w:val="none"/>
        </w:rPr>
        <w:t>（12）未实质性响应招标文件要求或者投标文件有招标方不能接受的附加条件的；</w:t>
      </w:r>
    </w:p>
    <w:p w14:paraId="713BF345">
      <w:pPr>
        <w:spacing w:line="360" w:lineRule="auto"/>
        <w:rPr>
          <w:rFonts w:ascii="宋体" w:hAnsi="宋体" w:cs="宋体"/>
          <w:color w:val="auto"/>
          <w:sz w:val="24"/>
          <w:highlight w:val="none"/>
        </w:rPr>
      </w:pPr>
      <w:r>
        <w:rPr>
          <w:rFonts w:hint="eastAsia" w:ascii="宋体" w:hAnsi="宋体" w:cs="宋体"/>
          <w:color w:val="auto"/>
          <w:sz w:val="24"/>
          <w:highlight w:val="none"/>
        </w:rPr>
        <w:t>（13）招标文件规定的其它投标无效的情况；</w:t>
      </w:r>
    </w:p>
    <w:p w14:paraId="1AEEAC56">
      <w:pPr>
        <w:tabs>
          <w:tab w:val="left" w:pos="401"/>
        </w:tabs>
        <w:spacing w:line="360" w:lineRule="auto"/>
        <w:rPr>
          <w:rFonts w:ascii="宋体" w:hAnsi="宋体" w:cs="宋体"/>
          <w:color w:val="auto"/>
          <w:sz w:val="24"/>
          <w:highlight w:val="none"/>
        </w:rPr>
      </w:pPr>
      <w:r>
        <w:rPr>
          <w:rFonts w:hint="eastAsia" w:ascii="宋体" w:hAnsi="宋体" w:cs="宋体"/>
          <w:color w:val="auto"/>
          <w:sz w:val="24"/>
          <w:highlight w:val="none"/>
        </w:rPr>
        <w:t>（14）法律、法规规定的其它投标无效情况。</w:t>
      </w:r>
    </w:p>
    <w:p w14:paraId="6CD3DC71">
      <w:pPr>
        <w:spacing w:line="360" w:lineRule="auto"/>
        <w:rPr>
          <w:rFonts w:ascii="宋体" w:hAnsi="宋体" w:cs="宋体"/>
          <w:b/>
          <w:color w:val="auto"/>
          <w:sz w:val="24"/>
          <w:highlight w:val="none"/>
        </w:rPr>
      </w:pPr>
      <w:r>
        <w:rPr>
          <w:rFonts w:hint="eastAsia" w:ascii="宋体" w:hAnsi="宋体" w:cs="宋体"/>
          <w:b/>
          <w:color w:val="auto"/>
          <w:sz w:val="24"/>
          <w:highlight w:val="none"/>
        </w:rPr>
        <w:t>2.在技术资信评审时，如发现下列情形之一的，投标文件将被视为无效：</w:t>
      </w:r>
    </w:p>
    <w:p w14:paraId="1E002EF0">
      <w:pPr>
        <w:spacing w:line="360" w:lineRule="auto"/>
        <w:rPr>
          <w:rFonts w:ascii="宋体" w:hAnsi="宋体" w:cs="宋体"/>
          <w:b/>
          <w:color w:val="auto"/>
          <w:sz w:val="24"/>
          <w:highlight w:val="none"/>
        </w:rPr>
      </w:pPr>
      <w:r>
        <w:rPr>
          <w:rFonts w:hint="eastAsia" w:ascii="宋体" w:hAnsi="宋体" w:cs="宋体"/>
          <w:color w:val="auto"/>
          <w:sz w:val="24"/>
          <w:highlight w:val="none"/>
        </w:rPr>
        <w:t>（1）投标人未在规定的时间内对电子询标函进行澄清回复、拒绝澄清回复或澄清回复的内容改变了投标文件的实质性内容的；</w:t>
      </w:r>
    </w:p>
    <w:p w14:paraId="35F21874">
      <w:pPr>
        <w:spacing w:line="360" w:lineRule="auto"/>
        <w:rPr>
          <w:rFonts w:ascii="宋体" w:hAnsi="宋体" w:cs="宋体"/>
          <w:color w:val="auto"/>
          <w:sz w:val="24"/>
          <w:highlight w:val="none"/>
        </w:rPr>
      </w:pPr>
      <w:r>
        <w:rPr>
          <w:rFonts w:hint="eastAsia" w:ascii="宋体" w:hAnsi="宋体" w:cs="宋体"/>
          <w:color w:val="auto"/>
          <w:sz w:val="24"/>
          <w:highlight w:val="none"/>
        </w:rPr>
        <w:t>（2）投标文件标明的响应或偏离与事实不符的或虚假投标的；</w:t>
      </w:r>
    </w:p>
    <w:p w14:paraId="795199F8">
      <w:pPr>
        <w:spacing w:line="360" w:lineRule="auto"/>
        <w:rPr>
          <w:rFonts w:ascii="宋体" w:hAnsi="宋体" w:cs="宋体"/>
          <w:color w:val="auto"/>
          <w:sz w:val="24"/>
          <w:highlight w:val="none"/>
        </w:rPr>
      </w:pPr>
      <w:r>
        <w:rPr>
          <w:rFonts w:hint="eastAsia" w:ascii="宋体" w:hAnsi="宋体" w:cs="宋体"/>
          <w:color w:val="auto"/>
          <w:sz w:val="24"/>
          <w:highlight w:val="none"/>
        </w:rPr>
        <w:t>（3）明显不符合招标文件质量标准的，或者与招标文件中标有“▲”特殊符号的技术指标、主要功能项目发生实质性偏离的；</w:t>
      </w:r>
    </w:p>
    <w:p w14:paraId="67ACFF58">
      <w:pPr>
        <w:spacing w:line="360" w:lineRule="auto"/>
        <w:rPr>
          <w:rFonts w:ascii="宋体" w:hAnsi="宋体" w:cs="宋体"/>
          <w:color w:val="auto"/>
          <w:sz w:val="24"/>
          <w:highlight w:val="none"/>
        </w:rPr>
      </w:pPr>
      <w:r>
        <w:rPr>
          <w:rFonts w:hint="eastAsia" w:ascii="宋体" w:hAnsi="宋体" w:cs="宋体"/>
          <w:color w:val="auto"/>
          <w:sz w:val="24"/>
          <w:highlight w:val="none"/>
        </w:rPr>
        <w:t>（4）招标文件中允许偏离的技术、性能指标或者辅助功能发生较大负偏离的，经评标委员会认定对项目实际使用造成影响的；</w:t>
      </w:r>
    </w:p>
    <w:p w14:paraId="5AA98CCD">
      <w:pPr>
        <w:spacing w:line="360" w:lineRule="auto"/>
        <w:rPr>
          <w:rFonts w:ascii="宋体" w:hAnsi="宋体" w:cs="宋体"/>
          <w:color w:val="auto"/>
          <w:sz w:val="24"/>
          <w:highlight w:val="none"/>
        </w:rPr>
      </w:pPr>
      <w:r>
        <w:rPr>
          <w:rFonts w:hint="eastAsia" w:ascii="宋体" w:hAnsi="宋体" w:cs="宋体"/>
          <w:color w:val="auto"/>
          <w:sz w:val="24"/>
          <w:highlight w:val="none"/>
        </w:rPr>
        <w:t>（5）投标技术方案不明确，存在一个或一个以上备选（替代）投标方案的；</w:t>
      </w:r>
    </w:p>
    <w:p w14:paraId="6799D338">
      <w:pPr>
        <w:spacing w:line="360" w:lineRule="auto"/>
        <w:rPr>
          <w:rFonts w:ascii="宋体" w:hAnsi="宋体" w:cs="宋体"/>
          <w:color w:val="auto"/>
          <w:sz w:val="24"/>
          <w:highlight w:val="none"/>
        </w:rPr>
      </w:pPr>
      <w:r>
        <w:rPr>
          <w:rFonts w:hint="eastAsia" w:ascii="宋体" w:hAnsi="宋体" w:cs="宋体"/>
          <w:color w:val="auto"/>
          <w:sz w:val="24"/>
          <w:highlight w:val="none"/>
        </w:rPr>
        <w:t>（6）与其他参加本次投标供应商的投标文件的文字表述内容相同连续20行以上或者差错相同2处以上的；</w:t>
      </w:r>
    </w:p>
    <w:p w14:paraId="1F07EE9D">
      <w:pPr>
        <w:spacing w:line="360" w:lineRule="auto"/>
        <w:rPr>
          <w:rFonts w:ascii="宋体" w:hAnsi="宋体" w:cs="宋体"/>
          <w:color w:val="auto"/>
          <w:sz w:val="24"/>
          <w:highlight w:val="none"/>
        </w:rPr>
      </w:pPr>
      <w:r>
        <w:rPr>
          <w:rFonts w:hint="eastAsia" w:ascii="宋体" w:hAnsi="宋体" w:cs="宋体"/>
          <w:color w:val="auto"/>
          <w:sz w:val="24"/>
          <w:highlight w:val="none"/>
        </w:rPr>
        <w:t>（7）在资信及商务标、技术标内出现商务报价；</w:t>
      </w:r>
    </w:p>
    <w:p w14:paraId="7098A30F">
      <w:pPr>
        <w:spacing w:line="360" w:lineRule="auto"/>
        <w:rPr>
          <w:rFonts w:ascii="宋体" w:hAnsi="宋体" w:cs="宋体"/>
          <w:color w:val="auto"/>
          <w:sz w:val="24"/>
          <w:highlight w:val="none"/>
        </w:rPr>
      </w:pPr>
      <w:r>
        <w:rPr>
          <w:rFonts w:hint="eastAsia" w:ascii="宋体" w:hAnsi="宋体" w:cs="宋体"/>
          <w:color w:val="auto"/>
          <w:sz w:val="24"/>
          <w:highlight w:val="none"/>
        </w:rPr>
        <w:t>（8）招标文件规定的其它投标无效的情况；</w:t>
      </w:r>
    </w:p>
    <w:p w14:paraId="4F8A84CA">
      <w:pPr>
        <w:spacing w:line="360" w:lineRule="auto"/>
        <w:rPr>
          <w:rFonts w:ascii="宋体" w:hAnsi="宋体" w:cs="宋体"/>
          <w:color w:val="auto"/>
          <w:sz w:val="24"/>
          <w:highlight w:val="none"/>
        </w:rPr>
      </w:pPr>
      <w:r>
        <w:rPr>
          <w:rFonts w:hint="eastAsia" w:ascii="宋体" w:hAnsi="宋体" w:cs="宋体"/>
          <w:color w:val="auto"/>
          <w:sz w:val="24"/>
          <w:highlight w:val="none"/>
        </w:rPr>
        <w:t>（9）法律、法规规定的其它投标无效情况。</w:t>
      </w:r>
    </w:p>
    <w:p w14:paraId="0008E4E1">
      <w:pPr>
        <w:spacing w:line="360" w:lineRule="auto"/>
        <w:rPr>
          <w:rFonts w:ascii="宋体" w:hAnsi="宋体" w:cs="宋体"/>
          <w:b/>
          <w:color w:val="auto"/>
          <w:sz w:val="24"/>
          <w:highlight w:val="none"/>
        </w:rPr>
      </w:pPr>
      <w:r>
        <w:rPr>
          <w:rFonts w:hint="eastAsia" w:ascii="宋体" w:hAnsi="宋体" w:cs="宋体"/>
          <w:b/>
          <w:color w:val="auto"/>
          <w:sz w:val="24"/>
          <w:highlight w:val="none"/>
        </w:rPr>
        <w:t>3.在报价评审时，如发现下列情形之一的，投标文件将被视为无效：</w:t>
      </w:r>
    </w:p>
    <w:p w14:paraId="411A95FF">
      <w:pPr>
        <w:spacing w:line="360" w:lineRule="auto"/>
        <w:rPr>
          <w:rFonts w:ascii="宋体" w:hAnsi="宋体" w:cs="宋体"/>
          <w:color w:val="auto"/>
          <w:sz w:val="24"/>
          <w:highlight w:val="none"/>
        </w:rPr>
      </w:pPr>
      <w:r>
        <w:rPr>
          <w:rFonts w:hint="eastAsia" w:ascii="宋体" w:hAnsi="宋体" w:cs="宋体"/>
          <w:color w:val="auto"/>
          <w:sz w:val="24"/>
          <w:highlight w:val="none"/>
        </w:rPr>
        <w:t>（1）投标人未在规定的时间内对电子询标函进行澄清回复、拒绝澄清回复或者澄清回复的内容改变了投标文件的实质性内容的；</w:t>
      </w:r>
    </w:p>
    <w:p w14:paraId="1F6ABE07">
      <w:pPr>
        <w:spacing w:line="360" w:lineRule="auto"/>
        <w:rPr>
          <w:rFonts w:ascii="宋体" w:hAnsi="宋体" w:cs="宋体"/>
          <w:color w:val="auto"/>
          <w:sz w:val="24"/>
          <w:highlight w:val="none"/>
        </w:rPr>
      </w:pPr>
      <w:r>
        <w:rPr>
          <w:rFonts w:hint="eastAsia" w:ascii="宋体" w:hAnsi="宋体" w:cs="宋体"/>
          <w:color w:val="auto"/>
          <w:sz w:val="24"/>
          <w:highlight w:val="none"/>
        </w:rPr>
        <w:t>（2）未填写投标报价或未采用人民币报价或者未按照招标文件标明的币种报价的；</w:t>
      </w:r>
    </w:p>
    <w:p w14:paraId="0E7A2111">
      <w:pPr>
        <w:spacing w:line="360" w:lineRule="auto"/>
        <w:rPr>
          <w:rFonts w:ascii="宋体" w:hAnsi="宋体" w:cs="宋体"/>
          <w:color w:val="auto"/>
          <w:sz w:val="24"/>
          <w:highlight w:val="none"/>
        </w:rPr>
      </w:pPr>
      <w:r>
        <w:rPr>
          <w:rFonts w:hint="eastAsia" w:ascii="宋体" w:hAnsi="宋体" w:cs="宋体"/>
          <w:color w:val="auto"/>
          <w:sz w:val="24"/>
          <w:highlight w:val="none"/>
        </w:rPr>
        <w:t>（3）投标报价具有选择性的，或者开标价格与投标文件承诺的优惠（折扣）价格不一致的；</w:t>
      </w:r>
    </w:p>
    <w:p w14:paraId="7BCE98F9">
      <w:pPr>
        <w:spacing w:line="360" w:lineRule="auto"/>
        <w:rPr>
          <w:rFonts w:ascii="宋体" w:hAnsi="宋体" w:cs="宋体"/>
          <w:color w:val="auto"/>
          <w:sz w:val="24"/>
          <w:highlight w:val="none"/>
        </w:rPr>
      </w:pPr>
      <w:r>
        <w:rPr>
          <w:rFonts w:hint="eastAsia" w:ascii="宋体" w:hAnsi="宋体" w:cs="宋体"/>
          <w:color w:val="auto"/>
          <w:sz w:val="24"/>
          <w:highlight w:val="none"/>
        </w:rPr>
        <w:t>（4）报价高于用户设定的最高限价或预算金额的；</w:t>
      </w:r>
    </w:p>
    <w:p w14:paraId="3EF9E691">
      <w:pPr>
        <w:spacing w:line="360" w:lineRule="auto"/>
        <w:rPr>
          <w:rFonts w:ascii="宋体" w:hAnsi="宋体" w:cs="宋体"/>
          <w:color w:val="auto"/>
          <w:sz w:val="24"/>
          <w:highlight w:val="none"/>
        </w:rPr>
      </w:pPr>
      <w:r>
        <w:rPr>
          <w:rFonts w:hint="eastAsia" w:ascii="宋体" w:hAnsi="宋体" w:cs="宋体"/>
          <w:color w:val="auto"/>
          <w:sz w:val="24"/>
          <w:highlight w:val="none"/>
        </w:rPr>
        <w:t>（5）招标文件规定的其它投标无效的情况；</w:t>
      </w:r>
    </w:p>
    <w:p w14:paraId="0C62D6B1">
      <w:pPr>
        <w:spacing w:line="360" w:lineRule="auto"/>
        <w:rPr>
          <w:rFonts w:ascii="宋体" w:hAnsi="宋体" w:cs="宋体"/>
          <w:color w:val="auto"/>
          <w:sz w:val="24"/>
          <w:highlight w:val="none"/>
        </w:rPr>
      </w:pPr>
      <w:r>
        <w:rPr>
          <w:rFonts w:hint="eastAsia" w:ascii="宋体" w:hAnsi="宋体" w:cs="宋体"/>
          <w:color w:val="auto"/>
          <w:sz w:val="24"/>
          <w:highlight w:val="none"/>
        </w:rPr>
        <w:t>（6）法律、法规规定的其它投标无效情况。</w:t>
      </w:r>
    </w:p>
    <w:p w14:paraId="6E82B56E">
      <w:pPr>
        <w:spacing w:line="360" w:lineRule="auto"/>
        <w:rPr>
          <w:rFonts w:ascii="宋体" w:hAnsi="宋体" w:cs="宋体"/>
          <w:b/>
          <w:color w:val="auto"/>
          <w:sz w:val="24"/>
          <w:highlight w:val="none"/>
        </w:rPr>
      </w:pPr>
      <w:r>
        <w:rPr>
          <w:rFonts w:hint="eastAsia" w:ascii="宋体" w:hAnsi="宋体" w:cs="宋体"/>
          <w:b/>
          <w:color w:val="auto"/>
          <w:sz w:val="24"/>
          <w:highlight w:val="none"/>
        </w:rPr>
        <w:t>4.被拒绝的投标文件为无效。</w:t>
      </w:r>
    </w:p>
    <w:p w14:paraId="00282049">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5.根据有关法律、法规规定为无效、废标的，按法律、法规规定执行。</w:t>
      </w:r>
    </w:p>
    <w:p w14:paraId="5991DB02">
      <w:pP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6.</w:t>
      </w:r>
      <w:r>
        <w:rPr>
          <w:rFonts w:hint="eastAsia" w:ascii="宋体" w:hAnsi="宋体" w:cs="宋体"/>
          <w:b/>
          <w:bCs/>
          <w:color w:val="auto"/>
          <w:sz w:val="24"/>
          <w:highlight w:val="none"/>
        </w:rPr>
        <w:t>除政府采购法律法规规定的恶意串通、视同串通投标情形外，在不影响公平竞争的前提下，采购人、采购代理机构应在采购文件中明确规定参与同一个标段(包)的供应商存在下列情形之一的，其投标(响应)文件无效：</w:t>
      </w:r>
    </w:p>
    <w:p w14:paraId="4D59FA65">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)不同供应商制作电子投标(响应)文件的计算机网卡MAC地址相同的；</w:t>
      </w:r>
    </w:p>
    <w:p w14:paraId="24E8AE5F">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)不同供应商制作电子投标(响应)文件的计算机硬盘序列号相同的；</w:t>
      </w:r>
    </w:p>
    <w:p w14:paraId="33EA1F6E">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)不同供应商的投标(响应)文件的内容存在两处以上细节错误一致，且无法合理解释的。</w:t>
      </w:r>
    </w:p>
    <w:p w14:paraId="686E4D08">
      <w:pPr>
        <w:pStyle w:val="8"/>
        <w:rPr>
          <w:color w:val="auto"/>
          <w:highlight w:val="none"/>
        </w:rPr>
      </w:pPr>
    </w:p>
    <w:p w14:paraId="3FF5EB14">
      <w:pPr>
        <w:pStyle w:val="8"/>
        <w:keepNext w:val="0"/>
        <w:keepLines w:val="0"/>
        <w:pageBreakBefore/>
        <w:spacing w:line="360" w:lineRule="auto"/>
        <w:jc w:val="center"/>
        <w:rPr>
          <w:rFonts w:ascii="宋体" w:hAnsi="宋体" w:eastAsia="宋体" w:cs="宋体"/>
          <w:b/>
          <w:bCs/>
          <w:color w:val="auto"/>
          <w:sz w:val="24"/>
          <w:szCs w:val="24"/>
          <w:highlight w:val="none"/>
        </w:rPr>
      </w:pPr>
      <w:bookmarkStart w:id="46" w:name="_Toc19973"/>
      <w:bookmarkStart w:id="47" w:name="_Toc458697270"/>
      <w:r>
        <w:rPr>
          <w:rFonts w:hint="eastAsia" w:ascii="宋体" w:hAnsi="宋体" w:eastAsia="宋体" w:cs="宋体"/>
          <w:b/>
          <w:bCs/>
          <w:color w:val="auto"/>
          <w:sz w:val="24"/>
          <w:szCs w:val="24"/>
          <w:highlight w:val="none"/>
        </w:rPr>
        <w:t>四、开标</w:t>
      </w:r>
      <w:bookmarkEnd w:id="46"/>
      <w:bookmarkEnd w:id="47"/>
    </w:p>
    <w:p w14:paraId="2B3F6D98">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（一）开标准备   </w:t>
      </w:r>
    </w:p>
    <w:p w14:paraId="021BD29A">
      <w:pPr>
        <w:spacing w:line="360" w:lineRule="auto"/>
        <w:ind w:firstLine="720" w:firstLineChars="300"/>
        <w:rPr>
          <w:rFonts w:ascii="宋体" w:hAnsi="宋体" w:cs="宋体"/>
          <w:bCs/>
          <w:color w:val="auto"/>
          <w:sz w:val="24"/>
          <w:highlight w:val="none"/>
        </w:rPr>
      </w:pPr>
      <w:r>
        <w:rPr>
          <w:rFonts w:hint="eastAsia" w:ascii="宋体" w:hAnsi="宋体" w:cs="宋体"/>
          <w:bCs/>
          <w:color w:val="auto"/>
          <w:sz w:val="24"/>
          <w:highlight w:val="none"/>
        </w:rPr>
        <w:t>采购代理机构将在规定的时间和地点进行电子开标，投标人的法定代表人或其委托代理人【委托代理人应当是投标人的在职正式职工（以投标人本单位缴纳社保花名册为准）】应做好投标准备，准时在线参加电子开标会议，随时关注开标进度。</w:t>
      </w:r>
    </w:p>
    <w:p w14:paraId="44688A06">
      <w:pPr>
        <w:spacing w:line="360" w:lineRule="auto"/>
        <w:rPr>
          <w:rFonts w:ascii="宋体" w:hAnsi="宋体" w:cs="宋体"/>
          <w:b/>
          <w:color w:val="auto"/>
          <w:sz w:val="24"/>
          <w:highlight w:val="none"/>
        </w:rPr>
      </w:pPr>
      <w:r>
        <w:rPr>
          <w:rFonts w:hint="eastAsia" w:ascii="宋体" w:hAnsi="宋体" w:cs="宋体"/>
          <w:b/>
          <w:color w:val="auto"/>
          <w:sz w:val="24"/>
          <w:highlight w:val="none"/>
        </w:rPr>
        <w:t>（二）电子招投标开标程序</w:t>
      </w:r>
    </w:p>
    <w:p w14:paraId="6A91B633">
      <w:pPr>
        <w:spacing w:line="360" w:lineRule="auto"/>
        <w:rPr>
          <w:rFonts w:ascii="宋体" w:hAnsi="宋体" w:cs="宋体"/>
          <w:bCs/>
          <w:color w:val="auto"/>
          <w:sz w:val="24"/>
          <w:highlight w:val="none"/>
        </w:rPr>
      </w:pPr>
      <w:r>
        <w:rPr>
          <w:rFonts w:hint="eastAsia" w:ascii="宋体" w:hAnsi="宋体" w:cs="宋体"/>
          <w:bCs/>
          <w:color w:val="auto"/>
          <w:sz w:val="24"/>
          <w:highlight w:val="none"/>
        </w:rPr>
        <w:t>1.开标会由招标代理机构主持，主持人宣布开标会议开始；</w:t>
      </w:r>
    </w:p>
    <w:p w14:paraId="3D5F1433">
      <w:pPr>
        <w:spacing w:line="360" w:lineRule="auto"/>
        <w:rPr>
          <w:rFonts w:ascii="宋体" w:hAnsi="宋体" w:cs="宋体"/>
          <w:bCs/>
          <w:color w:val="auto"/>
          <w:sz w:val="24"/>
          <w:highlight w:val="none"/>
        </w:rPr>
      </w:pPr>
      <w:r>
        <w:rPr>
          <w:rFonts w:hint="eastAsia" w:ascii="宋体" w:hAnsi="宋体" w:cs="宋体"/>
          <w:bCs/>
          <w:color w:val="auto"/>
          <w:sz w:val="24"/>
          <w:highlight w:val="none"/>
        </w:rPr>
        <w:t>2.主持人宣布评标室会议纪律及评标期间的有关事项；告知应当回避的情形,提请有关人员回避；</w:t>
      </w:r>
    </w:p>
    <w:p w14:paraId="4003711A">
      <w:pPr>
        <w:spacing w:line="360" w:lineRule="auto"/>
        <w:rPr>
          <w:rFonts w:ascii="宋体" w:hAnsi="宋体" w:cs="宋体"/>
          <w:color w:val="auto"/>
          <w:sz w:val="24"/>
          <w:highlight w:val="none"/>
        </w:rPr>
      </w:pPr>
      <w:r>
        <w:rPr>
          <w:rFonts w:hint="eastAsia" w:ascii="宋体" w:hAnsi="宋体" w:cs="宋体"/>
          <w:color w:val="auto"/>
          <w:sz w:val="24"/>
          <w:highlight w:val="none"/>
        </w:rPr>
        <w:t>3.开标及评审程序</w:t>
      </w:r>
    </w:p>
    <w:p w14:paraId="4313FE58">
      <w:pPr>
        <w:spacing w:line="360" w:lineRule="auto"/>
        <w:rPr>
          <w:rFonts w:ascii="宋体" w:hAnsi="宋体" w:cs="宋体"/>
          <w:color w:val="auto"/>
          <w:sz w:val="24"/>
          <w:highlight w:val="none"/>
        </w:rPr>
      </w:pPr>
      <w:r>
        <w:rPr>
          <w:rFonts w:hint="eastAsia" w:ascii="宋体" w:hAnsi="宋体" w:cs="宋体"/>
          <w:color w:val="auto"/>
          <w:sz w:val="24"/>
          <w:highlight w:val="none"/>
        </w:rPr>
        <w:t>3.1在开标时间截止后30分钟内由各投标人自行对投标文件进行解密；</w:t>
      </w:r>
    </w:p>
    <w:p w14:paraId="65EA2592">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3.2由采购人进行资格审查，通过资格审查的投标人进入商务技术响应文件进行评审；</w:t>
      </w:r>
    </w:p>
    <w:p w14:paraId="2B8AE9C1">
      <w:pPr>
        <w:spacing w:line="360" w:lineRule="auto"/>
        <w:rPr>
          <w:rFonts w:ascii="宋体" w:hAnsi="宋体" w:cs="宋体"/>
          <w:color w:val="auto"/>
          <w:sz w:val="24"/>
          <w:highlight w:val="none"/>
        </w:rPr>
      </w:pPr>
      <w:r>
        <w:rPr>
          <w:rFonts w:hint="eastAsia" w:ascii="宋体" w:hAnsi="宋体" w:cs="宋体"/>
          <w:color w:val="auto"/>
          <w:sz w:val="24"/>
          <w:highlight w:val="none"/>
        </w:rPr>
        <w:t>3.3系统对各投标人的商务技术进行汇总并公布商务技术得分；</w:t>
      </w:r>
    </w:p>
    <w:p w14:paraId="6301EAF8">
      <w:pPr>
        <w:spacing w:line="360" w:lineRule="auto"/>
        <w:rPr>
          <w:rFonts w:ascii="宋体" w:hAnsi="宋体" w:cs="宋体"/>
          <w:color w:val="auto"/>
          <w:sz w:val="24"/>
          <w:highlight w:val="none"/>
        </w:rPr>
      </w:pPr>
      <w:r>
        <w:rPr>
          <w:rFonts w:hint="eastAsia" w:ascii="宋体" w:hAnsi="宋体" w:cs="宋体"/>
          <w:color w:val="auto"/>
          <w:sz w:val="24"/>
          <w:highlight w:val="none"/>
        </w:rPr>
        <w:t>3.4在系统上公开报价开标情况；</w:t>
      </w:r>
    </w:p>
    <w:p w14:paraId="2CD413D9">
      <w:pPr>
        <w:spacing w:line="360" w:lineRule="auto"/>
        <w:rPr>
          <w:rFonts w:ascii="宋体" w:hAnsi="宋体" w:cs="宋体"/>
          <w:color w:val="auto"/>
          <w:sz w:val="24"/>
          <w:highlight w:val="none"/>
        </w:rPr>
      </w:pPr>
      <w:r>
        <w:rPr>
          <w:rFonts w:hint="eastAsia" w:ascii="宋体" w:hAnsi="宋体" w:cs="宋体"/>
          <w:color w:val="auto"/>
          <w:sz w:val="24"/>
          <w:highlight w:val="none"/>
        </w:rPr>
        <w:t>3.5评标委员会对报价情况进行评审；</w:t>
      </w:r>
    </w:p>
    <w:p w14:paraId="7B06E7F8">
      <w:pPr>
        <w:spacing w:line="360" w:lineRule="auto"/>
        <w:rPr>
          <w:rFonts w:ascii="宋体" w:hAnsi="宋体" w:cs="宋体"/>
          <w:color w:val="auto"/>
          <w:sz w:val="24"/>
          <w:highlight w:val="none"/>
        </w:rPr>
      </w:pPr>
      <w:r>
        <w:rPr>
          <w:rFonts w:hint="eastAsia" w:ascii="宋体" w:hAnsi="宋体" w:cs="宋体"/>
          <w:color w:val="auto"/>
          <w:sz w:val="24"/>
          <w:highlight w:val="none"/>
        </w:rPr>
        <w:t>3.6在系统上公布评审结果。</w:t>
      </w:r>
    </w:p>
    <w:p w14:paraId="284D5796">
      <w:pPr>
        <w:spacing w:line="360" w:lineRule="auto"/>
        <w:rPr>
          <w:rFonts w:ascii="宋体" w:hAnsi="宋体" w:cs="宋体"/>
          <w:b/>
          <w:color w:val="auto"/>
          <w:sz w:val="24"/>
          <w:highlight w:val="none"/>
        </w:rPr>
      </w:pPr>
      <w:r>
        <w:rPr>
          <w:rFonts w:hint="eastAsia" w:ascii="宋体" w:hAnsi="宋体" w:cs="宋体"/>
          <w:b/>
          <w:color w:val="auto"/>
          <w:sz w:val="24"/>
          <w:highlight w:val="none"/>
        </w:rPr>
        <w:t>特别说明：政采云公司如对电子化开标及评审程序有调整的，按调整后的程序操作。</w:t>
      </w:r>
    </w:p>
    <w:p w14:paraId="73DA27A4">
      <w:pPr>
        <w:spacing w:line="360" w:lineRule="auto"/>
        <w:rPr>
          <w:rFonts w:ascii="宋体" w:hAnsi="宋体" w:cs="宋体"/>
          <w:color w:val="auto"/>
          <w:sz w:val="24"/>
          <w:highlight w:val="none"/>
        </w:rPr>
      </w:pPr>
      <w:r>
        <w:rPr>
          <w:rFonts w:hint="eastAsia" w:ascii="宋体" w:hAnsi="宋体" w:cs="宋体"/>
          <w:color w:val="auto"/>
          <w:sz w:val="24"/>
          <w:highlight w:val="none"/>
        </w:rPr>
        <w:t>4、本项目采用政采云电子招投标开标及评审程序，开评标时出现电子投标文件无法解密或解密失败等情况时，采购代理机构可上传投标人的电子备份投标文件继续评审。</w:t>
      </w:r>
    </w:p>
    <w:p w14:paraId="1912AD5B">
      <w:pPr>
        <w:pStyle w:val="8"/>
        <w:keepNext w:val="0"/>
        <w:keepLines w:val="0"/>
        <w:pageBreakBefore/>
        <w:spacing w:line="360" w:lineRule="auto"/>
        <w:jc w:val="center"/>
        <w:rPr>
          <w:rFonts w:ascii="宋体" w:hAnsi="宋体" w:eastAsia="宋体" w:cs="宋体"/>
          <w:b/>
          <w:bCs/>
          <w:color w:val="auto"/>
          <w:sz w:val="24"/>
          <w:szCs w:val="24"/>
          <w:highlight w:val="none"/>
        </w:rPr>
      </w:pPr>
      <w:bookmarkStart w:id="48" w:name="_Toc6257"/>
      <w:bookmarkStart w:id="49" w:name="_Toc458697271"/>
      <w:r>
        <w:rPr>
          <w:rFonts w:hint="eastAsia" w:ascii="宋体" w:hAnsi="宋体" w:eastAsia="宋体" w:cs="宋体"/>
          <w:b/>
          <w:bCs/>
          <w:color w:val="auto"/>
          <w:sz w:val="24"/>
          <w:szCs w:val="24"/>
          <w:highlight w:val="none"/>
        </w:rPr>
        <w:t>五、评标</w:t>
      </w:r>
      <w:bookmarkEnd w:id="48"/>
      <w:bookmarkEnd w:id="49"/>
    </w:p>
    <w:p w14:paraId="1A4B607D">
      <w:pPr>
        <w:spacing w:line="360" w:lineRule="auto"/>
        <w:rPr>
          <w:rFonts w:ascii="宋体" w:hAnsi="宋体" w:cs="宋体"/>
          <w:b/>
          <w:color w:val="auto"/>
          <w:sz w:val="24"/>
          <w:highlight w:val="none"/>
        </w:rPr>
      </w:pPr>
      <w:r>
        <w:rPr>
          <w:rFonts w:hint="eastAsia" w:ascii="宋体" w:hAnsi="宋体" w:cs="宋体"/>
          <w:b/>
          <w:color w:val="auto"/>
          <w:sz w:val="24"/>
          <w:highlight w:val="none"/>
        </w:rPr>
        <w:t>（一）组建评标委员会</w:t>
      </w:r>
    </w:p>
    <w:p w14:paraId="4DB9125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本项目评标委员会由政府采购评审专家</w:t>
      </w:r>
      <w:r>
        <w:rPr>
          <w:rFonts w:hint="eastAsia" w:ascii="宋体" w:hAnsi="宋体" w:cs="宋体"/>
          <w:color w:val="auto"/>
          <w:sz w:val="24"/>
          <w:highlight w:val="none"/>
          <w:u w:val="single"/>
        </w:rPr>
        <w:t>4</w:t>
      </w:r>
      <w:r>
        <w:rPr>
          <w:rFonts w:hint="eastAsia" w:ascii="宋体" w:hAnsi="宋体" w:cs="宋体"/>
          <w:color w:val="auto"/>
          <w:sz w:val="24"/>
          <w:highlight w:val="none"/>
        </w:rPr>
        <w:t>人和采购人代表</w:t>
      </w:r>
      <w:r>
        <w:rPr>
          <w:rFonts w:hint="eastAsia" w:ascii="宋体" w:hAnsi="宋体" w:cs="宋体"/>
          <w:color w:val="auto"/>
          <w:sz w:val="24"/>
          <w:highlight w:val="none"/>
          <w:u w:val="single"/>
        </w:rPr>
        <w:t>1</w:t>
      </w:r>
      <w:r>
        <w:rPr>
          <w:rFonts w:hint="eastAsia" w:ascii="宋体" w:hAnsi="宋体" w:cs="宋体"/>
          <w:color w:val="auto"/>
          <w:sz w:val="24"/>
          <w:highlight w:val="none"/>
        </w:rPr>
        <w:t>人,共5人组成。</w:t>
      </w:r>
      <w:r>
        <w:rPr>
          <w:rFonts w:hint="default" w:ascii="宋体" w:hAnsi="宋体" w:cs="宋体"/>
          <w:color w:val="auto"/>
          <w:sz w:val="24"/>
          <w:highlight w:val="none"/>
        </w:rPr>
        <w:t>评审专家</w:t>
      </w:r>
      <w:r>
        <w:rPr>
          <w:rFonts w:hint="eastAsia" w:ascii="宋体" w:hAnsi="宋体" w:cs="宋体"/>
          <w:color w:val="auto"/>
          <w:sz w:val="24"/>
          <w:highlight w:val="none"/>
        </w:rPr>
        <w:t>从评标专家库中抽取。</w:t>
      </w:r>
    </w:p>
    <w:p w14:paraId="4782278A">
      <w:pPr>
        <w:spacing w:line="360" w:lineRule="auto"/>
        <w:rPr>
          <w:rFonts w:ascii="宋体" w:hAnsi="宋体" w:cs="宋体"/>
          <w:b/>
          <w:color w:val="auto"/>
          <w:sz w:val="24"/>
          <w:highlight w:val="none"/>
        </w:rPr>
      </w:pPr>
      <w:r>
        <w:rPr>
          <w:rFonts w:hint="eastAsia" w:ascii="宋体" w:hAnsi="宋体" w:cs="宋体"/>
          <w:b/>
          <w:color w:val="auto"/>
          <w:sz w:val="24"/>
          <w:highlight w:val="none"/>
        </w:rPr>
        <w:t>（二）评标的方式</w:t>
      </w:r>
    </w:p>
    <w:p w14:paraId="5B6E86C3">
      <w:pPr>
        <w:spacing w:line="360" w:lineRule="auto"/>
        <w:rPr>
          <w:rFonts w:ascii="宋体" w:hAnsi="宋体" w:cs="宋体"/>
          <w:color w:val="auto"/>
          <w:sz w:val="24"/>
          <w:highlight w:val="none"/>
        </w:rPr>
      </w:pPr>
      <w:r>
        <w:rPr>
          <w:rFonts w:hint="eastAsia" w:ascii="宋体" w:hAnsi="宋体" w:cs="宋体"/>
          <w:color w:val="auto"/>
          <w:sz w:val="24"/>
          <w:highlight w:val="none"/>
        </w:rPr>
        <w:t>本项目采用不公开方式评标，评标的依据为招标文件和投标文件。</w:t>
      </w:r>
    </w:p>
    <w:p w14:paraId="149C8436">
      <w:pPr>
        <w:spacing w:line="360" w:lineRule="auto"/>
        <w:rPr>
          <w:rFonts w:ascii="宋体" w:hAnsi="宋体" w:cs="宋体"/>
          <w:b/>
          <w:color w:val="auto"/>
          <w:sz w:val="24"/>
          <w:highlight w:val="none"/>
        </w:rPr>
      </w:pPr>
      <w:r>
        <w:rPr>
          <w:rFonts w:hint="eastAsia" w:ascii="宋体" w:hAnsi="宋体" w:cs="宋体"/>
          <w:b/>
          <w:color w:val="auto"/>
          <w:sz w:val="24"/>
          <w:highlight w:val="none"/>
        </w:rPr>
        <w:t>（三）评标程序</w:t>
      </w:r>
    </w:p>
    <w:p w14:paraId="29E6D175">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1.形式审查</w:t>
      </w:r>
    </w:p>
    <w:p w14:paraId="32C716E6">
      <w:pPr>
        <w:spacing w:line="360" w:lineRule="auto"/>
        <w:rPr>
          <w:rFonts w:ascii="宋体" w:hAnsi="宋体" w:cs="宋体"/>
          <w:b/>
          <w:color w:val="auto"/>
          <w:sz w:val="24"/>
          <w:highlight w:val="none"/>
        </w:rPr>
      </w:pPr>
      <w:r>
        <w:rPr>
          <w:rFonts w:hint="eastAsia" w:ascii="宋体" w:hAnsi="宋体" w:cs="宋体"/>
          <w:color w:val="auto"/>
          <w:sz w:val="24"/>
          <w:highlight w:val="none"/>
        </w:rPr>
        <w:t>招标方工作人员协助评标委员会对投标人的商务技术文件、报价投标文件的完整性、合法性等进行审查。</w:t>
      </w:r>
    </w:p>
    <w:p w14:paraId="453D82DF">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2.实质审查与比较</w:t>
      </w:r>
    </w:p>
    <w:p w14:paraId="73A2BAEB">
      <w:pPr>
        <w:spacing w:line="360" w:lineRule="auto"/>
        <w:rPr>
          <w:rFonts w:ascii="宋体" w:hAnsi="宋体" w:cs="宋体"/>
          <w:color w:val="auto"/>
          <w:sz w:val="24"/>
          <w:highlight w:val="none"/>
        </w:rPr>
      </w:pPr>
      <w:r>
        <w:rPr>
          <w:rFonts w:hint="eastAsia" w:ascii="宋体" w:hAnsi="宋体" w:cs="宋体"/>
          <w:color w:val="auto"/>
          <w:sz w:val="24"/>
          <w:highlight w:val="none"/>
        </w:rPr>
        <w:t>（1）评标委员会审查投标文件的实质性内容是否符合招标文件的实质性要求。</w:t>
      </w:r>
    </w:p>
    <w:p w14:paraId="4EDB6D37">
      <w:pPr>
        <w:spacing w:line="360" w:lineRule="auto"/>
        <w:rPr>
          <w:rFonts w:ascii="宋体" w:hAnsi="宋体" w:cs="宋体"/>
          <w:color w:val="auto"/>
          <w:sz w:val="24"/>
          <w:highlight w:val="none"/>
        </w:rPr>
      </w:pPr>
      <w:r>
        <w:rPr>
          <w:rFonts w:hint="eastAsia" w:ascii="宋体" w:hAnsi="宋体" w:cs="宋体"/>
          <w:color w:val="auto"/>
          <w:sz w:val="24"/>
          <w:highlight w:val="none"/>
        </w:rPr>
        <w:t>（2）评标委员会将对投标人的投标文件进行审查、核对,如有疑问,将对投标人进行电子询标,投标人须在规定的时间内向评标委员会澄清有关问题,并在政采云上进行询标答复。</w:t>
      </w:r>
    </w:p>
    <w:p w14:paraId="065CD96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投标人代表未在规定的时间内进行澄清、拒绝澄清或者澄清的内容改变了投标文件的实质性内容的，评标委员会有权对该投标文件作出不利于投标人的评判。</w:t>
      </w:r>
    </w:p>
    <w:p w14:paraId="1CFAC4BF">
      <w:pPr>
        <w:spacing w:line="360" w:lineRule="auto"/>
        <w:rPr>
          <w:rFonts w:ascii="宋体" w:hAnsi="宋体" w:cs="宋体"/>
          <w:color w:val="auto"/>
          <w:sz w:val="24"/>
          <w:highlight w:val="none"/>
        </w:rPr>
      </w:pPr>
      <w:r>
        <w:rPr>
          <w:rFonts w:hint="eastAsia" w:ascii="宋体" w:hAnsi="宋体" w:cs="宋体"/>
          <w:color w:val="auto"/>
          <w:sz w:val="24"/>
          <w:highlight w:val="none"/>
        </w:rPr>
        <w:t>（3）各投标人的技术得分为所有评委的有效评分的算术平均数，由指定专人进行计算复核。</w:t>
      </w:r>
    </w:p>
    <w:p w14:paraId="0A074179">
      <w:pPr>
        <w:spacing w:line="360" w:lineRule="auto"/>
        <w:rPr>
          <w:rFonts w:ascii="宋体" w:hAnsi="宋体" w:cs="宋体"/>
          <w:color w:val="auto"/>
          <w:sz w:val="24"/>
          <w:highlight w:val="none"/>
        </w:rPr>
      </w:pPr>
      <w:r>
        <w:rPr>
          <w:rFonts w:hint="eastAsia" w:ascii="宋体" w:hAnsi="宋体" w:cs="宋体"/>
          <w:color w:val="auto"/>
          <w:sz w:val="24"/>
          <w:highlight w:val="none"/>
        </w:rPr>
        <w:t>（4）招标方工作人员协助评标委员会审核商务报价有无计算错误，并根据本项目的评分标准计算各投标人的商务报价得分。</w:t>
      </w:r>
    </w:p>
    <w:p w14:paraId="12CDFD22">
      <w:pPr>
        <w:spacing w:line="360" w:lineRule="auto"/>
        <w:rPr>
          <w:rFonts w:ascii="宋体" w:hAnsi="宋体" w:cs="宋体"/>
          <w:color w:val="auto"/>
          <w:sz w:val="24"/>
          <w:highlight w:val="none"/>
        </w:rPr>
      </w:pPr>
      <w:r>
        <w:rPr>
          <w:rFonts w:hint="eastAsia" w:ascii="宋体" w:hAnsi="宋体" w:cs="宋体"/>
          <w:color w:val="auto"/>
          <w:sz w:val="24"/>
          <w:highlight w:val="none"/>
        </w:rPr>
        <w:t>（5）评标委员会完成评标后, 招标方工作人员对系统中的得分汇总进行复核,计算出本项目最终得分，评标委员会按评标原则推荐中标候选人并起草评标报告。</w:t>
      </w:r>
    </w:p>
    <w:p w14:paraId="1F6AE2DA">
      <w:pPr>
        <w:spacing w:line="360" w:lineRule="auto"/>
        <w:rPr>
          <w:rFonts w:ascii="宋体" w:hAnsi="宋体" w:cs="宋体"/>
          <w:b/>
          <w:color w:val="auto"/>
          <w:sz w:val="24"/>
          <w:highlight w:val="none"/>
        </w:rPr>
      </w:pPr>
      <w:r>
        <w:rPr>
          <w:rFonts w:hint="eastAsia" w:ascii="宋体" w:hAnsi="宋体" w:cs="宋体"/>
          <w:b/>
          <w:color w:val="auto"/>
          <w:sz w:val="24"/>
          <w:highlight w:val="none"/>
        </w:rPr>
        <w:t>（四）澄清问题的形式</w:t>
      </w:r>
    </w:p>
    <w:p w14:paraId="1D2B54FD">
      <w:pPr>
        <w:spacing w:line="360" w:lineRule="auto"/>
        <w:rPr>
          <w:rFonts w:ascii="宋体" w:hAnsi="宋体" w:cs="宋体"/>
          <w:color w:val="auto"/>
          <w:sz w:val="24"/>
          <w:highlight w:val="none"/>
        </w:rPr>
      </w:pPr>
      <w:r>
        <w:rPr>
          <w:rFonts w:hint="eastAsia" w:ascii="宋体" w:hAnsi="宋体" w:cs="宋体"/>
          <w:color w:val="auto"/>
          <w:sz w:val="24"/>
          <w:highlight w:val="none"/>
        </w:rPr>
        <w:t>对投标文件中含义不明确、同类问题表述不一致或者有明显文字和计算错误的内容，评标委员会可要求投标人作出必要的澄清、说明或者纠正，投标人应在询标规定时间内进行澄清或说明（需盖CA电子签章或实体公章），并不得超出投标文件的范围或者改变投标文件的实质性内容。</w:t>
      </w:r>
    </w:p>
    <w:p w14:paraId="31BD34E2">
      <w:pPr>
        <w:spacing w:line="360" w:lineRule="auto"/>
        <w:rPr>
          <w:rFonts w:ascii="宋体" w:hAnsi="宋体" w:cs="宋体"/>
          <w:b/>
          <w:color w:val="auto"/>
          <w:sz w:val="24"/>
          <w:highlight w:val="none"/>
        </w:rPr>
      </w:pPr>
      <w:r>
        <w:rPr>
          <w:rFonts w:hint="eastAsia" w:ascii="宋体" w:hAnsi="宋体" w:cs="宋体"/>
          <w:b/>
          <w:color w:val="auto"/>
          <w:sz w:val="24"/>
          <w:highlight w:val="none"/>
        </w:rPr>
        <w:t>（五）错误修正</w:t>
      </w:r>
    </w:p>
    <w:p w14:paraId="53B7666B">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投标文件如果出现计算或表达上的错误，修正错误的原则如下：</w:t>
      </w:r>
    </w:p>
    <w:p w14:paraId="235AD389">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1.投标文件中开标一览表（报价表）内容与与投标文件中相应内容不一致的，以开标一览表（报价表）为准；</w:t>
      </w:r>
    </w:p>
    <w:p w14:paraId="5B04CDF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2.大写金额和小写金额不一致的，以大写金额为准；</w:t>
      </w:r>
    </w:p>
    <w:p w14:paraId="16B0127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3.单价金额小数点或者百分比有明显错位的，以开标一览表的总价为准，并修改单价；</w:t>
      </w:r>
    </w:p>
    <w:p w14:paraId="4232372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4.总价金额与按单价汇总金额不一致的，以单价金额计算结果为准；</w:t>
      </w:r>
    </w:p>
    <w:p w14:paraId="79FD2163">
      <w:pPr>
        <w:pStyle w:val="17"/>
        <w:spacing w:line="360" w:lineRule="auto"/>
        <w:ind w:left="0" w:leftChars="0" w:firstLine="240" w:firstLineChars="100"/>
        <w:rPr>
          <w:rFonts w:ascii="宋体" w:hAnsi="宋体" w:cs="宋体"/>
          <w:color w:val="auto"/>
          <w:sz w:val="24"/>
          <w:highlight w:val="none"/>
        </w:rPr>
      </w:pPr>
      <w:r>
        <w:rPr>
          <w:rFonts w:hint="eastAsia" w:ascii="宋体" w:hAnsi="宋体" w:cs="宋体"/>
          <w:color w:val="auto"/>
          <w:sz w:val="24"/>
          <w:highlight w:val="none"/>
        </w:rPr>
        <w:t>5.政采云系统投标报价与投标文件中开标一览表（报价表）相应内容不一致的，以开标一览表（报价表）为准。</w:t>
      </w:r>
    </w:p>
    <w:p w14:paraId="0A8306BF">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6.对不同文字文本投标文件的解释发生异议的，以中文文本为准。</w:t>
      </w:r>
    </w:p>
    <w:p w14:paraId="465C13B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后的报价按照《政府采购货物和服务招标投标管理办法》（第87号令）第五十一条第二款规定：投标人的澄清、说明或者补正应当采用书面形式，并加盖公章，或者由法定代表人或其授权的代表签字。投标人的澄清、说明或者补正不得超出投标文件的范围或者改变投标文件的实质性内容的规定经投标人确认后产生约束力，投标人不确认的，其投标无效。</w:t>
      </w:r>
    </w:p>
    <w:p w14:paraId="29DE7579">
      <w:pPr>
        <w:spacing w:line="360" w:lineRule="auto"/>
        <w:rPr>
          <w:rFonts w:ascii="宋体" w:hAnsi="宋体" w:cs="宋体"/>
          <w:b/>
          <w:bCs/>
          <w:color w:val="auto"/>
          <w:sz w:val="24"/>
          <w:highlight w:val="none"/>
        </w:rPr>
      </w:pPr>
      <w:r>
        <w:rPr>
          <w:rFonts w:hint="eastAsia" w:ascii="宋体" w:hAnsi="宋体" w:cs="宋体"/>
          <w:b/>
          <w:color w:val="auto"/>
          <w:sz w:val="24"/>
          <w:highlight w:val="none"/>
        </w:rPr>
        <w:t>（六）评标原则和评标办法</w:t>
      </w:r>
    </w:p>
    <w:p w14:paraId="4FE6D49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1.评审专家必须公平、公正评审，遵纪守法，客观、廉洁地履行职责。</w:t>
      </w:r>
    </w:p>
    <w:p w14:paraId="132FFC6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2.评审专家在评审开始前，应关闭并上交随身携带的各种通信工具。</w:t>
      </w:r>
    </w:p>
    <w:p w14:paraId="5334528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3.评审专家在评审过程中，未经许可不得中途离开评审现场，不得迟到早退。</w:t>
      </w:r>
    </w:p>
    <w:p w14:paraId="5847814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4.评审专家和工作人员不得透露评审过程中的讨论情况和评审结果。</w:t>
      </w:r>
    </w:p>
    <w:p w14:paraId="5647029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2ECAECE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6.采购人、采购代理机构不得向评审委员会的评审专家作倾向性、误导性的解释或者说明。</w:t>
      </w:r>
    </w:p>
    <w:p w14:paraId="6F02110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3FFB243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8.评审专家在评审过程中不得将自己的观点强加给其他评审专家，评审专家应自主发表见解，对评审意见承担个人责任。</w:t>
      </w:r>
    </w:p>
    <w:p w14:paraId="766A604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21B2666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10.评审专家应当独立、客观、公正地提出评审意见，不得带有倾向性，不得影响其他评审专家评审，并在评审报告上签字；如对评审报告有异议的，可在报告上签署不同意见，并说明理由，否则将视为同意。</w:t>
      </w:r>
    </w:p>
    <w:p w14:paraId="3536F29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11.评审专家应当遵守评审工作纪律，不得泄露评审文件、评审情况和评审中获悉的商业秘密。</w:t>
      </w:r>
    </w:p>
    <w:p w14:paraId="34FCAF3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评审委员会在评审过程中发现投标人有行贿、提供虚假材料或者串通等违法行为的，应当及时向财政部门报告。</w:t>
      </w:r>
    </w:p>
    <w:p w14:paraId="0F8BBAC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12.招标文件内容违反国家有关强制性规定的，评审委员会应当停止评审并向采购代理机构说明情况。</w:t>
      </w:r>
    </w:p>
    <w:p w14:paraId="4367C97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13.评审专家应当配合采购代理机构答复投标人提出的质疑。</w:t>
      </w:r>
    </w:p>
    <w:p w14:paraId="5B50B5C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14.评审专家应当配合财政部门的投诉处理工作。</w:t>
      </w:r>
    </w:p>
    <w:p w14:paraId="6E08AF2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15.评审专家有如下行为之一的，责令改正，给予警告，可以并处一千元以下的罚款：</w:t>
      </w:r>
    </w:p>
    <w:p w14:paraId="7745449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①明知应当回避而未主动回避的；</w:t>
      </w:r>
    </w:p>
    <w:p w14:paraId="68D1D97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②在得知自己为评审专家身份后至评审结束前时段内私下接触投标人的；</w:t>
      </w:r>
    </w:p>
    <w:p w14:paraId="711AEBE7">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③在评审过程中擅离职守，影响评审程序正常进行的；</w:t>
      </w:r>
    </w:p>
    <w:p w14:paraId="0524FBE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④在评审过程有明显不合理或者不正当倾向性的；</w:t>
      </w:r>
    </w:p>
    <w:p w14:paraId="1D1AA8E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⑤未按招标文件规定的评审方法和标准进行评审的。</w:t>
      </w:r>
    </w:p>
    <w:p w14:paraId="47E3082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⑥上述①至⑤行为影响中标结果的，中标结果无效。</w:t>
      </w:r>
    </w:p>
    <w:p w14:paraId="57D0FAD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76CA333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政府采购评审专家与投标人存在利害关系未回避的，处2万元以上5万元以下的罚款，禁止其参加政府采购评审活动。</w:t>
      </w:r>
    </w:p>
    <w:p w14:paraId="1C8AAB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政府采购评审专家收受采购人、采购代理机构、投标人贿赂或者获取其他不正当利益，构成犯罪的，依法追究刑事责任；尚不构成犯罪的，处2万元以上5万元以下的罚款，禁止其参加政府采购评审活动。</w:t>
      </w:r>
    </w:p>
    <w:p w14:paraId="4AFF63B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政府采购评审专家有上述违法行为的，其评审意见无效，不得获取评审费；有违法所得的，没收违法所得；给他人造成损失的，依法承担民事责任。</w:t>
      </w:r>
    </w:p>
    <w:p w14:paraId="5283377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17.评标办法。</w:t>
      </w:r>
    </w:p>
    <w:p w14:paraId="2FF7603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本项目评标办法是：综合评分法，具体评标内容及评分标准等详见《第四章：评标办法及评分标准》。</w:t>
      </w:r>
    </w:p>
    <w:p w14:paraId="5774BC17">
      <w:pPr>
        <w:spacing w:line="360" w:lineRule="auto"/>
        <w:rPr>
          <w:rFonts w:ascii="宋体" w:hAnsi="宋体" w:cs="宋体"/>
          <w:b/>
          <w:color w:val="auto"/>
          <w:sz w:val="24"/>
          <w:highlight w:val="none"/>
        </w:rPr>
      </w:pPr>
      <w:r>
        <w:rPr>
          <w:rFonts w:hint="eastAsia" w:ascii="宋体" w:hAnsi="宋体" w:cs="宋体"/>
          <w:b/>
          <w:color w:val="auto"/>
          <w:sz w:val="24"/>
          <w:highlight w:val="none"/>
        </w:rPr>
        <w:t>（七）评标过程的监控</w:t>
      </w:r>
    </w:p>
    <w:p w14:paraId="4CB28457">
      <w:pPr>
        <w:spacing w:line="360" w:lineRule="auto"/>
        <w:ind w:firstLine="120" w:firstLineChars="50"/>
        <w:rPr>
          <w:rFonts w:ascii="宋体" w:hAnsi="宋体" w:cs="宋体"/>
          <w:color w:val="auto"/>
          <w:sz w:val="24"/>
          <w:highlight w:val="none"/>
        </w:rPr>
      </w:pPr>
      <w:r>
        <w:rPr>
          <w:rFonts w:hint="eastAsia" w:ascii="宋体" w:hAnsi="宋体" w:cs="宋体"/>
          <w:color w:val="auto"/>
          <w:sz w:val="24"/>
          <w:highlight w:val="none"/>
        </w:rPr>
        <w:t>本项目评标过程实行全程录音、录像监控，投标人在评标过程中所进行的试图影响评标结果的不公正活动，可能导致其投标被拒绝。</w:t>
      </w:r>
    </w:p>
    <w:p w14:paraId="033C580F">
      <w:pPr>
        <w:spacing w:line="360" w:lineRule="auto"/>
        <w:rPr>
          <w:rFonts w:ascii="宋体" w:hAnsi="宋体" w:cs="宋体"/>
          <w:b/>
          <w:color w:val="auto"/>
          <w:sz w:val="24"/>
          <w:highlight w:val="none"/>
        </w:rPr>
      </w:pPr>
      <w:r>
        <w:rPr>
          <w:rFonts w:hint="eastAsia" w:ascii="宋体" w:hAnsi="宋体" w:cs="宋体"/>
          <w:b/>
          <w:color w:val="auto"/>
          <w:sz w:val="24"/>
          <w:highlight w:val="none"/>
        </w:rPr>
        <w:t>（八）其他</w:t>
      </w:r>
    </w:p>
    <w:p w14:paraId="07F15D4E">
      <w:pPr>
        <w:spacing w:line="360" w:lineRule="auto"/>
        <w:ind w:firstLine="470" w:firstLineChars="196"/>
        <w:rPr>
          <w:rFonts w:ascii="宋体" w:hAnsi="宋体" w:cs="宋体"/>
          <w:color w:val="auto"/>
          <w:sz w:val="24"/>
          <w:highlight w:val="none"/>
        </w:rPr>
      </w:pPr>
      <w:r>
        <w:rPr>
          <w:rFonts w:hint="eastAsia" w:ascii="宋体" w:hAnsi="宋体" w:cs="宋体"/>
          <w:color w:val="auto"/>
          <w:sz w:val="24"/>
          <w:highlight w:val="none"/>
        </w:rPr>
        <w:t>采购过程中出现以下情形，导致电子交易平台无法正常运行，或者无法保证电子交易的公平、公正和安全时，采购组织机构可中止电子交易活动：</w:t>
      </w:r>
    </w:p>
    <w:p w14:paraId="5FF9DBEC">
      <w:pPr>
        <w:spacing w:line="360" w:lineRule="auto"/>
        <w:ind w:firstLine="352" w:firstLineChars="147"/>
        <w:rPr>
          <w:rFonts w:ascii="宋体" w:hAnsi="宋体" w:cs="宋体"/>
          <w:color w:val="auto"/>
          <w:sz w:val="24"/>
          <w:highlight w:val="none"/>
        </w:rPr>
      </w:pPr>
      <w:r>
        <w:rPr>
          <w:rFonts w:hint="eastAsia" w:ascii="宋体" w:hAnsi="宋体" w:cs="宋体"/>
          <w:color w:val="auto"/>
          <w:sz w:val="24"/>
          <w:highlight w:val="none"/>
        </w:rPr>
        <w:t>1、电子交易平台发生故障而无法登录访问的；</w:t>
      </w:r>
    </w:p>
    <w:p w14:paraId="09F0BF70">
      <w:pPr>
        <w:spacing w:line="360" w:lineRule="auto"/>
        <w:ind w:firstLine="352" w:firstLineChars="147"/>
        <w:rPr>
          <w:rFonts w:ascii="宋体" w:hAnsi="宋体" w:cs="宋体"/>
          <w:color w:val="auto"/>
          <w:sz w:val="24"/>
          <w:highlight w:val="none"/>
        </w:rPr>
      </w:pPr>
      <w:r>
        <w:rPr>
          <w:rFonts w:hint="eastAsia" w:ascii="宋体" w:hAnsi="宋体" w:cs="宋体"/>
          <w:color w:val="auto"/>
          <w:sz w:val="24"/>
          <w:highlight w:val="none"/>
        </w:rPr>
        <w:t>2、电子交易平台应用或数据库出现错误，不能进行正常操作的；</w:t>
      </w:r>
    </w:p>
    <w:p w14:paraId="119E7252">
      <w:pPr>
        <w:spacing w:line="360" w:lineRule="auto"/>
        <w:ind w:firstLine="352" w:firstLineChars="147"/>
        <w:rPr>
          <w:rFonts w:ascii="宋体" w:hAnsi="宋体" w:cs="宋体"/>
          <w:color w:val="auto"/>
          <w:sz w:val="24"/>
          <w:highlight w:val="none"/>
        </w:rPr>
      </w:pPr>
      <w:r>
        <w:rPr>
          <w:rFonts w:hint="eastAsia" w:ascii="宋体" w:hAnsi="宋体" w:cs="宋体"/>
          <w:color w:val="auto"/>
          <w:sz w:val="24"/>
          <w:highlight w:val="none"/>
        </w:rPr>
        <w:t>3、电子交易平台发现严重安全漏洞，有潜在泄密危险的；</w:t>
      </w:r>
    </w:p>
    <w:p w14:paraId="2285E03A">
      <w:pPr>
        <w:spacing w:line="360" w:lineRule="auto"/>
        <w:ind w:firstLine="352" w:firstLineChars="147"/>
        <w:rPr>
          <w:rFonts w:ascii="宋体" w:hAnsi="宋体" w:cs="宋体"/>
          <w:color w:val="auto"/>
          <w:sz w:val="24"/>
          <w:highlight w:val="none"/>
        </w:rPr>
      </w:pPr>
      <w:r>
        <w:rPr>
          <w:rFonts w:hint="eastAsia" w:ascii="宋体" w:hAnsi="宋体" w:cs="宋体"/>
          <w:color w:val="auto"/>
          <w:sz w:val="24"/>
          <w:highlight w:val="none"/>
        </w:rPr>
        <w:t>4、病毒发作导致不能进行正常操作的；</w:t>
      </w:r>
    </w:p>
    <w:p w14:paraId="3F3877FA">
      <w:pPr>
        <w:spacing w:line="360" w:lineRule="auto"/>
        <w:ind w:firstLine="352" w:firstLineChars="147"/>
        <w:rPr>
          <w:rFonts w:ascii="宋体" w:hAnsi="宋体" w:cs="宋体"/>
          <w:color w:val="auto"/>
          <w:sz w:val="24"/>
          <w:highlight w:val="none"/>
        </w:rPr>
      </w:pPr>
      <w:r>
        <w:rPr>
          <w:rFonts w:hint="eastAsia" w:ascii="宋体" w:hAnsi="宋体" w:cs="宋体"/>
          <w:color w:val="auto"/>
          <w:sz w:val="24"/>
          <w:highlight w:val="none"/>
        </w:rPr>
        <w:t>5、其他无法保证电子交易的公平、公正和安全的情况。</w:t>
      </w:r>
    </w:p>
    <w:p w14:paraId="2C603805">
      <w:pPr>
        <w:spacing w:line="360" w:lineRule="auto"/>
        <w:ind w:firstLine="470" w:firstLineChars="196"/>
        <w:rPr>
          <w:rFonts w:ascii="宋体" w:hAnsi="宋体" w:cs="宋体"/>
          <w:color w:val="auto"/>
          <w:sz w:val="24"/>
          <w:highlight w:val="none"/>
        </w:rPr>
      </w:pPr>
      <w:r>
        <w:rPr>
          <w:rFonts w:hint="eastAsia" w:ascii="宋体" w:hAnsi="宋体" w:cs="宋体"/>
          <w:color w:val="auto"/>
          <w:sz w:val="24"/>
          <w:highlight w:val="none"/>
        </w:rPr>
        <w:t>出现前款规定情形，不影响采购公平、公正性的，采购组织机构可以待上述情形消除后继续组织电子交易活动；影响或可能影响采购公平、公正性的，应当重新采购。</w:t>
      </w:r>
    </w:p>
    <w:p w14:paraId="43919887">
      <w:pPr>
        <w:pStyle w:val="8"/>
        <w:keepNext w:val="0"/>
        <w:keepLines w:val="0"/>
        <w:pageBreakBefore/>
        <w:spacing w:line="360" w:lineRule="auto"/>
        <w:jc w:val="center"/>
        <w:rPr>
          <w:rFonts w:ascii="宋体" w:hAnsi="宋体" w:eastAsia="宋体" w:cs="宋体"/>
          <w:b/>
          <w:bCs/>
          <w:color w:val="auto"/>
          <w:sz w:val="24"/>
          <w:szCs w:val="24"/>
          <w:highlight w:val="none"/>
        </w:rPr>
      </w:pPr>
      <w:bookmarkStart w:id="50" w:name="_Toc458697272"/>
      <w:bookmarkStart w:id="51" w:name="_Toc11236"/>
      <w:r>
        <w:rPr>
          <w:rFonts w:hint="eastAsia" w:ascii="宋体" w:hAnsi="宋体" w:eastAsia="宋体" w:cs="宋体"/>
          <w:b/>
          <w:bCs/>
          <w:color w:val="auto"/>
          <w:sz w:val="24"/>
          <w:szCs w:val="24"/>
          <w:highlight w:val="none"/>
        </w:rPr>
        <w:t>六、定标</w:t>
      </w:r>
      <w:bookmarkEnd w:id="50"/>
      <w:bookmarkEnd w:id="51"/>
    </w:p>
    <w:p w14:paraId="3D24B82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（一）确定中标人 </w:t>
      </w:r>
    </w:p>
    <w:p w14:paraId="71F6442E">
      <w:pPr>
        <w:spacing w:line="360" w:lineRule="auto"/>
        <w:rPr>
          <w:rFonts w:ascii="宋体" w:hAnsi="宋体" w:cs="宋体"/>
          <w:color w:val="auto"/>
          <w:sz w:val="24"/>
          <w:highlight w:val="none"/>
        </w:rPr>
      </w:pPr>
      <w:r>
        <w:rPr>
          <w:rFonts w:hint="eastAsia" w:ascii="宋体" w:hAnsi="宋体" w:cs="宋体"/>
          <w:b/>
          <w:bCs/>
          <w:color w:val="auto"/>
          <w:sz w:val="24"/>
          <w:highlight w:val="none"/>
        </w:rPr>
        <w:t>本项目由采购人授权评标委员会确定中标人。</w:t>
      </w:r>
    </w:p>
    <w:p w14:paraId="4D1B2D39">
      <w:pPr>
        <w:spacing w:line="360" w:lineRule="auto"/>
        <w:rPr>
          <w:rFonts w:ascii="宋体" w:hAnsi="宋体" w:cs="宋体"/>
          <w:color w:val="auto"/>
          <w:sz w:val="24"/>
          <w:highlight w:val="none"/>
        </w:rPr>
      </w:pPr>
      <w:bookmarkStart w:id="52" w:name="_Toc458697273"/>
      <w:r>
        <w:rPr>
          <w:rFonts w:hint="eastAsia" w:ascii="宋体" w:hAnsi="宋体" w:cs="宋体"/>
          <w:color w:val="auto"/>
          <w:sz w:val="24"/>
          <w:highlight w:val="none"/>
        </w:rPr>
        <w:t>1.招标方在评标结束后2个工作日内将评标报告交采购人确认。</w:t>
      </w:r>
    </w:p>
    <w:p w14:paraId="3A4E8EC3">
      <w:pPr>
        <w:spacing w:line="360" w:lineRule="auto"/>
        <w:rPr>
          <w:rFonts w:ascii="宋体" w:hAnsi="宋体" w:cs="宋体"/>
          <w:color w:val="auto"/>
          <w:sz w:val="24"/>
          <w:highlight w:val="none"/>
        </w:rPr>
      </w:pPr>
      <w:r>
        <w:rPr>
          <w:rFonts w:hint="eastAsia" w:ascii="宋体" w:hAnsi="宋体" w:cs="宋体"/>
          <w:color w:val="auto"/>
          <w:sz w:val="24"/>
          <w:highlight w:val="none"/>
        </w:rPr>
        <w:t>2.采购人应在收到评标报告后5个工作日内对评标结果进行确认。如有投标人对评标结果提出质疑的，采购人可在质疑处理完毕后确定中标人。</w:t>
      </w:r>
    </w:p>
    <w:p w14:paraId="7E56D67D">
      <w:pPr>
        <w:spacing w:line="360" w:lineRule="auto"/>
        <w:rPr>
          <w:rFonts w:ascii="宋体" w:hAnsi="宋体" w:cs="宋体"/>
          <w:color w:val="auto"/>
          <w:sz w:val="24"/>
          <w:highlight w:val="none"/>
        </w:rPr>
      </w:pPr>
      <w:r>
        <w:rPr>
          <w:rFonts w:hint="eastAsia" w:ascii="宋体" w:hAnsi="宋体" w:cs="宋体"/>
          <w:color w:val="auto"/>
          <w:sz w:val="24"/>
          <w:highlight w:val="none"/>
        </w:rPr>
        <w:t>3.采购人依法确定中标人后2个工作日内，招标方以书面形式发出《中标通知书》,并同时在相关网站上发布中标公告。</w:t>
      </w:r>
    </w:p>
    <w:p w14:paraId="65CA0967">
      <w:pPr>
        <w:spacing w:line="360" w:lineRule="auto"/>
        <w:rPr>
          <w:rFonts w:ascii="宋体" w:hAnsi="宋体" w:cs="宋体"/>
          <w:color w:val="auto"/>
          <w:sz w:val="24"/>
          <w:highlight w:val="none"/>
        </w:rPr>
      </w:pPr>
      <w:r>
        <w:rPr>
          <w:rFonts w:hint="eastAsia" w:ascii="宋体" w:hAnsi="宋体" w:cs="宋体"/>
          <w:color w:val="auto"/>
          <w:sz w:val="24"/>
          <w:highlight w:val="none"/>
        </w:rPr>
        <w:t>4. 确定中标人后，中标人应在三个工作日内，向招标方领取《中标通知书》，否则按放弃中标资格处理，并因违反诚信原则，提交财政部门列入政府采购黑名单。</w:t>
      </w:r>
    </w:p>
    <w:p w14:paraId="69D940C7">
      <w:pPr>
        <w:pStyle w:val="8"/>
        <w:keepNext w:val="0"/>
        <w:keepLines w:val="0"/>
        <w:pageBreakBefore/>
        <w:spacing w:line="360" w:lineRule="auto"/>
        <w:jc w:val="center"/>
        <w:rPr>
          <w:rFonts w:ascii="宋体" w:hAnsi="宋体" w:eastAsia="宋体" w:cs="宋体"/>
          <w:b/>
          <w:bCs/>
          <w:color w:val="auto"/>
          <w:sz w:val="24"/>
          <w:szCs w:val="24"/>
          <w:highlight w:val="none"/>
        </w:rPr>
      </w:pPr>
      <w:bookmarkStart w:id="53" w:name="_Toc19672"/>
      <w:r>
        <w:rPr>
          <w:rFonts w:hint="eastAsia" w:ascii="宋体" w:hAnsi="宋体" w:eastAsia="宋体" w:cs="宋体"/>
          <w:b/>
          <w:bCs/>
          <w:color w:val="auto"/>
          <w:sz w:val="24"/>
          <w:szCs w:val="24"/>
          <w:highlight w:val="none"/>
        </w:rPr>
        <w:t>七、合同授予</w:t>
      </w:r>
      <w:bookmarkEnd w:id="52"/>
      <w:bookmarkEnd w:id="53"/>
    </w:p>
    <w:p w14:paraId="23410C1D">
      <w:pPr>
        <w:spacing w:line="360" w:lineRule="auto"/>
        <w:rPr>
          <w:rFonts w:ascii="宋体" w:hAnsi="宋体" w:cs="宋体"/>
          <w:b/>
          <w:color w:val="auto"/>
          <w:sz w:val="24"/>
          <w:highlight w:val="none"/>
        </w:rPr>
      </w:pPr>
      <w:r>
        <w:rPr>
          <w:rFonts w:hint="eastAsia" w:ascii="宋体" w:hAnsi="宋体" w:cs="宋体"/>
          <w:b/>
          <w:color w:val="auto"/>
          <w:sz w:val="24"/>
          <w:highlight w:val="none"/>
        </w:rPr>
        <w:t>（一）签订合同</w:t>
      </w:r>
    </w:p>
    <w:p w14:paraId="13C38254">
      <w:pPr>
        <w:spacing w:line="360" w:lineRule="auto"/>
        <w:rPr>
          <w:rFonts w:ascii="宋体" w:hAnsi="宋体" w:cs="宋体"/>
          <w:color w:val="auto"/>
          <w:sz w:val="24"/>
          <w:highlight w:val="none"/>
        </w:rPr>
      </w:pPr>
      <w:r>
        <w:rPr>
          <w:rFonts w:hint="eastAsia" w:ascii="宋体" w:hAnsi="宋体" w:cs="宋体"/>
          <w:color w:val="auto"/>
          <w:sz w:val="24"/>
          <w:highlight w:val="none"/>
        </w:rPr>
        <w:t>1.除不可抗力等特殊情况外，采购人原则上应当在中标通知书发出之日起20日内，与成交人按照采购文件确定的事项签订政府采购合同，并在签订之日起2个工作日内将政府采购合同在浙江政府采购网上公告。</w:t>
      </w:r>
    </w:p>
    <w:p w14:paraId="09AE7997">
      <w:pPr>
        <w:spacing w:line="360" w:lineRule="auto"/>
        <w:rPr>
          <w:rFonts w:ascii="宋体" w:hAnsi="宋体" w:cs="宋体"/>
          <w:color w:val="auto"/>
          <w:sz w:val="24"/>
          <w:highlight w:val="none"/>
        </w:rPr>
      </w:pPr>
      <w:r>
        <w:rPr>
          <w:rFonts w:hint="eastAsia" w:ascii="宋体" w:hAnsi="宋体" w:cs="宋体"/>
          <w:color w:val="auto"/>
          <w:sz w:val="24"/>
          <w:highlight w:val="none"/>
        </w:rPr>
        <w:t>2.成交人按规定的日期、时间、地点，由法定代表人或其授权代表与采购人代表签订合同。如成交人为联合体的，由联合体成员各方法定代表人或其授权代表与采购人代表签订合同。</w:t>
      </w:r>
    </w:p>
    <w:p w14:paraId="0196D407">
      <w:pPr>
        <w:spacing w:line="360" w:lineRule="auto"/>
        <w:rPr>
          <w:rFonts w:ascii="宋体" w:hAnsi="宋体" w:cs="宋体"/>
          <w:color w:val="auto"/>
          <w:sz w:val="24"/>
          <w:highlight w:val="none"/>
        </w:rPr>
      </w:pPr>
      <w:r>
        <w:rPr>
          <w:rFonts w:hint="eastAsia" w:ascii="宋体" w:hAnsi="宋体" w:cs="宋体"/>
          <w:color w:val="auto"/>
          <w:sz w:val="24"/>
          <w:highlight w:val="none"/>
        </w:rPr>
        <w:t>3.如签订合同并生效后，供应商无故拒绝或延期，除按照合同条款处理外，列入不良行为记录一次，并给予通报。</w:t>
      </w:r>
    </w:p>
    <w:p w14:paraId="2DE6287C">
      <w:pPr>
        <w:spacing w:line="360" w:lineRule="auto"/>
        <w:rPr>
          <w:rFonts w:ascii="宋体" w:hAnsi="宋体" w:cs="宋体"/>
          <w:color w:val="auto"/>
          <w:sz w:val="24"/>
          <w:highlight w:val="none"/>
        </w:rPr>
      </w:pPr>
      <w:r>
        <w:rPr>
          <w:rFonts w:hint="eastAsia" w:ascii="宋体" w:hAnsi="宋体" w:cs="宋体"/>
          <w:color w:val="auto"/>
          <w:sz w:val="24"/>
          <w:highlight w:val="none"/>
        </w:rPr>
        <w:t>4.成交人拒绝与采购人签订合同的，采购人可以按照评审报告推荐的中标或者成交候选人名单排序，确定下一候选人为成交人，也可以重新开展政府采购活动。</w:t>
      </w:r>
    </w:p>
    <w:p w14:paraId="55CE2654">
      <w:pPr>
        <w:spacing w:line="360" w:lineRule="auto"/>
        <w:rPr>
          <w:rFonts w:ascii="宋体" w:hAnsi="宋体" w:cs="宋体"/>
          <w:color w:val="auto"/>
          <w:sz w:val="24"/>
          <w:highlight w:val="none"/>
        </w:rPr>
      </w:pPr>
      <w:r>
        <w:rPr>
          <w:rFonts w:hint="eastAsia" w:ascii="宋体" w:hAnsi="宋体" w:cs="宋体"/>
          <w:color w:val="auto"/>
          <w:sz w:val="24"/>
          <w:highlight w:val="none"/>
        </w:rPr>
        <w:t>5.采购合同由采购人与成交人根据采购文件、磋商响应文件等内容通过政府采购电子交易平台在线签订，自动备案。</w:t>
      </w:r>
    </w:p>
    <w:p w14:paraId="5615D4A6">
      <w:pPr>
        <w:spacing w:line="360" w:lineRule="auto"/>
        <w:rPr>
          <w:rFonts w:ascii="宋体" w:hAnsi="宋体" w:cs="宋体"/>
          <w:color w:val="auto"/>
          <w:sz w:val="24"/>
          <w:highlight w:val="none"/>
        </w:rPr>
      </w:pPr>
      <w:r>
        <w:rPr>
          <w:rFonts w:hint="eastAsia" w:ascii="宋体" w:hAnsi="宋体" w:cs="宋体"/>
          <w:color w:val="auto"/>
          <w:sz w:val="24"/>
          <w:highlight w:val="none"/>
        </w:rPr>
        <w:t>6.政府采购货物和服务项目不得收取质量保证金。政府采购工程以及与工程建设有关的货物、服务，采用招标方式采购的，按国家和省有关规定执行。</w:t>
      </w:r>
    </w:p>
    <w:p w14:paraId="7626CF7D">
      <w:pPr>
        <w:pStyle w:val="23"/>
        <w:keepNext w:val="0"/>
        <w:keepLines w:val="0"/>
        <w:pageBreakBefore/>
        <w:widowControl w:val="0"/>
        <w:kinsoku/>
        <w:wordWrap/>
        <w:overflowPunct/>
        <w:topLinePunct w:val="0"/>
        <w:autoSpaceDE/>
        <w:autoSpaceDN/>
        <w:bidi w:val="0"/>
        <w:adjustRightInd/>
        <w:snapToGrid w:val="0"/>
        <w:spacing w:before="120" w:after="120" w:line="408" w:lineRule="auto"/>
        <w:jc w:val="center"/>
        <w:outlineLvl w:val="0"/>
        <w:rPr>
          <w:rFonts w:ascii="宋体" w:hAnsi="宋体" w:cs="宋体"/>
          <w:b/>
          <w:color w:val="auto"/>
          <w:szCs w:val="24"/>
          <w:highlight w:val="none"/>
        </w:rPr>
      </w:pPr>
      <w:bookmarkStart w:id="54" w:name="_Toc32195"/>
      <w:r>
        <w:rPr>
          <w:rFonts w:hint="eastAsia" w:ascii="宋体" w:hAnsi="宋体" w:cs="宋体"/>
          <w:b/>
          <w:color w:val="auto"/>
          <w:szCs w:val="24"/>
          <w:highlight w:val="none"/>
        </w:rPr>
        <w:t>第四章  评标办法及评分标准</w:t>
      </w:r>
      <w:bookmarkEnd w:id="54"/>
    </w:p>
    <w:p w14:paraId="4A3DD6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为公正、公平、科学地选择中标人，根据《中华人民共和国政府采购法》等有关法律法规的规定，并结合本项目的实际，制定本办法。</w:t>
      </w:r>
    </w:p>
    <w:p w14:paraId="3B83241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本办法适用于</w:t>
      </w:r>
      <w:r>
        <w:rPr>
          <w:rFonts w:hint="eastAsia" w:ascii="宋体" w:hAnsi="宋体" w:cs="宋体"/>
          <w:color w:val="auto"/>
          <w:sz w:val="24"/>
          <w:highlight w:val="none"/>
          <w:lang w:eastAsia="zh-CN"/>
        </w:rPr>
        <w:t>东阳市红会医院5G查房采购项目</w:t>
      </w:r>
      <w:r>
        <w:rPr>
          <w:rFonts w:hint="eastAsia" w:ascii="宋体" w:hAnsi="宋体" w:cs="宋体"/>
          <w:color w:val="auto"/>
          <w:sz w:val="24"/>
          <w:highlight w:val="none"/>
        </w:rPr>
        <w:t>的评标。</w:t>
      </w:r>
    </w:p>
    <w:p w14:paraId="5E867851">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b/>
          <w:color w:val="auto"/>
          <w:sz w:val="24"/>
          <w:highlight w:val="none"/>
        </w:rPr>
      </w:pPr>
      <w:bookmarkStart w:id="55" w:name="_Toc31315"/>
      <w:bookmarkStart w:id="56" w:name="_Toc452728219"/>
      <w:bookmarkStart w:id="57" w:name="_Toc26574"/>
      <w:bookmarkStart w:id="58" w:name="_Toc12525"/>
      <w:r>
        <w:rPr>
          <w:rFonts w:hint="eastAsia" w:ascii="宋体" w:hAnsi="宋体" w:cs="宋体"/>
          <w:b/>
          <w:color w:val="auto"/>
          <w:sz w:val="24"/>
          <w:highlight w:val="none"/>
        </w:rPr>
        <w:t>一、总则</w:t>
      </w:r>
      <w:bookmarkEnd w:id="55"/>
      <w:bookmarkEnd w:id="56"/>
      <w:bookmarkEnd w:id="57"/>
      <w:bookmarkEnd w:id="58"/>
    </w:p>
    <w:p w14:paraId="54CA509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本次评标采用综合评分法，总分为100分，其中价格分</w:t>
      </w:r>
      <w:r>
        <w:rPr>
          <w:rFonts w:hint="eastAsia" w:ascii="宋体" w:hAnsi="宋体" w:cs="宋体"/>
          <w:color w:val="auto"/>
          <w:sz w:val="24"/>
          <w:highlight w:val="none"/>
          <w:lang w:val="en-US" w:eastAsia="zh-CN"/>
        </w:rPr>
        <w:t>30</w:t>
      </w:r>
      <w:r>
        <w:rPr>
          <w:rFonts w:hint="eastAsia" w:ascii="宋体" w:hAnsi="宋体" w:cs="宋体"/>
          <w:color w:val="auto"/>
          <w:sz w:val="24"/>
          <w:highlight w:val="none"/>
        </w:rPr>
        <w:t>分，技术、商务、资信及其他分</w:t>
      </w:r>
      <w:r>
        <w:rPr>
          <w:rFonts w:hint="eastAsia" w:ascii="宋体" w:hAnsi="宋体" w:cs="宋体"/>
          <w:color w:val="auto"/>
          <w:sz w:val="24"/>
          <w:highlight w:val="none"/>
          <w:lang w:val="en-US" w:eastAsia="zh-CN"/>
        </w:rPr>
        <w:t>70</w:t>
      </w:r>
      <w:r>
        <w:rPr>
          <w:rFonts w:hint="eastAsia" w:ascii="宋体" w:hAnsi="宋体" w:cs="宋体"/>
          <w:color w:val="auto"/>
          <w:sz w:val="24"/>
          <w:highlight w:val="none"/>
        </w:rPr>
        <w:t>分；合格投标人的评标得分为各项目汇总得分，中标候选资格按评标综合得分由高到低顺序排列，得分相同的，按投标报价由低到高顺序排列；得分且投标报价相同的，按技术得分由高到低顺序排列。排名第一的投标人为中标候选人,排名第二的投标人为候补中标候选人(有效投标人为 3家时推荐2名中标候选人，有效投标人大于3家时，推荐3名中标候选人)……其他投标人中标候选资格依此类推。评分过程中采用四舍五入法，并保留小数2位。</w:t>
      </w:r>
    </w:p>
    <w:p w14:paraId="1E7E46E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投标人评标综合得分=价格分+(技术分+商务分+资信及其他分)</w:t>
      </w:r>
    </w:p>
    <w:p w14:paraId="25CC3905">
      <w:pPr>
        <w:keepNext w:val="0"/>
        <w:keepLines w:val="0"/>
        <w:widowControl w:val="0"/>
        <w:numPr>
          <w:ilvl w:val="0"/>
          <w:numId w:val="7"/>
        </w:numPr>
        <w:kinsoku/>
        <w:wordWrap/>
        <w:overflowPunct/>
        <w:topLinePunct w:val="0"/>
        <w:autoSpaceDE/>
        <w:autoSpaceDN/>
        <w:bidi w:val="0"/>
        <w:adjustRightInd/>
        <w:spacing w:line="408" w:lineRule="auto"/>
        <w:rPr>
          <w:rFonts w:ascii="宋体" w:hAnsi="宋体" w:cs="宋体"/>
          <w:b/>
          <w:color w:val="auto"/>
          <w:sz w:val="24"/>
          <w:highlight w:val="none"/>
        </w:rPr>
      </w:pPr>
      <w:bookmarkStart w:id="59" w:name="_Toc12387"/>
      <w:bookmarkStart w:id="60" w:name="_Toc6122"/>
      <w:bookmarkStart w:id="61" w:name="_Toc452728220"/>
      <w:bookmarkStart w:id="62" w:name="_Toc16785"/>
      <w:r>
        <w:rPr>
          <w:rFonts w:hint="eastAsia" w:ascii="宋体" w:hAnsi="宋体" w:cs="宋体"/>
          <w:b/>
          <w:color w:val="auto"/>
          <w:sz w:val="24"/>
          <w:highlight w:val="none"/>
        </w:rPr>
        <w:t>评标内容及标准</w:t>
      </w:r>
      <w:bookmarkEnd w:id="59"/>
      <w:bookmarkEnd w:id="60"/>
      <w:bookmarkEnd w:id="61"/>
      <w:bookmarkEnd w:id="62"/>
      <w:bookmarkStart w:id="63" w:name="_Toc502652282"/>
      <w:bookmarkStart w:id="64" w:name="_Hlt452359757"/>
      <w:bookmarkStart w:id="65" w:name="_Hlt452359758"/>
    </w:p>
    <w:p w14:paraId="1D42CA26">
      <w:pPr>
        <w:pStyle w:val="23"/>
        <w:keepNext w:val="0"/>
        <w:keepLines w:val="0"/>
        <w:widowControl w:val="0"/>
        <w:kinsoku/>
        <w:wordWrap/>
        <w:overflowPunct/>
        <w:topLinePunct w:val="0"/>
        <w:autoSpaceDE/>
        <w:autoSpaceDN/>
        <w:bidi w:val="0"/>
        <w:adjustRightInd/>
        <w:spacing w:before="120" w:after="120" w:line="408" w:lineRule="auto"/>
        <w:rPr>
          <w:rFonts w:ascii="宋体" w:hAnsi="宋体" w:cs="宋体"/>
          <w:b/>
          <w:bCs/>
          <w:color w:val="auto"/>
          <w:szCs w:val="24"/>
          <w:highlight w:val="none"/>
        </w:rPr>
      </w:pPr>
      <w:r>
        <w:rPr>
          <w:rFonts w:hint="eastAsia" w:ascii="宋体" w:hAnsi="宋体" w:cs="宋体"/>
          <w:b/>
          <w:bCs/>
          <w:color w:val="auto"/>
          <w:szCs w:val="24"/>
          <w:highlight w:val="none"/>
        </w:rPr>
        <w:t>（一）技术、商务、资信及其他分（</w:t>
      </w:r>
      <w:r>
        <w:rPr>
          <w:rFonts w:hint="eastAsia" w:ascii="宋体" w:hAnsi="宋体" w:cs="宋体"/>
          <w:b/>
          <w:bCs/>
          <w:color w:val="auto"/>
          <w:szCs w:val="24"/>
          <w:highlight w:val="none"/>
          <w:lang w:val="en-US" w:eastAsia="zh-CN"/>
        </w:rPr>
        <w:t>7</w:t>
      </w:r>
      <w:r>
        <w:rPr>
          <w:rFonts w:hint="eastAsia" w:ascii="宋体" w:hAnsi="宋体" w:cs="宋体"/>
          <w:b/>
          <w:bCs/>
          <w:color w:val="auto"/>
          <w:szCs w:val="24"/>
          <w:highlight w:val="none"/>
        </w:rPr>
        <w:t>0分）</w:t>
      </w:r>
    </w:p>
    <w:p w14:paraId="4F274CE0">
      <w:pPr>
        <w:keepNext w:val="0"/>
        <w:keepLines w:val="0"/>
        <w:widowControl w:val="0"/>
        <w:kinsoku/>
        <w:wordWrap/>
        <w:overflowPunct/>
        <w:topLinePunct w:val="0"/>
        <w:autoSpaceDE/>
        <w:autoSpaceDN/>
        <w:bidi w:val="0"/>
        <w:adjustRightInd/>
        <w:spacing w:line="408"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技术、商务资信及其他分响应标书要求的投标单位全部进入商务报价评审。</w:t>
      </w:r>
    </w:p>
    <w:p w14:paraId="5D27AB6C">
      <w:pPr>
        <w:pStyle w:val="16"/>
        <w:keepNext w:val="0"/>
        <w:keepLines w:val="0"/>
        <w:widowControl w:val="0"/>
        <w:numPr>
          <w:ilvl w:val="0"/>
          <w:numId w:val="0"/>
        </w:numPr>
        <w:kinsoku/>
        <w:wordWrap/>
        <w:overflowPunct/>
        <w:topLinePunct w:val="0"/>
        <w:autoSpaceDE/>
        <w:autoSpaceDN/>
        <w:bidi w:val="0"/>
        <w:adjustRightInd/>
        <w:spacing w:line="408" w:lineRule="auto"/>
        <w:ind w:left="0" w:leftChars="0"/>
        <w:rPr>
          <w:rFonts w:ascii="宋体" w:hAnsi="宋体" w:cs="宋体"/>
          <w:b/>
          <w:bCs/>
          <w:color w:val="auto"/>
          <w:sz w:val="24"/>
          <w:highlight w:val="none"/>
        </w:rPr>
      </w:pPr>
      <w:r>
        <w:rPr>
          <w:rFonts w:hint="eastAsia" w:ascii="宋体" w:hAnsi="宋体" w:eastAsia="宋体" w:cs="宋体"/>
          <w:b/>
          <w:bCs/>
          <w:color w:val="auto"/>
          <w:kern w:val="2"/>
          <w:sz w:val="24"/>
          <w:szCs w:val="24"/>
          <w:highlight w:val="none"/>
          <w:lang w:val="en-US" w:eastAsia="zh-CN" w:bidi="ar-SA"/>
        </w:rPr>
        <w:t>（二）</w:t>
      </w:r>
      <w:r>
        <w:rPr>
          <w:rFonts w:hint="eastAsia" w:ascii="宋体" w:hAnsi="宋体" w:cs="宋体"/>
          <w:b/>
          <w:bCs/>
          <w:color w:val="auto"/>
          <w:sz w:val="24"/>
          <w:highlight w:val="none"/>
        </w:rPr>
        <w:t>价格分（</w:t>
      </w:r>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rPr>
        <w:t xml:space="preserve">0分） </w:t>
      </w:r>
    </w:p>
    <w:p w14:paraId="37D5512F">
      <w:pPr>
        <w:keepNext w:val="0"/>
        <w:keepLines w:val="0"/>
        <w:pageBreakBefore w:val="0"/>
        <w:widowControl w:val="0"/>
        <w:kinsoku/>
        <w:wordWrap/>
        <w:overflowPunct/>
        <w:topLinePunct w:val="0"/>
        <w:autoSpaceDE/>
        <w:autoSpaceDN/>
        <w:bidi w:val="0"/>
        <w:adjustRightInd/>
        <w:spacing w:before="120" w:beforeLines="50" w:after="120" w:afterLines="50" w:line="408" w:lineRule="auto"/>
        <w:ind w:firstLine="464" w:firstLineChars="200"/>
        <w:rPr>
          <w:rFonts w:ascii="宋体" w:hAnsi="宋体" w:cs="宋体"/>
          <w:bCs/>
          <w:color w:val="auto"/>
          <w:sz w:val="24"/>
          <w:highlight w:val="none"/>
        </w:rPr>
      </w:pPr>
      <w:r>
        <w:rPr>
          <w:rFonts w:hint="eastAsia" w:ascii="宋体" w:hAnsi="宋体" w:cs="宋体"/>
          <w:bCs/>
          <w:color w:val="auto"/>
          <w:spacing w:val="-4"/>
          <w:sz w:val="24"/>
          <w:szCs w:val="20"/>
          <w:highlight w:val="none"/>
        </w:rPr>
        <w:t>（1）</w:t>
      </w:r>
      <w:r>
        <w:rPr>
          <w:rFonts w:hint="eastAsia" w:ascii="宋体" w:hAnsi="宋体" w:cs="宋体"/>
          <w:bCs/>
          <w:color w:val="auto"/>
          <w:sz w:val="24"/>
          <w:highlight w:val="none"/>
        </w:rPr>
        <w:t>价格分采用低价优先法计算，取所有技术、资信商务得分入围投标人中，投标价格最低的投标报价为评标基准价（</w:t>
      </w:r>
      <w:r>
        <w:rPr>
          <w:rFonts w:hint="eastAsia" w:ascii="宋体" w:hAnsi="宋体" w:cs="宋体"/>
          <w:color w:val="auto"/>
          <w:sz w:val="24"/>
          <w:highlight w:val="none"/>
        </w:rPr>
        <w:t>小型、微型企业待遇报价</w:t>
      </w:r>
      <w:r>
        <w:rPr>
          <w:rFonts w:hint="eastAsia" w:ascii="宋体" w:hAnsi="宋体" w:cs="宋体"/>
          <w:bCs/>
          <w:color w:val="auto"/>
          <w:spacing w:val="-4"/>
          <w:sz w:val="24"/>
          <w:szCs w:val="20"/>
          <w:highlight w:val="none"/>
        </w:rPr>
        <w:t>或监狱企业待遇报价或残疾人福利企业待遇报价</w:t>
      </w:r>
      <w:r>
        <w:rPr>
          <w:rFonts w:hint="eastAsia" w:ascii="宋体" w:hAnsi="宋体" w:cs="宋体"/>
          <w:color w:val="auto"/>
          <w:sz w:val="24"/>
          <w:highlight w:val="none"/>
        </w:rPr>
        <w:t>低于最低投标报价时，小型、微型企业待遇报价</w:t>
      </w:r>
      <w:r>
        <w:rPr>
          <w:rFonts w:hint="eastAsia" w:ascii="宋体" w:hAnsi="宋体" w:cs="宋体"/>
          <w:bCs/>
          <w:color w:val="auto"/>
          <w:spacing w:val="-4"/>
          <w:sz w:val="24"/>
          <w:szCs w:val="20"/>
          <w:highlight w:val="none"/>
        </w:rPr>
        <w:t>或监狱企业待遇报价或残疾人福利企业待遇报价</w:t>
      </w:r>
      <w:r>
        <w:rPr>
          <w:rFonts w:hint="eastAsia" w:ascii="宋体" w:hAnsi="宋体" w:cs="宋体"/>
          <w:color w:val="auto"/>
          <w:sz w:val="24"/>
          <w:highlight w:val="none"/>
        </w:rPr>
        <w:t>为评标基准价</w:t>
      </w:r>
      <w:r>
        <w:rPr>
          <w:rFonts w:hint="eastAsia" w:ascii="宋体" w:hAnsi="宋体" w:cs="宋体"/>
          <w:bCs/>
          <w:color w:val="auto"/>
          <w:sz w:val="24"/>
          <w:highlight w:val="none"/>
        </w:rPr>
        <w:t>），其他投标人的价格分按照下列公式计算：</w:t>
      </w:r>
    </w:p>
    <w:p w14:paraId="35C8DE90">
      <w:pPr>
        <w:keepNext w:val="0"/>
        <w:keepLines w:val="0"/>
        <w:pageBreakBefore w:val="0"/>
        <w:widowControl w:val="0"/>
        <w:kinsoku/>
        <w:wordWrap/>
        <w:overflowPunct/>
        <w:topLinePunct w:val="0"/>
        <w:autoSpaceDE/>
        <w:autoSpaceDN/>
        <w:bidi w:val="0"/>
        <w:adjustRightInd/>
        <w:spacing w:before="120" w:beforeLines="50" w:after="120" w:afterLines="50" w:line="408" w:lineRule="auto"/>
        <w:ind w:firstLine="464" w:firstLineChars="200"/>
        <w:rPr>
          <w:rFonts w:ascii="宋体" w:hAnsi="宋体" w:cs="宋体"/>
          <w:bCs/>
          <w:color w:val="auto"/>
          <w:spacing w:val="-4"/>
          <w:sz w:val="24"/>
          <w:szCs w:val="20"/>
          <w:highlight w:val="none"/>
        </w:rPr>
      </w:pPr>
      <w:r>
        <w:rPr>
          <w:rFonts w:hint="eastAsia" w:ascii="宋体" w:hAnsi="宋体" w:cs="宋体"/>
          <w:bCs/>
          <w:color w:val="auto"/>
          <w:spacing w:val="-4"/>
          <w:sz w:val="24"/>
          <w:szCs w:val="20"/>
          <w:highlight w:val="none"/>
        </w:rPr>
        <w:t>价格分=评标基准价/投标报价（或小型、微型企业待遇报价或监狱企业待遇报价或残疾人福利企业待遇报价）×</w:t>
      </w:r>
      <w:r>
        <w:rPr>
          <w:rFonts w:hint="eastAsia" w:ascii="宋体" w:hAnsi="宋体" w:cs="宋体"/>
          <w:bCs/>
          <w:color w:val="auto"/>
          <w:spacing w:val="-4"/>
          <w:sz w:val="24"/>
          <w:szCs w:val="20"/>
          <w:highlight w:val="none"/>
          <w:lang w:val="en-US" w:eastAsia="zh-CN"/>
        </w:rPr>
        <w:t>3</w:t>
      </w:r>
      <w:r>
        <w:rPr>
          <w:rFonts w:hint="eastAsia" w:ascii="宋体" w:hAnsi="宋体" w:cs="宋体"/>
          <w:bCs/>
          <w:color w:val="auto"/>
          <w:spacing w:val="-4"/>
          <w:sz w:val="24"/>
          <w:szCs w:val="20"/>
          <w:highlight w:val="none"/>
        </w:rPr>
        <w:t>0</w:t>
      </w:r>
    </w:p>
    <w:p w14:paraId="5195AE16">
      <w:pPr>
        <w:keepNext w:val="0"/>
        <w:keepLines w:val="0"/>
        <w:pageBreakBefore w:val="0"/>
        <w:widowControl w:val="0"/>
        <w:numPr>
          <w:ilvl w:val="0"/>
          <w:numId w:val="10"/>
        </w:numPr>
        <w:tabs>
          <w:tab w:val="left" w:pos="982"/>
        </w:tabs>
        <w:kinsoku/>
        <w:wordWrap/>
        <w:overflowPunct/>
        <w:topLinePunct w:val="0"/>
        <w:autoSpaceDE/>
        <w:autoSpaceDN/>
        <w:bidi w:val="0"/>
        <w:adjustRightInd/>
        <w:snapToGrid w:val="0"/>
        <w:spacing w:line="408" w:lineRule="auto"/>
        <w:ind w:left="-2" w:leftChars="-1" w:firstLine="528" w:firstLineChars="220"/>
        <w:rPr>
          <w:rFonts w:ascii="宋体" w:hAnsi="宋体" w:cs="宋体"/>
          <w:bCs/>
          <w:color w:val="auto"/>
          <w:spacing w:val="-4"/>
          <w:sz w:val="24"/>
          <w:highlight w:val="none"/>
        </w:rPr>
      </w:pPr>
      <w:r>
        <w:rPr>
          <w:rFonts w:hint="eastAsia" w:ascii="宋体" w:hAnsi="宋体" w:cs="宋体"/>
          <w:color w:val="auto"/>
          <w:sz w:val="24"/>
          <w:highlight w:val="none"/>
        </w:rPr>
        <w:t>根据</w:t>
      </w:r>
      <w:r>
        <w:rPr>
          <w:rFonts w:hint="eastAsia" w:ascii="宋体" w:hAnsi="宋体" w:cs="宋体"/>
          <w:bCs/>
          <w:color w:val="auto"/>
          <w:spacing w:val="-4"/>
          <w:sz w:val="24"/>
          <w:highlight w:val="none"/>
        </w:rPr>
        <w:t>《关于印发&lt;政府采购促进中小企业发展管理办法&gt;的通知》(财库〔2020〕46号)文件、《财政部、司法部关于政府采购支持监狱企业发展有关问题的通知》（财库〔2014〕68号）文件及《财政部、民政部、中国残疾人联合会关于促进残疾人就业政府采购政策的通知》（财库〔2017〕141号）的规定，本项目对小型和微型企业、监狱企业、残疾人福利性单位价格给予20%扣除，用扣除后的价格参与评审，但不重复享受价格扣除。</w:t>
      </w:r>
    </w:p>
    <w:p w14:paraId="10025298">
      <w:pPr>
        <w:keepNext w:val="0"/>
        <w:keepLines w:val="0"/>
        <w:pageBreakBefore w:val="0"/>
        <w:widowControl w:val="0"/>
        <w:tabs>
          <w:tab w:val="left" w:pos="982"/>
        </w:tabs>
        <w:kinsoku/>
        <w:wordWrap/>
        <w:overflowPunct/>
        <w:topLinePunct w:val="0"/>
        <w:autoSpaceDE/>
        <w:autoSpaceDN/>
        <w:bidi w:val="0"/>
        <w:adjustRightInd/>
        <w:snapToGrid w:val="0"/>
        <w:spacing w:line="408" w:lineRule="auto"/>
        <w:ind w:firstLine="464" w:firstLineChars="200"/>
        <w:rPr>
          <w:color w:val="auto"/>
          <w:highlight w:val="none"/>
        </w:rPr>
      </w:pPr>
      <w:r>
        <w:rPr>
          <w:rFonts w:hint="eastAsia" w:ascii="宋体" w:hAnsi="宋体" w:cs="宋体"/>
          <w:bCs/>
          <w:color w:val="auto"/>
          <w:spacing w:val="-4"/>
          <w:sz w:val="24"/>
          <w:highlight w:val="none"/>
        </w:rPr>
        <w:t>大中型企业与小微企业组成联合体或者允许大中型企业向一家或者多家小微企业分包的政府采购货物或服务项目，对于联合体协议或者分包意向协议约定小微企业的合同份额占到合同总金额</w:t>
      </w:r>
      <w:r>
        <w:rPr>
          <w:rFonts w:hint="eastAsia" w:ascii="宋体" w:hAnsi="宋体" w:cs="宋体"/>
          <w:bCs/>
          <w:color w:val="auto"/>
          <w:spacing w:val="-4"/>
          <w:sz w:val="24"/>
          <w:highlight w:val="none"/>
          <w:lang w:val="en-US" w:eastAsia="zh-CN"/>
        </w:rPr>
        <w:t>4</w:t>
      </w:r>
      <w:r>
        <w:rPr>
          <w:rFonts w:hint="eastAsia" w:ascii="宋体" w:hAnsi="宋体" w:cs="宋体"/>
          <w:bCs/>
          <w:color w:val="auto"/>
          <w:spacing w:val="-4"/>
          <w:sz w:val="24"/>
          <w:highlight w:val="none"/>
        </w:rPr>
        <w:t>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1BC74BB6">
      <w:pPr>
        <w:keepNext w:val="0"/>
        <w:keepLines w:val="0"/>
        <w:pageBreakBefore w:val="0"/>
        <w:widowControl w:val="0"/>
        <w:tabs>
          <w:tab w:val="left" w:pos="982"/>
        </w:tabs>
        <w:kinsoku/>
        <w:wordWrap/>
        <w:overflowPunct/>
        <w:topLinePunct w:val="0"/>
        <w:autoSpaceDE/>
        <w:autoSpaceDN/>
        <w:bidi w:val="0"/>
        <w:adjustRightInd/>
        <w:snapToGrid w:val="0"/>
        <w:spacing w:line="408" w:lineRule="auto"/>
        <w:ind w:firstLine="464" w:firstLineChars="200"/>
        <w:rPr>
          <w:rFonts w:ascii="宋体" w:hAnsi="宋体" w:cs="宋体"/>
          <w:bCs/>
          <w:color w:val="auto"/>
          <w:spacing w:val="-4"/>
          <w:sz w:val="24"/>
          <w:highlight w:val="none"/>
        </w:rPr>
      </w:pPr>
      <w:r>
        <w:rPr>
          <w:rFonts w:hint="eastAsia" w:ascii="宋体" w:hAnsi="宋体" w:cs="宋体"/>
          <w:bCs/>
          <w:color w:val="auto"/>
          <w:spacing w:val="-4"/>
          <w:sz w:val="24"/>
          <w:highlight w:val="none"/>
        </w:rPr>
        <w:t>小型和微型企业是指投标文件中提供了中小企业声明函且符合《关于印发&lt;政府采购促进中小企业发展管理办法&gt;的通知》(财库〔2020〕46号)规定的要求。残疾人福利性单位是指投标文件中提供了残疾人福利性单位声明函且符合《财政部、民政部、中国残疾人联合会关于促进残疾人就业政府采购政策的通知》（财库〔2017〕141号）规定的企业。监狱企业是指投标文件中提供了由省级以上监狱管理局、戒毒管理局（含新疆生产建设兵团）出具的属于监狱企业的证明文件的企业。</w:t>
      </w:r>
    </w:p>
    <w:p w14:paraId="4FBB55CE">
      <w:pPr>
        <w:keepNext w:val="0"/>
        <w:keepLines w:val="0"/>
        <w:pageBreakBefore w:val="0"/>
        <w:widowControl w:val="0"/>
        <w:kinsoku/>
        <w:wordWrap/>
        <w:overflowPunct/>
        <w:topLinePunct w:val="0"/>
        <w:autoSpaceDE/>
        <w:autoSpaceDN/>
        <w:bidi w:val="0"/>
        <w:adjustRightInd/>
        <w:spacing w:line="408" w:lineRule="auto"/>
        <w:rPr>
          <w:rFonts w:ascii="宋体" w:hAnsi="宋体" w:cs="宋体"/>
          <w:b/>
          <w:bCs/>
          <w:color w:val="auto"/>
          <w:sz w:val="24"/>
          <w:highlight w:val="none"/>
        </w:rPr>
      </w:pPr>
      <w:r>
        <w:rPr>
          <w:rFonts w:hint="eastAsia" w:ascii="宋体" w:hAnsi="宋体" w:cs="宋体"/>
          <w:b/>
          <w:bCs/>
          <w:color w:val="auto"/>
          <w:sz w:val="24"/>
          <w:highlight w:val="none"/>
        </w:rPr>
        <w:t>（三）技术、商务、资信及其他分的计算</w:t>
      </w:r>
    </w:p>
    <w:p w14:paraId="21C2DE65">
      <w:pPr>
        <w:keepNext w:val="0"/>
        <w:keepLines w:val="0"/>
        <w:pageBreakBefore w:val="0"/>
        <w:widowControl w:val="0"/>
        <w:kinsoku/>
        <w:wordWrap/>
        <w:overflowPunct/>
        <w:topLinePunct w:val="0"/>
        <w:autoSpaceDE/>
        <w:autoSpaceDN/>
        <w:bidi w:val="0"/>
        <w:adjustRightInd/>
        <w:spacing w:before="120" w:beforeLines="50" w:after="120" w:afterLines="50" w:line="408"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技术、商务、资信及其他分按照评标委员会成员的独立评分结果的算术平均分计算，计算公式为：</w:t>
      </w:r>
    </w:p>
    <w:p w14:paraId="0107E3F7">
      <w:pPr>
        <w:keepNext w:val="0"/>
        <w:keepLines w:val="0"/>
        <w:pageBreakBefore w:val="0"/>
        <w:widowControl w:val="0"/>
        <w:kinsoku/>
        <w:wordWrap/>
        <w:overflowPunct/>
        <w:topLinePunct w:val="0"/>
        <w:autoSpaceDE/>
        <w:autoSpaceDN/>
        <w:bidi w:val="0"/>
        <w:adjustRightInd/>
        <w:spacing w:before="120" w:beforeLines="50" w:after="120" w:afterLines="50" w:line="408"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技术商务资信及其他分=评标委员会所有成员有效评分合计数/5</w:t>
      </w:r>
    </w:p>
    <w:p w14:paraId="4DBF2B58">
      <w:pPr>
        <w:keepNext w:val="0"/>
        <w:keepLines w:val="0"/>
        <w:pageBreakBefore w:val="0"/>
        <w:widowControl w:val="0"/>
        <w:numPr>
          <w:ilvl w:val="0"/>
          <w:numId w:val="0"/>
        </w:numPr>
        <w:kinsoku/>
        <w:wordWrap/>
        <w:overflowPunct/>
        <w:topLinePunct w:val="0"/>
        <w:autoSpaceDE/>
        <w:autoSpaceDN/>
        <w:bidi w:val="0"/>
        <w:adjustRightInd/>
        <w:spacing w:line="408" w:lineRule="auto"/>
        <w:ind w:left="0" w:leftChars="0" w:firstLine="0" w:firstLineChars="0"/>
        <w:rPr>
          <w:rFonts w:hint="eastAsia" w:ascii="宋体" w:hAnsi="宋体" w:cs="宋体"/>
          <w:b/>
          <w:bCs/>
          <w:color w:val="auto"/>
          <w:sz w:val="24"/>
          <w:highlight w:val="none"/>
        </w:rPr>
      </w:pPr>
      <w:r>
        <w:rPr>
          <w:rFonts w:hint="eastAsia" w:ascii="宋体" w:hAnsi="宋体" w:eastAsia="宋体" w:cs="宋体"/>
          <w:b/>
          <w:bCs/>
          <w:color w:val="auto"/>
          <w:kern w:val="2"/>
          <w:sz w:val="24"/>
          <w:szCs w:val="24"/>
          <w:highlight w:val="none"/>
          <w:lang w:val="en-US" w:eastAsia="zh-CN" w:bidi="ar-SA"/>
        </w:rPr>
        <w:t>（</w:t>
      </w:r>
      <w:r>
        <w:rPr>
          <w:rFonts w:hint="eastAsia" w:ascii="宋体" w:hAnsi="宋体" w:cs="宋体"/>
          <w:b/>
          <w:bCs/>
          <w:color w:val="auto"/>
          <w:kern w:val="2"/>
          <w:sz w:val="24"/>
          <w:szCs w:val="24"/>
          <w:highlight w:val="none"/>
          <w:lang w:val="en-US" w:eastAsia="zh-CN" w:bidi="ar-SA"/>
        </w:rPr>
        <w:t>四</w:t>
      </w:r>
      <w:r>
        <w:rPr>
          <w:rFonts w:hint="eastAsia" w:ascii="宋体" w:hAnsi="宋体" w:eastAsia="宋体" w:cs="宋体"/>
          <w:b/>
          <w:bCs/>
          <w:color w:val="auto"/>
          <w:kern w:val="2"/>
          <w:sz w:val="24"/>
          <w:szCs w:val="24"/>
          <w:highlight w:val="none"/>
          <w:lang w:val="en-US" w:eastAsia="zh-CN" w:bidi="ar-SA"/>
        </w:rPr>
        <w:t>）</w:t>
      </w:r>
      <w:r>
        <w:rPr>
          <w:rFonts w:hint="eastAsia" w:ascii="宋体" w:hAnsi="宋体" w:cs="宋体"/>
          <w:b/>
          <w:bCs/>
          <w:color w:val="auto"/>
          <w:sz w:val="24"/>
          <w:highlight w:val="none"/>
        </w:rPr>
        <w:t>技术分、商务分、资信及其他分评分标准，共</w:t>
      </w:r>
      <w:r>
        <w:rPr>
          <w:rFonts w:hint="eastAsia" w:ascii="宋体" w:hAnsi="宋体" w:cs="宋体"/>
          <w:b/>
          <w:bCs/>
          <w:color w:val="auto"/>
          <w:sz w:val="24"/>
          <w:highlight w:val="none"/>
          <w:lang w:val="en-US" w:eastAsia="zh-CN"/>
        </w:rPr>
        <w:t>7</w:t>
      </w:r>
      <w:r>
        <w:rPr>
          <w:rFonts w:hint="eastAsia" w:ascii="宋体" w:hAnsi="宋体" w:cs="宋体"/>
          <w:b/>
          <w:bCs/>
          <w:color w:val="auto"/>
          <w:sz w:val="24"/>
          <w:highlight w:val="none"/>
        </w:rPr>
        <w:t xml:space="preserve">0分 </w:t>
      </w:r>
    </w:p>
    <w:tbl>
      <w:tblPr>
        <w:tblStyle w:val="39"/>
        <w:tblpPr w:leftFromText="180" w:rightFromText="180" w:vertAnchor="text" w:tblpXSpec="center" w:tblpY="1"/>
        <w:tblOverlap w:val="never"/>
        <w:tblW w:w="106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6"/>
        <w:gridCol w:w="393"/>
        <w:gridCol w:w="1000"/>
        <w:gridCol w:w="7874"/>
        <w:gridCol w:w="817"/>
      </w:tblGrid>
      <w:tr w14:paraId="1A686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noWrap w:val="0"/>
            <w:vAlign w:val="center"/>
          </w:tcPr>
          <w:p w14:paraId="1CA9F57F">
            <w:pPr>
              <w:pStyle w:val="34"/>
              <w:spacing w:line="360" w:lineRule="auto"/>
              <w:ind w:firstLine="0"/>
              <w:jc w:val="center"/>
              <w:rPr>
                <w:rFonts w:ascii="宋体"/>
                <w:b/>
                <w:bCs/>
                <w:color w:val="auto"/>
                <w:sz w:val="22"/>
                <w:szCs w:val="22"/>
                <w:highlight w:val="none"/>
              </w:rPr>
            </w:pPr>
            <w:r>
              <w:rPr>
                <w:rFonts w:hint="eastAsia" w:ascii="宋体"/>
                <w:b/>
                <w:bCs/>
                <w:color w:val="auto"/>
                <w:sz w:val="22"/>
                <w:szCs w:val="22"/>
                <w:highlight w:val="none"/>
              </w:rPr>
              <w:t>序号</w:t>
            </w:r>
          </w:p>
        </w:tc>
        <w:tc>
          <w:tcPr>
            <w:tcW w:w="1393" w:type="dxa"/>
            <w:gridSpan w:val="2"/>
            <w:tcBorders>
              <w:top w:val="single" w:color="auto" w:sz="4" w:space="0"/>
              <w:left w:val="single" w:color="auto" w:sz="4" w:space="0"/>
              <w:bottom w:val="single" w:color="auto" w:sz="4" w:space="0"/>
              <w:right w:val="single" w:color="auto" w:sz="4" w:space="0"/>
            </w:tcBorders>
            <w:noWrap w:val="0"/>
            <w:vAlign w:val="center"/>
          </w:tcPr>
          <w:p w14:paraId="001317F7">
            <w:pPr>
              <w:pStyle w:val="34"/>
              <w:spacing w:line="360" w:lineRule="auto"/>
              <w:ind w:firstLine="0"/>
              <w:jc w:val="center"/>
              <w:rPr>
                <w:rFonts w:ascii="宋体"/>
                <w:b/>
                <w:bCs/>
                <w:color w:val="auto"/>
                <w:sz w:val="24"/>
                <w:highlight w:val="none"/>
              </w:rPr>
            </w:pPr>
            <w:r>
              <w:rPr>
                <w:rFonts w:hint="eastAsia" w:ascii="宋体"/>
                <w:b/>
                <w:bCs/>
                <w:color w:val="auto"/>
                <w:sz w:val="24"/>
                <w:highlight w:val="none"/>
              </w:rPr>
              <w:t>评审内容</w:t>
            </w:r>
          </w:p>
        </w:tc>
        <w:tc>
          <w:tcPr>
            <w:tcW w:w="7874" w:type="dxa"/>
            <w:tcBorders>
              <w:top w:val="single" w:color="auto" w:sz="4" w:space="0"/>
              <w:left w:val="single" w:color="auto" w:sz="4" w:space="0"/>
              <w:bottom w:val="single" w:color="auto" w:sz="4" w:space="0"/>
              <w:right w:val="single" w:color="auto" w:sz="4" w:space="0"/>
            </w:tcBorders>
            <w:noWrap w:val="0"/>
            <w:vAlign w:val="center"/>
          </w:tcPr>
          <w:p w14:paraId="325059EB">
            <w:pPr>
              <w:pStyle w:val="34"/>
              <w:spacing w:line="360" w:lineRule="auto"/>
              <w:ind w:firstLine="482"/>
              <w:jc w:val="center"/>
              <w:rPr>
                <w:rFonts w:ascii="宋体"/>
                <w:b/>
                <w:bCs/>
                <w:color w:val="auto"/>
                <w:sz w:val="24"/>
                <w:highlight w:val="none"/>
              </w:rPr>
            </w:pPr>
            <w:r>
              <w:rPr>
                <w:rFonts w:hint="eastAsia" w:ascii="宋体"/>
                <w:b/>
                <w:bCs/>
                <w:color w:val="auto"/>
                <w:sz w:val="24"/>
                <w:highlight w:val="none"/>
              </w:rPr>
              <w:t>评分标准</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008D88D4">
            <w:pPr>
              <w:pStyle w:val="34"/>
              <w:spacing w:line="360" w:lineRule="auto"/>
              <w:ind w:firstLine="0"/>
              <w:jc w:val="center"/>
              <w:rPr>
                <w:rFonts w:ascii="宋体"/>
                <w:b/>
                <w:bCs/>
                <w:color w:val="auto"/>
                <w:sz w:val="24"/>
                <w:highlight w:val="none"/>
              </w:rPr>
            </w:pPr>
            <w:r>
              <w:rPr>
                <w:rFonts w:hint="eastAsia" w:ascii="宋体"/>
                <w:b/>
                <w:bCs/>
                <w:color w:val="auto"/>
                <w:sz w:val="24"/>
                <w:highlight w:val="none"/>
              </w:rPr>
              <w:t>分值</w:t>
            </w:r>
          </w:p>
        </w:tc>
      </w:tr>
      <w:tr w14:paraId="0FF883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6" w:hRule="atLeast"/>
          <w:jc w:val="center"/>
        </w:trPr>
        <w:tc>
          <w:tcPr>
            <w:tcW w:w="556" w:type="dxa"/>
            <w:tcBorders>
              <w:top w:val="single" w:color="auto" w:sz="4" w:space="0"/>
              <w:left w:val="single" w:color="auto" w:sz="4" w:space="0"/>
              <w:bottom w:val="single" w:color="auto" w:sz="4" w:space="0"/>
              <w:right w:val="single" w:color="auto" w:sz="4" w:space="0"/>
            </w:tcBorders>
            <w:noWrap w:val="0"/>
            <w:vAlign w:val="center"/>
          </w:tcPr>
          <w:p w14:paraId="07C30070">
            <w:pPr>
              <w:pStyle w:val="34"/>
              <w:spacing w:line="360" w:lineRule="auto"/>
              <w:ind w:firstLine="0"/>
              <w:jc w:val="center"/>
              <w:rPr>
                <w:rFonts w:ascii="宋体"/>
                <w:b/>
                <w:bCs/>
                <w:color w:val="auto"/>
                <w:sz w:val="24"/>
                <w:highlight w:val="none"/>
              </w:rPr>
            </w:pPr>
            <w:r>
              <w:rPr>
                <w:rFonts w:hint="eastAsia" w:ascii="宋体"/>
                <w:b/>
                <w:bCs/>
                <w:color w:val="auto"/>
                <w:sz w:val="24"/>
                <w:highlight w:val="none"/>
              </w:rPr>
              <w:t>一</w:t>
            </w:r>
          </w:p>
        </w:tc>
        <w:tc>
          <w:tcPr>
            <w:tcW w:w="9267" w:type="dxa"/>
            <w:gridSpan w:val="3"/>
            <w:tcBorders>
              <w:top w:val="single" w:color="auto" w:sz="4" w:space="0"/>
              <w:left w:val="single" w:color="auto" w:sz="4" w:space="0"/>
              <w:bottom w:val="single" w:color="auto" w:sz="4" w:space="0"/>
              <w:right w:val="single" w:color="auto" w:sz="4" w:space="0"/>
            </w:tcBorders>
            <w:noWrap w:val="0"/>
            <w:vAlign w:val="center"/>
          </w:tcPr>
          <w:p w14:paraId="1B3EA823">
            <w:pPr>
              <w:pStyle w:val="34"/>
              <w:spacing w:line="360" w:lineRule="auto"/>
              <w:ind w:firstLine="482"/>
              <w:jc w:val="center"/>
              <w:rPr>
                <w:rFonts w:ascii="宋体"/>
                <w:b/>
                <w:bCs/>
                <w:color w:val="auto"/>
                <w:sz w:val="24"/>
                <w:highlight w:val="none"/>
              </w:rPr>
            </w:pPr>
            <w:r>
              <w:rPr>
                <w:rFonts w:hint="eastAsia" w:ascii="宋体"/>
                <w:b/>
                <w:bCs/>
                <w:color w:val="auto"/>
                <w:sz w:val="24"/>
                <w:highlight w:val="none"/>
              </w:rPr>
              <w:t>技术分</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2FA660A9">
            <w:pPr>
              <w:pStyle w:val="34"/>
              <w:spacing w:line="360" w:lineRule="auto"/>
              <w:ind w:firstLine="0"/>
              <w:jc w:val="center"/>
              <w:rPr>
                <w:rFonts w:ascii="宋体"/>
                <w:b/>
                <w:bCs/>
                <w:color w:val="auto"/>
                <w:sz w:val="24"/>
                <w:highlight w:val="none"/>
              </w:rPr>
            </w:pPr>
            <w:r>
              <w:rPr>
                <w:rFonts w:hint="eastAsia" w:ascii="宋体"/>
                <w:b/>
                <w:bCs/>
                <w:color w:val="auto"/>
                <w:sz w:val="24"/>
                <w:szCs w:val="28"/>
                <w:highlight w:val="none"/>
                <w:lang w:val="en-US" w:eastAsia="zh-CN"/>
              </w:rPr>
              <w:t>52</w:t>
            </w:r>
            <w:r>
              <w:rPr>
                <w:rFonts w:hint="eastAsia" w:ascii="宋体"/>
                <w:b/>
                <w:bCs/>
                <w:color w:val="auto"/>
                <w:sz w:val="24"/>
                <w:szCs w:val="28"/>
                <w:highlight w:val="none"/>
              </w:rPr>
              <w:t>分</w:t>
            </w:r>
          </w:p>
        </w:tc>
      </w:tr>
      <w:tr w14:paraId="123A70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26" w:hRule="atLeast"/>
          <w:jc w:val="center"/>
        </w:trPr>
        <w:tc>
          <w:tcPr>
            <w:tcW w:w="556" w:type="dxa"/>
            <w:tcBorders>
              <w:top w:val="single" w:color="auto" w:sz="4" w:space="0"/>
              <w:left w:val="single" w:color="auto" w:sz="4" w:space="0"/>
              <w:bottom w:val="single" w:color="auto" w:sz="4" w:space="0"/>
              <w:right w:val="single" w:color="auto" w:sz="4" w:space="0"/>
            </w:tcBorders>
            <w:noWrap w:val="0"/>
            <w:vAlign w:val="center"/>
          </w:tcPr>
          <w:p w14:paraId="41B976FB">
            <w:pPr>
              <w:pStyle w:val="34"/>
              <w:spacing w:line="360" w:lineRule="auto"/>
              <w:ind w:firstLine="0"/>
              <w:jc w:val="center"/>
              <w:rPr>
                <w:rFonts w:ascii="宋体"/>
                <w:b/>
                <w:bCs/>
                <w:color w:val="auto"/>
                <w:sz w:val="24"/>
                <w:highlight w:val="none"/>
              </w:rPr>
            </w:pPr>
            <w:r>
              <w:rPr>
                <w:rFonts w:hint="eastAsia" w:ascii="宋体"/>
                <w:color w:val="auto"/>
                <w:sz w:val="24"/>
                <w:highlight w:val="none"/>
              </w:rPr>
              <w:t>1</w:t>
            </w:r>
          </w:p>
        </w:tc>
        <w:tc>
          <w:tcPr>
            <w:tcW w:w="393" w:type="dxa"/>
            <w:vMerge w:val="restart"/>
            <w:tcBorders>
              <w:top w:val="single" w:color="auto" w:sz="4" w:space="0"/>
              <w:left w:val="single" w:color="auto" w:sz="4" w:space="0"/>
              <w:right w:val="single" w:color="auto" w:sz="4" w:space="0"/>
            </w:tcBorders>
            <w:noWrap w:val="0"/>
            <w:vAlign w:val="center"/>
          </w:tcPr>
          <w:p w14:paraId="1A87FE6B">
            <w:pPr>
              <w:spacing w:line="360" w:lineRule="auto"/>
              <w:jc w:val="center"/>
              <w:rPr>
                <w:rFonts w:hint="eastAsia" w:hAnsi="宋体" w:cs="宋体"/>
                <w:color w:val="auto"/>
                <w:sz w:val="24"/>
                <w:highlight w:val="none"/>
              </w:rPr>
            </w:pPr>
          </w:p>
          <w:p w14:paraId="6B160873">
            <w:pPr>
              <w:spacing w:line="360" w:lineRule="auto"/>
              <w:jc w:val="center"/>
              <w:rPr>
                <w:rFonts w:hint="eastAsia" w:hAnsi="宋体" w:cs="宋体"/>
                <w:color w:val="auto"/>
                <w:sz w:val="24"/>
                <w:highlight w:val="none"/>
              </w:rPr>
            </w:pPr>
          </w:p>
          <w:p w14:paraId="5DFDCBAC">
            <w:pPr>
              <w:spacing w:line="360" w:lineRule="auto"/>
              <w:jc w:val="center"/>
              <w:rPr>
                <w:rFonts w:hint="eastAsia" w:hAnsi="宋体" w:cs="宋体"/>
                <w:color w:val="auto"/>
                <w:sz w:val="24"/>
                <w:highlight w:val="none"/>
              </w:rPr>
            </w:pPr>
          </w:p>
          <w:p w14:paraId="4F392814">
            <w:pPr>
              <w:spacing w:line="360" w:lineRule="auto"/>
              <w:jc w:val="center"/>
              <w:rPr>
                <w:rFonts w:hint="eastAsia" w:hAnsi="宋体" w:cs="宋体"/>
                <w:color w:val="auto"/>
                <w:sz w:val="24"/>
                <w:highlight w:val="none"/>
              </w:rPr>
            </w:pPr>
          </w:p>
          <w:p w14:paraId="6C76CEED">
            <w:pPr>
              <w:spacing w:line="360" w:lineRule="auto"/>
              <w:jc w:val="center"/>
              <w:rPr>
                <w:rFonts w:hint="eastAsia" w:hAnsi="宋体" w:cs="宋体"/>
                <w:color w:val="auto"/>
                <w:sz w:val="24"/>
                <w:highlight w:val="none"/>
              </w:rPr>
            </w:pPr>
          </w:p>
          <w:p w14:paraId="32216A0F">
            <w:pPr>
              <w:spacing w:line="360" w:lineRule="auto"/>
              <w:jc w:val="center"/>
              <w:rPr>
                <w:rFonts w:hint="eastAsia" w:hAnsi="宋体" w:cs="宋体"/>
                <w:color w:val="auto"/>
                <w:sz w:val="24"/>
                <w:highlight w:val="none"/>
              </w:rPr>
            </w:pPr>
          </w:p>
          <w:p w14:paraId="3C3DA058">
            <w:pPr>
              <w:spacing w:line="360" w:lineRule="auto"/>
              <w:jc w:val="center"/>
              <w:rPr>
                <w:rFonts w:hint="eastAsia" w:hAnsi="宋体" w:cs="宋体"/>
                <w:color w:val="auto"/>
                <w:sz w:val="24"/>
                <w:highlight w:val="none"/>
              </w:rPr>
            </w:pPr>
          </w:p>
          <w:p w14:paraId="58DB127C">
            <w:pPr>
              <w:spacing w:line="360" w:lineRule="auto"/>
              <w:jc w:val="center"/>
              <w:rPr>
                <w:rFonts w:hAnsi="宋体" w:cs="宋体"/>
                <w:color w:val="auto"/>
                <w:sz w:val="24"/>
                <w:highlight w:val="none"/>
              </w:rPr>
            </w:pPr>
            <w:r>
              <w:rPr>
                <w:rFonts w:hint="eastAsia" w:hAnsi="宋体" w:cs="宋体"/>
                <w:color w:val="auto"/>
                <w:sz w:val="24"/>
                <w:highlight w:val="none"/>
              </w:rPr>
              <w:t>技术服务水平</w:t>
            </w:r>
          </w:p>
        </w:tc>
        <w:tc>
          <w:tcPr>
            <w:tcW w:w="1000" w:type="dxa"/>
            <w:tcBorders>
              <w:top w:val="single" w:color="auto" w:sz="4" w:space="0"/>
              <w:left w:val="single" w:color="auto" w:sz="4" w:space="0"/>
              <w:bottom w:val="single" w:color="auto" w:sz="4" w:space="0"/>
              <w:right w:val="single" w:color="auto" w:sz="4" w:space="0"/>
            </w:tcBorders>
            <w:noWrap w:val="0"/>
            <w:vAlign w:val="center"/>
          </w:tcPr>
          <w:p w14:paraId="6E1E3B79">
            <w:pPr>
              <w:spacing w:line="360" w:lineRule="auto"/>
              <w:jc w:val="center"/>
              <w:rPr>
                <w:rFonts w:ascii="宋体"/>
                <w:b/>
                <w:bCs/>
                <w:color w:val="auto"/>
                <w:highlight w:val="none"/>
              </w:rPr>
            </w:pPr>
            <w:r>
              <w:rPr>
                <w:rFonts w:hint="eastAsia" w:hAnsi="宋体" w:cs="宋体"/>
                <w:color w:val="auto"/>
                <w:sz w:val="24"/>
                <w:highlight w:val="none"/>
              </w:rPr>
              <w:t>技术响应情况</w:t>
            </w:r>
          </w:p>
        </w:tc>
        <w:tc>
          <w:tcPr>
            <w:tcW w:w="7874" w:type="dxa"/>
            <w:tcBorders>
              <w:top w:val="single" w:color="auto" w:sz="4" w:space="0"/>
              <w:left w:val="single" w:color="auto" w:sz="4" w:space="0"/>
              <w:bottom w:val="single" w:color="auto" w:sz="4" w:space="0"/>
              <w:right w:val="single" w:color="auto" w:sz="4" w:space="0"/>
            </w:tcBorders>
            <w:noWrap w:val="0"/>
            <w:vAlign w:val="center"/>
          </w:tcPr>
          <w:p w14:paraId="76F41DD8">
            <w:pPr>
              <w:pageBreakBefore w:val="0"/>
              <w:numPr>
                <w:ilvl w:val="0"/>
                <w:numId w:val="0"/>
              </w:numPr>
              <w:kinsoku/>
              <w:wordWrap/>
              <w:overflowPunct/>
              <w:topLinePunct w:val="0"/>
              <w:autoSpaceDE/>
              <w:autoSpaceDN/>
              <w:bidi w:val="0"/>
              <w:adjustRightInd/>
              <w:spacing w:line="360" w:lineRule="auto"/>
              <w:ind w:left="0" w:leftChars="0" w:firstLine="0" w:firstLineChars="0"/>
              <w:rPr>
                <w:rFonts w:hint="eastAsia" w:hAnsi="宋体" w:cs="宋体"/>
                <w:color w:val="auto"/>
                <w:sz w:val="24"/>
                <w:highlight w:val="none"/>
              </w:rPr>
            </w:pPr>
            <w:r>
              <w:rPr>
                <w:rFonts w:hint="eastAsia" w:hAnsi="宋体" w:cs="宋体"/>
                <w:color w:val="auto"/>
                <w:sz w:val="24"/>
                <w:highlight w:val="none"/>
              </w:rPr>
              <w:t>投标产品的基本功能、技术指标与需求的吻合程度和偏差情况，是否能够满足招标文件要求，全部满足招标文件要求的得3</w:t>
            </w:r>
            <w:r>
              <w:rPr>
                <w:rFonts w:hint="eastAsia" w:hAnsi="宋体" w:cs="宋体"/>
                <w:color w:val="auto"/>
                <w:sz w:val="24"/>
                <w:highlight w:val="none"/>
                <w:lang w:val="en-US" w:eastAsia="zh-CN"/>
              </w:rPr>
              <w:t>3</w:t>
            </w:r>
            <w:r>
              <w:rPr>
                <w:rFonts w:hint="eastAsia" w:hAnsi="宋体" w:cs="宋体"/>
                <w:color w:val="auto"/>
                <w:sz w:val="24"/>
                <w:highlight w:val="none"/>
              </w:rPr>
              <w:t>分</w:t>
            </w:r>
            <w:r>
              <w:rPr>
                <w:rFonts w:hint="eastAsia" w:hAnsi="宋体" w:cs="宋体"/>
                <w:color w:val="auto"/>
                <w:sz w:val="24"/>
                <w:highlight w:val="none"/>
                <w:lang w:eastAsia="zh-CN"/>
              </w:rPr>
              <w:t>，</w:t>
            </w:r>
            <w:r>
              <w:rPr>
                <w:rFonts w:hint="eastAsia" w:hAnsi="宋体" w:cs="宋体"/>
                <w:color w:val="auto"/>
                <w:sz w:val="24"/>
                <w:highlight w:val="none"/>
              </w:rPr>
              <w:t>每</w:t>
            </w:r>
            <w:r>
              <w:rPr>
                <w:rFonts w:hint="eastAsia" w:hAnsi="宋体" w:cs="宋体"/>
                <w:color w:val="auto"/>
                <w:sz w:val="24"/>
                <w:highlight w:val="none"/>
                <w:lang w:val="en-US" w:eastAsia="zh-CN"/>
              </w:rPr>
              <w:t>有一项</w:t>
            </w:r>
            <w:r>
              <w:rPr>
                <w:rFonts w:hint="eastAsia" w:hAnsi="宋体" w:cs="宋体"/>
                <w:color w:val="auto"/>
                <w:sz w:val="24"/>
                <w:highlight w:val="none"/>
              </w:rPr>
              <w:t>负偏离扣</w:t>
            </w:r>
            <w:r>
              <w:rPr>
                <w:rFonts w:hint="eastAsia" w:hAnsi="宋体" w:cs="宋体"/>
                <w:color w:val="auto"/>
                <w:sz w:val="24"/>
                <w:highlight w:val="none"/>
                <w:lang w:val="en-US" w:eastAsia="zh-CN"/>
              </w:rPr>
              <w:t>0.5</w:t>
            </w:r>
            <w:r>
              <w:rPr>
                <w:rFonts w:hint="eastAsia" w:hAnsi="宋体" w:cs="宋体"/>
                <w:color w:val="auto"/>
                <w:sz w:val="24"/>
                <w:highlight w:val="none"/>
              </w:rPr>
              <w:t>分，是否负偏离由评标委员会认定，扣完为止。带“▲”的为不可偏离项，如</w:t>
            </w:r>
            <w:r>
              <w:rPr>
                <w:rFonts w:hint="eastAsia" w:hAnsi="宋体" w:cs="宋体"/>
                <w:color w:val="auto"/>
                <w:sz w:val="24"/>
                <w:highlight w:val="none"/>
                <w:lang w:val="en-US" w:eastAsia="zh-CN"/>
              </w:rPr>
              <w:t>有</w:t>
            </w:r>
            <w:r>
              <w:rPr>
                <w:rFonts w:hint="eastAsia" w:hAnsi="宋体" w:cs="宋体"/>
                <w:color w:val="auto"/>
                <w:sz w:val="24"/>
                <w:highlight w:val="none"/>
              </w:rPr>
              <w:t>偏离作无效标处理。</w:t>
            </w:r>
          </w:p>
          <w:p w14:paraId="46ECBF51">
            <w:pPr>
              <w:pageBreakBefore w:val="0"/>
              <w:numPr>
                <w:ilvl w:val="0"/>
                <w:numId w:val="0"/>
              </w:numPr>
              <w:kinsoku/>
              <w:wordWrap/>
              <w:overflowPunct/>
              <w:topLinePunct w:val="0"/>
              <w:autoSpaceDE/>
              <w:autoSpaceDN/>
              <w:bidi w:val="0"/>
              <w:adjustRightInd/>
              <w:spacing w:line="360" w:lineRule="auto"/>
              <w:ind w:left="0" w:leftChars="0" w:firstLine="0" w:firstLineChars="0"/>
              <w:rPr>
                <w:rFonts w:hint="default"/>
                <w:color w:val="auto"/>
                <w:highlight w:val="none"/>
                <w:lang w:val="en-US" w:eastAsia="zh-CN"/>
              </w:rPr>
            </w:pPr>
            <w:r>
              <w:rPr>
                <w:rFonts w:hint="eastAsia" w:hAnsi="宋体" w:cs="宋体"/>
                <w:color w:val="auto"/>
                <w:sz w:val="24"/>
                <w:highlight w:val="none"/>
              </w:rPr>
              <w:t>有要求提供相关证明材料的，需要提供相关证明材料，否则作负偏离处理；</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17617EB8">
            <w:pPr>
              <w:spacing w:line="360" w:lineRule="auto"/>
              <w:jc w:val="center"/>
              <w:rPr>
                <w:rFonts w:hint="default" w:ascii="宋体" w:hAnsi="宋体" w:eastAsia="宋体"/>
                <w:b/>
                <w:bCs/>
                <w:color w:val="auto"/>
                <w:highlight w:val="none"/>
                <w:lang w:val="en-US" w:eastAsia="zh-CN"/>
              </w:rPr>
            </w:pPr>
            <w:r>
              <w:rPr>
                <w:rFonts w:hint="eastAsia" w:ascii="宋体" w:hAnsi="宋体" w:cs="宋体"/>
                <w:color w:val="auto"/>
                <w:sz w:val="24"/>
                <w:highlight w:val="none"/>
                <w:lang w:val="en-US" w:eastAsia="zh-CN"/>
              </w:rPr>
              <w:t>33</w:t>
            </w:r>
          </w:p>
        </w:tc>
      </w:tr>
      <w:tr w14:paraId="731CA3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noWrap w:val="0"/>
            <w:vAlign w:val="center"/>
          </w:tcPr>
          <w:p w14:paraId="60489C46">
            <w:pPr>
              <w:widowControl/>
              <w:spacing w:line="360" w:lineRule="auto"/>
              <w:jc w:val="center"/>
              <w:rPr>
                <w:rFonts w:hint="eastAsia" w:ascii="宋体" w:hAnsi="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2</w:t>
            </w:r>
          </w:p>
        </w:tc>
        <w:tc>
          <w:tcPr>
            <w:tcW w:w="393" w:type="dxa"/>
            <w:vMerge w:val="continue"/>
            <w:tcBorders>
              <w:left w:val="single" w:color="auto" w:sz="4" w:space="0"/>
              <w:right w:val="single" w:color="auto" w:sz="4" w:space="0"/>
            </w:tcBorders>
            <w:noWrap w:val="0"/>
            <w:vAlign w:val="center"/>
          </w:tcPr>
          <w:p w14:paraId="4751EF78">
            <w:pPr>
              <w:spacing w:line="360" w:lineRule="auto"/>
              <w:jc w:val="center"/>
              <w:rPr>
                <w:rFonts w:hint="eastAsia" w:hAnsi="宋体" w:cs="宋体"/>
                <w:color w:val="auto"/>
                <w:sz w:val="24"/>
                <w:highlight w:val="none"/>
              </w:rPr>
            </w:pPr>
          </w:p>
        </w:tc>
        <w:tc>
          <w:tcPr>
            <w:tcW w:w="1000" w:type="dxa"/>
            <w:vMerge w:val="restart"/>
            <w:tcBorders>
              <w:top w:val="single" w:color="auto" w:sz="4" w:space="0"/>
              <w:left w:val="single" w:color="auto" w:sz="4" w:space="0"/>
              <w:right w:val="single" w:color="auto" w:sz="4" w:space="0"/>
            </w:tcBorders>
            <w:noWrap w:val="0"/>
            <w:vAlign w:val="center"/>
          </w:tcPr>
          <w:p w14:paraId="23BC56CB">
            <w:pPr>
              <w:pageBreakBefore w:val="0"/>
              <w:numPr>
                <w:ilvl w:val="0"/>
                <w:numId w:val="0"/>
              </w:numPr>
              <w:kinsoku/>
              <w:wordWrap/>
              <w:overflowPunct/>
              <w:topLinePunct w:val="0"/>
              <w:autoSpaceDE/>
              <w:autoSpaceDN/>
              <w:bidi w:val="0"/>
              <w:adjustRightInd/>
              <w:spacing w:line="360" w:lineRule="auto"/>
              <w:ind w:left="0" w:leftChars="0" w:firstLine="0" w:firstLineChars="0"/>
              <w:jc w:val="center"/>
              <w:rPr>
                <w:rFonts w:hint="eastAsia" w:hAnsi="宋体" w:eastAsia="宋体" w:cs="宋体"/>
                <w:color w:val="auto"/>
                <w:sz w:val="24"/>
                <w:highlight w:val="none"/>
                <w:lang w:val="en-US" w:eastAsia="zh-CN"/>
              </w:rPr>
            </w:pPr>
          </w:p>
          <w:p w14:paraId="3A0A0420">
            <w:pPr>
              <w:pageBreakBefore w:val="0"/>
              <w:numPr>
                <w:ilvl w:val="0"/>
                <w:numId w:val="0"/>
              </w:numPr>
              <w:kinsoku/>
              <w:wordWrap/>
              <w:overflowPunct/>
              <w:topLinePunct w:val="0"/>
              <w:autoSpaceDE/>
              <w:autoSpaceDN/>
              <w:bidi w:val="0"/>
              <w:adjustRightInd/>
              <w:spacing w:line="360" w:lineRule="auto"/>
              <w:ind w:left="0" w:leftChars="0" w:firstLine="0" w:firstLineChars="0"/>
              <w:jc w:val="center"/>
              <w:rPr>
                <w:rFonts w:hint="eastAsia" w:hAnsi="宋体" w:eastAsia="宋体" w:cs="宋体"/>
                <w:color w:val="auto"/>
                <w:sz w:val="24"/>
                <w:highlight w:val="none"/>
              </w:rPr>
            </w:pPr>
            <w:r>
              <w:rPr>
                <w:rFonts w:hint="eastAsia" w:hAnsi="宋体" w:eastAsia="宋体" w:cs="宋体"/>
                <w:color w:val="auto"/>
                <w:sz w:val="24"/>
                <w:highlight w:val="none"/>
                <w:lang w:val="en-US" w:eastAsia="zh-CN"/>
              </w:rPr>
              <w:t>项目技术方案及实施条件</w:t>
            </w:r>
          </w:p>
        </w:tc>
        <w:tc>
          <w:tcPr>
            <w:tcW w:w="7874" w:type="dxa"/>
            <w:tcBorders>
              <w:top w:val="single" w:color="auto" w:sz="4" w:space="0"/>
              <w:left w:val="single" w:color="auto" w:sz="4" w:space="0"/>
              <w:bottom w:val="single" w:color="auto" w:sz="4" w:space="0"/>
              <w:right w:val="single" w:color="auto" w:sz="4" w:space="0"/>
            </w:tcBorders>
            <w:noWrap w:val="0"/>
            <w:vAlign w:val="center"/>
          </w:tcPr>
          <w:p w14:paraId="2C5D1A48">
            <w:pPr>
              <w:pageBreakBefore w:val="0"/>
              <w:numPr>
                <w:ilvl w:val="0"/>
                <w:numId w:val="0"/>
              </w:numPr>
              <w:kinsoku/>
              <w:wordWrap/>
              <w:overflowPunct/>
              <w:topLinePunct w:val="0"/>
              <w:autoSpaceDE/>
              <w:autoSpaceDN/>
              <w:bidi w:val="0"/>
              <w:adjustRightInd/>
              <w:spacing w:line="360" w:lineRule="auto"/>
              <w:ind w:left="0" w:leftChars="0" w:firstLine="0" w:firstLineChars="0"/>
              <w:rPr>
                <w:rFonts w:hint="eastAsia" w:hAnsi="宋体" w:eastAsia="宋体" w:cs="宋体"/>
                <w:color w:val="auto"/>
                <w:sz w:val="24"/>
                <w:highlight w:val="none"/>
              </w:rPr>
            </w:pPr>
            <w:r>
              <w:rPr>
                <w:rFonts w:hint="eastAsia" w:hAnsi="宋体" w:eastAsia="宋体" w:cs="宋体"/>
                <w:color w:val="auto"/>
                <w:sz w:val="24"/>
                <w:highlight w:val="none"/>
                <w:lang w:val="en-US" w:eastAsia="zh-CN"/>
              </w:rPr>
              <w:t>项目技术方案：根据投标人提供的整体技术方案，从方案与项目需求的理解程度等方面进行评分。</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3E8EB0F1">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1CD489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noWrap w:val="0"/>
            <w:vAlign w:val="center"/>
          </w:tcPr>
          <w:p w14:paraId="26170EFC">
            <w:pPr>
              <w:widowControl/>
              <w:spacing w:line="360" w:lineRule="auto"/>
              <w:jc w:val="center"/>
              <w:rPr>
                <w:rFonts w:hint="default" w:ascii="宋体" w:hAnsi="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3</w:t>
            </w:r>
          </w:p>
        </w:tc>
        <w:tc>
          <w:tcPr>
            <w:tcW w:w="393" w:type="dxa"/>
            <w:vMerge w:val="continue"/>
            <w:tcBorders>
              <w:left w:val="single" w:color="auto" w:sz="4" w:space="0"/>
              <w:right w:val="single" w:color="auto" w:sz="4" w:space="0"/>
            </w:tcBorders>
            <w:noWrap w:val="0"/>
            <w:vAlign w:val="center"/>
          </w:tcPr>
          <w:p w14:paraId="4B83860D">
            <w:pPr>
              <w:spacing w:line="360" w:lineRule="auto"/>
              <w:jc w:val="center"/>
              <w:rPr>
                <w:rFonts w:hint="eastAsia" w:hAnsi="宋体" w:cs="宋体"/>
                <w:color w:val="auto"/>
                <w:sz w:val="24"/>
                <w:highlight w:val="none"/>
              </w:rPr>
            </w:pPr>
          </w:p>
        </w:tc>
        <w:tc>
          <w:tcPr>
            <w:tcW w:w="1000" w:type="dxa"/>
            <w:vMerge w:val="continue"/>
            <w:tcBorders>
              <w:left w:val="single" w:color="auto" w:sz="4" w:space="0"/>
              <w:bottom w:val="single" w:color="auto" w:sz="4" w:space="0"/>
              <w:right w:val="single" w:color="auto" w:sz="4" w:space="0"/>
            </w:tcBorders>
            <w:noWrap w:val="0"/>
            <w:vAlign w:val="center"/>
          </w:tcPr>
          <w:p w14:paraId="0ED2C363">
            <w:pPr>
              <w:pageBreakBefore w:val="0"/>
              <w:numPr>
                <w:ilvl w:val="0"/>
                <w:numId w:val="0"/>
              </w:numPr>
              <w:kinsoku/>
              <w:wordWrap/>
              <w:overflowPunct/>
              <w:topLinePunct w:val="0"/>
              <w:autoSpaceDE/>
              <w:autoSpaceDN/>
              <w:bidi w:val="0"/>
              <w:adjustRightInd/>
              <w:spacing w:line="360" w:lineRule="auto"/>
              <w:ind w:left="0" w:leftChars="0" w:firstLine="0" w:firstLineChars="0"/>
              <w:rPr>
                <w:rFonts w:hint="eastAsia" w:hAnsi="宋体" w:eastAsia="宋体" w:cs="宋体"/>
                <w:color w:val="auto"/>
                <w:sz w:val="24"/>
                <w:highlight w:val="none"/>
              </w:rPr>
            </w:pPr>
          </w:p>
        </w:tc>
        <w:tc>
          <w:tcPr>
            <w:tcW w:w="7874" w:type="dxa"/>
            <w:tcBorders>
              <w:top w:val="single" w:color="auto" w:sz="4" w:space="0"/>
              <w:left w:val="single" w:color="auto" w:sz="4" w:space="0"/>
              <w:bottom w:val="single" w:color="auto" w:sz="4" w:space="0"/>
              <w:right w:val="single" w:color="auto" w:sz="4" w:space="0"/>
            </w:tcBorders>
            <w:noWrap w:val="0"/>
            <w:vAlign w:val="center"/>
          </w:tcPr>
          <w:p w14:paraId="489A01DB">
            <w:pPr>
              <w:pageBreakBefore w:val="0"/>
              <w:numPr>
                <w:ilvl w:val="0"/>
                <w:numId w:val="0"/>
              </w:numPr>
              <w:kinsoku/>
              <w:wordWrap/>
              <w:overflowPunct/>
              <w:topLinePunct w:val="0"/>
              <w:autoSpaceDE/>
              <w:autoSpaceDN/>
              <w:bidi w:val="0"/>
              <w:adjustRightInd/>
              <w:spacing w:line="360" w:lineRule="auto"/>
              <w:ind w:left="0" w:leftChars="0" w:firstLine="0" w:firstLineChars="0"/>
              <w:rPr>
                <w:rFonts w:hint="eastAsia" w:hAnsi="宋体" w:eastAsia="宋体" w:cs="宋体"/>
                <w:color w:val="auto"/>
                <w:sz w:val="24"/>
                <w:highlight w:val="none"/>
                <w:lang w:val="en-US" w:eastAsia="zh-CN"/>
              </w:rPr>
            </w:pPr>
            <w:r>
              <w:rPr>
                <w:rFonts w:hint="eastAsia" w:hAnsi="宋体" w:eastAsia="宋体" w:cs="宋体"/>
                <w:color w:val="auto"/>
                <w:sz w:val="24"/>
                <w:highlight w:val="none"/>
                <w:lang w:val="en-US" w:eastAsia="zh-CN"/>
              </w:rPr>
              <w:t>根据投标人提供的项目实施方案完整性</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hAnsi="宋体" w:eastAsia="宋体" w:cs="宋体"/>
                <w:color w:val="auto"/>
                <w:sz w:val="24"/>
                <w:highlight w:val="none"/>
                <w:lang w:val="en-US" w:eastAsia="zh-CN"/>
              </w:rPr>
              <w:t>组织架构</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hAnsi="宋体" w:eastAsia="宋体" w:cs="宋体"/>
                <w:color w:val="auto"/>
                <w:sz w:val="24"/>
                <w:highlight w:val="none"/>
                <w:lang w:val="en-US" w:eastAsia="zh-CN"/>
              </w:rPr>
              <w:t>实施计划</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hAnsi="宋体" w:eastAsia="宋体" w:cs="宋体"/>
                <w:color w:val="auto"/>
                <w:sz w:val="24"/>
                <w:highlight w:val="none"/>
                <w:lang w:val="en-US" w:eastAsia="zh-CN"/>
              </w:rPr>
              <w:t>实施流程</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eastAsia="zh-CN"/>
              </w:rPr>
              <w:t>、</w:t>
            </w:r>
            <w:r>
              <w:rPr>
                <w:rFonts w:hint="eastAsia" w:hAnsi="宋体" w:eastAsia="宋体" w:cs="宋体"/>
                <w:color w:val="auto"/>
                <w:sz w:val="24"/>
                <w:highlight w:val="none"/>
                <w:lang w:val="en-US" w:eastAsia="zh-CN"/>
              </w:rPr>
              <w:t>验收流程</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lang w:eastAsia="zh-CN"/>
              </w:rPr>
              <w:t>、</w:t>
            </w:r>
            <w:r>
              <w:rPr>
                <w:rFonts w:hint="eastAsia" w:hAnsi="宋体" w:eastAsia="宋体" w:cs="宋体"/>
                <w:color w:val="auto"/>
                <w:sz w:val="24"/>
                <w:highlight w:val="none"/>
                <w:lang w:val="en-US" w:eastAsia="zh-CN"/>
              </w:rPr>
              <w:t>进度及质量保障</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ascii="宋体" w:hAnsi="宋体" w:eastAsia="宋体" w:cs="宋体"/>
                <w:color w:val="auto"/>
                <w:sz w:val="24"/>
                <w:highlight w:val="none"/>
                <w:lang w:val="zh-CN"/>
              </w:rPr>
              <w:t>进行打分</w:t>
            </w:r>
            <w:r>
              <w:rPr>
                <w:rFonts w:hint="eastAsia" w:ascii="宋体" w:hAnsi="宋体" w:eastAsia="宋体" w:cs="宋体"/>
                <w:color w:val="auto"/>
                <w:sz w:val="24"/>
                <w:highlight w:val="none"/>
                <w:lang w:val="zh-CN"/>
              </w:rPr>
              <w:t>。</w:t>
            </w:r>
            <w:r>
              <w:rPr>
                <w:rFonts w:hint="eastAsia" w:hAnsi="宋体" w:eastAsia="宋体" w:cs="宋体"/>
                <w:color w:val="auto"/>
                <w:sz w:val="24"/>
                <w:highlight w:val="none"/>
                <w:lang w:val="en-US" w:eastAsia="zh-CN"/>
              </w:rPr>
              <w:tab/>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3D8B4D8F">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6</w:t>
            </w:r>
          </w:p>
        </w:tc>
      </w:tr>
      <w:tr w14:paraId="028CA6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980F2DA">
            <w:pPr>
              <w:widowControl/>
              <w:spacing w:line="360" w:lineRule="auto"/>
              <w:jc w:val="center"/>
              <w:rPr>
                <w:rFonts w:hint="default" w:ascii="宋体" w:hAnsi="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4</w:t>
            </w:r>
          </w:p>
        </w:tc>
        <w:tc>
          <w:tcPr>
            <w:tcW w:w="393" w:type="dxa"/>
            <w:vMerge w:val="continue"/>
            <w:tcBorders>
              <w:left w:val="single" w:color="auto" w:sz="4" w:space="0"/>
              <w:right w:val="single" w:color="auto" w:sz="4" w:space="0"/>
            </w:tcBorders>
            <w:noWrap w:val="0"/>
            <w:vAlign w:val="center"/>
          </w:tcPr>
          <w:p w14:paraId="5DC53E5B">
            <w:pPr>
              <w:spacing w:line="360" w:lineRule="auto"/>
              <w:jc w:val="center"/>
              <w:rPr>
                <w:rFonts w:hAnsi="宋体" w:cs="宋体"/>
                <w:color w:val="auto"/>
                <w:sz w:val="24"/>
                <w:highlight w:val="none"/>
              </w:rPr>
            </w:pPr>
          </w:p>
        </w:tc>
        <w:tc>
          <w:tcPr>
            <w:tcW w:w="1000" w:type="dxa"/>
            <w:tcBorders>
              <w:top w:val="single" w:color="auto" w:sz="4" w:space="0"/>
              <w:left w:val="single" w:color="auto" w:sz="4" w:space="0"/>
              <w:bottom w:val="single" w:color="auto" w:sz="4" w:space="0"/>
              <w:right w:val="single" w:color="auto" w:sz="4" w:space="0"/>
            </w:tcBorders>
            <w:noWrap w:val="0"/>
            <w:vAlign w:val="center"/>
          </w:tcPr>
          <w:p w14:paraId="169A5EEC">
            <w:pPr>
              <w:spacing w:line="360" w:lineRule="auto"/>
              <w:jc w:val="center"/>
              <w:rPr>
                <w:rFonts w:hint="eastAsia" w:hAnsi="宋体" w:cs="宋体"/>
                <w:color w:val="auto"/>
                <w:sz w:val="24"/>
                <w:highlight w:val="none"/>
              </w:rPr>
            </w:pPr>
            <w:r>
              <w:rPr>
                <w:rFonts w:hint="eastAsia" w:hAnsi="宋体" w:cs="宋体"/>
                <w:color w:val="auto"/>
                <w:sz w:val="24"/>
                <w:highlight w:val="none"/>
              </w:rPr>
              <w:t>安装、调试</w:t>
            </w:r>
          </w:p>
        </w:tc>
        <w:tc>
          <w:tcPr>
            <w:tcW w:w="7874" w:type="dxa"/>
            <w:tcBorders>
              <w:top w:val="single" w:color="auto" w:sz="4" w:space="0"/>
              <w:left w:val="single" w:color="auto" w:sz="4" w:space="0"/>
              <w:bottom w:val="single" w:color="auto" w:sz="4" w:space="0"/>
              <w:right w:val="single" w:color="auto" w:sz="4" w:space="0"/>
            </w:tcBorders>
            <w:noWrap w:val="0"/>
            <w:vAlign w:val="center"/>
          </w:tcPr>
          <w:p w14:paraId="0D1C8B9B">
            <w:pPr>
              <w:spacing w:line="360" w:lineRule="auto"/>
              <w:jc w:val="left"/>
              <w:rPr>
                <w:rFonts w:hint="eastAsia" w:ascii="宋体" w:hAnsi="宋体" w:eastAsia="宋体" w:cs="宋体"/>
                <w:bCs w:val="0"/>
                <w:color w:val="auto"/>
                <w:kern w:val="2"/>
                <w:sz w:val="24"/>
                <w:szCs w:val="24"/>
                <w:highlight w:val="none"/>
                <w:lang w:val="en-US" w:eastAsia="zh-CN" w:bidi="ar-SA"/>
              </w:rPr>
            </w:pPr>
            <w:r>
              <w:rPr>
                <w:rFonts w:ascii="宋体" w:hAnsi="宋体" w:eastAsia="宋体" w:cs="宋体"/>
                <w:color w:val="auto"/>
                <w:sz w:val="24"/>
                <w:highlight w:val="none"/>
              </w:rPr>
              <w:t>根据安装人员配置安排</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0.5</w:t>
            </w:r>
            <w:r>
              <w:rPr>
                <w:rFonts w:hint="eastAsia" w:ascii="宋体" w:hAnsi="宋体" w:eastAsia="宋体" w:cs="宋体"/>
                <w:color w:val="auto"/>
                <w:sz w:val="24"/>
                <w:highlight w:val="none"/>
                <w:lang w:eastAsia="zh-CN"/>
              </w:rPr>
              <w:t>）、</w:t>
            </w:r>
            <w:r>
              <w:rPr>
                <w:rFonts w:ascii="宋体" w:hAnsi="宋体" w:eastAsia="宋体" w:cs="宋体"/>
                <w:color w:val="auto"/>
                <w:sz w:val="24"/>
                <w:highlight w:val="none"/>
              </w:rPr>
              <w:t>安装时间进度规划</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0.5</w:t>
            </w:r>
            <w:r>
              <w:rPr>
                <w:rFonts w:hint="eastAsia" w:ascii="宋体" w:hAnsi="宋体" w:eastAsia="宋体" w:cs="宋体"/>
                <w:color w:val="auto"/>
                <w:sz w:val="24"/>
                <w:highlight w:val="none"/>
                <w:lang w:eastAsia="zh-CN"/>
              </w:rPr>
              <w:t>）、</w:t>
            </w:r>
            <w:r>
              <w:rPr>
                <w:rFonts w:ascii="宋体" w:hAnsi="宋体" w:eastAsia="宋体" w:cs="宋体"/>
                <w:color w:val="auto"/>
                <w:sz w:val="24"/>
                <w:highlight w:val="none"/>
              </w:rPr>
              <w:t>设备的调试进度安排</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ascii="宋体" w:hAnsi="宋体" w:eastAsia="宋体" w:cs="宋体"/>
                <w:color w:val="auto"/>
                <w:sz w:val="24"/>
                <w:highlight w:val="none"/>
              </w:rPr>
              <w:t>设备调试步骤措施及问题的解决方案</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ascii="宋体" w:hAnsi="宋体" w:eastAsia="宋体" w:cs="宋体"/>
                <w:color w:val="auto"/>
                <w:sz w:val="24"/>
                <w:highlight w:val="none"/>
                <w:lang w:val="zh-CN"/>
              </w:rPr>
              <w:t>进行打分</w:t>
            </w:r>
            <w:r>
              <w:rPr>
                <w:rFonts w:hint="eastAsia" w:ascii="宋体" w:hAnsi="宋体" w:eastAsia="宋体" w:cs="宋体"/>
                <w:color w:val="auto"/>
                <w:sz w:val="24"/>
                <w:highlight w:val="none"/>
                <w:lang w:val="zh-CN"/>
              </w:rPr>
              <w:t>。</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0DC51A9A">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559F4D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D2A9F59">
            <w:pPr>
              <w:widowControl/>
              <w:spacing w:line="360" w:lineRule="auto"/>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5</w:t>
            </w:r>
          </w:p>
        </w:tc>
        <w:tc>
          <w:tcPr>
            <w:tcW w:w="393" w:type="dxa"/>
            <w:vMerge w:val="continue"/>
            <w:tcBorders>
              <w:left w:val="single" w:color="auto" w:sz="4" w:space="0"/>
              <w:right w:val="single" w:color="auto" w:sz="4" w:space="0"/>
            </w:tcBorders>
            <w:noWrap w:val="0"/>
            <w:vAlign w:val="center"/>
          </w:tcPr>
          <w:p w14:paraId="4DF3DED4">
            <w:pPr>
              <w:spacing w:line="360" w:lineRule="auto"/>
              <w:jc w:val="center"/>
              <w:rPr>
                <w:rFonts w:hAnsi="宋体" w:cs="宋体"/>
                <w:color w:val="auto"/>
                <w:sz w:val="24"/>
                <w:highlight w:val="none"/>
              </w:rPr>
            </w:pPr>
          </w:p>
        </w:tc>
        <w:tc>
          <w:tcPr>
            <w:tcW w:w="1000" w:type="dxa"/>
            <w:tcBorders>
              <w:top w:val="single" w:color="auto" w:sz="4" w:space="0"/>
              <w:left w:val="single" w:color="auto" w:sz="4" w:space="0"/>
              <w:bottom w:val="single" w:color="auto" w:sz="4" w:space="0"/>
              <w:right w:val="single" w:color="auto" w:sz="4" w:space="0"/>
            </w:tcBorders>
            <w:noWrap w:val="0"/>
            <w:vAlign w:val="center"/>
          </w:tcPr>
          <w:p w14:paraId="49DEC839">
            <w:pPr>
              <w:spacing w:line="360" w:lineRule="auto"/>
              <w:jc w:val="center"/>
              <w:rPr>
                <w:rFonts w:hAnsi="宋体" w:cs="宋体"/>
                <w:color w:val="auto"/>
                <w:sz w:val="24"/>
                <w:highlight w:val="none"/>
              </w:rPr>
            </w:pPr>
            <w:r>
              <w:rPr>
                <w:rFonts w:hint="eastAsia" w:hAnsi="宋体" w:cs="宋体"/>
                <w:color w:val="auto"/>
                <w:sz w:val="24"/>
                <w:highlight w:val="none"/>
              </w:rPr>
              <w:t>质保期</w:t>
            </w:r>
          </w:p>
        </w:tc>
        <w:tc>
          <w:tcPr>
            <w:tcW w:w="7874" w:type="dxa"/>
            <w:tcBorders>
              <w:top w:val="single" w:color="auto" w:sz="4" w:space="0"/>
              <w:left w:val="single" w:color="auto" w:sz="4" w:space="0"/>
              <w:bottom w:val="single" w:color="auto" w:sz="4" w:space="0"/>
              <w:right w:val="single" w:color="auto" w:sz="4" w:space="0"/>
            </w:tcBorders>
            <w:noWrap w:val="0"/>
            <w:vAlign w:val="center"/>
          </w:tcPr>
          <w:p w14:paraId="1AB479E8">
            <w:pPr>
              <w:spacing w:line="360" w:lineRule="auto"/>
              <w:jc w:val="left"/>
              <w:rPr>
                <w:rFonts w:hint="eastAsia" w:ascii="宋体" w:hAnsi="宋体" w:eastAsia="宋体" w:cs="宋体"/>
                <w:bCs w:val="0"/>
                <w:color w:val="auto"/>
                <w:kern w:val="2"/>
                <w:sz w:val="24"/>
                <w:szCs w:val="24"/>
                <w:highlight w:val="none"/>
                <w:lang w:val="en-US" w:eastAsia="zh-CN" w:bidi="ar-SA"/>
              </w:rPr>
            </w:pPr>
            <w:r>
              <w:rPr>
                <w:rFonts w:hint="eastAsia" w:ascii="宋体" w:hAnsi="宋体" w:eastAsia="宋体" w:cs="宋体"/>
                <w:bCs w:val="0"/>
                <w:color w:val="auto"/>
                <w:kern w:val="2"/>
                <w:sz w:val="24"/>
                <w:szCs w:val="24"/>
                <w:highlight w:val="none"/>
                <w:lang w:val="en-US" w:eastAsia="zh-CN" w:bidi="ar-SA"/>
              </w:rPr>
              <w:t>查房车（护理车、医生车）的质保期符合招标文件规定的</w:t>
            </w:r>
            <w:r>
              <w:rPr>
                <w:rFonts w:hint="eastAsia" w:ascii="宋体" w:hAnsi="宋体" w:cs="宋体"/>
                <w:bCs w:val="0"/>
                <w:color w:val="auto"/>
                <w:kern w:val="2"/>
                <w:sz w:val="24"/>
                <w:szCs w:val="24"/>
                <w:highlight w:val="none"/>
                <w:lang w:val="en-US" w:eastAsia="zh-CN" w:bidi="ar-SA"/>
              </w:rPr>
              <w:t>不得分</w:t>
            </w:r>
            <w:r>
              <w:rPr>
                <w:rFonts w:hint="eastAsia" w:ascii="宋体" w:hAnsi="宋体" w:eastAsia="宋体" w:cs="宋体"/>
                <w:bCs w:val="0"/>
                <w:color w:val="auto"/>
                <w:kern w:val="2"/>
                <w:sz w:val="24"/>
                <w:szCs w:val="24"/>
                <w:highlight w:val="none"/>
                <w:lang w:val="en-US" w:eastAsia="zh-CN" w:bidi="ar-SA"/>
              </w:rPr>
              <w:t>，查房车（护理车、医生车）质保期超过招标文件规定的，每增加一年得1分，最多得2分。（质保期必须以注册证上的注册人或代理人提供的承诺书为准</w:t>
            </w:r>
            <w:r>
              <w:rPr>
                <w:rFonts w:hint="eastAsia" w:ascii="宋体" w:hAnsi="宋体" w:cs="宋体"/>
                <w:bCs w:val="0"/>
                <w:color w:val="auto"/>
                <w:kern w:val="2"/>
                <w:sz w:val="24"/>
                <w:szCs w:val="24"/>
                <w:highlight w:val="none"/>
                <w:lang w:val="en-US" w:eastAsia="zh-CN" w:bidi="ar-SA"/>
              </w:rPr>
              <w:t>）</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1910DB3A">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r>
      <w:tr w14:paraId="017B73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3E488A2">
            <w:pPr>
              <w:widowControl/>
              <w:spacing w:line="360" w:lineRule="auto"/>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6</w:t>
            </w:r>
          </w:p>
        </w:tc>
        <w:tc>
          <w:tcPr>
            <w:tcW w:w="393" w:type="dxa"/>
            <w:vMerge w:val="continue"/>
            <w:tcBorders>
              <w:left w:val="single" w:color="auto" w:sz="4" w:space="0"/>
              <w:right w:val="single" w:color="auto" w:sz="4" w:space="0"/>
            </w:tcBorders>
            <w:noWrap w:val="0"/>
            <w:vAlign w:val="center"/>
          </w:tcPr>
          <w:p w14:paraId="4CBF65C7">
            <w:pPr>
              <w:spacing w:line="360" w:lineRule="auto"/>
              <w:jc w:val="center"/>
              <w:rPr>
                <w:rFonts w:hAnsi="宋体" w:cs="宋体"/>
                <w:color w:val="auto"/>
                <w:sz w:val="24"/>
                <w:highlight w:val="none"/>
              </w:rPr>
            </w:pPr>
          </w:p>
        </w:tc>
        <w:tc>
          <w:tcPr>
            <w:tcW w:w="1000" w:type="dxa"/>
            <w:tcBorders>
              <w:top w:val="single" w:color="auto" w:sz="4" w:space="0"/>
              <w:left w:val="single" w:color="auto" w:sz="4" w:space="0"/>
              <w:bottom w:val="single" w:color="auto" w:sz="4" w:space="0"/>
              <w:right w:val="single" w:color="auto" w:sz="4" w:space="0"/>
            </w:tcBorders>
            <w:noWrap w:val="0"/>
            <w:vAlign w:val="center"/>
          </w:tcPr>
          <w:p w14:paraId="2DF85C1B">
            <w:pPr>
              <w:spacing w:line="360" w:lineRule="auto"/>
              <w:jc w:val="center"/>
              <w:rPr>
                <w:rFonts w:hint="eastAsia" w:ascii="宋体" w:hAnsi="宋体" w:cs="仿宋"/>
                <w:color w:val="auto"/>
                <w:kern w:val="0"/>
                <w:sz w:val="24"/>
                <w:highlight w:val="none"/>
              </w:rPr>
            </w:pPr>
            <w:r>
              <w:rPr>
                <w:rFonts w:hint="eastAsia" w:ascii="宋体" w:hAnsi="宋体" w:cs="仿宋"/>
                <w:color w:val="auto"/>
                <w:kern w:val="0"/>
                <w:sz w:val="24"/>
                <w:highlight w:val="none"/>
              </w:rPr>
              <w:t>应急</w:t>
            </w:r>
          </w:p>
          <w:p w14:paraId="2C764CF4">
            <w:pPr>
              <w:spacing w:line="360" w:lineRule="auto"/>
              <w:jc w:val="center"/>
              <w:rPr>
                <w:rFonts w:hint="eastAsia" w:hAnsi="宋体" w:cs="宋体"/>
                <w:color w:val="auto"/>
                <w:sz w:val="24"/>
                <w:highlight w:val="none"/>
              </w:rPr>
            </w:pPr>
            <w:r>
              <w:rPr>
                <w:rFonts w:hint="eastAsia" w:ascii="宋体" w:hAnsi="宋体" w:cs="仿宋"/>
                <w:color w:val="auto"/>
                <w:kern w:val="0"/>
                <w:sz w:val="24"/>
                <w:highlight w:val="none"/>
              </w:rPr>
              <w:t>方案</w:t>
            </w:r>
          </w:p>
        </w:tc>
        <w:tc>
          <w:tcPr>
            <w:tcW w:w="787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5268D3">
            <w:pPr>
              <w:widowControl/>
              <w:spacing w:line="360" w:lineRule="auto"/>
              <w:rPr>
                <w:rFonts w:hint="eastAsia" w:ascii="宋体" w:hAnsi="宋体" w:eastAsia="宋体" w:cs="仿宋"/>
                <w:color w:val="auto"/>
                <w:kern w:val="0"/>
                <w:sz w:val="24"/>
                <w:szCs w:val="24"/>
                <w:highlight w:val="none"/>
                <w:lang w:val="en-US" w:eastAsia="zh-CN" w:bidi="ar-SA"/>
              </w:rPr>
            </w:pPr>
            <w:r>
              <w:rPr>
                <w:rFonts w:hint="eastAsia" w:ascii="宋体" w:hAnsi="宋体" w:cs="仿宋"/>
                <w:color w:val="auto"/>
                <w:kern w:val="0"/>
                <w:sz w:val="24"/>
                <w:highlight w:val="none"/>
              </w:rPr>
              <w:t>根据投标人针对设备运行突发故障或其它情况提供的应急服务方案</w:t>
            </w:r>
            <w:r>
              <w:rPr>
                <w:rFonts w:hint="eastAsia" w:ascii="宋体" w:hAnsi="宋体" w:cs="宋体"/>
                <w:color w:val="auto"/>
                <w:sz w:val="24"/>
                <w:highlight w:val="none"/>
              </w:rPr>
              <w:t>的完整性</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0.5</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rPr>
              <w:t>、科学性</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0.5</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rPr>
              <w:t>、合理性</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0.5</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rPr>
              <w:t>、可行性</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0.5</w:t>
            </w:r>
            <w:r>
              <w:rPr>
                <w:rFonts w:hint="eastAsia" w:ascii="宋体" w:hAnsi="宋体" w:eastAsia="宋体" w:cs="宋体"/>
                <w:color w:val="auto"/>
                <w:sz w:val="24"/>
                <w:highlight w:val="none"/>
                <w:lang w:eastAsia="zh-CN"/>
              </w:rPr>
              <w:t>）</w:t>
            </w:r>
            <w:r>
              <w:rPr>
                <w:rFonts w:hint="eastAsia" w:ascii="宋体" w:hAnsi="宋体" w:cs="宋体"/>
                <w:color w:val="auto"/>
                <w:sz w:val="24"/>
                <w:highlight w:val="none"/>
              </w:rPr>
              <w:t>进行打分。</w:t>
            </w:r>
          </w:p>
        </w:tc>
        <w:tc>
          <w:tcPr>
            <w:tcW w:w="817"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2DC4C30">
            <w:pPr>
              <w:widowControl/>
              <w:spacing w:line="360" w:lineRule="auto"/>
              <w:jc w:val="center"/>
              <w:rPr>
                <w:rFonts w:hint="eastAsia" w:ascii="宋体" w:hAnsi="宋体" w:eastAsia="宋体" w:cs="仿宋"/>
                <w:color w:val="auto"/>
                <w:kern w:val="0"/>
                <w:sz w:val="24"/>
                <w:szCs w:val="24"/>
                <w:highlight w:val="none"/>
                <w:lang w:val="en-US" w:eastAsia="zh-CN" w:bidi="ar-SA"/>
              </w:rPr>
            </w:pPr>
            <w:r>
              <w:rPr>
                <w:rFonts w:hint="eastAsia" w:ascii="宋体" w:hAnsi="宋体" w:cs="仿宋"/>
                <w:color w:val="auto"/>
                <w:kern w:val="0"/>
                <w:sz w:val="24"/>
                <w:highlight w:val="none"/>
                <w:lang w:val="en-US" w:eastAsia="zh-CN"/>
              </w:rPr>
              <w:t>2</w:t>
            </w:r>
          </w:p>
        </w:tc>
      </w:tr>
      <w:tr w14:paraId="5B3BAB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AD96B33">
            <w:pPr>
              <w:widowControl/>
              <w:spacing w:line="360" w:lineRule="auto"/>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7</w:t>
            </w:r>
          </w:p>
        </w:tc>
        <w:tc>
          <w:tcPr>
            <w:tcW w:w="393" w:type="dxa"/>
            <w:vMerge w:val="continue"/>
            <w:tcBorders>
              <w:left w:val="single" w:color="auto" w:sz="4" w:space="0"/>
              <w:bottom w:val="single" w:color="auto" w:sz="4" w:space="0"/>
              <w:right w:val="single" w:color="auto" w:sz="4" w:space="0"/>
            </w:tcBorders>
            <w:noWrap w:val="0"/>
            <w:vAlign w:val="center"/>
          </w:tcPr>
          <w:p w14:paraId="4F934E1E">
            <w:pPr>
              <w:spacing w:line="360" w:lineRule="auto"/>
              <w:jc w:val="center"/>
              <w:rPr>
                <w:rFonts w:hAnsi="宋体" w:cs="宋体"/>
                <w:color w:val="auto"/>
                <w:sz w:val="24"/>
                <w:highlight w:val="none"/>
              </w:rPr>
            </w:pPr>
          </w:p>
        </w:tc>
        <w:tc>
          <w:tcPr>
            <w:tcW w:w="100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1CEE120">
            <w:pPr>
              <w:spacing w:line="360" w:lineRule="auto"/>
              <w:jc w:val="center"/>
              <w:rPr>
                <w:rFonts w:hint="eastAsia" w:hAnsi="宋体" w:cs="宋体"/>
                <w:color w:val="auto"/>
                <w:sz w:val="24"/>
                <w:highlight w:val="none"/>
              </w:rPr>
            </w:pPr>
            <w:r>
              <w:rPr>
                <w:rFonts w:hint="eastAsia" w:hAnsi="宋体" w:cs="宋体"/>
                <w:color w:val="auto"/>
                <w:sz w:val="24"/>
                <w:highlight w:val="none"/>
              </w:rPr>
              <w:t>培训</w:t>
            </w:r>
          </w:p>
          <w:p w14:paraId="1DE8DA87">
            <w:pPr>
              <w:spacing w:line="360" w:lineRule="auto"/>
              <w:jc w:val="center"/>
              <w:rPr>
                <w:rFonts w:hint="eastAsia" w:ascii="Times New Roman" w:hAnsi="宋体" w:eastAsia="宋体" w:cs="宋体"/>
                <w:color w:val="auto"/>
                <w:kern w:val="2"/>
                <w:sz w:val="24"/>
                <w:szCs w:val="24"/>
                <w:highlight w:val="none"/>
                <w:lang w:val="en-US" w:eastAsia="zh-CN" w:bidi="ar-SA"/>
              </w:rPr>
            </w:pPr>
            <w:r>
              <w:rPr>
                <w:rFonts w:hint="eastAsia" w:hAnsi="宋体" w:cs="宋体"/>
                <w:color w:val="auto"/>
                <w:sz w:val="24"/>
                <w:highlight w:val="none"/>
              </w:rPr>
              <w:t>方案</w:t>
            </w:r>
          </w:p>
        </w:tc>
        <w:tc>
          <w:tcPr>
            <w:tcW w:w="7874"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09EFFD7">
            <w:pPr>
              <w:adjustRightInd w:val="0"/>
              <w:snapToGrid w:val="0"/>
              <w:spacing w:line="360" w:lineRule="auto"/>
              <w:jc w:val="left"/>
              <w:rPr>
                <w:rFonts w:hint="eastAsia" w:ascii="Times New Roman" w:hAnsi="宋体" w:eastAsia="宋体" w:cs="宋体"/>
                <w:color w:val="auto"/>
                <w:kern w:val="2"/>
                <w:sz w:val="24"/>
                <w:szCs w:val="24"/>
                <w:highlight w:val="none"/>
                <w:lang w:val="en-US" w:eastAsia="zh-CN" w:bidi="ar-SA"/>
              </w:rPr>
            </w:pPr>
            <w:r>
              <w:rPr>
                <w:rFonts w:hint="eastAsia" w:ascii="宋体" w:hAnsi="宋体" w:cs="宋体"/>
                <w:color w:val="auto"/>
                <w:spacing w:val="-8"/>
                <w:sz w:val="24"/>
                <w:highlight w:val="none"/>
              </w:rPr>
              <w:t>根据投标人提供的培训方案，从方案完整性</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cs="宋体"/>
                <w:color w:val="auto"/>
                <w:spacing w:val="-8"/>
                <w:sz w:val="24"/>
                <w:highlight w:val="none"/>
              </w:rPr>
              <w:t>、计划性</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cs="宋体"/>
                <w:color w:val="auto"/>
                <w:spacing w:val="-8"/>
                <w:sz w:val="24"/>
                <w:highlight w:val="none"/>
              </w:rPr>
              <w:t>、可行性</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0-</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cs="宋体"/>
                <w:color w:val="auto"/>
                <w:spacing w:val="-8"/>
                <w:sz w:val="24"/>
                <w:highlight w:val="none"/>
              </w:rPr>
              <w:t>方面进行打分。</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67253F43">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7EE3DD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noWrap w:val="0"/>
            <w:vAlign w:val="center"/>
          </w:tcPr>
          <w:p w14:paraId="500BE163">
            <w:pPr>
              <w:pStyle w:val="34"/>
              <w:spacing w:line="360" w:lineRule="auto"/>
              <w:ind w:firstLine="0"/>
              <w:jc w:val="center"/>
              <w:rPr>
                <w:rFonts w:ascii="宋体"/>
                <w:b/>
                <w:bCs/>
                <w:color w:val="auto"/>
                <w:sz w:val="24"/>
                <w:highlight w:val="none"/>
              </w:rPr>
            </w:pPr>
            <w:r>
              <w:rPr>
                <w:rFonts w:hint="eastAsia" w:ascii="宋体"/>
                <w:b/>
                <w:bCs/>
                <w:color w:val="auto"/>
                <w:sz w:val="24"/>
                <w:highlight w:val="none"/>
              </w:rPr>
              <w:t>二</w:t>
            </w:r>
          </w:p>
        </w:tc>
        <w:tc>
          <w:tcPr>
            <w:tcW w:w="9267" w:type="dxa"/>
            <w:gridSpan w:val="3"/>
            <w:tcBorders>
              <w:top w:val="single" w:color="auto" w:sz="4" w:space="0"/>
              <w:left w:val="single" w:color="auto" w:sz="4" w:space="0"/>
              <w:bottom w:val="single" w:color="auto" w:sz="4" w:space="0"/>
              <w:right w:val="single" w:color="auto" w:sz="4" w:space="0"/>
            </w:tcBorders>
            <w:noWrap w:val="0"/>
            <w:vAlign w:val="center"/>
          </w:tcPr>
          <w:p w14:paraId="63256826">
            <w:pPr>
              <w:pStyle w:val="34"/>
              <w:spacing w:line="360" w:lineRule="auto"/>
              <w:ind w:firstLine="0"/>
              <w:jc w:val="center"/>
              <w:rPr>
                <w:rFonts w:ascii="宋体"/>
                <w:b/>
                <w:bCs/>
                <w:color w:val="auto"/>
                <w:sz w:val="24"/>
                <w:highlight w:val="none"/>
              </w:rPr>
            </w:pPr>
            <w:r>
              <w:rPr>
                <w:rFonts w:hint="eastAsia" w:ascii="宋体"/>
                <w:b/>
                <w:bCs/>
                <w:color w:val="auto"/>
                <w:sz w:val="24"/>
                <w:highlight w:val="none"/>
              </w:rPr>
              <w:t>商务资信及其他分</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1D2DBF8D">
            <w:pPr>
              <w:pStyle w:val="34"/>
              <w:spacing w:line="360" w:lineRule="auto"/>
              <w:ind w:firstLine="0"/>
              <w:jc w:val="center"/>
              <w:rPr>
                <w:rFonts w:ascii="宋体"/>
                <w:b/>
                <w:bCs/>
                <w:color w:val="auto"/>
                <w:sz w:val="24"/>
                <w:highlight w:val="none"/>
              </w:rPr>
            </w:pPr>
            <w:r>
              <w:rPr>
                <w:rFonts w:hint="eastAsia" w:ascii="宋体"/>
                <w:b/>
                <w:bCs/>
                <w:color w:val="auto"/>
                <w:sz w:val="24"/>
                <w:highlight w:val="none"/>
                <w:lang w:val="en-US" w:eastAsia="zh-CN"/>
              </w:rPr>
              <w:t>18</w:t>
            </w:r>
            <w:r>
              <w:rPr>
                <w:rFonts w:hint="eastAsia" w:ascii="宋体"/>
                <w:b/>
                <w:bCs/>
                <w:color w:val="auto"/>
                <w:sz w:val="24"/>
                <w:highlight w:val="none"/>
              </w:rPr>
              <w:t>分</w:t>
            </w:r>
          </w:p>
        </w:tc>
      </w:tr>
      <w:tr w14:paraId="545AF5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429D767">
            <w:pPr>
              <w:widowControl/>
              <w:spacing w:line="360" w:lineRule="auto"/>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8</w:t>
            </w:r>
          </w:p>
        </w:tc>
        <w:tc>
          <w:tcPr>
            <w:tcW w:w="393" w:type="dxa"/>
            <w:tcBorders>
              <w:left w:val="single" w:color="auto" w:sz="4" w:space="0"/>
              <w:right w:val="single" w:color="auto" w:sz="4" w:space="0"/>
            </w:tcBorders>
            <w:noWrap w:val="0"/>
            <w:vAlign w:val="center"/>
          </w:tcPr>
          <w:p w14:paraId="793448E7">
            <w:pPr>
              <w:spacing w:line="360" w:lineRule="auto"/>
              <w:jc w:val="center"/>
              <w:rPr>
                <w:rFonts w:hint="eastAsia" w:hAnsi="宋体" w:cs="宋体"/>
                <w:color w:val="auto"/>
                <w:sz w:val="24"/>
                <w:highlight w:val="none"/>
              </w:rPr>
            </w:pPr>
          </w:p>
        </w:tc>
        <w:tc>
          <w:tcPr>
            <w:tcW w:w="1000" w:type="dxa"/>
            <w:tcBorders>
              <w:top w:val="single" w:color="auto" w:sz="4" w:space="0"/>
              <w:left w:val="single" w:color="auto" w:sz="4" w:space="0"/>
              <w:bottom w:val="single" w:color="auto" w:sz="4" w:space="0"/>
              <w:right w:val="single" w:color="auto" w:sz="4" w:space="0"/>
            </w:tcBorders>
            <w:noWrap w:val="0"/>
            <w:vAlign w:val="center"/>
          </w:tcPr>
          <w:p w14:paraId="14E73A80">
            <w:pPr>
              <w:spacing w:line="360" w:lineRule="auto"/>
              <w:jc w:val="center"/>
              <w:rPr>
                <w:rFonts w:hint="eastAsia" w:hAnsi="宋体" w:cs="宋体"/>
                <w:color w:val="auto"/>
                <w:sz w:val="24"/>
                <w:highlight w:val="none"/>
                <w:lang w:val="en-US" w:eastAsia="zh-CN"/>
              </w:rPr>
            </w:pPr>
          </w:p>
          <w:p w14:paraId="216E4359">
            <w:pPr>
              <w:spacing w:line="360" w:lineRule="auto"/>
              <w:jc w:val="center"/>
              <w:rPr>
                <w:rFonts w:hint="eastAsia" w:hAnsi="宋体" w:cs="宋体"/>
                <w:color w:val="auto"/>
                <w:sz w:val="24"/>
                <w:highlight w:val="none"/>
                <w:lang w:val="en-US" w:eastAsia="zh-CN"/>
              </w:rPr>
            </w:pPr>
          </w:p>
          <w:p w14:paraId="2F77922F">
            <w:pPr>
              <w:spacing w:line="360" w:lineRule="auto"/>
              <w:jc w:val="both"/>
              <w:rPr>
                <w:rFonts w:hint="eastAsia" w:hAnsi="宋体" w:cs="宋体"/>
                <w:color w:val="auto"/>
                <w:sz w:val="24"/>
                <w:highlight w:val="none"/>
                <w:lang w:val="en-US" w:eastAsia="zh-CN"/>
              </w:rPr>
            </w:pPr>
          </w:p>
          <w:p w14:paraId="41A29427">
            <w:pPr>
              <w:spacing w:line="360" w:lineRule="auto"/>
              <w:jc w:val="center"/>
              <w:rPr>
                <w:rFonts w:hint="default" w:hAnsi="宋体" w:eastAsia="宋体" w:cs="宋体"/>
                <w:color w:val="auto"/>
                <w:sz w:val="24"/>
                <w:highlight w:val="none"/>
                <w:lang w:val="en-US" w:eastAsia="zh-CN"/>
              </w:rPr>
            </w:pPr>
            <w:r>
              <w:rPr>
                <w:rFonts w:hint="eastAsia" w:hAnsi="宋体" w:cs="宋体"/>
                <w:color w:val="auto"/>
                <w:sz w:val="24"/>
                <w:highlight w:val="none"/>
                <w:lang w:val="en-US" w:eastAsia="zh-CN"/>
              </w:rPr>
              <w:t>企业证书</w:t>
            </w:r>
          </w:p>
        </w:tc>
        <w:tc>
          <w:tcPr>
            <w:tcW w:w="7874" w:type="dxa"/>
            <w:tcBorders>
              <w:top w:val="single" w:color="auto" w:sz="4" w:space="0"/>
              <w:left w:val="single" w:color="auto" w:sz="4" w:space="0"/>
              <w:bottom w:val="single" w:color="auto" w:sz="4" w:space="0"/>
              <w:right w:val="single" w:color="auto" w:sz="4" w:space="0"/>
            </w:tcBorders>
            <w:noWrap w:val="0"/>
            <w:vAlign w:val="center"/>
          </w:tcPr>
          <w:p w14:paraId="67F5997B">
            <w:pPr>
              <w:widowControl/>
              <w:spacing w:line="360" w:lineRule="auto"/>
              <w:rPr>
                <w:rFonts w:hint="eastAsia" w:ascii="宋体" w:hAnsi="宋体" w:eastAsia="宋体" w:cs="仿宋"/>
                <w:color w:val="auto"/>
                <w:kern w:val="0"/>
                <w:sz w:val="24"/>
                <w:szCs w:val="24"/>
                <w:highlight w:val="none"/>
                <w:lang w:val="en-US" w:eastAsia="zh-CN" w:bidi="ar-SA"/>
              </w:rPr>
            </w:pPr>
            <w:r>
              <w:rPr>
                <w:rFonts w:hint="eastAsia" w:ascii="宋体" w:hAnsi="宋体" w:eastAsia="宋体" w:cs="仿宋"/>
                <w:color w:val="auto"/>
                <w:kern w:val="0"/>
                <w:sz w:val="24"/>
                <w:szCs w:val="24"/>
                <w:highlight w:val="none"/>
                <w:lang w:val="en-US" w:eastAsia="zh-CN" w:bidi="ar-SA"/>
              </w:rPr>
              <w:t>投标人具有信息安全管理体系认证证书、信息技术服务管理体系认证证书、 售后服务认证证书、供应链安全管理体系认证证书、质量管理体系认证证书、信息技术服务标准符合性证书，每一份证书得0.5分，最高得</w:t>
            </w:r>
            <w:r>
              <w:rPr>
                <w:rFonts w:hint="eastAsia" w:ascii="宋体" w:hAnsi="宋体" w:cs="仿宋"/>
                <w:color w:val="auto"/>
                <w:kern w:val="0"/>
                <w:sz w:val="24"/>
                <w:szCs w:val="24"/>
                <w:highlight w:val="none"/>
                <w:lang w:val="en-US" w:eastAsia="zh-CN" w:bidi="ar-SA"/>
              </w:rPr>
              <w:t>3</w:t>
            </w:r>
            <w:r>
              <w:rPr>
                <w:rFonts w:hint="eastAsia" w:ascii="宋体" w:hAnsi="宋体" w:eastAsia="宋体" w:cs="仿宋"/>
                <w:color w:val="auto"/>
                <w:kern w:val="0"/>
                <w:sz w:val="24"/>
                <w:szCs w:val="24"/>
                <w:highlight w:val="none"/>
                <w:lang w:val="en-US" w:eastAsia="zh-CN" w:bidi="ar-SA"/>
              </w:rPr>
              <w:t>分。</w:t>
            </w:r>
            <w:r>
              <w:rPr>
                <w:rFonts w:hint="eastAsia" w:ascii="宋体" w:hAnsi="宋体" w:cs="仿宋"/>
                <w:color w:val="auto"/>
                <w:kern w:val="0"/>
                <w:sz w:val="24"/>
                <w:szCs w:val="24"/>
                <w:highlight w:val="none"/>
                <w:lang w:val="en-US" w:eastAsia="zh-CN" w:bidi="ar-SA"/>
              </w:rPr>
              <w:t>（</w:t>
            </w:r>
            <w:r>
              <w:rPr>
                <w:rFonts w:hint="eastAsia" w:ascii="宋体" w:hAnsi="宋体" w:eastAsia="宋体" w:cs="仿宋"/>
                <w:color w:val="auto"/>
                <w:kern w:val="0"/>
                <w:sz w:val="24"/>
                <w:szCs w:val="24"/>
                <w:highlight w:val="none"/>
                <w:lang w:val="en-US" w:eastAsia="zh-CN" w:bidi="ar-SA"/>
              </w:rPr>
              <w:t>注：以有效期内的证书为准</w:t>
            </w:r>
            <w:r>
              <w:rPr>
                <w:rFonts w:hint="eastAsia" w:ascii="宋体" w:hAnsi="宋体" w:cs="仿宋"/>
                <w:color w:val="auto"/>
                <w:kern w:val="0"/>
                <w:sz w:val="24"/>
                <w:szCs w:val="24"/>
                <w:highlight w:val="none"/>
                <w:lang w:val="en-US" w:eastAsia="zh-CN" w:bidi="ar-SA"/>
              </w:rPr>
              <w:t>，</w:t>
            </w:r>
            <w:r>
              <w:rPr>
                <w:rFonts w:hint="eastAsia" w:ascii="宋体" w:hAnsi="宋体" w:eastAsia="宋体" w:cs="仿宋"/>
                <w:color w:val="auto"/>
                <w:kern w:val="0"/>
                <w:sz w:val="24"/>
                <w:szCs w:val="24"/>
                <w:highlight w:val="none"/>
                <w:lang w:val="en-US" w:eastAsia="zh-CN" w:bidi="ar-SA"/>
              </w:rPr>
              <w:t>须提供相关证书复印件及www.cnca.gov.cn认监委官方网站截图，未提供不得分</w:t>
            </w:r>
            <w:r>
              <w:rPr>
                <w:rFonts w:hint="eastAsia" w:ascii="宋体" w:hAnsi="宋体" w:cs="仿宋"/>
                <w:color w:val="auto"/>
                <w:kern w:val="0"/>
                <w:sz w:val="24"/>
                <w:szCs w:val="24"/>
                <w:highlight w:val="none"/>
                <w:lang w:val="en-US" w:eastAsia="zh-CN" w:bidi="ar-SA"/>
              </w:rPr>
              <w:t>。）</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27B368FB">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1180C8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9E027D">
            <w:pPr>
              <w:widowControl/>
              <w:spacing w:line="360" w:lineRule="auto"/>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9</w:t>
            </w:r>
          </w:p>
        </w:tc>
        <w:tc>
          <w:tcPr>
            <w:tcW w:w="393" w:type="dxa"/>
            <w:vMerge w:val="restart"/>
            <w:tcBorders>
              <w:left w:val="single" w:color="auto" w:sz="4" w:space="0"/>
              <w:right w:val="single" w:color="auto" w:sz="4" w:space="0"/>
            </w:tcBorders>
            <w:noWrap w:val="0"/>
            <w:vAlign w:val="center"/>
          </w:tcPr>
          <w:p w14:paraId="29D167BF">
            <w:pPr>
              <w:spacing w:line="360" w:lineRule="auto"/>
              <w:jc w:val="center"/>
              <w:rPr>
                <w:rFonts w:hAnsi="宋体" w:cs="宋体"/>
                <w:color w:val="auto"/>
                <w:sz w:val="24"/>
                <w:highlight w:val="none"/>
              </w:rPr>
            </w:pPr>
            <w:r>
              <w:rPr>
                <w:rFonts w:hint="eastAsia" w:hAnsi="宋体" w:cs="宋体"/>
                <w:color w:val="auto"/>
                <w:sz w:val="24"/>
                <w:highlight w:val="none"/>
              </w:rPr>
              <w:t>履约及售后能力</w:t>
            </w:r>
          </w:p>
        </w:tc>
        <w:tc>
          <w:tcPr>
            <w:tcW w:w="1000" w:type="dxa"/>
            <w:tcBorders>
              <w:top w:val="single" w:color="auto" w:sz="4" w:space="0"/>
              <w:left w:val="single" w:color="auto" w:sz="4" w:space="0"/>
              <w:bottom w:val="single" w:color="auto" w:sz="4" w:space="0"/>
              <w:right w:val="single" w:color="auto" w:sz="4" w:space="0"/>
            </w:tcBorders>
            <w:noWrap w:val="0"/>
            <w:vAlign w:val="center"/>
          </w:tcPr>
          <w:p w14:paraId="747821AF">
            <w:pPr>
              <w:spacing w:line="360" w:lineRule="auto"/>
              <w:jc w:val="center"/>
              <w:rPr>
                <w:rFonts w:hAnsi="宋体" w:cs="宋体"/>
                <w:color w:val="auto"/>
                <w:sz w:val="24"/>
                <w:highlight w:val="none"/>
              </w:rPr>
            </w:pPr>
            <w:r>
              <w:rPr>
                <w:rFonts w:hint="eastAsia" w:hAnsi="宋体" w:cs="宋体"/>
                <w:color w:val="auto"/>
                <w:sz w:val="24"/>
                <w:highlight w:val="none"/>
              </w:rPr>
              <w:t>同类业绩</w:t>
            </w:r>
          </w:p>
        </w:tc>
        <w:tc>
          <w:tcPr>
            <w:tcW w:w="7874" w:type="dxa"/>
            <w:tcBorders>
              <w:top w:val="single" w:color="auto" w:sz="4" w:space="0"/>
              <w:left w:val="single" w:color="auto" w:sz="4" w:space="0"/>
              <w:bottom w:val="single" w:color="auto" w:sz="4" w:space="0"/>
              <w:right w:val="single" w:color="auto" w:sz="4" w:space="0"/>
            </w:tcBorders>
            <w:noWrap w:val="0"/>
            <w:vAlign w:val="center"/>
          </w:tcPr>
          <w:p w14:paraId="3327FA23">
            <w:pPr>
              <w:widowControl/>
              <w:spacing w:line="360" w:lineRule="auto"/>
              <w:rPr>
                <w:rFonts w:hint="eastAsia" w:ascii="宋体" w:hAnsi="宋体" w:eastAsia="宋体" w:cs="仿宋"/>
                <w:color w:val="auto"/>
                <w:kern w:val="0"/>
                <w:sz w:val="24"/>
                <w:szCs w:val="24"/>
                <w:highlight w:val="none"/>
                <w:lang w:val="en-US" w:eastAsia="zh-CN" w:bidi="ar-SA"/>
              </w:rPr>
            </w:pPr>
            <w:r>
              <w:rPr>
                <w:rFonts w:hint="eastAsia" w:ascii="宋体" w:hAnsi="宋体" w:eastAsia="宋体" w:cs="仿宋"/>
                <w:color w:val="auto"/>
                <w:kern w:val="0"/>
                <w:sz w:val="24"/>
                <w:szCs w:val="24"/>
                <w:highlight w:val="none"/>
                <w:lang w:val="en-US" w:eastAsia="zh-CN" w:bidi="ar-SA"/>
              </w:rPr>
              <w:t>投标人自20</w:t>
            </w:r>
            <w:r>
              <w:rPr>
                <w:rFonts w:hint="default" w:ascii="宋体" w:hAnsi="宋体" w:eastAsia="宋体" w:cs="仿宋"/>
                <w:color w:val="auto"/>
                <w:kern w:val="0"/>
                <w:sz w:val="24"/>
                <w:szCs w:val="24"/>
                <w:highlight w:val="none"/>
                <w:lang w:val="en-US" w:eastAsia="zh-CN" w:bidi="ar-SA"/>
              </w:rPr>
              <w:t>2</w:t>
            </w:r>
            <w:r>
              <w:rPr>
                <w:rFonts w:hint="eastAsia" w:ascii="宋体" w:hAnsi="宋体" w:eastAsia="宋体" w:cs="仿宋"/>
                <w:color w:val="auto"/>
                <w:kern w:val="0"/>
                <w:sz w:val="24"/>
                <w:szCs w:val="24"/>
                <w:highlight w:val="none"/>
                <w:lang w:val="en-US" w:eastAsia="zh-CN" w:bidi="ar-SA"/>
              </w:rPr>
              <w:t>1年1月以来（合同以签订日期为准），提供同类项目业绩的，每个得</w:t>
            </w:r>
            <w:r>
              <w:rPr>
                <w:rFonts w:hint="eastAsia" w:ascii="宋体" w:hAnsi="宋体" w:cs="仿宋"/>
                <w:color w:val="auto"/>
                <w:kern w:val="0"/>
                <w:sz w:val="24"/>
                <w:szCs w:val="24"/>
                <w:highlight w:val="none"/>
                <w:lang w:val="en-US" w:eastAsia="zh-CN" w:bidi="ar-SA"/>
              </w:rPr>
              <w:t>1</w:t>
            </w:r>
            <w:r>
              <w:rPr>
                <w:rFonts w:hint="eastAsia" w:ascii="宋体" w:hAnsi="宋体" w:eastAsia="宋体" w:cs="仿宋"/>
                <w:color w:val="auto"/>
                <w:kern w:val="0"/>
                <w:sz w:val="24"/>
                <w:szCs w:val="24"/>
                <w:highlight w:val="none"/>
                <w:lang w:val="en-US" w:eastAsia="zh-CN" w:bidi="ar-SA"/>
              </w:rPr>
              <w:t>分，最多得</w:t>
            </w:r>
            <w:r>
              <w:rPr>
                <w:rFonts w:hint="eastAsia" w:ascii="宋体" w:hAnsi="宋体" w:cs="仿宋"/>
                <w:color w:val="auto"/>
                <w:kern w:val="0"/>
                <w:sz w:val="24"/>
                <w:szCs w:val="24"/>
                <w:highlight w:val="none"/>
                <w:lang w:val="en-US" w:eastAsia="zh-CN" w:bidi="ar-SA"/>
              </w:rPr>
              <w:t>2</w:t>
            </w:r>
            <w:r>
              <w:rPr>
                <w:rFonts w:hint="eastAsia" w:ascii="宋体" w:hAnsi="宋体" w:eastAsia="宋体" w:cs="仿宋"/>
                <w:color w:val="auto"/>
                <w:kern w:val="0"/>
                <w:sz w:val="24"/>
                <w:szCs w:val="24"/>
                <w:highlight w:val="none"/>
                <w:lang w:val="en-US" w:eastAsia="zh-CN" w:bidi="ar-SA"/>
              </w:rPr>
              <w:t>分。</w:t>
            </w:r>
          </w:p>
          <w:p w14:paraId="68B61535">
            <w:pPr>
              <w:widowControl/>
              <w:spacing w:line="360" w:lineRule="auto"/>
              <w:rPr>
                <w:rFonts w:hint="eastAsia" w:ascii="宋体" w:hAnsi="宋体" w:eastAsia="宋体" w:cs="仿宋"/>
                <w:color w:val="auto"/>
                <w:kern w:val="0"/>
                <w:sz w:val="24"/>
                <w:szCs w:val="24"/>
                <w:highlight w:val="none"/>
                <w:lang w:val="en-US" w:eastAsia="zh-CN" w:bidi="ar-SA"/>
              </w:rPr>
            </w:pPr>
            <w:r>
              <w:rPr>
                <w:rFonts w:hint="eastAsia" w:ascii="宋体" w:hAnsi="宋体" w:eastAsia="宋体" w:cs="仿宋"/>
                <w:color w:val="auto"/>
                <w:kern w:val="0"/>
                <w:sz w:val="24"/>
                <w:szCs w:val="24"/>
                <w:highlight w:val="none"/>
                <w:lang w:val="en-US" w:eastAsia="zh-CN" w:bidi="ar-SA"/>
              </w:rPr>
              <w:t>(对省级以上主管部门认定的首台套产品，自纳入《省推</w:t>
            </w:r>
            <w:r>
              <w:rPr>
                <w:rFonts w:hint="eastAsia" w:ascii="宋体" w:hAnsi="宋体" w:cs="仿宋"/>
                <w:color w:val="auto"/>
                <w:kern w:val="0"/>
                <w:sz w:val="24"/>
                <w:szCs w:val="24"/>
                <w:highlight w:val="none"/>
                <w:lang w:val="en-US" w:eastAsia="zh-CN" w:bidi="ar-SA"/>
              </w:rPr>
              <w:t>广</w:t>
            </w:r>
            <w:r>
              <w:rPr>
                <w:rFonts w:hint="eastAsia" w:ascii="宋体" w:hAnsi="宋体" w:eastAsia="宋体" w:cs="仿宋"/>
                <w:color w:val="auto"/>
                <w:kern w:val="0"/>
                <w:sz w:val="24"/>
                <w:szCs w:val="24"/>
                <w:highlight w:val="none"/>
                <w:lang w:val="en-US" w:eastAsia="zh-CN" w:bidi="ar-SA"/>
              </w:rPr>
              <w:t>应用指导目录》起三年内参加政府采购活动，视同已具备相应销售业绩，业绩分为满分，提供相关的证明)</w:t>
            </w:r>
          </w:p>
          <w:p w14:paraId="44554E3F">
            <w:pPr>
              <w:widowControl/>
              <w:spacing w:line="360" w:lineRule="auto"/>
              <w:rPr>
                <w:rFonts w:hint="eastAsia" w:ascii="宋体" w:hAnsi="宋体" w:eastAsia="宋体" w:cs="仿宋"/>
                <w:color w:val="auto"/>
                <w:kern w:val="0"/>
                <w:sz w:val="24"/>
                <w:szCs w:val="24"/>
                <w:highlight w:val="none"/>
                <w:lang w:val="en-US" w:eastAsia="zh-CN" w:bidi="ar-SA"/>
              </w:rPr>
            </w:pPr>
            <w:r>
              <w:rPr>
                <w:rFonts w:hint="eastAsia" w:ascii="宋体" w:hAnsi="宋体" w:eastAsia="宋体" w:cs="仿宋"/>
                <w:color w:val="auto"/>
                <w:kern w:val="0"/>
                <w:sz w:val="24"/>
                <w:szCs w:val="24"/>
                <w:highlight w:val="none"/>
                <w:lang w:val="en-US" w:eastAsia="zh-CN" w:bidi="ar-SA"/>
              </w:rPr>
              <w:t>注：须提供中标通知书或合同复印件。</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069FFB98">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w:t>
            </w:r>
          </w:p>
        </w:tc>
      </w:tr>
      <w:tr w14:paraId="0717E5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0"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3646643">
            <w:pPr>
              <w:widowControl/>
              <w:spacing w:line="360" w:lineRule="auto"/>
              <w:jc w:val="center"/>
              <w:rPr>
                <w:rFonts w:hint="eastAsia" w:ascii="宋体" w:hAnsi="宋体" w:cs="Times New Roman"/>
                <w:color w:val="auto"/>
                <w:kern w:val="2"/>
                <w:sz w:val="24"/>
                <w:szCs w:val="24"/>
                <w:highlight w:val="none"/>
                <w:lang w:val="en-US" w:eastAsia="zh-CN" w:bidi="ar-SA"/>
              </w:rPr>
            </w:pPr>
          </w:p>
          <w:p w14:paraId="63FD8A61">
            <w:pPr>
              <w:widowControl/>
              <w:spacing w:line="360" w:lineRule="auto"/>
              <w:jc w:val="center"/>
              <w:rPr>
                <w:rFonts w:hint="eastAsia" w:ascii="宋体" w:hAnsi="宋体" w:cs="Times New Roman"/>
                <w:color w:val="auto"/>
                <w:kern w:val="2"/>
                <w:sz w:val="24"/>
                <w:szCs w:val="24"/>
                <w:highlight w:val="none"/>
                <w:lang w:val="en-US" w:eastAsia="zh-CN" w:bidi="ar-SA"/>
              </w:rPr>
            </w:pPr>
          </w:p>
          <w:p w14:paraId="379240D5">
            <w:pPr>
              <w:widowControl/>
              <w:spacing w:line="360" w:lineRule="auto"/>
              <w:jc w:val="both"/>
              <w:rPr>
                <w:rFonts w:hint="default" w:ascii="宋体" w:hAnsi="宋体" w:eastAsia="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10</w:t>
            </w:r>
          </w:p>
        </w:tc>
        <w:tc>
          <w:tcPr>
            <w:tcW w:w="393" w:type="dxa"/>
            <w:vMerge w:val="continue"/>
            <w:tcBorders>
              <w:left w:val="single" w:color="auto" w:sz="4" w:space="0"/>
              <w:bottom w:val="single" w:color="auto" w:sz="4" w:space="0"/>
              <w:right w:val="single" w:color="auto" w:sz="4" w:space="0"/>
            </w:tcBorders>
            <w:noWrap w:val="0"/>
            <w:vAlign w:val="center"/>
          </w:tcPr>
          <w:p w14:paraId="387EC128">
            <w:pPr>
              <w:spacing w:line="360" w:lineRule="auto"/>
              <w:jc w:val="center"/>
              <w:rPr>
                <w:rFonts w:hint="eastAsia" w:hAnsi="宋体" w:cs="宋体"/>
                <w:color w:val="auto"/>
                <w:sz w:val="24"/>
                <w:highlight w:val="none"/>
              </w:rPr>
            </w:pPr>
          </w:p>
        </w:tc>
        <w:tc>
          <w:tcPr>
            <w:tcW w:w="1000" w:type="dxa"/>
            <w:vMerge w:val="restart"/>
            <w:tcBorders>
              <w:top w:val="single" w:color="auto" w:sz="4" w:space="0"/>
              <w:left w:val="single" w:color="auto" w:sz="4" w:space="0"/>
              <w:right w:val="single" w:color="auto" w:sz="4" w:space="0"/>
            </w:tcBorders>
            <w:noWrap w:val="0"/>
            <w:vAlign w:val="center"/>
          </w:tcPr>
          <w:p w14:paraId="4D7B3F1B">
            <w:pPr>
              <w:spacing w:line="360" w:lineRule="auto"/>
              <w:jc w:val="center"/>
              <w:rPr>
                <w:rFonts w:hint="eastAsia" w:hAnsi="宋体" w:cs="宋体"/>
                <w:color w:val="auto"/>
                <w:sz w:val="24"/>
                <w:highlight w:val="none"/>
              </w:rPr>
            </w:pPr>
            <w:r>
              <w:rPr>
                <w:rFonts w:hint="eastAsia" w:hAnsi="宋体" w:cs="宋体"/>
                <w:color w:val="auto"/>
                <w:sz w:val="24"/>
                <w:highlight w:val="none"/>
              </w:rPr>
              <w:t>实施</w:t>
            </w:r>
          </w:p>
          <w:p w14:paraId="176A354B">
            <w:pPr>
              <w:spacing w:line="360" w:lineRule="auto"/>
              <w:jc w:val="center"/>
              <w:rPr>
                <w:rFonts w:hint="eastAsia" w:hAnsi="宋体" w:cs="宋体"/>
                <w:color w:val="auto"/>
                <w:sz w:val="24"/>
                <w:highlight w:val="none"/>
              </w:rPr>
            </w:pPr>
            <w:r>
              <w:rPr>
                <w:rFonts w:hint="eastAsia" w:hAnsi="宋体" w:cs="宋体"/>
                <w:color w:val="auto"/>
                <w:sz w:val="24"/>
                <w:highlight w:val="none"/>
              </w:rPr>
              <w:t>人员</w:t>
            </w:r>
          </w:p>
        </w:tc>
        <w:tc>
          <w:tcPr>
            <w:tcW w:w="7874" w:type="dxa"/>
            <w:tcBorders>
              <w:top w:val="single" w:color="auto" w:sz="4" w:space="0"/>
              <w:left w:val="single" w:color="auto" w:sz="4" w:space="0"/>
              <w:bottom w:val="single" w:color="auto" w:sz="4" w:space="0"/>
              <w:right w:val="single" w:color="auto" w:sz="4" w:space="0"/>
            </w:tcBorders>
            <w:noWrap w:val="0"/>
            <w:vAlign w:val="center"/>
          </w:tcPr>
          <w:p w14:paraId="7BD8F00E">
            <w:pPr>
              <w:widowControl/>
              <w:spacing w:line="360" w:lineRule="auto"/>
              <w:rPr>
                <w:rFonts w:hint="eastAsia" w:ascii="宋体" w:hAnsi="宋体" w:eastAsia="宋体" w:cs="仿宋"/>
                <w:color w:val="auto"/>
                <w:kern w:val="0"/>
                <w:sz w:val="24"/>
                <w:szCs w:val="24"/>
                <w:highlight w:val="none"/>
                <w:lang w:val="en-US" w:eastAsia="zh-CN" w:bidi="ar-SA"/>
              </w:rPr>
            </w:pPr>
            <w:r>
              <w:rPr>
                <w:rFonts w:hint="eastAsia" w:ascii="宋体" w:hAnsi="宋体" w:eastAsia="宋体" w:cs="仿宋"/>
                <w:color w:val="auto"/>
                <w:kern w:val="0"/>
                <w:sz w:val="24"/>
                <w:szCs w:val="24"/>
                <w:highlight w:val="none"/>
                <w:lang w:val="en-US" w:eastAsia="zh-CN" w:bidi="ar-SA"/>
              </w:rPr>
              <w:t>拟派本项目</w:t>
            </w:r>
            <w:r>
              <w:rPr>
                <w:rFonts w:hint="eastAsia" w:ascii="宋体" w:hAnsi="宋体" w:cs="仿宋"/>
                <w:color w:val="auto"/>
                <w:kern w:val="0"/>
                <w:sz w:val="24"/>
                <w:szCs w:val="24"/>
                <w:highlight w:val="none"/>
                <w:lang w:val="en-US" w:eastAsia="zh-CN" w:bidi="ar-SA"/>
              </w:rPr>
              <w:t>总负责人</w:t>
            </w:r>
            <w:r>
              <w:rPr>
                <w:rFonts w:hint="eastAsia" w:ascii="宋体" w:hAnsi="宋体" w:eastAsia="宋体" w:cs="仿宋"/>
                <w:color w:val="auto"/>
                <w:kern w:val="0"/>
                <w:sz w:val="24"/>
                <w:szCs w:val="24"/>
                <w:highlight w:val="none"/>
                <w:lang w:val="en-US" w:eastAsia="zh-CN" w:bidi="ar-SA"/>
              </w:rPr>
              <w:t>具有信息系统项目管理师、系统架构设计师、高级程序员</w:t>
            </w:r>
            <w:r>
              <w:rPr>
                <w:rFonts w:hint="eastAsia" w:ascii="宋体" w:hAnsi="宋体" w:cs="仿宋"/>
                <w:color w:val="auto"/>
                <w:kern w:val="0"/>
                <w:sz w:val="24"/>
                <w:szCs w:val="24"/>
                <w:highlight w:val="none"/>
                <w:lang w:val="en-US" w:eastAsia="zh-CN" w:bidi="ar-SA"/>
              </w:rPr>
              <w:t>或软件设计师、</w:t>
            </w:r>
            <w:r>
              <w:rPr>
                <w:rFonts w:hint="eastAsia" w:ascii="宋体" w:hAnsi="宋体" w:eastAsia="宋体" w:cs="仿宋"/>
                <w:color w:val="auto"/>
                <w:kern w:val="0"/>
                <w:sz w:val="24"/>
                <w:szCs w:val="24"/>
                <w:highlight w:val="none"/>
                <w:lang w:val="en-US" w:eastAsia="zh-CN" w:bidi="ar-SA"/>
              </w:rPr>
              <w:t>数据库系统工程师</w:t>
            </w:r>
            <w:r>
              <w:rPr>
                <w:rFonts w:hint="eastAsia" w:ascii="宋体" w:hAnsi="宋体" w:cs="仿宋"/>
                <w:color w:val="auto"/>
                <w:kern w:val="0"/>
                <w:sz w:val="24"/>
                <w:szCs w:val="24"/>
                <w:highlight w:val="none"/>
                <w:lang w:val="en-US" w:eastAsia="zh-CN" w:bidi="ar-SA"/>
              </w:rPr>
              <w:t>证书，每证</w:t>
            </w:r>
            <w:r>
              <w:rPr>
                <w:rFonts w:hint="eastAsia" w:ascii="宋体" w:hAnsi="宋体" w:eastAsia="宋体" w:cs="仿宋"/>
                <w:color w:val="auto"/>
                <w:kern w:val="0"/>
                <w:sz w:val="24"/>
                <w:szCs w:val="24"/>
                <w:highlight w:val="none"/>
                <w:lang w:val="en-US" w:eastAsia="zh-CN" w:bidi="ar-SA"/>
              </w:rPr>
              <w:t>得</w:t>
            </w:r>
            <w:r>
              <w:rPr>
                <w:rFonts w:hint="eastAsia" w:ascii="宋体" w:hAnsi="宋体" w:cs="仿宋"/>
                <w:color w:val="auto"/>
                <w:kern w:val="0"/>
                <w:sz w:val="24"/>
                <w:szCs w:val="24"/>
                <w:highlight w:val="none"/>
                <w:lang w:val="en-US" w:eastAsia="zh-CN" w:bidi="ar-SA"/>
              </w:rPr>
              <w:t>1</w:t>
            </w:r>
            <w:r>
              <w:rPr>
                <w:rFonts w:hint="eastAsia" w:ascii="宋体" w:hAnsi="宋体" w:eastAsia="宋体" w:cs="仿宋"/>
                <w:color w:val="auto"/>
                <w:kern w:val="0"/>
                <w:sz w:val="24"/>
                <w:szCs w:val="24"/>
                <w:highlight w:val="none"/>
                <w:lang w:val="en-US" w:eastAsia="zh-CN" w:bidi="ar-SA"/>
              </w:rPr>
              <w:t>分</w:t>
            </w:r>
            <w:r>
              <w:rPr>
                <w:rFonts w:hint="eastAsia" w:ascii="宋体" w:hAnsi="宋体" w:cs="仿宋"/>
                <w:color w:val="auto"/>
                <w:kern w:val="0"/>
                <w:sz w:val="24"/>
                <w:szCs w:val="24"/>
                <w:highlight w:val="none"/>
                <w:lang w:val="en-US" w:eastAsia="zh-CN" w:bidi="ar-SA"/>
              </w:rPr>
              <w:t>，最高得4分，没有的不得分</w:t>
            </w:r>
            <w:r>
              <w:rPr>
                <w:rFonts w:hint="eastAsia" w:ascii="宋体" w:hAnsi="宋体" w:eastAsia="宋体" w:cs="仿宋"/>
                <w:color w:val="auto"/>
                <w:kern w:val="0"/>
                <w:sz w:val="24"/>
                <w:szCs w:val="24"/>
                <w:highlight w:val="none"/>
                <w:lang w:val="en-US" w:eastAsia="zh-CN" w:bidi="ar-SA"/>
              </w:rPr>
              <w:t>。</w:t>
            </w:r>
          </w:p>
          <w:p w14:paraId="6E66E7A0">
            <w:pPr>
              <w:pStyle w:val="49"/>
              <w:spacing w:line="360" w:lineRule="auto"/>
              <w:ind w:left="0" w:leftChars="0" w:firstLine="0" w:firstLineChars="0"/>
              <w:rPr>
                <w:rFonts w:hint="default"/>
                <w:color w:val="auto"/>
                <w:highlight w:val="none"/>
                <w:lang w:val="en-US" w:eastAsia="zh-CN"/>
              </w:rPr>
            </w:pPr>
            <w:r>
              <w:rPr>
                <w:rFonts w:hint="eastAsia" w:asciiTheme="minorEastAsia" w:hAnsiTheme="minorEastAsia" w:eastAsiaTheme="minorEastAsia" w:cstheme="minorEastAsia"/>
                <w:color w:val="auto"/>
                <w:kern w:val="2"/>
                <w:sz w:val="24"/>
                <w:szCs w:val="24"/>
                <w:highlight w:val="none"/>
                <w:lang w:val="en-US" w:eastAsia="zh-CN" w:bidi="ar-SA"/>
              </w:rPr>
              <w:t>注：须提供证书复印件，且必须是投标人本单位在职员工，须提供已在本单位缴纳社保的承诺书或社保缴纳清单并加盖投标人公章，否则不得分。</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1E4D4E8E">
            <w:pPr>
              <w:spacing w:line="360" w:lineRule="auto"/>
              <w:jc w:val="center"/>
              <w:rPr>
                <w:rFonts w:hint="default" w:ascii="宋体" w:hAnsi="宋体" w:cs="宋体"/>
                <w:color w:val="auto"/>
                <w:sz w:val="24"/>
                <w:highlight w:val="none"/>
                <w:lang w:val="en-US" w:eastAsia="zh-CN"/>
              </w:rPr>
            </w:pPr>
          </w:p>
          <w:p w14:paraId="6617016F">
            <w:pPr>
              <w:spacing w:line="360" w:lineRule="auto"/>
              <w:jc w:val="center"/>
              <w:rPr>
                <w:rFonts w:hint="default" w:ascii="宋体" w:hAnsi="宋体" w:cs="宋体"/>
                <w:color w:val="auto"/>
                <w:sz w:val="24"/>
                <w:highlight w:val="none"/>
                <w:lang w:val="en-US" w:eastAsia="zh-CN"/>
              </w:rPr>
            </w:pPr>
          </w:p>
          <w:p w14:paraId="06B07653">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4</w:t>
            </w:r>
          </w:p>
          <w:p w14:paraId="54734DD7">
            <w:pPr>
              <w:spacing w:line="360" w:lineRule="auto"/>
              <w:jc w:val="center"/>
              <w:rPr>
                <w:rFonts w:hint="default" w:ascii="宋体" w:hAnsi="宋体" w:cs="宋体"/>
                <w:color w:val="auto"/>
                <w:sz w:val="24"/>
                <w:highlight w:val="none"/>
                <w:lang w:val="en-US" w:eastAsia="zh-CN"/>
              </w:rPr>
            </w:pPr>
          </w:p>
        </w:tc>
      </w:tr>
      <w:tr w14:paraId="669C07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08"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B3994E3">
            <w:pPr>
              <w:widowControl/>
              <w:spacing w:line="360" w:lineRule="auto"/>
              <w:jc w:val="center"/>
              <w:rPr>
                <w:rFonts w:hint="default" w:ascii="宋体" w:hAnsi="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11</w:t>
            </w:r>
          </w:p>
        </w:tc>
        <w:tc>
          <w:tcPr>
            <w:tcW w:w="393" w:type="dxa"/>
            <w:vMerge w:val="restart"/>
            <w:tcBorders>
              <w:top w:val="single" w:color="auto" w:sz="4" w:space="0"/>
              <w:left w:val="single" w:color="auto" w:sz="4" w:space="0"/>
              <w:right w:val="single" w:color="auto" w:sz="4" w:space="0"/>
            </w:tcBorders>
            <w:noWrap w:val="0"/>
            <w:vAlign w:val="center"/>
          </w:tcPr>
          <w:p w14:paraId="02D3CEFA">
            <w:pPr>
              <w:spacing w:line="360" w:lineRule="auto"/>
              <w:jc w:val="center"/>
              <w:rPr>
                <w:rFonts w:hint="eastAsia" w:hAnsi="宋体" w:cs="宋体"/>
                <w:color w:val="auto"/>
                <w:sz w:val="24"/>
                <w:highlight w:val="none"/>
              </w:rPr>
            </w:pPr>
          </w:p>
        </w:tc>
        <w:tc>
          <w:tcPr>
            <w:tcW w:w="1000" w:type="dxa"/>
            <w:vMerge w:val="continue"/>
            <w:tcBorders>
              <w:left w:val="single" w:color="auto" w:sz="4" w:space="0"/>
              <w:bottom w:val="single" w:color="auto" w:sz="4" w:space="0"/>
              <w:right w:val="single" w:color="auto" w:sz="4" w:space="0"/>
            </w:tcBorders>
            <w:noWrap w:val="0"/>
            <w:vAlign w:val="center"/>
          </w:tcPr>
          <w:p w14:paraId="2460ADBD">
            <w:pPr>
              <w:spacing w:line="360" w:lineRule="auto"/>
              <w:jc w:val="center"/>
              <w:rPr>
                <w:rFonts w:hint="eastAsia" w:hAnsi="宋体" w:cs="宋体"/>
                <w:color w:val="auto"/>
                <w:sz w:val="24"/>
                <w:highlight w:val="none"/>
              </w:rPr>
            </w:pPr>
          </w:p>
        </w:tc>
        <w:tc>
          <w:tcPr>
            <w:tcW w:w="7874" w:type="dxa"/>
            <w:tcBorders>
              <w:top w:val="single" w:color="auto" w:sz="4" w:space="0"/>
              <w:left w:val="single" w:color="auto" w:sz="4" w:space="0"/>
              <w:bottom w:val="single" w:color="auto" w:sz="4" w:space="0"/>
              <w:right w:val="single" w:color="auto" w:sz="4" w:space="0"/>
            </w:tcBorders>
            <w:noWrap w:val="0"/>
            <w:vAlign w:val="center"/>
          </w:tcPr>
          <w:p w14:paraId="1CF32C90">
            <w:pPr>
              <w:widowControl/>
              <w:spacing w:line="360" w:lineRule="auto"/>
              <w:rPr>
                <w:rFonts w:hint="eastAsia" w:ascii="宋体" w:hAnsi="宋体" w:cs="仿宋"/>
                <w:color w:val="auto"/>
                <w:kern w:val="0"/>
                <w:sz w:val="24"/>
                <w:szCs w:val="24"/>
                <w:highlight w:val="none"/>
                <w:lang w:val="en-US" w:eastAsia="zh-CN" w:bidi="ar-SA"/>
              </w:rPr>
            </w:pPr>
            <w:r>
              <w:rPr>
                <w:rFonts w:hint="eastAsia" w:ascii="宋体" w:hAnsi="宋体" w:cs="仿宋"/>
                <w:color w:val="auto"/>
                <w:kern w:val="0"/>
                <w:sz w:val="24"/>
                <w:szCs w:val="24"/>
                <w:highlight w:val="none"/>
                <w:lang w:val="en-US" w:eastAsia="zh-CN" w:bidi="ar-SA"/>
              </w:rPr>
              <w:t>拟派项目组成员(项目总负责人除外)：具有信息系统项目管理师、网络规划设计师、</w:t>
            </w:r>
            <w:r>
              <w:rPr>
                <w:rFonts w:hint="eastAsia" w:ascii="宋体" w:hAnsi="宋体" w:eastAsia="宋体" w:cs="仿宋"/>
                <w:color w:val="auto"/>
                <w:kern w:val="0"/>
                <w:sz w:val="24"/>
                <w:szCs w:val="24"/>
                <w:highlight w:val="none"/>
                <w:lang w:val="en-US" w:eastAsia="zh-CN" w:bidi="ar-SA"/>
              </w:rPr>
              <w:t>高级程序员</w:t>
            </w:r>
            <w:r>
              <w:rPr>
                <w:rFonts w:hint="eastAsia" w:ascii="宋体" w:hAnsi="宋体" w:cs="仿宋"/>
                <w:color w:val="auto"/>
                <w:kern w:val="0"/>
                <w:sz w:val="24"/>
                <w:szCs w:val="24"/>
                <w:highlight w:val="none"/>
                <w:lang w:val="en-US" w:eastAsia="zh-CN" w:bidi="ar-SA"/>
              </w:rPr>
              <w:t>或软件设计师、系统集成项目管理工程师、信息安全工程师、网络工程师等证书每证得0.5分，本项最高得3分。</w:t>
            </w:r>
          </w:p>
          <w:p w14:paraId="52FDB97A">
            <w:pPr>
              <w:pStyle w:val="49"/>
              <w:spacing w:line="360" w:lineRule="auto"/>
              <w:ind w:left="0" w:leftChars="0" w:firstLine="0" w:firstLineChars="0"/>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注：须提供证书复印件，且必须是投标人本单位在职员工，须提供已在本单位缴纳社保的承诺书或社保缴纳清单并加盖投标人公章，否则不得分。</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7C8EECE5">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3</w:t>
            </w:r>
          </w:p>
        </w:tc>
      </w:tr>
      <w:tr w14:paraId="436CC9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750E239">
            <w:pPr>
              <w:widowControl/>
              <w:spacing w:line="360" w:lineRule="auto"/>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eastAsia" w:ascii="宋体" w:hAnsi="宋体" w:cs="Times New Roman"/>
                <w:color w:val="auto"/>
                <w:kern w:val="2"/>
                <w:sz w:val="24"/>
                <w:szCs w:val="24"/>
                <w:highlight w:val="none"/>
                <w:lang w:val="en-US" w:eastAsia="zh-CN" w:bidi="ar-SA"/>
              </w:rPr>
              <w:t>2</w:t>
            </w:r>
          </w:p>
        </w:tc>
        <w:tc>
          <w:tcPr>
            <w:tcW w:w="393" w:type="dxa"/>
            <w:vMerge w:val="continue"/>
            <w:tcBorders>
              <w:top w:val="single" w:color="auto" w:sz="4" w:space="0"/>
              <w:left w:val="single" w:color="auto" w:sz="4" w:space="0"/>
              <w:right w:val="single" w:color="auto" w:sz="4" w:space="0"/>
            </w:tcBorders>
            <w:noWrap w:val="0"/>
            <w:vAlign w:val="center"/>
          </w:tcPr>
          <w:p w14:paraId="7EE13C58">
            <w:pPr>
              <w:spacing w:line="360" w:lineRule="auto"/>
              <w:jc w:val="center"/>
              <w:rPr>
                <w:rFonts w:hAnsi="宋体" w:cs="宋体"/>
                <w:color w:val="auto"/>
                <w:sz w:val="24"/>
                <w:highlight w:val="none"/>
              </w:rPr>
            </w:pPr>
          </w:p>
        </w:tc>
        <w:tc>
          <w:tcPr>
            <w:tcW w:w="1000" w:type="dxa"/>
            <w:vMerge w:val="restart"/>
            <w:tcBorders>
              <w:top w:val="single" w:color="auto" w:sz="4" w:space="0"/>
              <w:left w:val="single" w:color="auto" w:sz="4" w:space="0"/>
              <w:right w:val="single" w:color="auto" w:sz="4" w:space="0"/>
            </w:tcBorders>
            <w:noWrap w:val="0"/>
            <w:vAlign w:val="center"/>
          </w:tcPr>
          <w:p w14:paraId="4F1673ED">
            <w:pPr>
              <w:spacing w:line="360" w:lineRule="auto"/>
              <w:jc w:val="center"/>
              <w:rPr>
                <w:rFonts w:hint="eastAsia" w:ascii="Times New Roman" w:hAnsi="宋体" w:eastAsia="宋体" w:cs="宋体"/>
                <w:color w:val="auto"/>
                <w:sz w:val="24"/>
                <w:highlight w:val="none"/>
              </w:rPr>
            </w:pPr>
            <w:r>
              <w:rPr>
                <w:rFonts w:hint="eastAsia" w:ascii="Times New Roman" w:hAnsi="宋体" w:eastAsia="宋体" w:cs="宋体"/>
                <w:color w:val="auto"/>
                <w:sz w:val="24"/>
                <w:highlight w:val="none"/>
                <w:lang w:val="en-US" w:eastAsia="zh-CN"/>
              </w:rPr>
              <w:t>售后服务保障及运维能力</w:t>
            </w:r>
          </w:p>
        </w:tc>
        <w:tc>
          <w:tcPr>
            <w:tcW w:w="7874" w:type="dxa"/>
            <w:tcBorders>
              <w:top w:val="single" w:color="auto" w:sz="4" w:space="0"/>
              <w:left w:val="single" w:color="auto" w:sz="4" w:space="0"/>
              <w:bottom w:val="single" w:color="auto" w:sz="4" w:space="0"/>
              <w:right w:val="single" w:color="auto" w:sz="4" w:space="0"/>
            </w:tcBorders>
            <w:noWrap w:val="0"/>
            <w:vAlign w:val="center"/>
          </w:tcPr>
          <w:p w14:paraId="7D9AC748">
            <w:pPr>
              <w:widowControl/>
              <w:spacing w:line="360" w:lineRule="auto"/>
              <w:rPr>
                <w:rFonts w:hint="eastAsia" w:ascii="宋体" w:hAnsi="宋体" w:eastAsia="宋体" w:cs="仿宋"/>
                <w:color w:val="auto"/>
                <w:kern w:val="0"/>
                <w:sz w:val="24"/>
                <w:szCs w:val="24"/>
                <w:highlight w:val="none"/>
                <w:lang w:val="en-US" w:eastAsia="zh-CN" w:bidi="ar-SA"/>
              </w:rPr>
            </w:pPr>
            <w:r>
              <w:rPr>
                <w:rFonts w:hint="eastAsia" w:ascii="宋体" w:hAnsi="宋体" w:eastAsia="宋体" w:cs="仿宋"/>
                <w:color w:val="auto"/>
                <w:kern w:val="0"/>
                <w:sz w:val="24"/>
                <w:szCs w:val="24"/>
                <w:highlight w:val="none"/>
                <w:lang w:val="en-US" w:eastAsia="zh-CN" w:bidi="ar-SA"/>
              </w:rPr>
              <w:t>投标人需提供完整可行的售后服务方案评分，包含但不限于：售后服务内容、服务标准体系、技术服务标准流程、技术服务方式与内容等。</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46CCC500">
            <w:pPr>
              <w:keepNext w:val="0"/>
              <w:keepLines w:val="0"/>
              <w:widowControl/>
              <w:suppressLineNumbers w:val="0"/>
              <w:jc w:val="center"/>
              <w:textAlignment w:val="center"/>
              <w:rPr>
                <w:rFonts w:hint="default" w:ascii="宋体" w:hAnsi="宋体" w:eastAsia="宋体" w:cs="宋体"/>
                <w:color w:val="auto"/>
                <w:sz w:val="24"/>
                <w:highlight w:val="none"/>
                <w:lang w:val="en-US" w:eastAsia="zh-CN"/>
              </w:rPr>
            </w:pPr>
            <w:r>
              <w:rPr>
                <w:rFonts w:hint="eastAsia" w:ascii="宋体" w:hAnsi="宋体" w:cs="宋体"/>
                <w:i w:val="0"/>
                <w:iCs w:val="0"/>
                <w:color w:val="auto"/>
                <w:kern w:val="0"/>
                <w:sz w:val="22"/>
                <w:szCs w:val="22"/>
                <w:highlight w:val="none"/>
                <w:u w:val="none"/>
                <w:lang w:val="en-US" w:eastAsia="zh-CN" w:bidi="ar"/>
              </w:rPr>
              <w:t>3</w:t>
            </w:r>
          </w:p>
        </w:tc>
      </w:tr>
      <w:tr w14:paraId="73E432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FE8B07E">
            <w:pPr>
              <w:widowControl/>
              <w:spacing w:line="360" w:lineRule="auto"/>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cs="Times New Roman"/>
                <w:color w:val="auto"/>
                <w:kern w:val="2"/>
                <w:sz w:val="24"/>
                <w:szCs w:val="24"/>
                <w:highlight w:val="none"/>
                <w:lang w:val="en-US" w:eastAsia="zh-CN" w:bidi="ar-SA"/>
              </w:rPr>
              <w:t>13</w:t>
            </w:r>
          </w:p>
        </w:tc>
        <w:tc>
          <w:tcPr>
            <w:tcW w:w="393" w:type="dxa"/>
            <w:vMerge w:val="continue"/>
            <w:tcBorders>
              <w:left w:val="single" w:color="auto" w:sz="4" w:space="0"/>
              <w:right w:val="single" w:color="auto" w:sz="4" w:space="0"/>
            </w:tcBorders>
            <w:noWrap w:val="0"/>
            <w:vAlign w:val="center"/>
          </w:tcPr>
          <w:p w14:paraId="3081D2E7">
            <w:pPr>
              <w:spacing w:line="360" w:lineRule="auto"/>
              <w:jc w:val="center"/>
              <w:rPr>
                <w:rFonts w:hAnsi="宋体" w:cs="宋体"/>
                <w:color w:val="auto"/>
                <w:sz w:val="24"/>
                <w:highlight w:val="none"/>
              </w:rPr>
            </w:pPr>
          </w:p>
        </w:tc>
        <w:tc>
          <w:tcPr>
            <w:tcW w:w="1000" w:type="dxa"/>
            <w:vMerge w:val="continue"/>
            <w:tcBorders>
              <w:left w:val="single" w:color="auto" w:sz="4" w:space="0"/>
              <w:right w:val="single" w:color="auto" w:sz="4" w:space="0"/>
            </w:tcBorders>
            <w:noWrap w:val="0"/>
            <w:vAlign w:val="center"/>
          </w:tcPr>
          <w:p w14:paraId="73707222">
            <w:pPr>
              <w:jc w:val="left"/>
              <w:rPr>
                <w:rFonts w:hint="eastAsia" w:hAnsi="宋体" w:cs="宋体"/>
                <w:color w:val="auto"/>
                <w:sz w:val="24"/>
                <w:highlight w:val="none"/>
              </w:rPr>
            </w:pPr>
          </w:p>
        </w:tc>
        <w:tc>
          <w:tcPr>
            <w:tcW w:w="7874" w:type="dxa"/>
            <w:tcBorders>
              <w:top w:val="single" w:color="auto" w:sz="4" w:space="0"/>
              <w:left w:val="single" w:color="auto" w:sz="4" w:space="0"/>
              <w:bottom w:val="single" w:color="auto" w:sz="4" w:space="0"/>
              <w:right w:val="single" w:color="auto" w:sz="4" w:space="0"/>
            </w:tcBorders>
            <w:noWrap w:val="0"/>
            <w:vAlign w:val="center"/>
          </w:tcPr>
          <w:p w14:paraId="64D42FA6">
            <w:pPr>
              <w:widowControl/>
              <w:spacing w:line="360" w:lineRule="auto"/>
              <w:rPr>
                <w:rFonts w:hint="eastAsia" w:ascii="宋体" w:hAnsi="宋体" w:eastAsia="宋体" w:cs="仿宋"/>
                <w:color w:val="auto"/>
                <w:kern w:val="0"/>
                <w:sz w:val="24"/>
                <w:szCs w:val="24"/>
                <w:highlight w:val="none"/>
                <w:lang w:val="en-US" w:eastAsia="zh-CN" w:bidi="ar-SA"/>
              </w:rPr>
            </w:pPr>
            <w:r>
              <w:rPr>
                <w:rFonts w:hint="eastAsia" w:ascii="宋体" w:hAnsi="宋体" w:eastAsia="宋体" w:cs="仿宋"/>
                <w:color w:val="auto"/>
                <w:kern w:val="0"/>
                <w:sz w:val="24"/>
                <w:szCs w:val="24"/>
                <w:highlight w:val="none"/>
                <w:lang w:val="en-US" w:eastAsia="zh-CN" w:bidi="ar-SA"/>
              </w:rPr>
              <w:t>投标人具备快速服务响应能力：为应对采购人的不时之需，根据投标人所具备的快速服务响应能力、响应方式进行打分。</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1874F93B">
            <w:pPr>
              <w:keepNext w:val="0"/>
              <w:keepLines w:val="0"/>
              <w:widowControl/>
              <w:suppressLineNumbers w:val="0"/>
              <w:jc w:val="center"/>
              <w:textAlignment w:val="center"/>
              <w:rPr>
                <w:rFonts w:hint="eastAsia" w:ascii="宋体" w:hAnsi="宋体" w:cs="宋体"/>
                <w:color w:val="auto"/>
                <w:sz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2</w:t>
            </w:r>
          </w:p>
        </w:tc>
      </w:tr>
      <w:tr w14:paraId="3C8B00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56"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3A59D53">
            <w:pPr>
              <w:widowControl/>
              <w:spacing w:line="360" w:lineRule="auto"/>
              <w:jc w:val="center"/>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eastAsia" w:ascii="宋体" w:hAnsi="宋体" w:cs="Times New Roman"/>
                <w:color w:val="auto"/>
                <w:kern w:val="2"/>
                <w:sz w:val="24"/>
                <w:szCs w:val="24"/>
                <w:highlight w:val="none"/>
                <w:lang w:val="en-US" w:eastAsia="zh-CN" w:bidi="ar-SA"/>
              </w:rPr>
              <w:t>4</w:t>
            </w:r>
          </w:p>
        </w:tc>
        <w:tc>
          <w:tcPr>
            <w:tcW w:w="1393" w:type="dxa"/>
            <w:gridSpan w:val="2"/>
            <w:tcBorders>
              <w:top w:val="single" w:color="auto" w:sz="4" w:space="0"/>
              <w:left w:val="single" w:color="auto" w:sz="4" w:space="0"/>
              <w:bottom w:val="single" w:color="auto" w:sz="4" w:space="0"/>
              <w:right w:val="single" w:color="auto" w:sz="4" w:space="0"/>
            </w:tcBorders>
            <w:noWrap w:val="0"/>
            <w:vAlign w:val="center"/>
          </w:tcPr>
          <w:p w14:paraId="7AE99F05">
            <w:pPr>
              <w:spacing w:line="360" w:lineRule="auto"/>
              <w:jc w:val="center"/>
              <w:rPr>
                <w:rFonts w:hAnsi="宋体" w:cs="宋体"/>
                <w:color w:val="auto"/>
                <w:sz w:val="24"/>
                <w:highlight w:val="none"/>
              </w:rPr>
            </w:pPr>
            <w:r>
              <w:rPr>
                <w:rFonts w:hint="eastAsia" w:hAnsi="宋体" w:cs="宋体"/>
                <w:color w:val="auto"/>
                <w:sz w:val="24"/>
                <w:highlight w:val="none"/>
              </w:rPr>
              <w:t>环保节能产品</w:t>
            </w:r>
          </w:p>
        </w:tc>
        <w:tc>
          <w:tcPr>
            <w:tcW w:w="7874" w:type="dxa"/>
            <w:tcBorders>
              <w:top w:val="single" w:color="auto" w:sz="4" w:space="0"/>
              <w:left w:val="single" w:color="auto" w:sz="4" w:space="0"/>
              <w:bottom w:val="single" w:color="auto" w:sz="4" w:space="0"/>
              <w:right w:val="single" w:color="auto" w:sz="4" w:space="0"/>
            </w:tcBorders>
            <w:noWrap w:val="0"/>
            <w:vAlign w:val="center"/>
          </w:tcPr>
          <w:p w14:paraId="1282A4FF">
            <w:pPr>
              <w:widowControl/>
              <w:spacing w:line="360" w:lineRule="auto"/>
              <w:rPr>
                <w:rFonts w:hint="eastAsia" w:ascii="宋体" w:hAnsi="宋体" w:eastAsia="宋体" w:cs="仿宋"/>
                <w:color w:val="auto"/>
                <w:kern w:val="0"/>
                <w:sz w:val="24"/>
                <w:szCs w:val="24"/>
                <w:highlight w:val="none"/>
                <w:lang w:val="en-US" w:eastAsia="zh-CN" w:bidi="ar-SA"/>
              </w:rPr>
            </w:pPr>
            <w:r>
              <w:rPr>
                <w:rFonts w:hint="eastAsia" w:ascii="宋体" w:hAnsi="宋体" w:eastAsia="宋体" w:cs="仿宋"/>
                <w:color w:val="auto"/>
                <w:kern w:val="0"/>
                <w:sz w:val="24"/>
                <w:szCs w:val="24"/>
                <w:highlight w:val="none"/>
                <w:lang w:val="en-US" w:eastAsia="zh-CN" w:bidi="ar-SA"/>
              </w:rPr>
              <w:t>1）投标产品列入财政部、发展改革委发布的节能产品品目清单的，提供国家市场监督管理总局公布的《参与实施政府采购节能产品认证机构名录》内的认证机构出具的、处于有效期之内的节能标志产品认证证书的，</w:t>
            </w:r>
            <w:r>
              <w:rPr>
                <w:rFonts w:hint="eastAsia" w:ascii="宋体" w:hAnsi="宋体" w:cs="仿宋_GB2312"/>
                <w:color w:val="auto"/>
                <w:kern w:val="2"/>
                <w:sz w:val="24"/>
                <w:szCs w:val="24"/>
                <w:highlight w:val="none"/>
                <w:lang w:val="en-US" w:eastAsia="zh-CN" w:bidi="ar-SA"/>
              </w:rPr>
              <w:t>每一款</w:t>
            </w:r>
            <w:r>
              <w:rPr>
                <w:rFonts w:hint="eastAsia" w:ascii="宋体" w:hAnsi="宋体" w:eastAsia="宋体" w:cs="仿宋_GB2312"/>
                <w:color w:val="auto"/>
                <w:kern w:val="2"/>
                <w:sz w:val="24"/>
                <w:szCs w:val="24"/>
                <w:highlight w:val="none"/>
                <w:lang w:val="en-US" w:eastAsia="zh-CN" w:bidi="ar-SA"/>
              </w:rPr>
              <w:t>得</w:t>
            </w:r>
            <w:r>
              <w:rPr>
                <w:rFonts w:hint="default" w:ascii="宋体" w:hAnsi="宋体" w:cs="仿宋_GB2312"/>
                <w:color w:val="auto"/>
                <w:kern w:val="2"/>
                <w:sz w:val="24"/>
                <w:szCs w:val="24"/>
                <w:highlight w:val="none"/>
                <w:lang w:val="en-US" w:eastAsia="zh-CN" w:bidi="ar-SA"/>
              </w:rPr>
              <w:t>0.5</w:t>
            </w:r>
            <w:r>
              <w:rPr>
                <w:rFonts w:hint="eastAsia" w:ascii="宋体" w:hAnsi="宋体" w:eastAsia="宋体" w:cs="仿宋_GB2312"/>
                <w:color w:val="auto"/>
                <w:kern w:val="2"/>
                <w:sz w:val="24"/>
                <w:szCs w:val="24"/>
                <w:highlight w:val="none"/>
                <w:lang w:val="en-US" w:eastAsia="zh-CN" w:bidi="ar-SA"/>
              </w:rPr>
              <w:t>分</w:t>
            </w:r>
            <w:r>
              <w:rPr>
                <w:rFonts w:hint="eastAsia" w:ascii="宋体" w:hAnsi="宋体" w:cs="仿宋_GB2312"/>
                <w:color w:val="auto"/>
                <w:kern w:val="2"/>
                <w:sz w:val="24"/>
                <w:szCs w:val="24"/>
                <w:highlight w:val="none"/>
                <w:lang w:val="en-US" w:eastAsia="zh-CN" w:bidi="ar-SA"/>
              </w:rPr>
              <w:t>，最高</w:t>
            </w:r>
            <w:r>
              <w:rPr>
                <w:rFonts w:hint="eastAsia" w:ascii="宋体" w:hAnsi="宋体" w:eastAsia="宋体" w:cs="仿宋"/>
                <w:color w:val="auto"/>
                <w:kern w:val="0"/>
                <w:sz w:val="24"/>
                <w:szCs w:val="24"/>
                <w:highlight w:val="none"/>
                <w:lang w:val="en-US" w:eastAsia="zh-CN" w:bidi="ar-SA"/>
              </w:rPr>
              <w:t>得0.5分。</w:t>
            </w:r>
          </w:p>
          <w:p w14:paraId="1EEB09EF">
            <w:pPr>
              <w:widowControl/>
              <w:spacing w:line="360" w:lineRule="auto"/>
              <w:rPr>
                <w:rFonts w:hint="eastAsia" w:ascii="宋体" w:hAnsi="宋体" w:eastAsia="宋体" w:cs="仿宋"/>
                <w:color w:val="auto"/>
                <w:kern w:val="0"/>
                <w:sz w:val="24"/>
                <w:szCs w:val="24"/>
                <w:highlight w:val="none"/>
                <w:lang w:val="en-US" w:eastAsia="zh-CN" w:bidi="ar-SA"/>
              </w:rPr>
            </w:pPr>
            <w:r>
              <w:rPr>
                <w:rFonts w:hint="eastAsia" w:ascii="宋体" w:hAnsi="宋体" w:eastAsia="宋体" w:cs="仿宋"/>
                <w:color w:val="auto"/>
                <w:kern w:val="0"/>
                <w:sz w:val="24"/>
                <w:szCs w:val="24"/>
                <w:highlight w:val="none"/>
                <w:lang w:val="en-US" w:eastAsia="zh-CN" w:bidi="ar-SA"/>
              </w:rPr>
              <w:t>2）投标产品列入财政部、生态环境部发布的环境标志产品品目清单的，提供国家市场监督管理总局公布的《参与实施政府采购环境标志产品认证机构名录》内的认证机构出具的、处于有效期之内的环境标志产品认证证书，</w:t>
            </w:r>
            <w:r>
              <w:rPr>
                <w:rFonts w:hint="eastAsia" w:ascii="宋体" w:hAnsi="宋体" w:cs="仿宋_GB2312"/>
                <w:color w:val="auto"/>
                <w:kern w:val="2"/>
                <w:sz w:val="24"/>
                <w:szCs w:val="24"/>
                <w:highlight w:val="none"/>
                <w:lang w:val="en-US" w:eastAsia="zh-CN" w:bidi="ar-SA"/>
              </w:rPr>
              <w:t>每一款</w:t>
            </w:r>
            <w:r>
              <w:rPr>
                <w:rFonts w:hint="eastAsia" w:ascii="宋体" w:hAnsi="宋体" w:eastAsia="宋体" w:cs="仿宋_GB2312"/>
                <w:color w:val="auto"/>
                <w:kern w:val="2"/>
                <w:sz w:val="24"/>
                <w:szCs w:val="24"/>
                <w:highlight w:val="none"/>
                <w:lang w:val="en-US" w:eastAsia="zh-CN" w:bidi="ar-SA"/>
              </w:rPr>
              <w:t>得</w:t>
            </w:r>
            <w:r>
              <w:rPr>
                <w:rFonts w:hint="default" w:ascii="宋体" w:hAnsi="宋体" w:cs="仿宋_GB2312"/>
                <w:color w:val="auto"/>
                <w:kern w:val="2"/>
                <w:sz w:val="24"/>
                <w:szCs w:val="24"/>
                <w:highlight w:val="none"/>
                <w:lang w:val="en-US" w:eastAsia="zh-CN" w:bidi="ar-SA"/>
              </w:rPr>
              <w:t>0.5</w:t>
            </w:r>
            <w:r>
              <w:rPr>
                <w:rFonts w:hint="eastAsia" w:ascii="宋体" w:hAnsi="宋体" w:eastAsia="宋体" w:cs="仿宋_GB2312"/>
                <w:color w:val="auto"/>
                <w:kern w:val="2"/>
                <w:sz w:val="24"/>
                <w:szCs w:val="24"/>
                <w:highlight w:val="none"/>
                <w:lang w:val="en-US" w:eastAsia="zh-CN" w:bidi="ar-SA"/>
              </w:rPr>
              <w:t>分</w:t>
            </w:r>
            <w:r>
              <w:rPr>
                <w:rFonts w:hint="eastAsia" w:ascii="宋体" w:hAnsi="宋体" w:cs="仿宋_GB2312"/>
                <w:color w:val="auto"/>
                <w:kern w:val="2"/>
                <w:sz w:val="24"/>
                <w:szCs w:val="24"/>
                <w:highlight w:val="none"/>
                <w:lang w:val="en-US" w:eastAsia="zh-CN" w:bidi="ar-SA"/>
              </w:rPr>
              <w:t>，</w:t>
            </w:r>
            <w:bookmarkStart w:id="135" w:name="_GoBack"/>
            <w:bookmarkEnd w:id="135"/>
            <w:r>
              <w:rPr>
                <w:rFonts w:hint="eastAsia" w:ascii="宋体" w:hAnsi="宋体" w:cs="仿宋_GB2312"/>
                <w:color w:val="auto"/>
                <w:kern w:val="2"/>
                <w:sz w:val="24"/>
                <w:szCs w:val="24"/>
                <w:highlight w:val="none"/>
                <w:lang w:val="en-US" w:eastAsia="zh-CN" w:bidi="ar-SA"/>
              </w:rPr>
              <w:t>最高</w:t>
            </w:r>
            <w:r>
              <w:rPr>
                <w:rFonts w:hint="eastAsia" w:ascii="宋体" w:hAnsi="宋体" w:eastAsia="宋体" w:cs="仿宋"/>
                <w:color w:val="auto"/>
                <w:kern w:val="0"/>
                <w:sz w:val="24"/>
                <w:szCs w:val="24"/>
                <w:highlight w:val="none"/>
                <w:lang w:val="en-US" w:eastAsia="zh-CN" w:bidi="ar-SA"/>
              </w:rPr>
              <w:t>得0.5分。</w:t>
            </w:r>
          </w:p>
        </w:tc>
        <w:tc>
          <w:tcPr>
            <w:tcW w:w="817" w:type="dxa"/>
            <w:tcBorders>
              <w:top w:val="single" w:color="auto" w:sz="4" w:space="0"/>
              <w:left w:val="single" w:color="auto" w:sz="4" w:space="0"/>
              <w:bottom w:val="single" w:color="auto" w:sz="4" w:space="0"/>
              <w:right w:val="single" w:color="auto" w:sz="4" w:space="0"/>
            </w:tcBorders>
            <w:noWrap w:val="0"/>
            <w:vAlign w:val="center"/>
          </w:tcPr>
          <w:p w14:paraId="1F0D1E08">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w:t>
            </w:r>
          </w:p>
        </w:tc>
      </w:tr>
    </w:tbl>
    <w:p w14:paraId="6CE9B453">
      <w:pPr>
        <w:pStyle w:val="7"/>
        <w:keepNext w:val="0"/>
        <w:keepLines w:val="0"/>
        <w:pageBreakBefore/>
        <w:numPr>
          <w:ilvl w:val="0"/>
          <w:numId w:val="11"/>
        </w:numPr>
        <w:spacing w:line="240" w:lineRule="auto"/>
        <w:jc w:val="center"/>
        <w:rPr>
          <w:rFonts w:ascii="宋体" w:hAnsi="宋体" w:cs="宋体"/>
          <w:bCs w:val="0"/>
          <w:color w:val="auto"/>
          <w:sz w:val="32"/>
          <w:szCs w:val="32"/>
          <w:highlight w:val="none"/>
        </w:rPr>
      </w:pPr>
      <w:bookmarkStart w:id="66" w:name="_Toc32413"/>
      <w:r>
        <w:rPr>
          <w:rFonts w:hint="eastAsia" w:ascii="宋体" w:hAnsi="宋体" w:cs="宋体"/>
          <w:bCs w:val="0"/>
          <w:color w:val="auto"/>
          <w:sz w:val="32"/>
          <w:szCs w:val="32"/>
          <w:highlight w:val="none"/>
        </w:rPr>
        <w:t>合同主要条款</w:t>
      </w:r>
      <w:bookmarkEnd w:id="63"/>
      <w:bookmarkEnd w:id="66"/>
    </w:p>
    <w:p w14:paraId="0896CB26">
      <w:pPr>
        <w:pStyle w:val="8"/>
        <w:jc w:val="center"/>
        <w:rPr>
          <w:rFonts w:ascii="宋体" w:hAnsi="宋体" w:eastAsia="宋体" w:cs="宋体"/>
          <w:color w:val="auto"/>
          <w:sz w:val="24"/>
          <w:szCs w:val="24"/>
          <w:highlight w:val="none"/>
        </w:rPr>
      </w:pPr>
      <w:bookmarkStart w:id="67" w:name="_Toc14942605"/>
      <w:bookmarkStart w:id="68" w:name="_Toc22775"/>
      <w:bookmarkStart w:id="69" w:name="_Toc5231"/>
      <w:bookmarkStart w:id="70" w:name="_Toc26017"/>
      <w:r>
        <w:rPr>
          <w:rFonts w:hint="eastAsia" w:ascii="宋体" w:hAnsi="宋体" w:eastAsia="宋体" w:cs="宋体"/>
          <w:color w:val="auto"/>
          <w:sz w:val="24"/>
          <w:szCs w:val="24"/>
          <w:highlight w:val="none"/>
        </w:rPr>
        <w:t>东阳市政府采购合同（样本）</w:t>
      </w:r>
      <w:bookmarkEnd w:id="67"/>
      <w:bookmarkEnd w:id="68"/>
      <w:bookmarkEnd w:id="69"/>
      <w:bookmarkEnd w:id="70"/>
    </w:p>
    <w:p w14:paraId="2E106479">
      <w:pPr>
        <w:spacing w:line="420" w:lineRule="exact"/>
        <w:rPr>
          <w:rFonts w:ascii="宋体" w:hAnsi="宋体"/>
          <w:color w:val="auto"/>
          <w:sz w:val="24"/>
          <w:highlight w:val="none"/>
        </w:rPr>
      </w:pPr>
      <w:r>
        <w:rPr>
          <w:rFonts w:hint="eastAsia" w:ascii="宋体" w:hAnsi="宋体"/>
          <w:color w:val="auto"/>
          <w:sz w:val="24"/>
          <w:highlight w:val="none"/>
        </w:rPr>
        <w:t>项目名称：                   项目编号：               合同号：</w:t>
      </w:r>
    </w:p>
    <w:p w14:paraId="5696444D">
      <w:pPr>
        <w:spacing w:line="420" w:lineRule="exact"/>
        <w:rPr>
          <w:rFonts w:hint="eastAsia" w:ascii="宋体" w:hAnsi="宋体"/>
          <w:color w:val="auto"/>
          <w:sz w:val="24"/>
          <w:highlight w:val="none"/>
        </w:rPr>
      </w:pPr>
      <w:r>
        <w:rPr>
          <w:rFonts w:hint="eastAsia" w:ascii="宋体" w:hAnsi="宋体"/>
          <w:color w:val="auto"/>
          <w:sz w:val="24"/>
          <w:highlight w:val="none"/>
        </w:rPr>
        <w:t>甲方（买方）：</w:t>
      </w:r>
    </w:p>
    <w:p w14:paraId="6C0263A4">
      <w:pPr>
        <w:spacing w:line="420" w:lineRule="exact"/>
        <w:rPr>
          <w:rFonts w:ascii="宋体" w:hAnsi="宋体"/>
          <w:color w:val="auto"/>
          <w:sz w:val="24"/>
          <w:highlight w:val="none"/>
        </w:rPr>
      </w:pPr>
      <w:r>
        <w:rPr>
          <w:rFonts w:hint="eastAsia" w:ascii="宋体" w:hAnsi="宋体"/>
          <w:color w:val="auto"/>
          <w:sz w:val="24"/>
          <w:highlight w:val="none"/>
        </w:rPr>
        <w:t>乙方（卖方）：</w:t>
      </w:r>
    </w:p>
    <w:p w14:paraId="3E3491B9">
      <w:pPr>
        <w:spacing w:line="420" w:lineRule="exact"/>
        <w:rPr>
          <w:rFonts w:ascii="宋体" w:hAnsi="宋体"/>
          <w:color w:val="auto"/>
          <w:sz w:val="24"/>
          <w:highlight w:val="none"/>
        </w:rPr>
      </w:pPr>
      <w:r>
        <w:rPr>
          <w:rFonts w:hint="eastAsia" w:ascii="宋体" w:hAnsi="宋体"/>
          <w:color w:val="auto"/>
          <w:sz w:val="24"/>
          <w:highlight w:val="none"/>
        </w:rPr>
        <w:t>鉴证方（招标方）：</w:t>
      </w:r>
    </w:p>
    <w:p w14:paraId="3B079863">
      <w:pPr>
        <w:spacing w:line="420" w:lineRule="exact"/>
        <w:rPr>
          <w:rFonts w:ascii="宋体" w:hAnsi="宋体"/>
          <w:b/>
          <w:color w:val="auto"/>
          <w:sz w:val="24"/>
          <w:highlight w:val="none"/>
        </w:rPr>
      </w:pPr>
      <w:r>
        <w:rPr>
          <w:rFonts w:hint="eastAsia" w:ascii="宋体" w:hAnsi="宋体"/>
          <w:b/>
          <w:color w:val="auto"/>
          <w:sz w:val="24"/>
          <w:highlight w:val="none"/>
        </w:rPr>
        <w:t xml:space="preserve">   </w:t>
      </w:r>
      <w:r>
        <w:rPr>
          <w:rFonts w:hint="eastAsia" w:ascii="宋体" w:hAnsi="宋体"/>
          <w:color w:val="auto"/>
          <w:sz w:val="24"/>
          <w:highlight w:val="none"/>
        </w:rPr>
        <w:t>甲、乙双方根据</w:t>
      </w:r>
      <w:r>
        <w:rPr>
          <w:rFonts w:hint="eastAsia"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hint="eastAsia" w:ascii="宋体" w:hAnsi="宋体"/>
          <w:color w:val="auto"/>
          <w:sz w:val="24"/>
          <w:highlight w:val="none"/>
        </w:rPr>
        <w:t>日东阳市鑫盛工程咨询有限公司关于</w:t>
      </w:r>
      <w:r>
        <w:rPr>
          <w:rFonts w:hint="eastAsia" w:ascii="宋体" w:hAnsi="宋体"/>
          <w:color w:val="auto"/>
          <w:sz w:val="24"/>
          <w:highlight w:val="none"/>
          <w:u w:val="single"/>
        </w:rPr>
        <w:t xml:space="preserve">        </w:t>
      </w:r>
      <w:r>
        <w:rPr>
          <w:rFonts w:hint="eastAsia" w:ascii="宋体" w:hAnsi="宋体"/>
          <w:color w:val="auto"/>
          <w:sz w:val="24"/>
          <w:highlight w:val="none"/>
        </w:rPr>
        <w:t>项目公开招标的结果，签署本合同。</w:t>
      </w:r>
    </w:p>
    <w:p w14:paraId="1ECE150C">
      <w:pPr>
        <w:spacing w:line="420" w:lineRule="exact"/>
        <w:rPr>
          <w:rFonts w:ascii="宋体" w:hAnsi="宋体"/>
          <w:b/>
          <w:color w:val="auto"/>
          <w:sz w:val="24"/>
          <w:highlight w:val="none"/>
        </w:rPr>
      </w:pPr>
      <w:r>
        <w:rPr>
          <w:rFonts w:hint="eastAsia" w:ascii="宋体" w:hAnsi="宋体"/>
          <w:b/>
          <w:color w:val="auto"/>
          <w:sz w:val="24"/>
          <w:highlight w:val="none"/>
        </w:rPr>
        <w:t>一、货物内容</w:t>
      </w:r>
    </w:p>
    <w:p w14:paraId="70DECF70">
      <w:pPr>
        <w:spacing w:line="420" w:lineRule="exact"/>
        <w:rPr>
          <w:rFonts w:ascii="宋体" w:hAnsi="宋体"/>
          <w:color w:val="auto"/>
          <w:sz w:val="24"/>
          <w:highlight w:val="none"/>
        </w:rPr>
      </w:pPr>
      <w:r>
        <w:rPr>
          <w:rFonts w:hint="eastAsia" w:ascii="宋体" w:hAnsi="宋体"/>
          <w:color w:val="auto"/>
          <w:sz w:val="24"/>
          <w:highlight w:val="none"/>
        </w:rPr>
        <w:t>1. 货物名称：</w:t>
      </w:r>
    </w:p>
    <w:p w14:paraId="0387C4DC">
      <w:pPr>
        <w:spacing w:line="420" w:lineRule="exact"/>
        <w:rPr>
          <w:rFonts w:ascii="宋体" w:hAnsi="宋体"/>
          <w:color w:val="auto"/>
          <w:sz w:val="24"/>
          <w:highlight w:val="none"/>
        </w:rPr>
      </w:pPr>
      <w:r>
        <w:rPr>
          <w:rFonts w:hint="eastAsia" w:ascii="宋体" w:hAnsi="宋体"/>
          <w:color w:val="auto"/>
          <w:sz w:val="24"/>
          <w:highlight w:val="none"/>
        </w:rPr>
        <w:t>2. 型号规格：</w:t>
      </w:r>
    </w:p>
    <w:p w14:paraId="1C53754A">
      <w:pPr>
        <w:spacing w:line="420" w:lineRule="exact"/>
        <w:rPr>
          <w:rFonts w:ascii="宋体" w:hAnsi="宋体"/>
          <w:color w:val="auto"/>
          <w:sz w:val="24"/>
          <w:highlight w:val="none"/>
        </w:rPr>
      </w:pPr>
      <w:r>
        <w:rPr>
          <w:rFonts w:hint="eastAsia" w:ascii="宋体" w:hAnsi="宋体"/>
          <w:color w:val="auto"/>
          <w:sz w:val="24"/>
          <w:highlight w:val="none"/>
        </w:rPr>
        <w:t>3. 技术参数：</w:t>
      </w:r>
    </w:p>
    <w:p w14:paraId="00E94ADF">
      <w:pPr>
        <w:spacing w:line="420" w:lineRule="exact"/>
        <w:rPr>
          <w:rFonts w:ascii="宋体" w:hAnsi="宋体"/>
          <w:color w:val="auto"/>
          <w:sz w:val="24"/>
          <w:highlight w:val="none"/>
        </w:rPr>
      </w:pPr>
      <w:r>
        <w:rPr>
          <w:rFonts w:hint="eastAsia" w:ascii="宋体" w:hAnsi="宋体"/>
          <w:color w:val="auto"/>
          <w:sz w:val="24"/>
          <w:highlight w:val="none"/>
        </w:rPr>
        <w:t>4. 数量（单位）：</w:t>
      </w:r>
    </w:p>
    <w:p w14:paraId="02B384D5">
      <w:pPr>
        <w:spacing w:line="420" w:lineRule="exact"/>
        <w:rPr>
          <w:rFonts w:ascii="宋体" w:hAnsi="宋体"/>
          <w:b/>
          <w:color w:val="auto"/>
          <w:sz w:val="24"/>
          <w:highlight w:val="none"/>
        </w:rPr>
      </w:pPr>
      <w:r>
        <w:rPr>
          <w:rFonts w:hint="eastAsia" w:ascii="宋体" w:hAnsi="宋体"/>
          <w:b/>
          <w:color w:val="auto"/>
          <w:sz w:val="24"/>
          <w:highlight w:val="none"/>
        </w:rPr>
        <w:t>二、合同金额</w:t>
      </w:r>
    </w:p>
    <w:p w14:paraId="487B2CA6">
      <w:pPr>
        <w:spacing w:line="420" w:lineRule="exact"/>
        <w:rPr>
          <w:rFonts w:ascii="宋体" w:hAnsi="宋体"/>
          <w:color w:val="auto"/>
          <w:sz w:val="24"/>
          <w:highlight w:val="none"/>
        </w:rPr>
      </w:pPr>
      <w:r>
        <w:rPr>
          <w:rFonts w:hint="eastAsia" w:ascii="宋体" w:hAnsi="宋体"/>
          <w:color w:val="auto"/>
          <w:sz w:val="24"/>
          <w:highlight w:val="none"/>
        </w:rPr>
        <w:t xml:space="preserve"> 本合同金额为（大写）：_______________元（￥_______________元）人民币。</w:t>
      </w:r>
    </w:p>
    <w:p w14:paraId="3374D986">
      <w:pPr>
        <w:spacing w:line="420" w:lineRule="exact"/>
        <w:rPr>
          <w:rFonts w:ascii="宋体" w:hAnsi="宋体"/>
          <w:b/>
          <w:color w:val="auto"/>
          <w:sz w:val="24"/>
          <w:highlight w:val="none"/>
        </w:rPr>
      </w:pPr>
      <w:r>
        <w:rPr>
          <w:rFonts w:hint="eastAsia" w:ascii="宋体" w:hAnsi="宋体"/>
          <w:b/>
          <w:color w:val="auto"/>
          <w:sz w:val="24"/>
          <w:highlight w:val="none"/>
        </w:rPr>
        <w:t>三、技术资料</w:t>
      </w:r>
    </w:p>
    <w:p w14:paraId="37636BA6">
      <w:pPr>
        <w:spacing w:line="420" w:lineRule="exact"/>
        <w:rPr>
          <w:rFonts w:ascii="宋体" w:hAnsi="宋体"/>
          <w:color w:val="auto"/>
          <w:sz w:val="24"/>
          <w:highlight w:val="none"/>
        </w:rPr>
      </w:pPr>
      <w:r>
        <w:rPr>
          <w:rFonts w:hint="eastAsia" w:ascii="宋体" w:hAnsi="宋体"/>
          <w:color w:val="auto"/>
          <w:sz w:val="24"/>
          <w:highlight w:val="none"/>
        </w:rPr>
        <w:t>1.乙方应按招标文件规定的时间向甲方提供使用货物的有关技术资料。</w:t>
      </w:r>
    </w:p>
    <w:p w14:paraId="7C163B5D">
      <w:pPr>
        <w:spacing w:line="420" w:lineRule="exact"/>
        <w:rPr>
          <w:rFonts w:ascii="宋体" w:hAnsi="宋体"/>
          <w:color w:val="auto"/>
          <w:sz w:val="24"/>
          <w:highlight w:val="none"/>
        </w:rPr>
      </w:pPr>
      <w:r>
        <w:rPr>
          <w:rFonts w:hint="eastAsia" w:ascii="宋体" w:hAnsi="宋体"/>
          <w:color w:val="auto"/>
          <w:sz w:val="24"/>
          <w:highlight w:val="none"/>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3FC14D8">
      <w:pPr>
        <w:spacing w:line="420" w:lineRule="exact"/>
        <w:rPr>
          <w:rFonts w:ascii="宋体" w:hAnsi="宋体"/>
          <w:b/>
          <w:color w:val="auto"/>
          <w:sz w:val="24"/>
          <w:highlight w:val="none"/>
        </w:rPr>
      </w:pPr>
      <w:r>
        <w:rPr>
          <w:rFonts w:hint="eastAsia" w:ascii="宋体" w:hAnsi="宋体"/>
          <w:b/>
          <w:color w:val="auto"/>
          <w:sz w:val="24"/>
          <w:highlight w:val="none"/>
        </w:rPr>
        <w:t>四、知识产权</w:t>
      </w:r>
    </w:p>
    <w:p w14:paraId="1744891F">
      <w:pPr>
        <w:spacing w:line="420" w:lineRule="exact"/>
        <w:rPr>
          <w:rFonts w:ascii="宋体" w:hAnsi="宋体"/>
          <w:b/>
          <w:color w:val="auto"/>
          <w:sz w:val="24"/>
          <w:highlight w:val="none"/>
        </w:rPr>
      </w:pPr>
      <w:r>
        <w:rPr>
          <w:rFonts w:hint="eastAsia" w:ascii="宋体" w:hAnsi="宋体"/>
          <w:color w:val="auto"/>
          <w:sz w:val="24"/>
          <w:highlight w:val="none"/>
        </w:rPr>
        <w:t>乙方应保证所提供的货物或其任何一部分均不会侵犯任何第三方的知识产权</w:t>
      </w:r>
      <w:r>
        <w:rPr>
          <w:rFonts w:hint="eastAsia" w:ascii="宋体" w:hAnsi="宋体"/>
          <w:bCs/>
          <w:color w:val="auto"/>
          <w:sz w:val="24"/>
          <w:highlight w:val="none"/>
        </w:rPr>
        <w:t>。</w:t>
      </w:r>
    </w:p>
    <w:p w14:paraId="5AC3ABFD">
      <w:pPr>
        <w:numPr>
          <w:ilvl w:val="0"/>
          <w:numId w:val="6"/>
        </w:numPr>
        <w:spacing w:line="420" w:lineRule="exact"/>
        <w:ind w:left="0" w:leftChars="0" w:firstLine="0" w:firstLineChars="0"/>
        <w:rPr>
          <w:rFonts w:hint="eastAsia" w:ascii="宋体" w:hAnsi="宋体"/>
          <w:b/>
          <w:color w:val="auto"/>
          <w:sz w:val="24"/>
          <w:highlight w:val="none"/>
          <w:lang w:val="en-US" w:eastAsia="zh-CN"/>
        </w:rPr>
      </w:pPr>
      <w:r>
        <w:rPr>
          <w:rFonts w:hint="eastAsia" w:ascii="宋体" w:hAnsi="宋体"/>
          <w:b/>
          <w:color w:val="auto"/>
          <w:sz w:val="24"/>
          <w:highlight w:val="none"/>
        </w:rPr>
        <w:t>履约保证金</w:t>
      </w:r>
    </w:p>
    <w:p w14:paraId="5EDCA0F4">
      <w:pPr>
        <w:numPr>
          <w:ilvl w:val="0"/>
          <w:numId w:val="6"/>
        </w:numPr>
        <w:spacing w:line="420" w:lineRule="exact"/>
        <w:ind w:left="0" w:leftChars="0" w:firstLine="0" w:firstLineChars="0"/>
        <w:rPr>
          <w:rFonts w:hint="eastAsia" w:ascii="宋体" w:hAnsi="宋体" w:eastAsia="宋体" w:cs="Times New Roman"/>
          <w:b/>
          <w:color w:val="auto"/>
          <w:sz w:val="24"/>
          <w:highlight w:val="none"/>
        </w:rPr>
      </w:pPr>
      <w:r>
        <w:rPr>
          <w:rFonts w:hint="eastAsia" w:ascii="宋体" w:hAnsi="宋体" w:eastAsia="宋体" w:cs="Times New Roman"/>
          <w:b/>
          <w:color w:val="auto"/>
          <w:sz w:val="24"/>
          <w:highlight w:val="none"/>
        </w:rPr>
        <w:t>产权担保</w:t>
      </w:r>
    </w:p>
    <w:p w14:paraId="3858940C">
      <w:pPr>
        <w:spacing w:line="420" w:lineRule="exact"/>
        <w:rPr>
          <w:rFonts w:ascii="宋体" w:hAnsi="宋体"/>
          <w:color w:val="auto"/>
          <w:sz w:val="24"/>
          <w:highlight w:val="none"/>
          <w:u w:val="single"/>
        </w:rPr>
      </w:pPr>
      <w:r>
        <w:rPr>
          <w:rFonts w:hint="eastAsia" w:ascii="宋体" w:hAnsi="宋体"/>
          <w:color w:val="auto"/>
          <w:sz w:val="24"/>
          <w:highlight w:val="none"/>
        </w:rPr>
        <w:t>乙方保证所交付的货物的所有权完全属于乙方且无任何抵押、查封等产权瑕疵。</w:t>
      </w:r>
    </w:p>
    <w:p w14:paraId="1D75BA6A">
      <w:pPr>
        <w:spacing w:line="420" w:lineRule="exact"/>
        <w:rPr>
          <w:rFonts w:ascii="宋体" w:hAnsi="宋体"/>
          <w:b/>
          <w:color w:val="auto"/>
          <w:sz w:val="24"/>
          <w:highlight w:val="none"/>
        </w:rPr>
      </w:pPr>
      <w:r>
        <w:rPr>
          <w:rFonts w:hint="eastAsia" w:ascii="宋体" w:hAnsi="宋体"/>
          <w:b/>
          <w:color w:val="auto"/>
          <w:sz w:val="24"/>
          <w:highlight w:val="none"/>
        </w:rPr>
        <w:t>七、转包</w:t>
      </w:r>
    </w:p>
    <w:p w14:paraId="53C13CD8">
      <w:pPr>
        <w:spacing w:line="420" w:lineRule="exact"/>
        <w:rPr>
          <w:rFonts w:ascii="宋体" w:hAnsi="宋体"/>
          <w:color w:val="auto"/>
          <w:sz w:val="24"/>
          <w:highlight w:val="none"/>
        </w:rPr>
      </w:pPr>
      <w:r>
        <w:rPr>
          <w:rFonts w:hint="eastAsia" w:ascii="宋体" w:hAnsi="宋体"/>
          <w:color w:val="auto"/>
          <w:sz w:val="24"/>
          <w:highlight w:val="none"/>
        </w:rPr>
        <w:t>1.本合同范围的货物，应由乙方直接供应，不得转包他人供应；</w:t>
      </w:r>
    </w:p>
    <w:p w14:paraId="5C96D9AC">
      <w:pPr>
        <w:spacing w:line="420" w:lineRule="exact"/>
        <w:rPr>
          <w:rFonts w:ascii="宋体" w:hAnsi="宋体"/>
          <w:color w:val="auto"/>
          <w:sz w:val="24"/>
          <w:highlight w:val="none"/>
        </w:rPr>
      </w:pPr>
      <w:r>
        <w:rPr>
          <w:rFonts w:hint="eastAsia" w:ascii="宋体" w:hAnsi="宋体"/>
          <w:color w:val="auto"/>
          <w:sz w:val="24"/>
          <w:highlight w:val="none"/>
        </w:rPr>
        <w:t>2.乙方如有转包行为，甲方有权解除合同，并追究乙方的违约责任。</w:t>
      </w:r>
    </w:p>
    <w:p w14:paraId="0E92FD01">
      <w:pPr>
        <w:spacing w:line="420" w:lineRule="exact"/>
        <w:rPr>
          <w:rFonts w:ascii="宋体" w:hAnsi="宋体"/>
          <w:color w:val="auto"/>
          <w:sz w:val="24"/>
          <w:highlight w:val="none"/>
        </w:rPr>
      </w:pPr>
      <w:r>
        <w:rPr>
          <w:rFonts w:hint="eastAsia" w:ascii="宋体" w:hAnsi="宋体"/>
          <w:b/>
          <w:color w:val="auto"/>
          <w:sz w:val="24"/>
          <w:highlight w:val="none"/>
        </w:rPr>
        <w:t>八、质保期</w:t>
      </w:r>
    </w:p>
    <w:p w14:paraId="7EF171D8">
      <w:pPr>
        <w:spacing w:line="420" w:lineRule="exact"/>
        <w:rPr>
          <w:rFonts w:ascii="宋体" w:hAnsi="宋体"/>
          <w:color w:val="auto"/>
          <w:sz w:val="24"/>
          <w:highlight w:val="none"/>
        </w:rPr>
      </w:pPr>
      <w:r>
        <w:rPr>
          <w:rFonts w:hint="eastAsia" w:ascii="宋体" w:hAnsi="宋体"/>
          <w:color w:val="auto"/>
          <w:sz w:val="24"/>
          <w:highlight w:val="none"/>
        </w:rPr>
        <w:t xml:space="preserve"> 质保期</w:t>
      </w:r>
      <w:r>
        <w:rPr>
          <w:rFonts w:hint="eastAsia" w:ascii="宋体" w:hAnsi="宋体"/>
          <w:color w:val="auto"/>
          <w:sz w:val="24"/>
          <w:highlight w:val="none"/>
          <w:u w:val="single"/>
        </w:rPr>
        <w:t xml:space="preserve">      </w:t>
      </w:r>
      <w:r>
        <w:rPr>
          <w:rFonts w:hint="eastAsia" w:ascii="宋体" w:hAnsi="宋体"/>
          <w:color w:val="auto"/>
          <w:sz w:val="24"/>
          <w:highlight w:val="none"/>
        </w:rPr>
        <w:t>年。（自交货验收合格之日起计）</w:t>
      </w:r>
    </w:p>
    <w:p w14:paraId="32105D5A">
      <w:pPr>
        <w:spacing w:line="420" w:lineRule="exact"/>
        <w:rPr>
          <w:rFonts w:ascii="宋体" w:hAnsi="宋体"/>
          <w:b/>
          <w:color w:val="auto"/>
          <w:sz w:val="24"/>
          <w:highlight w:val="none"/>
        </w:rPr>
      </w:pPr>
      <w:r>
        <w:rPr>
          <w:rFonts w:hint="eastAsia" w:ascii="宋体" w:hAnsi="宋体"/>
          <w:b/>
          <w:color w:val="auto"/>
          <w:sz w:val="24"/>
          <w:highlight w:val="none"/>
        </w:rPr>
        <w:t>九、交货期、交货地点</w:t>
      </w:r>
    </w:p>
    <w:p w14:paraId="15E9E93A">
      <w:pPr>
        <w:spacing w:line="420" w:lineRule="exact"/>
        <w:rPr>
          <w:rFonts w:ascii="宋体" w:hAnsi="宋体"/>
          <w:bCs/>
          <w:color w:val="auto"/>
          <w:sz w:val="24"/>
          <w:highlight w:val="none"/>
          <w:u w:val="single"/>
        </w:rPr>
      </w:pPr>
      <w:r>
        <w:rPr>
          <w:rFonts w:hint="eastAsia" w:ascii="宋体" w:hAnsi="宋体"/>
          <w:bCs/>
          <w:color w:val="auto"/>
          <w:sz w:val="24"/>
          <w:highlight w:val="none"/>
        </w:rPr>
        <w:t>1.交货期：</w:t>
      </w:r>
      <w:r>
        <w:rPr>
          <w:rFonts w:hint="eastAsia" w:ascii="宋体" w:hAnsi="宋体"/>
          <w:bCs/>
          <w:color w:val="auto"/>
          <w:sz w:val="24"/>
          <w:highlight w:val="none"/>
          <w:u w:val="single"/>
        </w:rPr>
        <w:t xml:space="preserve">                 </w:t>
      </w:r>
    </w:p>
    <w:p w14:paraId="62594F7B">
      <w:pPr>
        <w:spacing w:line="420" w:lineRule="exact"/>
        <w:rPr>
          <w:rFonts w:ascii="宋体" w:hAnsi="宋体"/>
          <w:b/>
          <w:color w:val="auto"/>
          <w:sz w:val="24"/>
          <w:highlight w:val="none"/>
          <w:u w:val="single"/>
        </w:rPr>
      </w:pPr>
      <w:r>
        <w:rPr>
          <w:rFonts w:hint="eastAsia" w:ascii="宋体" w:hAnsi="宋体"/>
          <w:bCs/>
          <w:color w:val="auto"/>
          <w:sz w:val="24"/>
          <w:highlight w:val="none"/>
        </w:rPr>
        <w:t>2.交货地点：</w:t>
      </w:r>
      <w:r>
        <w:rPr>
          <w:rFonts w:hint="eastAsia" w:ascii="宋体" w:hAnsi="宋体"/>
          <w:bCs/>
          <w:color w:val="auto"/>
          <w:sz w:val="24"/>
          <w:highlight w:val="none"/>
          <w:u w:val="single"/>
        </w:rPr>
        <w:t xml:space="preserve">                </w:t>
      </w:r>
    </w:p>
    <w:p w14:paraId="7C730EAC">
      <w:pPr>
        <w:spacing w:line="420" w:lineRule="exact"/>
        <w:rPr>
          <w:rFonts w:hint="eastAsia" w:eastAsia="宋体"/>
          <w:color w:val="auto"/>
          <w:highlight w:val="none"/>
          <w:lang w:eastAsia="zh-CN"/>
        </w:rPr>
      </w:pPr>
      <w:r>
        <w:rPr>
          <w:rFonts w:hint="eastAsia" w:ascii="宋体" w:hAnsi="宋体"/>
          <w:b/>
          <w:color w:val="auto"/>
          <w:sz w:val="24"/>
          <w:highlight w:val="none"/>
        </w:rPr>
        <w:t>十、</w:t>
      </w:r>
      <w:r>
        <w:rPr>
          <w:rFonts w:hint="eastAsia" w:ascii="宋体" w:hAnsi="宋体"/>
          <w:b/>
          <w:bCs/>
          <w:color w:val="auto"/>
          <w:sz w:val="24"/>
          <w:highlight w:val="none"/>
        </w:rPr>
        <w:t>付款方式</w:t>
      </w:r>
      <w:r>
        <w:rPr>
          <w:rFonts w:hint="eastAsia" w:ascii="宋体" w:hAnsi="宋体"/>
          <w:b/>
          <w:bCs/>
          <w:color w:val="auto"/>
          <w:sz w:val="24"/>
          <w:highlight w:val="none"/>
          <w:lang w:eastAsia="zh-CN"/>
        </w:rPr>
        <w:t>：</w:t>
      </w:r>
    </w:p>
    <w:p w14:paraId="57840223">
      <w:pPr>
        <w:spacing w:line="420" w:lineRule="exact"/>
        <w:rPr>
          <w:rFonts w:ascii="宋体" w:hAnsi="宋体"/>
          <w:b/>
          <w:color w:val="auto"/>
          <w:sz w:val="24"/>
          <w:szCs w:val="20"/>
          <w:highlight w:val="none"/>
        </w:rPr>
      </w:pPr>
      <w:r>
        <w:rPr>
          <w:rFonts w:hint="eastAsia" w:ascii="宋体" w:hAnsi="宋体"/>
          <w:b/>
          <w:color w:val="auto"/>
          <w:sz w:val="24"/>
          <w:highlight w:val="none"/>
        </w:rPr>
        <w:t>十一、税费</w:t>
      </w:r>
    </w:p>
    <w:p w14:paraId="7D6C43B8">
      <w:pPr>
        <w:spacing w:line="420" w:lineRule="exact"/>
        <w:rPr>
          <w:rFonts w:ascii="宋体" w:hAnsi="宋体"/>
          <w:color w:val="auto"/>
          <w:sz w:val="24"/>
          <w:szCs w:val="20"/>
          <w:highlight w:val="none"/>
        </w:rPr>
      </w:pPr>
      <w:r>
        <w:rPr>
          <w:rFonts w:hint="eastAsia" w:ascii="宋体" w:hAnsi="宋体"/>
          <w:color w:val="auto"/>
          <w:sz w:val="24"/>
          <w:highlight w:val="none"/>
        </w:rPr>
        <w:t>本合同执行中相关的一切税费均由乙方负担。</w:t>
      </w:r>
    </w:p>
    <w:p w14:paraId="4F055FA9">
      <w:pPr>
        <w:spacing w:line="420" w:lineRule="exact"/>
        <w:rPr>
          <w:rFonts w:ascii="宋体" w:hAnsi="宋体"/>
          <w:color w:val="auto"/>
          <w:sz w:val="24"/>
          <w:highlight w:val="none"/>
        </w:rPr>
      </w:pPr>
      <w:r>
        <w:rPr>
          <w:rFonts w:hint="eastAsia" w:ascii="宋体" w:hAnsi="宋体"/>
          <w:b/>
          <w:color w:val="auto"/>
          <w:sz w:val="24"/>
          <w:highlight w:val="none"/>
        </w:rPr>
        <w:t>十二、质量保证及售后服务</w:t>
      </w:r>
    </w:p>
    <w:p w14:paraId="096A54BD">
      <w:pPr>
        <w:spacing w:line="420" w:lineRule="exact"/>
        <w:rPr>
          <w:rFonts w:ascii="宋体" w:hAnsi="宋体"/>
          <w:color w:val="auto"/>
          <w:sz w:val="24"/>
          <w:highlight w:val="none"/>
        </w:rPr>
      </w:pPr>
      <w:r>
        <w:rPr>
          <w:rFonts w:hint="eastAsia" w:ascii="宋体" w:hAnsi="宋体"/>
          <w:color w:val="auto"/>
          <w:sz w:val="24"/>
          <w:highlight w:val="none"/>
        </w:rPr>
        <w:t>1. 乙方应按招标文件规定的货物性能、技术要求、质量标准向甲方提供未经使用的全新产品。</w:t>
      </w:r>
    </w:p>
    <w:p w14:paraId="045EF5E6">
      <w:pPr>
        <w:spacing w:line="420" w:lineRule="exact"/>
        <w:rPr>
          <w:rFonts w:ascii="宋体" w:hAnsi="宋体"/>
          <w:color w:val="auto"/>
          <w:sz w:val="24"/>
          <w:highlight w:val="none"/>
        </w:rPr>
      </w:pPr>
      <w:r>
        <w:rPr>
          <w:rFonts w:hint="eastAsia" w:ascii="宋体" w:hAnsi="宋体"/>
          <w:color w:val="auto"/>
          <w:sz w:val="24"/>
          <w:highlight w:val="none"/>
        </w:rPr>
        <w:t>2. 乙方提供的货物在质保期内因货物本身的质量问题发生故障，乙方应负责免费更换。对达不到技术要求者，根据实际情况，经双方协商，可按以下办法处理：</w:t>
      </w:r>
    </w:p>
    <w:p w14:paraId="58956836">
      <w:pPr>
        <w:spacing w:line="420" w:lineRule="exact"/>
        <w:rPr>
          <w:rFonts w:ascii="宋体" w:hAnsi="宋体"/>
          <w:color w:val="auto"/>
          <w:sz w:val="24"/>
          <w:highlight w:val="none"/>
        </w:rPr>
      </w:pPr>
      <w:r>
        <w:rPr>
          <w:rFonts w:hint="eastAsia" w:ascii="宋体" w:hAnsi="宋体"/>
          <w:color w:val="auto"/>
          <w:sz w:val="24"/>
          <w:highlight w:val="none"/>
        </w:rPr>
        <w:t>⑴更换：由乙方承担所发生的全部费用。</w:t>
      </w:r>
    </w:p>
    <w:p w14:paraId="1B50BE9A">
      <w:pPr>
        <w:spacing w:line="420" w:lineRule="exact"/>
        <w:rPr>
          <w:rFonts w:ascii="宋体" w:hAnsi="宋体"/>
          <w:color w:val="auto"/>
          <w:sz w:val="24"/>
          <w:highlight w:val="none"/>
        </w:rPr>
      </w:pPr>
      <w:r>
        <w:rPr>
          <w:rFonts w:hint="eastAsia" w:ascii="宋体" w:hAnsi="宋体"/>
          <w:color w:val="auto"/>
          <w:sz w:val="24"/>
          <w:highlight w:val="none"/>
        </w:rPr>
        <w:t>⑵贬值处理：由甲乙双方合议定价。</w:t>
      </w:r>
    </w:p>
    <w:p w14:paraId="0CA9DEF6">
      <w:pPr>
        <w:spacing w:line="420" w:lineRule="exact"/>
        <w:rPr>
          <w:rFonts w:ascii="宋体" w:hAnsi="宋体"/>
          <w:color w:val="auto"/>
          <w:sz w:val="24"/>
          <w:highlight w:val="none"/>
        </w:rPr>
      </w:pPr>
      <w:r>
        <w:rPr>
          <w:rFonts w:hint="eastAsia" w:ascii="宋体" w:hAnsi="宋体"/>
          <w:color w:val="auto"/>
          <w:sz w:val="24"/>
          <w:highlight w:val="none"/>
        </w:rPr>
        <w:t>⑶退货处理：乙方应退还甲方支付的合同款，同时应承担该货物的直接费用（运输、保险、检验、货款利息及银行手续费等）。</w:t>
      </w:r>
    </w:p>
    <w:p w14:paraId="1EB56E3B">
      <w:pPr>
        <w:spacing w:line="420" w:lineRule="exact"/>
        <w:rPr>
          <w:rFonts w:ascii="宋体" w:hAnsi="宋体"/>
          <w:color w:val="auto"/>
          <w:sz w:val="24"/>
          <w:highlight w:val="none"/>
        </w:rPr>
      </w:pPr>
      <w:r>
        <w:rPr>
          <w:rFonts w:hint="eastAsia" w:ascii="宋体" w:hAnsi="宋体"/>
          <w:color w:val="auto"/>
          <w:sz w:val="24"/>
          <w:highlight w:val="none"/>
        </w:rPr>
        <w:t>3. 如在使用过程中发生质量问题，乙方在接到甲方通知后在</w:t>
      </w:r>
      <w:r>
        <w:rPr>
          <w:rFonts w:hint="eastAsia" w:ascii="宋体" w:hAnsi="宋体"/>
          <w:color w:val="auto"/>
          <w:sz w:val="24"/>
          <w:highlight w:val="none"/>
          <w:u w:val="single"/>
        </w:rPr>
        <w:t xml:space="preserve">    </w:t>
      </w:r>
      <w:r>
        <w:rPr>
          <w:rFonts w:hint="eastAsia" w:ascii="宋体" w:hAnsi="宋体"/>
          <w:color w:val="auto"/>
          <w:sz w:val="24"/>
          <w:highlight w:val="none"/>
        </w:rPr>
        <w:t>小时内到达甲方现场。</w:t>
      </w:r>
    </w:p>
    <w:p w14:paraId="5B18C8B6">
      <w:pPr>
        <w:spacing w:line="420" w:lineRule="exact"/>
        <w:rPr>
          <w:rFonts w:ascii="宋体" w:hAnsi="宋体"/>
          <w:color w:val="auto"/>
          <w:sz w:val="24"/>
          <w:highlight w:val="none"/>
        </w:rPr>
      </w:pPr>
      <w:r>
        <w:rPr>
          <w:rFonts w:hint="eastAsia" w:ascii="宋体" w:hAnsi="宋体"/>
          <w:color w:val="auto"/>
          <w:sz w:val="24"/>
          <w:highlight w:val="none"/>
        </w:rPr>
        <w:t>4. 在质保期内，乙方应对货物出现的质量及安全问题负责处理解决并承担一切</w:t>
      </w:r>
    </w:p>
    <w:p w14:paraId="0D1149F2">
      <w:pPr>
        <w:spacing w:line="420" w:lineRule="exact"/>
        <w:rPr>
          <w:rFonts w:ascii="宋体" w:hAnsi="宋体"/>
          <w:color w:val="auto"/>
          <w:sz w:val="24"/>
          <w:highlight w:val="none"/>
        </w:rPr>
      </w:pPr>
      <w:r>
        <w:rPr>
          <w:rFonts w:hint="eastAsia" w:ascii="宋体" w:hAnsi="宋体"/>
          <w:color w:val="auto"/>
          <w:sz w:val="24"/>
          <w:highlight w:val="none"/>
        </w:rPr>
        <w:t>费用。</w:t>
      </w:r>
    </w:p>
    <w:p w14:paraId="00363D6F">
      <w:pPr>
        <w:spacing w:line="420" w:lineRule="exact"/>
        <w:rPr>
          <w:rFonts w:ascii="宋体" w:hAnsi="宋体"/>
          <w:color w:val="auto"/>
          <w:sz w:val="24"/>
          <w:highlight w:val="none"/>
        </w:rPr>
      </w:pPr>
      <w:r>
        <w:rPr>
          <w:rFonts w:hint="eastAsia" w:ascii="宋体" w:hAnsi="宋体"/>
          <w:color w:val="auto"/>
          <w:sz w:val="24"/>
          <w:highlight w:val="none"/>
        </w:rPr>
        <w:t>5.上述的货物免费保修期为</w:t>
      </w:r>
      <w:r>
        <w:rPr>
          <w:rFonts w:hint="eastAsia" w:ascii="宋体" w:hAnsi="宋体"/>
          <w:color w:val="auto"/>
          <w:sz w:val="24"/>
          <w:highlight w:val="none"/>
          <w:u w:val="single"/>
        </w:rPr>
        <w:t xml:space="preserve">     </w:t>
      </w:r>
      <w:r>
        <w:rPr>
          <w:rFonts w:hint="eastAsia" w:ascii="宋体" w:hAnsi="宋体"/>
          <w:color w:val="auto"/>
          <w:sz w:val="24"/>
          <w:highlight w:val="none"/>
        </w:rPr>
        <w:t>年，因人为因素出现的故障不在免费保修范围内。超过保修期的机器货物，终生维修，维修时只收部件成本费。</w:t>
      </w:r>
    </w:p>
    <w:p w14:paraId="0E734A77">
      <w:pPr>
        <w:spacing w:line="420" w:lineRule="exact"/>
        <w:rPr>
          <w:rFonts w:ascii="宋体" w:hAnsi="宋体"/>
          <w:b/>
          <w:color w:val="auto"/>
          <w:sz w:val="24"/>
          <w:highlight w:val="none"/>
        </w:rPr>
      </w:pPr>
      <w:r>
        <w:rPr>
          <w:rFonts w:hint="eastAsia" w:ascii="宋体" w:hAnsi="宋体"/>
          <w:b/>
          <w:color w:val="auto"/>
          <w:sz w:val="24"/>
          <w:highlight w:val="none"/>
        </w:rPr>
        <w:t>十三、调试和验收</w:t>
      </w:r>
    </w:p>
    <w:p w14:paraId="36A59CFD">
      <w:pPr>
        <w:spacing w:line="420" w:lineRule="exact"/>
        <w:rPr>
          <w:rFonts w:ascii="宋体" w:hAnsi="宋体"/>
          <w:color w:val="auto"/>
          <w:sz w:val="24"/>
          <w:highlight w:val="none"/>
        </w:rPr>
      </w:pPr>
      <w:r>
        <w:rPr>
          <w:rFonts w:hint="eastAsia" w:ascii="宋体" w:hAnsi="宋体"/>
          <w:color w:val="auto"/>
          <w:sz w:val="24"/>
          <w:highlight w:val="none"/>
        </w:rPr>
        <w:t>1. 甲方对乙方提交的货物依据招标文件上的技术规格要求和国家有关质量标准进行现场初步验收，外观、说明书符合招标文件技术要求的，给予签收，初步验收不合格的不予签收。货到后，甲方需在五个工作日内验收。</w:t>
      </w:r>
    </w:p>
    <w:p w14:paraId="584E3CA9">
      <w:pPr>
        <w:spacing w:line="420" w:lineRule="exact"/>
        <w:rPr>
          <w:rFonts w:ascii="宋体" w:hAnsi="宋体"/>
          <w:color w:val="auto"/>
          <w:sz w:val="24"/>
          <w:highlight w:val="none"/>
        </w:rPr>
      </w:pPr>
      <w:r>
        <w:rPr>
          <w:rFonts w:hint="eastAsia" w:ascii="宋体" w:hAnsi="宋体"/>
          <w:color w:val="auto"/>
          <w:sz w:val="24"/>
          <w:highlight w:val="none"/>
        </w:rPr>
        <w:t>2. 乙方交货前应对产品作出全面检查和对验收文件进行整理，并列出清单，作为甲方收货验收和使用的技术条件依据，检验的结果应随货物交甲方。</w:t>
      </w:r>
    </w:p>
    <w:p w14:paraId="7A1EACA2">
      <w:pPr>
        <w:spacing w:line="420" w:lineRule="exact"/>
        <w:rPr>
          <w:rFonts w:ascii="宋体" w:hAnsi="宋体"/>
          <w:color w:val="auto"/>
          <w:sz w:val="24"/>
          <w:highlight w:val="none"/>
          <w:u w:val="single"/>
        </w:rPr>
      </w:pPr>
      <w:r>
        <w:rPr>
          <w:rFonts w:hint="eastAsia" w:ascii="宋体" w:hAnsi="宋体"/>
          <w:color w:val="auto"/>
          <w:sz w:val="24"/>
          <w:highlight w:val="none"/>
        </w:rPr>
        <w:t>3. 甲方对乙方提供的货物在使用前进行调试时，乙方需负责安装并培训甲方的使用操作人员，并协助甲方一起调试，直到符合技术要求，甲方才做最终验收。</w:t>
      </w:r>
    </w:p>
    <w:p w14:paraId="2E886127">
      <w:pPr>
        <w:spacing w:line="420" w:lineRule="exact"/>
        <w:rPr>
          <w:rFonts w:ascii="宋体" w:hAnsi="宋体"/>
          <w:color w:val="auto"/>
          <w:sz w:val="24"/>
          <w:highlight w:val="none"/>
        </w:rPr>
      </w:pPr>
      <w:r>
        <w:rPr>
          <w:rFonts w:hint="eastAsia" w:ascii="宋体" w:hAnsi="宋体"/>
          <w:color w:val="auto"/>
          <w:sz w:val="24"/>
          <w:highlight w:val="none"/>
        </w:rPr>
        <w:t>4. 对技术复杂的货物，甲方应请国家认可的专业检测机构参与初步验收及最终验收，并由其出具质量检测报告。</w:t>
      </w:r>
    </w:p>
    <w:p w14:paraId="5991ABCC">
      <w:pPr>
        <w:spacing w:line="420" w:lineRule="exact"/>
        <w:rPr>
          <w:rFonts w:ascii="宋体" w:hAnsi="宋体"/>
          <w:color w:val="auto"/>
          <w:sz w:val="24"/>
          <w:highlight w:val="none"/>
        </w:rPr>
      </w:pPr>
      <w:r>
        <w:rPr>
          <w:rFonts w:hint="eastAsia" w:ascii="宋体" w:hAnsi="宋体"/>
          <w:color w:val="auto"/>
          <w:sz w:val="24"/>
          <w:highlight w:val="none"/>
        </w:rPr>
        <w:t>5. 验收时乙方必须在现场，验收完毕后作出验收结果报告；验收费用由乙方负责。</w:t>
      </w:r>
    </w:p>
    <w:p w14:paraId="76A7A219">
      <w:pPr>
        <w:spacing w:line="420" w:lineRule="exact"/>
        <w:rPr>
          <w:rFonts w:ascii="宋体" w:hAnsi="宋体"/>
          <w:b/>
          <w:color w:val="auto"/>
          <w:sz w:val="24"/>
          <w:highlight w:val="none"/>
        </w:rPr>
      </w:pPr>
      <w:r>
        <w:rPr>
          <w:rFonts w:hint="eastAsia" w:ascii="宋体" w:hAnsi="宋体"/>
          <w:b/>
          <w:color w:val="auto"/>
          <w:sz w:val="24"/>
          <w:highlight w:val="none"/>
        </w:rPr>
        <w:t>十四、货物包装、发运及运输</w:t>
      </w:r>
    </w:p>
    <w:p w14:paraId="19255321">
      <w:pPr>
        <w:spacing w:line="420" w:lineRule="exact"/>
        <w:rPr>
          <w:rFonts w:ascii="宋体" w:hAnsi="宋体"/>
          <w:color w:val="auto"/>
          <w:sz w:val="24"/>
          <w:highlight w:val="none"/>
        </w:rPr>
      </w:pPr>
      <w:r>
        <w:rPr>
          <w:rFonts w:hint="eastAsia" w:ascii="宋体" w:hAnsi="宋体"/>
          <w:color w:val="auto"/>
          <w:sz w:val="24"/>
          <w:highlight w:val="none"/>
        </w:rPr>
        <w:t>1. 乙方应在货物发运前对其进行满足运输距离、防潮、防震、防锈和防破损装卸等要求包装，以保证货物安全运达甲方指定地点。</w:t>
      </w:r>
    </w:p>
    <w:p w14:paraId="3B679E2D">
      <w:pPr>
        <w:spacing w:line="420" w:lineRule="exact"/>
        <w:rPr>
          <w:rFonts w:ascii="宋体" w:hAnsi="宋体"/>
          <w:color w:val="auto"/>
          <w:sz w:val="24"/>
          <w:highlight w:val="none"/>
        </w:rPr>
      </w:pPr>
      <w:r>
        <w:rPr>
          <w:rFonts w:hint="eastAsia" w:ascii="宋体" w:hAnsi="宋体"/>
          <w:color w:val="auto"/>
          <w:sz w:val="24"/>
          <w:highlight w:val="none"/>
        </w:rPr>
        <w:t>2. 使用说明书、质量检验证明书、随配附件和工具以及清单一并附于货物内。</w:t>
      </w:r>
    </w:p>
    <w:p w14:paraId="677F6B39">
      <w:pPr>
        <w:spacing w:line="420" w:lineRule="exact"/>
        <w:rPr>
          <w:rFonts w:ascii="宋体" w:hAnsi="宋体"/>
          <w:color w:val="auto"/>
          <w:sz w:val="24"/>
          <w:highlight w:val="none"/>
        </w:rPr>
      </w:pPr>
      <w:r>
        <w:rPr>
          <w:rFonts w:hint="eastAsia" w:ascii="宋体" w:hAnsi="宋体"/>
          <w:color w:val="auto"/>
          <w:sz w:val="24"/>
          <w:highlight w:val="none"/>
        </w:rPr>
        <w:t>3. 乙方在货物发运手续办理完毕后24小时内或货到甲方48小时前通知甲方，以准备接货。</w:t>
      </w:r>
    </w:p>
    <w:p w14:paraId="067BD854">
      <w:pPr>
        <w:spacing w:line="420" w:lineRule="exact"/>
        <w:rPr>
          <w:rFonts w:ascii="宋体" w:hAnsi="宋体"/>
          <w:color w:val="auto"/>
          <w:sz w:val="24"/>
          <w:highlight w:val="none"/>
        </w:rPr>
      </w:pPr>
      <w:r>
        <w:rPr>
          <w:rFonts w:hint="eastAsia" w:ascii="宋体" w:hAnsi="宋体"/>
          <w:color w:val="auto"/>
          <w:sz w:val="24"/>
          <w:highlight w:val="none"/>
        </w:rPr>
        <w:t>4. 货物在交付甲方前发生的风险均由乙方负责。</w:t>
      </w:r>
    </w:p>
    <w:p w14:paraId="618CC286">
      <w:pPr>
        <w:spacing w:line="420" w:lineRule="exact"/>
        <w:rPr>
          <w:rFonts w:ascii="宋体" w:hAnsi="宋体"/>
          <w:color w:val="auto"/>
          <w:sz w:val="24"/>
          <w:highlight w:val="none"/>
        </w:rPr>
      </w:pPr>
      <w:r>
        <w:rPr>
          <w:rFonts w:hint="eastAsia" w:ascii="宋体" w:hAnsi="宋体"/>
          <w:color w:val="auto"/>
          <w:sz w:val="24"/>
          <w:highlight w:val="none"/>
        </w:rPr>
        <w:t>5. 货物在规定的交付期限内由乙方送达甲方指定的地点视为交付，乙方同时需通知甲方货物已送达。</w:t>
      </w:r>
    </w:p>
    <w:p w14:paraId="5037A5C7">
      <w:pPr>
        <w:spacing w:line="420" w:lineRule="exact"/>
        <w:rPr>
          <w:rFonts w:ascii="宋体" w:hAnsi="宋体"/>
          <w:b/>
          <w:color w:val="auto"/>
          <w:sz w:val="24"/>
          <w:highlight w:val="none"/>
        </w:rPr>
      </w:pPr>
      <w:r>
        <w:rPr>
          <w:rFonts w:hint="eastAsia" w:ascii="宋体" w:hAnsi="宋体"/>
          <w:b/>
          <w:color w:val="auto"/>
          <w:sz w:val="24"/>
          <w:highlight w:val="none"/>
        </w:rPr>
        <w:t>十五、违约责任</w:t>
      </w:r>
    </w:p>
    <w:p w14:paraId="4866528D">
      <w:pPr>
        <w:spacing w:line="420" w:lineRule="exact"/>
        <w:rPr>
          <w:rFonts w:ascii="宋体" w:hAnsi="宋体"/>
          <w:color w:val="auto"/>
          <w:sz w:val="24"/>
          <w:highlight w:val="none"/>
        </w:rPr>
      </w:pPr>
      <w:r>
        <w:rPr>
          <w:rFonts w:hint="eastAsia" w:ascii="宋体" w:hAnsi="宋体"/>
          <w:color w:val="auto"/>
          <w:sz w:val="24"/>
          <w:highlight w:val="none"/>
        </w:rPr>
        <w:t>1. 甲方无正当理由拒收货物的，甲方向乙方偿付拒收货款总值的百分之五违约金。</w:t>
      </w:r>
    </w:p>
    <w:p w14:paraId="6BA8C084">
      <w:pPr>
        <w:spacing w:line="420" w:lineRule="exact"/>
        <w:rPr>
          <w:rFonts w:ascii="宋体" w:hAnsi="宋体"/>
          <w:color w:val="auto"/>
          <w:sz w:val="24"/>
          <w:highlight w:val="none"/>
        </w:rPr>
      </w:pPr>
      <w:r>
        <w:rPr>
          <w:rFonts w:hint="eastAsia" w:ascii="宋体" w:hAnsi="宋体"/>
          <w:color w:val="auto"/>
          <w:sz w:val="24"/>
          <w:highlight w:val="none"/>
        </w:rPr>
        <w:t>2. 甲方无故逾期验收和办理货款支付手续的,甲方应按逾期付款总额每日万分之五向乙方支付违约金。</w:t>
      </w:r>
    </w:p>
    <w:p w14:paraId="66BAE079">
      <w:pPr>
        <w:spacing w:line="420" w:lineRule="exact"/>
        <w:rPr>
          <w:rFonts w:ascii="宋体" w:hAnsi="宋体"/>
          <w:color w:val="auto"/>
          <w:sz w:val="24"/>
          <w:highlight w:val="none"/>
        </w:rPr>
      </w:pPr>
      <w:r>
        <w:rPr>
          <w:rFonts w:hint="eastAsia" w:ascii="宋体" w:hAnsi="宋体"/>
          <w:color w:val="auto"/>
          <w:sz w:val="24"/>
          <w:highlight w:val="none"/>
        </w:rPr>
        <w:t xml:space="preserve">3. 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14:paraId="7767E898">
      <w:pPr>
        <w:spacing w:line="420" w:lineRule="exact"/>
        <w:rPr>
          <w:rFonts w:ascii="宋体" w:hAnsi="宋体"/>
          <w:color w:val="auto"/>
          <w:sz w:val="24"/>
          <w:highlight w:val="none"/>
        </w:rPr>
      </w:pPr>
      <w:r>
        <w:rPr>
          <w:rFonts w:hint="eastAsia" w:ascii="宋体" w:hAnsi="宋体"/>
          <w:color w:val="auto"/>
          <w:sz w:val="24"/>
          <w:highlight w:val="none"/>
        </w:rPr>
        <w:t>4. 乙方所交的货物品种、型号、规格、技术参数、质量不符合合同规定及招标文件规定标准的，甲方有权拒收该货物，乙方愿意更换货物但逾期交货的，按乙方逾期交货处理。乙方拒绝更换货物的，甲方可单方面解除合同。</w:t>
      </w:r>
    </w:p>
    <w:p w14:paraId="3761BD08">
      <w:pPr>
        <w:spacing w:line="420" w:lineRule="exact"/>
        <w:rPr>
          <w:rFonts w:ascii="宋体" w:hAnsi="宋体"/>
          <w:b/>
          <w:color w:val="auto"/>
          <w:sz w:val="24"/>
          <w:highlight w:val="none"/>
        </w:rPr>
      </w:pPr>
      <w:r>
        <w:rPr>
          <w:rFonts w:hint="eastAsia" w:ascii="宋体" w:hAnsi="宋体"/>
          <w:b/>
          <w:color w:val="auto"/>
          <w:sz w:val="24"/>
          <w:highlight w:val="none"/>
        </w:rPr>
        <w:t>十六、不可抗力事件处理</w:t>
      </w:r>
    </w:p>
    <w:p w14:paraId="073502DC">
      <w:pPr>
        <w:spacing w:line="420" w:lineRule="exact"/>
        <w:rPr>
          <w:rFonts w:ascii="宋体" w:hAnsi="宋体"/>
          <w:color w:val="auto"/>
          <w:sz w:val="24"/>
          <w:highlight w:val="none"/>
        </w:rPr>
      </w:pPr>
      <w:r>
        <w:rPr>
          <w:rFonts w:hint="eastAsia" w:ascii="宋体" w:hAnsi="宋体"/>
          <w:color w:val="auto"/>
          <w:sz w:val="24"/>
          <w:highlight w:val="none"/>
        </w:rPr>
        <w:t>1. 在合同有效期内，任何一方因不可抗力事件导致不能履行合同，则合同履行期可延长，其延长期与不可抗力影响期相同。</w:t>
      </w:r>
    </w:p>
    <w:p w14:paraId="2D24A298">
      <w:pPr>
        <w:spacing w:line="420" w:lineRule="exact"/>
        <w:rPr>
          <w:rFonts w:ascii="宋体" w:hAnsi="宋体"/>
          <w:color w:val="auto"/>
          <w:sz w:val="24"/>
          <w:highlight w:val="none"/>
        </w:rPr>
      </w:pPr>
      <w:r>
        <w:rPr>
          <w:rFonts w:hint="eastAsia" w:ascii="宋体" w:hAnsi="宋体"/>
          <w:color w:val="auto"/>
          <w:sz w:val="24"/>
          <w:highlight w:val="none"/>
        </w:rPr>
        <w:t>2. 不可抗力事件发生后，应立即通知对方，并寄送有关权威机构出具的证明。</w:t>
      </w:r>
    </w:p>
    <w:p w14:paraId="2B4EFFB4">
      <w:pPr>
        <w:spacing w:line="420" w:lineRule="exact"/>
        <w:rPr>
          <w:rFonts w:ascii="宋体" w:hAnsi="宋体"/>
          <w:color w:val="auto"/>
          <w:sz w:val="24"/>
          <w:highlight w:val="none"/>
        </w:rPr>
      </w:pPr>
      <w:r>
        <w:rPr>
          <w:rFonts w:hint="eastAsia" w:ascii="宋体" w:hAnsi="宋体"/>
          <w:color w:val="auto"/>
          <w:sz w:val="24"/>
          <w:highlight w:val="none"/>
        </w:rPr>
        <w:t>3. 不可抗力事件延续120天以上，双方应通过友好协商，确定是否继续履行合同。</w:t>
      </w:r>
    </w:p>
    <w:p w14:paraId="1E9D3944">
      <w:pPr>
        <w:spacing w:line="420" w:lineRule="exact"/>
        <w:rPr>
          <w:rFonts w:ascii="宋体" w:hAnsi="宋体"/>
          <w:b/>
          <w:color w:val="auto"/>
          <w:sz w:val="24"/>
          <w:highlight w:val="none"/>
        </w:rPr>
      </w:pPr>
      <w:r>
        <w:rPr>
          <w:rFonts w:hint="eastAsia" w:ascii="宋体" w:hAnsi="宋体"/>
          <w:b/>
          <w:color w:val="auto"/>
          <w:sz w:val="24"/>
          <w:highlight w:val="none"/>
        </w:rPr>
        <w:t>十七、诉讼</w:t>
      </w:r>
    </w:p>
    <w:p w14:paraId="690CE5EC">
      <w:pPr>
        <w:spacing w:line="420" w:lineRule="exact"/>
        <w:rPr>
          <w:rFonts w:ascii="宋体" w:hAnsi="宋体"/>
          <w:color w:val="auto"/>
          <w:sz w:val="24"/>
          <w:highlight w:val="none"/>
        </w:rPr>
      </w:pPr>
      <w:r>
        <w:rPr>
          <w:rFonts w:hint="eastAsia" w:ascii="宋体" w:hAnsi="宋体"/>
          <w:color w:val="auto"/>
          <w:sz w:val="24"/>
          <w:highlight w:val="none"/>
        </w:rPr>
        <w:t xml:space="preserve"> 双方在执行合同中所发生的一切争议，应通过协商解决。如协商不成，可向甲方所在地法院起诉。</w:t>
      </w:r>
    </w:p>
    <w:p w14:paraId="0303DD6C">
      <w:pPr>
        <w:spacing w:line="420" w:lineRule="exact"/>
        <w:rPr>
          <w:rFonts w:ascii="宋体" w:hAnsi="宋体"/>
          <w:b/>
          <w:color w:val="auto"/>
          <w:sz w:val="24"/>
          <w:highlight w:val="none"/>
        </w:rPr>
      </w:pPr>
      <w:r>
        <w:rPr>
          <w:rFonts w:hint="eastAsia" w:ascii="宋体" w:hAnsi="宋体"/>
          <w:b/>
          <w:color w:val="auto"/>
          <w:sz w:val="24"/>
          <w:highlight w:val="none"/>
        </w:rPr>
        <w:t>十八、合同生效及其它</w:t>
      </w:r>
    </w:p>
    <w:p w14:paraId="11C53B47">
      <w:pPr>
        <w:spacing w:line="420" w:lineRule="exact"/>
        <w:rPr>
          <w:rFonts w:ascii="宋体" w:hAnsi="宋体"/>
          <w:color w:val="auto"/>
          <w:sz w:val="24"/>
          <w:highlight w:val="none"/>
        </w:rPr>
      </w:pPr>
      <w:r>
        <w:rPr>
          <w:rFonts w:hint="eastAsia" w:ascii="宋体" w:hAnsi="宋体"/>
          <w:color w:val="auto"/>
          <w:sz w:val="24"/>
          <w:highlight w:val="none"/>
        </w:rPr>
        <w:t>1. 合同经三方法定代表人或委托代理人签字并加盖单位公章后，报东阳市财政局采监科备案后生效。</w:t>
      </w:r>
    </w:p>
    <w:p w14:paraId="3BB79309">
      <w:pPr>
        <w:spacing w:line="420" w:lineRule="exact"/>
        <w:rPr>
          <w:rFonts w:ascii="宋体" w:hAnsi="宋体"/>
          <w:color w:val="auto"/>
          <w:sz w:val="24"/>
          <w:highlight w:val="none"/>
        </w:rPr>
      </w:pPr>
      <w:r>
        <w:rPr>
          <w:rFonts w:hint="eastAsia" w:ascii="宋体" w:hAnsi="宋体"/>
          <w:color w:val="auto"/>
          <w:sz w:val="24"/>
          <w:highlight w:val="none"/>
        </w:rPr>
        <w:t>2.合同执行中涉及采购资金和采购内容修改或补充的，须经财政部门审批，并签书面补充协议报政府采购监督管理部门备案，方可作为主合同不可分割的一部分。</w:t>
      </w:r>
    </w:p>
    <w:p w14:paraId="13E4CB0A">
      <w:pPr>
        <w:spacing w:line="420" w:lineRule="exact"/>
        <w:rPr>
          <w:rFonts w:ascii="宋体" w:hAnsi="宋体"/>
          <w:color w:val="auto"/>
          <w:sz w:val="24"/>
          <w:highlight w:val="none"/>
        </w:rPr>
      </w:pPr>
      <w:r>
        <w:rPr>
          <w:rFonts w:hint="eastAsia" w:ascii="宋体" w:hAnsi="宋体"/>
          <w:color w:val="auto"/>
          <w:sz w:val="24"/>
          <w:highlight w:val="none"/>
        </w:rPr>
        <w:t>3.本合同未尽事宜，遵照《中华人民共和国民法典》有关条文执行。</w:t>
      </w:r>
    </w:p>
    <w:p w14:paraId="04478396">
      <w:pPr>
        <w:spacing w:line="420" w:lineRule="exact"/>
        <w:rPr>
          <w:rFonts w:hint="eastAsia" w:ascii="宋体" w:hAnsi="宋体"/>
          <w:color w:val="auto"/>
          <w:sz w:val="24"/>
          <w:highlight w:val="none"/>
        </w:rPr>
      </w:pPr>
      <w:r>
        <w:rPr>
          <w:rFonts w:hint="eastAsia" w:ascii="宋体" w:hAnsi="宋体"/>
          <w:color w:val="auto"/>
          <w:sz w:val="24"/>
          <w:highlight w:val="none"/>
        </w:rPr>
        <w:t>4.本合同一式六份， 东阳市财政局采监科、招标代理机构各执一份，甲、乙双方各执二份，其都具有同等法律效力。</w:t>
      </w:r>
    </w:p>
    <w:p w14:paraId="220876CB">
      <w:pPr>
        <w:keepNext w:val="0"/>
        <w:keepLines w:val="0"/>
        <w:pageBreakBefore w:val="0"/>
        <w:widowControl w:val="0"/>
        <w:kinsoku/>
        <w:wordWrap/>
        <w:overflowPunct/>
        <w:topLinePunct w:val="0"/>
        <w:autoSpaceDE/>
        <w:autoSpaceDN/>
        <w:bidi w:val="0"/>
        <w:adjustRightInd/>
        <w:snapToGrid/>
        <w:spacing w:line="336" w:lineRule="auto"/>
        <w:textAlignment w:val="auto"/>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5.本合同样本仅供参考，甲乙双方可就招标文件的非实质性条款进行修改，但不能修改项目的服务期限、中标</w:t>
      </w:r>
      <w:r>
        <w:rPr>
          <w:rFonts w:hint="eastAsia" w:ascii="宋体" w:hAnsi="宋体" w:cs="Times New Roman"/>
          <w:color w:val="auto"/>
          <w:sz w:val="24"/>
          <w:highlight w:val="none"/>
          <w:lang w:val="en-US" w:eastAsia="zh-CN"/>
        </w:rPr>
        <w:t>金额</w:t>
      </w:r>
      <w:r>
        <w:rPr>
          <w:rFonts w:hint="eastAsia" w:ascii="宋体" w:hAnsi="宋体" w:eastAsia="宋体" w:cs="Times New Roman"/>
          <w:color w:val="auto"/>
          <w:sz w:val="24"/>
          <w:highlight w:val="none"/>
          <w:lang w:val="en-US" w:eastAsia="zh-CN"/>
        </w:rPr>
        <w:t>、付款方式、质保期等实质性条款，甲乙双方对合同的真实性负责，鉴证方只负责见证项目招标的真实性。</w:t>
      </w:r>
    </w:p>
    <w:p w14:paraId="6F8BC83F">
      <w:pPr>
        <w:spacing w:line="420" w:lineRule="exact"/>
        <w:rPr>
          <w:rFonts w:ascii="宋体" w:hAnsi="宋体"/>
          <w:b/>
          <w:color w:val="auto"/>
          <w:sz w:val="24"/>
          <w:highlight w:val="none"/>
        </w:rPr>
      </w:pPr>
      <w:r>
        <w:rPr>
          <w:rFonts w:hint="eastAsia" w:ascii="宋体" w:hAnsi="宋体"/>
          <w:b/>
          <w:color w:val="auto"/>
          <w:sz w:val="24"/>
          <w:highlight w:val="none"/>
          <w:lang w:val="en-US" w:eastAsia="zh-CN"/>
        </w:rPr>
        <w:t>6</w:t>
      </w:r>
      <w:r>
        <w:rPr>
          <w:rFonts w:hint="eastAsia" w:ascii="宋体" w:hAnsi="宋体"/>
          <w:b/>
          <w:color w:val="auto"/>
          <w:sz w:val="24"/>
          <w:highlight w:val="none"/>
        </w:rPr>
        <w:t>. 后附政府采购廉洁承诺书。</w:t>
      </w:r>
    </w:p>
    <w:p w14:paraId="31E13552">
      <w:pPr>
        <w:spacing w:line="420" w:lineRule="exact"/>
        <w:rPr>
          <w:rFonts w:ascii="宋体" w:hAnsi="宋体"/>
          <w:b/>
          <w:bCs/>
          <w:color w:val="auto"/>
          <w:sz w:val="24"/>
          <w:highlight w:val="none"/>
        </w:rPr>
      </w:pPr>
    </w:p>
    <w:p w14:paraId="51A34857">
      <w:pPr>
        <w:spacing w:line="420" w:lineRule="exact"/>
        <w:rPr>
          <w:rFonts w:ascii="宋体" w:hAnsi="宋体"/>
          <w:color w:val="auto"/>
          <w:sz w:val="24"/>
          <w:highlight w:val="none"/>
        </w:rPr>
      </w:pPr>
      <w:r>
        <w:rPr>
          <w:rFonts w:hint="eastAsia" w:ascii="宋体" w:hAnsi="宋体"/>
          <w:b/>
          <w:bCs/>
          <w:color w:val="auto"/>
          <w:sz w:val="24"/>
          <w:highlight w:val="none"/>
        </w:rPr>
        <w:t>甲方（盖公章）：                     乙方（盖公章）：</w:t>
      </w:r>
    </w:p>
    <w:p w14:paraId="34E9A21E">
      <w:pPr>
        <w:spacing w:line="420" w:lineRule="exact"/>
        <w:rPr>
          <w:rFonts w:ascii="宋体" w:hAnsi="宋体"/>
          <w:color w:val="auto"/>
          <w:sz w:val="24"/>
          <w:highlight w:val="none"/>
        </w:rPr>
      </w:pPr>
      <w:r>
        <w:rPr>
          <w:rFonts w:hint="eastAsia" w:ascii="宋体" w:hAnsi="宋体"/>
          <w:color w:val="auto"/>
          <w:sz w:val="24"/>
          <w:highlight w:val="none"/>
        </w:rPr>
        <w:t>法定代表人或受委托人                 法定代表人或受委托人</w:t>
      </w:r>
    </w:p>
    <w:p w14:paraId="543EE7DC">
      <w:pPr>
        <w:spacing w:line="420" w:lineRule="exact"/>
        <w:rPr>
          <w:rFonts w:ascii="宋体" w:hAnsi="宋体"/>
          <w:color w:val="auto"/>
          <w:sz w:val="24"/>
          <w:highlight w:val="none"/>
        </w:rPr>
      </w:pPr>
      <w:r>
        <w:rPr>
          <w:rFonts w:hint="eastAsia" w:ascii="宋体" w:hAnsi="宋体"/>
          <w:color w:val="auto"/>
          <w:sz w:val="24"/>
          <w:highlight w:val="none"/>
        </w:rPr>
        <w:t>（签字）                            （签字）</w:t>
      </w:r>
    </w:p>
    <w:p w14:paraId="6F3A38D5">
      <w:pPr>
        <w:spacing w:line="420" w:lineRule="exact"/>
        <w:rPr>
          <w:rFonts w:ascii="宋体" w:hAnsi="宋体"/>
          <w:color w:val="auto"/>
          <w:sz w:val="24"/>
          <w:highlight w:val="none"/>
        </w:rPr>
      </w:pPr>
      <w:r>
        <w:rPr>
          <w:rFonts w:hint="eastAsia" w:ascii="宋体" w:hAnsi="宋体"/>
          <w:color w:val="auto"/>
          <w:sz w:val="24"/>
          <w:highlight w:val="none"/>
        </w:rPr>
        <w:t xml:space="preserve">地址：                               地址： </w:t>
      </w:r>
    </w:p>
    <w:p w14:paraId="058EFD33">
      <w:pPr>
        <w:spacing w:line="420" w:lineRule="exact"/>
        <w:rPr>
          <w:rFonts w:ascii="宋体" w:hAnsi="宋体"/>
          <w:color w:val="auto"/>
          <w:sz w:val="24"/>
          <w:highlight w:val="none"/>
        </w:rPr>
      </w:pPr>
      <w:r>
        <w:rPr>
          <w:rFonts w:hint="eastAsia" w:ascii="宋体" w:hAnsi="宋体"/>
          <w:color w:val="auto"/>
          <w:sz w:val="24"/>
          <w:highlight w:val="none"/>
        </w:rPr>
        <w:t>邮编：                               邮编：</w:t>
      </w:r>
    </w:p>
    <w:p w14:paraId="604014C3">
      <w:pPr>
        <w:spacing w:line="420" w:lineRule="exact"/>
        <w:rPr>
          <w:rFonts w:ascii="宋体" w:hAnsi="宋体"/>
          <w:color w:val="auto"/>
          <w:sz w:val="24"/>
          <w:highlight w:val="none"/>
        </w:rPr>
      </w:pPr>
      <w:r>
        <w:rPr>
          <w:rFonts w:hint="eastAsia" w:ascii="宋体" w:hAnsi="宋体"/>
          <w:color w:val="auto"/>
          <w:sz w:val="24"/>
          <w:highlight w:val="none"/>
        </w:rPr>
        <w:t>电话：                               电话：</w:t>
      </w:r>
    </w:p>
    <w:p w14:paraId="10FD0D43">
      <w:pPr>
        <w:spacing w:line="420" w:lineRule="exact"/>
        <w:rPr>
          <w:rFonts w:ascii="宋体" w:hAnsi="宋体"/>
          <w:color w:val="auto"/>
          <w:sz w:val="24"/>
          <w:highlight w:val="none"/>
        </w:rPr>
      </w:pPr>
      <w:r>
        <w:rPr>
          <w:rFonts w:hint="eastAsia" w:ascii="宋体" w:hAnsi="宋体"/>
          <w:color w:val="auto"/>
          <w:sz w:val="24"/>
          <w:highlight w:val="none"/>
        </w:rPr>
        <w:t>传真：                               传真：</w:t>
      </w:r>
    </w:p>
    <w:p w14:paraId="4D508651">
      <w:pPr>
        <w:spacing w:line="420" w:lineRule="exact"/>
        <w:rPr>
          <w:rFonts w:ascii="宋体" w:hAnsi="宋体"/>
          <w:color w:val="auto"/>
          <w:sz w:val="24"/>
          <w:highlight w:val="none"/>
        </w:rPr>
      </w:pPr>
      <w:r>
        <w:rPr>
          <w:rFonts w:hint="eastAsia" w:ascii="宋体" w:hAnsi="宋体"/>
          <w:color w:val="auto"/>
          <w:sz w:val="24"/>
          <w:highlight w:val="none"/>
        </w:rPr>
        <w:t>开户银行：                           开户银行：</w:t>
      </w:r>
    </w:p>
    <w:p w14:paraId="496EEE36">
      <w:pPr>
        <w:spacing w:line="420" w:lineRule="exact"/>
        <w:rPr>
          <w:rFonts w:ascii="宋体" w:hAnsi="宋体"/>
          <w:color w:val="auto"/>
          <w:sz w:val="24"/>
          <w:highlight w:val="none"/>
        </w:rPr>
      </w:pPr>
      <w:r>
        <w:rPr>
          <w:rFonts w:hint="eastAsia" w:ascii="宋体" w:hAnsi="宋体"/>
          <w:color w:val="auto"/>
          <w:sz w:val="24"/>
          <w:highlight w:val="none"/>
        </w:rPr>
        <w:t>帐号：                               帐号：</w:t>
      </w:r>
    </w:p>
    <w:p w14:paraId="631AADE2">
      <w:pPr>
        <w:spacing w:line="420" w:lineRule="exact"/>
        <w:rPr>
          <w:rFonts w:hint="eastAsia" w:ascii="宋体" w:hAnsi="宋体"/>
          <w:b/>
          <w:bCs/>
          <w:color w:val="auto"/>
          <w:sz w:val="24"/>
          <w:highlight w:val="none"/>
        </w:rPr>
      </w:pPr>
    </w:p>
    <w:p w14:paraId="529D984B">
      <w:pPr>
        <w:pStyle w:val="7"/>
        <w:rPr>
          <w:color w:val="auto"/>
          <w:sz w:val="28"/>
          <w:szCs w:val="28"/>
          <w:highlight w:val="none"/>
        </w:rPr>
      </w:pPr>
    </w:p>
    <w:p w14:paraId="122B55D2">
      <w:pPr>
        <w:spacing w:line="420" w:lineRule="exact"/>
        <w:rPr>
          <w:rFonts w:ascii="宋体" w:hAnsi="宋体"/>
          <w:color w:val="auto"/>
          <w:sz w:val="24"/>
          <w:highlight w:val="none"/>
        </w:rPr>
      </w:pPr>
      <w:r>
        <w:rPr>
          <w:rFonts w:hint="eastAsia" w:ascii="宋体" w:hAnsi="宋体"/>
          <w:color w:val="auto"/>
          <w:sz w:val="24"/>
          <w:highlight w:val="none"/>
        </w:rPr>
        <w:t>鉴证方:</w:t>
      </w:r>
    </w:p>
    <w:p w14:paraId="7814A391">
      <w:pPr>
        <w:spacing w:line="420" w:lineRule="exact"/>
        <w:rPr>
          <w:rFonts w:ascii="宋体" w:hAnsi="宋体"/>
          <w:color w:val="auto"/>
          <w:sz w:val="24"/>
          <w:highlight w:val="none"/>
        </w:rPr>
      </w:pPr>
      <w:r>
        <w:rPr>
          <w:rFonts w:hint="eastAsia" w:ascii="宋体" w:hAnsi="宋体"/>
          <w:color w:val="auto"/>
          <w:sz w:val="24"/>
          <w:highlight w:val="none"/>
        </w:rPr>
        <w:t>法定代表人或</w:t>
      </w:r>
      <w:r>
        <w:rPr>
          <w:rFonts w:hint="eastAsia" w:ascii="宋体" w:hAnsi="宋体"/>
          <w:color w:val="auto"/>
          <w:sz w:val="24"/>
          <w:highlight w:val="none"/>
          <w:lang w:val="en-US" w:eastAsia="zh-CN"/>
        </w:rPr>
        <w:t>受</w:t>
      </w:r>
      <w:r>
        <w:rPr>
          <w:rFonts w:hint="eastAsia" w:ascii="宋体" w:hAnsi="宋体"/>
          <w:color w:val="auto"/>
          <w:sz w:val="24"/>
          <w:highlight w:val="none"/>
        </w:rPr>
        <w:t>委托人:</w:t>
      </w:r>
    </w:p>
    <w:p w14:paraId="4965ED1F">
      <w:pPr>
        <w:spacing w:line="420" w:lineRule="exact"/>
        <w:rPr>
          <w:rFonts w:ascii="宋体" w:hAnsi="宋体"/>
          <w:color w:val="auto"/>
          <w:sz w:val="24"/>
          <w:highlight w:val="none"/>
        </w:rPr>
      </w:pPr>
      <w:r>
        <w:rPr>
          <w:rFonts w:hint="eastAsia" w:ascii="宋体" w:hAnsi="宋体"/>
          <w:color w:val="auto"/>
          <w:sz w:val="24"/>
          <w:highlight w:val="none"/>
        </w:rPr>
        <w:t>签约地点：                           签约时间：</w:t>
      </w:r>
    </w:p>
    <w:p w14:paraId="29735643">
      <w:pPr>
        <w:spacing w:line="420" w:lineRule="exact"/>
        <w:jc w:val="center"/>
        <w:rPr>
          <w:rFonts w:ascii="宋体" w:hAnsi="宋体"/>
          <w:b/>
          <w:color w:val="auto"/>
          <w:sz w:val="24"/>
          <w:highlight w:val="none"/>
        </w:rPr>
      </w:pPr>
    </w:p>
    <w:p w14:paraId="329843A2">
      <w:pPr>
        <w:spacing w:line="420" w:lineRule="exact"/>
        <w:jc w:val="center"/>
        <w:rPr>
          <w:rFonts w:ascii="宋体" w:hAnsi="宋体"/>
          <w:b/>
          <w:color w:val="auto"/>
          <w:sz w:val="24"/>
          <w:highlight w:val="none"/>
        </w:rPr>
      </w:pPr>
    </w:p>
    <w:p w14:paraId="190D897E">
      <w:pPr>
        <w:spacing w:line="420" w:lineRule="exact"/>
        <w:jc w:val="center"/>
        <w:rPr>
          <w:rFonts w:ascii="宋体" w:hAnsi="宋体"/>
          <w:b/>
          <w:bCs/>
          <w:color w:val="auto"/>
          <w:sz w:val="24"/>
          <w:highlight w:val="none"/>
        </w:rPr>
      </w:pPr>
      <w:r>
        <w:rPr>
          <w:rFonts w:hint="eastAsia" w:ascii="宋体" w:hAnsi="宋体"/>
          <w:b/>
          <w:bCs/>
          <w:color w:val="auto"/>
          <w:sz w:val="24"/>
          <w:highlight w:val="none"/>
        </w:rPr>
        <w:t>注：签订合同时，可以使用项目相关国家标准合同文本。</w:t>
      </w:r>
    </w:p>
    <w:p w14:paraId="1A744873">
      <w:pPr>
        <w:pageBreakBefore/>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政府采购廉洁承诺书</w:t>
      </w:r>
    </w:p>
    <w:p w14:paraId="6D6E3CB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（中标人须将此表附在合同后）</w:t>
      </w:r>
    </w:p>
    <w:p w14:paraId="027E7AE7">
      <w:pPr>
        <w:spacing w:line="360" w:lineRule="auto"/>
        <w:jc w:val="center"/>
        <w:rPr>
          <w:rFonts w:ascii="宋体" w:hAnsi="宋体" w:cs="宋体"/>
          <w:b/>
          <w:color w:val="auto"/>
          <w:sz w:val="24"/>
          <w:highlight w:val="none"/>
        </w:rPr>
      </w:pPr>
    </w:p>
    <w:p w14:paraId="5C1EEBE1">
      <w:pPr>
        <w:spacing w:line="360" w:lineRule="auto"/>
        <w:rPr>
          <w:rFonts w:ascii="宋体" w:hAnsi="宋体" w:cs="宋体"/>
          <w:color w:val="auto"/>
          <w:sz w:val="24"/>
          <w:highlight w:val="none"/>
        </w:rPr>
      </w:pPr>
      <w:r>
        <w:rPr>
          <w:rFonts w:hint="eastAsia" w:ascii="宋体" w:hAnsi="宋体" w:cs="宋体"/>
          <w:color w:val="auto"/>
          <w:sz w:val="24"/>
          <w:highlight w:val="none"/>
        </w:rPr>
        <w:t>项目名称：                                     项目编号：</w:t>
      </w:r>
    </w:p>
    <w:p w14:paraId="684F616F">
      <w:pPr>
        <w:spacing w:line="360" w:lineRule="auto"/>
        <w:rPr>
          <w:rFonts w:ascii="宋体" w:hAnsi="宋体" w:cs="宋体"/>
          <w:color w:val="auto"/>
          <w:sz w:val="24"/>
          <w:highlight w:val="none"/>
        </w:rPr>
      </w:pPr>
      <w:r>
        <w:rPr>
          <w:rFonts w:hint="eastAsia" w:ascii="宋体" w:hAnsi="宋体" w:cs="宋体"/>
          <w:color w:val="auto"/>
          <w:sz w:val="24"/>
          <w:highlight w:val="none"/>
        </w:rPr>
        <w:t>中标人：</w:t>
      </w:r>
    </w:p>
    <w:p w14:paraId="54EEC905">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为加强政府采购活动中的廉政建设，防止发生商业贿赂等违法违纪行为，保护国家、集体和当事人的合法权益，根据《中华人民共和国政府采购法》和党风廉政建设及反腐败工作有关规定，我方自愿签订本承诺书，并严格执行。</w:t>
      </w:r>
    </w:p>
    <w:p w14:paraId="1E8DC26A">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第一条参与政府采购活动时，除具备采购文件规定的资格、资质要求外，我方还将严格遵守有关法律、法规、政策以及国家、地方关于廉政建设的各项规定。</w:t>
      </w:r>
    </w:p>
    <w:p w14:paraId="188D26BA">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第二条遵循公开、公平、公正、诚实信用原则，不发生损害上述原则及各方当事人合法权益得不正当竞争行为。</w:t>
      </w:r>
    </w:p>
    <w:p w14:paraId="5E6AC28A">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第三条与政府采购各方当事人保持正常的业务交往，不向采购人、采购代理机构、监督机构、评审专家、工作人员及其他参与采购活动的人员提供不正当利益。主要有：</w:t>
      </w:r>
    </w:p>
    <w:p w14:paraId="1CEDCFE6">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（一）向上述人员赠送礼金、有价证券、贵重物品及回扣、好处费、感谢费等。</w:t>
      </w:r>
    </w:p>
    <w:p w14:paraId="6D33AF5D">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（二）为上述人员或单位报销应由对方支付的费用。</w:t>
      </w:r>
    </w:p>
    <w:p w14:paraId="0D4FC7C3">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（三）暗示为上述人员装修住房、婚丧嫁娶、配偶子女的工作安排以及出国（境）、旅游等提供方便。</w:t>
      </w:r>
    </w:p>
    <w:p w14:paraId="691DBE75">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（四）为上述人员或单位提供可能影响采购活动开展的宴请、健身、娱乐等活动。</w:t>
      </w:r>
    </w:p>
    <w:p w14:paraId="7DFE0BA5">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第四条严格执行采购合同，自觉按合同办事；在合同执行过程中，不发生本承诺书第三条中所列不良行为。    </w:t>
      </w:r>
    </w:p>
    <w:p w14:paraId="33B3D31F">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第五条 发现采购活动各方当事人有违规、违纪、违法行为的，及时提醒对方，情节严重的，主动向其主管部门或纪检监察、司法等机关举报。</w:t>
      </w:r>
    </w:p>
    <w:p w14:paraId="3F427D8F">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第六条 自觉接受政府采购管理部门的监管。在采购活动中出现违反本承诺书规定行为的，自觉接受政府采购管理部门的处罚，因违法违规行为给其他当事人造成经济损失的，按规定予以赔偿。</w:t>
      </w:r>
    </w:p>
    <w:p w14:paraId="3A23F4CC">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第七条 本承诺书自签署之日起生效。</w:t>
      </w:r>
    </w:p>
    <w:p w14:paraId="71A58D38">
      <w:pPr>
        <w:spacing w:line="360" w:lineRule="auto"/>
        <w:ind w:left="840" w:hanging="840" w:hangingChars="350"/>
        <w:jc w:val="center"/>
        <w:rPr>
          <w:rFonts w:ascii="宋体" w:hAnsi="宋体" w:cs="宋体"/>
          <w:color w:val="auto"/>
          <w:sz w:val="24"/>
          <w:highlight w:val="none"/>
        </w:rPr>
      </w:pPr>
    </w:p>
    <w:p w14:paraId="7072BD0C">
      <w:pPr>
        <w:spacing w:line="360" w:lineRule="auto"/>
        <w:ind w:left="840" w:hanging="840" w:hangingChars="350"/>
        <w:jc w:val="center"/>
        <w:rPr>
          <w:rFonts w:ascii="宋体" w:hAnsi="宋体" w:cs="宋体"/>
          <w:color w:val="auto"/>
          <w:sz w:val="24"/>
          <w:highlight w:val="none"/>
        </w:rPr>
      </w:pPr>
      <w:r>
        <w:rPr>
          <w:rFonts w:hint="eastAsia" w:ascii="宋体" w:hAnsi="宋体" w:cs="宋体"/>
          <w:color w:val="auto"/>
          <w:sz w:val="24"/>
          <w:highlight w:val="none"/>
        </w:rPr>
        <w:t xml:space="preserve"> 投标人（盖章）：</w:t>
      </w:r>
    </w:p>
    <w:p w14:paraId="59C16DAC">
      <w:pPr>
        <w:spacing w:line="360" w:lineRule="auto"/>
        <w:ind w:left="840" w:hanging="840" w:hangingChars="350"/>
        <w:rPr>
          <w:rFonts w:ascii="宋体" w:hAnsi="宋体" w:cs="宋体"/>
          <w:color w:val="auto"/>
          <w:sz w:val="24"/>
          <w:highlight w:val="none"/>
        </w:rPr>
      </w:pPr>
      <w:r>
        <w:rPr>
          <w:rFonts w:hint="eastAsia" w:ascii="宋体" w:hAnsi="宋体" w:cs="宋体"/>
          <w:color w:val="auto"/>
          <w:sz w:val="24"/>
          <w:highlight w:val="none"/>
        </w:rPr>
        <w:t xml:space="preserve">                                法定代表人：</w:t>
      </w:r>
    </w:p>
    <w:p w14:paraId="2C3C9E31">
      <w:pPr>
        <w:spacing w:line="360" w:lineRule="auto"/>
        <w:ind w:left="840" w:hanging="840" w:hangingChars="350"/>
        <w:rPr>
          <w:rFonts w:ascii="宋体" w:hAnsi="宋体" w:cs="宋体"/>
          <w:color w:val="auto"/>
          <w:sz w:val="24"/>
          <w:highlight w:val="none"/>
        </w:rPr>
      </w:pPr>
      <w:r>
        <w:rPr>
          <w:rFonts w:hint="eastAsia" w:ascii="宋体" w:hAnsi="宋体" w:cs="宋体"/>
          <w:color w:val="auto"/>
          <w:sz w:val="24"/>
          <w:highlight w:val="none"/>
        </w:rPr>
        <w:t xml:space="preserve">                                                    年    月   日</w:t>
      </w:r>
    </w:p>
    <w:p w14:paraId="151795A5">
      <w:pPr>
        <w:spacing w:line="360" w:lineRule="auto"/>
        <w:ind w:left="840" w:hanging="840" w:hangingChars="350"/>
        <w:rPr>
          <w:rFonts w:ascii="宋体" w:hAnsi="宋体" w:cs="宋体"/>
          <w:color w:val="auto"/>
          <w:sz w:val="24"/>
          <w:highlight w:val="none"/>
        </w:rPr>
      </w:pPr>
    </w:p>
    <w:p w14:paraId="0E865863">
      <w:pPr>
        <w:pStyle w:val="7"/>
        <w:jc w:val="center"/>
        <w:rPr>
          <w:rFonts w:ascii="宋体" w:hAnsi="宋体" w:cs="宋体"/>
          <w:color w:val="auto"/>
          <w:sz w:val="24"/>
          <w:szCs w:val="24"/>
          <w:highlight w:val="none"/>
        </w:rPr>
      </w:pPr>
      <w:bookmarkStart w:id="71" w:name="_Toc20555"/>
      <w:r>
        <w:rPr>
          <w:rFonts w:hint="eastAsia" w:ascii="宋体" w:hAnsi="宋体" w:cs="宋体"/>
          <w:color w:val="auto"/>
          <w:sz w:val="24"/>
          <w:szCs w:val="24"/>
          <w:highlight w:val="none"/>
        </w:rPr>
        <w:t>第六章　投标文件组成内容及格式</w:t>
      </w:r>
      <w:bookmarkEnd w:id="71"/>
    </w:p>
    <w:bookmarkEnd w:id="64"/>
    <w:bookmarkEnd w:id="65"/>
    <w:p w14:paraId="29B2C0F4">
      <w:pPr>
        <w:pStyle w:val="23"/>
        <w:spacing w:before="120" w:after="120" w:line="360" w:lineRule="auto"/>
        <w:rPr>
          <w:rFonts w:ascii="宋体" w:hAnsi="宋体" w:cs="宋体"/>
          <w:color w:val="auto"/>
          <w:szCs w:val="24"/>
          <w:highlight w:val="none"/>
          <w:u w:val="single"/>
        </w:rPr>
      </w:pPr>
    </w:p>
    <w:p w14:paraId="3D8DA67D">
      <w:pPr>
        <w:pStyle w:val="8"/>
        <w:jc w:val="center"/>
        <w:rPr>
          <w:rFonts w:ascii="宋体" w:hAnsi="宋体" w:eastAsia="宋体" w:cs="宋体"/>
          <w:color w:val="auto"/>
          <w:sz w:val="24"/>
          <w:szCs w:val="24"/>
          <w:highlight w:val="none"/>
        </w:rPr>
      </w:pPr>
      <w:bookmarkStart w:id="72" w:name="_Toc4461"/>
      <w:bookmarkStart w:id="73" w:name="_Toc405368940"/>
      <w:r>
        <w:rPr>
          <w:rFonts w:hint="eastAsia" w:ascii="宋体" w:hAnsi="宋体" w:eastAsia="宋体" w:cs="宋体"/>
          <w:color w:val="auto"/>
          <w:sz w:val="24"/>
          <w:szCs w:val="24"/>
          <w:highlight w:val="none"/>
        </w:rPr>
        <w:t>一、投标文件封面格式</w:t>
      </w:r>
      <w:bookmarkEnd w:id="72"/>
      <w:bookmarkEnd w:id="73"/>
    </w:p>
    <w:p w14:paraId="37F85C60">
      <w:pPr>
        <w:rPr>
          <w:rFonts w:ascii="宋体" w:hAnsi="宋体" w:cs="宋体"/>
          <w:color w:val="auto"/>
          <w:sz w:val="24"/>
          <w:highlight w:val="none"/>
        </w:rPr>
      </w:pPr>
    </w:p>
    <w:p w14:paraId="1545BCCA">
      <w:pPr>
        <w:rPr>
          <w:rFonts w:ascii="宋体" w:hAnsi="宋体" w:cs="宋体"/>
          <w:color w:val="auto"/>
          <w:sz w:val="24"/>
          <w:highlight w:val="none"/>
        </w:rPr>
      </w:pPr>
    </w:p>
    <w:p w14:paraId="58D3A5B8">
      <w:pPr>
        <w:rPr>
          <w:rFonts w:ascii="宋体" w:hAnsi="宋体" w:cs="宋体"/>
          <w:color w:val="auto"/>
          <w:sz w:val="24"/>
          <w:highlight w:val="none"/>
        </w:rPr>
      </w:pPr>
    </w:p>
    <w:p w14:paraId="48680B6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1.投标文件封面格式： </w:t>
      </w:r>
    </w:p>
    <w:p w14:paraId="45E0C3B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正本/或副本</w:t>
      </w:r>
    </w:p>
    <w:p w14:paraId="26DB15BF">
      <w:pPr>
        <w:spacing w:line="360" w:lineRule="auto"/>
        <w:rPr>
          <w:rFonts w:ascii="宋体" w:hAnsi="宋体" w:cs="宋体"/>
          <w:color w:val="auto"/>
          <w:sz w:val="24"/>
          <w:highlight w:val="none"/>
        </w:rPr>
      </w:pPr>
    </w:p>
    <w:p w14:paraId="09E1B502">
      <w:pPr>
        <w:spacing w:line="360" w:lineRule="auto"/>
        <w:rPr>
          <w:rFonts w:ascii="宋体" w:hAnsi="宋体" w:cs="宋体"/>
          <w:color w:val="auto"/>
          <w:sz w:val="24"/>
          <w:highlight w:val="none"/>
        </w:rPr>
      </w:pPr>
    </w:p>
    <w:p w14:paraId="37A593B8">
      <w:pPr>
        <w:spacing w:line="360" w:lineRule="auto"/>
        <w:rPr>
          <w:rFonts w:ascii="宋体" w:hAnsi="宋体" w:cs="宋体"/>
          <w:color w:val="auto"/>
          <w:sz w:val="24"/>
          <w:highlight w:val="none"/>
        </w:rPr>
      </w:pPr>
    </w:p>
    <w:p w14:paraId="2833DD3B">
      <w:pPr>
        <w:spacing w:line="360" w:lineRule="auto"/>
        <w:rPr>
          <w:rFonts w:ascii="宋体" w:hAnsi="宋体" w:cs="宋体"/>
          <w:color w:val="auto"/>
          <w:sz w:val="24"/>
          <w:highlight w:val="none"/>
        </w:rPr>
      </w:pPr>
    </w:p>
    <w:p w14:paraId="00EF852A">
      <w:pPr>
        <w:spacing w:line="360" w:lineRule="auto"/>
        <w:rPr>
          <w:rFonts w:ascii="宋体" w:hAnsi="宋体" w:cs="宋体"/>
          <w:color w:val="auto"/>
          <w:sz w:val="24"/>
          <w:highlight w:val="none"/>
        </w:rPr>
      </w:pPr>
    </w:p>
    <w:p w14:paraId="3568FF26">
      <w:pPr>
        <w:spacing w:line="480" w:lineRule="auto"/>
        <w:rPr>
          <w:rFonts w:ascii="宋体" w:hAnsi="宋体" w:cs="宋体"/>
          <w:color w:val="auto"/>
          <w:sz w:val="24"/>
          <w:highlight w:val="none"/>
        </w:rPr>
      </w:pPr>
      <w:r>
        <w:rPr>
          <w:rFonts w:hint="eastAsia" w:ascii="宋体" w:hAnsi="宋体" w:cs="宋体"/>
          <w:color w:val="auto"/>
          <w:sz w:val="24"/>
          <w:highlight w:val="none"/>
        </w:rPr>
        <w:t>资格审查文件、商务技术文件、报价文件（相应选择一个投标文件封面名称）</w:t>
      </w:r>
    </w:p>
    <w:p w14:paraId="3B1A67BB">
      <w:pPr>
        <w:spacing w:line="48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东阳市红会医院5G查房采购项目</w:t>
      </w:r>
    </w:p>
    <w:p w14:paraId="58EF65F7">
      <w:pPr>
        <w:spacing w:line="48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XSZFCGDZ2025-110改</w:t>
      </w:r>
    </w:p>
    <w:p w14:paraId="497BDA42">
      <w:pPr>
        <w:spacing w:line="480" w:lineRule="auto"/>
        <w:rPr>
          <w:rFonts w:ascii="宋体" w:hAnsi="宋体" w:cs="宋体"/>
          <w:color w:val="auto"/>
          <w:sz w:val="24"/>
          <w:highlight w:val="none"/>
        </w:rPr>
      </w:pPr>
      <w:r>
        <w:rPr>
          <w:rFonts w:hint="eastAsia" w:ascii="宋体" w:hAnsi="宋体" w:cs="宋体"/>
          <w:color w:val="auto"/>
          <w:sz w:val="24"/>
          <w:highlight w:val="none"/>
        </w:rPr>
        <w:t>标项：</w:t>
      </w:r>
    </w:p>
    <w:p w14:paraId="020F91A0">
      <w:pPr>
        <w:spacing w:line="480" w:lineRule="auto"/>
        <w:rPr>
          <w:rFonts w:ascii="宋体" w:hAnsi="宋体" w:cs="宋体"/>
          <w:color w:val="auto"/>
          <w:sz w:val="24"/>
          <w:highlight w:val="none"/>
        </w:rPr>
      </w:pPr>
      <w:r>
        <w:rPr>
          <w:rFonts w:hint="eastAsia" w:ascii="宋体" w:hAnsi="宋体" w:cs="宋体"/>
          <w:color w:val="auto"/>
          <w:sz w:val="24"/>
          <w:highlight w:val="none"/>
        </w:rPr>
        <w:t>投标人名称：</w:t>
      </w:r>
    </w:p>
    <w:p w14:paraId="5E00CDE0">
      <w:pPr>
        <w:spacing w:line="480" w:lineRule="auto"/>
        <w:rPr>
          <w:rFonts w:ascii="宋体" w:hAnsi="宋体" w:cs="宋体"/>
          <w:color w:val="auto"/>
          <w:sz w:val="24"/>
          <w:highlight w:val="none"/>
        </w:rPr>
      </w:pPr>
      <w:r>
        <w:rPr>
          <w:rFonts w:hint="eastAsia" w:ascii="宋体" w:hAnsi="宋体" w:cs="宋体"/>
          <w:color w:val="auto"/>
          <w:sz w:val="24"/>
          <w:highlight w:val="none"/>
        </w:rPr>
        <w:t>投标人地址：</w:t>
      </w:r>
    </w:p>
    <w:p w14:paraId="5828A8CC">
      <w:pPr>
        <w:spacing w:line="48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46936F92">
      <w:pPr>
        <w:spacing w:line="480" w:lineRule="auto"/>
        <w:rPr>
          <w:rFonts w:ascii="宋体" w:hAnsi="宋体" w:cs="宋体"/>
          <w:color w:val="auto"/>
          <w:sz w:val="24"/>
          <w:highlight w:val="none"/>
        </w:rPr>
      </w:pPr>
      <w:r>
        <w:rPr>
          <w:rFonts w:hint="eastAsia" w:ascii="宋体" w:hAnsi="宋体" w:cs="宋体"/>
          <w:color w:val="auto"/>
          <w:sz w:val="24"/>
          <w:highlight w:val="none"/>
        </w:rPr>
        <w:t xml:space="preserve">                                                   年   月   日</w:t>
      </w:r>
    </w:p>
    <w:p w14:paraId="10EAAF48">
      <w:pPr>
        <w:spacing w:line="360" w:lineRule="auto"/>
        <w:rPr>
          <w:rFonts w:ascii="宋体" w:hAnsi="宋体" w:cs="宋体"/>
          <w:color w:val="auto"/>
          <w:sz w:val="24"/>
          <w:highlight w:val="none"/>
        </w:rPr>
      </w:pPr>
    </w:p>
    <w:p w14:paraId="1E68BB6A">
      <w:pPr>
        <w:rPr>
          <w:rFonts w:ascii="宋体" w:hAnsi="宋体" w:cs="宋体"/>
          <w:color w:val="auto"/>
          <w:sz w:val="24"/>
          <w:highlight w:val="none"/>
        </w:rPr>
      </w:pPr>
    </w:p>
    <w:p w14:paraId="6AB2906C">
      <w:pPr>
        <w:rPr>
          <w:rFonts w:ascii="宋体" w:hAnsi="宋体" w:cs="宋体"/>
          <w:color w:val="auto"/>
          <w:sz w:val="24"/>
          <w:highlight w:val="none"/>
        </w:rPr>
      </w:pPr>
    </w:p>
    <w:p w14:paraId="1310D42E">
      <w:pPr>
        <w:spacing w:line="360" w:lineRule="auto"/>
        <w:rPr>
          <w:rFonts w:ascii="宋体" w:hAnsi="宋体" w:cs="宋体"/>
          <w:b/>
          <w:color w:val="auto"/>
          <w:sz w:val="24"/>
          <w:highlight w:val="none"/>
        </w:rPr>
      </w:pPr>
    </w:p>
    <w:p w14:paraId="39FEBC63">
      <w:pPr>
        <w:spacing w:line="360" w:lineRule="auto"/>
        <w:rPr>
          <w:rFonts w:ascii="宋体" w:hAnsi="宋体" w:cs="宋体"/>
          <w:b/>
          <w:color w:val="auto"/>
          <w:sz w:val="24"/>
          <w:highlight w:val="none"/>
        </w:rPr>
      </w:pPr>
    </w:p>
    <w:p w14:paraId="0D827E2E">
      <w:pPr>
        <w:spacing w:line="360" w:lineRule="auto"/>
        <w:rPr>
          <w:rFonts w:hint="eastAsia" w:ascii="宋体" w:hAnsi="宋体" w:cs="宋体"/>
          <w:b/>
          <w:color w:val="auto"/>
          <w:sz w:val="24"/>
          <w:highlight w:val="none"/>
          <w:lang w:val="en-US" w:eastAsia="zh-CN"/>
        </w:rPr>
      </w:pPr>
    </w:p>
    <w:p w14:paraId="60658FFF">
      <w:pPr>
        <w:spacing w:line="360" w:lineRule="auto"/>
        <w:rPr>
          <w:rFonts w:ascii="宋体" w:hAnsi="宋体" w:cs="宋体"/>
          <w:b/>
          <w:color w:val="auto"/>
          <w:sz w:val="24"/>
          <w:highlight w:val="none"/>
        </w:rPr>
      </w:pPr>
      <w:r>
        <w:rPr>
          <w:rFonts w:hint="eastAsia" w:ascii="宋体" w:hAnsi="宋体" w:cs="宋体"/>
          <w:b/>
          <w:color w:val="auto"/>
          <w:sz w:val="24"/>
          <w:highlight w:val="none"/>
          <w:lang w:val="en-US" w:eastAsia="zh-CN"/>
        </w:rPr>
        <w:t>2</w:t>
      </w:r>
      <w:r>
        <w:rPr>
          <w:rFonts w:hint="eastAsia" w:ascii="宋体" w:hAnsi="宋体" w:cs="宋体"/>
          <w:b/>
          <w:color w:val="auto"/>
          <w:sz w:val="24"/>
          <w:highlight w:val="none"/>
        </w:rPr>
        <w:t>.资格审查文件：</w:t>
      </w:r>
    </w:p>
    <w:p w14:paraId="5FF6F6FA">
      <w:pPr>
        <w:spacing w:line="360" w:lineRule="auto"/>
        <w:rPr>
          <w:rFonts w:ascii="宋体" w:hAnsi="宋体" w:cs="宋体"/>
          <w:color w:val="auto"/>
          <w:sz w:val="24"/>
          <w:highlight w:val="none"/>
        </w:rPr>
      </w:pPr>
      <w:r>
        <w:rPr>
          <w:rFonts w:hint="eastAsia" w:ascii="宋体" w:hAnsi="宋体" w:cs="宋体"/>
          <w:color w:val="auto"/>
          <w:sz w:val="24"/>
          <w:highlight w:val="none"/>
        </w:rPr>
        <w:t>（1）具有独立承担民事责任的能力：投标人须在投标文件中出具符合以下情况的证明材料复印件（五选一）：</w:t>
      </w:r>
    </w:p>
    <w:p w14:paraId="1D5B66A2">
      <w:pPr>
        <w:spacing w:line="360" w:lineRule="auto"/>
        <w:rPr>
          <w:rFonts w:ascii="宋体" w:hAnsi="宋体" w:cs="宋体"/>
          <w:color w:val="auto"/>
          <w:sz w:val="24"/>
          <w:highlight w:val="none"/>
        </w:rPr>
      </w:pPr>
      <w:r>
        <w:rPr>
          <w:rFonts w:hint="eastAsia" w:ascii="宋体" w:hAnsi="宋体" w:cs="宋体"/>
          <w:color w:val="auto"/>
          <w:sz w:val="24"/>
          <w:highlight w:val="none"/>
        </w:rPr>
        <w:t>①如投标人是企业（包括合伙企业），提供在工商部门注册的有效“企业法人营业执照”或“营业执照”；</w:t>
      </w:r>
    </w:p>
    <w:p w14:paraId="15A51636">
      <w:pPr>
        <w:spacing w:line="360" w:lineRule="auto"/>
        <w:rPr>
          <w:rFonts w:ascii="宋体" w:hAnsi="宋体" w:cs="宋体"/>
          <w:color w:val="auto"/>
          <w:sz w:val="24"/>
          <w:highlight w:val="none"/>
        </w:rPr>
      </w:pPr>
      <w:r>
        <w:rPr>
          <w:rFonts w:hint="eastAsia" w:ascii="宋体" w:hAnsi="宋体" w:cs="宋体"/>
          <w:color w:val="auto"/>
          <w:sz w:val="24"/>
          <w:highlight w:val="none"/>
        </w:rPr>
        <w:t>②如投标人是事业单位，提供有效的“事业单位法人证书”；</w:t>
      </w:r>
    </w:p>
    <w:p w14:paraId="33AF6D34">
      <w:pPr>
        <w:spacing w:line="360" w:lineRule="auto"/>
        <w:rPr>
          <w:rFonts w:ascii="宋体" w:hAnsi="宋体" w:cs="宋体"/>
          <w:color w:val="auto"/>
          <w:sz w:val="24"/>
          <w:highlight w:val="none"/>
        </w:rPr>
      </w:pPr>
      <w:r>
        <w:rPr>
          <w:rFonts w:hint="eastAsia" w:ascii="宋体" w:hAnsi="宋体" w:cs="宋体"/>
          <w:color w:val="auto"/>
          <w:sz w:val="24"/>
          <w:highlight w:val="none"/>
        </w:rPr>
        <w:t>③如投标人是非企业专业服务机构的，提供执业许可证等证明文件；</w:t>
      </w:r>
    </w:p>
    <w:p w14:paraId="6865D5C8">
      <w:pPr>
        <w:spacing w:line="360" w:lineRule="auto"/>
        <w:rPr>
          <w:rFonts w:ascii="宋体" w:hAnsi="宋体" w:cs="宋体"/>
          <w:color w:val="auto"/>
          <w:sz w:val="24"/>
          <w:highlight w:val="none"/>
        </w:rPr>
      </w:pPr>
      <w:r>
        <w:rPr>
          <w:rFonts w:hint="eastAsia" w:ascii="宋体" w:hAnsi="宋体" w:cs="宋体"/>
          <w:color w:val="auto"/>
          <w:sz w:val="24"/>
          <w:highlight w:val="none"/>
        </w:rPr>
        <w:t>④如投标人是个体工商户，提供有效的“个体工商户营业执照”；</w:t>
      </w:r>
    </w:p>
    <w:p w14:paraId="723D0548">
      <w:pPr>
        <w:spacing w:line="360" w:lineRule="auto"/>
        <w:rPr>
          <w:rFonts w:ascii="宋体" w:hAnsi="宋体" w:cs="宋体"/>
          <w:color w:val="auto"/>
          <w:sz w:val="24"/>
          <w:highlight w:val="none"/>
        </w:rPr>
      </w:pPr>
      <w:r>
        <w:rPr>
          <w:rFonts w:hint="eastAsia" w:ascii="宋体" w:hAnsi="宋体" w:cs="宋体"/>
          <w:color w:val="auto"/>
          <w:sz w:val="24"/>
          <w:highlight w:val="none"/>
        </w:rPr>
        <w:t>⑤如投标人是自然人，提供有效的自然人身份证明（居民身份证正反面或公安机关出具的临时居民身份证正反面或港澳台胞证或护照）。</w:t>
      </w:r>
    </w:p>
    <w:p w14:paraId="3C426419">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default" w:ascii="宋体" w:hAnsi="宋体" w:cs="宋体"/>
          <w:color w:val="auto"/>
          <w:sz w:val="24"/>
          <w:highlight w:val="none"/>
        </w:rPr>
        <w:t>2</w:t>
      </w:r>
      <w:r>
        <w:rPr>
          <w:rFonts w:hint="eastAsia" w:ascii="宋体" w:hAnsi="宋体" w:cs="宋体"/>
          <w:color w:val="auto"/>
          <w:sz w:val="24"/>
          <w:highlight w:val="none"/>
        </w:rPr>
        <w:t>）法定代表人身份证复印件或法定代表人授权委托书(格式见附件)；</w:t>
      </w:r>
    </w:p>
    <w:p w14:paraId="6662B923">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default" w:ascii="宋体" w:hAnsi="宋体" w:cs="宋体"/>
          <w:color w:val="auto"/>
          <w:sz w:val="24"/>
          <w:highlight w:val="none"/>
        </w:rPr>
        <w:t>3</w:t>
      </w:r>
      <w:r>
        <w:rPr>
          <w:rFonts w:hint="eastAsia" w:ascii="宋体" w:hAnsi="宋体" w:cs="宋体"/>
          <w:color w:val="auto"/>
          <w:sz w:val="24"/>
          <w:highlight w:val="none"/>
        </w:rPr>
        <w:t>）符合参加政府采购活动应当具备的一般条件的承诺函（格式见附件）；</w:t>
      </w:r>
    </w:p>
    <w:p w14:paraId="749110A6">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）联合体协议书/分包意向协议；（联合体投标/分包时提供，格式见附件）；</w:t>
      </w:r>
    </w:p>
    <w:p w14:paraId="6D1D5676">
      <w:pPr>
        <w:spacing w:line="360" w:lineRule="auto"/>
        <w:rPr>
          <w:rFonts w:ascii="宋体" w:hAnsi="宋体" w:cs="宋体"/>
          <w:b/>
          <w:bCs/>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）中小企业声明函（格式见附件）</w:t>
      </w:r>
      <w:r>
        <w:rPr>
          <w:rFonts w:hint="eastAsia" w:ascii="宋体" w:hAnsi="宋体" w:cs="宋体"/>
          <w:color w:val="auto"/>
          <w:sz w:val="24"/>
          <w:highlight w:val="none"/>
          <w:lang w:val="en-US" w:eastAsia="zh-CN"/>
        </w:rPr>
        <w:t>；</w:t>
      </w:r>
    </w:p>
    <w:p w14:paraId="1F6527B3">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信用记录网络查询页面截图（信用中国与中国政府采购网）；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C31B88B">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）浙江政府采购网注册正式供应商的网络截图或承诺中标后30天内注册为浙江政府采购网正式供应商（须提供承诺书）；</w:t>
      </w:r>
    </w:p>
    <w:p w14:paraId="2CA0ACEC">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）东阳市政府采购代理机构社会评价表（格式见附件）；</w:t>
      </w:r>
    </w:p>
    <w:p w14:paraId="0C552855">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）投标声明书 (格式见附件) ；</w:t>
      </w:r>
    </w:p>
    <w:p w14:paraId="52364D1E">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）政府采购活动现场确认声明书 (格式见附件)；</w:t>
      </w:r>
    </w:p>
    <w:p w14:paraId="3F4B6102">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）投标人情况介绍；</w:t>
      </w:r>
    </w:p>
    <w:p w14:paraId="70C6CA03">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）投标人认为有必要提供的其它文件。</w:t>
      </w:r>
    </w:p>
    <w:p w14:paraId="4C0ECC07">
      <w:pPr>
        <w:spacing w:line="360" w:lineRule="auto"/>
        <w:rPr>
          <w:rFonts w:ascii="宋体" w:hAnsi="宋体" w:cs="宋体"/>
          <w:b/>
          <w:bCs/>
          <w:color w:val="auto"/>
          <w:sz w:val="24"/>
          <w:highlight w:val="none"/>
        </w:rPr>
      </w:pPr>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rPr>
        <w:t>.商务技术文件</w:t>
      </w:r>
    </w:p>
    <w:p w14:paraId="06B8A1A4">
      <w:pPr>
        <w:spacing w:line="360" w:lineRule="auto"/>
        <w:rPr>
          <w:rFonts w:hint="eastAsia" w:ascii="宋体" w:hAnsi="宋体" w:cs="宋体"/>
          <w:color w:val="auto"/>
          <w:sz w:val="24"/>
          <w:highlight w:val="none"/>
        </w:rPr>
      </w:pPr>
      <w:r>
        <w:rPr>
          <w:rFonts w:hint="eastAsia" w:ascii="宋体" w:hAnsi="宋体" w:cs="宋体"/>
          <w:color w:val="auto"/>
          <w:sz w:val="24"/>
          <w:highlight w:val="none"/>
        </w:rPr>
        <w:t>（1）投标人资信商务、技术自评得分表（格式见附件）；</w:t>
      </w:r>
    </w:p>
    <w:p w14:paraId="5A9C8A1C">
      <w:pPr>
        <w:spacing w:line="360" w:lineRule="auto"/>
        <w:rPr>
          <w:rFonts w:hint="eastAsia" w:ascii="宋体" w:hAnsi="宋体" w:cs="宋体"/>
          <w:color w:val="auto"/>
          <w:sz w:val="24"/>
          <w:highlight w:val="none"/>
        </w:rPr>
      </w:pPr>
      <w:r>
        <w:rPr>
          <w:rFonts w:hint="eastAsia" w:ascii="宋体" w:hAnsi="宋体" w:cs="宋体"/>
          <w:color w:val="auto"/>
          <w:sz w:val="24"/>
          <w:highlight w:val="none"/>
        </w:rPr>
        <w:t>（2）商务响应表（格式见附件）；</w:t>
      </w:r>
    </w:p>
    <w:p w14:paraId="23CAC567">
      <w:pPr>
        <w:spacing w:line="360" w:lineRule="auto"/>
        <w:rPr>
          <w:rFonts w:hint="eastAsia" w:ascii="宋体" w:hAnsi="宋体" w:cs="宋体"/>
          <w:color w:val="auto"/>
          <w:sz w:val="24"/>
          <w:highlight w:val="none"/>
        </w:rPr>
      </w:pPr>
      <w:r>
        <w:rPr>
          <w:rFonts w:hint="eastAsia" w:ascii="宋体" w:hAnsi="宋体" w:cs="宋体"/>
          <w:color w:val="auto"/>
          <w:sz w:val="24"/>
          <w:highlight w:val="none"/>
        </w:rPr>
        <w:t>（3）技术响应表（格式见附件）；</w:t>
      </w:r>
    </w:p>
    <w:p w14:paraId="71E6B993">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）产品配置清单（格式见附件）；</w:t>
      </w:r>
    </w:p>
    <w:p w14:paraId="733E3682">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）技术响应情况；</w:t>
      </w:r>
    </w:p>
    <w:p w14:paraId="246FC6B6">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）项目技术方案及实施条件；</w:t>
      </w:r>
    </w:p>
    <w:p w14:paraId="179688D2">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）安装、调试、验收；</w:t>
      </w:r>
    </w:p>
    <w:p w14:paraId="4238D723">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）质保期；</w:t>
      </w:r>
    </w:p>
    <w:p w14:paraId="23F9236D">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）应急方案；</w:t>
      </w:r>
    </w:p>
    <w:p w14:paraId="5B17B401">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）培训方案；</w:t>
      </w:r>
    </w:p>
    <w:p w14:paraId="788B24E2">
      <w:pPr>
        <w:spacing w:line="360" w:lineRule="auto"/>
        <w:rPr>
          <w:rFonts w:hint="eastAsia" w:ascii="宋体" w:hAnsi="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hAnsi="宋体" w:cs="宋体"/>
          <w:color w:val="auto"/>
          <w:sz w:val="24"/>
          <w:highlight w:val="none"/>
          <w:lang w:val="en-US" w:eastAsia="zh-CN"/>
        </w:rPr>
        <w:t>企业证书</w:t>
      </w:r>
      <w:r>
        <w:rPr>
          <w:rFonts w:hint="eastAsia" w:ascii="宋体" w:hAnsi="宋体" w:cs="宋体"/>
          <w:color w:val="auto"/>
          <w:sz w:val="24"/>
          <w:highlight w:val="none"/>
          <w:lang w:val="en-US" w:eastAsia="zh-CN"/>
        </w:rPr>
        <w:t>；</w:t>
      </w:r>
    </w:p>
    <w:p w14:paraId="1C5CFEE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）同类业绩（格式见附件）；</w:t>
      </w:r>
    </w:p>
    <w:p w14:paraId="652C9A2B">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）实施人员</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 xml:space="preserve"> </w:t>
      </w:r>
    </w:p>
    <w:p w14:paraId="464DB29F">
      <w:pPr>
        <w:spacing w:line="360" w:lineRule="auto"/>
        <w:rPr>
          <w:rFonts w:hint="eastAsia" w:ascii="宋体" w:hAnsi="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）售后服务保障及运维能力</w:t>
      </w:r>
      <w:r>
        <w:rPr>
          <w:rFonts w:hint="eastAsia" w:ascii="宋体" w:hAnsi="宋体" w:cs="宋体"/>
          <w:color w:val="auto"/>
          <w:sz w:val="24"/>
          <w:highlight w:val="none"/>
          <w:lang w:eastAsia="zh-CN"/>
        </w:rPr>
        <w:t>；</w:t>
      </w:r>
    </w:p>
    <w:p w14:paraId="0DB77CD5">
      <w:pPr>
        <w:spacing w:line="360" w:lineRule="auto"/>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15</w:t>
      </w:r>
      <w:r>
        <w:rPr>
          <w:rFonts w:hint="eastAsia" w:ascii="宋体" w:hAnsi="宋体" w:cs="宋体"/>
          <w:color w:val="auto"/>
          <w:sz w:val="24"/>
          <w:highlight w:val="none"/>
          <w:lang w:eastAsia="zh-CN"/>
        </w:rPr>
        <w:t>）</w:t>
      </w:r>
      <w:r>
        <w:rPr>
          <w:rFonts w:hint="eastAsia" w:ascii="宋体" w:hAnsi="宋体" w:cs="宋体"/>
          <w:color w:val="auto"/>
          <w:sz w:val="24"/>
          <w:highlight w:val="none"/>
        </w:rPr>
        <w:t>环保节能产品</w:t>
      </w:r>
      <w:r>
        <w:rPr>
          <w:rFonts w:hint="eastAsia" w:ascii="宋体" w:hAnsi="宋体" w:cs="宋体"/>
          <w:color w:val="auto"/>
          <w:sz w:val="24"/>
          <w:highlight w:val="none"/>
          <w:lang w:eastAsia="zh-CN"/>
        </w:rPr>
        <w:t>；</w:t>
      </w:r>
    </w:p>
    <w:p w14:paraId="7697FCDD">
      <w:pPr>
        <w:spacing w:line="360" w:lineRule="auto"/>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）服务费承诺书（格式见附件）；</w:t>
      </w:r>
    </w:p>
    <w:p w14:paraId="3ADABFB2">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17</w:t>
      </w:r>
      <w:r>
        <w:rPr>
          <w:rFonts w:hint="eastAsia" w:ascii="宋体" w:hAnsi="宋体" w:cs="宋体"/>
          <w:color w:val="auto"/>
          <w:sz w:val="24"/>
          <w:highlight w:val="none"/>
        </w:rPr>
        <w:t>）投标人需要说明的其他文件和说明。</w:t>
      </w:r>
    </w:p>
    <w:p w14:paraId="77944721">
      <w:pPr>
        <w:spacing w:line="360" w:lineRule="auto"/>
        <w:rPr>
          <w:rFonts w:ascii="宋体" w:hAnsi="宋体" w:cs="宋体"/>
          <w:b/>
          <w:bCs/>
          <w:color w:val="auto"/>
          <w:sz w:val="24"/>
          <w:highlight w:val="none"/>
        </w:rPr>
      </w:pPr>
      <w:r>
        <w:rPr>
          <w:rFonts w:hint="eastAsia" w:ascii="宋体" w:hAnsi="宋体" w:cs="宋体"/>
          <w:b/>
          <w:bCs/>
          <w:color w:val="auto"/>
          <w:sz w:val="24"/>
          <w:highlight w:val="none"/>
          <w:lang w:val="en-US" w:eastAsia="zh-CN"/>
        </w:rPr>
        <w:t>4.</w:t>
      </w:r>
      <w:r>
        <w:rPr>
          <w:rFonts w:hint="eastAsia" w:ascii="宋体" w:hAnsi="宋体" w:cs="宋体"/>
          <w:b/>
          <w:bCs/>
          <w:color w:val="auto"/>
          <w:sz w:val="24"/>
          <w:highlight w:val="none"/>
        </w:rPr>
        <w:t>报价文件</w:t>
      </w:r>
    </w:p>
    <w:p w14:paraId="28D045C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（1）投标函（格式见附件）；</w:t>
      </w:r>
    </w:p>
    <w:p w14:paraId="256AC9D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（2）中小企业声明函（格式见附件）；</w:t>
      </w:r>
    </w:p>
    <w:p w14:paraId="2B9B232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（3）监狱企业证明文件；</w:t>
      </w:r>
    </w:p>
    <w:p w14:paraId="6FA52BE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（4）联合体协议书/分包意向协议；（联合体投标/分包时提供，格式见附件）</w:t>
      </w:r>
    </w:p>
    <w:p w14:paraId="45C305B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（5）残疾人福利性单位声明函（格式见附件）；</w:t>
      </w:r>
    </w:p>
    <w:p w14:paraId="093850A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（6）开标一览表（格式见附件）； </w:t>
      </w:r>
    </w:p>
    <w:p w14:paraId="162B8915">
      <w:pPr>
        <w:snapToGrid w:val="0"/>
        <w:spacing w:line="360" w:lineRule="auto"/>
        <w:rPr>
          <w:rFonts w:ascii="宋体" w:hAnsi="宋体" w:cs="宋体"/>
          <w:b/>
          <w:bCs/>
          <w:color w:val="auto"/>
          <w:sz w:val="24"/>
          <w:highlight w:val="none"/>
        </w:rPr>
      </w:pPr>
      <w:r>
        <w:rPr>
          <w:rFonts w:hint="eastAsia" w:ascii="宋体" w:hAnsi="宋体" w:cs="宋体"/>
          <w:color w:val="auto"/>
          <w:sz w:val="24"/>
          <w:highlight w:val="none"/>
        </w:rPr>
        <w:t>（7）投标人针对报价需要说明的其他文件和说明（格式自拟）。</w:t>
      </w:r>
    </w:p>
    <w:p w14:paraId="7F046917">
      <w:pPr>
        <w:pStyle w:val="8"/>
        <w:keepNext w:val="0"/>
        <w:keepLines w:val="0"/>
        <w:pageBreakBefore/>
        <w:spacing w:line="360" w:lineRule="auto"/>
        <w:rPr>
          <w:rFonts w:ascii="宋体" w:hAnsi="宋体" w:eastAsia="宋体" w:cs="宋体"/>
          <w:b/>
          <w:bCs/>
          <w:color w:val="auto"/>
          <w:sz w:val="24"/>
          <w:szCs w:val="24"/>
          <w:highlight w:val="none"/>
        </w:rPr>
      </w:pPr>
      <w:bookmarkStart w:id="74" w:name="_Toc27093"/>
      <w:r>
        <w:rPr>
          <w:rFonts w:hint="eastAsia" w:ascii="宋体" w:hAnsi="宋体" w:eastAsia="宋体" w:cs="宋体"/>
          <w:b/>
          <w:bCs/>
          <w:color w:val="auto"/>
          <w:sz w:val="24"/>
          <w:szCs w:val="24"/>
          <w:highlight w:val="none"/>
        </w:rPr>
        <w:t>附件一：投标声明书</w:t>
      </w:r>
      <w:bookmarkEnd w:id="74"/>
    </w:p>
    <w:p w14:paraId="563FE3D2">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投标声明书</w:t>
      </w:r>
    </w:p>
    <w:p w14:paraId="18F3EB70">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1EA45969">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（投标人名称）系中华人民共和国合法企业，经营地址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9879F61">
      <w:pPr>
        <w:snapToGrid w:val="0"/>
        <w:spacing w:before="120" w:beforeLines="50" w:after="50" w:line="276" w:lineRule="auto"/>
        <w:ind w:firstLine="645"/>
        <w:rPr>
          <w:rFonts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（投标人名称）的法定代表人，我方愿意参加贵方组织的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项目的投标，为便于贵方公正、择优地确定中标人及其投标服务，我方就本次投标有关事项郑重声明如下：</w:t>
      </w:r>
    </w:p>
    <w:p w14:paraId="6571F98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1.我方向贵方提交的所有投标文件、资料都是准确的和真实的。若有违背，我公司愿为由此而产生的一切后果负责。</w:t>
      </w:r>
    </w:p>
    <w:p w14:paraId="4435901D">
      <w:pPr>
        <w:snapToGrid w:val="0"/>
        <w:spacing w:before="120"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2.我方不是采购人的附属机构；在获知本项目采购信息后，与采购人聘请的为此项目提供咨询服务的公司及其附属机构没有任何联系。</w:t>
      </w:r>
    </w:p>
    <w:p w14:paraId="44B42B22">
      <w:pPr>
        <w:snapToGrid w:val="0"/>
        <w:spacing w:before="120" w:beforeLines="50" w:line="276"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 我方诚意提请贵方关注：近期有</w:t>
      </w:r>
      <w:r>
        <w:rPr>
          <w:rFonts w:hint="eastAsia" w:ascii="宋体" w:hAnsi="宋体" w:cs="宋体"/>
          <w:color w:val="auto"/>
          <w:sz w:val="24"/>
          <w:highlight w:val="none"/>
          <w:u w:val="single"/>
        </w:rPr>
        <w:t xml:space="preserve">                   （采购内容）</w:t>
      </w:r>
      <w:r>
        <w:rPr>
          <w:rFonts w:hint="eastAsia" w:ascii="宋体" w:hAnsi="宋体" w:cs="宋体"/>
          <w:color w:val="auto"/>
          <w:sz w:val="24"/>
          <w:highlight w:val="none"/>
        </w:rPr>
        <w:t>等方面的重大决策和事项有：</w:t>
      </w:r>
    </w:p>
    <w:p w14:paraId="19023361">
      <w:pPr>
        <w:snapToGrid w:val="0"/>
        <w:spacing w:before="120"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　　　　　　　　　　　　　　　　　　　　　　　　　　　</w:t>
      </w:r>
    </w:p>
    <w:p w14:paraId="65155A4D">
      <w:pPr>
        <w:snapToGrid w:val="0"/>
        <w:spacing w:before="120" w:beforeLines="50" w:line="276"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rPr>
        <w:t>　　　　　　　　　　　　　　　　　　　　　　　　　　　</w:t>
      </w:r>
    </w:p>
    <w:p w14:paraId="425ABF97">
      <w:pPr>
        <w:pStyle w:val="16"/>
        <w:snapToGrid w:val="0"/>
        <w:spacing w:line="276" w:lineRule="auto"/>
        <w:rPr>
          <w:rFonts w:ascii="宋体" w:hAnsi="宋体" w:cs="宋体"/>
          <w:color w:val="auto"/>
          <w:sz w:val="24"/>
          <w:highlight w:val="none"/>
        </w:rPr>
      </w:pPr>
      <w:r>
        <w:rPr>
          <w:rFonts w:hint="eastAsia" w:ascii="宋体" w:hAnsi="宋体" w:cs="宋体"/>
          <w:color w:val="auto"/>
          <w:sz w:val="24"/>
          <w:highlight w:val="none"/>
        </w:rPr>
        <w:t>4.我方及由本人担任法定代表人的其他机构最近三年内被通报或者被处罚的违法行为有：</w:t>
      </w:r>
    </w:p>
    <w:p w14:paraId="0E4F2146">
      <w:pPr>
        <w:snapToGrid w:val="0"/>
        <w:spacing w:before="120"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　　　　　　　　　　　　　　　　　　　　　　　　　　　</w:t>
      </w:r>
    </w:p>
    <w:p w14:paraId="17EDEEC8">
      <w:pPr>
        <w:snapToGrid w:val="0"/>
        <w:spacing w:before="120"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　　　　　　　　　　　　　　　　　　　　　　　　　　　</w:t>
      </w:r>
    </w:p>
    <w:p w14:paraId="03F0818D">
      <w:pPr>
        <w:snapToGrid w:val="0"/>
        <w:spacing w:line="276"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5.以上事项如有虚假或隐瞒，我方愿意承担一切后果，并不再寻求任何旨在减轻或免除法律责任的辩解。</w:t>
      </w:r>
    </w:p>
    <w:p w14:paraId="436AB21D">
      <w:pPr>
        <w:pStyle w:val="22"/>
        <w:tabs>
          <w:tab w:val="left" w:pos="939"/>
        </w:tabs>
        <w:snapToGrid w:val="0"/>
        <w:spacing w:line="276" w:lineRule="auto"/>
        <w:ind w:left="773" w:leftChars="150" w:hanging="458" w:hangingChars="191"/>
        <w:rPr>
          <w:rFonts w:ascii="宋体" w:hAnsi="宋体" w:cs="宋体"/>
          <w:color w:val="auto"/>
          <w:sz w:val="24"/>
          <w:highlight w:val="none"/>
        </w:rPr>
      </w:pPr>
    </w:p>
    <w:p w14:paraId="30EC4CC4">
      <w:pPr>
        <w:pStyle w:val="116"/>
        <w:snapToGrid w:val="0"/>
        <w:spacing w:before="120" w:beforeLines="50" w:line="276" w:lineRule="auto"/>
        <w:ind w:firstLine="200"/>
        <w:rPr>
          <w:rFonts w:ascii="宋体" w:hAnsi="宋体" w:cs="宋体"/>
          <w:color w:val="auto"/>
          <w:szCs w:val="24"/>
          <w:highlight w:val="none"/>
        </w:rPr>
      </w:pPr>
    </w:p>
    <w:p w14:paraId="6A1B36E6">
      <w:pPr>
        <w:snapToGrid w:val="0"/>
        <w:spacing w:before="120" w:beforeLines="50" w:line="276" w:lineRule="auto"/>
        <w:ind w:firstLine="319" w:firstLineChars="133"/>
        <w:rPr>
          <w:rFonts w:ascii="宋体" w:hAnsi="宋体" w:cs="宋体"/>
          <w:color w:val="auto"/>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z w:val="24"/>
          <w:highlight w:val="none"/>
          <w:u w:val="single"/>
        </w:rPr>
        <w:t xml:space="preserve">             </w:t>
      </w:r>
    </w:p>
    <w:p w14:paraId="17E29C5F">
      <w:pPr>
        <w:snapToGrid w:val="0"/>
        <w:spacing w:before="120" w:beforeLines="50" w:after="50" w:line="276" w:lineRule="auto"/>
        <w:ind w:firstLine="360" w:firstLineChars="150"/>
        <w:rPr>
          <w:rFonts w:ascii="宋体" w:hAnsi="宋体" w:cs="宋体"/>
          <w:color w:val="auto"/>
          <w:sz w:val="24"/>
          <w:highlight w:val="none"/>
        </w:rPr>
      </w:pPr>
      <w:r>
        <w:rPr>
          <w:rFonts w:hint="eastAsia" w:ascii="宋体" w:hAnsi="宋体" w:cs="宋体"/>
          <w:color w:val="auto"/>
          <w:sz w:val="24"/>
          <w:highlight w:val="none"/>
        </w:rPr>
        <w:t>投标人公章：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588DDD3D">
      <w:pPr>
        <w:snapToGrid w:val="0"/>
        <w:spacing w:before="120" w:beforeLines="50" w:after="50" w:line="276" w:lineRule="auto"/>
        <w:ind w:firstLine="6240" w:firstLineChars="2600"/>
        <w:rPr>
          <w:rFonts w:ascii="宋体" w:hAnsi="宋体" w:cs="宋体"/>
          <w:color w:val="auto"/>
          <w:sz w:val="24"/>
          <w:highlight w:val="none"/>
        </w:rPr>
      </w:pPr>
      <w:r>
        <w:rPr>
          <w:rFonts w:hint="eastAsia" w:ascii="宋体" w:hAnsi="宋体" w:cs="宋体"/>
          <w:color w:val="auto"/>
          <w:sz w:val="24"/>
          <w:highlight w:val="none"/>
        </w:rPr>
        <w:t>年    月    日</w:t>
      </w:r>
    </w:p>
    <w:p w14:paraId="0914982E">
      <w:pPr>
        <w:snapToGrid w:val="0"/>
        <w:spacing w:before="120" w:beforeLines="50" w:after="50" w:line="276" w:lineRule="auto"/>
        <w:ind w:firstLine="6240" w:firstLineChars="2600"/>
        <w:rPr>
          <w:rFonts w:ascii="宋体" w:hAnsi="宋体" w:cs="宋体"/>
          <w:color w:val="auto"/>
          <w:sz w:val="24"/>
          <w:highlight w:val="none"/>
        </w:rPr>
      </w:pPr>
    </w:p>
    <w:p w14:paraId="32BEAED0">
      <w:pPr>
        <w:snapToGrid w:val="0"/>
        <w:spacing w:before="120" w:beforeLines="50" w:after="50" w:line="276" w:lineRule="auto"/>
        <w:ind w:firstLine="6240" w:firstLineChars="2600"/>
        <w:rPr>
          <w:rFonts w:ascii="宋体" w:hAnsi="宋体" w:cs="宋体"/>
          <w:color w:val="auto"/>
          <w:sz w:val="24"/>
          <w:highlight w:val="none"/>
        </w:rPr>
      </w:pPr>
    </w:p>
    <w:p w14:paraId="5EE5286B">
      <w:pPr>
        <w:snapToGrid w:val="0"/>
        <w:spacing w:before="120" w:beforeLines="50" w:after="50" w:line="276" w:lineRule="auto"/>
        <w:rPr>
          <w:rFonts w:ascii="宋体" w:hAnsi="宋体" w:cs="宋体"/>
          <w:color w:val="auto"/>
          <w:sz w:val="24"/>
          <w:highlight w:val="none"/>
        </w:rPr>
      </w:pPr>
    </w:p>
    <w:p w14:paraId="70ABD3F7">
      <w:pPr>
        <w:pStyle w:val="8"/>
        <w:keepNext w:val="0"/>
        <w:keepLines w:val="0"/>
        <w:pageBreakBefore/>
        <w:spacing w:line="360" w:lineRule="auto"/>
        <w:rPr>
          <w:rFonts w:ascii="宋体" w:hAnsi="宋体" w:eastAsia="宋体" w:cs="宋体"/>
          <w:color w:val="auto"/>
          <w:sz w:val="24"/>
          <w:szCs w:val="24"/>
          <w:highlight w:val="none"/>
        </w:rPr>
      </w:pPr>
      <w:bookmarkStart w:id="75" w:name="_Toc24416"/>
      <w:bookmarkStart w:id="76" w:name="_Toc10320"/>
      <w:r>
        <w:rPr>
          <w:rFonts w:hint="eastAsia" w:ascii="宋体" w:hAnsi="宋体" w:eastAsia="宋体" w:cs="宋体"/>
          <w:color w:val="auto"/>
          <w:sz w:val="24"/>
          <w:szCs w:val="24"/>
          <w:highlight w:val="none"/>
        </w:rPr>
        <w:t>附件二：符合参加政府采购活动应当具备的一般条件的承诺函</w:t>
      </w:r>
      <w:bookmarkEnd w:id="75"/>
    </w:p>
    <w:p w14:paraId="2C686E3B">
      <w:pPr>
        <w:pStyle w:val="36"/>
        <w:spacing w:before="100" w:after="100" w:line="360" w:lineRule="auto"/>
        <w:jc w:val="center"/>
        <w:rPr>
          <w:color w:val="auto"/>
          <w:highlight w:val="none"/>
        </w:rPr>
      </w:pPr>
      <w:r>
        <w:rPr>
          <w:rFonts w:hint="eastAsia"/>
          <w:b/>
          <w:bCs/>
          <w:color w:val="auto"/>
          <w:sz w:val="27"/>
          <w:szCs w:val="27"/>
          <w:highlight w:val="none"/>
        </w:rPr>
        <w:t>符合参加政府采购活动应当具备的一般条件的承诺函</w:t>
      </w:r>
    </w:p>
    <w:p w14:paraId="5860438D">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2DBAEE3A">
      <w:pPr>
        <w:pStyle w:val="36"/>
        <w:spacing w:before="0" w:after="0" w:line="360" w:lineRule="auto"/>
        <w:ind w:left="480"/>
        <w:jc w:val="both"/>
        <w:rPr>
          <w:color w:val="auto"/>
          <w:kern w:val="2"/>
          <w:highlight w:val="none"/>
        </w:rPr>
      </w:pPr>
      <w:r>
        <w:rPr>
          <w:rFonts w:hint="eastAsia"/>
          <w:color w:val="auto"/>
          <w:kern w:val="2"/>
          <w:highlight w:val="none"/>
        </w:rPr>
        <w:t>我方参与</w:t>
      </w:r>
      <w:r>
        <w:rPr>
          <w:rFonts w:hint="eastAsia"/>
          <w:color w:val="auto"/>
          <w:highlight w:val="none"/>
          <w:u w:val="single"/>
        </w:rPr>
        <w:t xml:space="preserve">              </w:t>
      </w:r>
      <w:r>
        <w:rPr>
          <w:rFonts w:hint="eastAsia"/>
          <w:color w:val="auto"/>
          <w:kern w:val="2"/>
          <w:highlight w:val="none"/>
        </w:rPr>
        <w:t>项目【项目编号：</w:t>
      </w:r>
      <w:r>
        <w:rPr>
          <w:rFonts w:hint="eastAsia"/>
          <w:color w:val="auto"/>
          <w:highlight w:val="none"/>
          <w:u w:val="single"/>
        </w:rPr>
        <w:t xml:space="preserve">             </w:t>
      </w:r>
      <w:r>
        <w:rPr>
          <w:rFonts w:hint="eastAsia"/>
          <w:color w:val="auto"/>
          <w:kern w:val="2"/>
          <w:highlight w:val="none"/>
        </w:rPr>
        <w:t>】政府采购活动，郑重承诺：</w:t>
      </w:r>
    </w:p>
    <w:p w14:paraId="5B42F06B">
      <w:pPr>
        <w:pStyle w:val="36"/>
        <w:spacing w:before="0" w:after="0" w:line="360" w:lineRule="auto"/>
        <w:ind w:left="480"/>
        <w:jc w:val="both"/>
        <w:rPr>
          <w:color w:val="auto"/>
          <w:kern w:val="2"/>
          <w:highlight w:val="none"/>
        </w:rPr>
      </w:pPr>
      <w:r>
        <w:rPr>
          <w:rFonts w:hint="eastAsia"/>
          <w:color w:val="auto"/>
          <w:kern w:val="2"/>
          <w:highlight w:val="none"/>
        </w:rPr>
        <w:t>（一）具备《中华人民共和国政府采购法》第二十二条第一款规定的条件：</w:t>
      </w:r>
    </w:p>
    <w:p w14:paraId="3DB3CBFF">
      <w:pPr>
        <w:pStyle w:val="36"/>
        <w:spacing w:before="0" w:after="0" w:line="360" w:lineRule="auto"/>
        <w:ind w:left="480"/>
        <w:jc w:val="both"/>
        <w:rPr>
          <w:color w:val="auto"/>
          <w:kern w:val="2"/>
          <w:highlight w:val="none"/>
        </w:rPr>
      </w:pPr>
      <w:r>
        <w:rPr>
          <w:rFonts w:hint="eastAsia"/>
          <w:color w:val="auto"/>
          <w:kern w:val="2"/>
          <w:highlight w:val="none"/>
        </w:rPr>
        <w:t>1、具有独立承担民事责任的能力；</w:t>
      </w:r>
    </w:p>
    <w:p w14:paraId="67664B35">
      <w:pPr>
        <w:pStyle w:val="36"/>
        <w:spacing w:before="0" w:after="0" w:line="360" w:lineRule="auto"/>
        <w:ind w:left="480"/>
        <w:jc w:val="both"/>
        <w:rPr>
          <w:color w:val="auto"/>
          <w:kern w:val="2"/>
          <w:highlight w:val="none"/>
        </w:rPr>
      </w:pPr>
      <w:r>
        <w:rPr>
          <w:rFonts w:hint="eastAsia"/>
          <w:color w:val="auto"/>
          <w:kern w:val="2"/>
          <w:highlight w:val="none"/>
        </w:rPr>
        <w:t xml:space="preserve">2、具有良好的商业信誉和健全的财务会计制度； </w:t>
      </w:r>
    </w:p>
    <w:p w14:paraId="7E7F8B85">
      <w:pPr>
        <w:pStyle w:val="36"/>
        <w:spacing w:before="0" w:after="0" w:line="360" w:lineRule="auto"/>
        <w:ind w:left="480"/>
        <w:jc w:val="both"/>
        <w:rPr>
          <w:color w:val="auto"/>
          <w:kern w:val="2"/>
          <w:highlight w:val="none"/>
        </w:rPr>
      </w:pPr>
      <w:r>
        <w:rPr>
          <w:rFonts w:hint="eastAsia"/>
          <w:color w:val="auto"/>
          <w:kern w:val="2"/>
          <w:highlight w:val="none"/>
        </w:rPr>
        <w:t>3、具有履行合同所必需的设备和专业技术能力；</w:t>
      </w:r>
    </w:p>
    <w:p w14:paraId="054734E3">
      <w:pPr>
        <w:pStyle w:val="36"/>
        <w:spacing w:before="0" w:after="0" w:line="360" w:lineRule="auto"/>
        <w:ind w:left="480"/>
        <w:jc w:val="both"/>
        <w:rPr>
          <w:color w:val="auto"/>
          <w:kern w:val="2"/>
          <w:highlight w:val="none"/>
        </w:rPr>
      </w:pPr>
      <w:r>
        <w:rPr>
          <w:rFonts w:hint="eastAsia"/>
          <w:color w:val="auto"/>
          <w:kern w:val="2"/>
          <w:highlight w:val="none"/>
        </w:rPr>
        <w:t>4、有依法缴纳税收和社会保障资金的良好记录；</w:t>
      </w:r>
    </w:p>
    <w:p w14:paraId="3D46DE2D">
      <w:pPr>
        <w:pStyle w:val="36"/>
        <w:spacing w:before="0" w:after="0" w:line="360" w:lineRule="auto"/>
        <w:ind w:left="480"/>
        <w:jc w:val="both"/>
        <w:rPr>
          <w:color w:val="auto"/>
          <w:kern w:val="2"/>
          <w:highlight w:val="none"/>
        </w:rPr>
      </w:pPr>
      <w:r>
        <w:rPr>
          <w:rFonts w:hint="eastAsia"/>
          <w:color w:val="auto"/>
          <w:kern w:val="2"/>
          <w:highlight w:val="none"/>
        </w:rPr>
        <w:t>5、参加政府采购活动前三年内，在经营活动中没有重大违法记录；</w:t>
      </w:r>
    </w:p>
    <w:p w14:paraId="4EBEA282">
      <w:pPr>
        <w:pStyle w:val="36"/>
        <w:spacing w:before="0" w:after="0" w:line="360" w:lineRule="auto"/>
        <w:ind w:left="480"/>
        <w:jc w:val="both"/>
        <w:rPr>
          <w:color w:val="auto"/>
          <w:kern w:val="2"/>
          <w:highlight w:val="none"/>
        </w:rPr>
      </w:pPr>
      <w:r>
        <w:rPr>
          <w:rFonts w:hint="eastAsia"/>
          <w:color w:val="auto"/>
          <w:kern w:val="2"/>
          <w:highlight w:val="none"/>
        </w:rPr>
        <w:t>6、具有法律、行政法规规定的其他条件。</w:t>
      </w:r>
    </w:p>
    <w:p w14:paraId="03011033">
      <w:pPr>
        <w:pStyle w:val="36"/>
        <w:spacing w:before="0" w:after="0" w:line="360" w:lineRule="auto"/>
        <w:ind w:left="480"/>
        <w:jc w:val="both"/>
        <w:rPr>
          <w:color w:val="auto"/>
          <w:kern w:val="2"/>
          <w:highlight w:val="none"/>
        </w:rPr>
      </w:pPr>
      <w:r>
        <w:rPr>
          <w:rFonts w:hint="eastAsia"/>
          <w:color w:val="auto"/>
          <w:kern w:val="2"/>
          <w:highlight w:val="none"/>
        </w:rPr>
        <w:t>（二）未被信用中国（www.creditchina.gov.cn)、中国政府采购网（www.ccgp.gov.cn）列入失信被执行人、重大税收违法案件当事人名单、政府采购严重违法失信行为记录名单。</w:t>
      </w:r>
    </w:p>
    <w:p w14:paraId="3B184607">
      <w:pPr>
        <w:pStyle w:val="36"/>
        <w:spacing w:before="0" w:after="0" w:line="360" w:lineRule="auto"/>
        <w:ind w:left="480"/>
        <w:jc w:val="both"/>
        <w:rPr>
          <w:color w:val="auto"/>
          <w:kern w:val="2"/>
          <w:highlight w:val="none"/>
        </w:rPr>
      </w:pPr>
      <w:r>
        <w:rPr>
          <w:rFonts w:hint="eastAsia"/>
          <w:color w:val="auto"/>
          <w:kern w:val="2"/>
          <w:highlight w:val="none"/>
        </w:rPr>
        <w:t>（三）不存在以下情况：</w:t>
      </w:r>
    </w:p>
    <w:p w14:paraId="0EE73A06">
      <w:pPr>
        <w:pStyle w:val="36"/>
        <w:spacing w:before="0" w:after="0" w:line="360" w:lineRule="auto"/>
        <w:ind w:left="480"/>
        <w:jc w:val="both"/>
        <w:rPr>
          <w:color w:val="auto"/>
          <w:kern w:val="2"/>
          <w:highlight w:val="none"/>
        </w:rPr>
      </w:pPr>
      <w:r>
        <w:rPr>
          <w:rFonts w:hint="eastAsia"/>
          <w:color w:val="auto"/>
          <w:kern w:val="2"/>
          <w:highlight w:val="none"/>
        </w:rPr>
        <w:t>1、单位负责人为同一人或者存在直接控股、管理关系的不同供应商参加同一合同项下的政府采购活动的；</w:t>
      </w:r>
    </w:p>
    <w:p w14:paraId="66D2F01E">
      <w:pPr>
        <w:pStyle w:val="36"/>
        <w:spacing w:before="0" w:after="0" w:line="360" w:lineRule="auto"/>
        <w:ind w:left="480"/>
        <w:jc w:val="both"/>
        <w:rPr>
          <w:color w:val="auto"/>
          <w:kern w:val="2"/>
          <w:highlight w:val="none"/>
        </w:rPr>
      </w:pPr>
      <w:r>
        <w:rPr>
          <w:rFonts w:hint="eastAsia"/>
          <w:color w:val="auto"/>
          <w:kern w:val="2"/>
          <w:highlight w:val="none"/>
        </w:rPr>
        <w:t>2、为采购项目提供整体设计、规范编制或者项目管理、监理、检测等服务后再参加该采购项目的其他采购活动的。</w:t>
      </w:r>
    </w:p>
    <w:p w14:paraId="355667F4">
      <w:pPr>
        <w:pStyle w:val="36"/>
        <w:spacing w:before="0" w:after="0" w:line="360" w:lineRule="auto"/>
        <w:ind w:left="480"/>
        <w:jc w:val="both"/>
        <w:rPr>
          <w:color w:val="auto"/>
          <w:kern w:val="2"/>
          <w:highlight w:val="none"/>
        </w:rPr>
      </w:pPr>
    </w:p>
    <w:p w14:paraId="6DF94443">
      <w:pPr>
        <w:pStyle w:val="36"/>
        <w:spacing w:before="0" w:after="0" w:line="360" w:lineRule="auto"/>
        <w:ind w:left="480"/>
        <w:jc w:val="both"/>
        <w:rPr>
          <w:color w:val="auto"/>
          <w:kern w:val="2"/>
          <w:highlight w:val="none"/>
        </w:rPr>
      </w:pPr>
    </w:p>
    <w:p w14:paraId="3B9D04BE">
      <w:pPr>
        <w:pStyle w:val="36"/>
        <w:spacing w:before="0" w:after="0" w:line="360" w:lineRule="auto"/>
        <w:ind w:left="480"/>
        <w:jc w:val="both"/>
        <w:rPr>
          <w:color w:val="auto"/>
          <w:kern w:val="2"/>
          <w:highlight w:val="none"/>
        </w:rPr>
      </w:pPr>
    </w:p>
    <w:p w14:paraId="412D8B56">
      <w:pPr>
        <w:snapToGrid w:val="0"/>
        <w:spacing w:before="50" w:after="50"/>
        <w:rPr>
          <w:rFonts w:ascii="宋体" w:hAnsi="宋体" w:cs="宋体"/>
          <w:color w:val="auto"/>
          <w:spacing w:val="20"/>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pacing w:val="20"/>
          <w:sz w:val="24"/>
          <w:highlight w:val="none"/>
        </w:rPr>
        <w:t>：</w:t>
      </w:r>
      <w:r>
        <w:rPr>
          <w:rFonts w:hint="eastAsia" w:ascii="宋体" w:hAnsi="宋体" w:cs="宋体"/>
          <w:color w:val="auto"/>
          <w:spacing w:val="20"/>
          <w:sz w:val="24"/>
          <w:highlight w:val="none"/>
          <w:u w:val="single"/>
        </w:rPr>
        <w:t xml:space="preserve">        </w:t>
      </w:r>
    </w:p>
    <w:p w14:paraId="745915ED">
      <w:pPr>
        <w:snapToGrid w:val="0"/>
        <w:spacing w:before="120" w:beforeLines="50"/>
        <w:rPr>
          <w:rFonts w:ascii="宋体" w:hAnsi="宋体" w:cs="宋体"/>
          <w:color w:val="auto"/>
          <w:sz w:val="24"/>
          <w:highlight w:val="none"/>
        </w:rPr>
      </w:pPr>
      <w:r>
        <w:rPr>
          <w:rFonts w:hint="eastAsia" w:ascii="宋体" w:hAnsi="宋体" w:cs="宋体"/>
          <w:color w:val="auto"/>
          <w:spacing w:val="20"/>
          <w:sz w:val="24"/>
          <w:highlight w:val="none"/>
        </w:rPr>
        <w:t>投标人盖章：</w:t>
      </w:r>
      <w:r>
        <w:rPr>
          <w:rFonts w:hint="eastAsia" w:ascii="宋体" w:hAnsi="宋体" w:cs="宋体"/>
          <w:color w:val="auto"/>
          <w:spacing w:val="20"/>
          <w:sz w:val="24"/>
          <w:highlight w:val="none"/>
          <w:u w:val="single"/>
        </w:rPr>
        <w:t xml:space="preserve">            </w:t>
      </w:r>
      <w:r>
        <w:rPr>
          <w:rFonts w:hint="eastAsia" w:ascii="宋体" w:hAnsi="宋体" w:cs="宋体"/>
          <w:color w:val="auto"/>
          <w:spacing w:val="20"/>
          <w:sz w:val="24"/>
          <w:highlight w:val="none"/>
        </w:rPr>
        <w:t xml:space="preserve">              日 期：</w:t>
      </w:r>
      <w:r>
        <w:rPr>
          <w:rFonts w:hint="eastAsia" w:ascii="宋体" w:hAnsi="宋体" w:cs="宋体"/>
          <w:color w:val="auto"/>
          <w:spacing w:val="20"/>
          <w:sz w:val="24"/>
          <w:highlight w:val="none"/>
          <w:u w:val="single"/>
        </w:rPr>
        <w:t xml:space="preserve">            </w:t>
      </w:r>
    </w:p>
    <w:p w14:paraId="1016F7C8">
      <w:pPr>
        <w:rPr>
          <w:rFonts w:ascii="宋体" w:hAnsi="宋体" w:cs="宋体"/>
          <w:color w:val="auto"/>
          <w:sz w:val="24"/>
          <w:highlight w:val="none"/>
        </w:rPr>
      </w:pPr>
    </w:p>
    <w:p w14:paraId="094E0217">
      <w:pPr>
        <w:rPr>
          <w:rFonts w:ascii="宋体" w:hAnsi="宋体" w:cs="宋体"/>
          <w:color w:val="auto"/>
          <w:sz w:val="24"/>
          <w:highlight w:val="none"/>
        </w:rPr>
      </w:pPr>
    </w:p>
    <w:p w14:paraId="6AC04190">
      <w:pPr>
        <w:pStyle w:val="8"/>
        <w:keepNext w:val="0"/>
        <w:keepLines w:val="0"/>
        <w:pageBreakBefore/>
        <w:spacing w:line="360" w:lineRule="auto"/>
        <w:rPr>
          <w:rFonts w:ascii="宋体" w:hAnsi="宋体" w:eastAsia="宋体" w:cs="宋体"/>
          <w:color w:val="auto"/>
          <w:sz w:val="24"/>
          <w:szCs w:val="24"/>
          <w:highlight w:val="none"/>
        </w:rPr>
      </w:pPr>
      <w:bookmarkStart w:id="77" w:name="_Toc19429"/>
      <w:r>
        <w:rPr>
          <w:rFonts w:hint="eastAsia" w:ascii="宋体" w:hAnsi="宋体" w:eastAsia="宋体" w:cs="宋体"/>
          <w:color w:val="auto"/>
          <w:sz w:val="24"/>
          <w:szCs w:val="24"/>
          <w:highlight w:val="none"/>
        </w:rPr>
        <w:t>附件三：政府采购活动现场确认声明书</w:t>
      </w:r>
      <w:bookmarkEnd w:id="76"/>
      <w:bookmarkEnd w:id="77"/>
    </w:p>
    <w:p w14:paraId="41CCCDB9">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政府采购活动现场确认声明书</w:t>
      </w:r>
    </w:p>
    <w:p w14:paraId="38DF81D6">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东阳市鑫盛工程咨询有限公司 :</w:t>
      </w:r>
    </w:p>
    <w:p w14:paraId="44E1969A">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本人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（授权代表姓名），经由</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（单位）</w:t>
      </w:r>
    </w:p>
    <w:p w14:paraId="431981C4">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（法定代表人姓名）合法授权参加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）政府采购活动．经与本单位法人代表（负责人）联系确认，现就有关公平竞争事项郑重声明如下:</w:t>
      </w:r>
    </w:p>
    <w:p w14:paraId="639C83B2">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一、本单位与采购人之间口不存在利害关系口存在下列利害关系:</w:t>
      </w:r>
    </w:p>
    <w:p w14:paraId="76B38184">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A．投资关系</w:t>
      </w:r>
      <w:r>
        <w:rPr>
          <w:rFonts w:hint="eastAsia" w:ascii="宋体" w:hAnsi="宋体" w:cs="宋体"/>
          <w:color w:val="auto"/>
          <w:sz w:val="24"/>
          <w:highlight w:val="none"/>
        </w:rPr>
        <w:tab/>
      </w:r>
      <w:r>
        <w:rPr>
          <w:rFonts w:hint="eastAsia" w:ascii="宋体" w:hAnsi="宋体" w:cs="宋体"/>
          <w:color w:val="auto"/>
          <w:sz w:val="24"/>
          <w:highlight w:val="none"/>
        </w:rPr>
        <w:t>B．行政隶属关系</w:t>
      </w:r>
      <w:r>
        <w:rPr>
          <w:rFonts w:hint="eastAsia" w:ascii="宋体" w:hAnsi="宋体" w:cs="宋体"/>
          <w:color w:val="auto"/>
          <w:sz w:val="24"/>
          <w:highlight w:val="none"/>
        </w:rPr>
        <w:tab/>
      </w:r>
      <w:r>
        <w:rPr>
          <w:rFonts w:hint="eastAsia" w:ascii="宋体" w:hAnsi="宋体" w:cs="宋体"/>
          <w:color w:val="auto"/>
          <w:sz w:val="24"/>
          <w:highlight w:val="none"/>
        </w:rPr>
        <w:t>C．业务指导关系  D．其他可能影响采购公正的利害关系（如有，请如实说明）。</w:t>
      </w:r>
    </w:p>
    <w:p w14:paraId="13144449">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二、现己清楚知道参加本项目采购活动的其他所有供应商名称，本单位 口与其他所有供应商之间均不存在利害关系 口与 </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（供应商名称）之间存在下列利害关系:</w:t>
      </w:r>
    </w:p>
    <w:p w14:paraId="1BAC4630">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A．法定代表人或负责人或实际控制人是同一人B．法定代表人或负责人或实际控制人是夫妻关系</w:t>
      </w:r>
    </w:p>
    <w:p w14:paraId="3E29F0CD">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C.法定代表人或负责人或实际控制人是直系血亲关系</w:t>
      </w:r>
    </w:p>
    <w:p w14:paraId="2AEC2F3E">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D.法定代表人或负责人或实际控制人存在三代以内旁系血亲关系</w:t>
      </w:r>
    </w:p>
    <w:p w14:paraId="78A2F475">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E．法定代表人或负责人或实际控制人存在近姻亲关系</w:t>
      </w:r>
    </w:p>
    <w:p w14:paraId="160B4645">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F．法定代表人或负责人或实际控制人存在股份控制或实际控制关系</w:t>
      </w:r>
    </w:p>
    <w:p w14:paraId="347FDC03">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G．存在共同直接或间接投资设立子公司、联营企业和合营企业情况</w:t>
      </w:r>
    </w:p>
    <w:p w14:paraId="3C013718">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H.存在分级代理或代销关系、同一生产制造商关系、管理关系、重要业务（占主昔业务收入 50 ％以上）或重要财务往来关系（如融资）等其他实质性控制关系</w:t>
      </w:r>
    </w:p>
    <w:p w14:paraId="3031462E">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I.其他利害关系情况</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w:t>
      </w:r>
    </w:p>
    <w:p w14:paraId="2E4597AE">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三、现己清楚知道并严格遵守政府采购法律法规和现场纪律。</w:t>
      </w:r>
    </w:p>
    <w:p w14:paraId="5F199BA8">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四、我发现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供应商之间存在或可能存在上述第二条第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项利害关系。</w:t>
      </w:r>
    </w:p>
    <w:p w14:paraId="2948C508">
      <w:pPr>
        <w:snapToGrid w:val="0"/>
        <w:spacing w:before="120" w:beforeLines="50" w:after="50" w:line="276" w:lineRule="auto"/>
        <w:rPr>
          <w:rFonts w:ascii="宋体" w:hAnsi="宋体" w:cs="宋体"/>
          <w:color w:val="auto"/>
          <w:sz w:val="24"/>
          <w:highlight w:val="none"/>
        </w:rPr>
      </w:pPr>
    </w:p>
    <w:p w14:paraId="1C7F5659">
      <w:pPr>
        <w:snapToGrid w:val="0"/>
        <w:spacing w:before="120"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 xml:space="preserve">（供应商代表签名）: </w:t>
      </w:r>
    </w:p>
    <w:p w14:paraId="7598C0FD">
      <w:pPr>
        <w:snapToGrid w:val="0"/>
        <w:spacing w:before="120" w:beforeLines="50" w:after="50" w:line="276" w:lineRule="auto"/>
        <w:jc w:val="center"/>
        <w:rPr>
          <w:rFonts w:ascii="宋体" w:hAnsi="宋体" w:cs="宋体"/>
          <w:b/>
          <w:color w:val="auto"/>
          <w:sz w:val="24"/>
          <w:highlight w:val="none"/>
        </w:rPr>
      </w:pPr>
      <w:r>
        <w:rPr>
          <w:rFonts w:hint="eastAsia" w:ascii="宋体" w:hAnsi="宋体" w:cs="宋体"/>
          <w:color w:val="auto"/>
          <w:sz w:val="24"/>
          <w:highlight w:val="none"/>
        </w:rPr>
        <w:t xml:space="preserve">                                                     年   月   日</w:t>
      </w:r>
    </w:p>
    <w:p w14:paraId="7168BD53">
      <w:pPr>
        <w:pStyle w:val="8"/>
        <w:keepNext w:val="0"/>
        <w:keepLines w:val="0"/>
        <w:pageBreakBefore/>
        <w:spacing w:line="276" w:lineRule="auto"/>
        <w:rPr>
          <w:rFonts w:ascii="宋体" w:hAnsi="宋体" w:eastAsia="宋体" w:cs="宋体"/>
          <w:color w:val="auto"/>
          <w:sz w:val="24"/>
          <w:szCs w:val="24"/>
          <w:highlight w:val="none"/>
        </w:rPr>
      </w:pPr>
      <w:bookmarkStart w:id="78" w:name="_Toc663"/>
      <w:r>
        <w:rPr>
          <w:rFonts w:hint="eastAsia" w:ascii="宋体" w:hAnsi="宋体" w:eastAsia="宋体" w:cs="宋体"/>
          <w:color w:val="auto"/>
          <w:sz w:val="24"/>
          <w:szCs w:val="24"/>
          <w:highlight w:val="none"/>
        </w:rPr>
        <w:t>附件</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：法定代表人授权委托书</w:t>
      </w:r>
      <w:bookmarkEnd w:id="78"/>
    </w:p>
    <w:p w14:paraId="3417467C">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法定代表人授权委托书</w:t>
      </w:r>
    </w:p>
    <w:p w14:paraId="1D1ED67D">
      <w:pPr>
        <w:snapToGrid w:val="0"/>
        <w:spacing w:before="120" w:beforeLines="50" w:after="50" w:line="276" w:lineRule="auto"/>
        <w:rPr>
          <w:rFonts w:ascii="宋体" w:hAnsi="宋体" w:cs="宋体"/>
          <w:b/>
          <w:bCs/>
          <w:color w:val="auto"/>
          <w:sz w:val="24"/>
          <w:highlight w:val="none"/>
        </w:rPr>
      </w:pPr>
      <w:r>
        <w:rPr>
          <w:rFonts w:hint="eastAsia" w:ascii="宋体" w:hAnsi="宋体" w:cs="宋体"/>
          <w:bCs/>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53FF8CE9">
      <w:pPr>
        <w:snapToGrid w:val="0"/>
        <w:spacing w:before="120"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（投标人名称）的法定代表人，现授权委托本单位在职职工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（姓名）以我方的名义参加</w:t>
      </w:r>
      <w:r>
        <w:rPr>
          <w:rFonts w:hint="eastAsia" w:ascii="宋体" w:hAnsi="宋体" w:cs="宋体"/>
          <w:color w:val="auto"/>
          <w:sz w:val="24"/>
          <w:highlight w:val="none"/>
          <w:u w:val="single"/>
          <w:lang w:eastAsia="zh-CN"/>
        </w:rPr>
        <w:t>东阳市红会医院5G查房采购项目</w:t>
      </w:r>
      <w:r>
        <w:rPr>
          <w:rFonts w:hint="eastAsia" w:ascii="宋体" w:hAnsi="宋体" w:cs="宋体"/>
          <w:color w:val="auto"/>
          <w:sz w:val="24"/>
          <w:highlight w:val="none"/>
        </w:rPr>
        <w:t>的投标活动，并代表我方全权办理针对上述项目的投标、开标、评标、签约等具体事务和签署相关文件。</w:t>
      </w:r>
    </w:p>
    <w:p w14:paraId="064F1C68">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    我方对委托代理人的签名事项负全部责任。</w:t>
      </w:r>
    </w:p>
    <w:p w14:paraId="0D1D8263">
      <w:pPr>
        <w:snapToGrid w:val="0"/>
        <w:spacing w:before="120" w:beforeLines="50" w:after="50" w:line="276" w:lineRule="auto"/>
        <w:ind w:firstLine="480"/>
        <w:rPr>
          <w:rFonts w:ascii="宋体" w:hAnsi="宋体" w:cs="宋体"/>
          <w:color w:val="auto"/>
          <w:sz w:val="24"/>
          <w:highlight w:val="none"/>
        </w:rPr>
      </w:pPr>
      <w:r>
        <w:rPr>
          <w:rFonts w:hint="eastAsia" w:ascii="宋体" w:hAnsi="宋体" w:cs="宋体"/>
          <w:color w:val="auto"/>
          <w:sz w:val="24"/>
          <w:highlight w:val="none"/>
          <w:u w:val="single"/>
        </w:rPr>
        <w:t>在撤销授权的书面通知以前，本授权书一直有效。</w:t>
      </w:r>
      <w:r>
        <w:rPr>
          <w:rFonts w:hint="eastAsia" w:ascii="宋体" w:hAnsi="宋体" w:cs="宋体"/>
          <w:color w:val="auto"/>
          <w:sz w:val="24"/>
          <w:highlight w:val="none"/>
        </w:rPr>
        <w:t>委托代理人在授权书有效期内签署的所有文件不因授权的撤销而失效。</w:t>
      </w:r>
    </w:p>
    <w:p w14:paraId="337299DA">
      <w:pPr>
        <w:snapToGrid w:val="0"/>
        <w:spacing w:before="120" w:beforeLines="50" w:after="50" w:line="276" w:lineRule="auto"/>
        <w:ind w:firstLine="480"/>
        <w:rPr>
          <w:rFonts w:ascii="宋体" w:hAnsi="宋体" w:cs="宋体"/>
          <w:color w:val="auto"/>
          <w:sz w:val="24"/>
          <w:highlight w:val="none"/>
        </w:rPr>
      </w:pPr>
      <w:r>
        <w:rPr>
          <w:rFonts w:hint="eastAsia" w:ascii="宋体" w:hAnsi="宋体" w:cs="宋体"/>
          <w:color w:val="auto"/>
          <w:sz w:val="24"/>
          <w:highlight w:val="none"/>
        </w:rPr>
        <w:t>委托代理人无转委托权，特此委托。</w:t>
      </w:r>
    </w:p>
    <w:p w14:paraId="5ED5EEEA">
      <w:pPr>
        <w:snapToGrid w:val="0"/>
        <w:spacing w:before="120" w:beforeLines="50" w:after="50" w:line="276" w:lineRule="auto"/>
        <w:rPr>
          <w:rFonts w:ascii="宋体" w:hAnsi="宋体" w:cs="宋体"/>
          <w:color w:val="auto"/>
          <w:sz w:val="24"/>
          <w:highlight w:val="none"/>
          <w:u w:val="single"/>
        </w:rPr>
      </w:pPr>
      <w:r>
        <w:rPr>
          <w:rFonts w:hint="eastAsia" w:ascii="宋体" w:hAnsi="宋体" w:cs="宋体"/>
          <w:color w:val="auto"/>
          <w:sz w:val="24"/>
          <w:highlight w:val="none"/>
        </w:rPr>
        <w:t>委托代理人</w:t>
      </w:r>
      <w:r>
        <w:rPr>
          <w:rFonts w:hint="eastAsia" w:ascii="宋体" w:hAnsi="宋体" w:cs="宋体"/>
          <w:color w:val="auto"/>
          <w:sz w:val="24"/>
          <w:highlight w:val="none"/>
          <w:lang w:val="en-US" w:eastAsia="zh-CN"/>
        </w:rPr>
        <w:t>手写</w:t>
      </w:r>
      <w:r>
        <w:rPr>
          <w:rFonts w:hint="eastAsia" w:ascii="宋体" w:hAnsi="宋体" w:cs="宋体"/>
          <w:color w:val="auto"/>
          <w:sz w:val="24"/>
          <w:highlight w:val="none"/>
        </w:rPr>
        <w:t>签名：</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法定代表人</w:t>
      </w:r>
      <w:r>
        <w:rPr>
          <w:rFonts w:hint="eastAsia" w:ascii="宋体" w:hAnsi="宋体" w:cs="宋体"/>
          <w:color w:val="auto"/>
          <w:sz w:val="24"/>
          <w:highlight w:val="none"/>
          <w:lang w:val="en-US" w:eastAsia="zh-CN"/>
        </w:rPr>
        <w:t>手写</w:t>
      </w:r>
      <w:r>
        <w:rPr>
          <w:rFonts w:hint="eastAsia" w:ascii="宋体" w:hAnsi="宋体" w:cs="宋体"/>
          <w:color w:val="auto"/>
          <w:sz w:val="24"/>
          <w:highlight w:val="none"/>
        </w:rPr>
        <w:t>签名：</w:t>
      </w:r>
      <w:r>
        <w:rPr>
          <w:rFonts w:hint="eastAsia" w:ascii="宋体" w:hAnsi="宋体" w:cs="宋体"/>
          <w:color w:val="auto"/>
          <w:sz w:val="24"/>
          <w:highlight w:val="none"/>
          <w:u w:val="single"/>
        </w:rPr>
        <w:t xml:space="preserve">          </w:t>
      </w:r>
    </w:p>
    <w:p w14:paraId="7AC575BB">
      <w:pPr>
        <w:snapToGrid w:val="0"/>
        <w:spacing w:before="120" w:beforeLines="50" w:after="50" w:line="276" w:lineRule="auto"/>
        <w:ind w:firstLine="960" w:firstLineChars="400"/>
        <w:rPr>
          <w:rFonts w:ascii="宋体" w:hAnsi="宋体" w:cs="宋体"/>
          <w:color w:val="auto"/>
          <w:sz w:val="24"/>
          <w:highlight w:val="none"/>
        </w:rPr>
      </w:pPr>
      <w:r>
        <w:rPr>
          <w:rFonts w:hint="eastAsia" w:ascii="宋体" w:hAnsi="宋体" w:cs="宋体"/>
          <w:color w:val="auto"/>
          <w:sz w:val="24"/>
          <w:highlight w:val="none"/>
        </w:rPr>
        <w:t>职务：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职务：</w:t>
      </w:r>
      <w:r>
        <w:rPr>
          <w:rFonts w:hint="eastAsia" w:ascii="宋体" w:hAnsi="宋体" w:cs="宋体"/>
          <w:color w:val="auto"/>
          <w:sz w:val="24"/>
          <w:highlight w:val="none"/>
          <w:u w:val="single"/>
        </w:rPr>
        <w:t xml:space="preserve">          </w:t>
      </w:r>
    </w:p>
    <w:p w14:paraId="444B702A">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委托代理人身份证复印件（正反双面）：</w:t>
      </w:r>
    </w:p>
    <w:tbl>
      <w:tblPr>
        <w:tblStyle w:val="39"/>
        <w:tblpPr w:leftFromText="180" w:rightFromText="180" w:vertAnchor="text" w:tblpX="109" w:tblpY="151"/>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328"/>
      </w:tblGrid>
      <w:tr w14:paraId="38EB7D63">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232" w:hRule="atLeast"/>
        </w:trPr>
        <w:tc>
          <w:tcPr>
            <w:tcW w:w="5328" w:type="dxa"/>
          </w:tcPr>
          <w:p w14:paraId="02568D1A">
            <w:pPr>
              <w:snapToGrid w:val="0"/>
              <w:spacing w:before="120" w:beforeLines="50" w:after="50" w:line="276" w:lineRule="auto"/>
              <w:rPr>
                <w:rFonts w:ascii="宋体" w:hAnsi="宋体" w:cs="宋体"/>
                <w:color w:val="auto"/>
                <w:sz w:val="24"/>
                <w:highlight w:val="none"/>
              </w:rPr>
            </w:pPr>
          </w:p>
          <w:p w14:paraId="42B4FCE3">
            <w:pPr>
              <w:snapToGrid w:val="0"/>
              <w:spacing w:before="120" w:beforeLines="50" w:after="50" w:line="276" w:lineRule="auto"/>
              <w:rPr>
                <w:rFonts w:ascii="宋体" w:hAnsi="宋体" w:cs="宋体"/>
                <w:color w:val="auto"/>
                <w:sz w:val="24"/>
                <w:highlight w:val="none"/>
              </w:rPr>
            </w:pPr>
          </w:p>
          <w:p w14:paraId="724BA0FC">
            <w:pPr>
              <w:snapToGrid w:val="0"/>
              <w:spacing w:before="120" w:beforeLines="50" w:after="50" w:line="276" w:lineRule="auto"/>
              <w:rPr>
                <w:rFonts w:ascii="宋体" w:hAnsi="宋体" w:cs="宋体"/>
                <w:color w:val="auto"/>
                <w:sz w:val="24"/>
                <w:highlight w:val="none"/>
              </w:rPr>
            </w:pPr>
          </w:p>
          <w:p w14:paraId="74235E7A">
            <w:pPr>
              <w:snapToGrid w:val="0"/>
              <w:spacing w:before="120"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粘</w:t>
            </w:r>
          </w:p>
          <w:p w14:paraId="22331B21">
            <w:pPr>
              <w:snapToGrid w:val="0"/>
              <w:spacing w:before="120" w:beforeLines="50" w:after="50" w:line="276" w:lineRule="auto"/>
              <w:jc w:val="center"/>
              <w:rPr>
                <w:rFonts w:ascii="宋体" w:hAnsi="宋体" w:cs="宋体"/>
                <w:color w:val="auto"/>
                <w:sz w:val="24"/>
                <w:highlight w:val="none"/>
              </w:rPr>
            </w:pPr>
          </w:p>
          <w:p w14:paraId="3EE75799">
            <w:pPr>
              <w:snapToGrid w:val="0"/>
              <w:spacing w:before="120"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贴</w:t>
            </w:r>
          </w:p>
          <w:p w14:paraId="4816B662">
            <w:pPr>
              <w:snapToGrid w:val="0"/>
              <w:spacing w:before="120" w:beforeLines="50" w:after="50" w:line="276" w:lineRule="auto"/>
              <w:jc w:val="center"/>
              <w:rPr>
                <w:rFonts w:ascii="宋体" w:hAnsi="宋体" w:cs="宋体"/>
                <w:color w:val="auto"/>
                <w:sz w:val="24"/>
                <w:highlight w:val="none"/>
              </w:rPr>
            </w:pPr>
          </w:p>
          <w:p w14:paraId="682203A0">
            <w:pPr>
              <w:snapToGrid w:val="0"/>
              <w:spacing w:before="120"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处</w:t>
            </w:r>
          </w:p>
        </w:tc>
      </w:tr>
    </w:tbl>
    <w:p w14:paraId="232D7691">
      <w:pPr>
        <w:snapToGrid w:val="0"/>
        <w:spacing w:before="120" w:beforeLines="50" w:after="50" w:line="276" w:lineRule="auto"/>
        <w:rPr>
          <w:rFonts w:ascii="宋体" w:hAnsi="宋体" w:cs="宋体"/>
          <w:color w:val="auto"/>
          <w:sz w:val="24"/>
          <w:highlight w:val="none"/>
        </w:rPr>
      </w:pPr>
    </w:p>
    <w:p w14:paraId="056AFA31">
      <w:pPr>
        <w:snapToGrid w:val="0"/>
        <w:spacing w:before="120" w:beforeLines="50" w:after="50" w:line="276" w:lineRule="auto"/>
        <w:rPr>
          <w:rFonts w:ascii="宋体" w:hAnsi="宋体" w:cs="宋体"/>
          <w:color w:val="auto"/>
          <w:sz w:val="24"/>
          <w:highlight w:val="none"/>
        </w:rPr>
      </w:pPr>
    </w:p>
    <w:p w14:paraId="15350602">
      <w:pPr>
        <w:snapToGrid w:val="0"/>
        <w:spacing w:before="120" w:beforeLines="50" w:after="50" w:line="276" w:lineRule="auto"/>
        <w:rPr>
          <w:rFonts w:ascii="宋体" w:hAnsi="宋体" w:cs="宋体"/>
          <w:color w:val="auto"/>
          <w:sz w:val="24"/>
          <w:highlight w:val="none"/>
        </w:rPr>
      </w:pPr>
    </w:p>
    <w:p w14:paraId="3E5B28D0">
      <w:pPr>
        <w:snapToGrid w:val="0"/>
        <w:spacing w:before="120" w:beforeLines="50" w:after="50" w:line="276" w:lineRule="auto"/>
        <w:rPr>
          <w:rFonts w:ascii="宋体" w:hAnsi="宋体" w:cs="宋体"/>
          <w:color w:val="auto"/>
          <w:sz w:val="24"/>
          <w:highlight w:val="none"/>
        </w:rPr>
      </w:pPr>
    </w:p>
    <w:p w14:paraId="15A3B8A2">
      <w:pPr>
        <w:snapToGrid w:val="0"/>
        <w:spacing w:before="120" w:beforeLines="50" w:after="50" w:line="276" w:lineRule="auto"/>
        <w:rPr>
          <w:rFonts w:ascii="宋体" w:hAnsi="宋体" w:cs="宋体"/>
          <w:color w:val="auto"/>
          <w:sz w:val="24"/>
          <w:highlight w:val="none"/>
        </w:rPr>
      </w:pPr>
    </w:p>
    <w:p w14:paraId="11F3FBFA">
      <w:pPr>
        <w:snapToGrid w:val="0"/>
        <w:spacing w:before="120" w:beforeLines="50" w:after="50" w:line="276" w:lineRule="auto"/>
        <w:rPr>
          <w:rFonts w:ascii="宋体" w:hAnsi="宋体" w:cs="宋体"/>
          <w:color w:val="auto"/>
          <w:sz w:val="24"/>
          <w:highlight w:val="none"/>
        </w:rPr>
      </w:pPr>
    </w:p>
    <w:p w14:paraId="54B6B0F0">
      <w:pPr>
        <w:snapToGrid w:val="0"/>
        <w:spacing w:before="120" w:beforeLines="50" w:after="50" w:line="276" w:lineRule="auto"/>
        <w:rPr>
          <w:rFonts w:ascii="宋体" w:hAnsi="宋体" w:cs="宋体"/>
          <w:color w:val="auto"/>
          <w:sz w:val="24"/>
          <w:highlight w:val="none"/>
        </w:rPr>
      </w:pPr>
    </w:p>
    <w:p w14:paraId="66DCFE95">
      <w:pPr>
        <w:snapToGrid w:val="0"/>
        <w:spacing w:before="120" w:beforeLines="50" w:after="50" w:line="276" w:lineRule="auto"/>
        <w:rPr>
          <w:rFonts w:ascii="宋体" w:hAnsi="宋体" w:cs="宋体"/>
          <w:color w:val="auto"/>
          <w:sz w:val="24"/>
          <w:highlight w:val="none"/>
        </w:rPr>
      </w:pPr>
    </w:p>
    <w:p w14:paraId="382F92AF">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00EA4F25">
      <w:pPr>
        <w:snapToGrid w:val="0"/>
        <w:spacing w:before="120" w:beforeLines="50" w:after="50" w:line="276" w:lineRule="auto"/>
        <w:rPr>
          <w:rFonts w:ascii="宋体" w:hAnsi="宋体" w:cs="宋体"/>
          <w:color w:val="auto"/>
          <w:sz w:val="24"/>
          <w:highlight w:val="none"/>
        </w:rPr>
      </w:pPr>
    </w:p>
    <w:p w14:paraId="18DB681C">
      <w:pPr>
        <w:snapToGrid w:val="0"/>
        <w:spacing w:before="120"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                                             投标人公章：</w:t>
      </w:r>
    </w:p>
    <w:p w14:paraId="6083A147">
      <w:pPr>
        <w:snapToGrid w:val="0"/>
        <w:spacing w:before="120"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 xml:space="preserve">                                          年    月    日</w:t>
      </w:r>
    </w:p>
    <w:p w14:paraId="2A2E2131">
      <w:pPr>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注；此表格格式不得修改</w:t>
      </w:r>
    </w:p>
    <w:p w14:paraId="4FA7397F">
      <w:pPr>
        <w:pStyle w:val="15"/>
        <w:rPr>
          <w:color w:val="auto"/>
          <w:highlight w:val="none"/>
        </w:rPr>
      </w:pPr>
    </w:p>
    <w:p w14:paraId="1366BC85">
      <w:pPr>
        <w:pStyle w:val="8"/>
        <w:keepNext w:val="0"/>
        <w:keepLines w:val="0"/>
        <w:pageBreakBefore/>
        <w:spacing w:line="276" w:lineRule="auto"/>
        <w:rPr>
          <w:rFonts w:ascii="宋体" w:hAnsi="宋体" w:eastAsia="宋体" w:cs="宋体"/>
          <w:color w:val="auto"/>
          <w:sz w:val="24"/>
          <w:szCs w:val="24"/>
          <w:highlight w:val="none"/>
        </w:rPr>
      </w:pPr>
      <w:bookmarkStart w:id="79" w:name="_Toc32431"/>
      <w:r>
        <w:rPr>
          <w:rFonts w:hint="eastAsia" w:ascii="宋体" w:hAnsi="宋体" w:eastAsia="宋体" w:cs="宋体"/>
          <w:color w:val="auto"/>
          <w:sz w:val="24"/>
          <w:szCs w:val="24"/>
          <w:highlight w:val="none"/>
        </w:rPr>
        <w:t>附件</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：联合体协议书（联合体投标时提供）</w:t>
      </w:r>
      <w:bookmarkEnd w:id="79"/>
    </w:p>
    <w:p w14:paraId="7DCA6C8D">
      <w:pPr>
        <w:widowControl/>
        <w:spacing w:line="360" w:lineRule="auto"/>
        <w:ind w:firstLine="643" w:firstLineChars="200"/>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联合体协议书</w:t>
      </w:r>
    </w:p>
    <w:p w14:paraId="243D3A46">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34F279BA">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（联合体所有成员名称）</w:t>
      </w:r>
      <w:r>
        <w:rPr>
          <w:rFonts w:hint="eastAsia" w:asciiTheme="minorEastAsia" w:hAnsiTheme="minorEastAsia" w:eastAsiaTheme="minorEastAsia" w:cstheme="minorEastAsia"/>
          <w:color w:val="auto"/>
          <w:kern w:val="0"/>
          <w:sz w:val="24"/>
          <w:highlight w:val="none"/>
        </w:rPr>
        <w:t>自愿</w:t>
      </w:r>
      <w:r>
        <w:rPr>
          <w:rFonts w:hint="eastAsia" w:asciiTheme="minorEastAsia" w:hAnsiTheme="minorEastAsia" w:eastAsiaTheme="minorEastAsia" w:cstheme="minorEastAsia"/>
          <w:color w:val="auto"/>
          <w:kern w:val="0"/>
          <w:sz w:val="24"/>
          <w:highlight w:val="none"/>
          <w:lang w:val="zh-CN"/>
        </w:rPr>
        <w:t>组成一个联合体，以一个投标人的身份</w:t>
      </w:r>
      <w:r>
        <w:rPr>
          <w:rFonts w:hint="eastAsia" w:asciiTheme="minorEastAsia" w:hAnsiTheme="minorEastAsia" w:eastAsiaTheme="minorEastAsia" w:cstheme="minorEastAsia"/>
          <w:color w:val="auto"/>
          <w:kern w:val="0"/>
          <w:sz w:val="24"/>
          <w:highlight w:val="none"/>
        </w:rPr>
        <w:t>参加</w:t>
      </w:r>
      <w:r>
        <w:rPr>
          <w:rFonts w:hint="eastAsia" w:asciiTheme="minorEastAsia" w:hAnsiTheme="minorEastAsia" w:eastAsiaTheme="minorEastAsia" w:cstheme="minorEastAsia"/>
          <w:color w:val="auto"/>
          <w:sz w:val="24"/>
          <w:highlight w:val="none"/>
        </w:rPr>
        <w:t>（项目名称）【招标编号：（采购编号）】</w:t>
      </w:r>
      <w:r>
        <w:rPr>
          <w:rFonts w:hint="eastAsia" w:asciiTheme="minorEastAsia" w:hAnsiTheme="minorEastAsia" w:eastAsiaTheme="minorEastAsia" w:cstheme="minorEastAsia"/>
          <w:color w:val="auto"/>
          <w:kern w:val="0"/>
          <w:sz w:val="24"/>
          <w:highlight w:val="none"/>
          <w:lang w:val="zh-CN"/>
        </w:rPr>
        <w:t xml:space="preserve">投标。 </w:t>
      </w:r>
    </w:p>
    <w:p w14:paraId="08A58CD2">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一、各方一致决定，</w:t>
      </w:r>
      <w:r>
        <w:rPr>
          <w:rFonts w:hint="eastAsia" w:asciiTheme="minorEastAsia" w:hAnsiTheme="minorEastAsia" w:eastAsiaTheme="minorEastAsia" w:cstheme="minorEastAsia"/>
          <w:color w:val="auto"/>
          <w:kern w:val="0"/>
          <w:sz w:val="24"/>
          <w:highlight w:val="none"/>
          <w:u w:val="single"/>
        </w:rPr>
        <w:t>（某联合体成员名称）</w:t>
      </w:r>
      <w:r>
        <w:rPr>
          <w:rFonts w:hint="eastAsia" w:asciiTheme="minorEastAsia" w:hAnsiTheme="minorEastAsia" w:eastAsiaTheme="minorEastAsia" w:cstheme="minorEastAsia"/>
          <w:color w:val="auto"/>
          <w:kern w:val="0"/>
          <w:sz w:val="24"/>
          <w:highlight w:val="none"/>
        </w:rPr>
        <w:t>为联合体</w:t>
      </w:r>
      <w:r>
        <w:rPr>
          <w:rFonts w:hint="eastAsia" w:asciiTheme="minorEastAsia" w:hAnsiTheme="minorEastAsia" w:eastAsiaTheme="minorEastAsia" w:cstheme="minorEastAsia"/>
          <w:color w:val="auto"/>
          <w:kern w:val="0"/>
          <w:sz w:val="24"/>
          <w:highlight w:val="none"/>
          <w:lang w:val="zh-CN"/>
        </w:rPr>
        <w:t>牵头人</w:t>
      </w:r>
      <w:r>
        <w:rPr>
          <w:rFonts w:hint="eastAsia" w:asciiTheme="minorEastAsia" w:hAnsiTheme="minorEastAsia" w:eastAsiaTheme="minorEastAsia" w:cstheme="minorEastAsia"/>
          <w:color w:val="auto"/>
          <w:sz w:val="24"/>
          <w:highlight w:val="none"/>
        </w:rPr>
        <w:t>，代表所有联合体成员负责投标和合同实施阶段的主办、协调工作</w:t>
      </w:r>
      <w:r>
        <w:rPr>
          <w:rFonts w:hint="eastAsia" w:asciiTheme="minorEastAsia" w:hAnsiTheme="minorEastAsia" w:eastAsiaTheme="minorEastAsia" w:cstheme="minorEastAsia"/>
          <w:color w:val="auto"/>
          <w:kern w:val="0"/>
          <w:sz w:val="24"/>
          <w:highlight w:val="none"/>
          <w:lang w:val="zh-CN"/>
        </w:rPr>
        <w:t>。</w:t>
      </w:r>
    </w:p>
    <w:p w14:paraId="422A88B1">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二、</w:t>
      </w:r>
      <w:r>
        <w:rPr>
          <w:rFonts w:hint="eastAsia" w:asciiTheme="minorEastAsia" w:hAnsiTheme="minorEastAsia" w:eastAsiaTheme="minorEastAsia" w:cstheme="minorEastAsia"/>
          <w:color w:val="auto"/>
          <w:sz w:val="24"/>
          <w:highlight w:val="none"/>
        </w:rPr>
        <w:t>所有联合体成员各方签署授权书，授权书载明的</w:t>
      </w:r>
      <w:r>
        <w:rPr>
          <w:rFonts w:hint="eastAsia" w:asciiTheme="minorEastAsia" w:hAnsiTheme="minorEastAsia" w:eastAsiaTheme="minorEastAsia" w:cstheme="minorEastAsia"/>
          <w:color w:val="auto"/>
          <w:kern w:val="0"/>
          <w:sz w:val="24"/>
          <w:highlight w:val="none"/>
          <w:lang w:val="zh-CN"/>
        </w:rPr>
        <w:t>授权代表根据招标文件规定及投标内容而对采购人、采购机构所作的任何合法承诺，包括书面澄清及相应等均对联合投标各方产生约束力。</w:t>
      </w:r>
    </w:p>
    <w:p w14:paraId="04F76868">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三、本次联合投标中，分工如下：</w:t>
      </w:r>
      <w:r>
        <w:rPr>
          <w:rFonts w:hint="eastAsia" w:asciiTheme="minorEastAsia" w:hAnsiTheme="minorEastAsia" w:eastAsiaTheme="minorEastAsia" w:cstheme="minorEastAsia"/>
          <w:color w:val="auto"/>
          <w:kern w:val="0"/>
          <w:sz w:val="24"/>
          <w:highlight w:val="none"/>
          <w:u w:val="single"/>
        </w:rPr>
        <w:t>（联合体其中一方成员名称）</w:t>
      </w:r>
      <w:r>
        <w:rPr>
          <w:rFonts w:hint="eastAsia" w:asciiTheme="minorEastAsia" w:hAnsiTheme="minorEastAsia" w:eastAsiaTheme="minorEastAsia" w:cstheme="minorEastAsia"/>
          <w:color w:val="auto"/>
          <w:kern w:val="0"/>
          <w:sz w:val="24"/>
          <w:highlight w:val="none"/>
          <w:lang w:val="zh-CN"/>
        </w:rPr>
        <w:t>承担的工作和义务为：</w:t>
      </w:r>
      <w:r>
        <w:rPr>
          <w:rFonts w:hint="eastAsia" w:asciiTheme="minorEastAsia" w:hAnsiTheme="minorEastAsia" w:eastAsiaTheme="minorEastAsia" w:cstheme="minorEastAsia"/>
          <w:color w:val="auto"/>
          <w:highlight w:val="none"/>
          <w:u w:val="single"/>
        </w:rPr>
        <w:t xml:space="preserve">             </w:t>
      </w:r>
      <w:r>
        <w:rPr>
          <w:rFonts w:hint="eastAsia" w:asciiTheme="minorEastAsia" w:hAnsiTheme="minorEastAsia" w:eastAsiaTheme="minorEastAsia" w:cstheme="minorEastAsia"/>
          <w:color w:val="auto"/>
          <w:kern w:val="0"/>
          <w:sz w:val="24"/>
          <w:highlight w:val="none"/>
          <w:lang w:val="zh-CN"/>
        </w:rPr>
        <w:t>；……。</w:t>
      </w:r>
    </w:p>
    <w:p w14:paraId="14D4E3BE">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w:t>
      </w:r>
      <w:r>
        <w:rPr>
          <w:rFonts w:hint="eastAsia" w:asciiTheme="minorEastAsia" w:hAnsiTheme="minorEastAsia" w:eastAsiaTheme="minorEastAsia" w:cstheme="minorEastAsia"/>
          <w:color w:val="auto"/>
          <w:kern w:val="0"/>
          <w:sz w:val="24"/>
          <w:highlight w:val="none"/>
          <w:u w:val="single"/>
        </w:rPr>
        <w:t>（联合体其中一方成员名称）</w:t>
      </w:r>
      <w:r>
        <w:rPr>
          <w:rFonts w:hint="eastAsia" w:asciiTheme="minorEastAsia" w:hAnsiTheme="minorEastAsia" w:eastAsiaTheme="minorEastAsia" w:cstheme="minorEastAsia"/>
          <w:color w:val="auto"/>
          <w:kern w:val="0"/>
          <w:sz w:val="24"/>
          <w:highlight w:val="none"/>
        </w:rPr>
        <w:t>提供的全部货物/服务由</w:t>
      </w:r>
      <w:r>
        <w:rPr>
          <w:rFonts w:asciiTheme="minorEastAsia" w:hAnsiTheme="minorEastAsia" w:eastAsiaTheme="minorEastAsia" w:cstheme="minorEastAsia"/>
          <w:color w:val="auto"/>
          <w:kern w:val="0"/>
          <w:sz w:val="24"/>
          <w:highlight w:val="none"/>
        </w:rPr>
        <w:t>中小</w:t>
      </w:r>
      <w:r>
        <w:rPr>
          <w:rFonts w:hint="eastAsia" w:asciiTheme="minorEastAsia" w:hAnsiTheme="minorEastAsia" w:eastAsiaTheme="minorEastAsia" w:cstheme="minorEastAsia"/>
          <w:color w:val="auto"/>
          <w:kern w:val="0"/>
          <w:sz w:val="24"/>
          <w:highlight w:val="none"/>
        </w:rPr>
        <w:t>企业制造/服务，其合同份额占到合同总金额</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%以上；</w:t>
      </w:r>
      <w:r>
        <w:rPr>
          <w:rFonts w:hint="eastAsia" w:asciiTheme="minorEastAsia" w:hAnsiTheme="minorEastAsia" w:eastAsiaTheme="minorEastAsia" w:cstheme="minorEastAsia"/>
          <w:color w:val="auto"/>
          <w:kern w:val="0"/>
          <w:sz w:val="24"/>
          <w:highlight w:val="none"/>
          <w:lang w:val="zh-CN"/>
        </w:rPr>
        <w:t>……。</w:t>
      </w:r>
    </w:p>
    <w:p w14:paraId="3E2B380F">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五、如果中标，</w:t>
      </w:r>
      <w:r>
        <w:rPr>
          <w:rFonts w:hint="eastAsia" w:asciiTheme="minorEastAsia" w:hAnsiTheme="minorEastAsia" w:eastAsiaTheme="minorEastAsia" w:cstheme="minorEastAsia"/>
          <w:color w:val="auto"/>
          <w:sz w:val="24"/>
          <w:highlight w:val="none"/>
        </w:rPr>
        <w:t>联合体各成员方共同与采购人签订合同，并就采购合同约定的事项对采购人承担连带责任。</w:t>
      </w:r>
    </w:p>
    <w:p w14:paraId="0140592E">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六、有关本次联合投标的其他事宜：</w:t>
      </w:r>
    </w:p>
    <w:p w14:paraId="56EDE1FC">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1、联合体各方不再单独参加或者与其他供应商另外组成联合体参加同一合同项下的政府采购活动。</w:t>
      </w:r>
    </w:p>
    <w:p w14:paraId="4ACA5E3C">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2、联合体中有同类资质的各方按照联合体分工承担相同工作的，按照资质等级较低的供应商确定资质等级。</w:t>
      </w:r>
    </w:p>
    <w:p w14:paraId="54FB3C2F">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3、本协议提交采购人、采购机构后，联合体各方不得以任何形式对上述内容进行修改或撤销。</w:t>
      </w:r>
    </w:p>
    <w:p w14:paraId="2CE17B58">
      <w:pPr>
        <w:snapToGrid w:val="0"/>
        <w:spacing w:line="360" w:lineRule="auto"/>
        <w:ind w:firstLine="5040" w:firstLineChars="2100"/>
        <w:rPr>
          <w:rFonts w:ascii="宋体" w:hAnsi="宋体" w:cs="宋体"/>
          <w:color w:val="auto"/>
          <w:kern w:val="0"/>
          <w:sz w:val="24"/>
          <w:highlight w:val="none"/>
          <w:lang w:val="zh-CN"/>
        </w:rPr>
      </w:pPr>
    </w:p>
    <w:p w14:paraId="4674E3D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联合体成员名称(签名/公章)：</w:t>
      </w:r>
    </w:p>
    <w:p w14:paraId="07F46797">
      <w:pPr>
        <w:snapToGrid w:val="0"/>
        <w:spacing w:line="360" w:lineRule="auto"/>
        <w:rPr>
          <w:rFonts w:ascii="宋体" w:hAnsi="宋体" w:cs="宋体"/>
          <w:color w:val="auto"/>
          <w:kern w:val="0"/>
          <w:sz w:val="24"/>
          <w:highlight w:val="none"/>
          <w:lang w:val="zh-CN"/>
        </w:rPr>
      </w:pPr>
    </w:p>
    <w:p w14:paraId="787524B8">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4452A50">
      <w:pPr>
        <w:snapToGrid w:val="0"/>
        <w:spacing w:line="360" w:lineRule="auto"/>
        <w:ind w:right="480"/>
        <w:rPr>
          <w:rFonts w:ascii="宋体" w:hAnsi="宋体" w:cs="宋体"/>
          <w:b/>
          <w:color w:val="auto"/>
          <w:kern w:val="0"/>
          <w:sz w:val="24"/>
          <w:highlight w:val="none"/>
          <w:lang w:val="zh-CN"/>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2265B956">
      <w:pPr>
        <w:pageBreakBefore/>
        <w:outlineLvl w:val="1"/>
        <w:rPr>
          <w:rFonts w:ascii="宋体" w:hAnsi="宋体"/>
          <w:bCs/>
          <w:color w:val="auto"/>
          <w:sz w:val="24"/>
          <w:highlight w:val="none"/>
        </w:rPr>
      </w:pPr>
      <w:bookmarkStart w:id="80" w:name="_Toc11020"/>
      <w:r>
        <w:rPr>
          <w:rFonts w:hint="eastAsia" w:ascii="宋体" w:hAnsi="宋体"/>
          <w:bCs/>
          <w:color w:val="auto"/>
          <w:sz w:val="24"/>
          <w:szCs w:val="32"/>
          <w:highlight w:val="none"/>
        </w:rPr>
        <w:t>附件</w:t>
      </w:r>
      <w:r>
        <w:rPr>
          <w:rFonts w:hint="eastAsia" w:ascii="宋体" w:hAnsi="宋体"/>
          <w:bCs/>
          <w:color w:val="auto"/>
          <w:sz w:val="24"/>
          <w:szCs w:val="32"/>
          <w:highlight w:val="none"/>
          <w:lang w:val="en-US" w:eastAsia="zh-CN"/>
        </w:rPr>
        <w:t>六</w:t>
      </w:r>
      <w:r>
        <w:rPr>
          <w:rFonts w:hint="eastAsia" w:ascii="宋体" w:hAnsi="宋体"/>
          <w:bCs/>
          <w:color w:val="auto"/>
          <w:sz w:val="24"/>
          <w:szCs w:val="32"/>
          <w:highlight w:val="none"/>
        </w:rPr>
        <w:t>：</w:t>
      </w:r>
      <w:r>
        <w:rPr>
          <w:rFonts w:hint="eastAsia" w:ascii="宋体" w:hAnsi="宋体"/>
          <w:bCs/>
          <w:color w:val="auto"/>
          <w:sz w:val="24"/>
          <w:highlight w:val="none"/>
        </w:rPr>
        <w:t>分包意向协议</w:t>
      </w:r>
      <w:bookmarkEnd w:id="80"/>
    </w:p>
    <w:p w14:paraId="5B2ADC5C">
      <w:pPr>
        <w:snapToGrid w:val="0"/>
        <w:spacing w:before="120" w:beforeLines="50" w:after="50"/>
        <w:rPr>
          <w:rFonts w:ascii="Arial" w:hAnsi="Arial"/>
          <w:b/>
          <w:bCs/>
          <w:color w:val="auto"/>
          <w:sz w:val="28"/>
          <w:szCs w:val="32"/>
          <w:highlight w:val="none"/>
        </w:rPr>
      </w:pPr>
    </w:p>
    <w:p w14:paraId="12C026E9">
      <w:pPr>
        <w:snapToGrid w:val="0"/>
        <w:spacing w:line="360" w:lineRule="auto"/>
        <w:ind w:firstLine="3855" w:firstLineChars="12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分包意向协议</w:t>
      </w:r>
    </w:p>
    <w:p w14:paraId="305275EA">
      <w:pPr>
        <w:widowControl/>
        <w:spacing w:line="360" w:lineRule="auto"/>
        <w:ind w:firstLine="120" w:firstLineChars="50"/>
        <w:jc w:val="left"/>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b/>
          <w:color w:val="auto"/>
          <w:sz w:val="24"/>
          <w:highlight w:val="none"/>
        </w:rPr>
        <w:t>中标后以分包方式履行合同的，提供分包意向协议；采购人不同意分包或者投标人中标后不以分包方式履行合同的，则不需要提供。</w:t>
      </w:r>
      <w:r>
        <w:rPr>
          <w:rFonts w:hint="eastAsia" w:asciiTheme="minorEastAsia" w:hAnsiTheme="minorEastAsia" w:eastAsiaTheme="minorEastAsia" w:cstheme="minorEastAsia"/>
          <w:color w:val="auto"/>
          <w:sz w:val="24"/>
          <w:highlight w:val="none"/>
        </w:rPr>
        <w:t>）</w:t>
      </w:r>
    </w:p>
    <w:p w14:paraId="30C9FA0F">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（投标人名称）</w:t>
      </w:r>
      <w:r>
        <w:rPr>
          <w:rFonts w:hint="eastAsia" w:asciiTheme="minorEastAsia" w:hAnsiTheme="minorEastAsia" w:eastAsiaTheme="minorEastAsia" w:cstheme="minorEastAsia"/>
          <w:color w:val="auto"/>
          <w:kern w:val="0"/>
          <w:sz w:val="24"/>
          <w:highlight w:val="none"/>
          <w:lang w:val="zh-CN"/>
        </w:rPr>
        <w:t>若成为</w:t>
      </w:r>
      <w:r>
        <w:rPr>
          <w:rFonts w:hint="eastAsia" w:asciiTheme="minorEastAsia" w:hAnsiTheme="minorEastAsia" w:eastAsiaTheme="minorEastAsia" w:cstheme="minorEastAsia"/>
          <w:color w:val="auto"/>
          <w:sz w:val="24"/>
          <w:highlight w:val="none"/>
        </w:rPr>
        <w:t>（项目名称）【招标编号：（采购编号）】</w:t>
      </w:r>
      <w:r>
        <w:rPr>
          <w:rFonts w:hint="eastAsia" w:asciiTheme="minorEastAsia" w:hAnsiTheme="minorEastAsia" w:eastAsiaTheme="minorEastAsia" w:cstheme="minorEastAsia"/>
          <w:color w:val="auto"/>
          <w:kern w:val="0"/>
          <w:sz w:val="24"/>
          <w:highlight w:val="none"/>
          <w:lang w:val="zh-CN"/>
        </w:rPr>
        <w:t>的中标供应商，将依法采取分包方式履行合同。</w:t>
      </w:r>
      <w:r>
        <w:rPr>
          <w:rFonts w:hint="eastAsia" w:asciiTheme="minorEastAsia" w:hAnsiTheme="minorEastAsia" w:eastAsiaTheme="minorEastAsia" w:cstheme="minorEastAsia"/>
          <w:color w:val="auto"/>
          <w:kern w:val="0"/>
          <w:sz w:val="24"/>
          <w:highlight w:val="none"/>
          <w:u w:val="single"/>
        </w:rPr>
        <w:t>（投标人名称）</w:t>
      </w:r>
      <w:r>
        <w:rPr>
          <w:rFonts w:hint="eastAsia" w:asciiTheme="minorEastAsia" w:hAnsiTheme="minorEastAsia" w:eastAsiaTheme="minorEastAsia" w:cstheme="minorEastAsia"/>
          <w:color w:val="auto"/>
          <w:kern w:val="0"/>
          <w:sz w:val="24"/>
          <w:highlight w:val="none"/>
        </w:rPr>
        <w:t>与</w:t>
      </w:r>
      <w:r>
        <w:rPr>
          <w:rFonts w:hint="eastAsia" w:asciiTheme="minorEastAsia" w:hAnsiTheme="minorEastAsia" w:eastAsiaTheme="minorEastAsia" w:cstheme="minorEastAsia"/>
          <w:color w:val="auto"/>
          <w:kern w:val="0"/>
          <w:sz w:val="24"/>
          <w:highlight w:val="none"/>
          <w:u w:val="single"/>
        </w:rPr>
        <w:t>（所有分包供应商名称）</w:t>
      </w:r>
      <w:r>
        <w:rPr>
          <w:rFonts w:hint="eastAsia" w:asciiTheme="minorEastAsia" w:hAnsiTheme="minorEastAsia" w:eastAsiaTheme="minorEastAsia" w:cstheme="minorEastAsia"/>
          <w:color w:val="auto"/>
          <w:kern w:val="0"/>
          <w:sz w:val="24"/>
          <w:highlight w:val="none"/>
        </w:rPr>
        <w:t>达成分包意向协议</w:t>
      </w:r>
      <w:r>
        <w:rPr>
          <w:rFonts w:hint="eastAsia" w:asciiTheme="minorEastAsia" w:hAnsiTheme="minorEastAsia" w:eastAsiaTheme="minorEastAsia" w:cstheme="minorEastAsia"/>
          <w:color w:val="auto"/>
          <w:kern w:val="0"/>
          <w:sz w:val="24"/>
          <w:highlight w:val="none"/>
          <w:lang w:val="zh-CN"/>
        </w:rPr>
        <w:t xml:space="preserve">。 </w:t>
      </w:r>
    </w:p>
    <w:p w14:paraId="6444F674">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一、分包标的及数量</w:t>
      </w:r>
    </w:p>
    <w:p w14:paraId="5C00A7E9">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u w:val="single"/>
        </w:rPr>
        <w:t>（投标人名称）</w:t>
      </w:r>
      <w:r>
        <w:rPr>
          <w:rFonts w:hint="eastAsia" w:asciiTheme="minorEastAsia" w:hAnsiTheme="minorEastAsia" w:eastAsiaTheme="minorEastAsia" w:cstheme="minorEastAsia"/>
          <w:color w:val="auto"/>
          <w:kern w:val="0"/>
          <w:sz w:val="24"/>
          <w:highlight w:val="none"/>
          <w:lang w:val="zh-CN"/>
        </w:rPr>
        <w:t>将</w:t>
      </w:r>
      <w:r>
        <w:rPr>
          <w:rFonts w:hint="eastAsia" w:asciiTheme="minorEastAsia" w:hAnsiTheme="minorEastAsia" w:eastAsiaTheme="minorEastAsia" w:cstheme="minorEastAsia"/>
          <w:color w:val="auto"/>
          <w:sz w:val="24"/>
          <w:highlight w:val="none"/>
          <w:u w:val="single"/>
        </w:rPr>
        <w:t xml:space="preserve">   XX工作内容   </w:t>
      </w:r>
      <w:r>
        <w:rPr>
          <w:rFonts w:hint="eastAsia" w:asciiTheme="minorEastAsia" w:hAnsiTheme="minorEastAsia" w:eastAsiaTheme="minorEastAsia" w:cstheme="minorEastAsia"/>
          <w:color w:val="auto"/>
          <w:sz w:val="24"/>
          <w:highlight w:val="none"/>
        </w:rPr>
        <w:t>分包给</w:t>
      </w:r>
      <w:r>
        <w:rPr>
          <w:rFonts w:hint="eastAsia" w:asciiTheme="minorEastAsia" w:hAnsiTheme="minorEastAsia" w:eastAsiaTheme="minorEastAsia" w:cstheme="minorEastAsia"/>
          <w:color w:val="auto"/>
          <w:kern w:val="0"/>
          <w:sz w:val="24"/>
          <w:highlight w:val="none"/>
          <w:u w:val="single"/>
        </w:rPr>
        <w:t>（某分包供应商名称）</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color w:val="auto"/>
          <w:kern w:val="0"/>
          <w:sz w:val="24"/>
          <w:highlight w:val="none"/>
          <w:u w:val="single"/>
        </w:rPr>
        <w:t>（某分包供应商名称），</w:t>
      </w:r>
      <w:r>
        <w:rPr>
          <w:rFonts w:hint="eastAsia" w:asciiTheme="minorEastAsia" w:hAnsiTheme="minorEastAsia" w:eastAsiaTheme="minorEastAsia" w:cstheme="minorEastAsia"/>
          <w:color w:val="auto"/>
          <w:kern w:val="0"/>
          <w:sz w:val="24"/>
          <w:highlight w:val="none"/>
          <w:lang w:val="zh-CN"/>
        </w:rPr>
        <w:t>具备承</w:t>
      </w:r>
      <w:r>
        <w:rPr>
          <w:rFonts w:hint="eastAsia" w:asciiTheme="minorEastAsia" w:hAnsiTheme="minorEastAsia" w:eastAsiaTheme="minorEastAsia" w:cstheme="minorEastAsia"/>
          <w:color w:val="auto"/>
          <w:kern w:val="0"/>
          <w:sz w:val="24"/>
          <w:highlight w:val="none"/>
        </w:rPr>
        <w:t>担</w:t>
      </w:r>
      <w:r>
        <w:rPr>
          <w:rFonts w:hint="eastAsia" w:asciiTheme="minorEastAsia" w:hAnsiTheme="minorEastAsia" w:eastAsiaTheme="minorEastAsia" w:cstheme="minorEastAsia"/>
          <w:color w:val="auto"/>
          <w:kern w:val="0"/>
          <w:sz w:val="24"/>
          <w:highlight w:val="none"/>
          <w:u w:val="single"/>
          <w:lang w:val="zh-CN"/>
        </w:rPr>
        <w:t>XX工作内容</w:t>
      </w:r>
      <w:r>
        <w:rPr>
          <w:rFonts w:hint="eastAsia" w:asciiTheme="minorEastAsia" w:hAnsiTheme="minorEastAsia" w:eastAsiaTheme="minorEastAsia" w:cstheme="minorEastAsia"/>
          <w:color w:val="auto"/>
          <w:kern w:val="0"/>
          <w:sz w:val="24"/>
          <w:highlight w:val="none"/>
          <w:lang w:val="zh-CN"/>
        </w:rPr>
        <w:t>相应资质条件且不得再次分包；</w:t>
      </w:r>
    </w:p>
    <w:p w14:paraId="1F28CB4E">
      <w:pPr>
        <w:snapToGrid w:val="0"/>
        <w:spacing w:line="360" w:lineRule="auto"/>
        <w:ind w:firstLine="576"/>
        <w:rPr>
          <w:rFonts w:asciiTheme="minorEastAsia" w:hAnsiTheme="minorEastAsia" w:eastAsiaTheme="minorEastAsia" w:cstheme="minorEastAsia"/>
          <w:color w:val="auto"/>
          <w:kern w:val="0"/>
          <w:sz w:val="24"/>
          <w:highlight w:val="none"/>
          <w:u w:val="single"/>
        </w:rPr>
      </w:pPr>
      <w:r>
        <w:rPr>
          <w:rFonts w:hint="eastAsia" w:asciiTheme="minorEastAsia" w:hAnsiTheme="minorEastAsia" w:eastAsiaTheme="minorEastAsia" w:cstheme="minorEastAsia"/>
          <w:color w:val="auto"/>
          <w:kern w:val="0"/>
          <w:sz w:val="24"/>
          <w:highlight w:val="none"/>
          <w:u w:val="single"/>
        </w:rPr>
        <w:t>……</w:t>
      </w:r>
    </w:p>
    <w:p w14:paraId="698495B8">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二、分包工作履行期限、地点、方式</w:t>
      </w:r>
    </w:p>
    <w:p w14:paraId="48BD3918">
      <w:pPr>
        <w:snapToGrid w:val="0"/>
        <w:spacing w:line="360" w:lineRule="auto"/>
        <w:ind w:firstLine="576"/>
        <w:rPr>
          <w:rFonts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 xml:space="preserve">                                                                                  </w:t>
      </w:r>
    </w:p>
    <w:p w14:paraId="55137298">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三、质量</w:t>
      </w:r>
    </w:p>
    <w:p w14:paraId="2E343885">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u w:val="single"/>
        </w:rPr>
        <w:t xml:space="preserve">                                                                                       </w:t>
      </w:r>
    </w:p>
    <w:p w14:paraId="57138942">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四、价款或者报酬</w:t>
      </w:r>
    </w:p>
    <w:p w14:paraId="67D51F6B">
      <w:pPr>
        <w:snapToGrid w:val="0"/>
        <w:spacing w:line="360" w:lineRule="auto"/>
        <w:ind w:left="573" w:leftChars="273"/>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u w:val="single"/>
        </w:rPr>
        <w:t xml:space="preserve">                                                                                     </w:t>
      </w:r>
    </w:p>
    <w:p w14:paraId="4F03E0AB">
      <w:pPr>
        <w:snapToGrid w:val="0"/>
        <w:spacing w:line="360" w:lineRule="auto"/>
        <w:ind w:left="573" w:leftChars="273"/>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五、违约责任</w:t>
      </w:r>
    </w:p>
    <w:p w14:paraId="3163AE83">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u w:val="single"/>
        </w:rPr>
        <w:t xml:space="preserve">                                                                                     </w:t>
      </w:r>
    </w:p>
    <w:p w14:paraId="069D3E50">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六、争议解决的办法</w:t>
      </w:r>
    </w:p>
    <w:p w14:paraId="30FE91C3">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sz w:val="24"/>
          <w:highlight w:val="none"/>
          <w:u w:val="single"/>
        </w:rPr>
        <w:t xml:space="preserve">                                                                                  </w:t>
      </w:r>
    </w:p>
    <w:p w14:paraId="40B7C75F">
      <w:pPr>
        <w:snapToGrid w:val="0"/>
        <w:spacing w:line="360" w:lineRule="auto"/>
        <w:ind w:firstLine="576"/>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七、其他</w:t>
      </w:r>
    </w:p>
    <w:p w14:paraId="42EE0D05">
      <w:pPr>
        <w:snapToGrid w:val="0"/>
        <w:spacing w:line="360" w:lineRule="auto"/>
        <w:ind w:firstLine="576"/>
        <w:rPr>
          <w:rFonts w:ascii="宋体" w:hAnsi="宋体" w:cs="宋体"/>
          <w:b/>
          <w:color w:val="auto"/>
          <w:kern w:val="0"/>
          <w:sz w:val="24"/>
          <w:highlight w:val="none"/>
          <w:lang w:val="zh-CN"/>
        </w:rPr>
      </w:pPr>
      <w:r>
        <w:rPr>
          <w:rFonts w:hint="eastAsia" w:ascii="宋体" w:hAnsi="宋体" w:cs="宋体"/>
          <w:bCs/>
          <w:color w:val="auto"/>
          <w:kern w:val="0"/>
          <w:sz w:val="24"/>
          <w:highlight w:val="none"/>
          <w:lang w:val="zh-CN"/>
        </w:rPr>
        <w:t>中小企业合同金额达到</w:t>
      </w:r>
      <w:r>
        <w:rPr>
          <w:rFonts w:hint="eastAsia" w:ascii="宋体" w:hAnsi="宋体" w:cs="宋体"/>
          <w:bCs/>
          <w:color w:val="auto"/>
          <w:kern w:val="0"/>
          <w:sz w:val="24"/>
          <w:highlight w:val="none"/>
          <w:u w:val="single"/>
        </w:rPr>
        <w:t xml:space="preserve">     </w:t>
      </w:r>
      <w:r>
        <w:rPr>
          <w:rFonts w:hint="eastAsia" w:ascii="宋体" w:hAnsi="宋体" w:cs="宋体"/>
          <w:bCs/>
          <w:color w:val="auto"/>
          <w:kern w:val="0"/>
          <w:sz w:val="24"/>
          <w:highlight w:val="none"/>
          <w:lang w:val="zh-CN"/>
        </w:rPr>
        <w:t>%</w:t>
      </w:r>
    </w:p>
    <w:p w14:paraId="1CAD870D">
      <w:pPr>
        <w:snapToGrid w:val="0"/>
        <w:spacing w:line="360" w:lineRule="auto"/>
        <w:ind w:firstLine="576"/>
        <w:rPr>
          <w:rFonts w:asciiTheme="minorEastAsia" w:hAnsiTheme="minorEastAsia" w:eastAsiaTheme="minorEastAsia" w:cstheme="minorEastAsia"/>
          <w:b/>
          <w:color w:val="auto"/>
          <w:kern w:val="0"/>
          <w:sz w:val="24"/>
          <w:highlight w:val="none"/>
          <w:lang w:val="zh-CN"/>
        </w:rPr>
      </w:pPr>
    </w:p>
    <w:p w14:paraId="01F70F58">
      <w:pPr>
        <w:snapToGrid w:val="0"/>
        <w:spacing w:line="360" w:lineRule="auto"/>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投标人名称(盖章)：</w:t>
      </w:r>
    </w:p>
    <w:p w14:paraId="782BA979">
      <w:pPr>
        <w:snapToGrid w:val="0"/>
        <w:spacing w:line="360" w:lineRule="auto"/>
        <w:ind w:firstLine="5640" w:firstLineChars="2350"/>
        <w:rPr>
          <w:rFonts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分包供应商名称：</w:t>
      </w:r>
    </w:p>
    <w:p w14:paraId="63FDAA2E">
      <w:pPr>
        <w:snapToGrid w:val="0"/>
        <w:spacing w:line="360" w:lineRule="auto"/>
        <w:ind w:firstLine="5760" w:firstLineChars="2400"/>
        <w:rPr>
          <w:rFonts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w:t>
      </w:r>
    </w:p>
    <w:p w14:paraId="037C2CD6">
      <w:pPr>
        <w:rPr>
          <w:color w:val="auto"/>
          <w:highlight w:val="none"/>
        </w:rPr>
      </w:pPr>
      <w:r>
        <w:rPr>
          <w:rFonts w:hint="eastAsia" w:asciiTheme="minorEastAsia" w:hAnsiTheme="minorEastAsia" w:eastAsiaTheme="minorEastAsia" w:cstheme="minorEastAsia"/>
          <w:color w:val="auto"/>
          <w:kern w:val="0"/>
          <w:sz w:val="24"/>
          <w:highlight w:val="none"/>
          <w:lang w:val="zh-CN"/>
        </w:rPr>
        <w:t xml:space="preserve">                                               日期：  年  月   日</w:t>
      </w:r>
    </w:p>
    <w:p w14:paraId="621EB804">
      <w:pPr>
        <w:pStyle w:val="8"/>
        <w:rPr>
          <w:rFonts w:ascii="宋体" w:hAnsi="宋体" w:eastAsia="宋体" w:cs="宋体"/>
          <w:color w:val="auto"/>
          <w:sz w:val="24"/>
          <w:szCs w:val="24"/>
          <w:highlight w:val="none"/>
        </w:rPr>
      </w:pPr>
      <w:bookmarkStart w:id="81" w:name="_Toc120"/>
      <w:r>
        <w:rPr>
          <w:rFonts w:hint="eastAsia" w:ascii="宋体" w:hAnsi="宋体" w:eastAsia="宋体" w:cs="宋体"/>
          <w:color w:val="auto"/>
          <w:sz w:val="24"/>
          <w:szCs w:val="24"/>
          <w:highlight w:val="none"/>
        </w:rPr>
        <w:t>附件</w:t>
      </w:r>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rPr>
        <w:t>：投标人资信商务、技术自评得分表</w:t>
      </w:r>
      <w:bookmarkEnd w:id="81"/>
    </w:p>
    <w:p w14:paraId="4DE3F4F8">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投标人资信商务、技术自评得分表</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3550"/>
        <w:gridCol w:w="3200"/>
        <w:gridCol w:w="916"/>
        <w:gridCol w:w="1219"/>
      </w:tblGrid>
      <w:tr w14:paraId="46B78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trPr>
        <w:tc>
          <w:tcPr>
            <w:tcW w:w="834" w:type="dxa"/>
            <w:vAlign w:val="center"/>
          </w:tcPr>
          <w:p w14:paraId="52134B9D">
            <w:pPr>
              <w:jc w:val="center"/>
              <w:rPr>
                <w:rFonts w:ascii="宋体" w:hAnsi="宋体" w:cs="宋体"/>
                <w:color w:val="auto"/>
                <w:sz w:val="24"/>
                <w:highlight w:val="none"/>
              </w:rPr>
            </w:pPr>
            <w:r>
              <w:rPr>
                <w:rFonts w:hint="eastAsia" w:ascii="宋体" w:hAnsi="宋体" w:cs="宋体"/>
                <w:color w:val="auto"/>
                <w:sz w:val="24"/>
                <w:highlight w:val="none"/>
              </w:rPr>
              <w:t>序号</w:t>
            </w:r>
          </w:p>
        </w:tc>
        <w:tc>
          <w:tcPr>
            <w:tcW w:w="3550" w:type="dxa"/>
            <w:vAlign w:val="center"/>
          </w:tcPr>
          <w:p w14:paraId="59858E07">
            <w:pPr>
              <w:jc w:val="center"/>
              <w:rPr>
                <w:rFonts w:ascii="宋体" w:hAnsi="宋体" w:cs="宋体"/>
                <w:color w:val="auto"/>
                <w:sz w:val="24"/>
                <w:highlight w:val="none"/>
              </w:rPr>
            </w:pPr>
            <w:r>
              <w:rPr>
                <w:rFonts w:hint="eastAsia" w:ascii="宋体" w:hAnsi="宋体" w:cs="宋体"/>
                <w:color w:val="auto"/>
                <w:sz w:val="24"/>
                <w:highlight w:val="none"/>
              </w:rPr>
              <w:t>评分标准</w:t>
            </w:r>
          </w:p>
        </w:tc>
        <w:tc>
          <w:tcPr>
            <w:tcW w:w="3200" w:type="dxa"/>
            <w:vAlign w:val="center"/>
          </w:tcPr>
          <w:p w14:paraId="3154594B">
            <w:pPr>
              <w:jc w:val="center"/>
              <w:rPr>
                <w:rFonts w:ascii="宋体" w:hAnsi="宋体" w:cs="宋体"/>
                <w:color w:val="auto"/>
                <w:sz w:val="24"/>
                <w:highlight w:val="none"/>
              </w:rPr>
            </w:pPr>
            <w:r>
              <w:rPr>
                <w:rFonts w:hint="eastAsia" w:ascii="宋体" w:hAnsi="宋体" w:cs="宋体"/>
                <w:color w:val="auto"/>
                <w:sz w:val="24"/>
                <w:highlight w:val="none"/>
              </w:rPr>
              <w:t>得分内容</w:t>
            </w:r>
          </w:p>
        </w:tc>
        <w:tc>
          <w:tcPr>
            <w:tcW w:w="916" w:type="dxa"/>
            <w:vAlign w:val="center"/>
          </w:tcPr>
          <w:p w14:paraId="27860A15">
            <w:pPr>
              <w:jc w:val="center"/>
              <w:rPr>
                <w:rFonts w:ascii="宋体" w:hAnsi="宋体" w:cs="宋体"/>
                <w:color w:val="auto"/>
                <w:sz w:val="24"/>
                <w:highlight w:val="none"/>
              </w:rPr>
            </w:pPr>
            <w:r>
              <w:rPr>
                <w:rFonts w:hint="eastAsia" w:ascii="宋体" w:hAnsi="宋体" w:cs="宋体"/>
                <w:color w:val="auto"/>
                <w:sz w:val="24"/>
                <w:highlight w:val="none"/>
              </w:rPr>
              <w:t>自评</w:t>
            </w:r>
          </w:p>
          <w:p w14:paraId="67F7BE9C">
            <w:pPr>
              <w:jc w:val="center"/>
              <w:rPr>
                <w:rFonts w:ascii="宋体" w:hAnsi="宋体" w:cs="宋体"/>
                <w:color w:val="auto"/>
                <w:sz w:val="24"/>
                <w:highlight w:val="none"/>
              </w:rPr>
            </w:pPr>
            <w:r>
              <w:rPr>
                <w:rFonts w:hint="eastAsia" w:ascii="宋体" w:hAnsi="宋体" w:cs="宋体"/>
                <w:color w:val="auto"/>
                <w:sz w:val="24"/>
                <w:highlight w:val="none"/>
              </w:rPr>
              <w:t>得分</w:t>
            </w:r>
          </w:p>
        </w:tc>
        <w:tc>
          <w:tcPr>
            <w:tcW w:w="1219" w:type="dxa"/>
            <w:vAlign w:val="center"/>
          </w:tcPr>
          <w:p w14:paraId="2097D632">
            <w:pPr>
              <w:jc w:val="center"/>
              <w:rPr>
                <w:rFonts w:ascii="宋体" w:hAnsi="宋体" w:cs="宋体"/>
                <w:color w:val="auto"/>
                <w:sz w:val="24"/>
                <w:highlight w:val="none"/>
              </w:rPr>
            </w:pPr>
            <w:r>
              <w:rPr>
                <w:rFonts w:hint="eastAsia" w:ascii="宋体" w:hAnsi="宋体" w:cs="宋体"/>
                <w:color w:val="auto"/>
                <w:sz w:val="24"/>
                <w:highlight w:val="none"/>
              </w:rPr>
              <w:t>页码</w:t>
            </w:r>
          </w:p>
        </w:tc>
      </w:tr>
      <w:tr w14:paraId="2A7DA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6AA5B5E7">
            <w:pPr>
              <w:jc w:val="center"/>
              <w:rPr>
                <w:rFonts w:ascii="宋体" w:hAnsi="宋体" w:cs="宋体"/>
                <w:color w:val="auto"/>
                <w:sz w:val="24"/>
                <w:highlight w:val="none"/>
              </w:rPr>
            </w:pPr>
            <w:r>
              <w:rPr>
                <w:rFonts w:hint="eastAsia" w:ascii="宋体" w:hAnsi="宋体" w:cs="宋体"/>
                <w:color w:val="auto"/>
                <w:sz w:val="24"/>
                <w:highlight w:val="none"/>
              </w:rPr>
              <w:t>1</w:t>
            </w:r>
          </w:p>
        </w:tc>
        <w:tc>
          <w:tcPr>
            <w:tcW w:w="3550" w:type="dxa"/>
            <w:vAlign w:val="center"/>
          </w:tcPr>
          <w:p w14:paraId="0C22E2AC">
            <w:pPr>
              <w:jc w:val="center"/>
              <w:rPr>
                <w:rFonts w:ascii="宋体" w:hAnsi="宋体" w:cs="宋体"/>
                <w:color w:val="auto"/>
                <w:sz w:val="24"/>
                <w:highlight w:val="none"/>
              </w:rPr>
            </w:pPr>
          </w:p>
        </w:tc>
        <w:tc>
          <w:tcPr>
            <w:tcW w:w="3200" w:type="dxa"/>
            <w:vAlign w:val="center"/>
          </w:tcPr>
          <w:p w14:paraId="46B75AC5">
            <w:pPr>
              <w:jc w:val="center"/>
              <w:rPr>
                <w:rFonts w:ascii="宋体" w:hAnsi="宋体" w:cs="宋体"/>
                <w:color w:val="auto"/>
                <w:sz w:val="24"/>
                <w:highlight w:val="none"/>
              </w:rPr>
            </w:pPr>
          </w:p>
        </w:tc>
        <w:tc>
          <w:tcPr>
            <w:tcW w:w="916" w:type="dxa"/>
            <w:vAlign w:val="center"/>
          </w:tcPr>
          <w:p w14:paraId="16938D15">
            <w:pPr>
              <w:jc w:val="center"/>
              <w:rPr>
                <w:rFonts w:ascii="宋体" w:hAnsi="宋体" w:cs="宋体"/>
                <w:color w:val="auto"/>
                <w:sz w:val="24"/>
                <w:highlight w:val="none"/>
              </w:rPr>
            </w:pPr>
          </w:p>
        </w:tc>
        <w:tc>
          <w:tcPr>
            <w:tcW w:w="1219" w:type="dxa"/>
            <w:vAlign w:val="center"/>
          </w:tcPr>
          <w:p w14:paraId="3712F190">
            <w:pPr>
              <w:jc w:val="center"/>
              <w:rPr>
                <w:rFonts w:ascii="宋体" w:hAnsi="宋体" w:cs="宋体"/>
                <w:color w:val="auto"/>
                <w:sz w:val="24"/>
                <w:highlight w:val="none"/>
              </w:rPr>
            </w:pPr>
          </w:p>
        </w:tc>
      </w:tr>
      <w:tr w14:paraId="7CEEF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34" w:type="dxa"/>
            <w:vAlign w:val="center"/>
          </w:tcPr>
          <w:p w14:paraId="77F4B234">
            <w:pPr>
              <w:jc w:val="center"/>
              <w:rPr>
                <w:rFonts w:ascii="宋体" w:hAnsi="宋体" w:cs="宋体"/>
                <w:color w:val="auto"/>
                <w:sz w:val="24"/>
                <w:highlight w:val="none"/>
              </w:rPr>
            </w:pPr>
            <w:r>
              <w:rPr>
                <w:rFonts w:hint="eastAsia" w:ascii="宋体" w:hAnsi="宋体" w:cs="宋体"/>
                <w:color w:val="auto"/>
                <w:sz w:val="24"/>
                <w:highlight w:val="none"/>
              </w:rPr>
              <w:t>2</w:t>
            </w:r>
          </w:p>
        </w:tc>
        <w:tc>
          <w:tcPr>
            <w:tcW w:w="3550" w:type="dxa"/>
            <w:vAlign w:val="center"/>
          </w:tcPr>
          <w:p w14:paraId="59591C51">
            <w:pPr>
              <w:jc w:val="center"/>
              <w:rPr>
                <w:rFonts w:ascii="宋体" w:hAnsi="宋体" w:cs="宋体"/>
                <w:color w:val="auto"/>
                <w:sz w:val="24"/>
                <w:highlight w:val="none"/>
              </w:rPr>
            </w:pPr>
          </w:p>
        </w:tc>
        <w:tc>
          <w:tcPr>
            <w:tcW w:w="3200" w:type="dxa"/>
            <w:vAlign w:val="center"/>
          </w:tcPr>
          <w:p w14:paraId="33851376">
            <w:pPr>
              <w:jc w:val="center"/>
              <w:rPr>
                <w:rFonts w:ascii="宋体" w:hAnsi="宋体" w:cs="宋体"/>
                <w:color w:val="auto"/>
                <w:sz w:val="24"/>
                <w:highlight w:val="none"/>
              </w:rPr>
            </w:pPr>
          </w:p>
        </w:tc>
        <w:tc>
          <w:tcPr>
            <w:tcW w:w="916" w:type="dxa"/>
            <w:vAlign w:val="center"/>
          </w:tcPr>
          <w:p w14:paraId="58695769">
            <w:pPr>
              <w:jc w:val="center"/>
              <w:rPr>
                <w:rFonts w:ascii="宋体" w:hAnsi="宋体" w:cs="宋体"/>
                <w:color w:val="auto"/>
                <w:sz w:val="24"/>
                <w:highlight w:val="none"/>
              </w:rPr>
            </w:pPr>
          </w:p>
        </w:tc>
        <w:tc>
          <w:tcPr>
            <w:tcW w:w="1219" w:type="dxa"/>
            <w:vAlign w:val="center"/>
          </w:tcPr>
          <w:p w14:paraId="2B4ED1C3">
            <w:pPr>
              <w:jc w:val="center"/>
              <w:rPr>
                <w:rFonts w:ascii="宋体" w:hAnsi="宋体" w:cs="宋体"/>
                <w:color w:val="auto"/>
                <w:sz w:val="24"/>
                <w:highlight w:val="none"/>
              </w:rPr>
            </w:pPr>
          </w:p>
        </w:tc>
      </w:tr>
      <w:tr w14:paraId="11065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018F7438">
            <w:pPr>
              <w:jc w:val="center"/>
              <w:rPr>
                <w:rFonts w:ascii="宋体" w:hAnsi="宋体" w:cs="宋体"/>
                <w:color w:val="auto"/>
                <w:sz w:val="24"/>
                <w:highlight w:val="none"/>
              </w:rPr>
            </w:pPr>
            <w:r>
              <w:rPr>
                <w:rFonts w:hint="eastAsia" w:ascii="宋体" w:hAnsi="宋体" w:cs="宋体"/>
                <w:color w:val="auto"/>
                <w:sz w:val="24"/>
                <w:highlight w:val="none"/>
              </w:rPr>
              <w:t>3</w:t>
            </w:r>
          </w:p>
        </w:tc>
        <w:tc>
          <w:tcPr>
            <w:tcW w:w="3550" w:type="dxa"/>
            <w:vAlign w:val="center"/>
          </w:tcPr>
          <w:p w14:paraId="2E38F38C">
            <w:pPr>
              <w:jc w:val="center"/>
              <w:rPr>
                <w:rFonts w:ascii="宋体" w:hAnsi="宋体" w:cs="宋体"/>
                <w:color w:val="auto"/>
                <w:sz w:val="24"/>
                <w:highlight w:val="none"/>
              </w:rPr>
            </w:pPr>
          </w:p>
        </w:tc>
        <w:tc>
          <w:tcPr>
            <w:tcW w:w="3200" w:type="dxa"/>
            <w:vAlign w:val="center"/>
          </w:tcPr>
          <w:p w14:paraId="00A0B3AC">
            <w:pPr>
              <w:jc w:val="center"/>
              <w:rPr>
                <w:rFonts w:ascii="宋体" w:hAnsi="宋体" w:cs="宋体"/>
                <w:color w:val="auto"/>
                <w:sz w:val="24"/>
                <w:highlight w:val="none"/>
              </w:rPr>
            </w:pPr>
          </w:p>
        </w:tc>
        <w:tc>
          <w:tcPr>
            <w:tcW w:w="916" w:type="dxa"/>
            <w:vAlign w:val="center"/>
          </w:tcPr>
          <w:p w14:paraId="323FB84A">
            <w:pPr>
              <w:jc w:val="center"/>
              <w:rPr>
                <w:rFonts w:ascii="宋体" w:hAnsi="宋体" w:cs="宋体"/>
                <w:color w:val="auto"/>
                <w:sz w:val="24"/>
                <w:highlight w:val="none"/>
              </w:rPr>
            </w:pPr>
          </w:p>
        </w:tc>
        <w:tc>
          <w:tcPr>
            <w:tcW w:w="1219" w:type="dxa"/>
            <w:vAlign w:val="center"/>
          </w:tcPr>
          <w:p w14:paraId="3A96500A">
            <w:pPr>
              <w:jc w:val="center"/>
              <w:rPr>
                <w:rFonts w:ascii="宋体" w:hAnsi="宋体" w:cs="宋体"/>
                <w:color w:val="auto"/>
                <w:sz w:val="24"/>
                <w:highlight w:val="none"/>
              </w:rPr>
            </w:pPr>
          </w:p>
        </w:tc>
      </w:tr>
      <w:tr w14:paraId="6B8D9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107B0420">
            <w:pPr>
              <w:jc w:val="center"/>
              <w:rPr>
                <w:rFonts w:ascii="宋体" w:hAnsi="宋体" w:cs="宋体"/>
                <w:color w:val="auto"/>
                <w:sz w:val="24"/>
                <w:highlight w:val="none"/>
              </w:rPr>
            </w:pPr>
            <w:r>
              <w:rPr>
                <w:rFonts w:hint="eastAsia" w:ascii="宋体" w:hAnsi="宋体" w:cs="宋体"/>
                <w:color w:val="auto"/>
                <w:sz w:val="24"/>
                <w:highlight w:val="none"/>
              </w:rPr>
              <w:t>4</w:t>
            </w:r>
          </w:p>
        </w:tc>
        <w:tc>
          <w:tcPr>
            <w:tcW w:w="3550" w:type="dxa"/>
            <w:vAlign w:val="center"/>
          </w:tcPr>
          <w:p w14:paraId="0EA63D1D">
            <w:pPr>
              <w:jc w:val="center"/>
              <w:rPr>
                <w:rFonts w:ascii="宋体" w:hAnsi="宋体" w:cs="宋体"/>
                <w:color w:val="auto"/>
                <w:sz w:val="24"/>
                <w:highlight w:val="none"/>
              </w:rPr>
            </w:pPr>
          </w:p>
        </w:tc>
        <w:tc>
          <w:tcPr>
            <w:tcW w:w="3200" w:type="dxa"/>
            <w:vAlign w:val="center"/>
          </w:tcPr>
          <w:p w14:paraId="2C0DB070">
            <w:pPr>
              <w:jc w:val="center"/>
              <w:rPr>
                <w:rFonts w:ascii="宋体" w:hAnsi="宋体" w:cs="宋体"/>
                <w:color w:val="auto"/>
                <w:sz w:val="24"/>
                <w:highlight w:val="none"/>
              </w:rPr>
            </w:pPr>
          </w:p>
        </w:tc>
        <w:tc>
          <w:tcPr>
            <w:tcW w:w="916" w:type="dxa"/>
            <w:vAlign w:val="center"/>
          </w:tcPr>
          <w:p w14:paraId="0AA3E728">
            <w:pPr>
              <w:jc w:val="center"/>
              <w:rPr>
                <w:rFonts w:ascii="宋体" w:hAnsi="宋体" w:cs="宋体"/>
                <w:color w:val="auto"/>
                <w:sz w:val="24"/>
                <w:highlight w:val="none"/>
              </w:rPr>
            </w:pPr>
          </w:p>
        </w:tc>
        <w:tc>
          <w:tcPr>
            <w:tcW w:w="1219" w:type="dxa"/>
            <w:vAlign w:val="center"/>
          </w:tcPr>
          <w:p w14:paraId="59A30F6F">
            <w:pPr>
              <w:jc w:val="center"/>
              <w:rPr>
                <w:rFonts w:ascii="宋体" w:hAnsi="宋体" w:cs="宋体"/>
                <w:color w:val="auto"/>
                <w:sz w:val="24"/>
                <w:highlight w:val="none"/>
              </w:rPr>
            </w:pPr>
          </w:p>
        </w:tc>
      </w:tr>
      <w:tr w14:paraId="3F84D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34" w:type="dxa"/>
            <w:vAlign w:val="center"/>
          </w:tcPr>
          <w:p w14:paraId="3FEB2014">
            <w:pPr>
              <w:jc w:val="center"/>
              <w:rPr>
                <w:rFonts w:ascii="宋体" w:hAnsi="宋体" w:cs="宋体"/>
                <w:color w:val="auto"/>
                <w:sz w:val="24"/>
                <w:highlight w:val="none"/>
              </w:rPr>
            </w:pPr>
            <w:r>
              <w:rPr>
                <w:rFonts w:hint="eastAsia" w:ascii="宋体" w:hAnsi="宋体" w:cs="宋体"/>
                <w:color w:val="auto"/>
                <w:sz w:val="24"/>
                <w:highlight w:val="none"/>
              </w:rPr>
              <w:t>5</w:t>
            </w:r>
          </w:p>
        </w:tc>
        <w:tc>
          <w:tcPr>
            <w:tcW w:w="3550" w:type="dxa"/>
            <w:vAlign w:val="center"/>
          </w:tcPr>
          <w:p w14:paraId="554A9DE7">
            <w:pPr>
              <w:jc w:val="center"/>
              <w:rPr>
                <w:rFonts w:ascii="宋体" w:hAnsi="宋体" w:cs="宋体"/>
                <w:color w:val="auto"/>
                <w:sz w:val="24"/>
                <w:highlight w:val="none"/>
              </w:rPr>
            </w:pPr>
          </w:p>
        </w:tc>
        <w:tc>
          <w:tcPr>
            <w:tcW w:w="3200" w:type="dxa"/>
            <w:vAlign w:val="center"/>
          </w:tcPr>
          <w:p w14:paraId="6F4105A2">
            <w:pPr>
              <w:jc w:val="center"/>
              <w:rPr>
                <w:rFonts w:ascii="宋体" w:hAnsi="宋体" w:cs="宋体"/>
                <w:color w:val="auto"/>
                <w:sz w:val="24"/>
                <w:highlight w:val="none"/>
              </w:rPr>
            </w:pPr>
          </w:p>
        </w:tc>
        <w:tc>
          <w:tcPr>
            <w:tcW w:w="916" w:type="dxa"/>
            <w:vAlign w:val="center"/>
          </w:tcPr>
          <w:p w14:paraId="07529F27">
            <w:pPr>
              <w:jc w:val="center"/>
              <w:rPr>
                <w:rFonts w:ascii="宋体" w:hAnsi="宋体" w:cs="宋体"/>
                <w:color w:val="auto"/>
                <w:sz w:val="24"/>
                <w:highlight w:val="none"/>
              </w:rPr>
            </w:pPr>
          </w:p>
        </w:tc>
        <w:tc>
          <w:tcPr>
            <w:tcW w:w="1219" w:type="dxa"/>
            <w:vAlign w:val="center"/>
          </w:tcPr>
          <w:p w14:paraId="177CC20D">
            <w:pPr>
              <w:jc w:val="center"/>
              <w:rPr>
                <w:rFonts w:ascii="宋体" w:hAnsi="宋体" w:cs="宋体"/>
                <w:color w:val="auto"/>
                <w:sz w:val="24"/>
                <w:highlight w:val="none"/>
              </w:rPr>
            </w:pPr>
          </w:p>
        </w:tc>
      </w:tr>
      <w:tr w14:paraId="638C1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551BD792">
            <w:pPr>
              <w:jc w:val="center"/>
              <w:rPr>
                <w:rFonts w:ascii="宋体" w:hAnsi="宋体" w:cs="宋体"/>
                <w:color w:val="auto"/>
                <w:sz w:val="24"/>
                <w:highlight w:val="none"/>
              </w:rPr>
            </w:pPr>
            <w:r>
              <w:rPr>
                <w:rFonts w:hint="eastAsia" w:ascii="宋体" w:hAnsi="宋体" w:cs="宋体"/>
                <w:color w:val="auto"/>
                <w:sz w:val="24"/>
                <w:highlight w:val="none"/>
              </w:rPr>
              <w:t>6</w:t>
            </w:r>
          </w:p>
        </w:tc>
        <w:tc>
          <w:tcPr>
            <w:tcW w:w="3550" w:type="dxa"/>
            <w:vAlign w:val="center"/>
          </w:tcPr>
          <w:p w14:paraId="7AADA7AD">
            <w:pPr>
              <w:jc w:val="center"/>
              <w:rPr>
                <w:rFonts w:ascii="宋体" w:hAnsi="宋体" w:cs="宋体"/>
                <w:color w:val="auto"/>
                <w:sz w:val="24"/>
                <w:highlight w:val="none"/>
              </w:rPr>
            </w:pPr>
          </w:p>
        </w:tc>
        <w:tc>
          <w:tcPr>
            <w:tcW w:w="3200" w:type="dxa"/>
            <w:vAlign w:val="center"/>
          </w:tcPr>
          <w:p w14:paraId="072FE129">
            <w:pPr>
              <w:jc w:val="center"/>
              <w:rPr>
                <w:rFonts w:ascii="宋体" w:hAnsi="宋体" w:cs="宋体"/>
                <w:color w:val="auto"/>
                <w:sz w:val="24"/>
                <w:highlight w:val="none"/>
              </w:rPr>
            </w:pPr>
          </w:p>
        </w:tc>
        <w:tc>
          <w:tcPr>
            <w:tcW w:w="916" w:type="dxa"/>
            <w:vAlign w:val="center"/>
          </w:tcPr>
          <w:p w14:paraId="0A00CBFD">
            <w:pPr>
              <w:jc w:val="center"/>
              <w:rPr>
                <w:rFonts w:ascii="宋体" w:hAnsi="宋体" w:cs="宋体"/>
                <w:color w:val="auto"/>
                <w:sz w:val="24"/>
                <w:highlight w:val="none"/>
              </w:rPr>
            </w:pPr>
          </w:p>
        </w:tc>
        <w:tc>
          <w:tcPr>
            <w:tcW w:w="1219" w:type="dxa"/>
            <w:vAlign w:val="center"/>
          </w:tcPr>
          <w:p w14:paraId="6CAEA13D">
            <w:pPr>
              <w:jc w:val="center"/>
              <w:rPr>
                <w:rFonts w:ascii="宋体" w:hAnsi="宋体" w:cs="宋体"/>
                <w:color w:val="auto"/>
                <w:sz w:val="24"/>
                <w:highlight w:val="none"/>
              </w:rPr>
            </w:pPr>
          </w:p>
        </w:tc>
      </w:tr>
      <w:tr w14:paraId="2469F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34" w:type="dxa"/>
            <w:vAlign w:val="center"/>
          </w:tcPr>
          <w:p w14:paraId="264854CF">
            <w:pPr>
              <w:jc w:val="center"/>
              <w:rPr>
                <w:rFonts w:ascii="宋体" w:hAnsi="宋体" w:cs="宋体"/>
                <w:color w:val="auto"/>
                <w:sz w:val="24"/>
                <w:highlight w:val="none"/>
              </w:rPr>
            </w:pPr>
            <w:r>
              <w:rPr>
                <w:rFonts w:hint="eastAsia" w:ascii="宋体" w:hAnsi="宋体" w:cs="宋体"/>
                <w:color w:val="auto"/>
                <w:sz w:val="24"/>
                <w:highlight w:val="none"/>
              </w:rPr>
              <w:t>7</w:t>
            </w:r>
          </w:p>
        </w:tc>
        <w:tc>
          <w:tcPr>
            <w:tcW w:w="3550" w:type="dxa"/>
            <w:vAlign w:val="center"/>
          </w:tcPr>
          <w:p w14:paraId="5D3B73C9">
            <w:pPr>
              <w:jc w:val="center"/>
              <w:rPr>
                <w:rFonts w:ascii="宋体" w:hAnsi="宋体" w:cs="宋体"/>
                <w:color w:val="auto"/>
                <w:sz w:val="24"/>
                <w:highlight w:val="none"/>
              </w:rPr>
            </w:pPr>
          </w:p>
        </w:tc>
        <w:tc>
          <w:tcPr>
            <w:tcW w:w="3200" w:type="dxa"/>
            <w:vAlign w:val="center"/>
          </w:tcPr>
          <w:p w14:paraId="34132AEF">
            <w:pPr>
              <w:jc w:val="center"/>
              <w:rPr>
                <w:rFonts w:ascii="宋体" w:hAnsi="宋体" w:cs="宋体"/>
                <w:color w:val="auto"/>
                <w:sz w:val="24"/>
                <w:highlight w:val="none"/>
              </w:rPr>
            </w:pPr>
          </w:p>
        </w:tc>
        <w:tc>
          <w:tcPr>
            <w:tcW w:w="916" w:type="dxa"/>
            <w:vAlign w:val="center"/>
          </w:tcPr>
          <w:p w14:paraId="3D2D24AD">
            <w:pPr>
              <w:jc w:val="center"/>
              <w:rPr>
                <w:rFonts w:ascii="宋体" w:hAnsi="宋体" w:cs="宋体"/>
                <w:color w:val="auto"/>
                <w:sz w:val="24"/>
                <w:highlight w:val="none"/>
              </w:rPr>
            </w:pPr>
          </w:p>
        </w:tc>
        <w:tc>
          <w:tcPr>
            <w:tcW w:w="1219" w:type="dxa"/>
            <w:vAlign w:val="center"/>
          </w:tcPr>
          <w:p w14:paraId="7D2071BE">
            <w:pPr>
              <w:jc w:val="center"/>
              <w:rPr>
                <w:rFonts w:ascii="宋体" w:hAnsi="宋体" w:cs="宋体"/>
                <w:color w:val="auto"/>
                <w:sz w:val="24"/>
                <w:highlight w:val="none"/>
              </w:rPr>
            </w:pPr>
          </w:p>
        </w:tc>
      </w:tr>
      <w:tr w14:paraId="01EDD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5B0E7298">
            <w:pPr>
              <w:jc w:val="center"/>
              <w:rPr>
                <w:rFonts w:ascii="宋体" w:hAnsi="宋体" w:cs="宋体"/>
                <w:color w:val="auto"/>
                <w:sz w:val="24"/>
                <w:highlight w:val="none"/>
              </w:rPr>
            </w:pPr>
            <w:r>
              <w:rPr>
                <w:rFonts w:hint="eastAsia" w:ascii="宋体" w:hAnsi="宋体" w:cs="宋体"/>
                <w:color w:val="auto"/>
                <w:sz w:val="24"/>
                <w:highlight w:val="none"/>
              </w:rPr>
              <w:t>8</w:t>
            </w:r>
          </w:p>
        </w:tc>
        <w:tc>
          <w:tcPr>
            <w:tcW w:w="3550" w:type="dxa"/>
            <w:vAlign w:val="center"/>
          </w:tcPr>
          <w:p w14:paraId="71C8EBC4">
            <w:pPr>
              <w:jc w:val="center"/>
              <w:rPr>
                <w:rFonts w:ascii="宋体" w:hAnsi="宋体" w:cs="宋体"/>
                <w:color w:val="auto"/>
                <w:sz w:val="24"/>
                <w:highlight w:val="none"/>
              </w:rPr>
            </w:pPr>
          </w:p>
        </w:tc>
        <w:tc>
          <w:tcPr>
            <w:tcW w:w="3200" w:type="dxa"/>
            <w:vAlign w:val="center"/>
          </w:tcPr>
          <w:p w14:paraId="5C102995">
            <w:pPr>
              <w:jc w:val="center"/>
              <w:rPr>
                <w:rFonts w:ascii="宋体" w:hAnsi="宋体" w:cs="宋体"/>
                <w:color w:val="auto"/>
                <w:sz w:val="24"/>
                <w:highlight w:val="none"/>
              </w:rPr>
            </w:pPr>
          </w:p>
        </w:tc>
        <w:tc>
          <w:tcPr>
            <w:tcW w:w="916" w:type="dxa"/>
            <w:vAlign w:val="center"/>
          </w:tcPr>
          <w:p w14:paraId="40188FD3">
            <w:pPr>
              <w:jc w:val="center"/>
              <w:rPr>
                <w:rFonts w:ascii="宋体" w:hAnsi="宋体" w:cs="宋体"/>
                <w:color w:val="auto"/>
                <w:sz w:val="24"/>
                <w:highlight w:val="none"/>
              </w:rPr>
            </w:pPr>
          </w:p>
        </w:tc>
        <w:tc>
          <w:tcPr>
            <w:tcW w:w="1219" w:type="dxa"/>
            <w:vAlign w:val="center"/>
          </w:tcPr>
          <w:p w14:paraId="5B0BA472">
            <w:pPr>
              <w:jc w:val="center"/>
              <w:rPr>
                <w:rFonts w:ascii="宋体" w:hAnsi="宋体" w:cs="宋体"/>
                <w:color w:val="auto"/>
                <w:sz w:val="24"/>
                <w:highlight w:val="none"/>
              </w:rPr>
            </w:pPr>
          </w:p>
        </w:tc>
      </w:tr>
      <w:tr w14:paraId="5F3DE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34" w:type="dxa"/>
            <w:vAlign w:val="center"/>
          </w:tcPr>
          <w:p w14:paraId="5ED24A2A">
            <w:pPr>
              <w:jc w:val="center"/>
              <w:rPr>
                <w:rFonts w:ascii="宋体" w:hAnsi="宋体" w:cs="宋体"/>
                <w:color w:val="auto"/>
                <w:sz w:val="24"/>
                <w:highlight w:val="none"/>
              </w:rPr>
            </w:pPr>
            <w:r>
              <w:rPr>
                <w:rFonts w:hint="eastAsia" w:ascii="宋体" w:hAnsi="宋体" w:cs="宋体"/>
                <w:color w:val="auto"/>
                <w:sz w:val="24"/>
                <w:highlight w:val="none"/>
              </w:rPr>
              <w:t>9</w:t>
            </w:r>
          </w:p>
        </w:tc>
        <w:tc>
          <w:tcPr>
            <w:tcW w:w="3550" w:type="dxa"/>
            <w:vAlign w:val="center"/>
          </w:tcPr>
          <w:p w14:paraId="3B7F9F08">
            <w:pPr>
              <w:jc w:val="center"/>
              <w:rPr>
                <w:rFonts w:ascii="宋体" w:hAnsi="宋体" w:cs="宋体"/>
                <w:color w:val="auto"/>
                <w:sz w:val="24"/>
                <w:highlight w:val="none"/>
              </w:rPr>
            </w:pPr>
          </w:p>
        </w:tc>
        <w:tc>
          <w:tcPr>
            <w:tcW w:w="3200" w:type="dxa"/>
            <w:vAlign w:val="center"/>
          </w:tcPr>
          <w:p w14:paraId="50E10C34">
            <w:pPr>
              <w:jc w:val="center"/>
              <w:rPr>
                <w:rFonts w:ascii="宋体" w:hAnsi="宋体" w:cs="宋体"/>
                <w:color w:val="auto"/>
                <w:sz w:val="24"/>
                <w:highlight w:val="none"/>
              </w:rPr>
            </w:pPr>
          </w:p>
        </w:tc>
        <w:tc>
          <w:tcPr>
            <w:tcW w:w="916" w:type="dxa"/>
            <w:vAlign w:val="center"/>
          </w:tcPr>
          <w:p w14:paraId="704C1B45">
            <w:pPr>
              <w:jc w:val="center"/>
              <w:rPr>
                <w:rFonts w:ascii="宋体" w:hAnsi="宋体" w:cs="宋体"/>
                <w:color w:val="auto"/>
                <w:sz w:val="24"/>
                <w:highlight w:val="none"/>
              </w:rPr>
            </w:pPr>
          </w:p>
        </w:tc>
        <w:tc>
          <w:tcPr>
            <w:tcW w:w="1219" w:type="dxa"/>
            <w:vAlign w:val="center"/>
          </w:tcPr>
          <w:p w14:paraId="2A423F47">
            <w:pPr>
              <w:jc w:val="center"/>
              <w:rPr>
                <w:rFonts w:ascii="宋体" w:hAnsi="宋体" w:cs="宋体"/>
                <w:color w:val="auto"/>
                <w:sz w:val="24"/>
                <w:highlight w:val="none"/>
              </w:rPr>
            </w:pPr>
          </w:p>
        </w:tc>
      </w:tr>
      <w:tr w14:paraId="669EB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834" w:type="dxa"/>
            <w:vAlign w:val="center"/>
          </w:tcPr>
          <w:p w14:paraId="00157602">
            <w:pPr>
              <w:jc w:val="center"/>
              <w:rPr>
                <w:rFonts w:ascii="宋体" w:hAnsi="宋体" w:cs="宋体"/>
                <w:color w:val="auto"/>
                <w:sz w:val="24"/>
                <w:highlight w:val="none"/>
              </w:rPr>
            </w:pPr>
            <w:r>
              <w:rPr>
                <w:rFonts w:hint="eastAsia" w:ascii="宋体" w:hAnsi="宋体" w:cs="宋体"/>
                <w:color w:val="auto"/>
                <w:sz w:val="24"/>
                <w:highlight w:val="none"/>
              </w:rPr>
              <w:t>10</w:t>
            </w:r>
          </w:p>
        </w:tc>
        <w:tc>
          <w:tcPr>
            <w:tcW w:w="3550" w:type="dxa"/>
            <w:vAlign w:val="center"/>
          </w:tcPr>
          <w:p w14:paraId="0330F54B">
            <w:pPr>
              <w:jc w:val="center"/>
              <w:rPr>
                <w:rFonts w:ascii="宋体" w:hAnsi="宋体" w:cs="宋体"/>
                <w:color w:val="auto"/>
                <w:sz w:val="24"/>
                <w:highlight w:val="none"/>
              </w:rPr>
            </w:pPr>
          </w:p>
        </w:tc>
        <w:tc>
          <w:tcPr>
            <w:tcW w:w="3200" w:type="dxa"/>
            <w:vAlign w:val="center"/>
          </w:tcPr>
          <w:p w14:paraId="14DBBF11">
            <w:pPr>
              <w:jc w:val="center"/>
              <w:rPr>
                <w:rFonts w:ascii="宋体" w:hAnsi="宋体" w:cs="宋体"/>
                <w:color w:val="auto"/>
                <w:sz w:val="24"/>
                <w:highlight w:val="none"/>
              </w:rPr>
            </w:pPr>
          </w:p>
        </w:tc>
        <w:tc>
          <w:tcPr>
            <w:tcW w:w="916" w:type="dxa"/>
            <w:vAlign w:val="center"/>
          </w:tcPr>
          <w:p w14:paraId="41B6EB2D">
            <w:pPr>
              <w:jc w:val="center"/>
              <w:rPr>
                <w:rFonts w:ascii="宋体" w:hAnsi="宋体" w:cs="宋体"/>
                <w:color w:val="auto"/>
                <w:sz w:val="24"/>
                <w:highlight w:val="none"/>
              </w:rPr>
            </w:pPr>
          </w:p>
        </w:tc>
        <w:tc>
          <w:tcPr>
            <w:tcW w:w="1219" w:type="dxa"/>
            <w:vAlign w:val="center"/>
          </w:tcPr>
          <w:p w14:paraId="122BB3C8">
            <w:pPr>
              <w:jc w:val="center"/>
              <w:rPr>
                <w:rFonts w:ascii="宋体" w:hAnsi="宋体" w:cs="宋体"/>
                <w:color w:val="auto"/>
                <w:sz w:val="24"/>
                <w:highlight w:val="none"/>
              </w:rPr>
            </w:pPr>
          </w:p>
        </w:tc>
      </w:tr>
      <w:tr w14:paraId="76BE5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5015B819">
            <w:pPr>
              <w:jc w:val="center"/>
              <w:rPr>
                <w:rFonts w:ascii="宋体" w:hAnsi="宋体" w:cs="宋体"/>
                <w:color w:val="auto"/>
                <w:sz w:val="24"/>
                <w:highlight w:val="none"/>
              </w:rPr>
            </w:pPr>
            <w:r>
              <w:rPr>
                <w:rFonts w:hint="eastAsia" w:ascii="宋体" w:hAnsi="宋体" w:cs="宋体"/>
                <w:color w:val="auto"/>
                <w:sz w:val="24"/>
                <w:highlight w:val="none"/>
              </w:rPr>
              <w:t>11</w:t>
            </w:r>
          </w:p>
        </w:tc>
        <w:tc>
          <w:tcPr>
            <w:tcW w:w="3550" w:type="dxa"/>
            <w:vAlign w:val="center"/>
          </w:tcPr>
          <w:p w14:paraId="50744369">
            <w:pPr>
              <w:jc w:val="center"/>
              <w:rPr>
                <w:rFonts w:ascii="宋体" w:hAnsi="宋体" w:cs="宋体"/>
                <w:color w:val="auto"/>
                <w:sz w:val="24"/>
                <w:highlight w:val="none"/>
              </w:rPr>
            </w:pPr>
          </w:p>
        </w:tc>
        <w:tc>
          <w:tcPr>
            <w:tcW w:w="3200" w:type="dxa"/>
            <w:vAlign w:val="center"/>
          </w:tcPr>
          <w:p w14:paraId="5DC4855B">
            <w:pPr>
              <w:jc w:val="center"/>
              <w:rPr>
                <w:rFonts w:ascii="宋体" w:hAnsi="宋体" w:cs="宋体"/>
                <w:color w:val="auto"/>
                <w:sz w:val="24"/>
                <w:highlight w:val="none"/>
              </w:rPr>
            </w:pPr>
          </w:p>
        </w:tc>
        <w:tc>
          <w:tcPr>
            <w:tcW w:w="916" w:type="dxa"/>
            <w:vAlign w:val="center"/>
          </w:tcPr>
          <w:p w14:paraId="416187B2">
            <w:pPr>
              <w:jc w:val="center"/>
              <w:rPr>
                <w:rFonts w:ascii="宋体" w:hAnsi="宋体" w:cs="宋体"/>
                <w:color w:val="auto"/>
                <w:sz w:val="24"/>
                <w:highlight w:val="none"/>
              </w:rPr>
            </w:pPr>
          </w:p>
        </w:tc>
        <w:tc>
          <w:tcPr>
            <w:tcW w:w="1219" w:type="dxa"/>
            <w:vAlign w:val="center"/>
          </w:tcPr>
          <w:p w14:paraId="3A4BD1C3">
            <w:pPr>
              <w:jc w:val="center"/>
              <w:rPr>
                <w:rFonts w:ascii="宋体" w:hAnsi="宋体" w:cs="宋体"/>
                <w:color w:val="auto"/>
                <w:sz w:val="24"/>
                <w:highlight w:val="none"/>
              </w:rPr>
            </w:pPr>
          </w:p>
        </w:tc>
      </w:tr>
      <w:tr w14:paraId="62C46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rPr>
        <w:tc>
          <w:tcPr>
            <w:tcW w:w="834" w:type="dxa"/>
            <w:vAlign w:val="center"/>
          </w:tcPr>
          <w:p w14:paraId="18794E3E">
            <w:pPr>
              <w:jc w:val="center"/>
              <w:rPr>
                <w:rFonts w:ascii="宋体" w:hAnsi="宋体" w:cs="宋体"/>
                <w:color w:val="auto"/>
                <w:sz w:val="24"/>
                <w:highlight w:val="none"/>
              </w:rPr>
            </w:pPr>
            <w:r>
              <w:rPr>
                <w:rFonts w:hint="eastAsia" w:ascii="宋体" w:hAnsi="宋体" w:cs="宋体"/>
                <w:color w:val="auto"/>
                <w:sz w:val="24"/>
                <w:highlight w:val="none"/>
              </w:rPr>
              <w:t>12</w:t>
            </w:r>
          </w:p>
        </w:tc>
        <w:tc>
          <w:tcPr>
            <w:tcW w:w="3550" w:type="dxa"/>
            <w:vAlign w:val="center"/>
          </w:tcPr>
          <w:p w14:paraId="38046771">
            <w:pPr>
              <w:jc w:val="center"/>
              <w:rPr>
                <w:rFonts w:ascii="宋体" w:hAnsi="宋体" w:cs="宋体"/>
                <w:color w:val="auto"/>
                <w:sz w:val="24"/>
                <w:highlight w:val="none"/>
              </w:rPr>
            </w:pPr>
          </w:p>
        </w:tc>
        <w:tc>
          <w:tcPr>
            <w:tcW w:w="3200" w:type="dxa"/>
            <w:vAlign w:val="center"/>
          </w:tcPr>
          <w:p w14:paraId="70F35411">
            <w:pPr>
              <w:jc w:val="center"/>
              <w:rPr>
                <w:rFonts w:ascii="宋体" w:hAnsi="宋体" w:cs="宋体"/>
                <w:color w:val="auto"/>
                <w:sz w:val="24"/>
                <w:highlight w:val="none"/>
              </w:rPr>
            </w:pPr>
          </w:p>
        </w:tc>
        <w:tc>
          <w:tcPr>
            <w:tcW w:w="916" w:type="dxa"/>
            <w:vAlign w:val="center"/>
          </w:tcPr>
          <w:p w14:paraId="09D14829">
            <w:pPr>
              <w:jc w:val="center"/>
              <w:rPr>
                <w:rFonts w:ascii="宋体" w:hAnsi="宋体" w:cs="宋体"/>
                <w:color w:val="auto"/>
                <w:sz w:val="24"/>
                <w:highlight w:val="none"/>
              </w:rPr>
            </w:pPr>
          </w:p>
        </w:tc>
        <w:tc>
          <w:tcPr>
            <w:tcW w:w="1219" w:type="dxa"/>
            <w:vAlign w:val="center"/>
          </w:tcPr>
          <w:p w14:paraId="5852F857">
            <w:pPr>
              <w:jc w:val="center"/>
              <w:rPr>
                <w:rFonts w:ascii="宋体" w:hAnsi="宋体" w:cs="宋体"/>
                <w:color w:val="auto"/>
                <w:sz w:val="24"/>
                <w:highlight w:val="none"/>
              </w:rPr>
            </w:pPr>
          </w:p>
        </w:tc>
      </w:tr>
      <w:tr w14:paraId="713A1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34" w:type="dxa"/>
            <w:vAlign w:val="center"/>
          </w:tcPr>
          <w:p w14:paraId="74B6CEE8">
            <w:pPr>
              <w:jc w:val="center"/>
              <w:rPr>
                <w:rFonts w:ascii="宋体" w:hAnsi="宋体" w:cs="宋体"/>
                <w:color w:val="auto"/>
                <w:sz w:val="24"/>
                <w:highlight w:val="none"/>
              </w:rPr>
            </w:pPr>
            <w:r>
              <w:rPr>
                <w:rFonts w:hint="eastAsia" w:ascii="宋体" w:hAnsi="宋体" w:cs="宋体"/>
                <w:color w:val="auto"/>
                <w:sz w:val="24"/>
                <w:highlight w:val="none"/>
              </w:rPr>
              <w:t>13</w:t>
            </w:r>
          </w:p>
        </w:tc>
        <w:tc>
          <w:tcPr>
            <w:tcW w:w="3550" w:type="dxa"/>
            <w:vAlign w:val="center"/>
          </w:tcPr>
          <w:p w14:paraId="416C32A8">
            <w:pPr>
              <w:jc w:val="center"/>
              <w:rPr>
                <w:rFonts w:ascii="宋体" w:hAnsi="宋体" w:cs="宋体"/>
                <w:color w:val="auto"/>
                <w:sz w:val="24"/>
                <w:highlight w:val="none"/>
              </w:rPr>
            </w:pPr>
          </w:p>
        </w:tc>
        <w:tc>
          <w:tcPr>
            <w:tcW w:w="3200" w:type="dxa"/>
            <w:vAlign w:val="center"/>
          </w:tcPr>
          <w:p w14:paraId="50D8AAA2">
            <w:pPr>
              <w:jc w:val="center"/>
              <w:rPr>
                <w:rFonts w:ascii="宋体" w:hAnsi="宋体" w:cs="宋体"/>
                <w:color w:val="auto"/>
                <w:sz w:val="24"/>
                <w:highlight w:val="none"/>
              </w:rPr>
            </w:pPr>
          </w:p>
        </w:tc>
        <w:tc>
          <w:tcPr>
            <w:tcW w:w="916" w:type="dxa"/>
            <w:vAlign w:val="center"/>
          </w:tcPr>
          <w:p w14:paraId="215DE235">
            <w:pPr>
              <w:jc w:val="center"/>
              <w:rPr>
                <w:rFonts w:ascii="宋体" w:hAnsi="宋体" w:cs="宋体"/>
                <w:color w:val="auto"/>
                <w:sz w:val="24"/>
                <w:highlight w:val="none"/>
              </w:rPr>
            </w:pPr>
          </w:p>
        </w:tc>
        <w:tc>
          <w:tcPr>
            <w:tcW w:w="1219" w:type="dxa"/>
            <w:vAlign w:val="center"/>
          </w:tcPr>
          <w:p w14:paraId="4BA9F192">
            <w:pPr>
              <w:jc w:val="center"/>
              <w:rPr>
                <w:rFonts w:ascii="宋体" w:hAnsi="宋体" w:cs="宋体"/>
                <w:color w:val="auto"/>
                <w:sz w:val="24"/>
                <w:highlight w:val="none"/>
              </w:rPr>
            </w:pPr>
          </w:p>
        </w:tc>
      </w:tr>
      <w:tr w14:paraId="40235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834" w:type="dxa"/>
            <w:vAlign w:val="center"/>
          </w:tcPr>
          <w:p w14:paraId="7739AE7C">
            <w:pPr>
              <w:jc w:val="center"/>
              <w:rPr>
                <w:rFonts w:ascii="宋体" w:hAnsi="宋体" w:cs="宋体"/>
                <w:color w:val="auto"/>
                <w:sz w:val="24"/>
                <w:highlight w:val="none"/>
              </w:rPr>
            </w:pPr>
            <w:r>
              <w:rPr>
                <w:rFonts w:hint="eastAsia" w:ascii="宋体" w:hAnsi="宋体" w:cs="宋体"/>
                <w:color w:val="auto"/>
                <w:sz w:val="24"/>
                <w:highlight w:val="none"/>
              </w:rPr>
              <w:t>……</w:t>
            </w:r>
          </w:p>
        </w:tc>
        <w:tc>
          <w:tcPr>
            <w:tcW w:w="3550" w:type="dxa"/>
            <w:vAlign w:val="center"/>
          </w:tcPr>
          <w:p w14:paraId="184C1CFE">
            <w:pPr>
              <w:jc w:val="center"/>
              <w:rPr>
                <w:rFonts w:ascii="宋体" w:hAnsi="宋体" w:cs="宋体"/>
                <w:color w:val="auto"/>
                <w:sz w:val="24"/>
                <w:highlight w:val="none"/>
              </w:rPr>
            </w:pPr>
          </w:p>
        </w:tc>
        <w:tc>
          <w:tcPr>
            <w:tcW w:w="3200" w:type="dxa"/>
            <w:vAlign w:val="center"/>
          </w:tcPr>
          <w:p w14:paraId="07D4ED9B">
            <w:pPr>
              <w:jc w:val="center"/>
              <w:rPr>
                <w:rFonts w:ascii="宋体" w:hAnsi="宋体" w:cs="宋体"/>
                <w:color w:val="auto"/>
                <w:sz w:val="24"/>
                <w:highlight w:val="none"/>
              </w:rPr>
            </w:pPr>
          </w:p>
        </w:tc>
        <w:tc>
          <w:tcPr>
            <w:tcW w:w="916" w:type="dxa"/>
            <w:vAlign w:val="center"/>
          </w:tcPr>
          <w:p w14:paraId="35F78C79">
            <w:pPr>
              <w:jc w:val="center"/>
              <w:rPr>
                <w:rFonts w:ascii="宋体" w:hAnsi="宋体" w:cs="宋体"/>
                <w:color w:val="auto"/>
                <w:sz w:val="24"/>
                <w:highlight w:val="none"/>
              </w:rPr>
            </w:pPr>
          </w:p>
        </w:tc>
        <w:tc>
          <w:tcPr>
            <w:tcW w:w="1219" w:type="dxa"/>
            <w:vAlign w:val="center"/>
          </w:tcPr>
          <w:p w14:paraId="0EDCF0CD">
            <w:pPr>
              <w:jc w:val="center"/>
              <w:rPr>
                <w:rFonts w:ascii="宋体" w:hAnsi="宋体" w:cs="宋体"/>
                <w:color w:val="auto"/>
                <w:sz w:val="24"/>
                <w:highlight w:val="none"/>
              </w:rPr>
            </w:pPr>
          </w:p>
        </w:tc>
      </w:tr>
    </w:tbl>
    <w:p w14:paraId="4CA0F283">
      <w:pPr>
        <w:rPr>
          <w:rFonts w:ascii="宋体" w:hAnsi="宋体" w:cs="宋体"/>
          <w:color w:val="auto"/>
          <w:sz w:val="24"/>
          <w:highlight w:val="none"/>
        </w:rPr>
      </w:pPr>
    </w:p>
    <w:p w14:paraId="45486B94">
      <w:pPr>
        <w:rPr>
          <w:rFonts w:ascii="宋体" w:hAnsi="宋体" w:cs="宋体"/>
          <w:color w:val="auto"/>
          <w:sz w:val="24"/>
          <w:highlight w:val="none"/>
        </w:rPr>
      </w:pPr>
    </w:p>
    <w:p w14:paraId="7E16C67D">
      <w:pPr>
        <w:rPr>
          <w:rFonts w:ascii="宋体" w:hAnsi="宋体" w:cs="宋体"/>
          <w:color w:val="auto"/>
          <w:sz w:val="24"/>
          <w:highlight w:val="none"/>
        </w:rPr>
      </w:pPr>
    </w:p>
    <w:p w14:paraId="23A530A3">
      <w:pPr>
        <w:rPr>
          <w:rFonts w:ascii="宋体" w:hAnsi="宋体" w:cs="宋体"/>
          <w:color w:val="auto"/>
          <w:sz w:val="24"/>
          <w:highlight w:val="none"/>
        </w:rPr>
      </w:pPr>
      <w:r>
        <w:rPr>
          <w:rFonts w:hint="eastAsia" w:ascii="宋体" w:hAnsi="宋体" w:cs="宋体"/>
          <w:color w:val="auto"/>
          <w:sz w:val="24"/>
          <w:highlight w:val="none"/>
        </w:rPr>
        <w:t>投标人名称（盖章）：                         年   月    日</w:t>
      </w:r>
    </w:p>
    <w:p w14:paraId="75387DD2">
      <w:pPr>
        <w:pStyle w:val="8"/>
        <w:keepNext w:val="0"/>
        <w:keepLines w:val="0"/>
        <w:pageBreakBefore/>
        <w:rPr>
          <w:rFonts w:ascii="宋体" w:hAnsi="宋体" w:eastAsia="宋体" w:cs="宋体"/>
          <w:color w:val="auto"/>
          <w:sz w:val="24"/>
          <w:szCs w:val="24"/>
          <w:highlight w:val="none"/>
        </w:rPr>
      </w:pPr>
      <w:bookmarkStart w:id="82" w:name="_Toc31580"/>
      <w:r>
        <w:rPr>
          <w:rFonts w:hint="eastAsia" w:ascii="宋体" w:hAnsi="宋体" w:eastAsia="宋体" w:cs="宋体"/>
          <w:color w:val="auto"/>
          <w:sz w:val="24"/>
          <w:szCs w:val="24"/>
          <w:highlight w:val="none"/>
        </w:rPr>
        <w:t>附件</w:t>
      </w:r>
      <w:r>
        <w:rPr>
          <w:rFonts w:hint="eastAsia" w:ascii="宋体" w:hAnsi="宋体" w:eastAsia="宋体" w:cs="宋体"/>
          <w:color w:val="auto"/>
          <w:sz w:val="24"/>
          <w:szCs w:val="24"/>
          <w:highlight w:val="none"/>
          <w:lang w:val="en-US" w:eastAsia="zh-CN"/>
        </w:rPr>
        <w:t>八</w:t>
      </w:r>
      <w:r>
        <w:rPr>
          <w:rFonts w:hint="eastAsia" w:ascii="宋体" w:hAnsi="宋体" w:eastAsia="宋体" w:cs="宋体"/>
          <w:color w:val="auto"/>
          <w:sz w:val="24"/>
          <w:szCs w:val="24"/>
          <w:highlight w:val="none"/>
        </w:rPr>
        <w:t>：商务响应表</w:t>
      </w:r>
      <w:bookmarkEnd w:id="82"/>
    </w:p>
    <w:p w14:paraId="70071FFB">
      <w:pPr>
        <w:snapToGrid w:val="0"/>
        <w:spacing w:line="360" w:lineRule="auto"/>
        <w:jc w:val="center"/>
        <w:rPr>
          <w:rFonts w:ascii="宋体" w:hAnsi="宋体" w:cs="宋体"/>
          <w:b/>
          <w:color w:val="auto"/>
          <w:kern w:val="0"/>
          <w:sz w:val="32"/>
          <w:szCs w:val="32"/>
          <w:highlight w:val="none"/>
        </w:rPr>
      </w:pPr>
      <w:bookmarkStart w:id="83" w:name="_Toc496598991"/>
      <w:r>
        <w:rPr>
          <w:rFonts w:hint="eastAsia" w:ascii="宋体" w:hAnsi="宋体" w:cs="宋体"/>
          <w:b/>
          <w:color w:val="auto"/>
          <w:kern w:val="0"/>
          <w:sz w:val="32"/>
          <w:szCs w:val="32"/>
          <w:highlight w:val="none"/>
        </w:rPr>
        <w:t>商务响应表</w:t>
      </w:r>
    </w:p>
    <w:p w14:paraId="40B4662E">
      <w:pPr>
        <w:snapToGrid w:val="0"/>
        <w:spacing w:before="50" w:after="120" w:afterLines="50"/>
        <w:jc w:val="left"/>
        <w:rPr>
          <w:rFonts w:ascii="宋体" w:hAnsi="宋体" w:cs="宋体"/>
          <w:color w:val="auto"/>
          <w:sz w:val="24"/>
          <w:highlight w:val="none"/>
          <w:u w:val="single"/>
        </w:rPr>
      </w:pPr>
    </w:p>
    <w:tbl>
      <w:tblPr>
        <w:tblStyle w:val="39"/>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3"/>
        <w:gridCol w:w="2969"/>
        <w:gridCol w:w="1386"/>
        <w:gridCol w:w="3321"/>
      </w:tblGrid>
      <w:tr w14:paraId="61ECB3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3606F29F">
            <w:pPr>
              <w:jc w:val="center"/>
              <w:rPr>
                <w:rFonts w:ascii="宋体" w:hAnsi="宋体" w:cs="宋体"/>
                <w:color w:val="auto"/>
                <w:sz w:val="24"/>
                <w:highlight w:val="none"/>
              </w:rPr>
            </w:pPr>
            <w:r>
              <w:rPr>
                <w:rFonts w:hint="eastAsia" w:ascii="宋体" w:hAnsi="宋体" w:cs="宋体"/>
                <w:color w:val="auto"/>
                <w:sz w:val="24"/>
                <w:highlight w:val="none"/>
              </w:rPr>
              <w:t>项目</w:t>
            </w:r>
          </w:p>
        </w:tc>
        <w:tc>
          <w:tcPr>
            <w:tcW w:w="2969" w:type="dxa"/>
            <w:tcBorders>
              <w:top w:val="single" w:color="auto" w:sz="4" w:space="0"/>
              <w:left w:val="single" w:color="auto" w:sz="4" w:space="0"/>
              <w:bottom w:val="single" w:color="auto" w:sz="4" w:space="0"/>
              <w:right w:val="single" w:color="auto" w:sz="4" w:space="0"/>
            </w:tcBorders>
            <w:vAlign w:val="center"/>
          </w:tcPr>
          <w:p w14:paraId="641D4E3B">
            <w:pPr>
              <w:jc w:val="center"/>
              <w:rPr>
                <w:rFonts w:ascii="宋体" w:hAnsi="宋体" w:cs="宋体"/>
                <w:color w:val="auto"/>
                <w:sz w:val="24"/>
                <w:highlight w:val="none"/>
              </w:rPr>
            </w:pPr>
            <w:r>
              <w:rPr>
                <w:rFonts w:hint="eastAsia" w:ascii="宋体" w:hAnsi="宋体" w:cs="宋体"/>
                <w:color w:val="auto"/>
                <w:sz w:val="24"/>
                <w:highlight w:val="none"/>
              </w:rPr>
              <w:t>招标文件要求</w:t>
            </w:r>
          </w:p>
        </w:tc>
        <w:tc>
          <w:tcPr>
            <w:tcW w:w="1386" w:type="dxa"/>
            <w:tcBorders>
              <w:top w:val="single" w:color="auto" w:sz="4" w:space="0"/>
              <w:left w:val="single" w:color="auto" w:sz="4" w:space="0"/>
              <w:bottom w:val="single" w:color="auto" w:sz="4" w:space="0"/>
              <w:right w:val="single" w:color="auto" w:sz="4" w:space="0"/>
            </w:tcBorders>
            <w:vAlign w:val="center"/>
          </w:tcPr>
          <w:p w14:paraId="55A315CD">
            <w:pPr>
              <w:jc w:val="center"/>
              <w:rPr>
                <w:rFonts w:ascii="宋体" w:hAnsi="宋体" w:cs="宋体"/>
                <w:color w:val="auto"/>
                <w:sz w:val="24"/>
                <w:highlight w:val="none"/>
              </w:rPr>
            </w:pPr>
            <w:r>
              <w:rPr>
                <w:rFonts w:hint="eastAsia" w:ascii="宋体" w:hAnsi="宋体" w:cs="宋体"/>
                <w:color w:val="auto"/>
                <w:sz w:val="24"/>
                <w:highlight w:val="none"/>
              </w:rPr>
              <w:t>响应及偏离情况</w:t>
            </w:r>
          </w:p>
        </w:tc>
        <w:tc>
          <w:tcPr>
            <w:tcW w:w="3321" w:type="dxa"/>
            <w:tcBorders>
              <w:top w:val="single" w:color="auto" w:sz="4" w:space="0"/>
              <w:left w:val="single" w:color="auto" w:sz="4" w:space="0"/>
              <w:bottom w:val="single" w:color="auto" w:sz="4" w:space="0"/>
              <w:right w:val="single" w:color="auto" w:sz="4" w:space="0"/>
            </w:tcBorders>
            <w:vAlign w:val="center"/>
          </w:tcPr>
          <w:p w14:paraId="236EDF0F">
            <w:pPr>
              <w:jc w:val="center"/>
              <w:rPr>
                <w:rFonts w:ascii="宋体" w:hAnsi="宋体" w:cs="宋体"/>
                <w:color w:val="auto"/>
                <w:sz w:val="24"/>
                <w:highlight w:val="none"/>
              </w:rPr>
            </w:pPr>
            <w:r>
              <w:rPr>
                <w:rFonts w:hint="eastAsia" w:ascii="宋体" w:hAnsi="宋体" w:cs="宋体"/>
                <w:color w:val="auto"/>
                <w:sz w:val="24"/>
                <w:highlight w:val="none"/>
              </w:rPr>
              <w:t>投标人的承诺或说明</w:t>
            </w:r>
          </w:p>
        </w:tc>
      </w:tr>
      <w:tr w14:paraId="743A56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4C1F72EA">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59C78638">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2401ADDA">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712E9720">
            <w:pPr>
              <w:rPr>
                <w:rFonts w:ascii="宋体" w:hAnsi="宋体" w:cs="宋体"/>
                <w:color w:val="auto"/>
                <w:sz w:val="24"/>
                <w:highlight w:val="none"/>
              </w:rPr>
            </w:pPr>
          </w:p>
        </w:tc>
      </w:tr>
      <w:tr w14:paraId="720B08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7876111C">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006C20D8">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2F6E6438">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37E6F266">
            <w:pPr>
              <w:rPr>
                <w:rFonts w:ascii="宋体" w:hAnsi="宋体" w:cs="宋体"/>
                <w:color w:val="auto"/>
                <w:sz w:val="24"/>
                <w:highlight w:val="none"/>
              </w:rPr>
            </w:pPr>
          </w:p>
        </w:tc>
      </w:tr>
      <w:tr w14:paraId="08AC8B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32936A84">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01A9121B">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6649B53D">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05F8CA83">
            <w:pPr>
              <w:rPr>
                <w:rFonts w:ascii="宋体" w:hAnsi="宋体" w:cs="宋体"/>
                <w:color w:val="auto"/>
                <w:sz w:val="24"/>
                <w:highlight w:val="none"/>
              </w:rPr>
            </w:pPr>
          </w:p>
        </w:tc>
      </w:tr>
      <w:tr w14:paraId="0BE169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5FD7FD44">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4590476B">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4C35CEFC">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6E547666">
            <w:pPr>
              <w:rPr>
                <w:rFonts w:ascii="宋体" w:hAnsi="宋体" w:cs="宋体"/>
                <w:color w:val="auto"/>
                <w:sz w:val="24"/>
                <w:highlight w:val="none"/>
              </w:rPr>
            </w:pPr>
          </w:p>
        </w:tc>
      </w:tr>
      <w:tr w14:paraId="0AA03E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1" w:hRule="atLeast"/>
        </w:trPr>
        <w:tc>
          <w:tcPr>
            <w:tcW w:w="1703" w:type="dxa"/>
            <w:tcBorders>
              <w:top w:val="single" w:color="auto" w:sz="4" w:space="0"/>
              <w:left w:val="single" w:color="auto" w:sz="4" w:space="0"/>
              <w:bottom w:val="single" w:color="auto" w:sz="4" w:space="0"/>
              <w:right w:val="single" w:color="auto" w:sz="4" w:space="0"/>
            </w:tcBorders>
            <w:vAlign w:val="center"/>
          </w:tcPr>
          <w:p w14:paraId="6879314E">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7DCE2759">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53FF872B">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74BD8DF9">
            <w:pPr>
              <w:rPr>
                <w:rFonts w:ascii="宋体" w:hAnsi="宋体" w:cs="宋体"/>
                <w:color w:val="auto"/>
                <w:sz w:val="24"/>
                <w:highlight w:val="none"/>
              </w:rPr>
            </w:pPr>
          </w:p>
        </w:tc>
      </w:tr>
      <w:tr w14:paraId="517AAC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0DDC1B75">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3BB35190">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5D9B2B99">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1FBE3006">
            <w:pPr>
              <w:rPr>
                <w:rFonts w:ascii="宋体" w:hAnsi="宋体" w:cs="宋体"/>
                <w:color w:val="auto"/>
                <w:sz w:val="24"/>
                <w:highlight w:val="none"/>
              </w:rPr>
            </w:pPr>
          </w:p>
        </w:tc>
      </w:tr>
      <w:tr w14:paraId="61ECC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3940ACFB">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22BA1A04">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6BBB30CE">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028BFCBD">
            <w:pPr>
              <w:rPr>
                <w:rFonts w:ascii="宋体" w:hAnsi="宋体" w:cs="宋体"/>
                <w:color w:val="auto"/>
                <w:sz w:val="24"/>
                <w:highlight w:val="none"/>
              </w:rPr>
            </w:pPr>
          </w:p>
        </w:tc>
      </w:tr>
      <w:tr w14:paraId="28D043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0A8427E5">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6D13B43B">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117C15CF">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7630239D">
            <w:pPr>
              <w:rPr>
                <w:rFonts w:ascii="宋体" w:hAnsi="宋体" w:cs="宋体"/>
                <w:color w:val="auto"/>
                <w:sz w:val="24"/>
                <w:highlight w:val="none"/>
              </w:rPr>
            </w:pPr>
          </w:p>
        </w:tc>
      </w:tr>
      <w:tr w14:paraId="678AB9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460D026C">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6EDF9C59">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52D1AEFF">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57F514BF">
            <w:pPr>
              <w:rPr>
                <w:rFonts w:ascii="宋体" w:hAnsi="宋体" w:cs="宋体"/>
                <w:color w:val="auto"/>
                <w:sz w:val="24"/>
                <w:highlight w:val="none"/>
              </w:rPr>
            </w:pPr>
          </w:p>
        </w:tc>
      </w:tr>
      <w:tr w14:paraId="033545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1703" w:type="dxa"/>
            <w:tcBorders>
              <w:top w:val="single" w:color="auto" w:sz="4" w:space="0"/>
              <w:left w:val="single" w:color="auto" w:sz="4" w:space="0"/>
              <w:bottom w:val="single" w:color="auto" w:sz="4" w:space="0"/>
              <w:right w:val="single" w:color="auto" w:sz="4" w:space="0"/>
            </w:tcBorders>
            <w:vAlign w:val="center"/>
          </w:tcPr>
          <w:p w14:paraId="2BA9FBCE">
            <w:pPr>
              <w:rPr>
                <w:rFonts w:ascii="宋体" w:hAnsi="宋体" w:cs="宋体"/>
                <w:color w:val="auto"/>
                <w:sz w:val="24"/>
                <w:highlight w:val="none"/>
              </w:rPr>
            </w:pPr>
          </w:p>
        </w:tc>
        <w:tc>
          <w:tcPr>
            <w:tcW w:w="2969" w:type="dxa"/>
            <w:tcBorders>
              <w:top w:val="single" w:color="auto" w:sz="4" w:space="0"/>
              <w:left w:val="single" w:color="auto" w:sz="4" w:space="0"/>
              <w:bottom w:val="single" w:color="auto" w:sz="4" w:space="0"/>
              <w:right w:val="single" w:color="auto" w:sz="4" w:space="0"/>
            </w:tcBorders>
          </w:tcPr>
          <w:p w14:paraId="2E996EFD">
            <w:pPr>
              <w:rPr>
                <w:rFonts w:ascii="宋体" w:hAnsi="宋体" w:cs="宋体"/>
                <w:color w:val="auto"/>
                <w:sz w:val="24"/>
                <w:highlight w:val="none"/>
              </w:rPr>
            </w:pPr>
          </w:p>
        </w:tc>
        <w:tc>
          <w:tcPr>
            <w:tcW w:w="1386" w:type="dxa"/>
            <w:tcBorders>
              <w:top w:val="single" w:color="auto" w:sz="4" w:space="0"/>
              <w:left w:val="single" w:color="auto" w:sz="4" w:space="0"/>
              <w:bottom w:val="single" w:color="auto" w:sz="4" w:space="0"/>
              <w:right w:val="single" w:color="auto" w:sz="4" w:space="0"/>
            </w:tcBorders>
          </w:tcPr>
          <w:p w14:paraId="4E1557EB">
            <w:pPr>
              <w:rPr>
                <w:rFonts w:ascii="宋体" w:hAnsi="宋体" w:cs="宋体"/>
                <w:color w:val="auto"/>
                <w:sz w:val="24"/>
                <w:highlight w:val="none"/>
              </w:rPr>
            </w:pPr>
          </w:p>
        </w:tc>
        <w:tc>
          <w:tcPr>
            <w:tcW w:w="3321" w:type="dxa"/>
            <w:tcBorders>
              <w:top w:val="single" w:color="auto" w:sz="4" w:space="0"/>
              <w:left w:val="single" w:color="auto" w:sz="4" w:space="0"/>
              <w:bottom w:val="single" w:color="auto" w:sz="4" w:space="0"/>
              <w:right w:val="single" w:color="auto" w:sz="4" w:space="0"/>
            </w:tcBorders>
          </w:tcPr>
          <w:p w14:paraId="45B03985">
            <w:pPr>
              <w:rPr>
                <w:rFonts w:ascii="宋体" w:hAnsi="宋体" w:cs="宋体"/>
                <w:color w:val="auto"/>
                <w:sz w:val="24"/>
                <w:highlight w:val="none"/>
              </w:rPr>
            </w:pPr>
          </w:p>
        </w:tc>
      </w:tr>
    </w:tbl>
    <w:p w14:paraId="41B38773">
      <w:pPr>
        <w:snapToGrid w:val="0"/>
        <w:spacing w:before="120" w:beforeLines="50"/>
        <w:rPr>
          <w:rFonts w:ascii="宋体" w:hAnsi="宋体" w:cs="宋体"/>
          <w:color w:val="auto"/>
          <w:sz w:val="24"/>
          <w:highlight w:val="none"/>
        </w:rPr>
      </w:pPr>
    </w:p>
    <w:p w14:paraId="5CBAA24F">
      <w:pPr>
        <w:snapToGrid w:val="0"/>
        <w:spacing w:before="50" w:after="50"/>
        <w:rPr>
          <w:rFonts w:ascii="宋体" w:hAnsi="宋体" w:cs="宋体"/>
          <w:color w:val="auto"/>
          <w:spacing w:val="20"/>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pacing w:val="20"/>
          <w:sz w:val="24"/>
          <w:highlight w:val="none"/>
        </w:rPr>
        <w:t>：</w:t>
      </w:r>
      <w:r>
        <w:rPr>
          <w:rFonts w:hint="eastAsia" w:ascii="宋体" w:hAnsi="宋体" w:cs="宋体"/>
          <w:color w:val="auto"/>
          <w:spacing w:val="20"/>
          <w:sz w:val="24"/>
          <w:highlight w:val="none"/>
          <w:u w:val="single"/>
        </w:rPr>
        <w:t xml:space="preserve">        </w:t>
      </w:r>
    </w:p>
    <w:p w14:paraId="33D96797">
      <w:pPr>
        <w:snapToGrid w:val="0"/>
        <w:spacing w:before="120" w:beforeLines="50"/>
        <w:rPr>
          <w:rFonts w:ascii="宋体" w:hAnsi="宋体" w:cs="宋体"/>
          <w:color w:val="auto"/>
          <w:sz w:val="24"/>
          <w:highlight w:val="none"/>
        </w:rPr>
      </w:pPr>
      <w:r>
        <w:rPr>
          <w:rFonts w:hint="eastAsia" w:ascii="宋体" w:hAnsi="宋体" w:cs="宋体"/>
          <w:color w:val="auto"/>
          <w:spacing w:val="20"/>
          <w:sz w:val="24"/>
          <w:highlight w:val="none"/>
        </w:rPr>
        <w:t>投标人盖章：</w:t>
      </w:r>
      <w:r>
        <w:rPr>
          <w:rFonts w:hint="eastAsia" w:ascii="宋体" w:hAnsi="宋体" w:cs="宋体"/>
          <w:color w:val="auto"/>
          <w:spacing w:val="20"/>
          <w:sz w:val="24"/>
          <w:highlight w:val="none"/>
          <w:u w:val="single"/>
        </w:rPr>
        <w:t xml:space="preserve">            </w:t>
      </w:r>
      <w:r>
        <w:rPr>
          <w:rFonts w:hint="eastAsia" w:ascii="宋体" w:hAnsi="宋体" w:cs="宋体"/>
          <w:color w:val="auto"/>
          <w:spacing w:val="20"/>
          <w:sz w:val="24"/>
          <w:highlight w:val="none"/>
        </w:rPr>
        <w:t xml:space="preserve">              日 期：</w:t>
      </w:r>
      <w:r>
        <w:rPr>
          <w:rFonts w:hint="eastAsia" w:ascii="宋体" w:hAnsi="宋体" w:cs="宋体"/>
          <w:color w:val="auto"/>
          <w:spacing w:val="20"/>
          <w:sz w:val="24"/>
          <w:highlight w:val="none"/>
          <w:u w:val="single"/>
        </w:rPr>
        <w:t xml:space="preserve">            </w:t>
      </w:r>
    </w:p>
    <w:p w14:paraId="7C8A904D">
      <w:pPr>
        <w:rPr>
          <w:rFonts w:ascii="宋体" w:hAnsi="宋体" w:cs="宋体"/>
          <w:color w:val="auto"/>
          <w:sz w:val="24"/>
          <w:highlight w:val="none"/>
        </w:rPr>
      </w:pPr>
    </w:p>
    <w:p w14:paraId="4692B2CC">
      <w:pPr>
        <w:pStyle w:val="8"/>
        <w:keepNext w:val="0"/>
        <w:keepLines w:val="0"/>
        <w:pageBreakBefore/>
        <w:spacing w:line="415" w:lineRule="auto"/>
        <w:rPr>
          <w:rFonts w:ascii="宋体" w:hAnsi="宋体" w:eastAsia="宋体" w:cs="宋体"/>
          <w:color w:val="auto"/>
          <w:sz w:val="24"/>
          <w:szCs w:val="24"/>
          <w:highlight w:val="none"/>
        </w:rPr>
      </w:pPr>
      <w:bookmarkStart w:id="84" w:name="_Toc14634"/>
      <w:r>
        <w:rPr>
          <w:rFonts w:hint="eastAsia" w:ascii="宋体" w:hAnsi="宋体" w:eastAsia="宋体" w:cs="宋体"/>
          <w:color w:val="auto"/>
          <w:sz w:val="24"/>
          <w:szCs w:val="24"/>
          <w:highlight w:val="none"/>
        </w:rPr>
        <w:t>附件</w:t>
      </w:r>
      <w:r>
        <w:rPr>
          <w:rFonts w:hint="eastAsia" w:ascii="宋体" w:hAnsi="宋体" w:eastAsia="宋体" w:cs="宋体"/>
          <w:color w:val="auto"/>
          <w:sz w:val="24"/>
          <w:szCs w:val="24"/>
          <w:highlight w:val="none"/>
          <w:lang w:val="en-US" w:eastAsia="zh-CN"/>
        </w:rPr>
        <w:t>九</w:t>
      </w:r>
      <w:r>
        <w:rPr>
          <w:rFonts w:hint="eastAsia" w:ascii="宋体" w:hAnsi="宋体" w:eastAsia="宋体" w:cs="宋体"/>
          <w:color w:val="auto"/>
          <w:sz w:val="24"/>
          <w:szCs w:val="24"/>
          <w:highlight w:val="none"/>
        </w:rPr>
        <w:t>：</w:t>
      </w:r>
      <w:bookmarkEnd w:id="83"/>
      <w:r>
        <w:rPr>
          <w:rFonts w:hint="eastAsia" w:ascii="宋体" w:hAnsi="宋体" w:eastAsia="宋体" w:cs="宋体"/>
          <w:color w:val="auto"/>
          <w:sz w:val="24"/>
          <w:szCs w:val="24"/>
          <w:highlight w:val="none"/>
        </w:rPr>
        <w:t>技术响应表</w:t>
      </w:r>
      <w:bookmarkEnd w:id="84"/>
    </w:p>
    <w:p w14:paraId="50228CED">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技术响应表</w:t>
      </w:r>
    </w:p>
    <w:p w14:paraId="27AB73BA">
      <w:pPr>
        <w:snapToGrid w:val="0"/>
        <w:spacing w:before="50" w:after="120" w:afterLines="50"/>
        <w:jc w:val="left"/>
        <w:rPr>
          <w:rFonts w:ascii="宋体" w:hAnsi="宋体" w:cs="宋体"/>
          <w:color w:val="auto"/>
          <w:sz w:val="24"/>
          <w:highlight w:val="none"/>
        </w:rPr>
      </w:pPr>
      <w:r>
        <w:rPr>
          <w:rFonts w:hint="eastAsia" w:ascii="宋体" w:hAnsi="宋体" w:cs="宋体"/>
          <w:color w:val="auto"/>
          <w:sz w:val="24"/>
          <w:highlight w:val="none"/>
        </w:rPr>
        <w:t>招标编号：</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
        <w:gridCol w:w="2004"/>
        <w:gridCol w:w="2113"/>
        <w:gridCol w:w="1750"/>
        <w:gridCol w:w="2514"/>
      </w:tblGrid>
      <w:tr w14:paraId="5AB39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9" w:hRule="atLeast"/>
          <w:jc w:val="center"/>
        </w:trPr>
        <w:tc>
          <w:tcPr>
            <w:tcW w:w="949" w:type="dxa"/>
            <w:tcBorders>
              <w:top w:val="single" w:color="auto" w:sz="4" w:space="0"/>
              <w:left w:val="single" w:color="auto" w:sz="4" w:space="0"/>
              <w:bottom w:val="single" w:color="auto" w:sz="4" w:space="0"/>
              <w:right w:val="single" w:color="auto" w:sz="4" w:space="0"/>
            </w:tcBorders>
            <w:vAlign w:val="center"/>
          </w:tcPr>
          <w:p w14:paraId="7ECC6F16">
            <w:pPr>
              <w:jc w:val="center"/>
              <w:rPr>
                <w:rFonts w:ascii="宋体" w:hAnsi="宋体" w:cs="宋体"/>
                <w:color w:val="auto"/>
                <w:sz w:val="24"/>
                <w:highlight w:val="none"/>
              </w:rPr>
            </w:pPr>
            <w:r>
              <w:rPr>
                <w:rFonts w:hint="eastAsia" w:ascii="宋体" w:hAnsi="宋体" w:cs="宋体"/>
                <w:color w:val="auto"/>
                <w:sz w:val="24"/>
                <w:highlight w:val="none"/>
              </w:rPr>
              <w:t>序号</w:t>
            </w:r>
          </w:p>
        </w:tc>
        <w:tc>
          <w:tcPr>
            <w:tcW w:w="2004" w:type="dxa"/>
            <w:tcBorders>
              <w:top w:val="single" w:color="auto" w:sz="4" w:space="0"/>
              <w:left w:val="single" w:color="auto" w:sz="4" w:space="0"/>
              <w:bottom w:val="single" w:color="auto" w:sz="4" w:space="0"/>
              <w:right w:val="single" w:color="auto" w:sz="4" w:space="0"/>
            </w:tcBorders>
            <w:vAlign w:val="center"/>
          </w:tcPr>
          <w:p w14:paraId="60B64EFE">
            <w:pPr>
              <w:jc w:val="center"/>
              <w:rPr>
                <w:rFonts w:ascii="宋体" w:hAnsi="宋体" w:cs="宋体"/>
                <w:color w:val="auto"/>
                <w:sz w:val="24"/>
                <w:highlight w:val="none"/>
              </w:rPr>
            </w:pPr>
            <w:r>
              <w:rPr>
                <w:rFonts w:hint="eastAsia" w:ascii="宋体" w:hAnsi="宋体" w:cs="宋体"/>
                <w:color w:val="auto"/>
                <w:sz w:val="24"/>
                <w:highlight w:val="none"/>
              </w:rPr>
              <w:t>内  容</w:t>
            </w:r>
          </w:p>
        </w:tc>
        <w:tc>
          <w:tcPr>
            <w:tcW w:w="2113" w:type="dxa"/>
            <w:tcBorders>
              <w:top w:val="single" w:color="auto" w:sz="4" w:space="0"/>
              <w:left w:val="single" w:color="auto" w:sz="4" w:space="0"/>
              <w:bottom w:val="single" w:color="auto" w:sz="4" w:space="0"/>
              <w:right w:val="single" w:color="auto" w:sz="4" w:space="0"/>
            </w:tcBorders>
            <w:vAlign w:val="center"/>
          </w:tcPr>
          <w:p w14:paraId="50D90EE3">
            <w:pPr>
              <w:jc w:val="center"/>
              <w:rPr>
                <w:rFonts w:ascii="宋体" w:hAnsi="宋体" w:cs="宋体"/>
                <w:color w:val="auto"/>
                <w:sz w:val="24"/>
                <w:highlight w:val="none"/>
              </w:rPr>
            </w:pPr>
            <w:r>
              <w:rPr>
                <w:rFonts w:hint="eastAsia" w:ascii="宋体" w:hAnsi="宋体" w:cs="宋体"/>
                <w:color w:val="auto"/>
                <w:sz w:val="24"/>
                <w:highlight w:val="none"/>
              </w:rPr>
              <w:t>招标文件</w:t>
            </w:r>
          </w:p>
          <w:p w14:paraId="4EBF0867">
            <w:pPr>
              <w:jc w:val="center"/>
              <w:rPr>
                <w:rFonts w:ascii="宋体" w:hAnsi="宋体" w:cs="宋体"/>
                <w:color w:val="auto"/>
                <w:sz w:val="24"/>
                <w:highlight w:val="none"/>
              </w:rPr>
            </w:pPr>
            <w:r>
              <w:rPr>
                <w:rFonts w:hint="eastAsia" w:ascii="宋体" w:hAnsi="宋体" w:cs="宋体"/>
                <w:color w:val="auto"/>
                <w:sz w:val="24"/>
                <w:highlight w:val="none"/>
              </w:rPr>
              <w:t>规范要求</w:t>
            </w:r>
          </w:p>
        </w:tc>
        <w:tc>
          <w:tcPr>
            <w:tcW w:w="1750" w:type="dxa"/>
            <w:tcBorders>
              <w:top w:val="single" w:color="auto" w:sz="4" w:space="0"/>
              <w:left w:val="single" w:color="auto" w:sz="4" w:space="0"/>
              <w:bottom w:val="single" w:color="auto" w:sz="4" w:space="0"/>
              <w:right w:val="single" w:color="auto" w:sz="4" w:space="0"/>
            </w:tcBorders>
            <w:vAlign w:val="center"/>
          </w:tcPr>
          <w:p w14:paraId="457DC88B">
            <w:pPr>
              <w:jc w:val="center"/>
              <w:rPr>
                <w:rFonts w:ascii="宋体" w:hAnsi="宋体" w:cs="宋体"/>
                <w:color w:val="auto"/>
                <w:sz w:val="24"/>
                <w:highlight w:val="none"/>
              </w:rPr>
            </w:pPr>
            <w:r>
              <w:rPr>
                <w:rFonts w:hint="eastAsia" w:ascii="宋体" w:hAnsi="宋体" w:cs="宋体"/>
                <w:color w:val="auto"/>
                <w:sz w:val="24"/>
                <w:highlight w:val="none"/>
              </w:rPr>
              <w:t>投标文件</w:t>
            </w:r>
          </w:p>
          <w:p w14:paraId="3BFADFAA">
            <w:pPr>
              <w:jc w:val="center"/>
              <w:rPr>
                <w:rFonts w:ascii="宋体" w:hAnsi="宋体" w:cs="宋体"/>
                <w:color w:val="auto"/>
                <w:sz w:val="24"/>
                <w:highlight w:val="none"/>
              </w:rPr>
            </w:pPr>
            <w:r>
              <w:rPr>
                <w:rFonts w:hint="eastAsia" w:ascii="宋体" w:hAnsi="宋体" w:cs="宋体"/>
                <w:color w:val="auto"/>
                <w:sz w:val="24"/>
                <w:highlight w:val="none"/>
              </w:rPr>
              <w:t>对应规范</w:t>
            </w:r>
          </w:p>
        </w:tc>
        <w:tc>
          <w:tcPr>
            <w:tcW w:w="2514" w:type="dxa"/>
            <w:tcBorders>
              <w:top w:val="single" w:color="auto" w:sz="4" w:space="0"/>
              <w:left w:val="single" w:color="auto" w:sz="4" w:space="0"/>
              <w:bottom w:val="single" w:color="auto" w:sz="4" w:space="0"/>
              <w:right w:val="single" w:color="auto" w:sz="4" w:space="0"/>
            </w:tcBorders>
            <w:vAlign w:val="center"/>
          </w:tcPr>
          <w:p w14:paraId="393EF1FD">
            <w:pPr>
              <w:jc w:val="center"/>
              <w:rPr>
                <w:rFonts w:ascii="宋体" w:hAnsi="宋体" w:cs="宋体"/>
                <w:color w:val="auto"/>
                <w:sz w:val="24"/>
                <w:highlight w:val="none"/>
              </w:rPr>
            </w:pPr>
            <w:r>
              <w:rPr>
                <w:rFonts w:hint="eastAsia" w:ascii="宋体" w:hAnsi="宋体" w:cs="宋体"/>
                <w:color w:val="auto"/>
                <w:sz w:val="24"/>
                <w:highlight w:val="none"/>
              </w:rPr>
              <w:t>偏离情况</w:t>
            </w:r>
          </w:p>
          <w:p w14:paraId="208344B8">
            <w:pPr>
              <w:jc w:val="center"/>
              <w:rPr>
                <w:rFonts w:ascii="宋体" w:hAnsi="宋体" w:cs="宋体"/>
                <w:color w:val="auto"/>
                <w:sz w:val="24"/>
                <w:highlight w:val="none"/>
              </w:rPr>
            </w:pPr>
            <w:r>
              <w:rPr>
                <w:rFonts w:hint="eastAsia" w:ascii="宋体" w:hAnsi="宋体" w:cs="宋体"/>
                <w:color w:val="auto"/>
                <w:sz w:val="24"/>
                <w:highlight w:val="none"/>
              </w:rPr>
              <w:t>（注明正偏离、负偏离或无偏离）</w:t>
            </w:r>
          </w:p>
        </w:tc>
      </w:tr>
      <w:tr w14:paraId="3829A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24E19EF4">
            <w:pPr>
              <w:jc w:val="cente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4811E8D3">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4059012D">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3199F845">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5258A1F7">
            <w:pPr>
              <w:rPr>
                <w:rFonts w:ascii="宋体" w:hAnsi="宋体" w:cs="宋体"/>
                <w:color w:val="auto"/>
                <w:sz w:val="24"/>
                <w:highlight w:val="none"/>
              </w:rPr>
            </w:pPr>
          </w:p>
        </w:tc>
      </w:tr>
      <w:tr w14:paraId="5FBCE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24EE4BAC">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1CB9ED78">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62E62545">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5C51D4BD">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669AE1D5">
            <w:pPr>
              <w:rPr>
                <w:rFonts w:ascii="宋体" w:hAnsi="宋体" w:cs="宋体"/>
                <w:color w:val="auto"/>
                <w:sz w:val="24"/>
                <w:highlight w:val="none"/>
              </w:rPr>
            </w:pPr>
          </w:p>
        </w:tc>
      </w:tr>
      <w:tr w14:paraId="1B0A6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F7BA884">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509A5406">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7E1F0AC8">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01E7CAD6">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2B82C786">
            <w:pPr>
              <w:rPr>
                <w:rFonts w:ascii="宋体" w:hAnsi="宋体" w:cs="宋体"/>
                <w:color w:val="auto"/>
                <w:sz w:val="24"/>
                <w:highlight w:val="none"/>
              </w:rPr>
            </w:pPr>
          </w:p>
        </w:tc>
      </w:tr>
      <w:tr w14:paraId="4A70B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9" w:type="dxa"/>
            <w:tcBorders>
              <w:top w:val="single" w:color="auto" w:sz="4" w:space="0"/>
              <w:left w:val="single" w:color="auto" w:sz="4" w:space="0"/>
              <w:bottom w:val="single" w:color="auto" w:sz="4" w:space="0"/>
              <w:right w:val="single" w:color="auto" w:sz="4" w:space="0"/>
            </w:tcBorders>
          </w:tcPr>
          <w:p w14:paraId="59867D99">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3CE347E5">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4C499C9B">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0137BCBB">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0FFFEAB6">
            <w:pPr>
              <w:rPr>
                <w:rFonts w:ascii="宋体" w:hAnsi="宋体" w:cs="宋体"/>
                <w:color w:val="auto"/>
                <w:sz w:val="24"/>
                <w:highlight w:val="none"/>
              </w:rPr>
            </w:pPr>
          </w:p>
        </w:tc>
      </w:tr>
      <w:tr w14:paraId="0B20C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5591E5F0">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3AF3D266">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639B9AAA">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09C77249">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57BF78BF">
            <w:pPr>
              <w:rPr>
                <w:rFonts w:ascii="宋体" w:hAnsi="宋体" w:cs="宋体"/>
                <w:color w:val="auto"/>
                <w:sz w:val="24"/>
                <w:highlight w:val="none"/>
              </w:rPr>
            </w:pPr>
          </w:p>
        </w:tc>
      </w:tr>
      <w:tr w14:paraId="7B629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23BFC5C8">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1893D1BE">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2F7D8BA2">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6C133E16">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051FC11B">
            <w:pPr>
              <w:rPr>
                <w:rFonts w:ascii="宋体" w:hAnsi="宋体" w:cs="宋体"/>
                <w:color w:val="auto"/>
                <w:sz w:val="24"/>
                <w:highlight w:val="none"/>
              </w:rPr>
            </w:pPr>
          </w:p>
        </w:tc>
      </w:tr>
      <w:tr w14:paraId="342CB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3073EBBF">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62801599">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24994039">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1E5B9E83">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337ABDA7">
            <w:pPr>
              <w:rPr>
                <w:rFonts w:ascii="宋体" w:hAnsi="宋体" w:cs="宋体"/>
                <w:color w:val="auto"/>
                <w:sz w:val="24"/>
                <w:highlight w:val="none"/>
              </w:rPr>
            </w:pPr>
          </w:p>
        </w:tc>
      </w:tr>
      <w:tr w14:paraId="57A12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4200E3ED">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31F49F84">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2FF5227B">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0B6DB3D4">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214A0C3C">
            <w:pPr>
              <w:rPr>
                <w:rFonts w:ascii="宋体" w:hAnsi="宋体" w:cs="宋体"/>
                <w:color w:val="auto"/>
                <w:sz w:val="24"/>
                <w:highlight w:val="none"/>
              </w:rPr>
            </w:pPr>
          </w:p>
        </w:tc>
      </w:tr>
      <w:tr w14:paraId="7CA82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7AFE5430">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1A76B34D">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3D8F082D">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2A1D1328">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735E1DD7">
            <w:pPr>
              <w:rPr>
                <w:rFonts w:ascii="宋体" w:hAnsi="宋体" w:cs="宋体"/>
                <w:color w:val="auto"/>
                <w:sz w:val="24"/>
                <w:highlight w:val="none"/>
              </w:rPr>
            </w:pPr>
          </w:p>
        </w:tc>
      </w:tr>
      <w:tr w14:paraId="20A42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01CA9F60">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1C8A67F7">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7B966E8F">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11C86E26">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295B41DB">
            <w:pPr>
              <w:rPr>
                <w:rFonts w:ascii="宋体" w:hAnsi="宋体" w:cs="宋体"/>
                <w:color w:val="auto"/>
                <w:sz w:val="24"/>
                <w:highlight w:val="none"/>
              </w:rPr>
            </w:pPr>
          </w:p>
        </w:tc>
      </w:tr>
      <w:tr w14:paraId="1C1E6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105AEB79">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46C2E0C5">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28168892">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3E7D83C7">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6651B90F">
            <w:pPr>
              <w:rPr>
                <w:rFonts w:ascii="宋体" w:hAnsi="宋体" w:cs="宋体"/>
                <w:color w:val="auto"/>
                <w:sz w:val="24"/>
                <w:highlight w:val="none"/>
              </w:rPr>
            </w:pPr>
          </w:p>
        </w:tc>
      </w:tr>
      <w:tr w14:paraId="71C4E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atLeast"/>
          <w:jc w:val="center"/>
        </w:trPr>
        <w:tc>
          <w:tcPr>
            <w:tcW w:w="949" w:type="dxa"/>
            <w:tcBorders>
              <w:top w:val="single" w:color="auto" w:sz="4" w:space="0"/>
              <w:left w:val="single" w:color="auto" w:sz="4" w:space="0"/>
              <w:bottom w:val="single" w:color="auto" w:sz="4" w:space="0"/>
              <w:right w:val="single" w:color="auto" w:sz="4" w:space="0"/>
            </w:tcBorders>
          </w:tcPr>
          <w:p w14:paraId="1C2DAB20">
            <w:pPr>
              <w:rPr>
                <w:rFonts w:ascii="宋体" w:hAnsi="宋体" w:cs="宋体"/>
                <w:color w:val="auto"/>
                <w:sz w:val="24"/>
                <w:highlight w:val="none"/>
              </w:rPr>
            </w:pPr>
          </w:p>
        </w:tc>
        <w:tc>
          <w:tcPr>
            <w:tcW w:w="2004" w:type="dxa"/>
            <w:tcBorders>
              <w:top w:val="single" w:color="auto" w:sz="4" w:space="0"/>
              <w:left w:val="single" w:color="auto" w:sz="4" w:space="0"/>
              <w:bottom w:val="single" w:color="auto" w:sz="4" w:space="0"/>
              <w:right w:val="single" w:color="auto" w:sz="4" w:space="0"/>
            </w:tcBorders>
          </w:tcPr>
          <w:p w14:paraId="00A597DF">
            <w:pPr>
              <w:rPr>
                <w:rFonts w:ascii="宋体" w:hAnsi="宋体" w:cs="宋体"/>
                <w:color w:val="auto"/>
                <w:sz w:val="24"/>
                <w:highlight w:val="none"/>
              </w:rPr>
            </w:pPr>
          </w:p>
        </w:tc>
        <w:tc>
          <w:tcPr>
            <w:tcW w:w="2113" w:type="dxa"/>
            <w:tcBorders>
              <w:top w:val="single" w:color="auto" w:sz="4" w:space="0"/>
              <w:left w:val="single" w:color="auto" w:sz="4" w:space="0"/>
              <w:bottom w:val="single" w:color="auto" w:sz="4" w:space="0"/>
              <w:right w:val="single" w:color="auto" w:sz="4" w:space="0"/>
            </w:tcBorders>
          </w:tcPr>
          <w:p w14:paraId="33FDA007">
            <w:pPr>
              <w:rPr>
                <w:rFonts w:ascii="宋体" w:hAnsi="宋体" w:cs="宋体"/>
                <w:color w:val="auto"/>
                <w:sz w:val="24"/>
                <w:highlight w:val="none"/>
              </w:rPr>
            </w:pPr>
          </w:p>
        </w:tc>
        <w:tc>
          <w:tcPr>
            <w:tcW w:w="1750" w:type="dxa"/>
            <w:tcBorders>
              <w:top w:val="single" w:color="auto" w:sz="4" w:space="0"/>
              <w:left w:val="single" w:color="auto" w:sz="4" w:space="0"/>
              <w:bottom w:val="single" w:color="auto" w:sz="4" w:space="0"/>
              <w:right w:val="single" w:color="auto" w:sz="4" w:space="0"/>
            </w:tcBorders>
          </w:tcPr>
          <w:p w14:paraId="08BD8607">
            <w:pPr>
              <w:rPr>
                <w:rFonts w:ascii="宋体" w:hAnsi="宋体" w:cs="宋体"/>
                <w:color w:val="auto"/>
                <w:sz w:val="24"/>
                <w:highlight w:val="none"/>
              </w:rPr>
            </w:pPr>
          </w:p>
        </w:tc>
        <w:tc>
          <w:tcPr>
            <w:tcW w:w="2514" w:type="dxa"/>
            <w:tcBorders>
              <w:top w:val="single" w:color="auto" w:sz="4" w:space="0"/>
              <w:left w:val="single" w:color="auto" w:sz="4" w:space="0"/>
              <w:bottom w:val="single" w:color="auto" w:sz="4" w:space="0"/>
              <w:right w:val="single" w:color="auto" w:sz="4" w:space="0"/>
            </w:tcBorders>
          </w:tcPr>
          <w:p w14:paraId="1DFAC774">
            <w:pPr>
              <w:rPr>
                <w:rFonts w:ascii="宋体" w:hAnsi="宋体" w:cs="宋体"/>
                <w:color w:val="auto"/>
                <w:sz w:val="24"/>
                <w:highlight w:val="none"/>
              </w:rPr>
            </w:pPr>
          </w:p>
        </w:tc>
      </w:tr>
    </w:tbl>
    <w:p w14:paraId="41DEE21E">
      <w:pPr>
        <w:snapToGrid w:val="0"/>
        <w:spacing w:before="50" w:after="50"/>
        <w:rPr>
          <w:rFonts w:ascii="宋体" w:hAnsi="宋体" w:cs="宋体"/>
          <w:b/>
          <w:bCs/>
          <w:color w:val="auto"/>
          <w:sz w:val="24"/>
          <w:highlight w:val="none"/>
        </w:rPr>
      </w:pPr>
    </w:p>
    <w:p w14:paraId="5EAA8F75">
      <w:pPr>
        <w:snapToGrid w:val="0"/>
        <w:spacing w:before="50" w:after="50"/>
        <w:rPr>
          <w:rFonts w:ascii="宋体" w:hAnsi="宋体" w:cs="宋体"/>
          <w:b/>
          <w:bCs/>
          <w:color w:val="auto"/>
          <w:spacing w:val="20"/>
          <w:sz w:val="24"/>
          <w:highlight w:val="none"/>
        </w:rPr>
      </w:pPr>
      <w:r>
        <w:rPr>
          <w:rFonts w:hint="eastAsia" w:ascii="宋体" w:hAnsi="宋体" w:cs="宋体"/>
          <w:b/>
          <w:bCs/>
          <w:color w:val="auto"/>
          <w:sz w:val="24"/>
          <w:highlight w:val="none"/>
        </w:rPr>
        <w:t>注：投标人应根据投标货物的性能指标、对照招标文件要求在“偏离情况”栏注明“正偏离”、“负偏离”或“无偏离”。</w:t>
      </w:r>
    </w:p>
    <w:p w14:paraId="114C2FD4">
      <w:pPr>
        <w:snapToGrid w:val="0"/>
        <w:spacing w:before="50" w:after="50"/>
        <w:rPr>
          <w:rFonts w:ascii="宋体" w:hAnsi="宋体" w:cs="宋体"/>
          <w:color w:val="auto"/>
          <w:spacing w:val="20"/>
          <w:sz w:val="24"/>
          <w:highlight w:val="none"/>
        </w:rPr>
      </w:pPr>
    </w:p>
    <w:p w14:paraId="00D82B69">
      <w:pPr>
        <w:snapToGrid w:val="0"/>
        <w:spacing w:before="50" w:after="50"/>
        <w:rPr>
          <w:rFonts w:ascii="宋体" w:hAnsi="宋体" w:cs="宋体"/>
          <w:color w:val="auto"/>
          <w:spacing w:val="20"/>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pacing w:val="20"/>
          <w:sz w:val="24"/>
          <w:highlight w:val="none"/>
        </w:rPr>
        <w:t>：</w:t>
      </w:r>
      <w:r>
        <w:rPr>
          <w:rFonts w:hint="eastAsia" w:ascii="宋体" w:hAnsi="宋体" w:cs="宋体"/>
          <w:color w:val="auto"/>
          <w:spacing w:val="20"/>
          <w:sz w:val="24"/>
          <w:highlight w:val="none"/>
          <w:u w:val="single"/>
        </w:rPr>
        <w:t xml:space="preserve">        </w:t>
      </w:r>
    </w:p>
    <w:p w14:paraId="0D09D706">
      <w:pPr>
        <w:snapToGrid w:val="0"/>
        <w:spacing w:before="50" w:after="50"/>
        <w:rPr>
          <w:rFonts w:ascii="宋体" w:hAnsi="宋体" w:cs="宋体"/>
          <w:color w:val="auto"/>
          <w:sz w:val="24"/>
          <w:highlight w:val="none"/>
        </w:rPr>
      </w:pPr>
      <w:r>
        <w:rPr>
          <w:rFonts w:hint="eastAsia" w:ascii="宋体" w:hAnsi="宋体" w:cs="宋体"/>
          <w:color w:val="auto"/>
          <w:spacing w:val="20"/>
          <w:sz w:val="24"/>
          <w:highlight w:val="none"/>
        </w:rPr>
        <w:t>投标人盖章：</w:t>
      </w:r>
      <w:r>
        <w:rPr>
          <w:rFonts w:hint="eastAsia" w:ascii="宋体" w:hAnsi="宋体" w:cs="宋体"/>
          <w:color w:val="auto"/>
          <w:spacing w:val="20"/>
          <w:sz w:val="24"/>
          <w:highlight w:val="none"/>
          <w:u w:val="single"/>
        </w:rPr>
        <w:t xml:space="preserve">            </w:t>
      </w:r>
      <w:r>
        <w:rPr>
          <w:rFonts w:hint="eastAsia" w:ascii="宋体" w:hAnsi="宋体" w:cs="宋体"/>
          <w:color w:val="auto"/>
          <w:spacing w:val="20"/>
          <w:sz w:val="24"/>
          <w:highlight w:val="none"/>
        </w:rPr>
        <w:t xml:space="preserve">              日 期：</w:t>
      </w:r>
      <w:r>
        <w:rPr>
          <w:rFonts w:hint="eastAsia" w:ascii="宋体" w:hAnsi="宋体" w:cs="宋体"/>
          <w:color w:val="auto"/>
          <w:spacing w:val="20"/>
          <w:sz w:val="24"/>
          <w:highlight w:val="none"/>
          <w:u w:val="single"/>
        </w:rPr>
        <w:t xml:space="preserve">            </w:t>
      </w:r>
    </w:p>
    <w:p w14:paraId="5C9F92BD">
      <w:pPr>
        <w:snapToGrid w:val="0"/>
        <w:spacing w:before="50" w:after="120" w:afterLines="50"/>
        <w:jc w:val="left"/>
        <w:rPr>
          <w:rFonts w:ascii="宋体" w:hAnsi="宋体" w:cs="宋体"/>
          <w:color w:val="auto"/>
          <w:sz w:val="24"/>
          <w:highlight w:val="none"/>
        </w:rPr>
      </w:pPr>
    </w:p>
    <w:p w14:paraId="36260017">
      <w:pPr>
        <w:spacing w:before="260" w:after="260" w:line="415" w:lineRule="auto"/>
        <w:rPr>
          <w:rFonts w:ascii="宋体" w:hAnsi="宋体" w:cs="宋体"/>
          <w:bCs/>
          <w:color w:val="auto"/>
          <w:sz w:val="24"/>
          <w:highlight w:val="none"/>
        </w:rPr>
      </w:pPr>
    </w:p>
    <w:p w14:paraId="63F33218">
      <w:pPr>
        <w:spacing w:before="260" w:after="260" w:line="415" w:lineRule="auto"/>
        <w:rPr>
          <w:rFonts w:ascii="宋体" w:hAnsi="宋体" w:cs="宋体"/>
          <w:bCs/>
          <w:color w:val="auto"/>
          <w:sz w:val="24"/>
          <w:highlight w:val="none"/>
        </w:rPr>
      </w:pPr>
    </w:p>
    <w:p w14:paraId="3277ECF6">
      <w:pPr>
        <w:spacing w:before="260" w:after="260" w:line="415" w:lineRule="auto"/>
        <w:rPr>
          <w:rFonts w:ascii="宋体" w:hAnsi="宋体" w:cs="宋体"/>
          <w:bCs/>
          <w:color w:val="auto"/>
          <w:sz w:val="24"/>
          <w:highlight w:val="none"/>
        </w:rPr>
      </w:pPr>
    </w:p>
    <w:p w14:paraId="72FF8775">
      <w:pPr>
        <w:pStyle w:val="8"/>
        <w:keepNext w:val="0"/>
        <w:keepLines w:val="0"/>
        <w:pageBreakBefore/>
        <w:spacing w:line="360" w:lineRule="auto"/>
        <w:rPr>
          <w:rFonts w:ascii="宋体" w:hAnsi="宋体" w:eastAsia="宋体"/>
          <w:color w:val="auto"/>
          <w:sz w:val="24"/>
          <w:szCs w:val="24"/>
          <w:highlight w:val="none"/>
        </w:rPr>
      </w:pPr>
      <w:bookmarkStart w:id="85" w:name="_Toc472926109"/>
      <w:bookmarkStart w:id="86" w:name="_Toc381274750"/>
      <w:bookmarkStart w:id="87" w:name="_Toc153783423"/>
      <w:bookmarkStart w:id="88" w:name="_Toc135017409"/>
      <w:bookmarkStart w:id="89" w:name="_Toc482692803"/>
      <w:bookmarkStart w:id="90" w:name="_Toc444630800"/>
      <w:bookmarkStart w:id="91" w:name="_Toc113618083"/>
      <w:bookmarkStart w:id="92" w:name="_Toc496598993"/>
      <w:bookmarkStart w:id="93" w:name="_Toc142122886"/>
      <w:bookmarkStart w:id="94" w:name="_Toc443464315"/>
      <w:bookmarkStart w:id="95" w:name="_Toc10018850"/>
      <w:bookmarkStart w:id="96" w:name="_Toc27419"/>
      <w:bookmarkStart w:id="97" w:name="_Toc21632"/>
      <w:bookmarkStart w:id="98" w:name="_Toc29497"/>
      <w:r>
        <w:rPr>
          <w:rFonts w:hint="eastAsia" w:ascii="宋体" w:hAnsi="宋体" w:eastAsia="宋体"/>
          <w:color w:val="auto"/>
          <w:sz w:val="24"/>
          <w:szCs w:val="24"/>
          <w:highlight w:val="none"/>
        </w:rPr>
        <w:t>附件</w:t>
      </w:r>
      <w:bookmarkEnd w:id="85"/>
      <w:bookmarkEnd w:id="86"/>
      <w:bookmarkEnd w:id="87"/>
      <w:bookmarkEnd w:id="88"/>
      <w:bookmarkEnd w:id="89"/>
      <w:bookmarkEnd w:id="90"/>
      <w:bookmarkEnd w:id="91"/>
      <w:bookmarkEnd w:id="92"/>
      <w:bookmarkEnd w:id="93"/>
      <w:bookmarkEnd w:id="94"/>
      <w:r>
        <w:rPr>
          <w:rFonts w:hint="eastAsia" w:ascii="宋体" w:hAnsi="宋体" w:eastAsia="宋体"/>
          <w:color w:val="auto"/>
          <w:sz w:val="24"/>
          <w:szCs w:val="24"/>
          <w:highlight w:val="none"/>
        </w:rPr>
        <w:t>十：</w:t>
      </w:r>
      <w:bookmarkEnd w:id="95"/>
      <w:bookmarkEnd w:id="96"/>
      <w:r>
        <w:rPr>
          <w:rFonts w:hint="eastAsia" w:ascii="宋体" w:hAnsi="宋体" w:eastAsia="宋体"/>
          <w:color w:val="auto"/>
          <w:sz w:val="24"/>
          <w:szCs w:val="24"/>
          <w:highlight w:val="none"/>
        </w:rPr>
        <w:t>产品配置清单</w:t>
      </w:r>
      <w:bookmarkEnd w:id="97"/>
    </w:p>
    <w:p w14:paraId="25E810B5">
      <w:pPr>
        <w:snapToGrid w:val="0"/>
        <w:spacing w:before="120" w:beforeLines="50" w:after="50" w:line="360" w:lineRule="auto"/>
        <w:jc w:val="center"/>
        <w:rPr>
          <w:rFonts w:ascii="宋体" w:hAnsi="宋体"/>
          <w:b/>
          <w:color w:val="auto"/>
          <w:sz w:val="24"/>
          <w:highlight w:val="none"/>
        </w:rPr>
      </w:pPr>
      <w:r>
        <w:rPr>
          <w:rFonts w:hint="eastAsia" w:ascii="宋体" w:hAnsi="宋体"/>
          <w:b/>
          <w:color w:val="auto"/>
          <w:sz w:val="28"/>
          <w:szCs w:val="28"/>
          <w:highlight w:val="none"/>
        </w:rPr>
        <w:t>产品配置清单</w:t>
      </w:r>
      <w:r>
        <w:rPr>
          <w:rFonts w:ascii="宋体" w:hAnsi="宋体"/>
          <w:b/>
          <w:color w:val="auto"/>
          <w:sz w:val="28"/>
          <w:szCs w:val="28"/>
          <w:highlight w:val="none"/>
        </w:rPr>
        <w:t xml:space="preserve"> </w:t>
      </w:r>
    </w:p>
    <w:p w14:paraId="0D412D5A">
      <w:pPr>
        <w:pStyle w:val="23"/>
        <w:spacing w:line="360" w:lineRule="auto"/>
        <w:ind w:right="904"/>
        <w:rPr>
          <w:color w:val="auto"/>
          <w:highlight w:val="none"/>
        </w:rPr>
      </w:pPr>
      <w:r>
        <w:rPr>
          <w:rFonts w:hint="eastAsia"/>
          <w:color w:val="auto"/>
          <w:highlight w:val="none"/>
        </w:rPr>
        <w:t xml:space="preserve">项目名称：                                             </w:t>
      </w:r>
      <w:r>
        <w:rPr>
          <w:color w:val="auto"/>
          <w:highlight w:val="none"/>
        </w:rPr>
        <w:t>招标编号：</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6" w:type="dxa"/>
          <w:bottom w:w="0" w:type="dxa"/>
          <w:right w:w="56" w:type="dxa"/>
        </w:tblCellMar>
      </w:tblPr>
      <w:tblGrid>
        <w:gridCol w:w="596"/>
        <w:gridCol w:w="596"/>
        <w:gridCol w:w="1260"/>
        <w:gridCol w:w="1260"/>
        <w:gridCol w:w="3348"/>
        <w:gridCol w:w="1080"/>
        <w:gridCol w:w="1080"/>
      </w:tblGrid>
      <w:tr w14:paraId="10587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695" w:hRule="exact"/>
          <w:jc w:val="center"/>
        </w:trPr>
        <w:tc>
          <w:tcPr>
            <w:tcW w:w="596" w:type="dxa"/>
            <w:tcBorders>
              <w:bottom w:val="nil"/>
            </w:tcBorders>
            <w:vAlign w:val="center"/>
          </w:tcPr>
          <w:p w14:paraId="31391F47">
            <w:pPr>
              <w:jc w:val="center"/>
              <w:rPr>
                <w:rFonts w:ascii="宋体" w:hAnsi="宋体"/>
                <w:color w:val="auto"/>
                <w:sz w:val="24"/>
                <w:highlight w:val="none"/>
              </w:rPr>
            </w:pPr>
            <w:r>
              <w:rPr>
                <w:rFonts w:hint="eastAsia" w:ascii="宋体" w:hAnsi="宋体"/>
                <w:color w:val="auto"/>
                <w:sz w:val="24"/>
                <w:highlight w:val="none"/>
              </w:rPr>
              <w:t>品牌型号</w:t>
            </w:r>
          </w:p>
        </w:tc>
        <w:tc>
          <w:tcPr>
            <w:tcW w:w="596" w:type="dxa"/>
            <w:tcBorders>
              <w:bottom w:val="nil"/>
            </w:tcBorders>
            <w:vAlign w:val="center"/>
          </w:tcPr>
          <w:p w14:paraId="4921071C">
            <w:pPr>
              <w:jc w:val="center"/>
              <w:rPr>
                <w:rFonts w:ascii="宋体" w:hAnsi="宋体"/>
                <w:color w:val="auto"/>
                <w:sz w:val="24"/>
                <w:highlight w:val="none"/>
              </w:rPr>
            </w:pPr>
            <w:r>
              <w:rPr>
                <w:rFonts w:hint="eastAsia" w:ascii="宋体" w:hAnsi="宋体"/>
                <w:color w:val="auto"/>
                <w:sz w:val="24"/>
                <w:highlight w:val="none"/>
              </w:rPr>
              <w:t>序号</w:t>
            </w:r>
          </w:p>
        </w:tc>
        <w:tc>
          <w:tcPr>
            <w:tcW w:w="1260" w:type="dxa"/>
            <w:tcBorders>
              <w:bottom w:val="nil"/>
            </w:tcBorders>
            <w:vAlign w:val="center"/>
          </w:tcPr>
          <w:p w14:paraId="1EEA5E40">
            <w:pPr>
              <w:jc w:val="center"/>
              <w:rPr>
                <w:rFonts w:ascii="宋体" w:hAnsi="宋体"/>
                <w:color w:val="auto"/>
                <w:sz w:val="24"/>
                <w:highlight w:val="none"/>
              </w:rPr>
            </w:pPr>
            <w:r>
              <w:rPr>
                <w:rFonts w:hint="eastAsia" w:ascii="宋体" w:hAnsi="宋体"/>
                <w:color w:val="auto"/>
                <w:sz w:val="24"/>
                <w:highlight w:val="none"/>
              </w:rPr>
              <w:t>配件名称型号</w:t>
            </w:r>
          </w:p>
        </w:tc>
        <w:tc>
          <w:tcPr>
            <w:tcW w:w="1260" w:type="dxa"/>
            <w:vAlign w:val="center"/>
          </w:tcPr>
          <w:p w14:paraId="14B66913">
            <w:pPr>
              <w:jc w:val="center"/>
              <w:rPr>
                <w:rFonts w:ascii="宋体" w:hAnsi="宋体"/>
                <w:color w:val="auto"/>
                <w:sz w:val="24"/>
                <w:highlight w:val="none"/>
              </w:rPr>
            </w:pPr>
            <w:r>
              <w:rPr>
                <w:rFonts w:hint="eastAsia" w:ascii="宋体" w:hAnsi="宋体"/>
                <w:color w:val="auto"/>
                <w:sz w:val="24"/>
                <w:highlight w:val="none"/>
              </w:rPr>
              <w:t>配件品牌</w:t>
            </w:r>
          </w:p>
        </w:tc>
        <w:tc>
          <w:tcPr>
            <w:tcW w:w="3348" w:type="dxa"/>
            <w:vAlign w:val="center"/>
          </w:tcPr>
          <w:p w14:paraId="7212BF99">
            <w:pPr>
              <w:ind w:right="54"/>
              <w:jc w:val="center"/>
              <w:rPr>
                <w:rFonts w:ascii="宋体" w:hAnsi="宋体"/>
                <w:color w:val="auto"/>
                <w:sz w:val="24"/>
                <w:highlight w:val="none"/>
              </w:rPr>
            </w:pPr>
            <w:r>
              <w:rPr>
                <w:rFonts w:hint="eastAsia" w:ascii="宋体" w:hAnsi="宋体"/>
                <w:color w:val="auto"/>
                <w:sz w:val="24"/>
                <w:highlight w:val="none"/>
              </w:rPr>
              <w:t>技术指标、功能及配置描述</w:t>
            </w:r>
          </w:p>
        </w:tc>
        <w:tc>
          <w:tcPr>
            <w:tcW w:w="1080" w:type="dxa"/>
            <w:vAlign w:val="center"/>
          </w:tcPr>
          <w:p w14:paraId="316BFC6D">
            <w:pPr>
              <w:ind w:right="54"/>
              <w:jc w:val="center"/>
              <w:rPr>
                <w:rFonts w:ascii="宋体" w:hAnsi="宋体"/>
                <w:color w:val="auto"/>
                <w:sz w:val="24"/>
                <w:highlight w:val="none"/>
              </w:rPr>
            </w:pPr>
            <w:r>
              <w:rPr>
                <w:rFonts w:hint="eastAsia" w:ascii="宋体" w:hAnsi="宋体"/>
                <w:color w:val="auto"/>
                <w:sz w:val="24"/>
                <w:highlight w:val="none"/>
              </w:rPr>
              <w:t>产地</w:t>
            </w:r>
          </w:p>
        </w:tc>
        <w:tc>
          <w:tcPr>
            <w:tcW w:w="1080" w:type="dxa"/>
            <w:vAlign w:val="center"/>
          </w:tcPr>
          <w:p w14:paraId="69096F43">
            <w:pPr>
              <w:ind w:right="54"/>
              <w:jc w:val="center"/>
              <w:rPr>
                <w:rFonts w:ascii="宋体" w:hAnsi="宋体"/>
                <w:color w:val="auto"/>
                <w:sz w:val="24"/>
                <w:highlight w:val="none"/>
              </w:rPr>
            </w:pPr>
            <w:r>
              <w:rPr>
                <w:rFonts w:hint="eastAsia" w:ascii="宋体" w:hAnsi="宋体"/>
                <w:color w:val="auto"/>
                <w:sz w:val="24"/>
                <w:highlight w:val="none"/>
              </w:rPr>
              <w:t>备注</w:t>
            </w:r>
          </w:p>
        </w:tc>
      </w:tr>
      <w:tr w14:paraId="1EE9D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549" w:hRule="exact"/>
          <w:jc w:val="center"/>
        </w:trPr>
        <w:tc>
          <w:tcPr>
            <w:tcW w:w="596" w:type="dxa"/>
            <w:vMerge w:val="restart"/>
            <w:vAlign w:val="center"/>
          </w:tcPr>
          <w:p w14:paraId="212E4BC7">
            <w:pPr>
              <w:spacing w:line="360" w:lineRule="auto"/>
              <w:jc w:val="center"/>
              <w:rPr>
                <w:rFonts w:ascii="宋体" w:hAnsi="宋体"/>
                <w:color w:val="auto"/>
                <w:sz w:val="24"/>
                <w:highlight w:val="none"/>
              </w:rPr>
            </w:pPr>
          </w:p>
        </w:tc>
        <w:tc>
          <w:tcPr>
            <w:tcW w:w="596" w:type="dxa"/>
            <w:vAlign w:val="center"/>
          </w:tcPr>
          <w:p w14:paraId="0E0A935C">
            <w:pPr>
              <w:spacing w:line="360" w:lineRule="auto"/>
              <w:jc w:val="center"/>
              <w:rPr>
                <w:rFonts w:ascii="宋体" w:hAnsi="宋体"/>
                <w:color w:val="auto"/>
                <w:sz w:val="24"/>
                <w:highlight w:val="none"/>
              </w:rPr>
            </w:pPr>
          </w:p>
        </w:tc>
        <w:tc>
          <w:tcPr>
            <w:tcW w:w="1260" w:type="dxa"/>
            <w:vAlign w:val="center"/>
          </w:tcPr>
          <w:p w14:paraId="0DB3447F">
            <w:pPr>
              <w:spacing w:line="360" w:lineRule="auto"/>
              <w:jc w:val="center"/>
              <w:rPr>
                <w:rFonts w:ascii="宋体" w:hAnsi="宋体"/>
                <w:color w:val="auto"/>
                <w:sz w:val="24"/>
                <w:highlight w:val="none"/>
              </w:rPr>
            </w:pPr>
          </w:p>
        </w:tc>
        <w:tc>
          <w:tcPr>
            <w:tcW w:w="1260" w:type="dxa"/>
            <w:vAlign w:val="center"/>
          </w:tcPr>
          <w:p w14:paraId="72D04377">
            <w:pPr>
              <w:spacing w:line="360" w:lineRule="auto"/>
              <w:jc w:val="center"/>
              <w:rPr>
                <w:rFonts w:ascii="宋体" w:hAnsi="宋体"/>
                <w:color w:val="auto"/>
                <w:sz w:val="24"/>
                <w:highlight w:val="none"/>
              </w:rPr>
            </w:pPr>
          </w:p>
        </w:tc>
        <w:tc>
          <w:tcPr>
            <w:tcW w:w="3348" w:type="dxa"/>
            <w:vAlign w:val="center"/>
          </w:tcPr>
          <w:p w14:paraId="0C38E554">
            <w:pPr>
              <w:spacing w:line="360" w:lineRule="auto"/>
              <w:ind w:right="54"/>
              <w:jc w:val="center"/>
              <w:rPr>
                <w:rFonts w:ascii="宋体" w:hAnsi="宋体"/>
                <w:color w:val="auto"/>
                <w:sz w:val="24"/>
                <w:highlight w:val="none"/>
              </w:rPr>
            </w:pPr>
          </w:p>
        </w:tc>
        <w:tc>
          <w:tcPr>
            <w:tcW w:w="1080" w:type="dxa"/>
            <w:vAlign w:val="center"/>
          </w:tcPr>
          <w:p w14:paraId="4D49337C">
            <w:pPr>
              <w:spacing w:line="360" w:lineRule="auto"/>
              <w:ind w:right="54"/>
              <w:jc w:val="center"/>
              <w:rPr>
                <w:rFonts w:ascii="宋体" w:hAnsi="宋体"/>
                <w:color w:val="auto"/>
                <w:sz w:val="24"/>
                <w:highlight w:val="none"/>
              </w:rPr>
            </w:pPr>
          </w:p>
        </w:tc>
        <w:tc>
          <w:tcPr>
            <w:tcW w:w="1080" w:type="dxa"/>
            <w:vAlign w:val="center"/>
          </w:tcPr>
          <w:p w14:paraId="35526679">
            <w:pPr>
              <w:spacing w:line="360" w:lineRule="auto"/>
              <w:ind w:right="54"/>
              <w:jc w:val="center"/>
              <w:rPr>
                <w:rFonts w:ascii="宋体" w:hAnsi="宋体"/>
                <w:color w:val="auto"/>
                <w:sz w:val="24"/>
                <w:highlight w:val="none"/>
              </w:rPr>
            </w:pPr>
          </w:p>
        </w:tc>
      </w:tr>
      <w:tr w14:paraId="0336D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549" w:hRule="exact"/>
          <w:jc w:val="center"/>
        </w:trPr>
        <w:tc>
          <w:tcPr>
            <w:tcW w:w="596" w:type="dxa"/>
            <w:vMerge w:val="continue"/>
            <w:vAlign w:val="center"/>
          </w:tcPr>
          <w:p w14:paraId="69F3A4D3">
            <w:pPr>
              <w:spacing w:line="360" w:lineRule="auto"/>
              <w:jc w:val="center"/>
              <w:rPr>
                <w:rFonts w:ascii="宋体" w:hAnsi="宋体"/>
                <w:color w:val="auto"/>
                <w:sz w:val="24"/>
                <w:highlight w:val="none"/>
              </w:rPr>
            </w:pPr>
          </w:p>
        </w:tc>
        <w:tc>
          <w:tcPr>
            <w:tcW w:w="596" w:type="dxa"/>
            <w:vAlign w:val="center"/>
          </w:tcPr>
          <w:p w14:paraId="5D511CF0">
            <w:pPr>
              <w:spacing w:line="360" w:lineRule="auto"/>
              <w:jc w:val="center"/>
              <w:rPr>
                <w:rFonts w:ascii="宋体" w:hAnsi="宋体"/>
                <w:color w:val="auto"/>
                <w:sz w:val="24"/>
                <w:highlight w:val="none"/>
              </w:rPr>
            </w:pPr>
          </w:p>
        </w:tc>
        <w:tc>
          <w:tcPr>
            <w:tcW w:w="1260" w:type="dxa"/>
            <w:vAlign w:val="center"/>
          </w:tcPr>
          <w:p w14:paraId="1257AEC8">
            <w:pPr>
              <w:spacing w:line="360" w:lineRule="auto"/>
              <w:jc w:val="center"/>
              <w:rPr>
                <w:rFonts w:ascii="宋体" w:hAnsi="宋体"/>
                <w:color w:val="auto"/>
                <w:sz w:val="24"/>
                <w:highlight w:val="none"/>
              </w:rPr>
            </w:pPr>
          </w:p>
        </w:tc>
        <w:tc>
          <w:tcPr>
            <w:tcW w:w="1260" w:type="dxa"/>
            <w:vAlign w:val="center"/>
          </w:tcPr>
          <w:p w14:paraId="3CA087D5">
            <w:pPr>
              <w:spacing w:line="360" w:lineRule="auto"/>
              <w:jc w:val="center"/>
              <w:rPr>
                <w:rFonts w:ascii="宋体" w:hAnsi="宋体"/>
                <w:color w:val="auto"/>
                <w:sz w:val="24"/>
                <w:highlight w:val="none"/>
              </w:rPr>
            </w:pPr>
          </w:p>
        </w:tc>
        <w:tc>
          <w:tcPr>
            <w:tcW w:w="3348" w:type="dxa"/>
            <w:vAlign w:val="center"/>
          </w:tcPr>
          <w:p w14:paraId="24CD3634">
            <w:pPr>
              <w:spacing w:line="360" w:lineRule="auto"/>
              <w:ind w:right="54"/>
              <w:jc w:val="center"/>
              <w:rPr>
                <w:rFonts w:ascii="宋体" w:hAnsi="宋体"/>
                <w:color w:val="auto"/>
                <w:sz w:val="24"/>
                <w:highlight w:val="none"/>
              </w:rPr>
            </w:pPr>
          </w:p>
        </w:tc>
        <w:tc>
          <w:tcPr>
            <w:tcW w:w="1080" w:type="dxa"/>
            <w:vAlign w:val="center"/>
          </w:tcPr>
          <w:p w14:paraId="550AF77E">
            <w:pPr>
              <w:spacing w:line="360" w:lineRule="auto"/>
              <w:ind w:right="54"/>
              <w:jc w:val="center"/>
              <w:rPr>
                <w:rFonts w:ascii="宋体" w:hAnsi="宋体"/>
                <w:color w:val="auto"/>
                <w:sz w:val="24"/>
                <w:highlight w:val="none"/>
              </w:rPr>
            </w:pPr>
          </w:p>
        </w:tc>
        <w:tc>
          <w:tcPr>
            <w:tcW w:w="1080" w:type="dxa"/>
            <w:vAlign w:val="center"/>
          </w:tcPr>
          <w:p w14:paraId="76E0F946">
            <w:pPr>
              <w:spacing w:line="360" w:lineRule="auto"/>
              <w:ind w:right="54"/>
              <w:jc w:val="center"/>
              <w:rPr>
                <w:rFonts w:ascii="宋体" w:hAnsi="宋体"/>
                <w:color w:val="auto"/>
                <w:sz w:val="24"/>
                <w:highlight w:val="none"/>
              </w:rPr>
            </w:pPr>
          </w:p>
        </w:tc>
      </w:tr>
      <w:tr w14:paraId="3EFFC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549" w:hRule="exact"/>
          <w:jc w:val="center"/>
        </w:trPr>
        <w:tc>
          <w:tcPr>
            <w:tcW w:w="596" w:type="dxa"/>
            <w:vMerge w:val="continue"/>
            <w:vAlign w:val="center"/>
          </w:tcPr>
          <w:p w14:paraId="68E1DE86">
            <w:pPr>
              <w:spacing w:line="360" w:lineRule="auto"/>
              <w:jc w:val="center"/>
              <w:rPr>
                <w:rFonts w:ascii="宋体" w:hAnsi="宋体"/>
                <w:color w:val="auto"/>
                <w:sz w:val="24"/>
                <w:highlight w:val="none"/>
              </w:rPr>
            </w:pPr>
          </w:p>
        </w:tc>
        <w:tc>
          <w:tcPr>
            <w:tcW w:w="596" w:type="dxa"/>
            <w:vAlign w:val="center"/>
          </w:tcPr>
          <w:p w14:paraId="6E8FB705">
            <w:pPr>
              <w:spacing w:line="360" w:lineRule="auto"/>
              <w:jc w:val="center"/>
              <w:rPr>
                <w:rFonts w:ascii="宋体" w:hAnsi="宋体"/>
                <w:color w:val="auto"/>
                <w:sz w:val="24"/>
                <w:highlight w:val="none"/>
              </w:rPr>
            </w:pPr>
          </w:p>
        </w:tc>
        <w:tc>
          <w:tcPr>
            <w:tcW w:w="1260" w:type="dxa"/>
            <w:vAlign w:val="center"/>
          </w:tcPr>
          <w:p w14:paraId="4C142DB5">
            <w:pPr>
              <w:spacing w:line="360" w:lineRule="auto"/>
              <w:jc w:val="center"/>
              <w:rPr>
                <w:rFonts w:ascii="宋体" w:hAnsi="宋体"/>
                <w:color w:val="auto"/>
                <w:sz w:val="24"/>
                <w:highlight w:val="none"/>
              </w:rPr>
            </w:pPr>
          </w:p>
        </w:tc>
        <w:tc>
          <w:tcPr>
            <w:tcW w:w="1260" w:type="dxa"/>
            <w:vAlign w:val="center"/>
          </w:tcPr>
          <w:p w14:paraId="7E425DF4">
            <w:pPr>
              <w:spacing w:line="360" w:lineRule="auto"/>
              <w:jc w:val="center"/>
              <w:rPr>
                <w:rFonts w:ascii="宋体" w:hAnsi="宋体"/>
                <w:color w:val="auto"/>
                <w:sz w:val="24"/>
                <w:highlight w:val="none"/>
              </w:rPr>
            </w:pPr>
          </w:p>
        </w:tc>
        <w:tc>
          <w:tcPr>
            <w:tcW w:w="3348" w:type="dxa"/>
            <w:vAlign w:val="center"/>
          </w:tcPr>
          <w:p w14:paraId="5E70278C">
            <w:pPr>
              <w:spacing w:line="360" w:lineRule="auto"/>
              <w:ind w:right="54"/>
              <w:jc w:val="center"/>
              <w:rPr>
                <w:rFonts w:ascii="宋体" w:hAnsi="宋体"/>
                <w:color w:val="auto"/>
                <w:sz w:val="24"/>
                <w:highlight w:val="none"/>
              </w:rPr>
            </w:pPr>
          </w:p>
        </w:tc>
        <w:tc>
          <w:tcPr>
            <w:tcW w:w="1080" w:type="dxa"/>
            <w:vAlign w:val="center"/>
          </w:tcPr>
          <w:p w14:paraId="4C0D9AA3">
            <w:pPr>
              <w:spacing w:line="360" w:lineRule="auto"/>
              <w:ind w:right="54"/>
              <w:jc w:val="center"/>
              <w:rPr>
                <w:rFonts w:ascii="宋体" w:hAnsi="宋体"/>
                <w:color w:val="auto"/>
                <w:sz w:val="24"/>
                <w:highlight w:val="none"/>
              </w:rPr>
            </w:pPr>
          </w:p>
        </w:tc>
        <w:tc>
          <w:tcPr>
            <w:tcW w:w="1080" w:type="dxa"/>
            <w:vAlign w:val="center"/>
          </w:tcPr>
          <w:p w14:paraId="371635D4">
            <w:pPr>
              <w:spacing w:line="360" w:lineRule="auto"/>
              <w:ind w:right="54"/>
              <w:jc w:val="center"/>
              <w:rPr>
                <w:rFonts w:ascii="宋体" w:hAnsi="宋体"/>
                <w:color w:val="auto"/>
                <w:sz w:val="24"/>
                <w:highlight w:val="none"/>
              </w:rPr>
            </w:pPr>
          </w:p>
        </w:tc>
      </w:tr>
      <w:tr w14:paraId="3F2D4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549" w:hRule="exact"/>
          <w:jc w:val="center"/>
        </w:trPr>
        <w:tc>
          <w:tcPr>
            <w:tcW w:w="596" w:type="dxa"/>
            <w:vMerge w:val="continue"/>
            <w:vAlign w:val="center"/>
          </w:tcPr>
          <w:p w14:paraId="71442DAF">
            <w:pPr>
              <w:spacing w:line="360" w:lineRule="auto"/>
              <w:jc w:val="center"/>
              <w:rPr>
                <w:rFonts w:ascii="宋体" w:hAnsi="宋体"/>
                <w:color w:val="auto"/>
                <w:sz w:val="24"/>
                <w:highlight w:val="none"/>
              </w:rPr>
            </w:pPr>
          </w:p>
        </w:tc>
        <w:tc>
          <w:tcPr>
            <w:tcW w:w="596" w:type="dxa"/>
            <w:vAlign w:val="center"/>
          </w:tcPr>
          <w:p w14:paraId="7FA494A6">
            <w:pPr>
              <w:spacing w:line="360" w:lineRule="auto"/>
              <w:jc w:val="center"/>
              <w:rPr>
                <w:rFonts w:ascii="宋体" w:hAnsi="宋体"/>
                <w:color w:val="auto"/>
                <w:sz w:val="24"/>
                <w:highlight w:val="none"/>
              </w:rPr>
            </w:pPr>
          </w:p>
        </w:tc>
        <w:tc>
          <w:tcPr>
            <w:tcW w:w="1260" w:type="dxa"/>
            <w:vAlign w:val="center"/>
          </w:tcPr>
          <w:p w14:paraId="6E3BF2CF">
            <w:pPr>
              <w:spacing w:line="360" w:lineRule="auto"/>
              <w:jc w:val="center"/>
              <w:rPr>
                <w:rFonts w:ascii="宋体" w:hAnsi="宋体"/>
                <w:color w:val="auto"/>
                <w:sz w:val="24"/>
                <w:highlight w:val="none"/>
              </w:rPr>
            </w:pPr>
          </w:p>
        </w:tc>
        <w:tc>
          <w:tcPr>
            <w:tcW w:w="1260" w:type="dxa"/>
            <w:vAlign w:val="center"/>
          </w:tcPr>
          <w:p w14:paraId="28CD5827">
            <w:pPr>
              <w:spacing w:line="360" w:lineRule="auto"/>
              <w:jc w:val="center"/>
              <w:rPr>
                <w:rFonts w:ascii="宋体" w:hAnsi="宋体"/>
                <w:color w:val="auto"/>
                <w:sz w:val="24"/>
                <w:highlight w:val="none"/>
              </w:rPr>
            </w:pPr>
          </w:p>
        </w:tc>
        <w:tc>
          <w:tcPr>
            <w:tcW w:w="3348" w:type="dxa"/>
            <w:vAlign w:val="center"/>
          </w:tcPr>
          <w:p w14:paraId="5A316D36">
            <w:pPr>
              <w:spacing w:line="360" w:lineRule="auto"/>
              <w:ind w:right="54"/>
              <w:jc w:val="center"/>
              <w:rPr>
                <w:rFonts w:ascii="宋体" w:hAnsi="宋体"/>
                <w:color w:val="auto"/>
                <w:sz w:val="24"/>
                <w:highlight w:val="none"/>
              </w:rPr>
            </w:pPr>
          </w:p>
        </w:tc>
        <w:tc>
          <w:tcPr>
            <w:tcW w:w="1080" w:type="dxa"/>
            <w:vAlign w:val="center"/>
          </w:tcPr>
          <w:p w14:paraId="64E27854">
            <w:pPr>
              <w:spacing w:line="360" w:lineRule="auto"/>
              <w:ind w:right="54"/>
              <w:jc w:val="center"/>
              <w:rPr>
                <w:rFonts w:ascii="宋体" w:hAnsi="宋体"/>
                <w:color w:val="auto"/>
                <w:sz w:val="24"/>
                <w:highlight w:val="none"/>
              </w:rPr>
            </w:pPr>
          </w:p>
        </w:tc>
        <w:tc>
          <w:tcPr>
            <w:tcW w:w="1080" w:type="dxa"/>
            <w:vAlign w:val="center"/>
          </w:tcPr>
          <w:p w14:paraId="4DF8EB53">
            <w:pPr>
              <w:spacing w:line="360" w:lineRule="auto"/>
              <w:ind w:right="54"/>
              <w:jc w:val="center"/>
              <w:rPr>
                <w:rFonts w:ascii="宋体" w:hAnsi="宋体"/>
                <w:color w:val="auto"/>
                <w:sz w:val="24"/>
                <w:highlight w:val="none"/>
              </w:rPr>
            </w:pPr>
          </w:p>
        </w:tc>
      </w:tr>
      <w:tr w14:paraId="6B81C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549" w:hRule="exact"/>
          <w:jc w:val="center"/>
        </w:trPr>
        <w:tc>
          <w:tcPr>
            <w:tcW w:w="596" w:type="dxa"/>
            <w:vMerge w:val="continue"/>
            <w:vAlign w:val="center"/>
          </w:tcPr>
          <w:p w14:paraId="33FCC674">
            <w:pPr>
              <w:spacing w:line="360" w:lineRule="auto"/>
              <w:jc w:val="center"/>
              <w:rPr>
                <w:rFonts w:ascii="宋体" w:hAnsi="宋体"/>
                <w:color w:val="auto"/>
                <w:sz w:val="24"/>
                <w:highlight w:val="none"/>
              </w:rPr>
            </w:pPr>
          </w:p>
        </w:tc>
        <w:tc>
          <w:tcPr>
            <w:tcW w:w="596" w:type="dxa"/>
            <w:vAlign w:val="center"/>
          </w:tcPr>
          <w:p w14:paraId="4FF18A31">
            <w:pPr>
              <w:spacing w:line="360" w:lineRule="auto"/>
              <w:jc w:val="center"/>
              <w:rPr>
                <w:rFonts w:ascii="宋体" w:hAnsi="宋体"/>
                <w:color w:val="auto"/>
                <w:sz w:val="24"/>
                <w:highlight w:val="none"/>
              </w:rPr>
            </w:pPr>
          </w:p>
        </w:tc>
        <w:tc>
          <w:tcPr>
            <w:tcW w:w="1260" w:type="dxa"/>
            <w:vAlign w:val="center"/>
          </w:tcPr>
          <w:p w14:paraId="51E97E22">
            <w:pPr>
              <w:spacing w:line="360" w:lineRule="auto"/>
              <w:jc w:val="center"/>
              <w:rPr>
                <w:rFonts w:ascii="宋体" w:hAnsi="宋体"/>
                <w:color w:val="auto"/>
                <w:sz w:val="24"/>
                <w:highlight w:val="none"/>
              </w:rPr>
            </w:pPr>
          </w:p>
        </w:tc>
        <w:tc>
          <w:tcPr>
            <w:tcW w:w="1260" w:type="dxa"/>
            <w:vAlign w:val="center"/>
          </w:tcPr>
          <w:p w14:paraId="1FE270B5">
            <w:pPr>
              <w:spacing w:line="360" w:lineRule="auto"/>
              <w:jc w:val="center"/>
              <w:rPr>
                <w:rFonts w:ascii="宋体" w:hAnsi="宋体"/>
                <w:color w:val="auto"/>
                <w:sz w:val="24"/>
                <w:highlight w:val="none"/>
              </w:rPr>
            </w:pPr>
          </w:p>
        </w:tc>
        <w:tc>
          <w:tcPr>
            <w:tcW w:w="3348" w:type="dxa"/>
            <w:vAlign w:val="center"/>
          </w:tcPr>
          <w:p w14:paraId="044806AC">
            <w:pPr>
              <w:spacing w:line="360" w:lineRule="auto"/>
              <w:ind w:right="54"/>
              <w:jc w:val="center"/>
              <w:rPr>
                <w:rFonts w:ascii="宋体" w:hAnsi="宋体"/>
                <w:color w:val="auto"/>
                <w:sz w:val="24"/>
                <w:highlight w:val="none"/>
              </w:rPr>
            </w:pPr>
          </w:p>
        </w:tc>
        <w:tc>
          <w:tcPr>
            <w:tcW w:w="1080" w:type="dxa"/>
            <w:vAlign w:val="center"/>
          </w:tcPr>
          <w:p w14:paraId="4966058B">
            <w:pPr>
              <w:spacing w:line="360" w:lineRule="auto"/>
              <w:ind w:right="54"/>
              <w:jc w:val="center"/>
              <w:rPr>
                <w:rFonts w:ascii="宋体" w:hAnsi="宋体"/>
                <w:color w:val="auto"/>
                <w:sz w:val="24"/>
                <w:highlight w:val="none"/>
              </w:rPr>
            </w:pPr>
          </w:p>
        </w:tc>
        <w:tc>
          <w:tcPr>
            <w:tcW w:w="1080" w:type="dxa"/>
            <w:vAlign w:val="center"/>
          </w:tcPr>
          <w:p w14:paraId="38490FAA">
            <w:pPr>
              <w:spacing w:line="360" w:lineRule="auto"/>
              <w:ind w:right="54"/>
              <w:jc w:val="center"/>
              <w:rPr>
                <w:rFonts w:ascii="宋体" w:hAnsi="宋体"/>
                <w:color w:val="auto"/>
                <w:sz w:val="24"/>
                <w:highlight w:val="none"/>
              </w:rPr>
            </w:pPr>
          </w:p>
        </w:tc>
      </w:tr>
      <w:tr w14:paraId="001ED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549" w:hRule="exact"/>
          <w:jc w:val="center"/>
        </w:trPr>
        <w:tc>
          <w:tcPr>
            <w:tcW w:w="596" w:type="dxa"/>
            <w:vMerge w:val="continue"/>
            <w:vAlign w:val="center"/>
          </w:tcPr>
          <w:p w14:paraId="4E227A56">
            <w:pPr>
              <w:spacing w:line="360" w:lineRule="auto"/>
              <w:jc w:val="center"/>
              <w:rPr>
                <w:rFonts w:ascii="宋体" w:hAnsi="宋体"/>
                <w:color w:val="auto"/>
                <w:sz w:val="24"/>
                <w:highlight w:val="none"/>
              </w:rPr>
            </w:pPr>
          </w:p>
        </w:tc>
        <w:tc>
          <w:tcPr>
            <w:tcW w:w="596" w:type="dxa"/>
            <w:vAlign w:val="center"/>
          </w:tcPr>
          <w:p w14:paraId="039501B1">
            <w:pPr>
              <w:spacing w:line="360" w:lineRule="auto"/>
              <w:jc w:val="center"/>
              <w:rPr>
                <w:rFonts w:ascii="宋体" w:hAnsi="宋体"/>
                <w:color w:val="auto"/>
                <w:sz w:val="24"/>
                <w:highlight w:val="none"/>
              </w:rPr>
            </w:pPr>
          </w:p>
        </w:tc>
        <w:tc>
          <w:tcPr>
            <w:tcW w:w="1260" w:type="dxa"/>
            <w:vAlign w:val="center"/>
          </w:tcPr>
          <w:p w14:paraId="2EBFC804">
            <w:pPr>
              <w:spacing w:line="360" w:lineRule="auto"/>
              <w:jc w:val="center"/>
              <w:rPr>
                <w:rFonts w:ascii="宋体" w:hAnsi="宋体"/>
                <w:color w:val="auto"/>
                <w:sz w:val="24"/>
                <w:highlight w:val="none"/>
              </w:rPr>
            </w:pPr>
          </w:p>
        </w:tc>
        <w:tc>
          <w:tcPr>
            <w:tcW w:w="1260" w:type="dxa"/>
            <w:vAlign w:val="center"/>
          </w:tcPr>
          <w:p w14:paraId="6C3B6258">
            <w:pPr>
              <w:spacing w:line="360" w:lineRule="auto"/>
              <w:jc w:val="center"/>
              <w:rPr>
                <w:rFonts w:ascii="宋体" w:hAnsi="宋体"/>
                <w:color w:val="auto"/>
                <w:sz w:val="24"/>
                <w:highlight w:val="none"/>
              </w:rPr>
            </w:pPr>
          </w:p>
        </w:tc>
        <w:tc>
          <w:tcPr>
            <w:tcW w:w="3348" w:type="dxa"/>
            <w:vAlign w:val="center"/>
          </w:tcPr>
          <w:p w14:paraId="30588D86">
            <w:pPr>
              <w:spacing w:line="360" w:lineRule="auto"/>
              <w:ind w:right="54"/>
              <w:jc w:val="center"/>
              <w:rPr>
                <w:rFonts w:ascii="宋体" w:hAnsi="宋体"/>
                <w:color w:val="auto"/>
                <w:sz w:val="24"/>
                <w:highlight w:val="none"/>
              </w:rPr>
            </w:pPr>
          </w:p>
        </w:tc>
        <w:tc>
          <w:tcPr>
            <w:tcW w:w="1080" w:type="dxa"/>
            <w:vAlign w:val="center"/>
          </w:tcPr>
          <w:p w14:paraId="5E39C387">
            <w:pPr>
              <w:spacing w:line="360" w:lineRule="auto"/>
              <w:ind w:right="54"/>
              <w:jc w:val="center"/>
              <w:rPr>
                <w:rFonts w:ascii="宋体" w:hAnsi="宋体"/>
                <w:color w:val="auto"/>
                <w:sz w:val="24"/>
                <w:highlight w:val="none"/>
              </w:rPr>
            </w:pPr>
          </w:p>
        </w:tc>
        <w:tc>
          <w:tcPr>
            <w:tcW w:w="1080" w:type="dxa"/>
            <w:vAlign w:val="center"/>
          </w:tcPr>
          <w:p w14:paraId="47172829">
            <w:pPr>
              <w:spacing w:line="360" w:lineRule="auto"/>
              <w:ind w:right="54"/>
              <w:jc w:val="center"/>
              <w:rPr>
                <w:rFonts w:ascii="宋体" w:hAnsi="宋体"/>
                <w:color w:val="auto"/>
                <w:sz w:val="24"/>
                <w:highlight w:val="none"/>
              </w:rPr>
            </w:pPr>
          </w:p>
        </w:tc>
      </w:tr>
      <w:tr w14:paraId="71D50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549" w:hRule="exact"/>
          <w:jc w:val="center"/>
        </w:trPr>
        <w:tc>
          <w:tcPr>
            <w:tcW w:w="596" w:type="dxa"/>
            <w:vMerge w:val="continue"/>
            <w:vAlign w:val="center"/>
          </w:tcPr>
          <w:p w14:paraId="342329F9">
            <w:pPr>
              <w:spacing w:line="360" w:lineRule="auto"/>
              <w:jc w:val="center"/>
              <w:rPr>
                <w:rFonts w:ascii="宋体" w:hAnsi="宋体"/>
                <w:color w:val="auto"/>
                <w:sz w:val="24"/>
                <w:highlight w:val="none"/>
              </w:rPr>
            </w:pPr>
          </w:p>
        </w:tc>
        <w:tc>
          <w:tcPr>
            <w:tcW w:w="596" w:type="dxa"/>
            <w:vAlign w:val="center"/>
          </w:tcPr>
          <w:p w14:paraId="4769B4DF">
            <w:pPr>
              <w:spacing w:line="360" w:lineRule="auto"/>
              <w:jc w:val="center"/>
              <w:rPr>
                <w:rFonts w:ascii="宋体" w:hAnsi="宋体"/>
                <w:color w:val="auto"/>
                <w:sz w:val="24"/>
                <w:highlight w:val="none"/>
              </w:rPr>
            </w:pPr>
          </w:p>
        </w:tc>
        <w:tc>
          <w:tcPr>
            <w:tcW w:w="1260" w:type="dxa"/>
            <w:vAlign w:val="center"/>
          </w:tcPr>
          <w:p w14:paraId="5A4D088D">
            <w:pPr>
              <w:spacing w:line="360" w:lineRule="auto"/>
              <w:jc w:val="center"/>
              <w:rPr>
                <w:rFonts w:ascii="宋体" w:hAnsi="宋体"/>
                <w:color w:val="auto"/>
                <w:sz w:val="24"/>
                <w:highlight w:val="none"/>
              </w:rPr>
            </w:pPr>
          </w:p>
        </w:tc>
        <w:tc>
          <w:tcPr>
            <w:tcW w:w="1260" w:type="dxa"/>
            <w:vAlign w:val="center"/>
          </w:tcPr>
          <w:p w14:paraId="3AFD34BE">
            <w:pPr>
              <w:spacing w:line="360" w:lineRule="auto"/>
              <w:jc w:val="center"/>
              <w:rPr>
                <w:rFonts w:ascii="宋体" w:hAnsi="宋体"/>
                <w:color w:val="auto"/>
                <w:sz w:val="24"/>
                <w:highlight w:val="none"/>
              </w:rPr>
            </w:pPr>
          </w:p>
        </w:tc>
        <w:tc>
          <w:tcPr>
            <w:tcW w:w="3348" w:type="dxa"/>
            <w:vAlign w:val="center"/>
          </w:tcPr>
          <w:p w14:paraId="45BAA736">
            <w:pPr>
              <w:spacing w:line="360" w:lineRule="auto"/>
              <w:ind w:right="54"/>
              <w:jc w:val="center"/>
              <w:rPr>
                <w:rFonts w:ascii="宋体" w:hAnsi="宋体"/>
                <w:color w:val="auto"/>
                <w:sz w:val="24"/>
                <w:highlight w:val="none"/>
              </w:rPr>
            </w:pPr>
          </w:p>
        </w:tc>
        <w:tc>
          <w:tcPr>
            <w:tcW w:w="1080" w:type="dxa"/>
            <w:vAlign w:val="center"/>
          </w:tcPr>
          <w:p w14:paraId="7FD28EEE">
            <w:pPr>
              <w:spacing w:line="360" w:lineRule="auto"/>
              <w:ind w:right="54"/>
              <w:jc w:val="center"/>
              <w:rPr>
                <w:rFonts w:ascii="宋体" w:hAnsi="宋体"/>
                <w:color w:val="auto"/>
                <w:sz w:val="24"/>
                <w:highlight w:val="none"/>
              </w:rPr>
            </w:pPr>
          </w:p>
        </w:tc>
        <w:tc>
          <w:tcPr>
            <w:tcW w:w="1080" w:type="dxa"/>
            <w:vAlign w:val="center"/>
          </w:tcPr>
          <w:p w14:paraId="6AD94432">
            <w:pPr>
              <w:spacing w:line="360" w:lineRule="auto"/>
              <w:ind w:right="54"/>
              <w:jc w:val="center"/>
              <w:rPr>
                <w:rFonts w:ascii="宋体" w:hAnsi="宋体"/>
                <w:color w:val="auto"/>
                <w:sz w:val="24"/>
                <w:highlight w:val="none"/>
              </w:rPr>
            </w:pPr>
          </w:p>
        </w:tc>
      </w:tr>
      <w:tr w14:paraId="48178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549" w:hRule="exact"/>
          <w:jc w:val="center"/>
        </w:trPr>
        <w:tc>
          <w:tcPr>
            <w:tcW w:w="596" w:type="dxa"/>
            <w:vMerge w:val="continue"/>
            <w:vAlign w:val="center"/>
          </w:tcPr>
          <w:p w14:paraId="0C67EDEB">
            <w:pPr>
              <w:spacing w:line="360" w:lineRule="auto"/>
              <w:jc w:val="center"/>
              <w:rPr>
                <w:rFonts w:ascii="宋体" w:hAnsi="宋体"/>
                <w:color w:val="auto"/>
                <w:sz w:val="24"/>
                <w:highlight w:val="none"/>
              </w:rPr>
            </w:pPr>
          </w:p>
        </w:tc>
        <w:tc>
          <w:tcPr>
            <w:tcW w:w="596" w:type="dxa"/>
            <w:vAlign w:val="center"/>
          </w:tcPr>
          <w:p w14:paraId="19F08C3B">
            <w:pPr>
              <w:spacing w:line="360" w:lineRule="auto"/>
              <w:jc w:val="center"/>
              <w:rPr>
                <w:rFonts w:ascii="宋体" w:hAnsi="宋体"/>
                <w:color w:val="auto"/>
                <w:sz w:val="24"/>
                <w:highlight w:val="none"/>
              </w:rPr>
            </w:pPr>
          </w:p>
        </w:tc>
        <w:tc>
          <w:tcPr>
            <w:tcW w:w="1260" w:type="dxa"/>
            <w:vAlign w:val="center"/>
          </w:tcPr>
          <w:p w14:paraId="7E9C8ACB">
            <w:pPr>
              <w:spacing w:line="360" w:lineRule="auto"/>
              <w:jc w:val="center"/>
              <w:rPr>
                <w:rFonts w:ascii="宋体" w:hAnsi="宋体"/>
                <w:color w:val="auto"/>
                <w:sz w:val="24"/>
                <w:highlight w:val="none"/>
              </w:rPr>
            </w:pPr>
          </w:p>
        </w:tc>
        <w:tc>
          <w:tcPr>
            <w:tcW w:w="1260" w:type="dxa"/>
            <w:vAlign w:val="center"/>
          </w:tcPr>
          <w:p w14:paraId="4DEFB6F2">
            <w:pPr>
              <w:spacing w:line="360" w:lineRule="auto"/>
              <w:jc w:val="center"/>
              <w:rPr>
                <w:rFonts w:ascii="宋体" w:hAnsi="宋体"/>
                <w:color w:val="auto"/>
                <w:sz w:val="24"/>
                <w:highlight w:val="none"/>
              </w:rPr>
            </w:pPr>
          </w:p>
        </w:tc>
        <w:tc>
          <w:tcPr>
            <w:tcW w:w="3348" w:type="dxa"/>
            <w:vAlign w:val="center"/>
          </w:tcPr>
          <w:p w14:paraId="5737751A">
            <w:pPr>
              <w:spacing w:line="360" w:lineRule="auto"/>
              <w:ind w:right="54"/>
              <w:jc w:val="center"/>
              <w:rPr>
                <w:rFonts w:ascii="宋体" w:hAnsi="宋体"/>
                <w:color w:val="auto"/>
                <w:sz w:val="24"/>
                <w:highlight w:val="none"/>
              </w:rPr>
            </w:pPr>
          </w:p>
        </w:tc>
        <w:tc>
          <w:tcPr>
            <w:tcW w:w="1080" w:type="dxa"/>
            <w:vAlign w:val="center"/>
          </w:tcPr>
          <w:p w14:paraId="2E14A8A2">
            <w:pPr>
              <w:spacing w:line="360" w:lineRule="auto"/>
              <w:ind w:right="54"/>
              <w:jc w:val="center"/>
              <w:rPr>
                <w:rFonts w:ascii="宋体" w:hAnsi="宋体"/>
                <w:color w:val="auto"/>
                <w:sz w:val="24"/>
                <w:highlight w:val="none"/>
              </w:rPr>
            </w:pPr>
          </w:p>
        </w:tc>
        <w:tc>
          <w:tcPr>
            <w:tcW w:w="1080" w:type="dxa"/>
            <w:vAlign w:val="center"/>
          </w:tcPr>
          <w:p w14:paraId="54594933">
            <w:pPr>
              <w:spacing w:line="360" w:lineRule="auto"/>
              <w:ind w:right="54"/>
              <w:jc w:val="center"/>
              <w:rPr>
                <w:rFonts w:ascii="宋体" w:hAnsi="宋体"/>
                <w:color w:val="auto"/>
                <w:sz w:val="24"/>
                <w:highlight w:val="none"/>
              </w:rPr>
            </w:pPr>
          </w:p>
        </w:tc>
      </w:tr>
      <w:tr w14:paraId="62E0F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6" w:type="dxa"/>
            <w:bottom w:w="0" w:type="dxa"/>
            <w:right w:w="56" w:type="dxa"/>
          </w:tblCellMar>
        </w:tblPrEx>
        <w:trPr>
          <w:cantSplit/>
          <w:trHeight w:val="549" w:hRule="exact"/>
          <w:jc w:val="center"/>
        </w:trPr>
        <w:tc>
          <w:tcPr>
            <w:tcW w:w="596" w:type="dxa"/>
            <w:vMerge w:val="continue"/>
            <w:vAlign w:val="center"/>
          </w:tcPr>
          <w:p w14:paraId="26312057">
            <w:pPr>
              <w:spacing w:line="360" w:lineRule="auto"/>
              <w:jc w:val="center"/>
              <w:rPr>
                <w:rFonts w:ascii="宋体" w:hAnsi="宋体"/>
                <w:color w:val="auto"/>
                <w:sz w:val="24"/>
                <w:highlight w:val="none"/>
              </w:rPr>
            </w:pPr>
          </w:p>
        </w:tc>
        <w:tc>
          <w:tcPr>
            <w:tcW w:w="596" w:type="dxa"/>
            <w:vAlign w:val="center"/>
          </w:tcPr>
          <w:p w14:paraId="34880901">
            <w:pPr>
              <w:spacing w:line="360" w:lineRule="auto"/>
              <w:jc w:val="center"/>
              <w:rPr>
                <w:rFonts w:ascii="宋体" w:hAnsi="宋体"/>
                <w:color w:val="auto"/>
                <w:sz w:val="24"/>
                <w:highlight w:val="none"/>
              </w:rPr>
            </w:pPr>
          </w:p>
        </w:tc>
        <w:tc>
          <w:tcPr>
            <w:tcW w:w="1260" w:type="dxa"/>
            <w:vAlign w:val="center"/>
          </w:tcPr>
          <w:p w14:paraId="4C8CFD0B">
            <w:pPr>
              <w:spacing w:line="360" w:lineRule="auto"/>
              <w:jc w:val="center"/>
              <w:rPr>
                <w:rFonts w:ascii="宋体" w:hAnsi="宋体"/>
                <w:color w:val="auto"/>
                <w:sz w:val="24"/>
                <w:highlight w:val="none"/>
              </w:rPr>
            </w:pPr>
          </w:p>
        </w:tc>
        <w:tc>
          <w:tcPr>
            <w:tcW w:w="1260" w:type="dxa"/>
            <w:vAlign w:val="center"/>
          </w:tcPr>
          <w:p w14:paraId="05FAAAFF">
            <w:pPr>
              <w:spacing w:line="360" w:lineRule="auto"/>
              <w:jc w:val="center"/>
              <w:rPr>
                <w:rFonts w:ascii="宋体" w:hAnsi="宋体"/>
                <w:color w:val="auto"/>
                <w:sz w:val="24"/>
                <w:highlight w:val="none"/>
              </w:rPr>
            </w:pPr>
          </w:p>
        </w:tc>
        <w:tc>
          <w:tcPr>
            <w:tcW w:w="3348" w:type="dxa"/>
            <w:vAlign w:val="center"/>
          </w:tcPr>
          <w:p w14:paraId="6BF2CA49">
            <w:pPr>
              <w:spacing w:line="360" w:lineRule="auto"/>
              <w:ind w:right="54"/>
              <w:jc w:val="center"/>
              <w:rPr>
                <w:rFonts w:ascii="宋体" w:hAnsi="宋体"/>
                <w:color w:val="auto"/>
                <w:sz w:val="24"/>
                <w:highlight w:val="none"/>
              </w:rPr>
            </w:pPr>
          </w:p>
        </w:tc>
        <w:tc>
          <w:tcPr>
            <w:tcW w:w="1080" w:type="dxa"/>
            <w:vAlign w:val="center"/>
          </w:tcPr>
          <w:p w14:paraId="6126248C">
            <w:pPr>
              <w:spacing w:line="360" w:lineRule="auto"/>
              <w:ind w:right="54"/>
              <w:jc w:val="center"/>
              <w:rPr>
                <w:rFonts w:ascii="宋体" w:hAnsi="宋体"/>
                <w:color w:val="auto"/>
                <w:sz w:val="24"/>
                <w:highlight w:val="none"/>
              </w:rPr>
            </w:pPr>
          </w:p>
        </w:tc>
        <w:tc>
          <w:tcPr>
            <w:tcW w:w="1080" w:type="dxa"/>
            <w:vAlign w:val="center"/>
          </w:tcPr>
          <w:p w14:paraId="2D5E4DCB">
            <w:pPr>
              <w:spacing w:line="360" w:lineRule="auto"/>
              <w:ind w:right="54"/>
              <w:jc w:val="center"/>
              <w:rPr>
                <w:rFonts w:ascii="宋体" w:hAnsi="宋体"/>
                <w:color w:val="auto"/>
                <w:sz w:val="24"/>
                <w:highlight w:val="none"/>
              </w:rPr>
            </w:pPr>
          </w:p>
        </w:tc>
      </w:tr>
    </w:tbl>
    <w:p w14:paraId="2A8C5EA9">
      <w:pPr>
        <w:pStyle w:val="23"/>
        <w:tabs>
          <w:tab w:val="left" w:pos="4312"/>
        </w:tabs>
        <w:spacing w:line="360" w:lineRule="auto"/>
        <w:rPr>
          <w:color w:val="auto"/>
          <w:highlight w:val="none"/>
        </w:rPr>
      </w:pPr>
      <w:r>
        <w:rPr>
          <w:color w:val="auto"/>
          <w:highlight w:val="none"/>
        </w:rPr>
        <w:t xml:space="preserve"> </w:t>
      </w:r>
    </w:p>
    <w:p w14:paraId="36A951C6">
      <w:pPr>
        <w:pStyle w:val="23"/>
        <w:tabs>
          <w:tab w:val="left" w:pos="4312"/>
        </w:tabs>
        <w:spacing w:line="360" w:lineRule="auto"/>
        <w:rPr>
          <w:color w:val="auto"/>
          <w:highlight w:val="none"/>
        </w:rPr>
      </w:pPr>
      <w:r>
        <w:rPr>
          <w:rFonts w:hint="eastAsia"/>
          <w:color w:val="auto"/>
          <w:highlight w:val="none"/>
        </w:rPr>
        <w:t>投标单位（公章）：</w:t>
      </w:r>
    </w:p>
    <w:p w14:paraId="0E30BF20">
      <w:pPr>
        <w:pStyle w:val="23"/>
        <w:tabs>
          <w:tab w:val="left" w:pos="4312"/>
        </w:tabs>
        <w:spacing w:line="360" w:lineRule="auto"/>
        <w:rPr>
          <w:color w:val="auto"/>
          <w:highlight w:val="none"/>
        </w:rPr>
      </w:pPr>
      <w:r>
        <w:rPr>
          <w:rFonts w:hint="eastAsia"/>
          <w:color w:val="auto"/>
          <w:highlight w:val="none"/>
        </w:rPr>
        <w:t>授权</w:t>
      </w:r>
      <w:r>
        <w:rPr>
          <w:color w:val="auto"/>
          <w:highlight w:val="none"/>
        </w:rPr>
        <w:t>代表签字：</w:t>
      </w:r>
    </w:p>
    <w:p w14:paraId="4AED7211">
      <w:pPr>
        <w:pStyle w:val="23"/>
        <w:tabs>
          <w:tab w:val="left" w:pos="4312"/>
        </w:tabs>
        <w:spacing w:line="360" w:lineRule="auto"/>
        <w:rPr>
          <w:color w:val="auto"/>
          <w:highlight w:val="none"/>
        </w:rPr>
      </w:pPr>
      <w:r>
        <w:rPr>
          <w:rFonts w:hint="eastAsia"/>
          <w:color w:val="auto"/>
          <w:highlight w:val="none"/>
        </w:rPr>
        <w:t>日期：</w:t>
      </w:r>
    </w:p>
    <w:p w14:paraId="542C0F4B">
      <w:pPr>
        <w:spacing w:line="360" w:lineRule="auto"/>
        <w:rPr>
          <w:color w:val="auto"/>
          <w:sz w:val="24"/>
          <w:highlight w:val="none"/>
        </w:rPr>
      </w:pPr>
    </w:p>
    <w:p w14:paraId="3996369C">
      <w:pPr>
        <w:spacing w:line="360" w:lineRule="auto"/>
        <w:rPr>
          <w:color w:val="auto"/>
          <w:sz w:val="24"/>
          <w:highlight w:val="none"/>
        </w:rPr>
      </w:pPr>
    </w:p>
    <w:p w14:paraId="7E89C735">
      <w:pPr>
        <w:spacing w:line="360" w:lineRule="auto"/>
        <w:rPr>
          <w:color w:val="auto"/>
          <w:sz w:val="24"/>
          <w:highlight w:val="none"/>
        </w:rPr>
      </w:pPr>
      <w:r>
        <w:rPr>
          <w:rFonts w:hint="eastAsia"/>
          <w:color w:val="auto"/>
          <w:sz w:val="24"/>
          <w:highlight w:val="none"/>
        </w:rPr>
        <w:t>注：此表在不改变投标内容的情况下可自行制作</w:t>
      </w:r>
    </w:p>
    <w:p w14:paraId="317F07BC">
      <w:pPr>
        <w:rPr>
          <w:color w:val="auto"/>
          <w:sz w:val="24"/>
          <w:highlight w:val="none"/>
        </w:rPr>
      </w:pPr>
    </w:p>
    <w:p w14:paraId="7F729A2A">
      <w:pPr>
        <w:rPr>
          <w:color w:val="auto"/>
          <w:sz w:val="24"/>
          <w:highlight w:val="none"/>
        </w:rPr>
      </w:pPr>
    </w:p>
    <w:p w14:paraId="784C0AD0">
      <w:pPr>
        <w:rPr>
          <w:color w:val="auto"/>
          <w:highlight w:val="none"/>
        </w:rPr>
      </w:pPr>
    </w:p>
    <w:p w14:paraId="10EA1B98">
      <w:pPr>
        <w:rPr>
          <w:color w:val="auto"/>
          <w:highlight w:val="none"/>
        </w:rPr>
      </w:pPr>
    </w:p>
    <w:p w14:paraId="20E4FD32">
      <w:pPr>
        <w:rPr>
          <w:color w:val="auto"/>
          <w:highlight w:val="none"/>
        </w:rPr>
      </w:pPr>
    </w:p>
    <w:p w14:paraId="7CF41B26">
      <w:pPr>
        <w:rPr>
          <w:color w:val="auto"/>
          <w:highlight w:val="none"/>
        </w:rPr>
      </w:pPr>
    </w:p>
    <w:p w14:paraId="22187421">
      <w:pPr>
        <w:rPr>
          <w:color w:val="auto"/>
          <w:highlight w:val="none"/>
        </w:rPr>
      </w:pPr>
    </w:p>
    <w:p w14:paraId="7735885D">
      <w:pPr>
        <w:rPr>
          <w:color w:val="auto"/>
          <w:highlight w:val="none"/>
        </w:rPr>
      </w:pPr>
    </w:p>
    <w:p w14:paraId="793B20CA">
      <w:pPr>
        <w:rPr>
          <w:color w:val="auto"/>
          <w:highlight w:val="none"/>
        </w:rPr>
      </w:pPr>
    </w:p>
    <w:p w14:paraId="00657755">
      <w:pPr>
        <w:rPr>
          <w:color w:val="auto"/>
          <w:highlight w:val="none"/>
        </w:rPr>
      </w:pPr>
    </w:p>
    <w:p w14:paraId="3FCA0A3E">
      <w:pPr>
        <w:rPr>
          <w:color w:val="auto"/>
          <w:highlight w:val="none"/>
        </w:rPr>
      </w:pPr>
    </w:p>
    <w:p w14:paraId="35E3DD07">
      <w:pPr>
        <w:rPr>
          <w:color w:val="auto"/>
          <w:highlight w:val="none"/>
        </w:rPr>
      </w:pPr>
    </w:p>
    <w:p w14:paraId="32EDD010">
      <w:pPr>
        <w:rPr>
          <w:color w:val="auto"/>
          <w:highlight w:val="none"/>
        </w:rPr>
      </w:pPr>
    </w:p>
    <w:p w14:paraId="081F8DE1">
      <w:pPr>
        <w:rPr>
          <w:color w:val="auto"/>
          <w:highlight w:val="none"/>
        </w:rPr>
      </w:pPr>
    </w:p>
    <w:p w14:paraId="7B1600F5">
      <w:pPr>
        <w:rPr>
          <w:color w:val="auto"/>
          <w:highlight w:val="none"/>
        </w:rPr>
      </w:pPr>
    </w:p>
    <w:p w14:paraId="3D5A8099">
      <w:pPr>
        <w:pageBreakBefore/>
        <w:spacing w:line="360" w:lineRule="auto"/>
        <w:ind w:right="1123"/>
        <w:jc w:val="left"/>
        <w:outlineLvl w:val="1"/>
        <w:rPr>
          <w:rFonts w:ascii="宋体" w:hAnsi="宋体"/>
          <w:color w:val="auto"/>
          <w:sz w:val="24"/>
          <w:szCs w:val="28"/>
          <w:highlight w:val="none"/>
        </w:rPr>
      </w:pPr>
      <w:bookmarkStart w:id="99" w:name="_Toc22614"/>
      <w:bookmarkStart w:id="100" w:name="_Toc10018851"/>
      <w:bookmarkStart w:id="101" w:name="_Toc11354"/>
      <w:bookmarkStart w:id="102" w:name="_Toc10844"/>
      <w:bookmarkStart w:id="103" w:name="_Toc9133"/>
      <w:bookmarkStart w:id="104" w:name="_Toc22398"/>
      <w:r>
        <w:rPr>
          <w:rFonts w:hint="eastAsia" w:ascii="宋体" w:hAnsi="宋体"/>
          <w:color w:val="auto"/>
          <w:sz w:val="24"/>
          <w:szCs w:val="28"/>
          <w:highlight w:val="none"/>
        </w:rPr>
        <w:t>附件十</w:t>
      </w:r>
      <w:r>
        <w:rPr>
          <w:rFonts w:hint="eastAsia" w:ascii="宋体" w:hAnsi="宋体" w:eastAsia="宋体"/>
          <w:color w:val="auto"/>
          <w:sz w:val="24"/>
          <w:szCs w:val="24"/>
          <w:highlight w:val="none"/>
          <w:lang w:val="en-US" w:eastAsia="zh-CN"/>
        </w:rPr>
        <w:t>一</w:t>
      </w:r>
      <w:r>
        <w:rPr>
          <w:rFonts w:hint="eastAsia" w:ascii="宋体" w:hAnsi="宋体"/>
          <w:color w:val="auto"/>
          <w:sz w:val="24"/>
          <w:szCs w:val="28"/>
          <w:highlight w:val="none"/>
        </w:rPr>
        <w:t>：</w:t>
      </w:r>
      <w:bookmarkEnd w:id="99"/>
      <w:bookmarkEnd w:id="100"/>
      <w:bookmarkEnd w:id="101"/>
      <w:r>
        <w:rPr>
          <w:rFonts w:hint="eastAsia" w:ascii="宋体" w:hAnsi="宋体"/>
          <w:color w:val="auto"/>
          <w:sz w:val="24"/>
          <w:szCs w:val="28"/>
          <w:highlight w:val="none"/>
        </w:rPr>
        <w:t>随机标准附件、备品备件、零配件、专用工具清单</w:t>
      </w:r>
      <w:bookmarkEnd w:id="102"/>
      <w:bookmarkEnd w:id="103"/>
      <w:bookmarkEnd w:id="104"/>
    </w:p>
    <w:p w14:paraId="2C654ACE">
      <w:pPr>
        <w:spacing w:line="360" w:lineRule="auto"/>
        <w:ind w:right="1120"/>
        <w:jc w:val="left"/>
        <w:rPr>
          <w:rFonts w:ascii="宋体" w:hAnsi="宋体"/>
          <w:color w:val="auto"/>
          <w:sz w:val="24"/>
          <w:szCs w:val="28"/>
          <w:highlight w:val="none"/>
        </w:rPr>
      </w:pPr>
    </w:p>
    <w:p w14:paraId="1EF19CEA">
      <w:pPr>
        <w:snapToGrid w:val="0"/>
        <w:spacing w:line="300" w:lineRule="auto"/>
        <w:jc w:val="center"/>
        <w:rPr>
          <w:rFonts w:ascii="宋体" w:hAnsi="宋体"/>
          <w:b/>
          <w:bCs/>
          <w:color w:val="auto"/>
          <w:kern w:val="0"/>
          <w:sz w:val="28"/>
          <w:szCs w:val="20"/>
          <w:highlight w:val="none"/>
        </w:rPr>
      </w:pPr>
      <w:r>
        <w:rPr>
          <w:rFonts w:ascii="宋体" w:hAnsi="宋体"/>
          <w:b/>
          <w:bCs/>
          <w:color w:val="auto"/>
          <w:kern w:val="0"/>
          <w:sz w:val="28"/>
          <w:szCs w:val="20"/>
          <w:highlight w:val="none"/>
        </w:rPr>
        <w:t>随机标准附件、备品备件、零配件、专用工具清单</w:t>
      </w:r>
    </w:p>
    <w:p w14:paraId="7E481A77">
      <w:pPr>
        <w:adjustRightInd w:val="0"/>
        <w:snapToGrid w:val="0"/>
        <w:spacing w:line="300" w:lineRule="auto"/>
        <w:rPr>
          <w:rFonts w:ascii="宋体" w:hAnsi="宋体"/>
          <w:bCs/>
          <w:color w:val="auto"/>
          <w:kern w:val="0"/>
          <w:sz w:val="24"/>
          <w:szCs w:val="20"/>
          <w:highlight w:val="none"/>
        </w:rPr>
      </w:pPr>
      <w:r>
        <w:rPr>
          <w:rFonts w:ascii="宋体" w:hAnsi="宋体"/>
          <w:bCs/>
          <w:color w:val="auto"/>
          <w:kern w:val="0"/>
          <w:sz w:val="24"/>
          <w:szCs w:val="20"/>
          <w:highlight w:val="none"/>
        </w:rPr>
        <w:t>项目名称：</w:t>
      </w:r>
      <w:r>
        <w:rPr>
          <w:rFonts w:hint="eastAsia" w:ascii="宋体" w:hAnsi="宋体"/>
          <w:bCs/>
          <w:color w:val="auto"/>
          <w:kern w:val="0"/>
          <w:sz w:val="24"/>
          <w:szCs w:val="20"/>
          <w:highlight w:val="none"/>
        </w:rPr>
        <w:t xml:space="preserve">                                               </w:t>
      </w:r>
    </w:p>
    <w:p w14:paraId="77CAE579">
      <w:pPr>
        <w:adjustRightInd w:val="0"/>
        <w:snapToGrid w:val="0"/>
        <w:spacing w:line="300" w:lineRule="auto"/>
        <w:rPr>
          <w:rFonts w:ascii="宋体" w:hAnsi="宋体"/>
          <w:bCs/>
          <w:color w:val="auto"/>
          <w:kern w:val="0"/>
          <w:sz w:val="24"/>
          <w:szCs w:val="20"/>
          <w:highlight w:val="none"/>
        </w:rPr>
      </w:pPr>
      <w:r>
        <w:rPr>
          <w:rFonts w:ascii="宋体" w:hAnsi="宋体"/>
          <w:bCs/>
          <w:color w:val="auto"/>
          <w:kern w:val="0"/>
          <w:sz w:val="24"/>
          <w:szCs w:val="20"/>
          <w:highlight w:val="none"/>
        </w:rPr>
        <w:t>招标项目编号：</w:t>
      </w:r>
      <w:r>
        <w:rPr>
          <w:rFonts w:hint="eastAsia" w:ascii="宋体" w:hAnsi="宋体"/>
          <w:bCs/>
          <w:color w:val="auto"/>
          <w:kern w:val="0"/>
          <w:sz w:val="24"/>
          <w:szCs w:val="20"/>
          <w:highlight w:val="none"/>
        </w:rPr>
        <w:t xml:space="preserve">                                           </w:t>
      </w:r>
      <w:r>
        <w:rPr>
          <w:rFonts w:ascii="宋体" w:hAnsi="宋体"/>
          <w:bCs/>
          <w:color w:val="auto"/>
          <w:kern w:val="0"/>
          <w:sz w:val="24"/>
          <w:szCs w:val="20"/>
          <w:highlight w:val="none"/>
        </w:rPr>
        <w:t>单位：元</w:t>
      </w:r>
    </w:p>
    <w:tbl>
      <w:tblPr>
        <w:tblStyle w:val="39"/>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8"/>
        <w:gridCol w:w="1350"/>
        <w:gridCol w:w="1316"/>
        <w:gridCol w:w="720"/>
        <w:gridCol w:w="720"/>
        <w:gridCol w:w="1380"/>
        <w:gridCol w:w="780"/>
        <w:gridCol w:w="720"/>
        <w:gridCol w:w="1656"/>
        <w:gridCol w:w="720"/>
      </w:tblGrid>
      <w:tr w14:paraId="7072850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jc w:val="center"/>
        </w:trPr>
        <w:tc>
          <w:tcPr>
            <w:tcW w:w="738" w:type="dxa"/>
            <w:vAlign w:val="center"/>
          </w:tcPr>
          <w:p w14:paraId="28D6FD22">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序号</w:t>
            </w:r>
          </w:p>
        </w:tc>
        <w:tc>
          <w:tcPr>
            <w:tcW w:w="1350" w:type="dxa"/>
            <w:vAlign w:val="center"/>
          </w:tcPr>
          <w:p w14:paraId="166871FD">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材料及部件名称</w:t>
            </w:r>
          </w:p>
        </w:tc>
        <w:tc>
          <w:tcPr>
            <w:tcW w:w="1316" w:type="dxa"/>
            <w:vAlign w:val="center"/>
          </w:tcPr>
          <w:p w14:paraId="0F5AB692">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型号</w:t>
            </w:r>
          </w:p>
          <w:p w14:paraId="7FB61118">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规格</w:t>
            </w:r>
          </w:p>
        </w:tc>
        <w:tc>
          <w:tcPr>
            <w:tcW w:w="720" w:type="dxa"/>
            <w:vAlign w:val="center"/>
          </w:tcPr>
          <w:p w14:paraId="04540C1A">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数量</w:t>
            </w:r>
          </w:p>
        </w:tc>
        <w:tc>
          <w:tcPr>
            <w:tcW w:w="720" w:type="dxa"/>
            <w:vAlign w:val="center"/>
          </w:tcPr>
          <w:p w14:paraId="6AFC17CB">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单位</w:t>
            </w:r>
          </w:p>
        </w:tc>
        <w:tc>
          <w:tcPr>
            <w:tcW w:w="1380" w:type="dxa"/>
            <w:vAlign w:val="center"/>
          </w:tcPr>
          <w:p w14:paraId="57DBA8E9">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制造商/产地/品牌</w:t>
            </w:r>
          </w:p>
        </w:tc>
        <w:tc>
          <w:tcPr>
            <w:tcW w:w="780" w:type="dxa"/>
            <w:vAlign w:val="center"/>
          </w:tcPr>
          <w:p w14:paraId="3219A686">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单价</w:t>
            </w:r>
          </w:p>
        </w:tc>
        <w:tc>
          <w:tcPr>
            <w:tcW w:w="720" w:type="dxa"/>
            <w:vAlign w:val="center"/>
          </w:tcPr>
          <w:p w14:paraId="54DC509C">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总价</w:t>
            </w:r>
          </w:p>
        </w:tc>
        <w:tc>
          <w:tcPr>
            <w:tcW w:w="1656" w:type="dxa"/>
            <w:vAlign w:val="center"/>
          </w:tcPr>
          <w:p w14:paraId="353C330D">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对应设备名称</w:t>
            </w:r>
          </w:p>
        </w:tc>
        <w:tc>
          <w:tcPr>
            <w:tcW w:w="720" w:type="dxa"/>
            <w:vAlign w:val="center"/>
          </w:tcPr>
          <w:p w14:paraId="4499075B">
            <w:pPr>
              <w:snapToGrid w:val="0"/>
              <w:spacing w:line="300" w:lineRule="auto"/>
              <w:jc w:val="center"/>
              <w:rPr>
                <w:rFonts w:ascii="宋体" w:hAnsi="宋体"/>
                <w:bCs/>
                <w:color w:val="auto"/>
                <w:kern w:val="0"/>
                <w:sz w:val="24"/>
                <w:szCs w:val="20"/>
                <w:highlight w:val="none"/>
              </w:rPr>
            </w:pPr>
            <w:r>
              <w:rPr>
                <w:rFonts w:ascii="宋体" w:hAnsi="宋体"/>
                <w:bCs/>
                <w:color w:val="auto"/>
                <w:kern w:val="0"/>
                <w:sz w:val="24"/>
                <w:szCs w:val="20"/>
                <w:highlight w:val="none"/>
              </w:rPr>
              <w:t>用途</w:t>
            </w:r>
          </w:p>
        </w:tc>
      </w:tr>
      <w:tr w14:paraId="52643D7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jc w:val="center"/>
        </w:trPr>
        <w:tc>
          <w:tcPr>
            <w:tcW w:w="738" w:type="dxa"/>
            <w:vAlign w:val="center"/>
          </w:tcPr>
          <w:p w14:paraId="14580E56">
            <w:pPr>
              <w:snapToGrid w:val="0"/>
              <w:spacing w:line="300" w:lineRule="auto"/>
              <w:jc w:val="center"/>
              <w:rPr>
                <w:rFonts w:ascii="宋体" w:hAnsi="宋体"/>
                <w:bCs/>
                <w:color w:val="auto"/>
                <w:kern w:val="0"/>
                <w:sz w:val="24"/>
                <w:szCs w:val="20"/>
                <w:highlight w:val="none"/>
              </w:rPr>
            </w:pPr>
          </w:p>
        </w:tc>
        <w:tc>
          <w:tcPr>
            <w:tcW w:w="1350" w:type="dxa"/>
            <w:vAlign w:val="center"/>
          </w:tcPr>
          <w:p w14:paraId="388EB5FD">
            <w:pPr>
              <w:snapToGrid w:val="0"/>
              <w:spacing w:line="300" w:lineRule="auto"/>
              <w:rPr>
                <w:rFonts w:ascii="宋体" w:hAnsi="宋体"/>
                <w:bCs/>
                <w:color w:val="auto"/>
                <w:kern w:val="0"/>
                <w:sz w:val="24"/>
                <w:szCs w:val="20"/>
                <w:highlight w:val="none"/>
              </w:rPr>
            </w:pPr>
          </w:p>
        </w:tc>
        <w:tc>
          <w:tcPr>
            <w:tcW w:w="1316" w:type="dxa"/>
            <w:vAlign w:val="center"/>
          </w:tcPr>
          <w:p w14:paraId="54F82A98">
            <w:pPr>
              <w:snapToGrid w:val="0"/>
              <w:spacing w:line="300" w:lineRule="auto"/>
              <w:jc w:val="center"/>
              <w:rPr>
                <w:rFonts w:ascii="宋体" w:hAnsi="宋体"/>
                <w:bCs/>
                <w:color w:val="auto"/>
                <w:kern w:val="0"/>
                <w:sz w:val="24"/>
                <w:szCs w:val="20"/>
                <w:highlight w:val="none"/>
              </w:rPr>
            </w:pPr>
          </w:p>
        </w:tc>
        <w:tc>
          <w:tcPr>
            <w:tcW w:w="720" w:type="dxa"/>
            <w:vAlign w:val="center"/>
          </w:tcPr>
          <w:p w14:paraId="6EAE3FDC">
            <w:pPr>
              <w:snapToGrid w:val="0"/>
              <w:spacing w:line="300" w:lineRule="auto"/>
              <w:jc w:val="center"/>
              <w:rPr>
                <w:rFonts w:ascii="宋体" w:hAnsi="宋体"/>
                <w:bCs/>
                <w:color w:val="auto"/>
                <w:kern w:val="0"/>
                <w:sz w:val="24"/>
                <w:szCs w:val="20"/>
                <w:highlight w:val="none"/>
              </w:rPr>
            </w:pPr>
          </w:p>
        </w:tc>
        <w:tc>
          <w:tcPr>
            <w:tcW w:w="720" w:type="dxa"/>
            <w:vAlign w:val="center"/>
          </w:tcPr>
          <w:p w14:paraId="468EAD01">
            <w:pPr>
              <w:snapToGrid w:val="0"/>
              <w:spacing w:line="300" w:lineRule="auto"/>
              <w:jc w:val="center"/>
              <w:rPr>
                <w:rFonts w:ascii="宋体" w:hAnsi="宋体"/>
                <w:bCs/>
                <w:color w:val="auto"/>
                <w:kern w:val="0"/>
                <w:sz w:val="24"/>
                <w:szCs w:val="20"/>
                <w:highlight w:val="none"/>
              </w:rPr>
            </w:pPr>
          </w:p>
        </w:tc>
        <w:tc>
          <w:tcPr>
            <w:tcW w:w="1380" w:type="dxa"/>
            <w:vAlign w:val="center"/>
          </w:tcPr>
          <w:p w14:paraId="4A74D59C">
            <w:pPr>
              <w:snapToGrid w:val="0"/>
              <w:spacing w:line="300" w:lineRule="auto"/>
              <w:jc w:val="center"/>
              <w:rPr>
                <w:rFonts w:ascii="宋体" w:hAnsi="宋体"/>
                <w:bCs/>
                <w:color w:val="auto"/>
                <w:kern w:val="0"/>
                <w:sz w:val="24"/>
                <w:szCs w:val="20"/>
                <w:highlight w:val="none"/>
              </w:rPr>
            </w:pPr>
          </w:p>
        </w:tc>
        <w:tc>
          <w:tcPr>
            <w:tcW w:w="780" w:type="dxa"/>
            <w:vAlign w:val="center"/>
          </w:tcPr>
          <w:p w14:paraId="5997467C">
            <w:pPr>
              <w:snapToGrid w:val="0"/>
              <w:spacing w:line="300" w:lineRule="auto"/>
              <w:jc w:val="center"/>
              <w:rPr>
                <w:rFonts w:ascii="宋体" w:hAnsi="宋体"/>
                <w:bCs/>
                <w:color w:val="auto"/>
                <w:kern w:val="0"/>
                <w:sz w:val="24"/>
                <w:szCs w:val="20"/>
                <w:highlight w:val="none"/>
              </w:rPr>
            </w:pPr>
          </w:p>
        </w:tc>
        <w:tc>
          <w:tcPr>
            <w:tcW w:w="720" w:type="dxa"/>
            <w:vAlign w:val="center"/>
          </w:tcPr>
          <w:p w14:paraId="2A52E88E">
            <w:pPr>
              <w:snapToGrid w:val="0"/>
              <w:spacing w:line="300" w:lineRule="auto"/>
              <w:jc w:val="center"/>
              <w:rPr>
                <w:rFonts w:ascii="宋体" w:hAnsi="宋体"/>
                <w:bCs/>
                <w:color w:val="auto"/>
                <w:kern w:val="0"/>
                <w:sz w:val="24"/>
                <w:szCs w:val="20"/>
                <w:highlight w:val="none"/>
              </w:rPr>
            </w:pPr>
          </w:p>
        </w:tc>
        <w:tc>
          <w:tcPr>
            <w:tcW w:w="1656" w:type="dxa"/>
            <w:vAlign w:val="center"/>
          </w:tcPr>
          <w:p w14:paraId="22121EDF">
            <w:pPr>
              <w:snapToGrid w:val="0"/>
              <w:spacing w:line="300" w:lineRule="auto"/>
              <w:jc w:val="center"/>
              <w:rPr>
                <w:rFonts w:ascii="宋体" w:hAnsi="宋体"/>
                <w:bCs/>
                <w:color w:val="auto"/>
                <w:kern w:val="0"/>
                <w:sz w:val="24"/>
                <w:szCs w:val="20"/>
                <w:highlight w:val="none"/>
              </w:rPr>
            </w:pPr>
          </w:p>
        </w:tc>
        <w:tc>
          <w:tcPr>
            <w:tcW w:w="720" w:type="dxa"/>
            <w:vAlign w:val="center"/>
          </w:tcPr>
          <w:p w14:paraId="4886BF57">
            <w:pPr>
              <w:snapToGrid w:val="0"/>
              <w:spacing w:line="300" w:lineRule="auto"/>
              <w:jc w:val="center"/>
              <w:rPr>
                <w:rFonts w:ascii="宋体" w:hAnsi="宋体"/>
                <w:bCs/>
                <w:color w:val="auto"/>
                <w:kern w:val="0"/>
                <w:sz w:val="24"/>
                <w:szCs w:val="20"/>
                <w:highlight w:val="none"/>
              </w:rPr>
            </w:pPr>
          </w:p>
        </w:tc>
      </w:tr>
      <w:tr w14:paraId="0AA5D28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jc w:val="center"/>
        </w:trPr>
        <w:tc>
          <w:tcPr>
            <w:tcW w:w="738" w:type="dxa"/>
            <w:vAlign w:val="center"/>
          </w:tcPr>
          <w:p w14:paraId="19A7AAB3">
            <w:pPr>
              <w:snapToGrid w:val="0"/>
              <w:spacing w:line="300" w:lineRule="auto"/>
              <w:jc w:val="center"/>
              <w:rPr>
                <w:rFonts w:ascii="宋体" w:hAnsi="宋体"/>
                <w:bCs/>
                <w:color w:val="auto"/>
                <w:kern w:val="0"/>
                <w:sz w:val="24"/>
                <w:szCs w:val="20"/>
                <w:highlight w:val="none"/>
              </w:rPr>
            </w:pPr>
          </w:p>
        </w:tc>
        <w:tc>
          <w:tcPr>
            <w:tcW w:w="1350" w:type="dxa"/>
            <w:vAlign w:val="center"/>
          </w:tcPr>
          <w:p w14:paraId="406DBD7D">
            <w:pPr>
              <w:snapToGrid w:val="0"/>
              <w:spacing w:line="300" w:lineRule="auto"/>
              <w:rPr>
                <w:rFonts w:ascii="宋体" w:hAnsi="宋体"/>
                <w:bCs/>
                <w:color w:val="auto"/>
                <w:kern w:val="0"/>
                <w:sz w:val="24"/>
                <w:szCs w:val="20"/>
                <w:highlight w:val="none"/>
              </w:rPr>
            </w:pPr>
          </w:p>
        </w:tc>
        <w:tc>
          <w:tcPr>
            <w:tcW w:w="1316" w:type="dxa"/>
            <w:vAlign w:val="center"/>
          </w:tcPr>
          <w:p w14:paraId="21D48F67">
            <w:pPr>
              <w:snapToGrid w:val="0"/>
              <w:spacing w:line="300" w:lineRule="auto"/>
              <w:jc w:val="center"/>
              <w:rPr>
                <w:rFonts w:ascii="宋体" w:hAnsi="宋体"/>
                <w:bCs/>
                <w:color w:val="auto"/>
                <w:kern w:val="0"/>
                <w:sz w:val="24"/>
                <w:szCs w:val="20"/>
                <w:highlight w:val="none"/>
              </w:rPr>
            </w:pPr>
          </w:p>
        </w:tc>
        <w:tc>
          <w:tcPr>
            <w:tcW w:w="720" w:type="dxa"/>
            <w:vAlign w:val="center"/>
          </w:tcPr>
          <w:p w14:paraId="68E8D1D9">
            <w:pPr>
              <w:snapToGrid w:val="0"/>
              <w:spacing w:line="300" w:lineRule="auto"/>
              <w:jc w:val="center"/>
              <w:rPr>
                <w:rFonts w:ascii="宋体" w:hAnsi="宋体"/>
                <w:bCs/>
                <w:color w:val="auto"/>
                <w:kern w:val="0"/>
                <w:sz w:val="24"/>
                <w:szCs w:val="20"/>
                <w:highlight w:val="none"/>
              </w:rPr>
            </w:pPr>
          </w:p>
        </w:tc>
        <w:tc>
          <w:tcPr>
            <w:tcW w:w="720" w:type="dxa"/>
            <w:vAlign w:val="center"/>
          </w:tcPr>
          <w:p w14:paraId="18B31EBF">
            <w:pPr>
              <w:snapToGrid w:val="0"/>
              <w:spacing w:line="300" w:lineRule="auto"/>
              <w:jc w:val="center"/>
              <w:rPr>
                <w:rFonts w:ascii="宋体" w:hAnsi="宋体"/>
                <w:bCs/>
                <w:color w:val="auto"/>
                <w:kern w:val="0"/>
                <w:sz w:val="24"/>
                <w:szCs w:val="20"/>
                <w:highlight w:val="none"/>
              </w:rPr>
            </w:pPr>
          </w:p>
        </w:tc>
        <w:tc>
          <w:tcPr>
            <w:tcW w:w="1380" w:type="dxa"/>
            <w:vAlign w:val="center"/>
          </w:tcPr>
          <w:p w14:paraId="1B51C174">
            <w:pPr>
              <w:snapToGrid w:val="0"/>
              <w:spacing w:line="300" w:lineRule="auto"/>
              <w:jc w:val="center"/>
              <w:rPr>
                <w:rFonts w:ascii="宋体" w:hAnsi="宋体"/>
                <w:bCs/>
                <w:color w:val="auto"/>
                <w:kern w:val="0"/>
                <w:sz w:val="24"/>
                <w:szCs w:val="20"/>
                <w:highlight w:val="none"/>
              </w:rPr>
            </w:pPr>
          </w:p>
        </w:tc>
        <w:tc>
          <w:tcPr>
            <w:tcW w:w="780" w:type="dxa"/>
            <w:vAlign w:val="center"/>
          </w:tcPr>
          <w:p w14:paraId="4674F253">
            <w:pPr>
              <w:snapToGrid w:val="0"/>
              <w:spacing w:line="300" w:lineRule="auto"/>
              <w:jc w:val="center"/>
              <w:rPr>
                <w:rFonts w:ascii="宋体" w:hAnsi="宋体"/>
                <w:bCs/>
                <w:color w:val="auto"/>
                <w:kern w:val="0"/>
                <w:sz w:val="24"/>
                <w:szCs w:val="20"/>
                <w:highlight w:val="none"/>
              </w:rPr>
            </w:pPr>
          </w:p>
        </w:tc>
        <w:tc>
          <w:tcPr>
            <w:tcW w:w="720" w:type="dxa"/>
            <w:vAlign w:val="center"/>
          </w:tcPr>
          <w:p w14:paraId="5B8D7657">
            <w:pPr>
              <w:snapToGrid w:val="0"/>
              <w:spacing w:line="300" w:lineRule="auto"/>
              <w:jc w:val="center"/>
              <w:rPr>
                <w:rFonts w:ascii="宋体" w:hAnsi="宋体"/>
                <w:bCs/>
                <w:color w:val="auto"/>
                <w:kern w:val="0"/>
                <w:sz w:val="24"/>
                <w:szCs w:val="20"/>
                <w:highlight w:val="none"/>
              </w:rPr>
            </w:pPr>
          </w:p>
        </w:tc>
        <w:tc>
          <w:tcPr>
            <w:tcW w:w="1656" w:type="dxa"/>
            <w:vAlign w:val="center"/>
          </w:tcPr>
          <w:p w14:paraId="6AA86257">
            <w:pPr>
              <w:snapToGrid w:val="0"/>
              <w:spacing w:line="300" w:lineRule="auto"/>
              <w:jc w:val="center"/>
              <w:rPr>
                <w:rFonts w:ascii="宋体" w:hAnsi="宋体"/>
                <w:bCs/>
                <w:color w:val="auto"/>
                <w:kern w:val="0"/>
                <w:sz w:val="24"/>
                <w:szCs w:val="20"/>
                <w:highlight w:val="none"/>
              </w:rPr>
            </w:pPr>
          </w:p>
        </w:tc>
        <w:tc>
          <w:tcPr>
            <w:tcW w:w="720" w:type="dxa"/>
            <w:vAlign w:val="center"/>
          </w:tcPr>
          <w:p w14:paraId="3D618519">
            <w:pPr>
              <w:snapToGrid w:val="0"/>
              <w:spacing w:line="300" w:lineRule="auto"/>
              <w:jc w:val="center"/>
              <w:rPr>
                <w:rFonts w:ascii="宋体" w:hAnsi="宋体"/>
                <w:bCs/>
                <w:color w:val="auto"/>
                <w:kern w:val="0"/>
                <w:sz w:val="24"/>
                <w:szCs w:val="20"/>
                <w:highlight w:val="none"/>
              </w:rPr>
            </w:pPr>
          </w:p>
        </w:tc>
      </w:tr>
      <w:tr w14:paraId="454E56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jc w:val="center"/>
        </w:trPr>
        <w:tc>
          <w:tcPr>
            <w:tcW w:w="738" w:type="dxa"/>
            <w:vAlign w:val="center"/>
          </w:tcPr>
          <w:p w14:paraId="178825CE">
            <w:pPr>
              <w:snapToGrid w:val="0"/>
              <w:spacing w:line="300" w:lineRule="auto"/>
              <w:jc w:val="center"/>
              <w:rPr>
                <w:rFonts w:ascii="宋体" w:hAnsi="宋体"/>
                <w:bCs/>
                <w:color w:val="auto"/>
                <w:kern w:val="0"/>
                <w:sz w:val="24"/>
                <w:szCs w:val="20"/>
                <w:highlight w:val="none"/>
              </w:rPr>
            </w:pPr>
          </w:p>
        </w:tc>
        <w:tc>
          <w:tcPr>
            <w:tcW w:w="1350" w:type="dxa"/>
            <w:vAlign w:val="center"/>
          </w:tcPr>
          <w:p w14:paraId="546E7025">
            <w:pPr>
              <w:snapToGrid w:val="0"/>
              <w:spacing w:line="300" w:lineRule="auto"/>
              <w:rPr>
                <w:rFonts w:ascii="宋体" w:hAnsi="宋体"/>
                <w:bCs/>
                <w:color w:val="auto"/>
                <w:kern w:val="0"/>
                <w:sz w:val="24"/>
                <w:szCs w:val="20"/>
                <w:highlight w:val="none"/>
              </w:rPr>
            </w:pPr>
          </w:p>
        </w:tc>
        <w:tc>
          <w:tcPr>
            <w:tcW w:w="1316" w:type="dxa"/>
            <w:vAlign w:val="center"/>
          </w:tcPr>
          <w:p w14:paraId="067728B6">
            <w:pPr>
              <w:snapToGrid w:val="0"/>
              <w:spacing w:line="300" w:lineRule="auto"/>
              <w:jc w:val="center"/>
              <w:rPr>
                <w:rFonts w:ascii="宋体" w:hAnsi="宋体"/>
                <w:bCs/>
                <w:color w:val="auto"/>
                <w:kern w:val="0"/>
                <w:sz w:val="24"/>
                <w:szCs w:val="20"/>
                <w:highlight w:val="none"/>
              </w:rPr>
            </w:pPr>
          </w:p>
        </w:tc>
        <w:tc>
          <w:tcPr>
            <w:tcW w:w="720" w:type="dxa"/>
            <w:vAlign w:val="center"/>
          </w:tcPr>
          <w:p w14:paraId="4EF87B82">
            <w:pPr>
              <w:snapToGrid w:val="0"/>
              <w:spacing w:line="300" w:lineRule="auto"/>
              <w:jc w:val="center"/>
              <w:rPr>
                <w:rFonts w:ascii="宋体" w:hAnsi="宋体"/>
                <w:bCs/>
                <w:color w:val="auto"/>
                <w:kern w:val="0"/>
                <w:sz w:val="24"/>
                <w:szCs w:val="20"/>
                <w:highlight w:val="none"/>
              </w:rPr>
            </w:pPr>
          </w:p>
        </w:tc>
        <w:tc>
          <w:tcPr>
            <w:tcW w:w="720" w:type="dxa"/>
            <w:vAlign w:val="center"/>
          </w:tcPr>
          <w:p w14:paraId="0DD0B136">
            <w:pPr>
              <w:snapToGrid w:val="0"/>
              <w:spacing w:line="300" w:lineRule="auto"/>
              <w:jc w:val="center"/>
              <w:rPr>
                <w:rFonts w:ascii="宋体" w:hAnsi="宋体"/>
                <w:bCs/>
                <w:color w:val="auto"/>
                <w:kern w:val="0"/>
                <w:sz w:val="24"/>
                <w:szCs w:val="20"/>
                <w:highlight w:val="none"/>
              </w:rPr>
            </w:pPr>
          </w:p>
        </w:tc>
        <w:tc>
          <w:tcPr>
            <w:tcW w:w="1380" w:type="dxa"/>
            <w:vAlign w:val="center"/>
          </w:tcPr>
          <w:p w14:paraId="38429DB4">
            <w:pPr>
              <w:snapToGrid w:val="0"/>
              <w:spacing w:line="300" w:lineRule="auto"/>
              <w:jc w:val="center"/>
              <w:rPr>
                <w:rFonts w:ascii="宋体" w:hAnsi="宋体"/>
                <w:bCs/>
                <w:color w:val="auto"/>
                <w:kern w:val="0"/>
                <w:sz w:val="24"/>
                <w:szCs w:val="20"/>
                <w:highlight w:val="none"/>
              </w:rPr>
            </w:pPr>
          </w:p>
        </w:tc>
        <w:tc>
          <w:tcPr>
            <w:tcW w:w="780" w:type="dxa"/>
            <w:vAlign w:val="center"/>
          </w:tcPr>
          <w:p w14:paraId="04E7FFE7">
            <w:pPr>
              <w:snapToGrid w:val="0"/>
              <w:spacing w:line="300" w:lineRule="auto"/>
              <w:jc w:val="center"/>
              <w:rPr>
                <w:rFonts w:ascii="宋体" w:hAnsi="宋体"/>
                <w:bCs/>
                <w:color w:val="auto"/>
                <w:kern w:val="0"/>
                <w:sz w:val="24"/>
                <w:szCs w:val="20"/>
                <w:highlight w:val="none"/>
              </w:rPr>
            </w:pPr>
          </w:p>
        </w:tc>
        <w:tc>
          <w:tcPr>
            <w:tcW w:w="720" w:type="dxa"/>
            <w:vAlign w:val="center"/>
          </w:tcPr>
          <w:p w14:paraId="3A5F9657">
            <w:pPr>
              <w:snapToGrid w:val="0"/>
              <w:spacing w:line="300" w:lineRule="auto"/>
              <w:jc w:val="center"/>
              <w:rPr>
                <w:rFonts w:ascii="宋体" w:hAnsi="宋体"/>
                <w:bCs/>
                <w:color w:val="auto"/>
                <w:kern w:val="0"/>
                <w:sz w:val="24"/>
                <w:szCs w:val="20"/>
                <w:highlight w:val="none"/>
              </w:rPr>
            </w:pPr>
          </w:p>
        </w:tc>
        <w:tc>
          <w:tcPr>
            <w:tcW w:w="1656" w:type="dxa"/>
            <w:vAlign w:val="center"/>
          </w:tcPr>
          <w:p w14:paraId="382A3662">
            <w:pPr>
              <w:snapToGrid w:val="0"/>
              <w:spacing w:line="300" w:lineRule="auto"/>
              <w:jc w:val="center"/>
              <w:rPr>
                <w:rFonts w:ascii="宋体" w:hAnsi="宋体"/>
                <w:bCs/>
                <w:color w:val="auto"/>
                <w:kern w:val="0"/>
                <w:sz w:val="24"/>
                <w:szCs w:val="20"/>
                <w:highlight w:val="none"/>
              </w:rPr>
            </w:pPr>
          </w:p>
        </w:tc>
        <w:tc>
          <w:tcPr>
            <w:tcW w:w="720" w:type="dxa"/>
            <w:vAlign w:val="center"/>
          </w:tcPr>
          <w:p w14:paraId="62828564">
            <w:pPr>
              <w:snapToGrid w:val="0"/>
              <w:spacing w:line="300" w:lineRule="auto"/>
              <w:jc w:val="center"/>
              <w:rPr>
                <w:rFonts w:ascii="宋体" w:hAnsi="宋体"/>
                <w:bCs/>
                <w:color w:val="auto"/>
                <w:kern w:val="0"/>
                <w:sz w:val="24"/>
                <w:szCs w:val="20"/>
                <w:highlight w:val="none"/>
              </w:rPr>
            </w:pPr>
          </w:p>
        </w:tc>
      </w:tr>
      <w:tr w14:paraId="30B8A0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00" w:hRule="atLeast"/>
          <w:jc w:val="center"/>
        </w:trPr>
        <w:tc>
          <w:tcPr>
            <w:tcW w:w="738" w:type="dxa"/>
            <w:vAlign w:val="center"/>
          </w:tcPr>
          <w:p w14:paraId="7044B360">
            <w:pPr>
              <w:snapToGrid w:val="0"/>
              <w:spacing w:line="300" w:lineRule="auto"/>
              <w:jc w:val="center"/>
              <w:rPr>
                <w:rFonts w:ascii="宋体" w:hAnsi="宋体"/>
                <w:bCs/>
                <w:color w:val="auto"/>
                <w:kern w:val="0"/>
                <w:sz w:val="24"/>
                <w:szCs w:val="20"/>
                <w:highlight w:val="none"/>
              </w:rPr>
            </w:pPr>
          </w:p>
        </w:tc>
        <w:tc>
          <w:tcPr>
            <w:tcW w:w="1350" w:type="dxa"/>
            <w:vAlign w:val="center"/>
          </w:tcPr>
          <w:p w14:paraId="2DB07E15">
            <w:pPr>
              <w:snapToGrid w:val="0"/>
              <w:spacing w:line="300" w:lineRule="auto"/>
              <w:rPr>
                <w:rFonts w:ascii="宋体" w:hAnsi="宋体"/>
                <w:bCs/>
                <w:color w:val="auto"/>
                <w:kern w:val="0"/>
                <w:sz w:val="24"/>
                <w:szCs w:val="20"/>
                <w:highlight w:val="none"/>
              </w:rPr>
            </w:pPr>
          </w:p>
        </w:tc>
        <w:tc>
          <w:tcPr>
            <w:tcW w:w="1316" w:type="dxa"/>
            <w:vAlign w:val="center"/>
          </w:tcPr>
          <w:p w14:paraId="2E650536">
            <w:pPr>
              <w:snapToGrid w:val="0"/>
              <w:spacing w:line="300" w:lineRule="auto"/>
              <w:jc w:val="center"/>
              <w:rPr>
                <w:rFonts w:ascii="宋体" w:hAnsi="宋体"/>
                <w:bCs/>
                <w:color w:val="auto"/>
                <w:kern w:val="0"/>
                <w:sz w:val="24"/>
                <w:szCs w:val="20"/>
                <w:highlight w:val="none"/>
              </w:rPr>
            </w:pPr>
          </w:p>
        </w:tc>
        <w:tc>
          <w:tcPr>
            <w:tcW w:w="720" w:type="dxa"/>
            <w:vAlign w:val="center"/>
          </w:tcPr>
          <w:p w14:paraId="4B845F66">
            <w:pPr>
              <w:snapToGrid w:val="0"/>
              <w:spacing w:line="300" w:lineRule="auto"/>
              <w:jc w:val="center"/>
              <w:rPr>
                <w:rFonts w:ascii="宋体" w:hAnsi="宋体"/>
                <w:bCs/>
                <w:color w:val="auto"/>
                <w:kern w:val="0"/>
                <w:sz w:val="24"/>
                <w:szCs w:val="20"/>
                <w:highlight w:val="none"/>
              </w:rPr>
            </w:pPr>
          </w:p>
        </w:tc>
        <w:tc>
          <w:tcPr>
            <w:tcW w:w="720" w:type="dxa"/>
            <w:vAlign w:val="center"/>
          </w:tcPr>
          <w:p w14:paraId="448D60CF">
            <w:pPr>
              <w:snapToGrid w:val="0"/>
              <w:spacing w:line="300" w:lineRule="auto"/>
              <w:jc w:val="center"/>
              <w:rPr>
                <w:rFonts w:ascii="宋体" w:hAnsi="宋体"/>
                <w:bCs/>
                <w:color w:val="auto"/>
                <w:kern w:val="0"/>
                <w:sz w:val="24"/>
                <w:szCs w:val="20"/>
                <w:highlight w:val="none"/>
              </w:rPr>
            </w:pPr>
          </w:p>
        </w:tc>
        <w:tc>
          <w:tcPr>
            <w:tcW w:w="1380" w:type="dxa"/>
            <w:vAlign w:val="center"/>
          </w:tcPr>
          <w:p w14:paraId="4DD8B844">
            <w:pPr>
              <w:snapToGrid w:val="0"/>
              <w:spacing w:line="300" w:lineRule="auto"/>
              <w:jc w:val="center"/>
              <w:rPr>
                <w:rFonts w:ascii="宋体" w:hAnsi="宋体"/>
                <w:bCs/>
                <w:color w:val="auto"/>
                <w:kern w:val="0"/>
                <w:sz w:val="24"/>
                <w:szCs w:val="20"/>
                <w:highlight w:val="none"/>
              </w:rPr>
            </w:pPr>
          </w:p>
        </w:tc>
        <w:tc>
          <w:tcPr>
            <w:tcW w:w="780" w:type="dxa"/>
            <w:vAlign w:val="center"/>
          </w:tcPr>
          <w:p w14:paraId="0DDC80CB">
            <w:pPr>
              <w:snapToGrid w:val="0"/>
              <w:spacing w:line="300" w:lineRule="auto"/>
              <w:jc w:val="center"/>
              <w:rPr>
                <w:rFonts w:ascii="宋体" w:hAnsi="宋体"/>
                <w:bCs/>
                <w:color w:val="auto"/>
                <w:kern w:val="0"/>
                <w:sz w:val="24"/>
                <w:szCs w:val="20"/>
                <w:highlight w:val="none"/>
              </w:rPr>
            </w:pPr>
          </w:p>
        </w:tc>
        <w:tc>
          <w:tcPr>
            <w:tcW w:w="720" w:type="dxa"/>
            <w:vAlign w:val="center"/>
          </w:tcPr>
          <w:p w14:paraId="15F4FF02">
            <w:pPr>
              <w:snapToGrid w:val="0"/>
              <w:spacing w:line="300" w:lineRule="auto"/>
              <w:jc w:val="center"/>
              <w:rPr>
                <w:rFonts w:ascii="宋体" w:hAnsi="宋体"/>
                <w:bCs/>
                <w:color w:val="auto"/>
                <w:kern w:val="0"/>
                <w:sz w:val="24"/>
                <w:szCs w:val="20"/>
                <w:highlight w:val="none"/>
              </w:rPr>
            </w:pPr>
          </w:p>
        </w:tc>
        <w:tc>
          <w:tcPr>
            <w:tcW w:w="1656" w:type="dxa"/>
            <w:vAlign w:val="center"/>
          </w:tcPr>
          <w:p w14:paraId="6ED2E801">
            <w:pPr>
              <w:snapToGrid w:val="0"/>
              <w:spacing w:line="300" w:lineRule="auto"/>
              <w:jc w:val="center"/>
              <w:rPr>
                <w:rFonts w:ascii="宋体" w:hAnsi="宋体"/>
                <w:bCs/>
                <w:color w:val="auto"/>
                <w:kern w:val="0"/>
                <w:sz w:val="24"/>
                <w:szCs w:val="20"/>
                <w:highlight w:val="none"/>
              </w:rPr>
            </w:pPr>
          </w:p>
        </w:tc>
        <w:tc>
          <w:tcPr>
            <w:tcW w:w="720" w:type="dxa"/>
            <w:vAlign w:val="center"/>
          </w:tcPr>
          <w:p w14:paraId="75685F89">
            <w:pPr>
              <w:snapToGrid w:val="0"/>
              <w:spacing w:line="300" w:lineRule="auto"/>
              <w:jc w:val="center"/>
              <w:rPr>
                <w:rFonts w:ascii="宋体" w:hAnsi="宋体"/>
                <w:bCs/>
                <w:color w:val="auto"/>
                <w:kern w:val="0"/>
                <w:sz w:val="24"/>
                <w:szCs w:val="20"/>
                <w:highlight w:val="none"/>
              </w:rPr>
            </w:pPr>
          </w:p>
        </w:tc>
      </w:tr>
    </w:tbl>
    <w:p w14:paraId="41D9EEA7">
      <w:pPr>
        <w:snapToGrid w:val="0"/>
        <w:spacing w:line="360" w:lineRule="auto"/>
        <w:rPr>
          <w:rFonts w:ascii="宋体" w:hAnsi="宋体"/>
          <w:bCs/>
          <w:color w:val="auto"/>
          <w:kern w:val="0"/>
          <w:sz w:val="24"/>
          <w:highlight w:val="none"/>
        </w:rPr>
      </w:pPr>
      <w:r>
        <w:rPr>
          <w:rFonts w:hint="eastAsia" w:ascii="宋体" w:hAnsi="宋体"/>
          <w:color w:val="auto"/>
          <w:sz w:val="24"/>
          <w:highlight w:val="none"/>
        </w:rPr>
        <w:t>注：</w:t>
      </w:r>
      <w:r>
        <w:rPr>
          <w:rFonts w:ascii="宋体" w:hAnsi="宋体"/>
          <w:color w:val="auto"/>
          <w:sz w:val="24"/>
          <w:highlight w:val="none"/>
        </w:rPr>
        <w:t>1</w:t>
      </w:r>
      <w:r>
        <w:rPr>
          <w:rFonts w:hint="eastAsia" w:ascii="宋体" w:hAnsi="宋体"/>
          <w:color w:val="auto"/>
          <w:sz w:val="24"/>
          <w:highlight w:val="none"/>
        </w:rPr>
        <w:t>、</w:t>
      </w:r>
      <w:r>
        <w:rPr>
          <w:rFonts w:ascii="宋体" w:hAnsi="宋体"/>
          <w:bCs/>
          <w:color w:val="auto"/>
          <w:kern w:val="0"/>
          <w:sz w:val="24"/>
          <w:highlight w:val="none"/>
        </w:rPr>
        <w:t>表中所列内容的价格已包含在投标价中，均为采购人所有。</w:t>
      </w:r>
    </w:p>
    <w:p w14:paraId="1789320A">
      <w:pPr>
        <w:snapToGrid w:val="0"/>
        <w:spacing w:line="360" w:lineRule="auto"/>
        <w:rPr>
          <w:rFonts w:ascii="宋体" w:hAnsi="宋体"/>
          <w:bCs/>
          <w:color w:val="auto"/>
          <w:kern w:val="0"/>
          <w:sz w:val="24"/>
          <w:highlight w:val="none"/>
        </w:rPr>
      </w:pPr>
      <w:r>
        <w:rPr>
          <w:rFonts w:hint="eastAsia" w:ascii="宋体" w:hAnsi="宋体"/>
          <w:color w:val="auto"/>
          <w:sz w:val="24"/>
          <w:highlight w:val="none"/>
        </w:rPr>
        <w:t>2、</w:t>
      </w:r>
      <w:r>
        <w:rPr>
          <w:rFonts w:ascii="宋体" w:hAnsi="宋体"/>
          <w:bCs/>
          <w:color w:val="auto"/>
          <w:kern w:val="0"/>
          <w:sz w:val="24"/>
          <w:highlight w:val="none"/>
        </w:rPr>
        <w:t>随机标准附件、备品备件、另配件、专用工具是指为方便甲方使用而提供的、产品能够正常运行并达到采购文件性能之外的辅助性物品。</w:t>
      </w:r>
    </w:p>
    <w:p w14:paraId="05863D3E">
      <w:pPr>
        <w:snapToGrid w:val="0"/>
        <w:spacing w:line="360" w:lineRule="auto"/>
        <w:rPr>
          <w:rFonts w:ascii="宋体" w:hAnsi="宋体"/>
          <w:bCs/>
          <w:color w:val="auto"/>
          <w:kern w:val="0"/>
          <w:sz w:val="24"/>
          <w:highlight w:val="none"/>
        </w:rPr>
      </w:pPr>
      <w:r>
        <w:rPr>
          <w:rFonts w:hint="eastAsia" w:ascii="宋体" w:hAnsi="宋体"/>
          <w:color w:val="auto"/>
          <w:sz w:val="24"/>
          <w:highlight w:val="none"/>
        </w:rPr>
        <w:t>3、</w:t>
      </w:r>
      <w:r>
        <w:rPr>
          <w:rFonts w:ascii="宋体" w:hAnsi="宋体"/>
          <w:bCs/>
          <w:color w:val="auto"/>
          <w:kern w:val="0"/>
          <w:sz w:val="24"/>
          <w:highlight w:val="none"/>
        </w:rPr>
        <w:t>采购文件中所列随机标准附件、备品备件、另配件、专用工具为采购人要求必须配送，投标人应在此表中列出。</w:t>
      </w:r>
    </w:p>
    <w:p w14:paraId="1268A627">
      <w:pPr>
        <w:snapToGrid w:val="0"/>
        <w:spacing w:line="360" w:lineRule="auto"/>
        <w:rPr>
          <w:rFonts w:ascii="宋体" w:hAnsi="宋体"/>
          <w:bCs/>
          <w:color w:val="auto"/>
          <w:kern w:val="0"/>
          <w:sz w:val="24"/>
          <w:highlight w:val="none"/>
        </w:rPr>
      </w:pPr>
      <w:r>
        <w:rPr>
          <w:rFonts w:hint="eastAsia" w:ascii="宋体" w:hAnsi="宋体"/>
          <w:color w:val="auto"/>
          <w:sz w:val="24"/>
          <w:highlight w:val="none"/>
        </w:rPr>
        <w:t>4、</w:t>
      </w:r>
      <w:r>
        <w:rPr>
          <w:rFonts w:ascii="宋体" w:hAnsi="宋体"/>
          <w:bCs/>
          <w:color w:val="auto"/>
          <w:kern w:val="0"/>
          <w:sz w:val="24"/>
          <w:highlight w:val="none"/>
        </w:rPr>
        <w:t>除采购文件中所列内容外，投标人自行配送随机标准附件、备品备件、另配件、专用工具的，请在此表中列出。</w:t>
      </w:r>
    </w:p>
    <w:p w14:paraId="29E10F50">
      <w:pPr>
        <w:tabs>
          <w:tab w:val="left" w:pos="874"/>
        </w:tabs>
        <w:snapToGrid w:val="0"/>
        <w:spacing w:line="360" w:lineRule="auto"/>
        <w:rPr>
          <w:rFonts w:ascii="宋体" w:hAnsi="宋体"/>
          <w:bCs/>
          <w:color w:val="auto"/>
          <w:kern w:val="0"/>
          <w:sz w:val="24"/>
          <w:highlight w:val="none"/>
        </w:rPr>
      </w:pPr>
      <w:r>
        <w:rPr>
          <w:rFonts w:hint="eastAsia" w:ascii="宋体" w:hAnsi="宋体"/>
          <w:color w:val="auto"/>
          <w:sz w:val="24"/>
          <w:highlight w:val="none"/>
        </w:rPr>
        <w:t>5、</w:t>
      </w:r>
      <w:r>
        <w:rPr>
          <w:rFonts w:ascii="宋体" w:hAnsi="宋体"/>
          <w:bCs/>
          <w:color w:val="auto"/>
          <w:kern w:val="0"/>
          <w:sz w:val="24"/>
          <w:highlight w:val="none"/>
        </w:rPr>
        <w:t>此表仅提供了表格形式，可扩展。投标人应根据需要及采购文件的具体要求，准备足够数量的表格按实填写。</w:t>
      </w:r>
    </w:p>
    <w:p w14:paraId="552A53B4">
      <w:pPr>
        <w:snapToGrid w:val="0"/>
        <w:spacing w:line="360" w:lineRule="auto"/>
        <w:rPr>
          <w:rFonts w:ascii="宋体" w:hAnsi="宋体"/>
          <w:bCs/>
          <w:color w:val="auto"/>
          <w:kern w:val="0"/>
          <w:sz w:val="24"/>
          <w:highlight w:val="none"/>
        </w:rPr>
      </w:pPr>
    </w:p>
    <w:p w14:paraId="76DD10CD">
      <w:pPr>
        <w:snapToGrid w:val="0"/>
        <w:spacing w:line="360" w:lineRule="auto"/>
        <w:rPr>
          <w:rFonts w:ascii="宋体" w:hAnsi="宋体"/>
          <w:bCs/>
          <w:color w:val="auto"/>
          <w:kern w:val="0"/>
          <w:sz w:val="24"/>
          <w:highlight w:val="none"/>
        </w:rPr>
      </w:pPr>
    </w:p>
    <w:p w14:paraId="01F81CF2">
      <w:pPr>
        <w:snapToGrid w:val="0"/>
        <w:spacing w:line="360" w:lineRule="auto"/>
        <w:ind w:firstLine="480"/>
        <w:rPr>
          <w:rFonts w:ascii="宋体" w:hAnsi="宋体"/>
          <w:color w:val="auto"/>
          <w:sz w:val="24"/>
          <w:highlight w:val="none"/>
        </w:rPr>
      </w:pPr>
    </w:p>
    <w:p w14:paraId="6359E37E">
      <w:pPr>
        <w:snapToGrid w:val="0"/>
        <w:spacing w:line="360" w:lineRule="auto"/>
        <w:rPr>
          <w:rFonts w:ascii="宋体" w:hAnsi="宋体"/>
          <w:color w:val="auto"/>
          <w:sz w:val="24"/>
          <w:highlight w:val="none"/>
        </w:rPr>
      </w:pPr>
      <w:r>
        <w:rPr>
          <w:rFonts w:hint="eastAsia" w:ascii="宋体" w:hAnsi="宋体"/>
          <w:color w:val="auto"/>
          <w:sz w:val="24"/>
          <w:highlight w:val="none"/>
        </w:rPr>
        <w:t>法定代表人或授权委托人签名：</w:t>
      </w:r>
      <w:r>
        <w:rPr>
          <w:rFonts w:ascii="宋体" w:hAnsi="宋体"/>
          <w:color w:val="auto"/>
          <w:spacing w:val="20"/>
          <w:sz w:val="24"/>
          <w:highlight w:val="none"/>
          <w:u w:val="single"/>
        </w:rPr>
        <w:t xml:space="preserve">            </w:t>
      </w:r>
    </w:p>
    <w:p w14:paraId="304434F2">
      <w:pPr>
        <w:snapToGrid w:val="0"/>
        <w:spacing w:line="360" w:lineRule="auto"/>
        <w:jc w:val="left"/>
        <w:rPr>
          <w:rFonts w:ascii="宋体" w:hAnsi="宋体"/>
          <w:color w:val="auto"/>
          <w:spacing w:val="20"/>
          <w:sz w:val="24"/>
          <w:highlight w:val="none"/>
        </w:rPr>
      </w:pPr>
      <w:r>
        <w:rPr>
          <w:rFonts w:hint="eastAsia" w:ascii="宋体" w:hAnsi="宋体"/>
          <w:color w:val="auto"/>
          <w:spacing w:val="20"/>
          <w:sz w:val="24"/>
          <w:highlight w:val="none"/>
        </w:rPr>
        <w:t>投标人全称（盖章）：</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14:paraId="756F3784">
      <w:pPr>
        <w:snapToGrid w:val="0"/>
        <w:spacing w:line="360" w:lineRule="auto"/>
        <w:jc w:val="left"/>
        <w:rPr>
          <w:rFonts w:ascii="宋体" w:hAnsi="宋体"/>
          <w:color w:val="auto"/>
          <w:spacing w:val="20"/>
          <w:sz w:val="24"/>
          <w:highlight w:val="none"/>
          <w:u w:val="single"/>
        </w:rPr>
      </w:pPr>
      <w:r>
        <w:rPr>
          <w:rFonts w:hint="eastAsia" w:ascii="宋体" w:hAnsi="宋体"/>
          <w:color w:val="auto"/>
          <w:spacing w:val="20"/>
          <w:sz w:val="24"/>
          <w:highlight w:val="none"/>
        </w:rPr>
        <w:t>日</w:t>
      </w:r>
      <w:r>
        <w:rPr>
          <w:rFonts w:ascii="宋体" w:hAnsi="宋体"/>
          <w:color w:val="auto"/>
          <w:spacing w:val="20"/>
          <w:sz w:val="24"/>
          <w:highlight w:val="none"/>
        </w:rPr>
        <w:t xml:space="preserve">  </w:t>
      </w:r>
      <w:r>
        <w:rPr>
          <w:rFonts w:hint="eastAsia" w:ascii="宋体" w:hAnsi="宋体"/>
          <w:color w:val="auto"/>
          <w:spacing w:val="20"/>
          <w:sz w:val="24"/>
          <w:highlight w:val="none"/>
        </w:rPr>
        <w:t>期：</w:t>
      </w:r>
      <w:r>
        <w:rPr>
          <w:rFonts w:ascii="宋体" w:hAnsi="宋体"/>
          <w:color w:val="auto"/>
          <w:spacing w:val="20"/>
          <w:sz w:val="24"/>
          <w:highlight w:val="none"/>
          <w:u w:val="single"/>
        </w:rPr>
        <w:t xml:space="preserve">     </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p>
    <w:p w14:paraId="54B2F00F">
      <w:pPr>
        <w:pStyle w:val="8"/>
        <w:keepNext w:val="0"/>
        <w:keepLines w:val="0"/>
        <w:pageBreakBefore/>
        <w:rPr>
          <w:rFonts w:ascii="宋体" w:hAnsi="宋体" w:eastAsia="宋体" w:cs="宋体"/>
          <w:color w:val="auto"/>
          <w:kern w:val="0"/>
          <w:sz w:val="24"/>
          <w:szCs w:val="24"/>
          <w:highlight w:val="none"/>
        </w:rPr>
      </w:pPr>
      <w:bookmarkStart w:id="105" w:name="_Toc13391"/>
      <w:r>
        <w:rPr>
          <w:rFonts w:hint="eastAsia" w:ascii="宋体" w:hAnsi="宋体" w:eastAsia="宋体" w:cs="宋体"/>
          <w:color w:val="auto"/>
          <w:kern w:val="0"/>
          <w:sz w:val="24"/>
          <w:szCs w:val="24"/>
          <w:highlight w:val="none"/>
        </w:rPr>
        <w:t>附件十</w:t>
      </w:r>
      <w:r>
        <w:rPr>
          <w:rFonts w:hint="eastAsia" w:ascii="宋体" w:hAnsi="宋体" w:eastAsia="宋体" w:cs="宋体"/>
          <w:color w:val="auto"/>
          <w:kern w:val="0"/>
          <w:sz w:val="24"/>
          <w:szCs w:val="24"/>
          <w:highlight w:val="none"/>
          <w:lang w:val="en-US" w:eastAsia="zh-CN"/>
        </w:rPr>
        <w:t>二</w:t>
      </w:r>
      <w:r>
        <w:rPr>
          <w:rFonts w:hint="eastAsia" w:ascii="宋体" w:hAnsi="宋体" w:eastAsia="宋体" w:cs="宋体"/>
          <w:color w:val="auto"/>
          <w:kern w:val="0"/>
          <w:sz w:val="24"/>
          <w:szCs w:val="24"/>
          <w:highlight w:val="none"/>
        </w:rPr>
        <w:t>：同类项目业绩一览表</w:t>
      </w:r>
      <w:bookmarkEnd w:id="98"/>
      <w:bookmarkEnd w:id="105"/>
    </w:p>
    <w:p w14:paraId="6340876A">
      <w:pPr>
        <w:widowControl/>
        <w:jc w:val="left"/>
        <w:rPr>
          <w:rFonts w:ascii="宋体" w:hAnsi="宋体" w:cs="宋体"/>
          <w:color w:val="auto"/>
          <w:kern w:val="0"/>
          <w:sz w:val="24"/>
          <w:highlight w:val="none"/>
        </w:rPr>
      </w:pPr>
    </w:p>
    <w:p w14:paraId="7538E7AF">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同类项目业绩一览表</w:t>
      </w:r>
    </w:p>
    <w:p w14:paraId="1F4B4C6A">
      <w:pPr>
        <w:widowControl/>
        <w:jc w:val="left"/>
        <w:rPr>
          <w:rFonts w:ascii="宋体" w:hAnsi="宋体" w:cs="宋体"/>
          <w:color w:val="auto"/>
          <w:kern w:val="0"/>
          <w:sz w:val="24"/>
          <w:highlight w:val="none"/>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1312"/>
        <w:gridCol w:w="1312"/>
        <w:gridCol w:w="1312"/>
        <w:gridCol w:w="1312"/>
        <w:gridCol w:w="1312"/>
        <w:gridCol w:w="1313"/>
      </w:tblGrid>
      <w:tr w14:paraId="6F3D1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1312" w:type="dxa"/>
            <w:vAlign w:val="center"/>
          </w:tcPr>
          <w:p w14:paraId="2D6F173C">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项目名称</w:t>
            </w:r>
          </w:p>
        </w:tc>
        <w:tc>
          <w:tcPr>
            <w:tcW w:w="1312" w:type="dxa"/>
            <w:vAlign w:val="center"/>
          </w:tcPr>
          <w:p w14:paraId="70D767FA">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w:t>
            </w:r>
          </w:p>
          <w:p w14:paraId="67551021">
            <w:pPr>
              <w:jc w:val="center"/>
              <w:rPr>
                <w:rFonts w:ascii="宋体" w:hAnsi="宋体" w:cs="宋体"/>
                <w:color w:val="auto"/>
                <w:sz w:val="24"/>
                <w:highlight w:val="none"/>
                <w:lang w:val="zh-CN"/>
              </w:rPr>
            </w:pPr>
            <w:r>
              <w:rPr>
                <w:rFonts w:hint="eastAsia" w:ascii="宋体" w:hAnsi="宋体" w:cs="宋体"/>
                <w:color w:val="auto"/>
                <w:sz w:val="24"/>
                <w:highlight w:val="none"/>
                <w:lang w:val="zh-CN"/>
              </w:rPr>
              <w:t>类型</w:t>
            </w:r>
          </w:p>
        </w:tc>
        <w:tc>
          <w:tcPr>
            <w:tcW w:w="1312" w:type="dxa"/>
            <w:vAlign w:val="center"/>
          </w:tcPr>
          <w:p w14:paraId="7122AD12">
            <w:pPr>
              <w:jc w:val="center"/>
              <w:rPr>
                <w:rFonts w:ascii="宋体" w:hAnsi="宋体" w:cs="宋体"/>
                <w:color w:val="auto"/>
                <w:sz w:val="24"/>
                <w:highlight w:val="none"/>
                <w:lang w:val="zh-CN"/>
              </w:rPr>
            </w:pPr>
            <w:r>
              <w:rPr>
                <w:rFonts w:hint="eastAsia" w:ascii="宋体" w:hAnsi="宋体" w:cs="宋体"/>
                <w:color w:val="auto"/>
                <w:sz w:val="24"/>
                <w:highlight w:val="none"/>
                <w:lang w:val="zh-CN"/>
              </w:rPr>
              <w:t>简要描述</w:t>
            </w:r>
          </w:p>
        </w:tc>
        <w:tc>
          <w:tcPr>
            <w:tcW w:w="1312" w:type="dxa"/>
            <w:vAlign w:val="center"/>
          </w:tcPr>
          <w:p w14:paraId="1CCF766B">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w:t>
            </w:r>
          </w:p>
          <w:p w14:paraId="6580273E">
            <w:pPr>
              <w:jc w:val="center"/>
              <w:rPr>
                <w:rFonts w:ascii="宋体" w:hAnsi="宋体" w:cs="宋体"/>
                <w:color w:val="auto"/>
                <w:sz w:val="24"/>
                <w:highlight w:val="none"/>
                <w:lang w:val="zh-CN"/>
              </w:rPr>
            </w:pPr>
            <w:r>
              <w:rPr>
                <w:rFonts w:hint="eastAsia" w:ascii="宋体" w:hAnsi="宋体" w:cs="宋体"/>
                <w:color w:val="auto"/>
                <w:sz w:val="24"/>
                <w:highlight w:val="none"/>
                <w:lang w:val="zh-CN"/>
              </w:rPr>
              <w:t>金额</w:t>
            </w:r>
          </w:p>
          <w:p w14:paraId="2A0B4F6A">
            <w:pPr>
              <w:jc w:val="center"/>
              <w:rPr>
                <w:rFonts w:ascii="宋体" w:hAnsi="宋体" w:cs="宋体"/>
                <w:color w:val="auto"/>
                <w:sz w:val="24"/>
                <w:highlight w:val="none"/>
                <w:lang w:val="zh-CN"/>
              </w:rPr>
            </w:pPr>
            <w:r>
              <w:rPr>
                <w:rFonts w:hint="eastAsia" w:ascii="宋体" w:hAnsi="宋体" w:cs="宋体"/>
                <w:color w:val="auto"/>
                <w:sz w:val="24"/>
                <w:highlight w:val="none"/>
                <w:lang w:val="zh-CN"/>
              </w:rPr>
              <w:t>（万元）</w:t>
            </w:r>
          </w:p>
        </w:tc>
        <w:tc>
          <w:tcPr>
            <w:tcW w:w="1312" w:type="dxa"/>
            <w:vAlign w:val="center"/>
          </w:tcPr>
          <w:p w14:paraId="0CF5EEC4">
            <w:pPr>
              <w:jc w:val="center"/>
              <w:rPr>
                <w:rFonts w:ascii="宋体" w:hAnsi="宋体" w:cs="宋体"/>
                <w:color w:val="auto"/>
                <w:sz w:val="24"/>
                <w:highlight w:val="none"/>
                <w:lang w:val="zh-CN"/>
              </w:rPr>
            </w:pPr>
            <w:r>
              <w:rPr>
                <w:rFonts w:hint="eastAsia" w:ascii="宋体" w:hAnsi="宋体" w:cs="宋体"/>
                <w:color w:val="auto"/>
                <w:sz w:val="24"/>
                <w:highlight w:val="none"/>
                <w:lang w:val="zh-CN"/>
              </w:rPr>
              <w:t>实施时间</w:t>
            </w:r>
          </w:p>
        </w:tc>
        <w:tc>
          <w:tcPr>
            <w:tcW w:w="1312" w:type="dxa"/>
            <w:vAlign w:val="center"/>
          </w:tcPr>
          <w:p w14:paraId="7F0D2B65">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项目单位、联系人及电话</w:t>
            </w:r>
          </w:p>
        </w:tc>
        <w:tc>
          <w:tcPr>
            <w:tcW w:w="1313" w:type="dxa"/>
            <w:vAlign w:val="center"/>
          </w:tcPr>
          <w:p w14:paraId="7291B288">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项目完成情况</w:t>
            </w:r>
          </w:p>
        </w:tc>
      </w:tr>
      <w:tr w14:paraId="512DB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1312" w:type="dxa"/>
            <w:vAlign w:val="center"/>
          </w:tcPr>
          <w:p w14:paraId="59149A4C">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6C585895">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7D33F579">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0A96D722">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7E90CA2C">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347CC92F">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34A56C90">
            <w:pPr>
              <w:autoSpaceDE w:val="0"/>
              <w:autoSpaceDN w:val="0"/>
              <w:adjustRightInd w:val="0"/>
              <w:spacing w:line="360" w:lineRule="auto"/>
              <w:jc w:val="center"/>
              <w:rPr>
                <w:rFonts w:ascii="宋体" w:hAnsi="宋体" w:cs="宋体"/>
                <w:color w:val="auto"/>
                <w:sz w:val="24"/>
                <w:highlight w:val="none"/>
                <w:lang w:val="zh-CN"/>
              </w:rPr>
            </w:pPr>
          </w:p>
        </w:tc>
      </w:tr>
      <w:tr w14:paraId="703E8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312" w:type="dxa"/>
            <w:vAlign w:val="center"/>
          </w:tcPr>
          <w:p w14:paraId="7553CAD9">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487D583A">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F9F3E29">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28E01563">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D5CBC95">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78BEF679">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704E5A52">
            <w:pPr>
              <w:autoSpaceDE w:val="0"/>
              <w:autoSpaceDN w:val="0"/>
              <w:adjustRightInd w:val="0"/>
              <w:spacing w:line="360" w:lineRule="auto"/>
              <w:jc w:val="center"/>
              <w:rPr>
                <w:rFonts w:ascii="宋体" w:hAnsi="宋体" w:cs="宋体"/>
                <w:color w:val="auto"/>
                <w:sz w:val="24"/>
                <w:highlight w:val="none"/>
                <w:lang w:val="zh-CN"/>
              </w:rPr>
            </w:pPr>
          </w:p>
        </w:tc>
      </w:tr>
      <w:tr w14:paraId="6C05B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1312" w:type="dxa"/>
            <w:vAlign w:val="center"/>
          </w:tcPr>
          <w:p w14:paraId="1064DC88">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C99077D">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3C0B05C7">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3A29C9DD">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3439A701">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7EAE64E4">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40A4148E">
            <w:pPr>
              <w:autoSpaceDE w:val="0"/>
              <w:autoSpaceDN w:val="0"/>
              <w:adjustRightInd w:val="0"/>
              <w:spacing w:line="360" w:lineRule="auto"/>
              <w:jc w:val="center"/>
              <w:rPr>
                <w:rFonts w:ascii="宋体" w:hAnsi="宋体" w:cs="宋体"/>
                <w:color w:val="auto"/>
                <w:sz w:val="24"/>
                <w:highlight w:val="none"/>
                <w:lang w:val="zh-CN"/>
              </w:rPr>
            </w:pPr>
          </w:p>
        </w:tc>
      </w:tr>
      <w:tr w14:paraId="3693E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312" w:type="dxa"/>
            <w:vAlign w:val="center"/>
          </w:tcPr>
          <w:p w14:paraId="69EF4DD2">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1197BB5D">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68E09CF">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65FA43A7">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84930D3">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1D0174B5">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53F4C70F">
            <w:pPr>
              <w:autoSpaceDE w:val="0"/>
              <w:autoSpaceDN w:val="0"/>
              <w:adjustRightInd w:val="0"/>
              <w:spacing w:line="360" w:lineRule="auto"/>
              <w:jc w:val="center"/>
              <w:rPr>
                <w:rFonts w:ascii="宋体" w:hAnsi="宋体" w:cs="宋体"/>
                <w:color w:val="auto"/>
                <w:sz w:val="24"/>
                <w:highlight w:val="none"/>
                <w:lang w:val="zh-CN"/>
              </w:rPr>
            </w:pPr>
          </w:p>
        </w:tc>
      </w:tr>
      <w:tr w14:paraId="39494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1312" w:type="dxa"/>
            <w:vAlign w:val="center"/>
          </w:tcPr>
          <w:p w14:paraId="0CE5F450">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4118F480">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13C3C5C4">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4174DABA">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05A85BAB">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01B3A3DE">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61BF7B9D">
            <w:pPr>
              <w:autoSpaceDE w:val="0"/>
              <w:autoSpaceDN w:val="0"/>
              <w:adjustRightInd w:val="0"/>
              <w:spacing w:line="360" w:lineRule="auto"/>
              <w:jc w:val="center"/>
              <w:rPr>
                <w:rFonts w:ascii="宋体" w:hAnsi="宋体" w:cs="宋体"/>
                <w:color w:val="auto"/>
                <w:sz w:val="24"/>
                <w:highlight w:val="none"/>
                <w:lang w:val="zh-CN"/>
              </w:rPr>
            </w:pPr>
          </w:p>
        </w:tc>
      </w:tr>
      <w:tr w14:paraId="1935EA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1312" w:type="dxa"/>
            <w:vAlign w:val="center"/>
          </w:tcPr>
          <w:p w14:paraId="05641806">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6A77F29C">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2DA0136E">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27B22D51">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5584AAC6">
            <w:pPr>
              <w:autoSpaceDE w:val="0"/>
              <w:autoSpaceDN w:val="0"/>
              <w:adjustRightInd w:val="0"/>
              <w:spacing w:line="360" w:lineRule="auto"/>
              <w:jc w:val="center"/>
              <w:rPr>
                <w:rFonts w:ascii="宋体" w:hAnsi="宋体" w:cs="宋体"/>
                <w:color w:val="auto"/>
                <w:sz w:val="24"/>
                <w:highlight w:val="none"/>
                <w:lang w:val="zh-CN"/>
              </w:rPr>
            </w:pPr>
          </w:p>
        </w:tc>
        <w:tc>
          <w:tcPr>
            <w:tcW w:w="1312" w:type="dxa"/>
            <w:vAlign w:val="center"/>
          </w:tcPr>
          <w:p w14:paraId="13B23104">
            <w:pPr>
              <w:autoSpaceDE w:val="0"/>
              <w:autoSpaceDN w:val="0"/>
              <w:adjustRightInd w:val="0"/>
              <w:spacing w:line="360" w:lineRule="auto"/>
              <w:jc w:val="center"/>
              <w:rPr>
                <w:rFonts w:ascii="宋体" w:hAnsi="宋体" w:cs="宋体"/>
                <w:color w:val="auto"/>
                <w:sz w:val="24"/>
                <w:highlight w:val="none"/>
                <w:lang w:val="zh-CN"/>
              </w:rPr>
            </w:pPr>
          </w:p>
        </w:tc>
        <w:tc>
          <w:tcPr>
            <w:tcW w:w="1313" w:type="dxa"/>
            <w:vAlign w:val="center"/>
          </w:tcPr>
          <w:p w14:paraId="0FB66BE6">
            <w:pPr>
              <w:autoSpaceDE w:val="0"/>
              <w:autoSpaceDN w:val="0"/>
              <w:adjustRightInd w:val="0"/>
              <w:spacing w:line="360" w:lineRule="auto"/>
              <w:jc w:val="center"/>
              <w:rPr>
                <w:rFonts w:ascii="宋体" w:hAnsi="宋体" w:cs="宋体"/>
                <w:color w:val="auto"/>
                <w:sz w:val="24"/>
                <w:highlight w:val="none"/>
                <w:lang w:val="zh-CN"/>
              </w:rPr>
            </w:pPr>
          </w:p>
        </w:tc>
      </w:tr>
    </w:tbl>
    <w:p w14:paraId="63D1215C">
      <w:pPr>
        <w:snapToGrid w:val="0"/>
        <w:spacing w:line="360" w:lineRule="auto"/>
        <w:rPr>
          <w:rFonts w:ascii="宋体" w:hAnsi="宋体" w:cs="宋体"/>
          <w:b/>
          <w:color w:val="auto"/>
          <w:sz w:val="24"/>
          <w:highlight w:val="none"/>
        </w:rPr>
      </w:pPr>
    </w:p>
    <w:p w14:paraId="0242DE88">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注：1、各投标人可以根据各自业绩量准备充分的表格，此页后须附证明材料。</w:t>
      </w:r>
    </w:p>
    <w:p w14:paraId="05BC090A">
      <w:pPr>
        <w:snapToGrid w:val="0"/>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    2、投标人须真实仔细地填写本表格。</w:t>
      </w:r>
    </w:p>
    <w:p w14:paraId="3DBB19A5">
      <w:pPr>
        <w:widowControl/>
        <w:jc w:val="left"/>
        <w:rPr>
          <w:rFonts w:ascii="宋体" w:hAnsi="宋体" w:cs="宋体"/>
          <w:color w:val="auto"/>
          <w:kern w:val="0"/>
          <w:sz w:val="24"/>
          <w:highlight w:val="none"/>
        </w:rPr>
      </w:pPr>
    </w:p>
    <w:p w14:paraId="1F62964C">
      <w:pPr>
        <w:widowControl/>
        <w:jc w:val="left"/>
        <w:rPr>
          <w:rFonts w:ascii="宋体" w:hAnsi="宋体" w:cs="宋体"/>
          <w:color w:val="auto"/>
          <w:kern w:val="0"/>
          <w:sz w:val="24"/>
          <w:highlight w:val="none"/>
        </w:rPr>
      </w:pPr>
    </w:p>
    <w:p w14:paraId="05456557">
      <w:pPr>
        <w:widowControl/>
        <w:jc w:val="left"/>
        <w:rPr>
          <w:rFonts w:ascii="宋体" w:hAnsi="宋体" w:cs="宋体"/>
          <w:color w:val="auto"/>
          <w:kern w:val="0"/>
          <w:sz w:val="24"/>
          <w:highlight w:val="none"/>
        </w:rPr>
      </w:pPr>
    </w:p>
    <w:p w14:paraId="75BCA834">
      <w:pPr>
        <w:pStyle w:val="15"/>
        <w:overflowPunct w:val="0"/>
        <w:spacing w:line="360" w:lineRule="auto"/>
        <w:ind w:right="420" w:firstLine="3300" w:firstLineChars="1375"/>
        <w:rPr>
          <w:rFonts w:ascii="宋体" w:hAnsi="宋体" w:cs="宋体"/>
          <w:color w:val="auto"/>
          <w:sz w:val="24"/>
          <w:szCs w:val="24"/>
          <w:highlight w:val="none"/>
        </w:rPr>
      </w:pPr>
      <w:r>
        <w:rPr>
          <w:rFonts w:hint="eastAsia" w:ascii="宋体" w:hAnsi="宋体" w:cs="宋体"/>
          <w:color w:val="auto"/>
          <w:sz w:val="24"/>
          <w:szCs w:val="24"/>
          <w:highlight w:val="none"/>
        </w:rPr>
        <w:t>投标人（单位盖章）：</w:t>
      </w:r>
    </w:p>
    <w:p w14:paraId="00148E9F">
      <w:pPr>
        <w:pStyle w:val="15"/>
        <w:overflowPunct w:val="0"/>
        <w:spacing w:line="360" w:lineRule="auto"/>
        <w:ind w:right="420" w:firstLine="3360" w:firstLineChars="1400"/>
        <w:rPr>
          <w:rFonts w:ascii="宋体" w:hAnsi="宋体" w:cs="宋体"/>
          <w:color w:val="auto"/>
          <w:sz w:val="24"/>
          <w:szCs w:val="24"/>
          <w:highlight w:val="none"/>
        </w:rPr>
      </w:pPr>
      <w:r>
        <w:rPr>
          <w:rFonts w:hint="eastAsia" w:ascii="宋体" w:hAnsi="宋体" w:cs="宋体"/>
          <w:color w:val="auto"/>
          <w:sz w:val="24"/>
          <w:szCs w:val="24"/>
          <w:highlight w:val="none"/>
        </w:rPr>
        <w:t xml:space="preserve">法定代表人或委托代理人（签字或盖章）：                         </w:t>
      </w:r>
    </w:p>
    <w:p w14:paraId="7AFBF55C">
      <w:pPr>
        <w:spacing w:before="120" w:beforeLines="50" w:line="360" w:lineRule="auto"/>
        <w:ind w:right="-21" w:rightChars="-10" w:firstLine="470" w:firstLineChars="196"/>
        <w:jc w:val="right"/>
        <w:rPr>
          <w:rFonts w:ascii="宋体" w:hAnsi="宋体" w:cs="宋体"/>
          <w:color w:val="auto"/>
          <w:sz w:val="24"/>
          <w:highlight w:val="none"/>
        </w:rPr>
      </w:pPr>
      <w:r>
        <w:rPr>
          <w:rFonts w:hint="eastAsia" w:ascii="宋体" w:hAnsi="宋体" w:cs="宋体"/>
          <w:color w:val="auto"/>
          <w:sz w:val="24"/>
          <w:highlight w:val="none"/>
        </w:rPr>
        <w:t>年  月  日</w:t>
      </w:r>
    </w:p>
    <w:p w14:paraId="0FC285A1">
      <w:pPr>
        <w:rPr>
          <w:rFonts w:ascii="宋体" w:hAnsi="宋体" w:cs="宋体"/>
          <w:bCs/>
          <w:color w:val="auto"/>
          <w:sz w:val="24"/>
          <w:highlight w:val="none"/>
        </w:rPr>
      </w:pPr>
    </w:p>
    <w:p w14:paraId="1E003608">
      <w:pPr>
        <w:rPr>
          <w:rFonts w:ascii="宋体" w:hAnsi="宋体" w:cs="宋体"/>
          <w:bCs/>
          <w:color w:val="auto"/>
          <w:sz w:val="24"/>
          <w:highlight w:val="none"/>
        </w:rPr>
      </w:pPr>
    </w:p>
    <w:p w14:paraId="7CBCB82D">
      <w:pPr>
        <w:rPr>
          <w:rFonts w:ascii="宋体" w:hAnsi="宋体" w:cs="宋体"/>
          <w:color w:val="auto"/>
          <w:sz w:val="24"/>
          <w:highlight w:val="none"/>
        </w:rPr>
      </w:pPr>
    </w:p>
    <w:p w14:paraId="643394DA">
      <w:pPr>
        <w:pageBreakBefore/>
        <w:spacing w:before="260" w:after="260" w:line="415" w:lineRule="auto"/>
        <w:outlineLvl w:val="1"/>
        <w:rPr>
          <w:rFonts w:ascii="宋体" w:hAnsi="宋体" w:cs="宋体"/>
          <w:bCs/>
          <w:color w:val="auto"/>
          <w:sz w:val="24"/>
          <w:highlight w:val="none"/>
        </w:rPr>
      </w:pPr>
      <w:bookmarkStart w:id="106" w:name="_Toc8922"/>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三</w:t>
      </w:r>
      <w:r>
        <w:rPr>
          <w:rFonts w:hint="eastAsia" w:ascii="宋体" w:hAnsi="宋体" w:cs="宋体"/>
          <w:bCs/>
          <w:color w:val="auto"/>
          <w:sz w:val="24"/>
          <w:highlight w:val="none"/>
        </w:rPr>
        <w:t>：服务费承诺书</w:t>
      </w:r>
      <w:bookmarkEnd w:id="106"/>
    </w:p>
    <w:p w14:paraId="5599AAF4">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承 诺 书</w:t>
      </w:r>
    </w:p>
    <w:p w14:paraId="08E439BB">
      <w:pPr>
        <w:snapToGrid w:val="0"/>
        <w:spacing w:before="50" w:after="120" w:afterLines="50"/>
        <w:jc w:val="left"/>
        <w:rPr>
          <w:rFonts w:ascii="宋体" w:hAnsi="宋体" w:cs="宋体"/>
          <w:b/>
          <w:color w:val="auto"/>
          <w:sz w:val="24"/>
          <w:highlight w:val="none"/>
        </w:rPr>
      </w:pPr>
    </w:p>
    <w:p w14:paraId="26C1E079">
      <w:pPr>
        <w:snapToGrid w:val="0"/>
        <w:spacing w:before="50" w:after="120" w:afterLines="50" w:line="360" w:lineRule="auto"/>
        <w:jc w:val="left"/>
        <w:rPr>
          <w:rFonts w:ascii="宋体" w:hAnsi="宋体" w:cs="宋体"/>
          <w:b/>
          <w:bCs/>
          <w:color w:val="auto"/>
          <w:sz w:val="24"/>
          <w:highlight w:val="none"/>
        </w:rPr>
      </w:pPr>
      <w:r>
        <w:rPr>
          <w:rFonts w:hint="eastAsia" w:ascii="宋体" w:hAnsi="宋体" w:cs="宋体"/>
          <w:b/>
          <w:color w:val="auto"/>
          <w:sz w:val="24"/>
          <w:highlight w:val="none"/>
        </w:rPr>
        <w:t>东阳市鑫盛工程咨询有限公司</w:t>
      </w:r>
      <w:r>
        <w:rPr>
          <w:rFonts w:hint="eastAsia" w:ascii="宋体" w:hAnsi="宋体" w:cs="宋体"/>
          <w:b/>
          <w:bCs/>
          <w:color w:val="auto"/>
          <w:sz w:val="24"/>
          <w:highlight w:val="none"/>
        </w:rPr>
        <w:t>：</w:t>
      </w:r>
    </w:p>
    <w:p w14:paraId="1BFF7720">
      <w:pPr>
        <w:snapToGrid w:val="0"/>
        <w:spacing w:before="50" w:after="120" w:afterLines="50" w:line="360" w:lineRule="auto"/>
        <w:ind w:firstLine="472" w:firstLineChars="196"/>
        <w:jc w:val="left"/>
        <w:rPr>
          <w:rFonts w:ascii="宋体" w:hAnsi="宋体" w:cs="宋体"/>
          <w:b/>
          <w:color w:val="auto"/>
          <w:sz w:val="24"/>
          <w:highlight w:val="none"/>
        </w:rPr>
      </w:pPr>
      <w:r>
        <w:rPr>
          <w:rFonts w:hint="eastAsia" w:ascii="宋体" w:hAnsi="宋体" w:cs="宋体"/>
          <w:b/>
          <w:color w:val="auto"/>
          <w:sz w:val="24"/>
          <w:highlight w:val="none"/>
        </w:rPr>
        <w:t xml:space="preserve">若我公司中标时，在中标结果公示结束之日起3天内，愿按本招标文件总则第（五）条规定向东阳市鑫盛工程咨询有限公司支付中标服务费。    </w:t>
      </w:r>
    </w:p>
    <w:p w14:paraId="04170833">
      <w:pPr>
        <w:snapToGrid w:val="0"/>
        <w:spacing w:before="50" w:after="120" w:afterLines="50" w:line="360" w:lineRule="auto"/>
        <w:jc w:val="left"/>
        <w:rPr>
          <w:rFonts w:ascii="宋体" w:hAnsi="宋体" w:cs="宋体"/>
          <w:b/>
          <w:color w:val="auto"/>
          <w:sz w:val="24"/>
          <w:highlight w:val="none"/>
        </w:rPr>
      </w:pPr>
    </w:p>
    <w:p w14:paraId="16BC5E14">
      <w:pPr>
        <w:snapToGrid w:val="0"/>
        <w:spacing w:before="50" w:after="120" w:afterLines="50" w:line="360" w:lineRule="auto"/>
        <w:jc w:val="left"/>
        <w:rPr>
          <w:rFonts w:ascii="宋体" w:hAnsi="宋体" w:cs="宋体"/>
          <w:b/>
          <w:color w:val="auto"/>
          <w:sz w:val="24"/>
          <w:highlight w:val="none"/>
        </w:rPr>
      </w:pPr>
    </w:p>
    <w:p w14:paraId="02424007">
      <w:pPr>
        <w:snapToGrid w:val="0"/>
        <w:spacing w:before="50" w:after="120" w:afterLines="50" w:line="360" w:lineRule="auto"/>
        <w:jc w:val="left"/>
        <w:rPr>
          <w:rFonts w:ascii="宋体" w:hAnsi="宋体" w:cs="宋体"/>
          <w:b/>
          <w:color w:val="auto"/>
          <w:sz w:val="24"/>
          <w:highlight w:val="none"/>
        </w:rPr>
      </w:pPr>
    </w:p>
    <w:p w14:paraId="680B2121">
      <w:pPr>
        <w:snapToGrid w:val="0"/>
        <w:spacing w:before="50" w:after="120" w:afterLines="50" w:line="360" w:lineRule="auto"/>
        <w:jc w:val="left"/>
        <w:rPr>
          <w:rFonts w:ascii="宋体" w:hAnsi="宋体" w:cs="宋体"/>
          <w:b/>
          <w:color w:val="auto"/>
          <w:sz w:val="24"/>
          <w:highlight w:val="none"/>
        </w:rPr>
      </w:pPr>
      <w:r>
        <w:rPr>
          <w:rFonts w:hint="eastAsia" w:ascii="宋体" w:hAnsi="宋体" w:cs="宋体"/>
          <w:b/>
          <w:color w:val="auto"/>
          <w:sz w:val="24"/>
          <w:highlight w:val="none"/>
        </w:rPr>
        <w:t>特此承诺！</w:t>
      </w:r>
    </w:p>
    <w:p w14:paraId="1ED9CBB1">
      <w:pPr>
        <w:snapToGrid w:val="0"/>
        <w:spacing w:before="50" w:after="120" w:afterLines="50" w:line="360" w:lineRule="auto"/>
        <w:jc w:val="left"/>
        <w:rPr>
          <w:rFonts w:ascii="宋体" w:hAnsi="宋体" w:cs="宋体"/>
          <w:b/>
          <w:color w:val="auto"/>
          <w:sz w:val="24"/>
          <w:highlight w:val="none"/>
        </w:rPr>
      </w:pPr>
    </w:p>
    <w:p w14:paraId="71953982">
      <w:pPr>
        <w:snapToGrid w:val="0"/>
        <w:spacing w:before="50" w:after="120" w:afterLines="50"/>
        <w:jc w:val="left"/>
        <w:rPr>
          <w:rFonts w:ascii="宋体" w:hAnsi="宋体" w:cs="宋体"/>
          <w:b/>
          <w:color w:val="auto"/>
          <w:sz w:val="24"/>
          <w:highlight w:val="none"/>
        </w:rPr>
      </w:pPr>
    </w:p>
    <w:p w14:paraId="4F5F8310">
      <w:pPr>
        <w:snapToGrid w:val="0"/>
        <w:spacing w:before="50" w:after="120" w:afterLines="50"/>
        <w:jc w:val="left"/>
        <w:rPr>
          <w:rFonts w:ascii="宋体" w:hAnsi="宋体" w:cs="宋体"/>
          <w:b/>
          <w:color w:val="auto"/>
          <w:sz w:val="24"/>
          <w:highlight w:val="none"/>
        </w:rPr>
      </w:pPr>
    </w:p>
    <w:p w14:paraId="784FFE1B">
      <w:pPr>
        <w:snapToGrid w:val="0"/>
        <w:spacing w:before="50" w:after="120" w:afterLines="50"/>
        <w:jc w:val="left"/>
        <w:rPr>
          <w:rFonts w:ascii="宋体" w:hAnsi="宋体" w:cs="宋体"/>
          <w:b/>
          <w:color w:val="auto"/>
          <w:sz w:val="24"/>
          <w:highlight w:val="none"/>
        </w:rPr>
      </w:pPr>
    </w:p>
    <w:p w14:paraId="25DD56FF">
      <w:pPr>
        <w:snapToGrid w:val="0"/>
        <w:spacing w:before="50" w:after="120" w:afterLines="50"/>
        <w:jc w:val="left"/>
        <w:rPr>
          <w:rFonts w:ascii="宋体" w:hAnsi="宋体" w:cs="宋体"/>
          <w:b/>
          <w:color w:val="auto"/>
          <w:sz w:val="24"/>
          <w:highlight w:val="none"/>
        </w:rPr>
      </w:pPr>
    </w:p>
    <w:p w14:paraId="0D67A74B">
      <w:pPr>
        <w:snapToGrid w:val="0"/>
        <w:spacing w:before="50" w:after="120" w:afterLines="50"/>
        <w:jc w:val="left"/>
        <w:rPr>
          <w:rFonts w:ascii="宋体" w:hAnsi="宋体" w:cs="宋体"/>
          <w:b/>
          <w:color w:val="auto"/>
          <w:sz w:val="24"/>
          <w:highlight w:val="none"/>
        </w:rPr>
      </w:pPr>
    </w:p>
    <w:p w14:paraId="6B161BD9">
      <w:pPr>
        <w:snapToGrid w:val="0"/>
        <w:spacing w:before="50" w:after="120" w:afterLines="50"/>
        <w:ind w:firstLine="236" w:firstLineChars="98"/>
        <w:jc w:val="left"/>
        <w:rPr>
          <w:rFonts w:ascii="宋体" w:hAnsi="宋体" w:cs="宋体"/>
          <w:b/>
          <w:color w:val="auto"/>
          <w:sz w:val="24"/>
          <w:highlight w:val="none"/>
        </w:rPr>
      </w:pPr>
      <w:r>
        <w:rPr>
          <w:rFonts w:hint="eastAsia" w:ascii="宋体" w:hAnsi="宋体" w:cs="宋体"/>
          <w:b/>
          <w:color w:val="auto"/>
          <w:sz w:val="24"/>
          <w:highlight w:val="none"/>
        </w:rPr>
        <w:t>承诺单位(盖章)：</w:t>
      </w:r>
    </w:p>
    <w:p w14:paraId="6C484180">
      <w:pPr>
        <w:snapToGrid w:val="0"/>
        <w:spacing w:before="50" w:after="120" w:afterLines="50"/>
        <w:jc w:val="left"/>
        <w:rPr>
          <w:rFonts w:ascii="宋体" w:hAnsi="宋体" w:cs="宋体"/>
          <w:b/>
          <w:color w:val="auto"/>
          <w:sz w:val="24"/>
          <w:highlight w:val="none"/>
        </w:rPr>
      </w:pPr>
    </w:p>
    <w:p w14:paraId="4464243B">
      <w:pPr>
        <w:snapToGrid w:val="0"/>
        <w:spacing w:before="50" w:after="120" w:afterLines="50"/>
        <w:jc w:val="left"/>
        <w:rPr>
          <w:rFonts w:ascii="宋体" w:hAnsi="宋体" w:cs="宋体"/>
          <w:b/>
          <w:color w:val="auto"/>
          <w:sz w:val="24"/>
          <w:highlight w:val="none"/>
        </w:rPr>
      </w:pPr>
    </w:p>
    <w:p w14:paraId="6E33AC09">
      <w:pPr>
        <w:snapToGrid w:val="0"/>
        <w:spacing w:before="50" w:after="120" w:afterLines="50"/>
        <w:ind w:firstLine="236" w:firstLineChars="98"/>
        <w:jc w:val="left"/>
        <w:rPr>
          <w:rFonts w:ascii="宋体" w:hAnsi="宋体" w:cs="宋体"/>
          <w:b/>
          <w:color w:val="auto"/>
          <w:sz w:val="24"/>
          <w:highlight w:val="none"/>
        </w:rPr>
      </w:pPr>
      <w:r>
        <w:rPr>
          <w:rFonts w:hint="eastAsia" w:ascii="宋体" w:hAnsi="宋体" w:cs="宋体"/>
          <w:b/>
          <w:color w:val="auto"/>
          <w:sz w:val="24"/>
          <w:highlight w:val="none"/>
        </w:rPr>
        <w:t>法定代表人或委托代理人(签字)：</w:t>
      </w:r>
    </w:p>
    <w:p w14:paraId="4872359C">
      <w:pPr>
        <w:snapToGrid w:val="0"/>
        <w:spacing w:before="50" w:after="120" w:afterLines="50"/>
        <w:jc w:val="left"/>
        <w:rPr>
          <w:rFonts w:ascii="宋体" w:hAnsi="宋体" w:cs="宋体"/>
          <w:b/>
          <w:bCs/>
          <w:color w:val="auto"/>
          <w:sz w:val="24"/>
          <w:highlight w:val="none"/>
        </w:rPr>
      </w:pPr>
    </w:p>
    <w:p w14:paraId="0C468B30">
      <w:pPr>
        <w:snapToGrid w:val="0"/>
        <w:spacing w:before="50" w:after="120" w:afterLines="50"/>
        <w:jc w:val="left"/>
        <w:rPr>
          <w:rFonts w:ascii="宋体" w:hAnsi="宋体" w:cs="宋体"/>
          <w:b/>
          <w:bCs/>
          <w:color w:val="auto"/>
          <w:sz w:val="24"/>
          <w:highlight w:val="none"/>
        </w:rPr>
      </w:pPr>
    </w:p>
    <w:p w14:paraId="472B6714">
      <w:pPr>
        <w:snapToGrid w:val="0"/>
        <w:spacing w:before="50" w:after="120" w:afterLines="50"/>
        <w:ind w:firstLine="5980" w:firstLineChars="2482"/>
        <w:jc w:val="left"/>
        <w:rPr>
          <w:rFonts w:ascii="宋体" w:hAnsi="宋体" w:cs="宋体"/>
          <w:b/>
          <w:bCs/>
          <w:color w:val="auto"/>
          <w:sz w:val="24"/>
          <w:highlight w:val="none"/>
        </w:rPr>
      </w:pPr>
      <w:r>
        <w:rPr>
          <w:rFonts w:hint="eastAsia" w:ascii="宋体" w:hAnsi="宋体" w:cs="宋体"/>
          <w:b/>
          <w:bCs/>
          <w:color w:val="auto"/>
          <w:sz w:val="24"/>
          <w:highlight w:val="none"/>
        </w:rPr>
        <w:t>年     月    日</w:t>
      </w:r>
    </w:p>
    <w:p w14:paraId="134592D2">
      <w:pPr>
        <w:snapToGrid w:val="0"/>
        <w:spacing w:before="50" w:after="120" w:afterLines="50"/>
        <w:jc w:val="left"/>
        <w:rPr>
          <w:rFonts w:ascii="宋体" w:hAnsi="宋体" w:cs="宋体"/>
          <w:b/>
          <w:color w:val="auto"/>
          <w:sz w:val="24"/>
          <w:highlight w:val="none"/>
        </w:rPr>
      </w:pPr>
    </w:p>
    <w:p w14:paraId="0D6A2D32">
      <w:pPr>
        <w:snapToGrid w:val="0"/>
        <w:spacing w:before="120" w:beforeLines="50" w:after="50" w:line="276" w:lineRule="auto"/>
        <w:jc w:val="left"/>
        <w:rPr>
          <w:rFonts w:ascii="宋体" w:hAnsi="宋体" w:cs="宋体"/>
          <w:color w:val="auto"/>
          <w:sz w:val="24"/>
          <w:highlight w:val="none"/>
        </w:rPr>
      </w:pPr>
    </w:p>
    <w:p w14:paraId="34C89AD5">
      <w:pPr>
        <w:snapToGrid w:val="0"/>
        <w:spacing w:before="120" w:beforeLines="50" w:after="50" w:line="276" w:lineRule="auto"/>
        <w:jc w:val="left"/>
        <w:rPr>
          <w:rFonts w:ascii="宋体" w:hAnsi="宋体" w:cs="宋体"/>
          <w:color w:val="auto"/>
          <w:sz w:val="24"/>
          <w:highlight w:val="none"/>
        </w:rPr>
      </w:pPr>
    </w:p>
    <w:p w14:paraId="147B6165">
      <w:pPr>
        <w:snapToGrid w:val="0"/>
        <w:spacing w:before="120" w:beforeLines="50" w:after="50" w:line="276" w:lineRule="auto"/>
        <w:jc w:val="left"/>
        <w:rPr>
          <w:rFonts w:ascii="宋体" w:hAnsi="宋体" w:cs="宋体"/>
          <w:color w:val="auto"/>
          <w:sz w:val="24"/>
          <w:highlight w:val="none"/>
        </w:rPr>
      </w:pPr>
    </w:p>
    <w:p w14:paraId="77E95247">
      <w:pPr>
        <w:rPr>
          <w:rFonts w:ascii="宋体" w:hAnsi="宋体" w:cs="宋体"/>
          <w:bCs/>
          <w:color w:val="auto"/>
          <w:sz w:val="24"/>
          <w:highlight w:val="none"/>
        </w:rPr>
      </w:pPr>
      <w:bookmarkStart w:id="107" w:name="_Toc514425251"/>
      <w:bookmarkStart w:id="108" w:name="_Toc7166659"/>
    </w:p>
    <w:bookmarkEnd w:id="107"/>
    <w:bookmarkEnd w:id="108"/>
    <w:p w14:paraId="67BD98E3">
      <w:pPr>
        <w:rPr>
          <w:rFonts w:ascii="宋体" w:hAnsi="宋体" w:cs="宋体"/>
          <w:b/>
          <w:color w:val="auto"/>
          <w:sz w:val="24"/>
          <w:highlight w:val="none"/>
        </w:rPr>
      </w:pPr>
    </w:p>
    <w:p w14:paraId="30D133E3">
      <w:pPr>
        <w:pageBreakBefore/>
        <w:spacing w:before="260" w:after="260" w:line="415" w:lineRule="auto"/>
        <w:outlineLvl w:val="1"/>
        <w:rPr>
          <w:rFonts w:ascii="宋体" w:hAnsi="宋体" w:cs="宋体"/>
          <w:bCs/>
          <w:color w:val="auto"/>
          <w:sz w:val="24"/>
          <w:highlight w:val="none"/>
        </w:rPr>
      </w:pPr>
      <w:bookmarkStart w:id="109" w:name="_Toc496598995"/>
      <w:bookmarkStart w:id="110" w:name="_Toc25876"/>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四</w:t>
      </w:r>
      <w:r>
        <w:rPr>
          <w:rFonts w:hint="eastAsia" w:ascii="宋体" w:hAnsi="宋体" w:cs="宋体"/>
          <w:bCs/>
          <w:color w:val="auto"/>
          <w:sz w:val="24"/>
          <w:highlight w:val="none"/>
        </w:rPr>
        <w:t>:</w:t>
      </w:r>
      <w:bookmarkEnd w:id="109"/>
      <w:r>
        <w:rPr>
          <w:rFonts w:hint="eastAsia" w:ascii="宋体" w:hAnsi="宋体" w:cs="宋体"/>
          <w:bCs/>
          <w:color w:val="auto"/>
          <w:sz w:val="24"/>
          <w:highlight w:val="none"/>
        </w:rPr>
        <w:t>投标函</w:t>
      </w:r>
      <w:bookmarkEnd w:id="110"/>
    </w:p>
    <w:p w14:paraId="7B67D55E">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投 标 函</w:t>
      </w:r>
    </w:p>
    <w:p w14:paraId="00B62C1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28B2A492">
      <w:pPr>
        <w:snapToGrid w:val="0"/>
        <w:spacing w:line="360" w:lineRule="auto"/>
        <w:ind w:firstLine="480"/>
        <w:rPr>
          <w:rFonts w:ascii="宋体" w:hAnsi="宋体" w:cs="宋体"/>
          <w:color w:val="auto"/>
          <w:sz w:val="24"/>
          <w:highlight w:val="none"/>
        </w:rPr>
      </w:pPr>
      <w:r>
        <w:rPr>
          <w:rFonts w:hint="eastAsia" w:ascii="宋体" w:hAnsi="宋体" w:cs="宋体"/>
          <w:color w:val="auto"/>
          <w:sz w:val="24"/>
          <w:highlight w:val="none"/>
        </w:rPr>
        <w:t>根据贵方为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项目的招标公告/投标邀请书</w:t>
      </w:r>
    </w:p>
    <w:p w14:paraId="2208CBD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），签字代表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（全名）经正式授权并代表投标人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（投标人名称）提交电子投标文件。</w:t>
      </w:r>
    </w:p>
    <w:p w14:paraId="0BFF4EB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据此函，签字代表宣布同意如下：</w:t>
      </w:r>
    </w:p>
    <w:p w14:paraId="412CB30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1.投标人已详细审查全部“招标文件”，包括修改文件（如有的话）以及全部参考资料和有关附件，已经了解我方对于招标文件、采购过程、采购结果有依法进行询问、质疑、投诉的权利及相关渠道和要求。</w:t>
      </w:r>
    </w:p>
    <w:p w14:paraId="386F7BB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2.投标人在投标之前已经与贵方进行了充分的沟通，完全理解并接受招标文件的各项规定和要求，对招标文件的合理性、合法性不再有异议。</w:t>
      </w:r>
    </w:p>
    <w:p w14:paraId="39ADD87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3.本投标有效期自开标日起 ______天。</w:t>
      </w:r>
    </w:p>
    <w:p w14:paraId="5D44DA0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4.如中标，本投标文件至本项目合同履行完毕止均保持有效，本投标人将按“招标文件”及政府采购法律、法规的规定履行合同责任和义务。</w:t>
      </w:r>
    </w:p>
    <w:p w14:paraId="6B956FB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5.投标人同意按照贵方要求提供与投标有关的一切数据或资料。</w:t>
      </w:r>
    </w:p>
    <w:p w14:paraId="104D2EF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6.与本投标有关的一切正式往来信函请寄：</w:t>
      </w:r>
    </w:p>
    <w:p w14:paraId="13DC21A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地址：__________</w:t>
      </w:r>
      <w:r>
        <w:rPr>
          <w:rFonts w:hint="eastAsia" w:ascii="宋体" w:hAnsi="宋体" w:cs="宋体"/>
          <w:color w:val="auto"/>
          <w:sz w:val="24"/>
          <w:highlight w:val="none"/>
          <w:u w:val="single"/>
        </w:rPr>
        <w:t xml:space="preserve">        _</w:t>
      </w:r>
      <w:r>
        <w:rPr>
          <w:rFonts w:hint="eastAsia" w:ascii="宋体" w:hAnsi="宋体" w:cs="宋体"/>
          <w:color w:val="auto"/>
          <w:sz w:val="24"/>
          <w:highlight w:val="none"/>
        </w:rPr>
        <w:t>____邮编：__________   电话：______________</w:t>
      </w:r>
    </w:p>
    <w:p w14:paraId="1DC81F4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传真：______________投标人代表姓名 ___________  职务：______</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_______</w:t>
      </w:r>
    </w:p>
    <w:p w14:paraId="44D9D926">
      <w:pPr>
        <w:snapToGrid w:val="0"/>
        <w:spacing w:line="360" w:lineRule="auto"/>
        <w:rPr>
          <w:rFonts w:ascii="宋体" w:hAnsi="宋体" w:cs="宋体"/>
          <w:color w:val="auto"/>
          <w:sz w:val="24"/>
          <w:highlight w:val="none"/>
        </w:rPr>
      </w:pPr>
    </w:p>
    <w:p w14:paraId="74041C4A">
      <w:pPr>
        <w:snapToGrid w:val="0"/>
        <w:spacing w:line="360" w:lineRule="auto"/>
        <w:rPr>
          <w:rFonts w:ascii="宋体" w:hAnsi="宋体" w:cs="宋体"/>
          <w:color w:val="auto"/>
          <w:sz w:val="24"/>
          <w:highlight w:val="none"/>
        </w:rPr>
      </w:pPr>
    </w:p>
    <w:p w14:paraId="4847963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投标人名称(公章):___________________</w:t>
      </w:r>
    </w:p>
    <w:p w14:paraId="1DE8EE6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委托代理人签字:___________ </w:t>
      </w:r>
    </w:p>
    <w:p w14:paraId="5E6E599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日期:_____年___月___日</w:t>
      </w:r>
    </w:p>
    <w:p w14:paraId="2A1F19FB">
      <w:pPr>
        <w:snapToGrid w:val="0"/>
        <w:spacing w:before="156" w:after="156" w:line="360" w:lineRule="auto"/>
        <w:rPr>
          <w:rFonts w:ascii="宋体" w:hAnsi="宋体" w:cs="宋体"/>
          <w:color w:val="auto"/>
          <w:sz w:val="24"/>
          <w:highlight w:val="none"/>
        </w:rPr>
      </w:pPr>
    </w:p>
    <w:p w14:paraId="441133D2">
      <w:pPr>
        <w:snapToGrid w:val="0"/>
        <w:spacing w:before="50" w:after="120" w:afterLines="50"/>
        <w:jc w:val="left"/>
        <w:rPr>
          <w:rFonts w:ascii="宋体" w:hAnsi="宋体" w:cs="宋体"/>
          <w:b/>
          <w:color w:val="auto"/>
          <w:sz w:val="24"/>
          <w:highlight w:val="none"/>
        </w:rPr>
      </w:pPr>
    </w:p>
    <w:p w14:paraId="48711465">
      <w:pPr>
        <w:snapToGrid w:val="0"/>
        <w:spacing w:before="50" w:after="120" w:afterLines="50"/>
        <w:jc w:val="left"/>
        <w:rPr>
          <w:rFonts w:ascii="宋体" w:hAnsi="宋体" w:cs="宋体"/>
          <w:b/>
          <w:color w:val="auto"/>
          <w:sz w:val="24"/>
          <w:highlight w:val="none"/>
        </w:rPr>
      </w:pPr>
    </w:p>
    <w:p w14:paraId="07AD516E">
      <w:pPr>
        <w:snapToGrid w:val="0"/>
        <w:spacing w:before="50" w:after="120" w:afterLines="50"/>
        <w:jc w:val="left"/>
        <w:rPr>
          <w:rFonts w:ascii="宋体" w:hAnsi="宋体" w:cs="宋体"/>
          <w:b/>
          <w:color w:val="auto"/>
          <w:sz w:val="24"/>
          <w:highlight w:val="none"/>
        </w:rPr>
      </w:pPr>
    </w:p>
    <w:p w14:paraId="17E22E9E">
      <w:pPr>
        <w:keepNext/>
        <w:keepLines/>
        <w:spacing w:before="260" w:after="260" w:line="360" w:lineRule="auto"/>
        <w:outlineLvl w:val="1"/>
        <w:rPr>
          <w:rFonts w:ascii="宋体" w:hAnsi="宋体" w:cs="宋体"/>
          <w:bCs/>
          <w:color w:val="auto"/>
          <w:sz w:val="24"/>
          <w:highlight w:val="none"/>
        </w:rPr>
      </w:pPr>
      <w:bookmarkStart w:id="111" w:name="_Toc26482"/>
      <w:bookmarkStart w:id="112" w:name="_Toc14942623"/>
      <w:bookmarkStart w:id="113" w:name="_Toc2590"/>
      <w:bookmarkStart w:id="114" w:name="_Toc1663"/>
      <w:bookmarkStart w:id="115" w:name="_Toc12413"/>
      <w:bookmarkStart w:id="116" w:name="_Toc26440"/>
      <w:bookmarkStart w:id="117" w:name="_Toc496598998"/>
      <w:r>
        <w:rPr>
          <w:rFonts w:hint="eastAsia" w:ascii="宋体" w:hAnsi="宋体" w:cs="宋体"/>
          <w:bCs/>
          <w:color w:val="auto"/>
          <w:sz w:val="24"/>
          <w:highlight w:val="none"/>
        </w:rPr>
        <w:t>附件十</w:t>
      </w:r>
      <w:bookmarkEnd w:id="111"/>
      <w:bookmarkEnd w:id="112"/>
      <w:bookmarkEnd w:id="113"/>
      <w:bookmarkEnd w:id="114"/>
      <w:bookmarkEnd w:id="115"/>
      <w:r>
        <w:rPr>
          <w:rFonts w:hint="eastAsia" w:ascii="宋体" w:hAnsi="宋体" w:cs="宋体"/>
          <w:bCs/>
          <w:color w:val="auto"/>
          <w:sz w:val="24"/>
          <w:highlight w:val="none"/>
          <w:lang w:val="en-US" w:eastAsia="zh-CN"/>
        </w:rPr>
        <w:t>五</w:t>
      </w:r>
      <w:r>
        <w:rPr>
          <w:rFonts w:ascii="宋体" w:hAnsi="宋体" w:cs="宋体"/>
          <w:bCs/>
          <w:color w:val="auto"/>
          <w:sz w:val="24"/>
          <w:highlight w:val="none"/>
        </w:rPr>
        <w:t>:</w:t>
      </w:r>
      <w:r>
        <w:rPr>
          <w:rFonts w:hint="eastAsia" w:ascii="宋体" w:hAnsi="宋体" w:cs="宋体"/>
          <w:bCs/>
          <w:color w:val="auto"/>
          <w:sz w:val="24"/>
          <w:highlight w:val="none"/>
        </w:rPr>
        <w:t>开标一览表</w:t>
      </w:r>
      <w:bookmarkEnd w:id="116"/>
    </w:p>
    <w:bookmarkEnd w:id="117"/>
    <w:p w14:paraId="2195D3D9">
      <w:pPr>
        <w:spacing w:line="360" w:lineRule="auto"/>
        <w:jc w:val="center"/>
        <w:rPr>
          <w:rFonts w:ascii="宋体" w:hAnsi="宋体" w:cs="宋体"/>
          <w:b/>
          <w:color w:val="auto"/>
          <w:sz w:val="36"/>
          <w:szCs w:val="36"/>
          <w:highlight w:val="none"/>
        </w:rPr>
      </w:pPr>
      <w:bookmarkStart w:id="118" w:name="_Toc5557"/>
      <w:bookmarkStart w:id="119" w:name="_Toc496599000"/>
      <w:r>
        <w:rPr>
          <w:rFonts w:hint="eastAsia" w:ascii="宋体" w:hAnsi="宋体" w:cs="宋体"/>
          <w:b/>
          <w:color w:val="auto"/>
          <w:sz w:val="36"/>
          <w:szCs w:val="36"/>
          <w:highlight w:val="none"/>
        </w:rPr>
        <w:t>开标一览表</w:t>
      </w:r>
    </w:p>
    <w:p w14:paraId="2BFFFF4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招标编号：         </w:t>
      </w:r>
    </w:p>
    <w:p w14:paraId="094C1FAA">
      <w:pPr>
        <w:spacing w:line="360" w:lineRule="auto"/>
        <w:rPr>
          <w:rFonts w:ascii="宋体" w:hAnsi="宋体" w:cs="宋体"/>
          <w:b/>
          <w:bCs/>
          <w:color w:val="auto"/>
          <w:sz w:val="24"/>
          <w:highlight w:val="none"/>
        </w:rPr>
      </w:pPr>
      <w:r>
        <w:rPr>
          <w:rFonts w:hint="eastAsia" w:ascii="宋体" w:hAnsi="宋体" w:cs="宋体"/>
          <w:color w:val="auto"/>
          <w:sz w:val="24"/>
          <w:highlight w:val="none"/>
        </w:rPr>
        <w:t>投标人名称：                                                      单位：元</w:t>
      </w:r>
    </w:p>
    <w:tbl>
      <w:tblPr>
        <w:tblStyle w:val="39"/>
        <w:tblpPr w:leftFromText="180" w:rightFromText="180" w:vertAnchor="text" w:horzAnchor="page" w:tblpX="1113" w:tblpY="311"/>
        <w:tblOverlap w:val="never"/>
        <w:tblW w:w="994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7"/>
        <w:gridCol w:w="1192"/>
        <w:gridCol w:w="1200"/>
        <w:gridCol w:w="1250"/>
        <w:gridCol w:w="1366"/>
        <w:gridCol w:w="867"/>
        <w:gridCol w:w="1750"/>
        <w:gridCol w:w="1502"/>
      </w:tblGrid>
      <w:tr w14:paraId="06538E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7" w:hRule="atLeast"/>
        </w:trPr>
        <w:tc>
          <w:tcPr>
            <w:tcW w:w="817" w:type="dxa"/>
            <w:tcBorders>
              <w:top w:val="single" w:color="auto" w:sz="4" w:space="0"/>
              <w:left w:val="single" w:color="auto" w:sz="4" w:space="0"/>
              <w:bottom w:val="single" w:color="auto" w:sz="4" w:space="0"/>
              <w:right w:val="single" w:color="auto" w:sz="4" w:space="0"/>
            </w:tcBorders>
            <w:vAlign w:val="center"/>
          </w:tcPr>
          <w:p w14:paraId="0D8260CB">
            <w:pPr>
              <w:snapToGrid w:val="0"/>
              <w:spacing w:before="50" w:after="50"/>
              <w:jc w:val="center"/>
              <w:rPr>
                <w:rFonts w:ascii="宋体" w:hAnsi="宋体"/>
                <w:b/>
                <w:color w:val="auto"/>
                <w:sz w:val="22"/>
                <w:szCs w:val="32"/>
                <w:highlight w:val="none"/>
              </w:rPr>
            </w:pPr>
            <w:r>
              <w:rPr>
                <w:rFonts w:hint="eastAsia" w:ascii="宋体" w:hAnsi="宋体"/>
                <w:b/>
                <w:color w:val="auto"/>
                <w:sz w:val="22"/>
                <w:szCs w:val="32"/>
                <w:highlight w:val="none"/>
              </w:rPr>
              <w:t>序号</w:t>
            </w:r>
          </w:p>
        </w:tc>
        <w:tc>
          <w:tcPr>
            <w:tcW w:w="1192" w:type="dxa"/>
            <w:tcBorders>
              <w:top w:val="single" w:color="auto" w:sz="4" w:space="0"/>
              <w:left w:val="single" w:color="auto" w:sz="4" w:space="0"/>
              <w:bottom w:val="single" w:color="auto" w:sz="4" w:space="0"/>
              <w:right w:val="single" w:color="auto" w:sz="4" w:space="0"/>
            </w:tcBorders>
            <w:vAlign w:val="center"/>
          </w:tcPr>
          <w:p w14:paraId="0C171966">
            <w:pPr>
              <w:snapToGrid w:val="0"/>
              <w:spacing w:before="50" w:after="50"/>
              <w:jc w:val="center"/>
              <w:rPr>
                <w:rFonts w:ascii="宋体" w:hAnsi="宋体"/>
                <w:b/>
                <w:color w:val="auto"/>
                <w:sz w:val="22"/>
                <w:szCs w:val="32"/>
                <w:highlight w:val="none"/>
              </w:rPr>
            </w:pPr>
            <w:r>
              <w:rPr>
                <w:rFonts w:hint="eastAsia" w:ascii="宋体" w:hAnsi="宋体"/>
                <w:b/>
                <w:color w:val="auto"/>
                <w:sz w:val="22"/>
                <w:szCs w:val="32"/>
                <w:highlight w:val="none"/>
              </w:rPr>
              <w:t>货物名称</w:t>
            </w:r>
          </w:p>
        </w:tc>
        <w:tc>
          <w:tcPr>
            <w:tcW w:w="1200" w:type="dxa"/>
            <w:tcBorders>
              <w:top w:val="single" w:color="auto" w:sz="4" w:space="0"/>
              <w:left w:val="single" w:color="auto" w:sz="4" w:space="0"/>
              <w:bottom w:val="single" w:color="auto" w:sz="4" w:space="0"/>
              <w:right w:val="single" w:color="auto" w:sz="4" w:space="0"/>
            </w:tcBorders>
            <w:vAlign w:val="center"/>
          </w:tcPr>
          <w:p w14:paraId="42BB643B">
            <w:pPr>
              <w:snapToGrid w:val="0"/>
              <w:spacing w:before="50" w:after="50"/>
              <w:jc w:val="center"/>
              <w:rPr>
                <w:rFonts w:ascii="宋体" w:hAnsi="宋体"/>
                <w:b/>
                <w:color w:val="auto"/>
                <w:sz w:val="22"/>
                <w:szCs w:val="32"/>
                <w:highlight w:val="none"/>
              </w:rPr>
            </w:pPr>
            <w:r>
              <w:rPr>
                <w:rFonts w:hint="eastAsia" w:ascii="宋体" w:hAnsi="宋体"/>
                <w:b/>
                <w:color w:val="auto"/>
                <w:sz w:val="22"/>
                <w:szCs w:val="32"/>
                <w:highlight w:val="none"/>
              </w:rPr>
              <w:t>规格型号</w:t>
            </w:r>
          </w:p>
        </w:tc>
        <w:tc>
          <w:tcPr>
            <w:tcW w:w="1250" w:type="dxa"/>
            <w:tcBorders>
              <w:top w:val="single" w:color="auto" w:sz="4" w:space="0"/>
              <w:left w:val="single" w:color="auto" w:sz="4" w:space="0"/>
              <w:bottom w:val="single" w:color="auto" w:sz="4" w:space="0"/>
              <w:right w:val="single" w:color="auto" w:sz="4" w:space="0"/>
            </w:tcBorders>
            <w:vAlign w:val="center"/>
          </w:tcPr>
          <w:p w14:paraId="1DB053AF">
            <w:pPr>
              <w:snapToGrid w:val="0"/>
              <w:spacing w:before="50" w:after="50"/>
              <w:jc w:val="center"/>
              <w:rPr>
                <w:rFonts w:ascii="宋体" w:hAnsi="宋体"/>
                <w:b/>
                <w:color w:val="auto"/>
                <w:sz w:val="22"/>
                <w:szCs w:val="32"/>
                <w:highlight w:val="none"/>
              </w:rPr>
            </w:pPr>
            <w:r>
              <w:rPr>
                <w:rFonts w:hint="eastAsia" w:ascii="宋体" w:hAnsi="宋体"/>
                <w:b/>
                <w:color w:val="auto"/>
                <w:sz w:val="22"/>
                <w:szCs w:val="32"/>
                <w:highlight w:val="none"/>
              </w:rPr>
              <w:t>制造商/产地/品牌</w:t>
            </w:r>
          </w:p>
        </w:tc>
        <w:tc>
          <w:tcPr>
            <w:tcW w:w="1366" w:type="dxa"/>
            <w:tcBorders>
              <w:top w:val="single" w:color="auto" w:sz="4" w:space="0"/>
              <w:left w:val="single" w:color="auto" w:sz="4" w:space="0"/>
              <w:bottom w:val="single" w:color="auto" w:sz="4" w:space="0"/>
              <w:right w:val="single" w:color="auto" w:sz="4" w:space="0"/>
            </w:tcBorders>
            <w:vAlign w:val="center"/>
          </w:tcPr>
          <w:p w14:paraId="3BECE21C">
            <w:pPr>
              <w:snapToGrid w:val="0"/>
              <w:spacing w:before="50" w:after="50"/>
              <w:jc w:val="center"/>
              <w:rPr>
                <w:rFonts w:ascii="宋体" w:hAnsi="宋体"/>
                <w:b/>
                <w:color w:val="auto"/>
                <w:sz w:val="22"/>
                <w:szCs w:val="32"/>
                <w:highlight w:val="none"/>
              </w:rPr>
            </w:pPr>
            <w:r>
              <w:rPr>
                <w:rFonts w:hint="eastAsia" w:ascii="宋体" w:hAnsi="宋体"/>
                <w:b/>
                <w:color w:val="auto"/>
                <w:sz w:val="22"/>
                <w:szCs w:val="32"/>
                <w:highlight w:val="none"/>
              </w:rPr>
              <w:t>数量/</w:t>
            </w:r>
            <w:r>
              <w:rPr>
                <w:b/>
                <w:color w:val="auto"/>
                <w:sz w:val="22"/>
                <w:szCs w:val="28"/>
                <w:highlight w:val="none"/>
              </w:rPr>
              <w:t>单位</w:t>
            </w:r>
          </w:p>
        </w:tc>
        <w:tc>
          <w:tcPr>
            <w:tcW w:w="867" w:type="dxa"/>
            <w:tcBorders>
              <w:top w:val="single" w:color="auto" w:sz="4" w:space="0"/>
              <w:left w:val="single" w:color="auto" w:sz="4" w:space="0"/>
              <w:bottom w:val="single" w:color="auto" w:sz="4" w:space="0"/>
              <w:right w:val="single" w:color="auto" w:sz="4" w:space="0"/>
            </w:tcBorders>
            <w:vAlign w:val="center"/>
          </w:tcPr>
          <w:p w14:paraId="5C42D1CD">
            <w:pPr>
              <w:snapToGrid w:val="0"/>
              <w:spacing w:before="50" w:after="50"/>
              <w:jc w:val="center"/>
              <w:rPr>
                <w:rFonts w:ascii="宋体" w:hAnsi="宋体"/>
                <w:b/>
                <w:color w:val="auto"/>
                <w:sz w:val="22"/>
                <w:szCs w:val="32"/>
                <w:highlight w:val="none"/>
              </w:rPr>
            </w:pPr>
            <w:r>
              <w:rPr>
                <w:rFonts w:hint="eastAsia" w:ascii="宋体" w:hAnsi="宋体"/>
                <w:b/>
                <w:color w:val="auto"/>
                <w:sz w:val="22"/>
                <w:szCs w:val="32"/>
                <w:highlight w:val="none"/>
              </w:rPr>
              <w:t>单价</w:t>
            </w:r>
          </w:p>
        </w:tc>
        <w:tc>
          <w:tcPr>
            <w:tcW w:w="1750" w:type="dxa"/>
            <w:tcBorders>
              <w:top w:val="single" w:color="auto" w:sz="4" w:space="0"/>
              <w:left w:val="single" w:color="auto" w:sz="4" w:space="0"/>
              <w:bottom w:val="single" w:color="auto" w:sz="4" w:space="0"/>
              <w:right w:val="single" w:color="auto" w:sz="4" w:space="0"/>
            </w:tcBorders>
            <w:vAlign w:val="center"/>
          </w:tcPr>
          <w:p w14:paraId="4F27A519">
            <w:pPr>
              <w:snapToGrid w:val="0"/>
              <w:spacing w:before="50" w:after="50"/>
              <w:jc w:val="center"/>
              <w:rPr>
                <w:rFonts w:ascii="宋体" w:hAnsi="宋体"/>
                <w:b/>
                <w:color w:val="auto"/>
                <w:sz w:val="22"/>
                <w:szCs w:val="32"/>
                <w:highlight w:val="none"/>
              </w:rPr>
            </w:pPr>
            <w:r>
              <w:rPr>
                <w:rFonts w:hint="eastAsia" w:ascii="宋体" w:hAnsi="宋体"/>
                <w:b/>
                <w:color w:val="auto"/>
                <w:sz w:val="22"/>
                <w:szCs w:val="32"/>
                <w:highlight w:val="none"/>
              </w:rPr>
              <w:t>投标报价小计</w:t>
            </w:r>
          </w:p>
        </w:tc>
        <w:tc>
          <w:tcPr>
            <w:tcW w:w="1502" w:type="dxa"/>
            <w:tcBorders>
              <w:top w:val="single" w:color="auto" w:sz="4" w:space="0"/>
              <w:left w:val="single" w:color="auto" w:sz="4" w:space="0"/>
              <w:bottom w:val="single" w:color="auto" w:sz="4" w:space="0"/>
              <w:right w:val="single" w:color="auto" w:sz="4" w:space="0"/>
            </w:tcBorders>
            <w:vAlign w:val="center"/>
          </w:tcPr>
          <w:p w14:paraId="2CF5814A">
            <w:pPr>
              <w:snapToGrid w:val="0"/>
              <w:spacing w:before="50" w:after="50"/>
              <w:jc w:val="center"/>
              <w:rPr>
                <w:rFonts w:ascii="宋体" w:hAnsi="宋体"/>
                <w:b/>
                <w:color w:val="auto"/>
                <w:sz w:val="22"/>
                <w:szCs w:val="32"/>
                <w:highlight w:val="none"/>
              </w:rPr>
            </w:pPr>
            <w:r>
              <w:rPr>
                <w:rFonts w:hint="eastAsia" w:ascii="宋体" w:hAnsi="宋体"/>
                <w:b/>
                <w:color w:val="auto"/>
                <w:sz w:val="22"/>
                <w:szCs w:val="32"/>
                <w:highlight w:val="none"/>
              </w:rPr>
              <w:t>投标报价</w:t>
            </w:r>
          </w:p>
        </w:tc>
      </w:tr>
      <w:tr w14:paraId="1F95A8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4" w:hRule="atLeast"/>
        </w:trPr>
        <w:tc>
          <w:tcPr>
            <w:tcW w:w="817" w:type="dxa"/>
            <w:tcBorders>
              <w:top w:val="single" w:color="auto" w:sz="4" w:space="0"/>
              <w:left w:val="single" w:color="auto" w:sz="4" w:space="0"/>
              <w:right w:val="single" w:color="auto" w:sz="4" w:space="0"/>
            </w:tcBorders>
            <w:vAlign w:val="center"/>
          </w:tcPr>
          <w:p w14:paraId="3C907868">
            <w:pPr>
              <w:snapToGrid w:val="0"/>
              <w:spacing w:before="50" w:after="50"/>
              <w:jc w:val="center"/>
              <w:rPr>
                <w:color w:val="auto"/>
                <w:sz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1FE11688">
            <w:pPr>
              <w:snapToGrid w:val="0"/>
              <w:jc w:val="center"/>
              <w:rPr>
                <w:rFonts w:ascii="宋体" w:hAnsi="宋体" w:cs="Arial"/>
                <w:bCs/>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498C8133">
            <w:pPr>
              <w:snapToGrid w:val="0"/>
              <w:jc w:val="center"/>
              <w:rPr>
                <w:rFonts w:ascii="宋体" w:hAnsi="宋体" w:cs="Arial"/>
                <w:bCs/>
                <w:color w:val="auto"/>
                <w:sz w:val="24"/>
                <w:highlight w:val="none"/>
              </w:rPr>
            </w:pPr>
          </w:p>
        </w:tc>
        <w:tc>
          <w:tcPr>
            <w:tcW w:w="1250" w:type="dxa"/>
            <w:tcBorders>
              <w:top w:val="single" w:color="auto" w:sz="4" w:space="0"/>
              <w:left w:val="single" w:color="auto" w:sz="4" w:space="0"/>
              <w:bottom w:val="single" w:color="auto" w:sz="4" w:space="0"/>
              <w:right w:val="single" w:color="auto" w:sz="4" w:space="0"/>
            </w:tcBorders>
            <w:vAlign w:val="center"/>
          </w:tcPr>
          <w:p w14:paraId="374C351B">
            <w:pPr>
              <w:snapToGrid w:val="0"/>
              <w:jc w:val="center"/>
              <w:rPr>
                <w:rFonts w:ascii="宋体" w:hAnsi="宋体" w:cs="Arial"/>
                <w:bCs/>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vAlign w:val="center"/>
          </w:tcPr>
          <w:p w14:paraId="45B51073">
            <w:pPr>
              <w:snapToGrid w:val="0"/>
              <w:spacing w:before="50" w:after="50"/>
              <w:rPr>
                <w:rFonts w:ascii="宋体" w:hAnsi="宋体"/>
                <w:color w:val="auto"/>
                <w:sz w:val="32"/>
                <w:szCs w:val="21"/>
                <w:highlight w:val="none"/>
              </w:rPr>
            </w:pPr>
          </w:p>
        </w:tc>
        <w:tc>
          <w:tcPr>
            <w:tcW w:w="867" w:type="dxa"/>
            <w:tcBorders>
              <w:top w:val="single" w:color="auto" w:sz="4" w:space="0"/>
              <w:left w:val="single" w:color="auto" w:sz="4" w:space="0"/>
              <w:bottom w:val="single" w:color="auto" w:sz="4" w:space="0"/>
              <w:right w:val="single" w:color="auto" w:sz="4" w:space="0"/>
            </w:tcBorders>
          </w:tcPr>
          <w:p w14:paraId="222218DA">
            <w:pPr>
              <w:snapToGrid w:val="0"/>
              <w:spacing w:before="50" w:after="50"/>
              <w:rPr>
                <w:rFonts w:ascii="宋体" w:hAnsi="宋体"/>
                <w:color w:val="auto"/>
                <w:sz w:val="32"/>
                <w:szCs w:val="21"/>
                <w:highlight w:val="none"/>
              </w:rPr>
            </w:pPr>
          </w:p>
        </w:tc>
        <w:tc>
          <w:tcPr>
            <w:tcW w:w="1750" w:type="dxa"/>
            <w:tcBorders>
              <w:top w:val="single" w:color="auto" w:sz="4" w:space="0"/>
              <w:left w:val="single" w:color="auto" w:sz="4" w:space="0"/>
              <w:bottom w:val="single" w:color="auto" w:sz="4" w:space="0"/>
              <w:right w:val="single" w:color="auto" w:sz="4" w:space="0"/>
            </w:tcBorders>
          </w:tcPr>
          <w:p w14:paraId="35B0299D">
            <w:pPr>
              <w:snapToGrid w:val="0"/>
              <w:spacing w:before="50" w:after="50"/>
              <w:rPr>
                <w:rFonts w:ascii="宋体" w:hAnsi="宋体"/>
                <w:color w:val="auto"/>
                <w:sz w:val="32"/>
                <w:szCs w:val="21"/>
                <w:highlight w:val="none"/>
              </w:rPr>
            </w:pPr>
          </w:p>
        </w:tc>
        <w:tc>
          <w:tcPr>
            <w:tcW w:w="1502" w:type="dxa"/>
            <w:vMerge w:val="restart"/>
            <w:tcBorders>
              <w:top w:val="single" w:color="auto" w:sz="4" w:space="0"/>
              <w:left w:val="single" w:color="auto" w:sz="4" w:space="0"/>
              <w:right w:val="single" w:color="auto" w:sz="4" w:space="0"/>
            </w:tcBorders>
          </w:tcPr>
          <w:p w14:paraId="3D6CF255">
            <w:pPr>
              <w:snapToGrid w:val="0"/>
              <w:spacing w:before="50" w:after="50"/>
              <w:rPr>
                <w:rFonts w:ascii="宋体" w:hAnsi="宋体"/>
                <w:color w:val="auto"/>
                <w:sz w:val="32"/>
                <w:szCs w:val="21"/>
                <w:highlight w:val="none"/>
              </w:rPr>
            </w:pPr>
          </w:p>
        </w:tc>
      </w:tr>
      <w:tr w14:paraId="7BC99C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4" w:hRule="atLeast"/>
        </w:trPr>
        <w:tc>
          <w:tcPr>
            <w:tcW w:w="817" w:type="dxa"/>
            <w:tcBorders>
              <w:top w:val="single" w:color="auto" w:sz="4" w:space="0"/>
              <w:left w:val="single" w:color="auto" w:sz="4" w:space="0"/>
              <w:right w:val="single" w:color="auto" w:sz="4" w:space="0"/>
            </w:tcBorders>
            <w:vAlign w:val="center"/>
          </w:tcPr>
          <w:p w14:paraId="347C6E0B">
            <w:pPr>
              <w:snapToGrid w:val="0"/>
              <w:spacing w:before="50" w:after="50"/>
              <w:jc w:val="center"/>
              <w:rPr>
                <w:color w:val="auto"/>
                <w:sz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3D7D84EB">
            <w:pPr>
              <w:snapToGrid w:val="0"/>
              <w:jc w:val="center"/>
              <w:rPr>
                <w:rFonts w:ascii="宋体" w:hAnsi="宋体" w:cs="Arial"/>
                <w:bCs/>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00F6D91C">
            <w:pPr>
              <w:snapToGrid w:val="0"/>
              <w:jc w:val="center"/>
              <w:rPr>
                <w:rFonts w:ascii="宋体" w:hAnsi="宋体" w:cs="Arial"/>
                <w:bCs/>
                <w:color w:val="auto"/>
                <w:sz w:val="24"/>
                <w:highlight w:val="none"/>
              </w:rPr>
            </w:pPr>
          </w:p>
        </w:tc>
        <w:tc>
          <w:tcPr>
            <w:tcW w:w="1250" w:type="dxa"/>
            <w:tcBorders>
              <w:top w:val="single" w:color="auto" w:sz="4" w:space="0"/>
              <w:left w:val="single" w:color="auto" w:sz="4" w:space="0"/>
              <w:bottom w:val="single" w:color="auto" w:sz="4" w:space="0"/>
              <w:right w:val="single" w:color="auto" w:sz="4" w:space="0"/>
            </w:tcBorders>
            <w:vAlign w:val="center"/>
          </w:tcPr>
          <w:p w14:paraId="75B0737E">
            <w:pPr>
              <w:snapToGrid w:val="0"/>
              <w:jc w:val="center"/>
              <w:rPr>
                <w:rFonts w:ascii="宋体" w:hAnsi="宋体" w:cs="Arial"/>
                <w:bCs/>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vAlign w:val="center"/>
          </w:tcPr>
          <w:p w14:paraId="0CC6D5C2">
            <w:pPr>
              <w:snapToGrid w:val="0"/>
              <w:spacing w:before="50" w:after="50"/>
              <w:rPr>
                <w:rFonts w:ascii="宋体" w:hAnsi="宋体"/>
                <w:color w:val="auto"/>
                <w:sz w:val="32"/>
                <w:szCs w:val="21"/>
                <w:highlight w:val="none"/>
              </w:rPr>
            </w:pPr>
          </w:p>
        </w:tc>
        <w:tc>
          <w:tcPr>
            <w:tcW w:w="867" w:type="dxa"/>
            <w:tcBorders>
              <w:top w:val="single" w:color="auto" w:sz="4" w:space="0"/>
              <w:left w:val="single" w:color="auto" w:sz="4" w:space="0"/>
              <w:bottom w:val="single" w:color="auto" w:sz="4" w:space="0"/>
              <w:right w:val="single" w:color="auto" w:sz="4" w:space="0"/>
            </w:tcBorders>
          </w:tcPr>
          <w:p w14:paraId="49492C0A">
            <w:pPr>
              <w:snapToGrid w:val="0"/>
              <w:spacing w:before="50" w:after="50"/>
              <w:rPr>
                <w:rFonts w:ascii="宋体" w:hAnsi="宋体"/>
                <w:color w:val="auto"/>
                <w:sz w:val="32"/>
                <w:szCs w:val="21"/>
                <w:highlight w:val="none"/>
              </w:rPr>
            </w:pPr>
          </w:p>
        </w:tc>
        <w:tc>
          <w:tcPr>
            <w:tcW w:w="1750" w:type="dxa"/>
            <w:tcBorders>
              <w:top w:val="single" w:color="auto" w:sz="4" w:space="0"/>
              <w:left w:val="single" w:color="auto" w:sz="4" w:space="0"/>
              <w:bottom w:val="single" w:color="auto" w:sz="4" w:space="0"/>
              <w:right w:val="single" w:color="auto" w:sz="4" w:space="0"/>
            </w:tcBorders>
          </w:tcPr>
          <w:p w14:paraId="1BEBABFD">
            <w:pPr>
              <w:snapToGrid w:val="0"/>
              <w:spacing w:before="50" w:after="50"/>
              <w:rPr>
                <w:rFonts w:ascii="宋体" w:hAnsi="宋体"/>
                <w:b/>
                <w:bCs/>
                <w:color w:val="auto"/>
                <w:sz w:val="32"/>
                <w:szCs w:val="21"/>
                <w:highlight w:val="none"/>
              </w:rPr>
            </w:pPr>
          </w:p>
        </w:tc>
        <w:tc>
          <w:tcPr>
            <w:tcW w:w="1502" w:type="dxa"/>
            <w:vMerge w:val="continue"/>
            <w:tcBorders>
              <w:left w:val="single" w:color="auto" w:sz="4" w:space="0"/>
              <w:right w:val="single" w:color="auto" w:sz="4" w:space="0"/>
            </w:tcBorders>
          </w:tcPr>
          <w:p w14:paraId="112A1DDE">
            <w:pPr>
              <w:snapToGrid w:val="0"/>
              <w:spacing w:before="50" w:after="50"/>
              <w:rPr>
                <w:rFonts w:ascii="宋体" w:hAnsi="宋体"/>
                <w:color w:val="auto"/>
                <w:sz w:val="32"/>
                <w:szCs w:val="21"/>
                <w:highlight w:val="none"/>
              </w:rPr>
            </w:pPr>
          </w:p>
        </w:tc>
      </w:tr>
      <w:tr w14:paraId="6B82AA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4" w:hRule="atLeast"/>
        </w:trPr>
        <w:tc>
          <w:tcPr>
            <w:tcW w:w="817" w:type="dxa"/>
            <w:tcBorders>
              <w:top w:val="single" w:color="auto" w:sz="4" w:space="0"/>
              <w:left w:val="single" w:color="auto" w:sz="4" w:space="0"/>
              <w:right w:val="single" w:color="auto" w:sz="4" w:space="0"/>
            </w:tcBorders>
            <w:vAlign w:val="center"/>
          </w:tcPr>
          <w:p w14:paraId="1BA29C22">
            <w:pPr>
              <w:snapToGrid w:val="0"/>
              <w:spacing w:before="50" w:after="50"/>
              <w:jc w:val="center"/>
              <w:rPr>
                <w:color w:val="auto"/>
                <w:sz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11ABB34A">
            <w:pPr>
              <w:snapToGrid w:val="0"/>
              <w:jc w:val="center"/>
              <w:rPr>
                <w:rFonts w:ascii="宋体" w:hAnsi="宋体" w:cs="Arial"/>
                <w:bCs/>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0C551713">
            <w:pPr>
              <w:snapToGrid w:val="0"/>
              <w:jc w:val="center"/>
              <w:rPr>
                <w:rFonts w:ascii="宋体" w:hAnsi="宋体" w:cs="Arial"/>
                <w:bCs/>
                <w:color w:val="auto"/>
                <w:sz w:val="24"/>
                <w:highlight w:val="none"/>
              </w:rPr>
            </w:pPr>
          </w:p>
        </w:tc>
        <w:tc>
          <w:tcPr>
            <w:tcW w:w="1250" w:type="dxa"/>
            <w:tcBorders>
              <w:top w:val="single" w:color="auto" w:sz="4" w:space="0"/>
              <w:left w:val="single" w:color="auto" w:sz="4" w:space="0"/>
              <w:bottom w:val="single" w:color="auto" w:sz="4" w:space="0"/>
              <w:right w:val="single" w:color="auto" w:sz="4" w:space="0"/>
            </w:tcBorders>
            <w:vAlign w:val="center"/>
          </w:tcPr>
          <w:p w14:paraId="499A029D">
            <w:pPr>
              <w:snapToGrid w:val="0"/>
              <w:jc w:val="center"/>
              <w:rPr>
                <w:rFonts w:ascii="宋体" w:hAnsi="宋体" w:cs="Arial"/>
                <w:bCs/>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vAlign w:val="center"/>
          </w:tcPr>
          <w:p w14:paraId="1711B075">
            <w:pPr>
              <w:snapToGrid w:val="0"/>
              <w:spacing w:before="50" w:after="50"/>
              <w:rPr>
                <w:rFonts w:ascii="宋体" w:hAnsi="宋体"/>
                <w:color w:val="auto"/>
                <w:sz w:val="32"/>
                <w:szCs w:val="21"/>
                <w:highlight w:val="none"/>
              </w:rPr>
            </w:pPr>
          </w:p>
        </w:tc>
        <w:tc>
          <w:tcPr>
            <w:tcW w:w="867" w:type="dxa"/>
            <w:tcBorders>
              <w:top w:val="single" w:color="auto" w:sz="4" w:space="0"/>
              <w:left w:val="single" w:color="auto" w:sz="4" w:space="0"/>
              <w:bottom w:val="single" w:color="auto" w:sz="4" w:space="0"/>
              <w:right w:val="single" w:color="auto" w:sz="4" w:space="0"/>
            </w:tcBorders>
          </w:tcPr>
          <w:p w14:paraId="04AFEF48">
            <w:pPr>
              <w:snapToGrid w:val="0"/>
              <w:spacing w:before="50" w:after="50"/>
              <w:rPr>
                <w:rFonts w:ascii="宋体" w:hAnsi="宋体"/>
                <w:color w:val="auto"/>
                <w:sz w:val="32"/>
                <w:szCs w:val="21"/>
                <w:highlight w:val="none"/>
              </w:rPr>
            </w:pPr>
          </w:p>
        </w:tc>
        <w:tc>
          <w:tcPr>
            <w:tcW w:w="1750" w:type="dxa"/>
            <w:tcBorders>
              <w:top w:val="single" w:color="auto" w:sz="4" w:space="0"/>
              <w:left w:val="single" w:color="auto" w:sz="4" w:space="0"/>
              <w:bottom w:val="single" w:color="auto" w:sz="4" w:space="0"/>
              <w:right w:val="single" w:color="auto" w:sz="4" w:space="0"/>
            </w:tcBorders>
          </w:tcPr>
          <w:p w14:paraId="79C444D1">
            <w:pPr>
              <w:snapToGrid w:val="0"/>
              <w:spacing w:before="50" w:after="50"/>
              <w:rPr>
                <w:rFonts w:ascii="宋体" w:hAnsi="宋体"/>
                <w:color w:val="auto"/>
                <w:sz w:val="32"/>
                <w:szCs w:val="21"/>
                <w:highlight w:val="none"/>
              </w:rPr>
            </w:pPr>
          </w:p>
        </w:tc>
        <w:tc>
          <w:tcPr>
            <w:tcW w:w="1502" w:type="dxa"/>
            <w:vMerge w:val="continue"/>
            <w:tcBorders>
              <w:left w:val="single" w:color="auto" w:sz="4" w:space="0"/>
              <w:right w:val="single" w:color="auto" w:sz="4" w:space="0"/>
            </w:tcBorders>
          </w:tcPr>
          <w:p w14:paraId="74F87FA6">
            <w:pPr>
              <w:snapToGrid w:val="0"/>
              <w:spacing w:before="50" w:after="50"/>
              <w:rPr>
                <w:rFonts w:ascii="宋体" w:hAnsi="宋体"/>
                <w:color w:val="auto"/>
                <w:sz w:val="32"/>
                <w:szCs w:val="21"/>
                <w:highlight w:val="none"/>
              </w:rPr>
            </w:pPr>
          </w:p>
        </w:tc>
      </w:tr>
      <w:tr w14:paraId="376441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4" w:hRule="atLeast"/>
        </w:trPr>
        <w:tc>
          <w:tcPr>
            <w:tcW w:w="817" w:type="dxa"/>
            <w:tcBorders>
              <w:top w:val="single" w:color="auto" w:sz="4" w:space="0"/>
              <w:left w:val="single" w:color="auto" w:sz="4" w:space="0"/>
              <w:right w:val="single" w:color="auto" w:sz="4" w:space="0"/>
            </w:tcBorders>
            <w:vAlign w:val="center"/>
          </w:tcPr>
          <w:p w14:paraId="2A8C68D3">
            <w:pPr>
              <w:snapToGrid w:val="0"/>
              <w:spacing w:before="50" w:after="50"/>
              <w:jc w:val="center"/>
              <w:rPr>
                <w:color w:val="auto"/>
                <w:sz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2FB69637">
            <w:pPr>
              <w:snapToGrid w:val="0"/>
              <w:jc w:val="center"/>
              <w:rPr>
                <w:rFonts w:ascii="宋体" w:hAnsi="宋体" w:cs="Arial"/>
                <w:bCs/>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6E52934F">
            <w:pPr>
              <w:snapToGrid w:val="0"/>
              <w:jc w:val="center"/>
              <w:rPr>
                <w:rFonts w:ascii="宋体" w:hAnsi="宋体" w:cs="Arial"/>
                <w:bCs/>
                <w:color w:val="auto"/>
                <w:sz w:val="24"/>
                <w:highlight w:val="none"/>
              </w:rPr>
            </w:pPr>
          </w:p>
        </w:tc>
        <w:tc>
          <w:tcPr>
            <w:tcW w:w="1250" w:type="dxa"/>
            <w:tcBorders>
              <w:top w:val="single" w:color="auto" w:sz="4" w:space="0"/>
              <w:left w:val="single" w:color="auto" w:sz="4" w:space="0"/>
              <w:bottom w:val="single" w:color="auto" w:sz="4" w:space="0"/>
              <w:right w:val="single" w:color="auto" w:sz="4" w:space="0"/>
            </w:tcBorders>
            <w:vAlign w:val="center"/>
          </w:tcPr>
          <w:p w14:paraId="001B29E8">
            <w:pPr>
              <w:snapToGrid w:val="0"/>
              <w:jc w:val="center"/>
              <w:rPr>
                <w:rFonts w:ascii="宋体" w:hAnsi="宋体" w:cs="Arial"/>
                <w:bCs/>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vAlign w:val="center"/>
          </w:tcPr>
          <w:p w14:paraId="6698CEBD">
            <w:pPr>
              <w:snapToGrid w:val="0"/>
              <w:spacing w:before="50" w:after="50"/>
              <w:rPr>
                <w:rFonts w:ascii="宋体" w:hAnsi="宋体"/>
                <w:color w:val="auto"/>
                <w:sz w:val="32"/>
                <w:szCs w:val="21"/>
                <w:highlight w:val="none"/>
              </w:rPr>
            </w:pPr>
          </w:p>
        </w:tc>
        <w:tc>
          <w:tcPr>
            <w:tcW w:w="867" w:type="dxa"/>
            <w:tcBorders>
              <w:top w:val="single" w:color="auto" w:sz="4" w:space="0"/>
              <w:left w:val="single" w:color="auto" w:sz="4" w:space="0"/>
              <w:bottom w:val="single" w:color="auto" w:sz="4" w:space="0"/>
              <w:right w:val="single" w:color="auto" w:sz="4" w:space="0"/>
            </w:tcBorders>
          </w:tcPr>
          <w:p w14:paraId="1ED77E8A">
            <w:pPr>
              <w:snapToGrid w:val="0"/>
              <w:spacing w:before="50" w:after="50"/>
              <w:rPr>
                <w:rFonts w:ascii="宋体" w:hAnsi="宋体"/>
                <w:color w:val="auto"/>
                <w:sz w:val="32"/>
                <w:szCs w:val="21"/>
                <w:highlight w:val="none"/>
              </w:rPr>
            </w:pPr>
          </w:p>
        </w:tc>
        <w:tc>
          <w:tcPr>
            <w:tcW w:w="1750" w:type="dxa"/>
            <w:tcBorders>
              <w:top w:val="single" w:color="auto" w:sz="4" w:space="0"/>
              <w:left w:val="single" w:color="auto" w:sz="4" w:space="0"/>
              <w:bottom w:val="single" w:color="auto" w:sz="4" w:space="0"/>
              <w:right w:val="single" w:color="auto" w:sz="4" w:space="0"/>
            </w:tcBorders>
          </w:tcPr>
          <w:p w14:paraId="6CCAE6B4">
            <w:pPr>
              <w:snapToGrid w:val="0"/>
              <w:spacing w:before="50" w:after="50"/>
              <w:rPr>
                <w:rFonts w:ascii="宋体" w:hAnsi="宋体"/>
                <w:color w:val="auto"/>
                <w:sz w:val="32"/>
                <w:szCs w:val="21"/>
                <w:highlight w:val="none"/>
              </w:rPr>
            </w:pPr>
          </w:p>
        </w:tc>
        <w:tc>
          <w:tcPr>
            <w:tcW w:w="1502" w:type="dxa"/>
            <w:vMerge w:val="continue"/>
            <w:tcBorders>
              <w:left w:val="single" w:color="auto" w:sz="4" w:space="0"/>
              <w:right w:val="single" w:color="auto" w:sz="4" w:space="0"/>
            </w:tcBorders>
          </w:tcPr>
          <w:p w14:paraId="741AE0D4">
            <w:pPr>
              <w:snapToGrid w:val="0"/>
              <w:spacing w:before="50" w:after="50"/>
              <w:rPr>
                <w:rFonts w:ascii="宋体" w:hAnsi="宋体"/>
                <w:color w:val="auto"/>
                <w:sz w:val="32"/>
                <w:szCs w:val="21"/>
                <w:highlight w:val="none"/>
              </w:rPr>
            </w:pPr>
          </w:p>
        </w:tc>
      </w:tr>
      <w:tr w14:paraId="05DD46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4" w:hRule="atLeast"/>
        </w:trPr>
        <w:tc>
          <w:tcPr>
            <w:tcW w:w="817" w:type="dxa"/>
            <w:tcBorders>
              <w:top w:val="single" w:color="auto" w:sz="4" w:space="0"/>
              <w:left w:val="single" w:color="auto" w:sz="4" w:space="0"/>
              <w:right w:val="single" w:color="auto" w:sz="4" w:space="0"/>
            </w:tcBorders>
            <w:vAlign w:val="center"/>
          </w:tcPr>
          <w:p w14:paraId="4D55A7CC">
            <w:pPr>
              <w:snapToGrid w:val="0"/>
              <w:spacing w:before="50" w:after="50"/>
              <w:jc w:val="center"/>
              <w:rPr>
                <w:color w:val="auto"/>
                <w:sz w:val="24"/>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0226CE9C">
            <w:pPr>
              <w:snapToGrid w:val="0"/>
              <w:jc w:val="center"/>
              <w:rPr>
                <w:rFonts w:ascii="宋体" w:hAnsi="宋体" w:cs="Arial"/>
                <w:bCs/>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21BD5941">
            <w:pPr>
              <w:snapToGrid w:val="0"/>
              <w:jc w:val="center"/>
              <w:rPr>
                <w:rFonts w:ascii="宋体" w:hAnsi="宋体" w:cs="Arial"/>
                <w:bCs/>
                <w:color w:val="auto"/>
                <w:sz w:val="24"/>
                <w:highlight w:val="none"/>
              </w:rPr>
            </w:pPr>
          </w:p>
        </w:tc>
        <w:tc>
          <w:tcPr>
            <w:tcW w:w="1250" w:type="dxa"/>
            <w:tcBorders>
              <w:top w:val="single" w:color="auto" w:sz="4" w:space="0"/>
              <w:left w:val="single" w:color="auto" w:sz="4" w:space="0"/>
              <w:bottom w:val="single" w:color="auto" w:sz="4" w:space="0"/>
              <w:right w:val="single" w:color="auto" w:sz="4" w:space="0"/>
            </w:tcBorders>
            <w:vAlign w:val="center"/>
          </w:tcPr>
          <w:p w14:paraId="1622B471">
            <w:pPr>
              <w:snapToGrid w:val="0"/>
              <w:jc w:val="center"/>
              <w:rPr>
                <w:rFonts w:ascii="宋体" w:hAnsi="宋体" w:cs="Arial"/>
                <w:bCs/>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vAlign w:val="center"/>
          </w:tcPr>
          <w:p w14:paraId="01792055">
            <w:pPr>
              <w:snapToGrid w:val="0"/>
              <w:spacing w:before="50" w:after="50"/>
              <w:rPr>
                <w:rFonts w:ascii="宋体" w:hAnsi="宋体"/>
                <w:color w:val="auto"/>
                <w:sz w:val="32"/>
                <w:szCs w:val="21"/>
                <w:highlight w:val="none"/>
              </w:rPr>
            </w:pPr>
          </w:p>
        </w:tc>
        <w:tc>
          <w:tcPr>
            <w:tcW w:w="867" w:type="dxa"/>
            <w:tcBorders>
              <w:top w:val="single" w:color="auto" w:sz="4" w:space="0"/>
              <w:left w:val="single" w:color="auto" w:sz="4" w:space="0"/>
              <w:bottom w:val="single" w:color="auto" w:sz="4" w:space="0"/>
              <w:right w:val="single" w:color="auto" w:sz="4" w:space="0"/>
            </w:tcBorders>
          </w:tcPr>
          <w:p w14:paraId="4C0836E5">
            <w:pPr>
              <w:snapToGrid w:val="0"/>
              <w:spacing w:before="50" w:after="50"/>
              <w:rPr>
                <w:rFonts w:ascii="宋体" w:hAnsi="宋体"/>
                <w:color w:val="auto"/>
                <w:sz w:val="32"/>
                <w:szCs w:val="21"/>
                <w:highlight w:val="none"/>
              </w:rPr>
            </w:pPr>
          </w:p>
        </w:tc>
        <w:tc>
          <w:tcPr>
            <w:tcW w:w="1750" w:type="dxa"/>
            <w:tcBorders>
              <w:top w:val="single" w:color="auto" w:sz="4" w:space="0"/>
              <w:left w:val="single" w:color="auto" w:sz="4" w:space="0"/>
              <w:bottom w:val="single" w:color="auto" w:sz="4" w:space="0"/>
              <w:right w:val="single" w:color="auto" w:sz="4" w:space="0"/>
            </w:tcBorders>
          </w:tcPr>
          <w:p w14:paraId="77CDE8B6">
            <w:pPr>
              <w:snapToGrid w:val="0"/>
              <w:spacing w:before="50" w:after="50"/>
              <w:rPr>
                <w:rFonts w:ascii="宋体" w:hAnsi="宋体"/>
                <w:color w:val="auto"/>
                <w:sz w:val="32"/>
                <w:szCs w:val="21"/>
                <w:highlight w:val="none"/>
              </w:rPr>
            </w:pPr>
          </w:p>
        </w:tc>
        <w:tc>
          <w:tcPr>
            <w:tcW w:w="1502" w:type="dxa"/>
            <w:vMerge w:val="continue"/>
            <w:tcBorders>
              <w:left w:val="single" w:color="auto" w:sz="4" w:space="0"/>
              <w:right w:val="single" w:color="auto" w:sz="4" w:space="0"/>
            </w:tcBorders>
          </w:tcPr>
          <w:p w14:paraId="264C70A7">
            <w:pPr>
              <w:snapToGrid w:val="0"/>
              <w:spacing w:before="50" w:after="50"/>
              <w:rPr>
                <w:rFonts w:ascii="宋体" w:hAnsi="宋体"/>
                <w:color w:val="auto"/>
                <w:sz w:val="32"/>
                <w:szCs w:val="21"/>
                <w:highlight w:val="none"/>
              </w:rPr>
            </w:pPr>
          </w:p>
        </w:tc>
      </w:tr>
      <w:tr w14:paraId="599B95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9" w:hRule="atLeast"/>
        </w:trPr>
        <w:tc>
          <w:tcPr>
            <w:tcW w:w="817" w:type="dxa"/>
            <w:tcBorders>
              <w:top w:val="single" w:color="auto" w:sz="4" w:space="0"/>
              <w:left w:val="single" w:color="auto" w:sz="4" w:space="0"/>
              <w:bottom w:val="single" w:color="auto" w:sz="4" w:space="0"/>
              <w:right w:val="single" w:color="auto" w:sz="4" w:space="0"/>
            </w:tcBorders>
            <w:vAlign w:val="center"/>
          </w:tcPr>
          <w:p w14:paraId="2758803D">
            <w:pPr>
              <w:snapToGrid w:val="0"/>
              <w:spacing w:before="50" w:after="50"/>
              <w:jc w:val="center"/>
              <w:rPr>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3E4FD9A8">
            <w:pPr>
              <w:snapToGrid w:val="0"/>
              <w:jc w:val="center"/>
              <w:rPr>
                <w:rFonts w:ascii="宋体" w:hAnsi="宋体" w:cs="Arial"/>
                <w:bCs/>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5A66BDD6">
            <w:pPr>
              <w:snapToGrid w:val="0"/>
              <w:jc w:val="center"/>
              <w:rPr>
                <w:rFonts w:ascii="宋体" w:hAnsi="宋体" w:cs="Arial"/>
                <w:bCs/>
                <w:color w:val="auto"/>
                <w:sz w:val="24"/>
                <w:highlight w:val="none"/>
              </w:rPr>
            </w:pPr>
          </w:p>
        </w:tc>
        <w:tc>
          <w:tcPr>
            <w:tcW w:w="1250" w:type="dxa"/>
            <w:tcBorders>
              <w:top w:val="single" w:color="auto" w:sz="4" w:space="0"/>
              <w:left w:val="single" w:color="auto" w:sz="4" w:space="0"/>
              <w:bottom w:val="single" w:color="auto" w:sz="4" w:space="0"/>
              <w:right w:val="single" w:color="auto" w:sz="4" w:space="0"/>
            </w:tcBorders>
            <w:vAlign w:val="center"/>
          </w:tcPr>
          <w:p w14:paraId="1E9C300B">
            <w:pPr>
              <w:snapToGrid w:val="0"/>
              <w:jc w:val="center"/>
              <w:rPr>
                <w:rFonts w:ascii="宋体" w:hAnsi="宋体" w:cs="Arial"/>
                <w:bCs/>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vAlign w:val="center"/>
          </w:tcPr>
          <w:p w14:paraId="6D39E9A5">
            <w:pPr>
              <w:snapToGrid w:val="0"/>
              <w:spacing w:before="50" w:after="50"/>
              <w:rPr>
                <w:rFonts w:ascii="宋体" w:hAnsi="宋体"/>
                <w:color w:val="auto"/>
                <w:sz w:val="32"/>
                <w:szCs w:val="21"/>
                <w:highlight w:val="none"/>
              </w:rPr>
            </w:pPr>
          </w:p>
        </w:tc>
        <w:tc>
          <w:tcPr>
            <w:tcW w:w="867" w:type="dxa"/>
            <w:tcBorders>
              <w:top w:val="single" w:color="auto" w:sz="4" w:space="0"/>
              <w:left w:val="single" w:color="auto" w:sz="4" w:space="0"/>
              <w:bottom w:val="single" w:color="auto" w:sz="4" w:space="0"/>
              <w:right w:val="single" w:color="auto" w:sz="4" w:space="0"/>
            </w:tcBorders>
          </w:tcPr>
          <w:p w14:paraId="25678CBC">
            <w:pPr>
              <w:snapToGrid w:val="0"/>
              <w:spacing w:before="50" w:after="50"/>
              <w:rPr>
                <w:rFonts w:ascii="宋体" w:hAnsi="宋体"/>
                <w:color w:val="auto"/>
                <w:sz w:val="32"/>
                <w:szCs w:val="21"/>
                <w:highlight w:val="none"/>
              </w:rPr>
            </w:pPr>
          </w:p>
        </w:tc>
        <w:tc>
          <w:tcPr>
            <w:tcW w:w="1750" w:type="dxa"/>
            <w:tcBorders>
              <w:top w:val="single" w:color="auto" w:sz="4" w:space="0"/>
              <w:left w:val="single" w:color="auto" w:sz="4" w:space="0"/>
              <w:bottom w:val="single" w:color="auto" w:sz="4" w:space="0"/>
              <w:right w:val="single" w:color="auto" w:sz="4" w:space="0"/>
            </w:tcBorders>
          </w:tcPr>
          <w:p w14:paraId="52DCC921">
            <w:pPr>
              <w:snapToGrid w:val="0"/>
              <w:spacing w:before="50" w:after="50"/>
              <w:rPr>
                <w:rFonts w:ascii="宋体" w:hAnsi="宋体"/>
                <w:color w:val="auto"/>
                <w:sz w:val="32"/>
                <w:szCs w:val="21"/>
                <w:highlight w:val="none"/>
              </w:rPr>
            </w:pPr>
          </w:p>
        </w:tc>
        <w:tc>
          <w:tcPr>
            <w:tcW w:w="1502" w:type="dxa"/>
            <w:vMerge w:val="continue"/>
            <w:tcBorders>
              <w:left w:val="single" w:color="auto" w:sz="4" w:space="0"/>
              <w:right w:val="single" w:color="auto" w:sz="4" w:space="0"/>
            </w:tcBorders>
          </w:tcPr>
          <w:p w14:paraId="00926414">
            <w:pPr>
              <w:snapToGrid w:val="0"/>
              <w:spacing w:before="50" w:after="50"/>
              <w:rPr>
                <w:rFonts w:ascii="宋体" w:hAnsi="宋体"/>
                <w:color w:val="auto"/>
                <w:sz w:val="32"/>
                <w:szCs w:val="21"/>
                <w:highlight w:val="none"/>
              </w:rPr>
            </w:pPr>
          </w:p>
        </w:tc>
      </w:tr>
      <w:tr w14:paraId="6AE476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0" w:hRule="atLeast"/>
        </w:trPr>
        <w:tc>
          <w:tcPr>
            <w:tcW w:w="817" w:type="dxa"/>
            <w:tcBorders>
              <w:top w:val="single" w:color="auto" w:sz="4" w:space="0"/>
              <w:left w:val="single" w:color="auto" w:sz="4" w:space="0"/>
              <w:bottom w:val="single" w:color="auto" w:sz="4" w:space="0"/>
              <w:right w:val="single" w:color="auto" w:sz="4" w:space="0"/>
            </w:tcBorders>
            <w:vAlign w:val="center"/>
          </w:tcPr>
          <w:p w14:paraId="5962CEA2">
            <w:pPr>
              <w:snapToGrid w:val="0"/>
              <w:spacing w:before="50" w:after="50"/>
              <w:jc w:val="center"/>
              <w:rPr>
                <w:color w:val="auto"/>
                <w:sz w:val="28"/>
                <w:szCs w:val="28"/>
                <w:highlight w:val="none"/>
              </w:rPr>
            </w:pPr>
          </w:p>
        </w:tc>
        <w:tc>
          <w:tcPr>
            <w:tcW w:w="1192" w:type="dxa"/>
            <w:tcBorders>
              <w:top w:val="single" w:color="auto" w:sz="4" w:space="0"/>
              <w:left w:val="single" w:color="auto" w:sz="4" w:space="0"/>
              <w:bottom w:val="single" w:color="auto" w:sz="4" w:space="0"/>
              <w:right w:val="single" w:color="auto" w:sz="4" w:space="0"/>
            </w:tcBorders>
            <w:vAlign w:val="center"/>
          </w:tcPr>
          <w:p w14:paraId="77828FFF">
            <w:pPr>
              <w:snapToGrid w:val="0"/>
              <w:jc w:val="center"/>
              <w:rPr>
                <w:rFonts w:ascii="宋体" w:hAnsi="宋体" w:cs="Arial"/>
                <w:bCs/>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75ABE90E">
            <w:pPr>
              <w:snapToGrid w:val="0"/>
              <w:jc w:val="center"/>
              <w:rPr>
                <w:rFonts w:ascii="宋体" w:hAnsi="宋体" w:cs="Arial"/>
                <w:bCs/>
                <w:color w:val="auto"/>
                <w:sz w:val="24"/>
                <w:highlight w:val="none"/>
              </w:rPr>
            </w:pPr>
          </w:p>
        </w:tc>
        <w:tc>
          <w:tcPr>
            <w:tcW w:w="1250" w:type="dxa"/>
            <w:tcBorders>
              <w:top w:val="single" w:color="auto" w:sz="4" w:space="0"/>
              <w:left w:val="single" w:color="auto" w:sz="4" w:space="0"/>
              <w:bottom w:val="single" w:color="auto" w:sz="4" w:space="0"/>
              <w:right w:val="single" w:color="auto" w:sz="4" w:space="0"/>
            </w:tcBorders>
            <w:vAlign w:val="center"/>
          </w:tcPr>
          <w:p w14:paraId="7528910E">
            <w:pPr>
              <w:snapToGrid w:val="0"/>
              <w:jc w:val="center"/>
              <w:rPr>
                <w:rFonts w:ascii="宋体" w:hAnsi="宋体" w:cs="Arial"/>
                <w:bCs/>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vAlign w:val="center"/>
          </w:tcPr>
          <w:p w14:paraId="64A3F99C">
            <w:pPr>
              <w:snapToGrid w:val="0"/>
              <w:spacing w:before="50" w:after="50"/>
              <w:rPr>
                <w:rFonts w:ascii="宋体" w:hAnsi="宋体"/>
                <w:color w:val="auto"/>
                <w:sz w:val="32"/>
                <w:szCs w:val="21"/>
                <w:highlight w:val="none"/>
              </w:rPr>
            </w:pPr>
          </w:p>
        </w:tc>
        <w:tc>
          <w:tcPr>
            <w:tcW w:w="867" w:type="dxa"/>
            <w:tcBorders>
              <w:top w:val="single" w:color="auto" w:sz="4" w:space="0"/>
              <w:left w:val="single" w:color="auto" w:sz="4" w:space="0"/>
              <w:bottom w:val="single" w:color="auto" w:sz="4" w:space="0"/>
              <w:right w:val="single" w:color="auto" w:sz="4" w:space="0"/>
            </w:tcBorders>
          </w:tcPr>
          <w:p w14:paraId="38308257">
            <w:pPr>
              <w:snapToGrid w:val="0"/>
              <w:spacing w:before="50" w:after="50"/>
              <w:rPr>
                <w:rFonts w:ascii="宋体" w:hAnsi="宋体"/>
                <w:color w:val="auto"/>
                <w:sz w:val="32"/>
                <w:szCs w:val="21"/>
                <w:highlight w:val="none"/>
              </w:rPr>
            </w:pPr>
          </w:p>
        </w:tc>
        <w:tc>
          <w:tcPr>
            <w:tcW w:w="1750" w:type="dxa"/>
            <w:tcBorders>
              <w:top w:val="single" w:color="auto" w:sz="4" w:space="0"/>
              <w:left w:val="single" w:color="auto" w:sz="4" w:space="0"/>
              <w:bottom w:val="single" w:color="auto" w:sz="4" w:space="0"/>
              <w:right w:val="single" w:color="auto" w:sz="4" w:space="0"/>
            </w:tcBorders>
          </w:tcPr>
          <w:p w14:paraId="19AF0107">
            <w:pPr>
              <w:snapToGrid w:val="0"/>
              <w:spacing w:before="50" w:after="50"/>
              <w:rPr>
                <w:rFonts w:ascii="宋体" w:hAnsi="宋体"/>
                <w:color w:val="auto"/>
                <w:sz w:val="32"/>
                <w:szCs w:val="21"/>
                <w:highlight w:val="none"/>
              </w:rPr>
            </w:pPr>
          </w:p>
        </w:tc>
        <w:tc>
          <w:tcPr>
            <w:tcW w:w="1502" w:type="dxa"/>
            <w:vMerge w:val="continue"/>
            <w:tcBorders>
              <w:left w:val="single" w:color="auto" w:sz="4" w:space="0"/>
              <w:bottom w:val="single" w:color="auto" w:sz="4" w:space="0"/>
              <w:right w:val="single" w:color="auto" w:sz="4" w:space="0"/>
            </w:tcBorders>
          </w:tcPr>
          <w:p w14:paraId="5FDFD37F">
            <w:pPr>
              <w:snapToGrid w:val="0"/>
              <w:spacing w:before="50" w:after="50"/>
              <w:rPr>
                <w:rFonts w:ascii="宋体" w:hAnsi="宋体"/>
                <w:color w:val="auto"/>
                <w:sz w:val="32"/>
                <w:szCs w:val="21"/>
                <w:highlight w:val="none"/>
              </w:rPr>
            </w:pPr>
          </w:p>
        </w:tc>
      </w:tr>
      <w:tr w14:paraId="3B7838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3" w:hRule="atLeast"/>
        </w:trPr>
        <w:tc>
          <w:tcPr>
            <w:tcW w:w="9944" w:type="dxa"/>
            <w:gridSpan w:val="8"/>
            <w:tcBorders>
              <w:top w:val="single" w:color="auto" w:sz="4" w:space="0"/>
              <w:left w:val="single" w:color="auto" w:sz="4" w:space="0"/>
              <w:bottom w:val="single" w:color="auto" w:sz="4" w:space="0"/>
              <w:right w:val="single" w:color="auto" w:sz="4" w:space="0"/>
            </w:tcBorders>
            <w:vAlign w:val="center"/>
          </w:tcPr>
          <w:p w14:paraId="4035952A">
            <w:pPr>
              <w:snapToGrid w:val="0"/>
              <w:spacing w:before="50" w:after="50"/>
              <w:jc w:val="left"/>
              <w:rPr>
                <w:rFonts w:ascii="宋体" w:hAnsi="宋体"/>
                <w:color w:val="auto"/>
                <w:sz w:val="24"/>
                <w:highlight w:val="none"/>
              </w:rPr>
            </w:pPr>
            <w:r>
              <w:rPr>
                <w:rFonts w:hint="eastAsia" w:ascii="宋体" w:hAnsi="宋体"/>
                <w:color w:val="auto"/>
                <w:sz w:val="24"/>
                <w:highlight w:val="none"/>
              </w:rPr>
              <w:t>投标报价大写（人民币）：</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小写：</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tc>
      </w:tr>
    </w:tbl>
    <w:p w14:paraId="73792898">
      <w:pPr>
        <w:spacing w:line="360" w:lineRule="auto"/>
        <w:rPr>
          <w:rFonts w:ascii="宋体" w:hAnsi="宋体"/>
          <w:color w:val="auto"/>
          <w:sz w:val="24"/>
          <w:highlight w:val="none"/>
        </w:rPr>
      </w:pPr>
      <w:r>
        <w:rPr>
          <w:rFonts w:hint="eastAsia" w:ascii="宋体" w:hAnsi="宋体"/>
          <w:color w:val="auto"/>
          <w:sz w:val="24"/>
          <w:highlight w:val="none"/>
        </w:rPr>
        <w:t>注：1、投标报价必须填写，否则其投标作无效标处理。</w:t>
      </w:r>
    </w:p>
    <w:p w14:paraId="71FBF3D9">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2、投标报价一经涂改，应在涂改处加盖单位公章或者由法定代表人或授权委托人签字或盖章，否则其投标作无效标处理。</w:t>
      </w:r>
    </w:p>
    <w:p w14:paraId="3510B287">
      <w:pPr>
        <w:spacing w:line="360" w:lineRule="auto"/>
        <w:ind w:firstLine="480" w:firstLineChars="200"/>
        <w:rPr>
          <w:rFonts w:ascii="宋体" w:hAnsi="宋体"/>
          <w:b/>
          <w:bCs/>
          <w:color w:val="auto"/>
          <w:sz w:val="24"/>
          <w:highlight w:val="none"/>
        </w:rPr>
      </w:pPr>
      <w:r>
        <w:rPr>
          <w:rFonts w:hint="eastAsia" w:ascii="宋体" w:hAnsi="宋体"/>
          <w:color w:val="auto"/>
          <w:sz w:val="24"/>
          <w:highlight w:val="none"/>
        </w:rPr>
        <w:t>3、投标报价是履行合同的最终价格，包括</w:t>
      </w:r>
      <w:r>
        <w:rPr>
          <w:rFonts w:hint="eastAsia" w:ascii="宋体" w:hAnsi="宋体"/>
          <w:color w:val="auto"/>
          <w:sz w:val="24"/>
          <w:highlight w:val="none"/>
          <w:lang w:eastAsia="zh-CN"/>
        </w:rPr>
        <w:t>产品购置费、随机配送（备品备件、另配件、专用工具）、运杂费、保险费、到货验收、保管、安装、调试、试运行、检验、监理费用、培训费、验收、交付使用、保修期内的售后服务等完成本项目的一切费用及税金。</w:t>
      </w:r>
      <w:r>
        <w:rPr>
          <w:rFonts w:hint="eastAsia" w:ascii="宋体" w:hAnsi="宋体"/>
          <w:color w:val="auto"/>
          <w:sz w:val="24"/>
          <w:highlight w:val="none"/>
        </w:rPr>
        <w:t>投标人所投报的投标报价为投标人所能承受的整个项目的一次性最终最低报价，如有漏项，视同已包含在</w:t>
      </w:r>
      <w:r>
        <w:rPr>
          <w:rFonts w:hint="eastAsia" w:ascii="宋体" w:hAnsi="宋体"/>
          <w:color w:val="auto"/>
          <w:sz w:val="24"/>
          <w:highlight w:val="none"/>
          <w:lang w:val="en-US" w:eastAsia="zh-CN"/>
        </w:rPr>
        <w:t>本</w:t>
      </w:r>
      <w:r>
        <w:rPr>
          <w:rFonts w:hint="eastAsia" w:ascii="宋体" w:hAnsi="宋体"/>
          <w:color w:val="auto"/>
          <w:sz w:val="24"/>
          <w:highlight w:val="none"/>
        </w:rPr>
        <w:t>项目中，合同单价和总价不作调整。</w:t>
      </w:r>
    </w:p>
    <w:p w14:paraId="40BD116A">
      <w:pPr>
        <w:spacing w:line="360" w:lineRule="auto"/>
        <w:ind w:firstLine="480" w:firstLineChars="200"/>
        <w:rPr>
          <w:rFonts w:ascii="宋体" w:hAnsi="宋体" w:cs="Arial"/>
          <w:color w:val="auto"/>
          <w:sz w:val="24"/>
          <w:szCs w:val="20"/>
          <w:highlight w:val="none"/>
        </w:rPr>
      </w:pPr>
      <w:r>
        <w:rPr>
          <w:rFonts w:hint="eastAsia" w:ascii="宋体" w:hAnsi="宋体"/>
          <w:color w:val="auto"/>
          <w:sz w:val="24"/>
          <w:highlight w:val="none"/>
        </w:rPr>
        <w:t>4、交货期：</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（必须填写）。</w:t>
      </w:r>
    </w:p>
    <w:p w14:paraId="3B132003">
      <w:pPr>
        <w:snapToGrid w:val="0"/>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5、本表格式不允许修改，否则作无效标处理。</w:t>
      </w:r>
    </w:p>
    <w:p w14:paraId="150D2222">
      <w:pPr>
        <w:snapToGrid w:val="0"/>
        <w:spacing w:before="50" w:after="50" w:line="380" w:lineRule="exact"/>
        <w:ind w:left="-2" w:leftChars="-1" w:right="-817" w:rightChars="-389" w:firstLine="360" w:firstLineChars="150"/>
        <w:rPr>
          <w:rFonts w:ascii="宋体" w:hAnsi="宋体"/>
          <w:color w:val="auto"/>
          <w:sz w:val="24"/>
          <w:highlight w:val="none"/>
        </w:rPr>
      </w:pPr>
      <w:r>
        <w:rPr>
          <w:rFonts w:hint="eastAsia" w:ascii="宋体" w:hAnsi="宋体"/>
          <w:color w:val="auto"/>
          <w:sz w:val="24"/>
          <w:highlight w:val="none"/>
        </w:rPr>
        <w:t>法定代表人或委托代理人（签字或盖章）：</w:t>
      </w:r>
    </w:p>
    <w:p w14:paraId="479E7A60">
      <w:pPr>
        <w:snapToGrid w:val="0"/>
        <w:spacing w:before="50" w:after="50" w:line="380" w:lineRule="exact"/>
        <w:ind w:left="-2" w:leftChars="-1" w:right="-817" w:rightChars="-389" w:firstLine="360" w:firstLineChars="150"/>
        <w:rPr>
          <w:rFonts w:ascii="宋体" w:hAnsi="宋体"/>
          <w:color w:val="auto"/>
          <w:sz w:val="24"/>
          <w:highlight w:val="none"/>
        </w:rPr>
      </w:pPr>
    </w:p>
    <w:p w14:paraId="5A14AA07">
      <w:pPr>
        <w:snapToGrid w:val="0"/>
        <w:spacing w:before="50" w:after="50" w:line="380" w:lineRule="exact"/>
        <w:ind w:right="-817" w:rightChars="-389" w:firstLine="360" w:firstLineChars="150"/>
        <w:rPr>
          <w:rFonts w:ascii="宋体" w:hAnsi="宋体"/>
          <w:color w:val="auto"/>
          <w:sz w:val="24"/>
          <w:highlight w:val="none"/>
        </w:rPr>
      </w:pPr>
      <w:r>
        <w:rPr>
          <w:rFonts w:hint="eastAsia" w:ascii="宋体" w:hAnsi="宋体"/>
          <w:color w:val="auto"/>
          <w:sz w:val="24"/>
          <w:highlight w:val="none"/>
        </w:rPr>
        <w:t xml:space="preserve">投标人名称（盖章）：                                         </w:t>
      </w:r>
    </w:p>
    <w:p w14:paraId="60AC8FAB">
      <w:pPr>
        <w:snapToGrid w:val="0"/>
        <w:spacing w:before="50" w:after="50"/>
        <w:ind w:right="-817" w:rightChars="-389"/>
        <w:rPr>
          <w:rFonts w:ascii="宋体" w:hAnsi="宋体"/>
          <w:color w:val="auto"/>
          <w:sz w:val="24"/>
          <w:highlight w:val="none"/>
        </w:rPr>
      </w:pPr>
    </w:p>
    <w:p w14:paraId="421D7F80">
      <w:pPr>
        <w:spacing w:line="380" w:lineRule="exact"/>
        <w:ind w:firstLine="6240" w:firstLineChars="2600"/>
        <w:rPr>
          <w:rFonts w:ascii="宋体" w:hAnsi="宋体" w:cs="宋体"/>
          <w:b/>
          <w:bCs/>
          <w:color w:val="auto"/>
          <w:sz w:val="24"/>
          <w:highlight w:val="none"/>
        </w:rPr>
      </w:pPr>
      <w:r>
        <w:rPr>
          <w:rFonts w:hint="eastAsia" w:ascii="宋体" w:hAnsi="宋体"/>
          <w:color w:val="auto"/>
          <w:sz w:val="24"/>
          <w:highlight w:val="none"/>
        </w:rPr>
        <w:t>日期：    年   月   日</w:t>
      </w:r>
    </w:p>
    <w:bookmarkEnd w:id="118"/>
    <w:p w14:paraId="45927B7A">
      <w:pPr>
        <w:pageBreakBefore/>
        <w:spacing w:before="260" w:after="260" w:line="415" w:lineRule="auto"/>
        <w:outlineLvl w:val="1"/>
        <w:rPr>
          <w:rFonts w:ascii="宋体" w:hAnsi="宋体" w:cs="宋体"/>
          <w:bCs/>
          <w:color w:val="auto"/>
          <w:sz w:val="24"/>
          <w:highlight w:val="none"/>
        </w:rPr>
      </w:pPr>
      <w:bookmarkStart w:id="120" w:name="_Toc28340"/>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六</w:t>
      </w:r>
      <w:r>
        <w:rPr>
          <w:rFonts w:hint="eastAsia" w:ascii="宋体" w:hAnsi="宋体" w:cs="宋体"/>
          <w:bCs/>
          <w:color w:val="auto"/>
          <w:sz w:val="24"/>
          <w:highlight w:val="none"/>
        </w:rPr>
        <w:t>：</w:t>
      </w:r>
      <w:bookmarkEnd w:id="119"/>
      <w:r>
        <w:rPr>
          <w:rFonts w:hint="eastAsia" w:ascii="宋体" w:hAnsi="宋体" w:cs="宋体"/>
          <w:bCs/>
          <w:color w:val="auto"/>
          <w:sz w:val="24"/>
          <w:highlight w:val="none"/>
        </w:rPr>
        <w:t>中小企业声明函（货物）</w:t>
      </w:r>
      <w:bookmarkEnd w:id="120"/>
    </w:p>
    <w:p w14:paraId="5342F683">
      <w:pPr>
        <w:jc w:val="center"/>
        <w:rPr>
          <w:rFonts w:ascii="宋体" w:hAnsi="宋体" w:cs="宋体"/>
          <w:b/>
          <w:bCs/>
          <w:color w:val="auto"/>
          <w:sz w:val="40"/>
          <w:szCs w:val="40"/>
          <w:highlight w:val="none"/>
        </w:rPr>
      </w:pPr>
      <w:bookmarkStart w:id="121" w:name="_Toc496599001"/>
      <w:r>
        <w:rPr>
          <w:rFonts w:hint="eastAsia" w:ascii="宋体" w:hAnsi="宋体" w:cs="宋体"/>
          <w:b/>
          <w:bCs/>
          <w:color w:val="auto"/>
          <w:sz w:val="40"/>
          <w:szCs w:val="40"/>
          <w:highlight w:val="none"/>
        </w:rPr>
        <w:t>中小企业声明函（货物）</w:t>
      </w:r>
    </w:p>
    <w:p w14:paraId="68601416">
      <w:pPr>
        <w:jc w:val="center"/>
        <w:rPr>
          <w:rFonts w:ascii="宋体" w:hAnsi="宋体" w:cs="宋体"/>
          <w:color w:val="auto"/>
          <w:sz w:val="30"/>
          <w:szCs w:val="30"/>
          <w:highlight w:val="none"/>
        </w:rPr>
      </w:pPr>
    </w:p>
    <w:p w14:paraId="05C239DA">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本公司（联合体）郑重声明，根据《政府采购促进中小企业发展管理办法》（财库﹝2020﹞46 号）的规定，本公司（联合体）参加</w:t>
      </w:r>
      <w:r>
        <w:rPr>
          <w:rFonts w:hint="eastAsia" w:ascii="宋体" w:hAnsi="宋体" w:cs="宋体"/>
          <w:color w:val="auto"/>
          <w:sz w:val="24"/>
          <w:szCs w:val="32"/>
          <w:highlight w:val="none"/>
          <w:u w:val="single"/>
        </w:rPr>
        <w:t xml:space="preserve">  （单位名称）  </w:t>
      </w:r>
      <w:r>
        <w:rPr>
          <w:rFonts w:hint="eastAsia" w:ascii="宋体" w:hAnsi="宋体" w:cs="宋体"/>
          <w:color w:val="auto"/>
          <w:sz w:val="24"/>
          <w:szCs w:val="32"/>
          <w:highlight w:val="none"/>
        </w:rPr>
        <w:t>的</w:t>
      </w:r>
      <w:r>
        <w:rPr>
          <w:rFonts w:hint="eastAsia" w:ascii="宋体" w:hAnsi="宋体" w:cs="宋体"/>
          <w:color w:val="auto"/>
          <w:sz w:val="24"/>
          <w:szCs w:val="32"/>
          <w:highlight w:val="none"/>
          <w:u w:val="single"/>
        </w:rPr>
        <w:t xml:space="preserve">  （项目名称）  </w:t>
      </w:r>
      <w:r>
        <w:rPr>
          <w:rFonts w:hint="eastAsia" w:ascii="宋体" w:hAnsi="宋体" w:cs="宋体"/>
          <w:color w:val="auto"/>
          <w:sz w:val="24"/>
          <w:szCs w:val="32"/>
          <w:highlight w:val="none"/>
        </w:rPr>
        <w:t>采购活动，提供的货物全部由符合政策要求的中小企业制造。相关企业（含联合体中的中小企业、签订分包意向协议的中小企业）的具体情况如下：</w:t>
      </w:r>
    </w:p>
    <w:p w14:paraId="1778A280">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u w:val="single"/>
        </w:rPr>
        <w:t xml:space="preserve">  （标的名称）  </w:t>
      </w:r>
      <w:r>
        <w:rPr>
          <w:rFonts w:hint="eastAsia" w:ascii="宋体" w:hAnsi="宋体" w:cs="宋体"/>
          <w:color w:val="auto"/>
          <w:sz w:val="24"/>
          <w:szCs w:val="32"/>
          <w:highlight w:val="none"/>
        </w:rPr>
        <w:t>，属于</w:t>
      </w:r>
      <w:r>
        <w:rPr>
          <w:rFonts w:hint="eastAsia" w:ascii="宋体" w:hAnsi="宋体" w:cs="宋体"/>
          <w:color w:val="auto"/>
          <w:sz w:val="24"/>
          <w:szCs w:val="32"/>
          <w:highlight w:val="none"/>
          <w:u w:val="single"/>
        </w:rPr>
        <w:t xml:space="preserve"> 工业 </w:t>
      </w:r>
      <w:r>
        <w:rPr>
          <w:rFonts w:hint="eastAsia" w:ascii="宋体" w:hAnsi="宋体" w:cs="宋体"/>
          <w:color w:val="auto"/>
          <w:sz w:val="24"/>
          <w:szCs w:val="32"/>
          <w:highlight w:val="none"/>
        </w:rPr>
        <w:t>行业；制造商为</w:t>
      </w:r>
      <w:r>
        <w:rPr>
          <w:rFonts w:hint="eastAsia" w:ascii="宋体" w:hAnsi="宋体" w:cs="宋体"/>
          <w:color w:val="auto"/>
          <w:sz w:val="24"/>
          <w:szCs w:val="32"/>
          <w:highlight w:val="none"/>
          <w:u w:val="single"/>
        </w:rPr>
        <w:t xml:space="preserve">  （企业名称）  </w:t>
      </w:r>
      <w:r>
        <w:rPr>
          <w:rFonts w:hint="eastAsia" w:ascii="宋体" w:hAnsi="宋体" w:cs="宋体"/>
          <w:color w:val="auto"/>
          <w:sz w:val="24"/>
          <w:szCs w:val="32"/>
          <w:highlight w:val="none"/>
        </w:rPr>
        <w:t>，从业人员</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人，营业收入为</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万元，资产总额为</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万元，</w:t>
      </w:r>
      <w:r>
        <w:rPr>
          <w:rFonts w:hint="eastAsia" w:ascii="宋体" w:hAnsi="宋体" w:cs="宋体"/>
          <w:b/>
          <w:bCs/>
          <w:color w:val="auto"/>
          <w:sz w:val="24"/>
          <w:szCs w:val="32"/>
          <w:highlight w:val="none"/>
        </w:rPr>
        <w:t>属于</w:t>
      </w:r>
      <w:r>
        <w:rPr>
          <w:rFonts w:hint="eastAsia" w:ascii="宋体" w:hAnsi="宋体" w:cs="宋体"/>
          <w:b/>
          <w:bCs/>
          <w:color w:val="auto"/>
          <w:sz w:val="24"/>
          <w:szCs w:val="32"/>
          <w:highlight w:val="none"/>
          <w:u w:val="single"/>
        </w:rPr>
        <w:t xml:space="preserve">         </w:t>
      </w:r>
      <w:r>
        <w:rPr>
          <w:rFonts w:hint="eastAsia" w:ascii="宋体" w:hAnsi="宋体" w:cs="宋体"/>
          <w:b/>
          <w:bCs/>
          <w:color w:val="auto"/>
          <w:sz w:val="24"/>
          <w:szCs w:val="32"/>
          <w:highlight w:val="none"/>
        </w:rPr>
        <w:t>企业</w:t>
      </w:r>
      <w:r>
        <w:rPr>
          <w:rFonts w:hint="eastAsia" w:ascii="宋体" w:hAnsi="宋体" w:cs="宋体"/>
          <w:color w:val="auto"/>
          <w:sz w:val="24"/>
          <w:szCs w:val="32"/>
          <w:highlight w:val="none"/>
        </w:rPr>
        <w:t>（中型企业或小型企业或微型企业）；</w:t>
      </w:r>
    </w:p>
    <w:p w14:paraId="463F3655">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u w:val="single"/>
        </w:rPr>
        <w:t xml:space="preserve">  （标的名称）  </w:t>
      </w:r>
      <w:r>
        <w:rPr>
          <w:rFonts w:hint="eastAsia" w:ascii="宋体" w:hAnsi="宋体" w:cs="宋体"/>
          <w:color w:val="auto"/>
          <w:sz w:val="24"/>
          <w:szCs w:val="32"/>
          <w:highlight w:val="none"/>
        </w:rPr>
        <w:t>，属于</w:t>
      </w:r>
      <w:r>
        <w:rPr>
          <w:rFonts w:hint="eastAsia" w:ascii="宋体" w:hAnsi="宋体" w:cs="宋体"/>
          <w:color w:val="auto"/>
          <w:sz w:val="24"/>
          <w:szCs w:val="32"/>
          <w:highlight w:val="none"/>
          <w:u w:val="single"/>
        </w:rPr>
        <w:t>工业</w:t>
      </w:r>
      <w:r>
        <w:rPr>
          <w:rFonts w:hint="eastAsia" w:ascii="宋体" w:hAnsi="宋体" w:cs="宋体"/>
          <w:color w:val="auto"/>
          <w:sz w:val="24"/>
          <w:szCs w:val="32"/>
          <w:highlight w:val="none"/>
        </w:rPr>
        <w:t>行业；制造商为</w:t>
      </w:r>
      <w:r>
        <w:rPr>
          <w:rFonts w:hint="eastAsia" w:ascii="宋体" w:hAnsi="宋体" w:cs="宋体"/>
          <w:color w:val="auto"/>
          <w:sz w:val="24"/>
          <w:szCs w:val="32"/>
          <w:highlight w:val="none"/>
          <w:u w:val="single"/>
        </w:rPr>
        <w:t xml:space="preserve">  （企业名称）  </w:t>
      </w:r>
      <w:r>
        <w:rPr>
          <w:rFonts w:hint="eastAsia" w:ascii="宋体" w:hAnsi="宋体" w:cs="宋体"/>
          <w:color w:val="auto"/>
          <w:sz w:val="24"/>
          <w:szCs w:val="32"/>
          <w:highlight w:val="none"/>
        </w:rPr>
        <w:t>，从业人员</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人，营业收入为</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万元，资产总额为</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rPr>
        <w:tab/>
      </w:r>
      <w:r>
        <w:rPr>
          <w:rFonts w:hint="eastAsia" w:ascii="宋体" w:hAnsi="宋体" w:cs="宋体"/>
          <w:color w:val="auto"/>
          <w:sz w:val="24"/>
          <w:szCs w:val="32"/>
          <w:highlight w:val="none"/>
        </w:rPr>
        <w:t>万元，</w:t>
      </w:r>
      <w:r>
        <w:rPr>
          <w:rFonts w:hint="eastAsia" w:ascii="宋体" w:hAnsi="宋体" w:cs="宋体"/>
          <w:b/>
          <w:bCs/>
          <w:color w:val="auto"/>
          <w:sz w:val="24"/>
          <w:szCs w:val="32"/>
          <w:highlight w:val="none"/>
        </w:rPr>
        <w:t>属于</w:t>
      </w:r>
      <w:r>
        <w:rPr>
          <w:rFonts w:hint="eastAsia" w:ascii="宋体" w:hAnsi="宋体" w:cs="宋体"/>
          <w:b/>
          <w:bCs/>
          <w:color w:val="auto"/>
          <w:sz w:val="24"/>
          <w:szCs w:val="32"/>
          <w:highlight w:val="none"/>
          <w:u w:val="single"/>
        </w:rPr>
        <w:t xml:space="preserve">         </w:t>
      </w:r>
      <w:r>
        <w:rPr>
          <w:rFonts w:hint="eastAsia" w:ascii="宋体" w:hAnsi="宋体" w:cs="宋体"/>
          <w:b/>
          <w:bCs/>
          <w:color w:val="auto"/>
          <w:sz w:val="24"/>
          <w:szCs w:val="32"/>
          <w:highlight w:val="none"/>
        </w:rPr>
        <w:t>企业</w:t>
      </w:r>
      <w:r>
        <w:rPr>
          <w:rFonts w:hint="eastAsia" w:ascii="宋体" w:hAnsi="宋体" w:cs="宋体"/>
          <w:color w:val="auto"/>
          <w:sz w:val="24"/>
          <w:szCs w:val="32"/>
          <w:highlight w:val="none"/>
        </w:rPr>
        <w:t>（中型企业或小型企业或微型企业）；</w:t>
      </w:r>
    </w:p>
    <w:p w14:paraId="5B7EF354">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w:t>
      </w:r>
    </w:p>
    <w:p w14:paraId="02FE65FA">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以上企业，不属于大企业的分支机构，不存在控股股东为大企业的情形，也不存在与大企业的负责人为同一人的情形。</w:t>
      </w:r>
    </w:p>
    <w:p w14:paraId="38B9DB00">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本企业对上述声明内容的真实性负责。如有虚假，将依法承担相应责任。</w:t>
      </w:r>
    </w:p>
    <w:p w14:paraId="5521B555">
      <w:pPr>
        <w:spacing w:line="360" w:lineRule="auto"/>
        <w:rPr>
          <w:rFonts w:ascii="宋体" w:hAnsi="宋体" w:cs="宋体"/>
          <w:color w:val="auto"/>
          <w:sz w:val="24"/>
          <w:szCs w:val="32"/>
          <w:highlight w:val="none"/>
        </w:rPr>
      </w:pPr>
    </w:p>
    <w:p w14:paraId="134CCAE2">
      <w:pPr>
        <w:spacing w:line="360" w:lineRule="auto"/>
        <w:rPr>
          <w:rFonts w:ascii="宋体" w:hAnsi="宋体" w:cs="宋体"/>
          <w:color w:val="auto"/>
          <w:sz w:val="24"/>
          <w:szCs w:val="32"/>
          <w:highlight w:val="none"/>
        </w:rPr>
      </w:pPr>
    </w:p>
    <w:p w14:paraId="74AE66A4">
      <w:pPr>
        <w:spacing w:line="360" w:lineRule="auto"/>
        <w:ind w:firstLine="5280" w:firstLineChars="2200"/>
        <w:rPr>
          <w:rFonts w:ascii="宋体" w:hAnsi="宋体" w:cs="宋体"/>
          <w:color w:val="auto"/>
          <w:sz w:val="24"/>
          <w:szCs w:val="32"/>
          <w:highlight w:val="none"/>
        </w:rPr>
      </w:pPr>
      <w:r>
        <w:rPr>
          <w:rFonts w:hint="eastAsia" w:ascii="宋体" w:hAnsi="宋体" w:cs="宋体"/>
          <w:color w:val="auto"/>
          <w:sz w:val="24"/>
          <w:szCs w:val="32"/>
          <w:highlight w:val="none"/>
        </w:rPr>
        <w:t>企业名称（盖章）：</w:t>
      </w:r>
    </w:p>
    <w:p w14:paraId="7A90B776">
      <w:pPr>
        <w:spacing w:line="360" w:lineRule="auto"/>
        <w:ind w:firstLine="5280" w:firstLineChars="2200"/>
        <w:rPr>
          <w:rFonts w:ascii="宋体" w:hAnsi="宋体" w:cs="宋体"/>
          <w:color w:val="auto"/>
          <w:sz w:val="24"/>
          <w:szCs w:val="32"/>
          <w:highlight w:val="none"/>
        </w:rPr>
      </w:pPr>
      <w:r>
        <w:rPr>
          <w:rFonts w:hint="eastAsia" w:ascii="宋体" w:hAnsi="宋体" w:cs="宋体"/>
          <w:color w:val="auto"/>
          <w:sz w:val="24"/>
          <w:szCs w:val="32"/>
          <w:highlight w:val="none"/>
        </w:rPr>
        <w:t>日期：</w:t>
      </w:r>
    </w:p>
    <w:p w14:paraId="2EC1B1C8">
      <w:pPr>
        <w:spacing w:line="360" w:lineRule="auto"/>
        <w:rPr>
          <w:rFonts w:ascii="宋体" w:hAnsi="宋体" w:cs="宋体"/>
          <w:color w:val="auto"/>
          <w:sz w:val="28"/>
          <w:szCs w:val="36"/>
          <w:highlight w:val="none"/>
        </w:rPr>
      </w:pPr>
    </w:p>
    <w:p w14:paraId="1D0FA024">
      <w:pP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备注：</w:t>
      </w:r>
    </w:p>
    <w:p w14:paraId="136B998D">
      <w:pPr>
        <w:numPr>
          <w:ilvl w:val="0"/>
          <w:numId w:val="12"/>
        </w:numPr>
        <w:shd w:val="clear"/>
        <w:spacing w:line="360" w:lineRule="auto"/>
        <w:rPr>
          <w:rFonts w:hint="eastAsia" w:ascii="宋体" w:hAnsi="宋体" w:eastAsia="宋体" w:cs="宋体"/>
          <w:b/>
          <w:bCs/>
          <w:color w:val="auto"/>
          <w:sz w:val="21"/>
          <w:szCs w:val="21"/>
          <w:highlight w:val="none"/>
        </w:rPr>
      </w:pPr>
      <w:bookmarkStart w:id="122" w:name="_Toc21553"/>
      <w:r>
        <w:rPr>
          <w:rFonts w:hint="eastAsia" w:ascii="宋体" w:hAnsi="宋体" w:eastAsia="宋体" w:cs="宋体"/>
          <w:b/>
          <w:bCs/>
          <w:color w:val="auto"/>
          <w:sz w:val="21"/>
          <w:szCs w:val="21"/>
          <w:highlight w:val="none"/>
        </w:rPr>
        <w:t>“标的名称”根据招标文件第二章招标需求中技术参数内的货物内容，逐一填写，不得缺漏</w:t>
      </w:r>
      <w:r>
        <w:rPr>
          <w:rFonts w:hint="eastAsia" w:ascii="宋体" w:hAnsi="宋体" w:eastAsia="宋体" w:cs="宋体"/>
          <w:b/>
          <w:bCs/>
          <w:color w:val="auto"/>
          <w:sz w:val="21"/>
          <w:szCs w:val="21"/>
          <w:highlight w:val="none"/>
          <w:lang w:eastAsia="zh-CN"/>
        </w:rPr>
        <w:t>。</w:t>
      </w:r>
    </w:p>
    <w:p w14:paraId="4CE25EB5">
      <w:pPr>
        <w:numPr>
          <w:ilvl w:val="0"/>
          <w:numId w:val="12"/>
        </w:numPr>
        <w:shd w:val="clea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如投标产品由小微企业生产，则需提供中小企业声明函。</w:t>
      </w:r>
    </w:p>
    <w:p w14:paraId="3B026454">
      <w:pPr>
        <w:shd w:val="clea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、小微企业提供的货物既有中小企业制造货物，也有大型企业制造货物的，不享受中小企业扶持政策。</w:t>
      </w:r>
    </w:p>
    <w:p w14:paraId="452CD186">
      <w:pPr>
        <w:shd w:val="clea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4</w:t>
      </w:r>
      <w:r>
        <w:rPr>
          <w:rFonts w:hint="eastAsia" w:ascii="宋体" w:hAnsi="宋体" w:eastAsia="宋体" w:cs="宋体"/>
          <w:b/>
          <w:bCs/>
          <w:color w:val="auto"/>
          <w:sz w:val="21"/>
          <w:szCs w:val="21"/>
          <w:highlight w:val="none"/>
        </w:rPr>
        <w:t>、从业人员、营业收入、资产总额填报上一年度数据，无上一年度数据的新成立企业可不填报。</w:t>
      </w:r>
    </w:p>
    <w:p w14:paraId="6C3BF947">
      <w:pPr>
        <w:pStyle w:val="4"/>
        <w:shd w:val="clear"/>
        <w:spacing w:line="360" w:lineRule="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5</w:t>
      </w:r>
      <w:r>
        <w:rPr>
          <w:rFonts w:hint="eastAsia" w:ascii="宋体" w:hAnsi="宋体" w:eastAsia="宋体" w:cs="宋体"/>
          <w:b/>
          <w:bCs/>
          <w:color w:val="auto"/>
          <w:sz w:val="21"/>
          <w:szCs w:val="21"/>
          <w:highlight w:val="none"/>
        </w:rPr>
        <w:t>、本声明函将随中标结果同时公告，接受社会监督。</w:t>
      </w:r>
    </w:p>
    <w:p w14:paraId="442274DF">
      <w:pPr>
        <w:pStyle w:val="8"/>
        <w:keepNext w:val="0"/>
        <w:keepLines w:val="0"/>
        <w:pageBreakBefore/>
        <w:spacing w:line="415" w:lineRule="auto"/>
        <w:rPr>
          <w:rFonts w:ascii="宋体" w:hAnsi="宋体" w:eastAsia="宋体" w:cs="宋体"/>
          <w:color w:val="auto"/>
          <w:sz w:val="24"/>
          <w:szCs w:val="24"/>
          <w:highlight w:val="none"/>
        </w:rPr>
      </w:pPr>
      <w:bookmarkStart w:id="123" w:name="_Toc13381"/>
      <w:r>
        <w:rPr>
          <w:rFonts w:hint="eastAsia" w:ascii="宋体" w:hAnsi="宋体" w:eastAsia="宋体" w:cs="宋体"/>
          <w:color w:val="auto"/>
          <w:sz w:val="24"/>
          <w:szCs w:val="24"/>
          <w:highlight w:val="none"/>
        </w:rPr>
        <w:t>附件</w:t>
      </w:r>
      <w:r>
        <w:rPr>
          <w:rFonts w:ascii="宋体" w:hAnsi="宋体" w:eastAsia="宋体" w:cs="宋体"/>
          <w:color w:val="auto"/>
          <w:sz w:val="24"/>
          <w:szCs w:val="24"/>
          <w:highlight w:val="none"/>
        </w:rPr>
        <w:t>十</w:t>
      </w:r>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rPr>
        <w:t>：残疾人福利性单位声明函</w:t>
      </w:r>
      <w:bookmarkEnd w:id="122"/>
      <w:bookmarkEnd w:id="123"/>
    </w:p>
    <w:p w14:paraId="202E0778">
      <w:pPr>
        <w:spacing w:after="120"/>
        <w:ind w:right="960" w:firstLine="2533" w:firstLineChars="701"/>
        <w:jc w:val="left"/>
        <w:rPr>
          <w:rFonts w:ascii="宋体" w:hAnsi="宋体" w:cs="宋体"/>
          <w:b/>
          <w:color w:val="auto"/>
          <w:sz w:val="36"/>
          <w:highlight w:val="none"/>
        </w:rPr>
      </w:pPr>
      <w:r>
        <w:rPr>
          <w:rFonts w:hint="eastAsia" w:ascii="宋体" w:hAnsi="宋体" w:cs="宋体"/>
          <w:b/>
          <w:color w:val="auto"/>
          <w:sz w:val="36"/>
          <w:highlight w:val="none"/>
        </w:rPr>
        <w:t>残疾人福利性单位声明函</w:t>
      </w:r>
    </w:p>
    <w:p w14:paraId="67FDF2EC">
      <w:pPr>
        <w:spacing w:after="120" w:line="360" w:lineRule="auto"/>
        <w:ind w:right="960" w:firstLine="548" w:firstLineChars="196"/>
        <w:jc w:val="left"/>
        <w:rPr>
          <w:rFonts w:ascii="宋体" w:hAnsi="宋体" w:cs="宋体"/>
          <w:color w:val="auto"/>
          <w:sz w:val="28"/>
          <w:highlight w:val="none"/>
        </w:rPr>
      </w:pPr>
    </w:p>
    <w:p w14:paraId="56218875">
      <w:pPr>
        <w:spacing w:after="120" w:line="480" w:lineRule="auto"/>
        <w:ind w:right="958" w:firstLine="470" w:firstLineChars="196"/>
        <w:jc w:val="left"/>
        <w:rPr>
          <w:rFonts w:ascii="宋体" w:hAnsi="宋体" w:cs="宋体"/>
          <w:color w:val="auto"/>
          <w:sz w:val="24"/>
          <w:szCs w:val="22"/>
          <w:highlight w:val="none"/>
        </w:rPr>
      </w:pPr>
      <w:r>
        <w:rPr>
          <w:rFonts w:hint="eastAsia" w:ascii="宋体" w:hAnsi="宋体" w:cs="宋体"/>
          <w:color w:val="auto"/>
          <w:sz w:val="24"/>
          <w:szCs w:val="22"/>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color w:val="auto"/>
          <w:sz w:val="24"/>
          <w:szCs w:val="22"/>
          <w:highlight w:val="none"/>
          <w:u w:val="single"/>
        </w:rPr>
        <w:t xml:space="preserve">               </w:t>
      </w:r>
      <w:r>
        <w:rPr>
          <w:rFonts w:hint="eastAsia" w:ascii="宋体" w:hAnsi="宋体" w:cs="宋体"/>
          <w:color w:val="auto"/>
          <w:sz w:val="24"/>
          <w:szCs w:val="22"/>
          <w:highlight w:val="none"/>
        </w:rPr>
        <w:t>单位的</w:t>
      </w:r>
      <w:r>
        <w:rPr>
          <w:rFonts w:hint="eastAsia" w:ascii="宋体" w:hAnsi="宋体" w:cs="宋体"/>
          <w:color w:val="auto"/>
          <w:sz w:val="24"/>
          <w:szCs w:val="22"/>
          <w:highlight w:val="none"/>
          <w:u w:val="single"/>
        </w:rPr>
        <w:t xml:space="preserve">        </w:t>
      </w:r>
      <w:r>
        <w:rPr>
          <w:rFonts w:hint="eastAsia" w:ascii="宋体" w:hAnsi="宋体" w:cs="宋体"/>
          <w:color w:val="auto"/>
          <w:sz w:val="24"/>
          <w:szCs w:val="22"/>
          <w:highlight w:val="none"/>
        </w:rPr>
        <w:t>项目采购活动提供本单位制造的货物（由本单位承担工程/服务），或者提供其他残疾人福利性单位制造的货物（不包括使用非残疾人福利性单位注册商标的货物）。</w:t>
      </w:r>
    </w:p>
    <w:p w14:paraId="631B8E93">
      <w:pPr>
        <w:spacing w:after="120" w:line="480" w:lineRule="auto"/>
        <w:ind w:right="958" w:firstLine="470" w:firstLineChars="196"/>
        <w:jc w:val="left"/>
        <w:rPr>
          <w:rFonts w:ascii="宋体" w:hAnsi="宋体" w:cs="宋体"/>
          <w:color w:val="auto"/>
          <w:sz w:val="24"/>
          <w:szCs w:val="22"/>
          <w:highlight w:val="none"/>
        </w:rPr>
      </w:pPr>
      <w:r>
        <w:rPr>
          <w:rFonts w:hint="eastAsia" w:ascii="宋体" w:hAnsi="宋体" w:cs="宋体"/>
          <w:color w:val="auto"/>
          <w:sz w:val="24"/>
          <w:szCs w:val="22"/>
          <w:highlight w:val="none"/>
        </w:rPr>
        <w:t>本单位对上述声明的真实性负责。如有虚假，将依法承担相应责任。</w:t>
      </w:r>
    </w:p>
    <w:p w14:paraId="228D85EA">
      <w:pPr>
        <w:spacing w:after="120" w:line="480" w:lineRule="auto"/>
        <w:ind w:right="958" w:firstLine="3600" w:firstLineChars="1500"/>
        <w:jc w:val="left"/>
        <w:rPr>
          <w:rFonts w:ascii="宋体" w:hAnsi="宋体" w:cs="宋体"/>
          <w:color w:val="auto"/>
          <w:sz w:val="24"/>
          <w:szCs w:val="22"/>
          <w:highlight w:val="none"/>
        </w:rPr>
      </w:pPr>
    </w:p>
    <w:p w14:paraId="0A925432">
      <w:pPr>
        <w:spacing w:after="120" w:line="480" w:lineRule="auto"/>
        <w:ind w:right="958" w:firstLine="3600" w:firstLineChars="1500"/>
        <w:jc w:val="left"/>
        <w:rPr>
          <w:rFonts w:ascii="宋体" w:hAnsi="宋体" w:cs="宋体"/>
          <w:color w:val="auto"/>
          <w:sz w:val="24"/>
          <w:szCs w:val="22"/>
          <w:highlight w:val="none"/>
        </w:rPr>
      </w:pPr>
    </w:p>
    <w:p w14:paraId="54B3EF27">
      <w:pPr>
        <w:spacing w:after="120" w:line="480" w:lineRule="auto"/>
        <w:ind w:right="958" w:firstLine="3600" w:firstLineChars="1500"/>
        <w:jc w:val="left"/>
        <w:rPr>
          <w:rFonts w:ascii="宋体" w:hAnsi="宋体" w:cs="宋体"/>
          <w:color w:val="auto"/>
          <w:sz w:val="24"/>
          <w:szCs w:val="22"/>
          <w:highlight w:val="none"/>
        </w:rPr>
      </w:pPr>
      <w:r>
        <w:rPr>
          <w:rFonts w:hint="eastAsia" w:ascii="宋体" w:hAnsi="宋体" w:cs="宋体"/>
          <w:color w:val="auto"/>
          <w:sz w:val="24"/>
          <w:szCs w:val="22"/>
          <w:highlight w:val="none"/>
        </w:rPr>
        <w:t>单位名称（盖章）:</w:t>
      </w:r>
    </w:p>
    <w:p w14:paraId="0BFF05B5">
      <w:pPr>
        <w:spacing w:after="120" w:line="480" w:lineRule="auto"/>
        <w:ind w:right="958" w:firstLine="3600" w:firstLineChars="1500"/>
        <w:jc w:val="left"/>
        <w:rPr>
          <w:rFonts w:ascii="宋体" w:hAnsi="宋体" w:cs="宋体"/>
          <w:color w:val="auto"/>
          <w:sz w:val="28"/>
          <w:highlight w:val="none"/>
        </w:rPr>
      </w:pPr>
      <w:r>
        <w:rPr>
          <w:rFonts w:hint="eastAsia" w:ascii="宋体" w:hAnsi="宋体" w:cs="宋体"/>
          <w:color w:val="auto"/>
          <w:sz w:val="24"/>
          <w:szCs w:val="22"/>
          <w:highlight w:val="none"/>
        </w:rPr>
        <w:t xml:space="preserve">日期：     </w:t>
      </w:r>
      <w:r>
        <w:rPr>
          <w:rFonts w:hint="eastAsia" w:ascii="宋体" w:hAnsi="宋体" w:cs="宋体"/>
          <w:color w:val="auto"/>
          <w:sz w:val="28"/>
          <w:highlight w:val="none"/>
        </w:rPr>
        <w:t xml:space="preserve">   </w:t>
      </w:r>
    </w:p>
    <w:p w14:paraId="769FEC6E">
      <w:pPr>
        <w:spacing w:after="120"/>
        <w:jc w:val="center"/>
        <w:rPr>
          <w:rFonts w:ascii="宋体" w:hAnsi="宋体" w:cs="宋体"/>
          <w:b/>
          <w:color w:val="auto"/>
          <w:sz w:val="36"/>
          <w:szCs w:val="36"/>
          <w:highlight w:val="none"/>
        </w:rPr>
      </w:pPr>
    </w:p>
    <w:p w14:paraId="5F673571">
      <w:pPr>
        <w:numPr>
          <w:ilvl w:val="0"/>
          <w:numId w:val="13"/>
        </w:numPr>
        <w:tabs>
          <w:tab w:val="left" w:pos="420"/>
          <w:tab w:val="clear" w:pos="1244"/>
        </w:tabs>
        <w:spacing w:before="100" w:beforeAutospacing="1" w:after="100" w:afterAutospacing="1" w:line="432" w:lineRule="auto"/>
        <w:ind w:hanging="1244"/>
        <w:rPr>
          <w:rFonts w:ascii="宋体" w:hAnsi="宋体" w:cs="宋体"/>
          <w:bCs/>
          <w:color w:val="auto"/>
          <w:sz w:val="24"/>
          <w:highlight w:val="none"/>
        </w:rPr>
      </w:pPr>
      <w:r>
        <w:rPr>
          <w:rFonts w:hint="eastAsia" w:ascii="宋体" w:hAnsi="宋体"/>
          <w:b/>
          <w:color w:val="auto"/>
          <w:szCs w:val="21"/>
          <w:highlight w:val="none"/>
        </w:rPr>
        <w:t>残疾人福利性单位视同小型、微型企业；</w:t>
      </w:r>
    </w:p>
    <w:p w14:paraId="390DF5F6">
      <w:pPr>
        <w:numPr>
          <w:ilvl w:val="0"/>
          <w:numId w:val="13"/>
        </w:numPr>
        <w:tabs>
          <w:tab w:val="left" w:pos="420"/>
          <w:tab w:val="clear" w:pos="1244"/>
        </w:tabs>
        <w:spacing w:before="100" w:beforeAutospacing="1" w:after="100" w:afterAutospacing="1" w:line="432" w:lineRule="auto"/>
        <w:ind w:hanging="1244"/>
        <w:rPr>
          <w:rFonts w:ascii="宋体" w:hAnsi="宋体" w:cs="宋体"/>
          <w:bCs/>
          <w:color w:val="auto"/>
          <w:sz w:val="24"/>
          <w:highlight w:val="none"/>
        </w:rPr>
      </w:pPr>
      <w:r>
        <w:rPr>
          <w:rFonts w:hint="eastAsia" w:ascii="宋体" w:hAnsi="宋体"/>
          <w:b/>
          <w:color w:val="auto"/>
          <w:szCs w:val="21"/>
          <w:highlight w:val="none"/>
        </w:rPr>
        <w:t>如中标人声明为残疾人福利性单位，本声明函将随中标结果同时公告，接受社会监督。</w:t>
      </w:r>
    </w:p>
    <w:p w14:paraId="7D6660E3">
      <w:pPr>
        <w:pageBreakBefore/>
        <w:spacing w:before="260" w:after="260" w:line="415" w:lineRule="auto"/>
        <w:outlineLvl w:val="1"/>
        <w:rPr>
          <w:rFonts w:ascii="宋体" w:hAnsi="宋体" w:cs="宋体"/>
          <w:bCs/>
          <w:color w:val="auto"/>
          <w:sz w:val="24"/>
          <w:highlight w:val="none"/>
        </w:rPr>
      </w:pPr>
      <w:bookmarkStart w:id="124" w:name="_Toc32323"/>
      <w:r>
        <w:rPr>
          <w:rFonts w:hint="eastAsia" w:ascii="宋体" w:hAnsi="宋体" w:cs="宋体"/>
          <w:bCs/>
          <w:color w:val="auto"/>
          <w:sz w:val="24"/>
          <w:highlight w:val="none"/>
        </w:rPr>
        <w:t>附件</w:t>
      </w:r>
      <w:r>
        <w:rPr>
          <w:rFonts w:ascii="宋体" w:hAnsi="宋体" w:cs="宋体"/>
          <w:bCs/>
          <w:color w:val="auto"/>
          <w:sz w:val="24"/>
          <w:highlight w:val="none"/>
        </w:rPr>
        <w:t>十</w:t>
      </w:r>
      <w:r>
        <w:rPr>
          <w:rFonts w:hint="eastAsia" w:ascii="宋体" w:hAnsi="宋体" w:cs="宋体"/>
          <w:bCs/>
          <w:color w:val="auto"/>
          <w:sz w:val="24"/>
          <w:highlight w:val="none"/>
          <w:lang w:val="en-US" w:eastAsia="zh-CN"/>
        </w:rPr>
        <w:t>八</w:t>
      </w:r>
      <w:r>
        <w:rPr>
          <w:rFonts w:hint="eastAsia" w:ascii="宋体" w:hAnsi="宋体" w:cs="宋体"/>
          <w:bCs/>
          <w:color w:val="auto"/>
          <w:sz w:val="24"/>
          <w:highlight w:val="none"/>
        </w:rPr>
        <w:t>：</w:t>
      </w:r>
      <w:bookmarkEnd w:id="121"/>
      <w:r>
        <w:rPr>
          <w:rFonts w:hint="eastAsia" w:ascii="宋体" w:hAnsi="宋体" w:cs="宋体"/>
          <w:bCs/>
          <w:color w:val="auto"/>
          <w:sz w:val="24"/>
          <w:highlight w:val="none"/>
        </w:rPr>
        <w:t>东阳市采购项目验收方案</w:t>
      </w:r>
      <w:bookmarkEnd w:id="124"/>
    </w:p>
    <w:p w14:paraId="5F4511BF">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东阳市采购项目验收方案</w:t>
      </w:r>
    </w:p>
    <w:p w14:paraId="0EF830C0">
      <w:pPr>
        <w:spacing w:before="120" w:beforeLines="50" w:after="120" w:afterLines="50"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根据《政府采购法》及东阳市政府采购办东财预〔2009〕98号《关于加强政府采购管理工作的补充规定》等有关文件规定，为做好</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采购项目的验收管理工作，特制定本项目验收方案，具体如下。</w:t>
      </w:r>
    </w:p>
    <w:p w14:paraId="30C657A5">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一、验收项目说明</w:t>
      </w:r>
    </w:p>
    <w:p w14:paraId="255FC74F">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 xml:space="preserve">1、招标编号：               </w:t>
      </w:r>
    </w:p>
    <w:p w14:paraId="18FAEDFA">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2、采购内容：</w:t>
      </w:r>
    </w:p>
    <w:p w14:paraId="35AE419A">
      <w:pPr>
        <w:spacing w:after="120" w:line="360" w:lineRule="auto"/>
        <w:rPr>
          <w:rFonts w:ascii="宋体" w:hAnsi="宋体" w:cs="宋体"/>
          <w:b/>
          <w:color w:val="auto"/>
          <w:sz w:val="24"/>
          <w:highlight w:val="none"/>
        </w:rPr>
      </w:pPr>
    </w:p>
    <w:p w14:paraId="424AD96C">
      <w:pPr>
        <w:spacing w:after="12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二、验收小组人员</w:t>
      </w:r>
    </w:p>
    <w:p w14:paraId="54E2938C">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1、本次验收由</w:t>
      </w:r>
      <w:r>
        <w:rPr>
          <w:rFonts w:hint="eastAsia" w:ascii="宋体" w:hAnsi="宋体" w:cs="宋体"/>
          <w:b/>
          <w:color w:val="auto"/>
          <w:sz w:val="24"/>
          <w:highlight w:val="none"/>
          <w:u w:val="single"/>
        </w:rPr>
        <w:t xml:space="preserve">            </w:t>
      </w:r>
      <w:r>
        <w:rPr>
          <w:rFonts w:hint="eastAsia" w:ascii="宋体" w:hAnsi="宋体" w:cs="宋体"/>
          <w:color w:val="auto"/>
          <w:sz w:val="24"/>
          <w:highlight w:val="none"/>
          <w:u w:val="single"/>
        </w:rPr>
        <w:t xml:space="preserve"> </w:t>
      </w:r>
      <w:r>
        <w:rPr>
          <w:rFonts w:hint="eastAsia" w:ascii="宋体" w:hAnsi="宋体" w:cs="宋体"/>
          <w:b/>
          <w:color w:val="auto"/>
          <w:sz w:val="24"/>
          <w:highlight w:val="none"/>
        </w:rPr>
        <w:t>组织。</w:t>
      </w:r>
    </w:p>
    <w:p w14:paraId="3C00E8FF">
      <w:pPr>
        <w:spacing w:after="120" w:line="360" w:lineRule="auto"/>
        <w:ind w:firstLine="472" w:firstLineChars="196"/>
        <w:rPr>
          <w:rFonts w:ascii="宋体" w:hAnsi="宋体" w:cs="宋体"/>
          <w:b/>
          <w:color w:val="auto"/>
          <w:sz w:val="24"/>
          <w:highlight w:val="none"/>
          <w:u w:val="single"/>
        </w:rPr>
      </w:pPr>
      <w:r>
        <w:rPr>
          <w:rFonts w:hint="eastAsia" w:ascii="宋体" w:hAnsi="宋体" w:cs="宋体"/>
          <w:b/>
          <w:color w:val="auto"/>
          <w:sz w:val="24"/>
          <w:highlight w:val="none"/>
        </w:rPr>
        <w:t>2、验收小组成员名单：</w:t>
      </w:r>
      <w:r>
        <w:rPr>
          <w:rFonts w:hint="eastAsia" w:ascii="宋体" w:hAnsi="宋体" w:cs="宋体"/>
          <w:b/>
          <w:color w:val="auto"/>
          <w:sz w:val="24"/>
          <w:highlight w:val="none"/>
          <w:u w:val="single"/>
        </w:rPr>
        <w:t xml:space="preserve">                                                       </w:t>
      </w:r>
    </w:p>
    <w:p w14:paraId="555F33A9">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3、验收小组成员签名：</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 xml:space="preserve">                                                                        </w:t>
      </w:r>
    </w:p>
    <w:p w14:paraId="320EF5BC">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三、验收方法与内容</w:t>
      </w:r>
    </w:p>
    <w:p w14:paraId="36F7D553">
      <w:pPr>
        <w:spacing w:after="120" w:line="360" w:lineRule="auto"/>
        <w:rPr>
          <w:rFonts w:ascii="宋体" w:hAnsi="宋体" w:cs="宋体"/>
          <w:b/>
          <w:color w:val="auto"/>
          <w:sz w:val="24"/>
          <w:highlight w:val="none"/>
        </w:rPr>
      </w:pPr>
    </w:p>
    <w:p w14:paraId="3FE0449F">
      <w:pPr>
        <w:spacing w:after="12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四、验收时间</w:t>
      </w:r>
    </w:p>
    <w:p w14:paraId="60D936BD">
      <w:pPr>
        <w:spacing w:after="120" w:line="360" w:lineRule="auto"/>
        <w:rPr>
          <w:rFonts w:ascii="宋体" w:hAnsi="宋体" w:cs="宋体"/>
          <w:b/>
          <w:color w:val="auto"/>
          <w:sz w:val="24"/>
          <w:highlight w:val="none"/>
        </w:rPr>
      </w:pPr>
    </w:p>
    <w:p w14:paraId="2C9D1D27">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五、验收地点</w:t>
      </w:r>
    </w:p>
    <w:p w14:paraId="2FBC59E2">
      <w:pPr>
        <w:spacing w:after="120" w:line="360" w:lineRule="auto"/>
        <w:rPr>
          <w:rFonts w:ascii="宋体" w:hAnsi="宋体" w:cs="宋体"/>
          <w:b/>
          <w:color w:val="auto"/>
          <w:sz w:val="24"/>
          <w:highlight w:val="none"/>
        </w:rPr>
      </w:pPr>
    </w:p>
    <w:p w14:paraId="0180ECF3">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六、验收程序</w:t>
      </w:r>
    </w:p>
    <w:p w14:paraId="78607441">
      <w:pPr>
        <w:spacing w:after="120" w:line="360" w:lineRule="auto"/>
        <w:ind w:left="479" w:leftChars="228" w:firstLine="470" w:firstLineChars="195"/>
        <w:rPr>
          <w:rFonts w:ascii="宋体" w:hAnsi="宋体" w:cs="宋体"/>
          <w:b/>
          <w:color w:val="auto"/>
          <w:sz w:val="24"/>
          <w:highlight w:val="none"/>
        </w:rPr>
      </w:pPr>
    </w:p>
    <w:p w14:paraId="6CCBD718">
      <w:pPr>
        <w:spacing w:after="120" w:line="360" w:lineRule="auto"/>
        <w:ind w:left="479" w:leftChars="228" w:firstLine="470" w:firstLineChars="195"/>
        <w:rPr>
          <w:rFonts w:ascii="宋体" w:hAnsi="宋体" w:cs="宋体"/>
          <w:b/>
          <w:color w:val="auto"/>
          <w:sz w:val="24"/>
          <w:highlight w:val="none"/>
        </w:rPr>
      </w:pPr>
    </w:p>
    <w:p w14:paraId="67672846">
      <w:pPr>
        <w:spacing w:after="120" w:line="360" w:lineRule="auto"/>
        <w:ind w:right="-6"/>
        <w:rPr>
          <w:rFonts w:ascii="宋体" w:hAnsi="宋体" w:cs="宋体"/>
          <w:b/>
          <w:color w:val="auto"/>
          <w:sz w:val="24"/>
          <w:highlight w:val="none"/>
        </w:rPr>
      </w:pPr>
      <w:r>
        <w:rPr>
          <w:rFonts w:hint="eastAsia" w:ascii="宋体" w:hAnsi="宋体" w:cs="宋体"/>
          <w:b/>
          <w:color w:val="auto"/>
          <w:sz w:val="24"/>
          <w:highlight w:val="none"/>
        </w:rPr>
        <w:t xml:space="preserve">                                            采购单位（盖章）：</w:t>
      </w:r>
    </w:p>
    <w:p w14:paraId="4E336648">
      <w:pPr>
        <w:spacing w:after="120" w:line="360" w:lineRule="auto"/>
        <w:ind w:right="960" w:firstLine="470" w:firstLineChars="196"/>
        <w:jc w:val="right"/>
        <w:rPr>
          <w:rFonts w:ascii="宋体" w:hAnsi="宋体" w:cs="宋体"/>
          <w:color w:val="auto"/>
          <w:sz w:val="24"/>
          <w:highlight w:val="none"/>
        </w:rPr>
      </w:pPr>
      <w:r>
        <w:rPr>
          <w:rFonts w:hint="eastAsia" w:ascii="宋体" w:hAnsi="宋体" w:cs="宋体"/>
          <w:color w:val="auto"/>
          <w:sz w:val="24"/>
          <w:highlight w:val="none"/>
        </w:rPr>
        <w:t>年  月  日</w:t>
      </w:r>
    </w:p>
    <w:p w14:paraId="581F1625">
      <w:pPr>
        <w:pageBreakBefore/>
        <w:spacing w:before="260" w:after="260" w:line="415" w:lineRule="auto"/>
        <w:outlineLvl w:val="1"/>
        <w:rPr>
          <w:rFonts w:ascii="宋体" w:hAnsi="宋体" w:cs="宋体"/>
          <w:bCs/>
          <w:color w:val="auto"/>
          <w:sz w:val="24"/>
          <w:highlight w:val="none"/>
        </w:rPr>
      </w:pPr>
      <w:bookmarkStart w:id="125" w:name="_Toc496599002"/>
      <w:bookmarkStart w:id="126" w:name="_Toc1453"/>
      <w:r>
        <w:rPr>
          <w:rFonts w:hint="eastAsia" w:ascii="宋体" w:hAnsi="宋体" w:cs="宋体"/>
          <w:bCs/>
          <w:color w:val="auto"/>
          <w:sz w:val="24"/>
          <w:highlight w:val="none"/>
        </w:rPr>
        <w:t>附件</w:t>
      </w:r>
      <w:r>
        <w:rPr>
          <w:rFonts w:hint="eastAsia" w:ascii="宋体" w:hAnsi="宋体" w:cs="宋体"/>
          <w:bCs/>
          <w:color w:val="auto"/>
          <w:sz w:val="24"/>
          <w:highlight w:val="none"/>
          <w:lang w:val="en-US" w:eastAsia="zh-CN"/>
        </w:rPr>
        <w:t>十九</w:t>
      </w:r>
      <w:r>
        <w:rPr>
          <w:rFonts w:hint="eastAsia" w:ascii="宋体" w:hAnsi="宋体" w:cs="宋体"/>
          <w:bCs/>
          <w:color w:val="auto"/>
          <w:sz w:val="24"/>
          <w:highlight w:val="none"/>
        </w:rPr>
        <w:t>：</w:t>
      </w:r>
      <w:bookmarkEnd w:id="125"/>
      <w:r>
        <w:rPr>
          <w:rFonts w:hint="eastAsia" w:ascii="宋体" w:hAnsi="宋体" w:cs="宋体"/>
          <w:bCs/>
          <w:color w:val="auto"/>
          <w:sz w:val="24"/>
          <w:highlight w:val="none"/>
        </w:rPr>
        <w:t>东阳市政府采购代理机构社会评价表</w:t>
      </w:r>
      <w:bookmarkEnd w:id="126"/>
    </w:p>
    <w:p w14:paraId="116DF550">
      <w:pPr>
        <w:jc w:val="center"/>
        <w:rPr>
          <w:rFonts w:ascii="宋体" w:hAnsi="宋体" w:cs="宋体"/>
          <w:color w:val="auto"/>
          <w:sz w:val="44"/>
          <w:szCs w:val="44"/>
          <w:highlight w:val="none"/>
        </w:rPr>
      </w:pPr>
      <w:r>
        <w:rPr>
          <w:rFonts w:hint="eastAsia" w:ascii="宋体" w:hAnsi="宋体" w:cs="宋体"/>
          <w:color w:val="auto"/>
          <w:sz w:val="44"/>
          <w:szCs w:val="44"/>
          <w:highlight w:val="none"/>
        </w:rPr>
        <w:t>东阳市政府采购代理机构社会评价表</w:t>
      </w:r>
    </w:p>
    <w:p w14:paraId="7A35D0F4">
      <w:pPr>
        <w:rPr>
          <w:rFonts w:ascii="宋体" w:hAnsi="宋体" w:cs="宋体"/>
          <w:color w:val="auto"/>
          <w:sz w:val="28"/>
          <w:szCs w:val="28"/>
          <w:highlight w:val="none"/>
        </w:rPr>
      </w:pPr>
      <w:r>
        <w:rPr>
          <w:rFonts w:hint="eastAsia" w:ascii="宋体" w:hAnsi="宋体" w:cs="宋体"/>
          <w:color w:val="auto"/>
          <w:sz w:val="28"/>
          <w:szCs w:val="28"/>
          <w:highlight w:val="none"/>
        </w:rPr>
        <w:t xml:space="preserve">代理机构名称： </w:t>
      </w:r>
    </w:p>
    <w:tbl>
      <w:tblPr>
        <w:tblStyle w:val="39"/>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69"/>
        <w:gridCol w:w="696"/>
        <w:gridCol w:w="1067"/>
        <w:gridCol w:w="1031"/>
        <w:gridCol w:w="792"/>
        <w:gridCol w:w="2883"/>
      </w:tblGrid>
      <w:tr w14:paraId="4F31D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1242" w:type="dxa"/>
            <w:tcBorders>
              <w:top w:val="single" w:color="auto" w:sz="4" w:space="0"/>
              <w:left w:val="single" w:color="auto" w:sz="4" w:space="0"/>
              <w:bottom w:val="single" w:color="auto" w:sz="4" w:space="0"/>
              <w:right w:val="single" w:color="auto" w:sz="4" w:space="0"/>
            </w:tcBorders>
            <w:vAlign w:val="center"/>
          </w:tcPr>
          <w:p w14:paraId="55DA786D">
            <w:pPr>
              <w:jc w:val="center"/>
              <w:rPr>
                <w:rFonts w:ascii="宋体" w:hAnsi="宋体" w:cs="宋体"/>
                <w:color w:val="auto"/>
                <w:sz w:val="24"/>
                <w:highlight w:val="none"/>
              </w:rPr>
            </w:pPr>
            <w:r>
              <w:rPr>
                <w:rFonts w:hint="eastAsia" w:ascii="宋体" w:hAnsi="宋体" w:cs="宋体"/>
                <w:color w:val="auto"/>
                <w:sz w:val="24"/>
                <w:highlight w:val="none"/>
              </w:rPr>
              <w:t>填表人类别</w:t>
            </w:r>
          </w:p>
        </w:tc>
        <w:tc>
          <w:tcPr>
            <w:tcW w:w="7938" w:type="dxa"/>
            <w:gridSpan w:val="6"/>
            <w:tcBorders>
              <w:top w:val="single" w:color="auto" w:sz="4" w:space="0"/>
              <w:left w:val="nil"/>
              <w:bottom w:val="single" w:color="auto" w:sz="4" w:space="0"/>
              <w:right w:val="single" w:color="auto" w:sz="4" w:space="0"/>
            </w:tcBorders>
            <w:vAlign w:val="center"/>
          </w:tcPr>
          <w:p w14:paraId="0ACD6F08">
            <w:pPr>
              <w:ind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□采购单位      □供应商      □专家     </w:t>
            </w:r>
          </w:p>
        </w:tc>
      </w:tr>
      <w:tr w14:paraId="3540D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6" w:hRule="atLeast"/>
        </w:trPr>
        <w:tc>
          <w:tcPr>
            <w:tcW w:w="1242" w:type="dxa"/>
            <w:tcBorders>
              <w:top w:val="single" w:color="auto" w:sz="4" w:space="0"/>
              <w:left w:val="single" w:color="auto" w:sz="4" w:space="0"/>
              <w:bottom w:val="single" w:color="auto" w:sz="4" w:space="0"/>
              <w:right w:val="single" w:color="auto" w:sz="4" w:space="0"/>
            </w:tcBorders>
            <w:vAlign w:val="center"/>
          </w:tcPr>
          <w:p w14:paraId="75E1FC82">
            <w:pPr>
              <w:jc w:val="center"/>
              <w:rPr>
                <w:rFonts w:ascii="宋体" w:hAnsi="宋体" w:cs="宋体"/>
                <w:color w:val="auto"/>
                <w:sz w:val="24"/>
                <w:highlight w:val="none"/>
              </w:rPr>
            </w:pPr>
            <w:r>
              <w:rPr>
                <w:rFonts w:hint="eastAsia" w:ascii="宋体" w:hAnsi="宋体" w:cs="宋体"/>
                <w:color w:val="auto"/>
                <w:sz w:val="24"/>
                <w:highlight w:val="none"/>
              </w:rPr>
              <w:t>填表人名称或姓名</w:t>
            </w:r>
          </w:p>
        </w:tc>
        <w:tc>
          <w:tcPr>
            <w:tcW w:w="4266" w:type="dxa"/>
            <w:gridSpan w:val="4"/>
            <w:tcBorders>
              <w:top w:val="single" w:color="auto" w:sz="4" w:space="0"/>
              <w:left w:val="nil"/>
              <w:bottom w:val="single" w:color="auto" w:sz="4" w:space="0"/>
              <w:right w:val="single" w:color="auto" w:sz="4" w:space="0"/>
            </w:tcBorders>
            <w:vAlign w:val="center"/>
          </w:tcPr>
          <w:p w14:paraId="5D9018A7">
            <w:pPr>
              <w:jc w:val="center"/>
              <w:rPr>
                <w:rFonts w:ascii="宋体" w:hAnsi="宋体" w:cs="宋体"/>
                <w:color w:val="auto"/>
                <w:sz w:val="24"/>
                <w:highlight w:val="none"/>
              </w:rPr>
            </w:pPr>
          </w:p>
        </w:tc>
        <w:tc>
          <w:tcPr>
            <w:tcW w:w="792" w:type="dxa"/>
            <w:tcBorders>
              <w:top w:val="single" w:color="auto" w:sz="4" w:space="0"/>
              <w:left w:val="nil"/>
              <w:bottom w:val="single" w:color="auto" w:sz="4" w:space="0"/>
              <w:right w:val="single" w:color="auto" w:sz="4" w:space="0"/>
            </w:tcBorders>
            <w:vAlign w:val="center"/>
          </w:tcPr>
          <w:p w14:paraId="4482E970">
            <w:pPr>
              <w:jc w:val="center"/>
              <w:rPr>
                <w:rFonts w:ascii="宋体" w:hAnsi="宋体" w:cs="宋体"/>
                <w:color w:val="auto"/>
                <w:sz w:val="24"/>
                <w:highlight w:val="none"/>
              </w:rPr>
            </w:pPr>
            <w:r>
              <w:rPr>
                <w:rFonts w:hint="eastAsia" w:ascii="宋体" w:hAnsi="宋体" w:cs="宋体"/>
                <w:color w:val="auto"/>
                <w:sz w:val="24"/>
                <w:highlight w:val="none"/>
              </w:rPr>
              <w:t>地址</w:t>
            </w:r>
          </w:p>
        </w:tc>
        <w:tc>
          <w:tcPr>
            <w:tcW w:w="2880" w:type="dxa"/>
            <w:tcBorders>
              <w:top w:val="single" w:color="auto" w:sz="4" w:space="0"/>
              <w:left w:val="single" w:color="auto" w:sz="4" w:space="0"/>
              <w:bottom w:val="single" w:color="auto" w:sz="4" w:space="0"/>
              <w:right w:val="single" w:color="auto" w:sz="4" w:space="0"/>
            </w:tcBorders>
            <w:vAlign w:val="center"/>
          </w:tcPr>
          <w:p w14:paraId="3B0A30CC">
            <w:pPr>
              <w:jc w:val="center"/>
              <w:rPr>
                <w:rFonts w:ascii="宋体" w:hAnsi="宋体" w:cs="宋体"/>
                <w:color w:val="auto"/>
                <w:sz w:val="24"/>
                <w:highlight w:val="none"/>
              </w:rPr>
            </w:pPr>
          </w:p>
        </w:tc>
      </w:tr>
      <w:tr w14:paraId="130C3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1242" w:type="dxa"/>
            <w:tcBorders>
              <w:top w:val="single" w:color="auto" w:sz="4" w:space="0"/>
              <w:left w:val="single" w:color="auto" w:sz="4" w:space="0"/>
              <w:bottom w:val="single" w:color="auto" w:sz="4" w:space="0"/>
              <w:right w:val="single" w:color="auto" w:sz="4" w:space="0"/>
            </w:tcBorders>
            <w:vAlign w:val="center"/>
          </w:tcPr>
          <w:p w14:paraId="3DA3A6A7">
            <w:pPr>
              <w:jc w:val="center"/>
              <w:rPr>
                <w:rFonts w:ascii="宋体" w:hAnsi="宋体" w:cs="宋体"/>
                <w:color w:val="auto"/>
                <w:sz w:val="24"/>
                <w:highlight w:val="none"/>
              </w:rPr>
            </w:pPr>
            <w:r>
              <w:rPr>
                <w:rFonts w:hint="eastAsia" w:ascii="宋体" w:hAnsi="宋体" w:cs="宋体"/>
                <w:color w:val="auto"/>
                <w:sz w:val="24"/>
                <w:highlight w:val="none"/>
              </w:rPr>
              <w:t>联系人</w:t>
            </w:r>
          </w:p>
        </w:tc>
        <w:tc>
          <w:tcPr>
            <w:tcW w:w="1470" w:type="dxa"/>
            <w:tcBorders>
              <w:top w:val="single" w:color="auto" w:sz="4" w:space="0"/>
              <w:left w:val="nil"/>
              <w:bottom w:val="single" w:color="auto" w:sz="4" w:space="0"/>
              <w:right w:val="single" w:color="auto" w:sz="4" w:space="0"/>
            </w:tcBorders>
            <w:vAlign w:val="center"/>
          </w:tcPr>
          <w:p w14:paraId="60A8B314">
            <w:pPr>
              <w:jc w:val="center"/>
              <w:rPr>
                <w:rFonts w:ascii="宋体" w:hAnsi="宋体" w:cs="宋体"/>
                <w:color w:val="auto"/>
                <w:sz w:val="24"/>
                <w:highlight w:val="none"/>
              </w:rPr>
            </w:pPr>
          </w:p>
        </w:tc>
        <w:tc>
          <w:tcPr>
            <w:tcW w:w="696" w:type="dxa"/>
            <w:tcBorders>
              <w:top w:val="single" w:color="auto" w:sz="4" w:space="0"/>
              <w:left w:val="nil"/>
              <w:bottom w:val="single" w:color="auto" w:sz="4" w:space="0"/>
              <w:right w:val="single" w:color="auto" w:sz="4" w:space="0"/>
            </w:tcBorders>
            <w:vAlign w:val="center"/>
          </w:tcPr>
          <w:p w14:paraId="5E88BF08">
            <w:pPr>
              <w:jc w:val="center"/>
              <w:rPr>
                <w:rFonts w:ascii="宋体" w:hAnsi="宋体" w:cs="宋体"/>
                <w:color w:val="auto"/>
                <w:sz w:val="24"/>
                <w:highlight w:val="none"/>
              </w:rPr>
            </w:pPr>
            <w:r>
              <w:rPr>
                <w:rFonts w:hint="eastAsia" w:ascii="宋体" w:hAnsi="宋体" w:cs="宋体"/>
                <w:color w:val="auto"/>
                <w:sz w:val="24"/>
                <w:highlight w:val="none"/>
              </w:rPr>
              <w:t>电话</w:t>
            </w:r>
          </w:p>
        </w:tc>
        <w:tc>
          <w:tcPr>
            <w:tcW w:w="2100" w:type="dxa"/>
            <w:gridSpan w:val="2"/>
            <w:tcBorders>
              <w:top w:val="single" w:color="auto" w:sz="4" w:space="0"/>
              <w:left w:val="nil"/>
              <w:bottom w:val="single" w:color="auto" w:sz="4" w:space="0"/>
              <w:right w:val="single" w:color="auto" w:sz="4" w:space="0"/>
            </w:tcBorders>
            <w:vAlign w:val="center"/>
          </w:tcPr>
          <w:p w14:paraId="6B1D31D7">
            <w:pPr>
              <w:jc w:val="center"/>
              <w:rPr>
                <w:rFonts w:ascii="宋体" w:hAnsi="宋体" w:cs="宋体"/>
                <w:color w:val="auto"/>
                <w:sz w:val="24"/>
                <w:highlight w:val="none"/>
              </w:rPr>
            </w:pPr>
          </w:p>
        </w:tc>
        <w:tc>
          <w:tcPr>
            <w:tcW w:w="787" w:type="dxa"/>
            <w:tcBorders>
              <w:top w:val="single" w:color="auto" w:sz="4" w:space="0"/>
              <w:left w:val="nil"/>
              <w:bottom w:val="single" w:color="auto" w:sz="4" w:space="0"/>
              <w:right w:val="single" w:color="auto" w:sz="4" w:space="0"/>
            </w:tcBorders>
            <w:vAlign w:val="center"/>
          </w:tcPr>
          <w:p w14:paraId="6F3F59BA">
            <w:pPr>
              <w:jc w:val="center"/>
              <w:rPr>
                <w:rFonts w:ascii="宋体" w:hAnsi="宋体" w:cs="宋体"/>
                <w:color w:val="auto"/>
                <w:sz w:val="24"/>
                <w:highlight w:val="none"/>
              </w:rPr>
            </w:pPr>
            <w:r>
              <w:rPr>
                <w:rFonts w:hint="eastAsia" w:ascii="宋体" w:hAnsi="宋体" w:cs="宋体"/>
                <w:color w:val="auto"/>
                <w:sz w:val="24"/>
                <w:highlight w:val="none"/>
              </w:rPr>
              <w:t>传真</w:t>
            </w:r>
          </w:p>
        </w:tc>
        <w:tc>
          <w:tcPr>
            <w:tcW w:w="2885" w:type="dxa"/>
            <w:tcBorders>
              <w:top w:val="single" w:color="auto" w:sz="4" w:space="0"/>
              <w:left w:val="single" w:color="auto" w:sz="4" w:space="0"/>
              <w:bottom w:val="single" w:color="auto" w:sz="4" w:space="0"/>
              <w:right w:val="single" w:color="auto" w:sz="4" w:space="0"/>
            </w:tcBorders>
            <w:vAlign w:val="center"/>
          </w:tcPr>
          <w:p w14:paraId="13DADBAF">
            <w:pPr>
              <w:jc w:val="center"/>
              <w:rPr>
                <w:rFonts w:ascii="宋体" w:hAnsi="宋体" w:cs="宋体"/>
                <w:color w:val="auto"/>
                <w:sz w:val="24"/>
                <w:highlight w:val="none"/>
              </w:rPr>
            </w:pPr>
          </w:p>
        </w:tc>
      </w:tr>
      <w:tr w14:paraId="3869C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tcBorders>
              <w:top w:val="nil"/>
              <w:left w:val="single" w:color="auto" w:sz="4" w:space="0"/>
              <w:bottom w:val="single" w:color="auto" w:sz="4" w:space="0"/>
              <w:right w:val="single" w:color="auto" w:sz="4" w:space="0"/>
            </w:tcBorders>
            <w:vAlign w:val="center"/>
          </w:tcPr>
          <w:p w14:paraId="1799FD67">
            <w:pPr>
              <w:jc w:val="center"/>
              <w:rPr>
                <w:rFonts w:ascii="宋体" w:hAnsi="宋体" w:cs="宋体"/>
                <w:color w:val="auto"/>
                <w:sz w:val="24"/>
                <w:highlight w:val="none"/>
              </w:rPr>
            </w:pPr>
            <w:r>
              <w:rPr>
                <w:rFonts w:hint="eastAsia" w:ascii="宋体" w:hAnsi="宋体" w:cs="宋体"/>
                <w:color w:val="auto"/>
                <w:sz w:val="24"/>
                <w:highlight w:val="none"/>
              </w:rPr>
              <w:t>对代理机构的评价</w:t>
            </w:r>
          </w:p>
        </w:tc>
        <w:tc>
          <w:tcPr>
            <w:tcW w:w="3234" w:type="dxa"/>
            <w:gridSpan w:val="3"/>
            <w:tcBorders>
              <w:top w:val="single" w:color="auto" w:sz="4" w:space="0"/>
              <w:left w:val="nil"/>
              <w:bottom w:val="single" w:color="auto" w:sz="4" w:space="0"/>
              <w:right w:val="single" w:color="auto" w:sz="4" w:space="0"/>
            </w:tcBorders>
            <w:vAlign w:val="center"/>
          </w:tcPr>
          <w:p w14:paraId="25EFD76A">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项目</w:t>
            </w:r>
          </w:p>
        </w:tc>
        <w:tc>
          <w:tcPr>
            <w:tcW w:w="4704" w:type="dxa"/>
            <w:gridSpan w:val="3"/>
            <w:tcBorders>
              <w:top w:val="single" w:color="auto" w:sz="4" w:space="0"/>
              <w:left w:val="nil"/>
              <w:bottom w:val="single" w:color="auto" w:sz="4" w:space="0"/>
              <w:right w:val="single" w:color="auto" w:sz="4" w:space="0"/>
            </w:tcBorders>
            <w:vAlign w:val="center"/>
          </w:tcPr>
          <w:p w14:paraId="41F78A8C">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评价（请在分值范围内进行打分）</w:t>
            </w:r>
          </w:p>
        </w:tc>
      </w:tr>
      <w:tr w14:paraId="02F13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540CB8BC">
            <w:pPr>
              <w:widowControl/>
              <w:jc w:val="left"/>
              <w:rPr>
                <w:rFonts w:ascii="宋体" w:hAnsi="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34F49DA6">
            <w:pPr>
              <w:rPr>
                <w:rFonts w:ascii="宋体" w:hAnsi="宋体" w:cs="宋体"/>
                <w:color w:val="auto"/>
                <w:kern w:val="0"/>
                <w:sz w:val="24"/>
                <w:highlight w:val="none"/>
              </w:rPr>
            </w:pPr>
            <w:r>
              <w:rPr>
                <w:rFonts w:hint="eastAsia" w:ascii="宋体" w:hAnsi="宋体" w:cs="宋体"/>
                <w:color w:val="auto"/>
                <w:sz w:val="24"/>
                <w:highlight w:val="none"/>
              </w:rPr>
              <w:t>是否严格执行政府采购纪律、法规和规章制度等（2分）。</w:t>
            </w:r>
          </w:p>
        </w:tc>
        <w:tc>
          <w:tcPr>
            <w:tcW w:w="4704" w:type="dxa"/>
            <w:gridSpan w:val="3"/>
            <w:tcBorders>
              <w:top w:val="single" w:color="auto" w:sz="4" w:space="0"/>
              <w:left w:val="nil"/>
              <w:bottom w:val="single" w:color="auto" w:sz="4" w:space="0"/>
              <w:right w:val="single" w:color="auto" w:sz="4" w:space="0"/>
            </w:tcBorders>
            <w:vAlign w:val="center"/>
          </w:tcPr>
          <w:p w14:paraId="6730144C">
            <w:pPr>
              <w:spacing w:line="500" w:lineRule="exact"/>
              <w:jc w:val="center"/>
              <w:rPr>
                <w:rFonts w:ascii="宋体" w:hAnsi="宋体" w:cs="宋体"/>
                <w:color w:val="auto"/>
                <w:sz w:val="24"/>
                <w:highlight w:val="none"/>
              </w:rPr>
            </w:pPr>
          </w:p>
        </w:tc>
      </w:tr>
      <w:tr w14:paraId="40E78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29CA7504">
            <w:pPr>
              <w:widowControl/>
              <w:jc w:val="left"/>
              <w:rPr>
                <w:rFonts w:ascii="宋体" w:hAnsi="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44A44465">
            <w:pPr>
              <w:rPr>
                <w:rFonts w:ascii="宋体" w:hAnsi="宋体" w:cs="宋体"/>
                <w:color w:val="auto"/>
                <w:kern w:val="0"/>
                <w:sz w:val="24"/>
                <w:highlight w:val="none"/>
              </w:rPr>
            </w:pPr>
            <w:r>
              <w:rPr>
                <w:rFonts w:hint="eastAsia" w:ascii="宋体" w:hAnsi="宋体" w:cs="宋体"/>
                <w:color w:val="auto"/>
                <w:sz w:val="24"/>
                <w:highlight w:val="none"/>
              </w:rPr>
              <w:t>操作程序是否规范，采购行为、过程、结果是否公开、公平、公正，采购组织管理是否规范严谨（2分）</w:t>
            </w:r>
            <w:r>
              <w:rPr>
                <w:rFonts w:hint="eastAsia" w:ascii="宋体" w:hAnsi="宋体" w:cs="宋体"/>
                <w:color w:val="auto"/>
                <w:kern w:val="0"/>
                <w:sz w:val="24"/>
                <w:highlight w:val="none"/>
              </w:rPr>
              <w:t>。</w:t>
            </w:r>
          </w:p>
        </w:tc>
        <w:tc>
          <w:tcPr>
            <w:tcW w:w="4704" w:type="dxa"/>
            <w:gridSpan w:val="3"/>
            <w:tcBorders>
              <w:top w:val="single" w:color="auto" w:sz="4" w:space="0"/>
              <w:left w:val="nil"/>
              <w:bottom w:val="single" w:color="auto" w:sz="4" w:space="0"/>
              <w:right w:val="single" w:color="auto" w:sz="4" w:space="0"/>
            </w:tcBorders>
            <w:vAlign w:val="center"/>
          </w:tcPr>
          <w:p w14:paraId="3B76396D">
            <w:pPr>
              <w:spacing w:line="500" w:lineRule="exact"/>
              <w:jc w:val="center"/>
              <w:rPr>
                <w:rFonts w:ascii="宋体" w:hAnsi="宋体" w:cs="宋体"/>
                <w:color w:val="auto"/>
                <w:sz w:val="24"/>
                <w:highlight w:val="none"/>
              </w:rPr>
            </w:pPr>
          </w:p>
        </w:tc>
      </w:tr>
      <w:tr w14:paraId="39982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089545D8">
            <w:pPr>
              <w:widowControl/>
              <w:jc w:val="left"/>
              <w:rPr>
                <w:rFonts w:ascii="宋体" w:hAnsi="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6E306033">
            <w:pPr>
              <w:rPr>
                <w:rFonts w:ascii="宋体" w:hAnsi="宋体" w:cs="宋体"/>
                <w:color w:val="auto"/>
                <w:kern w:val="0"/>
                <w:sz w:val="24"/>
                <w:highlight w:val="none"/>
              </w:rPr>
            </w:pPr>
            <w:r>
              <w:rPr>
                <w:rFonts w:hint="eastAsia" w:ascii="宋体" w:hAnsi="宋体" w:cs="宋体"/>
                <w:color w:val="auto"/>
                <w:sz w:val="24"/>
                <w:highlight w:val="none"/>
              </w:rPr>
              <w:t>是否及时组织采购，是否有承诺办事时间并能限时办结（2分）</w:t>
            </w:r>
            <w:r>
              <w:rPr>
                <w:rFonts w:hint="eastAsia" w:ascii="宋体" w:hAnsi="宋体" w:cs="宋体"/>
                <w:color w:val="auto"/>
                <w:kern w:val="0"/>
                <w:sz w:val="24"/>
                <w:highlight w:val="none"/>
              </w:rPr>
              <w:t>。</w:t>
            </w:r>
          </w:p>
        </w:tc>
        <w:tc>
          <w:tcPr>
            <w:tcW w:w="4704" w:type="dxa"/>
            <w:gridSpan w:val="3"/>
            <w:tcBorders>
              <w:top w:val="single" w:color="auto" w:sz="4" w:space="0"/>
              <w:left w:val="nil"/>
              <w:bottom w:val="single" w:color="auto" w:sz="4" w:space="0"/>
              <w:right w:val="single" w:color="auto" w:sz="4" w:space="0"/>
            </w:tcBorders>
            <w:vAlign w:val="center"/>
          </w:tcPr>
          <w:p w14:paraId="2FC3CF67">
            <w:pPr>
              <w:spacing w:line="500" w:lineRule="exact"/>
              <w:jc w:val="center"/>
              <w:rPr>
                <w:rFonts w:ascii="宋体" w:hAnsi="宋体" w:cs="宋体"/>
                <w:color w:val="auto"/>
                <w:sz w:val="24"/>
                <w:highlight w:val="none"/>
              </w:rPr>
            </w:pPr>
          </w:p>
        </w:tc>
      </w:tr>
      <w:tr w14:paraId="43C04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599E1EDA">
            <w:pPr>
              <w:widowControl/>
              <w:jc w:val="left"/>
              <w:rPr>
                <w:rFonts w:ascii="宋体" w:hAnsi="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3FA63AA3">
            <w:pPr>
              <w:rPr>
                <w:rFonts w:ascii="宋体" w:hAnsi="宋体" w:cs="宋体"/>
                <w:color w:val="auto"/>
                <w:sz w:val="24"/>
                <w:highlight w:val="none"/>
              </w:rPr>
            </w:pPr>
            <w:r>
              <w:rPr>
                <w:rFonts w:hint="eastAsia" w:ascii="宋体" w:hAnsi="宋体" w:cs="宋体"/>
                <w:color w:val="auto"/>
                <w:sz w:val="24"/>
                <w:highlight w:val="none"/>
              </w:rPr>
              <w:t>是否能积极</w:t>
            </w:r>
            <w:r>
              <w:rPr>
                <w:rFonts w:hint="eastAsia" w:ascii="宋体" w:hAnsi="宋体" w:cs="宋体"/>
                <w:color w:val="auto"/>
                <w:kern w:val="0"/>
                <w:sz w:val="24"/>
                <w:highlight w:val="none"/>
              </w:rPr>
              <w:t>主动</w:t>
            </w:r>
            <w:r>
              <w:rPr>
                <w:rFonts w:hint="eastAsia" w:ascii="宋体" w:hAnsi="宋体" w:cs="宋体"/>
                <w:color w:val="auto"/>
                <w:sz w:val="24"/>
                <w:highlight w:val="none"/>
              </w:rPr>
              <w:t>与当事人沟通</w:t>
            </w:r>
            <w:r>
              <w:rPr>
                <w:rFonts w:hint="eastAsia" w:ascii="宋体" w:hAnsi="宋体" w:cs="宋体"/>
                <w:color w:val="auto"/>
                <w:kern w:val="0"/>
                <w:sz w:val="24"/>
                <w:highlight w:val="none"/>
              </w:rPr>
              <w:t>对接；对采购政策进行详细解读；</w:t>
            </w:r>
            <w:r>
              <w:rPr>
                <w:rFonts w:hint="eastAsia" w:ascii="宋体" w:hAnsi="宋体" w:cs="宋体"/>
                <w:color w:val="auto"/>
                <w:sz w:val="24"/>
                <w:highlight w:val="none"/>
              </w:rPr>
              <w:t>咨询答复是否热情周到、耐心细致（2分）</w:t>
            </w:r>
            <w:r>
              <w:rPr>
                <w:rFonts w:hint="eastAsia" w:ascii="宋体" w:hAnsi="宋体" w:cs="宋体"/>
                <w:color w:val="auto"/>
                <w:kern w:val="0"/>
                <w:sz w:val="24"/>
                <w:highlight w:val="none"/>
              </w:rPr>
              <w:t>。</w:t>
            </w:r>
          </w:p>
        </w:tc>
        <w:tc>
          <w:tcPr>
            <w:tcW w:w="4704" w:type="dxa"/>
            <w:gridSpan w:val="3"/>
            <w:tcBorders>
              <w:top w:val="single" w:color="auto" w:sz="4" w:space="0"/>
              <w:left w:val="nil"/>
              <w:bottom w:val="single" w:color="auto" w:sz="4" w:space="0"/>
              <w:right w:val="single" w:color="auto" w:sz="4" w:space="0"/>
            </w:tcBorders>
            <w:vAlign w:val="center"/>
          </w:tcPr>
          <w:p w14:paraId="46F81DE3">
            <w:pPr>
              <w:spacing w:line="500" w:lineRule="exact"/>
              <w:jc w:val="center"/>
              <w:rPr>
                <w:rFonts w:ascii="宋体" w:hAnsi="宋体" w:cs="宋体"/>
                <w:color w:val="auto"/>
                <w:sz w:val="24"/>
                <w:highlight w:val="none"/>
              </w:rPr>
            </w:pPr>
          </w:p>
        </w:tc>
      </w:tr>
      <w:tr w14:paraId="38703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2588392B">
            <w:pPr>
              <w:widowControl/>
              <w:jc w:val="left"/>
              <w:rPr>
                <w:rFonts w:ascii="宋体" w:hAnsi="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7D6ACF1F">
            <w:pPr>
              <w:rPr>
                <w:rFonts w:ascii="宋体" w:hAnsi="宋体" w:cs="宋体"/>
                <w:color w:val="auto"/>
                <w:sz w:val="24"/>
                <w:highlight w:val="none"/>
              </w:rPr>
            </w:pPr>
            <w:r>
              <w:rPr>
                <w:rFonts w:hint="eastAsia" w:ascii="宋体" w:hAnsi="宋体" w:cs="宋体"/>
                <w:color w:val="auto"/>
                <w:sz w:val="24"/>
                <w:highlight w:val="none"/>
              </w:rPr>
              <w:t>采购的质量、服务是否满意（2分）。</w:t>
            </w:r>
          </w:p>
        </w:tc>
        <w:tc>
          <w:tcPr>
            <w:tcW w:w="4704" w:type="dxa"/>
            <w:gridSpan w:val="3"/>
            <w:tcBorders>
              <w:top w:val="single" w:color="auto" w:sz="4" w:space="0"/>
              <w:left w:val="nil"/>
              <w:bottom w:val="single" w:color="auto" w:sz="4" w:space="0"/>
              <w:right w:val="single" w:color="auto" w:sz="4" w:space="0"/>
            </w:tcBorders>
            <w:vAlign w:val="center"/>
          </w:tcPr>
          <w:p w14:paraId="31529368">
            <w:pPr>
              <w:spacing w:line="500" w:lineRule="exact"/>
              <w:jc w:val="center"/>
              <w:rPr>
                <w:rFonts w:ascii="宋体" w:hAnsi="宋体" w:cs="宋体"/>
                <w:color w:val="auto"/>
                <w:sz w:val="24"/>
                <w:highlight w:val="none"/>
              </w:rPr>
            </w:pPr>
          </w:p>
        </w:tc>
      </w:tr>
      <w:tr w14:paraId="076A1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tcBorders>
              <w:top w:val="nil"/>
              <w:left w:val="single" w:color="auto" w:sz="4" w:space="0"/>
              <w:bottom w:val="single" w:color="auto" w:sz="4" w:space="0"/>
              <w:right w:val="single" w:color="auto" w:sz="4" w:space="0"/>
            </w:tcBorders>
            <w:vAlign w:val="center"/>
          </w:tcPr>
          <w:p w14:paraId="510407B8">
            <w:pPr>
              <w:widowControl/>
              <w:jc w:val="left"/>
              <w:rPr>
                <w:rFonts w:ascii="宋体" w:hAnsi="宋体" w:cs="宋体"/>
                <w:color w:val="auto"/>
                <w:sz w:val="24"/>
                <w:highlight w:val="none"/>
              </w:rPr>
            </w:pPr>
          </w:p>
        </w:tc>
        <w:tc>
          <w:tcPr>
            <w:tcW w:w="3234" w:type="dxa"/>
            <w:gridSpan w:val="3"/>
            <w:tcBorders>
              <w:top w:val="single" w:color="auto" w:sz="4" w:space="0"/>
              <w:left w:val="nil"/>
              <w:bottom w:val="single" w:color="auto" w:sz="4" w:space="0"/>
              <w:right w:val="single" w:color="auto" w:sz="4" w:space="0"/>
            </w:tcBorders>
            <w:vAlign w:val="center"/>
          </w:tcPr>
          <w:p w14:paraId="79AEFB2D">
            <w:pPr>
              <w:spacing w:line="500" w:lineRule="exact"/>
              <w:jc w:val="center"/>
              <w:rPr>
                <w:rFonts w:ascii="宋体" w:hAnsi="宋体" w:cs="宋体"/>
                <w:color w:val="auto"/>
                <w:sz w:val="24"/>
                <w:highlight w:val="none"/>
              </w:rPr>
            </w:pPr>
            <w:r>
              <w:rPr>
                <w:rFonts w:hint="eastAsia" w:ascii="宋体" w:hAnsi="宋体" w:cs="宋体"/>
                <w:color w:val="auto"/>
                <w:sz w:val="24"/>
                <w:highlight w:val="none"/>
              </w:rPr>
              <w:t>合计</w:t>
            </w:r>
          </w:p>
        </w:tc>
        <w:tc>
          <w:tcPr>
            <w:tcW w:w="4704" w:type="dxa"/>
            <w:gridSpan w:val="3"/>
            <w:tcBorders>
              <w:top w:val="single" w:color="auto" w:sz="4" w:space="0"/>
              <w:left w:val="nil"/>
              <w:bottom w:val="single" w:color="auto" w:sz="4" w:space="0"/>
              <w:right w:val="single" w:color="auto" w:sz="4" w:space="0"/>
            </w:tcBorders>
            <w:vAlign w:val="center"/>
          </w:tcPr>
          <w:p w14:paraId="3CAFF42E">
            <w:pPr>
              <w:spacing w:line="500" w:lineRule="exact"/>
              <w:jc w:val="center"/>
              <w:rPr>
                <w:rFonts w:ascii="宋体" w:hAnsi="宋体" w:cs="宋体"/>
                <w:color w:val="auto"/>
                <w:sz w:val="24"/>
                <w:highlight w:val="none"/>
              </w:rPr>
            </w:pPr>
          </w:p>
        </w:tc>
      </w:tr>
      <w:tr w14:paraId="11CE0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trPr>
        <w:tc>
          <w:tcPr>
            <w:tcW w:w="1242" w:type="dxa"/>
            <w:tcBorders>
              <w:top w:val="single" w:color="auto" w:sz="4" w:space="0"/>
              <w:left w:val="single" w:color="auto" w:sz="4" w:space="0"/>
              <w:bottom w:val="single" w:color="auto" w:sz="4" w:space="0"/>
              <w:right w:val="single" w:color="auto" w:sz="4" w:space="0"/>
            </w:tcBorders>
            <w:vAlign w:val="center"/>
          </w:tcPr>
          <w:p w14:paraId="793E5BA6">
            <w:pPr>
              <w:jc w:val="center"/>
              <w:rPr>
                <w:rFonts w:ascii="宋体" w:hAnsi="宋体" w:cs="宋体"/>
                <w:color w:val="auto"/>
                <w:sz w:val="24"/>
                <w:highlight w:val="none"/>
              </w:rPr>
            </w:pPr>
            <w:r>
              <w:rPr>
                <w:rFonts w:hint="eastAsia" w:ascii="宋体" w:hAnsi="宋体" w:cs="宋体"/>
                <w:color w:val="auto"/>
                <w:sz w:val="24"/>
                <w:highlight w:val="none"/>
              </w:rPr>
              <w:t>对代理机构的意见和建议</w:t>
            </w:r>
          </w:p>
        </w:tc>
        <w:tc>
          <w:tcPr>
            <w:tcW w:w="7938" w:type="dxa"/>
            <w:gridSpan w:val="6"/>
            <w:tcBorders>
              <w:top w:val="single" w:color="auto" w:sz="4" w:space="0"/>
              <w:left w:val="nil"/>
              <w:bottom w:val="single" w:color="auto" w:sz="4" w:space="0"/>
              <w:right w:val="single" w:color="auto" w:sz="4" w:space="0"/>
            </w:tcBorders>
            <w:vAlign w:val="center"/>
          </w:tcPr>
          <w:p w14:paraId="40B26BB1">
            <w:pPr>
              <w:jc w:val="center"/>
              <w:rPr>
                <w:rFonts w:ascii="宋体" w:hAnsi="宋体" w:cs="宋体"/>
                <w:color w:val="auto"/>
                <w:sz w:val="24"/>
                <w:highlight w:val="none"/>
              </w:rPr>
            </w:pPr>
          </w:p>
        </w:tc>
      </w:tr>
      <w:tr w14:paraId="46643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1242" w:type="dxa"/>
            <w:tcBorders>
              <w:top w:val="single" w:color="auto" w:sz="4" w:space="0"/>
              <w:left w:val="single" w:color="auto" w:sz="4" w:space="0"/>
              <w:bottom w:val="single" w:color="auto" w:sz="4" w:space="0"/>
              <w:right w:val="single" w:color="auto" w:sz="4" w:space="0"/>
            </w:tcBorders>
            <w:vAlign w:val="center"/>
          </w:tcPr>
          <w:p w14:paraId="20D066C1">
            <w:pPr>
              <w:jc w:val="center"/>
              <w:rPr>
                <w:rFonts w:ascii="宋体" w:hAnsi="宋体" w:cs="宋体"/>
                <w:color w:val="auto"/>
                <w:sz w:val="24"/>
                <w:highlight w:val="none"/>
              </w:rPr>
            </w:pPr>
            <w:r>
              <w:rPr>
                <w:rFonts w:hint="eastAsia" w:ascii="宋体" w:hAnsi="宋体" w:cs="宋体"/>
                <w:color w:val="auto"/>
                <w:sz w:val="24"/>
                <w:highlight w:val="none"/>
              </w:rPr>
              <w:t>备注</w:t>
            </w:r>
          </w:p>
        </w:tc>
        <w:tc>
          <w:tcPr>
            <w:tcW w:w="7938" w:type="dxa"/>
            <w:gridSpan w:val="6"/>
            <w:tcBorders>
              <w:top w:val="single" w:color="auto" w:sz="4" w:space="0"/>
              <w:left w:val="nil"/>
              <w:bottom w:val="single" w:color="auto" w:sz="4" w:space="0"/>
              <w:right w:val="single" w:color="auto" w:sz="4" w:space="0"/>
            </w:tcBorders>
            <w:vAlign w:val="center"/>
          </w:tcPr>
          <w:p w14:paraId="77B605C4">
            <w:pPr>
              <w:jc w:val="center"/>
              <w:rPr>
                <w:rFonts w:ascii="宋体" w:hAnsi="宋体" w:cs="宋体"/>
                <w:color w:val="auto"/>
                <w:sz w:val="24"/>
                <w:highlight w:val="none"/>
              </w:rPr>
            </w:pPr>
          </w:p>
        </w:tc>
      </w:tr>
    </w:tbl>
    <w:p w14:paraId="51E5BA70">
      <w:pPr>
        <w:spacing w:after="120"/>
        <w:ind w:right="1240"/>
        <w:rPr>
          <w:rFonts w:ascii="宋体" w:hAnsi="宋体" w:cs="宋体"/>
          <w:color w:val="auto"/>
          <w:sz w:val="24"/>
          <w:highlight w:val="none"/>
        </w:rPr>
      </w:pPr>
      <w:r>
        <w:rPr>
          <w:rFonts w:hint="eastAsia" w:ascii="宋体" w:hAnsi="宋体" w:cs="宋体"/>
          <w:color w:val="auto"/>
          <w:sz w:val="24"/>
          <w:highlight w:val="none"/>
        </w:rPr>
        <w:t>填表人签字盖章：                    日期</w:t>
      </w:r>
    </w:p>
    <w:p w14:paraId="423661E8">
      <w:pPr>
        <w:spacing w:after="120"/>
        <w:ind w:right="-154"/>
        <w:rPr>
          <w:rFonts w:ascii="宋体" w:hAnsi="宋体" w:cs="宋体"/>
          <w:color w:val="auto"/>
          <w:szCs w:val="21"/>
          <w:highlight w:val="none"/>
        </w:rPr>
      </w:pPr>
      <w:r>
        <w:rPr>
          <w:rFonts w:hint="eastAsia" w:ascii="宋体" w:hAnsi="宋体" w:cs="宋体"/>
          <w:color w:val="auto"/>
          <w:szCs w:val="21"/>
          <w:highlight w:val="none"/>
        </w:rPr>
        <w:t>注：投标单位须加盖单位红章。</w:t>
      </w:r>
    </w:p>
    <w:p w14:paraId="3CFAF673">
      <w:pPr>
        <w:pStyle w:val="4"/>
        <w:rPr>
          <w:rFonts w:ascii="宋体" w:hAnsi="宋体" w:cs="宋体"/>
          <w:color w:val="auto"/>
          <w:szCs w:val="21"/>
          <w:highlight w:val="none"/>
        </w:rPr>
      </w:pPr>
    </w:p>
    <w:p w14:paraId="4A426FAE">
      <w:pPr>
        <w:pStyle w:val="8"/>
        <w:rPr>
          <w:rFonts w:ascii="宋体" w:hAnsi="宋体" w:eastAsia="宋体" w:cs="宋体"/>
          <w:color w:val="auto"/>
          <w:sz w:val="24"/>
          <w:szCs w:val="24"/>
          <w:highlight w:val="none"/>
        </w:rPr>
      </w:pPr>
      <w:bookmarkStart w:id="127" w:name="_Toc5598"/>
      <w:bookmarkStart w:id="128" w:name="_Toc24305"/>
      <w:bookmarkStart w:id="129" w:name="_Toc2489"/>
      <w:bookmarkStart w:id="130" w:name="_Toc24160"/>
      <w:r>
        <w:rPr>
          <w:rFonts w:hint="eastAsia" w:ascii="宋体" w:hAnsi="宋体" w:eastAsia="宋体" w:cs="宋体"/>
          <w:color w:val="auto"/>
          <w:sz w:val="24"/>
          <w:szCs w:val="24"/>
          <w:highlight w:val="none"/>
        </w:rPr>
        <w:t>附件二十：办理保函需提供资料</w:t>
      </w:r>
      <w:bookmarkEnd w:id="127"/>
      <w:bookmarkEnd w:id="128"/>
    </w:p>
    <w:p w14:paraId="42AC5891">
      <w:pPr>
        <w:spacing w:after="120"/>
        <w:ind w:right="-154"/>
        <w:rPr>
          <w:rFonts w:ascii="宋体" w:hAnsi="宋体" w:cs="宋体"/>
          <w:color w:val="auto"/>
          <w:sz w:val="24"/>
          <w:highlight w:val="none"/>
        </w:rPr>
      </w:pPr>
    </w:p>
    <w:p w14:paraId="3CDC1B2B">
      <w:pPr>
        <w:spacing w:after="120"/>
        <w:ind w:right="-154"/>
        <w:jc w:val="center"/>
        <w:rPr>
          <w:rFonts w:ascii="宋体" w:hAnsi="宋体" w:cs="宋体"/>
          <w:b/>
          <w:color w:val="auto"/>
          <w:sz w:val="40"/>
          <w:szCs w:val="40"/>
          <w:highlight w:val="none"/>
        </w:rPr>
      </w:pPr>
      <w:r>
        <w:rPr>
          <w:rFonts w:hint="eastAsia" w:ascii="宋体" w:hAnsi="宋体" w:cs="宋体"/>
          <w:b/>
          <w:color w:val="auto"/>
          <w:sz w:val="40"/>
          <w:szCs w:val="40"/>
          <w:highlight w:val="none"/>
        </w:rPr>
        <w:t>办理保函需提供资料</w:t>
      </w:r>
    </w:p>
    <w:p w14:paraId="1DB544F8">
      <w:pPr>
        <w:numPr>
          <w:ilvl w:val="0"/>
          <w:numId w:val="14"/>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营业执照</w:t>
      </w:r>
    </w:p>
    <w:p w14:paraId="4D29C4E1">
      <w:pPr>
        <w:numPr>
          <w:ilvl w:val="0"/>
          <w:numId w:val="14"/>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法人身份证</w:t>
      </w:r>
    </w:p>
    <w:p w14:paraId="4B26947E">
      <w:pPr>
        <w:numPr>
          <w:ilvl w:val="0"/>
          <w:numId w:val="14"/>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近两年财务报表</w:t>
      </w:r>
    </w:p>
    <w:p w14:paraId="1EEFB4F1">
      <w:pPr>
        <w:numPr>
          <w:ilvl w:val="0"/>
          <w:numId w:val="14"/>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资质证书或安装，维修证书</w:t>
      </w:r>
    </w:p>
    <w:p w14:paraId="3D370387">
      <w:pPr>
        <w:numPr>
          <w:ilvl w:val="0"/>
          <w:numId w:val="14"/>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中标通知书</w:t>
      </w:r>
    </w:p>
    <w:p w14:paraId="516EE3CA">
      <w:pPr>
        <w:numPr>
          <w:ilvl w:val="0"/>
          <w:numId w:val="14"/>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招标文件电子版</w:t>
      </w:r>
    </w:p>
    <w:p w14:paraId="7CBC0967">
      <w:pPr>
        <w:numPr>
          <w:ilvl w:val="0"/>
          <w:numId w:val="14"/>
        </w:numPr>
        <w:spacing w:line="800" w:lineRule="exact"/>
        <w:jc w:val="left"/>
        <w:rPr>
          <w:rFonts w:ascii="宋体" w:hAnsi="宋体" w:cs="宋体"/>
          <w:color w:val="auto"/>
          <w:sz w:val="24"/>
          <w:highlight w:val="none"/>
        </w:rPr>
      </w:pPr>
      <w:r>
        <w:rPr>
          <w:rFonts w:hint="eastAsia" w:ascii="宋体" w:hAnsi="宋体" w:cs="宋体"/>
          <w:color w:val="auto"/>
          <w:sz w:val="24"/>
          <w:highlight w:val="none"/>
        </w:rPr>
        <w:t>信用反担保函</w:t>
      </w:r>
    </w:p>
    <w:p w14:paraId="5B822E2F">
      <w:pPr>
        <w:spacing w:line="800" w:lineRule="exact"/>
        <w:jc w:val="left"/>
        <w:rPr>
          <w:rFonts w:ascii="宋体" w:hAnsi="宋体" w:cs="宋体"/>
          <w:color w:val="auto"/>
          <w:sz w:val="24"/>
          <w:highlight w:val="none"/>
        </w:rPr>
      </w:pPr>
      <w:r>
        <w:rPr>
          <w:rFonts w:hint="eastAsia" w:ascii="宋体" w:hAnsi="宋体" w:cs="宋体"/>
          <w:color w:val="auto"/>
          <w:sz w:val="24"/>
          <w:highlight w:val="none"/>
        </w:rPr>
        <w:t>注：所有资料复印件加盖公章</w:t>
      </w:r>
    </w:p>
    <w:p w14:paraId="23DE93CE">
      <w:pPr>
        <w:spacing w:after="120"/>
        <w:ind w:right="-154"/>
        <w:rPr>
          <w:rFonts w:ascii="宋体" w:hAnsi="宋体" w:cs="宋体"/>
          <w:b/>
          <w:color w:val="auto"/>
          <w:sz w:val="24"/>
          <w:highlight w:val="none"/>
        </w:rPr>
      </w:pPr>
    </w:p>
    <w:p w14:paraId="2334F00A">
      <w:pPr>
        <w:spacing w:after="120"/>
        <w:ind w:right="-154"/>
        <w:rPr>
          <w:rFonts w:ascii="宋体" w:hAnsi="宋体" w:cs="宋体"/>
          <w:b/>
          <w:color w:val="auto"/>
          <w:sz w:val="24"/>
          <w:highlight w:val="none"/>
        </w:rPr>
      </w:pPr>
    </w:p>
    <w:p w14:paraId="6A6043BA">
      <w:pPr>
        <w:spacing w:after="120"/>
        <w:ind w:right="-154"/>
        <w:rPr>
          <w:rFonts w:ascii="宋体" w:hAnsi="宋体" w:cs="宋体"/>
          <w:b/>
          <w:color w:val="auto"/>
          <w:sz w:val="24"/>
          <w:highlight w:val="none"/>
        </w:rPr>
      </w:pPr>
    </w:p>
    <w:p w14:paraId="06908954">
      <w:pPr>
        <w:spacing w:after="120"/>
        <w:ind w:right="-154"/>
        <w:rPr>
          <w:rFonts w:ascii="宋体" w:hAnsi="宋体" w:cs="宋体"/>
          <w:b/>
          <w:color w:val="auto"/>
          <w:sz w:val="24"/>
          <w:highlight w:val="none"/>
        </w:rPr>
      </w:pPr>
    </w:p>
    <w:p w14:paraId="79287F97">
      <w:pPr>
        <w:spacing w:after="120"/>
        <w:ind w:right="-154"/>
        <w:rPr>
          <w:rFonts w:ascii="宋体" w:hAnsi="宋体" w:cs="宋体"/>
          <w:b/>
          <w:color w:val="auto"/>
          <w:sz w:val="24"/>
          <w:highlight w:val="none"/>
        </w:rPr>
      </w:pPr>
    </w:p>
    <w:p w14:paraId="16F976CE">
      <w:pPr>
        <w:spacing w:after="120"/>
        <w:ind w:right="-154"/>
        <w:rPr>
          <w:rFonts w:ascii="宋体" w:hAnsi="宋体" w:cs="宋体"/>
          <w:b/>
          <w:color w:val="auto"/>
          <w:sz w:val="24"/>
          <w:highlight w:val="none"/>
        </w:rPr>
      </w:pPr>
    </w:p>
    <w:p w14:paraId="68A22D4B">
      <w:pPr>
        <w:spacing w:after="120"/>
        <w:ind w:right="-154"/>
        <w:rPr>
          <w:rFonts w:ascii="宋体" w:hAnsi="宋体" w:cs="宋体"/>
          <w:b/>
          <w:color w:val="auto"/>
          <w:sz w:val="24"/>
          <w:highlight w:val="none"/>
        </w:rPr>
      </w:pPr>
    </w:p>
    <w:p w14:paraId="7562B01A">
      <w:pPr>
        <w:spacing w:after="120"/>
        <w:ind w:right="-154"/>
        <w:rPr>
          <w:rFonts w:ascii="宋体" w:hAnsi="宋体" w:cs="宋体"/>
          <w:b/>
          <w:color w:val="auto"/>
          <w:sz w:val="24"/>
          <w:highlight w:val="none"/>
        </w:rPr>
      </w:pPr>
    </w:p>
    <w:p w14:paraId="556FB816">
      <w:pPr>
        <w:spacing w:after="120"/>
        <w:ind w:right="-154"/>
        <w:rPr>
          <w:rFonts w:ascii="宋体" w:hAnsi="宋体" w:cs="宋体"/>
          <w:b/>
          <w:color w:val="auto"/>
          <w:sz w:val="24"/>
          <w:highlight w:val="none"/>
        </w:rPr>
      </w:pPr>
    </w:p>
    <w:p w14:paraId="3AEF7B2B">
      <w:pPr>
        <w:spacing w:after="120"/>
        <w:ind w:right="-154"/>
        <w:rPr>
          <w:rFonts w:ascii="宋体" w:hAnsi="宋体" w:cs="宋体"/>
          <w:b/>
          <w:color w:val="auto"/>
          <w:sz w:val="24"/>
          <w:highlight w:val="none"/>
        </w:rPr>
      </w:pPr>
    </w:p>
    <w:p w14:paraId="645F26E2">
      <w:pPr>
        <w:spacing w:after="120"/>
        <w:ind w:right="-154"/>
        <w:rPr>
          <w:rFonts w:ascii="宋体" w:hAnsi="宋体" w:cs="宋体"/>
          <w:b/>
          <w:color w:val="auto"/>
          <w:sz w:val="24"/>
          <w:highlight w:val="none"/>
        </w:rPr>
      </w:pPr>
    </w:p>
    <w:p w14:paraId="4C511A70">
      <w:pPr>
        <w:spacing w:after="120"/>
        <w:ind w:right="-154"/>
        <w:rPr>
          <w:rFonts w:ascii="宋体" w:hAnsi="宋体" w:cs="宋体"/>
          <w:b/>
          <w:color w:val="auto"/>
          <w:sz w:val="24"/>
          <w:highlight w:val="none"/>
        </w:rPr>
      </w:pPr>
    </w:p>
    <w:p w14:paraId="71ABC8BE">
      <w:pPr>
        <w:pageBreakBefore/>
        <w:spacing w:line="360" w:lineRule="auto"/>
        <w:jc w:val="center"/>
        <w:rPr>
          <w:rFonts w:ascii="宋体" w:hAnsi="宋体" w:cs="宋体"/>
          <w:color w:val="auto"/>
          <w:sz w:val="44"/>
          <w:szCs w:val="44"/>
          <w:highlight w:val="none"/>
        </w:rPr>
      </w:pPr>
      <w:r>
        <w:rPr>
          <w:rFonts w:hint="eastAsia" w:ascii="宋体" w:hAnsi="宋体" w:cs="宋体"/>
          <w:color w:val="auto"/>
          <w:sz w:val="44"/>
          <w:szCs w:val="44"/>
          <w:highlight w:val="none"/>
        </w:rPr>
        <w:t>信用反担保保证函</w:t>
      </w:r>
    </w:p>
    <w:p w14:paraId="5A8A2815">
      <w:pPr>
        <w:spacing w:line="520" w:lineRule="exact"/>
        <w:rPr>
          <w:rFonts w:ascii="宋体" w:hAnsi="宋体" w:cs="宋体"/>
          <w:color w:val="auto"/>
          <w:sz w:val="24"/>
          <w:highlight w:val="none"/>
        </w:rPr>
      </w:pPr>
      <w:r>
        <w:rPr>
          <w:rFonts w:hint="eastAsia" w:ascii="宋体" w:hAnsi="宋体" w:cs="宋体"/>
          <w:color w:val="auto"/>
          <w:sz w:val="24"/>
          <w:highlight w:val="none"/>
        </w:rPr>
        <w:t>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w:t>
      </w:r>
    </w:p>
    <w:p w14:paraId="6527C9C3">
      <w:pPr>
        <w:spacing w:line="520" w:lineRule="exact"/>
        <w:ind w:firstLine="480" w:firstLineChars="200"/>
        <w:rPr>
          <w:rFonts w:ascii="宋体" w:hAnsi="宋体" w:cs="宋体"/>
          <w:b/>
          <w:bCs/>
          <w:color w:val="auto"/>
          <w:sz w:val="24"/>
          <w:highlight w:val="none"/>
          <w:u w:val="single"/>
        </w:rPr>
      </w:pPr>
      <w:r>
        <w:rPr>
          <w:rFonts w:hint="eastAsia" w:ascii="宋体" w:hAnsi="宋体" w:cs="宋体"/>
          <w:color w:val="auto"/>
          <w:sz w:val="24"/>
          <w:highlight w:val="none"/>
        </w:rPr>
        <w:t>鉴于中国人民财产保险股份有限公司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支公司向</w:t>
      </w:r>
    </w:p>
    <w:p w14:paraId="487D7FD5">
      <w:pPr>
        <w:spacing w:line="520" w:lineRule="exact"/>
        <w:ind w:firstLine="482" w:firstLineChars="200"/>
        <w:jc w:val="left"/>
        <w:rPr>
          <w:rFonts w:ascii="宋体" w:hAnsi="宋体" w:cs="宋体"/>
          <w:color w:val="auto"/>
          <w:sz w:val="24"/>
          <w:highlight w:val="none"/>
          <w:u w:val="single"/>
        </w:rPr>
      </w:pPr>
      <w:r>
        <w:rPr>
          <w:rFonts w:hint="eastAsia" w:ascii="宋体" w:hAnsi="宋体" w:cs="宋体"/>
          <w:b/>
          <w:bCs/>
          <w:color w:val="auto"/>
          <w:sz w:val="24"/>
          <w:highlight w:val="none"/>
          <w:u w:val="single"/>
        </w:rPr>
        <w:t xml:space="preserve">             </w:t>
      </w:r>
      <w:r>
        <w:rPr>
          <w:rFonts w:hint="eastAsia" w:ascii="宋体" w:hAnsi="宋体" w:cs="宋体"/>
          <w:color w:val="auto"/>
          <w:sz w:val="24"/>
          <w:highlight w:val="none"/>
        </w:rPr>
        <w:t>公司出具《供货履约保证保险》保单（保单编号：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），并承担相应的保险责任（具体以保险合同条款为准），最高保险金额为人民币（大写）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（小写：</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）；为促进该业务的良好开展，</w:t>
      </w:r>
      <w:r>
        <w:rPr>
          <w:rFonts w:hint="eastAsia" w:ascii="宋体" w:hAnsi="宋体" w:cs="宋体"/>
          <w:color w:val="auto"/>
          <w:sz w:val="24"/>
          <w:highlight w:val="none"/>
          <w:u w:val="single"/>
        </w:rPr>
        <w:t xml:space="preserve">                                                     </w:t>
      </w:r>
    </w:p>
    <w:p w14:paraId="105F3339">
      <w:pPr>
        <w:spacing w:line="520" w:lineRule="exact"/>
        <w:rPr>
          <w:rFonts w:ascii="宋体" w:hAnsi="宋体" w:cs="宋体"/>
          <w:color w:val="auto"/>
          <w:sz w:val="24"/>
          <w:highlight w:val="none"/>
        </w:rPr>
      </w:pPr>
      <w:r>
        <w:rPr>
          <w:rFonts w:hint="eastAsia" w:ascii="宋体" w:hAnsi="宋体" w:cs="宋体"/>
          <w:color w:val="auto"/>
          <w:sz w:val="24"/>
          <w:highlight w:val="none"/>
        </w:rPr>
        <w:t>有限责任公司（以下称本信用反担保保证人）愿意为中国人民财产保险股份有限公司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支公司在保险合同项下的一系列保险保障提供信用反担保保证，同意履行以下保证内容：</w:t>
      </w:r>
    </w:p>
    <w:p w14:paraId="1F597077">
      <w:pPr>
        <w:spacing w:line="520" w:lineRule="exact"/>
        <w:ind w:firstLine="600" w:firstLineChars="250"/>
        <w:rPr>
          <w:rFonts w:ascii="宋体" w:hAnsi="宋体" w:cs="宋体"/>
          <w:color w:val="auto"/>
          <w:sz w:val="24"/>
          <w:highlight w:val="none"/>
        </w:rPr>
      </w:pPr>
      <w:r>
        <w:rPr>
          <w:rFonts w:hint="eastAsia" w:ascii="宋体" w:hAnsi="宋体" w:cs="宋体"/>
          <w:color w:val="auto"/>
          <w:sz w:val="24"/>
          <w:highlight w:val="none"/>
        </w:rPr>
        <w:t>一、 本信用反担保保证人同意承担的保证范围：</w:t>
      </w:r>
    </w:p>
    <w:p w14:paraId="3716EA37">
      <w:pPr>
        <w:spacing w:line="52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（一）中国人民财产保险股份有限公司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支公司承保的保单号为：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的供货履约保证保险合同约定的保险责任、保险金额和履行保证责任而实际发生的费用（包括但不限于诉讼费、公告费、保全费、律师费等）及损失；</w:t>
      </w:r>
    </w:p>
    <w:p w14:paraId="34FDC4FB">
      <w:pPr>
        <w:spacing w:line="52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（二）本信用反担保保证人承担保证责任的方式为连带保证责任。</w:t>
      </w:r>
    </w:p>
    <w:p w14:paraId="4921BC81">
      <w:pPr>
        <w:spacing w:line="52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二、本信用反担保保证人承担的保证期间为：从中国人民财产保险股份有限公司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支公司与本信用反担保保证人签订的保险合同生效之日起，至保险合同结束之日起的两年届满时止。</w:t>
      </w:r>
    </w:p>
    <w:p w14:paraId="13BB222C">
      <w:pPr>
        <w:spacing w:line="52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三、中国人民财产保险股份有限公司</w:t>
      </w:r>
      <w:r>
        <w:rPr>
          <w:rFonts w:hint="eastAsia" w:ascii="宋体" w:hAnsi="宋体" w:cs="宋体"/>
          <w:b/>
          <w:bCs/>
          <w:color w:val="auto"/>
          <w:sz w:val="24"/>
          <w:highlight w:val="none"/>
          <w:u w:val="single"/>
        </w:rPr>
        <w:t>东阳</w:t>
      </w:r>
      <w:r>
        <w:rPr>
          <w:rFonts w:hint="eastAsia" w:ascii="宋体" w:hAnsi="宋体" w:cs="宋体"/>
          <w:color w:val="auto"/>
          <w:sz w:val="24"/>
          <w:highlight w:val="none"/>
        </w:rPr>
        <w:t>支公司所承保的《供货履约保证保险》合同发生保险事故后，有权要求本信用反担保保证人优先履行偿债责任，且优先偿债比例为100%。</w:t>
      </w:r>
    </w:p>
    <w:p w14:paraId="61E9395C">
      <w:pPr>
        <w:spacing w:line="520" w:lineRule="exact"/>
        <w:ind w:left="560"/>
        <w:rPr>
          <w:rFonts w:ascii="宋体" w:hAnsi="宋体" w:cs="宋体"/>
          <w:color w:val="auto"/>
          <w:sz w:val="24"/>
          <w:highlight w:val="none"/>
        </w:rPr>
      </w:pPr>
      <w:r>
        <w:rPr>
          <w:rFonts w:hint="eastAsia" w:ascii="宋体" w:hAnsi="宋体" w:cs="宋体"/>
          <w:color w:val="auto"/>
          <w:sz w:val="24"/>
          <w:highlight w:val="none"/>
        </w:rPr>
        <w:t>四、本信用反担保保证人放弃反担保措施的优先偿债抗辩权。</w:t>
      </w:r>
    </w:p>
    <w:p w14:paraId="258D813B">
      <w:pPr>
        <w:spacing w:line="520" w:lineRule="exact"/>
        <w:rPr>
          <w:rFonts w:ascii="宋体" w:hAnsi="宋体" w:cs="宋体"/>
          <w:color w:val="auto"/>
          <w:sz w:val="24"/>
          <w:highlight w:val="none"/>
        </w:rPr>
      </w:pPr>
    </w:p>
    <w:p w14:paraId="468842ED">
      <w:pPr>
        <w:spacing w:line="520" w:lineRule="exact"/>
        <w:rPr>
          <w:rFonts w:ascii="宋体" w:hAnsi="宋体" w:cs="宋体"/>
          <w:color w:val="auto"/>
          <w:sz w:val="24"/>
          <w:highlight w:val="none"/>
        </w:rPr>
      </w:pPr>
      <w:r>
        <w:rPr>
          <w:rFonts w:hint="eastAsia" w:ascii="宋体" w:hAnsi="宋体" w:cs="宋体"/>
          <w:color w:val="auto"/>
          <w:sz w:val="24"/>
          <w:highlight w:val="none"/>
        </w:rPr>
        <w:t>信用反担保保证人：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63FC2D97">
      <w:pPr>
        <w:spacing w:line="520" w:lineRule="exact"/>
        <w:ind w:left="4680" w:hanging="4680" w:hangingChars="1950"/>
        <w:rPr>
          <w:rFonts w:ascii="宋体" w:hAnsi="宋体" w:cs="宋体"/>
          <w:color w:val="auto"/>
          <w:sz w:val="24"/>
          <w:highlight w:val="none"/>
        </w:rPr>
      </w:pPr>
    </w:p>
    <w:p w14:paraId="71782F53">
      <w:pPr>
        <w:spacing w:line="520" w:lineRule="exact"/>
        <w:ind w:left="5460" w:leftChars="2600" w:firstLine="360" w:firstLineChars="150"/>
        <w:rPr>
          <w:rFonts w:ascii="宋体" w:hAnsi="宋体" w:cs="宋体"/>
          <w:color w:val="auto"/>
          <w:sz w:val="24"/>
          <w:highlight w:val="none"/>
        </w:rPr>
      </w:pPr>
      <w:r>
        <w:rPr>
          <w:rFonts w:hint="eastAsia" w:ascii="宋体" w:hAnsi="宋体" w:cs="宋体"/>
          <w:color w:val="auto"/>
          <w:sz w:val="24"/>
          <w:highlight w:val="none"/>
        </w:rPr>
        <w:t>年  月   日</w:t>
      </w:r>
    </w:p>
    <w:p w14:paraId="65D64CB3">
      <w:pPr>
        <w:spacing w:line="360" w:lineRule="auto"/>
        <w:rPr>
          <w:rFonts w:ascii="宋体" w:hAnsi="宋体" w:cs="宋体"/>
          <w:color w:val="auto"/>
          <w:sz w:val="24"/>
          <w:highlight w:val="none"/>
        </w:rPr>
      </w:pPr>
    </w:p>
    <w:p w14:paraId="5608C461">
      <w:pPr>
        <w:spacing w:line="480" w:lineRule="exact"/>
        <w:ind w:left="5460" w:leftChars="2600" w:firstLine="361" w:firstLineChars="150"/>
        <w:rPr>
          <w:rFonts w:ascii="宋体" w:hAnsi="宋体" w:cs="宋体"/>
          <w:b/>
          <w:color w:val="auto"/>
          <w:sz w:val="24"/>
          <w:highlight w:val="none"/>
        </w:rPr>
      </w:pPr>
    </w:p>
    <w:p w14:paraId="1BB1E19E">
      <w:pPr>
        <w:pStyle w:val="8"/>
        <w:keepNext w:val="0"/>
        <w:keepLines w:val="0"/>
        <w:pageBreakBefore/>
        <w:rPr>
          <w:rFonts w:ascii="宋体" w:hAnsi="宋体" w:eastAsia="宋体" w:cs="宋体"/>
          <w:color w:val="auto"/>
          <w:sz w:val="24"/>
          <w:highlight w:val="none"/>
        </w:rPr>
      </w:pPr>
      <w:bookmarkStart w:id="131" w:name="_Toc25996"/>
      <w:r>
        <w:rPr>
          <w:rFonts w:hint="eastAsia" w:ascii="宋体" w:hAnsi="宋体" w:eastAsia="宋体" w:cs="宋体"/>
          <w:color w:val="auto"/>
          <w:sz w:val="24"/>
          <w:highlight w:val="none"/>
        </w:rPr>
        <w:t>附件二十</w:t>
      </w:r>
      <w:r>
        <w:rPr>
          <w:rFonts w:hint="eastAsia" w:ascii="宋体" w:hAnsi="宋体" w:eastAsia="宋体" w:cs="宋体"/>
          <w:color w:val="auto"/>
          <w:sz w:val="24"/>
          <w:highlight w:val="none"/>
          <w:lang w:val="en-US" w:eastAsia="zh-CN"/>
        </w:rPr>
        <w:t>一</w:t>
      </w:r>
      <w:r>
        <w:rPr>
          <w:rFonts w:hint="eastAsia" w:ascii="宋体" w:hAnsi="宋体" w:eastAsia="宋体" w:cs="宋体"/>
          <w:color w:val="auto"/>
          <w:sz w:val="24"/>
          <w:highlight w:val="none"/>
        </w:rPr>
        <w:t>：质疑函范本</w:t>
      </w:r>
      <w:bookmarkEnd w:id="129"/>
      <w:bookmarkEnd w:id="130"/>
      <w:bookmarkEnd w:id="131"/>
    </w:p>
    <w:p w14:paraId="711F64FB">
      <w:pPr>
        <w:jc w:val="center"/>
        <w:rPr>
          <w:rFonts w:ascii="宋体" w:hAnsi="宋体" w:cs="宋体"/>
          <w:b/>
          <w:bCs/>
          <w:color w:val="auto"/>
          <w:sz w:val="44"/>
          <w:szCs w:val="44"/>
          <w:highlight w:val="none"/>
        </w:rPr>
      </w:pPr>
      <w:r>
        <w:rPr>
          <w:rFonts w:hint="eastAsia" w:ascii="宋体" w:hAnsi="宋体" w:cs="宋体"/>
          <w:b/>
          <w:bCs/>
          <w:color w:val="auto"/>
          <w:sz w:val="44"/>
          <w:szCs w:val="44"/>
          <w:highlight w:val="none"/>
        </w:rPr>
        <w:t>质疑函范本</w:t>
      </w:r>
    </w:p>
    <w:p w14:paraId="5E11FCE2">
      <w:pPr>
        <w:adjustRightInd w:val="0"/>
        <w:snapToGrid w:val="0"/>
        <w:spacing w:before="240" w:beforeLines="100" w:line="360" w:lineRule="auto"/>
        <w:rPr>
          <w:rFonts w:ascii="宋体" w:hAnsi="宋体" w:cs="宋体"/>
          <w:bCs/>
          <w:color w:val="auto"/>
          <w:sz w:val="28"/>
          <w:szCs w:val="28"/>
          <w:highlight w:val="none"/>
        </w:rPr>
      </w:pPr>
      <w:r>
        <w:rPr>
          <w:rFonts w:hint="eastAsia" w:ascii="宋体" w:hAnsi="宋体" w:cs="宋体"/>
          <w:bCs/>
          <w:color w:val="auto"/>
          <w:sz w:val="32"/>
          <w:szCs w:val="32"/>
          <w:highlight w:val="none"/>
        </w:rPr>
        <w:t>一</w:t>
      </w:r>
      <w:r>
        <w:rPr>
          <w:rFonts w:hint="eastAsia" w:ascii="宋体" w:hAnsi="宋体" w:cs="宋体"/>
          <w:bCs/>
          <w:color w:val="auto"/>
          <w:sz w:val="28"/>
          <w:szCs w:val="28"/>
          <w:highlight w:val="none"/>
        </w:rPr>
        <w:t>、质疑供应商基本信息</w:t>
      </w:r>
    </w:p>
    <w:p w14:paraId="3ADB9937">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质疑供应商：</w:t>
      </w:r>
      <w:r>
        <w:rPr>
          <w:rFonts w:hint="eastAsia" w:ascii="宋体" w:hAnsi="宋体" w:cs="宋体"/>
          <w:color w:val="auto"/>
          <w:sz w:val="28"/>
          <w:szCs w:val="28"/>
          <w:highlight w:val="none"/>
          <w:u w:val="dotted"/>
        </w:rPr>
        <w:t xml:space="preserve">                                        </w:t>
      </w:r>
    </w:p>
    <w:p w14:paraId="520EA7B0">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地址：</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p>
    <w:p w14:paraId="31B882BB">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联系人：</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p>
    <w:p w14:paraId="1BFB60EC">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授权代表：</w:t>
      </w:r>
      <w:r>
        <w:rPr>
          <w:rFonts w:hint="eastAsia" w:ascii="宋体" w:hAnsi="宋体" w:cs="宋体"/>
          <w:color w:val="auto"/>
          <w:sz w:val="28"/>
          <w:szCs w:val="28"/>
          <w:highlight w:val="none"/>
          <w:u w:val="dotted"/>
        </w:rPr>
        <w:t xml:space="preserve">                                          </w:t>
      </w:r>
    </w:p>
    <w:p w14:paraId="13D6BA84">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 xml:space="preserve"> </w:t>
      </w:r>
    </w:p>
    <w:p w14:paraId="1AABF84C">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 xml:space="preserve">地址： </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p>
    <w:p w14:paraId="0D8CE973">
      <w:pPr>
        <w:adjustRightInd w:val="0"/>
        <w:snapToGrid w:val="0"/>
        <w:spacing w:line="360" w:lineRule="auto"/>
        <w:rPr>
          <w:rFonts w:ascii="宋体" w:hAnsi="宋体" w:cs="宋体"/>
          <w:bCs/>
          <w:color w:val="auto"/>
          <w:sz w:val="28"/>
          <w:szCs w:val="28"/>
          <w:highlight w:val="none"/>
        </w:rPr>
      </w:pPr>
      <w:r>
        <w:rPr>
          <w:rFonts w:hint="eastAsia" w:ascii="宋体" w:hAnsi="宋体" w:cs="宋体"/>
          <w:bCs/>
          <w:color w:val="auto"/>
          <w:sz w:val="28"/>
          <w:szCs w:val="28"/>
          <w:highlight w:val="none"/>
        </w:rPr>
        <w:t>二、质疑项目基本情况</w:t>
      </w:r>
    </w:p>
    <w:p w14:paraId="5FBAA21B">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质疑项目的名称：</w:t>
      </w:r>
      <w:r>
        <w:rPr>
          <w:rFonts w:hint="eastAsia" w:ascii="宋体" w:hAnsi="宋体" w:cs="宋体"/>
          <w:color w:val="auto"/>
          <w:sz w:val="28"/>
          <w:szCs w:val="28"/>
          <w:highlight w:val="none"/>
          <w:u w:val="dotted"/>
        </w:rPr>
        <w:t xml:space="preserve">                                      </w:t>
      </w:r>
    </w:p>
    <w:p w14:paraId="2D7F125E">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质疑项目的编号：</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包号：</w:t>
      </w:r>
      <w:r>
        <w:rPr>
          <w:rFonts w:hint="eastAsia" w:ascii="宋体" w:hAnsi="宋体" w:cs="宋体"/>
          <w:color w:val="auto"/>
          <w:sz w:val="28"/>
          <w:szCs w:val="28"/>
          <w:highlight w:val="none"/>
          <w:u w:val="dotted"/>
        </w:rPr>
        <w:t xml:space="preserve">                 </w:t>
      </w:r>
    </w:p>
    <w:p w14:paraId="328B33F7">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采购人名称：</w:t>
      </w:r>
      <w:r>
        <w:rPr>
          <w:rFonts w:hint="eastAsia" w:ascii="宋体" w:hAnsi="宋体" w:cs="宋体"/>
          <w:color w:val="auto"/>
          <w:sz w:val="28"/>
          <w:szCs w:val="28"/>
          <w:highlight w:val="none"/>
          <w:u w:val="dotted"/>
        </w:rPr>
        <w:t xml:space="preserve">                                         </w:t>
      </w:r>
    </w:p>
    <w:p w14:paraId="13AECC92">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采购文件获取日期：</w:t>
      </w:r>
      <w:r>
        <w:rPr>
          <w:rFonts w:hint="eastAsia" w:ascii="宋体" w:hAnsi="宋体" w:cs="宋体"/>
          <w:color w:val="auto"/>
          <w:sz w:val="28"/>
          <w:szCs w:val="28"/>
          <w:highlight w:val="none"/>
          <w:u w:val="dotted"/>
        </w:rPr>
        <w:t xml:space="preserve">                                           </w:t>
      </w:r>
    </w:p>
    <w:p w14:paraId="197D6216">
      <w:pPr>
        <w:adjustRightInd w:val="0"/>
        <w:snapToGrid w:val="0"/>
        <w:spacing w:line="360" w:lineRule="auto"/>
        <w:rPr>
          <w:rFonts w:ascii="宋体" w:hAnsi="宋体" w:cs="宋体"/>
          <w:bCs/>
          <w:color w:val="auto"/>
          <w:sz w:val="28"/>
          <w:szCs w:val="28"/>
          <w:highlight w:val="none"/>
        </w:rPr>
      </w:pPr>
      <w:r>
        <w:rPr>
          <w:rFonts w:hint="eastAsia" w:ascii="宋体" w:hAnsi="宋体" w:cs="宋体"/>
          <w:bCs/>
          <w:color w:val="auto"/>
          <w:sz w:val="28"/>
          <w:szCs w:val="28"/>
          <w:highlight w:val="none"/>
        </w:rPr>
        <w:t>三、质疑事项具体内容</w:t>
      </w:r>
    </w:p>
    <w:p w14:paraId="425D3701">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质疑事项1：</w:t>
      </w:r>
      <w:r>
        <w:rPr>
          <w:rFonts w:hint="eastAsia" w:ascii="宋体" w:hAnsi="宋体" w:cs="宋体"/>
          <w:color w:val="auto"/>
          <w:sz w:val="28"/>
          <w:szCs w:val="28"/>
          <w:highlight w:val="none"/>
          <w:u w:val="dotted"/>
        </w:rPr>
        <w:t xml:space="preserve">                                         </w:t>
      </w:r>
    </w:p>
    <w:p w14:paraId="30DAF0C7">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事实依据：</w:t>
      </w:r>
      <w:r>
        <w:rPr>
          <w:rFonts w:hint="eastAsia" w:ascii="宋体" w:hAnsi="宋体" w:cs="宋体"/>
          <w:color w:val="auto"/>
          <w:sz w:val="28"/>
          <w:szCs w:val="28"/>
          <w:highlight w:val="none"/>
          <w:u w:val="dotted"/>
        </w:rPr>
        <w:t xml:space="preserve">                                          </w:t>
      </w:r>
    </w:p>
    <w:p w14:paraId="3E458A9A">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u w:val="dotted"/>
        </w:rPr>
        <w:t xml:space="preserve">                                                       </w:t>
      </w:r>
    </w:p>
    <w:p w14:paraId="302BE68B">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法律依据：</w:t>
      </w:r>
      <w:r>
        <w:rPr>
          <w:rFonts w:hint="eastAsia" w:ascii="宋体" w:hAnsi="宋体" w:cs="宋体"/>
          <w:color w:val="auto"/>
          <w:sz w:val="28"/>
          <w:szCs w:val="28"/>
          <w:highlight w:val="none"/>
          <w:u w:val="dotted"/>
        </w:rPr>
        <w:t xml:space="preserve">                                          </w:t>
      </w:r>
    </w:p>
    <w:p w14:paraId="0056D71C">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u w:val="dotted"/>
        </w:rPr>
        <w:t xml:space="preserve">                                                     </w:t>
      </w:r>
    </w:p>
    <w:p w14:paraId="0D560F07">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质疑事项2</w:t>
      </w:r>
    </w:p>
    <w:p w14:paraId="66F5AC08">
      <w:pPr>
        <w:adjustRightInd w:val="0"/>
        <w:snapToGrid w:val="0"/>
        <w:spacing w:line="360" w:lineRule="auto"/>
        <w:rPr>
          <w:rFonts w:ascii="宋体" w:hAnsi="宋体" w:cs="宋体"/>
          <w:color w:val="auto"/>
          <w:sz w:val="28"/>
          <w:szCs w:val="28"/>
          <w:highlight w:val="none"/>
        </w:rPr>
      </w:pPr>
      <w:r>
        <w:rPr>
          <w:rFonts w:hint="eastAsia" w:ascii="宋体" w:hAnsi="宋体" w:cs="宋体"/>
          <w:color w:val="auto"/>
          <w:sz w:val="28"/>
          <w:szCs w:val="28"/>
          <w:highlight w:val="none"/>
        </w:rPr>
        <w:t>……</w:t>
      </w:r>
    </w:p>
    <w:p w14:paraId="50E6CD31">
      <w:pPr>
        <w:adjustRightInd w:val="0"/>
        <w:snapToGrid w:val="0"/>
        <w:spacing w:line="360" w:lineRule="auto"/>
        <w:rPr>
          <w:rFonts w:ascii="宋体" w:hAnsi="宋体" w:cs="宋体"/>
          <w:bCs/>
          <w:color w:val="auto"/>
          <w:sz w:val="28"/>
          <w:szCs w:val="28"/>
          <w:highlight w:val="none"/>
        </w:rPr>
      </w:pPr>
      <w:r>
        <w:rPr>
          <w:rFonts w:hint="eastAsia" w:ascii="宋体" w:hAnsi="宋体" w:cs="宋体"/>
          <w:bCs/>
          <w:color w:val="auto"/>
          <w:sz w:val="28"/>
          <w:szCs w:val="28"/>
          <w:highlight w:val="none"/>
        </w:rPr>
        <w:t>四、与质疑事项相关的质疑请求</w:t>
      </w:r>
    </w:p>
    <w:p w14:paraId="0476607B">
      <w:pPr>
        <w:adjustRightInd w:val="0"/>
        <w:snapToGrid w:val="0"/>
        <w:spacing w:line="360" w:lineRule="auto"/>
        <w:rPr>
          <w:rFonts w:ascii="宋体" w:hAnsi="宋体" w:cs="宋体"/>
          <w:color w:val="auto"/>
          <w:sz w:val="28"/>
          <w:szCs w:val="28"/>
          <w:highlight w:val="none"/>
          <w:u w:val="dotted"/>
        </w:rPr>
      </w:pPr>
      <w:r>
        <w:rPr>
          <w:rFonts w:hint="eastAsia" w:ascii="宋体" w:hAnsi="宋体" w:cs="宋体"/>
          <w:color w:val="auto"/>
          <w:sz w:val="28"/>
          <w:szCs w:val="28"/>
          <w:highlight w:val="none"/>
        </w:rPr>
        <w:t>请求：</w:t>
      </w:r>
      <w:r>
        <w:rPr>
          <w:rFonts w:hint="eastAsia" w:ascii="宋体" w:hAnsi="宋体" w:cs="宋体"/>
          <w:color w:val="auto"/>
          <w:sz w:val="28"/>
          <w:szCs w:val="28"/>
          <w:highlight w:val="none"/>
          <w:u w:val="dotted"/>
        </w:rPr>
        <w:t xml:space="preserve">                                               </w:t>
      </w:r>
    </w:p>
    <w:p w14:paraId="17A72A1C">
      <w:pPr>
        <w:rPr>
          <w:rFonts w:ascii="宋体" w:hAnsi="宋体" w:cs="宋体"/>
          <w:color w:val="auto"/>
          <w:sz w:val="28"/>
          <w:szCs w:val="28"/>
          <w:highlight w:val="none"/>
        </w:rPr>
      </w:pPr>
      <w:r>
        <w:rPr>
          <w:rFonts w:hint="eastAsia" w:ascii="宋体" w:hAnsi="宋体" w:cs="宋体"/>
          <w:color w:val="auto"/>
          <w:sz w:val="28"/>
          <w:szCs w:val="28"/>
          <w:highlight w:val="none"/>
        </w:rPr>
        <w:t xml:space="preserve">签字(签章)：                   公章：                      </w:t>
      </w:r>
    </w:p>
    <w:p w14:paraId="2034744A">
      <w:pPr>
        <w:rPr>
          <w:rFonts w:ascii="宋体" w:hAnsi="宋体" w:cs="宋体"/>
          <w:color w:val="auto"/>
          <w:sz w:val="28"/>
          <w:szCs w:val="28"/>
          <w:highlight w:val="none"/>
        </w:rPr>
      </w:pPr>
      <w:r>
        <w:rPr>
          <w:rFonts w:hint="eastAsia" w:ascii="宋体" w:hAnsi="宋体" w:cs="宋体"/>
          <w:color w:val="auto"/>
          <w:sz w:val="28"/>
          <w:szCs w:val="28"/>
          <w:highlight w:val="none"/>
        </w:rPr>
        <w:t xml:space="preserve">日期：    </w:t>
      </w:r>
    </w:p>
    <w:p w14:paraId="316586EB">
      <w:pPr>
        <w:adjustRightInd w:val="0"/>
        <w:snapToGrid w:val="0"/>
        <w:spacing w:line="360" w:lineRule="auto"/>
        <w:rPr>
          <w:rFonts w:ascii="宋体" w:hAnsi="宋体" w:cs="宋体"/>
          <w:color w:val="auto"/>
          <w:sz w:val="28"/>
          <w:szCs w:val="28"/>
          <w:highlight w:val="none"/>
        </w:rPr>
      </w:pPr>
    </w:p>
    <w:p w14:paraId="58348217">
      <w:pPr>
        <w:adjustRightInd w:val="0"/>
        <w:snapToGrid w:val="0"/>
        <w:spacing w:line="360" w:lineRule="auto"/>
        <w:rPr>
          <w:rFonts w:ascii="宋体" w:hAnsi="宋体" w:cs="宋体"/>
          <w:color w:val="auto"/>
          <w:sz w:val="28"/>
          <w:szCs w:val="28"/>
          <w:highlight w:val="none"/>
        </w:rPr>
      </w:pPr>
    </w:p>
    <w:p w14:paraId="2E8FB8BC">
      <w:pPr>
        <w:rPr>
          <w:rFonts w:ascii="宋体" w:hAnsi="宋体" w:cs="宋体"/>
          <w:b/>
          <w:color w:val="auto"/>
          <w:sz w:val="28"/>
          <w:szCs w:val="28"/>
          <w:highlight w:val="none"/>
        </w:rPr>
      </w:pPr>
    </w:p>
    <w:p w14:paraId="5599AF7E">
      <w:pPr>
        <w:rPr>
          <w:rFonts w:ascii="宋体" w:hAnsi="宋体" w:cs="宋体"/>
          <w:b/>
          <w:color w:val="auto"/>
          <w:sz w:val="28"/>
          <w:szCs w:val="28"/>
          <w:highlight w:val="none"/>
        </w:rPr>
      </w:pPr>
    </w:p>
    <w:p w14:paraId="19EEC53A">
      <w:pPr>
        <w:rPr>
          <w:rFonts w:ascii="宋体" w:hAnsi="宋体" w:cs="宋体"/>
          <w:b/>
          <w:color w:val="auto"/>
          <w:sz w:val="28"/>
          <w:szCs w:val="28"/>
          <w:highlight w:val="none"/>
        </w:rPr>
      </w:pPr>
    </w:p>
    <w:p w14:paraId="55F87372">
      <w:pPr>
        <w:rPr>
          <w:rFonts w:ascii="宋体" w:hAnsi="宋体" w:cs="宋体"/>
          <w:b/>
          <w:color w:val="auto"/>
          <w:sz w:val="28"/>
          <w:szCs w:val="28"/>
          <w:highlight w:val="none"/>
        </w:rPr>
      </w:pPr>
    </w:p>
    <w:p w14:paraId="03135D8A">
      <w:pPr>
        <w:rPr>
          <w:rFonts w:ascii="宋体" w:hAnsi="宋体" w:cs="宋体"/>
          <w:b/>
          <w:color w:val="auto"/>
          <w:sz w:val="28"/>
          <w:szCs w:val="28"/>
          <w:highlight w:val="none"/>
        </w:rPr>
      </w:pPr>
    </w:p>
    <w:p w14:paraId="3529682E">
      <w:pPr>
        <w:rPr>
          <w:rFonts w:ascii="宋体" w:hAnsi="宋体" w:cs="宋体"/>
          <w:b/>
          <w:color w:val="auto"/>
          <w:sz w:val="24"/>
          <w:highlight w:val="none"/>
        </w:rPr>
      </w:pPr>
      <w:r>
        <w:rPr>
          <w:rFonts w:hint="eastAsia" w:ascii="宋体" w:hAnsi="宋体" w:cs="宋体"/>
          <w:b/>
          <w:color w:val="auto"/>
          <w:sz w:val="24"/>
          <w:highlight w:val="none"/>
        </w:rPr>
        <w:t>质疑函制作说明：</w:t>
      </w:r>
    </w:p>
    <w:p w14:paraId="22C3BBDE">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695CB17E">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80E9182">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B2C1BBA">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2AA93759">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24CAA37">
      <w:pPr>
        <w:widowControl/>
        <w:ind w:firstLine="480" w:firstLineChars="200"/>
        <w:jc w:val="left"/>
        <w:rPr>
          <w:rFonts w:ascii="宋体" w:hAnsi="宋体" w:cs="宋体"/>
          <w:color w:val="auto"/>
          <w:sz w:val="28"/>
          <w:szCs w:val="28"/>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67B6A45">
      <w:pPr>
        <w:rPr>
          <w:rFonts w:ascii="宋体" w:hAnsi="宋体" w:cs="宋体"/>
          <w:color w:val="auto"/>
          <w:sz w:val="20"/>
          <w:szCs w:val="22"/>
          <w:highlight w:val="none"/>
        </w:rPr>
      </w:pPr>
    </w:p>
    <w:p w14:paraId="17C2BFCC">
      <w:pPr>
        <w:pStyle w:val="5"/>
        <w:ind w:firstLine="560"/>
        <w:rPr>
          <w:rFonts w:ascii="宋体" w:hAnsi="宋体" w:eastAsia="宋体" w:cs="宋体"/>
          <w:color w:val="auto"/>
          <w:sz w:val="28"/>
          <w:szCs w:val="22"/>
          <w:highlight w:val="none"/>
        </w:rPr>
      </w:pPr>
    </w:p>
    <w:p w14:paraId="4179473A">
      <w:pPr>
        <w:pStyle w:val="6"/>
        <w:rPr>
          <w:rFonts w:ascii="宋体" w:hAnsi="宋体" w:cs="宋体"/>
          <w:color w:val="auto"/>
          <w:sz w:val="20"/>
          <w:szCs w:val="22"/>
          <w:highlight w:val="none"/>
        </w:rPr>
      </w:pPr>
    </w:p>
    <w:p w14:paraId="31ED0181">
      <w:pPr>
        <w:rPr>
          <w:rFonts w:ascii="宋体" w:hAnsi="宋体" w:cs="宋体"/>
          <w:color w:val="auto"/>
          <w:sz w:val="20"/>
          <w:szCs w:val="22"/>
          <w:highlight w:val="none"/>
        </w:rPr>
      </w:pPr>
    </w:p>
    <w:p w14:paraId="1D4BD501">
      <w:pPr>
        <w:pStyle w:val="8"/>
        <w:keepNext w:val="0"/>
        <w:keepLines w:val="0"/>
        <w:pageBreakBefore/>
        <w:rPr>
          <w:rFonts w:ascii="宋体" w:hAnsi="宋体" w:eastAsia="宋体" w:cs="宋体"/>
          <w:color w:val="auto"/>
          <w:sz w:val="24"/>
          <w:highlight w:val="none"/>
        </w:rPr>
      </w:pPr>
      <w:bookmarkStart w:id="132" w:name="_Toc14265"/>
      <w:bookmarkStart w:id="133" w:name="_Toc28792"/>
      <w:bookmarkStart w:id="134" w:name="_Toc32533"/>
      <w:r>
        <w:rPr>
          <w:rFonts w:hint="eastAsia" w:ascii="宋体" w:hAnsi="宋体" w:eastAsia="宋体" w:cs="宋体"/>
          <w:color w:val="auto"/>
          <w:sz w:val="24"/>
          <w:highlight w:val="none"/>
        </w:rPr>
        <w:t>附件二十</w:t>
      </w:r>
      <w:r>
        <w:rPr>
          <w:rFonts w:hint="eastAsia" w:ascii="宋体" w:hAnsi="宋体" w:eastAsia="宋体" w:cs="宋体"/>
          <w:color w:val="auto"/>
          <w:sz w:val="24"/>
          <w:highlight w:val="none"/>
          <w:lang w:val="en-US" w:eastAsia="zh-CN"/>
        </w:rPr>
        <w:t>二</w:t>
      </w:r>
      <w:r>
        <w:rPr>
          <w:rFonts w:hint="eastAsia" w:ascii="宋体" w:hAnsi="宋体" w:eastAsia="宋体" w:cs="宋体"/>
          <w:color w:val="auto"/>
          <w:sz w:val="24"/>
          <w:highlight w:val="none"/>
        </w:rPr>
        <w:t>：投诉书范本</w:t>
      </w:r>
      <w:bookmarkEnd w:id="132"/>
      <w:bookmarkEnd w:id="133"/>
      <w:bookmarkEnd w:id="134"/>
    </w:p>
    <w:p w14:paraId="2BFCFF46">
      <w:pPr>
        <w:jc w:val="center"/>
        <w:rPr>
          <w:rFonts w:ascii="宋体" w:hAnsi="宋体" w:cs="宋体"/>
          <w:b/>
          <w:color w:val="auto"/>
          <w:sz w:val="40"/>
          <w:szCs w:val="40"/>
          <w:highlight w:val="none"/>
        </w:rPr>
      </w:pPr>
      <w:r>
        <w:rPr>
          <w:rFonts w:hint="eastAsia" w:ascii="宋体" w:hAnsi="宋体" w:cs="宋体"/>
          <w:b/>
          <w:color w:val="auto"/>
          <w:sz w:val="40"/>
          <w:szCs w:val="40"/>
          <w:highlight w:val="none"/>
        </w:rPr>
        <w:t>投诉书范本</w:t>
      </w:r>
    </w:p>
    <w:p w14:paraId="2D3E0B00">
      <w:pPr>
        <w:rPr>
          <w:rFonts w:ascii="宋体" w:hAnsi="宋体" w:cs="宋体"/>
          <w:color w:val="auto"/>
          <w:sz w:val="28"/>
          <w:szCs w:val="28"/>
          <w:highlight w:val="none"/>
        </w:rPr>
      </w:pPr>
      <w:r>
        <w:rPr>
          <w:rFonts w:hint="eastAsia" w:ascii="宋体" w:hAnsi="宋体" w:cs="宋体"/>
          <w:color w:val="auto"/>
          <w:sz w:val="28"/>
          <w:szCs w:val="28"/>
          <w:highlight w:val="none"/>
        </w:rPr>
        <w:t>一、投诉相关主体基本情况</w:t>
      </w:r>
    </w:p>
    <w:p w14:paraId="49EBF3DD">
      <w:pPr>
        <w:rPr>
          <w:rFonts w:ascii="宋体" w:hAnsi="宋体" w:cs="宋体"/>
          <w:color w:val="auto"/>
          <w:sz w:val="28"/>
          <w:szCs w:val="28"/>
          <w:highlight w:val="none"/>
          <w:u w:val="dotted"/>
        </w:rPr>
      </w:pPr>
      <w:r>
        <w:rPr>
          <w:rFonts w:hint="eastAsia" w:ascii="宋体" w:hAnsi="宋体" w:cs="宋体"/>
          <w:color w:val="auto"/>
          <w:sz w:val="28"/>
          <w:szCs w:val="28"/>
          <w:highlight w:val="none"/>
        </w:rPr>
        <w:t>投诉人：</w:t>
      </w:r>
      <w:r>
        <w:rPr>
          <w:rFonts w:hint="eastAsia" w:ascii="宋体" w:hAnsi="宋体" w:cs="宋体"/>
          <w:color w:val="auto"/>
          <w:sz w:val="28"/>
          <w:szCs w:val="28"/>
          <w:highlight w:val="none"/>
          <w:u w:val="dotted"/>
        </w:rPr>
        <w:t xml:space="preserve">                                               </w:t>
      </w:r>
    </w:p>
    <w:p w14:paraId="44A4CE41">
      <w:pPr>
        <w:rPr>
          <w:rFonts w:ascii="宋体" w:hAnsi="宋体" w:cs="宋体"/>
          <w:color w:val="auto"/>
          <w:sz w:val="28"/>
          <w:szCs w:val="28"/>
          <w:highlight w:val="none"/>
          <w:u w:val="single"/>
        </w:rPr>
      </w:pPr>
      <w:r>
        <w:rPr>
          <w:rFonts w:hint="eastAsia" w:ascii="宋体" w:hAnsi="宋体" w:cs="宋体"/>
          <w:color w:val="auto"/>
          <w:sz w:val="28"/>
          <w:szCs w:val="28"/>
          <w:highlight w:val="none"/>
        </w:rPr>
        <w:t>地     址：</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67FF3A98">
      <w:pPr>
        <w:tabs>
          <w:tab w:val="left" w:pos="6510"/>
        </w:tabs>
        <w:jc w:val="left"/>
        <w:rPr>
          <w:rFonts w:ascii="宋体" w:hAnsi="宋体" w:cs="宋体"/>
          <w:color w:val="auto"/>
          <w:sz w:val="28"/>
          <w:szCs w:val="28"/>
          <w:highlight w:val="none"/>
        </w:rPr>
      </w:pPr>
      <w:r>
        <w:rPr>
          <w:rFonts w:hint="eastAsia" w:ascii="宋体" w:hAnsi="宋体" w:cs="宋体"/>
          <w:color w:val="auto"/>
          <w:sz w:val="28"/>
          <w:szCs w:val="28"/>
          <w:highlight w:val="none"/>
        </w:rPr>
        <w:t>法定代表人/主要负责人：</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 xml:space="preserve">  </w:t>
      </w:r>
    </w:p>
    <w:p w14:paraId="03FA956B">
      <w:pPr>
        <w:tabs>
          <w:tab w:val="left" w:pos="6510"/>
        </w:tabs>
        <w:rPr>
          <w:rFonts w:ascii="宋体" w:hAnsi="宋体" w:cs="宋体"/>
          <w:color w:val="auto"/>
          <w:sz w:val="28"/>
          <w:szCs w:val="28"/>
          <w:highlight w:val="none"/>
          <w:u w:val="dotted"/>
        </w:rPr>
      </w:pP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p>
    <w:p w14:paraId="5F6DAD02">
      <w:pPr>
        <w:rPr>
          <w:rFonts w:ascii="宋体" w:hAnsi="宋体" w:cs="宋体"/>
          <w:color w:val="auto"/>
          <w:sz w:val="28"/>
          <w:szCs w:val="28"/>
          <w:highlight w:val="none"/>
          <w:u w:val="dotted"/>
        </w:rPr>
      </w:pPr>
      <w:r>
        <w:rPr>
          <w:rFonts w:hint="eastAsia" w:ascii="宋体" w:hAnsi="宋体" w:cs="宋体"/>
          <w:color w:val="auto"/>
          <w:sz w:val="28"/>
          <w:szCs w:val="28"/>
          <w:highlight w:val="none"/>
        </w:rPr>
        <w:t>授权代表：</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p>
    <w:p w14:paraId="2CF157F8">
      <w:pPr>
        <w:rPr>
          <w:rFonts w:ascii="宋体" w:hAnsi="宋体" w:cs="宋体"/>
          <w:color w:val="auto"/>
          <w:sz w:val="28"/>
          <w:szCs w:val="28"/>
          <w:highlight w:val="none"/>
          <w:u w:val="dotted"/>
        </w:rPr>
      </w:pPr>
      <w:r>
        <w:rPr>
          <w:rFonts w:hint="eastAsia" w:ascii="宋体" w:hAnsi="宋体" w:cs="宋体"/>
          <w:color w:val="auto"/>
          <w:sz w:val="28"/>
          <w:szCs w:val="28"/>
          <w:highlight w:val="none"/>
        </w:rPr>
        <w:t>地     址：</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r>
        <w:rPr>
          <w:rFonts w:hint="eastAsia" w:ascii="宋体" w:hAnsi="宋体" w:cs="宋体"/>
          <w:color w:val="auto"/>
          <w:sz w:val="28"/>
          <w:szCs w:val="28"/>
          <w:highlight w:val="none"/>
          <w:u w:val="dotted"/>
        </w:rPr>
        <w:t xml:space="preserve">                   </w:t>
      </w:r>
    </w:p>
    <w:p w14:paraId="74BB4E61">
      <w:pPr>
        <w:rPr>
          <w:rFonts w:ascii="宋体" w:hAnsi="宋体" w:cs="宋体"/>
          <w:color w:val="auto"/>
          <w:sz w:val="28"/>
          <w:szCs w:val="28"/>
          <w:highlight w:val="none"/>
          <w:u w:val="single"/>
        </w:rPr>
      </w:pPr>
      <w:r>
        <w:rPr>
          <w:rFonts w:hint="eastAsia" w:ascii="宋体" w:hAnsi="宋体" w:cs="宋体"/>
          <w:color w:val="auto"/>
          <w:sz w:val="28"/>
          <w:szCs w:val="28"/>
          <w:highlight w:val="none"/>
        </w:rPr>
        <w:t>被投诉人1：</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072C835A">
      <w:pPr>
        <w:rPr>
          <w:rFonts w:ascii="宋体" w:hAnsi="宋体" w:cs="宋体"/>
          <w:color w:val="auto"/>
          <w:sz w:val="28"/>
          <w:szCs w:val="28"/>
          <w:highlight w:val="none"/>
          <w:u w:val="single"/>
        </w:rPr>
      </w:pPr>
      <w:r>
        <w:rPr>
          <w:rFonts w:hint="eastAsia" w:ascii="宋体" w:hAnsi="宋体" w:cs="宋体"/>
          <w:color w:val="auto"/>
          <w:sz w:val="28"/>
          <w:szCs w:val="28"/>
          <w:highlight w:val="none"/>
        </w:rPr>
        <w:t>地     址：</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68B48897">
      <w:pPr>
        <w:rPr>
          <w:rFonts w:ascii="宋体" w:hAnsi="宋体" w:cs="宋体"/>
          <w:color w:val="auto"/>
          <w:sz w:val="28"/>
          <w:szCs w:val="28"/>
          <w:highlight w:val="none"/>
          <w:u w:val="single"/>
        </w:rPr>
      </w:pPr>
      <w:r>
        <w:rPr>
          <w:rFonts w:hint="eastAsia" w:ascii="宋体" w:hAnsi="宋体" w:cs="宋体"/>
          <w:color w:val="auto"/>
          <w:sz w:val="28"/>
          <w:szCs w:val="28"/>
          <w:highlight w:val="none"/>
        </w:rPr>
        <w:t>联系人：</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70EA8262">
      <w:pPr>
        <w:rPr>
          <w:rFonts w:ascii="宋体" w:hAnsi="宋体" w:cs="宋体"/>
          <w:color w:val="auto"/>
          <w:sz w:val="28"/>
          <w:szCs w:val="28"/>
          <w:highlight w:val="none"/>
        </w:rPr>
      </w:pPr>
      <w:r>
        <w:rPr>
          <w:rFonts w:hint="eastAsia" w:ascii="宋体" w:hAnsi="宋体" w:cs="宋体"/>
          <w:color w:val="auto"/>
          <w:sz w:val="28"/>
          <w:szCs w:val="28"/>
          <w:highlight w:val="none"/>
        </w:rPr>
        <w:t>被投诉人2</w:t>
      </w:r>
    </w:p>
    <w:p w14:paraId="45B33F23">
      <w:pPr>
        <w:rPr>
          <w:rFonts w:ascii="宋体" w:hAnsi="宋体" w:cs="宋体"/>
          <w:color w:val="auto"/>
          <w:sz w:val="28"/>
          <w:szCs w:val="28"/>
          <w:highlight w:val="none"/>
          <w:u w:val="dotted"/>
        </w:rPr>
      </w:pPr>
      <w:r>
        <w:rPr>
          <w:rFonts w:hint="eastAsia" w:ascii="宋体" w:hAnsi="宋体" w:cs="宋体"/>
          <w:color w:val="auto"/>
          <w:sz w:val="28"/>
          <w:szCs w:val="28"/>
          <w:highlight w:val="none"/>
        </w:rPr>
        <w:t>……</w:t>
      </w:r>
    </w:p>
    <w:p w14:paraId="1BC79DAD">
      <w:pPr>
        <w:rPr>
          <w:rFonts w:ascii="宋体" w:hAnsi="宋体" w:cs="宋体"/>
          <w:color w:val="auto"/>
          <w:sz w:val="28"/>
          <w:szCs w:val="28"/>
          <w:highlight w:val="none"/>
          <w:u w:val="single"/>
        </w:rPr>
      </w:pPr>
      <w:r>
        <w:rPr>
          <w:rFonts w:hint="eastAsia" w:ascii="宋体" w:hAnsi="宋体" w:cs="宋体"/>
          <w:color w:val="auto"/>
          <w:sz w:val="28"/>
          <w:szCs w:val="28"/>
          <w:highlight w:val="none"/>
        </w:rPr>
        <w:t>相关供应商：</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6C3E2ADA">
      <w:pPr>
        <w:rPr>
          <w:rFonts w:ascii="宋体" w:hAnsi="宋体" w:cs="宋体"/>
          <w:color w:val="auto"/>
          <w:sz w:val="28"/>
          <w:szCs w:val="28"/>
          <w:highlight w:val="none"/>
          <w:u w:val="single"/>
        </w:rPr>
      </w:pPr>
      <w:r>
        <w:rPr>
          <w:rFonts w:hint="eastAsia" w:ascii="宋体" w:hAnsi="宋体" w:cs="宋体"/>
          <w:color w:val="auto"/>
          <w:sz w:val="28"/>
          <w:szCs w:val="28"/>
          <w:highlight w:val="none"/>
        </w:rPr>
        <w:t>地     址：</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邮编：</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04EFEC78">
      <w:pPr>
        <w:rPr>
          <w:rFonts w:ascii="宋体" w:hAnsi="宋体" w:cs="宋体"/>
          <w:color w:val="auto"/>
          <w:sz w:val="28"/>
          <w:szCs w:val="28"/>
          <w:highlight w:val="none"/>
          <w:u w:val="single"/>
        </w:rPr>
      </w:pPr>
      <w:r>
        <w:rPr>
          <w:rFonts w:hint="eastAsia" w:ascii="宋体" w:hAnsi="宋体" w:cs="宋体"/>
          <w:color w:val="auto"/>
          <w:sz w:val="28"/>
          <w:szCs w:val="28"/>
          <w:highlight w:val="none"/>
        </w:rPr>
        <w:t>联系人：</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联系电话：</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002A2A81">
      <w:pPr>
        <w:rPr>
          <w:rFonts w:ascii="宋体" w:hAnsi="宋体" w:cs="宋体"/>
          <w:color w:val="auto"/>
          <w:sz w:val="28"/>
          <w:szCs w:val="28"/>
          <w:highlight w:val="none"/>
        </w:rPr>
      </w:pPr>
      <w:r>
        <w:rPr>
          <w:rFonts w:hint="eastAsia" w:ascii="宋体" w:hAnsi="宋体" w:cs="宋体"/>
          <w:color w:val="auto"/>
          <w:sz w:val="28"/>
          <w:szCs w:val="28"/>
          <w:highlight w:val="none"/>
        </w:rPr>
        <w:t>二、投诉项目基本情况</w:t>
      </w:r>
    </w:p>
    <w:p w14:paraId="19564F1B">
      <w:pPr>
        <w:rPr>
          <w:rFonts w:ascii="宋体" w:hAnsi="宋体" w:cs="宋体"/>
          <w:color w:val="auto"/>
          <w:sz w:val="28"/>
          <w:szCs w:val="28"/>
          <w:highlight w:val="none"/>
          <w:u w:val="dotted"/>
        </w:rPr>
      </w:pPr>
      <w:r>
        <w:rPr>
          <w:rFonts w:hint="eastAsia" w:ascii="宋体" w:hAnsi="宋体" w:cs="宋体"/>
          <w:color w:val="auto"/>
          <w:sz w:val="28"/>
          <w:szCs w:val="28"/>
          <w:highlight w:val="none"/>
        </w:rPr>
        <w:t>采购项目名称：</w:t>
      </w:r>
      <w:r>
        <w:rPr>
          <w:rFonts w:hint="eastAsia" w:ascii="宋体" w:hAnsi="宋体" w:cs="宋体"/>
          <w:color w:val="auto"/>
          <w:sz w:val="28"/>
          <w:szCs w:val="28"/>
          <w:highlight w:val="none"/>
          <w:u w:val="dotted"/>
        </w:rPr>
        <w:t xml:space="preserve">                                        </w:t>
      </w:r>
    </w:p>
    <w:p w14:paraId="45BB8EA2">
      <w:pPr>
        <w:rPr>
          <w:rFonts w:ascii="宋体" w:hAnsi="宋体" w:cs="宋体"/>
          <w:color w:val="auto"/>
          <w:sz w:val="28"/>
          <w:szCs w:val="28"/>
          <w:highlight w:val="none"/>
          <w:u w:val="single"/>
        </w:rPr>
      </w:pPr>
      <w:r>
        <w:rPr>
          <w:rFonts w:hint="eastAsia" w:ascii="宋体" w:hAnsi="宋体" w:cs="宋体"/>
          <w:color w:val="auto"/>
          <w:sz w:val="28"/>
          <w:szCs w:val="28"/>
          <w:highlight w:val="none"/>
        </w:rPr>
        <w:t>采购项目编号：</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包号：</w:t>
      </w:r>
      <w:r>
        <w:rPr>
          <w:rFonts w:hint="eastAsia" w:ascii="宋体" w:hAnsi="宋体" w:cs="宋体"/>
          <w:color w:val="auto"/>
          <w:sz w:val="28"/>
          <w:szCs w:val="28"/>
          <w:highlight w:val="none"/>
          <w:u w:val="dotted"/>
        </w:rPr>
        <w:t xml:space="preserve">              </w:t>
      </w:r>
    </w:p>
    <w:p w14:paraId="0DC49F97">
      <w:pPr>
        <w:rPr>
          <w:rFonts w:ascii="宋体" w:hAnsi="宋体" w:cs="宋体"/>
          <w:color w:val="auto"/>
          <w:sz w:val="28"/>
          <w:szCs w:val="28"/>
          <w:highlight w:val="none"/>
        </w:rPr>
      </w:pPr>
      <w:r>
        <w:rPr>
          <w:rFonts w:hint="eastAsia" w:ascii="宋体" w:hAnsi="宋体" w:cs="宋体"/>
          <w:color w:val="auto"/>
          <w:sz w:val="28"/>
          <w:szCs w:val="28"/>
          <w:highlight w:val="none"/>
        </w:rPr>
        <w:t>采购人名称：</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u w:val="single"/>
        </w:rPr>
        <w:t xml:space="preserve">  </w:t>
      </w:r>
    </w:p>
    <w:p w14:paraId="335C92FF">
      <w:pPr>
        <w:rPr>
          <w:rFonts w:ascii="宋体" w:hAnsi="宋体" w:cs="宋体"/>
          <w:color w:val="auto"/>
          <w:sz w:val="28"/>
          <w:szCs w:val="28"/>
          <w:highlight w:val="none"/>
          <w:u w:val="single"/>
        </w:rPr>
      </w:pPr>
      <w:r>
        <w:rPr>
          <w:rFonts w:hint="eastAsia" w:ascii="宋体" w:hAnsi="宋体" w:cs="宋体"/>
          <w:color w:val="auto"/>
          <w:sz w:val="28"/>
          <w:szCs w:val="28"/>
          <w:highlight w:val="none"/>
        </w:rPr>
        <w:t>代理机构名称：</w:t>
      </w:r>
      <w:r>
        <w:rPr>
          <w:rFonts w:hint="eastAsia" w:ascii="宋体" w:hAnsi="宋体" w:cs="宋体"/>
          <w:color w:val="auto"/>
          <w:sz w:val="28"/>
          <w:szCs w:val="28"/>
          <w:highlight w:val="none"/>
          <w:u w:val="dotted"/>
        </w:rPr>
        <w:t xml:space="preserve">                                         </w:t>
      </w:r>
    </w:p>
    <w:p w14:paraId="768C7878">
      <w:pPr>
        <w:rPr>
          <w:rFonts w:ascii="宋体" w:hAnsi="宋体" w:cs="宋体"/>
          <w:color w:val="auto"/>
          <w:sz w:val="28"/>
          <w:szCs w:val="28"/>
          <w:highlight w:val="none"/>
          <w:u w:val="dotted"/>
        </w:rPr>
      </w:pPr>
      <w:r>
        <w:rPr>
          <w:rFonts w:hint="eastAsia" w:ascii="宋体" w:hAnsi="宋体" w:cs="宋体"/>
          <w:color w:val="auto"/>
          <w:sz w:val="28"/>
          <w:szCs w:val="28"/>
          <w:highlight w:val="none"/>
        </w:rPr>
        <w:t>采购文件公告:</w:t>
      </w:r>
      <w:r>
        <w:rPr>
          <w:rFonts w:hint="eastAsia" w:ascii="宋体" w:hAnsi="宋体" w:cs="宋体"/>
          <w:color w:val="auto"/>
          <w:sz w:val="28"/>
          <w:szCs w:val="28"/>
          <w:highlight w:val="none"/>
          <w:u w:val="dotted"/>
        </w:rPr>
        <w:t xml:space="preserve">是/否 </w:t>
      </w:r>
      <w:r>
        <w:rPr>
          <w:rFonts w:hint="eastAsia" w:ascii="宋体" w:hAnsi="宋体" w:cs="宋体"/>
          <w:color w:val="auto"/>
          <w:sz w:val="28"/>
          <w:szCs w:val="28"/>
          <w:highlight w:val="none"/>
        </w:rPr>
        <w:t>公告期限：</w:t>
      </w:r>
      <w:r>
        <w:rPr>
          <w:rFonts w:hint="eastAsia" w:ascii="宋体" w:hAnsi="宋体" w:cs="宋体"/>
          <w:color w:val="auto"/>
          <w:sz w:val="28"/>
          <w:szCs w:val="28"/>
          <w:highlight w:val="none"/>
          <w:u w:val="dotted"/>
        </w:rPr>
        <w:t xml:space="preserve">                                 </w:t>
      </w:r>
    </w:p>
    <w:p w14:paraId="7D32FE3D">
      <w:pPr>
        <w:rPr>
          <w:rFonts w:ascii="宋体" w:hAnsi="宋体" w:cs="宋体"/>
          <w:color w:val="auto"/>
          <w:sz w:val="28"/>
          <w:szCs w:val="28"/>
          <w:highlight w:val="none"/>
          <w:u w:val="single"/>
        </w:rPr>
      </w:pPr>
      <w:r>
        <w:rPr>
          <w:rFonts w:hint="eastAsia" w:ascii="宋体" w:hAnsi="宋体" w:cs="宋体"/>
          <w:color w:val="auto"/>
          <w:sz w:val="28"/>
          <w:szCs w:val="28"/>
          <w:highlight w:val="none"/>
        </w:rPr>
        <w:t>采购结果公告:</w:t>
      </w:r>
      <w:r>
        <w:rPr>
          <w:rFonts w:hint="eastAsia" w:ascii="宋体" w:hAnsi="宋体" w:cs="宋体"/>
          <w:color w:val="auto"/>
          <w:sz w:val="28"/>
          <w:szCs w:val="28"/>
          <w:highlight w:val="none"/>
          <w:u w:val="dotted"/>
        </w:rPr>
        <w:t xml:space="preserve">是/否 </w:t>
      </w:r>
      <w:r>
        <w:rPr>
          <w:rFonts w:hint="eastAsia" w:ascii="宋体" w:hAnsi="宋体" w:cs="宋体"/>
          <w:color w:val="auto"/>
          <w:sz w:val="28"/>
          <w:szCs w:val="28"/>
          <w:highlight w:val="none"/>
        </w:rPr>
        <w:t>公告期限：</w:t>
      </w:r>
      <w:r>
        <w:rPr>
          <w:rFonts w:hint="eastAsia" w:ascii="宋体" w:hAnsi="宋体" w:cs="宋体"/>
          <w:color w:val="auto"/>
          <w:sz w:val="28"/>
          <w:szCs w:val="28"/>
          <w:highlight w:val="none"/>
          <w:u w:val="dotted"/>
        </w:rPr>
        <w:t xml:space="preserve">                        </w:t>
      </w:r>
    </w:p>
    <w:p w14:paraId="7A67FD6F">
      <w:pPr>
        <w:rPr>
          <w:rFonts w:ascii="宋体" w:hAnsi="宋体" w:cs="宋体"/>
          <w:color w:val="auto"/>
          <w:sz w:val="28"/>
          <w:szCs w:val="28"/>
          <w:highlight w:val="none"/>
        </w:rPr>
      </w:pPr>
      <w:r>
        <w:rPr>
          <w:rFonts w:hint="eastAsia" w:ascii="宋体" w:hAnsi="宋体" w:cs="宋体"/>
          <w:color w:val="auto"/>
          <w:sz w:val="28"/>
          <w:szCs w:val="28"/>
          <w:highlight w:val="none"/>
        </w:rPr>
        <w:t>三、质疑基本情况</w:t>
      </w:r>
    </w:p>
    <w:p w14:paraId="267D300D">
      <w:pPr>
        <w:ind w:firstLine="560" w:firstLineChars="200"/>
        <w:rPr>
          <w:rFonts w:ascii="宋体" w:hAnsi="宋体" w:cs="宋体"/>
          <w:color w:val="auto"/>
          <w:sz w:val="28"/>
          <w:szCs w:val="28"/>
          <w:highlight w:val="none"/>
          <w:u w:val="dotted"/>
        </w:rPr>
      </w:pPr>
      <w:r>
        <w:rPr>
          <w:rFonts w:hint="eastAsia" w:ascii="宋体" w:hAnsi="宋体" w:cs="宋体"/>
          <w:color w:val="auto"/>
          <w:sz w:val="28"/>
          <w:szCs w:val="28"/>
          <w:highlight w:val="none"/>
        </w:rPr>
        <w:t>投诉人于</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月</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日,向</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提出质疑，质疑事项为：</w:t>
      </w:r>
      <w:r>
        <w:rPr>
          <w:rFonts w:hint="eastAsia" w:ascii="宋体" w:hAnsi="宋体" w:cs="宋体"/>
          <w:color w:val="auto"/>
          <w:sz w:val="28"/>
          <w:szCs w:val="28"/>
          <w:highlight w:val="none"/>
          <w:u w:val="dotted"/>
        </w:rPr>
        <w:t xml:space="preserve">                                </w:t>
      </w:r>
    </w:p>
    <w:p w14:paraId="6301CF82">
      <w:pPr>
        <w:rPr>
          <w:rFonts w:ascii="宋体" w:hAnsi="宋体" w:cs="宋体"/>
          <w:color w:val="auto"/>
          <w:sz w:val="28"/>
          <w:szCs w:val="28"/>
          <w:highlight w:val="none"/>
          <w:u w:val="dotted"/>
        </w:rPr>
      </w:pP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 xml:space="preserve">  </w:t>
      </w:r>
    </w:p>
    <w:p w14:paraId="27EEFD87">
      <w:pPr>
        <w:ind w:firstLine="420" w:firstLineChars="150"/>
        <w:rPr>
          <w:rFonts w:ascii="宋体" w:hAnsi="宋体" w:cs="宋体"/>
          <w:color w:val="auto"/>
          <w:sz w:val="28"/>
          <w:szCs w:val="28"/>
          <w:highlight w:val="none"/>
        </w:rPr>
      </w:pPr>
      <w:r>
        <w:rPr>
          <w:rFonts w:hint="eastAsia" w:ascii="宋体" w:hAnsi="宋体" w:cs="宋体"/>
          <w:color w:val="auto"/>
          <w:sz w:val="28"/>
          <w:szCs w:val="28"/>
          <w:highlight w:val="none"/>
          <w:u w:val="dotted"/>
        </w:rPr>
        <w:t>采购人/代理机构</w:t>
      </w:r>
      <w:r>
        <w:rPr>
          <w:rFonts w:hint="eastAsia" w:ascii="宋体" w:hAnsi="宋体" w:cs="宋体"/>
          <w:color w:val="auto"/>
          <w:sz w:val="28"/>
          <w:szCs w:val="28"/>
          <w:highlight w:val="none"/>
        </w:rPr>
        <w:t>于</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年</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月</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日,就质疑事项作出了答复/没有在法定期限内作出答复。</w:t>
      </w:r>
    </w:p>
    <w:p w14:paraId="22D3A2D1">
      <w:pPr>
        <w:rPr>
          <w:rFonts w:ascii="宋体" w:hAnsi="宋体" w:cs="宋体"/>
          <w:color w:val="auto"/>
          <w:sz w:val="28"/>
          <w:szCs w:val="28"/>
          <w:highlight w:val="none"/>
        </w:rPr>
      </w:pPr>
      <w:r>
        <w:rPr>
          <w:rFonts w:hint="eastAsia" w:ascii="宋体" w:hAnsi="宋体" w:cs="宋体"/>
          <w:color w:val="auto"/>
          <w:sz w:val="28"/>
          <w:szCs w:val="28"/>
          <w:highlight w:val="none"/>
        </w:rPr>
        <w:t>四、投诉事项具体内容</w:t>
      </w:r>
    </w:p>
    <w:p w14:paraId="3EC97E35">
      <w:pPr>
        <w:rPr>
          <w:rFonts w:ascii="宋体" w:hAnsi="宋体" w:cs="宋体"/>
          <w:color w:val="auto"/>
          <w:sz w:val="28"/>
          <w:szCs w:val="28"/>
          <w:highlight w:val="none"/>
          <w:u w:val="single"/>
        </w:rPr>
      </w:pPr>
      <w:r>
        <w:rPr>
          <w:rFonts w:hint="eastAsia" w:ascii="宋体" w:hAnsi="宋体" w:cs="宋体"/>
          <w:color w:val="auto"/>
          <w:sz w:val="28"/>
          <w:szCs w:val="28"/>
          <w:highlight w:val="none"/>
        </w:rPr>
        <w:t>投诉事项 1：</w:t>
      </w:r>
      <w:r>
        <w:rPr>
          <w:rFonts w:hint="eastAsia" w:ascii="宋体" w:hAnsi="宋体" w:cs="宋体"/>
          <w:color w:val="auto"/>
          <w:sz w:val="28"/>
          <w:szCs w:val="28"/>
          <w:highlight w:val="none"/>
          <w:u w:val="dotted"/>
        </w:rPr>
        <w:t xml:space="preserve">                                       </w:t>
      </w:r>
    </w:p>
    <w:p w14:paraId="024E306A">
      <w:pPr>
        <w:rPr>
          <w:rFonts w:ascii="宋体" w:hAnsi="宋体" w:cs="宋体"/>
          <w:color w:val="auto"/>
          <w:sz w:val="28"/>
          <w:szCs w:val="28"/>
          <w:highlight w:val="none"/>
        </w:rPr>
      </w:pPr>
      <w:r>
        <w:rPr>
          <w:rFonts w:hint="eastAsia" w:ascii="宋体" w:hAnsi="宋体" w:cs="宋体"/>
          <w:color w:val="auto"/>
          <w:sz w:val="28"/>
          <w:szCs w:val="28"/>
          <w:highlight w:val="none"/>
        </w:rPr>
        <w:t>事实依据：</w:t>
      </w:r>
      <w:r>
        <w:rPr>
          <w:rFonts w:hint="eastAsia" w:ascii="宋体" w:hAnsi="宋体" w:cs="宋体"/>
          <w:color w:val="auto"/>
          <w:sz w:val="28"/>
          <w:szCs w:val="28"/>
          <w:highlight w:val="none"/>
          <w:u w:val="dotted"/>
        </w:rPr>
        <w:t xml:space="preserve">                                         </w:t>
      </w:r>
    </w:p>
    <w:p w14:paraId="698F8AAF">
      <w:pPr>
        <w:rPr>
          <w:rFonts w:ascii="宋体" w:hAnsi="宋体" w:cs="宋体"/>
          <w:color w:val="auto"/>
          <w:sz w:val="28"/>
          <w:szCs w:val="28"/>
          <w:highlight w:val="none"/>
          <w:u w:val="dotted"/>
        </w:rPr>
      </w:pPr>
      <w:r>
        <w:rPr>
          <w:rFonts w:hint="eastAsia" w:ascii="宋体" w:hAnsi="宋体" w:cs="宋体"/>
          <w:color w:val="auto"/>
          <w:sz w:val="28"/>
          <w:szCs w:val="28"/>
          <w:highlight w:val="none"/>
          <w:u w:val="dotted"/>
        </w:rPr>
        <w:t xml:space="preserve">                                                      </w:t>
      </w:r>
    </w:p>
    <w:p w14:paraId="34515A1F">
      <w:pPr>
        <w:rPr>
          <w:rFonts w:ascii="宋体" w:hAnsi="宋体" w:cs="宋体"/>
          <w:color w:val="auto"/>
          <w:sz w:val="28"/>
          <w:szCs w:val="28"/>
          <w:highlight w:val="none"/>
          <w:u w:val="single"/>
        </w:rPr>
      </w:pPr>
      <w:r>
        <w:rPr>
          <w:rFonts w:hint="eastAsia" w:ascii="宋体" w:hAnsi="宋体" w:cs="宋体"/>
          <w:color w:val="auto"/>
          <w:sz w:val="28"/>
          <w:szCs w:val="28"/>
          <w:highlight w:val="none"/>
        </w:rPr>
        <w:t>法律依据：</w:t>
      </w:r>
      <w:r>
        <w:rPr>
          <w:rFonts w:hint="eastAsia" w:ascii="宋体" w:hAnsi="宋体" w:cs="宋体"/>
          <w:color w:val="auto"/>
          <w:sz w:val="28"/>
          <w:szCs w:val="28"/>
          <w:highlight w:val="none"/>
          <w:u w:val="dotted"/>
        </w:rPr>
        <w:t xml:space="preserve">                                          </w:t>
      </w:r>
    </w:p>
    <w:p w14:paraId="437F4A74">
      <w:pPr>
        <w:rPr>
          <w:rFonts w:ascii="宋体" w:hAnsi="宋体" w:cs="宋体"/>
          <w:color w:val="auto"/>
          <w:sz w:val="28"/>
          <w:szCs w:val="28"/>
          <w:highlight w:val="none"/>
          <w:u w:val="dotted"/>
        </w:rPr>
      </w:pPr>
      <w:r>
        <w:rPr>
          <w:rFonts w:hint="eastAsia" w:ascii="宋体" w:hAnsi="宋体" w:cs="宋体"/>
          <w:color w:val="auto"/>
          <w:sz w:val="28"/>
          <w:szCs w:val="28"/>
          <w:highlight w:val="none"/>
          <w:u w:val="dotted"/>
        </w:rPr>
        <w:t xml:space="preserve">                                                      </w:t>
      </w:r>
    </w:p>
    <w:p w14:paraId="1FEB4E3C">
      <w:pPr>
        <w:rPr>
          <w:rFonts w:ascii="宋体" w:hAnsi="宋体" w:cs="宋体"/>
          <w:color w:val="auto"/>
          <w:sz w:val="28"/>
          <w:szCs w:val="28"/>
          <w:highlight w:val="none"/>
        </w:rPr>
      </w:pPr>
      <w:r>
        <w:rPr>
          <w:rFonts w:hint="eastAsia" w:ascii="宋体" w:hAnsi="宋体" w:cs="宋体"/>
          <w:color w:val="auto"/>
          <w:sz w:val="28"/>
          <w:szCs w:val="28"/>
          <w:highlight w:val="none"/>
        </w:rPr>
        <w:t>投诉事项2</w:t>
      </w:r>
    </w:p>
    <w:p w14:paraId="0391306B">
      <w:pPr>
        <w:rPr>
          <w:rFonts w:ascii="宋体" w:hAnsi="宋体" w:cs="宋体"/>
          <w:color w:val="auto"/>
          <w:sz w:val="28"/>
          <w:szCs w:val="28"/>
          <w:highlight w:val="none"/>
          <w:u w:val="dotted"/>
        </w:rPr>
      </w:pPr>
      <w:r>
        <w:rPr>
          <w:rFonts w:hint="eastAsia" w:ascii="宋体" w:hAnsi="宋体" w:cs="宋体"/>
          <w:color w:val="auto"/>
          <w:sz w:val="28"/>
          <w:szCs w:val="28"/>
          <w:highlight w:val="none"/>
        </w:rPr>
        <w:t>……</w:t>
      </w:r>
    </w:p>
    <w:p w14:paraId="3CB34AC3">
      <w:pPr>
        <w:rPr>
          <w:rFonts w:ascii="宋体" w:hAnsi="宋体" w:cs="宋体"/>
          <w:color w:val="auto"/>
          <w:sz w:val="28"/>
          <w:szCs w:val="28"/>
          <w:highlight w:val="none"/>
        </w:rPr>
      </w:pPr>
      <w:r>
        <w:rPr>
          <w:rFonts w:hint="eastAsia" w:ascii="宋体" w:hAnsi="宋体" w:cs="宋体"/>
          <w:color w:val="auto"/>
          <w:sz w:val="28"/>
          <w:szCs w:val="28"/>
          <w:highlight w:val="none"/>
        </w:rPr>
        <w:t>五、与投诉事项相关的投诉请求</w:t>
      </w:r>
    </w:p>
    <w:p w14:paraId="6FA1F778">
      <w:pPr>
        <w:rPr>
          <w:rFonts w:ascii="宋体" w:hAnsi="宋体" w:cs="宋体"/>
          <w:color w:val="auto"/>
          <w:sz w:val="28"/>
          <w:szCs w:val="28"/>
          <w:highlight w:val="none"/>
        </w:rPr>
      </w:pPr>
      <w:r>
        <w:rPr>
          <w:rFonts w:hint="eastAsia" w:ascii="宋体" w:hAnsi="宋体" w:cs="宋体"/>
          <w:color w:val="auto"/>
          <w:sz w:val="28"/>
          <w:szCs w:val="28"/>
          <w:highlight w:val="none"/>
        </w:rPr>
        <w:t>请求：</w:t>
      </w:r>
      <w:r>
        <w:rPr>
          <w:rFonts w:hint="eastAsia" w:ascii="宋体" w:hAnsi="宋体" w:cs="宋体"/>
          <w:color w:val="auto"/>
          <w:sz w:val="28"/>
          <w:szCs w:val="28"/>
          <w:highlight w:val="none"/>
          <w:u w:val="dotted"/>
        </w:rPr>
        <w:t xml:space="preserve">                                              </w:t>
      </w:r>
      <w:r>
        <w:rPr>
          <w:rFonts w:hint="eastAsia" w:ascii="宋体" w:hAnsi="宋体" w:cs="宋体"/>
          <w:color w:val="auto"/>
          <w:sz w:val="28"/>
          <w:szCs w:val="28"/>
          <w:highlight w:val="none"/>
        </w:rPr>
        <w:t xml:space="preserve"> </w:t>
      </w:r>
    </w:p>
    <w:p w14:paraId="4A075F86">
      <w:pPr>
        <w:rPr>
          <w:rFonts w:ascii="宋体" w:hAnsi="宋体" w:cs="宋体"/>
          <w:color w:val="auto"/>
          <w:sz w:val="28"/>
          <w:szCs w:val="28"/>
          <w:highlight w:val="none"/>
          <w:u w:val="single"/>
        </w:rPr>
      </w:pPr>
      <w:r>
        <w:rPr>
          <w:rFonts w:hint="eastAsia" w:ascii="宋体" w:hAnsi="宋体" w:cs="宋体"/>
          <w:color w:val="auto"/>
          <w:sz w:val="28"/>
          <w:szCs w:val="28"/>
          <w:highlight w:val="none"/>
        </w:rPr>
        <w:t xml:space="preserve">                                                                                                    </w:t>
      </w:r>
    </w:p>
    <w:p w14:paraId="6EE2B1F4">
      <w:pPr>
        <w:rPr>
          <w:rFonts w:ascii="宋体" w:hAnsi="宋体" w:cs="宋体"/>
          <w:color w:val="auto"/>
          <w:sz w:val="28"/>
          <w:szCs w:val="28"/>
          <w:highlight w:val="none"/>
        </w:rPr>
      </w:pPr>
      <w:r>
        <w:rPr>
          <w:rFonts w:hint="eastAsia" w:ascii="宋体" w:hAnsi="宋体" w:cs="宋体"/>
          <w:color w:val="auto"/>
          <w:sz w:val="28"/>
          <w:szCs w:val="28"/>
          <w:highlight w:val="none"/>
        </w:rPr>
        <w:t xml:space="preserve">签字(签章)：                   公章：                      </w:t>
      </w:r>
    </w:p>
    <w:p w14:paraId="14B81238">
      <w:pPr>
        <w:rPr>
          <w:rFonts w:ascii="宋体" w:hAnsi="宋体" w:cs="宋体"/>
          <w:color w:val="auto"/>
          <w:sz w:val="28"/>
          <w:szCs w:val="28"/>
          <w:highlight w:val="none"/>
        </w:rPr>
      </w:pPr>
      <w:r>
        <w:rPr>
          <w:rFonts w:hint="eastAsia" w:ascii="宋体" w:hAnsi="宋体" w:cs="宋体"/>
          <w:color w:val="auto"/>
          <w:sz w:val="28"/>
          <w:szCs w:val="28"/>
          <w:highlight w:val="none"/>
        </w:rPr>
        <w:t xml:space="preserve">日期：    </w:t>
      </w:r>
    </w:p>
    <w:p w14:paraId="1F2F88E4">
      <w:pPr>
        <w:rPr>
          <w:rFonts w:ascii="宋体" w:hAnsi="宋体" w:cs="宋体"/>
          <w:b/>
          <w:color w:val="auto"/>
          <w:sz w:val="28"/>
          <w:szCs w:val="28"/>
          <w:highlight w:val="none"/>
        </w:rPr>
      </w:pPr>
    </w:p>
    <w:p w14:paraId="054ED152">
      <w:pPr>
        <w:rPr>
          <w:rFonts w:ascii="宋体" w:hAnsi="宋体" w:cs="宋体"/>
          <w:b/>
          <w:color w:val="auto"/>
          <w:sz w:val="28"/>
          <w:szCs w:val="28"/>
          <w:highlight w:val="none"/>
        </w:rPr>
      </w:pPr>
    </w:p>
    <w:p w14:paraId="50CB604B">
      <w:pPr>
        <w:rPr>
          <w:rFonts w:ascii="宋体" w:hAnsi="宋体" w:cs="宋体"/>
          <w:b/>
          <w:color w:val="auto"/>
          <w:sz w:val="28"/>
          <w:szCs w:val="28"/>
          <w:highlight w:val="none"/>
        </w:rPr>
      </w:pPr>
    </w:p>
    <w:p w14:paraId="1116E9A8">
      <w:pPr>
        <w:rPr>
          <w:rFonts w:ascii="宋体" w:hAnsi="宋体" w:cs="宋体"/>
          <w:b/>
          <w:color w:val="auto"/>
          <w:sz w:val="28"/>
          <w:szCs w:val="28"/>
          <w:highlight w:val="none"/>
        </w:rPr>
      </w:pPr>
    </w:p>
    <w:p w14:paraId="54D7B924">
      <w:pPr>
        <w:rPr>
          <w:rFonts w:ascii="宋体" w:hAnsi="宋体" w:cs="宋体"/>
          <w:b/>
          <w:color w:val="auto"/>
          <w:sz w:val="28"/>
          <w:szCs w:val="28"/>
          <w:highlight w:val="none"/>
        </w:rPr>
      </w:pPr>
    </w:p>
    <w:p w14:paraId="1BEAF055">
      <w:pPr>
        <w:rPr>
          <w:rFonts w:ascii="宋体" w:hAnsi="宋体" w:cs="宋体"/>
          <w:b/>
          <w:color w:val="auto"/>
          <w:sz w:val="24"/>
          <w:highlight w:val="none"/>
        </w:rPr>
      </w:pPr>
      <w:r>
        <w:rPr>
          <w:rFonts w:hint="eastAsia" w:ascii="宋体" w:hAnsi="宋体" w:cs="宋体"/>
          <w:b/>
          <w:color w:val="auto"/>
          <w:sz w:val="24"/>
          <w:highlight w:val="none"/>
        </w:rPr>
        <w:t>投诉书制作说明：</w:t>
      </w:r>
    </w:p>
    <w:p w14:paraId="4137122A">
      <w:pPr>
        <w:widowControl/>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68408F52">
      <w:pPr>
        <w:widowControl/>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BF9547E">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5E5770E3">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CA3C485">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4DD572EA">
      <w:pPr>
        <w:widowControl/>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1ED838FB">
      <w:pPr>
        <w:widowControl/>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268DED9F">
      <w:pPr>
        <w:jc w:val="left"/>
        <w:rPr>
          <w:rFonts w:ascii="宋体" w:hAnsi="宋体" w:cs="宋体"/>
          <w:b/>
          <w:color w:val="auto"/>
          <w:sz w:val="28"/>
          <w:szCs w:val="28"/>
          <w:highlight w:val="none"/>
        </w:rPr>
      </w:pPr>
      <w:r>
        <w:rPr>
          <w:rFonts w:hint="eastAsia" w:ascii="宋体" w:hAnsi="宋体" w:cs="宋体"/>
          <w:color w:val="auto"/>
          <w:sz w:val="28"/>
          <w:szCs w:val="28"/>
          <w:highlight w:val="none"/>
        </w:rPr>
        <w:t xml:space="preserve">         </w:t>
      </w:r>
      <w:r>
        <w:rPr>
          <w:rFonts w:hint="eastAsia" w:ascii="宋体" w:hAnsi="宋体" w:cs="宋体"/>
          <w:b/>
          <w:color w:val="auto"/>
          <w:sz w:val="28"/>
          <w:szCs w:val="28"/>
          <w:highlight w:val="none"/>
        </w:rPr>
        <w:t xml:space="preserve"> </w:t>
      </w:r>
    </w:p>
    <w:p w14:paraId="6549C9EC">
      <w:pPr>
        <w:jc w:val="left"/>
        <w:rPr>
          <w:rFonts w:ascii="宋体" w:hAnsi="宋体" w:cs="宋体"/>
          <w:b/>
          <w:color w:val="auto"/>
          <w:sz w:val="28"/>
          <w:szCs w:val="28"/>
          <w:highlight w:val="none"/>
        </w:rPr>
      </w:pPr>
    </w:p>
    <w:p w14:paraId="6F05D086">
      <w:pPr>
        <w:rPr>
          <w:rFonts w:ascii="宋体" w:hAnsi="宋体" w:cs="宋体"/>
          <w:color w:val="auto"/>
          <w:sz w:val="20"/>
          <w:szCs w:val="22"/>
          <w:highlight w:val="none"/>
        </w:rPr>
      </w:pPr>
    </w:p>
    <w:p w14:paraId="1120CB0C">
      <w:pPr>
        <w:rPr>
          <w:rFonts w:ascii="宋体" w:hAnsi="宋体" w:cs="宋体"/>
          <w:color w:val="auto"/>
          <w:sz w:val="20"/>
          <w:szCs w:val="22"/>
          <w:highlight w:val="none"/>
        </w:rPr>
      </w:pPr>
    </w:p>
    <w:p w14:paraId="37DF0665">
      <w:pPr>
        <w:pStyle w:val="5"/>
        <w:ind w:firstLine="600"/>
        <w:rPr>
          <w:rFonts w:ascii="宋体" w:hAnsi="宋体" w:eastAsia="宋体" w:cs="宋体"/>
          <w:color w:val="auto"/>
          <w:highlight w:val="none"/>
        </w:rPr>
      </w:pPr>
    </w:p>
    <w:p w14:paraId="64E7B216">
      <w:pPr>
        <w:pStyle w:val="6"/>
        <w:ind w:left="0" w:leftChars="0"/>
        <w:rPr>
          <w:rFonts w:ascii="宋体" w:hAnsi="宋体" w:cs="宋体"/>
          <w:color w:val="auto"/>
          <w:highlight w:val="none"/>
        </w:rPr>
      </w:pPr>
    </w:p>
    <w:p w14:paraId="4CE7CCC0">
      <w:pPr>
        <w:pStyle w:val="6"/>
        <w:ind w:left="0" w:leftChars="0"/>
        <w:rPr>
          <w:rFonts w:ascii="宋体" w:hAnsi="宋体" w:cs="宋体"/>
          <w:color w:val="auto"/>
          <w:highlight w:val="none"/>
        </w:rPr>
      </w:pPr>
    </w:p>
    <w:sectPr>
      <w:headerReference r:id="rId8" w:type="first"/>
      <w:footerReference r:id="rId11" w:type="first"/>
      <w:headerReference r:id="rId7" w:type="default"/>
      <w:footerReference r:id="rId9" w:type="default"/>
      <w:footerReference r:id="rId10" w:type="even"/>
      <w:pgSz w:w="11906" w:h="16838"/>
      <w:pgMar w:top="1134" w:right="1247" w:bottom="1134" w:left="1247" w:header="851" w:footer="907"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F"/>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Narrow">
    <w:altName w:val="Arial"/>
    <w:panose1 w:val="020B0606020202030204"/>
    <w:charset w:val="00"/>
    <w:family w:val="swiss"/>
    <w:pitch w:val="default"/>
    <w:sig w:usb0="00000000" w:usb1="00000000" w:usb2="00000000" w:usb3="00000000" w:csb0="2000009F" w:csb1="DFD70000"/>
  </w:font>
  <w:font w:name="幼圆">
    <w:altName w:val="宋体"/>
    <w:panose1 w:val="0201050906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Arial"/>
    <w:panose1 w:val="020B0604020202020204"/>
    <w:charset w:val="00"/>
    <w:family w:val="roman"/>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60051A">
    <w:pPr>
      <w:pStyle w:val="28"/>
      <w:jc w:val="center"/>
      <w:rPr>
        <w:rFonts w:hint="default" w:ascii="仿宋_GB2312" w:eastAsia="仿宋_GB2312"/>
        <w:lang w:val="en-US"/>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7785" cy="13144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6350">
                        <a:noFill/>
                      </a:ln>
                    </wps:spPr>
                    <wps:txbx>
                      <w:txbxContent>
                        <w:p w14:paraId="47B047E5">
                          <w:pPr>
                            <w:pStyle w:val="28"/>
                            <w:jc w:val="center"/>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1312;mso-width-relative:page;mso-height-relative:page;" filled="f" stroked="f" coordsize="21600,21600" o:gfxdata="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Ou8AFjRAAAAAgEAAA8AAAAAAAAAAQAgAAAAIgAAAGRycy9kb3ducmV2LnhtbFBLAQIUABQA&#10;AAAIAIdO4kDR5yYzMAIAAFIEAAAOAAAAAAAAAAEAIAAAACABAABkcnMvZTJvRG9jLnhtbFBLBQYA&#10;AAAABgAGAFkBAADCBQAAAAA=&#10;">
              <v:fill on="f" focussize="0,0"/>
              <v:stroke on="f" weight="0.5pt"/>
              <v:imagedata o:title=""/>
              <o:lock v:ext="edit" aspectratio="f"/>
              <v:textbox inset="0mm,0mm,0mm,0mm" style="mso-fit-shape-to-text:t;">
                <w:txbxContent>
                  <w:p w14:paraId="47B047E5">
                    <w:pPr>
                      <w:pStyle w:val="28"/>
                      <w:jc w:val="center"/>
                    </w:pPr>
                    <w:r>
                      <w:fldChar w:fldCharType="begin"/>
                    </w:r>
                    <w:r>
                      <w:instrText xml:space="preserve"> PAGE  \* MERGEFORMAT </w:instrText>
                    </w:r>
                    <w:r>
                      <w:fldChar w:fldCharType="separate"/>
                    </w:r>
                    <w:r>
                      <w:t>43</w:t>
                    </w:r>
                    <w:r>
                      <w:fldChar w:fldCharType="end"/>
                    </w:r>
                  </w:p>
                </w:txbxContent>
              </v:textbox>
            </v:shape>
          </w:pict>
        </mc:Fallback>
      </mc:AlternateContent>
    </w:r>
    <w:r>
      <w:rPr>
        <w:rFonts w:hint="eastAsia" w:ascii="仿宋_GB2312" w:eastAsia="仿宋_GB2312"/>
        <w:lang w:val="en-US" w:eastAsia="zh-CN"/>
      </w:rPr>
      <w:t xml:space="preserve">                                                                        </w:t>
    </w:r>
    <w:r>
      <w:rPr>
        <w:rFonts w:hint="eastAsia"/>
      </w:rPr>
      <w:t>东阳市鑫盛工程咨询有限公司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34F26A">
    <w:pPr>
      <w:pStyle w:val="28"/>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57785" cy="131445"/>
              <wp:effectExtent l="0" t="0" r="0" b="0"/>
              <wp:wrapNone/>
              <wp:docPr id="2" name="文本框 2"/>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w="6350">
                        <a:noFill/>
                      </a:ln>
                    </wps:spPr>
                    <wps:txbx>
                      <w:txbxContent>
                        <w:p w14:paraId="4CDEAA7A">
                          <w:pPr>
                            <w:pStyle w:val="28"/>
                            <w:jc w:val="center"/>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35pt;width:4.55pt;mso-position-horizontal:center;mso-position-horizontal-relative:margin;mso-wrap-style:none;z-index:251662336;mso-width-relative:page;mso-height-relative:page;" filled="f" stroked="f" coordsize="21600,21600" o:gfxdata="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rvABY0QAAAAIBAAAPAAAAAAAAAAEAIAAAACIAAABkcnMvZG93bnJldi54bWxQSwECFAAU&#10;AAAACACHTuJA4BhxODECAABSBAAADgAAAAAAAAABACAAAAAgAQAAZHJzL2Uyb0RvYy54bWxQSwUG&#10;AAAAAAYABgBZAQAAwwUAAAAA&#10;">
              <v:fill on="f" focussize="0,0"/>
              <v:stroke on="f" weight="0.5pt"/>
              <v:imagedata o:title=""/>
              <o:lock v:ext="edit" aspectratio="f"/>
              <v:textbox inset="0mm,0mm,0mm,0mm" style="mso-fit-shape-to-text:t;">
                <w:txbxContent>
                  <w:p w14:paraId="4CDEAA7A">
                    <w:pPr>
                      <w:pStyle w:val="28"/>
                      <w:jc w:val="center"/>
                    </w:pPr>
                    <w:r>
                      <w:fldChar w:fldCharType="begin"/>
                    </w:r>
                    <w:r>
                      <w:instrText xml:space="preserve"> PAGE  \* MERGEFORMAT </w:instrText>
                    </w:r>
                    <w:r>
                      <w:fldChar w:fldCharType="separate"/>
                    </w:r>
                    <w:r>
                      <w:t>31</w:t>
                    </w:r>
                    <w:r>
                      <w:fldChar w:fldCharType="end"/>
                    </w:r>
                  </w:p>
                </w:txbxContent>
              </v:textbox>
            </v:shape>
          </w:pict>
        </mc:Fallback>
      </mc:AlternateContent>
    </w:r>
    <w:r>
      <w:rPr>
        <w:rFonts w:hint="eastAsia"/>
        <w:lang w:val="en-US" w:eastAsia="zh-CN"/>
      </w:rPr>
      <w:t xml:space="preserve">                                                                          </w:t>
    </w:r>
    <w:r>
      <w:rPr>
        <w:rFonts w:hint="eastAsia"/>
      </w:rPr>
      <w:t>东阳市鑫盛工程咨询有限公司</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B8C913">
    <w:pPr>
      <w:pStyle w:val="28"/>
      <w:ind w:firstLine="4320" w:firstLineChars="240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6" name="文本框 6"/>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6350">
                        <a:noFill/>
                      </a:ln>
                    </wps:spPr>
                    <wps:txbx>
                      <w:txbxContent>
                        <w:p w14:paraId="2B362838">
                          <w:pPr>
                            <w:pStyle w:val="28"/>
                          </w:pPr>
                          <w:r>
                            <w:fldChar w:fldCharType="begin"/>
                          </w:r>
                          <w:r>
                            <w:instrText xml:space="preserve"> PAGE  \* MERGEFORMAT </w:instrText>
                          </w:r>
                          <w:r>
                            <w:fldChar w:fldCharType="separate"/>
                          </w:r>
                          <w:r>
                            <w:t>80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l3GF10gAAAAMBAAAPAAAAAAAAAAEAIAAAACIAAABkcnMvZG93bnJldi54bWxQSwECFAAU&#10;AAAACACHTuJANnVtATACAABTBAAADgAAAAAAAAABACAAAAAhAQAAZHJzL2Uyb0RvYy54bWxQSwUG&#10;AAAAAAYABgBZAQAAwwUAAAAA&#10;">
              <v:fill on="f" focussize="0,0"/>
              <v:stroke on="f" weight="0.5pt"/>
              <v:imagedata o:title=""/>
              <o:lock v:ext="edit" aspectratio="f"/>
              <v:textbox inset="0mm,0mm,0mm,0mm" style="mso-fit-shape-to-text:t;">
                <w:txbxContent>
                  <w:p w14:paraId="2B362838">
                    <w:pPr>
                      <w:pStyle w:val="28"/>
                    </w:pPr>
                    <w:r>
                      <w:fldChar w:fldCharType="begin"/>
                    </w:r>
                    <w:r>
                      <w:instrText xml:space="preserve"> PAGE  \* MERGEFORMAT </w:instrText>
                    </w:r>
                    <w:r>
                      <w:fldChar w:fldCharType="separate"/>
                    </w:r>
                    <w:r>
                      <w:t>80</w:t>
                    </w:r>
                    <w:r>
                      <w:fldChar w:fldCharType="end"/>
                    </w:r>
                  </w:p>
                </w:txbxContent>
              </v:textbox>
            </v:shape>
          </w:pict>
        </mc:Fallback>
      </mc:AlternateContent>
    </w:r>
    <w:r>
      <w:rPr>
        <w:rFonts w:hint="eastAsia"/>
      </w:rPr>
      <w:t xml:space="preserve">  </w:t>
    </w:r>
    <w:r>
      <w:t xml:space="preserve">   </w:t>
    </w:r>
    <w:r>
      <w:rPr>
        <w:rFonts w:hint="eastAsia"/>
      </w:rPr>
      <w:t xml:space="preserve">                       东阳市鑫盛工程咨询有限公司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00459">
    <w:pPr>
      <w:pStyle w:val="28"/>
      <w:framePr w:wrap="around" w:vAnchor="text" w:hAnchor="margin" w:xAlign="center" w:y="1"/>
      <w:rPr>
        <w:rStyle w:val="44"/>
      </w:rPr>
    </w:pPr>
    <w:r>
      <w:fldChar w:fldCharType="begin"/>
    </w:r>
    <w:r>
      <w:rPr>
        <w:rStyle w:val="44"/>
      </w:rPr>
      <w:instrText xml:space="preserve">PAGE  </w:instrText>
    </w:r>
    <w:r>
      <w:fldChar w:fldCharType="end"/>
    </w:r>
  </w:p>
  <w:p w14:paraId="6551A59B">
    <w:pPr>
      <w:pStyle w:val="2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6EDAAD">
    <w:pPr>
      <w:pStyle w:val="28"/>
      <w:jc w:val="center"/>
      <w:rPr>
        <w:rFonts w:hint="default" w:ascii="宋体" w:hAnsi="宋体" w:cs="宋体"/>
        <w:szCs w:val="21"/>
        <w:lang w:val="en-US"/>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5" name="文本框 5"/>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w="6350">
                        <a:noFill/>
                      </a:ln>
                    </wps:spPr>
                    <wps:txbx>
                      <w:txbxContent>
                        <w:p w14:paraId="40F80CE6">
                          <w:pPr>
                            <w:pStyle w:val="28"/>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l3GF10gAAAAMBAAAPAAAAAAAAAAEAIAAAACIAAABkcnMvZG93bnJldi54bWxQSwECFAAU&#10;AAAACACHTuJA8yK4UDACAABTBAAADgAAAAAAAAABACAAAAAhAQAAZHJzL2Uyb0RvYy54bWxQSwUG&#10;AAAAAAYABgBZAQAAwwUAAAAA&#10;">
              <v:fill on="f" focussize="0,0"/>
              <v:stroke on="f" weight="0.5pt"/>
              <v:imagedata o:title=""/>
              <o:lock v:ext="edit" aspectratio="f"/>
              <v:textbox inset="0mm,0mm,0mm,0mm" style="mso-fit-shape-to-text:t;">
                <w:txbxContent>
                  <w:p w14:paraId="40F80CE6">
                    <w:pPr>
                      <w:pStyle w:val="28"/>
                    </w:pPr>
                    <w:r>
                      <w:fldChar w:fldCharType="begin"/>
                    </w:r>
                    <w:r>
                      <w:instrText xml:space="preserve"> PAGE  \* MERGEFORMAT </w:instrText>
                    </w:r>
                    <w:r>
                      <w:fldChar w:fldCharType="separate"/>
                    </w:r>
                    <w:r>
                      <w:t>72</w:t>
                    </w:r>
                    <w:r>
                      <w:fldChar w:fldCharType="end"/>
                    </w:r>
                  </w:p>
                </w:txbxContent>
              </v:textbox>
            </v:shape>
          </w:pict>
        </mc:Fallback>
      </mc:AlternateContent>
    </w:r>
    <w:r>
      <w:rPr>
        <w:rFonts w:hint="eastAsia" w:ascii="宋体" w:hAnsi="宋体" w:cs="宋体"/>
        <w:szCs w:val="21"/>
        <w:lang w:val="en-US" w:eastAsia="zh-CN"/>
      </w:rPr>
      <w:t xml:space="preserve">                                                                              </w:t>
    </w:r>
    <w:r>
      <w:rPr>
        <w:rFonts w:hint="eastAsia"/>
      </w:rPr>
      <w:t>东阳市鑫盛工程咨询有限公司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738446">
    <w:pPr>
      <w:pStyle w:val="30"/>
      <w:jc w:val="left"/>
      <w:rPr>
        <w:rFonts w:hint="eastAsia" w:ascii="宋体" w:hAnsi="宋体" w:cs="宋体"/>
        <w:b w:val="0"/>
        <w:bCs/>
        <w:w w:val="93"/>
        <w:kern w:val="0"/>
        <w:sz w:val="20"/>
        <w:szCs w:val="20"/>
        <w:lang w:eastAsia="zh-CN"/>
      </w:rPr>
    </w:pPr>
    <w:r>
      <w:rPr>
        <w:rFonts w:hint="eastAsia" w:ascii="宋体" w:hAnsi="宋体" w:cs="宋体"/>
        <w:b w:val="0"/>
        <w:bCs/>
        <w:w w:val="93"/>
        <w:kern w:val="0"/>
        <w:sz w:val="20"/>
        <w:szCs w:val="20"/>
        <w:lang w:eastAsia="zh-CN"/>
      </w:rPr>
      <w:t>东阳市红会医院5G查房采购项目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1698E2">
    <w:pPr>
      <w:pStyle w:val="30"/>
      <w:jc w:val="left"/>
      <w:rPr>
        <w:rFonts w:hint="eastAsia"/>
        <w:b w:val="0"/>
        <w:bCs/>
        <w:sz w:val="10"/>
        <w:szCs w:val="10"/>
        <w:lang w:eastAsia="zh-CN"/>
      </w:rPr>
    </w:pPr>
    <w:r>
      <w:rPr>
        <w:rFonts w:hint="eastAsia" w:ascii="宋体" w:hAnsi="宋体" w:cs="宋体"/>
        <w:b w:val="0"/>
        <w:bCs/>
        <w:w w:val="93"/>
        <w:kern w:val="0"/>
        <w:sz w:val="20"/>
        <w:szCs w:val="20"/>
        <w:lang w:eastAsia="zh-CN"/>
      </w:rPr>
      <w:t>东阳市红会医院5G查房采购项目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FE0F3C">
    <w:pPr>
      <w:pStyle w:val="30"/>
      <w:jc w:val="left"/>
      <w:rPr>
        <w:rFonts w:hint="eastAsia"/>
        <w:lang w:eastAsia="zh-CN"/>
      </w:rPr>
    </w:pPr>
    <w:r>
      <w:rPr>
        <w:rFonts w:hint="eastAsia" w:ascii="宋体" w:hAnsi="宋体" w:cs="宋体"/>
        <w:b w:val="0"/>
        <w:bCs/>
        <w:w w:val="93"/>
        <w:kern w:val="0"/>
        <w:sz w:val="20"/>
        <w:szCs w:val="20"/>
        <w:lang w:eastAsia="zh-CN"/>
      </w:rPr>
      <w:t>东阳市红会医院5G查房采购项目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13EE83">
    <w:pPr>
      <w:pStyle w:val="30"/>
      <w:jc w:val="left"/>
      <w:rPr>
        <w:rFonts w:hint="eastAsia"/>
        <w:lang w:eastAsia="zh-CN"/>
      </w:rPr>
    </w:pPr>
    <w:r>
      <w:rPr>
        <w:rFonts w:hint="eastAsia" w:ascii="宋体" w:hAnsi="宋体" w:cs="宋体"/>
        <w:b w:val="0"/>
        <w:bCs/>
        <w:w w:val="93"/>
        <w:kern w:val="0"/>
        <w:sz w:val="20"/>
        <w:szCs w:val="20"/>
        <w:lang w:eastAsia="zh-CN"/>
      </w:rPr>
      <w:t>东阳市红会医院5G查房采购项目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4FAAE9"/>
    <w:multiLevelType w:val="singleLevel"/>
    <w:tmpl w:val="A24FAAE9"/>
    <w:lvl w:ilvl="0" w:tentative="0">
      <w:start w:val="2"/>
      <w:numFmt w:val="decimal"/>
      <w:suff w:val="nothing"/>
      <w:lvlText w:val="（%1）"/>
      <w:lvlJc w:val="left"/>
    </w:lvl>
  </w:abstractNum>
  <w:abstractNum w:abstractNumId="1">
    <w:nsid w:val="C6D025FC"/>
    <w:multiLevelType w:val="singleLevel"/>
    <w:tmpl w:val="C6D025FC"/>
    <w:lvl w:ilvl="0" w:tentative="0">
      <w:start w:val="1"/>
      <w:numFmt w:val="decimal"/>
      <w:lvlText w:val="%1."/>
      <w:lvlJc w:val="left"/>
      <w:pPr>
        <w:tabs>
          <w:tab w:val="left" w:pos="312"/>
        </w:tabs>
      </w:pPr>
    </w:lvl>
  </w:abstractNum>
  <w:abstractNum w:abstractNumId="2">
    <w:nsid w:val="FA5E8E8B"/>
    <w:multiLevelType w:val="singleLevel"/>
    <w:tmpl w:val="FA5E8E8B"/>
    <w:lvl w:ilvl="0" w:tentative="0">
      <w:start w:val="1"/>
      <w:numFmt w:val="chineseCounting"/>
      <w:suff w:val="nothing"/>
      <w:lvlText w:val="%1、"/>
      <w:lvlJc w:val="left"/>
      <w:rPr>
        <w:rFonts w:hint="eastAsia"/>
      </w:rPr>
    </w:lvl>
  </w:abstractNum>
  <w:abstractNum w:abstractNumId="3">
    <w:nsid w:val="16495001"/>
    <w:multiLevelType w:val="singleLevel"/>
    <w:tmpl w:val="16495001"/>
    <w:lvl w:ilvl="0" w:tentative="0">
      <w:start w:val="6"/>
      <w:numFmt w:val="chineseCounting"/>
      <w:suff w:val="nothing"/>
      <w:lvlText w:val="（%1）"/>
      <w:lvlJc w:val="left"/>
      <w:rPr>
        <w:rFonts w:hint="eastAsia"/>
      </w:rPr>
    </w:lvl>
  </w:abstractNum>
  <w:abstractNum w:abstractNumId="4">
    <w:nsid w:val="2A646790"/>
    <w:multiLevelType w:val="multilevel"/>
    <w:tmpl w:val="2A646790"/>
    <w:lvl w:ilvl="0" w:tentative="0">
      <w:start w:val="1"/>
      <w:numFmt w:val="decimal"/>
      <w:lvlText w:val="%1."/>
      <w:lvlJc w:val="left"/>
      <w:pPr>
        <w:tabs>
          <w:tab w:val="left" w:pos="1224"/>
        </w:tabs>
        <w:ind w:left="1224" w:hanging="1224"/>
      </w:pPr>
      <w:rPr>
        <w:rFonts w:hint="eastAsia"/>
      </w:rPr>
    </w:lvl>
    <w:lvl w:ilvl="1" w:tentative="0">
      <w:start w:val="1"/>
      <w:numFmt w:val="decimal"/>
      <w:lvlText w:val="%1.%2"/>
      <w:lvlJc w:val="left"/>
      <w:pPr>
        <w:tabs>
          <w:tab w:val="left" w:pos="1224"/>
        </w:tabs>
        <w:ind w:left="1224" w:hanging="1224"/>
      </w:pPr>
      <w:rPr>
        <w:rFonts w:hint="eastAsia"/>
        <w:sz w:val="24"/>
        <w:szCs w:val="24"/>
      </w:rPr>
    </w:lvl>
    <w:lvl w:ilvl="2" w:tentative="0">
      <w:start w:val="1"/>
      <w:numFmt w:val="decimal"/>
      <w:pStyle w:val="57"/>
      <w:lvlText w:val="%1.%2.%3"/>
      <w:lvlJc w:val="left"/>
      <w:pPr>
        <w:tabs>
          <w:tab w:val="left" w:pos="1224"/>
        </w:tabs>
        <w:ind w:left="1224" w:hanging="1224"/>
      </w:pPr>
      <w:rPr>
        <w:rFonts w:hint="default" w:ascii="Arial Narrow" w:hAnsi="Arial Narrow" w:eastAsia="仿宋_GB2312"/>
        <w:sz w:val="24"/>
        <w:szCs w:val="24"/>
      </w:rPr>
    </w:lvl>
    <w:lvl w:ilvl="3" w:tentative="0">
      <w:start w:val="1"/>
      <w:numFmt w:val="decimal"/>
      <w:lvlText w:val="%1.%2.%3.%4."/>
      <w:lvlJc w:val="left"/>
      <w:pPr>
        <w:tabs>
          <w:tab w:val="left" w:pos="1225"/>
        </w:tabs>
        <w:ind w:left="1225" w:hanging="1225"/>
      </w:pPr>
      <w:rPr>
        <w:rFonts w:hint="eastAsia"/>
        <w:sz w:val="24"/>
        <w:szCs w:val="24"/>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5">
    <w:nsid w:val="47E64D9D"/>
    <w:multiLevelType w:val="singleLevel"/>
    <w:tmpl w:val="47E64D9D"/>
    <w:lvl w:ilvl="0" w:tentative="0">
      <w:start w:val="4"/>
      <w:numFmt w:val="chineseCounting"/>
      <w:suff w:val="nothing"/>
      <w:lvlText w:val="%1、"/>
      <w:lvlJc w:val="left"/>
      <w:rPr>
        <w:rFonts w:hint="eastAsia"/>
      </w:rPr>
    </w:lvl>
  </w:abstractNum>
  <w:abstractNum w:abstractNumId="6">
    <w:nsid w:val="5BA933FE"/>
    <w:multiLevelType w:val="multilevel"/>
    <w:tmpl w:val="5BA933FE"/>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pStyle w:val="113"/>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7">
    <w:nsid w:val="5D410D0D"/>
    <w:multiLevelType w:val="singleLevel"/>
    <w:tmpl w:val="5D410D0D"/>
    <w:lvl w:ilvl="0" w:tentative="0">
      <w:start w:val="5"/>
      <w:numFmt w:val="chineseCounting"/>
      <w:suff w:val="space"/>
      <w:lvlText w:val="第%1章"/>
      <w:lvlJc w:val="left"/>
      <w:rPr>
        <w:rFonts w:hint="eastAsia"/>
      </w:rPr>
    </w:lvl>
  </w:abstractNum>
  <w:abstractNum w:abstractNumId="8">
    <w:nsid w:val="612C0E64"/>
    <w:multiLevelType w:val="multilevel"/>
    <w:tmpl w:val="612C0E64"/>
    <w:lvl w:ilvl="0" w:tentative="0">
      <w:start w:val="1"/>
      <w:numFmt w:val="decimal"/>
      <w:lvlText w:val="%1."/>
      <w:lvlJc w:val="left"/>
      <w:pPr>
        <w:tabs>
          <w:tab w:val="left" w:pos="1244"/>
        </w:tabs>
        <w:ind w:left="1244" w:hanging="420"/>
      </w:pPr>
      <w:rPr>
        <w:rFonts w:hint="eastAsia"/>
      </w:rPr>
    </w:lvl>
    <w:lvl w:ilvl="1" w:tentative="0">
      <w:start w:val="1"/>
      <w:numFmt w:val="lowerLetter"/>
      <w:lvlText w:val="%2)"/>
      <w:lvlJc w:val="left"/>
      <w:pPr>
        <w:tabs>
          <w:tab w:val="left" w:pos="824"/>
        </w:tabs>
        <w:ind w:left="824" w:hanging="420"/>
      </w:pPr>
    </w:lvl>
    <w:lvl w:ilvl="2" w:tentative="0">
      <w:start w:val="1"/>
      <w:numFmt w:val="lowerRoman"/>
      <w:lvlText w:val="%3."/>
      <w:lvlJc w:val="right"/>
      <w:pPr>
        <w:tabs>
          <w:tab w:val="left" w:pos="1244"/>
        </w:tabs>
        <w:ind w:left="1244" w:hanging="420"/>
      </w:pPr>
    </w:lvl>
    <w:lvl w:ilvl="3" w:tentative="0">
      <w:start w:val="1"/>
      <w:numFmt w:val="decimal"/>
      <w:lvlText w:val="%4."/>
      <w:lvlJc w:val="left"/>
      <w:pPr>
        <w:tabs>
          <w:tab w:val="left" w:pos="1664"/>
        </w:tabs>
        <w:ind w:left="1664" w:hanging="420"/>
      </w:pPr>
    </w:lvl>
    <w:lvl w:ilvl="4" w:tentative="0">
      <w:start w:val="1"/>
      <w:numFmt w:val="lowerLetter"/>
      <w:lvlText w:val="%5)"/>
      <w:lvlJc w:val="left"/>
      <w:pPr>
        <w:tabs>
          <w:tab w:val="left" w:pos="2084"/>
        </w:tabs>
        <w:ind w:left="2084" w:hanging="420"/>
      </w:pPr>
    </w:lvl>
    <w:lvl w:ilvl="5" w:tentative="0">
      <w:start w:val="1"/>
      <w:numFmt w:val="lowerRoman"/>
      <w:lvlText w:val="%6."/>
      <w:lvlJc w:val="right"/>
      <w:pPr>
        <w:tabs>
          <w:tab w:val="left" w:pos="2504"/>
        </w:tabs>
        <w:ind w:left="2504" w:hanging="420"/>
      </w:pPr>
    </w:lvl>
    <w:lvl w:ilvl="6" w:tentative="0">
      <w:start w:val="1"/>
      <w:numFmt w:val="decimal"/>
      <w:lvlText w:val="%7."/>
      <w:lvlJc w:val="left"/>
      <w:pPr>
        <w:tabs>
          <w:tab w:val="left" w:pos="2924"/>
        </w:tabs>
        <w:ind w:left="2924" w:hanging="420"/>
      </w:pPr>
    </w:lvl>
    <w:lvl w:ilvl="7" w:tentative="0">
      <w:start w:val="1"/>
      <w:numFmt w:val="lowerLetter"/>
      <w:lvlText w:val="%8)"/>
      <w:lvlJc w:val="left"/>
      <w:pPr>
        <w:tabs>
          <w:tab w:val="left" w:pos="3344"/>
        </w:tabs>
        <w:ind w:left="3344" w:hanging="420"/>
      </w:pPr>
    </w:lvl>
    <w:lvl w:ilvl="8" w:tentative="0">
      <w:start w:val="1"/>
      <w:numFmt w:val="lowerRoman"/>
      <w:lvlText w:val="%9."/>
      <w:lvlJc w:val="right"/>
      <w:pPr>
        <w:tabs>
          <w:tab w:val="left" w:pos="3764"/>
        </w:tabs>
        <w:ind w:left="3764" w:hanging="420"/>
      </w:pPr>
    </w:lvl>
  </w:abstractNum>
  <w:abstractNum w:abstractNumId="9">
    <w:nsid w:val="61ADA8C3"/>
    <w:multiLevelType w:val="singleLevel"/>
    <w:tmpl w:val="61ADA8C3"/>
    <w:lvl w:ilvl="0" w:tentative="0">
      <w:start w:val="5"/>
      <w:numFmt w:val="chineseCounting"/>
      <w:suff w:val="nothing"/>
      <w:lvlText w:val="%1、"/>
      <w:lvlJc w:val="left"/>
    </w:lvl>
  </w:abstractNum>
  <w:abstractNum w:abstractNumId="10">
    <w:nsid w:val="64DE61C4"/>
    <w:multiLevelType w:val="multilevel"/>
    <w:tmpl w:val="64DE61C4"/>
    <w:lvl w:ilvl="0" w:tentative="0">
      <w:start w:val="1"/>
      <w:numFmt w:val="decimal"/>
      <w:pStyle w:val="14"/>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1">
    <w:nsid w:val="685F539A"/>
    <w:multiLevelType w:val="multilevel"/>
    <w:tmpl w:val="685F539A"/>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73AADA33"/>
    <w:multiLevelType w:val="singleLevel"/>
    <w:tmpl w:val="73AADA33"/>
    <w:lvl w:ilvl="0" w:tentative="0">
      <w:start w:val="1"/>
      <w:numFmt w:val="decimal"/>
      <w:suff w:val="nothing"/>
      <w:lvlText w:val="%1、"/>
      <w:lvlJc w:val="left"/>
    </w:lvl>
  </w:abstractNum>
  <w:abstractNum w:abstractNumId="13">
    <w:nsid w:val="7E234718"/>
    <w:multiLevelType w:val="multilevel"/>
    <w:tmpl w:val="7E234718"/>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0"/>
  </w:num>
  <w:num w:numId="2">
    <w:abstractNumId w:val="4"/>
  </w:num>
  <w:num w:numId="3">
    <w:abstractNumId w:val="6"/>
  </w:num>
  <w:num w:numId="4">
    <w:abstractNumId w:val="2"/>
  </w:num>
  <w:num w:numId="5">
    <w:abstractNumId w:val="9"/>
  </w:num>
  <w:num w:numId="6">
    <w:abstractNumId w:val="5"/>
  </w:num>
  <w:num w:numId="7">
    <w:abstractNumId w:val="13"/>
  </w:num>
  <w:num w:numId="8">
    <w:abstractNumId w:val="3"/>
  </w:num>
  <w:num w:numId="9">
    <w:abstractNumId w:val="1"/>
  </w:num>
  <w:num w:numId="10">
    <w:abstractNumId w:val="0"/>
  </w:num>
  <w:num w:numId="11">
    <w:abstractNumId w:val="7"/>
  </w:num>
  <w:num w:numId="12">
    <w:abstractNumId w:val="12"/>
  </w:num>
  <w:num w:numId="13">
    <w:abstractNumId w:val="8"/>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Y1YTk0OWMwNjFjZjBjNjNmNWE1ZWMyMTAxM2ZiYzgifQ=="/>
  </w:docVars>
  <w:rsids>
    <w:rsidRoot w:val="00DE79CC"/>
    <w:rsid w:val="0000006C"/>
    <w:rsid w:val="00000158"/>
    <w:rsid w:val="0000017A"/>
    <w:rsid w:val="00000345"/>
    <w:rsid w:val="0000047D"/>
    <w:rsid w:val="00000F83"/>
    <w:rsid w:val="000013EE"/>
    <w:rsid w:val="00001B93"/>
    <w:rsid w:val="00001E25"/>
    <w:rsid w:val="00001E64"/>
    <w:rsid w:val="00002A93"/>
    <w:rsid w:val="0000318B"/>
    <w:rsid w:val="000038C7"/>
    <w:rsid w:val="00003E13"/>
    <w:rsid w:val="00003F42"/>
    <w:rsid w:val="00004CDD"/>
    <w:rsid w:val="00004E27"/>
    <w:rsid w:val="00005219"/>
    <w:rsid w:val="000058C1"/>
    <w:rsid w:val="000058F6"/>
    <w:rsid w:val="00005CEE"/>
    <w:rsid w:val="00006144"/>
    <w:rsid w:val="000072CA"/>
    <w:rsid w:val="00007837"/>
    <w:rsid w:val="00007965"/>
    <w:rsid w:val="00007AF4"/>
    <w:rsid w:val="00007F1A"/>
    <w:rsid w:val="000107D0"/>
    <w:rsid w:val="00010A81"/>
    <w:rsid w:val="000114AC"/>
    <w:rsid w:val="00011A08"/>
    <w:rsid w:val="00011DC3"/>
    <w:rsid w:val="00011DCD"/>
    <w:rsid w:val="00012744"/>
    <w:rsid w:val="00012FAE"/>
    <w:rsid w:val="00013108"/>
    <w:rsid w:val="000131C4"/>
    <w:rsid w:val="0001341F"/>
    <w:rsid w:val="000150B2"/>
    <w:rsid w:val="000156C7"/>
    <w:rsid w:val="00015DCC"/>
    <w:rsid w:val="000163EB"/>
    <w:rsid w:val="000165AD"/>
    <w:rsid w:val="000202F3"/>
    <w:rsid w:val="000203B3"/>
    <w:rsid w:val="00020413"/>
    <w:rsid w:val="000208BD"/>
    <w:rsid w:val="000209DC"/>
    <w:rsid w:val="000209E4"/>
    <w:rsid w:val="000219BD"/>
    <w:rsid w:val="00021ACA"/>
    <w:rsid w:val="0002216D"/>
    <w:rsid w:val="00022380"/>
    <w:rsid w:val="0002246D"/>
    <w:rsid w:val="00022CAD"/>
    <w:rsid w:val="00022CB5"/>
    <w:rsid w:val="00024090"/>
    <w:rsid w:val="000247CA"/>
    <w:rsid w:val="000251DC"/>
    <w:rsid w:val="000264B4"/>
    <w:rsid w:val="00026993"/>
    <w:rsid w:val="00026EAB"/>
    <w:rsid w:val="00027031"/>
    <w:rsid w:val="00027134"/>
    <w:rsid w:val="00027A01"/>
    <w:rsid w:val="00030A35"/>
    <w:rsid w:val="00030D38"/>
    <w:rsid w:val="00031012"/>
    <w:rsid w:val="0003172E"/>
    <w:rsid w:val="00031765"/>
    <w:rsid w:val="00032701"/>
    <w:rsid w:val="00034343"/>
    <w:rsid w:val="00034360"/>
    <w:rsid w:val="000344E1"/>
    <w:rsid w:val="00034675"/>
    <w:rsid w:val="00035843"/>
    <w:rsid w:val="00036337"/>
    <w:rsid w:val="00036686"/>
    <w:rsid w:val="00036A0E"/>
    <w:rsid w:val="000373E9"/>
    <w:rsid w:val="00037B61"/>
    <w:rsid w:val="00040F9B"/>
    <w:rsid w:val="000414E0"/>
    <w:rsid w:val="00041A99"/>
    <w:rsid w:val="00041C40"/>
    <w:rsid w:val="0004282D"/>
    <w:rsid w:val="000428CF"/>
    <w:rsid w:val="00043778"/>
    <w:rsid w:val="00044217"/>
    <w:rsid w:val="00044368"/>
    <w:rsid w:val="00044D8B"/>
    <w:rsid w:val="00046899"/>
    <w:rsid w:val="0004693E"/>
    <w:rsid w:val="0004713C"/>
    <w:rsid w:val="00047408"/>
    <w:rsid w:val="0005003E"/>
    <w:rsid w:val="00050E6F"/>
    <w:rsid w:val="00050ECE"/>
    <w:rsid w:val="0005120C"/>
    <w:rsid w:val="0005138C"/>
    <w:rsid w:val="00051F29"/>
    <w:rsid w:val="00052350"/>
    <w:rsid w:val="000524B5"/>
    <w:rsid w:val="00052BAF"/>
    <w:rsid w:val="00052DBB"/>
    <w:rsid w:val="00053218"/>
    <w:rsid w:val="00053700"/>
    <w:rsid w:val="000544D4"/>
    <w:rsid w:val="000547EE"/>
    <w:rsid w:val="000550B0"/>
    <w:rsid w:val="000553DC"/>
    <w:rsid w:val="0005565F"/>
    <w:rsid w:val="00055FBE"/>
    <w:rsid w:val="0005654D"/>
    <w:rsid w:val="00056B0D"/>
    <w:rsid w:val="00056C73"/>
    <w:rsid w:val="00056E9B"/>
    <w:rsid w:val="00056ECC"/>
    <w:rsid w:val="00057AD2"/>
    <w:rsid w:val="00057F20"/>
    <w:rsid w:val="00060214"/>
    <w:rsid w:val="00060D89"/>
    <w:rsid w:val="00061041"/>
    <w:rsid w:val="00061153"/>
    <w:rsid w:val="000611F3"/>
    <w:rsid w:val="000618B9"/>
    <w:rsid w:val="00062941"/>
    <w:rsid w:val="000632B6"/>
    <w:rsid w:val="000634DB"/>
    <w:rsid w:val="00063936"/>
    <w:rsid w:val="00063CB5"/>
    <w:rsid w:val="00063F87"/>
    <w:rsid w:val="000641AE"/>
    <w:rsid w:val="0006464C"/>
    <w:rsid w:val="00064686"/>
    <w:rsid w:val="000646B9"/>
    <w:rsid w:val="00064917"/>
    <w:rsid w:val="00064CA8"/>
    <w:rsid w:val="00065A2B"/>
    <w:rsid w:val="0006660C"/>
    <w:rsid w:val="00066907"/>
    <w:rsid w:val="00066EB7"/>
    <w:rsid w:val="000670FA"/>
    <w:rsid w:val="00067114"/>
    <w:rsid w:val="0006732C"/>
    <w:rsid w:val="000677AD"/>
    <w:rsid w:val="000677CE"/>
    <w:rsid w:val="00067C76"/>
    <w:rsid w:val="0007091A"/>
    <w:rsid w:val="00070EA9"/>
    <w:rsid w:val="00071493"/>
    <w:rsid w:val="00071843"/>
    <w:rsid w:val="00071A27"/>
    <w:rsid w:val="00071E0D"/>
    <w:rsid w:val="00071E15"/>
    <w:rsid w:val="0007236F"/>
    <w:rsid w:val="00072720"/>
    <w:rsid w:val="00073C15"/>
    <w:rsid w:val="00073DE6"/>
    <w:rsid w:val="0007498C"/>
    <w:rsid w:val="00074ED8"/>
    <w:rsid w:val="00075147"/>
    <w:rsid w:val="00075B60"/>
    <w:rsid w:val="00075D84"/>
    <w:rsid w:val="0007638D"/>
    <w:rsid w:val="00076A1A"/>
    <w:rsid w:val="00076AF9"/>
    <w:rsid w:val="000770B5"/>
    <w:rsid w:val="000772C1"/>
    <w:rsid w:val="0007755A"/>
    <w:rsid w:val="00077AC3"/>
    <w:rsid w:val="00077E8A"/>
    <w:rsid w:val="0008006D"/>
    <w:rsid w:val="00080BD8"/>
    <w:rsid w:val="0008112A"/>
    <w:rsid w:val="0008194F"/>
    <w:rsid w:val="00081A3D"/>
    <w:rsid w:val="00081CB9"/>
    <w:rsid w:val="00082C7E"/>
    <w:rsid w:val="000832EC"/>
    <w:rsid w:val="000844A2"/>
    <w:rsid w:val="00084D41"/>
    <w:rsid w:val="00085177"/>
    <w:rsid w:val="00085420"/>
    <w:rsid w:val="0008636A"/>
    <w:rsid w:val="00087087"/>
    <w:rsid w:val="000875C3"/>
    <w:rsid w:val="000878D0"/>
    <w:rsid w:val="00090010"/>
    <w:rsid w:val="0009091C"/>
    <w:rsid w:val="00090BC3"/>
    <w:rsid w:val="00090F65"/>
    <w:rsid w:val="00092342"/>
    <w:rsid w:val="00092F7D"/>
    <w:rsid w:val="0009377D"/>
    <w:rsid w:val="000937FF"/>
    <w:rsid w:val="00094045"/>
    <w:rsid w:val="00094086"/>
    <w:rsid w:val="000943F9"/>
    <w:rsid w:val="000950BD"/>
    <w:rsid w:val="00095470"/>
    <w:rsid w:val="00095BFC"/>
    <w:rsid w:val="0009627F"/>
    <w:rsid w:val="000965F5"/>
    <w:rsid w:val="0009662A"/>
    <w:rsid w:val="00096E5A"/>
    <w:rsid w:val="00097153"/>
    <w:rsid w:val="00097339"/>
    <w:rsid w:val="000974F2"/>
    <w:rsid w:val="00097B41"/>
    <w:rsid w:val="00097B7A"/>
    <w:rsid w:val="000A0218"/>
    <w:rsid w:val="000A02FA"/>
    <w:rsid w:val="000A0919"/>
    <w:rsid w:val="000A10C4"/>
    <w:rsid w:val="000A137A"/>
    <w:rsid w:val="000A1F2A"/>
    <w:rsid w:val="000A1FB5"/>
    <w:rsid w:val="000A27BD"/>
    <w:rsid w:val="000A337D"/>
    <w:rsid w:val="000A3AFC"/>
    <w:rsid w:val="000A3BAB"/>
    <w:rsid w:val="000A3FF2"/>
    <w:rsid w:val="000A4262"/>
    <w:rsid w:val="000A4632"/>
    <w:rsid w:val="000A46EB"/>
    <w:rsid w:val="000A493D"/>
    <w:rsid w:val="000A503C"/>
    <w:rsid w:val="000A5040"/>
    <w:rsid w:val="000A510B"/>
    <w:rsid w:val="000A57BD"/>
    <w:rsid w:val="000A5834"/>
    <w:rsid w:val="000A6F50"/>
    <w:rsid w:val="000A7334"/>
    <w:rsid w:val="000A7768"/>
    <w:rsid w:val="000A7E56"/>
    <w:rsid w:val="000B0313"/>
    <w:rsid w:val="000B047A"/>
    <w:rsid w:val="000B07AD"/>
    <w:rsid w:val="000B15AC"/>
    <w:rsid w:val="000B242E"/>
    <w:rsid w:val="000B2615"/>
    <w:rsid w:val="000B2CB3"/>
    <w:rsid w:val="000B32DF"/>
    <w:rsid w:val="000B3F05"/>
    <w:rsid w:val="000B41F3"/>
    <w:rsid w:val="000B4255"/>
    <w:rsid w:val="000B4979"/>
    <w:rsid w:val="000B4F4D"/>
    <w:rsid w:val="000B517A"/>
    <w:rsid w:val="000B54FD"/>
    <w:rsid w:val="000B6339"/>
    <w:rsid w:val="000B663D"/>
    <w:rsid w:val="000B6738"/>
    <w:rsid w:val="000B6F98"/>
    <w:rsid w:val="000B7885"/>
    <w:rsid w:val="000C032B"/>
    <w:rsid w:val="000C15D3"/>
    <w:rsid w:val="000C211C"/>
    <w:rsid w:val="000C2C5F"/>
    <w:rsid w:val="000C2D42"/>
    <w:rsid w:val="000C37AB"/>
    <w:rsid w:val="000C4473"/>
    <w:rsid w:val="000C4525"/>
    <w:rsid w:val="000C5216"/>
    <w:rsid w:val="000C541A"/>
    <w:rsid w:val="000C575F"/>
    <w:rsid w:val="000C6F54"/>
    <w:rsid w:val="000C781B"/>
    <w:rsid w:val="000C789B"/>
    <w:rsid w:val="000C7D89"/>
    <w:rsid w:val="000C7F30"/>
    <w:rsid w:val="000D0457"/>
    <w:rsid w:val="000D08C4"/>
    <w:rsid w:val="000D18BE"/>
    <w:rsid w:val="000D1E86"/>
    <w:rsid w:val="000D3209"/>
    <w:rsid w:val="000D3657"/>
    <w:rsid w:val="000D3916"/>
    <w:rsid w:val="000D3D2A"/>
    <w:rsid w:val="000D4240"/>
    <w:rsid w:val="000D4886"/>
    <w:rsid w:val="000D4AA5"/>
    <w:rsid w:val="000D52FB"/>
    <w:rsid w:val="000D62AD"/>
    <w:rsid w:val="000D6BEE"/>
    <w:rsid w:val="000D6ED2"/>
    <w:rsid w:val="000D7583"/>
    <w:rsid w:val="000D78BE"/>
    <w:rsid w:val="000E006E"/>
    <w:rsid w:val="000E0224"/>
    <w:rsid w:val="000E0782"/>
    <w:rsid w:val="000E115A"/>
    <w:rsid w:val="000E1635"/>
    <w:rsid w:val="000E1F8E"/>
    <w:rsid w:val="000E2BCF"/>
    <w:rsid w:val="000E2FDF"/>
    <w:rsid w:val="000E3CA5"/>
    <w:rsid w:val="000E4595"/>
    <w:rsid w:val="000E4940"/>
    <w:rsid w:val="000E534C"/>
    <w:rsid w:val="000E6114"/>
    <w:rsid w:val="000E61C8"/>
    <w:rsid w:val="000E6560"/>
    <w:rsid w:val="000E6B96"/>
    <w:rsid w:val="000E736F"/>
    <w:rsid w:val="000E76C2"/>
    <w:rsid w:val="000E7E37"/>
    <w:rsid w:val="000F0003"/>
    <w:rsid w:val="000F1FF1"/>
    <w:rsid w:val="000F22A3"/>
    <w:rsid w:val="000F2869"/>
    <w:rsid w:val="000F2AF3"/>
    <w:rsid w:val="000F2FE2"/>
    <w:rsid w:val="000F35B1"/>
    <w:rsid w:val="000F3DB5"/>
    <w:rsid w:val="000F4830"/>
    <w:rsid w:val="000F4FC7"/>
    <w:rsid w:val="000F544F"/>
    <w:rsid w:val="000F5708"/>
    <w:rsid w:val="000F5966"/>
    <w:rsid w:val="000F5FF7"/>
    <w:rsid w:val="000F6242"/>
    <w:rsid w:val="000F6B92"/>
    <w:rsid w:val="000F7DE2"/>
    <w:rsid w:val="0010027E"/>
    <w:rsid w:val="0010129D"/>
    <w:rsid w:val="0010178F"/>
    <w:rsid w:val="001017B1"/>
    <w:rsid w:val="0010197C"/>
    <w:rsid w:val="00101CF6"/>
    <w:rsid w:val="00101D6A"/>
    <w:rsid w:val="00102358"/>
    <w:rsid w:val="0010277E"/>
    <w:rsid w:val="001027EB"/>
    <w:rsid w:val="00102C71"/>
    <w:rsid w:val="00102F65"/>
    <w:rsid w:val="001030C6"/>
    <w:rsid w:val="00103374"/>
    <w:rsid w:val="001034A5"/>
    <w:rsid w:val="001035FB"/>
    <w:rsid w:val="00103A8F"/>
    <w:rsid w:val="001040BF"/>
    <w:rsid w:val="00104588"/>
    <w:rsid w:val="0010486D"/>
    <w:rsid w:val="00105B30"/>
    <w:rsid w:val="00106504"/>
    <w:rsid w:val="001078AF"/>
    <w:rsid w:val="00107DA0"/>
    <w:rsid w:val="00110349"/>
    <w:rsid w:val="00110575"/>
    <w:rsid w:val="0011078E"/>
    <w:rsid w:val="00110971"/>
    <w:rsid w:val="00111B72"/>
    <w:rsid w:val="001139DC"/>
    <w:rsid w:val="00114AD1"/>
    <w:rsid w:val="00115269"/>
    <w:rsid w:val="001153A9"/>
    <w:rsid w:val="001158B1"/>
    <w:rsid w:val="00115A7B"/>
    <w:rsid w:val="001160AD"/>
    <w:rsid w:val="0011681F"/>
    <w:rsid w:val="001168AD"/>
    <w:rsid w:val="001173A4"/>
    <w:rsid w:val="001179A2"/>
    <w:rsid w:val="00117C09"/>
    <w:rsid w:val="00117E1F"/>
    <w:rsid w:val="00121F83"/>
    <w:rsid w:val="00122B38"/>
    <w:rsid w:val="0012341E"/>
    <w:rsid w:val="00123BA6"/>
    <w:rsid w:val="00124CD9"/>
    <w:rsid w:val="001254B6"/>
    <w:rsid w:val="00125C0D"/>
    <w:rsid w:val="00126294"/>
    <w:rsid w:val="00126445"/>
    <w:rsid w:val="0012652D"/>
    <w:rsid w:val="00126704"/>
    <w:rsid w:val="00127C05"/>
    <w:rsid w:val="001302F8"/>
    <w:rsid w:val="00131B1F"/>
    <w:rsid w:val="00131BE0"/>
    <w:rsid w:val="001324DF"/>
    <w:rsid w:val="00132E59"/>
    <w:rsid w:val="001339D0"/>
    <w:rsid w:val="001340B5"/>
    <w:rsid w:val="001348CC"/>
    <w:rsid w:val="001349A6"/>
    <w:rsid w:val="00134A43"/>
    <w:rsid w:val="00134A81"/>
    <w:rsid w:val="00134A97"/>
    <w:rsid w:val="00134B12"/>
    <w:rsid w:val="00135923"/>
    <w:rsid w:val="00135E77"/>
    <w:rsid w:val="00135F13"/>
    <w:rsid w:val="00136561"/>
    <w:rsid w:val="00136CB1"/>
    <w:rsid w:val="00136CEF"/>
    <w:rsid w:val="00136E5E"/>
    <w:rsid w:val="00137157"/>
    <w:rsid w:val="00137485"/>
    <w:rsid w:val="00140A89"/>
    <w:rsid w:val="0014116B"/>
    <w:rsid w:val="001413FD"/>
    <w:rsid w:val="00141E29"/>
    <w:rsid w:val="00142AD7"/>
    <w:rsid w:val="00142BCD"/>
    <w:rsid w:val="00142C3B"/>
    <w:rsid w:val="0014366A"/>
    <w:rsid w:val="001438C9"/>
    <w:rsid w:val="001461FC"/>
    <w:rsid w:val="00146232"/>
    <w:rsid w:val="00146398"/>
    <w:rsid w:val="001464BF"/>
    <w:rsid w:val="00146945"/>
    <w:rsid w:val="001476B6"/>
    <w:rsid w:val="001508E3"/>
    <w:rsid w:val="00150E27"/>
    <w:rsid w:val="001518E1"/>
    <w:rsid w:val="001528E6"/>
    <w:rsid w:val="00152D0F"/>
    <w:rsid w:val="00153087"/>
    <w:rsid w:val="001533C4"/>
    <w:rsid w:val="00153539"/>
    <w:rsid w:val="001539F9"/>
    <w:rsid w:val="00154642"/>
    <w:rsid w:val="00154A42"/>
    <w:rsid w:val="00154A4E"/>
    <w:rsid w:val="00154BFD"/>
    <w:rsid w:val="00154D3A"/>
    <w:rsid w:val="0015574B"/>
    <w:rsid w:val="00155B0F"/>
    <w:rsid w:val="00155B97"/>
    <w:rsid w:val="001560E5"/>
    <w:rsid w:val="00156274"/>
    <w:rsid w:val="00160037"/>
    <w:rsid w:val="00162646"/>
    <w:rsid w:val="0016325A"/>
    <w:rsid w:val="00163337"/>
    <w:rsid w:val="0016355A"/>
    <w:rsid w:val="00163DF4"/>
    <w:rsid w:val="00163E9B"/>
    <w:rsid w:val="001647ED"/>
    <w:rsid w:val="001654E7"/>
    <w:rsid w:val="00165CFF"/>
    <w:rsid w:val="00166A89"/>
    <w:rsid w:val="001674F5"/>
    <w:rsid w:val="00167A3C"/>
    <w:rsid w:val="00167D97"/>
    <w:rsid w:val="00167E89"/>
    <w:rsid w:val="0017029C"/>
    <w:rsid w:val="00170587"/>
    <w:rsid w:val="001709BA"/>
    <w:rsid w:val="00170A41"/>
    <w:rsid w:val="00170C94"/>
    <w:rsid w:val="00170E65"/>
    <w:rsid w:val="0017111A"/>
    <w:rsid w:val="00171981"/>
    <w:rsid w:val="0017231F"/>
    <w:rsid w:val="00172A3E"/>
    <w:rsid w:val="00172D51"/>
    <w:rsid w:val="001733F6"/>
    <w:rsid w:val="00174601"/>
    <w:rsid w:val="0017468F"/>
    <w:rsid w:val="001751FD"/>
    <w:rsid w:val="00175D02"/>
    <w:rsid w:val="00175D9D"/>
    <w:rsid w:val="001763CF"/>
    <w:rsid w:val="001765BD"/>
    <w:rsid w:val="0017666D"/>
    <w:rsid w:val="001805BD"/>
    <w:rsid w:val="00180FEA"/>
    <w:rsid w:val="001810F2"/>
    <w:rsid w:val="00181DAD"/>
    <w:rsid w:val="00181DC0"/>
    <w:rsid w:val="00181FA4"/>
    <w:rsid w:val="0018213E"/>
    <w:rsid w:val="00182BD6"/>
    <w:rsid w:val="0018418A"/>
    <w:rsid w:val="00184AA5"/>
    <w:rsid w:val="00186A27"/>
    <w:rsid w:val="001875A9"/>
    <w:rsid w:val="0018798C"/>
    <w:rsid w:val="00187E5E"/>
    <w:rsid w:val="00190092"/>
    <w:rsid w:val="0019063E"/>
    <w:rsid w:val="00190965"/>
    <w:rsid w:val="001911CB"/>
    <w:rsid w:val="00191541"/>
    <w:rsid w:val="001915C3"/>
    <w:rsid w:val="0019171E"/>
    <w:rsid w:val="00191939"/>
    <w:rsid w:val="00193259"/>
    <w:rsid w:val="001932C6"/>
    <w:rsid w:val="00193731"/>
    <w:rsid w:val="001941DE"/>
    <w:rsid w:val="00194A53"/>
    <w:rsid w:val="00195507"/>
    <w:rsid w:val="00195FD6"/>
    <w:rsid w:val="00196CA4"/>
    <w:rsid w:val="00196D4C"/>
    <w:rsid w:val="001971BC"/>
    <w:rsid w:val="00197321"/>
    <w:rsid w:val="001976BF"/>
    <w:rsid w:val="00197C88"/>
    <w:rsid w:val="00197F01"/>
    <w:rsid w:val="001A0902"/>
    <w:rsid w:val="001A0F6F"/>
    <w:rsid w:val="001A122D"/>
    <w:rsid w:val="001A1EE0"/>
    <w:rsid w:val="001A2210"/>
    <w:rsid w:val="001A329E"/>
    <w:rsid w:val="001A3501"/>
    <w:rsid w:val="001A367B"/>
    <w:rsid w:val="001A368A"/>
    <w:rsid w:val="001A3AC4"/>
    <w:rsid w:val="001A4241"/>
    <w:rsid w:val="001A4489"/>
    <w:rsid w:val="001A4A0A"/>
    <w:rsid w:val="001A4C3B"/>
    <w:rsid w:val="001A55FA"/>
    <w:rsid w:val="001A56BD"/>
    <w:rsid w:val="001A6D75"/>
    <w:rsid w:val="001B03A2"/>
    <w:rsid w:val="001B0AA8"/>
    <w:rsid w:val="001B0DAE"/>
    <w:rsid w:val="001B1098"/>
    <w:rsid w:val="001B1BFD"/>
    <w:rsid w:val="001B1E10"/>
    <w:rsid w:val="001B23BD"/>
    <w:rsid w:val="001B2498"/>
    <w:rsid w:val="001B30F8"/>
    <w:rsid w:val="001B361E"/>
    <w:rsid w:val="001B3F5C"/>
    <w:rsid w:val="001B412E"/>
    <w:rsid w:val="001B4150"/>
    <w:rsid w:val="001B4E86"/>
    <w:rsid w:val="001B509E"/>
    <w:rsid w:val="001B50EA"/>
    <w:rsid w:val="001B58DF"/>
    <w:rsid w:val="001B62D7"/>
    <w:rsid w:val="001B62DC"/>
    <w:rsid w:val="001B67C3"/>
    <w:rsid w:val="001B69A0"/>
    <w:rsid w:val="001B70A7"/>
    <w:rsid w:val="001B74D6"/>
    <w:rsid w:val="001B7622"/>
    <w:rsid w:val="001B7B0B"/>
    <w:rsid w:val="001C0362"/>
    <w:rsid w:val="001C0843"/>
    <w:rsid w:val="001C0EF1"/>
    <w:rsid w:val="001C126A"/>
    <w:rsid w:val="001C16F3"/>
    <w:rsid w:val="001C2606"/>
    <w:rsid w:val="001C2B37"/>
    <w:rsid w:val="001C3467"/>
    <w:rsid w:val="001C370A"/>
    <w:rsid w:val="001C46CD"/>
    <w:rsid w:val="001C4823"/>
    <w:rsid w:val="001C4DCF"/>
    <w:rsid w:val="001C4E27"/>
    <w:rsid w:val="001C53CF"/>
    <w:rsid w:val="001C5CE5"/>
    <w:rsid w:val="001C627B"/>
    <w:rsid w:val="001C644A"/>
    <w:rsid w:val="001C65B8"/>
    <w:rsid w:val="001C6690"/>
    <w:rsid w:val="001C6823"/>
    <w:rsid w:val="001C6AF5"/>
    <w:rsid w:val="001C7E2A"/>
    <w:rsid w:val="001D0253"/>
    <w:rsid w:val="001D05C6"/>
    <w:rsid w:val="001D0B86"/>
    <w:rsid w:val="001D0D76"/>
    <w:rsid w:val="001D1598"/>
    <w:rsid w:val="001D1CE9"/>
    <w:rsid w:val="001D24AD"/>
    <w:rsid w:val="001D26DB"/>
    <w:rsid w:val="001D2E43"/>
    <w:rsid w:val="001D3748"/>
    <w:rsid w:val="001D3EBF"/>
    <w:rsid w:val="001D4391"/>
    <w:rsid w:val="001D442D"/>
    <w:rsid w:val="001D5A33"/>
    <w:rsid w:val="001D5EC5"/>
    <w:rsid w:val="001D6D2C"/>
    <w:rsid w:val="001D7CD1"/>
    <w:rsid w:val="001E0A2C"/>
    <w:rsid w:val="001E1AB3"/>
    <w:rsid w:val="001E1BD5"/>
    <w:rsid w:val="001E21DC"/>
    <w:rsid w:val="001E2530"/>
    <w:rsid w:val="001E25F3"/>
    <w:rsid w:val="001E4657"/>
    <w:rsid w:val="001E473B"/>
    <w:rsid w:val="001E5577"/>
    <w:rsid w:val="001E5803"/>
    <w:rsid w:val="001E5B59"/>
    <w:rsid w:val="001E5C79"/>
    <w:rsid w:val="001E65DC"/>
    <w:rsid w:val="001E6A47"/>
    <w:rsid w:val="001E6C3F"/>
    <w:rsid w:val="001E6D40"/>
    <w:rsid w:val="001E6D6A"/>
    <w:rsid w:val="001E6ECD"/>
    <w:rsid w:val="001E71CF"/>
    <w:rsid w:val="001E740D"/>
    <w:rsid w:val="001E75EF"/>
    <w:rsid w:val="001F0748"/>
    <w:rsid w:val="001F07BA"/>
    <w:rsid w:val="001F0D39"/>
    <w:rsid w:val="001F1A90"/>
    <w:rsid w:val="001F2673"/>
    <w:rsid w:val="001F2935"/>
    <w:rsid w:val="001F2D3A"/>
    <w:rsid w:val="001F2E97"/>
    <w:rsid w:val="001F2F2D"/>
    <w:rsid w:val="001F3219"/>
    <w:rsid w:val="001F34CD"/>
    <w:rsid w:val="001F3D5D"/>
    <w:rsid w:val="001F43B8"/>
    <w:rsid w:val="001F459C"/>
    <w:rsid w:val="001F45BE"/>
    <w:rsid w:val="001F4C68"/>
    <w:rsid w:val="001F5C57"/>
    <w:rsid w:val="001F6487"/>
    <w:rsid w:val="001F6754"/>
    <w:rsid w:val="001F6821"/>
    <w:rsid w:val="001F7F0E"/>
    <w:rsid w:val="0020017E"/>
    <w:rsid w:val="0020072E"/>
    <w:rsid w:val="002007B7"/>
    <w:rsid w:val="002011B8"/>
    <w:rsid w:val="00201541"/>
    <w:rsid w:val="00201CDF"/>
    <w:rsid w:val="00201FB6"/>
    <w:rsid w:val="002027DA"/>
    <w:rsid w:val="00203033"/>
    <w:rsid w:val="00203864"/>
    <w:rsid w:val="00203913"/>
    <w:rsid w:val="00203F4F"/>
    <w:rsid w:val="002043B4"/>
    <w:rsid w:val="00204524"/>
    <w:rsid w:val="002046DC"/>
    <w:rsid w:val="00204C7A"/>
    <w:rsid w:val="00204C84"/>
    <w:rsid w:val="00204D57"/>
    <w:rsid w:val="00205FB7"/>
    <w:rsid w:val="002061F2"/>
    <w:rsid w:val="00206288"/>
    <w:rsid w:val="00206983"/>
    <w:rsid w:val="00206985"/>
    <w:rsid w:val="00206B08"/>
    <w:rsid w:val="00206F66"/>
    <w:rsid w:val="0020738E"/>
    <w:rsid w:val="002114ED"/>
    <w:rsid w:val="002118B6"/>
    <w:rsid w:val="00212835"/>
    <w:rsid w:val="00212E6B"/>
    <w:rsid w:val="002136FD"/>
    <w:rsid w:val="00213974"/>
    <w:rsid w:val="00213A50"/>
    <w:rsid w:val="00214086"/>
    <w:rsid w:val="002147E8"/>
    <w:rsid w:val="00215773"/>
    <w:rsid w:val="00215CAF"/>
    <w:rsid w:val="00215CF1"/>
    <w:rsid w:val="002173FC"/>
    <w:rsid w:val="00221222"/>
    <w:rsid w:val="0022167D"/>
    <w:rsid w:val="002223E8"/>
    <w:rsid w:val="00222613"/>
    <w:rsid w:val="00222B6C"/>
    <w:rsid w:val="00224186"/>
    <w:rsid w:val="00224B68"/>
    <w:rsid w:val="00224D5D"/>
    <w:rsid w:val="00226A58"/>
    <w:rsid w:val="00227287"/>
    <w:rsid w:val="00227330"/>
    <w:rsid w:val="00227B80"/>
    <w:rsid w:val="002302CE"/>
    <w:rsid w:val="002307EF"/>
    <w:rsid w:val="00231201"/>
    <w:rsid w:val="002321BF"/>
    <w:rsid w:val="00232485"/>
    <w:rsid w:val="00232C3C"/>
    <w:rsid w:val="00232CB6"/>
    <w:rsid w:val="00232D9B"/>
    <w:rsid w:val="00232E77"/>
    <w:rsid w:val="002331CF"/>
    <w:rsid w:val="00233652"/>
    <w:rsid w:val="00233746"/>
    <w:rsid w:val="00233796"/>
    <w:rsid w:val="002345C6"/>
    <w:rsid w:val="00234C3A"/>
    <w:rsid w:val="00237485"/>
    <w:rsid w:val="00240DCF"/>
    <w:rsid w:val="002410C9"/>
    <w:rsid w:val="00241257"/>
    <w:rsid w:val="002416CE"/>
    <w:rsid w:val="002426BC"/>
    <w:rsid w:val="00243BC4"/>
    <w:rsid w:val="00243E59"/>
    <w:rsid w:val="00243E6F"/>
    <w:rsid w:val="00243EF9"/>
    <w:rsid w:val="00244ED9"/>
    <w:rsid w:val="0024565A"/>
    <w:rsid w:val="002463B2"/>
    <w:rsid w:val="00246500"/>
    <w:rsid w:val="0024728D"/>
    <w:rsid w:val="002478ED"/>
    <w:rsid w:val="00250ACB"/>
    <w:rsid w:val="00251AFF"/>
    <w:rsid w:val="00251B1E"/>
    <w:rsid w:val="00251C97"/>
    <w:rsid w:val="002523EA"/>
    <w:rsid w:val="00252ADD"/>
    <w:rsid w:val="00252D79"/>
    <w:rsid w:val="00253490"/>
    <w:rsid w:val="00253578"/>
    <w:rsid w:val="00253D5E"/>
    <w:rsid w:val="00254603"/>
    <w:rsid w:val="00254D7E"/>
    <w:rsid w:val="00254EDC"/>
    <w:rsid w:val="00254EF3"/>
    <w:rsid w:val="00255042"/>
    <w:rsid w:val="002556AA"/>
    <w:rsid w:val="0025594F"/>
    <w:rsid w:val="00255D1B"/>
    <w:rsid w:val="00255D41"/>
    <w:rsid w:val="00256514"/>
    <w:rsid w:val="00256E1C"/>
    <w:rsid w:val="0025706D"/>
    <w:rsid w:val="002571A6"/>
    <w:rsid w:val="002571C7"/>
    <w:rsid w:val="00257815"/>
    <w:rsid w:val="0026068A"/>
    <w:rsid w:val="002606F1"/>
    <w:rsid w:val="00260C01"/>
    <w:rsid w:val="00261681"/>
    <w:rsid w:val="00261A17"/>
    <w:rsid w:val="00261A2A"/>
    <w:rsid w:val="0026218E"/>
    <w:rsid w:val="00262ACA"/>
    <w:rsid w:val="00262F6B"/>
    <w:rsid w:val="002631FE"/>
    <w:rsid w:val="00263375"/>
    <w:rsid w:val="00264578"/>
    <w:rsid w:val="00264789"/>
    <w:rsid w:val="002649A0"/>
    <w:rsid w:val="00264E43"/>
    <w:rsid w:val="00264F6C"/>
    <w:rsid w:val="00264FFA"/>
    <w:rsid w:val="00265220"/>
    <w:rsid w:val="0026542F"/>
    <w:rsid w:val="00265534"/>
    <w:rsid w:val="00265564"/>
    <w:rsid w:val="0026576A"/>
    <w:rsid w:val="002659E6"/>
    <w:rsid w:val="00266B58"/>
    <w:rsid w:val="00266DA6"/>
    <w:rsid w:val="00267256"/>
    <w:rsid w:val="00267878"/>
    <w:rsid w:val="00267BE0"/>
    <w:rsid w:val="0027097B"/>
    <w:rsid w:val="00270EE7"/>
    <w:rsid w:val="0027115D"/>
    <w:rsid w:val="002717DF"/>
    <w:rsid w:val="00272E7D"/>
    <w:rsid w:val="002732A1"/>
    <w:rsid w:val="00273957"/>
    <w:rsid w:val="0027398E"/>
    <w:rsid w:val="00274212"/>
    <w:rsid w:val="002745B3"/>
    <w:rsid w:val="00274A41"/>
    <w:rsid w:val="0027501E"/>
    <w:rsid w:val="002754C1"/>
    <w:rsid w:val="002754E1"/>
    <w:rsid w:val="002757D2"/>
    <w:rsid w:val="0027581A"/>
    <w:rsid w:val="00275AB7"/>
    <w:rsid w:val="0027616F"/>
    <w:rsid w:val="002763BE"/>
    <w:rsid w:val="00277110"/>
    <w:rsid w:val="0027730D"/>
    <w:rsid w:val="00277352"/>
    <w:rsid w:val="00277527"/>
    <w:rsid w:val="0027775F"/>
    <w:rsid w:val="00277CF6"/>
    <w:rsid w:val="00277F90"/>
    <w:rsid w:val="0028040B"/>
    <w:rsid w:val="002806C9"/>
    <w:rsid w:val="0028076C"/>
    <w:rsid w:val="00280DFA"/>
    <w:rsid w:val="002815EB"/>
    <w:rsid w:val="0028176B"/>
    <w:rsid w:val="00281C87"/>
    <w:rsid w:val="002825DC"/>
    <w:rsid w:val="002826A9"/>
    <w:rsid w:val="00282D0A"/>
    <w:rsid w:val="00282FFF"/>
    <w:rsid w:val="00283A19"/>
    <w:rsid w:val="00283E87"/>
    <w:rsid w:val="002842B0"/>
    <w:rsid w:val="00284C34"/>
    <w:rsid w:val="00284C62"/>
    <w:rsid w:val="00285CB2"/>
    <w:rsid w:val="00285F10"/>
    <w:rsid w:val="0028622B"/>
    <w:rsid w:val="0028634A"/>
    <w:rsid w:val="00286366"/>
    <w:rsid w:val="002864A6"/>
    <w:rsid w:val="0028664C"/>
    <w:rsid w:val="002877F4"/>
    <w:rsid w:val="00290906"/>
    <w:rsid w:val="0029106A"/>
    <w:rsid w:val="00291945"/>
    <w:rsid w:val="00291BBB"/>
    <w:rsid w:val="00291FB1"/>
    <w:rsid w:val="00292CE6"/>
    <w:rsid w:val="00292D33"/>
    <w:rsid w:val="00293775"/>
    <w:rsid w:val="00293A03"/>
    <w:rsid w:val="00293F43"/>
    <w:rsid w:val="00294010"/>
    <w:rsid w:val="002948EE"/>
    <w:rsid w:val="00295550"/>
    <w:rsid w:val="002955DA"/>
    <w:rsid w:val="00295FE4"/>
    <w:rsid w:val="002966FE"/>
    <w:rsid w:val="00296B8B"/>
    <w:rsid w:val="00296E41"/>
    <w:rsid w:val="00296E65"/>
    <w:rsid w:val="002971E8"/>
    <w:rsid w:val="00297D26"/>
    <w:rsid w:val="002A02EB"/>
    <w:rsid w:val="002A0507"/>
    <w:rsid w:val="002A06E4"/>
    <w:rsid w:val="002A112C"/>
    <w:rsid w:val="002A142A"/>
    <w:rsid w:val="002A1D2B"/>
    <w:rsid w:val="002A21DD"/>
    <w:rsid w:val="002A2353"/>
    <w:rsid w:val="002A2E8F"/>
    <w:rsid w:val="002A325C"/>
    <w:rsid w:val="002A3552"/>
    <w:rsid w:val="002A3826"/>
    <w:rsid w:val="002A383F"/>
    <w:rsid w:val="002A3849"/>
    <w:rsid w:val="002A401B"/>
    <w:rsid w:val="002A4E68"/>
    <w:rsid w:val="002A566C"/>
    <w:rsid w:val="002A5C27"/>
    <w:rsid w:val="002A5C5D"/>
    <w:rsid w:val="002A5EDA"/>
    <w:rsid w:val="002A61F9"/>
    <w:rsid w:val="002A69E5"/>
    <w:rsid w:val="002A6BE0"/>
    <w:rsid w:val="002B0329"/>
    <w:rsid w:val="002B03DA"/>
    <w:rsid w:val="002B05AA"/>
    <w:rsid w:val="002B1EC1"/>
    <w:rsid w:val="002B2421"/>
    <w:rsid w:val="002B2CBA"/>
    <w:rsid w:val="002B2CF4"/>
    <w:rsid w:val="002B364C"/>
    <w:rsid w:val="002B3AE7"/>
    <w:rsid w:val="002B42BC"/>
    <w:rsid w:val="002B4466"/>
    <w:rsid w:val="002B4762"/>
    <w:rsid w:val="002B4DAD"/>
    <w:rsid w:val="002B4EEB"/>
    <w:rsid w:val="002B5D76"/>
    <w:rsid w:val="002B5F04"/>
    <w:rsid w:val="002B6793"/>
    <w:rsid w:val="002B6ABE"/>
    <w:rsid w:val="002B718A"/>
    <w:rsid w:val="002B72FB"/>
    <w:rsid w:val="002B76EB"/>
    <w:rsid w:val="002C041E"/>
    <w:rsid w:val="002C09BB"/>
    <w:rsid w:val="002C15B9"/>
    <w:rsid w:val="002C1F39"/>
    <w:rsid w:val="002C1F3E"/>
    <w:rsid w:val="002C256C"/>
    <w:rsid w:val="002C339E"/>
    <w:rsid w:val="002C3546"/>
    <w:rsid w:val="002C4413"/>
    <w:rsid w:val="002C4CD0"/>
    <w:rsid w:val="002C5364"/>
    <w:rsid w:val="002C58A8"/>
    <w:rsid w:val="002C5B87"/>
    <w:rsid w:val="002C5D35"/>
    <w:rsid w:val="002C6739"/>
    <w:rsid w:val="002C6934"/>
    <w:rsid w:val="002C6A1A"/>
    <w:rsid w:val="002C6E3B"/>
    <w:rsid w:val="002C6F6F"/>
    <w:rsid w:val="002C6FEF"/>
    <w:rsid w:val="002C746A"/>
    <w:rsid w:val="002C790C"/>
    <w:rsid w:val="002D0343"/>
    <w:rsid w:val="002D0861"/>
    <w:rsid w:val="002D08EF"/>
    <w:rsid w:val="002D10F5"/>
    <w:rsid w:val="002D166B"/>
    <w:rsid w:val="002D1F29"/>
    <w:rsid w:val="002D290B"/>
    <w:rsid w:val="002D30FD"/>
    <w:rsid w:val="002D31FD"/>
    <w:rsid w:val="002D32B3"/>
    <w:rsid w:val="002D372F"/>
    <w:rsid w:val="002D37A4"/>
    <w:rsid w:val="002D3843"/>
    <w:rsid w:val="002D3A14"/>
    <w:rsid w:val="002D4129"/>
    <w:rsid w:val="002D474E"/>
    <w:rsid w:val="002D4BA8"/>
    <w:rsid w:val="002D6565"/>
    <w:rsid w:val="002D665D"/>
    <w:rsid w:val="002D69B5"/>
    <w:rsid w:val="002D6AA7"/>
    <w:rsid w:val="002D7BD4"/>
    <w:rsid w:val="002E03D1"/>
    <w:rsid w:val="002E1866"/>
    <w:rsid w:val="002E2AC2"/>
    <w:rsid w:val="002E3086"/>
    <w:rsid w:val="002E38CE"/>
    <w:rsid w:val="002E3B80"/>
    <w:rsid w:val="002E3FD4"/>
    <w:rsid w:val="002E4DC2"/>
    <w:rsid w:val="002E5295"/>
    <w:rsid w:val="002E547B"/>
    <w:rsid w:val="002E5662"/>
    <w:rsid w:val="002E56F4"/>
    <w:rsid w:val="002E58E6"/>
    <w:rsid w:val="002E5A32"/>
    <w:rsid w:val="002E5C2E"/>
    <w:rsid w:val="002E5F11"/>
    <w:rsid w:val="002E6CAE"/>
    <w:rsid w:val="002E6CE8"/>
    <w:rsid w:val="002E6D6E"/>
    <w:rsid w:val="002E7B53"/>
    <w:rsid w:val="002F1458"/>
    <w:rsid w:val="002F1C9A"/>
    <w:rsid w:val="002F25A1"/>
    <w:rsid w:val="002F2FA5"/>
    <w:rsid w:val="002F304B"/>
    <w:rsid w:val="002F356B"/>
    <w:rsid w:val="002F3C31"/>
    <w:rsid w:val="002F408C"/>
    <w:rsid w:val="002F43F9"/>
    <w:rsid w:val="002F472D"/>
    <w:rsid w:val="002F544B"/>
    <w:rsid w:val="002F70D6"/>
    <w:rsid w:val="002F78FD"/>
    <w:rsid w:val="00300245"/>
    <w:rsid w:val="0030071B"/>
    <w:rsid w:val="00300D5B"/>
    <w:rsid w:val="00301226"/>
    <w:rsid w:val="00301614"/>
    <w:rsid w:val="00301662"/>
    <w:rsid w:val="00301CA3"/>
    <w:rsid w:val="00302312"/>
    <w:rsid w:val="0030238A"/>
    <w:rsid w:val="00302695"/>
    <w:rsid w:val="003026C0"/>
    <w:rsid w:val="0030340B"/>
    <w:rsid w:val="00303BC6"/>
    <w:rsid w:val="003059A6"/>
    <w:rsid w:val="00305AC8"/>
    <w:rsid w:val="003068E4"/>
    <w:rsid w:val="00306CDD"/>
    <w:rsid w:val="003077FB"/>
    <w:rsid w:val="0030793C"/>
    <w:rsid w:val="003104EC"/>
    <w:rsid w:val="00311A9F"/>
    <w:rsid w:val="00312175"/>
    <w:rsid w:val="00312DC0"/>
    <w:rsid w:val="003134CB"/>
    <w:rsid w:val="00313B56"/>
    <w:rsid w:val="00313BE2"/>
    <w:rsid w:val="003146DD"/>
    <w:rsid w:val="0031477F"/>
    <w:rsid w:val="00314E9A"/>
    <w:rsid w:val="00315228"/>
    <w:rsid w:val="0031544D"/>
    <w:rsid w:val="003155E2"/>
    <w:rsid w:val="00315D37"/>
    <w:rsid w:val="0031610A"/>
    <w:rsid w:val="0031612E"/>
    <w:rsid w:val="00316E18"/>
    <w:rsid w:val="003204BD"/>
    <w:rsid w:val="003206AC"/>
    <w:rsid w:val="00320DE2"/>
    <w:rsid w:val="00321074"/>
    <w:rsid w:val="00321DE2"/>
    <w:rsid w:val="00322005"/>
    <w:rsid w:val="0032219D"/>
    <w:rsid w:val="003223DB"/>
    <w:rsid w:val="00322940"/>
    <w:rsid w:val="00322AAE"/>
    <w:rsid w:val="00323CCF"/>
    <w:rsid w:val="00323E26"/>
    <w:rsid w:val="00323F30"/>
    <w:rsid w:val="00324353"/>
    <w:rsid w:val="003244D8"/>
    <w:rsid w:val="00324A44"/>
    <w:rsid w:val="00324AAD"/>
    <w:rsid w:val="00324B5E"/>
    <w:rsid w:val="00325134"/>
    <w:rsid w:val="00325445"/>
    <w:rsid w:val="00325706"/>
    <w:rsid w:val="00325D64"/>
    <w:rsid w:val="00327C3C"/>
    <w:rsid w:val="00330627"/>
    <w:rsid w:val="00330BDE"/>
    <w:rsid w:val="00330E4F"/>
    <w:rsid w:val="003310FD"/>
    <w:rsid w:val="00331BAC"/>
    <w:rsid w:val="003321D8"/>
    <w:rsid w:val="00332656"/>
    <w:rsid w:val="003326B4"/>
    <w:rsid w:val="00332794"/>
    <w:rsid w:val="00332D6E"/>
    <w:rsid w:val="00332F5A"/>
    <w:rsid w:val="00333396"/>
    <w:rsid w:val="00333E85"/>
    <w:rsid w:val="0033466D"/>
    <w:rsid w:val="003349E5"/>
    <w:rsid w:val="003359DD"/>
    <w:rsid w:val="003366B9"/>
    <w:rsid w:val="00336A5F"/>
    <w:rsid w:val="00336B53"/>
    <w:rsid w:val="00336FFA"/>
    <w:rsid w:val="003375B4"/>
    <w:rsid w:val="0033761A"/>
    <w:rsid w:val="00337883"/>
    <w:rsid w:val="00337954"/>
    <w:rsid w:val="00337A4B"/>
    <w:rsid w:val="00337B2B"/>
    <w:rsid w:val="003408BA"/>
    <w:rsid w:val="003408F8"/>
    <w:rsid w:val="00340C73"/>
    <w:rsid w:val="00340EAE"/>
    <w:rsid w:val="00341A39"/>
    <w:rsid w:val="003424E9"/>
    <w:rsid w:val="0034294F"/>
    <w:rsid w:val="00342A25"/>
    <w:rsid w:val="00343004"/>
    <w:rsid w:val="0034327E"/>
    <w:rsid w:val="00343359"/>
    <w:rsid w:val="003443DB"/>
    <w:rsid w:val="00344A40"/>
    <w:rsid w:val="00344B1B"/>
    <w:rsid w:val="0034529D"/>
    <w:rsid w:val="003454A1"/>
    <w:rsid w:val="00345AC7"/>
    <w:rsid w:val="00346428"/>
    <w:rsid w:val="00347882"/>
    <w:rsid w:val="00347AD7"/>
    <w:rsid w:val="003501D3"/>
    <w:rsid w:val="0035047D"/>
    <w:rsid w:val="003539A8"/>
    <w:rsid w:val="00353ACD"/>
    <w:rsid w:val="00353C63"/>
    <w:rsid w:val="00353C97"/>
    <w:rsid w:val="00353CBB"/>
    <w:rsid w:val="00353E2B"/>
    <w:rsid w:val="003540F7"/>
    <w:rsid w:val="00354793"/>
    <w:rsid w:val="00354A02"/>
    <w:rsid w:val="00354BAF"/>
    <w:rsid w:val="00354E84"/>
    <w:rsid w:val="00355582"/>
    <w:rsid w:val="00355B83"/>
    <w:rsid w:val="00355D39"/>
    <w:rsid w:val="00356256"/>
    <w:rsid w:val="003562EE"/>
    <w:rsid w:val="00356C2F"/>
    <w:rsid w:val="00356FF4"/>
    <w:rsid w:val="00357007"/>
    <w:rsid w:val="00357083"/>
    <w:rsid w:val="003600B8"/>
    <w:rsid w:val="00361098"/>
    <w:rsid w:val="00361138"/>
    <w:rsid w:val="00361767"/>
    <w:rsid w:val="00361EB5"/>
    <w:rsid w:val="00362102"/>
    <w:rsid w:val="0036298F"/>
    <w:rsid w:val="00362B48"/>
    <w:rsid w:val="00362DAE"/>
    <w:rsid w:val="00363905"/>
    <w:rsid w:val="003647E8"/>
    <w:rsid w:val="003648BA"/>
    <w:rsid w:val="00365389"/>
    <w:rsid w:val="00365443"/>
    <w:rsid w:val="0036552A"/>
    <w:rsid w:val="003657A8"/>
    <w:rsid w:val="003658A2"/>
    <w:rsid w:val="00365E40"/>
    <w:rsid w:val="00365E8F"/>
    <w:rsid w:val="00366460"/>
    <w:rsid w:val="003669F3"/>
    <w:rsid w:val="00366CCD"/>
    <w:rsid w:val="00366E6B"/>
    <w:rsid w:val="00367139"/>
    <w:rsid w:val="00370A09"/>
    <w:rsid w:val="003719AA"/>
    <w:rsid w:val="00371A95"/>
    <w:rsid w:val="00371D29"/>
    <w:rsid w:val="00372A9F"/>
    <w:rsid w:val="0037397A"/>
    <w:rsid w:val="00373995"/>
    <w:rsid w:val="00373B40"/>
    <w:rsid w:val="0037427D"/>
    <w:rsid w:val="0037474B"/>
    <w:rsid w:val="00374888"/>
    <w:rsid w:val="00375136"/>
    <w:rsid w:val="00375354"/>
    <w:rsid w:val="003759E4"/>
    <w:rsid w:val="0037606F"/>
    <w:rsid w:val="0037683E"/>
    <w:rsid w:val="00377174"/>
    <w:rsid w:val="00377FFD"/>
    <w:rsid w:val="003801DF"/>
    <w:rsid w:val="0038032E"/>
    <w:rsid w:val="0038045C"/>
    <w:rsid w:val="0038054E"/>
    <w:rsid w:val="0038099E"/>
    <w:rsid w:val="003810AD"/>
    <w:rsid w:val="0038126F"/>
    <w:rsid w:val="00381537"/>
    <w:rsid w:val="00381829"/>
    <w:rsid w:val="0038183C"/>
    <w:rsid w:val="003824A5"/>
    <w:rsid w:val="003833E5"/>
    <w:rsid w:val="0038349D"/>
    <w:rsid w:val="00383DBB"/>
    <w:rsid w:val="00383F08"/>
    <w:rsid w:val="00384B79"/>
    <w:rsid w:val="003856B9"/>
    <w:rsid w:val="003857FB"/>
    <w:rsid w:val="00385C09"/>
    <w:rsid w:val="0038761B"/>
    <w:rsid w:val="00387A95"/>
    <w:rsid w:val="003900C5"/>
    <w:rsid w:val="0039012B"/>
    <w:rsid w:val="00390408"/>
    <w:rsid w:val="00390F30"/>
    <w:rsid w:val="003916C1"/>
    <w:rsid w:val="00391B96"/>
    <w:rsid w:val="00391BC0"/>
    <w:rsid w:val="00391D48"/>
    <w:rsid w:val="00391E84"/>
    <w:rsid w:val="00392542"/>
    <w:rsid w:val="00392863"/>
    <w:rsid w:val="00392A03"/>
    <w:rsid w:val="00392A39"/>
    <w:rsid w:val="003933D0"/>
    <w:rsid w:val="00394261"/>
    <w:rsid w:val="0039460F"/>
    <w:rsid w:val="00395ED4"/>
    <w:rsid w:val="00396338"/>
    <w:rsid w:val="00396529"/>
    <w:rsid w:val="003966AD"/>
    <w:rsid w:val="003967F6"/>
    <w:rsid w:val="00397570"/>
    <w:rsid w:val="00397B99"/>
    <w:rsid w:val="003A06D3"/>
    <w:rsid w:val="003A097E"/>
    <w:rsid w:val="003A0C26"/>
    <w:rsid w:val="003A0EA0"/>
    <w:rsid w:val="003A1471"/>
    <w:rsid w:val="003A1B9B"/>
    <w:rsid w:val="003A28A0"/>
    <w:rsid w:val="003A353C"/>
    <w:rsid w:val="003A3AB4"/>
    <w:rsid w:val="003A3FD1"/>
    <w:rsid w:val="003A3FF7"/>
    <w:rsid w:val="003A4CC1"/>
    <w:rsid w:val="003A52A1"/>
    <w:rsid w:val="003A535E"/>
    <w:rsid w:val="003A638D"/>
    <w:rsid w:val="003A6743"/>
    <w:rsid w:val="003A7C27"/>
    <w:rsid w:val="003B03DC"/>
    <w:rsid w:val="003B0D92"/>
    <w:rsid w:val="003B16F1"/>
    <w:rsid w:val="003B1D58"/>
    <w:rsid w:val="003B2100"/>
    <w:rsid w:val="003B35C4"/>
    <w:rsid w:val="003B385C"/>
    <w:rsid w:val="003B3900"/>
    <w:rsid w:val="003B3E80"/>
    <w:rsid w:val="003B416D"/>
    <w:rsid w:val="003B4298"/>
    <w:rsid w:val="003B509C"/>
    <w:rsid w:val="003B57E2"/>
    <w:rsid w:val="003B75A1"/>
    <w:rsid w:val="003B7B47"/>
    <w:rsid w:val="003C071E"/>
    <w:rsid w:val="003C1CBB"/>
    <w:rsid w:val="003C1CEB"/>
    <w:rsid w:val="003C2808"/>
    <w:rsid w:val="003C2A4C"/>
    <w:rsid w:val="003C2AB6"/>
    <w:rsid w:val="003C2D90"/>
    <w:rsid w:val="003C3B3C"/>
    <w:rsid w:val="003C3BC2"/>
    <w:rsid w:val="003C3CC8"/>
    <w:rsid w:val="003C3D9E"/>
    <w:rsid w:val="003C3F07"/>
    <w:rsid w:val="003C46C9"/>
    <w:rsid w:val="003C5204"/>
    <w:rsid w:val="003C57B6"/>
    <w:rsid w:val="003C5975"/>
    <w:rsid w:val="003C60BF"/>
    <w:rsid w:val="003C67BD"/>
    <w:rsid w:val="003C73EC"/>
    <w:rsid w:val="003C74A3"/>
    <w:rsid w:val="003D0E96"/>
    <w:rsid w:val="003D1464"/>
    <w:rsid w:val="003D19C8"/>
    <w:rsid w:val="003D1B5E"/>
    <w:rsid w:val="003D1D9C"/>
    <w:rsid w:val="003D2496"/>
    <w:rsid w:val="003D2561"/>
    <w:rsid w:val="003D301F"/>
    <w:rsid w:val="003D3A49"/>
    <w:rsid w:val="003D46A1"/>
    <w:rsid w:val="003D4C55"/>
    <w:rsid w:val="003D4E3C"/>
    <w:rsid w:val="003D51ED"/>
    <w:rsid w:val="003D5204"/>
    <w:rsid w:val="003D5BD0"/>
    <w:rsid w:val="003D605B"/>
    <w:rsid w:val="003D6324"/>
    <w:rsid w:val="003D6342"/>
    <w:rsid w:val="003D6EBB"/>
    <w:rsid w:val="003D72D8"/>
    <w:rsid w:val="003D73BF"/>
    <w:rsid w:val="003D73F1"/>
    <w:rsid w:val="003E0293"/>
    <w:rsid w:val="003E0413"/>
    <w:rsid w:val="003E0A0C"/>
    <w:rsid w:val="003E0B1F"/>
    <w:rsid w:val="003E18EC"/>
    <w:rsid w:val="003E213B"/>
    <w:rsid w:val="003E29DD"/>
    <w:rsid w:val="003E2A98"/>
    <w:rsid w:val="003E3C16"/>
    <w:rsid w:val="003E417A"/>
    <w:rsid w:val="003E46D5"/>
    <w:rsid w:val="003E507D"/>
    <w:rsid w:val="003E563C"/>
    <w:rsid w:val="003E56A6"/>
    <w:rsid w:val="003E70EA"/>
    <w:rsid w:val="003E73C1"/>
    <w:rsid w:val="003F0336"/>
    <w:rsid w:val="003F1BCA"/>
    <w:rsid w:val="003F1C3B"/>
    <w:rsid w:val="003F2182"/>
    <w:rsid w:val="003F2C0A"/>
    <w:rsid w:val="003F2E1D"/>
    <w:rsid w:val="003F2E3C"/>
    <w:rsid w:val="003F41DA"/>
    <w:rsid w:val="003F46FA"/>
    <w:rsid w:val="003F48E7"/>
    <w:rsid w:val="003F4D70"/>
    <w:rsid w:val="003F64D1"/>
    <w:rsid w:val="003F65D7"/>
    <w:rsid w:val="003F682E"/>
    <w:rsid w:val="003F7238"/>
    <w:rsid w:val="003F7425"/>
    <w:rsid w:val="003F7C95"/>
    <w:rsid w:val="0040004D"/>
    <w:rsid w:val="00400254"/>
    <w:rsid w:val="004018DB"/>
    <w:rsid w:val="004023F3"/>
    <w:rsid w:val="004026A1"/>
    <w:rsid w:val="00402BF3"/>
    <w:rsid w:val="0040321F"/>
    <w:rsid w:val="00403489"/>
    <w:rsid w:val="00403BD5"/>
    <w:rsid w:val="00403DBF"/>
    <w:rsid w:val="00403FA5"/>
    <w:rsid w:val="00404694"/>
    <w:rsid w:val="00404B2E"/>
    <w:rsid w:val="00404E3C"/>
    <w:rsid w:val="00404E5C"/>
    <w:rsid w:val="00404FC0"/>
    <w:rsid w:val="004055A0"/>
    <w:rsid w:val="00405965"/>
    <w:rsid w:val="00405975"/>
    <w:rsid w:val="00405D25"/>
    <w:rsid w:val="0040698F"/>
    <w:rsid w:val="00407FFC"/>
    <w:rsid w:val="00410306"/>
    <w:rsid w:val="0041088B"/>
    <w:rsid w:val="004109FB"/>
    <w:rsid w:val="00411123"/>
    <w:rsid w:val="004113BF"/>
    <w:rsid w:val="00411E37"/>
    <w:rsid w:val="00411F81"/>
    <w:rsid w:val="004120A8"/>
    <w:rsid w:val="00412754"/>
    <w:rsid w:val="004148B8"/>
    <w:rsid w:val="00415960"/>
    <w:rsid w:val="00415A0B"/>
    <w:rsid w:val="004161E3"/>
    <w:rsid w:val="00416917"/>
    <w:rsid w:val="004169DE"/>
    <w:rsid w:val="0041716B"/>
    <w:rsid w:val="004175F7"/>
    <w:rsid w:val="0042042A"/>
    <w:rsid w:val="00420972"/>
    <w:rsid w:val="00420984"/>
    <w:rsid w:val="00420B1B"/>
    <w:rsid w:val="00420C25"/>
    <w:rsid w:val="00420E34"/>
    <w:rsid w:val="00420ED4"/>
    <w:rsid w:val="0042104C"/>
    <w:rsid w:val="00421056"/>
    <w:rsid w:val="004212A2"/>
    <w:rsid w:val="00421BE8"/>
    <w:rsid w:val="00421FA1"/>
    <w:rsid w:val="0042225C"/>
    <w:rsid w:val="004226BF"/>
    <w:rsid w:val="00422B18"/>
    <w:rsid w:val="00423396"/>
    <w:rsid w:val="00423FAE"/>
    <w:rsid w:val="00424550"/>
    <w:rsid w:val="00424753"/>
    <w:rsid w:val="00424862"/>
    <w:rsid w:val="0042499F"/>
    <w:rsid w:val="00424AF3"/>
    <w:rsid w:val="00425119"/>
    <w:rsid w:val="00425E6E"/>
    <w:rsid w:val="00426836"/>
    <w:rsid w:val="0042690C"/>
    <w:rsid w:val="00427061"/>
    <w:rsid w:val="004277FA"/>
    <w:rsid w:val="00427941"/>
    <w:rsid w:val="00427B16"/>
    <w:rsid w:val="00427D7B"/>
    <w:rsid w:val="004305EF"/>
    <w:rsid w:val="00430B64"/>
    <w:rsid w:val="00430BEF"/>
    <w:rsid w:val="00430DA1"/>
    <w:rsid w:val="0043115B"/>
    <w:rsid w:val="00431AD9"/>
    <w:rsid w:val="00433808"/>
    <w:rsid w:val="00433EFF"/>
    <w:rsid w:val="004340E7"/>
    <w:rsid w:val="0043455A"/>
    <w:rsid w:val="00434FE9"/>
    <w:rsid w:val="0043538C"/>
    <w:rsid w:val="004359E7"/>
    <w:rsid w:val="00436439"/>
    <w:rsid w:val="00436756"/>
    <w:rsid w:val="00436D35"/>
    <w:rsid w:val="004372BF"/>
    <w:rsid w:val="0043777E"/>
    <w:rsid w:val="0044030B"/>
    <w:rsid w:val="0044053A"/>
    <w:rsid w:val="00441C06"/>
    <w:rsid w:val="00441DD5"/>
    <w:rsid w:val="00441F43"/>
    <w:rsid w:val="00442098"/>
    <w:rsid w:val="00442700"/>
    <w:rsid w:val="00442EF6"/>
    <w:rsid w:val="004434C8"/>
    <w:rsid w:val="004441F7"/>
    <w:rsid w:val="00444FF2"/>
    <w:rsid w:val="00445224"/>
    <w:rsid w:val="0044581A"/>
    <w:rsid w:val="0044650E"/>
    <w:rsid w:val="004465DA"/>
    <w:rsid w:val="004467F3"/>
    <w:rsid w:val="00447951"/>
    <w:rsid w:val="004504C3"/>
    <w:rsid w:val="00451431"/>
    <w:rsid w:val="00451565"/>
    <w:rsid w:val="004525D9"/>
    <w:rsid w:val="00452A25"/>
    <w:rsid w:val="00452D0C"/>
    <w:rsid w:val="00453B3C"/>
    <w:rsid w:val="004542CE"/>
    <w:rsid w:val="00454638"/>
    <w:rsid w:val="0045499A"/>
    <w:rsid w:val="00454E9E"/>
    <w:rsid w:val="00454FE9"/>
    <w:rsid w:val="0045535A"/>
    <w:rsid w:val="00455671"/>
    <w:rsid w:val="0045579C"/>
    <w:rsid w:val="004560A2"/>
    <w:rsid w:val="00456E39"/>
    <w:rsid w:val="00461A62"/>
    <w:rsid w:val="004625E0"/>
    <w:rsid w:val="00462B5C"/>
    <w:rsid w:val="00462E3F"/>
    <w:rsid w:val="00463347"/>
    <w:rsid w:val="00463AC0"/>
    <w:rsid w:val="004640F4"/>
    <w:rsid w:val="00464663"/>
    <w:rsid w:val="00464C68"/>
    <w:rsid w:val="0046549B"/>
    <w:rsid w:val="00465A47"/>
    <w:rsid w:val="00466536"/>
    <w:rsid w:val="00466802"/>
    <w:rsid w:val="00466A86"/>
    <w:rsid w:val="00466E0C"/>
    <w:rsid w:val="0046722D"/>
    <w:rsid w:val="00467874"/>
    <w:rsid w:val="00467CDD"/>
    <w:rsid w:val="004703C9"/>
    <w:rsid w:val="00470C4C"/>
    <w:rsid w:val="00470CCD"/>
    <w:rsid w:val="00470EF5"/>
    <w:rsid w:val="00471935"/>
    <w:rsid w:val="00471F9D"/>
    <w:rsid w:val="004724A9"/>
    <w:rsid w:val="00473534"/>
    <w:rsid w:val="00473960"/>
    <w:rsid w:val="00473C1F"/>
    <w:rsid w:val="00473C27"/>
    <w:rsid w:val="0047481D"/>
    <w:rsid w:val="004749DB"/>
    <w:rsid w:val="00474A12"/>
    <w:rsid w:val="00474D0A"/>
    <w:rsid w:val="004753C0"/>
    <w:rsid w:val="00475554"/>
    <w:rsid w:val="00475D31"/>
    <w:rsid w:val="0047625F"/>
    <w:rsid w:val="00477030"/>
    <w:rsid w:val="00477B60"/>
    <w:rsid w:val="004816E5"/>
    <w:rsid w:val="0048236C"/>
    <w:rsid w:val="0048279B"/>
    <w:rsid w:val="004828BE"/>
    <w:rsid w:val="00482A1A"/>
    <w:rsid w:val="00482A7B"/>
    <w:rsid w:val="00482FAA"/>
    <w:rsid w:val="004835E9"/>
    <w:rsid w:val="00483A37"/>
    <w:rsid w:val="00484F5B"/>
    <w:rsid w:val="004850AA"/>
    <w:rsid w:val="004851BB"/>
    <w:rsid w:val="004866A8"/>
    <w:rsid w:val="00486D38"/>
    <w:rsid w:val="00487021"/>
    <w:rsid w:val="0048733C"/>
    <w:rsid w:val="00487607"/>
    <w:rsid w:val="00487BBC"/>
    <w:rsid w:val="00487BCE"/>
    <w:rsid w:val="0049045D"/>
    <w:rsid w:val="00490EBF"/>
    <w:rsid w:val="00491072"/>
    <w:rsid w:val="0049141C"/>
    <w:rsid w:val="004921A1"/>
    <w:rsid w:val="00492885"/>
    <w:rsid w:val="00492A8C"/>
    <w:rsid w:val="00493621"/>
    <w:rsid w:val="00493C02"/>
    <w:rsid w:val="00493C67"/>
    <w:rsid w:val="00493D19"/>
    <w:rsid w:val="004941D5"/>
    <w:rsid w:val="004942EB"/>
    <w:rsid w:val="004944E9"/>
    <w:rsid w:val="0049455F"/>
    <w:rsid w:val="004948D7"/>
    <w:rsid w:val="00494B09"/>
    <w:rsid w:val="00494D4A"/>
    <w:rsid w:val="00495493"/>
    <w:rsid w:val="00495495"/>
    <w:rsid w:val="00495E6E"/>
    <w:rsid w:val="004960FE"/>
    <w:rsid w:val="004964BD"/>
    <w:rsid w:val="00496B5F"/>
    <w:rsid w:val="004975A8"/>
    <w:rsid w:val="004A026F"/>
    <w:rsid w:val="004A0912"/>
    <w:rsid w:val="004A1186"/>
    <w:rsid w:val="004A3C5C"/>
    <w:rsid w:val="004A459F"/>
    <w:rsid w:val="004A4E6E"/>
    <w:rsid w:val="004A4EB0"/>
    <w:rsid w:val="004A51C6"/>
    <w:rsid w:val="004A55B6"/>
    <w:rsid w:val="004A589B"/>
    <w:rsid w:val="004A6BEF"/>
    <w:rsid w:val="004A72F7"/>
    <w:rsid w:val="004A740A"/>
    <w:rsid w:val="004A75D6"/>
    <w:rsid w:val="004A75ED"/>
    <w:rsid w:val="004A76F6"/>
    <w:rsid w:val="004A7D4B"/>
    <w:rsid w:val="004A7F63"/>
    <w:rsid w:val="004B068D"/>
    <w:rsid w:val="004B0E1A"/>
    <w:rsid w:val="004B11D1"/>
    <w:rsid w:val="004B15B6"/>
    <w:rsid w:val="004B1906"/>
    <w:rsid w:val="004B1A12"/>
    <w:rsid w:val="004B2298"/>
    <w:rsid w:val="004B2777"/>
    <w:rsid w:val="004B279C"/>
    <w:rsid w:val="004B3154"/>
    <w:rsid w:val="004B37A1"/>
    <w:rsid w:val="004B38A7"/>
    <w:rsid w:val="004B3DE1"/>
    <w:rsid w:val="004B61A4"/>
    <w:rsid w:val="004B7B40"/>
    <w:rsid w:val="004C0231"/>
    <w:rsid w:val="004C04DA"/>
    <w:rsid w:val="004C15B5"/>
    <w:rsid w:val="004C3479"/>
    <w:rsid w:val="004C35C5"/>
    <w:rsid w:val="004C38D6"/>
    <w:rsid w:val="004C3AA2"/>
    <w:rsid w:val="004C459F"/>
    <w:rsid w:val="004C4965"/>
    <w:rsid w:val="004C52C3"/>
    <w:rsid w:val="004C5357"/>
    <w:rsid w:val="004C561C"/>
    <w:rsid w:val="004C579E"/>
    <w:rsid w:val="004C5F91"/>
    <w:rsid w:val="004C623B"/>
    <w:rsid w:val="004C6277"/>
    <w:rsid w:val="004C685A"/>
    <w:rsid w:val="004C6BA6"/>
    <w:rsid w:val="004C7CC4"/>
    <w:rsid w:val="004D044C"/>
    <w:rsid w:val="004D04AD"/>
    <w:rsid w:val="004D0C2C"/>
    <w:rsid w:val="004D21AC"/>
    <w:rsid w:val="004D2300"/>
    <w:rsid w:val="004D2308"/>
    <w:rsid w:val="004D44AD"/>
    <w:rsid w:val="004D4B88"/>
    <w:rsid w:val="004D4BEB"/>
    <w:rsid w:val="004D4FA1"/>
    <w:rsid w:val="004D5033"/>
    <w:rsid w:val="004D52CD"/>
    <w:rsid w:val="004D5DFA"/>
    <w:rsid w:val="004D6954"/>
    <w:rsid w:val="004D6F5F"/>
    <w:rsid w:val="004D7484"/>
    <w:rsid w:val="004D798F"/>
    <w:rsid w:val="004D79A9"/>
    <w:rsid w:val="004E03B0"/>
    <w:rsid w:val="004E06A0"/>
    <w:rsid w:val="004E11BE"/>
    <w:rsid w:val="004E1932"/>
    <w:rsid w:val="004E1AC1"/>
    <w:rsid w:val="004E1B64"/>
    <w:rsid w:val="004E1CDB"/>
    <w:rsid w:val="004E1D36"/>
    <w:rsid w:val="004E1DF4"/>
    <w:rsid w:val="004E2698"/>
    <w:rsid w:val="004E2A7F"/>
    <w:rsid w:val="004E3069"/>
    <w:rsid w:val="004E31C3"/>
    <w:rsid w:val="004E359D"/>
    <w:rsid w:val="004E3AB4"/>
    <w:rsid w:val="004E3AEA"/>
    <w:rsid w:val="004E3E38"/>
    <w:rsid w:val="004E40CC"/>
    <w:rsid w:val="004E40E5"/>
    <w:rsid w:val="004E45E9"/>
    <w:rsid w:val="004E4CC6"/>
    <w:rsid w:val="004E52F2"/>
    <w:rsid w:val="004E63BA"/>
    <w:rsid w:val="004F07BC"/>
    <w:rsid w:val="004F08D8"/>
    <w:rsid w:val="004F0EB3"/>
    <w:rsid w:val="004F12DB"/>
    <w:rsid w:val="004F13BF"/>
    <w:rsid w:val="004F19D1"/>
    <w:rsid w:val="004F1B7D"/>
    <w:rsid w:val="004F1BAE"/>
    <w:rsid w:val="004F1D71"/>
    <w:rsid w:val="004F3EAC"/>
    <w:rsid w:val="004F425C"/>
    <w:rsid w:val="004F4355"/>
    <w:rsid w:val="004F440D"/>
    <w:rsid w:val="004F4E92"/>
    <w:rsid w:val="004F5492"/>
    <w:rsid w:val="004F5C55"/>
    <w:rsid w:val="004F5D6C"/>
    <w:rsid w:val="004F6B49"/>
    <w:rsid w:val="004F73A8"/>
    <w:rsid w:val="005000AD"/>
    <w:rsid w:val="00500FE5"/>
    <w:rsid w:val="005022B1"/>
    <w:rsid w:val="005023FD"/>
    <w:rsid w:val="005025AA"/>
    <w:rsid w:val="00502BB1"/>
    <w:rsid w:val="00502CF2"/>
    <w:rsid w:val="00502F3F"/>
    <w:rsid w:val="00503958"/>
    <w:rsid w:val="00503D6D"/>
    <w:rsid w:val="00503D97"/>
    <w:rsid w:val="00503FB0"/>
    <w:rsid w:val="005041D1"/>
    <w:rsid w:val="00504741"/>
    <w:rsid w:val="00505393"/>
    <w:rsid w:val="00505EBD"/>
    <w:rsid w:val="0050626A"/>
    <w:rsid w:val="005105E6"/>
    <w:rsid w:val="00511006"/>
    <w:rsid w:val="0051136A"/>
    <w:rsid w:val="00511771"/>
    <w:rsid w:val="0051205D"/>
    <w:rsid w:val="00512702"/>
    <w:rsid w:val="00512C18"/>
    <w:rsid w:val="00514509"/>
    <w:rsid w:val="00514835"/>
    <w:rsid w:val="00516125"/>
    <w:rsid w:val="00516510"/>
    <w:rsid w:val="00516D7C"/>
    <w:rsid w:val="00516D8B"/>
    <w:rsid w:val="00517A8C"/>
    <w:rsid w:val="00517B88"/>
    <w:rsid w:val="00517EDF"/>
    <w:rsid w:val="00520111"/>
    <w:rsid w:val="005215EB"/>
    <w:rsid w:val="00522043"/>
    <w:rsid w:val="00522674"/>
    <w:rsid w:val="00522BAE"/>
    <w:rsid w:val="00522C84"/>
    <w:rsid w:val="005230F5"/>
    <w:rsid w:val="0052311E"/>
    <w:rsid w:val="005237B8"/>
    <w:rsid w:val="00524328"/>
    <w:rsid w:val="005243E0"/>
    <w:rsid w:val="005246B1"/>
    <w:rsid w:val="00524DC7"/>
    <w:rsid w:val="00524FFA"/>
    <w:rsid w:val="005253C9"/>
    <w:rsid w:val="0052549C"/>
    <w:rsid w:val="005255FC"/>
    <w:rsid w:val="00525670"/>
    <w:rsid w:val="005266AB"/>
    <w:rsid w:val="005275DF"/>
    <w:rsid w:val="00527DF8"/>
    <w:rsid w:val="00527F25"/>
    <w:rsid w:val="00530580"/>
    <w:rsid w:val="005306EB"/>
    <w:rsid w:val="00530850"/>
    <w:rsid w:val="005318B6"/>
    <w:rsid w:val="0053308A"/>
    <w:rsid w:val="00533152"/>
    <w:rsid w:val="005331B6"/>
    <w:rsid w:val="00533C14"/>
    <w:rsid w:val="00533C1D"/>
    <w:rsid w:val="00533E06"/>
    <w:rsid w:val="00533F7A"/>
    <w:rsid w:val="00534AB9"/>
    <w:rsid w:val="00534C3A"/>
    <w:rsid w:val="00534CF7"/>
    <w:rsid w:val="0053585A"/>
    <w:rsid w:val="00536F1B"/>
    <w:rsid w:val="005374F6"/>
    <w:rsid w:val="005402DD"/>
    <w:rsid w:val="00540714"/>
    <w:rsid w:val="00540C45"/>
    <w:rsid w:val="00540D8B"/>
    <w:rsid w:val="00541055"/>
    <w:rsid w:val="00541252"/>
    <w:rsid w:val="00541D75"/>
    <w:rsid w:val="005421CE"/>
    <w:rsid w:val="00542B61"/>
    <w:rsid w:val="00542D0C"/>
    <w:rsid w:val="0054395C"/>
    <w:rsid w:val="00543F24"/>
    <w:rsid w:val="005454EA"/>
    <w:rsid w:val="005456AD"/>
    <w:rsid w:val="00545787"/>
    <w:rsid w:val="00546268"/>
    <w:rsid w:val="00546953"/>
    <w:rsid w:val="00546B4D"/>
    <w:rsid w:val="00547129"/>
    <w:rsid w:val="0054796D"/>
    <w:rsid w:val="00550578"/>
    <w:rsid w:val="00550591"/>
    <w:rsid w:val="00550DEE"/>
    <w:rsid w:val="00550FAC"/>
    <w:rsid w:val="0055182B"/>
    <w:rsid w:val="005518A9"/>
    <w:rsid w:val="00551AB9"/>
    <w:rsid w:val="005520B3"/>
    <w:rsid w:val="005522D8"/>
    <w:rsid w:val="00552680"/>
    <w:rsid w:val="005526AF"/>
    <w:rsid w:val="0055291B"/>
    <w:rsid w:val="00552EA2"/>
    <w:rsid w:val="005531FA"/>
    <w:rsid w:val="00556089"/>
    <w:rsid w:val="005562C7"/>
    <w:rsid w:val="00556791"/>
    <w:rsid w:val="005567EF"/>
    <w:rsid w:val="00556818"/>
    <w:rsid w:val="00556CCB"/>
    <w:rsid w:val="005574ED"/>
    <w:rsid w:val="00557EC6"/>
    <w:rsid w:val="005601A6"/>
    <w:rsid w:val="00560A52"/>
    <w:rsid w:val="00561875"/>
    <w:rsid w:val="00561AC6"/>
    <w:rsid w:val="00561D97"/>
    <w:rsid w:val="00561DC6"/>
    <w:rsid w:val="005627F2"/>
    <w:rsid w:val="005628AC"/>
    <w:rsid w:val="00562938"/>
    <w:rsid w:val="00562D45"/>
    <w:rsid w:val="00563A00"/>
    <w:rsid w:val="00563D71"/>
    <w:rsid w:val="005647DE"/>
    <w:rsid w:val="00564DE7"/>
    <w:rsid w:val="005654E8"/>
    <w:rsid w:val="00565811"/>
    <w:rsid w:val="00565A20"/>
    <w:rsid w:val="00565A46"/>
    <w:rsid w:val="00565C0D"/>
    <w:rsid w:val="00565E35"/>
    <w:rsid w:val="00565FB0"/>
    <w:rsid w:val="00566314"/>
    <w:rsid w:val="005664ED"/>
    <w:rsid w:val="00566A86"/>
    <w:rsid w:val="00566FDB"/>
    <w:rsid w:val="00567227"/>
    <w:rsid w:val="005674F9"/>
    <w:rsid w:val="00567FF5"/>
    <w:rsid w:val="00570014"/>
    <w:rsid w:val="00570375"/>
    <w:rsid w:val="005706A3"/>
    <w:rsid w:val="00570AD0"/>
    <w:rsid w:val="0057177B"/>
    <w:rsid w:val="0057195A"/>
    <w:rsid w:val="00571B41"/>
    <w:rsid w:val="00571EDC"/>
    <w:rsid w:val="00572160"/>
    <w:rsid w:val="00572F53"/>
    <w:rsid w:val="005731FE"/>
    <w:rsid w:val="00573340"/>
    <w:rsid w:val="005747E1"/>
    <w:rsid w:val="005748D4"/>
    <w:rsid w:val="00574B86"/>
    <w:rsid w:val="00575056"/>
    <w:rsid w:val="005750FD"/>
    <w:rsid w:val="00575C5C"/>
    <w:rsid w:val="005763E8"/>
    <w:rsid w:val="0057667C"/>
    <w:rsid w:val="005766A2"/>
    <w:rsid w:val="005768BC"/>
    <w:rsid w:val="00577B3E"/>
    <w:rsid w:val="00577B4B"/>
    <w:rsid w:val="00577E54"/>
    <w:rsid w:val="00580018"/>
    <w:rsid w:val="00580DAB"/>
    <w:rsid w:val="00580E20"/>
    <w:rsid w:val="00580F9B"/>
    <w:rsid w:val="005810CB"/>
    <w:rsid w:val="005818E3"/>
    <w:rsid w:val="00581BD1"/>
    <w:rsid w:val="00582D7F"/>
    <w:rsid w:val="005830E1"/>
    <w:rsid w:val="005833C8"/>
    <w:rsid w:val="00583838"/>
    <w:rsid w:val="005849DB"/>
    <w:rsid w:val="0058504A"/>
    <w:rsid w:val="00585446"/>
    <w:rsid w:val="00585D72"/>
    <w:rsid w:val="0058764A"/>
    <w:rsid w:val="00587784"/>
    <w:rsid w:val="005877C9"/>
    <w:rsid w:val="00590372"/>
    <w:rsid w:val="0059054D"/>
    <w:rsid w:val="0059062C"/>
    <w:rsid w:val="00590F1F"/>
    <w:rsid w:val="005913F3"/>
    <w:rsid w:val="00591C2D"/>
    <w:rsid w:val="005926A8"/>
    <w:rsid w:val="005928EB"/>
    <w:rsid w:val="005929B1"/>
    <w:rsid w:val="00593348"/>
    <w:rsid w:val="00593BE4"/>
    <w:rsid w:val="00593D89"/>
    <w:rsid w:val="00594B6C"/>
    <w:rsid w:val="0059634B"/>
    <w:rsid w:val="005968B2"/>
    <w:rsid w:val="00597CCA"/>
    <w:rsid w:val="005A028D"/>
    <w:rsid w:val="005A03CA"/>
    <w:rsid w:val="005A05F7"/>
    <w:rsid w:val="005A0B62"/>
    <w:rsid w:val="005A1455"/>
    <w:rsid w:val="005A1AA3"/>
    <w:rsid w:val="005A2328"/>
    <w:rsid w:val="005A2744"/>
    <w:rsid w:val="005A2D8D"/>
    <w:rsid w:val="005A3FD4"/>
    <w:rsid w:val="005A4319"/>
    <w:rsid w:val="005A4A1D"/>
    <w:rsid w:val="005A4CF4"/>
    <w:rsid w:val="005A5B9B"/>
    <w:rsid w:val="005A6953"/>
    <w:rsid w:val="005A6A3F"/>
    <w:rsid w:val="005A6A83"/>
    <w:rsid w:val="005A6CA1"/>
    <w:rsid w:val="005A70B5"/>
    <w:rsid w:val="005A73D7"/>
    <w:rsid w:val="005A75CF"/>
    <w:rsid w:val="005A7746"/>
    <w:rsid w:val="005B013B"/>
    <w:rsid w:val="005B01F7"/>
    <w:rsid w:val="005B1226"/>
    <w:rsid w:val="005B123A"/>
    <w:rsid w:val="005B184F"/>
    <w:rsid w:val="005B1EB2"/>
    <w:rsid w:val="005B261D"/>
    <w:rsid w:val="005B2946"/>
    <w:rsid w:val="005B2B11"/>
    <w:rsid w:val="005B3135"/>
    <w:rsid w:val="005B387C"/>
    <w:rsid w:val="005B3D63"/>
    <w:rsid w:val="005B4D12"/>
    <w:rsid w:val="005B5486"/>
    <w:rsid w:val="005B5B90"/>
    <w:rsid w:val="005B6041"/>
    <w:rsid w:val="005B734A"/>
    <w:rsid w:val="005B7906"/>
    <w:rsid w:val="005C02E8"/>
    <w:rsid w:val="005C0B03"/>
    <w:rsid w:val="005C18C6"/>
    <w:rsid w:val="005C3953"/>
    <w:rsid w:val="005C3C85"/>
    <w:rsid w:val="005C41CC"/>
    <w:rsid w:val="005C4E68"/>
    <w:rsid w:val="005C58EC"/>
    <w:rsid w:val="005C5973"/>
    <w:rsid w:val="005C5C2B"/>
    <w:rsid w:val="005C60A7"/>
    <w:rsid w:val="005C6394"/>
    <w:rsid w:val="005C697C"/>
    <w:rsid w:val="005C6AF0"/>
    <w:rsid w:val="005C7591"/>
    <w:rsid w:val="005C77B0"/>
    <w:rsid w:val="005C7D7E"/>
    <w:rsid w:val="005C7FDA"/>
    <w:rsid w:val="005D09C7"/>
    <w:rsid w:val="005D0EA8"/>
    <w:rsid w:val="005D0EEE"/>
    <w:rsid w:val="005D1044"/>
    <w:rsid w:val="005D1D07"/>
    <w:rsid w:val="005D2640"/>
    <w:rsid w:val="005D3B00"/>
    <w:rsid w:val="005D3EC5"/>
    <w:rsid w:val="005D4805"/>
    <w:rsid w:val="005D482E"/>
    <w:rsid w:val="005D48C3"/>
    <w:rsid w:val="005D495A"/>
    <w:rsid w:val="005D4DE6"/>
    <w:rsid w:val="005D5850"/>
    <w:rsid w:val="005D64AB"/>
    <w:rsid w:val="005D6567"/>
    <w:rsid w:val="005D6BB4"/>
    <w:rsid w:val="005E01A0"/>
    <w:rsid w:val="005E044E"/>
    <w:rsid w:val="005E0D33"/>
    <w:rsid w:val="005E0FC9"/>
    <w:rsid w:val="005E2056"/>
    <w:rsid w:val="005E265D"/>
    <w:rsid w:val="005E2ED1"/>
    <w:rsid w:val="005E2FC7"/>
    <w:rsid w:val="005E4436"/>
    <w:rsid w:val="005E58A4"/>
    <w:rsid w:val="005E6084"/>
    <w:rsid w:val="005E608A"/>
    <w:rsid w:val="005E70EE"/>
    <w:rsid w:val="005F0373"/>
    <w:rsid w:val="005F07C8"/>
    <w:rsid w:val="005F19E6"/>
    <w:rsid w:val="005F1D2D"/>
    <w:rsid w:val="005F2037"/>
    <w:rsid w:val="005F2DFC"/>
    <w:rsid w:val="005F2EE0"/>
    <w:rsid w:val="005F3516"/>
    <w:rsid w:val="005F402C"/>
    <w:rsid w:val="005F40AA"/>
    <w:rsid w:val="005F48E4"/>
    <w:rsid w:val="005F5E99"/>
    <w:rsid w:val="005F6025"/>
    <w:rsid w:val="005F6421"/>
    <w:rsid w:val="005F6AC3"/>
    <w:rsid w:val="005F6B63"/>
    <w:rsid w:val="005F70A9"/>
    <w:rsid w:val="005F71A1"/>
    <w:rsid w:val="005F73FB"/>
    <w:rsid w:val="005F782D"/>
    <w:rsid w:val="005F795C"/>
    <w:rsid w:val="005F7CDF"/>
    <w:rsid w:val="00600942"/>
    <w:rsid w:val="00601A6A"/>
    <w:rsid w:val="00601E0E"/>
    <w:rsid w:val="0060208B"/>
    <w:rsid w:val="006021C4"/>
    <w:rsid w:val="00602C0A"/>
    <w:rsid w:val="00602E5C"/>
    <w:rsid w:val="00603134"/>
    <w:rsid w:val="0060329A"/>
    <w:rsid w:val="0060394F"/>
    <w:rsid w:val="00604372"/>
    <w:rsid w:val="00604FA4"/>
    <w:rsid w:val="00604FC4"/>
    <w:rsid w:val="00605139"/>
    <w:rsid w:val="00605605"/>
    <w:rsid w:val="00605990"/>
    <w:rsid w:val="00605A94"/>
    <w:rsid w:val="00605EF7"/>
    <w:rsid w:val="00605F17"/>
    <w:rsid w:val="00607343"/>
    <w:rsid w:val="006077E1"/>
    <w:rsid w:val="00610326"/>
    <w:rsid w:val="00610D9F"/>
    <w:rsid w:val="0061173A"/>
    <w:rsid w:val="0061191D"/>
    <w:rsid w:val="00611EF4"/>
    <w:rsid w:val="006121A6"/>
    <w:rsid w:val="00613928"/>
    <w:rsid w:val="00613E6A"/>
    <w:rsid w:val="006140FD"/>
    <w:rsid w:val="0061414A"/>
    <w:rsid w:val="0061417B"/>
    <w:rsid w:val="0061535D"/>
    <w:rsid w:val="00616551"/>
    <w:rsid w:val="00616E42"/>
    <w:rsid w:val="00616FDC"/>
    <w:rsid w:val="006178B9"/>
    <w:rsid w:val="00617A5E"/>
    <w:rsid w:val="00617DEC"/>
    <w:rsid w:val="00620AFE"/>
    <w:rsid w:val="00620C27"/>
    <w:rsid w:val="00621E45"/>
    <w:rsid w:val="00622258"/>
    <w:rsid w:val="00622434"/>
    <w:rsid w:val="00622C70"/>
    <w:rsid w:val="00622DAF"/>
    <w:rsid w:val="00622E11"/>
    <w:rsid w:val="00623275"/>
    <w:rsid w:val="006235C9"/>
    <w:rsid w:val="00623665"/>
    <w:rsid w:val="00623741"/>
    <w:rsid w:val="00623BA6"/>
    <w:rsid w:val="00623CB2"/>
    <w:rsid w:val="006240CB"/>
    <w:rsid w:val="00624B9C"/>
    <w:rsid w:val="00624F05"/>
    <w:rsid w:val="006252C2"/>
    <w:rsid w:val="0062636A"/>
    <w:rsid w:val="00626921"/>
    <w:rsid w:val="00626EBB"/>
    <w:rsid w:val="00626ECC"/>
    <w:rsid w:val="00627855"/>
    <w:rsid w:val="006311E0"/>
    <w:rsid w:val="006314AE"/>
    <w:rsid w:val="00631C4F"/>
    <w:rsid w:val="0063214E"/>
    <w:rsid w:val="00632253"/>
    <w:rsid w:val="006322B3"/>
    <w:rsid w:val="00632D87"/>
    <w:rsid w:val="00632E92"/>
    <w:rsid w:val="00633B60"/>
    <w:rsid w:val="00633B87"/>
    <w:rsid w:val="00633CFA"/>
    <w:rsid w:val="00634233"/>
    <w:rsid w:val="0063433E"/>
    <w:rsid w:val="00634546"/>
    <w:rsid w:val="006345AC"/>
    <w:rsid w:val="00634649"/>
    <w:rsid w:val="006347F1"/>
    <w:rsid w:val="006350F1"/>
    <w:rsid w:val="0063521C"/>
    <w:rsid w:val="00635B36"/>
    <w:rsid w:val="00635FA4"/>
    <w:rsid w:val="006363D5"/>
    <w:rsid w:val="00636BFF"/>
    <w:rsid w:val="00636CAD"/>
    <w:rsid w:val="00636D69"/>
    <w:rsid w:val="00637144"/>
    <w:rsid w:val="0063729F"/>
    <w:rsid w:val="006376DF"/>
    <w:rsid w:val="00637C45"/>
    <w:rsid w:val="00640616"/>
    <w:rsid w:val="006406A4"/>
    <w:rsid w:val="00640833"/>
    <w:rsid w:val="006416F7"/>
    <w:rsid w:val="0064178F"/>
    <w:rsid w:val="00641A2A"/>
    <w:rsid w:val="00641F04"/>
    <w:rsid w:val="00641F52"/>
    <w:rsid w:val="0064245C"/>
    <w:rsid w:val="00642535"/>
    <w:rsid w:val="00642C88"/>
    <w:rsid w:val="00644A2B"/>
    <w:rsid w:val="006453EA"/>
    <w:rsid w:val="00645440"/>
    <w:rsid w:val="00645C73"/>
    <w:rsid w:val="0064618B"/>
    <w:rsid w:val="006461F1"/>
    <w:rsid w:val="0064674D"/>
    <w:rsid w:val="00646AB7"/>
    <w:rsid w:val="0065014C"/>
    <w:rsid w:val="006507C6"/>
    <w:rsid w:val="00650E45"/>
    <w:rsid w:val="0065129A"/>
    <w:rsid w:val="0065184B"/>
    <w:rsid w:val="00651905"/>
    <w:rsid w:val="00652206"/>
    <w:rsid w:val="0065299F"/>
    <w:rsid w:val="00652B79"/>
    <w:rsid w:val="00652BA3"/>
    <w:rsid w:val="00653710"/>
    <w:rsid w:val="0065459D"/>
    <w:rsid w:val="00654E02"/>
    <w:rsid w:val="00655010"/>
    <w:rsid w:val="00655143"/>
    <w:rsid w:val="006555B0"/>
    <w:rsid w:val="006558E2"/>
    <w:rsid w:val="0065592B"/>
    <w:rsid w:val="006559D2"/>
    <w:rsid w:val="006559FD"/>
    <w:rsid w:val="00655CCD"/>
    <w:rsid w:val="00655E79"/>
    <w:rsid w:val="00656451"/>
    <w:rsid w:val="00656AD9"/>
    <w:rsid w:val="00656AEE"/>
    <w:rsid w:val="00657256"/>
    <w:rsid w:val="0065746F"/>
    <w:rsid w:val="00660363"/>
    <w:rsid w:val="006615E6"/>
    <w:rsid w:val="00661C86"/>
    <w:rsid w:val="00663E43"/>
    <w:rsid w:val="00664228"/>
    <w:rsid w:val="006642CD"/>
    <w:rsid w:val="0066435C"/>
    <w:rsid w:val="00664418"/>
    <w:rsid w:val="00664603"/>
    <w:rsid w:val="00664B93"/>
    <w:rsid w:val="00664E16"/>
    <w:rsid w:val="0066589A"/>
    <w:rsid w:val="00665D8E"/>
    <w:rsid w:val="0066644A"/>
    <w:rsid w:val="00666848"/>
    <w:rsid w:val="00667269"/>
    <w:rsid w:val="00667F8F"/>
    <w:rsid w:val="0067081B"/>
    <w:rsid w:val="0067100E"/>
    <w:rsid w:val="006712B8"/>
    <w:rsid w:val="0067137F"/>
    <w:rsid w:val="00671648"/>
    <w:rsid w:val="0067176F"/>
    <w:rsid w:val="0067283C"/>
    <w:rsid w:val="00672A63"/>
    <w:rsid w:val="00673F25"/>
    <w:rsid w:val="00675B7F"/>
    <w:rsid w:val="00675C43"/>
    <w:rsid w:val="00675F60"/>
    <w:rsid w:val="0067667B"/>
    <w:rsid w:val="00676C0B"/>
    <w:rsid w:val="00677230"/>
    <w:rsid w:val="006776B2"/>
    <w:rsid w:val="00681524"/>
    <w:rsid w:val="00681A79"/>
    <w:rsid w:val="00681DE1"/>
    <w:rsid w:val="00682633"/>
    <w:rsid w:val="006826BB"/>
    <w:rsid w:val="00682773"/>
    <w:rsid w:val="00682855"/>
    <w:rsid w:val="00682A65"/>
    <w:rsid w:val="006834ED"/>
    <w:rsid w:val="00683658"/>
    <w:rsid w:val="0068482F"/>
    <w:rsid w:val="00684E5A"/>
    <w:rsid w:val="006857D0"/>
    <w:rsid w:val="006861FB"/>
    <w:rsid w:val="006872F9"/>
    <w:rsid w:val="00687D6D"/>
    <w:rsid w:val="00687F43"/>
    <w:rsid w:val="0069048E"/>
    <w:rsid w:val="0069099C"/>
    <w:rsid w:val="00691432"/>
    <w:rsid w:val="00691944"/>
    <w:rsid w:val="00691A10"/>
    <w:rsid w:val="00691ACB"/>
    <w:rsid w:val="00692203"/>
    <w:rsid w:val="0069250D"/>
    <w:rsid w:val="00692A7B"/>
    <w:rsid w:val="00692E7C"/>
    <w:rsid w:val="00693765"/>
    <w:rsid w:val="00693E50"/>
    <w:rsid w:val="006942E9"/>
    <w:rsid w:val="006942EC"/>
    <w:rsid w:val="00694DB3"/>
    <w:rsid w:val="006952EF"/>
    <w:rsid w:val="0069572E"/>
    <w:rsid w:val="006960FF"/>
    <w:rsid w:val="0069631F"/>
    <w:rsid w:val="00696BC1"/>
    <w:rsid w:val="00696C20"/>
    <w:rsid w:val="00696E64"/>
    <w:rsid w:val="0069714B"/>
    <w:rsid w:val="00697CF8"/>
    <w:rsid w:val="00697DCD"/>
    <w:rsid w:val="006A06F1"/>
    <w:rsid w:val="006A0B80"/>
    <w:rsid w:val="006A0CCE"/>
    <w:rsid w:val="006A0E12"/>
    <w:rsid w:val="006A2881"/>
    <w:rsid w:val="006A2EFF"/>
    <w:rsid w:val="006A3B9B"/>
    <w:rsid w:val="006A4428"/>
    <w:rsid w:val="006A44B6"/>
    <w:rsid w:val="006A47B9"/>
    <w:rsid w:val="006A4906"/>
    <w:rsid w:val="006A4AB2"/>
    <w:rsid w:val="006A562C"/>
    <w:rsid w:val="006A5D76"/>
    <w:rsid w:val="006A5DD7"/>
    <w:rsid w:val="006A69B7"/>
    <w:rsid w:val="006A7AFE"/>
    <w:rsid w:val="006B004D"/>
    <w:rsid w:val="006B0E9E"/>
    <w:rsid w:val="006B0F2B"/>
    <w:rsid w:val="006B1901"/>
    <w:rsid w:val="006B1902"/>
    <w:rsid w:val="006B2175"/>
    <w:rsid w:val="006B2462"/>
    <w:rsid w:val="006B27AE"/>
    <w:rsid w:val="006B2AAC"/>
    <w:rsid w:val="006B2B88"/>
    <w:rsid w:val="006B2D63"/>
    <w:rsid w:val="006B333F"/>
    <w:rsid w:val="006B39A2"/>
    <w:rsid w:val="006B47F6"/>
    <w:rsid w:val="006B4E1B"/>
    <w:rsid w:val="006B506E"/>
    <w:rsid w:val="006B5101"/>
    <w:rsid w:val="006B55D5"/>
    <w:rsid w:val="006B5895"/>
    <w:rsid w:val="006B5EF9"/>
    <w:rsid w:val="006B6059"/>
    <w:rsid w:val="006B69F5"/>
    <w:rsid w:val="006B6C19"/>
    <w:rsid w:val="006B6CC8"/>
    <w:rsid w:val="006B6DCE"/>
    <w:rsid w:val="006B77CA"/>
    <w:rsid w:val="006B7B04"/>
    <w:rsid w:val="006C03DC"/>
    <w:rsid w:val="006C05A3"/>
    <w:rsid w:val="006C0A4F"/>
    <w:rsid w:val="006C0FF0"/>
    <w:rsid w:val="006C12DE"/>
    <w:rsid w:val="006C132C"/>
    <w:rsid w:val="006C2CB3"/>
    <w:rsid w:val="006C2E3F"/>
    <w:rsid w:val="006C30F6"/>
    <w:rsid w:val="006C3DDD"/>
    <w:rsid w:val="006C417F"/>
    <w:rsid w:val="006C431E"/>
    <w:rsid w:val="006C47AD"/>
    <w:rsid w:val="006C47BB"/>
    <w:rsid w:val="006C4EB1"/>
    <w:rsid w:val="006C5156"/>
    <w:rsid w:val="006C5362"/>
    <w:rsid w:val="006C58B8"/>
    <w:rsid w:val="006C58FC"/>
    <w:rsid w:val="006C59C8"/>
    <w:rsid w:val="006C5DD7"/>
    <w:rsid w:val="006C6481"/>
    <w:rsid w:val="006C659E"/>
    <w:rsid w:val="006C6802"/>
    <w:rsid w:val="006C6DCC"/>
    <w:rsid w:val="006C701D"/>
    <w:rsid w:val="006C735F"/>
    <w:rsid w:val="006C74DC"/>
    <w:rsid w:val="006C7A5E"/>
    <w:rsid w:val="006D0388"/>
    <w:rsid w:val="006D0944"/>
    <w:rsid w:val="006D0957"/>
    <w:rsid w:val="006D0B87"/>
    <w:rsid w:val="006D0D5D"/>
    <w:rsid w:val="006D1C16"/>
    <w:rsid w:val="006D1D02"/>
    <w:rsid w:val="006D1E45"/>
    <w:rsid w:val="006D2122"/>
    <w:rsid w:val="006D24EB"/>
    <w:rsid w:val="006D2E1A"/>
    <w:rsid w:val="006D2F8A"/>
    <w:rsid w:val="006D339B"/>
    <w:rsid w:val="006D34EB"/>
    <w:rsid w:val="006D37A8"/>
    <w:rsid w:val="006D3824"/>
    <w:rsid w:val="006D395C"/>
    <w:rsid w:val="006D39B5"/>
    <w:rsid w:val="006D3F4B"/>
    <w:rsid w:val="006D3F7C"/>
    <w:rsid w:val="006D5071"/>
    <w:rsid w:val="006D56C3"/>
    <w:rsid w:val="006D6CDF"/>
    <w:rsid w:val="006D6FAA"/>
    <w:rsid w:val="006D6FF9"/>
    <w:rsid w:val="006D7F31"/>
    <w:rsid w:val="006D7F9D"/>
    <w:rsid w:val="006E0DB6"/>
    <w:rsid w:val="006E0F47"/>
    <w:rsid w:val="006E12DB"/>
    <w:rsid w:val="006E15ED"/>
    <w:rsid w:val="006E2370"/>
    <w:rsid w:val="006E3017"/>
    <w:rsid w:val="006E3383"/>
    <w:rsid w:val="006E34F5"/>
    <w:rsid w:val="006E427D"/>
    <w:rsid w:val="006E517D"/>
    <w:rsid w:val="006E5222"/>
    <w:rsid w:val="006E581C"/>
    <w:rsid w:val="006E5EC2"/>
    <w:rsid w:val="006E64BA"/>
    <w:rsid w:val="006E6D9A"/>
    <w:rsid w:val="006E7C92"/>
    <w:rsid w:val="006F028B"/>
    <w:rsid w:val="006F1934"/>
    <w:rsid w:val="006F2030"/>
    <w:rsid w:val="006F2D15"/>
    <w:rsid w:val="006F2D96"/>
    <w:rsid w:val="006F3398"/>
    <w:rsid w:val="006F3742"/>
    <w:rsid w:val="006F383E"/>
    <w:rsid w:val="006F3D9B"/>
    <w:rsid w:val="006F3F14"/>
    <w:rsid w:val="006F42AD"/>
    <w:rsid w:val="006F4571"/>
    <w:rsid w:val="006F49CD"/>
    <w:rsid w:val="006F4D43"/>
    <w:rsid w:val="006F50B4"/>
    <w:rsid w:val="006F57A4"/>
    <w:rsid w:val="0070005D"/>
    <w:rsid w:val="00700413"/>
    <w:rsid w:val="00700BD8"/>
    <w:rsid w:val="00700D9F"/>
    <w:rsid w:val="00701159"/>
    <w:rsid w:val="007016FA"/>
    <w:rsid w:val="0070224B"/>
    <w:rsid w:val="007023FC"/>
    <w:rsid w:val="00702D1D"/>
    <w:rsid w:val="00703599"/>
    <w:rsid w:val="00703B23"/>
    <w:rsid w:val="0070472D"/>
    <w:rsid w:val="00706C03"/>
    <w:rsid w:val="00706EA7"/>
    <w:rsid w:val="007070D6"/>
    <w:rsid w:val="0070716A"/>
    <w:rsid w:val="007103F8"/>
    <w:rsid w:val="007105BE"/>
    <w:rsid w:val="00710AEB"/>
    <w:rsid w:val="00710DB2"/>
    <w:rsid w:val="00710E2B"/>
    <w:rsid w:val="00711AA8"/>
    <w:rsid w:val="007123E0"/>
    <w:rsid w:val="00712F2C"/>
    <w:rsid w:val="00714056"/>
    <w:rsid w:val="00714175"/>
    <w:rsid w:val="0071429A"/>
    <w:rsid w:val="00714C14"/>
    <w:rsid w:val="00715DCB"/>
    <w:rsid w:val="00716C91"/>
    <w:rsid w:val="00716E11"/>
    <w:rsid w:val="007177E7"/>
    <w:rsid w:val="00717C76"/>
    <w:rsid w:val="00720869"/>
    <w:rsid w:val="00720BB0"/>
    <w:rsid w:val="00720F60"/>
    <w:rsid w:val="00721884"/>
    <w:rsid w:val="00721D3F"/>
    <w:rsid w:val="007220E2"/>
    <w:rsid w:val="007226BD"/>
    <w:rsid w:val="00722BA5"/>
    <w:rsid w:val="00722E66"/>
    <w:rsid w:val="00722F39"/>
    <w:rsid w:val="00723271"/>
    <w:rsid w:val="0072349B"/>
    <w:rsid w:val="00724923"/>
    <w:rsid w:val="00724A6D"/>
    <w:rsid w:val="007252DE"/>
    <w:rsid w:val="00725416"/>
    <w:rsid w:val="00725962"/>
    <w:rsid w:val="007266A7"/>
    <w:rsid w:val="00726861"/>
    <w:rsid w:val="00726A1B"/>
    <w:rsid w:val="00726A53"/>
    <w:rsid w:val="00726EB0"/>
    <w:rsid w:val="00730B1C"/>
    <w:rsid w:val="00730E28"/>
    <w:rsid w:val="00730EEF"/>
    <w:rsid w:val="00731364"/>
    <w:rsid w:val="00732D6B"/>
    <w:rsid w:val="00733221"/>
    <w:rsid w:val="007335A0"/>
    <w:rsid w:val="0073390D"/>
    <w:rsid w:val="007339C6"/>
    <w:rsid w:val="00733C9D"/>
    <w:rsid w:val="00733F28"/>
    <w:rsid w:val="007345DF"/>
    <w:rsid w:val="00734C3B"/>
    <w:rsid w:val="00734E7B"/>
    <w:rsid w:val="0073506D"/>
    <w:rsid w:val="00735463"/>
    <w:rsid w:val="007365D0"/>
    <w:rsid w:val="00736B16"/>
    <w:rsid w:val="00737259"/>
    <w:rsid w:val="00737480"/>
    <w:rsid w:val="00740C9B"/>
    <w:rsid w:val="00741B97"/>
    <w:rsid w:val="00741D3C"/>
    <w:rsid w:val="0074407C"/>
    <w:rsid w:val="00744240"/>
    <w:rsid w:val="007442B7"/>
    <w:rsid w:val="00744AFB"/>
    <w:rsid w:val="00744D57"/>
    <w:rsid w:val="00747175"/>
    <w:rsid w:val="0074756E"/>
    <w:rsid w:val="00747BE0"/>
    <w:rsid w:val="00747E8A"/>
    <w:rsid w:val="0075061C"/>
    <w:rsid w:val="007506FB"/>
    <w:rsid w:val="00750C9F"/>
    <w:rsid w:val="00750F66"/>
    <w:rsid w:val="00752396"/>
    <w:rsid w:val="007529D6"/>
    <w:rsid w:val="00752FE8"/>
    <w:rsid w:val="007530FF"/>
    <w:rsid w:val="00753188"/>
    <w:rsid w:val="00753486"/>
    <w:rsid w:val="00753D5A"/>
    <w:rsid w:val="00753E17"/>
    <w:rsid w:val="007543BA"/>
    <w:rsid w:val="007547AB"/>
    <w:rsid w:val="00754A75"/>
    <w:rsid w:val="00754B28"/>
    <w:rsid w:val="007555C7"/>
    <w:rsid w:val="00755AC0"/>
    <w:rsid w:val="00755CD4"/>
    <w:rsid w:val="00755EFA"/>
    <w:rsid w:val="007563B1"/>
    <w:rsid w:val="007567C7"/>
    <w:rsid w:val="0075730C"/>
    <w:rsid w:val="00757B9C"/>
    <w:rsid w:val="007610BF"/>
    <w:rsid w:val="00761769"/>
    <w:rsid w:val="007617A9"/>
    <w:rsid w:val="00761A28"/>
    <w:rsid w:val="00761E9F"/>
    <w:rsid w:val="00761F8C"/>
    <w:rsid w:val="0076233F"/>
    <w:rsid w:val="00762E9A"/>
    <w:rsid w:val="00763C7C"/>
    <w:rsid w:val="00764945"/>
    <w:rsid w:val="007649CE"/>
    <w:rsid w:val="00764B17"/>
    <w:rsid w:val="00764B79"/>
    <w:rsid w:val="00765665"/>
    <w:rsid w:val="007656EF"/>
    <w:rsid w:val="00765940"/>
    <w:rsid w:val="007661C9"/>
    <w:rsid w:val="0076625E"/>
    <w:rsid w:val="00766889"/>
    <w:rsid w:val="00766FF4"/>
    <w:rsid w:val="00767A4F"/>
    <w:rsid w:val="00767ABD"/>
    <w:rsid w:val="00767C67"/>
    <w:rsid w:val="00770901"/>
    <w:rsid w:val="00771DB6"/>
    <w:rsid w:val="0077233C"/>
    <w:rsid w:val="00772B77"/>
    <w:rsid w:val="00774961"/>
    <w:rsid w:val="00774F78"/>
    <w:rsid w:val="0077554F"/>
    <w:rsid w:val="00775CC6"/>
    <w:rsid w:val="00776372"/>
    <w:rsid w:val="00777AE6"/>
    <w:rsid w:val="00777B05"/>
    <w:rsid w:val="00780379"/>
    <w:rsid w:val="00780BE8"/>
    <w:rsid w:val="00780F4C"/>
    <w:rsid w:val="00781094"/>
    <w:rsid w:val="00781984"/>
    <w:rsid w:val="00781D16"/>
    <w:rsid w:val="007822C6"/>
    <w:rsid w:val="00782703"/>
    <w:rsid w:val="007827BB"/>
    <w:rsid w:val="007829BC"/>
    <w:rsid w:val="00782A7C"/>
    <w:rsid w:val="00782DF6"/>
    <w:rsid w:val="007834E6"/>
    <w:rsid w:val="007839BE"/>
    <w:rsid w:val="007839F6"/>
    <w:rsid w:val="00783DFB"/>
    <w:rsid w:val="00784856"/>
    <w:rsid w:val="00785058"/>
    <w:rsid w:val="007853A7"/>
    <w:rsid w:val="00785679"/>
    <w:rsid w:val="00786381"/>
    <w:rsid w:val="00786508"/>
    <w:rsid w:val="007866BB"/>
    <w:rsid w:val="00786E55"/>
    <w:rsid w:val="0078739E"/>
    <w:rsid w:val="00787E2A"/>
    <w:rsid w:val="00791553"/>
    <w:rsid w:val="00791F34"/>
    <w:rsid w:val="007921B7"/>
    <w:rsid w:val="00792449"/>
    <w:rsid w:val="00792480"/>
    <w:rsid w:val="007931B1"/>
    <w:rsid w:val="007933D2"/>
    <w:rsid w:val="0079359E"/>
    <w:rsid w:val="00793ECE"/>
    <w:rsid w:val="00793FEB"/>
    <w:rsid w:val="0079509F"/>
    <w:rsid w:val="0079511B"/>
    <w:rsid w:val="00795122"/>
    <w:rsid w:val="007952CB"/>
    <w:rsid w:val="00795A35"/>
    <w:rsid w:val="00795BBC"/>
    <w:rsid w:val="00796116"/>
    <w:rsid w:val="007964A1"/>
    <w:rsid w:val="00796642"/>
    <w:rsid w:val="00796A17"/>
    <w:rsid w:val="00796E27"/>
    <w:rsid w:val="00796EA5"/>
    <w:rsid w:val="00797AAD"/>
    <w:rsid w:val="00797F53"/>
    <w:rsid w:val="007A0347"/>
    <w:rsid w:val="007A0661"/>
    <w:rsid w:val="007A0EEF"/>
    <w:rsid w:val="007A14B3"/>
    <w:rsid w:val="007A1658"/>
    <w:rsid w:val="007A1C14"/>
    <w:rsid w:val="007A1D49"/>
    <w:rsid w:val="007A1EC8"/>
    <w:rsid w:val="007A248E"/>
    <w:rsid w:val="007A28FC"/>
    <w:rsid w:val="007A2A2B"/>
    <w:rsid w:val="007A40B6"/>
    <w:rsid w:val="007A40CD"/>
    <w:rsid w:val="007A41A8"/>
    <w:rsid w:val="007A5873"/>
    <w:rsid w:val="007A7346"/>
    <w:rsid w:val="007B058D"/>
    <w:rsid w:val="007B127F"/>
    <w:rsid w:val="007B187A"/>
    <w:rsid w:val="007B228E"/>
    <w:rsid w:val="007B288D"/>
    <w:rsid w:val="007B2CBF"/>
    <w:rsid w:val="007B3B3B"/>
    <w:rsid w:val="007B4508"/>
    <w:rsid w:val="007B477D"/>
    <w:rsid w:val="007B4805"/>
    <w:rsid w:val="007B4B95"/>
    <w:rsid w:val="007B5266"/>
    <w:rsid w:val="007B5C5E"/>
    <w:rsid w:val="007B640A"/>
    <w:rsid w:val="007B65ED"/>
    <w:rsid w:val="007B6C36"/>
    <w:rsid w:val="007B6FF7"/>
    <w:rsid w:val="007B79E3"/>
    <w:rsid w:val="007C0476"/>
    <w:rsid w:val="007C07C5"/>
    <w:rsid w:val="007C07E8"/>
    <w:rsid w:val="007C1C3E"/>
    <w:rsid w:val="007C1EAA"/>
    <w:rsid w:val="007C1F29"/>
    <w:rsid w:val="007C2997"/>
    <w:rsid w:val="007C2F7D"/>
    <w:rsid w:val="007C30B4"/>
    <w:rsid w:val="007C384E"/>
    <w:rsid w:val="007C3D75"/>
    <w:rsid w:val="007C415F"/>
    <w:rsid w:val="007C42C6"/>
    <w:rsid w:val="007C5333"/>
    <w:rsid w:val="007C53F9"/>
    <w:rsid w:val="007C57A6"/>
    <w:rsid w:val="007C5962"/>
    <w:rsid w:val="007C5B13"/>
    <w:rsid w:val="007C5E6E"/>
    <w:rsid w:val="007C66B9"/>
    <w:rsid w:val="007C67CA"/>
    <w:rsid w:val="007C6933"/>
    <w:rsid w:val="007C6C12"/>
    <w:rsid w:val="007C6E3B"/>
    <w:rsid w:val="007C7404"/>
    <w:rsid w:val="007C7787"/>
    <w:rsid w:val="007D040E"/>
    <w:rsid w:val="007D067A"/>
    <w:rsid w:val="007D07FF"/>
    <w:rsid w:val="007D1090"/>
    <w:rsid w:val="007D2BAF"/>
    <w:rsid w:val="007D2E02"/>
    <w:rsid w:val="007D315C"/>
    <w:rsid w:val="007D3322"/>
    <w:rsid w:val="007D3FFF"/>
    <w:rsid w:val="007D4599"/>
    <w:rsid w:val="007D53F7"/>
    <w:rsid w:val="007D5712"/>
    <w:rsid w:val="007D583C"/>
    <w:rsid w:val="007D5BD6"/>
    <w:rsid w:val="007D6511"/>
    <w:rsid w:val="007D7243"/>
    <w:rsid w:val="007D72C2"/>
    <w:rsid w:val="007D778B"/>
    <w:rsid w:val="007D7B37"/>
    <w:rsid w:val="007D7C9C"/>
    <w:rsid w:val="007D7E4A"/>
    <w:rsid w:val="007E089C"/>
    <w:rsid w:val="007E0C87"/>
    <w:rsid w:val="007E2131"/>
    <w:rsid w:val="007E2241"/>
    <w:rsid w:val="007E246B"/>
    <w:rsid w:val="007E2854"/>
    <w:rsid w:val="007E2CBD"/>
    <w:rsid w:val="007E2CF0"/>
    <w:rsid w:val="007E330C"/>
    <w:rsid w:val="007E355A"/>
    <w:rsid w:val="007E36D9"/>
    <w:rsid w:val="007E3B17"/>
    <w:rsid w:val="007E3BD2"/>
    <w:rsid w:val="007E3C96"/>
    <w:rsid w:val="007E430D"/>
    <w:rsid w:val="007E46D5"/>
    <w:rsid w:val="007E47FE"/>
    <w:rsid w:val="007E4B24"/>
    <w:rsid w:val="007E5248"/>
    <w:rsid w:val="007E529A"/>
    <w:rsid w:val="007E5322"/>
    <w:rsid w:val="007E56E3"/>
    <w:rsid w:val="007E7DFB"/>
    <w:rsid w:val="007F018D"/>
    <w:rsid w:val="007F092A"/>
    <w:rsid w:val="007F136E"/>
    <w:rsid w:val="007F16AB"/>
    <w:rsid w:val="007F174C"/>
    <w:rsid w:val="007F19FF"/>
    <w:rsid w:val="007F1D68"/>
    <w:rsid w:val="007F1FBE"/>
    <w:rsid w:val="007F2421"/>
    <w:rsid w:val="007F287A"/>
    <w:rsid w:val="007F2AB5"/>
    <w:rsid w:val="007F38C3"/>
    <w:rsid w:val="007F3989"/>
    <w:rsid w:val="007F4049"/>
    <w:rsid w:val="007F4146"/>
    <w:rsid w:val="007F5134"/>
    <w:rsid w:val="007F57B2"/>
    <w:rsid w:val="007F58FD"/>
    <w:rsid w:val="007F5F0E"/>
    <w:rsid w:val="007F6142"/>
    <w:rsid w:val="007F6150"/>
    <w:rsid w:val="007F6F76"/>
    <w:rsid w:val="007F7A15"/>
    <w:rsid w:val="008001C4"/>
    <w:rsid w:val="008004AD"/>
    <w:rsid w:val="0080062D"/>
    <w:rsid w:val="008008B1"/>
    <w:rsid w:val="00801749"/>
    <w:rsid w:val="00801E38"/>
    <w:rsid w:val="00801EAC"/>
    <w:rsid w:val="00801F3E"/>
    <w:rsid w:val="008038F8"/>
    <w:rsid w:val="00805295"/>
    <w:rsid w:val="00805E21"/>
    <w:rsid w:val="00805E25"/>
    <w:rsid w:val="00805FFC"/>
    <w:rsid w:val="008062E6"/>
    <w:rsid w:val="008068DB"/>
    <w:rsid w:val="00806FEE"/>
    <w:rsid w:val="008070D2"/>
    <w:rsid w:val="0080753A"/>
    <w:rsid w:val="00807AC2"/>
    <w:rsid w:val="00807B55"/>
    <w:rsid w:val="00807D4D"/>
    <w:rsid w:val="00807E15"/>
    <w:rsid w:val="00810604"/>
    <w:rsid w:val="008116E9"/>
    <w:rsid w:val="00811BCF"/>
    <w:rsid w:val="008120C6"/>
    <w:rsid w:val="0081245D"/>
    <w:rsid w:val="00812824"/>
    <w:rsid w:val="00812839"/>
    <w:rsid w:val="008129D0"/>
    <w:rsid w:val="00812DEE"/>
    <w:rsid w:val="008131D6"/>
    <w:rsid w:val="00813B25"/>
    <w:rsid w:val="00814281"/>
    <w:rsid w:val="00814480"/>
    <w:rsid w:val="00814918"/>
    <w:rsid w:val="0081505B"/>
    <w:rsid w:val="008150E3"/>
    <w:rsid w:val="008158F0"/>
    <w:rsid w:val="00815DC4"/>
    <w:rsid w:val="00815E1E"/>
    <w:rsid w:val="00815E4A"/>
    <w:rsid w:val="00815FDA"/>
    <w:rsid w:val="008167A8"/>
    <w:rsid w:val="00816A4A"/>
    <w:rsid w:val="00816E3F"/>
    <w:rsid w:val="00817416"/>
    <w:rsid w:val="00817AA6"/>
    <w:rsid w:val="008211B6"/>
    <w:rsid w:val="0082188B"/>
    <w:rsid w:val="00822CB5"/>
    <w:rsid w:val="00823681"/>
    <w:rsid w:val="0082373D"/>
    <w:rsid w:val="00823982"/>
    <w:rsid w:val="00823A70"/>
    <w:rsid w:val="00824E8F"/>
    <w:rsid w:val="008254A6"/>
    <w:rsid w:val="0082599E"/>
    <w:rsid w:val="00825A86"/>
    <w:rsid w:val="00826A06"/>
    <w:rsid w:val="00826A71"/>
    <w:rsid w:val="00826BB5"/>
    <w:rsid w:val="0082742D"/>
    <w:rsid w:val="00827549"/>
    <w:rsid w:val="0082767C"/>
    <w:rsid w:val="00827A5B"/>
    <w:rsid w:val="00827F03"/>
    <w:rsid w:val="00830506"/>
    <w:rsid w:val="00830606"/>
    <w:rsid w:val="00831798"/>
    <w:rsid w:val="00831A4B"/>
    <w:rsid w:val="00831BF3"/>
    <w:rsid w:val="00832180"/>
    <w:rsid w:val="00832563"/>
    <w:rsid w:val="00832BED"/>
    <w:rsid w:val="00833113"/>
    <w:rsid w:val="0083366D"/>
    <w:rsid w:val="00833E3F"/>
    <w:rsid w:val="00834967"/>
    <w:rsid w:val="008367A0"/>
    <w:rsid w:val="00837158"/>
    <w:rsid w:val="008374AB"/>
    <w:rsid w:val="00837542"/>
    <w:rsid w:val="00840597"/>
    <w:rsid w:val="0084059E"/>
    <w:rsid w:val="008405C9"/>
    <w:rsid w:val="008412EC"/>
    <w:rsid w:val="00841692"/>
    <w:rsid w:val="00841762"/>
    <w:rsid w:val="00841E24"/>
    <w:rsid w:val="008431BA"/>
    <w:rsid w:val="00843218"/>
    <w:rsid w:val="008435CD"/>
    <w:rsid w:val="008439DF"/>
    <w:rsid w:val="00843D25"/>
    <w:rsid w:val="00843DA4"/>
    <w:rsid w:val="00843EBA"/>
    <w:rsid w:val="00844E6D"/>
    <w:rsid w:val="0084612D"/>
    <w:rsid w:val="008467EA"/>
    <w:rsid w:val="00846AF8"/>
    <w:rsid w:val="0084781A"/>
    <w:rsid w:val="00847E13"/>
    <w:rsid w:val="0085058F"/>
    <w:rsid w:val="008509FD"/>
    <w:rsid w:val="00851290"/>
    <w:rsid w:val="00851409"/>
    <w:rsid w:val="00851B44"/>
    <w:rsid w:val="00853F70"/>
    <w:rsid w:val="00854031"/>
    <w:rsid w:val="00854220"/>
    <w:rsid w:val="00855357"/>
    <w:rsid w:val="008553B4"/>
    <w:rsid w:val="00855522"/>
    <w:rsid w:val="008555A2"/>
    <w:rsid w:val="0085566D"/>
    <w:rsid w:val="008556A1"/>
    <w:rsid w:val="008557B0"/>
    <w:rsid w:val="00855A68"/>
    <w:rsid w:val="00855C45"/>
    <w:rsid w:val="00855ED9"/>
    <w:rsid w:val="008561C4"/>
    <w:rsid w:val="00856253"/>
    <w:rsid w:val="0085655E"/>
    <w:rsid w:val="00856725"/>
    <w:rsid w:val="008573E5"/>
    <w:rsid w:val="00860977"/>
    <w:rsid w:val="00860A2B"/>
    <w:rsid w:val="008615A9"/>
    <w:rsid w:val="0086196C"/>
    <w:rsid w:val="00863BA5"/>
    <w:rsid w:val="00863E41"/>
    <w:rsid w:val="008641E8"/>
    <w:rsid w:val="00864C48"/>
    <w:rsid w:val="0086515C"/>
    <w:rsid w:val="00865F7E"/>
    <w:rsid w:val="008661CE"/>
    <w:rsid w:val="0086625E"/>
    <w:rsid w:val="0086658E"/>
    <w:rsid w:val="00866EC4"/>
    <w:rsid w:val="00867113"/>
    <w:rsid w:val="008675AD"/>
    <w:rsid w:val="00867CEA"/>
    <w:rsid w:val="0087050B"/>
    <w:rsid w:val="008706FB"/>
    <w:rsid w:val="00870763"/>
    <w:rsid w:val="0087169C"/>
    <w:rsid w:val="00871EEA"/>
    <w:rsid w:val="008729BC"/>
    <w:rsid w:val="00872D4D"/>
    <w:rsid w:val="008730BC"/>
    <w:rsid w:val="00873DC6"/>
    <w:rsid w:val="008741B2"/>
    <w:rsid w:val="0087441C"/>
    <w:rsid w:val="00874A07"/>
    <w:rsid w:val="00874C54"/>
    <w:rsid w:val="00875137"/>
    <w:rsid w:val="008765E1"/>
    <w:rsid w:val="008771B2"/>
    <w:rsid w:val="0087778C"/>
    <w:rsid w:val="008778AA"/>
    <w:rsid w:val="00877B50"/>
    <w:rsid w:val="00877D0D"/>
    <w:rsid w:val="00877FA1"/>
    <w:rsid w:val="0088036E"/>
    <w:rsid w:val="00880EB6"/>
    <w:rsid w:val="00880EEA"/>
    <w:rsid w:val="00880F04"/>
    <w:rsid w:val="008815C2"/>
    <w:rsid w:val="00881E08"/>
    <w:rsid w:val="008825A2"/>
    <w:rsid w:val="0088285C"/>
    <w:rsid w:val="0088330C"/>
    <w:rsid w:val="0088351A"/>
    <w:rsid w:val="00883CD0"/>
    <w:rsid w:val="00883D78"/>
    <w:rsid w:val="00884233"/>
    <w:rsid w:val="00884742"/>
    <w:rsid w:val="00884DDC"/>
    <w:rsid w:val="0088503D"/>
    <w:rsid w:val="00885AFE"/>
    <w:rsid w:val="00885C9D"/>
    <w:rsid w:val="0088678F"/>
    <w:rsid w:val="008867EB"/>
    <w:rsid w:val="00886934"/>
    <w:rsid w:val="00886DFC"/>
    <w:rsid w:val="00887019"/>
    <w:rsid w:val="00887825"/>
    <w:rsid w:val="00887F1F"/>
    <w:rsid w:val="00890511"/>
    <w:rsid w:val="0089062C"/>
    <w:rsid w:val="00890754"/>
    <w:rsid w:val="00890E93"/>
    <w:rsid w:val="00890F0E"/>
    <w:rsid w:val="0089129E"/>
    <w:rsid w:val="008925A5"/>
    <w:rsid w:val="0089269D"/>
    <w:rsid w:val="00892854"/>
    <w:rsid w:val="0089285E"/>
    <w:rsid w:val="00893330"/>
    <w:rsid w:val="00893A71"/>
    <w:rsid w:val="00893D03"/>
    <w:rsid w:val="008943AE"/>
    <w:rsid w:val="00894489"/>
    <w:rsid w:val="008944D0"/>
    <w:rsid w:val="00894509"/>
    <w:rsid w:val="00894629"/>
    <w:rsid w:val="00895109"/>
    <w:rsid w:val="00895AD6"/>
    <w:rsid w:val="00895D07"/>
    <w:rsid w:val="0089660F"/>
    <w:rsid w:val="00896BD1"/>
    <w:rsid w:val="00896D82"/>
    <w:rsid w:val="00897028"/>
    <w:rsid w:val="0089758A"/>
    <w:rsid w:val="008975F3"/>
    <w:rsid w:val="00897918"/>
    <w:rsid w:val="00897EAC"/>
    <w:rsid w:val="008A0539"/>
    <w:rsid w:val="008A0E52"/>
    <w:rsid w:val="008A1110"/>
    <w:rsid w:val="008A1168"/>
    <w:rsid w:val="008A17F6"/>
    <w:rsid w:val="008A2357"/>
    <w:rsid w:val="008A2E95"/>
    <w:rsid w:val="008A34B9"/>
    <w:rsid w:val="008A45BA"/>
    <w:rsid w:val="008A4BFF"/>
    <w:rsid w:val="008A61D7"/>
    <w:rsid w:val="008A672B"/>
    <w:rsid w:val="008A7639"/>
    <w:rsid w:val="008A7A00"/>
    <w:rsid w:val="008A7C71"/>
    <w:rsid w:val="008A7C87"/>
    <w:rsid w:val="008B085E"/>
    <w:rsid w:val="008B0D93"/>
    <w:rsid w:val="008B1D58"/>
    <w:rsid w:val="008B2A83"/>
    <w:rsid w:val="008B3484"/>
    <w:rsid w:val="008B37F0"/>
    <w:rsid w:val="008B3C27"/>
    <w:rsid w:val="008B49F6"/>
    <w:rsid w:val="008B4AE9"/>
    <w:rsid w:val="008B4FCC"/>
    <w:rsid w:val="008B601E"/>
    <w:rsid w:val="008B638C"/>
    <w:rsid w:val="008B668F"/>
    <w:rsid w:val="008B6F21"/>
    <w:rsid w:val="008B7410"/>
    <w:rsid w:val="008B7507"/>
    <w:rsid w:val="008B7D92"/>
    <w:rsid w:val="008B7DC2"/>
    <w:rsid w:val="008C0168"/>
    <w:rsid w:val="008C05DD"/>
    <w:rsid w:val="008C07D7"/>
    <w:rsid w:val="008C09DC"/>
    <w:rsid w:val="008C11AB"/>
    <w:rsid w:val="008C1E7A"/>
    <w:rsid w:val="008C1ECC"/>
    <w:rsid w:val="008C1EEA"/>
    <w:rsid w:val="008C2500"/>
    <w:rsid w:val="008C2EEE"/>
    <w:rsid w:val="008C3521"/>
    <w:rsid w:val="008C385D"/>
    <w:rsid w:val="008C38D1"/>
    <w:rsid w:val="008C3987"/>
    <w:rsid w:val="008C3F13"/>
    <w:rsid w:val="008C3F1E"/>
    <w:rsid w:val="008C4342"/>
    <w:rsid w:val="008C4A76"/>
    <w:rsid w:val="008C54F8"/>
    <w:rsid w:val="008C555E"/>
    <w:rsid w:val="008C559A"/>
    <w:rsid w:val="008C55E3"/>
    <w:rsid w:val="008C5EAB"/>
    <w:rsid w:val="008C5F24"/>
    <w:rsid w:val="008C606A"/>
    <w:rsid w:val="008C6A81"/>
    <w:rsid w:val="008C7D1D"/>
    <w:rsid w:val="008C7EFE"/>
    <w:rsid w:val="008D0154"/>
    <w:rsid w:val="008D02BD"/>
    <w:rsid w:val="008D04DB"/>
    <w:rsid w:val="008D05BF"/>
    <w:rsid w:val="008D07DA"/>
    <w:rsid w:val="008D08F6"/>
    <w:rsid w:val="008D0D57"/>
    <w:rsid w:val="008D13E2"/>
    <w:rsid w:val="008D1AE5"/>
    <w:rsid w:val="008D1E33"/>
    <w:rsid w:val="008D22D7"/>
    <w:rsid w:val="008D29B9"/>
    <w:rsid w:val="008D395B"/>
    <w:rsid w:val="008D3C60"/>
    <w:rsid w:val="008D3E01"/>
    <w:rsid w:val="008D4366"/>
    <w:rsid w:val="008D4969"/>
    <w:rsid w:val="008D4971"/>
    <w:rsid w:val="008D4C90"/>
    <w:rsid w:val="008D58AC"/>
    <w:rsid w:val="008D597F"/>
    <w:rsid w:val="008D61F5"/>
    <w:rsid w:val="008D6B23"/>
    <w:rsid w:val="008D7236"/>
    <w:rsid w:val="008D7CF0"/>
    <w:rsid w:val="008D7D8A"/>
    <w:rsid w:val="008D7F38"/>
    <w:rsid w:val="008D7FD4"/>
    <w:rsid w:val="008E027F"/>
    <w:rsid w:val="008E1E86"/>
    <w:rsid w:val="008E1E92"/>
    <w:rsid w:val="008E1ED7"/>
    <w:rsid w:val="008E216E"/>
    <w:rsid w:val="008E2318"/>
    <w:rsid w:val="008E2FFE"/>
    <w:rsid w:val="008E33E3"/>
    <w:rsid w:val="008E386E"/>
    <w:rsid w:val="008E3FD4"/>
    <w:rsid w:val="008E437D"/>
    <w:rsid w:val="008E4C9E"/>
    <w:rsid w:val="008E4E55"/>
    <w:rsid w:val="008E4FED"/>
    <w:rsid w:val="008E544E"/>
    <w:rsid w:val="008E5673"/>
    <w:rsid w:val="008E5E8F"/>
    <w:rsid w:val="008E6644"/>
    <w:rsid w:val="008E69D8"/>
    <w:rsid w:val="008E6C68"/>
    <w:rsid w:val="008E72B0"/>
    <w:rsid w:val="008E7604"/>
    <w:rsid w:val="008E77ED"/>
    <w:rsid w:val="008E7BD8"/>
    <w:rsid w:val="008E7D92"/>
    <w:rsid w:val="008F0476"/>
    <w:rsid w:val="008F072A"/>
    <w:rsid w:val="008F0EE6"/>
    <w:rsid w:val="008F2A46"/>
    <w:rsid w:val="008F323E"/>
    <w:rsid w:val="008F32A5"/>
    <w:rsid w:val="008F3E43"/>
    <w:rsid w:val="008F47F2"/>
    <w:rsid w:val="008F4BED"/>
    <w:rsid w:val="008F552D"/>
    <w:rsid w:val="008F577F"/>
    <w:rsid w:val="008F61C8"/>
    <w:rsid w:val="008F6BDC"/>
    <w:rsid w:val="008F6C7C"/>
    <w:rsid w:val="008F702B"/>
    <w:rsid w:val="008F70BD"/>
    <w:rsid w:val="008F7C60"/>
    <w:rsid w:val="009006EB"/>
    <w:rsid w:val="00900991"/>
    <w:rsid w:val="00900BE2"/>
    <w:rsid w:val="00900EDC"/>
    <w:rsid w:val="00901620"/>
    <w:rsid w:val="00901B27"/>
    <w:rsid w:val="009023A7"/>
    <w:rsid w:val="0090278D"/>
    <w:rsid w:val="0090285F"/>
    <w:rsid w:val="00902C72"/>
    <w:rsid w:val="00903740"/>
    <w:rsid w:val="00903757"/>
    <w:rsid w:val="00903D41"/>
    <w:rsid w:val="00904549"/>
    <w:rsid w:val="00904583"/>
    <w:rsid w:val="0090492B"/>
    <w:rsid w:val="00904F4A"/>
    <w:rsid w:val="00905079"/>
    <w:rsid w:val="00905C9B"/>
    <w:rsid w:val="009069A0"/>
    <w:rsid w:val="00907479"/>
    <w:rsid w:val="009103FF"/>
    <w:rsid w:val="009105B4"/>
    <w:rsid w:val="00910935"/>
    <w:rsid w:val="0091123A"/>
    <w:rsid w:val="0091208B"/>
    <w:rsid w:val="0091274F"/>
    <w:rsid w:val="00912A24"/>
    <w:rsid w:val="00912C68"/>
    <w:rsid w:val="00912D40"/>
    <w:rsid w:val="00913400"/>
    <w:rsid w:val="00913975"/>
    <w:rsid w:val="00913DD4"/>
    <w:rsid w:val="00914D06"/>
    <w:rsid w:val="00914F18"/>
    <w:rsid w:val="00914F9B"/>
    <w:rsid w:val="00915A5D"/>
    <w:rsid w:val="00915FF6"/>
    <w:rsid w:val="00916163"/>
    <w:rsid w:val="00917C70"/>
    <w:rsid w:val="00917D7C"/>
    <w:rsid w:val="009202B7"/>
    <w:rsid w:val="009212C7"/>
    <w:rsid w:val="0092192B"/>
    <w:rsid w:val="0092286A"/>
    <w:rsid w:val="00923470"/>
    <w:rsid w:val="00924647"/>
    <w:rsid w:val="00924B5B"/>
    <w:rsid w:val="00924FDD"/>
    <w:rsid w:val="0092559B"/>
    <w:rsid w:val="0092559F"/>
    <w:rsid w:val="0092562C"/>
    <w:rsid w:val="0092562E"/>
    <w:rsid w:val="009257EA"/>
    <w:rsid w:val="00925C1C"/>
    <w:rsid w:val="00925E48"/>
    <w:rsid w:val="00926254"/>
    <w:rsid w:val="00926963"/>
    <w:rsid w:val="00926BA7"/>
    <w:rsid w:val="00926E39"/>
    <w:rsid w:val="00926F16"/>
    <w:rsid w:val="00927C68"/>
    <w:rsid w:val="0093077D"/>
    <w:rsid w:val="00931FED"/>
    <w:rsid w:val="00932B78"/>
    <w:rsid w:val="00932DF5"/>
    <w:rsid w:val="00933141"/>
    <w:rsid w:val="0093319C"/>
    <w:rsid w:val="00933428"/>
    <w:rsid w:val="0093632A"/>
    <w:rsid w:val="009368D1"/>
    <w:rsid w:val="009403D8"/>
    <w:rsid w:val="009404AE"/>
    <w:rsid w:val="00941023"/>
    <w:rsid w:val="009414CB"/>
    <w:rsid w:val="00941AAA"/>
    <w:rsid w:val="00941B44"/>
    <w:rsid w:val="00941BB0"/>
    <w:rsid w:val="009423C2"/>
    <w:rsid w:val="009426ED"/>
    <w:rsid w:val="009429E0"/>
    <w:rsid w:val="009431DE"/>
    <w:rsid w:val="0094346A"/>
    <w:rsid w:val="009434B9"/>
    <w:rsid w:val="009438B6"/>
    <w:rsid w:val="00943C4F"/>
    <w:rsid w:val="00943F27"/>
    <w:rsid w:val="009443D8"/>
    <w:rsid w:val="0094498D"/>
    <w:rsid w:val="00944D77"/>
    <w:rsid w:val="00944E53"/>
    <w:rsid w:val="009452AB"/>
    <w:rsid w:val="00945CF2"/>
    <w:rsid w:val="00946661"/>
    <w:rsid w:val="0094785C"/>
    <w:rsid w:val="00950833"/>
    <w:rsid w:val="0095098E"/>
    <w:rsid w:val="009518FE"/>
    <w:rsid w:val="00951D42"/>
    <w:rsid w:val="0095245C"/>
    <w:rsid w:val="00952A7B"/>
    <w:rsid w:val="00952E47"/>
    <w:rsid w:val="0095314E"/>
    <w:rsid w:val="009537CB"/>
    <w:rsid w:val="00953EC4"/>
    <w:rsid w:val="00954B6E"/>
    <w:rsid w:val="00954F1F"/>
    <w:rsid w:val="00955094"/>
    <w:rsid w:val="00955B59"/>
    <w:rsid w:val="00955B9C"/>
    <w:rsid w:val="00955F18"/>
    <w:rsid w:val="00956667"/>
    <w:rsid w:val="00956FEF"/>
    <w:rsid w:val="0095731C"/>
    <w:rsid w:val="00960381"/>
    <w:rsid w:val="00961367"/>
    <w:rsid w:val="009614CC"/>
    <w:rsid w:val="00961564"/>
    <w:rsid w:val="009615A9"/>
    <w:rsid w:val="00961A46"/>
    <w:rsid w:val="00961B76"/>
    <w:rsid w:val="00962464"/>
    <w:rsid w:val="00962C07"/>
    <w:rsid w:val="00962CA6"/>
    <w:rsid w:val="00963361"/>
    <w:rsid w:val="00963843"/>
    <w:rsid w:val="0096387D"/>
    <w:rsid w:val="00964B83"/>
    <w:rsid w:val="00964C96"/>
    <w:rsid w:val="009651CB"/>
    <w:rsid w:val="00965585"/>
    <w:rsid w:val="009661FB"/>
    <w:rsid w:val="009663F8"/>
    <w:rsid w:val="00967382"/>
    <w:rsid w:val="00967A8C"/>
    <w:rsid w:val="00967D2F"/>
    <w:rsid w:val="00970004"/>
    <w:rsid w:val="009704C7"/>
    <w:rsid w:val="00970709"/>
    <w:rsid w:val="00970720"/>
    <w:rsid w:val="009708D6"/>
    <w:rsid w:val="00970D43"/>
    <w:rsid w:val="0097239E"/>
    <w:rsid w:val="0097251A"/>
    <w:rsid w:val="00972FD8"/>
    <w:rsid w:val="009736EF"/>
    <w:rsid w:val="00974795"/>
    <w:rsid w:val="009749F6"/>
    <w:rsid w:val="00974FAE"/>
    <w:rsid w:val="009750B8"/>
    <w:rsid w:val="009757A2"/>
    <w:rsid w:val="009767C5"/>
    <w:rsid w:val="00976840"/>
    <w:rsid w:val="00976A61"/>
    <w:rsid w:val="00977053"/>
    <w:rsid w:val="009772A2"/>
    <w:rsid w:val="009802AA"/>
    <w:rsid w:val="00980EE4"/>
    <w:rsid w:val="0098156B"/>
    <w:rsid w:val="009827BD"/>
    <w:rsid w:val="00982ED9"/>
    <w:rsid w:val="0098321F"/>
    <w:rsid w:val="00983423"/>
    <w:rsid w:val="00984EF8"/>
    <w:rsid w:val="0098519F"/>
    <w:rsid w:val="00985CDC"/>
    <w:rsid w:val="00986577"/>
    <w:rsid w:val="0098668B"/>
    <w:rsid w:val="009869D4"/>
    <w:rsid w:val="00987A91"/>
    <w:rsid w:val="00987E87"/>
    <w:rsid w:val="00990840"/>
    <w:rsid w:val="00990A32"/>
    <w:rsid w:val="00990F8F"/>
    <w:rsid w:val="009912EC"/>
    <w:rsid w:val="00991416"/>
    <w:rsid w:val="009916BD"/>
    <w:rsid w:val="00991907"/>
    <w:rsid w:val="00991E7A"/>
    <w:rsid w:val="009924F6"/>
    <w:rsid w:val="00992C67"/>
    <w:rsid w:val="00992C71"/>
    <w:rsid w:val="00993430"/>
    <w:rsid w:val="009939EA"/>
    <w:rsid w:val="00994467"/>
    <w:rsid w:val="00995330"/>
    <w:rsid w:val="00995376"/>
    <w:rsid w:val="009955FD"/>
    <w:rsid w:val="0099593C"/>
    <w:rsid w:val="00996034"/>
    <w:rsid w:val="00996CA4"/>
    <w:rsid w:val="00996E60"/>
    <w:rsid w:val="0099704F"/>
    <w:rsid w:val="00997892"/>
    <w:rsid w:val="00997C72"/>
    <w:rsid w:val="009A06CD"/>
    <w:rsid w:val="009A0B14"/>
    <w:rsid w:val="009A0CB6"/>
    <w:rsid w:val="009A137F"/>
    <w:rsid w:val="009A178D"/>
    <w:rsid w:val="009A19EE"/>
    <w:rsid w:val="009A20D5"/>
    <w:rsid w:val="009A21F3"/>
    <w:rsid w:val="009A22A7"/>
    <w:rsid w:val="009A2483"/>
    <w:rsid w:val="009A2BA1"/>
    <w:rsid w:val="009A2FF7"/>
    <w:rsid w:val="009A325B"/>
    <w:rsid w:val="009A36B3"/>
    <w:rsid w:val="009A3D6E"/>
    <w:rsid w:val="009A43A9"/>
    <w:rsid w:val="009A45AE"/>
    <w:rsid w:val="009A4D83"/>
    <w:rsid w:val="009A5122"/>
    <w:rsid w:val="009A5EDB"/>
    <w:rsid w:val="009A6DEC"/>
    <w:rsid w:val="009A6F0D"/>
    <w:rsid w:val="009A710F"/>
    <w:rsid w:val="009A7BE2"/>
    <w:rsid w:val="009B006C"/>
    <w:rsid w:val="009B0574"/>
    <w:rsid w:val="009B073E"/>
    <w:rsid w:val="009B1410"/>
    <w:rsid w:val="009B1594"/>
    <w:rsid w:val="009B19E0"/>
    <w:rsid w:val="009B3733"/>
    <w:rsid w:val="009B39B1"/>
    <w:rsid w:val="009B5388"/>
    <w:rsid w:val="009B5C82"/>
    <w:rsid w:val="009B5C87"/>
    <w:rsid w:val="009B5F79"/>
    <w:rsid w:val="009B6248"/>
    <w:rsid w:val="009B678F"/>
    <w:rsid w:val="009B70D1"/>
    <w:rsid w:val="009B755D"/>
    <w:rsid w:val="009B7647"/>
    <w:rsid w:val="009B7D01"/>
    <w:rsid w:val="009C07D2"/>
    <w:rsid w:val="009C2825"/>
    <w:rsid w:val="009C35F9"/>
    <w:rsid w:val="009C3B81"/>
    <w:rsid w:val="009C3CC6"/>
    <w:rsid w:val="009C5752"/>
    <w:rsid w:val="009C5D51"/>
    <w:rsid w:val="009C6358"/>
    <w:rsid w:val="009C6595"/>
    <w:rsid w:val="009C65B0"/>
    <w:rsid w:val="009C65CB"/>
    <w:rsid w:val="009C76FF"/>
    <w:rsid w:val="009C7F4F"/>
    <w:rsid w:val="009D118E"/>
    <w:rsid w:val="009D2179"/>
    <w:rsid w:val="009D236D"/>
    <w:rsid w:val="009D243E"/>
    <w:rsid w:val="009D2C8B"/>
    <w:rsid w:val="009D3539"/>
    <w:rsid w:val="009D3712"/>
    <w:rsid w:val="009D38EA"/>
    <w:rsid w:val="009D3C92"/>
    <w:rsid w:val="009D4031"/>
    <w:rsid w:val="009D4221"/>
    <w:rsid w:val="009D469A"/>
    <w:rsid w:val="009D60D7"/>
    <w:rsid w:val="009D690C"/>
    <w:rsid w:val="009D697E"/>
    <w:rsid w:val="009D7879"/>
    <w:rsid w:val="009D7928"/>
    <w:rsid w:val="009D7971"/>
    <w:rsid w:val="009D7FDB"/>
    <w:rsid w:val="009E02A9"/>
    <w:rsid w:val="009E0303"/>
    <w:rsid w:val="009E0333"/>
    <w:rsid w:val="009E055F"/>
    <w:rsid w:val="009E0F85"/>
    <w:rsid w:val="009E1A5F"/>
    <w:rsid w:val="009E1EF6"/>
    <w:rsid w:val="009E2279"/>
    <w:rsid w:val="009E2EF2"/>
    <w:rsid w:val="009E30E5"/>
    <w:rsid w:val="009E3C3B"/>
    <w:rsid w:val="009E40FB"/>
    <w:rsid w:val="009E4105"/>
    <w:rsid w:val="009E4502"/>
    <w:rsid w:val="009E491C"/>
    <w:rsid w:val="009E4ACF"/>
    <w:rsid w:val="009E4E4F"/>
    <w:rsid w:val="009E5637"/>
    <w:rsid w:val="009E5690"/>
    <w:rsid w:val="009E5E2C"/>
    <w:rsid w:val="009E6E80"/>
    <w:rsid w:val="009E733F"/>
    <w:rsid w:val="009E773F"/>
    <w:rsid w:val="009F00D0"/>
    <w:rsid w:val="009F0182"/>
    <w:rsid w:val="009F02DC"/>
    <w:rsid w:val="009F093B"/>
    <w:rsid w:val="009F0AF9"/>
    <w:rsid w:val="009F0DE8"/>
    <w:rsid w:val="009F1C53"/>
    <w:rsid w:val="009F1D49"/>
    <w:rsid w:val="009F2078"/>
    <w:rsid w:val="009F239F"/>
    <w:rsid w:val="009F3155"/>
    <w:rsid w:val="009F381D"/>
    <w:rsid w:val="009F3863"/>
    <w:rsid w:val="009F3F22"/>
    <w:rsid w:val="009F4203"/>
    <w:rsid w:val="009F4619"/>
    <w:rsid w:val="009F5130"/>
    <w:rsid w:val="009F569E"/>
    <w:rsid w:val="009F570F"/>
    <w:rsid w:val="009F72A5"/>
    <w:rsid w:val="009F73B5"/>
    <w:rsid w:val="009F7CAB"/>
    <w:rsid w:val="009F7D3C"/>
    <w:rsid w:val="009F7E12"/>
    <w:rsid w:val="009F7F18"/>
    <w:rsid w:val="009F7FBB"/>
    <w:rsid w:val="00A003E0"/>
    <w:rsid w:val="00A0053B"/>
    <w:rsid w:val="00A0076C"/>
    <w:rsid w:val="00A00AB5"/>
    <w:rsid w:val="00A00C56"/>
    <w:rsid w:val="00A00EF0"/>
    <w:rsid w:val="00A01732"/>
    <w:rsid w:val="00A01EDE"/>
    <w:rsid w:val="00A0263B"/>
    <w:rsid w:val="00A02839"/>
    <w:rsid w:val="00A03A29"/>
    <w:rsid w:val="00A03DE1"/>
    <w:rsid w:val="00A04314"/>
    <w:rsid w:val="00A04393"/>
    <w:rsid w:val="00A04612"/>
    <w:rsid w:val="00A04EFA"/>
    <w:rsid w:val="00A051F2"/>
    <w:rsid w:val="00A059D8"/>
    <w:rsid w:val="00A05AF9"/>
    <w:rsid w:val="00A07CD4"/>
    <w:rsid w:val="00A07DF3"/>
    <w:rsid w:val="00A10118"/>
    <w:rsid w:val="00A102DA"/>
    <w:rsid w:val="00A10DEB"/>
    <w:rsid w:val="00A12707"/>
    <w:rsid w:val="00A12DFA"/>
    <w:rsid w:val="00A1330B"/>
    <w:rsid w:val="00A135E2"/>
    <w:rsid w:val="00A13CF6"/>
    <w:rsid w:val="00A13F8F"/>
    <w:rsid w:val="00A14CE7"/>
    <w:rsid w:val="00A15859"/>
    <w:rsid w:val="00A15D80"/>
    <w:rsid w:val="00A161C5"/>
    <w:rsid w:val="00A16469"/>
    <w:rsid w:val="00A1646B"/>
    <w:rsid w:val="00A17151"/>
    <w:rsid w:val="00A20034"/>
    <w:rsid w:val="00A2095C"/>
    <w:rsid w:val="00A20D1B"/>
    <w:rsid w:val="00A20F77"/>
    <w:rsid w:val="00A215F5"/>
    <w:rsid w:val="00A21D50"/>
    <w:rsid w:val="00A22A44"/>
    <w:rsid w:val="00A2367A"/>
    <w:rsid w:val="00A23A91"/>
    <w:rsid w:val="00A242C4"/>
    <w:rsid w:val="00A24779"/>
    <w:rsid w:val="00A24AC8"/>
    <w:rsid w:val="00A24BEB"/>
    <w:rsid w:val="00A25534"/>
    <w:rsid w:val="00A256EC"/>
    <w:rsid w:val="00A259EA"/>
    <w:rsid w:val="00A26F6B"/>
    <w:rsid w:val="00A278C1"/>
    <w:rsid w:val="00A279C1"/>
    <w:rsid w:val="00A27ADA"/>
    <w:rsid w:val="00A305B3"/>
    <w:rsid w:val="00A305DD"/>
    <w:rsid w:val="00A30890"/>
    <w:rsid w:val="00A3135B"/>
    <w:rsid w:val="00A3142E"/>
    <w:rsid w:val="00A31798"/>
    <w:rsid w:val="00A3202B"/>
    <w:rsid w:val="00A339C0"/>
    <w:rsid w:val="00A33CBE"/>
    <w:rsid w:val="00A33DF7"/>
    <w:rsid w:val="00A34F90"/>
    <w:rsid w:val="00A353A4"/>
    <w:rsid w:val="00A35536"/>
    <w:rsid w:val="00A35AC4"/>
    <w:rsid w:val="00A35D73"/>
    <w:rsid w:val="00A36674"/>
    <w:rsid w:val="00A3677B"/>
    <w:rsid w:val="00A36E7A"/>
    <w:rsid w:val="00A37636"/>
    <w:rsid w:val="00A4026D"/>
    <w:rsid w:val="00A4155A"/>
    <w:rsid w:val="00A4157F"/>
    <w:rsid w:val="00A428A9"/>
    <w:rsid w:val="00A43299"/>
    <w:rsid w:val="00A44517"/>
    <w:rsid w:val="00A453B8"/>
    <w:rsid w:val="00A45E78"/>
    <w:rsid w:val="00A460A5"/>
    <w:rsid w:val="00A466AF"/>
    <w:rsid w:val="00A46CDD"/>
    <w:rsid w:val="00A4789B"/>
    <w:rsid w:val="00A47B51"/>
    <w:rsid w:val="00A50151"/>
    <w:rsid w:val="00A501AC"/>
    <w:rsid w:val="00A507B9"/>
    <w:rsid w:val="00A50EFC"/>
    <w:rsid w:val="00A51A05"/>
    <w:rsid w:val="00A51E2D"/>
    <w:rsid w:val="00A52C2E"/>
    <w:rsid w:val="00A52FA2"/>
    <w:rsid w:val="00A53A8B"/>
    <w:rsid w:val="00A53B21"/>
    <w:rsid w:val="00A53F30"/>
    <w:rsid w:val="00A54081"/>
    <w:rsid w:val="00A5412B"/>
    <w:rsid w:val="00A5450F"/>
    <w:rsid w:val="00A54826"/>
    <w:rsid w:val="00A54A55"/>
    <w:rsid w:val="00A55174"/>
    <w:rsid w:val="00A56858"/>
    <w:rsid w:val="00A5694E"/>
    <w:rsid w:val="00A56C27"/>
    <w:rsid w:val="00A57767"/>
    <w:rsid w:val="00A57AB7"/>
    <w:rsid w:val="00A60804"/>
    <w:rsid w:val="00A60B0C"/>
    <w:rsid w:val="00A60E02"/>
    <w:rsid w:val="00A60F0C"/>
    <w:rsid w:val="00A60F52"/>
    <w:rsid w:val="00A61057"/>
    <w:rsid w:val="00A610A9"/>
    <w:rsid w:val="00A61892"/>
    <w:rsid w:val="00A61A38"/>
    <w:rsid w:val="00A61A7D"/>
    <w:rsid w:val="00A61CFD"/>
    <w:rsid w:val="00A6208C"/>
    <w:rsid w:val="00A62E75"/>
    <w:rsid w:val="00A63501"/>
    <w:rsid w:val="00A63C5A"/>
    <w:rsid w:val="00A63CDA"/>
    <w:rsid w:val="00A64A88"/>
    <w:rsid w:val="00A64D1D"/>
    <w:rsid w:val="00A657AC"/>
    <w:rsid w:val="00A661A9"/>
    <w:rsid w:val="00A66281"/>
    <w:rsid w:val="00A66600"/>
    <w:rsid w:val="00A668EF"/>
    <w:rsid w:val="00A66AFF"/>
    <w:rsid w:val="00A671E3"/>
    <w:rsid w:val="00A67277"/>
    <w:rsid w:val="00A67972"/>
    <w:rsid w:val="00A67CC6"/>
    <w:rsid w:val="00A701A1"/>
    <w:rsid w:val="00A70617"/>
    <w:rsid w:val="00A70836"/>
    <w:rsid w:val="00A710DA"/>
    <w:rsid w:val="00A7231E"/>
    <w:rsid w:val="00A725B7"/>
    <w:rsid w:val="00A72889"/>
    <w:rsid w:val="00A748A8"/>
    <w:rsid w:val="00A74D33"/>
    <w:rsid w:val="00A74E64"/>
    <w:rsid w:val="00A7511E"/>
    <w:rsid w:val="00A755BF"/>
    <w:rsid w:val="00A75728"/>
    <w:rsid w:val="00A761A7"/>
    <w:rsid w:val="00A77316"/>
    <w:rsid w:val="00A774FA"/>
    <w:rsid w:val="00A77AF7"/>
    <w:rsid w:val="00A77BFF"/>
    <w:rsid w:val="00A8060F"/>
    <w:rsid w:val="00A807E1"/>
    <w:rsid w:val="00A80A18"/>
    <w:rsid w:val="00A80E69"/>
    <w:rsid w:val="00A8210C"/>
    <w:rsid w:val="00A82D58"/>
    <w:rsid w:val="00A82D62"/>
    <w:rsid w:val="00A835E0"/>
    <w:rsid w:val="00A836F0"/>
    <w:rsid w:val="00A838D5"/>
    <w:rsid w:val="00A83ED1"/>
    <w:rsid w:val="00A8402E"/>
    <w:rsid w:val="00A84191"/>
    <w:rsid w:val="00A84477"/>
    <w:rsid w:val="00A84A35"/>
    <w:rsid w:val="00A85EFA"/>
    <w:rsid w:val="00A860AB"/>
    <w:rsid w:val="00A8613A"/>
    <w:rsid w:val="00A865C4"/>
    <w:rsid w:val="00A86A59"/>
    <w:rsid w:val="00A86C1F"/>
    <w:rsid w:val="00A877CC"/>
    <w:rsid w:val="00A878D4"/>
    <w:rsid w:val="00A9142F"/>
    <w:rsid w:val="00A91D3C"/>
    <w:rsid w:val="00A91D3D"/>
    <w:rsid w:val="00A9209A"/>
    <w:rsid w:val="00A9268E"/>
    <w:rsid w:val="00A92691"/>
    <w:rsid w:val="00A93432"/>
    <w:rsid w:val="00A947DA"/>
    <w:rsid w:val="00A95022"/>
    <w:rsid w:val="00A9620B"/>
    <w:rsid w:val="00A9646D"/>
    <w:rsid w:val="00A972CF"/>
    <w:rsid w:val="00A973E8"/>
    <w:rsid w:val="00A97401"/>
    <w:rsid w:val="00A9765C"/>
    <w:rsid w:val="00A97A9A"/>
    <w:rsid w:val="00AA045C"/>
    <w:rsid w:val="00AA078F"/>
    <w:rsid w:val="00AA0A18"/>
    <w:rsid w:val="00AA144E"/>
    <w:rsid w:val="00AA1568"/>
    <w:rsid w:val="00AA1585"/>
    <w:rsid w:val="00AA1767"/>
    <w:rsid w:val="00AA2247"/>
    <w:rsid w:val="00AA2680"/>
    <w:rsid w:val="00AA269A"/>
    <w:rsid w:val="00AA3360"/>
    <w:rsid w:val="00AA4003"/>
    <w:rsid w:val="00AA59D3"/>
    <w:rsid w:val="00AA60F6"/>
    <w:rsid w:val="00AA65D5"/>
    <w:rsid w:val="00AB0AFA"/>
    <w:rsid w:val="00AB0E95"/>
    <w:rsid w:val="00AB0F88"/>
    <w:rsid w:val="00AB0FCF"/>
    <w:rsid w:val="00AB134B"/>
    <w:rsid w:val="00AB17C6"/>
    <w:rsid w:val="00AB1AD0"/>
    <w:rsid w:val="00AB203C"/>
    <w:rsid w:val="00AB2E34"/>
    <w:rsid w:val="00AB2FA4"/>
    <w:rsid w:val="00AB400F"/>
    <w:rsid w:val="00AB426D"/>
    <w:rsid w:val="00AB4F64"/>
    <w:rsid w:val="00AB536B"/>
    <w:rsid w:val="00AB5C39"/>
    <w:rsid w:val="00AB5E37"/>
    <w:rsid w:val="00AB67DF"/>
    <w:rsid w:val="00AB696D"/>
    <w:rsid w:val="00AB6D1F"/>
    <w:rsid w:val="00AB6D83"/>
    <w:rsid w:val="00AB6DBE"/>
    <w:rsid w:val="00AB7471"/>
    <w:rsid w:val="00AB7A29"/>
    <w:rsid w:val="00AB7A6F"/>
    <w:rsid w:val="00AB7BC1"/>
    <w:rsid w:val="00AB7E3B"/>
    <w:rsid w:val="00AC0110"/>
    <w:rsid w:val="00AC01AD"/>
    <w:rsid w:val="00AC0E2F"/>
    <w:rsid w:val="00AC0E76"/>
    <w:rsid w:val="00AC1216"/>
    <w:rsid w:val="00AC1607"/>
    <w:rsid w:val="00AC1D91"/>
    <w:rsid w:val="00AC1DFD"/>
    <w:rsid w:val="00AC240E"/>
    <w:rsid w:val="00AC2453"/>
    <w:rsid w:val="00AC2F8F"/>
    <w:rsid w:val="00AC31DF"/>
    <w:rsid w:val="00AC3656"/>
    <w:rsid w:val="00AC3B2F"/>
    <w:rsid w:val="00AC4199"/>
    <w:rsid w:val="00AC41C4"/>
    <w:rsid w:val="00AC5DB3"/>
    <w:rsid w:val="00AC5FBA"/>
    <w:rsid w:val="00AC6435"/>
    <w:rsid w:val="00AC6BFE"/>
    <w:rsid w:val="00AC6CA8"/>
    <w:rsid w:val="00AC7B48"/>
    <w:rsid w:val="00AC7EDA"/>
    <w:rsid w:val="00AD02F4"/>
    <w:rsid w:val="00AD03FE"/>
    <w:rsid w:val="00AD1529"/>
    <w:rsid w:val="00AD1A8B"/>
    <w:rsid w:val="00AD1D71"/>
    <w:rsid w:val="00AD252F"/>
    <w:rsid w:val="00AD26F1"/>
    <w:rsid w:val="00AD33B0"/>
    <w:rsid w:val="00AD3B34"/>
    <w:rsid w:val="00AD3B4A"/>
    <w:rsid w:val="00AD3BD9"/>
    <w:rsid w:val="00AD3E03"/>
    <w:rsid w:val="00AD47B2"/>
    <w:rsid w:val="00AD4876"/>
    <w:rsid w:val="00AD5325"/>
    <w:rsid w:val="00AD5D29"/>
    <w:rsid w:val="00AD61FD"/>
    <w:rsid w:val="00AD6421"/>
    <w:rsid w:val="00AD651A"/>
    <w:rsid w:val="00AD7209"/>
    <w:rsid w:val="00AE060F"/>
    <w:rsid w:val="00AE145F"/>
    <w:rsid w:val="00AE18B8"/>
    <w:rsid w:val="00AE1AEA"/>
    <w:rsid w:val="00AE1B45"/>
    <w:rsid w:val="00AE1B78"/>
    <w:rsid w:val="00AE1C34"/>
    <w:rsid w:val="00AE1E55"/>
    <w:rsid w:val="00AE273D"/>
    <w:rsid w:val="00AE2AFD"/>
    <w:rsid w:val="00AE32DF"/>
    <w:rsid w:val="00AE338A"/>
    <w:rsid w:val="00AE3D9E"/>
    <w:rsid w:val="00AE425B"/>
    <w:rsid w:val="00AE46A7"/>
    <w:rsid w:val="00AE4A57"/>
    <w:rsid w:val="00AE4FE3"/>
    <w:rsid w:val="00AE60B8"/>
    <w:rsid w:val="00AE6956"/>
    <w:rsid w:val="00AE6C69"/>
    <w:rsid w:val="00AE70F8"/>
    <w:rsid w:val="00AE715C"/>
    <w:rsid w:val="00AE768A"/>
    <w:rsid w:val="00AE7745"/>
    <w:rsid w:val="00AE7BC5"/>
    <w:rsid w:val="00AE7FE4"/>
    <w:rsid w:val="00AE7FF1"/>
    <w:rsid w:val="00AF01FC"/>
    <w:rsid w:val="00AF02C2"/>
    <w:rsid w:val="00AF033E"/>
    <w:rsid w:val="00AF12D1"/>
    <w:rsid w:val="00AF1369"/>
    <w:rsid w:val="00AF26DD"/>
    <w:rsid w:val="00AF2834"/>
    <w:rsid w:val="00AF314C"/>
    <w:rsid w:val="00AF31B0"/>
    <w:rsid w:val="00AF4F81"/>
    <w:rsid w:val="00AF5777"/>
    <w:rsid w:val="00AF5D45"/>
    <w:rsid w:val="00AF602D"/>
    <w:rsid w:val="00AF63CD"/>
    <w:rsid w:val="00AF66B8"/>
    <w:rsid w:val="00AF6890"/>
    <w:rsid w:val="00AF6948"/>
    <w:rsid w:val="00AF6FCA"/>
    <w:rsid w:val="00AF73A3"/>
    <w:rsid w:val="00AF7516"/>
    <w:rsid w:val="00AF7C7B"/>
    <w:rsid w:val="00B000CD"/>
    <w:rsid w:val="00B0076E"/>
    <w:rsid w:val="00B00874"/>
    <w:rsid w:val="00B00ECE"/>
    <w:rsid w:val="00B022F1"/>
    <w:rsid w:val="00B0238A"/>
    <w:rsid w:val="00B02A97"/>
    <w:rsid w:val="00B037A1"/>
    <w:rsid w:val="00B03914"/>
    <w:rsid w:val="00B03FAB"/>
    <w:rsid w:val="00B04051"/>
    <w:rsid w:val="00B04666"/>
    <w:rsid w:val="00B04676"/>
    <w:rsid w:val="00B048FB"/>
    <w:rsid w:val="00B04FEA"/>
    <w:rsid w:val="00B057D6"/>
    <w:rsid w:val="00B05D4A"/>
    <w:rsid w:val="00B078B9"/>
    <w:rsid w:val="00B07ECF"/>
    <w:rsid w:val="00B1066E"/>
    <w:rsid w:val="00B10C67"/>
    <w:rsid w:val="00B10C6D"/>
    <w:rsid w:val="00B11940"/>
    <w:rsid w:val="00B11B57"/>
    <w:rsid w:val="00B12DF0"/>
    <w:rsid w:val="00B1345D"/>
    <w:rsid w:val="00B13473"/>
    <w:rsid w:val="00B13710"/>
    <w:rsid w:val="00B13A2C"/>
    <w:rsid w:val="00B13FEF"/>
    <w:rsid w:val="00B14016"/>
    <w:rsid w:val="00B14579"/>
    <w:rsid w:val="00B14709"/>
    <w:rsid w:val="00B1506B"/>
    <w:rsid w:val="00B15646"/>
    <w:rsid w:val="00B157AC"/>
    <w:rsid w:val="00B15B14"/>
    <w:rsid w:val="00B16024"/>
    <w:rsid w:val="00B167A5"/>
    <w:rsid w:val="00B16BA6"/>
    <w:rsid w:val="00B17543"/>
    <w:rsid w:val="00B213F3"/>
    <w:rsid w:val="00B2242B"/>
    <w:rsid w:val="00B22A2E"/>
    <w:rsid w:val="00B22CB2"/>
    <w:rsid w:val="00B23554"/>
    <w:rsid w:val="00B236E3"/>
    <w:rsid w:val="00B23C38"/>
    <w:rsid w:val="00B23F57"/>
    <w:rsid w:val="00B242F9"/>
    <w:rsid w:val="00B24EAC"/>
    <w:rsid w:val="00B25046"/>
    <w:rsid w:val="00B25621"/>
    <w:rsid w:val="00B25865"/>
    <w:rsid w:val="00B25A86"/>
    <w:rsid w:val="00B267C1"/>
    <w:rsid w:val="00B2689F"/>
    <w:rsid w:val="00B26904"/>
    <w:rsid w:val="00B269A1"/>
    <w:rsid w:val="00B274D9"/>
    <w:rsid w:val="00B27D78"/>
    <w:rsid w:val="00B30A7C"/>
    <w:rsid w:val="00B30BE3"/>
    <w:rsid w:val="00B30D6F"/>
    <w:rsid w:val="00B3150D"/>
    <w:rsid w:val="00B31AB6"/>
    <w:rsid w:val="00B325B3"/>
    <w:rsid w:val="00B32600"/>
    <w:rsid w:val="00B32B28"/>
    <w:rsid w:val="00B32CF2"/>
    <w:rsid w:val="00B32FA7"/>
    <w:rsid w:val="00B33268"/>
    <w:rsid w:val="00B3355D"/>
    <w:rsid w:val="00B3378F"/>
    <w:rsid w:val="00B337C1"/>
    <w:rsid w:val="00B33A9F"/>
    <w:rsid w:val="00B33B8D"/>
    <w:rsid w:val="00B33C4F"/>
    <w:rsid w:val="00B345BF"/>
    <w:rsid w:val="00B34737"/>
    <w:rsid w:val="00B355D7"/>
    <w:rsid w:val="00B35901"/>
    <w:rsid w:val="00B35BA6"/>
    <w:rsid w:val="00B35BFA"/>
    <w:rsid w:val="00B35DB3"/>
    <w:rsid w:val="00B35EBB"/>
    <w:rsid w:val="00B3623C"/>
    <w:rsid w:val="00B362A3"/>
    <w:rsid w:val="00B3672F"/>
    <w:rsid w:val="00B36A76"/>
    <w:rsid w:val="00B36AF9"/>
    <w:rsid w:val="00B4186C"/>
    <w:rsid w:val="00B4287D"/>
    <w:rsid w:val="00B42DB8"/>
    <w:rsid w:val="00B42E9C"/>
    <w:rsid w:val="00B43984"/>
    <w:rsid w:val="00B4453F"/>
    <w:rsid w:val="00B44700"/>
    <w:rsid w:val="00B4495B"/>
    <w:rsid w:val="00B44B92"/>
    <w:rsid w:val="00B45737"/>
    <w:rsid w:val="00B458AE"/>
    <w:rsid w:val="00B45D5F"/>
    <w:rsid w:val="00B464DC"/>
    <w:rsid w:val="00B46C85"/>
    <w:rsid w:val="00B46D8A"/>
    <w:rsid w:val="00B46EDA"/>
    <w:rsid w:val="00B474D0"/>
    <w:rsid w:val="00B47E45"/>
    <w:rsid w:val="00B47EB2"/>
    <w:rsid w:val="00B5025E"/>
    <w:rsid w:val="00B50589"/>
    <w:rsid w:val="00B50B23"/>
    <w:rsid w:val="00B50F3A"/>
    <w:rsid w:val="00B5108F"/>
    <w:rsid w:val="00B51520"/>
    <w:rsid w:val="00B51717"/>
    <w:rsid w:val="00B52178"/>
    <w:rsid w:val="00B5299A"/>
    <w:rsid w:val="00B52F08"/>
    <w:rsid w:val="00B53242"/>
    <w:rsid w:val="00B53794"/>
    <w:rsid w:val="00B542E3"/>
    <w:rsid w:val="00B548E2"/>
    <w:rsid w:val="00B5515D"/>
    <w:rsid w:val="00B55C45"/>
    <w:rsid w:val="00B55C81"/>
    <w:rsid w:val="00B56A88"/>
    <w:rsid w:val="00B577C7"/>
    <w:rsid w:val="00B603FB"/>
    <w:rsid w:val="00B60F21"/>
    <w:rsid w:val="00B6100B"/>
    <w:rsid w:val="00B615DC"/>
    <w:rsid w:val="00B6165F"/>
    <w:rsid w:val="00B61A53"/>
    <w:rsid w:val="00B62AF0"/>
    <w:rsid w:val="00B62FED"/>
    <w:rsid w:val="00B63091"/>
    <w:rsid w:val="00B633F6"/>
    <w:rsid w:val="00B63420"/>
    <w:rsid w:val="00B63851"/>
    <w:rsid w:val="00B63952"/>
    <w:rsid w:val="00B640FC"/>
    <w:rsid w:val="00B644FB"/>
    <w:rsid w:val="00B65121"/>
    <w:rsid w:val="00B6567F"/>
    <w:rsid w:val="00B65B16"/>
    <w:rsid w:val="00B662BC"/>
    <w:rsid w:val="00B66632"/>
    <w:rsid w:val="00B66A7E"/>
    <w:rsid w:val="00B67E1E"/>
    <w:rsid w:val="00B71DCA"/>
    <w:rsid w:val="00B72553"/>
    <w:rsid w:val="00B725C8"/>
    <w:rsid w:val="00B726FE"/>
    <w:rsid w:val="00B7362F"/>
    <w:rsid w:val="00B73D51"/>
    <w:rsid w:val="00B7412E"/>
    <w:rsid w:val="00B74981"/>
    <w:rsid w:val="00B74A82"/>
    <w:rsid w:val="00B74F21"/>
    <w:rsid w:val="00B75019"/>
    <w:rsid w:val="00B7503E"/>
    <w:rsid w:val="00B75180"/>
    <w:rsid w:val="00B751CE"/>
    <w:rsid w:val="00B754FD"/>
    <w:rsid w:val="00B75B26"/>
    <w:rsid w:val="00B75C66"/>
    <w:rsid w:val="00B7639D"/>
    <w:rsid w:val="00B76573"/>
    <w:rsid w:val="00B77452"/>
    <w:rsid w:val="00B77AED"/>
    <w:rsid w:val="00B804E9"/>
    <w:rsid w:val="00B807BB"/>
    <w:rsid w:val="00B81302"/>
    <w:rsid w:val="00B8140D"/>
    <w:rsid w:val="00B8162E"/>
    <w:rsid w:val="00B82D30"/>
    <w:rsid w:val="00B82DE4"/>
    <w:rsid w:val="00B83ACD"/>
    <w:rsid w:val="00B83BE1"/>
    <w:rsid w:val="00B84235"/>
    <w:rsid w:val="00B8446C"/>
    <w:rsid w:val="00B85021"/>
    <w:rsid w:val="00B860E1"/>
    <w:rsid w:val="00B86DF0"/>
    <w:rsid w:val="00B87378"/>
    <w:rsid w:val="00B875EF"/>
    <w:rsid w:val="00B87745"/>
    <w:rsid w:val="00B87BCC"/>
    <w:rsid w:val="00B87C05"/>
    <w:rsid w:val="00B87F86"/>
    <w:rsid w:val="00B900AA"/>
    <w:rsid w:val="00B9033D"/>
    <w:rsid w:val="00B9047D"/>
    <w:rsid w:val="00B90AC8"/>
    <w:rsid w:val="00B91A8B"/>
    <w:rsid w:val="00B91AFA"/>
    <w:rsid w:val="00B92585"/>
    <w:rsid w:val="00B93669"/>
    <w:rsid w:val="00B937CE"/>
    <w:rsid w:val="00B9408A"/>
    <w:rsid w:val="00B94329"/>
    <w:rsid w:val="00B94B25"/>
    <w:rsid w:val="00B95137"/>
    <w:rsid w:val="00B95A1D"/>
    <w:rsid w:val="00B95FD5"/>
    <w:rsid w:val="00B9674C"/>
    <w:rsid w:val="00B96A14"/>
    <w:rsid w:val="00B97691"/>
    <w:rsid w:val="00B97949"/>
    <w:rsid w:val="00BA0A62"/>
    <w:rsid w:val="00BA0BD7"/>
    <w:rsid w:val="00BA13C4"/>
    <w:rsid w:val="00BA161D"/>
    <w:rsid w:val="00BA1E75"/>
    <w:rsid w:val="00BA225C"/>
    <w:rsid w:val="00BA3257"/>
    <w:rsid w:val="00BA32AD"/>
    <w:rsid w:val="00BA34CF"/>
    <w:rsid w:val="00BA34E0"/>
    <w:rsid w:val="00BA3BCA"/>
    <w:rsid w:val="00BA405A"/>
    <w:rsid w:val="00BA416E"/>
    <w:rsid w:val="00BA4396"/>
    <w:rsid w:val="00BA44F2"/>
    <w:rsid w:val="00BA45BF"/>
    <w:rsid w:val="00BA5442"/>
    <w:rsid w:val="00BA5A4F"/>
    <w:rsid w:val="00BA5C09"/>
    <w:rsid w:val="00BA6403"/>
    <w:rsid w:val="00BA6B2F"/>
    <w:rsid w:val="00BA7151"/>
    <w:rsid w:val="00BA7CD6"/>
    <w:rsid w:val="00BB0727"/>
    <w:rsid w:val="00BB1356"/>
    <w:rsid w:val="00BB1525"/>
    <w:rsid w:val="00BB155C"/>
    <w:rsid w:val="00BB1676"/>
    <w:rsid w:val="00BB1EF3"/>
    <w:rsid w:val="00BB29C5"/>
    <w:rsid w:val="00BB367E"/>
    <w:rsid w:val="00BB3807"/>
    <w:rsid w:val="00BB381D"/>
    <w:rsid w:val="00BB3C83"/>
    <w:rsid w:val="00BB458C"/>
    <w:rsid w:val="00BB45B3"/>
    <w:rsid w:val="00BB4B46"/>
    <w:rsid w:val="00BB54E4"/>
    <w:rsid w:val="00BB558D"/>
    <w:rsid w:val="00BB5D8D"/>
    <w:rsid w:val="00BB7319"/>
    <w:rsid w:val="00BB771A"/>
    <w:rsid w:val="00BB7B58"/>
    <w:rsid w:val="00BC09BC"/>
    <w:rsid w:val="00BC12CD"/>
    <w:rsid w:val="00BC1402"/>
    <w:rsid w:val="00BC1558"/>
    <w:rsid w:val="00BC1FCA"/>
    <w:rsid w:val="00BC258E"/>
    <w:rsid w:val="00BC28A9"/>
    <w:rsid w:val="00BC338F"/>
    <w:rsid w:val="00BC44B7"/>
    <w:rsid w:val="00BC4569"/>
    <w:rsid w:val="00BC49E0"/>
    <w:rsid w:val="00BC4B06"/>
    <w:rsid w:val="00BC51B7"/>
    <w:rsid w:val="00BC573E"/>
    <w:rsid w:val="00BC61BE"/>
    <w:rsid w:val="00BC65F2"/>
    <w:rsid w:val="00BC69ED"/>
    <w:rsid w:val="00BC6E04"/>
    <w:rsid w:val="00BC7335"/>
    <w:rsid w:val="00BC736C"/>
    <w:rsid w:val="00BC75AA"/>
    <w:rsid w:val="00BD019A"/>
    <w:rsid w:val="00BD0892"/>
    <w:rsid w:val="00BD20B0"/>
    <w:rsid w:val="00BD21E0"/>
    <w:rsid w:val="00BD28E5"/>
    <w:rsid w:val="00BD311D"/>
    <w:rsid w:val="00BD3EAA"/>
    <w:rsid w:val="00BD4504"/>
    <w:rsid w:val="00BD4642"/>
    <w:rsid w:val="00BD4894"/>
    <w:rsid w:val="00BD4AE8"/>
    <w:rsid w:val="00BD529F"/>
    <w:rsid w:val="00BD5723"/>
    <w:rsid w:val="00BD576D"/>
    <w:rsid w:val="00BD5DEF"/>
    <w:rsid w:val="00BD668E"/>
    <w:rsid w:val="00BD7A09"/>
    <w:rsid w:val="00BE068E"/>
    <w:rsid w:val="00BE0994"/>
    <w:rsid w:val="00BE0B73"/>
    <w:rsid w:val="00BE1492"/>
    <w:rsid w:val="00BE1A9F"/>
    <w:rsid w:val="00BE1E14"/>
    <w:rsid w:val="00BE24E5"/>
    <w:rsid w:val="00BE2A68"/>
    <w:rsid w:val="00BE2D7D"/>
    <w:rsid w:val="00BE352F"/>
    <w:rsid w:val="00BE384B"/>
    <w:rsid w:val="00BE3F06"/>
    <w:rsid w:val="00BE407C"/>
    <w:rsid w:val="00BE50E7"/>
    <w:rsid w:val="00BE5218"/>
    <w:rsid w:val="00BE5518"/>
    <w:rsid w:val="00BE562E"/>
    <w:rsid w:val="00BE5F94"/>
    <w:rsid w:val="00BE5FFE"/>
    <w:rsid w:val="00BE61DD"/>
    <w:rsid w:val="00BF060A"/>
    <w:rsid w:val="00BF06D9"/>
    <w:rsid w:val="00BF0F4C"/>
    <w:rsid w:val="00BF1557"/>
    <w:rsid w:val="00BF16E4"/>
    <w:rsid w:val="00BF1937"/>
    <w:rsid w:val="00BF1BC6"/>
    <w:rsid w:val="00BF1BDB"/>
    <w:rsid w:val="00BF1CDE"/>
    <w:rsid w:val="00BF2F69"/>
    <w:rsid w:val="00BF2FE1"/>
    <w:rsid w:val="00BF3280"/>
    <w:rsid w:val="00BF3556"/>
    <w:rsid w:val="00BF37D5"/>
    <w:rsid w:val="00BF4069"/>
    <w:rsid w:val="00BF48C0"/>
    <w:rsid w:val="00BF56C4"/>
    <w:rsid w:val="00BF5EEC"/>
    <w:rsid w:val="00BF61B4"/>
    <w:rsid w:val="00BF6260"/>
    <w:rsid w:val="00BF63CD"/>
    <w:rsid w:val="00BF673E"/>
    <w:rsid w:val="00BF67CD"/>
    <w:rsid w:val="00BF79F2"/>
    <w:rsid w:val="00C00082"/>
    <w:rsid w:val="00C00C4F"/>
    <w:rsid w:val="00C020A6"/>
    <w:rsid w:val="00C02522"/>
    <w:rsid w:val="00C027B4"/>
    <w:rsid w:val="00C0319E"/>
    <w:rsid w:val="00C032C6"/>
    <w:rsid w:val="00C03332"/>
    <w:rsid w:val="00C03409"/>
    <w:rsid w:val="00C034B1"/>
    <w:rsid w:val="00C03B4E"/>
    <w:rsid w:val="00C03CE2"/>
    <w:rsid w:val="00C052F5"/>
    <w:rsid w:val="00C059A3"/>
    <w:rsid w:val="00C06136"/>
    <w:rsid w:val="00C0640C"/>
    <w:rsid w:val="00C06613"/>
    <w:rsid w:val="00C0683E"/>
    <w:rsid w:val="00C06966"/>
    <w:rsid w:val="00C0733F"/>
    <w:rsid w:val="00C07A4A"/>
    <w:rsid w:val="00C104B2"/>
    <w:rsid w:val="00C114BD"/>
    <w:rsid w:val="00C114E7"/>
    <w:rsid w:val="00C11610"/>
    <w:rsid w:val="00C11978"/>
    <w:rsid w:val="00C11C84"/>
    <w:rsid w:val="00C120F5"/>
    <w:rsid w:val="00C12175"/>
    <w:rsid w:val="00C13B10"/>
    <w:rsid w:val="00C14F20"/>
    <w:rsid w:val="00C1574F"/>
    <w:rsid w:val="00C16504"/>
    <w:rsid w:val="00C16928"/>
    <w:rsid w:val="00C17185"/>
    <w:rsid w:val="00C17211"/>
    <w:rsid w:val="00C17CCE"/>
    <w:rsid w:val="00C17D5E"/>
    <w:rsid w:val="00C17DF7"/>
    <w:rsid w:val="00C17FC1"/>
    <w:rsid w:val="00C2003D"/>
    <w:rsid w:val="00C2017D"/>
    <w:rsid w:val="00C203E2"/>
    <w:rsid w:val="00C20AC2"/>
    <w:rsid w:val="00C20F98"/>
    <w:rsid w:val="00C224D2"/>
    <w:rsid w:val="00C22C66"/>
    <w:rsid w:val="00C2307D"/>
    <w:rsid w:val="00C2356E"/>
    <w:rsid w:val="00C2377D"/>
    <w:rsid w:val="00C23E49"/>
    <w:rsid w:val="00C24060"/>
    <w:rsid w:val="00C2443C"/>
    <w:rsid w:val="00C248E3"/>
    <w:rsid w:val="00C249D7"/>
    <w:rsid w:val="00C24CA6"/>
    <w:rsid w:val="00C25AAC"/>
    <w:rsid w:val="00C270DF"/>
    <w:rsid w:val="00C275EA"/>
    <w:rsid w:val="00C278DA"/>
    <w:rsid w:val="00C27E78"/>
    <w:rsid w:val="00C30130"/>
    <w:rsid w:val="00C301BC"/>
    <w:rsid w:val="00C30DB2"/>
    <w:rsid w:val="00C30E34"/>
    <w:rsid w:val="00C31439"/>
    <w:rsid w:val="00C3147B"/>
    <w:rsid w:val="00C31E9A"/>
    <w:rsid w:val="00C31E9C"/>
    <w:rsid w:val="00C3205C"/>
    <w:rsid w:val="00C320DD"/>
    <w:rsid w:val="00C32FBC"/>
    <w:rsid w:val="00C32FE2"/>
    <w:rsid w:val="00C33AD7"/>
    <w:rsid w:val="00C33BF8"/>
    <w:rsid w:val="00C3579F"/>
    <w:rsid w:val="00C359B2"/>
    <w:rsid w:val="00C36102"/>
    <w:rsid w:val="00C370B8"/>
    <w:rsid w:val="00C3785D"/>
    <w:rsid w:val="00C40326"/>
    <w:rsid w:val="00C403A6"/>
    <w:rsid w:val="00C404B8"/>
    <w:rsid w:val="00C40C01"/>
    <w:rsid w:val="00C41CDE"/>
    <w:rsid w:val="00C41DA7"/>
    <w:rsid w:val="00C41E92"/>
    <w:rsid w:val="00C42096"/>
    <w:rsid w:val="00C42245"/>
    <w:rsid w:val="00C4349C"/>
    <w:rsid w:val="00C448F4"/>
    <w:rsid w:val="00C44BC7"/>
    <w:rsid w:val="00C45534"/>
    <w:rsid w:val="00C45BD2"/>
    <w:rsid w:val="00C45DD8"/>
    <w:rsid w:val="00C45E29"/>
    <w:rsid w:val="00C46B95"/>
    <w:rsid w:val="00C46F0A"/>
    <w:rsid w:val="00C47275"/>
    <w:rsid w:val="00C475A4"/>
    <w:rsid w:val="00C476AD"/>
    <w:rsid w:val="00C476EA"/>
    <w:rsid w:val="00C50077"/>
    <w:rsid w:val="00C500B5"/>
    <w:rsid w:val="00C502B0"/>
    <w:rsid w:val="00C50B83"/>
    <w:rsid w:val="00C50E1E"/>
    <w:rsid w:val="00C51305"/>
    <w:rsid w:val="00C513D4"/>
    <w:rsid w:val="00C52D06"/>
    <w:rsid w:val="00C52E30"/>
    <w:rsid w:val="00C5317C"/>
    <w:rsid w:val="00C537AC"/>
    <w:rsid w:val="00C53C89"/>
    <w:rsid w:val="00C540B8"/>
    <w:rsid w:val="00C54306"/>
    <w:rsid w:val="00C546B9"/>
    <w:rsid w:val="00C54934"/>
    <w:rsid w:val="00C54E0A"/>
    <w:rsid w:val="00C5513E"/>
    <w:rsid w:val="00C5526D"/>
    <w:rsid w:val="00C55D11"/>
    <w:rsid w:val="00C55FD4"/>
    <w:rsid w:val="00C56080"/>
    <w:rsid w:val="00C56167"/>
    <w:rsid w:val="00C566D8"/>
    <w:rsid w:val="00C56E76"/>
    <w:rsid w:val="00C57001"/>
    <w:rsid w:val="00C57690"/>
    <w:rsid w:val="00C57C57"/>
    <w:rsid w:val="00C604D0"/>
    <w:rsid w:val="00C60A14"/>
    <w:rsid w:val="00C60D7C"/>
    <w:rsid w:val="00C61D61"/>
    <w:rsid w:val="00C61F77"/>
    <w:rsid w:val="00C6206A"/>
    <w:rsid w:val="00C6257C"/>
    <w:rsid w:val="00C628D6"/>
    <w:rsid w:val="00C63059"/>
    <w:rsid w:val="00C6338C"/>
    <w:rsid w:val="00C63475"/>
    <w:rsid w:val="00C638C0"/>
    <w:rsid w:val="00C63D95"/>
    <w:rsid w:val="00C641E9"/>
    <w:rsid w:val="00C642A9"/>
    <w:rsid w:val="00C651FF"/>
    <w:rsid w:val="00C65CA4"/>
    <w:rsid w:val="00C65F39"/>
    <w:rsid w:val="00C66EE8"/>
    <w:rsid w:val="00C67452"/>
    <w:rsid w:val="00C676EF"/>
    <w:rsid w:val="00C677D9"/>
    <w:rsid w:val="00C6783F"/>
    <w:rsid w:val="00C67F2A"/>
    <w:rsid w:val="00C704DB"/>
    <w:rsid w:val="00C70B91"/>
    <w:rsid w:val="00C70F93"/>
    <w:rsid w:val="00C71067"/>
    <w:rsid w:val="00C7137E"/>
    <w:rsid w:val="00C7146C"/>
    <w:rsid w:val="00C714D0"/>
    <w:rsid w:val="00C715CD"/>
    <w:rsid w:val="00C72069"/>
    <w:rsid w:val="00C725E8"/>
    <w:rsid w:val="00C727F5"/>
    <w:rsid w:val="00C7281A"/>
    <w:rsid w:val="00C72BF2"/>
    <w:rsid w:val="00C73DE2"/>
    <w:rsid w:val="00C73F14"/>
    <w:rsid w:val="00C73F21"/>
    <w:rsid w:val="00C7422A"/>
    <w:rsid w:val="00C7462D"/>
    <w:rsid w:val="00C74CD1"/>
    <w:rsid w:val="00C74DC0"/>
    <w:rsid w:val="00C759C9"/>
    <w:rsid w:val="00C75CAD"/>
    <w:rsid w:val="00C76308"/>
    <w:rsid w:val="00C76E18"/>
    <w:rsid w:val="00C76FB0"/>
    <w:rsid w:val="00C77C82"/>
    <w:rsid w:val="00C80C99"/>
    <w:rsid w:val="00C810D0"/>
    <w:rsid w:val="00C816AA"/>
    <w:rsid w:val="00C819AD"/>
    <w:rsid w:val="00C81CF9"/>
    <w:rsid w:val="00C81F31"/>
    <w:rsid w:val="00C82CED"/>
    <w:rsid w:val="00C835A5"/>
    <w:rsid w:val="00C84085"/>
    <w:rsid w:val="00C84306"/>
    <w:rsid w:val="00C84514"/>
    <w:rsid w:val="00C84680"/>
    <w:rsid w:val="00C84F76"/>
    <w:rsid w:val="00C85270"/>
    <w:rsid w:val="00C85989"/>
    <w:rsid w:val="00C859D7"/>
    <w:rsid w:val="00C86A10"/>
    <w:rsid w:val="00C8764A"/>
    <w:rsid w:val="00C879A0"/>
    <w:rsid w:val="00C87C9E"/>
    <w:rsid w:val="00C87D51"/>
    <w:rsid w:val="00C90ECC"/>
    <w:rsid w:val="00C91569"/>
    <w:rsid w:val="00C9157E"/>
    <w:rsid w:val="00C92AC1"/>
    <w:rsid w:val="00C92FEA"/>
    <w:rsid w:val="00C9387D"/>
    <w:rsid w:val="00C94533"/>
    <w:rsid w:val="00C9682A"/>
    <w:rsid w:val="00C975AE"/>
    <w:rsid w:val="00C97960"/>
    <w:rsid w:val="00CA0061"/>
    <w:rsid w:val="00CA065B"/>
    <w:rsid w:val="00CA0710"/>
    <w:rsid w:val="00CA24A3"/>
    <w:rsid w:val="00CA29E0"/>
    <w:rsid w:val="00CA2BCE"/>
    <w:rsid w:val="00CA2C7A"/>
    <w:rsid w:val="00CA36C4"/>
    <w:rsid w:val="00CA4159"/>
    <w:rsid w:val="00CA5FE8"/>
    <w:rsid w:val="00CA6469"/>
    <w:rsid w:val="00CA6670"/>
    <w:rsid w:val="00CA6E57"/>
    <w:rsid w:val="00CA7EC4"/>
    <w:rsid w:val="00CB010F"/>
    <w:rsid w:val="00CB0BE0"/>
    <w:rsid w:val="00CB130A"/>
    <w:rsid w:val="00CB1837"/>
    <w:rsid w:val="00CB18D0"/>
    <w:rsid w:val="00CB1AA3"/>
    <w:rsid w:val="00CB23C6"/>
    <w:rsid w:val="00CB2B57"/>
    <w:rsid w:val="00CB2F62"/>
    <w:rsid w:val="00CB3418"/>
    <w:rsid w:val="00CB454C"/>
    <w:rsid w:val="00CB5076"/>
    <w:rsid w:val="00CB52E5"/>
    <w:rsid w:val="00CB5611"/>
    <w:rsid w:val="00CB591A"/>
    <w:rsid w:val="00CB5FB2"/>
    <w:rsid w:val="00CB6B0A"/>
    <w:rsid w:val="00CB71F4"/>
    <w:rsid w:val="00CB729D"/>
    <w:rsid w:val="00CB7341"/>
    <w:rsid w:val="00CB7698"/>
    <w:rsid w:val="00CB78AE"/>
    <w:rsid w:val="00CB799A"/>
    <w:rsid w:val="00CC007D"/>
    <w:rsid w:val="00CC0711"/>
    <w:rsid w:val="00CC143F"/>
    <w:rsid w:val="00CC1FE6"/>
    <w:rsid w:val="00CC2DEC"/>
    <w:rsid w:val="00CC301A"/>
    <w:rsid w:val="00CC38EB"/>
    <w:rsid w:val="00CC3CF6"/>
    <w:rsid w:val="00CC41EF"/>
    <w:rsid w:val="00CC42CD"/>
    <w:rsid w:val="00CC4D68"/>
    <w:rsid w:val="00CC5A73"/>
    <w:rsid w:val="00CC62DD"/>
    <w:rsid w:val="00CC6441"/>
    <w:rsid w:val="00CC66F5"/>
    <w:rsid w:val="00CC67D3"/>
    <w:rsid w:val="00CC67E3"/>
    <w:rsid w:val="00CC6E49"/>
    <w:rsid w:val="00CC6F92"/>
    <w:rsid w:val="00CC74CA"/>
    <w:rsid w:val="00CC78EF"/>
    <w:rsid w:val="00CC7F43"/>
    <w:rsid w:val="00CD044D"/>
    <w:rsid w:val="00CD0E49"/>
    <w:rsid w:val="00CD1273"/>
    <w:rsid w:val="00CD2B1F"/>
    <w:rsid w:val="00CD2B8C"/>
    <w:rsid w:val="00CD2EDF"/>
    <w:rsid w:val="00CD327A"/>
    <w:rsid w:val="00CD33D3"/>
    <w:rsid w:val="00CD3C4E"/>
    <w:rsid w:val="00CD3E86"/>
    <w:rsid w:val="00CD4554"/>
    <w:rsid w:val="00CD45DD"/>
    <w:rsid w:val="00CD4C1E"/>
    <w:rsid w:val="00CD5282"/>
    <w:rsid w:val="00CD52E3"/>
    <w:rsid w:val="00CD53AD"/>
    <w:rsid w:val="00CD53F8"/>
    <w:rsid w:val="00CD586C"/>
    <w:rsid w:val="00CD600D"/>
    <w:rsid w:val="00CD6102"/>
    <w:rsid w:val="00CD634B"/>
    <w:rsid w:val="00CD6550"/>
    <w:rsid w:val="00CD7924"/>
    <w:rsid w:val="00CE0528"/>
    <w:rsid w:val="00CE0A5F"/>
    <w:rsid w:val="00CE0B0D"/>
    <w:rsid w:val="00CE143D"/>
    <w:rsid w:val="00CE1CBD"/>
    <w:rsid w:val="00CE2207"/>
    <w:rsid w:val="00CE28BD"/>
    <w:rsid w:val="00CE33C3"/>
    <w:rsid w:val="00CE34B5"/>
    <w:rsid w:val="00CE3508"/>
    <w:rsid w:val="00CE3EC6"/>
    <w:rsid w:val="00CE45BB"/>
    <w:rsid w:val="00CE46A4"/>
    <w:rsid w:val="00CE50A6"/>
    <w:rsid w:val="00CE52E6"/>
    <w:rsid w:val="00CE57D7"/>
    <w:rsid w:val="00CE5EB9"/>
    <w:rsid w:val="00CE619E"/>
    <w:rsid w:val="00CE7047"/>
    <w:rsid w:val="00CE7503"/>
    <w:rsid w:val="00CE7D7D"/>
    <w:rsid w:val="00CF061E"/>
    <w:rsid w:val="00CF1AA8"/>
    <w:rsid w:val="00CF1AEC"/>
    <w:rsid w:val="00CF3183"/>
    <w:rsid w:val="00CF3194"/>
    <w:rsid w:val="00CF34F6"/>
    <w:rsid w:val="00CF3C4E"/>
    <w:rsid w:val="00CF3F7E"/>
    <w:rsid w:val="00CF41F5"/>
    <w:rsid w:val="00CF5268"/>
    <w:rsid w:val="00CF552F"/>
    <w:rsid w:val="00CF5797"/>
    <w:rsid w:val="00CF597B"/>
    <w:rsid w:val="00CF5986"/>
    <w:rsid w:val="00CF5FD5"/>
    <w:rsid w:val="00CF623A"/>
    <w:rsid w:val="00CF6364"/>
    <w:rsid w:val="00CF64FA"/>
    <w:rsid w:val="00CF78A5"/>
    <w:rsid w:val="00CF7A16"/>
    <w:rsid w:val="00CF7C18"/>
    <w:rsid w:val="00D008F2"/>
    <w:rsid w:val="00D012DA"/>
    <w:rsid w:val="00D018FF"/>
    <w:rsid w:val="00D01C56"/>
    <w:rsid w:val="00D01C6B"/>
    <w:rsid w:val="00D01CF8"/>
    <w:rsid w:val="00D02447"/>
    <w:rsid w:val="00D02892"/>
    <w:rsid w:val="00D02936"/>
    <w:rsid w:val="00D02B79"/>
    <w:rsid w:val="00D0324B"/>
    <w:rsid w:val="00D0350B"/>
    <w:rsid w:val="00D037E8"/>
    <w:rsid w:val="00D039EE"/>
    <w:rsid w:val="00D03B80"/>
    <w:rsid w:val="00D03E24"/>
    <w:rsid w:val="00D0468D"/>
    <w:rsid w:val="00D0485F"/>
    <w:rsid w:val="00D04D60"/>
    <w:rsid w:val="00D05234"/>
    <w:rsid w:val="00D05A38"/>
    <w:rsid w:val="00D05D43"/>
    <w:rsid w:val="00D05E18"/>
    <w:rsid w:val="00D0606C"/>
    <w:rsid w:val="00D075E9"/>
    <w:rsid w:val="00D10DCD"/>
    <w:rsid w:val="00D1151F"/>
    <w:rsid w:val="00D11D2F"/>
    <w:rsid w:val="00D12424"/>
    <w:rsid w:val="00D1265B"/>
    <w:rsid w:val="00D12DDD"/>
    <w:rsid w:val="00D12ED0"/>
    <w:rsid w:val="00D13595"/>
    <w:rsid w:val="00D13663"/>
    <w:rsid w:val="00D13C12"/>
    <w:rsid w:val="00D1490E"/>
    <w:rsid w:val="00D14BC3"/>
    <w:rsid w:val="00D14CFB"/>
    <w:rsid w:val="00D14EBB"/>
    <w:rsid w:val="00D15094"/>
    <w:rsid w:val="00D1512D"/>
    <w:rsid w:val="00D1587C"/>
    <w:rsid w:val="00D15C87"/>
    <w:rsid w:val="00D16321"/>
    <w:rsid w:val="00D16422"/>
    <w:rsid w:val="00D167E4"/>
    <w:rsid w:val="00D16A42"/>
    <w:rsid w:val="00D16BCB"/>
    <w:rsid w:val="00D1738E"/>
    <w:rsid w:val="00D17A7F"/>
    <w:rsid w:val="00D17BB1"/>
    <w:rsid w:val="00D17DA4"/>
    <w:rsid w:val="00D17E81"/>
    <w:rsid w:val="00D20362"/>
    <w:rsid w:val="00D203DB"/>
    <w:rsid w:val="00D2074A"/>
    <w:rsid w:val="00D210CA"/>
    <w:rsid w:val="00D21270"/>
    <w:rsid w:val="00D216E3"/>
    <w:rsid w:val="00D21A29"/>
    <w:rsid w:val="00D21D2D"/>
    <w:rsid w:val="00D21D33"/>
    <w:rsid w:val="00D227D4"/>
    <w:rsid w:val="00D22A5C"/>
    <w:rsid w:val="00D232DE"/>
    <w:rsid w:val="00D2348F"/>
    <w:rsid w:val="00D24B23"/>
    <w:rsid w:val="00D256B9"/>
    <w:rsid w:val="00D25C61"/>
    <w:rsid w:val="00D25E29"/>
    <w:rsid w:val="00D25F87"/>
    <w:rsid w:val="00D2600E"/>
    <w:rsid w:val="00D26227"/>
    <w:rsid w:val="00D27508"/>
    <w:rsid w:val="00D278E2"/>
    <w:rsid w:val="00D27C34"/>
    <w:rsid w:val="00D30291"/>
    <w:rsid w:val="00D30416"/>
    <w:rsid w:val="00D305A8"/>
    <w:rsid w:val="00D305AA"/>
    <w:rsid w:val="00D30E05"/>
    <w:rsid w:val="00D31375"/>
    <w:rsid w:val="00D32089"/>
    <w:rsid w:val="00D32170"/>
    <w:rsid w:val="00D3239F"/>
    <w:rsid w:val="00D32701"/>
    <w:rsid w:val="00D32A20"/>
    <w:rsid w:val="00D32EC7"/>
    <w:rsid w:val="00D3340A"/>
    <w:rsid w:val="00D338FF"/>
    <w:rsid w:val="00D339A7"/>
    <w:rsid w:val="00D340FD"/>
    <w:rsid w:val="00D34303"/>
    <w:rsid w:val="00D34AE9"/>
    <w:rsid w:val="00D3554E"/>
    <w:rsid w:val="00D360D5"/>
    <w:rsid w:val="00D365F2"/>
    <w:rsid w:val="00D372D9"/>
    <w:rsid w:val="00D37639"/>
    <w:rsid w:val="00D37F61"/>
    <w:rsid w:val="00D403D2"/>
    <w:rsid w:val="00D404C1"/>
    <w:rsid w:val="00D40B65"/>
    <w:rsid w:val="00D40D6F"/>
    <w:rsid w:val="00D41105"/>
    <w:rsid w:val="00D415FD"/>
    <w:rsid w:val="00D41BD6"/>
    <w:rsid w:val="00D41EB4"/>
    <w:rsid w:val="00D41FC0"/>
    <w:rsid w:val="00D42024"/>
    <w:rsid w:val="00D42389"/>
    <w:rsid w:val="00D42865"/>
    <w:rsid w:val="00D4310F"/>
    <w:rsid w:val="00D436C5"/>
    <w:rsid w:val="00D43B78"/>
    <w:rsid w:val="00D43C11"/>
    <w:rsid w:val="00D444D6"/>
    <w:rsid w:val="00D45872"/>
    <w:rsid w:val="00D46340"/>
    <w:rsid w:val="00D47B26"/>
    <w:rsid w:val="00D50579"/>
    <w:rsid w:val="00D50694"/>
    <w:rsid w:val="00D5091C"/>
    <w:rsid w:val="00D51826"/>
    <w:rsid w:val="00D51AC8"/>
    <w:rsid w:val="00D52365"/>
    <w:rsid w:val="00D5244D"/>
    <w:rsid w:val="00D52EF4"/>
    <w:rsid w:val="00D53225"/>
    <w:rsid w:val="00D5419A"/>
    <w:rsid w:val="00D55483"/>
    <w:rsid w:val="00D556DA"/>
    <w:rsid w:val="00D55766"/>
    <w:rsid w:val="00D56021"/>
    <w:rsid w:val="00D568A9"/>
    <w:rsid w:val="00D56962"/>
    <w:rsid w:val="00D5710E"/>
    <w:rsid w:val="00D57131"/>
    <w:rsid w:val="00D57158"/>
    <w:rsid w:val="00D5774C"/>
    <w:rsid w:val="00D57F95"/>
    <w:rsid w:val="00D6014C"/>
    <w:rsid w:val="00D60634"/>
    <w:rsid w:val="00D6063A"/>
    <w:rsid w:val="00D60CC5"/>
    <w:rsid w:val="00D615B1"/>
    <w:rsid w:val="00D61AE8"/>
    <w:rsid w:val="00D623B9"/>
    <w:rsid w:val="00D623FC"/>
    <w:rsid w:val="00D627CD"/>
    <w:rsid w:val="00D62AD5"/>
    <w:rsid w:val="00D62E02"/>
    <w:rsid w:val="00D62EB6"/>
    <w:rsid w:val="00D6332D"/>
    <w:rsid w:val="00D6395D"/>
    <w:rsid w:val="00D642A0"/>
    <w:rsid w:val="00D649BA"/>
    <w:rsid w:val="00D659AB"/>
    <w:rsid w:val="00D660DC"/>
    <w:rsid w:val="00D665EF"/>
    <w:rsid w:val="00D6688E"/>
    <w:rsid w:val="00D66B0D"/>
    <w:rsid w:val="00D66FAB"/>
    <w:rsid w:val="00D66FEE"/>
    <w:rsid w:val="00D706C5"/>
    <w:rsid w:val="00D70A78"/>
    <w:rsid w:val="00D70AAB"/>
    <w:rsid w:val="00D70C48"/>
    <w:rsid w:val="00D70CE2"/>
    <w:rsid w:val="00D71811"/>
    <w:rsid w:val="00D71BF0"/>
    <w:rsid w:val="00D71C15"/>
    <w:rsid w:val="00D71CEB"/>
    <w:rsid w:val="00D71D92"/>
    <w:rsid w:val="00D72230"/>
    <w:rsid w:val="00D722A1"/>
    <w:rsid w:val="00D7416F"/>
    <w:rsid w:val="00D745E3"/>
    <w:rsid w:val="00D7499C"/>
    <w:rsid w:val="00D74C8E"/>
    <w:rsid w:val="00D754CD"/>
    <w:rsid w:val="00D75669"/>
    <w:rsid w:val="00D75CCA"/>
    <w:rsid w:val="00D7600E"/>
    <w:rsid w:val="00D763A5"/>
    <w:rsid w:val="00D778C5"/>
    <w:rsid w:val="00D779FC"/>
    <w:rsid w:val="00D77E78"/>
    <w:rsid w:val="00D80061"/>
    <w:rsid w:val="00D8010F"/>
    <w:rsid w:val="00D8035F"/>
    <w:rsid w:val="00D80A6F"/>
    <w:rsid w:val="00D810CF"/>
    <w:rsid w:val="00D81CF1"/>
    <w:rsid w:val="00D82995"/>
    <w:rsid w:val="00D82B8B"/>
    <w:rsid w:val="00D83081"/>
    <w:rsid w:val="00D843E6"/>
    <w:rsid w:val="00D84EB8"/>
    <w:rsid w:val="00D85282"/>
    <w:rsid w:val="00D85975"/>
    <w:rsid w:val="00D8598A"/>
    <w:rsid w:val="00D8607E"/>
    <w:rsid w:val="00D86419"/>
    <w:rsid w:val="00D86626"/>
    <w:rsid w:val="00D867F6"/>
    <w:rsid w:val="00D8689C"/>
    <w:rsid w:val="00D8764B"/>
    <w:rsid w:val="00D87E97"/>
    <w:rsid w:val="00D901D1"/>
    <w:rsid w:val="00D91424"/>
    <w:rsid w:val="00D9172E"/>
    <w:rsid w:val="00D91AE8"/>
    <w:rsid w:val="00D9212A"/>
    <w:rsid w:val="00D92D5B"/>
    <w:rsid w:val="00D947C4"/>
    <w:rsid w:val="00D95406"/>
    <w:rsid w:val="00D954FD"/>
    <w:rsid w:val="00D9589E"/>
    <w:rsid w:val="00D95C92"/>
    <w:rsid w:val="00D96184"/>
    <w:rsid w:val="00D96B54"/>
    <w:rsid w:val="00D970A9"/>
    <w:rsid w:val="00D97103"/>
    <w:rsid w:val="00D974ED"/>
    <w:rsid w:val="00DA0069"/>
    <w:rsid w:val="00DA0341"/>
    <w:rsid w:val="00DA0C6E"/>
    <w:rsid w:val="00DA17CC"/>
    <w:rsid w:val="00DA1E1A"/>
    <w:rsid w:val="00DA29E0"/>
    <w:rsid w:val="00DA3318"/>
    <w:rsid w:val="00DA387E"/>
    <w:rsid w:val="00DA3B96"/>
    <w:rsid w:val="00DA3C6D"/>
    <w:rsid w:val="00DA3DA8"/>
    <w:rsid w:val="00DA4FCB"/>
    <w:rsid w:val="00DA5DED"/>
    <w:rsid w:val="00DA5F1A"/>
    <w:rsid w:val="00DA614E"/>
    <w:rsid w:val="00DA6469"/>
    <w:rsid w:val="00DA6B88"/>
    <w:rsid w:val="00DA6DA0"/>
    <w:rsid w:val="00DA767F"/>
    <w:rsid w:val="00DA76F2"/>
    <w:rsid w:val="00DB0E6C"/>
    <w:rsid w:val="00DB0EF6"/>
    <w:rsid w:val="00DB15F2"/>
    <w:rsid w:val="00DB177F"/>
    <w:rsid w:val="00DB235A"/>
    <w:rsid w:val="00DB2668"/>
    <w:rsid w:val="00DB2811"/>
    <w:rsid w:val="00DB3A3F"/>
    <w:rsid w:val="00DB3B99"/>
    <w:rsid w:val="00DB3C54"/>
    <w:rsid w:val="00DB4260"/>
    <w:rsid w:val="00DB4366"/>
    <w:rsid w:val="00DB48A7"/>
    <w:rsid w:val="00DB494B"/>
    <w:rsid w:val="00DB53BD"/>
    <w:rsid w:val="00DB56A7"/>
    <w:rsid w:val="00DB6136"/>
    <w:rsid w:val="00DB64EF"/>
    <w:rsid w:val="00DB7A11"/>
    <w:rsid w:val="00DB7BAF"/>
    <w:rsid w:val="00DB7DB7"/>
    <w:rsid w:val="00DC04E9"/>
    <w:rsid w:val="00DC08EA"/>
    <w:rsid w:val="00DC0E28"/>
    <w:rsid w:val="00DC1163"/>
    <w:rsid w:val="00DC1497"/>
    <w:rsid w:val="00DC21C5"/>
    <w:rsid w:val="00DC22D7"/>
    <w:rsid w:val="00DC2D44"/>
    <w:rsid w:val="00DC2E19"/>
    <w:rsid w:val="00DC3030"/>
    <w:rsid w:val="00DC3181"/>
    <w:rsid w:val="00DC3F11"/>
    <w:rsid w:val="00DC4EB5"/>
    <w:rsid w:val="00DC5452"/>
    <w:rsid w:val="00DC5974"/>
    <w:rsid w:val="00DC6196"/>
    <w:rsid w:val="00DC6F10"/>
    <w:rsid w:val="00DC796B"/>
    <w:rsid w:val="00DD1788"/>
    <w:rsid w:val="00DD220C"/>
    <w:rsid w:val="00DD22A2"/>
    <w:rsid w:val="00DD2E7E"/>
    <w:rsid w:val="00DD40A4"/>
    <w:rsid w:val="00DD4517"/>
    <w:rsid w:val="00DD49DA"/>
    <w:rsid w:val="00DD49F4"/>
    <w:rsid w:val="00DD4CB9"/>
    <w:rsid w:val="00DD4DD3"/>
    <w:rsid w:val="00DD57E7"/>
    <w:rsid w:val="00DD5ABC"/>
    <w:rsid w:val="00DD5AD7"/>
    <w:rsid w:val="00DD6024"/>
    <w:rsid w:val="00DD66E2"/>
    <w:rsid w:val="00DD7DC3"/>
    <w:rsid w:val="00DE096B"/>
    <w:rsid w:val="00DE1C64"/>
    <w:rsid w:val="00DE20AA"/>
    <w:rsid w:val="00DE279E"/>
    <w:rsid w:val="00DE3027"/>
    <w:rsid w:val="00DE396E"/>
    <w:rsid w:val="00DE3FA7"/>
    <w:rsid w:val="00DE40B9"/>
    <w:rsid w:val="00DE42D9"/>
    <w:rsid w:val="00DE4D8E"/>
    <w:rsid w:val="00DE4E28"/>
    <w:rsid w:val="00DE51AC"/>
    <w:rsid w:val="00DE529D"/>
    <w:rsid w:val="00DE53C2"/>
    <w:rsid w:val="00DE547D"/>
    <w:rsid w:val="00DE7295"/>
    <w:rsid w:val="00DE73CB"/>
    <w:rsid w:val="00DE79CC"/>
    <w:rsid w:val="00DE7B84"/>
    <w:rsid w:val="00DF0E06"/>
    <w:rsid w:val="00DF0EDC"/>
    <w:rsid w:val="00DF1DE6"/>
    <w:rsid w:val="00DF252B"/>
    <w:rsid w:val="00DF2D98"/>
    <w:rsid w:val="00DF2E62"/>
    <w:rsid w:val="00DF3116"/>
    <w:rsid w:val="00DF37E2"/>
    <w:rsid w:val="00DF3AB2"/>
    <w:rsid w:val="00DF3BC9"/>
    <w:rsid w:val="00DF3BEE"/>
    <w:rsid w:val="00DF40E6"/>
    <w:rsid w:val="00DF53EE"/>
    <w:rsid w:val="00DF62CC"/>
    <w:rsid w:val="00DF6823"/>
    <w:rsid w:val="00DF68C2"/>
    <w:rsid w:val="00DF69D6"/>
    <w:rsid w:val="00DF6A27"/>
    <w:rsid w:val="00DF723E"/>
    <w:rsid w:val="00DF78D6"/>
    <w:rsid w:val="00DF7AB2"/>
    <w:rsid w:val="00E003C6"/>
    <w:rsid w:val="00E003DB"/>
    <w:rsid w:val="00E00A96"/>
    <w:rsid w:val="00E00E3A"/>
    <w:rsid w:val="00E0161F"/>
    <w:rsid w:val="00E021F0"/>
    <w:rsid w:val="00E026A1"/>
    <w:rsid w:val="00E03A2B"/>
    <w:rsid w:val="00E03AB2"/>
    <w:rsid w:val="00E03ADC"/>
    <w:rsid w:val="00E03AE4"/>
    <w:rsid w:val="00E03F86"/>
    <w:rsid w:val="00E0433C"/>
    <w:rsid w:val="00E04444"/>
    <w:rsid w:val="00E05E45"/>
    <w:rsid w:val="00E0613F"/>
    <w:rsid w:val="00E068AA"/>
    <w:rsid w:val="00E06C7D"/>
    <w:rsid w:val="00E06FC7"/>
    <w:rsid w:val="00E070BA"/>
    <w:rsid w:val="00E077E4"/>
    <w:rsid w:val="00E1088A"/>
    <w:rsid w:val="00E10E08"/>
    <w:rsid w:val="00E112A0"/>
    <w:rsid w:val="00E113BF"/>
    <w:rsid w:val="00E117E3"/>
    <w:rsid w:val="00E118C0"/>
    <w:rsid w:val="00E11B19"/>
    <w:rsid w:val="00E12185"/>
    <w:rsid w:val="00E1233A"/>
    <w:rsid w:val="00E12542"/>
    <w:rsid w:val="00E129EF"/>
    <w:rsid w:val="00E12CF1"/>
    <w:rsid w:val="00E13170"/>
    <w:rsid w:val="00E13550"/>
    <w:rsid w:val="00E13B6C"/>
    <w:rsid w:val="00E1503B"/>
    <w:rsid w:val="00E15A8F"/>
    <w:rsid w:val="00E15EC8"/>
    <w:rsid w:val="00E16FF5"/>
    <w:rsid w:val="00E20C31"/>
    <w:rsid w:val="00E2101B"/>
    <w:rsid w:val="00E2104F"/>
    <w:rsid w:val="00E210CE"/>
    <w:rsid w:val="00E21953"/>
    <w:rsid w:val="00E21B16"/>
    <w:rsid w:val="00E22337"/>
    <w:rsid w:val="00E228BE"/>
    <w:rsid w:val="00E229CD"/>
    <w:rsid w:val="00E22B50"/>
    <w:rsid w:val="00E22F1B"/>
    <w:rsid w:val="00E23653"/>
    <w:rsid w:val="00E23E7A"/>
    <w:rsid w:val="00E24CA4"/>
    <w:rsid w:val="00E27759"/>
    <w:rsid w:val="00E301E2"/>
    <w:rsid w:val="00E302E7"/>
    <w:rsid w:val="00E3033C"/>
    <w:rsid w:val="00E30BD0"/>
    <w:rsid w:val="00E30CCA"/>
    <w:rsid w:val="00E30FD8"/>
    <w:rsid w:val="00E310CE"/>
    <w:rsid w:val="00E31F1D"/>
    <w:rsid w:val="00E335E9"/>
    <w:rsid w:val="00E34078"/>
    <w:rsid w:val="00E34453"/>
    <w:rsid w:val="00E36AE6"/>
    <w:rsid w:val="00E36EF2"/>
    <w:rsid w:val="00E36F06"/>
    <w:rsid w:val="00E37927"/>
    <w:rsid w:val="00E37B12"/>
    <w:rsid w:val="00E4015C"/>
    <w:rsid w:val="00E4050F"/>
    <w:rsid w:val="00E406BF"/>
    <w:rsid w:val="00E41A44"/>
    <w:rsid w:val="00E41A8A"/>
    <w:rsid w:val="00E42069"/>
    <w:rsid w:val="00E433D7"/>
    <w:rsid w:val="00E433E1"/>
    <w:rsid w:val="00E43714"/>
    <w:rsid w:val="00E43908"/>
    <w:rsid w:val="00E44077"/>
    <w:rsid w:val="00E4410F"/>
    <w:rsid w:val="00E44427"/>
    <w:rsid w:val="00E45331"/>
    <w:rsid w:val="00E453CB"/>
    <w:rsid w:val="00E4552B"/>
    <w:rsid w:val="00E45554"/>
    <w:rsid w:val="00E45BB9"/>
    <w:rsid w:val="00E46023"/>
    <w:rsid w:val="00E46513"/>
    <w:rsid w:val="00E46F66"/>
    <w:rsid w:val="00E47A90"/>
    <w:rsid w:val="00E47D36"/>
    <w:rsid w:val="00E47E9C"/>
    <w:rsid w:val="00E47F4E"/>
    <w:rsid w:val="00E50C1F"/>
    <w:rsid w:val="00E50D65"/>
    <w:rsid w:val="00E513F0"/>
    <w:rsid w:val="00E51661"/>
    <w:rsid w:val="00E51CFE"/>
    <w:rsid w:val="00E5270D"/>
    <w:rsid w:val="00E52916"/>
    <w:rsid w:val="00E529BE"/>
    <w:rsid w:val="00E52F9F"/>
    <w:rsid w:val="00E53AF0"/>
    <w:rsid w:val="00E542A3"/>
    <w:rsid w:val="00E54396"/>
    <w:rsid w:val="00E544E5"/>
    <w:rsid w:val="00E5565B"/>
    <w:rsid w:val="00E56286"/>
    <w:rsid w:val="00E566B3"/>
    <w:rsid w:val="00E569C6"/>
    <w:rsid w:val="00E56B0E"/>
    <w:rsid w:val="00E57291"/>
    <w:rsid w:val="00E60023"/>
    <w:rsid w:val="00E60441"/>
    <w:rsid w:val="00E60A35"/>
    <w:rsid w:val="00E60E88"/>
    <w:rsid w:val="00E617F2"/>
    <w:rsid w:val="00E624E6"/>
    <w:rsid w:val="00E626C5"/>
    <w:rsid w:val="00E62BFE"/>
    <w:rsid w:val="00E62F1B"/>
    <w:rsid w:val="00E636F3"/>
    <w:rsid w:val="00E63F1A"/>
    <w:rsid w:val="00E63F73"/>
    <w:rsid w:val="00E64149"/>
    <w:rsid w:val="00E64A02"/>
    <w:rsid w:val="00E65256"/>
    <w:rsid w:val="00E66469"/>
    <w:rsid w:val="00E66654"/>
    <w:rsid w:val="00E668F0"/>
    <w:rsid w:val="00E67015"/>
    <w:rsid w:val="00E6799D"/>
    <w:rsid w:val="00E679A2"/>
    <w:rsid w:val="00E700D7"/>
    <w:rsid w:val="00E704FC"/>
    <w:rsid w:val="00E70C3A"/>
    <w:rsid w:val="00E712E9"/>
    <w:rsid w:val="00E7222B"/>
    <w:rsid w:val="00E72266"/>
    <w:rsid w:val="00E7243E"/>
    <w:rsid w:val="00E72820"/>
    <w:rsid w:val="00E72D00"/>
    <w:rsid w:val="00E731AD"/>
    <w:rsid w:val="00E735DA"/>
    <w:rsid w:val="00E7417E"/>
    <w:rsid w:val="00E746C8"/>
    <w:rsid w:val="00E74B67"/>
    <w:rsid w:val="00E74D14"/>
    <w:rsid w:val="00E76697"/>
    <w:rsid w:val="00E76AC2"/>
    <w:rsid w:val="00E76F89"/>
    <w:rsid w:val="00E76FD0"/>
    <w:rsid w:val="00E77221"/>
    <w:rsid w:val="00E77644"/>
    <w:rsid w:val="00E77858"/>
    <w:rsid w:val="00E77981"/>
    <w:rsid w:val="00E80C10"/>
    <w:rsid w:val="00E819A0"/>
    <w:rsid w:val="00E819FD"/>
    <w:rsid w:val="00E821F1"/>
    <w:rsid w:val="00E827A3"/>
    <w:rsid w:val="00E827CC"/>
    <w:rsid w:val="00E83104"/>
    <w:rsid w:val="00E83294"/>
    <w:rsid w:val="00E833CC"/>
    <w:rsid w:val="00E83828"/>
    <w:rsid w:val="00E84449"/>
    <w:rsid w:val="00E8445C"/>
    <w:rsid w:val="00E847ED"/>
    <w:rsid w:val="00E84B00"/>
    <w:rsid w:val="00E85326"/>
    <w:rsid w:val="00E856C6"/>
    <w:rsid w:val="00E85D6F"/>
    <w:rsid w:val="00E8600F"/>
    <w:rsid w:val="00E86042"/>
    <w:rsid w:val="00E86315"/>
    <w:rsid w:val="00E86484"/>
    <w:rsid w:val="00E87A02"/>
    <w:rsid w:val="00E90385"/>
    <w:rsid w:val="00E912B9"/>
    <w:rsid w:val="00E91502"/>
    <w:rsid w:val="00E916E7"/>
    <w:rsid w:val="00E91936"/>
    <w:rsid w:val="00E91EAC"/>
    <w:rsid w:val="00E9258E"/>
    <w:rsid w:val="00E92B5A"/>
    <w:rsid w:val="00E939EE"/>
    <w:rsid w:val="00E93B89"/>
    <w:rsid w:val="00E94715"/>
    <w:rsid w:val="00E94A87"/>
    <w:rsid w:val="00E95509"/>
    <w:rsid w:val="00E95A26"/>
    <w:rsid w:val="00E95CCE"/>
    <w:rsid w:val="00E96026"/>
    <w:rsid w:val="00E9671F"/>
    <w:rsid w:val="00E96BA1"/>
    <w:rsid w:val="00E97161"/>
    <w:rsid w:val="00EA0095"/>
    <w:rsid w:val="00EA0B9E"/>
    <w:rsid w:val="00EA0E56"/>
    <w:rsid w:val="00EA0F70"/>
    <w:rsid w:val="00EA0FD3"/>
    <w:rsid w:val="00EA1205"/>
    <w:rsid w:val="00EA1418"/>
    <w:rsid w:val="00EA2594"/>
    <w:rsid w:val="00EA289D"/>
    <w:rsid w:val="00EA2C43"/>
    <w:rsid w:val="00EA3080"/>
    <w:rsid w:val="00EA381F"/>
    <w:rsid w:val="00EA395D"/>
    <w:rsid w:val="00EA4552"/>
    <w:rsid w:val="00EA47D4"/>
    <w:rsid w:val="00EA4A32"/>
    <w:rsid w:val="00EA4BEA"/>
    <w:rsid w:val="00EA5892"/>
    <w:rsid w:val="00EA5A62"/>
    <w:rsid w:val="00EA5D52"/>
    <w:rsid w:val="00EA642F"/>
    <w:rsid w:val="00EA68C2"/>
    <w:rsid w:val="00EB0198"/>
    <w:rsid w:val="00EB0BEE"/>
    <w:rsid w:val="00EB0E11"/>
    <w:rsid w:val="00EB135A"/>
    <w:rsid w:val="00EB1A87"/>
    <w:rsid w:val="00EB2270"/>
    <w:rsid w:val="00EB288C"/>
    <w:rsid w:val="00EB2A0B"/>
    <w:rsid w:val="00EB2F4F"/>
    <w:rsid w:val="00EB397E"/>
    <w:rsid w:val="00EB3D6C"/>
    <w:rsid w:val="00EB47BE"/>
    <w:rsid w:val="00EB4851"/>
    <w:rsid w:val="00EB4B6F"/>
    <w:rsid w:val="00EB4BEB"/>
    <w:rsid w:val="00EB4DFB"/>
    <w:rsid w:val="00EB53BB"/>
    <w:rsid w:val="00EB5472"/>
    <w:rsid w:val="00EB5558"/>
    <w:rsid w:val="00EB57CE"/>
    <w:rsid w:val="00EB57D8"/>
    <w:rsid w:val="00EB6240"/>
    <w:rsid w:val="00EB644D"/>
    <w:rsid w:val="00EB7140"/>
    <w:rsid w:val="00EB72DC"/>
    <w:rsid w:val="00EB77BD"/>
    <w:rsid w:val="00EB7BB1"/>
    <w:rsid w:val="00EC056E"/>
    <w:rsid w:val="00EC057A"/>
    <w:rsid w:val="00EC1656"/>
    <w:rsid w:val="00EC184E"/>
    <w:rsid w:val="00EC19E6"/>
    <w:rsid w:val="00EC26DB"/>
    <w:rsid w:val="00EC2B2F"/>
    <w:rsid w:val="00EC2F8B"/>
    <w:rsid w:val="00EC3426"/>
    <w:rsid w:val="00EC3F18"/>
    <w:rsid w:val="00EC4AE5"/>
    <w:rsid w:val="00EC4FF4"/>
    <w:rsid w:val="00EC6966"/>
    <w:rsid w:val="00EC6C06"/>
    <w:rsid w:val="00EC7476"/>
    <w:rsid w:val="00EC7531"/>
    <w:rsid w:val="00EC753E"/>
    <w:rsid w:val="00EC7780"/>
    <w:rsid w:val="00EC78EB"/>
    <w:rsid w:val="00ED0247"/>
    <w:rsid w:val="00ED0537"/>
    <w:rsid w:val="00ED0BA7"/>
    <w:rsid w:val="00ED0C2E"/>
    <w:rsid w:val="00ED122E"/>
    <w:rsid w:val="00ED131A"/>
    <w:rsid w:val="00ED135E"/>
    <w:rsid w:val="00ED1903"/>
    <w:rsid w:val="00ED1FA3"/>
    <w:rsid w:val="00ED34DF"/>
    <w:rsid w:val="00ED3B5C"/>
    <w:rsid w:val="00ED3D92"/>
    <w:rsid w:val="00ED3EB8"/>
    <w:rsid w:val="00ED414A"/>
    <w:rsid w:val="00ED482D"/>
    <w:rsid w:val="00ED5107"/>
    <w:rsid w:val="00ED5670"/>
    <w:rsid w:val="00ED5800"/>
    <w:rsid w:val="00ED5F25"/>
    <w:rsid w:val="00ED60FB"/>
    <w:rsid w:val="00ED612A"/>
    <w:rsid w:val="00ED6A56"/>
    <w:rsid w:val="00ED6E0D"/>
    <w:rsid w:val="00ED6F66"/>
    <w:rsid w:val="00ED7150"/>
    <w:rsid w:val="00ED7D85"/>
    <w:rsid w:val="00EE001B"/>
    <w:rsid w:val="00EE0654"/>
    <w:rsid w:val="00EE07A5"/>
    <w:rsid w:val="00EE0F9A"/>
    <w:rsid w:val="00EE15B1"/>
    <w:rsid w:val="00EE1A5A"/>
    <w:rsid w:val="00EE2B5E"/>
    <w:rsid w:val="00EE3217"/>
    <w:rsid w:val="00EE34D6"/>
    <w:rsid w:val="00EE3E8D"/>
    <w:rsid w:val="00EE4095"/>
    <w:rsid w:val="00EE460C"/>
    <w:rsid w:val="00EE48E8"/>
    <w:rsid w:val="00EE4C76"/>
    <w:rsid w:val="00EE4DDE"/>
    <w:rsid w:val="00EE4F1E"/>
    <w:rsid w:val="00EE5784"/>
    <w:rsid w:val="00EE6138"/>
    <w:rsid w:val="00EE628E"/>
    <w:rsid w:val="00EE6882"/>
    <w:rsid w:val="00EE68D4"/>
    <w:rsid w:val="00EF07D0"/>
    <w:rsid w:val="00EF08B0"/>
    <w:rsid w:val="00EF0D7C"/>
    <w:rsid w:val="00EF0E6D"/>
    <w:rsid w:val="00EF109B"/>
    <w:rsid w:val="00EF156B"/>
    <w:rsid w:val="00EF1CC0"/>
    <w:rsid w:val="00EF2B89"/>
    <w:rsid w:val="00EF356D"/>
    <w:rsid w:val="00EF3A49"/>
    <w:rsid w:val="00EF3C52"/>
    <w:rsid w:val="00EF3CDD"/>
    <w:rsid w:val="00EF4F82"/>
    <w:rsid w:val="00EF5D51"/>
    <w:rsid w:val="00EF5DC7"/>
    <w:rsid w:val="00EF6094"/>
    <w:rsid w:val="00EF647B"/>
    <w:rsid w:val="00EF69C2"/>
    <w:rsid w:val="00EF6C83"/>
    <w:rsid w:val="00EF701F"/>
    <w:rsid w:val="00EF71E7"/>
    <w:rsid w:val="00EF7AB0"/>
    <w:rsid w:val="00EF7FB3"/>
    <w:rsid w:val="00F001D0"/>
    <w:rsid w:val="00F005AA"/>
    <w:rsid w:val="00F01C99"/>
    <w:rsid w:val="00F0207A"/>
    <w:rsid w:val="00F0215C"/>
    <w:rsid w:val="00F022FB"/>
    <w:rsid w:val="00F02EE2"/>
    <w:rsid w:val="00F03681"/>
    <w:rsid w:val="00F03E44"/>
    <w:rsid w:val="00F04822"/>
    <w:rsid w:val="00F04EAF"/>
    <w:rsid w:val="00F05BF9"/>
    <w:rsid w:val="00F06038"/>
    <w:rsid w:val="00F11347"/>
    <w:rsid w:val="00F11DDB"/>
    <w:rsid w:val="00F12732"/>
    <w:rsid w:val="00F127FD"/>
    <w:rsid w:val="00F13634"/>
    <w:rsid w:val="00F13763"/>
    <w:rsid w:val="00F13D74"/>
    <w:rsid w:val="00F13E55"/>
    <w:rsid w:val="00F1432D"/>
    <w:rsid w:val="00F1451A"/>
    <w:rsid w:val="00F14B02"/>
    <w:rsid w:val="00F14B80"/>
    <w:rsid w:val="00F14B85"/>
    <w:rsid w:val="00F14D4B"/>
    <w:rsid w:val="00F15956"/>
    <w:rsid w:val="00F15F95"/>
    <w:rsid w:val="00F1697A"/>
    <w:rsid w:val="00F16C46"/>
    <w:rsid w:val="00F17DD0"/>
    <w:rsid w:val="00F20E40"/>
    <w:rsid w:val="00F2124C"/>
    <w:rsid w:val="00F21B4E"/>
    <w:rsid w:val="00F22005"/>
    <w:rsid w:val="00F232E4"/>
    <w:rsid w:val="00F234D0"/>
    <w:rsid w:val="00F2449C"/>
    <w:rsid w:val="00F25B86"/>
    <w:rsid w:val="00F27340"/>
    <w:rsid w:val="00F2755A"/>
    <w:rsid w:val="00F2775A"/>
    <w:rsid w:val="00F278FB"/>
    <w:rsid w:val="00F30174"/>
    <w:rsid w:val="00F30237"/>
    <w:rsid w:val="00F306DB"/>
    <w:rsid w:val="00F310B3"/>
    <w:rsid w:val="00F316C8"/>
    <w:rsid w:val="00F31884"/>
    <w:rsid w:val="00F321DB"/>
    <w:rsid w:val="00F326CE"/>
    <w:rsid w:val="00F33211"/>
    <w:rsid w:val="00F336D2"/>
    <w:rsid w:val="00F3373D"/>
    <w:rsid w:val="00F33ABA"/>
    <w:rsid w:val="00F33F96"/>
    <w:rsid w:val="00F343F2"/>
    <w:rsid w:val="00F3463D"/>
    <w:rsid w:val="00F34702"/>
    <w:rsid w:val="00F34BC2"/>
    <w:rsid w:val="00F34F06"/>
    <w:rsid w:val="00F35592"/>
    <w:rsid w:val="00F35A54"/>
    <w:rsid w:val="00F360FA"/>
    <w:rsid w:val="00F36257"/>
    <w:rsid w:val="00F3717C"/>
    <w:rsid w:val="00F37A6A"/>
    <w:rsid w:val="00F37CBE"/>
    <w:rsid w:val="00F40191"/>
    <w:rsid w:val="00F40662"/>
    <w:rsid w:val="00F40B17"/>
    <w:rsid w:val="00F40DC5"/>
    <w:rsid w:val="00F40F93"/>
    <w:rsid w:val="00F41637"/>
    <w:rsid w:val="00F41C88"/>
    <w:rsid w:val="00F420EA"/>
    <w:rsid w:val="00F421AE"/>
    <w:rsid w:val="00F42587"/>
    <w:rsid w:val="00F4369A"/>
    <w:rsid w:val="00F4388E"/>
    <w:rsid w:val="00F4495D"/>
    <w:rsid w:val="00F44BED"/>
    <w:rsid w:val="00F44C3D"/>
    <w:rsid w:val="00F44D9C"/>
    <w:rsid w:val="00F44F68"/>
    <w:rsid w:val="00F45890"/>
    <w:rsid w:val="00F45917"/>
    <w:rsid w:val="00F45974"/>
    <w:rsid w:val="00F45992"/>
    <w:rsid w:val="00F4628B"/>
    <w:rsid w:val="00F46819"/>
    <w:rsid w:val="00F46936"/>
    <w:rsid w:val="00F5181B"/>
    <w:rsid w:val="00F51835"/>
    <w:rsid w:val="00F51A95"/>
    <w:rsid w:val="00F520E1"/>
    <w:rsid w:val="00F5254C"/>
    <w:rsid w:val="00F52AC1"/>
    <w:rsid w:val="00F52E33"/>
    <w:rsid w:val="00F52E91"/>
    <w:rsid w:val="00F52E98"/>
    <w:rsid w:val="00F53E1E"/>
    <w:rsid w:val="00F54165"/>
    <w:rsid w:val="00F541DD"/>
    <w:rsid w:val="00F54910"/>
    <w:rsid w:val="00F54E3D"/>
    <w:rsid w:val="00F54FDB"/>
    <w:rsid w:val="00F55165"/>
    <w:rsid w:val="00F55313"/>
    <w:rsid w:val="00F55E87"/>
    <w:rsid w:val="00F565FA"/>
    <w:rsid w:val="00F567E3"/>
    <w:rsid w:val="00F56CE9"/>
    <w:rsid w:val="00F570E4"/>
    <w:rsid w:val="00F57CE6"/>
    <w:rsid w:val="00F60901"/>
    <w:rsid w:val="00F60AB0"/>
    <w:rsid w:val="00F6102B"/>
    <w:rsid w:val="00F6158C"/>
    <w:rsid w:val="00F6173C"/>
    <w:rsid w:val="00F619CC"/>
    <w:rsid w:val="00F62615"/>
    <w:rsid w:val="00F6299B"/>
    <w:rsid w:val="00F62D08"/>
    <w:rsid w:val="00F63B70"/>
    <w:rsid w:val="00F63C89"/>
    <w:rsid w:val="00F63D6E"/>
    <w:rsid w:val="00F64537"/>
    <w:rsid w:val="00F665A3"/>
    <w:rsid w:val="00F673FA"/>
    <w:rsid w:val="00F706D0"/>
    <w:rsid w:val="00F71510"/>
    <w:rsid w:val="00F721FF"/>
    <w:rsid w:val="00F7276B"/>
    <w:rsid w:val="00F72CE2"/>
    <w:rsid w:val="00F74995"/>
    <w:rsid w:val="00F74BF2"/>
    <w:rsid w:val="00F7590A"/>
    <w:rsid w:val="00F75999"/>
    <w:rsid w:val="00F76A4E"/>
    <w:rsid w:val="00F76BFA"/>
    <w:rsid w:val="00F770B9"/>
    <w:rsid w:val="00F77431"/>
    <w:rsid w:val="00F77485"/>
    <w:rsid w:val="00F77756"/>
    <w:rsid w:val="00F77F2E"/>
    <w:rsid w:val="00F804E6"/>
    <w:rsid w:val="00F80760"/>
    <w:rsid w:val="00F809FC"/>
    <w:rsid w:val="00F80FF6"/>
    <w:rsid w:val="00F81505"/>
    <w:rsid w:val="00F815B3"/>
    <w:rsid w:val="00F81FC1"/>
    <w:rsid w:val="00F8271D"/>
    <w:rsid w:val="00F82751"/>
    <w:rsid w:val="00F829CE"/>
    <w:rsid w:val="00F82BF3"/>
    <w:rsid w:val="00F834E8"/>
    <w:rsid w:val="00F83684"/>
    <w:rsid w:val="00F84325"/>
    <w:rsid w:val="00F84A7B"/>
    <w:rsid w:val="00F84CFE"/>
    <w:rsid w:val="00F85285"/>
    <w:rsid w:val="00F856F4"/>
    <w:rsid w:val="00F85DA4"/>
    <w:rsid w:val="00F8649B"/>
    <w:rsid w:val="00F864DA"/>
    <w:rsid w:val="00F86D86"/>
    <w:rsid w:val="00F86FD9"/>
    <w:rsid w:val="00F876FD"/>
    <w:rsid w:val="00F877F2"/>
    <w:rsid w:val="00F879B8"/>
    <w:rsid w:val="00F90056"/>
    <w:rsid w:val="00F901A7"/>
    <w:rsid w:val="00F91280"/>
    <w:rsid w:val="00F914BF"/>
    <w:rsid w:val="00F914E5"/>
    <w:rsid w:val="00F91A2E"/>
    <w:rsid w:val="00F91DB3"/>
    <w:rsid w:val="00F9249B"/>
    <w:rsid w:val="00F9267F"/>
    <w:rsid w:val="00F932B5"/>
    <w:rsid w:val="00F934F0"/>
    <w:rsid w:val="00F93CE1"/>
    <w:rsid w:val="00F95349"/>
    <w:rsid w:val="00F9559F"/>
    <w:rsid w:val="00F958B1"/>
    <w:rsid w:val="00F95B03"/>
    <w:rsid w:val="00F96627"/>
    <w:rsid w:val="00F96732"/>
    <w:rsid w:val="00F96C0E"/>
    <w:rsid w:val="00F972F9"/>
    <w:rsid w:val="00F97557"/>
    <w:rsid w:val="00FA2222"/>
    <w:rsid w:val="00FA2275"/>
    <w:rsid w:val="00FA2459"/>
    <w:rsid w:val="00FA27B2"/>
    <w:rsid w:val="00FA331B"/>
    <w:rsid w:val="00FA37CC"/>
    <w:rsid w:val="00FA41BB"/>
    <w:rsid w:val="00FA44F1"/>
    <w:rsid w:val="00FA4C09"/>
    <w:rsid w:val="00FA5751"/>
    <w:rsid w:val="00FA5963"/>
    <w:rsid w:val="00FA65CC"/>
    <w:rsid w:val="00FA696E"/>
    <w:rsid w:val="00FA75E4"/>
    <w:rsid w:val="00FA7886"/>
    <w:rsid w:val="00FA7A70"/>
    <w:rsid w:val="00FB00F4"/>
    <w:rsid w:val="00FB02DB"/>
    <w:rsid w:val="00FB0B19"/>
    <w:rsid w:val="00FB1189"/>
    <w:rsid w:val="00FB230C"/>
    <w:rsid w:val="00FB377E"/>
    <w:rsid w:val="00FB3E8E"/>
    <w:rsid w:val="00FB4D9B"/>
    <w:rsid w:val="00FB68E0"/>
    <w:rsid w:val="00FB6964"/>
    <w:rsid w:val="00FB73FC"/>
    <w:rsid w:val="00FB7734"/>
    <w:rsid w:val="00FB7C2F"/>
    <w:rsid w:val="00FB7CC7"/>
    <w:rsid w:val="00FC0206"/>
    <w:rsid w:val="00FC05D4"/>
    <w:rsid w:val="00FC0D32"/>
    <w:rsid w:val="00FC177F"/>
    <w:rsid w:val="00FC1A00"/>
    <w:rsid w:val="00FC1AE0"/>
    <w:rsid w:val="00FC1B55"/>
    <w:rsid w:val="00FC2161"/>
    <w:rsid w:val="00FC32F1"/>
    <w:rsid w:val="00FC3325"/>
    <w:rsid w:val="00FC4292"/>
    <w:rsid w:val="00FC43D8"/>
    <w:rsid w:val="00FC4C95"/>
    <w:rsid w:val="00FC4F9C"/>
    <w:rsid w:val="00FC5437"/>
    <w:rsid w:val="00FC5AA6"/>
    <w:rsid w:val="00FC6D04"/>
    <w:rsid w:val="00FC71AA"/>
    <w:rsid w:val="00FC7296"/>
    <w:rsid w:val="00FC72A1"/>
    <w:rsid w:val="00FC7369"/>
    <w:rsid w:val="00FC7EF8"/>
    <w:rsid w:val="00FD03E4"/>
    <w:rsid w:val="00FD0FFB"/>
    <w:rsid w:val="00FD11B0"/>
    <w:rsid w:val="00FD125C"/>
    <w:rsid w:val="00FD15ED"/>
    <w:rsid w:val="00FD18B1"/>
    <w:rsid w:val="00FD1C24"/>
    <w:rsid w:val="00FD42F8"/>
    <w:rsid w:val="00FD4CCF"/>
    <w:rsid w:val="00FD4FAA"/>
    <w:rsid w:val="00FD542C"/>
    <w:rsid w:val="00FD63F4"/>
    <w:rsid w:val="00FD6506"/>
    <w:rsid w:val="00FD66E7"/>
    <w:rsid w:val="00FE025A"/>
    <w:rsid w:val="00FE0359"/>
    <w:rsid w:val="00FE0922"/>
    <w:rsid w:val="00FE0AE9"/>
    <w:rsid w:val="00FE0B90"/>
    <w:rsid w:val="00FE1506"/>
    <w:rsid w:val="00FE182F"/>
    <w:rsid w:val="00FE1FC1"/>
    <w:rsid w:val="00FE21C7"/>
    <w:rsid w:val="00FE24EE"/>
    <w:rsid w:val="00FE2822"/>
    <w:rsid w:val="00FE2D56"/>
    <w:rsid w:val="00FE320B"/>
    <w:rsid w:val="00FE4216"/>
    <w:rsid w:val="00FE4A0A"/>
    <w:rsid w:val="00FE568B"/>
    <w:rsid w:val="00FE6791"/>
    <w:rsid w:val="00FE6A56"/>
    <w:rsid w:val="00FE6AB3"/>
    <w:rsid w:val="00FE6C8E"/>
    <w:rsid w:val="00FE7152"/>
    <w:rsid w:val="00FE7771"/>
    <w:rsid w:val="00FF0CBC"/>
    <w:rsid w:val="00FF190C"/>
    <w:rsid w:val="00FF1CE6"/>
    <w:rsid w:val="00FF2107"/>
    <w:rsid w:val="00FF213F"/>
    <w:rsid w:val="00FF296A"/>
    <w:rsid w:val="00FF31F7"/>
    <w:rsid w:val="00FF3285"/>
    <w:rsid w:val="00FF3461"/>
    <w:rsid w:val="00FF418C"/>
    <w:rsid w:val="00FF42E4"/>
    <w:rsid w:val="00FF567B"/>
    <w:rsid w:val="00FF573A"/>
    <w:rsid w:val="00FF5E23"/>
    <w:rsid w:val="00FF65F7"/>
    <w:rsid w:val="00FF696C"/>
    <w:rsid w:val="00FF6A56"/>
    <w:rsid w:val="00FF6A6D"/>
    <w:rsid w:val="00FF6B8A"/>
    <w:rsid w:val="00FF70DE"/>
    <w:rsid w:val="00FF7301"/>
    <w:rsid w:val="00FF767C"/>
    <w:rsid w:val="00FF76E6"/>
    <w:rsid w:val="00FF77B7"/>
    <w:rsid w:val="00FF7A75"/>
    <w:rsid w:val="00FF7B92"/>
    <w:rsid w:val="00FF7D6F"/>
    <w:rsid w:val="01043A70"/>
    <w:rsid w:val="0117551A"/>
    <w:rsid w:val="011F3D1E"/>
    <w:rsid w:val="012A4E21"/>
    <w:rsid w:val="012E55AD"/>
    <w:rsid w:val="012F3B55"/>
    <w:rsid w:val="013073B4"/>
    <w:rsid w:val="013A690F"/>
    <w:rsid w:val="015A1913"/>
    <w:rsid w:val="015A7948"/>
    <w:rsid w:val="015B61A2"/>
    <w:rsid w:val="015E2839"/>
    <w:rsid w:val="0163262B"/>
    <w:rsid w:val="016B05BC"/>
    <w:rsid w:val="016C3572"/>
    <w:rsid w:val="01777E30"/>
    <w:rsid w:val="018A3E20"/>
    <w:rsid w:val="01936020"/>
    <w:rsid w:val="01C15437"/>
    <w:rsid w:val="01C67396"/>
    <w:rsid w:val="01C7420D"/>
    <w:rsid w:val="01C90029"/>
    <w:rsid w:val="01E2611B"/>
    <w:rsid w:val="01E72079"/>
    <w:rsid w:val="01E92329"/>
    <w:rsid w:val="01EE0EE9"/>
    <w:rsid w:val="01F125AA"/>
    <w:rsid w:val="01FA6612"/>
    <w:rsid w:val="01FE0052"/>
    <w:rsid w:val="02122AAF"/>
    <w:rsid w:val="021235EC"/>
    <w:rsid w:val="021671FC"/>
    <w:rsid w:val="02221DF9"/>
    <w:rsid w:val="0242118E"/>
    <w:rsid w:val="02493FFC"/>
    <w:rsid w:val="024F2D27"/>
    <w:rsid w:val="025C69AC"/>
    <w:rsid w:val="02630791"/>
    <w:rsid w:val="026D194A"/>
    <w:rsid w:val="02790E31"/>
    <w:rsid w:val="027F2E0D"/>
    <w:rsid w:val="029F3EC4"/>
    <w:rsid w:val="02AD79EA"/>
    <w:rsid w:val="02AF1E27"/>
    <w:rsid w:val="02BE3F94"/>
    <w:rsid w:val="02BE5535"/>
    <w:rsid w:val="02C357E3"/>
    <w:rsid w:val="02DF6410"/>
    <w:rsid w:val="02EE3748"/>
    <w:rsid w:val="02F016DD"/>
    <w:rsid w:val="02F43A2B"/>
    <w:rsid w:val="03056DC8"/>
    <w:rsid w:val="03145467"/>
    <w:rsid w:val="031B7166"/>
    <w:rsid w:val="031C76EC"/>
    <w:rsid w:val="032A5E87"/>
    <w:rsid w:val="03333AA1"/>
    <w:rsid w:val="034675D0"/>
    <w:rsid w:val="0378416A"/>
    <w:rsid w:val="037D3E51"/>
    <w:rsid w:val="037E79B9"/>
    <w:rsid w:val="0395476E"/>
    <w:rsid w:val="039E3ADE"/>
    <w:rsid w:val="039E75C5"/>
    <w:rsid w:val="039F7B73"/>
    <w:rsid w:val="03A314FB"/>
    <w:rsid w:val="03A57618"/>
    <w:rsid w:val="03B1695E"/>
    <w:rsid w:val="03E156A2"/>
    <w:rsid w:val="03EE4033"/>
    <w:rsid w:val="03F21F57"/>
    <w:rsid w:val="04003EB2"/>
    <w:rsid w:val="04020541"/>
    <w:rsid w:val="04271AF0"/>
    <w:rsid w:val="042A7BB2"/>
    <w:rsid w:val="045460E0"/>
    <w:rsid w:val="045A31A4"/>
    <w:rsid w:val="04643AB8"/>
    <w:rsid w:val="046A6998"/>
    <w:rsid w:val="047E396A"/>
    <w:rsid w:val="0480087C"/>
    <w:rsid w:val="04802568"/>
    <w:rsid w:val="04873FF4"/>
    <w:rsid w:val="048C4BA2"/>
    <w:rsid w:val="04916503"/>
    <w:rsid w:val="04990B69"/>
    <w:rsid w:val="04AB2DF4"/>
    <w:rsid w:val="04BF5FAF"/>
    <w:rsid w:val="04D043AD"/>
    <w:rsid w:val="04EC7B16"/>
    <w:rsid w:val="04F17197"/>
    <w:rsid w:val="050F142D"/>
    <w:rsid w:val="0511593E"/>
    <w:rsid w:val="05132475"/>
    <w:rsid w:val="05141DF0"/>
    <w:rsid w:val="051D5FC6"/>
    <w:rsid w:val="05250EF1"/>
    <w:rsid w:val="05284395"/>
    <w:rsid w:val="05285B11"/>
    <w:rsid w:val="0531620D"/>
    <w:rsid w:val="05415BBD"/>
    <w:rsid w:val="0545282E"/>
    <w:rsid w:val="05481A3A"/>
    <w:rsid w:val="0549490C"/>
    <w:rsid w:val="055178E9"/>
    <w:rsid w:val="05603190"/>
    <w:rsid w:val="057000C1"/>
    <w:rsid w:val="05713132"/>
    <w:rsid w:val="058D12A0"/>
    <w:rsid w:val="0598798D"/>
    <w:rsid w:val="05990C7D"/>
    <w:rsid w:val="05AE30F1"/>
    <w:rsid w:val="05B40ECA"/>
    <w:rsid w:val="05C100EB"/>
    <w:rsid w:val="05D11D1B"/>
    <w:rsid w:val="05DD77DA"/>
    <w:rsid w:val="05E27355"/>
    <w:rsid w:val="05E570CC"/>
    <w:rsid w:val="05E60001"/>
    <w:rsid w:val="05E61160"/>
    <w:rsid w:val="05E64FBA"/>
    <w:rsid w:val="05EF52C8"/>
    <w:rsid w:val="061E463C"/>
    <w:rsid w:val="062A44AF"/>
    <w:rsid w:val="064D14C2"/>
    <w:rsid w:val="06612458"/>
    <w:rsid w:val="06633218"/>
    <w:rsid w:val="066D5F43"/>
    <w:rsid w:val="066F5090"/>
    <w:rsid w:val="067A5870"/>
    <w:rsid w:val="067A6032"/>
    <w:rsid w:val="068805E7"/>
    <w:rsid w:val="06881577"/>
    <w:rsid w:val="06992382"/>
    <w:rsid w:val="069F394E"/>
    <w:rsid w:val="06A170F3"/>
    <w:rsid w:val="06C26FEB"/>
    <w:rsid w:val="06C620FA"/>
    <w:rsid w:val="06C75CB5"/>
    <w:rsid w:val="06D13A06"/>
    <w:rsid w:val="06D56611"/>
    <w:rsid w:val="06DA6F81"/>
    <w:rsid w:val="06DC3A32"/>
    <w:rsid w:val="06E45F93"/>
    <w:rsid w:val="06F37001"/>
    <w:rsid w:val="07005B38"/>
    <w:rsid w:val="0705457D"/>
    <w:rsid w:val="07233E0C"/>
    <w:rsid w:val="07364A4C"/>
    <w:rsid w:val="07555FEC"/>
    <w:rsid w:val="075B095F"/>
    <w:rsid w:val="07687B73"/>
    <w:rsid w:val="076D2C0D"/>
    <w:rsid w:val="0772499D"/>
    <w:rsid w:val="078968F1"/>
    <w:rsid w:val="078C107C"/>
    <w:rsid w:val="078E4C5C"/>
    <w:rsid w:val="07A359AA"/>
    <w:rsid w:val="07B00F1D"/>
    <w:rsid w:val="07DF782C"/>
    <w:rsid w:val="07EA0E72"/>
    <w:rsid w:val="07EF2444"/>
    <w:rsid w:val="07F51BAB"/>
    <w:rsid w:val="08057A5A"/>
    <w:rsid w:val="080647CE"/>
    <w:rsid w:val="081A2A1A"/>
    <w:rsid w:val="08276797"/>
    <w:rsid w:val="082A5356"/>
    <w:rsid w:val="082D6F32"/>
    <w:rsid w:val="08625011"/>
    <w:rsid w:val="08682F69"/>
    <w:rsid w:val="08767126"/>
    <w:rsid w:val="08773BD3"/>
    <w:rsid w:val="0884628E"/>
    <w:rsid w:val="088816B9"/>
    <w:rsid w:val="089E1642"/>
    <w:rsid w:val="08BA426F"/>
    <w:rsid w:val="08D84358"/>
    <w:rsid w:val="08E522B1"/>
    <w:rsid w:val="08EB7112"/>
    <w:rsid w:val="08EC2B41"/>
    <w:rsid w:val="08EE5F29"/>
    <w:rsid w:val="08F07C2D"/>
    <w:rsid w:val="08F4703A"/>
    <w:rsid w:val="08F66B32"/>
    <w:rsid w:val="08FA146D"/>
    <w:rsid w:val="090030B6"/>
    <w:rsid w:val="090620B8"/>
    <w:rsid w:val="09127C2A"/>
    <w:rsid w:val="09142700"/>
    <w:rsid w:val="091A2C9A"/>
    <w:rsid w:val="091A7D77"/>
    <w:rsid w:val="09281FD6"/>
    <w:rsid w:val="09292548"/>
    <w:rsid w:val="092A2DE7"/>
    <w:rsid w:val="092E6173"/>
    <w:rsid w:val="09403AC6"/>
    <w:rsid w:val="094314F2"/>
    <w:rsid w:val="09465B74"/>
    <w:rsid w:val="094846AB"/>
    <w:rsid w:val="0948646A"/>
    <w:rsid w:val="09551119"/>
    <w:rsid w:val="09577B8B"/>
    <w:rsid w:val="09675EB5"/>
    <w:rsid w:val="096E6879"/>
    <w:rsid w:val="0992244E"/>
    <w:rsid w:val="0998469B"/>
    <w:rsid w:val="09A211CC"/>
    <w:rsid w:val="09A9515D"/>
    <w:rsid w:val="09AB6505"/>
    <w:rsid w:val="09AC384F"/>
    <w:rsid w:val="09B16020"/>
    <w:rsid w:val="09B66B75"/>
    <w:rsid w:val="09B76C6A"/>
    <w:rsid w:val="09BB62F2"/>
    <w:rsid w:val="09CE064A"/>
    <w:rsid w:val="09D26AB5"/>
    <w:rsid w:val="09EA7679"/>
    <w:rsid w:val="09F107B7"/>
    <w:rsid w:val="0A097FBA"/>
    <w:rsid w:val="0A1C2502"/>
    <w:rsid w:val="0A2B4270"/>
    <w:rsid w:val="0A410C2C"/>
    <w:rsid w:val="0A452777"/>
    <w:rsid w:val="0A4632D9"/>
    <w:rsid w:val="0A4E36C6"/>
    <w:rsid w:val="0A592595"/>
    <w:rsid w:val="0A5C220E"/>
    <w:rsid w:val="0A653621"/>
    <w:rsid w:val="0A8B7316"/>
    <w:rsid w:val="0A8C110E"/>
    <w:rsid w:val="0AA16F7A"/>
    <w:rsid w:val="0AAA7062"/>
    <w:rsid w:val="0AAD4EDD"/>
    <w:rsid w:val="0AB55D02"/>
    <w:rsid w:val="0ABA637D"/>
    <w:rsid w:val="0ABF0BD3"/>
    <w:rsid w:val="0ACC08EE"/>
    <w:rsid w:val="0ACD4E91"/>
    <w:rsid w:val="0AD05264"/>
    <w:rsid w:val="0ADB3B99"/>
    <w:rsid w:val="0AE5691F"/>
    <w:rsid w:val="0AEC6CAF"/>
    <w:rsid w:val="0AF639B0"/>
    <w:rsid w:val="0AF65375"/>
    <w:rsid w:val="0AFB19E5"/>
    <w:rsid w:val="0B081D3B"/>
    <w:rsid w:val="0B0C32F3"/>
    <w:rsid w:val="0B0C4720"/>
    <w:rsid w:val="0B197E66"/>
    <w:rsid w:val="0B266A33"/>
    <w:rsid w:val="0B2D2AD7"/>
    <w:rsid w:val="0B2E01DA"/>
    <w:rsid w:val="0B2E5519"/>
    <w:rsid w:val="0B346A82"/>
    <w:rsid w:val="0B38067D"/>
    <w:rsid w:val="0B3C6044"/>
    <w:rsid w:val="0B535598"/>
    <w:rsid w:val="0B582596"/>
    <w:rsid w:val="0B5B4093"/>
    <w:rsid w:val="0B6D1EA2"/>
    <w:rsid w:val="0B6E17CE"/>
    <w:rsid w:val="0B704E99"/>
    <w:rsid w:val="0B7371A6"/>
    <w:rsid w:val="0B7609EE"/>
    <w:rsid w:val="0B893A5C"/>
    <w:rsid w:val="0B8A79AF"/>
    <w:rsid w:val="0BA55BDE"/>
    <w:rsid w:val="0BB7E64E"/>
    <w:rsid w:val="0BBE65A8"/>
    <w:rsid w:val="0BC407FB"/>
    <w:rsid w:val="0BDC277F"/>
    <w:rsid w:val="0BEF6659"/>
    <w:rsid w:val="0BF81BBC"/>
    <w:rsid w:val="0C015150"/>
    <w:rsid w:val="0C121E0B"/>
    <w:rsid w:val="0C195DBC"/>
    <w:rsid w:val="0C27651D"/>
    <w:rsid w:val="0C342351"/>
    <w:rsid w:val="0C347EB6"/>
    <w:rsid w:val="0C36466D"/>
    <w:rsid w:val="0C4161CB"/>
    <w:rsid w:val="0C5313A4"/>
    <w:rsid w:val="0C580538"/>
    <w:rsid w:val="0C5A588C"/>
    <w:rsid w:val="0C635FA4"/>
    <w:rsid w:val="0C682019"/>
    <w:rsid w:val="0C6B0C28"/>
    <w:rsid w:val="0C721CF1"/>
    <w:rsid w:val="0C751045"/>
    <w:rsid w:val="0C8E3C60"/>
    <w:rsid w:val="0C9108D4"/>
    <w:rsid w:val="0C954B1D"/>
    <w:rsid w:val="0CAC493E"/>
    <w:rsid w:val="0CB260FC"/>
    <w:rsid w:val="0CB85B3B"/>
    <w:rsid w:val="0CD10C70"/>
    <w:rsid w:val="0CD93263"/>
    <w:rsid w:val="0CDC30BC"/>
    <w:rsid w:val="0CE07323"/>
    <w:rsid w:val="0CE07C46"/>
    <w:rsid w:val="0CF5147B"/>
    <w:rsid w:val="0D0246DD"/>
    <w:rsid w:val="0D025EA5"/>
    <w:rsid w:val="0D0B0957"/>
    <w:rsid w:val="0D142F14"/>
    <w:rsid w:val="0D2C0E94"/>
    <w:rsid w:val="0D2F35F9"/>
    <w:rsid w:val="0D66545C"/>
    <w:rsid w:val="0D6B717A"/>
    <w:rsid w:val="0D6F45C7"/>
    <w:rsid w:val="0DA25357"/>
    <w:rsid w:val="0DB1705C"/>
    <w:rsid w:val="0DB37D75"/>
    <w:rsid w:val="0DB811DB"/>
    <w:rsid w:val="0DBA2787"/>
    <w:rsid w:val="0DC12134"/>
    <w:rsid w:val="0DC31923"/>
    <w:rsid w:val="0DCA7B13"/>
    <w:rsid w:val="0DE44432"/>
    <w:rsid w:val="0DEE4761"/>
    <w:rsid w:val="0DEF149A"/>
    <w:rsid w:val="0DF504D7"/>
    <w:rsid w:val="0DFC1781"/>
    <w:rsid w:val="0E036A28"/>
    <w:rsid w:val="0E0552CC"/>
    <w:rsid w:val="0E2E0EBE"/>
    <w:rsid w:val="0E47447A"/>
    <w:rsid w:val="0E4C14FB"/>
    <w:rsid w:val="0E514EA5"/>
    <w:rsid w:val="0E634B18"/>
    <w:rsid w:val="0E6401D1"/>
    <w:rsid w:val="0E651521"/>
    <w:rsid w:val="0E661FB6"/>
    <w:rsid w:val="0E663744"/>
    <w:rsid w:val="0E6F23C7"/>
    <w:rsid w:val="0E763E38"/>
    <w:rsid w:val="0E836419"/>
    <w:rsid w:val="0E8854FB"/>
    <w:rsid w:val="0E947A66"/>
    <w:rsid w:val="0E9833E6"/>
    <w:rsid w:val="0EA77ADD"/>
    <w:rsid w:val="0EC37076"/>
    <w:rsid w:val="0EC37A24"/>
    <w:rsid w:val="0ED41EEF"/>
    <w:rsid w:val="0EF034AB"/>
    <w:rsid w:val="0EFA6181"/>
    <w:rsid w:val="0F091448"/>
    <w:rsid w:val="0F094255"/>
    <w:rsid w:val="0F154E41"/>
    <w:rsid w:val="0F1E70E7"/>
    <w:rsid w:val="0F293DB0"/>
    <w:rsid w:val="0F2E5D4C"/>
    <w:rsid w:val="0F355373"/>
    <w:rsid w:val="0F392121"/>
    <w:rsid w:val="0F500AAD"/>
    <w:rsid w:val="0F5838F2"/>
    <w:rsid w:val="0F7E7043"/>
    <w:rsid w:val="0FA04025"/>
    <w:rsid w:val="0FA43DBF"/>
    <w:rsid w:val="0FA96591"/>
    <w:rsid w:val="0FAA1800"/>
    <w:rsid w:val="0FAD455E"/>
    <w:rsid w:val="0FB94A66"/>
    <w:rsid w:val="0FBF12DE"/>
    <w:rsid w:val="0FC00FD2"/>
    <w:rsid w:val="0FC458E1"/>
    <w:rsid w:val="0FCF6175"/>
    <w:rsid w:val="0FDE179C"/>
    <w:rsid w:val="0FE30618"/>
    <w:rsid w:val="0FE81C1D"/>
    <w:rsid w:val="0FF87DD2"/>
    <w:rsid w:val="10077BBA"/>
    <w:rsid w:val="101629EB"/>
    <w:rsid w:val="102075A7"/>
    <w:rsid w:val="102736D0"/>
    <w:rsid w:val="102C7D44"/>
    <w:rsid w:val="10350AA9"/>
    <w:rsid w:val="10583084"/>
    <w:rsid w:val="106344F9"/>
    <w:rsid w:val="106E7C51"/>
    <w:rsid w:val="107B3173"/>
    <w:rsid w:val="108367DF"/>
    <w:rsid w:val="10914F88"/>
    <w:rsid w:val="10A13E2A"/>
    <w:rsid w:val="10AF05A0"/>
    <w:rsid w:val="10B21301"/>
    <w:rsid w:val="10B75631"/>
    <w:rsid w:val="10C45CE4"/>
    <w:rsid w:val="10E80C54"/>
    <w:rsid w:val="110B2FB0"/>
    <w:rsid w:val="112A2054"/>
    <w:rsid w:val="11315402"/>
    <w:rsid w:val="115D46B1"/>
    <w:rsid w:val="116537E5"/>
    <w:rsid w:val="1169450A"/>
    <w:rsid w:val="116B772E"/>
    <w:rsid w:val="118F3035"/>
    <w:rsid w:val="11902D52"/>
    <w:rsid w:val="1193139F"/>
    <w:rsid w:val="11933F45"/>
    <w:rsid w:val="119836EC"/>
    <w:rsid w:val="11A113D2"/>
    <w:rsid w:val="11A337C2"/>
    <w:rsid w:val="11B91225"/>
    <w:rsid w:val="11D20996"/>
    <w:rsid w:val="11D53A3D"/>
    <w:rsid w:val="11DE26F6"/>
    <w:rsid w:val="120F0E58"/>
    <w:rsid w:val="121635CE"/>
    <w:rsid w:val="12307B5E"/>
    <w:rsid w:val="1238707D"/>
    <w:rsid w:val="123F7018"/>
    <w:rsid w:val="124E7446"/>
    <w:rsid w:val="125D54CB"/>
    <w:rsid w:val="126A535E"/>
    <w:rsid w:val="12822265"/>
    <w:rsid w:val="129B148F"/>
    <w:rsid w:val="12A204D0"/>
    <w:rsid w:val="12A20BCA"/>
    <w:rsid w:val="12AF73DE"/>
    <w:rsid w:val="12B76B0D"/>
    <w:rsid w:val="12E332FA"/>
    <w:rsid w:val="12F12F9E"/>
    <w:rsid w:val="12F75FF5"/>
    <w:rsid w:val="13004C3E"/>
    <w:rsid w:val="130F7CE7"/>
    <w:rsid w:val="13135703"/>
    <w:rsid w:val="131362DC"/>
    <w:rsid w:val="132D7A2F"/>
    <w:rsid w:val="133409BB"/>
    <w:rsid w:val="133B53FA"/>
    <w:rsid w:val="133F3392"/>
    <w:rsid w:val="13492B62"/>
    <w:rsid w:val="136E7CAF"/>
    <w:rsid w:val="139522A0"/>
    <w:rsid w:val="13B72832"/>
    <w:rsid w:val="13BA0AF5"/>
    <w:rsid w:val="13BA0BEB"/>
    <w:rsid w:val="13BD18F7"/>
    <w:rsid w:val="13C35CD1"/>
    <w:rsid w:val="13C63A51"/>
    <w:rsid w:val="13D1169E"/>
    <w:rsid w:val="13D25600"/>
    <w:rsid w:val="13D56B53"/>
    <w:rsid w:val="13DD011A"/>
    <w:rsid w:val="13E30590"/>
    <w:rsid w:val="13E843A1"/>
    <w:rsid w:val="13FB3D98"/>
    <w:rsid w:val="1403644B"/>
    <w:rsid w:val="141731A4"/>
    <w:rsid w:val="143A501D"/>
    <w:rsid w:val="143C398A"/>
    <w:rsid w:val="14465682"/>
    <w:rsid w:val="14540FBC"/>
    <w:rsid w:val="145615FA"/>
    <w:rsid w:val="14691F61"/>
    <w:rsid w:val="147036BF"/>
    <w:rsid w:val="147931BB"/>
    <w:rsid w:val="1497147D"/>
    <w:rsid w:val="149D1648"/>
    <w:rsid w:val="14A27F30"/>
    <w:rsid w:val="14A763BF"/>
    <w:rsid w:val="14AA798D"/>
    <w:rsid w:val="14B045A3"/>
    <w:rsid w:val="14E94451"/>
    <w:rsid w:val="14FD7E50"/>
    <w:rsid w:val="150F496E"/>
    <w:rsid w:val="15251BDA"/>
    <w:rsid w:val="152557F8"/>
    <w:rsid w:val="152E4435"/>
    <w:rsid w:val="15303EC3"/>
    <w:rsid w:val="153756DA"/>
    <w:rsid w:val="15421D14"/>
    <w:rsid w:val="154C1133"/>
    <w:rsid w:val="15500816"/>
    <w:rsid w:val="155E28B8"/>
    <w:rsid w:val="15821B76"/>
    <w:rsid w:val="158E445F"/>
    <w:rsid w:val="159D64B9"/>
    <w:rsid w:val="159F4AC2"/>
    <w:rsid w:val="15B2020C"/>
    <w:rsid w:val="15B27B74"/>
    <w:rsid w:val="15C1538F"/>
    <w:rsid w:val="15D905AC"/>
    <w:rsid w:val="15DD5FFB"/>
    <w:rsid w:val="15F020C0"/>
    <w:rsid w:val="15F250DF"/>
    <w:rsid w:val="15F77F8C"/>
    <w:rsid w:val="16053AF1"/>
    <w:rsid w:val="160D7966"/>
    <w:rsid w:val="161C0D90"/>
    <w:rsid w:val="16365169"/>
    <w:rsid w:val="163F67DF"/>
    <w:rsid w:val="16400D29"/>
    <w:rsid w:val="164A4609"/>
    <w:rsid w:val="164B037A"/>
    <w:rsid w:val="165916AA"/>
    <w:rsid w:val="16596D58"/>
    <w:rsid w:val="16755FAF"/>
    <w:rsid w:val="168228A2"/>
    <w:rsid w:val="16867800"/>
    <w:rsid w:val="16893C88"/>
    <w:rsid w:val="168B753F"/>
    <w:rsid w:val="169556B0"/>
    <w:rsid w:val="16A22220"/>
    <w:rsid w:val="16AF07B1"/>
    <w:rsid w:val="16C96D7D"/>
    <w:rsid w:val="16D62CF8"/>
    <w:rsid w:val="16DC62F6"/>
    <w:rsid w:val="16F7709F"/>
    <w:rsid w:val="17032F48"/>
    <w:rsid w:val="170412C1"/>
    <w:rsid w:val="170C5D38"/>
    <w:rsid w:val="170E56B0"/>
    <w:rsid w:val="17326510"/>
    <w:rsid w:val="1733456F"/>
    <w:rsid w:val="17412155"/>
    <w:rsid w:val="17560404"/>
    <w:rsid w:val="17574A29"/>
    <w:rsid w:val="175936C3"/>
    <w:rsid w:val="17661ED0"/>
    <w:rsid w:val="177C3F5A"/>
    <w:rsid w:val="179274CF"/>
    <w:rsid w:val="17A27D76"/>
    <w:rsid w:val="17A65475"/>
    <w:rsid w:val="17B374D2"/>
    <w:rsid w:val="17C07725"/>
    <w:rsid w:val="17CD000B"/>
    <w:rsid w:val="17D2179B"/>
    <w:rsid w:val="17D81ED7"/>
    <w:rsid w:val="17E01A41"/>
    <w:rsid w:val="17ED2E4D"/>
    <w:rsid w:val="17F5409B"/>
    <w:rsid w:val="17F730B7"/>
    <w:rsid w:val="18046E47"/>
    <w:rsid w:val="1823219C"/>
    <w:rsid w:val="18283386"/>
    <w:rsid w:val="182A420E"/>
    <w:rsid w:val="183C6202"/>
    <w:rsid w:val="184F2984"/>
    <w:rsid w:val="185C0435"/>
    <w:rsid w:val="186F6AE2"/>
    <w:rsid w:val="186F7706"/>
    <w:rsid w:val="18763CB0"/>
    <w:rsid w:val="18794169"/>
    <w:rsid w:val="188C54E8"/>
    <w:rsid w:val="189B4117"/>
    <w:rsid w:val="18A46D85"/>
    <w:rsid w:val="18A549AE"/>
    <w:rsid w:val="18A907DC"/>
    <w:rsid w:val="18AC32DE"/>
    <w:rsid w:val="18B12E63"/>
    <w:rsid w:val="18B57E8E"/>
    <w:rsid w:val="18D660E4"/>
    <w:rsid w:val="18DF39A8"/>
    <w:rsid w:val="18E6739D"/>
    <w:rsid w:val="18F32BB1"/>
    <w:rsid w:val="18F84666"/>
    <w:rsid w:val="19137858"/>
    <w:rsid w:val="19155609"/>
    <w:rsid w:val="191A793E"/>
    <w:rsid w:val="192E43BC"/>
    <w:rsid w:val="19326E77"/>
    <w:rsid w:val="194016CC"/>
    <w:rsid w:val="19414540"/>
    <w:rsid w:val="194145A5"/>
    <w:rsid w:val="19424A38"/>
    <w:rsid w:val="194A102C"/>
    <w:rsid w:val="195327C0"/>
    <w:rsid w:val="196C749E"/>
    <w:rsid w:val="1996146A"/>
    <w:rsid w:val="19AA3DA4"/>
    <w:rsid w:val="19AC5BAE"/>
    <w:rsid w:val="19C91205"/>
    <w:rsid w:val="19DB0F94"/>
    <w:rsid w:val="19F54655"/>
    <w:rsid w:val="19FA7004"/>
    <w:rsid w:val="1A0557FC"/>
    <w:rsid w:val="1A0C0B39"/>
    <w:rsid w:val="1A18361C"/>
    <w:rsid w:val="1A1D0BAD"/>
    <w:rsid w:val="1A202464"/>
    <w:rsid w:val="1A3167A7"/>
    <w:rsid w:val="1A3441CE"/>
    <w:rsid w:val="1A347CEF"/>
    <w:rsid w:val="1A375A2D"/>
    <w:rsid w:val="1A3E7639"/>
    <w:rsid w:val="1A4702CC"/>
    <w:rsid w:val="1A7E3697"/>
    <w:rsid w:val="1A83598B"/>
    <w:rsid w:val="1A8B0436"/>
    <w:rsid w:val="1A9139EB"/>
    <w:rsid w:val="1A9433BA"/>
    <w:rsid w:val="1A9E141F"/>
    <w:rsid w:val="1AA67CD1"/>
    <w:rsid w:val="1AA822FA"/>
    <w:rsid w:val="1AB5371D"/>
    <w:rsid w:val="1AB556B6"/>
    <w:rsid w:val="1ABB4B98"/>
    <w:rsid w:val="1AD01DA7"/>
    <w:rsid w:val="1AD07A86"/>
    <w:rsid w:val="1AD70E60"/>
    <w:rsid w:val="1AD75236"/>
    <w:rsid w:val="1ADC4DC3"/>
    <w:rsid w:val="1ADD447F"/>
    <w:rsid w:val="1AE535D2"/>
    <w:rsid w:val="1AF30AA9"/>
    <w:rsid w:val="1AFC6D22"/>
    <w:rsid w:val="1B052446"/>
    <w:rsid w:val="1B206ECF"/>
    <w:rsid w:val="1B2D3D3F"/>
    <w:rsid w:val="1B2D779D"/>
    <w:rsid w:val="1B335C42"/>
    <w:rsid w:val="1B39458C"/>
    <w:rsid w:val="1B490950"/>
    <w:rsid w:val="1B5B2232"/>
    <w:rsid w:val="1B5D0D89"/>
    <w:rsid w:val="1B6A35DB"/>
    <w:rsid w:val="1B6E3B2A"/>
    <w:rsid w:val="1B782C3F"/>
    <w:rsid w:val="1B7D7C38"/>
    <w:rsid w:val="1B8A7FBC"/>
    <w:rsid w:val="1B9423A4"/>
    <w:rsid w:val="1B9C0FD3"/>
    <w:rsid w:val="1B9D791A"/>
    <w:rsid w:val="1BAF77A5"/>
    <w:rsid w:val="1BB719B2"/>
    <w:rsid w:val="1BBA544D"/>
    <w:rsid w:val="1BBB2CBB"/>
    <w:rsid w:val="1BBC7041"/>
    <w:rsid w:val="1BC06BF9"/>
    <w:rsid w:val="1BC449CF"/>
    <w:rsid w:val="1BCA5234"/>
    <w:rsid w:val="1BDA7F06"/>
    <w:rsid w:val="1BEA1165"/>
    <w:rsid w:val="1BF520EC"/>
    <w:rsid w:val="1C071B9A"/>
    <w:rsid w:val="1C0C5C5F"/>
    <w:rsid w:val="1C167B0B"/>
    <w:rsid w:val="1C1A20C8"/>
    <w:rsid w:val="1C2771EF"/>
    <w:rsid w:val="1C3D1800"/>
    <w:rsid w:val="1C401C28"/>
    <w:rsid w:val="1C4667B9"/>
    <w:rsid w:val="1C797C46"/>
    <w:rsid w:val="1C7E350E"/>
    <w:rsid w:val="1C821C46"/>
    <w:rsid w:val="1C8454F9"/>
    <w:rsid w:val="1C954279"/>
    <w:rsid w:val="1CB415D1"/>
    <w:rsid w:val="1CBC7FC0"/>
    <w:rsid w:val="1CBD2332"/>
    <w:rsid w:val="1CC7091E"/>
    <w:rsid w:val="1CCB392B"/>
    <w:rsid w:val="1CCE177D"/>
    <w:rsid w:val="1CE14E51"/>
    <w:rsid w:val="1CE32E87"/>
    <w:rsid w:val="1CF86CEC"/>
    <w:rsid w:val="1CFB5568"/>
    <w:rsid w:val="1CFD4736"/>
    <w:rsid w:val="1D004728"/>
    <w:rsid w:val="1D1E1870"/>
    <w:rsid w:val="1D226B51"/>
    <w:rsid w:val="1D33733A"/>
    <w:rsid w:val="1D370DB7"/>
    <w:rsid w:val="1D3A6321"/>
    <w:rsid w:val="1D4E2A7B"/>
    <w:rsid w:val="1D5A5F8D"/>
    <w:rsid w:val="1D753D60"/>
    <w:rsid w:val="1D95240A"/>
    <w:rsid w:val="1DA52FDB"/>
    <w:rsid w:val="1DB064E6"/>
    <w:rsid w:val="1DE351BB"/>
    <w:rsid w:val="1DE5754E"/>
    <w:rsid w:val="1DF84BBF"/>
    <w:rsid w:val="1DFE7449"/>
    <w:rsid w:val="1E0969E1"/>
    <w:rsid w:val="1E0B76E6"/>
    <w:rsid w:val="1E0C08E5"/>
    <w:rsid w:val="1E5B1377"/>
    <w:rsid w:val="1E6D3692"/>
    <w:rsid w:val="1E725C5C"/>
    <w:rsid w:val="1E755744"/>
    <w:rsid w:val="1E765AEC"/>
    <w:rsid w:val="1E7E4039"/>
    <w:rsid w:val="1E8558EE"/>
    <w:rsid w:val="1E901FEE"/>
    <w:rsid w:val="1E9442E7"/>
    <w:rsid w:val="1E94660E"/>
    <w:rsid w:val="1E94695F"/>
    <w:rsid w:val="1E994219"/>
    <w:rsid w:val="1EA078AE"/>
    <w:rsid w:val="1EA45EC1"/>
    <w:rsid w:val="1EA721E8"/>
    <w:rsid w:val="1EB40283"/>
    <w:rsid w:val="1EC630A4"/>
    <w:rsid w:val="1ED02528"/>
    <w:rsid w:val="1ED45CAE"/>
    <w:rsid w:val="1EED3CC0"/>
    <w:rsid w:val="1F210717"/>
    <w:rsid w:val="1F3C77CC"/>
    <w:rsid w:val="1F424DC2"/>
    <w:rsid w:val="1F5401CC"/>
    <w:rsid w:val="1F54647A"/>
    <w:rsid w:val="1F570644"/>
    <w:rsid w:val="1F59199D"/>
    <w:rsid w:val="1F645556"/>
    <w:rsid w:val="1F673E32"/>
    <w:rsid w:val="1F684DF5"/>
    <w:rsid w:val="1F7E4383"/>
    <w:rsid w:val="1F8C6911"/>
    <w:rsid w:val="1FAD03A2"/>
    <w:rsid w:val="1FB05B86"/>
    <w:rsid w:val="1FB63256"/>
    <w:rsid w:val="1FC13804"/>
    <w:rsid w:val="1FC619C3"/>
    <w:rsid w:val="1FD053D8"/>
    <w:rsid w:val="1FD323FE"/>
    <w:rsid w:val="1FD4042C"/>
    <w:rsid w:val="1FE1419D"/>
    <w:rsid w:val="1FE77689"/>
    <w:rsid w:val="1FE97CC1"/>
    <w:rsid w:val="1FF0410F"/>
    <w:rsid w:val="1FF34102"/>
    <w:rsid w:val="1FF82DDD"/>
    <w:rsid w:val="200E2178"/>
    <w:rsid w:val="20102412"/>
    <w:rsid w:val="204228BF"/>
    <w:rsid w:val="20614265"/>
    <w:rsid w:val="207447E3"/>
    <w:rsid w:val="20A6660B"/>
    <w:rsid w:val="20A7119D"/>
    <w:rsid w:val="20B77808"/>
    <w:rsid w:val="20C26B79"/>
    <w:rsid w:val="20E52835"/>
    <w:rsid w:val="20FB711F"/>
    <w:rsid w:val="2130504F"/>
    <w:rsid w:val="21382F0C"/>
    <w:rsid w:val="214A05AE"/>
    <w:rsid w:val="214B28B3"/>
    <w:rsid w:val="216B68D1"/>
    <w:rsid w:val="217B3E84"/>
    <w:rsid w:val="217B6C76"/>
    <w:rsid w:val="218D4CC7"/>
    <w:rsid w:val="21934972"/>
    <w:rsid w:val="21AD7069"/>
    <w:rsid w:val="21CE76F6"/>
    <w:rsid w:val="21CF3C44"/>
    <w:rsid w:val="21DB4941"/>
    <w:rsid w:val="21DE7C36"/>
    <w:rsid w:val="21DF3A01"/>
    <w:rsid w:val="21E257BE"/>
    <w:rsid w:val="21F506E7"/>
    <w:rsid w:val="220A5EF5"/>
    <w:rsid w:val="22197D89"/>
    <w:rsid w:val="22415BBC"/>
    <w:rsid w:val="224D398A"/>
    <w:rsid w:val="224E2203"/>
    <w:rsid w:val="22585F0F"/>
    <w:rsid w:val="225F0503"/>
    <w:rsid w:val="226B5CC4"/>
    <w:rsid w:val="226D7641"/>
    <w:rsid w:val="227A0DBF"/>
    <w:rsid w:val="228B0CE6"/>
    <w:rsid w:val="228B3FD8"/>
    <w:rsid w:val="229159BD"/>
    <w:rsid w:val="229C5EDB"/>
    <w:rsid w:val="22AB3A42"/>
    <w:rsid w:val="22AF2482"/>
    <w:rsid w:val="22B44D35"/>
    <w:rsid w:val="22B8500B"/>
    <w:rsid w:val="22C234A4"/>
    <w:rsid w:val="22CB52CD"/>
    <w:rsid w:val="22F416F4"/>
    <w:rsid w:val="22FD7853"/>
    <w:rsid w:val="230F3C1C"/>
    <w:rsid w:val="231B258A"/>
    <w:rsid w:val="23287AA7"/>
    <w:rsid w:val="23305F0F"/>
    <w:rsid w:val="23357659"/>
    <w:rsid w:val="233905CD"/>
    <w:rsid w:val="235718E1"/>
    <w:rsid w:val="236553F8"/>
    <w:rsid w:val="23694959"/>
    <w:rsid w:val="236C4F12"/>
    <w:rsid w:val="23882286"/>
    <w:rsid w:val="23925F3C"/>
    <w:rsid w:val="23A4229C"/>
    <w:rsid w:val="23AE55A9"/>
    <w:rsid w:val="23B118CE"/>
    <w:rsid w:val="23B6003B"/>
    <w:rsid w:val="23B80D83"/>
    <w:rsid w:val="23C274FC"/>
    <w:rsid w:val="23D31310"/>
    <w:rsid w:val="23E10250"/>
    <w:rsid w:val="23E6337C"/>
    <w:rsid w:val="23F36F4D"/>
    <w:rsid w:val="23F46D82"/>
    <w:rsid w:val="24034D8D"/>
    <w:rsid w:val="240864B0"/>
    <w:rsid w:val="24105E6F"/>
    <w:rsid w:val="24296431"/>
    <w:rsid w:val="24316E6F"/>
    <w:rsid w:val="24340869"/>
    <w:rsid w:val="24487901"/>
    <w:rsid w:val="24547731"/>
    <w:rsid w:val="24680378"/>
    <w:rsid w:val="246F2D0E"/>
    <w:rsid w:val="24734B0E"/>
    <w:rsid w:val="24742464"/>
    <w:rsid w:val="24747FE9"/>
    <w:rsid w:val="248E11DE"/>
    <w:rsid w:val="24913210"/>
    <w:rsid w:val="24B81CD3"/>
    <w:rsid w:val="24C512AC"/>
    <w:rsid w:val="24C8071E"/>
    <w:rsid w:val="24C91FF8"/>
    <w:rsid w:val="24D01D21"/>
    <w:rsid w:val="24D22D5D"/>
    <w:rsid w:val="24E231A5"/>
    <w:rsid w:val="24EA59AA"/>
    <w:rsid w:val="24EE62D2"/>
    <w:rsid w:val="25145328"/>
    <w:rsid w:val="251B6945"/>
    <w:rsid w:val="251F5695"/>
    <w:rsid w:val="252140E8"/>
    <w:rsid w:val="252C0FEC"/>
    <w:rsid w:val="25326759"/>
    <w:rsid w:val="25441B85"/>
    <w:rsid w:val="254870C0"/>
    <w:rsid w:val="254A4A2E"/>
    <w:rsid w:val="25551B8C"/>
    <w:rsid w:val="255A60CD"/>
    <w:rsid w:val="25661A5A"/>
    <w:rsid w:val="25843F8F"/>
    <w:rsid w:val="259B6168"/>
    <w:rsid w:val="259F79AE"/>
    <w:rsid w:val="25A01A43"/>
    <w:rsid w:val="25CB4857"/>
    <w:rsid w:val="25CC59DE"/>
    <w:rsid w:val="25D83187"/>
    <w:rsid w:val="25D907CC"/>
    <w:rsid w:val="25E655C8"/>
    <w:rsid w:val="26045771"/>
    <w:rsid w:val="26074F8F"/>
    <w:rsid w:val="26196CB2"/>
    <w:rsid w:val="26285351"/>
    <w:rsid w:val="263C3E80"/>
    <w:rsid w:val="263F75D9"/>
    <w:rsid w:val="264708E7"/>
    <w:rsid w:val="26593999"/>
    <w:rsid w:val="267442D0"/>
    <w:rsid w:val="26753D2C"/>
    <w:rsid w:val="267611D3"/>
    <w:rsid w:val="26835127"/>
    <w:rsid w:val="268E4BBA"/>
    <w:rsid w:val="26941A92"/>
    <w:rsid w:val="26A257DB"/>
    <w:rsid w:val="26B90F8E"/>
    <w:rsid w:val="26C05A32"/>
    <w:rsid w:val="26C54E27"/>
    <w:rsid w:val="26CC3C07"/>
    <w:rsid w:val="26DD7326"/>
    <w:rsid w:val="26DE7854"/>
    <w:rsid w:val="26E70BC5"/>
    <w:rsid w:val="26F9459F"/>
    <w:rsid w:val="27074D3E"/>
    <w:rsid w:val="271116DB"/>
    <w:rsid w:val="27113F6C"/>
    <w:rsid w:val="271A51DA"/>
    <w:rsid w:val="27254946"/>
    <w:rsid w:val="272C72DE"/>
    <w:rsid w:val="274A08FC"/>
    <w:rsid w:val="274C764E"/>
    <w:rsid w:val="2756302F"/>
    <w:rsid w:val="275F12B3"/>
    <w:rsid w:val="276026EB"/>
    <w:rsid w:val="2772471C"/>
    <w:rsid w:val="27887B37"/>
    <w:rsid w:val="2789575F"/>
    <w:rsid w:val="278B270B"/>
    <w:rsid w:val="27A74434"/>
    <w:rsid w:val="27AB06FA"/>
    <w:rsid w:val="27AE734E"/>
    <w:rsid w:val="27B23F45"/>
    <w:rsid w:val="27B85561"/>
    <w:rsid w:val="27BC3987"/>
    <w:rsid w:val="27BD611A"/>
    <w:rsid w:val="27BE3D53"/>
    <w:rsid w:val="27C66D4B"/>
    <w:rsid w:val="27C71330"/>
    <w:rsid w:val="27E269CB"/>
    <w:rsid w:val="27E91A8C"/>
    <w:rsid w:val="27EC7DE5"/>
    <w:rsid w:val="280005C1"/>
    <w:rsid w:val="28013A27"/>
    <w:rsid w:val="280310E3"/>
    <w:rsid w:val="2806111F"/>
    <w:rsid w:val="280925EB"/>
    <w:rsid w:val="280D0EB8"/>
    <w:rsid w:val="28126C32"/>
    <w:rsid w:val="282D1E68"/>
    <w:rsid w:val="28325075"/>
    <w:rsid w:val="28476258"/>
    <w:rsid w:val="28574C9E"/>
    <w:rsid w:val="286C7A09"/>
    <w:rsid w:val="287439A8"/>
    <w:rsid w:val="287560DE"/>
    <w:rsid w:val="287823EF"/>
    <w:rsid w:val="287A594C"/>
    <w:rsid w:val="288E24C6"/>
    <w:rsid w:val="289567A3"/>
    <w:rsid w:val="289B58EF"/>
    <w:rsid w:val="28A120BA"/>
    <w:rsid w:val="28A526C6"/>
    <w:rsid w:val="28A74DCB"/>
    <w:rsid w:val="28D53B72"/>
    <w:rsid w:val="28E96F6E"/>
    <w:rsid w:val="28EF1B17"/>
    <w:rsid w:val="29030E83"/>
    <w:rsid w:val="29175D2F"/>
    <w:rsid w:val="292110CC"/>
    <w:rsid w:val="29226060"/>
    <w:rsid w:val="2928648A"/>
    <w:rsid w:val="294076BB"/>
    <w:rsid w:val="29415380"/>
    <w:rsid w:val="294A3E5A"/>
    <w:rsid w:val="294C4D5F"/>
    <w:rsid w:val="29583A9F"/>
    <w:rsid w:val="29702606"/>
    <w:rsid w:val="298B3C64"/>
    <w:rsid w:val="29956E43"/>
    <w:rsid w:val="29982FE8"/>
    <w:rsid w:val="299B61C1"/>
    <w:rsid w:val="299E1FC5"/>
    <w:rsid w:val="29AA7CF7"/>
    <w:rsid w:val="29B4253B"/>
    <w:rsid w:val="29B5574C"/>
    <w:rsid w:val="29B8457E"/>
    <w:rsid w:val="29BD744E"/>
    <w:rsid w:val="29D43999"/>
    <w:rsid w:val="29D65CF5"/>
    <w:rsid w:val="29E209F9"/>
    <w:rsid w:val="2A13132B"/>
    <w:rsid w:val="2A19034C"/>
    <w:rsid w:val="2A1C74B2"/>
    <w:rsid w:val="2A386EBD"/>
    <w:rsid w:val="2A4A4818"/>
    <w:rsid w:val="2A4C1250"/>
    <w:rsid w:val="2A58670E"/>
    <w:rsid w:val="2A6E0E4E"/>
    <w:rsid w:val="2A7108CA"/>
    <w:rsid w:val="2A7A6E34"/>
    <w:rsid w:val="2A904695"/>
    <w:rsid w:val="2AA147F9"/>
    <w:rsid w:val="2AA50BDA"/>
    <w:rsid w:val="2ABA0D7B"/>
    <w:rsid w:val="2AC564FC"/>
    <w:rsid w:val="2ACF0152"/>
    <w:rsid w:val="2ADA4DFF"/>
    <w:rsid w:val="2AE150F8"/>
    <w:rsid w:val="2AF46D91"/>
    <w:rsid w:val="2AF86B85"/>
    <w:rsid w:val="2AFC41F1"/>
    <w:rsid w:val="2B011FE4"/>
    <w:rsid w:val="2B0702E2"/>
    <w:rsid w:val="2B250207"/>
    <w:rsid w:val="2B28410E"/>
    <w:rsid w:val="2B3651A1"/>
    <w:rsid w:val="2B517956"/>
    <w:rsid w:val="2B525722"/>
    <w:rsid w:val="2B5D39BA"/>
    <w:rsid w:val="2B6D1A08"/>
    <w:rsid w:val="2B753C76"/>
    <w:rsid w:val="2B785630"/>
    <w:rsid w:val="2B793974"/>
    <w:rsid w:val="2B7F7BE8"/>
    <w:rsid w:val="2B86355C"/>
    <w:rsid w:val="2B8F1184"/>
    <w:rsid w:val="2B9065E0"/>
    <w:rsid w:val="2B9729CB"/>
    <w:rsid w:val="2BB7608B"/>
    <w:rsid w:val="2BC211D1"/>
    <w:rsid w:val="2BC41B44"/>
    <w:rsid w:val="2BDE14EC"/>
    <w:rsid w:val="2BF62E76"/>
    <w:rsid w:val="2BF84D8E"/>
    <w:rsid w:val="2C033ABC"/>
    <w:rsid w:val="2C047B3A"/>
    <w:rsid w:val="2C1305B1"/>
    <w:rsid w:val="2C1758CF"/>
    <w:rsid w:val="2C1A354E"/>
    <w:rsid w:val="2C1F3B79"/>
    <w:rsid w:val="2C452B2D"/>
    <w:rsid w:val="2C492C36"/>
    <w:rsid w:val="2C60237D"/>
    <w:rsid w:val="2C6A57CD"/>
    <w:rsid w:val="2C6B49C9"/>
    <w:rsid w:val="2C6E6FCD"/>
    <w:rsid w:val="2C72135B"/>
    <w:rsid w:val="2C83572D"/>
    <w:rsid w:val="2C8C5A7E"/>
    <w:rsid w:val="2C8D55AD"/>
    <w:rsid w:val="2C9248BA"/>
    <w:rsid w:val="2C934D84"/>
    <w:rsid w:val="2CA32E88"/>
    <w:rsid w:val="2CB424B1"/>
    <w:rsid w:val="2CBE3246"/>
    <w:rsid w:val="2CC413E2"/>
    <w:rsid w:val="2CC802D9"/>
    <w:rsid w:val="2CDC502F"/>
    <w:rsid w:val="2CDC672B"/>
    <w:rsid w:val="2CDF4F09"/>
    <w:rsid w:val="2CE27524"/>
    <w:rsid w:val="2CEB0142"/>
    <w:rsid w:val="2CF320D2"/>
    <w:rsid w:val="2CF83F53"/>
    <w:rsid w:val="2D1E33D5"/>
    <w:rsid w:val="2D24377C"/>
    <w:rsid w:val="2D336006"/>
    <w:rsid w:val="2D3D4E17"/>
    <w:rsid w:val="2D4935AD"/>
    <w:rsid w:val="2D566478"/>
    <w:rsid w:val="2D7F02D6"/>
    <w:rsid w:val="2D9D0BB7"/>
    <w:rsid w:val="2DA26D95"/>
    <w:rsid w:val="2DA413CA"/>
    <w:rsid w:val="2DC05192"/>
    <w:rsid w:val="2DE62165"/>
    <w:rsid w:val="2DE805FC"/>
    <w:rsid w:val="2DEB47D7"/>
    <w:rsid w:val="2DF0342C"/>
    <w:rsid w:val="2E0C6F3E"/>
    <w:rsid w:val="2E0F2B6F"/>
    <w:rsid w:val="2E1977B8"/>
    <w:rsid w:val="2E2200F6"/>
    <w:rsid w:val="2E306822"/>
    <w:rsid w:val="2E3A22AB"/>
    <w:rsid w:val="2E3C0D78"/>
    <w:rsid w:val="2E440DBA"/>
    <w:rsid w:val="2E4E284A"/>
    <w:rsid w:val="2E531D05"/>
    <w:rsid w:val="2E570AA3"/>
    <w:rsid w:val="2E6B2CE1"/>
    <w:rsid w:val="2E7B61FD"/>
    <w:rsid w:val="2E7F48C7"/>
    <w:rsid w:val="2E883F4F"/>
    <w:rsid w:val="2E995B75"/>
    <w:rsid w:val="2E9A38AB"/>
    <w:rsid w:val="2E9F7ACE"/>
    <w:rsid w:val="2EA035D3"/>
    <w:rsid w:val="2EB00084"/>
    <w:rsid w:val="2EB13533"/>
    <w:rsid w:val="2EBC0113"/>
    <w:rsid w:val="2EBC74B9"/>
    <w:rsid w:val="2EC15360"/>
    <w:rsid w:val="2ED7075B"/>
    <w:rsid w:val="2F0322BF"/>
    <w:rsid w:val="2F137D96"/>
    <w:rsid w:val="2F1D4987"/>
    <w:rsid w:val="2F234FCB"/>
    <w:rsid w:val="2F2820FC"/>
    <w:rsid w:val="2F2B0115"/>
    <w:rsid w:val="2F540C31"/>
    <w:rsid w:val="2F574071"/>
    <w:rsid w:val="2F5E2555"/>
    <w:rsid w:val="2F6B2E0E"/>
    <w:rsid w:val="2F6E14A3"/>
    <w:rsid w:val="2F7C06CC"/>
    <w:rsid w:val="2F9619AC"/>
    <w:rsid w:val="2F9835CF"/>
    <w:rsid w:val="2FA166ED"/>
    <w:rsid w:val="2FB151D3"/>
    <w:rsid w:val="2FB944E5"/>
    <w:rsid w:val="2FC871E6"/>
    <w:rsid w:val="2FDE5F50"/>
    <w:rsid w:val="2FEC4EBA"/>
    <w:rsid w:val="2FEE3B1C"/>
    <w:rsid w:val="300D33B1"/>
    <w:rsid w:val="300E7796"/>
    <w:rsid w:val="301E0F2A"/>
    <w:rsid w:val="301E5143"/>
    <w:rsid w:val="302C3DCE"/>
    <w:rsid w:val="3030731E"/>
    <w:rsid w:val="303E1D0E"/>
    <w:rsid w:val="30403475"/>
    <w:rsid w:val="30424964"/>
    <w:rsid w:val="30576568"/>
    <w:rsid w:val="305A62E5"/>
    <w:rsid w:val="30695D27"/>
    <w:rsid w:val="30765927"/>
    <w:rsid w:val="30766E97"/>
    <w:rsid w:val="30867943"/>
    <w:rsid w:val="308F608C"/>
    <w:rsid w:val="3097480E"/>
    <w:rsid w:val="30977B06"/>
    <w:rsid w:val="309C57CB"/>
    <w:rsid w:val="30A309C3"/>
    <w:rsid w:val="30B059A2"/>
    <w:rsid w:val="30B67543"/>
    <w:rsid w:val="30B77036"/>
    <w:rsid w:val="30BA3015"/>
    <w:rsid w:val="30D818F0"/>
    <w:rsid w:val="30E17DBD"/>
    <w:rsid w:val="30EB518F"/>
    <w:rsid w:val="310137B1"/>
    <w:rsid w:val="3106476B"/>
    <w:rsid w:val="3107368E"/>
    <w:rsid w:val="31102DE7"/>
    <w:rsid w:val="31323F94"/>
    <w:rsid w:val="31380202"/>
    <w:rsid w:val="313E524F"/>
    <w:rsid w:val="315149DE"/>
    <w:rsid w:val="3154270A"/>
    <w:rsid w:val="31573DD5"/>
    <w:rsid w:val="315A64D4"/>
    <w:rsid w:val="31607574"/>
    <w:rsid w:val="31671616"/>
    <w:rsid w:val="316B4C4C"/>
    <w:rsid w:val="3178186F"/>
    <w:rsid w:val="317A54B7"/>
    <w:rsid w:val="31850558"/>
    <w:rsid w:val="3189428A"/>
    <w:rsid w:val="318D37BB"/>
    <w:rsid w:val="319464D1"/>
    <w:rsid w:val="31973A57"/>
    <w:rsid w:val="31983637"/>
    <w:rsid w:val="31A04336"/>
    <w:rsid w:val="31AA3365"/>
    <w:rsid w:val="31AB491E"/>
    <w:rsid w:val="31AE341C"/>
    <w:rsid w:val="31B22405"/>
    <w:rsid w:val="31B30043"/>
    <w:rsid w:val="31B64C69"/>
    <w:rsid w:val="31B82294"/>
    <w:rsid w:val="31BF264E"/>
    <w:rsid w:val="31C20764"/>
    <w:rsid w:val="31C262F6"/>
    <w:rsid w:val="31C75D39"/>
    <w:rsid w:val="31D4176D"/>
    <w:rsid w:val="31DA0183"/>
    <w:rsid w:val="31E10BE3"/>
    <w:rsid w:val="31EA1749"/>
    <w:rsid w:val="31FD1227"/>
    <w:rsid w:val="32054F90"/>
    <w:rsid w:val="320A243D"/>
    <w:rsid w:val="32190430"/>
    <w:rsid w:val="32191252"/>
    <w:rsid w:val="322828A8"/>
    <w:rsid w:val="323C26C8"/>
    <w:rsid w:val="32446CA5"/>
    <w:rsid w:val="32495110"/>
    <w:rsid w:val="325311BF"/>
    <w:rsid w:val="325D07E4"/>
    <w:rsid w:val="32682E98"/>
    <w:rsid w:val="327250DD"/>
    <w:rsid w:val="327556FE"/>
    <w:rsid w:val="32884F63"/>
    <w:rsid w:val="32953F41"/>
    <w:rsid w:val="32A12652"/>
    <w:rsid w:val="32B73DE5"/>
    <w:rsid w:val="32BE200C"/>
    <w:rsid w:val="32C56718"/>
    <w:rsid w:val="32C941B0"/>
    <w:rsid w:val="32E410C9"/>
    <w:rsid w:val="32E419E9"/>
    <w:rsid w:val="32EA5881"/>
    <w:rsid w:val="32ED0BAC"/>
    <w:rsid w:val="32F5691F"/>
    <w:rsid w:val="32F73699"/>
    <w:rsid w:val="32F75A72"/>
    <w:rsid w:val="33027260"/>
    <w:rsid w:val="330B21BF"/>
    <w:rsid w:val="330F1298"/>
    <w:rsid w:val="33160B51"/>
    <w:rsid w:val="33260492"/>
    <w:rsid w:val="332A12B8"/>
    <w:rsid w:val="333155AA"/>
    <w:rsid w:val="333F704E"/>
    <w:rsid w:val="33444067"/>
    <w:rsid w:val="334D06E6"/>
    <w:rsid w:val="334F1AED"/>
    <w:rsid w:val="33560AA5"/>
    <w:rsid w:val="337E17B6"/>
    <w:rsid w:val="338C5AE2"/>
    <w:rsid w:val="338F7FCA"/>
    <w:rsid w:val="33A06995"/>
    <w:rsid w:val="33A2330C"/>
    <w:rsid w:val="33AA291B"/>
    <w:rsid w:val="33AA3D46"/>
    <w:rsid w:val="33AA7294"/>
    <w:rsid w:val="33AB4C42"/>
    <w:rsid w:val="33AD1A54"/>
    <w:rsid w:val="33B52EAF"/>
    <w:rsid w:val="33B57D19"/>
    <w:rsid w:val="33C55A7A"/>
    <w:rsid w:val="33D85A5E"/>
    <w:rsid w:val="33DE3E45"/>
    <w:rsid w:val="33EA7F6D"/>
    <w:rsid w:val="33ED7016"/>
    <w:rsid w:val="33EF0E80"/>
    <w:rsid w:val="33F2465D"/>
    <w:rsid w:val="33F92E29"/>
    <w:rsid w:val="34056924"/>
    <w:rsid w:val="341A5E32"/>
    <w:rsid w:val="341F6FAE"/>
    <w:rsid w:val="34385041"/>
    <w:rsid w:val="34442C19"/>
    <w:rsid w:val="344472CD"/>
    <w:rsid w:val="34455848"/>
    <w:rsid w:val="34475F1D"/>
    <w:rsid w:val="345327B1"/>
    <w:rsid w:val="346511A8"/>
    <w:rsid w:val="347A77AC"/>
    <w:rsid w:val="34825E5D"/>
    <w:rsid w:val="34877CE8"/>
    <w:rsid w:val="348F6779"/>
    <w:rsid w:val="349C75E0"/>
    <w:rsid w:val="34A769E4"/>
    <w:rsid w:val="34A94D04"/>
    <w:rsid w:val="34B9357A"/>
    <w:rsid w:val="34C06B23"/>
    <w:rsid w:val="34CA38A2"/>
    <w:rsid w:val="34CD29A6"/>
    <w:rsid w:val="34CD7521"/>
    <w:rsid w:val="34DA72F9"/>
    <w:rsid w:val="34DC2B4A"/>
    <w:rsid w:val="34EC124D"/>
    <w:rsid w:val="34F55E2F"/>
    <w:rsid w:val="34FB1589"/>
    <w:rsid w:val="35105594"/>
    <w:rsid w:val="35292FF1"/>
    <w:rsid w:val="35327B80"/>
    <w:rsid w:val="35394C91"/>
    <w:rsid w:val="35515F95"/>
    <w:rsid w:val="35543640"/>
    <w:rsid w:val="35574017"/>
    <w:rsid w:val="355F699B"/>
    <w:rsid w:val="3561044A"/>
    <w:rsid w:val="35623B07"/>
    <w:rsid w:val="356E580A"/>
    <w:rsid w:val="357B204A"/>
    <w:rsid w:val="358D4A0B"/>
    <w:rsid w:val="358D6E32"/>
    <w:rsid w:val="35992BC7"/>
    <w:rsid w:val="359F2ED6"/>
    <w:rsid w:val="35A235B9"/>
    <w:rsid w:val="35A564CA"/>
    <w:rsid w:val="35B00899"/>
    <w:rsid w:val="35B56676"/>
    <w:rsid w:val="35BB2261"/>
    <w:rsid w:val="35BF4704"/>
    <w:rsid w:val="35D43977"/>
    <w:rsid w:val="35DC325B"/>
    <w:rsid w:val="35E13599"/>
    <w:rsid w:val="360416D1"/>
    <w:rsid w:val="36043EF2"/>
    <w:rsid w:val="360945C3"/>
    <w:rsid w:val="360E1FF3"/>
    <w:rsid w:val="361F1924"/>
    <w:rsid w:val="36292BC5"/>
    <w:rsid w:val="362F1EE3"/>
    <w:rsid w:val="363F5B8C"/>
    <w:rsid w:val="36411A34"/>
    <w:rsid w:val="36420F4B"/>
    <w:rsid w:val="3650452F"/>
    <w:rsid w:val="3650748E"/>
    <w:rsid w:val="36552BC1"/>
    <w:rsid w:val="36565AF9"/>
    <w:rsid w:val="365D7E36"/>
    <w:rsid w:val="366A6FEF"/>
    <w:rsid w:val="36760927"/>
    <w:rsid w:val="3682507D"/>
    <w:rsid w:val="368976A0"/>
    <w:rsid w:val="368C04FF"/>
    <w:rsid w:val="3692120B"/>
    <w:rsid w:val="36A06A70"/>
    <w:rsid w:val="36A4475E"/>
    <w:rsid w:val="36C15487"/>
    <w:rsid w:val="36E8025C"/>
    <w:rsid w:val="36EB13E7"/>
    <w:rsid w:val="36ED061B"/>
    <w:rsid w:val="3701296E"/>
    <w:rsid w:val="37150E5D"/>
    <w:rsid w:val="371D7C59"/>
    <w:rsid w:val="371F2C21"/>
    <w:rsid w:val="3729127A"/>
    <w:rsid w:val="37386315"/>
    <w:rsid w:val="373966BF"/>
    <w:rsid w:val="37443715"/>
    <w:rsid w:val="375E7584"/>
    <w:rsid w:val="37644903"/>
    <w:rsid w:val="376B6698"/>
    <w:rsid w:val="377B0086"/>
    <w:rsid w:val="3784033C"/>
    <w:rsid w:val="37873001"/>
    <w:rsid w:val="37881941"/>
    <w:rsid w:val="379C4FD9"/>
    <w:rsid w:val="37AD19A5"/>
    <w:rsid w:val="37AD4051"/>
    <w:rsid w:val="37BB5CE4"/>
    <w:rsid w:val="37C624B2"/>
    <w:rsid w:val="37D5775A"/>
    <w:rsid w:val="37D77088"/>
    <w:rsid w:val="37E8799D"/>
    <w:rsid w:val="37EF21FA"/>
    <w:rsid w:val="380C307C"/>
    <w:rsid w:val="380D1DF8"/>
    <w:rsid w:val="38177104"/>
    <w:rsid w:val="38247E03"/>
    <w:rsid w:val="38343CF8"/>
    <w:rsid w:val="383C1156"/>
    <w:rsid w:val="384560CE"/>
    <w:rsid w:val="384E7871"/>
    <w:rsid w:val="38511657"/>
    <w:rsid w:val="38573E77"/>
    <w:rsid w:val="38851852"/>
    <w:rsid w:val="38971FD1"/>
    <w:rsid w:val="389E702E"/>
    <w:rsid w:val="38A3384A"/>
    <w:rsid w:val="38A90CC2"/>
    <w:rsid w:val="38A92F35"/>
    <w:rsid w:val="38AD6712"/>
    <w:rsid w:val="38B04501"/>
    <w:rsid w:val="38B251EF"/>
    <w:rsid w:val="38B94B3B"/>
    <w:rsid w:val="38BB1A77"/>
    <w:rsid w:val="38C4306E"/>
    <w:rsid w:val="38CD6301"/>
    <w:rsid w:val="38EF420E"/>
    <w:rsid w:val="38F66432"/>
    <w:rsid w:val="38FA6045"/>
    <w:rsid w:val="38FB1D5E"/>
    <w:rsid w:val="390013A5"/>
    <w:rsid w:val="390C5C90"/>
    <w:rsid w:val="3915321F"/>
    <w:rsid w:val="39380364"/>
    <w:rsid w:val="39614166"/>
    <w:rsid w:val="39827A75"/>
    <w:rsid w:val="398D796F"/>
    <w:rsid w:val="399145CA"/>
    <w:rsid w:val="39970FB4"/>
    <w:rsid w:val="399A3A79"/>
    <w:rsid w:val="39A65D00"/>
    <w:rsid w:val="39B027BA"/>
    <w:rsid w:val="39B4592A"/>
    <w:rsid w:val="39B723E4"/>
    <w:rsid w:val="39C50DE6"/>
    <w:rsid w:val="39D55263"/>
    <w:rsid w:val="39E8135F"/>
    <w:rsid w:val="39FC7488"/>
    <w:rsid w:val="3A011023"/>
    <w:rsid w:val="3A022510"/>
    <w:rsid w:val="3A0A2110"/>
    <w:rsid w:val="3A0B3E07"/>
    <w:rsid w:val="3A14138F"/>
    <w:rsid w:val="3A197B2B"/>
    <w:rsid w:val="3A273B0B"/>
    <w:rsid w:val="3A331870"/>
    <w:rsid w:val="3A527966"/>
    <w:rsid w:val="3A581FA4"/>
    <w:rsid w:val="3A616393"/>
    <w:rsid w:val="3A6C67A5"/>
    <w:rsid w:val="3A79719B"/>
    <w:rsid w:val="3AAC5D30"/>
    <w:rsid w:val="3AFA227D"/>
    <w:rsid w:val="3AFC1732"/>
    <w:rsid w:val="3B062D9F"/>
    <w:rsid w:val="3B074C1B"/>
    <w:rsid w:val="3B0C5A81"/>
    <w:rsid w:val="3B10564F"/>
    <w:rsid w:val="3B173BFD"/>
    <w:rsid w:val="3B1D03BA"/>
    <w:rsid w:val="3B387052"/>
    <w:rsid w:val="3B3924F6"/>
    <w:rsid w:val="3B3E4F61"/>
    <w:rsid w:val="3B457FCA"/>
    <w:rsid w:val="3B493D2A"/>
    <w:rsid w:val="3B4B2275"/>
    <w:rsid w:val="3B9725CA"/>
    <w:rsid w:val="3BA672A9"/>
    <w:rsid w:val="3BAC7A40"/>
    <w:rsid w:val="3BB3668C"/>
    <w:rsid w:val="3BC51E5E"/>
    <w:rsid w:val="3BC81B99"/>
    <w:rsid w:val="3BD176FB"/>
    <w:rsid w:val="3BDD01B1"/>
    <w:rsid w:val="3BE24B60"/>
    <w:rsid w:val="3BE51D20"/>
    <w:rsid w:val="3C0161AE"/>
    <w:rsid w:val="3C0F3747"/>
    <w:rsid w:val="3C0F6E42"/>
    <w:rsid w:val="3C125DB2"/>
    <w:rsid w:val="3C13580F"/>
    <w:rsid w:val="3C177613"/>
    <w:rsid w:val="3C2900DB"/>
    <w:rsid w:val="3C2F42C7"/>
    <w:rsid w:val="3C3A59BA"/>
    <w:rsid w:val="3C434BD1"/>
    <w:rsid w:val="3C4A48CA"/>
    <w:rsid w:val="3C4A49AD"/>
    <w:rsid w:val="3C511290"/>
    <w:rsid w:val="3C734CC5"/>
    <w:rsid w:val="3C8D47B1"/>
    <w:rsid w:val="3C962E05"/>
    <w:rsid w:val="3CAE0A5F"/>
    <w:rsid w:val="3CB61674"/>
    <w:rsid w:val="3CBA14E0"/>
    <w:rsid w:val="3CBA4266"/>
    <w:rsid w:val="3CD2281C"/>
    <w:rsid w:val="3CFF4D03"/>
    <w:rsid w:val="3D08650E"/>
    <w:rsid w:val="3D1D679D"/>
    <w:rsid w:val="3D2C36BB"/>
    <w:rsid w:val="3D323458"/>
    <w:rsid w:val="3D353732"/>
    <w:rsid w:val="3D482113"/>
    <w:rsid w:val="3D5237A1"/>
    <w:rsid w:val="3D537B9E"/>
    <w:rsid w:val="3D695658"/>
    <w:rsid w:val="3D6C1CB7"/>
    <w:rsid w:val="3D74592B"/>
    <w:rsid w:val="3D760D32"/>
    <w:rsid w:val="3D8262BA"/>
    <w:rsid w:val="3D897263"/>
    <w:rsid w:val="3D8F3346"/>
    <w:rsid w:val="3D98639D"/>
    <w:rsid w:val="3DBC2B13"/>
    <w:rsid w:val="3DD45235"/>
    <w:rsid w:val="3DE03C80"/>
    <w:rsid w:val="3DE95026"/>
    <w:rsid w:val="3DF81119"/>
    <w:rsid w:val="3E0006CE"/>
    <w:rsid w:val="3E0223A7"/>
    <w:rsid w:val="3E117CD5"/>
    <w:rsid w:val="3E162874"/>
    <w:rsid w:val="3E266E38"/>
    <w:rsid w:val="3E2823FC"/>
    <w:rsid w:val="3E3667C6"/>
    <w:rsid w:val="3E3C4BA5"/>
    <w:rsid w:val="3E4E515B"/>
    <w:rsid w:val="3E6BB673"/>
    <w:rsid w:val="3E735C83"/>
    <w:rsid w:val="3E750542"/>
    <w:rsid w:val="3E8617B9"/>
    <w:rsid w:val="3E8F0CD4"/>
    <w:rsid w:val="3EA052EA"/>
    <w:rsid w:val="3EA411C3"/>
    <w:rsid w:val="3EB97976"/>
    <w:rsid w:val="3EC06511"/>
    <w:rsid w:val="3EC86A2B"/>
    <w:rsid w:val="3ECA3DB3"/>
    <w:rsid w:val="3ECD49ED"/>
    <w:rsid w:val="3ED02D59"/>
    <w:rsid w:val="3ED16010"/>
    <w:rsid w:val="3EDE6AE7"/>
    <w:rsid w:val="3EE63037"/>
    <w:rsid w:val="3EEE270C"/>
    <w:rsid w:val="3EF577E2"/>
    <w:rsid w:val="3EFD5398"/>
    <w:rsid w:val="3F0A5CA1"/>
    <w:rsid w:val="3F1039ED"/>
    <w:rsid w:val="3F1228ED"/>
    <w:rsid w:val="3F1C01BA"/>
    <w:rsid w:val="3F1D78E0"/>
    <w:rsid w:val="3F3AC10B"/>
    <w:rsid w:val="3F3E68C7"/>
    <w:rsid w:val="3F417614"/>
    <w:rsid w:val="3F59568A"/>
    <w:rsid w:val="3F636B27"/>
    <w:rsid w:val="3F6E3B35"/>
    <w:rsid w:val="3F77070A"/>
    <w:rsid w:val="3F846153"/>
    <w:rsid w:val="3F877B3E"/>
    <w:rsid w:val="3F8C2233"/>
    <w:rsid w:val="3FAB62E9"/>
    <w:rsid w:val="3FB97A7C"/>
    <w:rsid w:val="3FBE4111"/>
    <w:rsid w:val="3FC7C282"/>
    <w:rsid w:val="3FCE51D0"/>
    <w:rsid w:val="3FE54875"/>
    <w:rsid w:val="3FF80A31"/>
    <w:rsid w:val="3FF913F8"/>
    <w:rsid w:val="3FF951A1"/>
    <w:rsid w:val="3FFF6F51"/>
    <w:rsid w:val="402079EC"/>
    <w:rsid w:val="402D1133"/>
    <w:rsid w:val="40380746"/>
    <w:rsid w:val="40465640"/>
    <w:rsid w:val="4061642F"/>
    <w:rsid w:val="406C5052"/>
    <w:rsid w:val="4071077E"/>
    <w:rsid w:val="4075728F"/>
    <w:rsid w:val="40857C93"/>
    <w:rsid w:val="409022B4"/>
    <w:rsid w:val="40986D02"/>
    <w:rsid w:val="40A23CC4"/>
    <w:rsid w:val="40BA5753"/>
    <w:rsid w:val="40D64733"/>
    <w:rsid w:val="40E0015D"/>
    <w:rsid w:val="40E83499"/>
    <w:rsid w:val="40EA717A"/>
    <w:rsid w:val="40ED7524"/>
    <w:rsid w:val="40F305CF"/>
    <w:rsid w:val="41063807"/>
    <w:rsid w:val="410D5848"/>
    <w:rsid w:val="4121689F"/>
    <w:rsid w:val="41302438"/>
    <w:rsid w:val="4132477C"/>
    <w:rsid w:val="41347F62"/>
    <w:rsid w:val="41362456"/>
    <w:rsid w:val="41373AA9"/>
    <w:rsid w:val="415E01D3"/>
    <w:rsid w:val="41634A00"/>
    <w:rsid w:val="41672961"/>
    <w:rsid w:val="4167612A"/>
    <w:rsid w:val="416A48C8"/>
    <w:rsid w:val="41836E09"/>
    <w:rsid w:val="41915C07"/>
    <w:rsid w:val="419D25D7"/>
    <w:rsid w:val="419E0E65"/>
    <w:rsid w:val="41BD6B8D"/>
    <w:rsid w:val="41BD7E87"/>
    <w:rsid w:val="41CF16CA"/>
    <w:rsid w:val="41DF5A9C"/>
    <w:rsid w:val="41EB7C13"/>
    <w:rsid w:val="41FA6B62"/>
    <w:rsid w:val="41FC26E4"/>
    <w:rsid w:val="4206132D"/>
    <w:rsid w:val="421E2360"/>
    <w:rsid w:val="42313CAB"/>
    <w:rsid w:val="424C727A"/>
    <w:rsid w:val="425E5134"/>
    <w:rsid w:val="427916F6"/>
    <w:rsid w:val="428C3511"/>
    <w:rsid w:val="42936229"/>
    <w:rsid w:val="42947140"/>
    <w:rsid w:val="429E6289"/>
    <w:rsid w:val="42A7124B"/>
    <w:rsid w:val="42BB04D5"/>
    <w:rsid w:val="42BF1F59"/>
    <w:rsid w:val="42C11494"/>
    <w:rsid w:val="42CC18D7"/>
    <w:rsid w:val="42D431E7"/>
    <w:rsid w:val="42DD3C7C"/>
    <w:rsid w:val="42E06D3F"/>
    <w:rsid w:val="42E47497"/>
    <w:rsid w:val="42EB703C"/>
    <w:rsid w:val="42F44809"/>
    <w:rsid w:val="43073486"/>
    <w:rsid w:val="4311783D"/>
    <w:rsid w:val="43540190"/>
    <w:rsid w:val="436F4138"/>
    <w:rsid w:val="4376192C"/>
    <w:rsid w:val="43826334"/>
    <w:rsid w:val="438274D6"/>
    <w:rsid w:val="43836937"/>
    <w:rsid w:val="43A9715E"/>
    <w:rsid w:val="43AA1A3A"/>
    <w:rsid w:val="43CA7F97"/>
    <w:rsid w:val="43CD46A5"/>
    <w:rsid w:val="43D527A2"/>
    <w:rsid w:val="43E5117C"/>
    <w:rsid w:val="43EF46DE"/>
    <w:rsid w:val="441427F7"/>
    <w:rsid w:val="441F0428"/>
    <w:rsid w:val="442A23D0"/>
    <w:rsid w:val="442A5A37"/>
    <w:rsid w:val="44316DCA"/>
    <w:rsid w:val="4451500F"/>
    <w:rsid w:val="44567BE7"/>
    <w:rsid w:val="445A043F"/>
    <w:rsid w:val="445D1C18"/>
    <w:rsid w:val="44676DCB"/>
    <w:rsid w:val="44686728"/>
    <w:rsid w:val="44772570"/>
    <w:rsid w:val="44825BE6"/>
    <w:rsid w:val="448B156B"/>
    <w:rsid w:val="44B622C6"/>
    <w:rsid w:val="44C1122D"/>
    <w:rsid w:val="44DB3BAD"/>
    <w:rsid w:val="44EF7556"/>
    <w:rsid w:val="45161D33"/>
    <w:rsid w:val="452269D1"/>
    <w:rsid w:val="452913B3"/>
    <w:rsid w:val="454C27BA"/>
    <w:rsid w:val="45521D98"/>
    <w:rsid w:val="455519C6"/>
    <w:rsid w:val="459021C4"/>
    <w:rsid w:val="45982CA1"/>
    <w:rsid w:val="45A603D9"/>
    <w:rsid w:val="45CA658D"/>
    <w:rsid w:val="45D33AEA"/>
    <w:rsid w:val="45D945AF"/>
    <w:rsid w:val="45D9497A"/>
    <w:rsid w:val="45DC6E49"/>
    <w:rsid w:val="45E72D80"/>
    <w:rsid w:val="45E73807"/>
    <w:rsid w:val="46267B8D"/>
    <w:rsid w:val="46296CFD"/>
    <w:rsid w:val="46491829"/>
    <w:rsid w:val="466A0926"/>
    <w:rsid w:val="4672561E"/>
    <w:rsid w:val="46813229"/>
    <w:rsid w:val="4681752B"/>
    <w:rsid w:val="46832CE2"/>
    <w:rsid w:val="46865B07"/>
    <w:rsid w:val="46886976"/>
    <w:rsid w:val="46886B3E"/>
    <w:rsid w:val="469F5BC1"/>
    <w:rsid w:val="46A42EB0"/>
    <w:rsid w:val="46A61E47"/>
    <w:rsid w:val="46A86972"/>
    <w:rsid w:val="46A97BC8"/>
    <w:rsid w:val="46B12A0C"/>
    <w:rsid w:val="46B22AFA"/>
    <w:rsid w:val="46B313F7"/>
    <w:rsid w:val="46B31897"/>
    <w:rsid w:val="46BF4928"/>
    <w:rsid w:val="46C16951"/>
    <w:rsid w:val="46C430AB"/>
    <w:rsid w:val="46CD5BB3"/>
    <w:rsid w:val="46F527EC"/>
    <w:rsid w:val="47095803"/>
    <w:rsid w:val="471367B5"/>
    <w:rsid w:val="47200D37"/>
    <w:rsid w:val="47215D02"/>
    <w:rsid w:val="47322302"/>
    <w:rsid w:val="47370ABA"/>
    <w:rsid w:val="475D55B9"/>
    <w:rsid w:val="47621DD1"/>
    <w:rsid w:val="47672A3E"/>
    <w:rsid w:val="4776763C"/>
    <w:rsid w:val="477B1305"/>
    <w:rsid w:val="477C200F"/>
    <w:rsid w:val="4790353E"/>
    <w:rsid w:val="4794500D"/>
    <w:rsid w:val="4797719D"/>
    <w:rsid w:val="47A002F6"/>
    <w:rsid w:val="47B90B7F"/>
    <w:rsid w:val="47E45A99"/>
    <w:rsid w:val="47F907C5"/>
    <w:rsid w:val="480B079C"/>
    <w:rsid w:val="480C0168"/>
    <w:rsid w:val="480D0453"/>
    <w:rsid w:val="480E5EDB"/>
    <w:rsid w:val="481D5C33"/>
    <w:rsid w:val="48310949"/>
    <w:rsid w:val="483551AB"/>
    <w:rsid w:val="483D22CC"/>
    <w:rsid w:val="484157E0"/>
    <w:rsid w:val="484418FD"/>
    <w:rsid w:val="484963E0"/>
    <w:rsid w:val="486B00BB"/>
    <w:rsid w:val="486D2526"/>
    <w:rsid w:val="48707469"/>
    <w:rsid w:val="488127A7"/>
    <w:rsid w:val="48991076"/>
    <w:rsid w:val="489B0AD4"/>
    <w:rsid w:val="489C0E7C"/>
    <w:rsid w:val="48AC735F"/>
    <w:rsid w:val="48C22C2E"/>
    <w:rsid w:val="48C5646E"/>
    <w:rsid w:val="48D96C7C"/>
    <w:rsid w:val="48FD7317"/>
    <w:rsid w:val="49060CA0"/>
    <w:rsid w:val="490F06E0"/>
    <w:rsid w:val="49112F05"/>
    <w:rsid w:val="49232FD0"/>
    <w:rsid w:val="492C2F96"/>
    <w:rsid w:val="492E3C4E"/>
    <w:rsid w:val="49366E7B"/>
    <w:rsid w:val="49447356"/>
    <w:rsid w:val="494576F1"/>
    <w:rsid w:val="494C493D"/>
    <w:rsid w:val="49570857"/>
    <w:rsid w:val="49602550"/>
    <w:rsid w:val="4964111E"/>
    <w:rsid w:val="496B42DA"/>
    <w:rsid w:val="49831760"/>
    <w:rsid w:val="49881965"/>
    <w:rsid w:val="498979C8"/>
    <w:rsid w:val="498F3A3D"/>
    <w:rsid w:val="4996406E"/>
    <w:rsid w:val="499B4196"/>
    <w:rsid w:val="499C77BB"/>
    <w:rsid w:val="49A27191"/>
    <w:rsid w:val="49A642F4"/>
    <w:rsid w:val="49A935D9"/>
    <w:rsid w:val="49C314EF"/>
    <w:rsid w:val="49C717AD"/>
    <w:rsid w:val="49C97224"/>
    <w:rsid w:val="49E26DC6"/>
    <w:rsid w:val="49FC288D"/>
    <w:rsid w:val="4A082DB9"/>
    <w:rsid w:val="4A0C2C3C"/>
    <w:rsid w:val="4A11777F"/>
    <w:rsid w:val="4A317D5F"/>
    <w:rsid w:val="4A47163B"/>
    <w:rsid w:val="4A4B730C"/>
    <w:rsid w:val="4A50523D"/>
    <w:rsid w:val="4A5D7291"/>
    <w:rsid w:val="4A6B6A74"/>
    <w:rsid w:val="4A7B6FD2"/>
    <w:rsid w:val="4A7D71EA"/>
    <w:rsid w:val="4A7E3750"/>
    <w:rsid w:val="4A806DBF"/>
    <w:rsid w:val="4A821296"/>
    <w:rsid w:val="4AA002B4"/>
    <w:rsid w:val="4AA065F5"/>
    <w:rsid w:val="4AB11ED4"/>
    <w:rsid w:val="4AB23C03"/>
    <w:rsid w:val="4ABD4294"/>
    <w:rsid w:val="4AC3335F"/>
    <w:rsid w:val="4ACD23D6"/>
    <w:rsid w:val="4AD15731"/>
    <w:rsid w:val="4AD16930"/>
    <w:rsid w:val="4AD62DA1"/>
    <w:rsid w:val="4AE023DD"/>
    <w:rsid w:val="4AE22A96"/>
    <w:rsid w:val="4AE276BC"/>
    <w:rsid w:val="4AF6508E"/>
    <w:rsid w:val="4B00283F"/>
    <w:rsid w:val="4B004CB5"/>
    <w:rsid w:val="4B0870AC"/>
    <w:rsid w:val="4B0E4511"/>
    <w:rsid w:val="4B127154"/>
    <w:rsid w:val="4B1371CB"/>
    <w:rsid w:val="4B197687"/>
    <w:rsid w:val="4B1A6945"/>
    <w:rsid w:val="4B1C0B28"/>
    <w:rsid w:val="4B2E1A92"/>
    <w:rsid w:val="4B475FA6"/>
    <w:rsid w:val="4B5A3F7D"/>
    <w:rsid w:val="4B5E121D"/>
    <w:rsid w:val="4B88462C"/>
    <w:rsid w:val="4B897671"/>
    <w:rsid w:val="4B9B0EA7"/>
    <w:rsid w:val="4B9C58D4"/>
    <w:rsid w:val="4B9E042B"/>
    <w:rsid w:val="4BB15DD7"/>
    <w:rsid w:val="4BB673BE"/>
    <w:rsid w:val="4BC93187"/>
    <w:rsid w:val="4BD72A7F"/>
    <w:rsid w:val="4BE2319E"/>
    <w:rsid w:val="4BEB3A83"/>
    <w:rsid w:val="4BF43354"/>
    <w:rsid w:val="4BFF4460"/>
    <w:rsid w:val="4C070F38"/>
    <w:rsid w:val="4C1106C3"/>
    <w:rsid w:val="4C19280C"/>
    <w:rsid w:val="4C217FD6"/>
    <w:rsid w:val="4C2E7741"/>
    <w:rsid w:val="4C3E2CC4"/>
    <w:rsid w:val="4C4307E7"/>
    <w:rsid w:val="4C471FD7"/>
    <w:rsid w:val="4C4E6B2B"/>
    <w:rsid w:val="4C6B25BB"/>
    <w:rsid w:val="4C870790"/>
    <w:rsid w:val="4C8F52A1"/>
    <w:rsid w:val="4C99297E"/>
    <w:rsid w:val="4C9F4318"/>
    <w:rsid w:val="4CA472A7"/>
    <w:rsid w:val="4CAE0DC6"/>
    <w:rsid w:val="4CB437F6"/>
    <w:rsid w:val="4CB52377"/>
    <w:rsid w:val="4CC435DD"/>
    <w:rsid w:val="4CC46FA7"/>
    <w:rsid w:val="4CCF0B8F"/>
    <w:rsid w:val="4CD1167C"/>
    <w:rsid w:val="4CF91D35"/>
    <w:rsid w:val="4CFB17E6"/>
    <w:rsid w:val="4CFD2BF9"/>
    <w:rsid w:val="4D0261E9"/>
    <w:rsid w:val="4D034783"/>
    <w:rsid w:val="4D053F15"/>
    <w:rsid w:val="4D191AD4"/>
    <w:rsid w:val="4D2668B3"/>
    <w:rsid w:val="4D2B53C0"/>
    <w:rsid w:val="4D3219C4"/>
    <w:rsid w:val="4D595B24"/>
    <w:rsid w:val="4D641BDB"/>
    <w:rsid w:val="4D7D5612"/>
    <w:rsid w:val="4D852885"/>
    <w:rsid w:val="4D8860D7"/>
    <w:rsid w:val="4DA24A9F"/>
    <w:rsid w:val="4DA24D1C"/>
    <w:rsid w:val="4DBB3186"/>
    <w:rsid w:val="4DC41DA7"/>
    <w:rsid w:val="4DC4528E"/>
    <w:rsid w:val="4DC746DC"/>
    <w:rsid w:val="4DD27265"/>
    <w:rsid w:val="4DD752A2"/>
    <w:rsid w:val="4DE31897"/>
    <w:rsid w:val="4DE86678"/>
    <w:rsid w:val="4DF2276D"/>
    <w:rsid w:val="4DFC1CD1"/>
    <w:rsid w:val="4E0125ED"/>
    <w:rsid w:val="4E0975E7"/>
    <w:rsid w:val="4E191EAF"/>
    <w:rsid w:val="4E1F6EB3"/>
    <w:rsid w:val="4E4F1AF9"/>
    <w:rsid w:val="4E524648"/>
    <w:rsid w:val="4E771F3E"/>
    <w:rsid w:val="4E803FA8"/>
    <w:rsid w:val="4E814E30"/>
    <w:rsid w:val="4E8B2588"/>
    <w:rsid w:val="4E9E3C23"/>
    <w:rsid w:val="4ECF03F7"/>
    <w:rsid w:val="4ED62ECF"/>
    <w:rsid w:val="4EE61D1C"/>
    <w:rsid w:val="4EEF578A"/>
    <w:rsid w:val="4EFA6DC1"/>
    <w:rsid w:val="4F0B2582"/>
    <w:rsid w:val="4F0F2B70"/>
    <w:rsid w:val="4F1D06F4"/>
    <w:rsid w:val="4F212A01"/>
    <w:rsid w:val="4F241B17"/>
    <w:rsid w:val="4F257073"/>
    <w:rsid w:val="4F301857"/>
    <w:rsid w:val="4F4D2516"/>
    <w:rsid w:val="4F681936"/>
    <w:rsid w:val="4F6B6C90"/>
    <w:rsid w:val="4F6D5F7C"/>
    <w:rsid w:val="4F844786"/>
    <w:rsid w:val="4F86086A"/>
    <w:rsid w:val="4F8B3E56"/>
    <w:rsid w:val="4F8B78F2"/>
    <w:rsid w:val="4F910446"/>
    <w:rsid w:val="4FA87C71"/>
    <w:rsid w:val="4FAD6B06"/>
    <w:rsid w:val="4FD5663B"/>
    <w:rsid w:val="4FDA040A"/>
    <w:rsid w:val="4FDF28D3"/>
    <w:rsid w:val="4FFC5148"/>
    <w:rsid w:val="500E2189"/>
    <w:rsid w:val="501C5F4C"/>
    <w:rsid w:val="50242873"/>
    <w:rsid w:val="50383995"/>
    <w:rsid w:val="503B680E"/>
    <w:rsid w:val="50594100"/>
    <w:rsid w:val="5065405F"/>
    <w:rsid w:val="5067531C"/>
    <w:rsid w:val="50794F72"/>
    <w:rsid w:val="507D0CA9"/>
    <w:rsid w:val="509141B6"/>
    <w:rsid w:val="509938D9"/>
    <w:rsid w:val="50A06E91"/>
    <w:rsid w:val="50B96C00"/>
    <w:rsid w:val="50BF076D"/>
    <w:rsid w:val="50C11560"/>
    <w:rsid w:val="50D13990"/>
    <w:rsid w:val="50EB753F"/>
    <w:rsid w:val="50F3057B"/>
    <w:rsid w:val="51033E28"/>
    <w:rsid w:val="51094825"/>
    <w:rsid w:val="51194A6B"/>
    <w:rsid w:val="512372CC"/>
    <w:rsid w:val="512460B3"/>
    <w:rsid w:val="512D7670"/>
    <w:rsid w:val="512E7C5E"/>
    <w:rsid w:val="513D5554"/>
    <w:rsid w:val="51433A26"/>
    <w:rsid w:val="51435AD8"/>
    <w:rsid w:val="514E026B"/>
    <w:rsid w:val="515606F2"/>
    <w:rsid w:val="515E027B"/>
    <w:rsid w:val="51A14AB5"/>
    <w:rsid w:val="51B72D2A"/>
    <w:rsid w:val="51BF35FD"/>
    <w:rsid w:val="51C8796C"/>
    <w:rsid w:val="51CA1D55"/>
    <w:rsid w:val="51D3518D"/>
    <w:rsid w:val="51D51773"/>
    <w:rsid w:val="51DD06A1"/>
    <w:rsid w:val="51EC7E84"/>
    <w:rsid w:val="51EE653C"/>
    <w:rsid w:val="51F02ACF"/>
    <w:rsid w:val="51FA7F99"/>
    <w:rsid w:val="520720D4"/>
    <w:rsid w:val="520D307D"/>
    <w:rsid w:val="520E4894"/>
    <w:rsid w:val="52106F7E"/>
    <w:rsid w:val="52116147"/>
    <w:rsid w:val="521B5AC1"/>
    <w:rsid w:val="522A551E"/>
    <w:rsid w:val="522F264F"/>
    <w:rsid w:val="523909B7"/>
    <w:rsid w:val="524C35A0"/>
    <w:rsid w:val="525A6760"/>
    <w:rsid w:val="52644A8E"/>
    <w:rsid w:val="52657824"/>
    <w:rsid w:val="52693783"/>
    <w:rsid w:val="526D567F"/>
    <w:rsid w:val="52765DE3"/>
    <w:rsid w:val="528909E8"/>
    <w:rsid w:val="528E1D6C"/>
    <w:rsid w:val="528F0266"/>
    <w:rsid w:val="52A44B1D"/>
    <w:rsid w:val="52A606BB"/>
    <w:rsid w:val="52BB3BC6"/>
    <w:rsid w:val="52BE70DE"/>
    <w:rsid w:val="52BF2AF6"/>
    <w:rsid w:val="52C67421"/>
    <w:rsid w:val="52DF6103"/>
    <w:rsid w:val="52E0696B"/>
    <w:rsid w:val="52EE408A"/>
    <w:rsid w:val="52F43DE1"/>
    <w:rsid w:val="52FA2967"/>
    <w:rsid w:val="52FC482C"/>
    <w:rsid w:val="530103EA"/>
    <w:rsid w:val="53041292"/>
    <w:rsid w:val="53106487"/>
    <w:rsid w:val="531320FF"/>
    <w:rsid w:val="532A36C6"/>
    <w:rsid w:val="53385111"/>
    <w:rsid w:val="53395347"/>
    <w:rsid w:val="53502B0B"/>
    <w:rsid w:val="5358719F"/>
    <w:rsid w:val="535B00EA"/>
    <w:rsid w:val="535D08F2"/>
    <w:rsid w:val="536D0B73"/>
    <w:rsid w:val="536E77DF"/>
    <w:rsid w:val="538542B6"/>
    <w:rsid w:val="53A7310B"/>
    <w:rsid w:val="53AD61E2"/>
    <w:rsid w:val="53AE6E89"/>
    <w:rsid w:val="53BD55C2"/>
    <w:rsid w:val="53D73D1F"/>
    <w:rsid w:val="53EA12F8"/>
    <w:rsid w:val="53EC62BF"/>
    <w:rsid w:val="53F82FA0"/>
    <w:rsid w:val="53FD3203"/>
    <w:rsid w:val="540F471F"/>
    <w:rsid w:val="540F7498"/>
    <w:rsid w:val="541B565F"/>
    <w:rsid w:val="541E73F6"/>
    <w:rsid w:val="541F2266"/>
    <w:rsid w:val="54211AB3"/>
    <w:rsid w:val="5441014C"/>
    <w:rsid w:val="54511490"/>
    <w:rsid w:val="54567CF8"/>
    <w:rsid w:val="546B1F56"/>
    <w:rsid w:val="54705FA3"/>
    <w:rsid w:val="54A9350D"/>
    <w:rsid w:val="54AE3555"/>
    <w:rsid w:val="54B44F3E"/>
    <w:rsid w:val="54C10E0B"/>
    <w:rsid w:val="54C6239B"/>
    <w:rsid w:val="54D21FF4"/>
    <w:rsid w:val="54D22C63"/>
    <w:rsid w:val="54D51D92"/>
    <w:rsid w:val="54E33E07"/>
    <w:rsid w:val="550020CC"/>
    <w:rsid w:val="55053FB1"/>
    <w:rsid w:val="550F738D"/>
    <w:rsid w:val="55105D67"/>
    <w:rsid w:val="551925EB"/>
    <w:rsid w:val="552E42B1"/>
    <w:rsid w:val="552F2073"/>
    <w:rsid w:val="5531001F"/>
    <w:rsid w:val="5533296C"/>
    <w:rsid w:val="5536392B"/>
    <w:rsid w:val="5539496E"/>
    <w:rsid w:val="553C0B0B"/>
    <w:rsid w:val="555B3708"/>
    <w:rsid w:val="555C1021"/>
    <w:rsid w:val="55650DD4"/>
    <w:rsid w:val="5584652A"/>
    <w:rsid w:val="55881FEB"/>
    <w:rsid w:val="559544A1"/>
    <w:rsid w:val="559D1B18"/>
    <w:rsid w:val="559E0C79"/>
    <w:rsid w:val="55A0105D"/>
    <w:rsid w:val="55A86518"/>
    <w:rsid w:val="55B45E9B"/>
    <w:rsid w:val="55B5218C"/>
    <w:rsid w:val="55BA16AD"/>
    <w:rsid w:val="55BB2305"/>
    <w:rsid w:val="55C3004F"/>
    <w:rsid w:val="55C84E61"/>
    <w:rsid w:val="55CD530D"/>
    <w:rsid w:val="55CF199A"/>
    <w:rsid w:val="55CF2C93"/>
    <w:rsid w:val="55E27105"/>
    <w:rsid w:val="55E768E8"/>
    <w:rsid w:val="55F35561"/>
    <w:rsid w:val="55FC21C4"/>
    <w:rsid w:val="56001D3E"/>
    <w:rsid w:val="560E1DBD"/>
    <w:rsid w:val="5632548A"/>
    <w:rsid w:val="563E38A3"/>
    <w:rsid w:val="563E5808"/>
    <w:rsid w:val="56487C06"/>
    <w:rsid w:val="564D7041"/>
    <w:rsid w:val="564F2FD6"/>
    <w:rsid w:val="564F4A1A"/>
    <w:rsid w:val="56520BF9"/>
    <w:rsid w:val="565B39D0"/>
    <w:rsid w:val="565E4EFD"/>
    <w:rsid w:val="565F38EE"/>
    <w:rsid w:val="56604784"/>
    <w:rsid w:val="566E51D6"/>
    <w:rsid w:val="56772E9D"/>
    <w:rsid w:val="56775267"/>
    <w:rsid w:val="568411BB"/>
    <w:rsid w:val="56931F37"/>
    <w:rsid w:val="569E3EE6"/>
    <w:rsid w:val="56CB403F"/>
    <w:rsid w:val="56D06A51"/>
    <w:rsid w:val="56D11496"/>
    <w:rsid w:val="56E270E9"/>
    <w:rsid w:val="56F94094"/>
    <w:rsid w:val="57071F4E"/>
    <w:rsid w:val="570E60BE"/>
    <w:rsid w:val="5714366C"/>
    <w:rsid w:val="571B01F2"/>
    <w:rsid w:val="57295EA1"/>
    <w:rsid w:val="5736730A"/>
    <w:rsid w:val="57437223"/>
    <w:rsid w:val="574E4E5E"/>
    <w:rsid w:val="576206B2"/>
    <w:rsid w:val="57710B44"/>
    <w:rsid w:val="57797801"/>
    <w:rsid w:val="577A1F44"/>
    <w:rsid w:val="57823EDB"/>
    <w:rsid w:val="57883229"/>
    <w:rsid w:val="57971AFC"/>
    <w:rsid w:val="57996E2C"/>
    <w:rsid w:val="579A046A"/>
    <w:rsid w:val="57B3566A"/>
    <w:rsid w:val="57B83882"/>
    <w:rsid w:val="57C72719"/>
    <w:rsid w:val="57CE1ADE"/>
    <w:rsid w:val="57D24F73"/>
    <w:rsid w:val="57E87254"/>
    <w:rsid w:val="57EC2FBD"/>
    <w:rsid w:val="57FD0454"/>
    <w:rsid w:val="58083745"/>
    <w:rsid w:val="580B1B5D"/>
    <w:rsid w:val="580F52DD"/>
    <w:rsid w:val="58115893"/>
    <w:rsid w:val="58216241"/>
    <w:rsid w:val="58283C63"/>
    <w:rsid w:val="582F21FE"/>
    <w:rsid w:val="583A6AE1"/>
    <w:rsid w:val="583D1EC5"/>
    <w:rsid w:val="58430E04"/>
    <w:rsid w:val="58447EEA"/>
    <w:rsid w:val="585710E6"/>
    <w:rsid w:val="585B630B"/>
    <w:rsid w:val="58621F05"/>
    <w:rsid w:val="586356A5"/>
    <w:rsid w:val="58707502"/>
    <w:rsid w:val="58723FE4"/>
    <w:rsid w:val="5888199F"/>
    <w:rsid w:val="589E75EC"/>
    <w:rsid w:val="58A7782F"/>
    <w:rsid w:val="58AB7AD4"/>
    <w:rsid w:val="58BD7BC2"/>
    <w:rsid w:val="58C12364"/>
    <w:rsid w:val="58C93E5F"/>
    <w:rsid w:val="58EB0BCA"/>
    <w:rsid w:val="58F51F77"/>
    <w:rsid w:val="59025B0D"/>
    <w:rsid w:val="59055CCE"/>
    <w:rsid w:val="590E22DB"/>
    <w:rsid w:val="590E638E"/>
    <w:rsid w:val="59170A87"/>
    <w:rsid w:val="59184160"/>
    <w:rsid w:val="59442859"/>
    <w:rsid w:val="594A6DE7"/>
    <w:rsid w:val="594E370F"/>
    <w:rsid w:val="59526FF3"/>
    <w:rsid w:val="5956265F"/>
    <w:rsid w:val="595A36C1"/>
    <w:rsid w:val="595B3C40"/>
    <w:rsid w:val="59610727"/>
    <w:rsid w:val="5970339B"/>
    <w:rsid w:val="5982394D"/>
    <w:rsid w:val="598F4F95"/>
    <w:rsid w:val="5999739E"/>
    <w:rsid w:val="59A41164"/>
    <w:rsid w:val="59B569AB"/>
    <w:rsid w:val="59C254A5"/>
    <w:rsid w:val="59E06376"/>
    <w:rsid w:val="59E142DC"/>
    <w:rsid w:val="59ED46EB"/>
    <w:rsid w:val="59FF75BE"/>
    <w:rsid w:val="5A0111E2"/>
    <w:rsid w:val="5A0176D1"/>
    <w:rsid w:val="5A115B58"/>
    <w:rsid w:val="5A1D15B3"/>
    <w:rsid w:val="5A1D4EFE"/>
    <w:rsid w:val="5A394566"/>
    <w:rsid w:val="5A3A2204"/>
    <w:rsid w:val="5A472CEC"/>
    <w:rsid w:val="5A616BCF"/>
    <w:rsid w:val="5A666518"/>
    <w:rsid w:val="5A782AA3"/>
    <w:rsid w:val="5A8805AD"/>
    <w:rsid w:val="5A891532"/>
    <w:rsid w:val="5A982B0C"/>
    <w:rsid w:val="5A9E5948"/>
    <w:rsid w:val="5AA409B2"/>
    <w:rsid w:val="5AA669DF"/>
    <w:rsid w:val="5ABB7EBA"/>
    <w:rsid w:val="5ABD5EDB"/>
    <w:rsid w:val="5ACD4C19"/>
    <w:rsid w:val="5AD32AD3"/>
    <w:rsid w:val="5AD61301"/>
    <w:rsid w:val="5ADA0571"/>
    <w:rsid w:val="5ADC59C5"/>
    <w:rsid w:val="5AEE2462"/>
    <w:rsid w:val="5AEF6BF7"/>
    <w:rsid w:val="5AFF59AA"/>
    <w:rsid w:val="5B0C1D95"/>
    <w:rsid w:val="5B0D1838"/>
    <w:rsid w:val="5B186816"/>
    <w:rsid w:val="5B270F8B"/>
    <w:rsid w:val="5B4F7A9B"/>
    <w:rsid w:val="5B7222F3"/>
    <w:rsid w:val="5B725324"/>
    <w:rsid w:val="5B78635A"/>
    <w:rsid w:val="5B7A74E3"/>
    <w:rsid w:val="5B7F07D5"/>
    <w:rsid w:val="5B8526E3"/>
    <w:rsid w:val="5B895676"/>
    <w:rsid w:val="5BB3092C"/>
    <w:rsid w:val="5BC07113"/>
    <w:rsid w:val="5BC540D1"/>
    <w:rsid w:val="5BC8197A"/>
    <w:rsid w:val="5BCF7A15"/>
    <w:rsid w:val="5BD74746"/>
    <w:rsid w:val="5BDC5587"/>
    <w:rsid w:val="5BF11664"/>
    <w:rsid w:val="5BF758DA"/>
    <w:rsid w:val="5BFA5443"/>
    <w:rsid w:val="5C0033F1"/>
    <w:rsid w:val="5C022EEB"/>
    <w:rsid w:val="5C0D0B16"/>
    <w:rsid w:val="5C3A050C"/>
    <w:rsid w:val="5C3C1A99"/>
    <w:rsid w:val="5C451D6A"/>
    <w:rsid w:val="5C647285"/>
    <w:rsid w:val="5C764D6B"/>
    <w:rsid w:val="5C7A19BD"/>
    <w:rsid w:val="5C9A394F"/>
    <w:rsid w:val="5CAC6FC5"/>
    <w:rsid w:val="5CB53A34"/>
    <w:rsid w:val="5CB77667"/>
    <w:rsid w:val="5CBB7530"/>
    <w:rsid w:val="5CC16D8D"/>
    <w:rsid w:val="5CC95D32"/>
    <w:rsid w:val="5CDC179B"/>
    <w:rsid w:val="5CDF7FD7"/>
    <w:rsid w:val="5CEB772F"/>
    <w:rsid w:val="5CF073E9"/>
    <w:rsid w:val="5CFF6E54"/>
    <w:rsid w:val="5D0120B0"/>
    <w:rsid w:val="5D0803AB"/>
    <w:rsid w:val="5D0870B9"/>
    <w:rsid w:val="5D0F0B56"/>
    <w:rsid w:val="5D0F2892"/>
    <w:rsid w:val="5D26311B"/>
    <w:rsid w:val="5D291B64"/>
    <w:rsid w:val="5D2F3FF0"/>
    <w:rsid w:val="5D4A130C"/>
    <w:rsid w:val="5D577A94"/>
    <w:rsid w:val="5D697D79"/>
    <w:rsid w:val="5D6F1CCC"/>
    <w:rsid w:val="5D7520B0"/>
    <w:rsid w:val="5D75491A"/>
    <w:rsid w:val="5D7D05AD"/>
    <w:rsid w:val="5D7D2CD6"/>
    <w:rsid w:val="5D83216E"/>
    <w:rsid w:val="5D8C2F31"/>
    <w:rsid w:val="5D900ECD"/>
    <w:rsid w:val="5D94650F"/>
    <w:rsid w:val="5DA05548"/>
    <w:rsid w:val="5DA46239"/>
    <w:rsid w:val="5DA4679E"/>
    <w:rsid w:val="5DC2282B"/>
    <w:rsid w:val="5DD3264E"/>
    <w:rsid w:val="5DD92690"/>
    <w:rsid w:val="5E041265"/>
    <w:rsid w:val="5E2B7697"/>
    <w:rsid w:val="5E3B36FA"/>
    <w:rsid w:val="5E4D2A9C"/>
    <w:rsid w:val="5E521E1C"/>
    <w:rsid w:val="5E5571A4"/>
    <w:rsid w:val="5E5576F3"/>
    <w:rsid w:val="5E617C2B"/>
    <w:rsid w:val="5E723EB4"/>
    <w:rsid w:val="5E9651C7"/>
    <w:rsid w:val="5EA23921"/>
    <w:rsid w:val="5EB323C8"/>
    <w:rsid w:val="5EC46CBD"/>
    <w:rsid w:val="5EC54381"/>
    <w:rsid w:val="5EC9488F"/>
    <w:rsid w:val="5EDE5C89"/>
    <w:rsid w:val="5EE64AAF"/>
    <w:rsid w:val="5EEF1885"/>
    <w:rsid w:val="5EF47E31"/>
    <w:rsid w:val="5EFB4BF2"/>
    <w:rsid w:val="5F0132CA"/>
    <w:rsid w:val="5F1E58A2"/>
    <w:rsid w:val="5F1F2B83"/>
    <w:rsid w:val="5F215050"/>
    <w:rsid w:val="5F28008C"/>
    <w:rsid w:val="5F2B5871"/>
    <w:rsid w:val="5F2E659A"/>
    <w:rsid w:val="5F4462D9"/>
    <w:rsid w:val="5F4B574C"/>
    <w:rsid w:val="5F526781"/>
    <w:rsid w:val="5F57730E"/>
    <w:rsid w:val="5F69AEF8"/>
    <w:rsid w:val="5F6C2068"/>
    <w:rsid w:val="5F6C31C7"/>
    <w:rsid w:val="5F6E316F"/>
    <w:rsid w:val="5F733EF1"/>
    <w:rsid w:val="5F743B13"/>
    <w:rsid w:val="5F786A3F"/>
    <w:rsid w:val="5F7F46FC"/>
    <w:rsid w:val="5F7FE304"/>
    <w:rsid w:val="5F9B0D23"/>
    <w:rsid w:val="5F9D4C85"/>
    <w:rsid w:val="5F9F8873"/>
    <w:rsid w:val="5FA66085"/>
    <w:rsid w:val="5FB51FCB"/>
    <w:rsid w:val="5FC2688A"/>
    <w:rsid w:val="5FDC7CD6"/>
    <w:rsid w:val="5FEE3BCE"/>
    <w:rsid w:val="5FF217E7"/>
    <w:rsid w:val="600153BE"/>
    <w:rsid w:val="60094F35"/>
    <w:rsid w:val="600D4CEE"/>
    <w:rsid w:val="60113E2C"/>
    <w:rsid w:val="601A3702"/>
    <w:rsid w:val="602C7C48"/>
    <w:rsid w:val="604343F0"/>
    <w:rsid w:val="60437DE9"/>
    <w:rsid w:val="6046318F"/>
    <w:rsid w:val="604B6CCB"/>
    <w:rsid w:val="606A3A73"/>
    <w:rsid w:val="6070442A"/>
    <w:rsid w:val="607048AA"/>
    <w:rsid w:val="60B9239F"/>
    <w:rsid w:val="60C018E5"/>
    <w:rsid w:val="60C645AB"/>
    <w:rsid w:val="60E20DAE"/>
    <w:rsid w:val="60E27E53"/>
    <w:rsid w:val="61206F49"/>
    <w:rsid w:val="612D4771"/>
    <w:rsid w:val="61321B4C"/>
    <w:rsid w:val="613961ED"/>
    <w:rsid w:val="613D6BAA"/>
    <w:rsid w:val="61400A45"/>
    <w:rsid w:val="61410D80"/>
    <w:rsid w:val="6167427F"/>
    <w:rsid w:val="616A3192"/>
    <w:rsid w:val="616D37C2"/>
    <w:rsid w:val="618755C4"/>
    <w:rsid w:val="61953350"/>
    <w:rsid w:val="619E139C"/>
    <w:rsid w:val="61AC2E6E"/>
    <w:rsid w:val="61BE5377"/>
    <w:rsid w:val="61DE71DE"/>
    <w:rsid w:val="61F05A3D"/>
    <w:rsid w:val="61F3285F"/>
    <w:rsid w:val="620D6091"/>
    <w:rsid w:val="62127C3C"/>
    <w:rsid w:val="6224730C"/>
    <w:rsid w:val="622567A5"/>
    <w:rsid w:val="622977EA"/>
    <w:rsid w:val="622B010A"/>
    <w:rsid w:val="622C73DE"/>
    <w:rsid w:val="62577D9F"/>
    <w:rsid w:val="626C7A15"/>
    <w:rsid w:val="626F3F92"/>
    <w:rsid w:val="6287216F"/>
    <w:rsid w:val="62892A53"/>
    <w:rsid w:val="629831F9"/>
    <w:rsid w:val="62A63F25"/>
    <w:rsid w:val="62BC5DE9"/>
    <w:rsid w:val="62C10FD0"/>
    <w:rsid w:val="62D62672"/>
    <w:rsid w:val="62DD422F"/>
    <w:rsid w:val="62E41E7C"/>
    <w:rsid w:val="62E65643"/>
    <w:rsid w:val="62E8190E"/>
    <w:rsid w:val="62FC541B"/>
    <w:rsid w:val="6300634C"/>
    <w:rsid w:val="63114765"/>
    <w:rsid w:val="63287B7B"/>
    <w:rsid w:val="63382085"/>
    <w:rsid w:val="63422B24"/>
    <w:rsid w:val="63471E94"/>
    <w:rsid w:val="635C1ED9"/>
    <w:rsid w:val="636607F7"/>
    <w:rsid w:val="636965D4"/>
    <w:rsid w:val="637029F7"/>
    <w:rsid w:val="63726B6C"/>
    <w:rsid w:val="637B7A06"/>
    <w:rsid w:val="637C0E46"/>
    <w:rsid w:val="63835232"/>
    <w:rsid w:val="63965A29"/>
    <w:rsid w:val="63972DD1"/>
    <w:rsid w:val="639F6926"/>
    <w:rsid w:val="63A044C9"/>
    <w:rsid w:val="63AE2B07"/>
    <w:rsid w:val="63AE435F"/>
    <w:rsid w:val="63B14BC4"/>
    <w:rsid w:val="63BB7AF9"/>
    <w:rsid w:val="63BD1501"/>
    <w:rsid w:val="63CC0088"/>
    <w:rsid w:val="63E8694B"/>
    <w:rsid w:val="63F45AFE"/>
    <w:rsid w:val="63F86267"/>
    <w:rsid w:val="640C6713"/>
    <w:rsid w:val="640E3B92"/>
    <w:rsid w:val="64253EB5"/>
    <w:rsid w:val="646D6D6E"/>
    <w:rsid w:val="647A3430"/>
    <w:rsid w:val="648B159F"/>
    <w:rsid w:val="648D6976"/>
    <w:rsid w:val="64BB2F3B"/>
    <w:rsid w:val="64BF61CB"/>
    <w:rsid w:val="64C93DE9"/>
    <w:rsid w:val="64CD552F"/>
    <w:rsid w:val="64DA6181"/>
    <w:rsid w:val="64FA5B55"/>
    <w:rsid w:val="650332B7"/>
    <w:rsid w:val="650E5A4A"/>
    <w:rsid w:val="651C0482"/>
    <w:rsid w:val="65382864"/>
    <w:rsid w:val="65461ECA"/>
    <w:rsid w:val="654A5961"/>
    <w:rsid w:val="655075F6"/>
    <w:rsid w:val="657E46FF"/>
    <w:rsid w:val="65803402"/>
    <w:rsid w:val="658E1E84"/>
    <w:rsid w:val="659125E1"/>
    <w:rsid w:val="659212F5"/>
    <w:rsid w:val="659A5AD1"/>
    <w:rsid w:val="65A4596F"/>
    <w:rsid w:val="65B93B96"/>
    <w:rsid w:val="65C437BF"/>
    <w:rsid w:val="65C72292"/>
    <w:rsid w:val="65D117B7"/>
    <w:rsid w:val="65F1617E"/>
    <w:rsid w:val="65F5223C"/>
    <w:rsid w:val="65F65FBE"/>
    <w:rsid w:val="66022B47"/>
    <w:rsid w:val="660245B8"/>
    <w:rsid w:val="661820BA"/>
    <w:rsid w:val="661829F8"/>
    <w:rsid w:val="661A727C"/>
    <w:rsid w:val="661B4BCF"/>
    <w:rsid w:val="662E096C"/>
    <w:rsid w:val="665C4E79"/>
    <w:rsid w:val="666962A2"/>
    <w:rsid w:val="666D0C7A"/>
    <w:rsid w:val="66821FD7"/>
    <w:rsid w:val="66975803"/>
    <w:rsid w:val="66B132A5"/>
    <w:rsid w:val="66C306A0"/>
    <w:rsid w:val="66C57763"/>
    <w:rsid w:val="66C96570"/>
    <w:rsid w:val="66CE250A"/>
    <w:rsid w:val="66D52CAC"/>
    <w:rsid w:val="66D538F6"/>
    <w:rsid w:val="66E717C1"/>
    <w:rsid w:val="66E757AC"/>
    <w:rsid w:val="66F1473C"/>
    <w:rsid w:val="66F276B6"/>
    <w:rsid w:val="66FB2125"/>
    <w:rsid w:val="672A5A8A"/>
    <w:rsid w:val="672B6BEF"/>
    <w:rsid w:val="672F287A"/>
    <w:rsid w:val="67324460"/>
    <w:rsid w:val="67340A23"/>
    <w:rsid w:val="67443FC9"/>
    <w:rsid w:val="67574DE2"/>
    <w:rsid w:val="675F6FD0"/>
    <w:rsid w:val="67607A40"/>
    <w:rsid w:val="67717EA6"/>
    <w:rsid w:val="67753D45"/>
    <w:rsid w:val="677E7AB0"/>
    <w:rsid w:val="678D7669"/>
    <w:rsid w:val="67D03E67"/>
    <w:rsid w:val="67D33548"/>
    <w:rsid w:val="67E633C8"/>
    <w:rsid w:val="67E86292"/>
    <w:rsid w:val="67EC221C"/>
    <w:rsid w:val="67F6317D"/>
    <w:rsid w:val="67F72C98"/>
    <w:rsid w:val="67F806BE"/>
    <w:rsid w:val="68174EC4"/>
    <w:rsid w:val="683A0757"/>
    <w:rsid w:val="68450B54"/>
    <w:rsid w:val="6853226F"/>
    <w:rsid w:val="68534AC8"/>
    <w:rsid w:val="68557724"/>
    <w:rsid w:val="687759D0"/>
    <w:rsid w:val="687D7DAB"/>
    <w:rsid w:val="68830BF5"/>
    <w:rsid w:val="689D7887"/>
    <w:rsid w:val="689F7918"/>
    <w:rsid w:val="68A1024E"/>
    <w:rsid w:val="68B411EB"/>
    <w:rsid w:val="68C53CF8"/>
    <w:rsid w:val="68CE059F"/>
    <w:rsid w:val="68DE37E4"/>
    <w:rsid w:val="68DE3B49"/>
    <w:rsid w:val="68DF04D4"/>
    <w:rsid w:val="68E02C65"/>
    <w:rsid w:val="68FF3B24"/>
    <w:rsid w:val="69024E7D"/>
    <w:rsid w:val="69032A8F"/>
    <w:rsid w:val="690E397F"/>
    <w:rsid w:val="691471F2"/>
    <w:rsid w:val="691F3219"/>
    <w:rsid w:val="69341C75"/>
    <w:rsid w:val="696279DD"/>
    <w:rsid w:val="696C085C"/>
    <w:rsid w:val="696E3D0E"/>
    <w:rsid w:val="696E6A70"/>
    <w:rsid w:val="69884761"/>
    <w:rsid w:val="699613C0"/>
    <w:rsid w:val="699F0AC7"/>
    <w:rsid w:val="69C1601A"/>
    <w:rsid w:val="69DE523F"/>
    <w:rsid w:val="69E45415"/>
    <w:rsid w:val="69EF0BEC"/>
    <w:rsid w:val="69F878CA"/>
    <w:rsid w:val="69FD21F7"/>
    <w:rsid w:val="6A03117B"/>
    <w:rsid w:val="6A0A2BBD"/>
    <w:rsid w:val="6A1116E7"/>
    <w:rsid w:val="6A18692A"/>
    <w:rsid w:val="6A1B663F"/>
    <w:rsid w:val="6A3003EA"/>
    <w:rsid w:val="6A354F27"/>
    <w:rsid w:val="6A5A4712"/>
    <w:rsid w:val="6A5D229E"/>
    <w:rsid w:val="6A6661F0"/>
    <w:rsid w:val="6A7933E7"/>
    <w:rsid w:val="6A7D6314"/>
    <w:rsid w:val="6A8F06CC"/>
    <w:rsid w:val="6A9B4E64"/>
    <w:rsid w:val="6A9B7C73"/>
    <w:rsid w:val="6AA2466B"/>
    <w:rsid w:val="6AB0509A"/>
    <w:rsid w:val="6ABA56FB"/>
    <w:rsid w:val="6ABB323D"/>
    <w:rsid w:val="6ABB571C"/>
    <w:rsid w:val="6ACB2456"/>
    <w:rsid w:val="6ACC4257"/>
    <w:rsid w:val="6ACE1E05"/>
    <w:rsid w:val="6ACE6EC4"/>
    <w:rsid w:val="6AE32434"/>
    <w:rsid w:val="6AF4202E"/>
    <w:rsid w:val="6AF81E4E"/>
    <w:rsid w:val="6B0873F3"/>
    <w:rsid w:val="6B0E0FF6"/>
    <w:rsid w:val="6B0E3D4F"/>
    <w:rsid w:val="6B185226"/>
    <w:rsid w:val="6B1A13F6"/>
    <w:rsid w:val="6B1A1DDB"/>
    <w:rsid w:val="6B20644A"/>
    <w:rsid w:val="6B2172B8"/>
    <w:rsid w:val="6B2B5C9F"/>
    <w:rsid w:val="6B33535D"/>
    <w:rsid w:val="6B337530"/>
    <w:rsid w:val="6B372C9C"/>
    <w:rsid w:val="6B3753C8"/>
    <w:rsid w:val="6B3D63CA"/>
    <w:rsid w:val="6B425B21"/>
    <w:rsid w:val="6B4F55AF"/>
    <w:rsid w:val="6B712827"/>
    <w:rsid w:val="6B881251"/>
    <w:rsid w:val="6B8C5E66"/>
    <w:rsid w:val="6B972271"/>
    <w:rsid w:val="6B9B6206"/>
    <w:rsid w:val="6BA12924"/>
    <w:rsid w:val="6BA31786"/>
    <w:rsid w:val="6BC1250C"/>
    <w:rsid w:val="6BDD4CE3"/>
    <w:rsid w:val="6BE2471A"/>
    <w:rsid w:val="6BF27AD3"/>
    <w:rsid w:val="6C127E8F"/>
    <w:rsid w:val="6C2643D1"/>
    <w:rsid w:val="6C2A19E5"/>
    <w:rsid w:val="6C3239D1"/>
    <w:rsid w:val="6C367D5D"/>
    <w:rsid w:val="6C371E8E"/>
    <w:rsid w:val="6C380D14"/>
    <w:rsid w:val="6C4707FB"/>
    <w:rsid w:val="6C4A583D"/>
    <w:rsid w:val="6C626635"/>
    <w:rsid w:val="6C6D191B"/>
    <w:rsid w:val="6C6D3F0B"/>
    <w:rsid w:val="6C7F7238"/>
    <w:rsid w:val="6C8F5271"/>
    <w:rsid w:val="6CA420BB"/>
    <w:rsid w:val="6CAA75A0"/>
    <w:rsid w:val="6CAD2B5D"/>
    <w:rsid w:val="6CAD60B2"/>
    <w:rsid w:val="6CB565B0"/>
    <w:rsid w:val="6CB7686A"/>
    <w:rsid w:val="6CFB0FDE"/>
    <w:rsid w:val="6D0B3E55"/>
    <w:rsid w:val="6D0E128B"/>
    <w:rsid w:val="6D1E1EB0"/>
    <w:rsid w:val="6D231B03"/>
    <w:rsid w:val="6D245DF6"/>
    <w:rsid w:val="6D2C0992"/>
    <w:rsid w:val="6D2F4ECF"/>
    <w:rsid w:val="6D3C4065"/>
    <w:rsid w:val="6D4D6E7A"/>
    <w:rsid w:val="6D5A180E"/>
    <w:rsid w:val="6D6A62D7"/>
    <w:rsid w:val="6D733879"/>
    <w:rsid w:val="6D763531"/>
    <w:rsid w:val="6D7837AF"/>
    <w:rsid w:val="6D857D9D"/>
    <w:rsid w:val="6D8F032A"/>
    <w:rsid w:val="6DBA4C07"/>
    <w:rsid w:val="6DBD5004"/>
    <w:rsid w:val="6DD975D8"/>
    <w:rsid w:val="6DDF631C"/>
    <w:rsid w:val="6DE65627"/>
    <w:rsid w:val="6DEE7CCD"/>
    <w:rsid w:val="6DF73529"/>
    <w:rsid w:val="6E032FC2"/>
    <w:rsid w:val="6E090563"/>
    <w:rsid w:val="6E220D75"/>
    <w:rsid w:val="6E285408"/>
    <w:rsid w:val="6E2C0C98"/>
    <w:rsid w:val="6E317E32"/>
    <w:rsid w:val="6E3877ED"/>
    <w:rsid w:val="6E3967BB"/>
    <w:rsid w:val="6E433EAF"/>
    <w:rsid w:val="6E496928"/>
    <w:rsid w:val="6E4C2739"/>
    <w:rsid w:val="6E5340CB"/>
    <w:rsid w:val="6E56640B"/>
    <w:rsid w:val="6E851BF4"/>
    <w:rsid w:val="6E9217B4"/>
    <w:rsid w:val="6E943958"/>
    <w:rsid w:val="6E953AA3"/>
    <w:rsid w:val="6E9B23D4"/>
    <w:rsid w:val="6E9F711B"/>
    <w:rsid w:val="6EAF3A57"/>
    <w:rsid w:val="6EAF762E"/>
    <w:rsid w:val="6EC53587"/>
    <w:rsid w:val="6EC95E08"/>
    <w:rsid w:val="6ECE29D7"/>
    <w:rsid w:val="6ED011FC"/>
    <w:rsid w:val="6ED770CD"/>
    <w:rsid w:val="6EDF77F5"/>
    <w:rsid w:val="6F076F7D"/>
    <w:rsid w:val="6F1144A4"/>
    <w:rsid w:val="6F323167"/>
    <w:rsid w:val="6F33446A"/>
    <w:rsid w:val="6F3444B6"/>
    <w:rsid w:val="6F451AAB"/>
    <w:rsid w:val="6F5E1BD4"/>
    <w:rsid w:val="6F7508C1"/>
    <w:rsid w:val="6F7B6954"/>
    <w:rsid w:val="6F814C70"/>
    <w:rsid w:val="6F85563F"/>
    <w:rsid w:val="6F8C2487"/>
    <w:rsid w:val="6FA46580"/>
    <w:rsid w:val="6FA5414E"/>
    <w:rsid w:val="6FB73240"/>
    <w:rsid w:val="6FB93B4D"/>
    <w:rsid w:val="6FBF0D34"/>
    <w:rsid w:val="6FC92DA9"/>
    <w:rsid w:val="6FD87DDA"/>
    <w:rsid w:val="6FD93B73"/>
    <w:rsid w:val="6FD96993"/>
    <w:rsid w:val="6FDFDB66"/>
    <w:rsid w:val="6FE90101"/>
    <w:rsid w:val="6FF22532"/>
    <w:rsid w:val="6FF31452"/>
    <w:rsid w:val="70015A99"/>
    <w:rsid w:val="70027159"/>
    <w:rsid w:val="70185CDC"/>
    <w:rsid w:val="702571BD"/>
    <w:rsid w:val="70301438"/>
    <w:rsid w:val="7035776D"/>
    <w:rsid w:val="703A551C"/>
    <w:rsid w:val="703A5856"/>
    <w:rsid w:val="703C2781"/>
    <w:rsid w:val="70563559"/>
    <w:rsid w:val="705807EE"/>
    <w:rsid w:val="706436BB"/>
    <w:rsid w:val="707C47D6"/>
    <w:rsid w:val="70A0799F"/>
    <w:rsid w:val="70A30D27"/>
    <w:rsid w:val="70AC3D7A"/>
    <w:rsid w:val="70AE7F6F"/>
    <w:rsid w:val="70C76C10"/>
    <w:rsid w:val="70CC36B5"/>
    <w:rsid w:val="70CC526B"/>
    <w:rsid w:val="70F244FE"/>
    <w:rsid w:val="70FA3A3F"/>
    <w:rsid w:val="70FE0A22"/>
    <w:rsid w:val="70FE78F0"/>
    <w:rsid w:val="710F4243"/>
    <w:rsid w:val="712269D3"/>
    <w:rsid w:val="713573F8"/>
    <w:rsid w:val="71550DEF"/>
    <w:rsid w:val="715B625B"/>
    <w:rsid w:val="71667BAE"/>
    <w:rsid w:val="717374F6"/>
    <w:rsid w:val="71743D65"/>
    <w:rsid w:val="717F7118"/>
    <w:rsid w:val="71875EFF"/>
    <w:rsid w:val="718E2962"/>
    <w:rsid w:val="719152B5"/>
    <w:rsid w:val="719438CB"/>
    <w:rsid w:val="71997EB8"/>
    <w:rsid w:val="719D1800"/>
    <w:rsid w:val="71A20DB3"/>
    <w:rsid w:val="71A42F48"/>
    <w:rsid w:val="71A517D9"/>
    <w:rsid w:val="71A61A92"/>
    <w:rsid w:val="71AA4E17"/>
    <w:rsid w:val="71AB0D1E"/>
    <w:rsid w:val="71B57E05"/>
    <w:rsid w:val="71C21F5C"/>
    <w:rsid w:val="71CC32AB"/>
    <w:rsid w:val="71D0293D"/>
    <w:rsid w:val="71EE5087"/>
    <w:rsid w:val="71F06A5C"/>
    <w:rsid w:val="71FE3F21"/>
    <w:rsid w:val="72057567"/>
    <w:rsid w:val="720D311D"/>
    <w:rsid w:val="72104CF8"/>
    <w:rsid w:val="721D12AF"/>
    <w:rsid w:val="721D3A01"/>
    <w:rsid w:val="7226152F"/>
    <w:rsid w:val="72264D1E"/>
    <w:rsid w:val="722E2629"/>
    <w:rsid w:val="723830FF"/>
    <w:rsid w:val="723F518D"/>
    <w:rsid w:val="72581DED"/>
    <w:rsid w:val="725A4ECA"/>
    <w:rsid w:val="725D58A8"/>
    <w:rsid w:val="72931016"/>
    <w:rsid w:val="729E12ED"/>
    <w:rsid w:val="729F57FE"/>
    <w:rsid w:val="72AF7364"/>
    <w:rsid w:val="72B50674"/>
    <w:rsid w:val="72C216C0"/>
    <w:rsid w:val="72C7190D"/>
    <w:rsid w:val="72E07EB3"/>
    <w:rsid w:val="72EC7E3D"/>
    <w:rsid w:val="72F04094"/>
    <w:rsid w:val="72F21EB4"/>
    <w:rsid w:val="730E3420"/>
    <w:rsid w:val="731A52E5"/>
    <w:rsid w:val="731D71E7"/>
    <w:rsid w:val="73203209"/>
    <w:rsid w:val="732A6D4F"/>
    <w:rsid w:val="73342F94"/>
    <w:rsid w:val="73361B37"/>
    <w:rsid w:val="733A1A9C"/>
    <w:rsid w:val="733E66FD"/>
    <w:rsid w:val="734165F8"/>
    <w:rsid w:val="734F3909"/>
    <w:rsid w:val="734F6B4A"/>
    <w:rsid w:val="735341A2"/>
    <w:rsid w:val="7362374F"/>
    <w:rsid w:val="736C1B8C"/>
    <w:rsid w:val="736C5135"/>
    <w:rsid w:val="737E1D9A"/>
    <w:rsid w:val="738B0393"/>
    <w:rsid w:val="73927EC3"/>
    <w:rsid w:val="739978C7"/>
    <w:rsid w:val="73A56453"/>
    <w:rsid w:val="73AB798B"/>
    <w:rsid w:val="73BA702E"/>
    <w:rsid w:val="73CD3AF9"/>
    <w:rsid w:val="73CF470B"/>
    <w:rsid w:val="74082529"/>
    <w:rsid w:val="741D2018"/>
    <w:rsid w:val="741F35DB"/>
    <w:rsid w:val="742A7931"/>
    <w:rsid w:val="74330594"/>
    <w:rsid w:val="74363265"/>
    <w:rsid w:val="7439521B"/>
    <w:rsid w:val="743B15E2"/>
    <w:rsid w:val="743C03B7"/>
    <w:rsid w:val="744864FF"/>
    <w:rsid w:val="74487C11"/>
    <w:rsid w:val="745C1CA8"/>
    <w:rsid w:val="746304B0"/>
    <w:rsid w:val="748816E2"/>
    <w:rsid w:val="748C3F4B"/>
    <w:rsid w:val="7492141F"/>
    <w:rsid w:val="74D114D6"/>
    <w:rsid w:val="74D25EEE"/>
    <w:rsid w:val="74F93B59"/>
    <w:rsid w:val="750937B8"/>
    <w:rsid w:val="750B48FC"/>
    <w:rsid w:val="750B5B44"/>
    <w:rsid w:val="750D3415"/>
    <w:rsid w:val="751A6619"/>
    <w:rsid w:val="75384563"/>
    <w:rsid w:val="754760B8"/>
    <w:rsid w:val="754C091C"/>
    <w:rsid w:val="754C13F7"/>
    <w:rsid w:val="754D342B"/>
    <w:rsid w:val="755F7F87"/>
    <w:rsid w:val="756B7229"/>
    <w:rsid w:val="756C070F"/>
    <w:rsid w:val="757822AE"/>
    <w:rsid w:val="757E66CB"/>
    <w:rsid w:val="758950A4"/>
    <w:rsid w:val="758F6AE1"/>
    <w:rsid w:val="7590208C"/>
    <w:rsid w:val="75923DAC"/>
    <w:rsid w:val="75945B8C"/>
    <w:rsid w:val="75A7573B"/>
    <w:rsid w:val="75AD4F0B"/>
    <w:rsid w:val="75B545EA"/>
    <w:rsid w:val="75B551D4"/>
    <w:rsid w:val="75BA5D24"/>
    <w:rsid w:val="75BD268A"/>
    <w:rsid w:val="75C95D9C"/>
    <w:rsid w:val="75D30E1D"/>
    <w:rsid w:val="75D31876"/>
    <w:rsid w:val="76015058"/>
    <w:rsid w:val="7603234A"/>
    <w:rsid w:val="76054613"/>
    <w:rsid w:val="760A5CDB"/>
    <w:rsid w:val="76202E19"/>
    <w:rsid w:val="7634632A"/>
    <w:rsid w:val="763738F1"/>
    <w:rsid w:val="76385E60"/>
    <w:rsid w:val="76402E54"/>
    <w:rsid w:val="764E068A"/>
    <w:rsid w:val="76790F36"/>
    <w:rsid w:val="767A6BDE"/>
    <w:rsid w:val="767B0CC7"/>
    <w:rsid w:val="7694751B"/>
    <w:rsid w:val="76AE1308"/>
    <w:rsid w:val="76B714B3"/>
    <w:rsid w:val="76C369E8"/>
    <w:rsid w:val="76C73C9A"/>
    <w:rsid w:val="76CC46E8"/>
    <w:rsid w:val="76D70271"/>
    <w:rsid w:val="76E962C0"/>
    <w:rsid w:val="76EA2DC0"/>
    <w:rsid w:val="76FB0B73"/>
    <w:rsid w:val="77017347"/>
    <w:rsid w:val="77041C61"/>
    <w:rsid w:val="771522A2"/>
    <w:rsid w:val="77377037"/>
    <w:rsid w:val="773B615A"/>
    <w:rsid w:val="77450149"/>
    <w:rsid w:val="774C54A1"/>
    <w:rsid w:val="77534D32"/>
    <w:rsid w:val="775929E7"/>
    <w:rsid w:val="775C4878"/>
    <w:rsid w:val="775F6F8F"/>
    <w:rsid w:val="77647949"/>
    <w:rsid w:val="77764D81"/>
    <w:rsid w:val="77793034"/>
    <w:rsid w:val="777F5402"/>
    <w:rsid w:val="77983F25"/>
    <w:rsid w:val="77AD4728"/>
    <w:rsid w:val="77B40BB1"/>
    <w:rsid w:val="77B5746C"/>
    <w:rsid w:val="77BA131D"/>
    <w:rsid w:val="77BA3B1C"/>
    <w:rsid w:val="77BF57C7"/>
    <w:rsid w:val="77CA7A19"/>
    <w:rsid w:val="77DF3E51"/>
    <w:rsid w:val="77DF47F4"/>
    <w:rsid w:val="77E83F2A"/>
    <w:rsid w:val="77E91DF6"/>
    <w:rsid w:val="77EA2895"/>
    <w:rsid w:val="77EA5752"/>
    <w:rsid w:val="7803223D"/>
    <w:rsid w:val="780A45ED"/>
    <w:rsid w:val="780A4DFA"/>
    <w:rsid w:val="78157CF7"/>
    <w:rsid w:val="78191BAF"/>
    <w:rsid w:val="78301DAE"/>
    <w:rsid w:val="783B42F7"/>
    <w:rsid w:val="783E4375"/>
    <w:rsid w:val="784F56DF"/>
    <w:rsid w:val="78520D00"/>
    <w:rsid w:val="78526FC2"/>
    <w:rsid w:val="7857629B"/>
    <w:rsid w:val="78590227"/>
    <w:rsid w:val="78693808"/>
    <w:rsid w:val="786E0F9C"/>
    <w:rsid w:val="788437FF"/>
    <w:rsid w:val="78857C89"/>
    <w:rsid w:val="788D5D18"/>
    <w:rsid w:val="7890698E"/>
    <w:rsid w:val="78A97A27"/>
    <w:rsid w:val="78BB2564"/>
    <w:rsid w:val="78BC323C"/>
    <w:rsid w:val="78CC0DC3"/>
    <w:rsid w:val="78D4689D"/>
    <w:rsid w:val="78DF464D"/>
    <w:rsid w:val="78E440AD"/>
    <w:rsid w:val="78E56CA1"/>
    <w:rsid w:val="78F411E5"/>
    <w:rsid w:val="78F54C80"/>
    <w:rsid w:val="78F64009"/>
    <w:rsid w:val="79156E0F"/>
    <w:rsid w:val="791902A3"/>
    <w:rsid w:val="79213A88"/>
    <w:rsid w:val="793555E7"/>
    <w:rsid w:val="7944014D"/>
    <w:rsid w:val="79446284"/>
    <w:rsid w:val="79482F61"/>
    <w:rsid w:val="7956060E"/>
    <w:rsid w:val="79653DE6"/>
    <w:rsid w:val="79782A0A"/>
    <w:rsid w:val="7994314C"/>
    <w:rsid w:val="79952599"/>
    <w:rsid w:val="79A04577"/>
    <w:rsid w:val="79A35F49"/>
    <w:rsid w:val="79BC168A"/>
    <w:rsid w:val="79D85272"/>
    <w:rsid w:val="79E06189"/>
    <w:rsid w:val="79E06CEF"/>
    <w:rsid w:val="79EA62EB"/>
    <w:rsid w:val="79EB45A1"/>
    <w:rsid w:val="79ED12C9"/>
    <w:rsid w:val="79FD76E9"/>
    <w:rsid w:val="7A1D6600"/>
    <w:rsid w:val="7A1D7B44"/>
    <w:rsid w:val="7A215C00"/>
    <w:rsid w:val="7A290DC0"/>
    <w:rsid w:val="7A296EFF"/>
    <w:rsid w:val="7A4B51FA"/>
    <w:rsid w:val="7A4C6089"/>
    <w:rsid w:val="7A5252C7"/>
    <w:rsid w:val="7A531C9F"/>
    <w:rsid w:val="7A5F6682"/>
    <w:rsid w:val="7A8A2F3D"/>
    <w:rsid w:val="7A921AE4"/>
    <w:rsid w:val="7A940832"/>
    <w:rsid w:val="7AA9530D"/>
    <w:rsid w:val="7AB20E79"/>
    <w:rsid w:val="7AB32860"/>
    <w:rsid w:val="7AE70572"/>
    <w:rsid w:val="7AE815FC"/>
    <w:rsid w:val="7AF05A27"/>
    <w:rsid w:val="7AF37A02"/>
    <w:rsid w:val="7B0B455A"/>
    <w:rsid w:val="7B0E68E7"/>
    <w:rsid w:val="7B283017"/>
    <w:rsid w:val="7B347486"/>
    <w:rsid w:val="7B370F1A"/>
    <w:rsid w:val="7B51212C"/>
    <w:rsid w:val="7B553822"/>
    <w:rsid w:val="7B581841"/>
    <w:rsid w:val="7B5B428C"/>
    <w:rsid w:val="7B5C2D8B"/>
    <w:rsid w:val="7B5F5CEE"/>
    <w:rsid w:val="7B6C7089"/>
    <w:rsid w:val="7B7C4ED1"/>
    <w:rsid w:val="7BB13620"/>
    <w:rsid w:val="7BB87930"/>
    <w:rsid w:val="7BBA5E68"/>
    <w:rsid w:val="7BC7163F"/>
    <w:rsid w:val="7BC96C5E"/>
    <w:rsid w:val="7BCA02B2"/>
    <w:rsid w:val="7BCE0DF2"/>
    <w:rsid w:val="7BCF19A0"/>
    <w:rsid w:val="7BD01566"/>
    <w:rsid w:val="7BE307E7"/>
    <w:rsid w:val="7C30326B"/>
    <w:rsid w:val="7C33006F"/>
    <w:rsid w:val="7C350FFF"/>
    <w:rsid w:val="7C411BDF"/>
    <w:rsid w:val="7C56302C"/>
    <w:rsid w:val="7C59178C"/>
    <w:rsid w:val="7C5E5C42"/>
    <w:rsid w:val="7C6F071E"/>
    <w:rsid w:val="7C7C6A3F"/>
    <w:rsid w:val="7C8D0E31"/>
    <w:rsid w:val="7C9567F4"/>
    <w:rsid w:val="7C961F7D"/>
    <w:rsid w:val="7C9E14D5"/>
    <w:rsid w:val="7CA13E1C"/>
    <w:rsid w:val="7CB56D7D"/>
    <w:rsid w:val="7CC916E8"/>
    <w:rsid w:val="7CC92BE4"/>
    <w:rsid w:val="7CD044DC"/>
    <w:rsid w:val="7CEE536B"/>
    <w:rsid w:val="7CFF1283"/>
    <w:rsid w:val="7CFFEFA1"/>
    <w:rsid w:val="7D00284C"/>
    <w:rsid w:val="7D0A7401"/>
    <w:rsid w:val="7D0E042B"/>
    <w:rsid w:val="7D1673FE"/>
    <w:rsid w:val="7D1740A3"/>
    <w:rsid w:val="7D1E3FBC"/>
    <w:rsid w:val="7D2021D2"/>
    <w:rsid w:val="7D2122C5"/>
    <w:rsid w:val="7D342C2D"/>
    <w:rsid w:val="7D346302"/>
    <w:rsid w:val="7D3A7495"/>
    <w:rsid w:val="7D5611AF"/>
    <w:rsid w:val="7D5C2AB9"/>
    <w:rsid w:val="7D5E1AB7"/>
    <w:rsid w:val="7D65430E"/>
    <w:rsid w:val="7D7F7019"/>
    <w:rsid w:val="7D8852F8"/>
    <w:rsid w:val="7D94398B"/>
    <w:rsid w:val="7D971692"/>
    <w:rsid w:val="7D9865FF"/>
    <w:rsid w:val="7DA036B4"/>
    <w:rsid w:val="7DCD136B"/>
    <w:rsid w:val="7DD85480"/>
    <w:rsid w:val="7DDDCE29"/>
    <w:rsid w:val="7DF616D0"/>
    <w:rsid w:val="7E097B7D"/>
    <w:rsid w:val="7E0A3645"/>
    <w:rsid w:val="7E233C90"/>
    <w:rsid w:val="7E244E09"/>
    <w:rsid w:val="7E261F2C"/>
    <w:rsid w:val="7E290FF7"/>
    <w:rsid w:val="7E3056E0"/>
    <w:rsid w:val="7E305AC4"/>
    <w:rsid w:val="7E327D9E"/>
    <w:rsid w:val="7E3F1D1F"/>
    <w:rsid w:val="7E6063D6"/>
    <w:rsid w:val="7E64706F"/>
    <w:rsid w:val="7E712CB7"/>
    <w:rsid w:val="7E7C0838"/>
    <w:rsid w:val="7E7C1973"/>
    <w:rsid w:val="7E7F2C24"/>
    <w:rsid w:val="7E8D3214"/>
    <w:rsid w:val="7E9006F1"/>
    <w:rsid w:val="7E915650"/>
    <w:rsid w:val="7E923BFA"/>
    <w:rsid w:val="7E9674C8"/>
    <w:rsid w:val="7E997755"/>
    <w:rsid w:val="7EAB3212"/>
    <w:rsid w:val="7EB73BF1"/>
    <w:rsid w:val="7EB75F10"/>
    <w:rsid w:val="7EB80529"/>
    <w:rsid w:val="7EB92E8B"/>
    <w:rsid w:val="7EBD08BF"/>
    <w:rsid w:val="7EC52331"/>
    <w:rsid w:val="7ECF5F7A"/>
    <w:rsid w:val="7ED04D1C"/>
    <w:rsid w:val="7ED752CD"/>
    <w:rsid w:val="7EEA7E01"/>
    <w:rsid w:val="7EEC1096"/>
    <w:rsid w:val="7EFC0461"/>
    <w:rsid w:val="7F1B05FD"/>
    <w:rsid w:val="7F337199"/>
    <w:rsid w:val="7F40213C"/>
    <w:rsid w:val="7F4C0ED5"/>
    <w:rsid w:val="7F5C3BF7"/>
    <w:rsid w:val="7F5D4A77"/>
    <w:rsid w:val="7F695587"/>
    <w:rsid w:val="7F76D771"/>
    <w:rsid w:val="7F7B36C7"/>
    <w:rsid w:val="7F7F7BF0"/>
    <w:rsid w:val="7F8440CB"/>
    <w:rsid w:val="7F943F09"/>
    <w:rsid w:val="7F9A1937"/>
    <w:rsid w:val="7F9E51A4"/>
    <w:rsid w:val="7FA00957"/>
    <w:rsid w:val="7FA072B5"/>
    <w:rsid w:val="7FA62219"/>
    <w:rsid w:val="7FAC749F"/>
    <w:rsid w:val="7FAE0F58"/>
    <w:rsid w:val="7FB76872"/>
    <w:rsid w:val="7FBF9542"/>
    <w:rsid w:val="7FC932D6"/>
    <w:rsid w:val="7FE93226"/>
    <w:rsid w:val="7FF35F6F"/>
    <w:rsid w:val="7FF739AB"/>
    <w:rsid w:val="7FF847B0"/>
    <w:rsid w:val="7FFE7C82"/>
    <w:rsid w:val="7FFF55D0"/>
    <w:rsid w:val="9ECF4E12"/>
    <w:rsid w:val="9F7F0CC7"/>
    <w:rsid w:val="A3FD840D"/>
    <w:rsid w:val="B5FCB43E"/>
    <w:rsid w:val="B6F56A9A"/>
    <w:rsid w:val="B7FDAA39"/>
    <w:rsid w:val="BB5BC08A"/>
    <w:rsid w:val="BBEF4418"/>
    <w:rsid w:val="BFCF897A"/>
    <w:rsid w:val="BFE6DD2C"/>
    <w:rsid w:val="C0F64476"/>
    <w:rsid w:val="CBEF6EF8"/>
    <w:rsid w:val="DE7D76AF"/>
    <w:rsid w:val="DFEFA6F6"/>
    <w:rsid w:val="E9D6DDAA"/>
    <w:rsid w:val="EEAF5766"/>
    <w:rsid w:val="EEFCB4F8"/>
    <w:rsid w:val="EFAEFBD7"/>
    <w:rsid w:val="EFFEADF8"/>
    <w:rsid w:val="EFFF1A8E"/>
    <w:rsid w:val="F1F3E90F"/>
    <w:rsid w:val="F8FAD7A1"/>
    <w:rsid w:val="FAEFD0B4"/>
    <w:rsid w:val="FB27EE18"/>
    <w:rsid w:val="FC7D4D40"/>
    <w:rsid w:val="FC7F8352"/>
    <w:rsid w:val="FDD34B8F"/>
    <w:rsid w:val="FE7DFF5C"/>
    <w:rsid w:val="FEFD66C9"/>
    <w:rsid w:val="FFDFC374"/>
    <w:rsid w:val="FFFE368D"/>
    <w:rsid w:val="FFFEFB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nhideWhenUsed="0" w:uiPriority="1" w:semiHidden="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qFormat="1" w:uiPriority="39"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99"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7">
    <w:name w:val="heading 1"/>
    <w:basedOn w:val="1"/>
    <w:next w:val="1"/>
    <w:link w:val="84"/>
    <w:qFormat/>
    <w:uiPriority w:val="0"/>
    <w:pPr>
      <w:keepNext/>
      <w:keepLines/>
      <w:spacing w:before="340" w:after="330" w:line="578" w:lineRule="auto"/>
      <w:outlineLvl w:val="0"/>
    </w:pPr>
    <w:rPr>
      <w:b/>
      <w:bCs/>
      <w:kern w:val="44"/>
      <w:sz w:val="44"/>
      <w:szCs w:val="44"/>
    </w:rPr>
  </w:style>
  <w:style w:type="paragraph" w:styleId="8">
    <w:name w:val="heading 2"/>
    <w:basedOn w:val="1"/>
    <w:next w:val="1"/>
    <w:link w:val="69"/>
    <w:qFormat/>
    <w:uiPriority w:val="9"/>
    <w:pPr>
      <w:keepNext/>
      <w:keepLines/>
      <w:spacing w:before="260" w:after="260" w:line="416" w:lineRule="auto"/>
      <w:outlineLvl w:val="1"/>
    </w:pPr>
    <w:rPr>
      <w:rFonts w:ascii="Arial" w:hAnsi="Arial" w:eastAsia="黑体"/>
      <w:sz w:val="32"/>
      <w:szCs w:val="32"/>
    </w:rPr>
  </w:style>
  <w:style w:type="paragraph" w:styleId="9">
    <w:name w:val="heading 3"/>
    <w:basedOn w:val="1"/>
    <w:next w:val="1"/>
    <w:link w:val="62"/>
    <w:qFormat/>
    <w:uiPriority w:val="0"/>
    <w:pPr>
      <w:keepNext/>
      <w:keepLines/>
      <w:spacing w:before="260" w:after="260" w:line="413" w:lineRule="auto"/>
      <w:outlineLvl w:val="2"/>
    </w:pPr>
    <w:rPr>
      <w:b/>
      <w:bCs/>
      <w:sz w:val="32"/>
      <w:szCs w:val="32"/>
    </w:rPr>
  </w:style>
  <w:style w:type="paragraph" w:styleId="10">
    <w:name w:val="heading 4"/>
    <w:basedOn w:val="1"/>
    <w:next w:val="1"/>
    <w:qFormat/>
    <w:uiPriority w:val="0"/>
    <w:pPr>
      <w:keepNext/>
      <w:keepLines/>
      <w:spacing w:before="280" w:after="290" w:line="372" w:lineRule="auto"/>
      <w:outlineLvl w:val="3"/>
    </w:pPr>
    <w:rPr>
      <w:rFonts w:ascii="Arial" w:hAnsi="Arial" w:eastAsia="黑体"/>
      <w:b/>
      <w:sz w:val="28"/>
    </w:rPr>
  </w:style>
  <w:style w:type="paragraph" w:styleId="11">
    <w:name w:val="heading 6"/>
    <w:basedOn w:val="1"/>
    <w:next w:val="1"/>
    <w:link w:val="63"/>
    <w:qFormat/>
    <w:uiPriority w:val="0"/>
    <w:pPr>
      <w:keepNext/>
      <w:keepLines/>
      <w:spacing w:before="240" w:after="64" w:line="320" w:lineRule="auto"/>
      <w:outlineLvl w:val="5"/>
    </w:pPr>
    <w:rPr>
      <w:rFonts w:ascii="Cambria" w:hAnsi="Cambria"/>
      <w:b/>
      <w:bCs/>
      <w:sz w:val="24"/>
    </w:rPr>
  </w:style>
  <w:style w:type="paragraph" w:styleId="12">
    <w:name w:val="heading 8"/>
    <w:basedOn w:val="1"/>
    <w:next w:val="1"/>
    <w:qFormat/>
    <w:uiPriority w:val="1"/>
    <w:pPr>
      <w:ind w:left="220" w:hanging="223"/>
      <w:outlineLvl w:val="7"/>
    </w:pPr>
    <w:rPr>
      <w:rFonts w:ascii="宋体" w:hAnsi="宋体" w:cs="宋体"/>
      <w:sz w:val="22"/>
      <w:szCs w:val="22"/>
      <w:lang w:val="zh-CN" w:bidi="zh-CN"/>
    </w:rPr>
  </w:style>
  <w:style w:type="paragraph" w:styleId="13">
    <w:name w:val="heading 9"/>
    <w:basedOn w:val="1"/>
    <w:next w:val="1"/>
    <w:qFormat/>
    <w:uiPriority w:val="1"/>
    <w:pPr>
      <w:ind w:left="640"/>
      <w:outlineLvl w:val="8"/>
    </w:pPr>
    <w:rPr>
      <w:rFonts w:ascii="宋体" w:hAnsi="宋体" w:cs="宋体"/>
      <w:b/>
      <w:bCs/>
      <w:szCs w:val="21"/>
      <w:lang w:val="zh-CN" w:bidi="zh-CN"/>
    </w:rPr>
  </w:style>
  <w:style w:type="character" w:default="1" w:styleId="41">
    <w:name w:val="Default Paragraph Font"/>
    <w:semiHidden/>
    <w:unhideWhenUsed/>
    <w:qFormat/>
    <w:uiPriority w:val="1"/>
  </w:style>
  <w:style w:type="table" w:default="1" w:styleId="39">
    <w:name w:val="Normal Table"/>
    <w:semiHidden/>
    <w:unhideWhenUsed/>
    <w:qFormat/>
    <w:uiPriority w:val="99"/>
    <w:tblPr>
      <w:tblCellMar>
        <w:top w:w="0" w:type="dxa"/>
        <w:left w:w="108" w:type="dxa"/>
        <w:bottom w:w="0" w:type="dxa"/>
        <w:right w:w="108" w:type="dxa"/>
      </w:tblCellMar>
    </w:tblPr>
  </w:style>
  <w:style w:type="paragraph" w:customStyle="1" w:styleId="2">
    <w:name w:val="表格文字"/>
    <w:basedOn w:val="3"/>
    <w:next w:val="4"/>
    <w:link w:val="83"/>
    <w:qFormat/>
    <w:locked/>
    <w:uiPriority w:val="0"/>
    <w:pPr>
      <w:spacing w:beforeLines="25" w:afterLines="25"/>
      <w:jc w:val="center"/>
    </w:pPr>
    <w:rPr>
      <w:rFonts w:ascii="Times New Roman" w:hAnsi="Times New Roman" w:eastAsia="宋体" w:cs="Times New Roman"/>
      <w:kern w:val="2"/>
      <w:sz w:val="24"/>
      <w:szCs w:val="28"/>
      <w:lang w:val="en-US" w:eastAsia="zh-CN" w:bidi="ar-SA"/>
    </w:rPr>
  </w:style>
  <w:style w:type="paragraph" w:customStyle="1" w:styleId="3">
    <w:name w:val="表格文字（两侧对齐）"/>
    <w:basedOn w:val="1"/>
    <w:autoRedefine/>
    <w:qFormat/>
    <w:uiPriority w:val="0"/>
    <w:pPr>
      <w:snapToGrid w:val="0"/>
    </w:pPr>
    <w:rPr>
      <w:sz w:val="20"/>
      <w:szCs w:val="24"/>
    </w:rPr>
  </w:style>
  <w:style w:type="paragraph" w:styleId="4">
    <w:name w:val="Body Text"/>
    <w:basedOn w:val="1"/>
    <w:next w:val="5"/>
    <w:link w:val="60"/>
    <w:qFormat/>
    <w:uiPriority w:val="0"/>
    <w:pPr>
      <w:spacing w:after="120"/>
    </w:pPr>
  </w:style>
  <w:style w:type="paragraph" w:styleId="5">
    <w:name w:val="Body Text First Indent"/>
    <w:basedOn w:val="4"/>
    <w:next w:val="6"/>
    <w:unhideWhenUsed/>
    <w:qFormat/>
    <w:uiPriority w:val="99"/>
    <w:pPr>
      <w:spacing w:line="360" w:lineRule="auto"/>
      <w:ind w:firstLine="200" w:firstLineChars="200"/>
    </w:pPr>
    <w:rPr>
      <w:rFonts w:ascii="仿宋_GB2312" w:eastAsia="仿宋_GB2312"/>
      <w:bCs/>
      <w:sz w:val="30"/>
    </w:rPr>
  </w:style>
  <w:style w:type="paragraph" w:styleId="6">
    <w:name w:val="toc 6"/>
    <w:basedOn w:val="1"/>
    <w:next w:val="1"/>
    <w:unhideWhenUsed/>
    <w:qFormat/>
    <w:uiPriority w:val="39"/>
    <w:pPr>
      <w:ind w:left="2100" w:leftChars="1000"/>
    </w:pPr>
  </w:style>
  <w:style w:type="paragraph" w:styleId="14">
    <w:name w:val="List Number"/>
    <w:basedOn w:val="1"/>
    <w:qFormat/>
    <w:uiPriority w:val="0"/>
    <w:pPr>
      <w:widowControl/>
      <w:numPr>
        <w:ilvl w:val="0"/>
        <w:numId w:val="1"/>
      </w:numPr>
      <w:tabs>
        <w:tab w:val="left" w:pos="454"/>
        <w:tab w:val="left" w:pos="720"/>
      </w:tabs>
      <w:spacing w:afterLines="50"/>
      <w:jc w:val="left"/>
    </w:pPr>
    <w:rPr>
      <w:kern w:val="0"/>
      <w:sz w:val="24"/>
      <w:szCs w:val="20"/>
    </w:rPr>
  </w:style>
  <w:style w:type="paragraph" w:styleId="15">
    <w:name w:val="Normal Indent"/>
    <w:basedOn w:val="1"/>
    <w:next w:val="16"/>
    <w:link w:val="88"/>
    <w:qFormat/>
    <w:uiPriority w:val="0"/>
    <w:pPr>
      <w:ind w:firstLine="420"/>
    </w:pPr>
    <w:rPr>
      <w:szCs w:val="20"/>
    </w:rPr>
  </w:style>
  <w:style w:type="paragraph" w:styleId="16">
    <w:name w:val="Body Text Indent"/>
    <w:basedOn w:val="1"/>
    <w:next w:val="17"/>
    <w:qFormat/>
    <w:uiPriority w:val="0"/>
    <w:pPr>
      <w:spacing w:after="120"/>
      <w:ind w:left="420" w:leftChars="200"/>
    </w:pPr>
  </w:style>
  <w:style w:type="paragraph" w:styleId="17">
    <w:name w:val="Body Text First Indent 2"/>
    <w:basedOn w:val="16"/>
    <w:next w:val="1"/>
    <w:qFormat/>
    <w:uiPriority w:val="0"/>
    <w:pPr>
      <w:autoSpaceDE w:val="0"/>
      <w:autoSpaceDN w:val="0"/>
      <w:adjustRightInd w:val="0"/>
      <w:ind w:firstLine="420" w:firstLineChars="200"/>
      <w:jc w:val="left"/>
    </w:pPr>
  </w:style>
  <w:style w:type="paragraph" w:styleId="18">
    <w:name w:val="caption"/>
    <w:basedOn w:val="1"/>
    <w:next w:val="1"/>
    <w:qFormat/>
    <w:uiPriority w:val="0"/>
    <w:pPr>
      <w:spacing w:before="152" w:after="160"/>
    </w:pPr>
    <w:rPr>
      <w:rFonts w:ascii="Arial" w:hAnsi="Arial" w:eastAsia="黑体" w:cs="Arial"/>
      <w:sz w:val="20"/>
      <w:szCs w:val="20"/>
    </w:rPr>
  </w:style>
  <w:style w:type="paragraph" w:styleId="19">
    <w:name w:val="Document Map"/>
    <w:basedOn w:val="1"/>
    <w:link w:val="71"/>
    <w:qFormat/>
    <w:uiPriority w:val="0"/>
    <w:rPr>
      <w:rFonts w:ascii="Helvetica" w:hAnsi="Helvetica"/>
      <w:sz w:val="24"/>
    </w:rPr>
  </w:style>
  <w:style w:type="paragraph" w:styleId="20">
    <w:name w:val="annotation text"/>
    <w:basedOn w:val="1"/>
    <w:link w:val="73"/>
    <w:qFormat/>
    <w:uiPriority w:val="0"/>
    <w:pPr>
      <w:jc w:val="left"/>
    </w:pPr>
  </w:style>
  <w:style w:type="paragraph" w:styleId="21">
    <w:name w:val="Body Text 3"/>
    <w:basedOn w:val="1"/>
    <w:link w:val="58"/>
    <w:qFormat/>
    <w:uiPriority w:val="0"/>
    <w:pPr>
      <w:spacing w:after="120"/>
    </w:pPr>
    <w:rPr>
      <w:sz w:val="16"/>
      <w:szCs w:val="16"/>
    </w:rPr>
  </w:style>
  <w:style w:type="paragraph" w:styleId="22">
    <w:name w:val="List 2"/>
    <w:basedOn w:val="1"/>
    <w:qFormat/>
    <w:uiPriority w:val="0"/>
    <w:pPr>
      <w:ind w:left="100" w:leftChars="200" w:hanging="200" w:hangingChars="200"/>
    </w:pPr>
  </w:style>
  <w:style w:type="paragraph" w:styleId="23">
    <w:name w:val="Plain Text"/>
    <w:basedOn w:val="1"/>
    <w:next w:val="1"/>
    <w:link w:val="66"/>
    <w:qFormat/>
    <w:uiPriority w:val="0"/>
    <w:rPr>
      <w:sz w:val="24"/>
      <w:szCs w:val="20"/>
    </w:rPr>
  </w:style>
  <w:style w:type="paragraph" w:styleId="24">
    <w:name w:val="Date"/>
    <w:basedOn w:val="1"/>
    <w:next w:val="1"/>
    <w:link w:val="76"/>
    <w:qFormat/>
    <w:uiPriority w:val="0"/>
    <w:pPr>
      <w:ind w:left="2500" w:leftChars="2500"/>
    </w:pPr>
    <w:rPr>
      <w:rFonts w:eastAsia="楷体_GB2312"/>
      <w:sz w:val="32"/>
      <w:szCs w:val="20"/>
    </w:rPr>
  </w:style>
  <w:style w:type="paragraph" w:styleId="25">
    <w:name w:val="Body Text Indent 2"/>
    <w:basedOn w:val="1"/>
    <w:link w:val="70"/>
    <w:qFormat/>
    <w:uiPriority w:val="0"/>
    <w:pPr>
      <w:spacing w:after="120" w:line="480" w:lineRule="auto"/>
      <w:ind w:left="420" w:leftChars="200"/>
    </w:pPr>
  </w:style>
  <w:style w:type="paragraph" w:styleId="26">
    <w:name w:val="endnote text"/>
    <w:basedOn w:val="1"/>
    <w:link w:val="59"/>
    <w:qFormat/>
    <w:uiPriority w:val="0"/>
    <w:pPr>
      <w:snapToGrid w:val="0"/>
      <w:jc w:val="left"/>
    </w:pPr>
  </w:style>
  <w:style w:type="paragraph" w:styleId="27">
    <w:name w:val="Balloon Text"/>
    <w:basedOn w:val="1"/>
    <w:link w:val="79"/>
    <w:qFormat/>
    <w:uiPriority w:val="0"/>
    <w:rPr>
      <w:sz w:val="18"/>
      <w:szCs w:val="18"/>
    </w:rPr>
  </w:style>
  <w:style w:type="paragraph" w:styleId="28">
    <w:name w:val="footer"/>
    <w:basedOn w:val="1"/>
    <w:next w:val="29"/>
    <w:link w:val="74"/>
    <w:qFormat/>
    <w:uiPriority w:val="99"/>
    <w:pPr>
      <w:tabs>
        <w:tab w:val="center" w:pos="4153"/>
        <w:tab w:val="right" w:pos="8306"/>
      </w:tabs>
      <w:snapToGrid w:val="0"/>
      <w:jc w:val="left"/>
    </w:pPr>
    <w:rPr>
      <w:sz w:val="18"/>
      <w:szCs w:val="18"/>
    </w:rPr>
  </w:style>
  <w:style w:type="paragraph" w:styleId="29">
    <w:name w:val="toc 2"/>
    <w:basedOn w:val="1"/>
    <w:next w:val="1"/>
    <w:qFormat/>
    <w:uiPriority w:val="39"/>
    <w:pPr>
      <w:ind w:left="420" w:leftChars="200"/>
    </w:pPr>
  </w:style>
  <w:style w:type="paragraph" w:styleId="30">
    <w:name w:val="header"/>
    <w:basedOn w:val="1"/>
    <w:link w:val="85"/>
    <w:qFormat/>
    <w:uiPriority w:val="99"/>
    <w:pPr>
      <w:pBdr>
        <w:bottom w:val="single" w:color="auto" w:sz="6" w:space="1"/>
      </w:pBdr>
      <w:tabs>
        <w:tab w:val="center" w:pos="4153"/>
        <w:tab w:val="right" w:pos="8306"/>
      </w:tabs>
      <w:snapToGrid w:val="0"/>
      <w:jc w:val="center"/>
    </w:pPr>
    <w:rPr>
      <w:sz w:val="18"/>
      <w:szCs w:val="18"/>
    </w:rPr>
  </w:style>
  <w:style w:type="paragraph" w:styleId="31">
    <w:name w:val="toc 1"/>
    <w:basedOn w:val="1"/>
    <w:next w:val="1"/>
    <w:qFormat/>
    <w:uiPriority w:val="39"/>
  </w:style>
  <w:style w:type="paragraph" w:styleId="32">
    <w:name w:val="toc 4"/>
    <w:basedOn w:val="1"/>
    <w:next w:val="1"/>
    <w:unhideWhenUsed/>
    <w:qFormat/>
    <w:uiPriority w:val="39"/>
    <w:pPr>
      <w:ind w:left="840"/>
    </w:pPr>
  </w:style>
  <w:style w:type="paragraph" w:styleId="33">
    <w:name w:val="List"/>
    <w:basedOn w:val="1"/>
    <w:qFormat/>
    <w:uiPriority w:val="0"/>
    <w:pPr>
      <w:ind w:left="200" w:hanging="200" w:hangingChars="200"/>
    </w:pPr>
  </w:style>
  <w:style w:type="paragraph" w:styleId="34">
    <w:name w:val="Body Text Indent 3"/>
    <w:basedOn w:val="1"/>
    <w:link w:val="64"/>
    <w:qFormat/>
    <w:uiPriority w:val="0"/>
    <w:pPr>
      <w:ind w:firstLine="435"/>
    </w:pPr>
  </w:style>
  <w:style w:type="paragraph" w:styleId="35">
    <w:name w:val="Body Text 2"/>
    <w:basedOn w:val="1"/>
    <w:link w:val="65"/>
    <w:qFormat/>
    <w:uiPriority w:val="0"/>
    <w:pPr>
      <w:spacing w:after="120" w:line="480" w:lineRule="auto"/>
    </w:pPr>
  </w:style>
  <w:style w:type="paragraph" w:styleId="36">
    <w:name w:val="Normal (Web)"/>
    <w:basedOn w:val="1"/>
    <w:unhideWhenUsed/>
    <w:qFormat/>
    <w:uiPriority w:val="0"/>
    <w:pPr>
      <w:widowControl/>
      <w:spacing w:before="240" w:after="240"/>
      <w:jc w:val="left"/>
    </w:pPr>
    <w:rPr>
      <w:rFonts w:ascii="宋体" w:hAnsi="宋体" w:cs="宋体"/>
      <w:kern w:val="0"/>
      <w:sz w:val="24"/>
    </w:rPr>
  </w:style>
  <w:style w:type="paragraph" w:styleId="37">
    <w:name w:val="Title"/>
    <w:basedOn w:val="1"/>
    <w:next w:val="1"/>
    <w:link w:val="87"/>
    <w:qFormat/>
    <w:uiPriority w:val="10"/>
    <w:pPr>
      <w:spacing w:before="240" w:after="60"/>
      <w:jc w:val="center"/>
      <w:outlineLvl w:val="0"/>
    </w:pPr>
    <w:rPr>
      <w:rFonts w:ascii="Cambria" w:hAnsi="Cambria"/>
      <w:b/>
      <w:bCs/>
      <w:sz w:val="32"/>
      <w:szCs w:val="32"/>
    </w:rPr>
  </w:style>
  <w:style w:type="paragraph" w:styleId="38">
    <w:name w:val="annotation subject"/>
    <w:basedOn w:val="20"/>
    <w:next w:val="20"/>
    <w:link w:val="78"/>
    <w:qFormat/>
    <w:uiPriority w:val="0"/>
    <w:rPr>
      <w:b/>
      <w:bCs/>
    </w:rPr>
  </w:style>
  <w:style w:type="table" w:styleId="40">
    <w:name w:val="Table Grid"/>
    <w:basedOn w:val="3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qFormat/>
    <w:uiPriority w:val="22"/>
    <w:rPr>
      <w:b/>
    </w:rPr>
  </w:style>
  <w:style w:type="character" w:styleId="43">
    <w:name w:val="endnote reference"/>
    <w:qFormat/>
    <w:uiPriority w:val="0"/>
    <w:rPr>
      <w:vertAlign w:val="superscript"/>
    </w:rPr>
  </w:style>
  <w:style w:type="character" w:styleId="44">
    <w:name w:val="page number"/>
    <w:basedOn w:val="41"/>
    <w:qFormat/>
    <w:uiPriority w:val="0"/>
  </w:style>
  <w:style w:type="character" w:styleId="45">
    <w:name w:val="FollowedHyperlink"/>
    <w:qFormat/>
    <w:uiPriority w:val="0"/>
    <w:rPr>
      <w:color w:val="800080"/>
      <w:u w:val="single"/>
    </w:rPr>
  </w:style>
  <w:style w:type="character" w:styleId="46">
    <w:name w:val="Emphasis"/>
    <w:qFormat/>
    <w:uiPriority w:val="99"/>
    <w:rPr>
      <w:i/>
      <w:iCs/>
    </w:rPr>
  </w:style>
  <w:style w:type="character" w:styleId="47">
    <w:name w:val="Hyperlink"/>
    <w:qFormat/>
    <w:uiPriority w:val="99"/>
    <w:rPr>
      <w:color w:val="0000FF"/>
      <w:u w:val="single"/>
    </w:rPr>
  </w:style>
  <w:style w:type="character" w:styleId="48">
    <w:name w:val="annotation reference"/>
    <w:qFormat/>
    <w:uiPriority w:val="0"/>
    <w:rPr>
      <w:sz w:val="21"/>
      <w:szCs w:val="21"/>
    </w:rPr>
  </w:style>
  <w:style w:type="paragraph" w:customStyle="1" w:styleId="49">
    <w:name w:val="BodyText1I"/>
    <w:basedOn w:val="50"/>
    <w:next w:val="1"/>
    <w:qFormat/>
    <w:uiPriority w:val="0"/>
    <w:pPr>
      <w:ind w:firstLine="420" w:firstLineChars="100"/>
    </w:pPr>
  </w:style>
  <w:style w:type="paragraph" w:customStyle="1" w:styleId="50">
    <w:name w:val="BodyText"/>
    <w:basedOn w:val="1"/>
    <w:next w:val="51"/>
    <w:qFormat/>
    <w:uiPriority w:val="0"/>
    <w:pPr>
      <w:textAlignment w:val="baseline"/>
    </w:pPr>
    <w:rPr>
      <w:rFonts w:ascii="宋体" w:hAnsi="宋体"/>
      <w:szCs w:val="21"/>
      <w:lang w:val="zh-CN" w:bidi="zh-CN"/>
    </w:rPr>
  </w:style>
  <w:style w:type="paragraph" w:customStyle="1" w:styleId="51">
    <w:name w:val="TOC2"/>
    <w:basedOn w:val="1"/>
    <w:next w:val="1"/>
    <w:qFormat/>
    <w:uiPriority w:val="0"/>
    <w:pPr>
      <w:ind w:left="420" w:leftChars="200"/>
      <w:textAlignment w:val="baseline"/>
    </w:pPr>
  </w:style>
  <w:style w:type="paragraph" w:customStyle="1" w:styleId="52">
    <w:name w:val="Default"/>
    <w:next w:val="28"/>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53">
    <w:name w:val="样式 表格正文 + 两端对齐"/>
    <w:basedOn w:val="1"/>
    <w:next w:val="54"/>
    <w:qFormat/>
    <w:uiPriority w:val="0"/>
    <w:pPr>
      <w:spacing w:line="300" w:lineRule="auto"/>
    </w:pPr>
  </w:style>
  <w:style w:type="paragraph" w:customStyle="1" w:styleId="54">
    <w:name w:val="正文1"/>
    <w:basedOn w:val="19"/>
    <w:next w:val="1"/>
    <w:qFormat/>
    <w:uiPriority w:val="99"/>
    <w:pPr>
      <w:widowControl/>
      <w:overflowPunct w:val="0"/>
      <w:autoSpaceDE w:val="0"/>
      <w:autoSpaceDN w:val="0"/>
      <w:adjustRightInd w:val="0"/>
      <w:spacing w:line="400" w:lineRule="exact"/>
      <w:textAlignment w:val="baseline"/>
    </w:pPr>
    <w:rPr>
      <w:kern w:val="0"/>
      <w:szCs w:val="20"/>
    </w:rPr>
  </w:style>
  <w:style w:type="character" w:customStyle="1" w:styleId="55">
    <w:name w:val="NormalCharacter"/>
    <w:qFormat/>
    <w:uiPriority w:val="0"/>
    <w:rPr>
      <w:rFonts w:ascii="Times New Roman" w:hAnsi="Times New Roman" w:eastAsia="宋体" w:cs="Times New Roman"/>
    </w:rPr>
  </w:style>
  <w:style w:type="character" w:customStyle="1" w:styleId="56">
    <w:name w:val="标3 Char"/>
    <w:link w:val="57"/>
    <w:qFormat/>
    <w:uiPriority w:val="0"/>
    <w:rPr>
      <w:rFonts w:ascii="Arial Narrow" w:hAnsi="Arial Narrow" w:eastAsia="仿宋_GB2312"/>
      <w:sz w:val="32"/>
      <w:szCs w:val="32"/>
    </w:rPr>
  </w:style>
  <w:style w:type="paragraph" w:customStyle="1" w:styleId="57">
    <w:name w:val="标3"/>
    <w:basedOn w:val="1"/>
    <w:link w:val="56"/>
    <w:qFormat/>
    <w:uiPriority w:val="0"/>
    <w:pPr>
      <w:numPr>
        <w:ilvl w:val="2"/>
        <w:numId w:val="2"/>
      </w:numPr>
      <w:adjustRightInd w:val="0"/>
      <w:snapToGrid w:val="0"/>
      <w:spacing w:beforeLines="50"/>
      <w:outlineLvl w:val="2"/>
    </w:pPr>
    <w:rPr>
      <w:rFonts w:ascii="Arial Narrow" w:hAnsi="Arial Narrow" w:eastAsia="仿宋_GB2312"/>
      <w:kern w:val="0"/>
      <w:sz w:val="32"/>
      <w:szCs w:val="32"/>
    </w:rPr>
  </w:style>
  <w:style w:type="character" w:customStyle="1" w:styleId="58">
    <w:name w:val="正文文本 3 字符"/>
    <w:link w:val="21"/>
    <w:qFormat/>
    <w:uiPriority w:val="0"/>
    <w:rPr>
      <w:kern w:val="2"/>
      <w:sz w:val="16"/>
      <w:szCs w:val="16"/>
    </w:rPr>
  </w:style>
  <w:style w:type="character" w:customStyle="1" w:styleId="59">
    <w:name w:val="尾注文本 字符"/>
    <w:link w:val="26"/>
    <w:qFormat/>
    <w:uiPriority w:val="0"/>
    <w:rPr>
      <w:kern w:val="2"/>
      <w:sz w:val="21"/>
      <w:szCs w:val="24"/>
    </w:rPr>
  </w:style>
  <w:style w:type="character" w:customStyle="1" w:styleId="60">
    <w:name w:val="正文文本 字符"/>
    <w:link w:val="4"/>
    <w:qFormat/>
    <w:uiPriority w:val="0"/>
    <w:rPr>
      <w:kern w:val="2"/>
      <w:sz w:val="21"/>
      <w:szCs w:val="24"/>
    </w:rPr>
  </w:style>
  <w:style w:type="character" w:customStyle="1" w:styleId="61">
    <w:name w:val="font31"/>
    <w:basedOn w:val="41"/>
    <w:qFormat/>
    <w:uiPriority w:val="0"/>
    <w:rPr>
      <w:rFonts w:hint="eastAsia" w:ascii="宋体" w:hAnsi="宋体" w:eastAsia="宋体" w:cs="宋体"/>
      <w:color w:val="000000"/>
      <w:sz w:val="24"/>
      <w:szCs w:val="24"/>
      <w:u w:val="none"/>
    </w:rPr>
  </w:style>
  <w:style w:type="character" w:customStyle="1" w:styleId="62">
    <w:name w:val="标题 3 字符"/>
    <w:link w:val="9"/>
    <w:qFormat/>
    <w:uiPriority w:val="0"/>
    <w:rPr>
      <w:b/>
      <w:bCs/>
      <w:kern w:val="2"/>
      <w:sz w:val="32"/>
      <w:szCs w:val="32"/>
    </w:rPr>
  </w:style>
  <w:style w:type="character" w:customStyle="1" w:styleId="63">
    <w:name w:val="标题 6 字符"/>
    <w:link w:val="11"/>
    <w:semiHidden/>
    <w:qFormat/>
    <w:uiPriority w:val="0"/>
    <w:rPr>
      <w:rFonts w:ascii="Cambria" w:hAnsi="Cambria" w:eastAsia="宋体" w:cs="Times New Roman"/>
      <w:b/>
      <w:bCs/>
      <w:kern w:val="2"/>
      <w:sz w:val="24"/>
      <w:szCs w:val="24"/>
    </w:rPr>
  </w:style>
  <w:style w:type="character" w:customStyle="1" w:styleId="64">
    <w:name w:val="正文文本缩进 3 字符"/>
    <w:link w:val="34"/>
    <w:qFormat/>
    <w:uiPriority w:val="0"/>
    <w:rPr>
      <w:kern w:val="2"/>
      <w:sz w:val="21"/>
      <w:szCs w:val="24"/>
    </w:rPr>
  </w:style>
  <w:style w:type="character" w:customStyle="1" w:styleId="65">
    <w:name w:val="正文文本 2 字符"/>
    <w:link w:val="35"/>
    <w:qFormat/>
    <w:uiPriority w:val="0"/>
    <w:rPr>
      <w:kern w:val="2"/>
      <w:sz w:val="21"/>
      <w:szCs w:val="24"/>
    </w:rPr>
  </w:style>
  <w:style w:type="character" w:customStyle="1" w:styleId="66">
    <w:name w:val="纯文本 字符"/>
    <w:link w:val="23"/>
    <w:qFormat/>
    <w:uiPriority w:val="0"/>
    <w:rPr>
      <w:rFonts w:eastAsia="宋体"/>
      <w:kern w:val="2"/>
      <w:sz w:val="24"/>
      <w:lang w:val="en-US" w:eastAsia="zh-CN" w:bidi="ar-SA"/>
    </w:rPr>
  </w:style>
  <w:style w:type="character" w:customStyle="1" w:styleId="67">
    <w:name w:val="标题 1字符"/>
    <w:qFormat/>
    <w:uiPriority w:val="0"/>
    <w:rPr>
      <w:b/>
      <w:bCs/>
      <w:kern w:val="44"/>
      <w:sz w:val="44"/>
      <w:szCs w:val="44"/>
    </w:rPr>
  </w:style>
  <w:style w:type="character" w:customStyle="1" w:styleId="68">
    <w:name w:val="无"/>
    <w:qFormat/>
    <w:uiPriority w:val="99"/>
  </w:style>
  <w:style w:type="character" w:customStyle="1" w:styleId="69">
    <w:name w:val="标题 2 字符"/>
    <w:link w:val="8"/>
    <w:qFormat/>
    <w:uiPriority w:val="9"/>
    <w:rPr>
      <w:rFonts w:ascii="Arial" w:hAnsi="Arial" w:eastAsia="黑体"/>
      <w:b/>
      <w:bCs/>
      <w:kern w:val="2"/>
      <w:sz w:val="32"/>
      <w:szCs w:val="32"/>
    </w:rPr>
  </w:style>
  <w:style w:type="character" w:customStyle="1" w:styleId="70">
    <w:name w:val="正文文本缩进 2 字符"/>
    <w:link w:val="25"/>
    <w:qFormat/>
    <w:uiPriority w:val="0"/>
    <w:rPr>
      <w:kern w:val="2"/>
      <w:sz w:val="21"/>
      <w:szCs w:val="24"/>
    </w:rPr>
  </w:style>
  <w:style w:type="character" w:customStyle="1" w:styleId="71">
    <w:name w:val="文档结构图 字符"/>
    <w:link w:val="19"/>
    <w:qFormat/>
    <w:uiPriority w:val="0"/>
    <w:rPr>
      <w:rFonts w:ascii="Helvetica" w:hAnsi="Helvetica"/>
      <w:kern w:val="2"/>
      <w:sz w:val="24"/>
      <w:szCs w:val="24"/>
    </w:rPr>
  </w:style>
  <w:style w:type="character" w:customStyle="1" w:styleId="72">
    <w:name w:val="Char Char Char"/>
    <w:qFormat/>
    <w:uiPriority w:val="0"/>
    <w:rPr>
      <w:rFonts w:ascii="宋体" w:hAnsi="Courier New" w:eastAsia="宋体"/>
      <w:kern w:val="2"/>
      <w:sz w:val="24"/>
      <w:szCs w:val="24"/>
      <w:lang w:val="en-US" w:eastAsia="zh-CN" w:bidi="ar-SA"/>
    </w:rPr>
  </w:style>
  <w:style w:type="character" w:customStyle="1" w:styleId="73">
    <w:name w:val="批注文字 字符"/>
    <w:link w:val="20"/>
    <w:qFormat/>
    <w:uiPriority w:val="0"/>
    <w:rPr>
      <w:kern w:val="2"/>
      <w:sz w:val="21"/>
      <w:szCs w:val="24"/>
    </w:rPr>
  </w:style>
  <w:style w:type="character" w:customStyle="1" w:styleId="74">
    <w:name w:val="页脚 字符"/>
    <w:link w:val="28"/>
    <w:qFormat/>
    <w:uiPriority w:val="99"/>
    <w:rPr>
      <w:kern w:val="2"/>
      <w:sz w:val="18"/>
      <w:szCs w:val="18"/>
    </w:rPr>
  </w:style>
  <w:style w:type="character" w:customStyle="1" w:styleId="75">
    <w:name w:val="纯文本 Char1"/>
    <w:qFormat/>
    <w:locked/>
    <w:uiPriority w:val="0"/>
    <w:rPr>
      <w:rFonts w:ascii="宋体" w:hAnsi="Courier New" w:eastAsia="宋体" w:cs="Times New Roman"/>
      <w:szCs w:val="21"/>
    </w:rPr>
  </w:style>
  <w:style w:type="character" w:customStyle="1" w:styleId="76">
    <w:name w:val="日期 字符"/>
    <w:link w:val="24"/>
    <w:qFormat/>
    <w:uiPriority w:val="0"/>
    <w:rPr>
      <w:rFonts w:eastAsia="楷体_GB2312"/>
      <w:kern w:val="2"/>
      <w:sz w:val="32"/>
    </w:rPr>
  </w:style>
  <w:style w:type="character" w:customStyle="1" w:styleId="77">
    <w:name w:val="Char Char"/>
    <w:qFormat/>
    <w:uiPriority w:val="0"/>
    <w:rPr>
      <w:rFonts w:ascii="宋体" w:hAnsi="Courier New" w:eastAsia="宋体"/>
      <w:kern w:val="2"/>
      <w:sz w:val="24"/>
      <w:szCs w:val="24"/>
      <w:lang w:val="en-US" w:eastAsia="zh-CN" w:bidi="ar-SA"/>
    </w:rPr>
  </w:style>
  <w:style w:type="character" w:customStyle="1" w:styleId="78">
    <w:name w:val="批注主题 字符"/>
    <w:link w:val="38"/>
    <w:qFormat/>
    <w:uiPriority w:val="0"/>
    <w:rPr>
      <w:b/>
      <w:bCs/>
      <w:kern w:val="2"/>
      <w:sz w:val="21"/>
      <w:szCs w:val="24"/>
    </w:rPr>
  </w:style>
  <w:style w:type="character" w:customStyle="1" w:styleId="79">
    <w:name w:val="批注框文本 字符"/>
    <w:link w:val="27"/>
    <w:qFormat/>
    <w:uiPriority w:val="0"/>
    <w:rPr>
      <w:kern w:val="2"/>
      <w:sz w:val="18"/>
      <w:szCs w:val="18"/>
    </w:rPr>
  </w:style>
  <w:style w:type="character" w:customStyle="1" w:styleId="80">
    <w:name w:val="font01"/>
    <w:basedOn w:val="41"/>
    <w:qFormat/>
    <w:uiPriority w:val="0"/>
    <w:rPr>
      <w:rFonts w:hint="default" w:ascii="Arial" w:hAnsi="Arial" w:cs="Arial"/>
      <w:color w:val="000000"/>
      <w:sz w:val="24"/>
      <w:szCs w:val="24"/>
      <w:u w:val="none"/>
    </w:rPr>
  </w:style>
  <w:style w:type="character" w:customStyle="1" w:styleId="81">
    <w:name w:val="font11"/>
    <w:qFormat/>
    <w:uiPriority w:val="0"/>
    <w:rPr>
      <w:rFonts w:hint="eastAsia" w:ascii="宋体" w:hAnsi="宋体" w:eastAsia="宋体" w:cs="宋体"/>
      <w:b/>
      <w:color w:val="000000"/>
      <w:sz w:val="24"/>
      <w:szCs w:val="24"/>
      <w:u w:val="none"/>
    </w:rPr>
  </w:style>
  <w:style w:type="character" w:customStyle="1" w:styleId="82">
    <w:name w:val="apple-converted-space"/>
    <w:qFormat/>
    <w:uiPriority w:val="0"/>
  </w:style>
  <w:style w:type="character" w:customStyle="1" w:styleId="83">
    <w:name w:val="表格文字 Char Char"/>
    <w:link w:val="2"/>
    <w:qFormat/>
    <w:locked/>
    <w:uiPriority w:val="0"/>
    <w:rPr>
      <w:kern w:val="2"/>
      <w:sz w:val="24"/>
      <w:szCs w:val="28"/>
      <w:lang w:val="en-US" w:eastAsia="zh-CN" w:bidi="ar-SA"/>
    </w:rPr>
  </w:style>
  <w:style w:type="character" w:customStyle="1" w:styleId="84">
    <w:name w:val="标题 1 字符"/>
    <w:link w:val="7"/>
    <w:qFormat/>
    <w:uiPriority w:val="0"/>
    <w:rPr>
      <w:rFonts w:ascii="Times New Roman" w:hAnsi="Times New Roman" w:eastAsia="宋体"/>
      <w:b/>
      <w:bCs/>
      <w:kern w:val="44"/>
      <w:sz w:val="44"/>
      <w:szCs w:val="44"/>
      <w:lang w:val="en-US" w:eastAsia="zh-CN" w:bidi="ar-SA"/>
    </w:rPr>
  </w:style>
  <w:style w:type="character" w:customStyle="1" w:styleId="85">
    <w:name w:val="页眉 字符"/>
    <w:link w:val="30"/>
    <w:qFormat/>
    <w:uiPriority w:val="99"/>
    <w:rPr>
      <w:kern w:val="2"/>
      <w:sz w:val="18"/>
      <w:szCs w:val="18"/>
    </w:rPr>
  </w:style>
  <w:style w:type="character" w:customStyle="1" w:styleId="86">
    <w:name w:val="标题 1 Char1"/>
    <w:qFormat/>
    <w:uiPriority w:val="0"/>
    <w:rPr>
      <w:rFonts w:ascii="Times New Roman" w:hAnsi="Times New Roman" w:eastAsia="宋体"/>
      <w:b/>
      <w:bCs/>
      <w:kern w:val="44"/>
      <w:sz w:val="44"/>
      <w:szCs w:val="44"/>
      <w:lang w:val="en-US" w:eastAsia="zh-CN" w:bidi="ar-SA"/>
    </w:rPr>
  </w:style>
  <w:style w:type="character" w:customStyle="1" w:styleId="87">
    <w:name w:val="标题 字符"/>
    <w:link w:val="37"/>
    <w:qFormat/>
    <w:uiPriority w:val="10"/>
    <w:rPr>
      <w:rFonts w:ascii="Cambria" w:hAnsi="Cambria"/>
      <w:b/>
      <w:bCs/>
      <w:kern w:val="2"/>
      <w:sz w:val="32"/>
      <w:szCs w:val="32"/>
    </w:rPr>
  </w:style>
  <w:style w:type="character" w:customStyle="1" w:styleId="88">
    <w:name w:val="正文缩进 字符"/>
    <w:link w:val="15"/>
    <w:qFormat/>
    <w:uiPriority w:val="0"/>
    <w:rPr>
      <w:kern w:val="2"/>
      <w:sz w:val="21"/>
    </w:rPr>
  </w:style>
  <w:style w:type="character" w:customStyle="1" w:styleId="89">
    <w:name w:val="font21"/>
    <w:basedOn w:val="41"/>
    <w:qFormat/>
    <w:uiPriority w:val="0"/>
    <w:rPr>
      <w:rFonts w:ascii="幼圆" w:hAnsi="幼圆" w:eastAsia="幼圆" w:cs="幼圆"/>
      <w:color w:val="000000"/>
      <w:sz w:val="20"/>
      <w:szCs w:val="20"/>
      <w:u w:val="none"/>
    </w:rPr>
  </w:style>
  <w:style w:type="paragraph" w:customStyle="1" w:styleId="90">
    <w:name w:val="章正文"/>
    <w:basedOn w:val="1"/>
    <w:qFormat/>
    <w:uiPriority w:val="99"/>
    <w:pPr>
      <w:spacing w:beforeLines="50" w:after="120" w:line="300" w:lineRule="auto"/>
      <w:ind w:firstLine="480"/>
    </w:pPr>
    <w:rPr>
      <w:rFonts w:ascii="Helvetica" w:hAnsi="Helvetica"/>
      <w:kern w:val="0"/>
      <w:sz w:val="24"/>
    </w:rPr>
  </w:style>
  <w:style w:type="paragraph" w:customStyle="1" w:styleId="91">
    <w:name w:val="Char Char3"/>
    <w:basedOn w:val="1"/>
    <w:qFormat/>
    <w:uiPriority w:val="0"/>
  </w:style>
  <w:style w:type="paragraph" w:customStyle="1" w:styleId="92">
    <w:name w:val="彩色列表1"/>
    <w:basedOn w:val="1"/>
    <w:qFormat/>
    <w:uiPriority w:val="34"/>
    <w:pPr>
      <w:ind w:firstLine="420" w:firstLineChars="200"/>
    </w:pPr>
    <w:rPr>
      <w:rFonts w:ascii="Verdana" w:hAnsi="Verdana" w:eastAsia="微软雅黑"/>
      <w:szCs w:val="22"/>
    </w:rPr>
  </w:style>
  <w:style w:type="paragraph" w:customStyle="1" w:styleId="93">
    <w:name w:val="Char Char Char Char Char Char Char Char Char Char Char Char Char Char Char"/>
    <w:basedOn w:val="1"/>
    <w:qFormat/>
    <w:uiPriority w:val="0"/>
    <w:pPr>
      <w:widowControl/>
      <w:spacing w:line="400" w:lineRule="exact"/>
      <w:jc w:val="center"/>
    </w:pPr>
    <w:rPr>
      <w:rFonts w:ascii="Verdana" w:hAnsi="Verdana"/>
      <w:kern w:val="0"/>
      <w:szCs w:val="20"/>
      <w:lang w:eastAsia="en-US"/>
    </w:rPr>
  </w:style>
  <w:style w:type="paragraph" w:customStyle="1" w:styleId="94">
    <w:name w:val="p0"/>
    <w:basedOn w:val="1"/>
    <w:qFormat/>
    <w:uiPriority w:val="0"/>
    <w:pPr>
      <w:widowControl/>
    </w:pPr>
    <w:rPr>
      <w:rFonts w:ascii="Calibri" w:hAnsi="Calibri"/>
      <w:kern w:val="0"/>
      <w:szCs w:val="21"/>
    </w:rPr>
  </w:style>
  <w:style w:type="paragraph" w:customStyle="1" w:styleId="95">
    <w:name w:val="正文样式"/>
    <w:basedOn w:val="1"/>
    <w:unhideWhenUsed/>
    <w:qFormat/>
    <w:uiPriority w:val="7"/>
    <w:pPr>
      <w:spacing w:line="360" w:lineRule="auto"/>
      <w:ind w:firstLine="480" w:firstLineChars="200"/>
    </w:pPr>
    <w:rPr>
      <w:rFonts w:hAnsi="Calibri"/>
      <w:sz w:val="24"/>
      <w:szCs w:val="20"/>
    </w:rPr>
  </w:style>
  <w:style w:type="paragraph" w:customStyle="1" w:styleId="96">
    <w:name w:val="样式 宋体 黑色 行距: 1.5 倍行距"/>
    <w:basedOn w:val="1"/>
    <w:qFormat/>
    <w:uiPriority w:val="0"/>
    <w:pPr>
      <w:spacing w:line="360" w:lineRule="auto"/>
    </w:pPr>
    <w:rPr>
      <w:rFonts w:ascii="宋体" w:hAnsi="宋体" w:cs="宋体"/>
      <w:color w:val="000000"/>
      <w:sz w:val="24"/>
      <w:szCs w:val="20"/>
    </w:rPr>
  </w:style>
  <w:style w:type="paragraph" w:customStyle="1" w:styleId="97">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8">
    <w:name w:val="_Style 1"/>
    <w:qFormat/>
    <w:uiPriority w:val="0"/>
    <w:rPr>
      <w:rFonts w:ascii="Times New Roman" w:hAnsi="Times New Roman" w:eastAsia="宋体" w:cs="Times New Roman"/>
      <w:kern w:val="2"/>
      <w:sz w:val="28"/>
      <w:szCs w:val="22"/>
      <w:lang w:val="en-US" w:eastAsia="zh-CN" w:bidi="ar-SA"/>
    </w:rPr>
  </w:style>
  <w:style w:type="paragraph" w:customStyle="1" w:styleId="99">
    <w:name w:val="_Style 40"/>
    <w:basedOn w:val="1"/>
    <w:qFormat/>
    <w:uiPriority w:val="0"/>
  </w:style>
  <w:style w:type="paragraph" w:customStyle="1" w:styleId="100">
    <w:name w:val="Char Char5"/>
    <w:basedOn w:val="1"/>
    <w:qFormat/>
    <w:uiPriority w:val="0"/>
  </w:style>
  <w:style w:type="paragraph" w:customStyle="1" w:styleId="101">
    <w:name w:val="Table Paragraph"/>
    <w:basedOn w:val="1"/>
    <w:qFormat/>
    <w:uiPriority w:val="1"/>
  </w:style>
  <w:style w:type="paragraph" w:customStyle="1" w:styleId="102">
    <w:name w:val="xl49"/>
    <w:basedOn w:val="1"/>
    <w:qFormat/>
    <w:uiPriority w:val="0"/>
    <w:pPr>
      <w:widowControl/>
      <w:spacing w:before="100" w:beforeAutospacing="1" w:after="100" w:afterAutospacing="1"/>
      <w:jc w:val="center"/>
      <w:textAlignment w:val="center"/>
    </w:pPr>
    <w:rPr>
      <w:rFonts w:ascii="宋体" w:hAnsi="宋体"/>
      <w:kern w:val="0"/>
      <w:sz w:val="24"/>
    </w:rPr>
  </w:style>
  <w:style w:type="paragraph" w:customStyle="1" w:styleId="103">
    <w:name w:val="List Paragraph1"/>
    <w:basedOn w:val="1"/>
    <w:qFormat/>
    <w:uiPriority w:val="99"/>
    <w:pPr>
      <w:widowControl/>
      <w:spacing w:after="200" w:line="276" w:lineRule="auto"/>
      <w:ind w:left="720"/>
      <w:jc w:val="left"/>
    </w:pPr>
    <w:rPr>
      <w:kern w:val="0"/>
      <w:sz w:val="22"/>
      <w:szCs w:val="22"/>
      <w:lang w:eastAsia="zh-TW"/>
    </w:rPr>
  </w:style>
  <w:style w:type="paragraph" w:customStyle="1" w:styleId="104">
    <w:name w:val="彩色列表 - 强调文字颜色 11"/>
    <w:basedOn w:val="1"/>
    <w:qFormat/>
    <w:uiPriority w:val="34"/>
    <w:pPr>
      <w:ind w:firstLine="420" w:firstLineChars="200"/>
    </w:pPr>
    <w:rPr>
      <w:rFonts w:ascii="Calibri" w:hAnsi="Calibri"/>
      <w:szCs w:val="22"/>
    </w:rPr>
  </w:style>
  <w:style w:type="paragraph" w:customStyle="1" w:styleId="105">
    <w:name w:val="_Style 23"/>
    <w:basedOn w:val="1"/>
    <w:qFormat/>
    <w:uiPriority w:val="0"/>
  </w:style>
  <w:style w:type="paragraph" w:customStyle="1" w:styleId="106">
    <w:name w:val="_Style 10"/>
    <w:basedOn w:val="1"/>
    <w:qFormat/>
    <w:uiPriority w:val="0"/>
    <w:rPr>
      <w:rFonts w:ascii="仿宋_GB2312" w:eastAsia="仿宋_GB2312"/>
      <w:b/>
      <w:sz w:val="32"/>
      <w:szCs w:val="32"/>
    </w:rPr>
  </w:style>
  <w:style w:type="paragraph" w:customStyle="1" w:styleId="107">
    <w:name w:val="列表段落1"/>
    <w:basedOn w:val="1"/>
    <w:qFormat/>
    <w:uiPriority w:val="0"/>
    <w:pPr>
      <w:ind w:firstLine="420" w:firstLineChars="200"/>
    </w:pPr>
    <w:rPr>
      <w:rFonts w:ascii="Calibri" w:hAnsi="Calibri"/>
      <w:szCs w:val="22"/>
    </w:rPr>
  </w:style>
  <w:style w:type="paragraph" w:customStyle="1" w:styleId="108">
    <w:name w:val="Char Char Char Char Char Char Char"/>
    <w:basedOn w:val="1"/>
    <w:qFormat/>
    <w:uiPriority w:val="0"/>
  </w:style>
  <w:style w:type="paragraph" w:customStyle="1" w:styleId="109">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Times New Roman" w:cs="Arial Unicode MS"/>
      <w:color w:val="000000"/>
      <w:sz w:val="24"/>
      <w:szCs w:val="24"/>
      <w:u w:color="000000"/>
      <w:lang w:val="en-US" w:eastAsia="zh-CN" w:bidi="ar-SA"/>
    </w:rPr>
  </w:style>
  <w:style w:type="paragraph" w:customStyle="1" w:styleId="110">
    <w:name w:val="★章标题"/>
    <w:basedOn w:val="1"/>
    <w:qFormat/>
    <w:uiPriority w:val="99"/>
    <w:pPr>
      <w:spacing w:before="120" w:after="120" w:line="360" w:lineRule="auto"/>
      <w:ind w:firstLine="200" w:firstLineChars="200"/>
      <w:jc w:val="center"/>
      <w:outlineLvl w:val="0"/>
    </w:pPr>
    <w:rPr>
      <w:rFonts w:eastAsia="黑体" w:cs="宋体"/>
      <w:b/>
      <w:bCs/>
      <w:color w:val="000000"/>
      <w:kern w:val="44"/>
      <w:sz w:val="44"/>
      <w:szCs w:val="20"/>
    </w:rPr>
  </w:style>
  <w:style w:type="paragraph" w:customStyle="1" w:styleId="111">
    <w:name w:val="正文2"/>
    <w:basedOn w:val="1"/>
    <w:qFormat/>
    <w:uiPriority w:val="0"/>
    <w:pPr>
      <w:spacing w:before="156" w:line="360" w:lineRule="auto"/>
      <w:ind w:firstLine="510" w:firstLineChars="200"/>
    </w:pPr>
    <w:rPr>
      <w:sz w:val="24"/>
      <w:szCs w:val="20"/>
    </w:rPr>
  </w:style>
  <w:style w:type="paragraph" w:customStyle="1" w:styleId="112">
    <w:name w:val="彩色列表2"/>
    <w:basedOn w:val="1"/>
    <w:qFormat/>
    <w:uiPriority w:val="34"/>
    <w:pPr>
      <w:ind w:firstLine="420" w:firstLineChars="200"/>
    </w:pPr>
  </w:style>
  <w:style w:type="paragraph" w:customStyle="1" w:styleId="113">
    <w:name w:val="样式1"/>
    <w:qFormat/>
    <w:uiPriority w:val="0"/>
    <w:pPr>
      <w:numPr>
        <w:ilvl w:val="2"/>
        <w:numId w:val="3"/>
      </w:numPr>
      <w:tabs>
        <w:tab w:val="left" w:pos="735"/>
      </w:tabs>
      <w:adjustRightInd w:val="0"/>
      <w:snapToGrid w:val="0"/>
      <w:spacing w:line="360" w:lineRule="auto"/>
      <w:jc w:val="both"/>
    </w:pPr>
    <w:rPr>
      <w:rFonts w:ascii="Times New Roman" w:hAnsi="Times New Roman" w:eastAsia="宋体" w:cs="Times New Roman"/>
      <w:bCs/>
      <w:kern w:val="2"/>
      <w:sz w:val="24"/>
      <w:szCs w:val="32"/>
      <w:lang w:val="en-US" w:eastAsia="zh-CN" w:bidi="ar-SA"/>
    </w:rPr>
  </w:style>
  <w:style w:type="paragraph" w:customStyle="1" w:styleId="114">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115">
    <w:name w:val="首行缩进"/>
    <w:basedOn w:val="1"/>
    <w:qFormat/>
    <w:uiPriority w:val="0"/>
    <w:pPr>
      <w:spacing w:line="360" w:lineRule="auto"/>
      <w:ind w:firstLine="480" w:firstLineChars="200"/>
    </w:pPr>
    <w:rPr>
      <w:sz w:val="24"/>
      <w:szCs w:val="22"/>
      <w:lang w:val="zh-CN"/>
    </w:rPr>
  </w:style>
  <w:style w:type="paragraph" w:customStyle="1" w:styleId="116">
    <w:name w:val="默认段落字体 Para Char Char Char Char Char Char Char Char Char1 Char Char Char Char"/>
    <w:basedOn w:val="1"/>
    <w:qFormat/>
    <w:uiPriority w:val="0"/>
    <w:rPr>
      <w:rFonts w:ascii="Tahoma" w:hAnsi="Tahoma"/>
      <w:sz w:val="24"/>
      <w:szCs w:val="20"/>
    </w:rPr>
  </w:style>
  <w:style w:type="paragraph" w:customStyle="1" w:styleId="117">
    <w:name w:val="彩色列表11"/>
    <w:basedOn w:val="1"/>
    <w:qFormat/>
    <w:uiPriority w:val="34"/>
    <w:pPr>
      <w:ind w:firstLine="420" w:firstLineChars="200"/>
    </w:pPr>
  </w:style>
  <w:style w:type="paragraph" w:customStyle="1" w:styleId="118">
    <w:name w:val="AbsatzTableFormat"/>
    <w:basedOn w:val="1"/>
    <w:qFormat/>
    <w:uiPriority w:val="0"/>
    <w:rPr>
      <w:rFonts w:hAnsi="宋体" w:cs="宋体"/>
      <w:bCs/>
      <w:kern w:val="0"/>
      <w:szCs w:val="22"/>
      <w:lang w:val="de-DE"/>
    </w:rPr>
  </w:style>
  <w:style w:type="paragraph" w:customStyle="1" w:styleId="119">
    <w:name w:val="列出段落1"/>
    <w:basedOn w:val="1"/>
    <w:qFormat/>
    <w:uiPriority w:val="34"/>
    <w:pPr>
      <w:ind w:firstLine="420" w:firstLineChars="200"/>
    </w:pPr>
  </w:style>
  <w:style w:type="paragraph" w:customStyle="1" w:styleId="120">
    <w:name w:val="纯文本1"/>
    <w:basedOn w:val="111"/>
    <w:qFormat/>
    <w:uiPriority w:val="0"/>
    <w:rPr>
      <w:rFonts w:ascii="宋体" w:hAnsi="Courier New"/>
      <w:kern w:val="0"/>
      <w:sz w:val="20"/>
      <w:szCs w:val="21"/>
    </w:rPr>
  </w:style>
  <w:style w:type="character" w:customStyle="1" w:styleId="121">
    <w:name w:val="font61"/>
    <w:basedOn w:val="41"/>
    <w:qFormat/>
    <w:uiPriority w:val="0"/>
    <w:rPr>
      <w:rFonts w:hint="eastAsia" w:ascii="宋体" w:hAnsi="宋体" w:eastAsia="宋体" w:cs="宋体"/>
      <w:b/>
      <w:bCs/>
      <w:color w:val="000000"/>
      <w:sz w:val="22"/>
      <w:szCs w:val="22"/>
      <w:u w:val="none"/>
    </w:rPr>
  </w:style>
  <w:style w:type="character" w:customStyle="1" w:styleId="122">
    <w:name w:val="font112"/>
    <w:basedOn w:val="41"/>
    <w:qFormat/>
    <w:uiPriority w:val="0"/>
    <w:rPr>
      <w:rFonts w:hint="eastAsia" w:ascii="宋体" w:hAnsi="宋体" w:eastAsia="宋体" w:cs="宋体"/>
      <w:b/>
      <w:bCs/>
      <w:color w:val="000000"/>
      <w:sz w:val="22"/>
      <w:szCs w:val="22"/>
      <w:u w:val="none"/>
    </w:rPr>
  </w:style>
  <w:style w:type="character" w:customStyle="1" w:styleId="123">
    <w:name w:val="font91"/>
    <w:basedOn w:val="41"/>
    <w:qFormat/>
    <w:uiPriority w:val="0"/>
    <w:rPr>
      <w:rFonts w:hint="default" w:ascii="Times New Roman" w:hAnsi="Times New Roman" w:cs="Times New Roman"/>
      <w:color w:val="000000"/>
      <w:sz w:val="22"/>
      <w:szCs w:val="22"/>
      <w:u w:val="none"/>
    </w:rPr>
  </w:style>
  <w:style w:type="character" w:customStyle="1" w:styleId="124">
    <w:name w:val="font121"/>
    <w:basedOn w:val="41"/>
    <w:qFormat/>
    <w:uiPriority w:val="0"/>
    <w:rPr>
      <w:rFonts w:hint="eastAsia" w:ascii="宋体" w:hAnsi="宋体" w:eastAsia="宋体" w:cs="宋体"/>
      <w:color w:val="000000"/>
      <w:sz w:val="22"/>
      <w:szCs w:val="22"/>
      <w:u w:val="none"/>
    </w:rPr>
  </w:style>
  <w:style w:type="character" w:customStyle="1" w:styleId="125">
    <w:name w:val="font81"/>
    <w:basedOn w:val="41"/>
    <w:qFormat/>
    <w:uiPriority w:val="0"/>
    <w:rPr>
      <w:rFonts w:hint="default" w:ascii="Times New Roman" w:hAnsi="Times New Roman" w:cs="Times New Roman"/>
      <w:color w:val="000000"/>
      <w:sz w:val="22"/>
      <w:szCs w:val="22"/>
      <w:u w:val="none"/>
    </w:rPr>
  </w:style>
  <w:style w:type="character" w:customStyle="1" w:styleId="126">
    <w:name w:val="font41"/>
    <w:basedOn w:val="41"/>
    <w:qFormat/>
    <w:uiPriority w:val="0"/>
    <w:rPr>
      <w:rFonts w:hint="default" w:ascii="Times New Roman" w:hAnsi="Times New Roman" w:cs="Times New Roman"/>
      <w:b/>
      <w:bCs/>
      <w:color w:val="000000"/>
      <w:sz w:val="22"/>
      <w:szCs w:val="22"/>
      <w:u w:val="none"/>
    </w:rPr>
  </w:style>
  <w:style w:type="character" w:customStyle="1" w:styleId="127">
    <w:name w:val="font181"/>
    <w:basedOn w:val="41"/>
    <w:qFormat/>
    <w:uiPriority w:val="0"/>
    <w:rPr>
      <w:rFonts w:hint="eastAsia" w:ascii="宋体" w:hAnsi="宋体" w:eastAsia="宋体" w:cs="宋体"/>
      <w:b/>
      <w:bCs/>
      <w:color w:val="FF0000"/>
      <w:sz w:val="22"/>
      <w:szCs w:val="22"/>
      <w:u w:val="none"/>
    </w:rPr>
  </w:style>
  <w:style w:type="character" w:customStyle="1" w:styleId="128">
    <w:name w:val="font51"/>
    <w:basedOn w:val="41"/>
    <w:qFormat/>
    <w:uiPriority w:val="0"/>
    <w:rPr>
      <w:rFonts w:hint="default" w:ascii="Times New Roman" w:hAnsi="Times New Roman" w:cs="Times New Roman"/>
      <w:b/>
      <w:bCs/>
      <w:color w:val="000000"/>
      <w:sz w:val="22"/>
      <w:szCs w:val="22"/>
      <w:u w:val="none"/>
    </w:rPr>
  </w:style>
  <w:style w:type="character" w:customStyle="1" w:styleId="129">
    <w:name w:val="font141"/>
    <w:basedOn w:val="41"/>
    <w:qFormat/>
    <w:uiPriority w:val="0"/>
    <w:rPr>
      <w:rFonts w:hint="eastAsia" w:ascii="宋体" w:hAnsi="宋体" w:eastAsia="宋体" w:cs="宋体"/>
      <w:b/>
      <w:bCs/>
      <w:color w:val="000000"/>
      <w:sz w:val="22"/>
      <w:szCs w:val="22"/>
      <w:u w:val="none"/>
    </w:rPr>
  </w:style>
  <w:style w:type="character" w:customStyle="1" w:styleId="130">
    <w:name w:val="font71"/>
    <w:basedOn w:val="41"/>
    <w:qFormat/>
    <w:uiPriority w:val="0"/>
    <w:rPr>
      <w:rFonts w:hint="default" w:ascii="Times New Roman" w:hAnsi="Times New Roman" w:cs="Times New Roman"/>
      <w:color w:val="000000"/>
      <w:sz w:val="22"/>
      <w:szCs w:val="22"/>
      <w:u w:val="none"/>
    </w:rPr>
  </w:style>
  <w:style w:type="character" w:customStyle="1" w:styleId="131">
    <w:name w:val="font101"/>
    <w:basedOn w:val="41"/>
    <w:qFormat/>
    <w:uiPriority w:val="0"/>
    <w:rPr>
      <w:rFonts w:hint="eastAsia" w:ascii="宋体" w:hAnsi="宋体" w:eastAsia="宋体" w:cs="宋体"/>
      <w:b/>
      <w:bCs/>
      <w:color w:val="000000"/>
      <w:sz w:val="22"/>
      <w:szCs w:val="22"/>
      <w:u w:val="none"/>
    </w:rPr>
  </w:style>
  <w:style w:type="paragraph" w:customStyle="1" w:styleId="132">
    <w:name w:val="guizs_正文"/>
    <w:basedOn w:val="1"/>
    <w:qFormat/>
    <w:uiPriority w:val="0"/>
    <w:pPr>
      <w:ind w:firstLine="200" w:firstLineChars="200"/>
      <w:jc w:val="left"/>
    </w:pPr>
    <w:rPr>
      <w:sz w:val="28"/>
      <w:szCs w:val="20"/>
    </w:rPr>
  </w:style>
  <w:style w:type="paragraph" w:styleId="133">
    <w:name w:val="No Spacing"/>
    <w:qFormat/>
    <w:uiPriority w:val="1"/>
    <w:rPr>
      <w:rFonts w:ascii="Calibri" w:hAnsi="Calibri" w:eastAsia="MS Mincho" w:cs="Times New Roman"/>
      <w:sz w:val="24"/>
      <w:szCs w:val="24"/>
      <w:lang w:val="en-US" w:eastAsia="en-US" w:bidi="ar-SA"/>
    </w:rPr>
  </w:style>
  <w:style w:type="paragraph" w:styleId="134">
    <w:name w:val="List Paragraph"/>
    <w:basedOn w:val="1"/>
    <w:qFormat/>
    <w:uiPriority w:val="34"/>
    <w:pPr>
      <w:ind w:firstLine="200" w:firstLineChars="200"/>
    </w:pPr>
  </w:style>
  <w:style w:type="paragraph" w:customStyle="1" w:styleId="135">
    <w:name w:val="标书正文1"/>
    <w:basedOn w:val="1"/>
    <w:link w:val="136"/>
    <w:qFormat/>
    <w:uiPriority w:val="0"/>
    <w:pPr>
      <w:snapToGrid w:val="0"/>
      <w:spacing w:line="288" w:lineRule="auto"/>
    </w:pPr>
    <w:rPr>
      <w:rFonts w:cs="宋体" w:asciiTheme="minorEastAsia" w:hAnsiTheme="minorEastAsia"/>
      <w:sz w:val="24"/>
    </w:rPr>
  </w:style>
  <w:style w:type="character" w:customStyle="1" w:styleId="136">
    <w:name w:val="标书正文1 字符"/>
    <w:basedOn w:val="41"/>
    <w:link w:val="135"/>
    <w:qFormat/>
    <w:uiPriority w:val="0"/>
    <w:rPr>
      <w:rFonts w:cs="宋体" w:asciiTheme="minorEastAsia" w:hAnsiTheme="minorEastAsia"/>
      <w:sz w:val="24"/>
    </w:rPr>
  </w:style>
  <w:style w:type="character" w:customStyle="1" w:styleId="137">
    <w:name w:val="mark"/>
    <w:basedOn w:val="41"/>
    <w:qFormat/>
    <w:uiPriority w:val="0"/>
  </w:style>
  <w:style w:type="character" w:customStyle="1" w:styleId="138">
    <w:name w:val="font111"/>
    <w:basedOn w:val="41"/>
    <w:qFormat/>
    <w:uiPriority w:val="0"/>
    <w:rPr>
      <w:rFonts w:hint="default" w:ascii="Times New Roman" w:hAnsi="Times New Roman" w:cs="Times New Roman"/>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75</Pages>
  <Words>21655</Words>
  <Characters>24359</Characters>
  <Lines>387</Lines>
  <Paragraphs>108</Paragraphs>
  <TotalTime>38</TotalTime>
  <ScaleCrop>false</ScaleCrop>
  <LinksUpToDate>false</LinksUpToDate>
  <CharactersWithSpaces>24846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2023-09-01T06:36:00Z</dcterms:created>
  <dc:creator>Administrator</dc:creator>
  <cp:lastModifiedBy>韦亮</cp:lastModifiedBy>
  <cp:lastPrinted>2025-04-07T06:57:00Z</cp:lastPrinted>
  <dcterms:modified xsi:type="dcterms:W3CDTF">2025-04-15T08:36:03Z</dcterms:modified>
  <dc:title>东阳市鑫盛工程咨询有限公司关于东阳市广福路以南、望江路以西地块-上王公寓</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C0B6F30CAB834D95A9E8474F37F7BEA4_13</vt:lpwstr>
  </property>
  <property fmtid="{D5CDD505-2E9C-101B-9397-08002B2CF9AE}" pid="4" name="KSOTemplateDocerSaveRecord">
    <vt:lpwstr>eyJoZGlkIjoiNjBlMjVhODAxMDQ5MDdlZDVmZDJjNWViZmJiMWFkNzIiLCJ1c2VySWQiOiIxNDM0MTA5ODE4In0=</vt:lpwstr>
  </property>
</Properties>
</file>